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170" w:type="dxa"/>
          <w:right w:w="170" w:type="dxa"/>
        </w:tblCellMar>
        <w:tblLook w:val="04A0" w:firstRow="1" w:lastRow="0" w:firstColumn="1" w:lastColumn="0" w:noHBand="0" w:noVBand="1"/>
      </w:tblPr>
      <w:tblGrid>
        <w:gridCol w:w="10034"/>
      </w:tblGrid>
      <w:tr w:rsidR="00C20562" w:rsidRPr="00C20562" w14:paraId="707AB863" w14:textId="77777777" w:rsidTr="00BB3712">
        <w:trPr>
          <w:trHeight w:hRule="exact" w:val="2796"/>
        </w:trPr>
        <w:tc>
          <w:tcPr>
            <w:tcW w:w="9468" w:type="dxa"/>
            <w:shd w:val="clear" w:color="auto" w:fill="auto"/>
          </w:tcPr>
          <w:p w14:paraId="5B33E23A" w14:textId="3755E6DC" w:rsidR="00C20562" w:rsidRPr="00C20562" w:rsidRDefault="00C20562" w:rsidP="00323E71"/>
        </w:tc>
      </w:tr>
      <w:tr w:rsidR="00C20562" w:rsidRPr="00550D4A" w14:paraId="7F1BC156" w14:textId="77777777" w:rsidTr="00BB3712">
        <w:trPr>
          <w:trHeight w:hRule="exact" w:val="4253"/>
        </w:trPr>
        <w:tc>
          <w:tcPr>
            <w:tcW w:w="9468" w:type="dxa"/>
            <w:shd w:val="clear" w:color="auto" w:fill="auto"/>
          </w:tcPr>
          <w:p w14:paraId="2F00AEB1" w14:textId="77777777" w:rsidR="00262D6E" w:rsidRDefault="00262D6E" w:rsidP="00262D6E">
            <w:pPr>
              <w:outlineLvl w:val="0"/>
              <w:rPr>
                <w:b/>
                <w:sz w:val="52"/>
                <w:szCs w:val="52"/>
              </w:rPr>
            </w:pPr>
          </w:p>
          <w:p w14:paraId="483A988A" w14:textId="75864FA6" w:rsidR="00262D6E" w:rsidRDefault="00262D6E" w:rsidP="00262D6E">
            <w:pPr>
              <w:outlineLvl w:val="0"/>
              <w:rPr>
                <w:b/>
                <w:sz w:val="48"/>
                <w:szCs w:val="48"/>
              </w:rPr>
            </w:pPr>
            <w:r w:rsidRPr="00E5329B">
              <w:rPr>
                <w:b/>
                <w:sz w:val="48"/>
                <w:szCs w:val="48"/>
              </w:rPr>
              <w:t>Mental Health Casework Section</w:t>
            </w:r>
          </w:p>
          <w:p w14:paraId="1709214E" w14:textId="77777777" w:rsidR="00B86AE3" w:rsidRDefault="00B86AE3" w:rsidP="00973B17">
            <w:pPr>
              <w:tabs>
                <w:tab w:val="left" w:pos="6795"/>
              </w:tabs>
              <w:outlineLvl w:val="0"/>
              <w:rPr>
                <w:sz w:val="38"/>
                <w:szCs w:val="38"/>
              </w:rPr>
            </w:pPr>
          </w:p>
          <w:p w14:paraId="4E563FA4" w14:textId="121DA9D6" w:rsidR="00973B17" w:rsidRDefault="00973B17" w:rsidP="00973B17">
            <w:pPr>
              <w:tabs>
                <w:tab w:val="left" w:pos="6795"/>
              </w:tabs>
              <w:outlineLvl w:val="0"/>
              <w:rPr>
                <w:sz w:val="38"/>
                <w:szCs w:val="38"/>
              </w:rPr>
            </w:pPr>
            <w:r>
              <w:rPr>
                <w:sz w:val="38"/>
                <w:szCs w:val="38"/>
              </w:rPr>
              <w:t>Guidance:</w:t>
            </w:r>
          </w:p>
          <w:p w14:paraId="352C49E6" w14:textId="4BDBD127" w:rsidR="00550D4A" w:rsidRPr="00550D4A" w:rsidRDefault="00301A22" w:rsidP="00973B17">
            <w:pPr>
              <w:tabs>
                <w:tab w:val="left" w:pos="6795"/>
              </w:tabs>
              <w:outlineLvl w:val="0"/>
            </w:pPr>
            <w:r>
              <w:rPr>
                <w:sz w:val="38"/>
                <w:szCs w:val="38"/>
              </w:rPr>
              <w:t xml:space="preserve">CHANGING CONDITIONS OF </w:t>
            </w:r>
            <w:r w:rsidR="00A0575F">
              <w:rPr>
                <w:sz w:val="38"/>
                <w:szCs w:val="38"/>
              </w:rPr>
              <w:t>DISCHARGE FOR RESTRICTED PATIENTS</w:t>
            </w:r>
            <w:r w:rsidR="00117FB4" w:rsidRPr="00117FB4">
              <w:rPr>
                <w:sz w:val="38"/>
                <w:szCs w:val="38"/>
              </w:rPr>
              <w:t xml:space="preserve">  </w:t>
            </w:r>
          </w:p>
        </w:tc>
      </w:tr>
      <w:tr w:rsidR="00C20562" w:rsidRPr="00EA1B3A" w14:paraId="130937FA" w14:textId="77777777" w:rsidTr="00BB3712">
        <w:trPr>
          <w:trHeight w:hRule="exact" w:val="1985"/>
        </w:trPr>
        <w:tc>
          <w:tcPr>
            <w:tcW w:w="9468" w:type="dxa"/>
            <w:shd w:val="clear" w:color="auto" w:fill="auto"/>
          </w:tcPr>
          <w:p w14:paraId="66D4F6B4" w14:textId="77777777" w:rsidR="00C20562" w:rsidRPr="00EA1B3A" w:rsidRDefault="00C20562" w:rsidP="00EA1B3A">
            <w:pPr>
              <w:pStyle w:val="CoverAuthor"/>
            </w:pPr>
          </w:p>
        </w:tc>
      </w:tr>
      <w:tr w:rsidR="00550D4A" w:rsidRPr="00EA1B3A" w14:paraId="382AFD5C" w14:textId="77777777" w:rsidTr="00BB3712">
        <w:tblPrEx>
          <w:tblCellMar>
            <w:left w:w="108" w:type="dxa"/>
            <w:right w:w="108" w:type="dxa"/>
          </w:tblCellMar>
        </w:tblPrEx>
        <w:tc>
          <w:tcPr>
            <w:tcW w:w="10286" w:type="dxa"/>
            <w:shd w:val="clear" w:color="auto" w:fill="auto"/>
          </w:tcPr>
          <w:p w14:paraId="63B52A77" w14:textId="76961F00" w:rsidR="00550D4A" w:rsidRPr="00EA1B3A" w:rsidRDefault="00E863D0" w:rsidP="00914701">
            <w:pPr>
              <w:pStyle w:val="CoverDate"/>
            </w:pPr>
            <w:r>
              <w:t>June</w:t>
            </w:r>
            <w:r w:rsidR="00117FB4">
              <w:t xml:space="preserve"> </w:t>
            </w:r>
            <w:r w:rsidR="00B86AE3">
              <w:t>202</w:t>
            </w:r>
            <w:r w:rsidR="00515E11">
              <w:t>3</w:t>
            </w:r>
          </w:p>
        </w:tc>
      </w:tr>
    </w:tbl>
    <w:p w14:paraId="64467C00" w14:textId="77777777" w:rsidR="00B230A3" w:rsidRDefault="00B230A3" w:rsidP="00B230A3">
      <w:pPr>
        <w:spacing w:after="0"/>
      </w:pPr>
    </w:p>
    <w:p w14:paraId="7F0FF412" w14:textId="77777777" w:rsidR="008C7094" w:rsidRDefault="008C7094" w:rsidP="008C7094">
      <w:pPr>
        <w:spacing w:after="0"/>
      </w:pPr>
      <w:r w:rsidRPr="00B230A3">
        <w:br w:type="page"/>
      </w:r>
    </w:p>
    <w:tbl>
      <w:tblPr>
        <w:tblW w:w="0" w:type="auto"/>
        <w:tblLook w:val="04A0" w:firstRow="1" w:lastRow="0" w:firstColumn="1" w:lastColumn="0" w:noHBand="0" w:noVBand="1"/>
      </w:tblPr>
      <w:tblGrid>
        <w:gridCol w:w="10034"/>
      </w:tblGrid>
      <w:tr w:rsidR="008C7094" w:rsidRPr="006D116C" w14:paraId="5CAB54E8" w14:textId="77777777" w:rsidTr="00BB3712">
        <w:trPr>
          <w:trHeight w:hRule="exact" w:val="5500"/>
        </w:trPr>
        <w:tc>
          <w:tcPr>
            <w:tcW w:w="10286" w:type="dxa"/>
            <w:shd w:val="clear" w:color="auto" w:fill="auto"/>
          </w:tcPr>
          <w:p w14:paraId="22136235" w14:textId="77777777" w:rsidR="008C7094" w:rsidRPr="006D116C" w:rsidRDefault="008C7094" w:rsidP="00CC608E"/>
        </w:tc>
      </w:tr>
      <w:tr w:rsidR="008C7094" w:rsidRPr="006D116C" w14:paraId="46A9463A" w14:textId="77777777" w:rsidTr="00BB3712">
        <w:tc>
          <w:tcPr>
            <w:tcW w:w="10286" w:type="dxa"/>
            <w:shd w:val="clear" w:color="auto" w:fill="auto"/>
          </w:tcPr>
          <w:p w14:paraId="33E53753" w14:textId="77777777" w:rsidR="008C7094" w:rsidRPr="001820BD" w:rsidRDefault="00973B17" w:rsidP="00CC608E">
            <w:r w:rsidRPr="003543E2">
              <w:rPr>
                <w:noProof/>
                <w:lang w:eastAsia="en-GB" w:bidi="ar-SA"/>
              </w:rPr>
              <w:drawing>
                <wp:inline distT="0" distB="0" distL="0" distR="0" wp14:anchorId="23952472" wp14:editId="2BA3EFB3">
                  <wp:extent cx="775970" cy="382905"/>
                  <wp:effectExtent l="0" t="0" r="0" b="0"/>
                  <wp:docPr id="14" name="Picture 14" descr="OG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G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5970" cy="382905"/>
                          </a:xfrm>
                          <a:prstGeom prst="rect">
                            <a:avLst/>
                          </a:prstGeom>
                          <a:noFill/>
                          <a:ln>
                            <a:noFill/>
                          </a:ln>
                        </pic:spPr>
                      </pic:pic>
                    </a:graphicData>
                  </a:graphic>
                </wp:inline>
              </w:drawing>
            </w:r>
          </w:p>
          <w:p w14:paraId="7B884C55" w14:textId="77777777" w:rsidR="008C7094" w:rsidRPr="00BB3712" w:rsidRDefault="0060603A" w:rsidP="00CC608E">
            <w:pPr>
              <w:rPr>
                <w:b/>
              </w:rPr>
            </w:pPr>
            <w:r w:rsidRPr="00BB3712">
              <w:rPr>
                <w:b/>
              </w:rPr>
              <w:t>© Crown copyright 2017</w:t>
            </w:r>
          </w:p>
          <w:p w14:paraId="36E54946" w14:textId="77777777" w:rsidR="008C7094" w:rsidRPr="001820BD" w:rsidRDefault="008C7094" w:rsidP="00CC608E">
            <w:r w:rsidRPr="001820BD">
              <w:t xml:space="preserve">This publication is licensed under the terms of the Open Government Licence v3.0 except where otherwise stated. To view this licence, visit </w:t>
            </w:r>
            <w:hyperlink r:id="rId12" w:history="1">
              <w:r w:rsidRPr="001820BD">
                <w:rPr>
                  <w:rStyle w:val="Hyperlink"/>
                </w:rPr>
                <w:t>nationalarchives.gov.uk/doc/open-government-licence/version/3</w:t>
              </w:r>
            </w:hyperlink>
            <w:r w:rsidRPr="001820BD">
              <w:t xml:space="preserve"> or write to the Information Policy Team, The National Archives, Kew, London TW9 4DU, or email: </w:t>
            </w:r>
            <w:hyperlink r:id="rId13" w:history="1">
              <w:r w:rsidRPr="001820BD">
                <w:rPr>
                  <w:rStyle w:val="Hyperlink"/>
                </w:rPr>
                <w:t>psi@nationalarchives.gsi.gov.uk</w:t>
              </w:r>
            </w:hyperlink>
            <w:r w:rsidRPr="001820BD">
              <w:t>.</w:t>
            </w:r>
          </w:p>
          <w:p w14:paraId="1538C797" w14:textId="593149FA" w:rsidR="008C7094" w:rsidRDefault="008C7094" w:rsidP="00CC608E">
            <w:r w:rsidRPr="001820BD">
              <w:t>Any enquiries regarding this publication should be sent to us at</w:t>
            </w:r>
            <w:r w:rsidR="000D2FD4">
              <w:t>:</w:t>
            </w:r>
            <w:r w:rsidR="00257750">
              <w:t xml:space="preserve"> </w:t>
            </w:r>
            <w:r w:rsidR="00DD4792">
              <w:t>M</w:t>
            </w:r>
            <w:r w:rsidR="00DD4792" w:rsidRPr="00DD4792">
              <w:t xml:space="preserve">HCS Casework Performance and Support Team Mailbox </w:t>
            </w:r>
            <w:hyperlink r:id="rId14" w:history="1">
              <w:r w:rsidR="00DD4792" w:rsidRPr="000F426C">
                <w:rPr>
                  <w:rStyle w:val="Hyperlink"/>
                </w:rPr>
                <w:t>mhcscpst@justice.gov.uk</w:t>
              </w:r>
            </w:hyperlink>
          </w:p>
          <w:p w14:paraId="396E2860" w14:textId="77777777" w:rsidR="00DD4792" w:rsidRDefault="00DD4792" w:rsidP="00CC608E"/>
          <w:p w14:paraId="7EED1AFA" w14:textId="77777777" w:rsidR="00040C89" w:rsidRDefault="00040C89" w:rsidP="00CC608E"/>
          <w:p w14:paraId="3E4DB86F" w14:textId="77777777" w:rsidR="008C7094" w:rsidRPr="006D116C" w:rsidRDefault="008C7094" w:rsidP="00CC608E"/>
        </w:tc>
      </w:tr>
    </w:tbl>
    <w:p w14:paraId="66F7F8FB" w14:textId="77777777" w:rsidR="00267815" w:rsidRDefault="00267815" w:rsidP="00323E71"/>
    <w:p w14:paraId="5217B430" w14:textId="77777777" w:rsidR="001D0DE0" w:rsidRDefault="001D0DE0" w:rsidP="00323E71">
      <w:pPr>
        <w:sectPr w:rsidR="001D0DE0" w:rsidSect="001746E0">
          <w:headerReference w:type="even" r:id="rId15"/>
          <w:headerReference w:type="default" r:id="rId16"/>
          <w:footerReference w:type="even" r:id="rId17"/>
          <w:footerReference w:type="default" r:id="rId18"/>
          <w:headerReference w:type="first" r:id="rId19"/>
          <w:footerReference w:type="first" r:id="rId20"/>
          <w:pgSz w:w="11906" w:h="16838" w:code="9"/>
          <w:pgMar w:top="1531" w:right="851" w:bottom="1134" w:left="851" w:header="737" w:footer="227" w:gutter="170"/>
          <w:cols w:space="312"/>
          <w:titlePg/>
          <w:docGrid w:linePitch="360"/>
        </w:sectPr>
      </w:pPr>
    </w:p>
    <w:sdt>
      <w:sdtPr>
        <w:rPr>
          <w:rFonts w:ascii="Calibri" w:hAnsi="Calibri" w:cs="Calibri"/>
          <w:color w:val="000000"/>
          <w:sz w:val="22"/>
          <w:lang w:eastAsia="en-GB" w:bidi="ar-SA"/>
        </w:rPr>
        <w:id w:val="-234158414"/>
        <w:docPartObj>
          <w:docPartGallery w:val="Table of Contents"/>
        </w:docPartObj>
      </w:sdtPr>
      <w:sdtEndPr/>
      <w:sdtContent>
        <w:p w14:paraId="6451C452" w14:textId="208CD3AA" w:rsidR="00D0476C" w:rsidRPr="00DC114B" w:rsidRDefault="00D0476C" w:rsidP="00D0476C">
          <w:pPr>
            <w:keepNext/>
            <w:keepLines/>
            <w:spacing w:after="763" w:line="265" w:lineRule="auto"/>
            <w:ind w:left="-5" w:hanging="10"/>
            <w:outlineLvl w:val="1"/>
            <w:rPr>
              <w:rFonts w:eastAsia="Arial"/>
              <w:b/>
              <w:color w:val="000000"/>
              <w:sz w:val="20"/>
              <w:szCs w:val="20"/>
              <w:lang w:eastAsia="en-GB" w:bidi="ar-SA"/>
            </w:rPr>
          </w:pPr>
          <w:r w:rsidRPr="00DC114B">
            <w:rPr>
              <w:rFonts w:eastAsia="Arial"/>
              <w:b/>
              <w:color w:val="000000"/>
              <w:sz w:val="20"/>
              <w:szCs w:val="20"/>
              <w:lang w:eastAsia="en-GB" w:bidi="ar-SA"/>
            </w:rPr>
            <w:t>Contents</w:t>
          </w:r>
        </w:p>
        <w:p w14:paraId="55A0E371" w14:textId="5E9A6A73" w:rsidR="00B87B4E" w:rsidRPr="00DC114B" w:rsidRDefault="00B87B4E" w:rsidP="00D0476C">
          <w:pPr>
            <w:keepNext/>
            <w:keepLines/>
            <w:spacing w:after="763" w:line="265" w:lineRule="auto"/>
            <w:ind w:left="-5" w:hanging="10"/>
            <w:outlineLvl w:val="1"/>
            <w:rPr>
              <w:rFonts w:eastAsia="Arial"/>
              <w:b/>
              <w:color w:val="000000"/>
              <w:sz w:val="20"/>
              <w:szCs w:val="20"/>
              <w:lang w:eastAsia="en-GB" w:bidi="ar-SA"/>
            </w:rPr>
          </w:pPr>
          <w:r w:rsidRPr="00DC114B">
            <w:rPr>
              <w:rFonts w:eastAsia="Arial"/>
              <w:b/>
              <w:color w:val="000000"/>
              <w:sz w:val="20"/>
              <w:szCs w:val="20"/>
              <w:lang w:eastAsia="en-GB" w:bidi="ar-SA"/>
            </w:rPr>
            <w:t xml:space="preserve">Sections </w:t>
          </w:r>
          <w:r w:rsidRPr="00DC114B">
            <w:rPr>
              <w:rFonts w:eastAsia="Arial"/>
              <w:b/>
              <w:color w:val="000000"/>
              <w:sz w:val="20"/>
              <w:szCs w:val="20"/>
              <w:lang w:eastAsia="en-GB" w:bidi="ar-SA"/>
            </w:rPr>
            <w:tab/>
          </w:r>
          <w:r w:rsidRPr="00DC114B">
            <w:rPr>
              <w:rFonts w:eastAsia="Arial"/>
              <w:b/>
              <w:color w:val="000000"/>
              <w:sz w:val="20"/>
              <w:szCs w:val="20"/>
              <w:lang w:eastAsia="en-GB" w:bidi="ar-SA"/>
            </w:rPr>
            <w:tab/>
          </w:r>
          <w:r w:rsidRPr="00DC114B">
            <w:rPr>
              <w:rFonts w:eastAsia="Arial"/>
              <w:b/>
              <w:color w:val="000000"/>
              <w:sz w:val="20"/>
              <w:szCs w:val="20"/>
              <w:lang w:eastAsia="en-GB" w:bidi="ar-SA"/>
            </w:rPr>
            <w:tab/>
          </w:r>
          <w:r w:rsidRPr="00DC114B">
            <w:rPr>
              <w:rFonts w:eastAsia="Arial"/>
              <w:b/>
              <w:color w:val="000000"/>
              <w:sz w:val="20"/>
              <w:szCs w:val="20"/>
              <w:lang w:eastAsia="en-GB" w:bidi="ar-SA"/>
            </w:rPr>
            <w:tab/>
          </w:r>
          <w:r w:rsidRPr="00DC114B">
            <w:rPr>
              <w:rFonts w:eastAsia="Arial"/>
              <w:b/>
              <w:color w:val="000000"/>
              <w:sz w:val="20"/>
              <w:szCs w:val="20"/>
              <w:lang w:eastAsia="en-GB" w:bidi="ar-SA"/>
            </w:rPr>
            <w:tab/>
          </w:r>
          <w:r w:rsidRPr="00DC114B">
            <w:rPr>
              <w:rFonts w:eastAsia="Arial"/>
              <w:b/>
              <w:color w:val="000000"/>
              <w:sz w:val="20"/>
              <w:szCs w:val="20"/>
              <w:lang w:eastAsia="en-GB" w:bidi="ar-SA"/>
            </w:rPr>
            <w:tab/>
          </w:r>
          <w:r w:rsidRPr="00DC114B">
            <w:rPr>
              <w:rFonts w:eastAsia="Arial"/>
              <w:b/>
              <w:color w:val="000000"/>
              <w:sz w:val="20"/>
              <w:szCs w:val="20"/>
              <w:lang w:eastAsia="en-GB" w:bidi="ar-SA"/>
            </w:rPr>
            <w:tab/>
          </w:r>
          <w:r w:rsidRPr="00DC114B">
            <w:rPr>
              <w:rFonts w:eastAsia="Arial"/>
              <w:b/>
              <w:color w:val="000000"/>
              <w:sz w:val="20"/>
              <w:szCs w:val="20"/>
              <w:lang w:eastAsia="en-GB" w:bidi="ar-SA"/>
            </w:rPr>
            <w:tab/>
            <w:t>Pages</w:t>
          </w:r>
        </w:p>
        <w:p w14:paraId="2FE577A0" w14:textId="72AFADD7" w:rsidR="00D0476C" w:rsidRPr="00DC114B" w:rsidRDefault="00D0476C" w:rsidP="00A100E8">
          <w:pPr>
            <w:spacing w:before="100" w:beforeAutospacing="1" w:after="100" w:afterAutospacing="1" w:line="360" w:lineRule="auto"/>
            <w:ind w:left="366" w:hanging="366"/>
            <w:rPr>
              <w:rFonts w:eastAsia="Arial"/>
              <w:bCs/>
              <w:color w:val="000000"/>
              <w:sz w:val="20"/>
              <w:szCs w:val="20"/>
              <w:lang w:eastAsia="en-GB" w:bidi="ar-SA"/>
            </w:rPr>
          </w:pPr>
          <w:r w:rsidRPr="00DC114B">
            <w:rPr>
              <w:rFonts w:eastAsia="Arial"/>
              <w:b/>
              <w:bCs/>
              <w:color w:val="000000"/>
              <w:sz w:val="20"/>
              <w:szCs w:val="20"/>
              <w:lang w:eastAsia="en-GB" w:bidi="ar-SA"/>
            </w:rPr>
            <w:t>Section 1</w:t>
          </w:r>
          <w:r w:rsidR="00442FC1" w:rsidRPr="00DC114B">
            <w:rPr>
              <w:rFonts w:eastAsia="Arial"/>
              <w:b/>
              <w:bCs/>
              <w:color w:val="000000"/>
              <w:sz w:val="20"/>
              <w:szCs w:val="20"/>
              <w:lang w:eastAsia="en-GB" w:bidi="ar-SA"/>
            </w:rPr>
            <w:t>:</w:t>
          </w:r>
          <w:r w:rsidRPr="00DC114B">
            <w:rPr>
              <w:rFonts w:eastAsia="Arial"/>
              <w:b/>
              <w:bCs/>
              <w:color w:val="000000"/>
              <w:sz w:val="20"/>
              <w:szCs w:val="20"/>
              <w:lang w:eastAsia="en-GB" w:bidi="ar-SA"/>
            </w:rPr>
            <w:t xml:space="preserve"> Introduction</w:t>
          </w:r>
          <w:r w:rsidR="00DC114B">
            <w:rPr>
              <w:rFonts w:eastAsia="Arial"/>
              <w:b/>
              <w:bCs/>
              <w:color w:val="000000"/>
              <w:sz w:val="20"/>
              <w:szCs w:val="20"/>
              <w:lang w:eastAsia="en-GB" w:bidi="ar-SA"/>
            </w:rPr>
            <w:tab/>
          </w:r>
          <w:r w:rsidR="00DC114B">
            <w:rPr>
              <w:rFonts w:eastAsia="Arial"/>
              <w:b/>
              <w:bCs/>
              <w:color w:val="000000"/>
              <w:sz w:val="20"/>
              <w:szCs w:val="20"/>
              <w:lang w:eastAsia="en-GB" w:bidi="ar-SA"/>
            </w:rPr>
            <w:tab/>
          </w:r>
          <w:r w:rsidR="00DC114B">
            <w:rPr>
              <w:rFonts w:eastAsia="Arial"/>
              <w:b/>
              <w:bCs/>
              <w:color w:val="000000"/>
              <w:sz w:val="20"/>
              <w:szCs w:val="20"/>
              <w:lang w:eastAsia="en-GB" w:bidi="ar-SA"/>
            </w:rPr>
            <w:tab/>
          </w:r>
          <w:r w:rsidR="00DC114B">
            <w:rPr>
              <w:rFonts w:eastAsia="Arial"/>
              <w:b/>
              <w:bCs/>
              <w:color w:val="000000"/>
              <w:sz w:val="20"/>
              <w:szCs w:val="20"/>
              <w:lang w:eastAsia="en-GB" w:bidi="ar-SA"/>
            </w:rPr>
            <w:tab/>
          </w:r>
          <w:r w:rsidR="00DC114B">
            <w:rPr>
              <w:rFonts w:eastAsia="Arial"/>
              <w:b/>
              <w:bCs/>
              <w:color w:val="000000"/>
              <w:sz w:val="20"/>
              <w:szCs w:val="20"/>
              <w:lang w:eastAsia="en-GB" w:bidi="ar-SA"/>
            </w:rPr>
            <w:tab/>
          </w:r>
          <w:r w:rsidR="00DC114B">
            <w:rPr>
              <w:rFonts w:eastAsia="Arial"/>
              <w:b/>
              <w:bCs/>
              <w:color w:val="000000"/>
              <w:sz w:val="20"/>
              <w:szCs w:val="20"/>
              <w:lang w:eastAsia="en-GB" w:bidi="ar-SA"/>
            </w:rPr>
            <w:tab/>
          </w:r>
          <w:r w:rsidR="00DC114B">
            <w:rPr>
              <w:rFonts w:eastAsia="Arial"/>
              <w:b/>
              <w:bCs/>
              <w:color w:val="000000"/>
              <w:sz w:val="20"/>
              <w:szCs w:val="20"/>
              <w:lang w:eastAsia="en-GB" w:bidi="ar-SA"/>
            </w:rPr>
            <w:tab/>
            <w:t>2</w:t>
          </w:r>
          <w:r w:rsidRPr="00DC114B">
            <w:rPr>
              <w:rFonts w:eastAsia="Arial"/>
              <w:b/>
              <w:bCs/>
              <w:color w:val="000000"/>
              <w:sz w:val="20"/>
              <w:szCs w:val="20"/>
              <w:lang w:eastAsia="en-GB" w:bidi="ar-SA"/>
            </w:rPr>
            <w:t xml:space="preserve">  </w:t>
          </w:r>
        </w:p>
        <w:p w14:paraId="0531230F" w14:textId="476FC5AC" w:rsidR="00442FC1" w:rsidRPr="00DC114B" w:rsidRDefault="00442FC1" w:rsidP="00442FC1">
          <w:pPr>
            <w:spacing w:before="100" w:beforeAutospacing="1" w:after="100" w:afterAutospacing="1" w:line="360" w:lineRule="auto"/>
            <w:ind w:right="48"/>
            <w:rPr>
              <w:rFonts w:eastAsia="Arial"/>
              <w:b/>
              <w:bCs/>
              <w:color w:val="000000"/>
              <w:sz w:val="20"/>
              <w:szCs w:val="20"/>
              <w:lang w:eastAsia="en-GB" w:bidi="ar-SA"/>
            </w:rPr>
          </w:pPr>
          <w:r w:rsidRPr="00DC114B">
            <w:rPr>
              <w:rFonts w:eastAsia="Arial"/>
              <w:b/>
              <w:bCs/>
              <w:color w:val="000000"/>
              <w:sz w:val="20"/>
              <w:szCs w:val="20"/>
              <w:lang w:eastAsia="en-GB" w:bidi="ar-SA"/>
            </w:rPr>
            <w:t>Section 2: Legislative background for changing conditions of discharge</w:t>
          </w:r>
          <w:r w:rsidR="00DC114B">
            <w:rPr>
              <w:rFonts w:eastAsia="Arial"/>
              <w:b/>
              <w:bCs/>
              <w:color w:val="000000"/>
              <w:sz w:val="20"/>
              <w:szCs w:val="20"/>
              <w:lang w:eastAsia="en-GB" w:bidi="ar-SA"/>
            </w:rPr>
            <w:tab/>
          </w:r>
          <w:r w:rsidR="00027237">
            <w:rPr>
              <w:rFonts w:eastAsia="Arial"/>
              <w:b/>
              <w:bCs/>
              <w:color w:val="000000"/>
              <w:sz w:val="20"/>
              <w:szCs w:val="20"/>
              <w:lang w:eastAsia="en-GB" w:bidi="ar-SA"/>
            </w:rPr>
            <w:t>3</w:t>
          </w:r>
        </w:p>
        <w:p w14:paraId="3829D699" w14:textId="68AEA417" w:rsidR="00D0476C" w:rsidRPr="00DC114B" w:rsidRDefault="00D0476C" w:rsidP="00A100E8">
          <w:pPr>
            <w:spacing w:before="100" w:beforeAutospacing="1" w:after="100" w:afterAutospacing="1" w:line="360" w:lineRule="auto"/>
            <w:ind w:left="366" w:right="48" w:hanging="366"/>
            <w:rPr>
              <w:rFonts w:eastAsia="Arial"/>
              <w:b/>
              <w:bCs/>
              <w:color w:val="000000"/>
              <w:sz w:val="20"/>
              <w:szCs w:val="20"/>
              <w:lang w:eastAsia="en-GB" w:bidi="ar-SA"/>
            </w:rPr>
          </w:pPr>
          <w:r w:rsidRPr="00DC114B">
            <w:rPr>
              <w:rFonts w:eastAsia="Arial"/>
              <w:b/>
              <w:bCs/>
              <w:color w:val="000000"/>
              <w:sz w:val="20"/>
              <w:szCs w:val="20"/>
              <w:lang w:eastAsia="en-GB" w:bidi="ar-SA"/>
            </w:rPr>
            <w:t>Section 3</w:t>
          </w:r>
          <w:r w:rsidR="00442FC1" w:rsidRPr="00DC114B">
            <w:rPr>
              <w:rFonts w:eastAsia="Arial"/>
              <w:b/>
              <w:bCs/>
              <w:color w:val="000000"/>
              <w:sz w:val="20"/>
              <w:szCs w:val="20"/>
              <w:lang w:eastAsia="en-GB" w:bidi="ar-SA"/>
            </w:rPr>
            <w:t>: Conditions of Discharge</w:t>
          </w:r>
          <w:r w:rsidR="00DC114B">
            <w:rPr>
              <w:rFonts w:eastAsia="Arial"/>
              <w:b/>
              <w:bCs/>
              <w:color w:val="000000"/>
              <w:sz w:val="20"/>
              <w:szCs w:val="20"/>
              <w:lang w:eastAsia="en-GB" w:bidi="ar-SA"/>
            </w:rPr>
            <w:tab/>
          </w:r>
          <w:r w:rsidR="00DC114B">
            <w:rPr>
              <w:rFonts w:eastAsia="Arial"/>
              <w:b/>
              <w:bCs/>
              <w:color w:val="000000"/>
              <w:sz w:val="20"/>
              <w:szCs w:val="20"/>
              <w:lang w:eastAsia="en-GB" w:bidi="ar-SA"/>
            </w:rPr>
            <w:tab/>
          </w:r>
          <w:r w:rsidR="00DC114B">
            <w:rPr>
              <w:rFonts w:eastAsia="Arial"/>
              <w:b/>
              <w:bCs/>
              <w:color w:val="000000"/>
              <w:sz w:val="20"/>
              <w:szCs w:val="20"/>
              <w:lang w:eastAsia="en-GB" w:bidi="ar-SA"/>
            </w:rPr>
            <w:tab/>
          </w:r>
          <w:r w:rsidR="00DC114B">
            <w:rPr>
              <w:rFonts w:eastAsia="Arial"/>
              <w:b/>
              <w:bCs/>
              <w:color w:val="000000"/>
              <w:sz w:val="20"/>
              <w:szCs w:val="20"/>
              <w:lang w:eastAsia="en-GB" w:bidi="ar-SA"/>
            </w:rPr>
            <w:tab/>
          </w:r>
          <w:r w:rsidR="00DC114B">
            <w:rPr>
              <w:rFonts w:eastAsia="Arial"/>
              <w:b/>
              <w:bCs/>
              <w:color w:val="000000"/>
              <w:sz w:val="20"/>
              <w:szCs w:val="20"/>
              <w:lang w:eastAsia="en-GB" w:bidi="ar-SA"/>
            </w:rPr>
            <w:tab/>
          </w:r>
          <w:r w:rsidR="00DC114B">
            <w:rPr>
              <w:rFonts w:eastAsia="Arial"/>
              <w:b/>
              <w:bCs/>
              <w:color w:val="000000"/>
              <w:sz w:val="20"/>
              <w:szCs w:val="20"/>
              <w:lang w:eastAsia="en-GB" w:bidi="ar-SA"/>
            </w:rPr>
            <w:tab/>
            <w:t>4</w:t>
          </w:r>
        </w:p>
        <w:p w14:paraId="7B389E59" w14:textId="25FF30BA" w:rsidR="00442FC1" w:rsidRPr="00DC114B" w:rsidRDefault="00D0476C" w:rsidP="00442FC1">
          <w:pPr>
            <w:spacing w:before="100" w:beforeAutospacing="1" w:after="100" w:afterAutospacing="1" w:line="360" w:lineRule="auto"/>
            <w:ind w:left="366" w:right="48" w:hanging="366"/>
            <w:rPr>
              <w:rFonts w:eastAsia="Arial"/>
              <w:b/>
              <w:bCs/>
              <w:color w:val="000000"/>
              <w:sz w:val="20"/>
              <w:szCs w:val="20"/>
              <w:lang w:eastAsia="en-GB" w:bidi="ar-SA"/>
            </w:rPr>
          </w:pPr>
          <w:r w:rsidRPr="00DC114B">
            <w:rPr>
              <w:rFonts w:eastAsia="Arial"/>
              <w:b/>
              <w:bCs/>
              <w:color w:val="000000"/>
              <w:sz w:val="20"/>
              <w:szCs w:val="20"/>
              <w:lang w:eastAsia="en-GB" w:bidi="ar-SA"/>
            </w:rPr>
            <w:t xml:space="preserve">Section 4: </w:t>
          </w:r>
          <w:r w:rsidR="00442FC1" w:rsidRPr="00DC114B">
            <w:rPr>
              <w:rFonts w:eastAsia="Arial"/>
              <w:b/>
              <w:bCs/>
              <w:color w:val="000000"/>
              <w:sz w:val="20"/>
              <w:szCs w:val="20"/>
              <w:lang w:eastAsia="en-GB" w:bidi="ar-SA"/>
            </w:rPr>
            <w:t>Requesting a change of Conditions</w:t>
          </w:r>
          <w:r w:rsidR="00DC114B">
            <w:rPr>
              <w:rFonts w:eastAsia="Arial"/>
              <w:b/>
              <w:bCs/>
              <w:color w:val="000000"/>
              <w:sz w:val="20"/>
              <w:szCs w:val="20"/>
              <w:lang w:eastAsia="en-GB" w:bidi="ar-SA"/>
            </w:rPr>
            <w:tab/>
          </w:r>
          <w:r w:rsidR="00DC114B">
            <w:rPr>
              <w:rFonts w:eastAsia="Arial"/>
              <w:b/>
              <w:bCs/>
              <w:color w:val="000000"/>
              <w:sz w:val="20"/>
              <w:szCs w:val="20"/>
              <w:lang w:eastAsia="en-GB" w:bidi="ar-SA"/>
            </w:rPr>
            <w:tab/>
          </w:r>
          <w:r w:rsidR="00DC114B">
            <w:rPr>
              <w:rFonts w:eastAsia="Arial"/>
              <w:b/>
              <w:bCs/>
              <w:color w:val="000000"/>
              <w:sz w:val="20"/>
              <w:szCs w:val="20"/>
              <w:lang w:eastAsia="en-GB" w:bidi="ar-SA"/>
            </w:rPr>
            <w:tab/>
          </w:r>
          <w:r w:rsidR="00DC114B">
            <w:rPr>
              <w:rFonts w:eastAsia="Arial"/>
              <w:b/>
              <w:bCs/>
              <w:color w:val="000000"/>
              <w:sz w:val="20"/>
              <w:szCs w:val="20"/>
              <w:lang w:eastAsia="en-GB" w:bidi="ar-SA"/>
            </w:rPr>
            <w:tab/>
          </w:r>
          <w:r w:rsidR="00027237">
            <w:rPr>
              <w:rFonts w:eastAsia="Arial"/>
              <w:b/>
              <w:bCs/>
              <w:color w:val="000000"/>
              <w:sz w:val="20"/>
              <w:szCs w:val="20"/>
              <w:lang w:eastAsia="en-GB" w:bidi="ar-SA"/>
            </w:rPr>
            <w:t>5</w:t>
          </w:r>
        </w:p>
        <w:p w14:paraId="6BB9DAB3" w14:textId="6A88DF17" w:rsidR="00D0476C" w:rsidRPr="00DC114B" w:rsidRDefault="00D0476C" w:rsidP="00A100E8">
          <w:pPr>
            <w:spacing w:before="100" w:beforeAutospacing="1" w:after="100" w:afterAutospacing="1" w:line="360" w:lineRule="auto"/>
            <w:ind w:left="366" w:right="48" w:hanging="366"/>
            <w:rPr>
              <w:rFonts w:eastAsia="Arial"/>
              <w:b/>
              <w:bCs/>
              <w:color w:val="000000"/>
              <w:sz w:val="20"/>
              <w:szCs w:val="20"/>
              <w:lang w:eastAsia="en-GB" w:bidi="ar-SA"/>
            </w:rPr>
          </w:pPr>
          <w:r w:rsidRPr="00DC114B">
            <w:rPr>
              <w:rFonts w:eastAsia="Arial"/>
              <w:b/>
              <w:bCs/>
              <w:color w:val="000000"/>
              <w:sz w:val="20"/>
              <w:szCs w:val="20"/>
              <w:lang w:eastAsia="en-GB" w:bidi="ar-SA"/>
            </w:rPr>
            <w:t>Section 5</w:t>
          </w:r>
          <w:r w:rsidR="00442FC1" w:rsidRPr="00DC114B">
            <w:rPr>
              <w:rFonts w:eastAsia="Arial"/>
              <w:b/>
              <w:bCs/>
              <w:color w:val="000000"/>
              <w:sz w:val="20"/>
              <w:szCs w:val="20"/>
              <w:lang w:eastAsia="en-GB" w:bidi="ar-SA"/>
            </w:rPr>
            <w:t>: Standard Conditions</w:t>
          </w:r>
          <w:r w:rsidR="00DC114B">
            <w:rPr>
              <w:rFonts w:eastAsia="Arial"/>
              <w:b/>
              <w:bCs/>
              <w:color w:val="000000"/>
              <w:sz w:val="20"/>
              <w:szCs w:val="20"/>
              <w:lang w:eastAsia="en-GB" w:bidi="ar-SA"/>
            </w:rPr>
            <w:tab/>
          </w:r>
          <w:r w:rsidR="00DC114B">
            <w:rPr>
              <w:rFonts w:eastAsia="Arial"/>
              <w:b/>
              <w:bCs/>
              <w:color w:val="000000"/>
              <w:sz w:val="20"/>
              <w:szCs w:val="20"/>
              <w:lang w:eastAsia="en-GB" w:bidi="ar-SA"/>
            </w:rPr>
            <w:tab/>
          </w:r>
          <w:r w:rsidR="00DC114B">
            <w:rPr>
              <w:rFonts w:eastAsia="Arial"/>
              <w:b/>
              <w:bCs/>
              <w:color w:val="000000"/>
              <w:sz w:val="20"/>
              <w:szCs w:val="20"/>
              <w:lang w:eastAsia="en-GB" w:bidi="ar-SA"/>
            </w:rPr>
            <w:tab/>
          </w:r>
          <w:r w:rsidR="00DC114B">
            <w:rPr>
              <w:rFonts w:eastAsia="Arial"/>
              <w:b/>
              <w:bCs/>
              <w:color w:val="000000"/>
              <w:sz w:val="20"/>
              <w:szCs w:val="20"/>
              <w:lang w:eastAsia="en-GB" w:bidi="ar-SA"/>
            </w:rPr>
            <w:tab/>
          </w:r>
          <w:r w:rsidR="00DC114B">
            <w:rPr>
              <w:rFonts w:eastAsia="Arial"/>
              <w:b/>
              <w:bCs/>
              <w:color w:val="000000"/>
              <w:sz w:val="20"/>
              <w:szCs w:val="20"/>
              <w:lang w:eastAsia="en-GB" w:bidi="ar-SA"/>
            </w:rPr>
            <w:tab/>
          </w:r>
          <w:r w:rsidR="00DC114B">
            <w:rPr>
              <w:rFonts w:eastAsia="Arial"/>
              <w:b/>
              <w:bCs/>
              <w:color w:val="000000"/>
              <w:sz w:val="20"/>
              <w:szCs w:val="20"/>
              <w:lang w:eastAsia="en-GB" w:bidi="ar-SA"/>
            </w:rPr>
            <w:tab/>
            <w:t>6</w:t>
          </w:r>
        </w:p>
        <w:p w14:paraId="3E3BDF10" w14:textId="49FD0FDC" w:rsidR="00A100E8" w:rsidRPr="00DC114B" w:rsidRDefault="00D0476C" w:rsidP="00A100E8">
          <w:pPr>
            <w:keepNext/>
            <w:keepLines/>
            <w:spacing w:before="100" w:beforeAutospacing="1" w:after="100" w:afterAutospacing="1" w:line="360" w:lineRule="auto"/>
            <w:ind w:left="-5" w:hanging="10"/>
            <w:outlineLvl w:val="1"/>
            <w:rPr>
              <w:rFonts w:eastAsia="Arial"/>
              <w:b/>
              <w:color w:val="000000"/>
              <w:sz w:val="20"/>
              <w:szCs w:val="20"/>
              <w:lang w:eastAsia="en-GB" w:bidi="ar-SA"/>
            </w:rPr>
          </w:pPr>
          <w:r w:rsidRPr="00DC114B">
            <w:rPr>
              <w:rFonts w:eastAsia="Arial"/>
              <w:b/>
              <w:color w:val="000000"/>
              <w:sz w:val="20"/>
              <w:szCs w:val="20"/>
              <w:lang w:eastAsia="en-GB" w:bidi="ar-SA"/>
            </w:rPr>
            <w:t>Section 6</w:t>
          </w:r>
          <w:r w:rsidR="00442FC1" w:rsidRPr="00DC114B">
            <w:rPr>
              <w:rFonts w:eastAsia="Arial"/>
              <w:b/>
              <w:color w:val="000000"/>
              <w:sz w:val="20"/>
              <w:szCs w:val="20"/>
              <w:lang w:eastAsia="en-GB" w:bidi="ar-SA"/>
            </w:rPr>
            <w:t>: Victim Related Conditions</w:t>
          </w:r>
          <w:r w:rsidR="00DC114B">
            <w:rPr>
              <w:rFonts w:eastAsia="Arial"/>
              <w:b/>
              <w:color w:val="000000"/>
              <w:sz w:val="20"/>
              <w:szCs w:val="20"/>
              <w:lang w:eastAsia="en-GB" w:bidi="ar-SA"/>
            </w:rPr>
            <w:tab/>
          </w:r>
          <w:r w:rsidR="00DC114B">
            <w:rPr>
              <w:rFonts w:eastAsia="Arial"/>
              <w:b/>
              <w:color w:val="000000"/>
              <w:sz w:val="20"/>
              <w:szCs w:val="20"/>
              <w:lang w:eastAsia="en-GB" w:bidi="ar-SA"/>
            </w:rPr>
            <w:tab/>
          </w:r>
          <w:r w:rsidR="00DC114B">
            <w:rPr>
              <w:rFonts w:eastAsia="Arial"/>
              <w:b/>
              <w:color w:val="000000"/>
              <w:sz w:val="20"/>
              <w:szCs w:val="20"/>
              <w:lang w:eastAsia="en-GB" w:bidi="ar-SA"/>
            </w:rPr>
            <w:tab/>
          </w:r>
          <w:r w:rsidR="00DC114B">
            <w:rPr>
              <w:rFonts w:eastAsia="Arial"/>
              <w:b/>
              <w:color w:val="000000"/>
              <w:sz w:val="20"/>
              <w:szCs w:val="20"/>
              <w:lang w:eastAsia="en-GB" w:bidi="ar-SA"/>
            </w:rPr>
            <w:tab/>
          </w:r>
          <w:r w:rsidR="00DC114B">
            <w:rPr>
              <w:rFonts w:eastAsia="Arial"/>
              <w:b/>
              <w:color w:val="000000"/>
              <w:sz w:val="20"/>
              <w:szCs w:val="20"/>
              <w:lang w:eastAsia="en-GB" w:bidi="ar-SA"/>
            </w:rPr>
            <w:tab/>
          </w:r>
          <w:r w:rsidR="00DC114B">
            <w:rPr>
              <w:rFonts w:eastAsia="Arial"/>
              <w:b/>
              <w:color w:val="000000"/>
              <w:sz w:val="20"/>
              <w:szCs w:val="20"/>
              <w:lang w:eastAsia="en-GB" w:bidi="ar-SA"/>
            </w:rPr>
            <w:tab/>
          </w:r>
          <w:r w:rsidR="00027237">
            <w:rPr>
              <w:rFonts w:eastAsia="Arial"/>
              <w:b/>
              <w:color w:val="000000"/>
              <w:sz w:val="20"/>
              <w:szCs w:val="20"/>
              <w:lang w:eastAsia="en-GB" w:bidi="ar-SA"/>
            </w:rPr>
            <w:t>7</w:t>
          </w:r>
        </w:p>
        <w:p w14:paraId="4C96CDFB" w14:textId="0C563EEC" w:rsidR="00D963CB" w:rsidRPr="00DC114B" w:rsidRDefault="009B73AA" w:rsidP="00D963CB">
          <w:pPr>
            <w:keepNext/>
            <w:keepLines/>
            <w:spacing w:before="100" w:beforeAutospacing="1" w:after="100" w:afterAutospacing="1" w:line="360" w:lineRule="auto"/>
            <w:outlineLvl w:val="1"/>
            <w:rPr>
              <w:rFonts w:eastAsia="Arial"/>
              <w:b/>
              <w:color w:val="000000"/>
              <w:sz w:val="20"/>
              <w:szCs w:val="20"/>
              <w:lang w:eastAsia="en-GB" w:bidi="ar-SA"/>
            </w:rPr>
          </w:pPr>
          <w:r w:rsidRPr="00DC114B">
            <w:rPr>
              <w:rFonts w:eastAsia="Arial"/>
              <w:b/>
              <w:color w:val="000000"/>
              <w:sz w:val="20"/>
              <w:szCs w:val="20"/>
              <w:lang w:eastAsia="en-GB" w:bidi="ar-SA"/>
            </w:rPr>
            <w:t xml:space="preserve">Section </w:t>
          </w:r>
          <w:r w:rsidR="00442FC1" w:rsidRPr="00DC114B">
            <w:rPr>
              <w:rFonts w:eastAsia="Arial"/>
              <w:b/>
              <w:color w:val="000000"/>
              <w:sz w:val="20"/>
              <w:szCs w:val="20"/>
              <w:lang w:eastAsia="en-GB" w:bidi="ar-SA"/>
            </w:rPr>
            <w:t>7: Risk Related Conditions</w:t>
          </w:r>
          <w:r w:rsidR="00DC114B">
            <w:rPr>
              <w:rFonts w:eastAsia="Arial"/>
              <w:b/>
              <w:color w:val="000000"/>
              <w:sz w:val="20"/>
              <w:szCs w:val="20"/>
              <w:lang w:eastAsia="en-GB" w:bidi="ar-SA"/>
            </w:rPr>
            <w:tab/>
          </w:r>
          <w:r w:rsidR="00DC114B">
            <w:rPr>
              <w:rFonts w:eastAsia="Arial"/>
              <w:b/>
              <w:color w:val="000000"/>
              <w:sz w:val="20"/>
              <w:szCs w:val="20"/>
              <w:lang w:eastAsia="en-GB" w:bidi="ar-SA"/>
            </w:rPr>
            <w:tab/>
          </w:r>
          <w:r w:rsidR="00DC114B">
            <w:rPr>
              <w:rFonts w:eastAsia="Arial"/>
              <w:b/>
              <w:color w:val="000000"/>
              <w:sz w:val="20"/>
              <w:szCs w:val="20"/>
              <w:lang w:eastAsia="en-GB" w:bidi="ar-SA"/>
            </w:rPr>
            <w:tab/>
          </w:r>
          <w:r w:rsidR="00DC114B">
            <w:rPr>
              <w:rFonts w:eastAsia="Arial"/>
              <w:b/>
              <w:color w:val="000000"/>
              <w:sz w:val="20"/>
              <w:szCs w:val="20"/>
              <w:lang w:eastAsia="en-GB" w:bidi="ar-SA"/>
            </w:rPr>
            <w:tab/>
          </w:r>
          <w:r w:rsidR="00DC114B">
            <w:rPr>
              <w:rFonts w:eastAsia="Arial"/>
              <w:b/>
              <w:color w:val="000000"/>
              <w:sz w:val="20"/>
              <w:szCs w:val="20"/>
              <w:lang w:eastAsia="en-GB" w:bidi="ar-SA"/>
            </w:rPr>
            <w:tab/>
          </w:r>
          <w:r w:rsidR="00DC114B">
            <w:rPr>
              <w:rFonts w:eastAsia="Arial"/>
              <w:b/>
              <w:color w:val="000000"/>
              <w:sz w:val="20"/>
              <w:szCs w:val="20"/>
              <w:lang w:eastAsia="en-GB" w:bidi="ar-SA"/>
            </w:rPr>
            <w:tab/>
            <w:t>1</w:t>
          </w:r>
          <w:r w:rsidR="00027237">
            <w:rPr>
              <w:rFonts w:eastAsia="Arial"/>
              <w:b/>
              <w:color w:val="000000"/>
              <w:sz w:val="20"/>
              <w:szCs w:val="20"/>
              <w:lang w:eastAsia="en-GB" w:bidi="ar-SA"/>
            </w:rPr>
            <w:t>0</w:t>
          </w:r>
        </w:p>
        <w:p w14:paraId="63CECB3D" w14:textId="63B88899" w:rsidR="00D963CB" w:rsidRPr="00DC114B" w:rsidRDefault="00D963CB" w:rsidP="00F23FCC">
          <w:pPr>
            <w:keepNext/>
            <w:keepLines/>
            <w:spacing w:before="100" w:beforeAutospacing="1" w:after="100" w:afterAutospacing="1" w:line="360" w:lineRule="auto"/>
            <w:outlineLvl w:val="1"/>
            <w:rPr>
              <w:rFonts w:eastAsia="Arial"/>
              <w:b/>
              <w:color w:val="000000"/>
              <w:sz w:val="20"/>
              <w:szCs w:val="20"/>
              <w:lang w:eastAsia="en-GB" w:bidi="ar-SA"/>
            </w:rPr>
          </w:pPr>
          <w:r w:rsidRPr="00DC114B">
            <w:rPr>
              <w:rFonts w:eastAsia="Arial"/>
              <w:b/>
              <w:color w:val="000000"/>
              <w:sz w:val="20"/>
              <w:szCs w:val="20"/>
              <w:lang w:eastAsia="en-GB" w:bidi="ar-SA"/>
            </w:rPr>
            <w:t>Section 8</w:t>
          </w:r>
          <w:r w:rsidR="00442FC1" w:rsidRPr="00DC114B">
            <w:rPr>
              <w:rFonts w:eastAsia="Arial"/>
              <w:b/>
              <w:color w:val="000000"/>
              <w:sz w:val="20"/>
              <w:szCs w:val="20"/>
              <w:lang w:eastAsia="en-GB" w:bidi="ar-SA"/>
            </w:rPr>
            <w:t>: Bespoke Conditions</w:t>
          </w:r>
          <w:r w:rsidR="00DC114B">
            <w:rPr>
              <w:rFonts w:eastAsia="Arial"/>
              <w:b/>
              <w:color w:val="000000"/>
              <w:sz w:val="20"/>
              <w:szCs w:val="20"/>
              <w:lang w:eastAsia="en-GB" w:bidi="ar-SA"/>
            </w:rPr>
            <w:tab/>
          </w:r>
          <w:r w:rsidR="00DC114B">
            <w:rPr>
              <w:rFonts w:eastAsia="Arial"/>
              <w:b/>
              <w:color w:val="000000"/>
              <w:sz w:val="20"/>
              <w:szCs w:val="20"/>
              <w:lang w:eastAsia="en-GB" w:bidi="ar-SA"/>
            </w:rPr>
            <w:tab/>
          </w:r>
          <w:r w:rsidR="00DC114B">
            <w:rPr>
              <w:rFonts w:eastAsia="Arial"/>
              <w:b/>
              <w:color w:val="000000"/>
              <w:sz w:val="20"/>
              <w:szCs w:val="20"/>
              <w:lang w:eastAsia="en-GB" w:bidi="ar-SA"/>
            </w:rPr>
            <w:tab/>
          </w:r>
          <w:r w:rsidR="00DC114B">
            <w:rPr>
              <w:rFonts w:eastAsia="Arial"/>
              <w:b/>
              <w:color w:val="000000"/>
              <w:sz w:val="20"/>
              <w:szCs w:val="20"/>
              <w:lang w:eastAsia="en-GB" w:bidi="ar-SA"/>
            </w:rPr>
            <w:tab/>
          </w:r>
          <w:r w:rsidR="00DC114B">
            <w:rPr>
              <w:rFonts w:eastAsia="Arial"/>
              <w:b/>
              <w:color w:val="000000"/>
              <w:sz w:val="20"/>
              <w:szCs w:val="20"/>
              <w:lang w:eastAsia="en-GB" w:bidi="ar-SA"/>
            </w:rPr>
            <w:tab/>
          </w:r>
          <w:r w:rsidR="00DC114B">
            <w:rPr>
              <w:rFonts w:eastAsia="Arial"/>
              <w:b/>
              <w:color w:val="000000"/>
              <w:sz w:val="20"/>
              <w:szCs w:val="20"/>
              <w:lang w:eastAsia="en-GB" w:bidi="ar-SA"/>
            </w:rPr>
            <w:tab/>
            <w:t>1</w:t>
          </w:r>
          <w:r w:rsidR="00027237">
            <w:rPr>
              <w:rFonts w:eastAsia="Arial"/>
              <w:b/>
              <w:color w:val="000000"/>
              <w:sz w:val="20"/>
              <w:szCs w:val="20"/>
              <w:lang w:eastAsia="en-GB" w:bidi="ar-SA"/>
            </w:rPr>
            <w:t>2</w:t>
          </w:r>
        </w:p>
        <w:p w14:paraId="2332DA22" w14:textId="395D3D82" w:rsidR="00442FC1" w:rsidRPr="00DC114B" w:rsidRDefault="00442FC1" w:rsidP="0C12FC55">
          <w:pPr>
            <w:keepNext/>
            <w:keepLines/>
            <w:spacing w:before="100" w:beforeAutospacing="1" w:after="100" w:afterAutospacing="1" w:line="360" w:lineRule="auto"/>
            <w:outlineLvl w:val="1"/>
            <w:rPr>
              <w:rFonts w:eastAsia="Arial"/>
              <w:b/>
              <w:bCs/>
              <w:color w:val="000000"/>
              <w:sz w:val="20"/>
              <w:szCs w:val="20"/>
              <w:lang w:eastAsia="en-GB" w:bidi="ar-SA"/>
            </w:rPr>
          </w:pPr>
          <w:bookmarkStart w:id="0" w:name="_Hlk125105605"/>
          <w:r w:rsidRPr="0C12FC55">
            <w:rPr>
              <w:rFonts w:eastAsia="Arial"/>
              <w:b/>
              <w:bCs/>
              <w:color w:val="000000" w:themeColor="text1"/>
              <w:sz w:val="20"/>
              <w:szCs w:val="20"/>
              <w:lang w:eastAsia="en-GB" w:bidi="ar-SA"/>
            </w:rPr>
            <w:t>Section 9: Requesting a variation in Conditional Discharge Reporting</w:t>
          </w:r>
          <w:r>
            <w:tab/>
          </w:r>
          <w:r w:rsidR="00DC114B" w:rsidRPr="0C12FC55">
            <w:rPr>
              <w:rFonts w:eastAsia="Arial"/>
              <w:b/>
              <w:bCs/>
              <w:color w:val="000000" w:themeColor="text1"/>
              <w:sz w:val="20"/>
              <w:szCs w:val="20"/>
              <w:lang w:eastAsia="en-GB" w:bidi="ar-SA"/>
            </w:rPr>
            <w:t>1</w:t>
          </w:r>
          <w:r w:rsidR="00027237">
            <w:rPr>
              <w:rFonts w:eastAsia="Arial"/>
              <w:b/>
              <w:bCs/>
              <w:color w:val="000000" w:themeColor="text1"/>
              <w:sz w:val="20"/>
              <w:szCs w:val="20"/>
              <w:lang w:eastAsia="en-GB" w:bidi="ar-SA"/>
            </w:rPr>
            <w:t>4</w:t>
          </w:r>
        </w:p>
        <w:bookmarkEnd w:id="0"/>
        <w:p w14:paraId="76C0132A" w14:textId="490D7B98" w:rsidR="008F0D68" w:rsidRPr="00DC114B" w:rsidRDefault="008F0D68" w:rsidP="0C12FC55">
          <w:pPr>
            <w:keepNext/>
            <w:keepLines/>
            <w:spacing w:before="100" w:beforeAutospacing="1" w:after="100" w:afterAutospacing="1" w:line="360" w:lineRule="auto"/>
            <w:outlineLvl w:val="1"/>
            <w:rPr>
              <w:rFonts w:eastAsia="Arial"/>
              <w:b/>
              <w:bCs/>
              <w:color w:val="000000"/>
              <w:sz w:val="20"/>
              <w:szCs w:val="20"/>
              <w:lang w:eastAsia="en-GB" w:bidi="ar-SA"/>
            </w:rPr>
          </w:pPr>
          <w:r w:rsidRPr="0C12FC55">
            <w:rPr>
              <w:rFonts w:eastAsia="Arial"/>
              <w:b/>
              <w:bCs/>
              <w:color w:val="000000" w:themeColor="text1"/>
              <w:sz w:val="20"/>
              <w:szCs w:val="20"/>
              <w:lang w:eastAsia="en-GB" w:bidi="ar-SA"/>
            </w:rPr>
            <w:t>Annex: Change of Conditions Application Form</w:t>
          </w:r>
          <w:r>
            <w:tab/>
          </w:r>
          <w:r>
            <w:tab/>
          </w:r>
          <w:r>
            <w:tab/>
          </w:r>
          <w:r>
            <w:tab/>
          </w:r>
          <w:r w:rsidR="00DC114B" w:rsidRPr="0C12FC55">
            <w:rPr>
              <w:rFonts w:eastAsia="Arial"/>
              <w:b/>
              <w:bCs/>
              <w:color w:val="000000" w:themeColor="text1"/>
              <w:sz w:val="20"/>
              <w:szCs w:val="20"/>
              <w:lang w:eastAsia="en-GB" w:bidi="ar-SA"/>
            </w:rPr>
            <w:t>1</w:t>
          </w:r>
          <w:r w:rsidR="00027237">
            <w:rPr>
              <w:rFonts w:eastAsia="Arial"/>
              <w:b/>
              <w:bCs/>
              <w:color w:val="000000" w:themeColor="text1"/>
              <w:sz w:val="20"/>
              <w:szCs w:val="20"/>
              <w:lang w:eastAsia="en-GB" w:bidi="ar-SA"/>
            </w:rPr>
            <w:t>7</w:t>
          </w:r>
        </w:p>
        <w:p w14:paraId="08FF02D1" w14:textId="77777777" w:rsidR="009B73AA" w:rsidRPr="00D0476C" w:rsidRDefault="009B73AA" w:rsidP="00F23FCC">
          <w:pPr>
            <w:keepNext/>
            <w:keepLines/>
            <w:spacing w:before="100" w:beforeAutospacing="1" w:after="100" w:afterAutospacing="1" w:line="360" w:lineRule="auto"/>
            <w:ind w:left="-5" w:hanging="10"/>
            <w:outlineLvl w:val="1"/>
            <w:rPr>
              <w:rFonts w:eastAsia="Arial"/>
              <w:b/>
              <w:color w:val="000000"/>
              <w:sz w:val="22"/>
              <w:lang w:eastAsia="en-GB" w:bidi="ar-SA"/>
            </w:rPr>
          </w:pPr>
        </w:p>
        <w:p w14:paraId="4EACE8FF" w14:textId="60574AE5" w:rsidR="00D0476C" w:rsidRPr="00D0476C" w:rsidRDefault="00D0476C" w:rsidP="00D0476C">
          <w:pPr>
            <w:spacing w:after="231" w:line="249" w:lineRule="auto"/>
            <w:ind w:left="366" w:hanging="366"/>
            <w:rPr>
              <w:rFonts w:eastAsia="Arial"/>
              <w:color w:val="000000"/>
              <w:sz w:val="22"/>
              <w:lang w:eastAsia="en-GB" w:bidi="ar-SA"/>
            </w:rPr>
          </w:pPr>
        </w:p>
        <w:p w14:paraId="5A735AA6" w14:textId="77777777" w:rsidR="00D0476C" w:rsidRPr="00D0476C" w:rsidRDefault="00D0476C" w:rsidP="00D0476C">
          <w:pPr>
            <w:keepNext/>
            <w:keepLines/>
            <w:spacing w:after="763" w:line="265" w:lineRule="auto"/>
            <w:ind w:left="-5" w:hanging="10"/>
            <w:outlineLvl w:val="1"/>
            <w:rPr>
              <w:rFonts w:eastAsia="Arial"/>
              <w:b/>
              <w:color w:val="000000"/>
              <w:sz w:val="28"/>
              <w:lang w:eastAsia="en-GB" w:bidi="ar-SA"/>
            </w:rPr>
          </w:pPr>
          <w:r w:rsidRPr="00D0476C">
            <w:rPr>
              <w:rFonts w:eastAsia="Arial"/>
              <w:b/>
              <w:color w:val="000000"/>
              <w:sz w:val="28"/>
              <w:lang w:eastAsia="en-GB" w:bidi="ar-SA"/>
            </w:rPr>
            <w:t xml:space="preserve"> </w:t>
          </w:r>
        </w:p>
        <w:p w14:paraId="16696E3F" w14:textId="77777777" w:rsidR="00D0476C" w:rsidRPr="00D0476C" w:rsidRDefault="001462F6" w:rsidP="00D0476C">
          <w:pPr>
            <w:tabs>
              <w:tab w:val="right" w:pos="7655"/>
            </w:tabs>
            <w:spacing w:after="160" w:line="259" w:lineRule="auto"/>
            <w:ind w:right="15"/>
            <w:rPr>
              <w:rFonts w:ascii="Calibri" w:hAnsi="Calibri" w:cs="Calibri"/>
              <w:color w:val="000000"/>
              <w:sz w:val="22"/>
              <w:lang w:eastAsia="en-GB" w:bidi="ar-SA"/>
            </w:rPr>
          </w:pPr>
        </w:p>
      </w:sdtContent>
    </w:sdt>
    <w:p w14:paraId="65B7157D" w14:textId="77777777" w:rsidR="00D0476C" w:rsidRPr="00D0476C" w:rsidRDefault="00D0476C" w:rsidP="00D0476C">
      <w:pPr>
        <w:spacing w:after="0" w:line="259" w:lineRule="auto"/>
        <w:rPr>
          <w:rFonts w:eastAsia="Arial"/>
          <w:color w:val="000000"/>
          <w:sz w:val="22"/>
          <w:lang w:eastAsia="en-GB" w:bidi="ar-SA"/>
        </w:rPr>
      </w:pPr>
      <w:r w:rsidRPr="00D0476C">
        <w:rPr>
          <w:rFonts w:eastAsia="Arial"/>
          <w:color w:val="000000"/>
          <w:sz w:val="22"/>
          <w:lang w:eastAsia="en-GB" w:bidi="ar-SA"/>
        </w:rPr>
        <w:t xml:space="preserve"> </w:t>
      </w:r>
    </w:p>
    <w:p w14:paraId="3BC05BDD" w14:textId="77777777" w:rsidR="00D0476C" w:rsidRPr="00D0476C" w:rsidRDefault="00D0476C" w:rsidP="00D0476C">
      <w:pPr>
        <w:spacing w:after="26" w:line="259" w:lineRule="auto"/>
        <w:ind w:left="-30"/>
        <w:rPr>
          <w:rFonts w:eastAsia="Arial"/>
          <w:color w:val="000000"/>
          <w:sz w:val="22"/>
          <w:lang w:eastAsia="en-GB" w:bidi="ar-SA"/>
        </w:rPr>
      </w:pPr>
      <w:r w:rsidRPr="00D0476C">
        <w:rPr>
          <w:rFonts w:ascii="Calibri" w:hAnsi="Calibri" w:cs="Calibri"/>
          <w:noProof/>
          <w:color w:val="000000"/>
          <w:sz w:val="22"/>
          <w:lang w:eastAsia="en-GB" w:bidi="ar-SA"/>
        </w:rPr>
        <mc:AlternateContent>
          <mc:Choice Requires="wpg">
            <w:drawing>
              <wp:inline distT="0" distB="0" distL="0" distR="0" wp14:anchorId="6344BB16" wp14:editId="5ECA211E">
                <wp:extent cx="4898136" cy="6097"/>
                <wp:effectExtent l="0" t="0" r="0" b="0"/>
                <wp:docPr id="17069" name="Group 17069"/>
                <wp:cNvGraphicFramePr/>
                <a:graphic xmlns:a="http://schemas.openxmlformats.org/drawingml/2006/main">
                  <a:graphicData uri="http://schemas.microsoft.com/office/word/2010/wordprocessingGroup">
                    <wpg:wgp>
                      <wpg:cNvGrpSpPr/>
                      <wpg:grpSpPr>
                        <a:xfrm>
                          <a:off x="0" y="0"/>
                          <a:ext cx="4898136" cy="6097"/>
                          <a:chOff x="0" y="0"/>
                          <a:chExt cx="4898136" cy="6097"/>
                        </a:xfrm>
                      </wpg:grpSpPr>
                      <wps:wsp>
                        <wps:cNvPr id="23071" name="Shape 23071"/>
                        <wps:cNvSpPr/>
                        <wps:spPr>
                          <a:xfrm>
                            <a:off x="0" y="0"/>
                            <a:ext cx="4898136" cy="9144"/>
                          </a:xfrm>
                          <a:custGeom>
                            <a:avLst/>
                            <a:gdLst/>
                            <a:ahLst/>
                            <a:cxnLst/>
                            <a:rect l="0" t="0" r="0" b="0"/>
                            <a:pathLst>
                              <a:path w="4898136" h="9144">
                                <a:moveTo>
                                  <a:pt x="0" y="0"/>
                                </a:moveTo>
                                <a:lnTo>
                                  <a:pt x="4898136" y="0"/>
                                </a:lnTo>
                                <a:lnTo>
                                  <a:pt x="4898136" y="9144"/>
                                </a:lnTo>
                                <a:lnTo>
                                  <a:pt x="0" y="9144"/>
                                </a:lnTo>
                                <a:lnTo>
                                  <a:pt x="0" y="0"/>
                                </a:lnTo>
                              </a:path>
                            </a:pathLst>
                          </a:custGeom>
                          <a:solidFill>
                            <a:srgbClr val="000000"/>
                          </a:solidFill>
                          <a:ln w="0" cap="flat">
                            <a:noFill/>
                            <a:miter lim="127000"/>
                          </a:ln>
                          <a:effectLst/>
                        </wps:spPr>
                        <wps:bodyPr/>
                      </wps:wsp>
                    </wpg:wgp>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w14:anchorId="060FBEB6">
              <v:group id="Group 17069" style="width:385.7pt;height:.5pt;mso-position-horizontal-relative:char;mso-position-vertical-relative:line" coordsize="48981,60" o:spid="_x0000_s1026" w14:anchorId="2490C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">
                <v:shape id="Shape 23071" style="position:absolute;width:48981;height:91;visibility:visible;mso-wrap-style:square;v-text-anchor:top" coordsize="4898136,9144" o:spid="_x0000_s1027" fillcolor="black" stroked="f" strokeweight="0" path="m,l489813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">
                  <v:stroke miterlimit="83231f" joinstyle="miter"/>
                  <v:path textboxrect="0,0,4898136,9144" arrowok="t"/>
                </v:shape>
                <w10:anchorlock/>
              </v:group>
            </w:pict>
          </mc:Fallback>
        </mc:AlternateContent>
      </w:r>
    </w:p>
    <w:p w14:paraId="5D910600" w14:textId="77777777" w:rsidR="00D0476C" w:rsidRPr="00D0476C" w:rsidRDefault="00D0476C" w:rsidP="00D0476C">
      <w:pPr>
        <w:spacing w:after="220" w:line="259" w:lineRule="auto"/>
        <w:rPr>
          <w:rFonts w:eastAsia="Arial"/>
          <w:color w:val="000000"/>
          <w:sz w:val="22"/>
          <w:lang w:eastAsia="en-GB" w:bidi="ar-SA"/>
        </w:rPr>
      </w:pPr>
      <w:r w:rsidRPr="00D0476C">
        <w:rPr>
          <w:rFonts w:eastAsia="Arial"/>
          <w:color w:val="000000"/>
          <w:sz w:val="22"/>
          <w:lang w:eastAsia="en-GB" w:bidi="ar-SA"/>
        </w:rPr>
        <w:t xml:space="preserve"> </w:t>
      </w:r>
    </w:p>
    <w:p w14:paraId="1FA00A3D" w14:textId="77777777" w:rsidR="00D0476C" w:rsidRPr="00D0476C" w:rsidRDefault="00D0476C" w:rsidP="00D0476C">
      <w:pPr>
        <w:spacing w:after="221" w:line="259" w:lineRule="auto"/>
        <w:rPr>
          <w:rFonts w:eastAsia="Arial"/>
          <w:color w:val="000000"/>
          <w:sz w:val="22"/>
          <w:lang w:eastAsia="en-GB" w:bidi="ar-SA"/>
        </w:rPr>
      </w:pPr>
      <w:r w:rsidRPr="00D0476C">
        <w:rPr>
          <w:rFonts w:eastAsia="Arial"/>
          <w:color w:val="000000"/>
          <w:sz w:val="22"/>
          <w:lang w:eastAsia="en-GB" w:bidi="ar-SA"/>
        </w:rPr>
        <w:t xml:space="preserve"> </w:t>
      </w:r>
    </w:p>
    <w:p w14:paraId="6C1B750C" w14:textId="41BC9AC6" w:rsidR="00E863D0" w:rsidRPr="00D0476C" w:rsidRDefault="00E863D0" w:rsidP="00D0476C">
      <w:pPr>
        <w:spacing w:after="219" w:line="259" w:lineRule="auto"/>
        <w:rPr>
          <w:rFonts w:eastAsia="Arial"/>
          <w:color w:val="000000"/>
          <w:sz w:val="22"/>
          <w:lang w:eastAsia="en-GB" w:bidi="ar-SA"/>
        </w:rPr>
      </w:pPr>
      <w:r>
        <w:rPr>
          <w:rFonts w:eastAsia="Arial"/>
          <w:b/>
          <w:bCs/>
          <w:color w:val="000000" w:themeColor="text1"/>
          <w:sz w:val="22"/>
          <w:lang w:eastAsia="en-GB" w:bidi="ar-SA"/>
        </w:rPr>
        <w:tab/>
      </w:r>
    </w:p>
    <w:p w14:paraId="3C81373D" w14:textId="2FBEFAFD" w:rsidR="00D0476C" w:rsidRPr="00027237" w:rsidRDefault="00E863D0" w:rsidP="009E77B2">
      <w:pPr>
        <w:spacing w:after="219" w:line="259" w:lineRule="auto"/>
        <w:rPr>
          <w:rFonts w:eastAsia="Arial"/>
          <w:b/>
          <w:bCs/>
          <w:color w:val="000000"/>
          <w:sz w:val="22"/>
          <w:lang w:eastAsia="en-GB" w:bidi="ar-SA"/>
        </w:rPr>
      </w:pPr>
      <w:r w:rsidRPr="00027237">
        <w:rPr>
          <w:rFonts w:eastAsia="Arial"/>
          <w:color w:val="000000"/>
          <w:sz w:val="22"/>
          <w:lang w:eastAsia="en-GB" w:bidi="ar-SA"/>
        </w:rPr>
        <w:tab/>
      </w:r>
      <w:bookmarkStart w:id="1" w:name="_Toc22837"/>
      <w:bookmarkStart w:id="2" w:name="_Hlk112240046"/>
      <w:r w:rsidR="00D0476C" w:rsidRPr="00027237">
        <w:rPr>
          <w:rFonts w:eastAsia="Arial"/>
          <w:b/>
          <w:bCs/>
          <w:color w:val="000000" w:themeColor="text1"/>
          <w:sz w:val="22"/>
          <w:lang w:eastAsia="en-GB" w:bidi="ar-SA"/>
        </w:rPr>
        <w:t xml:space="preserve">Section 1 – Introduction  </w:t>
      </w:r>
      <w:bookmarkEnd w:id="1"/>
    </w:p>
    <w:bookmarkEnd w:id="2"/>
    <w:p w14:paraId="4430FA20" w14:textId="0F9E770E" w:rsidR="00D0476C" w:rsidRPr="00027237" w:rsidRDefault="006E52E0" w:rsidP="4DD53C4F">
      <w:pPr>
        <w:numPr>
          <w:ilvl w:val="0"/>
          <w:numId w:val="4"/>
        </w:numPr>
        <w:spacing w:after="231" w:line="249" w:lineRule="auto"/>
        <w:ind w:right="48"/>
        <w:rPr>
          <w:rFonts w:eastAsia="Arial"/>
          <w:color w:val="000000"/>
          <w:sz w:val="22"/>
          <w:lang w:eastAsia="en-GB" w:bidi="ar-SA"/>
        </w:rPr>
      </w:pPr>
      <w:r w:rsidRPr="00027237">
        <w:rPr>
          <w:rFonts w:eastAsia="Arial"/>
          <w:color w:val="000000" w:themeColor="text1"/>
          <w:sz w:val="22"/>
          <w:lang w:eastAsia="en-GB" w:bidi="ar-SA"/>
        </w:rPr>
        <w:t>Th</w:t>
      </w:r>
      <w:r w:rsidR="002341E2" w:rsidRPr="00027237">
        <w:rPr>
          <w:rFonts w:eastAsia="Arial"/>
          <w:color w:val="000000" w:themeColor="text1"/>
          <w:sz w:val="22"/>
          <w:lang w:eastAsia="en-GB" w:bidi="ar-SA"/>
        </w:rPr>
        <w:t xml:space="preserve">is guidance </w:t>
      </w:r>
      <w:r w:rsidR="001057A6" w:rsidRPr="00027237">
        <w:rPr>
          <w:rFonts w:eastAsia="Arial"/>
          <w:color w:val="000000" w:themeColor="text1"/>
          <w:sz w:val="22"/>
          <w:lang w:eastAsia="en-GB" w:bidi="ar-SA"/>
        </w:rPr>
        <w:t xml:space="preserve">sets out the </w:t>
      </w:r>
      <w:r w:rsidR="0012059D" w:rsidRPr="00027237">
        <w:rPr>
          <w:rFonts w:eastAsia="Arial"/>
          <w:color w:val="000000" w:themeColor="text1"/>
          <w:sz w:val="22"/>
          <w:lang w:eastAsia="en-GB" w:bidi="ar-SA"/>
        </w:rPr>
        <w:t xml:space="preserve">new </w:t>
      </w:r>
      <w:r w:rsidR="001057A6" w:rsidRPr="00027237">
        <w:rPr>
          <w:rFonts w:eastAsia="Arial"/>
          <w:color w:val="000000" w:themeColor="text1"/>
          <w:sz w:val="22"/>
          <w:lang w:eastAsia="en-GB" w:bidi="ar-SA"/>
        </w:rPr>
        <w:t xml:space="preserve">process for requesting </w:t>
      </w:r>
      <w:r w:rsidR="00B33F28" w:rsidRPr="00027237">
        <w:rPr>
          <w:rFonts w:eastAsia="Arial"/>
          <w:color w:val="000000" w:themeColor="text1"/>
          <w:sz w:val="22"/>
          <w:lang w:eastAsia="en-GB" w:bidi="ar-SA"/>
        </w:rPr>
        <w:t xml:space="preserve">changes to </w:t>
      </w:r>
      <w:r w:rsidR="001057A6" w:rsidRPr="00027237">
        <w:rPr>
          <w:rFonts w:eastAsia="Arial"/>
          <w:color w:val="000000" w:themeColor="text1"/>
          <w:sz w:val="22"/>
          <w:lang w:eastAsia="en-GB" w:bidi="ar-SA"/>
        </w:rPr>
        <w:t>conditions of discharge</w:t>
      </w:r>
      <w:r w:rsidRPr="00027237">
        <w:rPr>
          <w:rFonts w:eastAsia="Arial"/>
          <w:color w:val="000000" w:themeColor="text1"/>
          <w:sz w:val="22"/>
          <w:lang w:eastAsia="en-GB" w:bidi="ar-SA"/>
        </w:rPr>
        <w:t xml:space="preserve"> </w:t>
      </w:r>
      <w:r w:rsidR="00284B52" w:rsidRPr="00027237">
        <w:rPr>
          <w:rFonts w:eastAsia="Arial"/>
          <w:color w:val="000000" w:themeColor="text1"/>
          <w:sz w:val="22"/>
          <w:lang w:eastAsia="en-GB" w:bidi="ar-SA"/>
        </w:rPr>
        <w:t xml:space="preserve">set by </w:t>
      </w:r>
      <w:r w:rsidR="00AA2113" w:rsidRPr="00027237">
        <w:rPr>
          <w:rFonts w:eastAsia="Arial"/>
          <w:color w:val="000000" w:themeColor="text1"/>
          <w:sz w:val="22"/>
          <w:lang w:eastAsia="en-GB" w:bidi="ar-SA"/>
        </w:rPr>
        <w:t>the First-tier Tribunal (Mental Health), the Mental Health Review Tribunal of Wales</w:t>
      </w:r>
      <w:r w:rsidR="001B5537" w:rsidRPr="00027237">
        <w:rPr>
          <w:rFonts w:eastAsia="Arial"/>
          <w:color w:val="000000" w:themeColor="text1"/>
          <w:sz w:val="22"/>
          <w:lang w:eastAsia="en-GB" w:bidi="ar-SA"/>
        </w:rPr>
        <w:t>,</w:t>
      </w:r>
      <w:r w:rsidR="006071E0" w:rsidRPr="00027237">
        <w:rPr>
          <w:rFonts w:eastAsia="Arial"/>
          <w:color w:val="000000" w:themeColor="text1"/>
          <w:sz w:val="22"/>
          <w:lang w:eastAsia="en-GB" w:bidi="ar-SA"/>
        </w:rPr>
        <w:t xml:space="preserve"> both of which will be</w:t>
      </w:r>
      <w:r w:rsidR="001B5537" w:rsidRPr="00027237">
        <w:rPr>
          <w:rFonts w:eastAsia="Arial"/>
          <w:color w:val="000000" w:themeColor="text1"/>
          <w:sz w:val="22"/>
          <w:lang w:eastAsia="en-GB" w:bidi="ar-SA"/>
        </w:rPr>
        <w:t xml:space="preserve"> referred to in this guidance as ‘the Tribunal</w:t>
      </w:r>
      <w:r w:rsidR="00804FEE" w:rsidRPr="00027237">
        <w:rPr>
          <w:rFonts w:eastAsia="Arial"/>
          <w:color w:val="000000" w:themeColor="text1"/>
          <w:sz w:val="22"/>
          <w:lang w:eastAsia="en-GB" w:bidi="ar-SA"/>
        </w:rPr>
        <w:t>(s)</w:t>
      </w:r>
      <w:r w:rsidR="001B5537" w:rsidRPr="00027237">
        <w:rPr>
          <w:rFonts w:eastAsia="Arial"/>
          <w:color w:val="000000" w:themeColor="text1"/>
          <w:sz w:val="22"/>
          <w:lang w:eastAsia="en-GB" w:bidi="ar-SA"/>
        </w:rPr>
        <w:t>’</w:t>
      </w:r>
      <w:r w:rsidR="006071E0" w:rsidRPr="00027237">
        <w:rPr>
          <w:rFonts w:eastAsia="Arial"/>
          <w:color w:val="000000" w:themeColor="text1"/>
          <w:sz w:val="22"/>
          <w:lang w:eastAsia="en-GB" w:bidi="ar-SA"/>
        </w:rPr>
        <w:t xml:space="preserve"> </w:t>
      </w:r>
      <w:r w:rsidR="007B1541" w:rsidRPr="00027237">
        <w:rPr>
          <w:rFonts w:eastAsia="Arial"/>
          <w:color w:val="000000" w:themeColor="text1"/>
          <w:sz w:val="22"/>
          <w:lang w:eastAsia="en-GB" w:bidi="ar-SA"/>
        </w:rPr>
        <w:t>or</w:t>
      </w:r>
      <w:r w:rsidR="00AA2113" w:rsidRPr="00027237">
        <w:rPr>
          <w:rFonts w:eastAsia="Arial"/>
          <w:color w:val="000000" w:themeColor="text1"/>
          <w:sz w:val="22"/>
          <w:lang w:eastAsia="en-GB" w:bidi="ar-SA"/>
        </w:rPr>
        <w:t xml:space="preserve"> the Secretary of </w:t>
      </w:r>
      <w:r w:rsidR="00EC15BF" w:rsidRPr="00027237">
        <w:rPr>
          <w:rFonts w:eastAsia="Arial"/>
          <w:color w:val="000000" w:themeColor="text1"/>
          <w:sz w:val="22"/>
          <w:lang w:eastAsia="en-GB" w:bidi="ar-SA"/>
        </w:rPr>
        <w:t>State for Justice</w:t>
      </w:r>
      <w:r w:rsidR="007619D9" w:rsidRPr="00027237">
        <w:rPr>
          <w:rFonts w:eastAsia="Arial"/>
          <w:color w:val="000000" w:themeColor="text1"/>
          <w:sz w:val="22"/>
          <w:lang w:eastAsia="en-GB" w:bidi="ar-SA"/>
        </w:rPr>
        <w:t>.</w:t>
      </w:r>
      <w:r w:rsidR="00404042" w:rsidRPr="00027237">
        <w:rPr>
          <w:rFonts w:eastAsia="Arial"/>
          <w:color w:val="000000" w:themeColor="text1"/>
          <w:sz w:val="22"/>
          <w:lang w:eastAsia="en-GB" w:bidi="ar-SA"/>
        </w:rPr>
        <w:t xml:space="preserve"> The guidance </w:t>
      </w:r>
      <w:r w:rsidR="002E7F1E" w:rsidRPr="00027237">
        <w:rPr>
          <w:rFonts w:eastAsia="Arial"/>
          <w:color w:val="000000" w:themeColor="text1"/>
          <w:sz w:val="22"/>
          <w:lang w:eastAsia="en-GB" w:bidi="ar-SA"/>
        </w:rPr>
        <w:t xml:space="preserve">formalises a process of requesting changes to conditions by way of an application to the Secretary of State for Justice. </w:t>
      </w:r>
      <w:r w:rsidR="00DD7AF2" w:rsidRPr="00027237">
        <w:rPr>
          <w:rFonts w:eastAsia="Arial"/>
          <w:color w:val="000000" w:themeColor="text1"/>
          <w:sz w:val="22"/>
          <w:lang w:eastAsia="en-GB" w:bidi="ar-SA"/>
        </w:rPr>
        <w:t xml:space="preserve">Additionally, the guidance will set out what will be considered by the Secretary of State for any requests to reduce the frequency of the </w:t>
      </w:r>
      <w:r w:rsidR="009637E7" w:rsidRPr="00027237">
        <w:rPr>
          <w:rFonts w:eastAsia="Arial"/>
          <w:color w:val="000000" w:themeColor="text1"/>
          <w:sz w:val="22"/>
          <w:lang w:eastAsia="en-GB" w:bidi="ar-SA"/>
        </w:rPr>
        <w:t xml:space="preserve">conditional discharge reports submitted by </w:t>
      </w:r>
      <w:r w:rsidR="585B8BC1" w:rsidRPr="00027237">
        <w:rPr>
          <w:rFonts w:eastAsia="Arial"/>
          <w:color w:val="000000" w:themeColor="text1"/>
          <w:sz w:val="22"/>
          <w:lang w:eastAsia="en-GB" w:bidi="ar-SA"/>
        </w:rPr>
        <w:t>the</w:t>
      </w:r>
      <w:r w:rsidR="009637E7" w:rsidRPr="00027237">
        <w:rPr>
          <w:rFonts w:eastAsia="Arial"/>
          <w:color w:val="000000" w:themeColor="text1"/>
          <w:sz w:val="22"/>
          <w:lang w:eastAsia="en-GB" w:bidi="ar-SA"/>
        </w:rPr>
        <w:t xml:space="preserve"> </w:t>
      </w:r>
      <w:r w:rsidR="00804FEE" w:rsidRPr="00027237">
        <w:rPr>
          <w:rFonts w:eastAsia="Arial"/>
          <w:color w:val="000000" w:themeColor="text1"/>
          <w:sz w:val="22"/>
          <w:lang w:eastAsia="en-GB" w:bidi="ar-SA"/>
        </w:rPr>
        <w:t>c</w:t>
      </w:r>
      <w:r w:rsidR="009637E7" w:rsidRPr="00027237">
        <w:rPr>
          <w:rFonts w:eastAsia="Arial"/>
          <w:color w:val="000000" w:themeColor="text1"/>
          <w:sz w:val="22"/>
          <w:lang w:eastAsia="en-GB" w:bidi="ar-SA"/>
        </w:rPr>
        <w:t xml:space="preserve">ommunity </w:t>
      </w:r>
      <w:r w:rsidR="01B7A1C0" w:rsidRPr="00027237">
        <w:rPr>
          <w:rFonts w:eastAsia="Arial"/>
          <w:color w:val="000000" w:themeColor="text1"/>
          <w:sz w:val="22"/>
          <w:lang w:eastAsia="en-GB" w:bidi="ar-SA"/>
        </w:rPr>
        <w:t>supervisors</w:t>
      </w:r>
      <w:r w:rsidR="008627F7" w:rsidRPr="00027237">
        <w:rPr>
          <w:rFonts w:eastAsia="Arial"/>
          <w:color w:val="000000" w:themeColor="text1"/>
          <w:sz w:val="22"/>
          <w:lang w:eastAsia="en-GB" w:bidi="ar-SA"/>
        </w:rPr>
        <w:t xml:space="preserve"> </w:t>
      </w:r>
      <w:r w:rsidR="009637E7" w:rsidRPr="00027237">
        <w:rPr>
          <w:rFonts w:eastAsia="Arial"/>
          <w:color w:val="000000" w:themeColor="text1"/>
          <w:sz w:val="22"/>
          <w:lang w:eastAsia="en-GB" w:bidi="ar-SA"/>
        </w:rPr>
        <w:t xml:space="preserve">to the Ministry of Justice. </w:t>
      </w:r>
    </w:p>
    <w:p w14:paraId="722B2669" w14:textId="21FBDC8F" w:rsidR="005C4F7D" w:rsidRPr="00027237" w:rsidRDefault="00F80746" w:rsidP="4DD53C4F">
      <w:pPr>
        <w:numPr>
          <w:ilvl w:val="0"/>
          <w:numId w:val="4"/>
        </w:numPr>
        <w:spacing w:after="231" w:line="249" w:lineRule="auto"/>
        <w:ind w:right="48"/>
        <w:rPr>
          <w:rFonts w:eastAsia="Arial"/>
          <w:color w:val="000000"/>
          <w:sz w:val="22"/>
          <w:lang w:eastAsia="en-GB" w:bidi="ar-SA"/>
        </w:rPr>
      </w:pPr>
      <w:r w:rsidRPr="00027237">
        <w:rPr>
          <w:rFonts w:eastAsia="Arial"/>
          <w:color w:val="000000" w:themeColor="text1"/>
          <w:sz w:val="22"/>
          <w:lang w:eastAsia="en-GB" w:bidi="ar-SA"/>
        </w:rPr>
        <w:t>The Mental Health Casework Section (MHCS)</w:t>
      </w:r>
      <w:r w:rsidR="00B27838" w:rsidRPr="00027237">
        <w:rPr>
          <w:rFonts w:eastAsia="Arial"/>
          <w:color w:val="000000" w:themeColor="text1"/>
          <w:sz w:val="22"/>
          <w:lang w:eastAsia="en-GB" w:bidi="ar-SA"/>
        </w:rPr>
        <w:t xml:space="preserve"> discharges the Secretary of State for Justice’s public protection function </w:t>
      </w:r>
      <w:r w:rsidR="00804FEE" w:rsidRPr="00027237">
        <w:rPr>
          <w:rFonts w:eastAsia="Arial"/>
          <w:color w:val="000000" w:themeColor="text1"/>
          <w:sz w:val="22"/>
          <w:lang w:eastAsia="en-GB" w:bidi="ar-SA"/>
        </w:rPr>
        <w:t xml:space="preserve">for those patients who are subject to section 41 restriction orders </w:t>
      </w:r>
      <w:r w:rsidR="0063269E" w:rsidRPr="00027237">
        <w:rPr>
          <w:rFonts w:eastAsia="Arial"/>
          <w:color w:val="000000" w:themeColor="text1"/>
          <w:sz w:val="22"/>
          <w:lang w:eastAsia="en-GB" w:bidi="ar-SA"/>
        </w:rPr>
        <w:t xml:space="preserve">under the Mental Health Act 1983. </w:t>
      </w:r>
      <w:r w:rsidR="003D18F9" w:rsidRPr="00027237">
        <w:rPr>
          <w:rFonts w:eastAsia="Arial"/>
          <w:color w:val="000000" w:themeColor="text1"/>
          <w:sz w:val="22"/>
          <w:lang w:eastAsia="en-GB" w:bidi="ar-SA"/>
        </w:rPr>
        <w:t xml:space="preserve">MHCS will therefore </w:t>
      </w:r>
      <w:r w:rsidR="00380FCB" w:rsidRPr="00027237">
        <w:rPr>
          <w:rFonts w:eastAsia="Arial"/>
          <w:color w:val="000000" w:themeColor="text1"/>
          <w:sz w:val="22"/>
          <w:lang w:eastAsia="en-GB" w:bidi="ar-SA"/>
        </w:rPr>
        <w:t xml:space="preserve">be responsible for </w:t>
      </w:r>
      <w:r w:rsidR="00F638EF" w:rsidRPr="00027237">
        <w:rPr>
          <w:rFonts w:eastAsia="Arial"/>
          <w:color w:val="000000" w:themeColor="text1"/>
          <w:sz w:val="22"/>
          <w:lang w:eastAsia="en-GB" w:bidi="ar-SA"/>
        </w:rPr>
        <w:t>making decision</w:t>
      </w:r>
      <w:r w:rsidR="008627F7" w:rsidRPr="00027237">
        <w:rPr>
          <w:rFonts w:eastAsia="Arial"/>
          <w:color w:val="000000" w:themeColor="text1"/>
          <w:sz w:val="22"/>
          <w:lang w:eastAsia="en-GB" w:bidi="ar-SA"/>
        </w:rPr>
        <w:t>s</w:t>
      </w:r>
      <w:r w:rsidR="00F638EF" w:rsidRPr="00027237">
        <w:rPr>
          <w:rFonts w:eastAsia="Arial"/>
          <w:color w:val="000000" w:themeColor="text1"/>
          <w:sz w:val="22"/>
          <w:lang w:eastAsia="en-GB" w:bidi="ar-SA"/>
        </w:rPr>
        <w:t xml:space="preserve"> on changes to conditions of discharge requested by the community </w:t>
      </w:r>
      <w:r w:rsidR="12E1CCC2" w:rsidRPr="00027237">
        <w:rPr>
          <w:rFonts w:eastAsia="Arial"/>
          <w:color w:val="000000" w:themeColor="text1"/>
          <w:sz w:val="22"/>
          <w:lang w:eastAsia="en-GB" w:bidi="ar-SA"/>
        </w:rPr>
        <w:t>supervisors</w:t>
      </w:r>
      <w:r w:rsidR="008305D3" w:rsidRPr="00027237">
        <w:rPr>
          <w:rFonts w:eastAsia="Arial"/>
          <w:color w:val="000000" w:themeColor="text1"/>
          <w:sz w:val="22"/>
          <w:lang w:eastAsia="en-GB" w:bidi="ar-SA"/>
        </w:rPr>
        <w:t xml:space="preserve">, the patient or other government </w:t>
      </w:r>
      <w:r w:rsidR="00804FEE" w:rsidRPr="00027237">
        <w:rPr>
          <w:rFonts w:eastAsia="Arial"/>
          <w:color w:val="000000" w:themeColor="text1"/>
          <w:sz w:val="22"/>
          <w:lang w:eastAsia="en-GB" w:bidi="ar-SA"/>
        </w:rPr>
        <w:t>a</w:t>
      </w:r>
      <w:r w:rsidR="008305D3" w:rsidRPr="00027237">
        <w:rPr>
          <w:rFonts w:eastAsia="Arial"/>
          <w:color w:val="000000" w:themeColor="text1"/>
          <w:sz w:val="22"/>
          <w:lang w:eastAsia="en-GB" w:bidi="ar-SA"/>
        </w:rPr>
        <w:t xml:space="preserve">gencies </w:t>
      </w:r>
      <w:r w:rsidR="00464234" w:rsidRPr="00027237">
        <w:rPr>
          <w:rFonts w:eastAsia="Arial"/>
          <w:color w:val="000000" w:themeColor="text1"/>
          <w:sz w:val="22"/>
          <w:lang w:eastAsia="en-GB" w:bidi="ar-SA"/>
        </w:rPr>
        <w:t>who have a</w:t>
      </w:r>
      <w:r w:rsidR="24AFE48E" w:rsidRPr="00027237">
        <w:rPr>
          <w:rFonts w:eastAsia="Arial"/>
          <w:color w:val="000000" w:themeColor="text1"/>
          <w:sz w:val="22"/>
          <w:lang w:eastAsia="en-GB" w:bidi="ar-SA"/>
        </w:rPr>
        <w:t>n interest or role</w:t>
      </w:r>
      <w:r w:rsidR="008627F7" w:rsidRPr="00027237">
        <w:rPr>
          <w:rFonts w:eastAsia="Arial"/>
          <w:color w:val="000000" w:themeColor="text1"/>
          <w:sz w:val="22"/>
          <w:lang w:eastAsia="en-GB" w:bidi="ar-SA"/>
        </w:rPr>
        <w:t xml:space="preserve"> </w:t>
      </w:r>
      <w:r w:rsidR="00464234" w:rsidRPr="00027237">
        <w:rPr>
          <w:rFonts w:eastAsia="Arial"/>
          <w:color w:val="000000" w:themeColor="text1"/>
          <w:sz w:val="22"/>
          <w:lang w:eastAsia="en-GB" w:bidi="ar-SA"/>
        </w:rPr>
        <w:t xml:space="preserve">in the conditional discharge of a restricted patient. </w:t>
      </w:r>
    </w:p>
    <w:p w14:paraId="08CC7935" w14:textId="77777777" w:rsidR="00733628" w:rsidRPr="00027237" w:rsidRDefault="00D0476C" w:rsidP="4DD53C4F">
      <w:pPr>
        <w:numPr>
          <w:ilvl w:val="0"/>
          <w:numId w:val="4"/>
        </w:numPr>
        <w:spacing w:after="231" w:line="249" w:lineRule="auto"/>
        <w:ind w:right="48"/>
        <w:rPr>
          <w:rFonts w:eastAsia="Arial"/>
          <w:color w:val="000000"/>
          <w:sz w:val="22"/>
          <w:lang w:eastAsia="en-GB" w:bidi="ar-SA"/>
        </w:rPr>
      </w:pPr>
      <w:r w:rsidRPr="00027237">
        <w:rPr>
          <w:rFonts w:eastAsia="Arial"/>
          <w:color w:val="000000" w:themeColor="text1"/>
          <w:sz w:val="22"/>
          <w:lang w:eastAsia="en-GB" w:bidi="ar-SA"/>
        </w:rPr>
        <w:t>This document should be read in conjunction with</w:t>
      </w:r>
      <w:r w:rsidR="00733628" w:rsidRPr="00027237">
        <w:rPr>
          <w:rFonts w:eastAsia="Arial"/>
          <w:color w:val="000000" w:themeColor="text1"/>
          <w:sz w:val="22"/>
          <w:lang w:eastAsia="en-GB" w:bidi="ar-SA"/>
        </w:rPr>
        <w:t xml:space="preserve"> following documents:</w:t>
      </w:r>
    </w:p>
    <w:p w14:paraId="25F864BC" w14:textId="0998EB98" w:rsidR="00D0476C" w:rsidRPr="00027237" w:rsidRDefault="00D0476C" w:rsidP="4DD53C4F">
      <w:pPr>
        <w:spacing w:after="231" w:line="249" w:lineRule="auto"/>
        <w:ind w:left="1070" w:right="48"/>
        <w:rPr>
          <w:rFonts w:eastAsia="Arial"/>
          <w:color w:val="000000"/>
          <w:sz w:val="22"/>
          <w:lang w:eastAsia="en-GB" w:bidi="ar-SA"/>
        </w:rPr>
      </w:pPr>
      <w:r w:rsidRPr="00027237">
        <w:rPr>
          <w:rFonts w:eastAsia="Arial"/>
          <w:color w:val="000000" w:themeColor="text1"/>
          <w:sz w:val="22"/>
          <w:lang w:eastAsia="en-GB" w:bidi="ar-SA"/>
        </w:rPr>
        <w:t xml:space="preserve"> ‘Mentally Disordered Offenders – The restricted patient system’</w:t>
      </w:r>
      <w:r w:rsidR="2479CBCC" w:rsidRPr="00027237">
        <w:rPr>
          <w:rFonts w:eastAsia="Arial"/>
          <w:color w:val="000000" w:themeColor="text1"/>
          <w:sz w:val="22"/>
          <w:lang w:eastAsia="en-GB" w:bidi="ar-SA"/>
        </w:rPr>
        <w:t xml:space="preserve"> which provides an overview</w:t>
      </w:r>
      <w:r w:rsidRPr="00027237">
        <w:rPr>
          <w:rFonts w:eastAsia="Arial"/>
          <w:color w:val="000000" w:themeColor="text1"/>
          <w:sz w:val="22"/>
          <w:lang w:eastAsia="en-GB" w:bidi="ar-SA"/>
        </w:rPr>
        <w:t xml:space="preserve"> </w:t>
      </w:r>
      <w:r w:rsidR="05FA8F70" w:rsidRPr="00027237">
        <w:rPr>
          <w:rFonts w:eastAsia="Arial"/>
          <w:color w:val="000000" w:themeColor="text1"/>
          <w:sz w:val="22"/>
          <w:lang w:eastAsia="en-GB" w:bidi="ar-SA"/>
        </w:rPr>
        <w:t>of the restricted patient system and is available at the</w:t>
      </w:r>
      <w:r w:rsidRPr="00027237">
        <w:rPr>
          <w:rFonts w:eastAsia="Arial"/>
          <w:color w:val="000000" w:themeColor="text1"/>
          <w:sz w:val="22"/>
          <w:lang w:eastAsia="en-GB" w:bidi="ar-SA"/>
        </w:rPr>
        <w:t xml:space="preserve"> following </w:t>
      </w:r>
      <w:proofErr w:type="gramStart"/>
      <w:r w:rsidRPr="00027237">
        <w:rPr>
          <w:rFonts w:eastAsia="Arial"/>
          <w:color w:val="000000" w:themeColor="text1"/>
          <w:sz w:val="22"/>
          <w:lang w:eastAsia="en-GB" w:bidi="ar-SA"/>
        </w:rPr>
        <w:t>link;</w:t>
      </w:r>
      <w:proofErr w:type="gramEnd"/>
    </w:p>
    <w:p w14:paraId="23A00391" w14:textId="05866C0C" w:rsidR="00D0476C" w:rsidRPr="00027237" w:rsidRDefault="7946E8C2" w:rsidP="4DD53C4F">
      <w:pPr>
        <w:spacing w:after="231" w:line="249" w:lineRule="auto"/>
        <w:ind w:left="720" w:right="48"/>
        <w:rPr>
          <w:rFonts w:eastAsia="Arial"/>
          <w:sz w:val="22"/>
        </w:rPr>
      </w:pPr>
      <w:r w:rsidRPr="00027237">
        <w:rPr>
          <w:rFonts w:eastAsia="Arial"/>
          <w:sz w:val="22"/>
        </w:rPr>
        <w:t xml:space="preserve"> </w:t>
      </w:r>
      <w:hyperlink r:id="rId21" w:history="1">
        <w:r w:rsidRPr="00027237">
          <w:rPr>
            <w:rStyle w:val="Hyperlink"/>
            <w:rFonts w:eastAsia="Arial"/>
            <w:sz w:val="22"/>
          </w:rPr>
          <w:t>Mentally disordered offenders: The Restricted Patient System 2017 - GOV.UK (www.gov.uk)</w:t>
        </w:r>
      </w:hyperlink>
      <w:r w:rsidR="009F7F02" w:rsidRPr="00027237">
        <w:rPr>
          <w:rStyle w:val="FootnoteReference"/>
          <w:rFonts w:eastAsia="Arial"/>
          <w:sz w:val="22"/>
        </w:rPr>
        <w:footnoteReference w:id="2"/>
      </w:r>
    </w:p>
    <w:p w14:paraId="3C99B126" w14:textId="282EDA84" w:rsidR="00733628" w:rsidRPr="00027237" w:rsidRDefault="00733628" w:rsidP="4DD53C4F">
      <w:pPr>
        <w:spacing w:after="231" w:line="249" w:lineRule="auto"/>
        <w:ind w:left="720" w:right="48"/>
        <w:rPr>
          <w:rFonts w:eastAsia="Arial"/>
          <w:sz w:val="22"/>
          <w:lang w:eastAsia="en-GB" w:bidi="ar-SA"/>
        </w:rPr>
      </w:pPr>
      <w:r w:rsidRPr="00027237">
        <w:rPr>
          <w:rFonts w:eastAsia="Arial"/>
          <w:sz w:val="22"/>
          <w:lang w:eastAsia="en-GB" w:bidi="ar-SA"/>
        </w:rPr>
        <w:t>Mental Health Casework Section Guidance: Section 42 Discharge:</w:t>
      </w:r>
    </w:p>
    <w:p w14:paraId="4C900EE5" w14:textId="77777777" w:rsidR="009F7F02" w:rsidRPr="00027237" w:rsidRDefault="6028C6AE" w:rsidP="4DD53C4F">
      <w:pPr>
        <w:spacing w:after="231" w:line="249" w:lineRule="auto"/>
        <w:ind w:left="720" w:right="48"/>
        <w:rPr>
          <w:rFonts w:eastAsia="Arial"/>
          <w:sz w:val="22"/>
        </w:rPr>
      </w:pPr>
      <w:bookmarkStart w:id="3" w:name="_Hlk124434813"/>
      <w:r w:rsidRPr="00027237">
        <w:rPr>
          <w:rFonts w:eastAsia="Arial"/>
          <w:color w:val="0000FF"/>
          <w:sz w:val="22"/>
          <w:u w:val="single"/>
        </w:rPr>
        <w:t xml:space="preserve"> </w:t>
      </w:r>
      <w:hyperlink r:id="rId22" w:history="1">
        <w:r w:rsidRPr="00027237">
          <w:rPr>
            <w:rStyle w:val="Hyperlink"/>
            <w:rFonts w:eastAsia="Arial"/>
            <w:sz w:val="22"/>
          </w:rPr>
          <w:t>Submit a discharge request for restricted patients - GOV.UK (www.gov.uk)</w:t>
        </w:r>
      </w:hyperlink>
      <w:bookmarkStart w:id="4" w:name="_Hlk125112750"/>
      <w:bookmarkEnd w:id="3"/>
      <w:r w:rsidR="009F7F02" w:rsidRPr="00027237">
        <w:rPr>
          <w:rStyle w:val="FootnoteReference"/>
          <w:rFonts w:eastAsia="Arial"/>
          <w:sz w:val="22"/>
        </w:rPr>
        <w:footnoteReference w:id="3"/>
      </w:r>
      <w:r w:rsidR="009F7F02" w:rsidRPr="00027237">
        <w:rPr>
          <w:rFonts w:eastAsia="Arial"/>
          <w:sz w:val="22"/>
        </w:rPr>
        <w:t xml:space="preserve"> </w:t>
      </w:r>
    </w:p>
    <w:p w14:paraId="1344E4C5" w14:textId="75BF7247" w:rsidR="00496750" w:rsidRPr="00027237" w:rsidRDefault="00C57897" w:rsidP="4DD53C4F">
      <w:pPr>
        <w:spacing w:after="231" w:line="249" w:lineRule="auto"/>
        <w:ind w:left="720" w:right="48"/>
        <w:rPr>
          <w:rFonts w:eastAsia="Arial"/>
          <w:sz w:val="22"/>
        </w:rPr>
      </w:pPr>
      <w:r w:rsidRPr="00027237">
        <w:rPr>
          <w:rFonts w:eastAsia="Arial"/>
          <w:sz w:val="22"/>
        </w:rPr>
        <w:t>Conditionally Discharged patients: Supervision and reporting</w:t>
      </w:r>
      <w:r w:rsidR="00496750" w:rsidRPr="00027237">
        <w:rPr>
          <w:rFonts w:eastAsia="Arial"/>
          <w:sz w:val="22"/>
        </w:rPr>
        <w:t>:</w:t>
      </w:r>
    </w:p>
    <w:bookmarkEnd w:id="4"/>
    <w:p w14:paraId="4C64490B" w14:textId="4596781D" w:rsidR="00733628" w:rsidRPr="00027237" w:rsidRDefault="0007349B" w:rsidP="4DD53C4F">
      <w:pPr>
        <w:spacing w:after="231" w:line="249" w:lineRule="auto"/>
        <w:ind w:left="720" w:right="48"/>
        <w:rPr>
          <w:rFonts w:eastAsia="Arial"/>
          <w:color w:val="000000"/>
          <w:sz w:val="22"/>
          <w:lang w:eastAsia="en-GB" w:bidi="ar-SA"/>
        </w:rPr>
      </w:pPr>
      <w:r w:rsidRPr="00027237">
        <w:rPr>
          <w:sz w:val="22"/>
        </w:rPr>
        <w:fldChar w:fldCharType="begin"/>
      </w:r>
      <w:r w:rsidRPr="00027237">
        <w:rPr>
          <w:sz w:val="22"/>
        </w:rPr>
        <w:instrText xml:space="preserve"> HYPERLINK "https://www.gov.uk/government/publications/conditionally-discharged-restricted-patient-report" </w:instrText>
      </w:r>
      <w:r w:rsidRPr="00027237">
        <w:rPr>
          <w:sz w:val="22"/>
        </w:rPr>
      </w:r>
      <w:r w:rsidRPr="00027237">
        <w:rPr>
          <w:sz w:val="22"/>
        </w:rPr>
        <w:fldChar w:fldCharType="separate"/>
      </w:r>
      <w:r w:rsidRPr="00027237">
        <w:rPr>
          <w:color w:val="0000FF"/>
          <w:sz w:val="22"/>
          <w:u w:val="single"/>
        </w:rPr>
        <w:t>Submit a conditional discharge report for restricted patients - GOV.UK (www.gov.uk)</w:t>
      </w:r>
      <w:r w:rsidRPr="00027237">
        <w:rPr>
          <w:sz w:val="22"/>
        </w:rPr>
        <w:fldChar w:fldCharType="end"/>
      </w:r>
      <w:r w:rsidR="009F7F02" w:rsidRPr="00027237">
        <w:rPr>
          <w:rStyle w:val="FootnoteReference"/>
          <w:rFonts w:eastAsia="Arial"/>
          <w:sz w:val="22"/>
        </w:rPr>
        <w:footnoteReference w:id="4"/>
      </w:r>
    </w:p>
    <w:p w14:paraId="5A22CBA4" w14:textId="4EBFA00E" w:rsidR="00D0476C" w:rsidRPr="00027237" w:rsidRDefault="00D0476C" w:rsidP="009E77B2">
      <w:pPr>
        <w:spacing w:after="100" w:afterAutospacing="1" w:line="250" w:lineRule="auto"/>
        <w:ind w:left="1070" w:right="48"/>
        <w:rPr>
          <w:rFonts w:eastAsia="Arial"/>
          <w:b/>
          <w:bCs/>
          <w:color w:val="000000"/>
          <w:sz w:val="22"/>
          <w:lang w:eastAsia="en-GB" w:bidi="ar-SA"/>
        </w:rPr>
      </w:pPr>
      <w:bookmarkStart w:id="5" w:name="_Hlk125105303"/>
      <w:bookmarkStart w:id="6" w:name="_Hlk112240061"/>
      <w:r w:rsidRPr="00027237">
        <w:rPr>
          <w:rFonts w:eastAsia="Arial"/>
          <w:b/>
          <w:bCs/>
          <w:color w:val="000000" w:themeColor="text1"/>
          <w:sz w:val="22"/>
          <w:lang w:eastAsia="en-GB" w:bidi="ar-SA"/>
        </w:rPr>
        <w:t xml:space="preserve">Section 2 – </w:t>
      </w:r>
      <w:r w:rsidR="00D705B0" w:rsidRPr="00027237">
        <w:rPr>
          <w:rFonts w:eastAsia="Arial"/>
          <w:b/>
          <w:bCs/>
          <w:color w:val="000000" w:themeColor="text1"/>
          <w:sz w:val="22"/>
          <w:lang w:eastAsia="en-GB" w:bidi="ar-SA"/>
        </w:rPr>
        <w:t>Legislative background for changing conditions</w:t>
      </w:r>
      <w:r w:rsidR="008D1046" w:rsidRPr="00027237">
        <w:rPr>
          <w:rFonts w:eastAsia="Arial"/>
          <w:b/>
          <w:bCs/>
          <w:color w:val="000000" w:themeColor="text1"/>
          <w:sz w:val="22"/>
          <w:lang w:eastAsia="en-GB" w:bidi="ar-SA"/>
        </w:rPr>
        <w:t xml:space="preserve"> of discharge</w:t>
      </w:r>
      <w:bookmarkEnd w:id="5"/>
      <w:r w:rsidR="00D705B0" w:rsidRPr="00027237">
        <w:rPr>
          <w:rFonts w:eastAsia="Arial"/>
          <w:b/>
          <w:bCs/>
          <w:color w:val="000000" w:themeColor="text1"/>
          <w:sz w:val="22"/>
          <w:lang w:eastAsia="en-GB" w:bidi="ar-SA"/>
        </w:rPr>
        <w:t xml:space="preserve">  </w:t>
      </w:r>
    </w:p>
    <w:bookmarkEnd w:id="6"/>
    <w:p w14:paraId="4BA87B8F" w14:textId="7F6F7364" w:rsidR="00510F5C" w:rsidRPr="00027237" w:rsidRDefault="009124D2" w:rsidP="009E77B2">
      <w:pPr>
        <w:pStyle w:val="ListParagraph"/>
        <w:numPr>
          <w:ilvl w:val="0"/>
          <w:numId w:val="4"/>
        </w:numPr>
        <w:spacing w:after="100" w:afterAutospacing="1" w:line="250"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Patients who are subject to restriction orders under section 41</w:t>
      </w:r>
      <w:r w:rsidR="009453E5" w:rsidRPr="00027237">
        <w:rPr>
          <w:rFonts w:ascii="Arial" w:eastAsia="Arial" w:hAnsi="Arial" w:cs="Arial"/>
          <w:color w:val="000000" w:themeColor="text1"/>
          <w:sz w:val="22"/>
          <w:szCs w:val="22"/>
          <w:lang w:eastAsia="en-GB"/>
        </w:rPr>
        <w:t xml:space="preserve"> of the Mental Health Act 1983 (The 1983 Act) </w:t>
      </w:r>
      <w:r w:rsidR="00510F5C" w:rsidRPr="00027237">
        <w:rPr>
          <w:rFonts w:ascii="Arial" w:eastAsia="Arial" w:hAnsi="Arial" w:cs="Arial"/>
          <w:color w:val="000000" w:themeColor="text1"/>
          <w:sz w:val="22"/>
          <w:szCs w:val="22"/>
          <w:lang w:eastAsia="en-GB"/>
        </w:rPr>
        <w:t>can only be discharged</w:t>
      </w:r>
      <w:r w:rsidR="005827D7" w:rsidRPr="00027237">
        <w:rPr>
          <w:rFonts w:ascii="Arial" w:eastAsia="Arial" w:hAnsi="Arial" w:cs="Arial"/>
          <w:color w:val="000000" w:themeColor="text1"/>
          <w:sz w:val="22"/>
          <w:szCs w:val="22"/>
          <w:lang w:eastAsia="en-GB"/>
        </w:rPr>
        <w:t xml:space="preserve"> either absolutely or conditionally</w:t>
      </w:r>
      <w:r w:rsidR="00510F5C" w:rsidRPr="00027237">
        <w:rPr>
          <w:rFonts w:ascii="Arial" w:eastAsia="Arial" w:hAnsi="Arial" w:cs="Arial"/>
          <w:color w:val="000000" w:themeColor="text1"/>
          <w:sz w:val="22"/>
          <w:szCs w:val="22"/>
          <w:lang w:eastAsia="en-GB"/>
        </w:rPr>
        <w:t xml:space="preserve"> from hospital by the Secretary of State</w:t>
      </w:r>
      <w:r w:rsidR="00C02723" w:rsidRPr="00027237">
        <w:rPr>
          <w:rFonts w:ascii="Arial" w:eastAsia="Arial" w:hAnsi="Arial" w:cs="Arial"/>
          <w:color w:val="000000" w:themeColor="text1"/>
          <w:sz w:val="22"/>
          <w:szCs w:val="22"/>
          <w:lang w:eastAsia="en-GB"/>
        </w:rPr>
        <w:t xml:space="preserve"> under section 42</w:t>
      </w:r>
      <w:r w:rsidRPr="00027237">
        <w:rPr>
          <w:rStyle w:val="FootnoteReference"/>
          <w:rFonts w:ascii="Arial" w:eastAsia="Arial" w:hAnsi="Arial" w:cs="Arial"/>
          <w:color w:val="000000" w:themeColor="text1"/>
          <w:sz w:val="22"/>
          <w:szCs w:val="22"/>
          <w:lang w:eastAsia="en-GB"/>
        </w:rPr>
        <w:footnoteReference w:id="5"/>
      </w:r>
      <w:r w:rsidR="00C02723" w:rsidRPr="00027237">
        <w:rPr>
          <w:rFonts w:ascii="Arial" w:eastAsia="Arial" w:hAnsi="Arial" w:cs="Arial"/>
          <w:color w:val="000000" w:themeColor="text1"/>
          <w:sz w:val="22"/>
          <w:szCs w:val="22"/>
          <w:lang w:eastAsia="en-GB"/>
        </w:rPr>
        <w:t xml:space="preserve"> </w:t>
      </w:r>
      <w:r w:rsidR="00472CD7" w:rsidRPr="00027237">
        <w:rPr>
          <w:rFonts w:ascii="Arial" w:eastAsia="Arial" w:hAnsi="Arial" w:cs="Arial"/>
          <w:color w:val="000000" w:themeColor="text1"/>
          <w:sz w:val="22"/>
          <w:szCs w:val="22"/>
          <w:lang w:eastAsia="en-GB"/>
        </w:rPr>
        <w:t>of the 1983 Act</w:t>
      </w:r>
      <w:r w:rsidR="005827D7" w:rsidRPr="00027237">
        <w:rPr>
          <w:rFonts w:ascii="Arial" w:eastAsia="Arial" w:hAnsi="Arial" w:cs="Arial"/>
          <w:color w:val="000000" w:themeColor="text1"/>
          <w:sz w:val="22"/>
          <w:szCs w:val="22"/>
          <w:lang w:eastAsia="en-GB"/>
        </w:rPr>
        <w:t xml:space="preserve"> or the Tribunal</w:t>
      </w:r>
      <w:r w:rsidR="00472CD7" w:rsidRPr="00027237">
        <w:rPr>
          <w:rFonts w:ascii="Arial" w:eastAsia="Arial" w:hAnsi="Arial" w:cs="Arial"/>
          <w:color w:val="000000" w:themeColor="text1"/>
          <w:sz w:val="22"/>
          <w:szCs w:val="22"/>
          <w:lang w:eastAsia="en-GB"/>
        </w:rPr>
        <w:t xml:space="preserve"> under section 73</w:t>
      </w:r>
      <w:r w:rsidR="007B35A0" w:rsidRPr="00027237">
        <w:rPr>
          <w:rFonts w:ascii="Arial" w:eastAsia="Arial" w:hAnsi="Arial" w:cs="Arial"/>
          <w:color w:val="000000" w:themeColor="text1"/>
          <w:sz w:val="22"/>
          <w:szCs w:val="22"/>
          <w:lang w:eastAsia="en-GB"/>
        </w:rPr>
        <w:t xml:space="preserve"> of the </w:t>
      </w:r>
      <w:r w:rsidR="005D6461" w:rsidRPr="00027237">
        <w:rPr>
          <w:rFonts w:ascii="Arial" w:eastAsia="Arial" w:hAnsi="Arial" w:cs="Arial"/>
          <w:color w:val="000000" w:themeColor="text1"/>
          <w:sz w:val="22"/>
          <w:szCs w:val="22"/>
          <w:lang w:eastAsia="en-GB"/>
        </w:rPr>
        <w:t>1983 Act</w:t>
      </w:r>
      <w:r w:rsidR="00747C5A" w:rsidRPr="00027237">
        <w:rPr>
          <w:rFonts w:ascii="Arial" w:eastAsia="Arial" w:hAnsi="Arial" w:cs="Arial"/>
          <w:color w:val="000000" w:themeColor="text1"/>
          <w:sz w:val="22"/>
          <w:szCs w:val="22"/>
          <w:lang w:eastAsia="en-GB"/>
        </w:rPr>
        <w:t>.</w:t>
      </w:r>
      <w:r w:rsidR="009368F7" w:rsidRPr="00027237">
        <w:rPr>
          <w:rFonts w:ascii="Arial" w:eastAsia="Arial" w:hAnsi="Arial" w:cs="Arial"/>
          <w:color w:val="000000" w:themeColor="text1"/>
          <w:sz w:val="22"/>
          <w:szCs w:val="22"/>
          <w:lang w:eastAsia="en-GB"/>
        </w:rPr>
        <w:t xml:space="preserve"> </w:t>
      </w:r>
      <w:proofErr w:type="gramStart"/>
      <w:r w:rsidR="009368F7" w:rsidRPr="00027237">
        <w:rPr>
          <w:rFonts w:ascii="Arial" w:eastAsia="Arial" w:hAnsi="Arial" w:cs="Arial"/>
          <w:color w:val="000000" w:themeColor="text1"/>
          <w:sz w:val="22"/>
          <w:szCs w:val="22"/>
          <w:lang w:eastAsia="en-GB"/>
        </w:rPr>
        <w:t>The</w:t>
      </w:r>
      <w:r w:rsidR="03BE8FB8" w:rsidRPr="00027237">
        <w:rPr>
          <w:rFonts w:ascii="Arial" w:eastAsia="Arial" w:hAnsi="Arial" w:cs="Arial"/>
          <w:color w:val="000000" w:themeColor="text1"/>
          <w:sz w:val="22"/>
          <w:szCs w:val="22"/>
          <w:lang w:eastAsia="en-GB"/>
        </w:rPr>
        <w:t xml:space="preserve"> </w:t>
      </w:r>
      <w:r w:rsidR="009368F7" w:rsidRPr="00027237">
        <w:rPr>
          <w:rFonts w:ascii="Arial" w:eastAsia="Arial" w:hAnsi="Arial" w:cs="Arial"/>
          <w:color w:val="000000" w:themeColor="text1"/>
          <w:sz w:val="22"/>
          <w:szCs w:val="22"/>
          <w:lang w:eastAsia="en-GB"/>
        </w:rPr>
        <w:t>majority of</w:t>
      </w:r>
      <w:proofErr w:type="gramEnd"/>
      <w:r w:rsidR="009368F7" w:rsidRPr="00027237">
        <w:rPr>
          <w:rFonts w:ascii="Arial" w:eastAsia="Arial" w:hAnsi="Arial" w:cs="Arial"/>
          <w:color w:val="000000" w:themeColor="text1"/>
          <w:sz w:val="22"/>
          <w:szCs w:val="22"/>
          <w:lang w:eastAsia="en-GB"/>
        </w:rPr>
        <w:t xml:space="preserve"> restricted patients who are discharge</w:t>
      </w:r>
      <w:r w:rsidR="00721267" w:rsidRPr="00027237">
        <w:rPr>
          <w:rFonts w:ascii="Arial" w:eastAsia="Arial" w:hAnsi="Arial" w:cs="Arial"/>
          <w:color w:val="000000" w:themeColor="text1"/>
          <w:sz w:val="22"/>
          <w:szCs w:val="22"/>
          <w:lang w:eastAsia="en-GB"/>
        </w:rPr>
        <w:t>d</w:t>
      </w:r>
      <w:r w:rsidR="009368F7" w:rsidRPr="00027237">
        <w:rPr>
          <w:rFonts w:ascii="Arial" w:eastAsia="Arial" w:hAnsi="Arial" w:cs="Arial"/>
          <w:color w:val="000000" w:themeColor="text1"/>
          <w:sz w:val="22"/>
          <w:szCs w:val="22"/>
          <w:lang w:eastAsia="en-GB"/>
        </w:rPr>
        <w:t xml:space="preserve"> from hospital are</w:t>
      </w:r>
      <w:r w:rsidR="00747C5A" w:rsidRPr="00027237">
        <w:rPr>
          <w:rFonts w:ascii="Arial" w:eastAsia="Arial" w:hAnsi="Arial" w:cs="Arial"/>
          <w:color w:val="000000" w:themeColor="text1"/>
          <w:sz w:val="22"/>
          <w:szCs w:val="22"/>
          <w:lang w:eastAsia="en-GB"/>
        </w:rPr>
        <w:t xml:space="preserve"> subject to a conditional discharge</w:t>
      </w:r>
      <w:r w:rsidR="000132D8" w:rsidRPr="00027237">
        <w:rPr>
          <w:rFonts w:ascii="Arial" w:eastAsia="Arial" w:hAnsi="Arial" w:cs="Arial"/>
          <w:color w:val="000000" w:themeColor="text1"/>
          <w:sz w:val="22"/>
          <w:szCs w:val="22"/>
          <w:lang w:eastAsia="en-GB"/>
        </w:rPr>
        <w:t>.</w:t>
      </w:r>
    </w:p>
    <w:p w14:paraId="1E052A8B" w14:textId="77777777" w:rsidR="00F66A79" w:rsidRPr="00027237" w:rsidRDefault="00F66A79" w:rsidP="4DD53C4F">
      <w:pPr>
        <w:pStyle w:val="ListParagraph"/>
        <w:spacing w:after="231" w:line="249" w:lineRule="auto"/>
        <w:ind w:left="1070"/>
        <w:contextualSpacing/>
        <w:rPr>
          <w:rFonts w:ascii="Arial" w:eastAsia="Arial" w:hAnsi="Arial" w:cs="Arial"/>
          <w:color w:val="000000"/>
          <w:sz w:val="22"/>
          <w:szCs w:val="22"/>
          <w:lang w:eastAsia="en-GB"/>
        </w:rPr>
      </w:pPr>
    </w:p>
    <w:p w14:paraId="12F92B75" w14:textId="0473758F" w:rsidR="00605070" w:rsidRPr="00027237" w:rsidRDefault="00605070" w:rsidP="4DD53C4F">
      <w:pPr>
        <w:pStyle w:val="ListParagraph"/>
        <w:numPr>
          <w:ilvl w:val="0"/>
          <w:numId w:val="4"/>
        </w:numPr>
        <w:rPr>
          <w:rFonts w:ascii="Arial" w:eastAsia="Arial" w:hAnsi="Arial" w:cs="Arial"/>
          <w:color w:val="000000"/>
          <w:sz w:val="22"/>
          <w:szCs w:val="22"/>
          <w:lang w:eastAsia="en-GB"/>
        </w:rPr>
      </w:pPr>
      <w:r w:rsidRPr="00027237">
        <w:rPr>
          <w:rFonts w:ascii="Arial" w:eastAsia="Arial" w:hAnsi="Arial" w:cs="Arial"/>
          <w:color w:val="000000"/>
          <w:sz w:val="22"/>
          <w:szCs w:val="22"/>
          <w:lang w:eastAsia="en-GB"/>
        </w:rPr>
        <w:t>Section 73</w:t>
      </w:r>
      <w:r w:rsidR="00233F6C" w:rsidRPr="00027237">
        <w:rPr>
          <w:rStyle w:val="FootnoteReference"/>
          <w:rFonts w:ascii="Arial" w:eastAsia="Arial" w:hAnsi="Arial" w:cs="Arial"/>
          <w:color w:val="000000"/>
          <w:sz w:val="22"/>
          <w:szCs w:val="22"/>
          <w:lang w:eastAsia="en-GB"/>
        </w:rPr>
        <w:footnoteReference w:id="6"/>
      </w:r>
      <w:r w:rsidRPr="00027237">
        <w:rPr>
          <w:rFonts w:ascii="Arial" w:eastAsia="Arial" w:hAnsi="Arial" w:cs="Arial"/>
          <w:color w:val="000000"/>
          <w:sz w:val="22"/>
          <w:szCs w:val="22"/>
          <w:lang w:eastAsia="en-GB"/>
        </w:rPr>
        <w:t xml:space="preserve"> of the 1983 Act, gives a power of discharge to the </w:t>
      </w:r>
      <w:r w:rsidR="008D1046" w:rsidRPr="00027237">
        <w:rPr>
          <w:rFonts w:ascii="Arial" w:eastAsia="Arial" w:hAnsi="Arial" w:cs="Arial"/>
          <w:color w:val="000000"/>
          <w:sz w:val="22"/>
          <w:szCs w:val="22"/>
          <w:lang w:eastAsia="en-GB"/>
        </w:rPr>
        <w:t>Tribunal</w:t>
      </w:r>
      <w:r w:rsidRPr="00027237">
        <w:rPr>
          <w:rFonts w:ascii="Arial" w:eastAsia="Arial" w:hAnsi="Arial" w:cs="Arial"/>
          <w:color w:val="000000"/>
          <w:sz w:val="22"/>
          <w:szCs w:val="22"/>
          <w:lang w:eastAsia="en-GB"/>
        </w:rPr>
        <w:t>, when certain criteria for lawful detention set out in that section are not satisfied. Again, the Tribunal may discharge a patient absolutely or subject to conditions. Section 73(4)(b) states that ‘the patient shall comply with such conditions (if any) as may be imposed at the time of discharge by the Tribunal or at any subsequent time by the Secretary of State’</w:t>
      </w:r>
      <w:r w:rsidR="00BA4811" w:rsidRPr="00027237">
        <w:rPr>
          <w:rFonts w:ascii="Arial" w:eastAsia="Arial" w:hAnsi="Arial" w:cs="Arial"/>
          <w:color w:val="000000"/>
          <w:sz w:val="22"/>
          <w:szCs w:val="22"/>
          <w:lang w:eastAsia="en-GB"/>
        </w:rPr>
        <w:t>.</w:t>
      </w:r>
    </w:p>
    <w:p w14:paraId="185F24A5" w14:textId="150D8431" w:rsidR="003C7725" w:rsidRPr="00027237" w:rsidRDefault="003C7725" w:rsidP="4DD53C4F">
      <w:pPr>
        <w:pStyle w:val="ListParagraph"/>
        <w:spacing w:after="231" w:line="249" w:lineRule="auto"/>
        <w:ind w:left="1070"/>
        <w:contextualSpacing/>
        <w:rPr>
          <w:rFonts w:ascii="Arial" w:eastAsia="Arial" w:hAnsi="Arial" w:cs="Arial"/>
          <w:color w:val="000000"/>
          <w:sz w:val="22"/>
          <w:szCs w:val="22"/>
          <w:lang w:eastAsia="en-GB"/>
        </w:rPr>
      </w:pPr>
    </w:p>
    <w:p w14:paraId="61AE95D6" w14:textId="1EB7D5F3" w:rsidR="00F66A79" w:rsidRPr="00027237" w:rsidRDefault="0082453B" w:rsidP="4DD53C4F">
      <w:pPr>
        <w:pStyle w:val="ListParagraph"/>
        <w:numPr>
          <w:ilvl w:val="0"/>
          <w:numId w:val="4"/>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 xml:space="preserve">When a patient is conditionally discharged </w:t>
      </w:r>
      <w:r w:rsidR="006E6C3E" w:rsidRPr="00027237">
        <w:rPr>
          <w:rFonts w:ascii="Arial" w:eastAsia="Arial" w:hAnsi="Arial" w:cs="Arial"/>
          <w:color w:val="000000" w:themeColor="text1"/>
          <w:sz w:val="22"/>
          <w:szCs w:val="22"/>
          <w:lang w:eastAsia="en-GB"/>
        </w:rPr>
        <w:t xml:space="preserve">by </w:t>
      </w:r>
      <w:r w:rsidRPr="00027237">
        <w:rPr>
          <w:rFonts w:ascii="Arial" w:eastAsia="Arial" w:hAnsi="Arial" w:cs="Arial"/>
          <w:color w:val="000000" w:themeColor="text1"/>
          <w:sz w:val="22"/>
          <w:szCs w:val="22"/>
          <w:lang w:eastAsia="en-GB"/>
        </w:rPr>
        <w:t>the Secretary of State or the Tribunal</w:t>
      </w:r>
      <w:r w:rsidR="00AB07E2" w:rsidRPr="00027237">
        <w:rPr>
          <w:rFonts w:ascii="Arial" w:eastAsia="Arial" w:hAnsi="Arial" w:cs="Arial"/>
          <w:color w:val="000000" w:themeColor="text1"/>
          <w:sz w:val="22"/>
          <w:szCs w:val="22"/>
          <w:lang w:eastAsia="en-GB"/>
        </w:rPr>
        <w:t>,</w:t>
      </w:r>
      <w:r w:rsidRPr="00027237">
        <w:rPr>
          <w:rFonts w:ascii="Arial" w:eastAsia="Arial" w:hAnsi="Arial" w:cs="Arial"/>
          <w:color w:val="000000" w:themeColor="text1"/>
          <w:sz w:val="22"/>
          <w:szCs w:val="22"/>
          <w:lang w:eastAsia="en-GB"/>
        </w:rPr>
        <w:t xml:space="preserve"> conditions </w:t>
      </w:r>
      <w:r w:rsidR="009F1FEE" w:rsidRPr="00027237">
        <w:rPr>
          <w:rFonts w:ascii="Arial" w:eastAsia="Arial" w:hAnsi="Arial" w:cs="Arial"/>
          <w:color w:val="000000" w:themeColor="text1"/>
          <w:sz w:val="22"/>
          <w:szCs w:val="22"/>
          <w:lang w:eastAsia="en-GB"/>
        </w:rPr>
        <w:t>will</w:t>
      </w:r>
      <w:r w:rsidR="003635F6" w:rsidRPr="00027237">
        <w:rPr>
          <w:rFonts w:ascii="Arial" w:eastAsia="Arial" w:hAnsi="Arial" w:cs="Arial"/>
          <w:color w:val="000000" w:themeColor="text1"/>
          <w:sz w:val="22"/>
          <w:szCs w:val="22"/>
          <w:lang w:eastAsia="en-GB"/>
        </w:rPr>
        <w:t xml:space="preserve"> </w:t>
      </w:r>
      <w:r w:rsidR="00E64FFA" w:rsidRPr="00027237">
        <w:rPr>
          <w:rFonts w:ascii="Arial" w:eastAsia="Arial" w:hAnsi="Arial" w:cs="Arial"/>
          <w:color w:val="000000" w:themeColor="text1"/>
          <w:sz w:val="22"/>
          <w:szCs w:val="22"/>
          <w:lang w:eastAsia="en-GB"/>
        </w:rPr>
        <w:t xml:space="preserve">be imposed which </w:t>
      </w:r>
      <w:r w:rsidR="003635F6" w:rsidRPr="00027237">
        <w:rPr>
          <w:rFonts w:ascii="Arial" w:eastAsia="Arial" w:hAnsi="Arial" w:cs="Arial"/>
          <w:color w:val="000000" w:themeColor="text1"/>
          <w:sz w:val="22"/>
          <w:szCs w:val="22"/>
          <w:lang w:eastAsia="en-GB"/>
        </w:rPr>
        <w:t xml:space="preserve">are to facilitate the </w:t>
      </w:r>
      <w:r w:rsidR="009E48EA" w:rsidRPr="00027237">
        <w:rPr>
          <w:rFonts w:ascii="Arial" w:eastAsia="Arial" w:hAnsi="Arial" w:cs="Arial"/>
          <w:color w:val="000000" w:themeColor="text1"/>
          <w:sz w:val="22"/>
          <w:szCs w:val="22"/>
          <w:lang w:eastAsia="en-GB"/>
        </w:rPr>
        <w:t xml:space="preserve">supervision and safe </w:t>
      </w:r>
      <w:r w:rsidR="005D6461" w:rsidRPr="00027237">
        <w:rPr>
          <w:rFonts w:ascii="Arial" w:eastAsia="Arial" w:hAnsi="Arial" w:cs="Arial"/>
          <w:color w:val="000000" w:themeColor="text1"/>
          <w:sz w:val="22"/>
          <w:szCs w:val="22"/>
          <w:lang w:eastAsia="en-GB"/>
        </w:rPr>
        <w:t>return</w:t>
      </w:r>
      <w:r w:rsidR="009E48EA" w:rsidRPr="00027237">
        <w:rPr>
          <w:rFonts w:ascii="Arial" w:eastAsia="Arial" w:hAnsi="Arial" w:cs="Arial"/>
          <w:color w:val="000000" w:themeColor="text1"/>
          <w:sz w:val="22"/>
          <w:szCs w:val="22"/>
          <w:lang w:eastAsia="en-GB"/>
        </w:rPr>
        <w:t xml:space="preserve"> of a restricted patient t</w:t>
      </w:r>
      <w:r w:rsidR="005D6461" w:rsidRPr="00027237">
        <w:rPr>
          <w:rFonts w:ascii="Arial" w:eastAsia="Arial" w:hAnsi="Arial" w:cs="Arial"/>
          <w:color w:val="000000" w:themeColor="text1"/>
          <w:sz w:val="22"/>
          <w:szCs w:val="22"/>
          <w:lang w:eastAsia="en-GB"/>
        </w:rPr>
        <w:t xml:space="preserve">o the </w:t>
      </w:r>
      <w:r w:rsidR="009E48EA" w:rsidRPr="00027237">
        <w:rPr>
          <w:rFonts w:ascii="Arial" w:eastAsia="Arial" w:hAnsi="Arial" w:cs="Arial"/>
          <w:color w:val="000000" w:themeColor="text1"/>
          <w:sz w:val="22"/>
          <w:szCs w:val="22"/>
          <w:lang w:eastAsia="en-GB"/>
        </w:rPr>
        <w:t>community.</w:t>
      </w:r>
      <w:r w:rsidR="003315AB" w:rsidRPr="00027237">
        <w:rPr>
          <w:rFonts w:ascii="Arial" w:eastAsia="Arial" w:hAnsi="Arial" w:cs="Arial"/>
          <w:color w:val="000000" w:themeColor="text1"/>
          <w:sz w:val="22"/>
          <w:szCs w:val="22"/>
          <w:lang w:eastAsia="en-GB"/>
        </w:rPr>
        <w:t xml:space="preserve"> </w:t>
      </w:r>
      <w:r w:rsidR="00F66A79" w:rsidRPr="00027237">
        <w:rPr>
          <w:rFonts w:ascii="Arial" w:eastAsia="Arial" w:hAnsi="Arial" w:cs="Arial"/>
          <w:color w:val="000000" w:themeColor="text1"/>
          <w:sz w:val="22"/>
          <w:szCs w:val="22"/>
          <w:lang w:eastAsia="en-GB"/>
        </w:rPr>
        <w:t xml:space="preserve">Section 73(5) of the 1983 Act states that ‘The Secretary of State may from time to time vary any condition imposed (whether by the Tribunal or by </w:t>
      </w:r>
      <w:r w:rsidR="2C748F87" w:rsidRPr="00027237">
        <w:rPr>
          <w:rFonts w:ascii="Arial" w:eastAsia="Arial" w:hAnsi="Arial" w:cs="Arial"/>
          <w:color w:val="000000" w:themeColor="text1"/>
          <w:sz w:val="22"/>
          <w:szCs w:val="22"/>
          <w:lang w:eastAsia="en-GB"/>
        </w:rPr>
        <w:t>the</w:t>
      </w:r>
      <w:r w:rsidR="00F66A79" w:rsidRPr="00027237">
        <w:rPr>
          <w:rFonts w:ascii="Arial" w:eastAsia="Arial" w:hAnsi="Arial" w:cs="Arial"/>
          <w:color w:val="000000" w:themeColor="text1"/>
          <w:sz w:val="22"/>
          <w:szCs w:val="22"/>
          <w:lang w:eastAsia="en-GB"/>
        </w:rPr>
        <w:t xml:space="preserve">m).’ </w:t>
      </w:r>
      <w:r w:rsidR="70FBD8FA" w:rsidRPr="00027237">
        <w:rPr>
          <w:rFonts w:ascii="Arial" w:eastAsia="Arial" w:hAnsi="Arial" w:cs="Arial"/>
          <w:color w:val="000000" w:themeColor="text1"/>
          <w:sz w:val="22"/>
          <w:szCs w:val="22"/>
          <w:lang w:eastAsia="en-GB"/>
        </w:rPr>
        <w:t xml:space="preserve">The Mental Health Casework Section (MHCS) </w:t>
      </w:r>
      <w:r w:rsidR="00F66A79" w:rsidRPr="00027237">
        <w:rPr>
          <w:rFonts w:ascii="Arial" w:eastAsia="Arial" w:hAnsi="Arial" w:cs="Arial"/>
          <w:color w:val="000000" w:themeColor="text1"/>
          <w:sz w:val="22"/>
          <w:szCs w:val="22"/>
          <w:lang w:eastAsia="en-GB"/>
        </w:rPr>
        <w:t>exercises this power under delegated authority from the Secretary of State</w:t>
      </w:r>
      <w:r w:rsidR="4E1517BA" w:rsidRPr="00027237">
        <w:rPr>
          <w:rFonts w:ascii="Arial" w:eastAsia="Arial" w:hAnsi="Arial" w:cs="Arial"/>
          <w:color w:val="000000" w:themeColor="text1"/>
          <w:sz w:val="22"/>
          <w:szCs w:val="22"/>
          <w:lang w:eastAsia="en-GB"/>
        </w:rPr>
        <w:t>.</w:t>
      </w:r>
    </w:p>
    <w:p w14:paraId="1F0E9120" w14:textId="77777777" w:rsidR="00BC4A22" w:rsidRPr="00027237" w:rsidRDefault="00BC4A22" w:rsidP="4DD53C4F">
      <w:pPr>
        <w:pStyle w:val="ListParagraph"/>
        <w:rPr>
          <w:rFonts w:ascii="Arial" w:eastAsia="Arial" w:hAnsi="Arial" w:cs="Arial"/>
          <w:color w:val="000000"/>
          <w:sz w:val="22"/>
          <w:szCs w:val="22"/>
          <w:lang w:eastAsia="en-GB"/>
        </w:rPr>
      </w:pPr>
    </w:p>
    <w:p w14:paraId="09A1CBA8" w14:textId="7F0E17AF" w:rsidR="00BC4A22" w:rsidRPr="00027237" w:rsidRDefault="00BC4A22" w:rsidP="4DD53C4F">
      <w:pPr>
        <w:pStyle w:val="ListParagraph"/>
        <w:numPr>
          <w:ilvl w:val="0"/>
          <w:numId w:val="4"/>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 xml:space="preserve">MHCS can, on behalf of the Secretary of State, add, </w:t>
      </w:r>
      <w:proofErr w:type="gramStart"/>
      <w:r w:rsidRPr="00027237">
        <w:rPr>
          <w:rFonts w:ascii="Arial" w:eastAsia="Arial" w:hAnsi="Arial" w:cs="Arial"/>
          <w:color w:val="000000" w:themeColor="text1"/>
          <w:sz w:val="22"/>
          <w:szCs w:val="22"/>
          <w:lang w:eastAsia="en-GB"/>
        </w:rPr>
        <w:t>remove</w:t>
      </w:r>
      <w:proofErr w:type="gramEnd"/>
      <w:r w:rsidRPr="00027237">
        <w:rPr>
          <w:rFonts w:ascii="Arial" w:eastAsia="Arial" w:hAnsi="Arial" w:cs="Arial"/>
          <w:color w:val="000000" w:themeColor="text1"/>
          <w:sz w:val="22"/>
          <w:szCs w:val="22"/>
          <w:lang w:eastAsia="en-GB"/>
        </w:rPr>
        <w:t xml:space="preserve"> or vary a condition </w:t>
      </w:r>
      <w:r w:rsidR="00D72F7A" w:rsidRPr="00027237">
        <w:rPr>
          <w:rFonts w:ascii="Arial" w:eastAsia="Arial" w:hAnsi="Arial" w:cs="Arial"/>
          <w:color w:val="000000" w:themeColor="text1"/>
          <w:sz w:val="22"/>
          <w:szCs w:val="22"/>
          <w:lang w:eastAsia="en-GB"/>
        </w:rPr>
        <w:t xml:space="preserve">of discharge </w:t>
      </w:r>
      <w:r w:rsidR="3E792DEC" w:rsidRPr="00027237">
        <w:rPr>
          <w:rFonts w:ascii="Arial" w:eastAsia="Arial" w:hAnsi="Arial" w:cs="Arial"/>
          <w:color w:val="000000" w:themeColor="text1"/>
          <w:sz w:val="22"/>
          <w:szCs w:val="22"/>
          <w:lang w:eastAsia="en-GB"/>
        </w:rPr>
        <w:t xml:space="preserve">with or </w:t>
      </w:r>
      <w:r w:rsidRPr="00027237">
        <w:rPr>
          <w:rFonts w:ascii="Arial" w:eastAsia="Arial" w:hAnsi="Arial" w:cs="Arial"/>
          <w:color w:val="000000" w:themeColor="text1"/>
          <w:sz w:val="22"/>
          <w:szCs w:val="22"/>
          <w:lang w:eastAsia="en-GB"/>
        </w:rPr>
        <w:t xml:space="preserve">without a request being submitted. MHCS will only do so when there are concerns about the patient’s risk to themselves or others. MHCS are not required to consult with the community </w:t>
      </w:r>
      <w:r w:rsidR="415A72F2" w:rsidRPr="00027237">
        <w:rPr>
          <w:rFonts w:ascii="Arial" w:eastAsia="Arial" w:hAnsi="Arial" w:cs="Arial"/>
          <w:color w:val="000000" w:themeColor="text1"/>
          <w:sz w:val="22"/>
          <w:szCs w:val="22"/>
          <w:lang w:eastAsia="en-GB"/>
        </w:rPr>
        <w:t xml:space="preserve">supervisors </w:t>
      </w:r>
      <w:r w:rsidRPr="00027237">
        <w:rPr>
          <w:rFonts w:ascii="Arial" w:eastAsia="Arial" w:hAnsi="Arial" w:cs="Arial"/>
          <w:color w:val="000000" w:themeColor="text1"/>
          <w:sz w:val="22"/>
          <w:szCs w:val="22"/>
          <w:lang w:eastAsia="en-GB"/>
        </w:rPr>
        <w:t xml:space="preserve">when undertaking such action but will ensure that the </w:t>
      </w:r>
      <w:r w:rsidR="5128BEF6" w:rsidRPr="00027237">
        <w:rPr>
          <w:rFonts w:ascii="Arial" w:eastAsia="Arial" w:hAnsi="Arial" w:cs="Arial"/>
          <w:color w:val="000000" w:themeColor="text1"/>
          <w:sz w:val="22"/>
          <w:szCs w:val="22"/>
          <w:lang w:eastAsia="en-GB"/>
        </w:rPr>
        <w:t>clinical and social super</w:t>
      </w:r>
      <w:r w:rsidR="719330CF" w:rsidRPr="00027237">
        <w:rPr>
          <w:rFonts w:ascii="Arial" w:eastAsia="Arial" w:hAnsi="Arial" w:cs="Arial"/>
          <w:color w:val="000000" w:themeColor="text1"/>
          <w:sz w:val="22"/>
          <w:szCs w:val="22"/>
          <w:lang w:eastAsia="en-GB"/>
        </w:rPr>
        <w:t>vi</w:t>
      </w:r>
      <w:r w:rsidR="5128BEF6" w:rsidRPr="00027237">
        <w:rPr>
          <w:rFonts w:ascii="Arial" w:eastAsia="Arial" w:hAnsi="Arial" w:cs="Arial"/>
          <w:color w:val="000000" w:themeColor="text1"/>
          <w:sz w:val="22"/>
          <w:szCs w:val="22"/>
          <w:lang w:eastAsia="en-GB"/>
        </w:rPr>
        <w:t>sors</w:t>
      </w:r>
      <w:r w:rsidR="00AB07E2" w:rsidRPr="00027237">
        <w:rPr>
          <w:rFonts w:ascii="Arial" w:eastAsia="Arial" w:hAnsi="Arial" w:cs="Arial"/>
          <w:color w:val="000000" w:themeColor="text1"/>
          <w:sz w:val="22"/>
          <w:szCs w:val="22"/>
          <w:lang w:eastAsia="en-GB"/>
        </w:rPr>
        <w:t xml:space="preserve"> </w:t>
      </w:r>
      <w:r w:rsidRPr="00027237">
        <w:rPr>
          <w:rFonts w:ascii="Arial" w:eastAsia="Arial" w:hAnsi="Arial" w:cs="Arial"/>
          <w:color w:val="000000" w:themeColor="text1"/>
          <w:sz w:val="22"/>
          <w:szCs w:val="22"/>
          <w:lang w:eastAsia="en-GB"/>
        </w:rPr>
        <w:t xml:space="preserve">are aware of any impending changes to conditions and that such conditions can be effectively monitored. </w:t>
      </w:r>
    </w:p>
    <w:p w14:paraId="65966F5E" w14:textId="77777777" w:rsidR="00F66A79" w:rsidRPr="00027237" w:rsidRDefault="00F66A79" w:rsidP="4DD53C4F">
      <w:pPr>
        <w:pStyle w:val="ListParagraph"/>
        <w:rPr>
          <w:rFonts w:ascii="Arial" w:eastAsia="Arial" w:hAnsi="Arial" w:cs="Arial"/>
          <w:color w:val="000000"/>
          <w:sz w:val="22"/>
          <w:szCs w:val="22"/>
          <w:lang w:eastAsia="en-GB"/>
        </w:rPr>
      </w:pPr>
    </w:p>
    <w:p w14:paraId="4A3DBE34" w14:textId="328A8784" w:rsidR="005155F8" w:rsidRPr="00027237" w:rsidRDefault="00590E24" w:rsidP="4DD53C4F">
      <w:pPr>
        <w:pStyle w:val="ListParagraph"/>
        <w:numPr>
          <w:ilvl w:val="0"/>
          <w:numId w:val="4"/>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 xml:space="preserve">The </w:t>
      </w:r>
      <w:r w:rsidR="00C71784" w:rsidRPr="00027237">
        <w:rPr>
          <w:rFonts w:ascii="Arial" w:eastAsia="Arial" w:hAnsi="Arial" w:cs="Arial"/>
          <w:color w:val="000000" w:themeColor="text1"/>
          <w:sz w:val="22"/>
          <w:szCs w:val="22"/>
          <w:lang w:eastAsia="en-GB"/>
        </w:rPr>
        <w:t>Secretary of State</w:t>
      </w:r>
      <w:r w:rsidRPr="00027237">
        <w:rPr>
          <w:rFonts w:ascii="Arial" w:eastAsia="Arial" w:hAnsi="Arial" w:cs="Arial"/>
          <w:color w:val="000000" w:themeColor="text1"/>
          <w:sz w:val="22"/>
          <w:szCs w:val="22"/>
          <w:lang w:eastAsia="en-GB"/>
        </w:rPr>
        <w:t xml:space="preserve"> has the power under section 42</w:t>
      </w:r>
      <w:r w:rsidR="007E5E1E" w:rsidRPr="00027237">
        <w:rPr>
          <w:rFonts w:ascii="Arial" w:eastAsia="Arial" w:hAnsi="Arial" w:cs="Arial"/>
          <w:color w:val="000000" w:themeColor="text1"/>
          <w:sz w:val="22"/>
          <w:szCs w:val="22"/>
          <w:lang w:eastAsia="en-GB"/>
        </w:rPr>
        <w:t>(</w:t>
      </w:r>
      <w:r w:rsidR="00C23448" w:rsidRPr="00027237">
        <w:rPr>
          <w:rFonts w:ascii="Arial" w:eastAsia="Arial" w:hAnsi="Arial" w:cs="Arial"/>
          <w:color w:val="000000" w:themeColor="text1"/>
          <w:sz w:val="22"/>
          <w:szCs w:val="22"/>
          <w:lang w:eastAsia="en-GB"/>
        </w:rPr>
        <w:t>3</w:t>
      </w:r>
      <w:r w:rsidR="007E5E1E" w:rsidRPr="00027237">
        <w:rPr>
          <w:rFonts w:ascii="Arial" w:eastAsia="Arial" w:hAnsi="Arial" w:cs="Arial"/>
          <w:color w:val="000000" w:themeColor="text1"/>
          <w:sz w:val="22"/>
          <w:szCs w:val="22"/>
          <w:lang w:eastAsia="en-GB"/>
        </w:rPr>
        <w:t>)</w:t>
      </w:r>
      <w:r w:rsidRPr="00027237">
        <w:rPr>
          <w:rFonts w:ascii="Arial" w:eastAsia="Arial" w:hAnsi="Arial" w:cs="Arial"/>
          <w:color w:val="000000" w:themeColor="text1"/>
          <w:sz w:val="22"/>
          <w:szCs w:val="22"/>
          <w:lang w:eastAsia="en-GB"/>
        </w:rPr>
        <w:t xml:space="preserve"> of the 1983 Act</w:t>
      </w:r>
      <w:r w:rsidR="00C71784" w:rsidRPr="00027237">
        <w:rPr>
          <w:rFonts w:ascii="Arial" w:eastAsia="Arial" w:hAnsi="Arial" w:cs="Arial"/>
          <w:color w:val="000000" w:themeColor="text1"/>
          <w:sz w:val="22"/>
          <w:szCs w:val="22"/>
          <w:lang w:eastAsia="en-GB"/>
        </w:rPr>
        <w:t xml:space="preserve"> to recall a patient</w:t>
      </w:r>
      <w:r w:rsidR="00300E92" w:rsidRPr="00027237">
        <w:rPr>
          <w:rFonts w:ascii="Arial" w:eastAsia="Arial" w:hAnsi="Arial" w:cs="Arial"/>
          <w:color w:val="000000" w:themeColor="text1"/>
          <w:sz w:val="22"/>
          <w:szCs w:val="22"/>
          <w:lang w:eastAsia="en-GB"/>
        </w:rPr>
        <w:t xml:space="preserve"> from the community</w:t>
      </w:r>
      <w:r w:rsidR="00C71784" w:rsidRPr="00027237">
        <w:rPr>
          <w:rFonts w:ascii="Arial" w:eastAsia="Arial" w:hAnsi="Arial" w:cs="Arial"/>
          <w:color w:val="000000" w:themeColor="text1"/>
          <w:sz w:val="22"/>
          <w:szCs w:val="22"/>
          <w:lang w:eastAsia="en-GB"/>
        </w:rPr>
        <w:t xml:space="preserve"> to hospital </w:t>
      </w:r>
      <w:r w:rsidR="00233F6C" w:rsidRPr="00027237">
        <w:rPr>
          <w:rFonts w:ascii="Arial" w:eastAsia="Arial" w:hAnsi="Arial" w:cs="Arial"/>
          <w:color w:val="000000" w:themeColor="text1"/>
          <w:sz w:val="22"/>
          <w:szCs w:val="22"/>
          <w:lang w:eastAsia="en-GB"/>
        </w:rPr>
        <w:t>and this power will normally be exercised for the patient to receive</w:t>
      </w:r>
      <w:r w:rsidR="00C71784" w:rsidRPr="00027237">
        <w:rPr>
          <w:rFonts w:ascii="Arial" w:eastAsia="Arial" w:hAnsi="Arial" w:cs="Arial"/>
          <w:color w:val="000000" w:themeColor="text1"/>
          <w:sz w:val="22"/>
          <w:szCs w:val="22"/>
          <w:lang w:eastAsia="en-GB"/>
        </w:rPr>
        <w:t xml:space="preserve"> treatment</w:t>
      </w:r>
      <w:r w:rsidR="00233F6C" w:rsidRPr="00027237">
        <w:rPr>
          <w:rFonts w:ascii="Arial" w:eastAsia="Arial" w:hAnsi="Arial" w:cs="Arial"/>
          <w:color w:val="000000" w:themeColor="text1"/>
          <w:sz w:val="22"/>
          <w:szCs w:val="22"/>
          <w:lang w:eastAsia="en-GB"/>
        </w:rPr>
        <w:t xml:space="preserve"> in hospital</w:t>
      </w:r>
      <w:r w:rsidR="00C71784" w:rsidRPr="00027237">
        <w:rPr>
          <w:rFonts w:ascii="Arial" w:eastAsia="Arial" w:hAnsi="Arial" w:cs="Arial"/>
          <w:color w:val="000000" w:themeColor="text1"/>
          <w:sz w:val="22"/>
          <w:szCs w:val="22"/>
          <w:lang w:eastAsia="en-GB"/>
        </w:rPr>
        <w:t xml:space="preserve"> </w:t>
      </w:r>
      <w:r w:rsidR="00233F6C" w:rsidRPr="00027237">
        <w:rPr>
          <w:rFonts w:ascii="Arial" w:eastAsia="Arial" w:hAnsi="Arial" w:cs="Arial"/>
          <w:color w:val="000000" w:themeColor="text1"/>
          <w:sz w:val="22"/>
          <w:szCs w:val="22"/>
          <w:lang w:eastAsia="en-GB"/>
        </w:rPr>
        <w:t>for</w:t>
      </w:r>
      <w:r w:rsidR="00C71784" w:rsidRPr="00027237">
        <w:rPr>
          <w:rFonts w:ascii="Arial" w:eastAsia="Arial" w:hAnsi="Arial" w:cs="Arial"/>
          <w:color w:val="000000" w:themeColor="text1"/>
          <w:sz w:val="22"/>
          <w:szCs w:val="22"/>
          <w:lang w:eastAsia="en-GB"/>
        </w:rPr>
        <w:t xml:space="preserve"> their mental disorder or, in the absence of medical evidence, </w:t>
      </w:r>
      <w:r w:rsidR="0074146F" w:rsidRPr="00027237">
        <w:rPr>
          <w:rFonts w:ascii="Arial" w:eastAsia="Arial" w:hAnsi="Arial" w:cs="Arial"/>
          <w:color w:val="000000" w:themeColor="text1"/>
          <w:sz w:val="22"/>
          <w:szCs w:val="22"/>
          <w:lang w:eastAsia="en-GB"/>
        </w:rPr>
        <w:t xml:space="preserve">for </w:t>
      </w:r>
      <w:r w:rsidR="00233F6C" w:rsidRPr="00027237">
        <w:rPr>
          <w:rFonts w:ascii="Arial" w:eastAsia="Arial" w:hAnsi="Arial" w:cs="Arial"/>
          <w:color w:val="000000" w:themeColor="text1"/>
          <w:sz w:val="22"/>
          <w:szCs w:val="22"/>
          <w:lang w:eastAsia="en-GB"/>
        </w:rPr>
        <w:t xml:space="preserve">urgent </w:t>
      </w:r>
      <w:r w:rsidR="0074146F" w:rsidRPr="00027237">
        <w:rPr>
          <w:rFonts w:ascii="Arial" w:eastAsia="Arial" w:hAnsi="Arial" w:cs="Arial"/>
          <w:color w:val="000000" w:themeColor="text1"/>
          <w:sz w:val="22"/>
          <w:szCs w:val="22"/>
          <w:lang w:eastAsia="en-GB"/>
        </w:rPr>
        <w:t>assessment</w:t>
      </w:r>
      <w:r w:rsidR="00300E92" w:rsidRPr="00027237">
        <w:rPr>
          <w:rFonts w:ascii="Arial" w:eastAsia="Arial" w:hAnsi="Arial" w:cs="Arial"/>
          <w:color w:val="000000" w:themeColor="text1"/>
          <w:sz w:val="22"/>
          <w:szCs w:val="22"/>
          <w:lang w:eastAsia="en-GB"/>
        </w:rPr>
        <w:t xml:space="preserve">. </w:t>
      </w:r>
      <w:r w:rsidR="00552790" w:rsidRPr="00027237">
        <w:rPr>
          <w:rFonts w:ascii="Arial" w:eastAsia="Arial" w:hAnsi="Arial" w:cs="Arial"/>
          <w:color w:val="000000" w:themeColor="text1"/>
          <w:sz w:val="22"/>
          <w:szCs w:val="22"/>
          <w:lang w:eastAsia="en-GB"/>
        </w:rPr>
        <w:t xml:space="preserve">Further, the </w:t>
      </w:r>
      <w:r w:rsidR="00D35BF2" w:rsidRPr="00027237">
        <w:rPr>
          <w:rFonts w:ascii="Arial" w:eastAsia="Arial" w:hAnsi="Arial" w:cs="Arial"/>
          <w:color w:val="000000" w:themeColor="text1"/>
          <w:sz w:val="22"/>
          <w:szCs w:val="22"/>
          <w:lang w:eastAsia="en-GB"/>
        </w:rPr>
        <w:t xml:space="preserve">clinical and social </w:t>
      </w:r>
      <w:r w:rsidR="00552790" w:rsidRPr="00027237">
        <w:rPr>
          <w:rFonts w:ascii="Arial" w:eastAsia="Arial" w:hAnsi="Arial" w:cs="Arial"/>
          <w:color w:val="000000" w:themeColor="text1"/>
          <w:sz w:val="22"/>
          <w:szCs w:val="22"/>
          <w:lang w:eastAsia="en-GB"/>
        </w:rPr>
        <w:t>supervisors of the patient have a statutory</w:t>
      </w:r>
      <w:r w:rsidR="00A03952" w:rsidRPr="00027237">
        <w:rPr>
          <w:rFonts w:ascii="Arial" w:eastAsia="Arial" w:hAnsi="Arial" w:cs="Arial"/>
          <w:color w:val="000000" w:themeColor="text1"/>
          <w:sz w:val="22"/>
          <w:szCs w:val="22"/>
          <w:lang w:eastAsia="en-GB"/>
        </w:rPr>
        <w:t xml:space="preserve"> requirement under section 41(6)</w:t>
      </w:r>
      <w:r w:rsidRPr="00027237">
        <w:rPr>
          <w:rStyle w:val="FootnoteReference"/>
          <w:rFonts w:ascii="Arial" w:eastAsia="Arial" w:hAnsi="Arial" w:cs="Arial"/>
          <w:color w:val="000000" w:themeColor="text1"/>
          <w:sz w:val="22"/>
          <w:szCs w:val="22"/>
          <w:lang w:eastAsia="en-GB"/>
        </w:rPr>
        <w:footnoteReference w:id="7"/>
      </w:r>
      <w:r w:rsidR="00A03952" w:rsidRPr="00027237">
        <w:rPr>
          <w:rFonts w:ascii="Arial" w:eastAsia="Arial" w:hAnsi="Arial" w:cs="Arial"/>
          <w:color w:val="000000" w:themeColor="text1"/>
          <w:sz w:val="22"/>
          <w:szCs w:val="22"/>
          <w:lang w:eastAsia="en-GB"/>
        </w:rPr>
        <w:t xml:space="preserve"> of the </w:t>
      </w:r>
      <w:r w:rsidR="6DD6DAB3" w:rsidRPr="00027237">
        <w:rPr>
          <w:rFonts w:ascii="Arial" w:eastAsia="Arial" w:hAnsi="Arial" w:cs="Arial"/>
          <w:color w:val="000000" w:themeColor="text1"/>
          <w:sz w:val="22"/>
          <w:szCs w:val="22"/>
          <w:lang w:eastAsia="en-GB"/>
        </w:rPr>
        <w:t xml:space="preserve">1983 </w:t>
      </w:r>
      <w:r w:rsidR="00A03952" w:rsidRPr="00027237">
        <w:rPr>
          <w:rFonts w:ascii="Arial" w:eastAsia="Arial" w:hAnsi="Arial" w:cs="Arial"/>
          <w:color w:val="000000" w:themeColor="text1"/>
          <w:sz w:val="22"/>
          <w:szCs w:val="22"/>
          <w:lang w:eastAsia="en-GB"/>
        </w:rPr>
        <w:t>Act</w:t>
      </w:r>
      <w:r w:rsidR="00552790" w:rsidRPr="00027237">
        <w:rPr>
          <w:rFonts w:ascii="Arial" w:eastAsia="Arial" w:hAnsi="Arial" w:cs="Arial"/>
          <w:color w:val="000000" w:themeColor="text1"/>
          <w:sz w:val="22"/>
          <w:szCs w:val="22"/>
          <w:lang w:eastAsia="en-GB"/>
        </w:rPr>
        <w:t xml:space="preserve"> to submit regular reports on the </w:t>
      </w:r>
      <w:r w:rsidR="00C31F60" w:rsidRPr="00027237">
        <w:rPr>
          <w:rFonts w:ascii="Arial" w:eastAsia="Arial" w:hAnsi="Arial" w:cs="Arial"/>
          <w:color w:val="000000" w:themeColor="text1"/>
          <w:sz w:val="22"/>
          <w:szCs w:val="22"/>
          <w:lang w:eastAsia="en-GB"/>
        </w:rPr>
        <w:t xml:space="preserve">progress of the patient in the community. </w:t>
      </w:r>
    </w:p>
    <w:p w14:paraId="1609E859" w14:textId="77777777" w:rsidR="004D22D0" w:rsidRPr="00027237" w:rsidRDefault="004D22D0" w:rsidP="4DD53C4F">
      <w:pPr>
        <w:pStyle w:val="ListParagraph"/>
        <w:rPr>
          <w:rFonts w:ascii="Arial" w:eastAsia="Arial" w:hAnsi="Arial" w:cs="Arial"/>
          <w:color w:val="000000"/>
          <w:sz w:val="22"/>
          <w:szCs w:val="22"/>
          <w:lang w:eastAsia="en-GB"/>
        </w:rPr>
      </w:pPr>
    </w:p>
    <w:p w14:paraId="1D010C64" w14:textId="726AAF60" w:rsidR="00510F5C" w:rsidRPr="00027237" w:rsidRDefault="00AF11EA" w:rsidP="009E77B2">
      <w:pPr>
        <w:spacing w:after="231" w:line="249" w:lineRule="auto"/>
        <w:ind w:left="350" w:firstLine="720"/>
        <w:contextualSpacing/>
        <w:rPr>
          <w:rFonts w:eastAsia="Arial"/>
          <w:b/>
          <w:bCs/>
          <w:color w:val="000000"/>
          <w:sz w:val="22"/>
          <w:lang w:eastAsia="en-GB"/>
        </w:rPr>
      </w:pPr>
      <w:r w:rsidRPr="00027237">
        <w:rPr>
          <w:rFonts w:eastAsia="Arial"/>
          <w:b/>
          <w:bCs/>
          <w:color w:val="000000" w:themeColor="text1"/>
          <w:sz w:val="22"/>
          <w:lang w:eastAsia="en-GB"/>
        </w:rPr>
        <w:t xml:space="preserve">Section 3 </w:t>
      </w:r>
      <w:r w:rsidR="00767613" w:rsidRPr="00027237">
        <w:rPr>
          <w:rFonts w:eastAsia="Arial"/>
          <w:b/>
          <w:bCs/>
          <w:color w:val="000000" w:themeColor="text1"/>
          <w:sz w:val="22"/>
          <w:lang w:eastAsia="en-GB"/>
        </w:rPr>
        <w:t>–</w:t>
      </w:r>
      <w:r w:rsidRPr="00027237">
        <w:rPr>
          <w:rFonts w:eastAsia="Arial"/>
          <w:b/>
          <w:bCs/>
          <w:color w:val="000000" w:themeColor="text1"/>
          <w:sz w:val="22"/>
          <w:lang w:eastAsia="en-GB"/>
        </w:rPr>
        <w:t xml:space="preserve"> </w:t>
      </w:r>
      <w:r w:rsidR="00767613" w:rsidRPr="00027237">
        <w:rPr>
          <w:rFonts w:eastAsia="Arial"/>
          <w:b/>
          <w:bCs/>
          <w:color w:val="000000" w:themeColor="text1"/>
          <w:sz w:val="22"/>
          <w:lang w:eastAsia="en-GB"/>
        </w:rPr>
        <w:t xml:space="preserve">Conditions of Discharge </w:t>
      </w:r>
    </w:p>
    <w:p w14:paraId="449DDB9A" w14:textId="33FC8EF2" w:rsidR="00767613" w:rsidRPr="00027237" w:rsidRDefault="002B4848" w:rsidP="4DD53C4F">
      <w:pPr>
        <w:pStyle w:val="ListParagraph"/>
        <w:numPr>
          <w:ilvl w:val="0"/>
          <w:numId w:val="4"/>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 xml:space="preserve">The </w:t>
      </w:r>
      <w:r w:rsidR="00691BE3" w:rsidRPr="00027237">
        <w:rPr>
          <w:rFonts w:ascii="Arial" w:eastAsia="Arial" w:hAnsi="Arial" w:cs="Arial"/>
          <w:color w:val="000000" w:themeColor="text1"/>
          <w:sz w:val="22"/>
          <w:szCs w:val="22"/>
          <w:lang w:eastAsia="en-GB"/>
        </w:rPr>
        <w:t xml:space="preserve">conditions of discharge that are set by the Tribunal or Secretary of State will broadly fall into </w:t>
      </w:r>
      <w:r w:rsidR="0058560D" w:rsidRPr="00027237">
        <w:rPr>
          <w:rFonts w:ascii="Arial" w:eastAsia="Arial" w:hAnsi="Arial" w:cs="Arial"/>
          <w:color w:val="000000" w:themeColor="text1"/>
          <w:sz w:val="22"/>
          <w:szCs w:val="22"/>
          <w:lang w:eastAsia="en-GB"/>
        </w:rPr>
        <w:t>four</w:t>
      </w:r>
      <w:r w:rsidR="00691BE3" w:rsidRPr="00027237">
        <w:rPr>
          <w:rFonts w:ascii="Arial" w:eastAsia="Arial" w:hAnsi="Arial" w:cs="Arial"/>
          <w:color w:val="000000" w:themeColor="text1"/>
          <w:sz w:val="22"/>
          <w:szCs w:val="22"/>
          <w:lang w:eastAsia="en-GB"/>
        </w:rPr>
        <w:t xml:space="preserve"> </w:t>
      </w:r>
      <w:r w:rsidR="00044746" w:rsidRPr="00027237">
        <w:rPr>
          <w:rFonts w:ascii="Arial" w:eastAsia="Arial" w:hAnsi="Arial" w:cs="Arial"/>
          <w:color w:val="000000" w:themeColor="text1"/>
          <w:sz w:val="22"/>
          <w:szCs w:val="22"/>
          <w:lang w:eastAsia="en-GB"/>
        </w:rPr>
        <w:t>categories</w:t>
      </w:r>
      <w:r w:rsidR="000075ED" w:rsidRPr="00027237">
        <w:rPr>
          <w:rFonts w:ascii="Arial" w:eastAsia="Arial" w:hAnsi="Arial" w:cs="Arial"/>
          <w:color w:val="000000" w:themeColor="text1"/>
          <w:sz w:val="22"/>
          <w:szCs w:val="22"/>
          <w:lang w:eastAsia="en-GB"/>
        </w:rPr>
        <w:t>:</w:t>
      </w:r>
    </w:p>
    <w:p w14:paraId="3A66A916" w14:textId="0F71763B" w:rsidR="000075ED" w:rsidRPr="00027237" w:rsidRDefault="000075ED" w:rsidP="4DD53C4F">
      <w:pPr>
        <w:pStyle w:val="ListParagraph"/>
        <w:spacing w:after="231" w:line="249" w:lineRule="auto"/>
        <w:ind w:left="1070"/>
        <w:contextualSpacing/>
        <w:rPr>
          <w:rFonts w:ascii="Arial" w:eastAsia="Arial" w:hAnsi="Arial" w:cs="Arial"/>
          <w:color w:val="000000"/>
          <w:sz w:val="22"/>
          <w:szCs w:val="22"/>
          <w:lang w:eastAsia="en-GB"/>
        </w:rPr>
      </w:pPr>
    </w:p>
    <w:p w14:paraId="0ED1629E" w14:textId="3449CAF4" w:rsidR="000075ED" w:rsidRPr="00027237" w:rsidRDefault="000075ED" w:rsidP="4DD53C4F">
      <w:pPr>
        <w:pStyle w:val="ListParagraph"/>
        <w:numPr>
          <w:ilvl w:val="0"/>
          <w:numId w:val="5"/>
        </w:numPr>
        <w:spacing w:after="231" w:line="249" w:lineRule="auto"/>
        <w:contextualSpacing/>
        <w:rPr>
          <w:rFonts w:ascii="Arial" w:eastAsia="Arial" w:hAnsi="Arial" w:cs="Arial"/>
          <w:color w:val="000000"/>
          <w:sz w:val="22"/>
          <w:szCs w:val="22"/>
          <w:lang w:eastAsia="en-GB"/>
        </w:rPr>
      </w:pPr>
      <w:bookmarkStart w:id="7" w:name="_Hlk124854502"/>
      <w:r w:rsidRPr="00027237">
        <w:rPr>
          <w:rFonts w:ascii="Arial" w:eastAsia="Arial" w:hAnsi="Arial" w:cs="Arial"/>
          <w:color w:val="000000" w:themeColor="text1"/>
          <w:sz w:val="22"/>
          <w:szCs w:val="22"/>
          <w:u w:val="single"/>
          <w:lang w:eastAsia="en-GB"/>
        </w:rPr>
        <w:t>Standard</w:t>
      </w:r>
      <w:r w:rsidR="00A149A8" w:rsidRPr="00027237">
        <w:rPr>
          <w:rFonts w:ascii="Arial" w:eastAsia="Arial" w:hAnsi="Arial" w:cs="Arial"/>
          <w:color w:val="000000" w:themeColor="text1"/>
          <w:sz w:val="22"/>
          <w:szCs w:val="22"/>
          <w:u w:val="single"/>
          <w:lang w:eastAsia="en-GB"/>
        </w:rPr>
        <w:t xml:space="preserve"> </w:t>
      </w:r>
      <w:proofErr w:type="gramStart"/>
      <w:r w:rsidR="00A149A8" w:rsidRPr="00027237">
        <w:rPr>
          <w:rFonts w:ascii="Arial" w:eastAsia="Arial" w:hAnsi="Arial" w:cs="Arial"/>
          <w:color w:val="000000" w:themeColor="text1"/>
          <w:sz w:val="22"/>
          <w:szCs w:val="22"/>
          <w:u w:val="single"/>
          <w:lang w:eastAsia="en-GB"/>
        </w:rPr>
        <w:t>conditions</w:t>
      </w:r>
      <w:r w:rsidR="1FD990DD" w:rsidRPr="00027237">
        <w:rPr>
          <w:rFonts w:ascii="Arial" w:eastAsia="Arial" w:hAnsi="Arial" w:cs="Arial"/>
          <w:color w:val="000000" w:themeColor="text1"/>
          <w:sz w:val="22"/>
          <w:szCs w:val="22"/>
          <w:u w:val="single"/>
          <w:lang w:eastAsia="en-GB"/>
        </w:rPr>
        <w:t>;</w:t>
      </w:r>
      <w:proofErr w:type="gramEnd"/>
      <w:r w:rsidR="00A149A8" w:rsidRPr="00027237">
        <w:rPr>
          <w:rFonts w:ascii="Arial" w:eastAsia="Arial" w:hAnsi="Arial" w:cs="Arial"/>
          <w:color w:val="000000" w:themeColor="text1"/>
          <w:sz w:val="22"/>
          <w:szCs w:val="22"/>
          <w:lang w:eastAsia="en-GB"/>
        </w:rPr>
        <w:t xml:space="preserve"> will generally be imposed in all cases and these </w:t>
      </w:r>
      <w:r w:rsidR="00956472" w:rsidRPr="00027237">
        <w:rPr>
          <w:rFonts w:ascii="Arial" w:eastAsia="Arial" w:hAnsi="Arial" w:cs="Arial"/>
          <w:color w:val="000000" w:themeColor="text1"/>
          <w:sz w:val="22"/>
          <w:szCs w:val="22"/>
          <w:lang w:eastAsia="en-GB"/>
        </w:rPr>
        <w:t xml:space="preserve">are conditions that relate to where the patient lives, compliance with </w:t>
      </w:r>
      <w:r w:rsidR="009F2B25" w:rsidRPr="00027237">
        <w:rPr>
          <w:rFonts w:ascii="Arial" w:eastAsia="Arial" w:hAnsi="Arial" w:cs="Arial"/>
          <w:color w:val="000000" w:themeColor="text1"/>
          <w:sz w:val="22"/>
          <w:szCs w:val="22"/>
          <w:lang w:eastAsia="en-GB"/>
        </w:rPr>
        <w:t>treatment</w:t>
      </w:r>
      <w:r w:rsidR="000136A9" w:rsidRPr="00027237">
        <w:rPr>
          <w:rFonts w:ascii="Arial" w:eastAsia="Arial" w:hAnsi="Arial" w:cs="Arial"/>
          <w:color w:val="000000" w:themeColor="text1"/>
          <w:sz w:val="22"/>
          <w:szCs w:val="22"/>
          <w:lang w:eastAsia="en-GB"/>
        </w:rPr>
        <w:t>, compliance with supervision</w:t>
      </w:r>
      <w:r w:rsidR="00827CD7" w:rsidRPr="00027237">
        <w:rPr>
          <w:rFonts w:ascii="Arial" w:eastAsia="Arial" w:hAnsi="Arial" w:cs="Arial"/>
          <w:color w:val="000000" w:themeColor="text1"/>
          <w:sz w:val="22"/>
          <w:szCs w:val="22"/>
          <w:lang w:eastAsia="en-GB"/>
        </w:rPr>
        <w:t xml:space="preserve"> and other conditions wh</w:t>
      </w:r>
      <w:r w:rsidR="00DA6DCA" w:rsidRPr="00027237">
        <w:rPr>
          <w:rFonts w:ascii="Arial" w:eastAsia="Arial" w:hAnsi="Arial" w:cs="Arial"/>
          <w:color w:val="000000" w:themeColor="text1"/>
          <w:sz w:val="22"/>
          <w:szCs w:val="22"/>
          <w:lang w:eastAsia="en-GB"/>
        </w:rPr>
        <w:t>ere</w:t>
      </w:r>
      <w:r w:rsidR="00827CD7" w:rsidRPr="00027237">
        <w:rPr>
          <w:rFonts w:ascii="Arial" w:eastAsia="Arial" w:hAnsi="Arial" w:cs="Arial"/>
          <w:color w:val="000000" w:themeColor="text1"/>
          <w:sz w:val="22"/>
          <w:szCs w:val="22"/>
          <w:lang w:eastAsia="en-GB"/>
        </w:rPr>
        <w:t xml:space="preserve"> the Secretary of State </w:t>
      </w:r>
      <w:r w:rsidR="00F41EF6" w:rsidRPr="00027237">
        <w:rPr>
          <w:rFonts w:ascii="Arial" w:eastAsia="Arial" w:hAnsi="Arial" w:cs="Arial"/>
          <w:color w:val="000000" w:themeColor="text1"/>
          <w:sz w:val="22"/>
          <w:szCs w:val="22"/>
          <w:lang w:eastAsia="en-GB"/>
        </w:rPr>
        <w:t xml:space="preserve">or Tribunal </w:t>
      </w:r>
      <w:r w:rsidR="00DA6DCA" w:rsidRPr="00027237">
        <w:rPr>
          <w:rFonts w:ascii="Arial" w:eastAsia="Arial" w:hAnsi="Arial" w:cs="Arial"/>
          <w:color w:val="000000" w:themeColor="text1"/>
          <w:sz w:val="22"/>
          <w:szCs w:val="22"/>
          <w:lang w:eastAsia="en-GB"/>
        </w:rPr>
        <w:t xml:space="preserve">takes the </w:t>
      </w:r>
      <w:r w:rsidR="002C33AF" w:rsidRPr="00027237">
        <w:rPr>
          <w:rFonts w:ascii="Arial" w:eastAsia="Arial" w:hAnsi="Arial" w:cs="Arial"/>
          <w:color w:val="000000" w:themeColor="text1"/>
          <w:sz w:val="22"/>
          <w:szCs w:val="22"/>
          <w:lang w:eastAsia="en-GB"/>
        </w:rPr>
        <w:t>view</w:t>
      </w:r>
      <w:r w:rsidR="00DA6DCA" w:rsidRPr="00027237">
        <w:rPr>
          <w:rFonts w:ascii="Arial" w:eastAsia="Arial" w:hAnsi="Arial" w:cs="Arial"/>
          <w:color w:val="000000" w:themeColor="text1"/>
          <w:sz w:val="22"/>
          <w:szCs w:val="22"/>
          <w:lang w:eastAsia="en-GB"/>
        </w:rPr>
        <w:t xml:space="preserve"> </w:t>
      </w:r>
      <w:r w:rsidR="002C33AF" w:rsidRPr="00027237">
        <w:rPr>
          <w:rFonts w:ascii="Arial" w:eastAsia="Arial" w:hAnsi="Arial" w:cs="Arial"/>
          <w:color w:val="000000" w:themeColor="text1"/>
          <w:sz w:val="22"/>
          <w:szCs w:val="22"/>
          <w:lang w:eastAsia="en-GB"/>
        </w:rPr>
        <w:t>th</w:t>
      </w:r>
      <w:r w:rsidR="00DA6DCA" w:rsidRPr="00027237">
        <w:rPr>
          <w:rFonts w:ascii="Arial" w:eastAsia="Arial" w:hAnsi="Arial" w:cs="Arial"/>
          <w:color w:val="000000" w:themeColor="text1"/>
          <w:sz w:val="22"/>
          <w:szCs w:val="22"/>
          <w:lang w:eastAsia="en-GB"/>
        </w:rPr>
        <w:t>at such</w:t>
      </w:r>
      <w:r w:rsidR="002C33AF" w:rsidRPr="00027237">
        <w:rPr>
          <w:rFonts w:ascii="Arial" w:eastAsia="Arial" w:hAnsi="Arial" w:cs="Arial"/>
          <w:color w:val="000000" w:themeColor="text1"/>
          <w:sz w:val="22"/>
          <w:szCs w:val="22"/>
          <w:lang w:eastAsia="en-GB"/>
        </w:rPr>
        <w:t xml:space="preserve"> conditions a</w:t>
      </w:r>
      <w:r w:rsidR="00DA6DCA" w:rsidRPr="00027237">
        <w:rPr>
          <w:rFonts w:ascii="Arial" w:eastAsia="Arial" w:hAnsi="Arial" w:cs="Arial"/>
          <w:color w:val="000000" w:themeColor="text1"/>
          <w:sz w:val="22"/>
          <w:szCs w:val="22"/>
          <w:lang w:eastAsia="en-GB"/>
        </w:rPr>
        <w:t>re</w:t>
      </w:r>
      <w:r w:rsidR="002C33AF" w:rsidRPr="00027237">
        <w:rPr>
          <w:rFonts w:ascii="Arial" w:eastAsia="Arial" w:hAnsi="Arial" w:cs="Arial"/>
          <w:color w:val="000000" w:themeColor="text1"/>
          <w:sz w:val="22"/>
          <w:szCs w:val="22"/>
          <w:lang w:eastAsia="en-GB"/>
        </w:rPr>
        <w:t xml:space="preserve"> essential for the maintenance of an effective and safe discharge.</w:t>
      </w:r>
    </w:p>
    <w:p w14:paraId="6E12B7B4" w14:textId="6C3BBF61" w:rsidR="005B4E11" w:rsidRPr="00027237" w:rsidRDefault="005B4E11" w:rsidP="4DD53C4F">
      <w:pPr>
        <w:pStyle w:val="ListParagraph"/>
        <w:numPr>
          <w:ilvl w:val="0"/>
          <w:numId w:val="5"/>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sz w:val="22"/>
          <w:szCs w:val="22"/>
          <w:u w:val="single"/>
          <w:lang w:eastAsia="en-GB"/>
        </w:rPr>
        <w:t xml:space="preserve">Victim related </w:t>
      </w:r>
      <w:proofErr w:type="gramStart"/>
      <w:r w:rsidRPr="00027237">
        <w:rPr>
          <w:rFonts w:ascii="Arial" w:eastAsia="Arial" w:hAnsi="Arial" w:cs="Arial"/>
          <w:color w:val="000000"/>
          <w:sz w:val="22"/>
          <w:szCs w:val="22"/>
          <w:u w:val="single"/>
          <w:lang w:eastAsia="en-GB"/>
        </w:rPr>
        <w:t>conditions</w:t>
      </w:r>
      <w:r w:rsidRPr="00027237">
        <w:rPr>
          <w:rFonts w:ascii="Arial" w:eastAsia="Arial" w:hAnsi="Arial" w:cs="Arial"/>
          <w:color w:val="000000"/>
          <w:sz w:val="22"/>
          <w:szCs w:val="22"/>
          <w:lang w:eastAsia="en-GB"/>
        </w:rPr>
        <w:t>;</w:t>
      </w:r>
      <w:proofErr w:type="gramEnd"/>
      <w:r w:rsidRPr="00027237">
        <w:rPr>
          <w:rFonts w:ascii="Arial" w:eastAsia="Arial" w:hAnsi="Arial" w:cs="Arial"/>
          <w:color w:val="000000"/>
          <w:sz w:val="22"/>
          <w:szCs w:val="22"/>
          <w:lang w:eastAsia="en-GB"/>
        </w:rPr>
        <w:t xml:space="preserve"> </w:t>
      </w:r>
      <w:r w:rsidR="05679C1A" w:rsidRPr="00027237">
        <w:rPr>
          <w:rFonts w:ascii="Arial" w:eastAsia="Arial" w:hAnsi="Arial" w:cs="Arial"/>
          <w:color w:val="000000"/>
          <w:sz w:val="22"/>
          <w:szCs w:val="22"/>
          <w:lang w:eastAsia="en-GB"/>
        </w:rPr>
        <w:t>t</w:t>
      </w:r>
      <w:r w:rsidRPr="00027237">
        <w:rPr>
          <w:rFonts w:ascii="Arial" w:eastAsia="Arial" w:hAnsi="Arial" w:cs="Arial"/>
          <w:color w:val="000000"/>
          <w:sz w:val="22"/>
          <w:szCs w:val="22"/>
          <w:lang w:eastAsia="en-GB"/>
        </w:rPr>
        <w:t xml:space="preserve">he majority of the patients will have committed </w:t>
      </w:r>
      <w:r w:rsidR="004E3EB8" w:rsidRPr="00027237">
        <w:rPr>
          <w:rFonts w:ascii="Arial" w:eastAsia="Arial" w:hAnsi="Arial" w:cs="Arial"/>
          <w:color w:val="000000"/>
          <w:sz w:val="22"/>
          <w:szCs w:val="22"/>
          <w:lang w:eastAsia="en-GB"/>
        </w:rPr>
        <w:t>offences that are either violent or sexual in their nature and these offences will have a victim. The victim can be the person directly affected by the offence</w:t>
      </w:r>
      <w:r w:rsidR="0047548C" w:rsidRPr="00027237">
        <w:rPr>
          <w:rFonts w:ascii="Arial" w:eastAsia="Arial" w:hAnsi="Arial" w:cs="Arial"/>
          <w:color w:val="000000"/>
          <w:sz w:val="22"/>
          <w:szCs w:val="22"/>
          <w:lang w:eastAsia="en-GB"/>
        </w:rPr>
        <w:t>, the partner of the victim or</w:t>
      </w:r>
      <w:r w:rsidR="004E3EB8" w:rsidRPr="00027237">
        <w:rPr>
          <w:rFonts w:ascii="Arial" w:eastAsia="Arial" w:hAnsi="Arial" w:cs="Arial"/>
          <w:color w:val="000000"/>
          <w:sz w:val="22"/>
          <w:szCs w:val="22"/>
          <w:lang w:eastAsia="en-GB"/>
        </w:rPr>
        <w:t xml:space="preserve"> the family </w:t>
      </w:r>
      <w:r w:rsidR="008D2E72" w:rsidRPr="00027237">
        <w:rPr>
          <w:rFonts w:ascii="Arial" w:eastAsia="Arial" w:hAnsi="Arial" w:cs="Arial"/>
          <w:color w:val="000000"/>
          <w:sz w:val="22"/>
          <w:szCs w:val="22"/>
          <w:lang w:eastAsia="en-GB"/>
        </w:rPr>
        <w:t>of the victim</w:t>
      </w:r>
      <w:r w:rsidR="00233F6C" w:rsidRPr="00027237">
        <w:rPr>
          <w:rFonts w:ascii="Arial" w:eastAsia="Arial" w:hAnsi="Arial" w:cs="Arial"/>
          <w:color w:val="000000"/>
          <w:sz w:val="22"/>
          <w:szCs w:val="22"/>
          <w:lang w:eastAsia="en-GB"/>
        </w:rPr>
        <w:t>, in the case of a homicide</w:t>
      </w:r>
      <w:r w:rsidR="00233F6C" w:rsidRPr="00027237">
        <w:rPr>
          <w:rStyle w:val="FootnoteReference"/>
          <w:rFonts w:ascii="Arial" w:eastAsia="Arial" w:hAnsi="Arial" w:cs="Arial"/>
          <w:color w:val="000000"/>
          <w:sz w:val="22"/>
          <w:szCs w:val="22"/>
          <w:lang w:eastAsia="en-GB"/>
        </w:rPr>
        <w:footnoteReference w:id="8"/>
      </w:r>
      <w:r w:rsidR="008D2E72" w:rsidRPr="00027237">
        <w:rPr>
          <w:rFonts w:ascii="Arial" w:eastAsia="Arial" w:hAnsi="Arial" w:cs="Arial"/>
          <w:color w:val="000000"/>
          <w:sz w:val="22"/>
          <w:szCs w:val="22"/>
          <w:lang w:eastAsia="en-GB"/>
        </w:rPr>
        <w:t xml:space="preserve">. </w:t>
      </w:r>
      <w:r w:rsidR="00EA1C3A" w:rsidRPr="00027237">
        <w:rPr>
          <w:rFonts w:ascii="Arial" w:eastAsia="Arial" w:hAnsi="Arial" w:cs="Arial"/>
          <w:color w:val="000000"/>
          <w:sz w:val="22"/>
          <w:szCs w:val="22"/>
          <w:lang w:eastAsia="en-GB"/>
        </w:rPr>
        <w:t xml:space="preserve">These conditions will seek to </w:t>
      </w:r>
      <w:r w:rsidR="0054456E" w:rsidRPr="00027237">
        <w:rPr>
          <w:rFonts w:ascii="Arial" w:eastAsia="Arial" w:hAnsi="Arial" w:cs="Arial"/>
          <w:color w:val="000000" w:themeColor="text1"/>
          <w:sz w:val="22"/>
          <w:szCs w:val="22"/>
          <w:lang w:eastAsia="en-GB"/>
        </w:rPr>
        <w:t>prevent a chance or intentional encounter between the patient and the victim</w:t>
      </w:r>
      <w:r w:rsidR="0054456E" w:rsidRPr="00027237">
        <w:rPr>
          <w:rFonts w:ascii="Arial" w:eastAsia="Arial" w:hAnsi="Arial" w:cs="Arial"/>
          <w:color w:val="000000"/>
          <w:sz w:val="22"/>
          <w:szCs w:val="22"/>
          <w:lang w:eastAsia="en-GB"/>
        </w:rPr>
        <w:t xml:space="preserve"> </w:t>
      </w:r>
      <w:r w:rsidR="00B735E6" w:rsidRPr="00027237">
        <w:rPr>
          <w:rFonts w:ascii="Arial" w:eastAsia="Arial" w:hAnsi="Arial" w:cs="Arial"/>
          <w:color w:val="000000"/>
          <w:sz w:val="22"/>
          <w:szCs w:val="22"/>
          <w:lang w:eastAsia="en-GB"/>
        </w:rPr>
        <w:t xml:space="preserve">so </w:t>
      </w:r>
      <w:r w:rsidR="002546B2" w:rsidRPr="00027237">
        <w:rPr>
          <w:rFonts w:ascii="Arial" w:eastAsia="Arial" w:hAnsi="Arial" w:cs="Arial"/>
          <w:color w:val="000000"/>
          <w:sz w:val="22"/>
          <w:szCs w:val="22"/>
          <w:lang w:eastAsia="en-GB"/>
        </w:rPr>
        <w:t>victims</w:t>
      </w:r>
      <w:r w:rsidR="0060596D" w:rsidRPr="00027237">
        <w:rPr>
          <w:rFonts w:ascii="Arial" w:eastAsia="Arial" w:hAnsi="Arial" w:cs="Arial"/>
          <w:color w:val="000000"/>
          <w:sz w:val="22"/>
          <w:szCs w:val="22"/>
          <w:lang w:eastAsia="en-GB"/>
        </w:rPr>
        <w:t xml:space="preserve"> </w:t>
      </w:r>
      <w:r w:rsidR="0021737F" w:rsidRPr="00027237">
        <w:rPr>
          <w:rFonts w:ascii="Arial" w:eastAsia="Arial" w:hAnsi="Arial" w:cs="Arial"/>
          <w:color w:val="000000"/>
          <w:sz w:val="22"/>
          <w:szCs w:val="22"/>
          <w:lang w:eastAsia="en-GB"/>
        </w:rPr>
        <w:t xml:space="preserve">can go about their daily lives </w:t>
      </w:r>
      <w:r w:rsidR="00C4418F" w:rsidRPr="00027237">
        <w:rPr>
          <w:rFonts w:ascii="Arial" w:eastAsia="Arial" w:hAnsi="Arial" w:cs="Arial"/>
          <w:color w:val="000000"/>
          <w:sz w:val="22"/>
          <w:szCs w:val="22"/>
          <w:lang w:eastAsia="en-GB"/>
        </w:rPr>
        <w:t>The conditions will also have a broader role in</w:t>
      </w:r>
      <w:r w:rsidR="000044EA" w:rsidRPr="00027237">
        <w:rPr>
          <w:rFonts w:ascii="Arial" w:eastAsia="Arial" w:hAnsi="Arial" w:cs="Arial"/>
          <w:color w:val="000000"/>
          <w:sz w:val="22"/>
          <w:szCs w:val="22"/>
          <w:lang w:eastAsia="en-GB"/>
        </w:rPr>
        <w:t xml:space="preserve"> preventing future victims such as future partners for patients convicted of offences involving domestic violence o</w:t>
      </w:r>
      <w:r w:rsidR="00250533" w:rsidRPr="00027237">
        <w:rPr>
          <w:rFonts w:ascii="Arial" w:eastAsia="Arial" w:hAnsi="Arial" w:cs="Arial"/>
          <w:color w:val="000000"/>
          <w:sz w:val="22"/>
          <w:szCs w:val="22"/>
          <w:lang w:eastAsia="en-GB"/>
        </w:rPr>
        <w:t xml:space="preserve">r vulnerable groups in the community who have historically been </w:t>
      </w:r>
      <w:r w:rsidR="07CBCDB3" w:rsidRPr="00027237">
        <w:rPr>
          <w:rFonts w:ascii="Arial" w:eastAsia="Arial" w:hAnsi="Arial" w:cs="Arial"/>
          <w:color w:val="000000"/>
          <w:sz w:val="22"/>
          <w:szCs w:val="22"/>
          <w:lang w:eastAsia="en-GB"/>
        </w:rPr>
        <w:t>harmed</w:t>
      </w:r>
      <w:r w:rsidR="00250533" w:rsidRPr="00027237">
        <w:rPr>
          <w:rFonts w:ascii="Arial" w:eastAsia="Arial" w:hAnsi="Arial" w:cs="Arial"/>
          <w:color w:val="000000"/>
          <w:sz w:val="22"/>
          <w:szCs w:val="22"/>
          <w:lang w:eastAsia="en-GB"/>
        </w:rPr>
        <w:t xml:space="preserve"> by the patient. </w:t>
      </w:r>
    </w:p>
    <w:p w14:paraId="5D9CCBCC" w14:textId="504AE7A0" w:rsidR="000075ED" w:rsidRPr="00027237" w:rsidRDefault="009C054D" w:rsidP="4DD53C4F">
      <w:pPr>
        <w:pStyle w:val="ListParagraph"/>
        <w:numPr>
          <w:ilvl w:val="0"/>
          <w:numId w:val="5"/>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u w:val="single"/>
          <w:lang w:eastAsia="en-GB"/>
        </w:rPr>
        <w:t>Risk</w:t>
      </w:r>
      <w:r w:rsidR="000075ED" w:rsidRPr="00027237">
        <w:rPr>
          <w:rFonts w:ascii="Arial" w:eastAsia="Arial" w:hAnsi="Arial" w:cs="Arial"/>
          <w:color w:val="000000" w:themeColor="text1"/>
          <w:sz w:val="22"/>
          <w:szCs w:val="22"/>
          <w:u w:val="single"/>
          <w:lang w:eastAsia="en-GB"/>
        </w:rPr>
        <w:t xml:space="preserve"> relate</w:t>
      </w:r>
      <w:r w:rsidR="00B4455B" w:rsidRPr="00027237">
        <w:rPr>
          <w:rFonts w:ascii="Arial" w:eastAsia="Arial" w:hAnsi="Arial" w:cs="Arial"/>
          <w:color w:val="000000" w:themeColor="text1"/>
          <w:sz w:val="22"/>
          <w:szCs w:val="22"/>
          <w:u w:val="single"/>
          <w:lang w:eastAsia="en-GB"/>
        </w:rPr>
        <w:t>d</w:t>
      </w:r>
      <w:r w:rsidRPr="00027237">
        <w:rPr>
          <w:rFonts w:ascii="Arial" w:eastAsia="Arial" w:hAnsi="Arial" w:cs="Arial"/>
          <w:color w:val="000000" w:themeColor="text1"/>
          <w:sz w:val="22"/>
          <w:szCs w:val="22"/>
          <w:u w:val="single"/>
          <w:lang w:eastAsia="en-GB"/>
        </w:rPr>
        <w:t xml:space="preserve"> conditions</w:t>
      </w:r>
      <w:r w:rsidR="0042355A" w:rsidRPr="00027237">
        <w:rPr>
          <w:rFonts w:ascii="Arial" w:eastAsia="Arial" w:hAnsi="Arial" w:cs="Arial"/>
          <w:color w:val="000000" w:themeColor="text1"/>
          <w:sz w:val="22"/>
          <w:szCs w:val="22"/>
          <w:u w:val="single"/>
          <w:lang w:eastAsia="en-GB"/>
        </w:rPr>
        <w:t>:</w:t>
      </w:r>
      <w:r w:rsidR="00827CD7" w:rsidRPr="00027237">
        <w:rPr>
          <w:rFonts w:ascii="Arial" w:eastAsia="Arial" w:hAnsi="Arial" w:cs="Arial"/>
          <w:color w:val="000000" w:themeColor="text1"/>
          <w:sz w:val="22"/>
          <w:szCs w:val="22"/>
          <w:lang w:eastAsia="en-GB"/>
        </w:rPr>
        <w:t xml:space="preserve"> </w:t>
      </w:r>
      <w:r w:rsidR="0042355A" w:rsidRPr="00027237">
        <w:rPr>
          <w:rFonts w:ascii="Arial" w:eastAsia="Arial" w:hAnsi="Arial" w:cs="Arial"/>
          <w:color w:val="000000" w:themeColor="text1"/>
          <w:sz w:val="22"/>
          <w:szCs w:val="22"/>
          <w:lang w:eastAsia="en-GB"/>
        </w:rPr>
        <w:t>T</w:t>
      </w:r>
      <w:r w:rsidR="00827CD7" w:rsidRPr="00027237">
        <w:rPr>
          <w:rFonts w:ascii="Arial" w:eastAsia="Arial" w:hAnsi="Arial" w:cs="Arial"/>
          <w:color w:val="000000" w:themeColor="text1"/>
          <w:sz w:val="22"/>
          <w:szCs w:val="22"/>
          <w:lang w:eastAsia="en-GB"/>
        </w:rPr>
        <w:t xml:space="preserve">hese will </w:t>
      </w:r>
      <w:r w:rsidR="002C33AF" w:rsidRPr="00027237">
        <w:rPr>
          <w:rFonts w:ascii="Arial" w:eastAsia="Arial" w:hAnsi="Arial" w:cs="Arial"/>
          <w:color w:val="000000" w:themeColor="text1"/>
          <w:sz w:val="22"/>
          <w:szCs w:val="22"/>
          <w:lang w:eastAsia="en-GB"/>
        </w:rPr>
        <w:t xml:space="preserve">not necessarily appear in all cases as they may relate to </w:t>
      </w:r>
      <w:r w:rsidR="00E136CF" w:rsidRPr="00027237">
        <w:rPr>
          <w:rFonts w:ascii="Arial" w:eastAsia="Arial" w:hAnsi="Arial" w:cs="Arial"/>
          <w:color w:val="000000" w:themeColor="text1"/>
          <w:sz w:val="22"/>
          <w:szCs w:val="22"/>
          <w:lang w:eastAsia="en-GB"/>
        </w:rPr>
        <w:t xml:space="preserve">risks </w:t>
      </w:r>
      <w:r w:rsidR="00BD76EF" w:rsidRPr="00027237">
        <w:rPr>
          <w:rFonts w:ascii="Arial" w:eastAsia="Arial" w:hAnsi="Arial" w:cs="Arial"/>
          <w:color w:val="000000" w:themeColor="text1"/>
          <w:sz w:val="22"/>
          <w:szCs w:val="22"/>
          <w:lang w:eastAsia="en-GB"/>
        </w:rPr>
        <w:t xml:space="preserve">that individual patients have displayed in the past, </w:t>
      </w:r>
      <w:r w:rsidR="00E136CF" w:rsidRPr="00027237">
        <w:rPr>
          <w:rFonts w:ascii="Arial" w:eastAsia="Arial" w:hAnsi="Arial" w:cs="Arial"/>
          <w:color w:val="000000" w:themeColor="text1"/>
          <w:sz w:val="22"/>
          <w:szCs w:val="22"/>
          <w:lang w:eastAsia="en-GB"/>
        </w:rPr>
        <w:t xml:space="preserve">such as through </w:t>
      </w:r>
      <w:r w:rsidR="00EC5299" w:rsidRPr="00027237">
        <w:rPr>
          <w:rFonts w:ascii="Arial" w:eastAsia="Arial" w:hAnsi="Arial" w:cs="Arial"/>
          <w:color w:val="000000" w:themeColor="text1"/>
          <w:sz w:val="22"/>
          <w:szCs w:val="22"/>
          <w:lang w:eastAsia="en-GB"/>
        </w:rPr>
        <w:t xml:space="preserve">substance </w:t>
      </w:r>
      <w:r w:rsidR="00E136CF" w:rsidRPr="00027237">
        <w:rPr>
          <w:rFonts w:ascii="Arial" w:eastAsia="Arial" w:hAnsi="Arial" w:cs="Arial"/>
          <w:color w:val="000000" w:themeColor="text1"/>
          <w:sz w:val="22"/>
          <w:szCs w:val="22"/>
          <w:lang w:eastAsia="en-GB"/>
        </w:rPr>
        <w:t xml:space="preserve">misuse, </w:t>
      </w:r>
      <w:r w:rsidR="0015369F" w:rsidRPr="00027237">
        <w:rPr>
          <w:rFonts w:ascii="Arial" w:eastAsia="Arial" w:hAnsi="Arial" w:cs="Arial"/>
          <w:color w:val="000000" w:themeColor="text1"/>
          <w:sz w:val="22"/>
          <w:szCs w:val="22"/>
          <w:lang w:eastAsia="en-GB"/>
        </w:rPr>
        <w:t>risk of fire setting</w:t>
      </w:r>
      <w:r w:rsidR="004C3D4F" w:rsidRPr="00027237">
        <w:rPr>
          <w:rFonts w:ascii="Arial" w:eastAsia="Arial" w:hAnsi="Arial" w:cs="Arial"/>
          <w:color w:val="000000" w:themeColor="text1"/>
          <w:sz w:val="22"/>
          <w:szCs w:val="22"/>
          <w:lang w:eastAsia="en-GB"/>
        </w:rPr>
        <w:t>,</w:t>
      </w:r>
      <w:r w:rsidR="0058560D" w:rsidRPr="00027237">
        <w:rPr>
          <w:rFonts w:ascii="Arial" w:eastAsia="Arial" w:hAnsi="Arial" w:cs="Arial"/>
          <w:color w:val="000000" w:themeColor="text1"/>
          <w:sz w:val="22"/>
          <w:szCs w:val="22"/>
          <w:lang w:eastAsia="en-GB"/>
        </w:rPr>
        <w:t xml:space="preserve"> </w:t>
      </w:r>
      <w:r w:rsidR="006456BF" w:rsidRPr="00027237">
        <w:rPr>
          <w:rFonts w:ascii="Arial" w:eastAsia="Arial" w:hAnsi="Arial" w:cs="Arial"/>
          <w:color w:val="000000" w:themeColor="text1"/>
          <w:sz w:val="22"/>
          <w:szCs w:val="22"/>
          <w:lang w:eastAsia="en-GB"/>
        </w:rPr>
        <w:t>carrying weapons,</w:t>
      </w:r>
      <w:r w:rsidR="00FF2BF6" w:rsidRPr="00027237">
        <w:rPr>
          <w:rFonts w:ascii="Arial" w:eastAsia="Arial" w:hAnsi="Arial" w:cs="Arial"/>
          <w:color w:val="000000" w:themeColor="text1"/>
          <w:sz w:val="22"/>
          <w:szCs w:val="22"/>
          <w:lang w:eastAsia="en-GB"/>
        </w:rPr>
        <w:t xml:space="preserve"> </w:t>
      </w:r>
      <w:proofErr w:type="gramStart"/>
      <w:r w:rsidR="00FF2BF6" w:rsidRPr="00027237">
        <w:rPr>
          <w:rFonts w:ascii="Arial" w:eastAsia="Arial" w:hAnsi="Arial" w:cs="Arial"/>
          <w:color w:val="000000" w:themeColor="text1"/>
          <w:sz w:val="22"/>
          <w:szCs w:val="22"/>
          <w:lang w:eastAsia="en-GB"/>
        </w:rPr>
        <w:t>association</w:t>
      </w:r>
      <w:proofErr w:type="gramEnd"/>
      <w:r w:rsidR="00FF2BF6" w:rsidRPr="00027237">
        <w:rPr>
          <w:rFonts w:ascii="Arial" w:eastAsia="Arial" w:hAnsi="Arial" w:cs="Arial"/>
          <w:color w:val="000000" w:themeColor="text1"/>
          <w:sz w:val="22"/>
          <w:szCs w:val="22"/>
          <w:lang w:eastAsia="en-GB"/>
        </w:rPr>
        <w:t xml:space="preserve"> </w:t>
      </w:r>
      <w:r w:rsidR="00E305CF" w:rsidRPr="00027237">
        <w:rPr>
          <w:rFonts w:ascii="Arial" w:eastAsia="Arial" w:hAnsi="Arial" w:cs="Arial"/>
          <w:color w:val="000000" w:themeColor="text1"/>
          <w:sz w:val="22"/>
          <w:szCs w:val="22"/>
          <w:lang w:eastAsia="en-GB"/>
        </w:rPr>
        <w:t xml:space="preserve">or interest </w:t>
      </w:r>
      <w:r w:rsidR="00FF2BF6" w:rsidRPr="00027237">
        <w:rPr>
          <w:rFonts w:ascii="Arial" w:eastAsia="Arial" w:hAnsi="Arial" w:cs="Arial"/>
          <w:color w:val="000000" w:themeColor="text1"/>
          <w:sz w:val="22"/>
          <w:szCs w:val="22"/>
          <w:lang w:eastAsia="en-GB"/>
        </w:rPr>
        <w:t>with extremist groups</w:t>
      </w:r>
      <w:r w:rsidR="004F2822" w:rsidRPr="00027237">
        <w:rPr>
          <w:rFonts w:ascii="Arial" w:eastAsia="Arial" w:hAnsi="Arial" w:cs="Arial"/>
          <w:color w:val="000000" w:themeColor="text1"/>
          <w:sz w:val="22"/>
          <w:szCs w:val="22"/>
          <w:lang w:eastAsia="en-GB"/>
        </w:rPr>
        <w:t>…etc</w:t>
      </w:r>
      <w:r w:rsidR="00B4149E" w:rsidRPr="00027237">
        <w:rPr>
          <w:rFonts w:ascii="Arial" w:eastAsia="Arial" w:hAnsi="Arial" w:cs="Arial"/>
          <w:color w:val="000000" w:themeColor="text1"/>
          <w:sz w:val="22"/>
          <w:szCs w:val="22"/>
          <w:lang w:eastAsia="en-GB"/>
        </w:rPr>
        <w:t>. T</w:t>
      </w:r>
      <w:r w:rsidR="007F2A58" w:rsidRPr="00027237">
        <w:rPr>
          <w:rFonts w:ascii="Arial" w:eastAsia="Arial" w:hAnsi="Arial" w:cs="Arial"/>
          <w:color w:val="000000" w:themeColor="text1"/>
          <w:sz w:val="22"/>
          <w:szCs w:val="22"/>
          <w:lang w:eastAsia="en-GB"/>
        </w:rPr>
        <w:t>he list is not</w:t>
      </w:r>
      <w:r w:rsidR="0015369F" w:rsidRPr="00027237">
        <w:rPr>
          <w:rFonts w:ascii="Arial" w:eastAsia="Arial" w:hAnsi="Arial" w:cs="Arial"/>
          <w:color w:val="000000" w:themeColor="text1"/>
          <w:sz w:val="22"/>
          <w:szCs w:val="22"/>
          <w:lang w:eastAsia="en-GB"/>
        </w:rPr>
        <w:t xml:space="preserve"> exhaustive.</w:t>
      </w:r>
    </w:p>
    <w:p w14:paraId="0A4E134A" w14:textId="3930BA02" w:rsidR="000075ED" w:rsidRPr="00027237" w:rsidRDefault="000075ED" w:rsidP="4DD53C4F">
      <w:pPr>
        <w:pStyle w:val="ListParagraph"/>
        <w:numPr>
          <w:ilvl w:val="0"/>
          <w:numId w:val="5"/>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u w:val="single"/>
          <w:lang w:eastAsia="en-GB"/>
        </w:rPr>
        <w:t>Bespoke</w:t>
      </w:r>
      <w:r w:rsidR="0015369F" w:rsidRPr="00027237">
        <w:rPr>
          <w:rFonts w:ascii="Arial" w:eastAsia="Arial" w:hAnsi="Arial" w:cs="Arial"/>
          <w:color w:val="000000" w:themeColor="text1"/>
          <w:sz w:val="22"/>
          <w:szCs w:val="22"/>
          <w:u w:val="single"/>
          <w:lang w:eastAsia="en-GB"/>
        </w:rPr>
        <w:t xml:space="preserve"> condition</w:t>
      </w:r>
      <w:r w:rsidR="00F07ED8" w:rsidRPr="00027237">
        <w:rPr>
          <w:rFonts w:ascii="Arial" w:eastAsia="Arial" w:hAnsi="Arial" w:cs="Arial"/>
          <w:color w:val="000000" w:themeColor="text1"/>
          <w:sz w:val="22"/>
          <w:szCs w:val="22"/>
          <w:u w:val="single"/>
          <w:lang w:eastAsia="en-GB"/>
        </w:rPr>
        <w:t>s</w:t>
      </w:r>
      <w:r w:rsidR="00F07ED8" w:rsidRPr="00027237">
        <w:rPr>
          <w:rFonts w:ascii="Arial" w:eastAsia="Arial" w:hAnsi="Arial" w:cs="Arial"/>
          <w:color w:val="000000" w:themeColor="text1"/>
          <w:sz w:val="22"/>
          <w:szCs w:val="22"/>
          <w:lang w:eastAsia="en-GB"/>
        </w:rPr>
        <w:t xml:space="preserve"> are one</w:t>
      </w:r>
      <w:r w:rsidR="00177FC8" w:rsidRPr="00027237">
        <w:rPr>
          <w:rFonts w:ascii="Arial" w:eastAsia="Arial" w:hAnsi="Arial" w:cs="Arial"/>
          <w:color w:val="000000" w:themeColor="text1"/>
          <w:sz w:val="22"/>
          <w:szCs w:val="22"/>
          <w:lang w:eastAsia="en-GB"/>
        </w:rPr>
        <w:t xml:space="preserve">s that will be imposed </w:t>
      </w:r>
      <w:r w:rsidR="00092803" w:rsidRPr="00027237">
        <w:rPr>
          <w:rFonts w:ascii="Arial" w:eastAsia="Arial" w:hAnsi="Arial" w:cs="Arial"/>
          <w:color w:val="000000" w:themeColor="text1"/>
          <w:sz w:val="22"/>
          <w:szCs w:val="22"/>
          <w:lang w:eastAsia="en-GB"/>
        </w:rPr>
        <w:t>which</w:t>
      </w:r>
      <w:r w:rsidR="00177FC8" w:rsidRPr="00027237">
        <w:rPr>
          <w:rFonts w:ascii="Arial" w:eastAsia="Arial" w:hAnsi="Arial" w:cs="Arial"/>
          <w:color w:val="000000" w:themeColor="text1"/>
          <w:sz w:val="22"/>
          <w:szCs w:val="22"/>
          <w:lang w:eastAsia="en-GB"/>
        </w:rPr>
        <w:t xml:space="preserve"> are very spe</w:t>
      </w:r>
      <w:r w:rsidR="00FC7D65" w:rsidRPr="00027237">
        <w:rPr>
          <w:rFonts w:ascii="Arial" w:eastAsia="Arial" w:hAnsi="Arial" w:cs="Arial"/>
          <w:color w:val="000000" w:themeColor="text1"/>
          <w:sz w:val="22"/>
          <w:szCs w:val="22"/>
          <w:lang w:eastAsia="en-GB"/>
        </w:rPr>
        <w:t>cific to the circumstances of the patient and where there may be</w:t>
      </w:r>
      <w:r w:rsidR="003659F5" w:rsidRPr="00027237">
        <w:rPr>
          <w:rFonts w:ascii="Arial" w:eastAsia="Arial" w:hAnsi="Arial" w:cs="Arial"/>
          <w:color w:val="000000" w:themeColor="text1"/>
          <w:sz w:val="22"/>
          <w:szCs w:val="22"/>
          <w:lang w:eastAsia="en-GB"/>
        </w:rPr>
        <w:t xml:space="preserve"> </w:t>
      </w:r>
      <w:r w:rsidR="4D0FB348" w:rsidRPr="00027237">
        <w:rPr>
          <w:rFonts w:ascii="Arial" w:eastAsia="Arial" w:hAnsi="Arial" w:cs="Arial"/>
          <w:color w:val="000000" w:themeColor="text1"/>
          <w:sz w:val="22"/>
          <w:szCs w:val="22"/>
          <w:lang w:eastAsia="en-GB"/>
        </w:rPr>
        <w:t xml:space="preserve">limited </w:t>
      </w:r>
      <w:r w:rsidR="00FC7D65" w:rsidRPr="00027237">
        <w:rPr>
          <w:rFonts w:ascii="Arial" w:eastAsia="Arial" w:hAnsi="Arial" w:cs="Arial"/>
          <w:color w:val="000000" w:themeColor="text1"/>
          <w:sz w:val="22"/>
          <w:szCs w:val="22"/>
          <w:lang w:eastAsia="en-GB"/>
        </w:rPr>
        <w:t>read across to other standard</w:t>
      </w:r>
      <w:r w:rsidR="00A35874" w:rsidRPr="00027237">
        <w:rPr>
          <w:rFonts w:ascii="Arial" w:eastAsia="Arial" w:hAnsi="Arial" w:cs="Arial"/>
          <w:color w:val="000000" w:themeColor="text1"/>
          <w:sz w:val="22"/>
          <w:szCs w:val="22"/>
          <w:lang w:eastAsia="en-GB"/>
        </w:rPr>
        <w:t xml:space="preserve">, </w:t>
      </w:r>
      <w:proofErr w:type="gramStart"/>
      <w:r w:rsidR="00A35874" w:rsidRPr="00027237">
        <w:rPr>
          <w:rFonts w:ascii="Arial" w:eastAsia="Arial" w:hAnsi="Arial" w:cs="Arial"/>
          <w:color w:val="000000" w:themeColor="text1"/>
          <w:sz w:val="22"/>
          <w:szCs w:val="22"/>
          <w:lang w:eastAsia="en-GB"/>
        </w:rPr>
        <w:t>victim</w:t>
      </w:r>
      <w:proofErr w:type="gramEnd"/>
      <w:r w:rsidR="00A35874" w:rsidRPr="00027237">
        <w:rPr>
          <w:rFonts w:ascii="Arial" w:eastAsia="Arial" w:hAnsi="Arial" w:cs="Arial"/>
          <w:color w:val="000000" w:themeColor="text1"/>
          <w:sz w:val="22"/>
          <w:szCs w:val="22"/>
          <w:lang w:eastAsia="en-GB"/>
        </w:rPr>
        <w:t xml:space="preserve"> </w:t>
      </w:r>
      <w:r w:rsidR="00FC7D65" w:rsidRPr="00027237">
        <w:rPr>
          <w:rFonts w:ascii="Arial" w:eastAsia="Arial" w:hAnsi="Arial" w:cs="Arial"/>
          <w:color w:val="000000" w:themeColor="text1"/>
          <w:sz w:val="22"/>
          <w:szCs w:val="22"/>
          <w:lang w:eastAsia="en-GB"/>
        </w:rPr>
        <w:t xml:space="preserve">or risk related conditions. </w:t>
      </w:r>
    </w:p>
    <w:bookmarkEnd w:id="7"/>
    <w:p w14:paraId="1BE70008" w14:textId="07F8F479" w:rsidR="00261309" w:rsidRPr="00027237" w:rsidRDefault="00261309" w:rsidP="4DD53C4F">
      <w:pPr>
        <w:pStyle w:val="ListParagraph"/>
        <w:spacing w:after="231" w:line="249" w:lineRule="auto"/>
        <w:ind w:left="2150"/>
        <w:contextualSpacing/>
        <w:rPr>
          <w:rFonts w:ascii="Arial" w:eastAsia="Arial" w:hAnsi="Arial" w:cs="Arial"/>
          <w:color w:val="000000"/>
          <w:sz w:val="22"/>
          <w:szCs w:val="22"/>
          <w:lang w:eastAsia="en-GB"/>
        </w:rPr>
      </w:pPr>
    </w:p>
    <w:p w14:paraId="74C776F5" w14:textId="7190A448" w:rsidR="00261309" w:rsidRPr="00027237" w:rsidRDefault="00D436F2" w:rsidP="4DD53C4F">
      <w:pPr>
        <w:pStyle w:val="ListParagraph"/>
        <w:numPr>
          <w:ilvl w:val="0"/>
          <w:numId w:val="4"/>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 xml:space="preserve">When setting </w:t>
      </w:r>
      <w:proofErr w:type="gramStart"/>
      <w:r w:rsidRPr="00027237">
        <w:rPr>
          <w:rFonts w:ascii="Arial" w:eastAsia="Arial" w:hAnsi="Arial" w:cs="Arial"/>
          <w:color w:val="000000" w:themeColor="text1"/>
          <w:sz w:val="22"/>
          <w:szCs w:val="22"/>
          <w:lang w:eastAsia="en-GB"/>
        </w:rPr>
        <w:t>conditions</w:t>
      </w:r>
      <w:proofErr w:type="gramEnd"/>
      <w:r w:rsidRPr="00027237">
        <w:rPr>
          <w:rFonts w:ascii="Arial" w:eastAsia="Arial" w:hAnsi="Arial" w:cs="Arial"/>
          <w:color w:val="000000" w:themeColor="text1"/>
          <w:sz w:val="22"/>
          <w:szCs w:val="22"/>
          <w:lang w:eastAsia="en-GB"/>
        </w:rPr>
        <w:t xml:space="preserve"> the Secretary of </w:t>
      </w:r>
      <w:r w:rsidR="00EA53F1" w:rsidRPr="00027237">
        <w:rPr>
          <w:rFonts w:ascii="Arial" w:eastAsia="Arial" w:hAnsi="Arial" w:cs="Arial"/>
          <w:color w:val="000000" w:themeColor="text1"/>
          <w:sz w:val="22"/>
          <w:szCs w:val="22"/>
          <w:lang w:eastAsia="en-GB"/>
        </w:rPr>
        <w:t xml:space="preserve">State and Tribunal must be </w:t>
      </w:r>
      <w:proofErr w:type="spellStart"/>
      <w:r w:rsidR="00EA53F1" w:rsidRPr="00027237">
        <w:rPr>
          <w:rFonts w:ascii="Arial" w:eastAsia="Arial" w:hAnsi="Arial" w:cs="Arial"/>
          <w:color w:val="000000" w:themeColor="text1"/>
          <w:sz w:val="22"/>
          <w:szCs w:val="22"/>
          <w:lang w:eastAsia="en-GB"/>
        </w:rPr>
        <w:t>cogni</w:t>
      </w:r>
      <w:r w:rsidR="001E2B32" w:rsidRPr="00027237">
        <w:rPr>
          <w:rFonts w:ascii="Arial" w:eastAsia="Arial" w:hAnsi="Arial" w:cs="Arial"/>
          <w:color w:val="000000" w:themeColor="text1"/>
          <w:sz w:val="22"/>
          <w:szCs w:val="22"/>
          <w:lang w:eastAsia="en-GB"/>
        </w:rPr>
        <w:t>s</w:t>
      </w:r>
      <w:r w:rsidR="00EA53F1" w:rsidRPr="00027237">
        <w:rPr>
          <w:rFonts w:ascii="Arial" w:eastAsia="Arial" w:hAnsi="Arial" w:cs="Arial"/>
          <w:color w:val="000000" w:themeColor="text1"/>
          <w:sz w:val="22"/>
          <w:szCs w:val="22"/>
          <w:lang w:eastAsia="en-GB"/>
        </w:rPr>
        <w:t>ant</w:t>
      </w:r>
      <w:proofErr w:type="spellEnd"/>
      <w:r w:rsidR="00EA53F1" w:rsidRPr="00027237">
        <w:rPr>
          <w:rFonts w:ascii="Arial" w:eastAsia="Arial" w:hAnsi="Arial" w:cs="Arial"/>
          <w:color w:val="000000" w:themeColor="text1"/>
          <w:sz w:val="22"/>
          <w:szCs w:val="22"/>
          <w:lang w:eastAsia="en-GB"/>
        </w:rPr>
        <w:t xml:space="preserve"> of setting proportionate and </w:t>
      </w:r>
      <w:r w:rsidR="00E01466" w:rsidRPr="00027237">
        <w:rPr>
          <w:rFonts w:ascii="Arial" w:eastAsia="Arial" w:hAnsi="Arial" w:cs="Arial"/>
          <w:color w:val="000000" w:themeColor="text1"/>
          <w:sz w:val="22"/>
          <w:szCs w:val="22"/>
          <w:lang w:eastAsia="en-GB"/>
        </w:rPr>
        <w:t>relevant</w:t>
      </w:r>
      <w:r w:rsidR="00EA53F1" w:rsidRPr="00027237">
        <w:rPr>
          <w:rFonts w:ascii="Arial" w:eastAsia="Arial" w:hAnsi="Arial" w:cs="Arial"/>
          <w:color w:val="000000" w:themeColor="text1"/>
          <w:sz w:val="22"/>
          <w:szCs w:val="22"/>
          <w:lang w:eastAsia="en-GB"/>
        </w:rPr>
        <w:t xml:space="preserve"> conditions of discharge.</w:t>
      </w:r>
      <w:r w:rsidR="003368CD" w:rsidRPr="00027237">
        <w:rPr>
          <w:rFonts w:ascii="Arial" w:eastAsia="Arial" w:hAnsi="Arial" w:cs="Arial"/>
          <w:color w:val="000000" w:themeColor="text1"/>
          <w:sz w:val="22"/>
          <w:szCs w:val="22"/>
          <w:lang w:eastAsia="en-GB"/>
        </w:rPr>
        <w:t xml:space="preserve"> Unlike conditions imposed for post</w:t>
      </w:r>
      <w:r w:rsidR="00B87441" w:rsidRPr="00027237">
        <w:rPr>
          <w:rFonts w:ascii="Arial" w:eastAsia="Arial" w:hAnsi="Arial" w:cs="Arial"/>
          <w:color w:val="000000" w:themeColor="text1"/>
          <w:sz w:val="22"/>
          <w:szCs w:val="22"/>
          <w:lang w:eastAsia="en-GB"/>
        </w:rPr>
        <w:t>-custodial</w:t>
      </w:r>
      <w:r w:rsidR="00DC1B19" w:rsidRPr="00027237">
        <w:rPr>
          <w:rFonts w:ascii="Arial" w:eastAsia="Arial" w:hAnsi="Arial" w:cs="Arial"/>
          <w:color w:val="000000" w:themeColor="text1"/>
          <w:sz w:val="22"/>
          <w:szCs w:val="22"/>
          <w:lang w:eastAsia="en-GB"/>
        </w:rPr>
        <w:t xml:space="preserve"> prison</w:t>
      </w:r>
      <w:r w:rsidR="00B87441" w:rsidRPr="00027237">
        <w:rPr>
          <w:rFonts w:ascii="Arial" w:eastAsia="Arial" w:hAnsi="Arial" w:cs="Arial"/>
          <w:color w:val="000000" w:themeColor="text1"/>
          <w:sz w:val="22"/>
          <w:szCs w:val="22"/>
          <w:lang w:eastAsia="en-GB"/>
        </w:rPr>
        <w:t xml:space="preserve"> </w:t>
      </w:r>
      <w:proofErr w:type="spellStart"/>
      <w:r w:rsidR="00B87441" w:rsidRPr="00027237">
        <w:rPr>
          <w:rFonts w:ascii="Arial" w:eastAsia="Arial" w:hAnsi="Arial" w:cs="Arial"/>
          <w:color w:val="000000" w:themeColor="text1"/>
          <w:sz w:val="22"/>
          <w:szCs w:val="22"/>
          <w:lang w:eastAsia="en-GB"/>
        </w:rPr>
        <w:t>licences</w:t>
      </w:r>
      <w:proofErr w:type="spellEnd"/>
      <w:r w:rsidR="00B87441" w:rsidRPr="00027237">
        <w:rPr>
          <w:rFonts w:ascii="Arial" w:eastAsia="Arial" w:hAnsi="Arial" w:cs="Arial"/>
          <w:color w:val="000000" w:themeColor="text1"/>
          <w:sz w:val="22"/>
          <w:szCs w:val="22"/>
          <w:lang w:eastAsia="en-GB"/>
        </w:rPr>
        <w:t xml:space="preserve"> the contravention of conditions of discharge do not </w:t>
      </w:r>
      <w:r w:rsidR="00F76E58" w:rsidRPr="00027237">
        <w:rPr>
          <w:rFonts w:ascii="Arial" w:eastAsia="Arial" w:hAnsi="Arial" w:cs="Arial"/>
          <w:color w:val="000000" w:themeColor="text1"/>
          <w:sz w:val="22"/>
          <w:szCs w:val="22"/>
          <w:lang w:eastAsia="en-GB"/>
        </w:rPr>
        <w:t xml:space="preserve">automatically </w:t>
      </w:r>
      <w:r w:rsidR="00282E26" w:rsidRPr="00027237">
        <w:rPr>
          <w:rFonts w:ascii="Arial" w:eastAsia="Arial" w:hAnsi="Arial" w:cs="Arial"/>
          <w:color w:val="000000" w:themeColor="text1"/>
          <w:sz w:val="22"/>
          <w:szCs w:val="22"/>
          <w:lang w:eastAsia="en-GB"/>
        </w:rPr>
        <w:t xml:space="preserve">result in the recall of patients to hospital. However, </w:t>
      </w:r>
      <w:r w:rsidR="0047793F" w:rsidRPr="00027237">
        <w:rPr>
          <w:rFonts w:ascii="Arial" w:eastAsia="Arial" w:hAnsi="Arial" w:cs="Arial"/>
          <w:color w:val="000000" w:themeColor="text1"/>
          <w:sz w:val="22"/>
          <w:szCs w:val="22"/>
          <w:lang w:eastAsia="en-GB"/>
        </w:rPr>
        <w:t xml:space="preserve">where </w:t>
      </w:r>
      <w:r w:rsidR="00282E26" w:rsidRPr="00027237">
        <w:rPr>
          <w:rFonts w:ascii="Arial" w:eastAsia="Arial" w:hAnsi="Arial" w:cs="Arial"/>
          <w:color w:val="000000" w:themeColor="text1"/>
          <w:sz w:val="22"/>
          <w:szCs w:val="22"/>
          <w:lang w:eastAsia="en-GB"/>
        </w:rPr>
        <w:t>conditions</w:t>
      </w:r>
      <w:r w:rsidR="00FD44AA" w:rsidRPr="00027237">
        <w:rPr>
          <w:rFonts w:ascii="Arial" w:eastAsia="Arial" w:hAnsi="Arial" w:cs="Arial"/>
          <w:color w:val="000000" w:themeColor="text1"/>
          <w:sz w:val="22"/>
          <w:szCs w:val="22"/>
          <w:lang w:eastAsia="en-GB"/>
        </w:rPr>
        <w:t xml:space="preserve"> are </w:t>
      </w:r>
      <w:r w:rsidR="33C121DA" w:rsidRPr="00027237">
        <w:rPr>
          <w:rFonts w:ascii="Arial" w:eastAsia="Arial" w:hAnsi="Arial" w:cs="Arial"/>
          <w:color w:val="000000" w:themeColor="text1"/>
          <w:sz w:val="22"/>
          <w:szCs w:val="22"/>
          <w:lang w:eastAsia="en-GB"/>
        </w:rPr>
        <w:t>contravened,</w:t>
      </w:r>
      <w:r w:rsidR="00FD44AA" w:rsidRPr="00027237">
        <w:rPr>
          <w:rFonts w:ascii="Arial" w:eastAsia="Arial" w:hAnsi="Arial" w:cs="Arial"/>
          <w:color w:val="000000" w:themeColor="text1"/>
          <w:sz w:val="22"/>
          <w:szCs w:val="22"/>
          <w:lang w:eastAsia="en-GB"/>
        </w:rPr>
        <w:t xml:space="preserve"> this</w:t>
      </w:r>
      <w:r w:rsidR="00282E26" w:rsidRPr="00027237">
        <w:rPr>
          <w:rFonts w:ascii="Arial" w:eastAsia="Arial" w:hAnsi="Arial" w:cs="Arial"/>
          <w:color w:val="000000" w:themeColor="text1"/>
          <w:sz w:val="22"/>
          <w:szCs w:val="22"/>
          <w:lang w:eastAsia="en-GB"/>
        </w:rPr>
        <w:t xml:space="preserve"> will </w:t>
      </w:r>
      <w:r w:rsidR="00FD44AA" w:rsidRPr="00027237">
        <w:rPr>
          <w:rFonts w:ascii="Arial" w:eastAsia="Arial" w:hAnsi="Arial" w:cs="Arial"/>
          <w:color w:val="000000" w:themeColor="text1"/>
          <w:sz w:val="22"/>
          <w:szCs w:val="22"/>
          <w:lang w:eastAsia="en-GB"/>
        </w:rPr>
        <w:t xml:space="preserve">always lead to </w:t>
      </w:r>
      <w:r w:rsidR="006D3A05" w:rsidRPr="00027237">
        <w:rPr>
          <w:rFonts w:ascii="Arial" w:eastAsia="Arial" w:hAnsi="Arial" w:cs="Arial"/>
          <w:color w:val="000000" w:themeColor="text1"/>
          <w:sz w:val="22"/>
          <w:szCs w:val="22"/>
          <w:lang w:eastAsia="en-GB"/>
        </w:rPr>
        <w:t xml:space="preserve">consideration </w:t>
      </w:r>
      <w:r w:rsidR="00FD44AA" w:rsidRPr="00027237">
        <w:rPr>
          <w:rFonts w:ascii="Arial" w:eastAsia="Arial" w:hAnsi="Arial" w:cs="Arial"/>
          <w:color w:val="000000" w:themeColor="text1"/>
          <w:sz w:val="22"/>
          <w:szCs w:val="22"/>
          <w:lang w:eastAsia="en-GB"/>
        </w:rPr>
        <w:t>of</w:t>
      </w:r>
      <w:r w:rsidR="006D3A05" w:rsidRPr="00027237">
        <w:rPr>
          <w:rFonts w:ascii="Arial" w:eastAsia="Arial" w:hAnsi="Arial" w:cs="Arial"/>
          <w:color w:val="000000" w:themeColor="text1"/>
          <w:sz w:val="22"/>
          <w:szCs w:val="22"/>
          <w:lang w:eastAsia="en-GB"/>
        </w:rPr>
        <w:t xml:space="preserve"> whether the actions of the patient are indicative of a change in their mental state and a proportion</w:t>
      </w:r>
      <w:r w:rsidR="00DF2601" w:rsidRPr="00027237">
        <w:rPr>
          <w:rFonts w:ascii="Arial" w:eastAsia="Arial" w:hAnsi="Arial" w:cs="Arial"/>
          <w:color w:val="000000" w:themeColor="text1"/>
          <w:sz w:val="22"/>
          <w:szCs w:val="22"/>
          <w:lang w:eastAsia="en-GB"/>
        </w:rPr>
        <w:t>al</w:t>
      </w:r>
      <w:r w:rsidR="006D3A05" w:rsidRPr="00027237">
        <w:rPr>
          <w:rFonts w:ascii="Arial" w:eastAsia="Arial" w:hAnsi="Arial" w:cs="Arial"/>
          <w:color w:val="000000" w:themeColor="text1"/>
          <w:sz w:val="22"/>
          <w:szCs w:val="22"/>
          <w:lang w:eastAsia="en-GB"/>
        </w:rPr>
        <w:t xml:space="preserve"> increase in</w:t>
      </w:r>
      <w:r w:rsidR="007463BD" w:rsidRPr="00027237">
        <w:rPr>
          <w:rFonts w:ascii="Arial" w:eastAsia="Arial" w:hAnsi="Arial" w:cs="Arial"/>
          <w:color w:val="000000" w:themeColor="text1"/>
          <w:sz w:val="22"/>
          <w:szCs w:val="22"/>
          <w:lang w:eastAsia="en-GB"/>
        </w:rPr>
        <w:t xml:space="preserve"> their</w:t>
      </w:r>
      <w:r w:rsidR="006D3A05" w:rsidRPr="00027237">
        <w:rPr>
          <w:rFonts w:ascii="Arial" w:eastAsia="Arial" w:hAnsi="Arial" w:cs="Arial"/>
          <w:color w:val="000000" w:themeColor="text1"/>
          <w:sz w:val="22"/>
          <w:szCs w:val="22"/>
          <w:lang w:eastAsia="en-GB"/>
        </w:rPr>
        <w:t xml:space="preserve"> risk</w:t>
      </w:r>
      <w:r w:rsidR="007463BD" w:rsidRPr="00027237">
        <w:rPr>
          <w:rFonts w:ascii="Arial" w:eastAsia="Arial" w:hAnsi="Arial" w:cs="Arial"/>
          <w:color w:val="000000" w:themeColor="text1"/>
          <w:sz w:val="22"/>
          <w:szCs w:val="22"/>
          <w:lang w:eastAsia="en-GB"/>
        </w:rPr>
        <w:t xml:space="preserve"> to themselves or others.</w:t>
      </w:r>
      <w:r w:rsidR="006D3A05" w:rsidRPr="00027237">
        <w:rPr>
          <w:rFonts w:ascii="Arial" w:eastAsia="Arial" w:hAnsi="Arial" w:cs="Arial"/>
          <w:color w:val="000000" w:themeColor="text1"/>
          <w:sz w:val="22"/>
          <w:szCs w:val="22"/>
          <w:lang w:eastAsia="en-GB"/>
        </w:rPr>
        <w:t xml:space="preserve"> </w:t>
      </w:r>
      <w:r w:rsidR="57E8B15E" w:rsidRPr="00027237">
        <w:rPr>
          <w:rFonts w:ascii="Arial" w:eastAsia="Arial" w:hAnsi="Arial" w:cs="Arial"/>
          <w:color w:val="000000" w:themeColor="text1"/>
          <w:sz w:val="22"/>
          <w:szCs w:val="22"/>
          <w:lang w:eastAsia="en-GB"/>
        </w:rPr>
        <w:t>Such consideration</w:t>
      </w:r>
      <w:r w:rsidR="007463BD" w:rsidRPr="00027237">
        <w:rPr>
          <w:rFonts w:ascii="Arial" w:eastAsia="Arial" w:hAnsi="Arial" w:cs="Arial"/>
          <w:color w:val="000000" w:themeColor="text1"/>
          <w:sz w:val="22"/>
          <w:szCs w:val="22"/>
          <w:lang w:eastAsia="en-GB"/>
        </w:rPr>
        <w:t xml:space="preserve"> </w:t>
      </w:r>
      <w:r w:rsidR="006D3A05" w:rsidRPr="00027237">
        <w:rPr>
          <w:rFonts w:ascii="Arial" w:eastAsia="Arial" w:hAnsi="Arial" w:cs="Arial"/>
          <w:color w:val="000000" w:themeColor="text1"/>
          <w:sz w:val="22"/>
          <w:szCs w:val="22"/>
          <w:lang w:eastAsia="en-GB"/>
        </w:rPr>
        <w:t>may</w:t>
      </w:r>
      <w:r w:rsidR="00F31AF4" w:rsidRPr="00027237">
        <w:rPr>
          <w:rFonts w:ascii="Arial" w:eastAsia="Arial" w:hAnsi="Arial" w:cs="Arial"/>
          <w:color w:val="000000" w:themeColor="text1"/>
          <w:sz w:val="22"/>
          <w:szCs w:val="22"/>
          <w:lang w:eastAsia="en-GB"/>
        </w:rPr>
        <w:t xml:space="preserve"> </w:t>
      </w:r>
      <w:r w:rsidR="00F5063E" w:rsidRPr="00027237">
        <w:rPr>
          <w:rFonts w:ascii="Arial" w:eastAsia="Arial" w:hAnsi="Arial" w:cs="Arial"/>
          <w:color w:val="000000" w:themeColor="text1"/>
          <w:sz w:val="22"/>
          <w:szCs w:val="22"/>
          <w:lang w:eastAsia="en-GB"/>
        </w:rPr>
        <w:t xml:space="preserve">result in a recall </w:t>
      </w:r>
      <w:r w:rsidR="007463BD" w:rsidRPr="00027237">
        <w:rPr>
          <w:rFonts w:ascii="Arial" w:eastAsia="Arial" w:hAnsi="Arial" w:cs="Arial"/>
          <w:color w:val="000000" w:themeColor="text1"/>
          <w:sz w:val="22"/>
          <w:szCs w:val="22"/>
          <w:lang w:eastAsia="en-GB"/>
        </w:rPr>
        <w:t xml:space="preserve">to hospital </w:t>
      </w:r>
      <w:r w:rsidR="00B61E75" w:rsidRPr="00027237">
        <w:rPr>
          <w:rFonts w:ascii="Arial" w:eastAsia="Arial" w:hAnsi="Arial" w:cs="Arial"/>
          <w:color w:val="000000" w:themeColor="text1"/>
          <w:sz w:val="22"/>
          <w:szCs w:val="22"/>
          <w:lang w:eastAsia="en-GB"/>
        </w:rPr>
        <w:t xml:space="preserve">by </w:t>
      </w:r>
      <w:r w:rsidR="00C00859" w:rsidRPr="00027237">
        <w:rPr>
          <w:rFonts w:ascii="Arial" w:eastAsia="Arial" w:hAnsi="Arial" w:cs="Arial"/>
          <w:color w:val="000000" w:themeColor="text1"/>
          <w:sz w:val="22"/>
          <w:szCs w:val="22"/>
          <w:lang w:eastAsia="en-GB"/>
        </w:rPr>
        <w:t>MHCS</w:t>
      </w:r>
      <w:r w:rsidR="00B61E75" w:rsidRPr="00027237">
        <w:rPr>
          <w:rFonts w:ascii="Arial" w:eastAsia="Arial" w:hAnsi="Arial" w:cs="Arial"/>
          <w:color w:val="000000" w:themeColor="text1"/>
          <w:sz w:val="22"/>
          <w:szCs w:val="22"/>
          <w:lang w:eastAsia="en-GB"/>
        </w:rPr>
        <w:t xml:space="preserve"> </w:t>
      </w:r>
      <w:r w:rsidR="00F5063E" w:rsidRPr="00027237">
        <w:rPr>
          <w:rFonts w:ascii="Arial" w:eastAsia="Arial" w:hAnsi="Arial" w:cs="Arial"/>
          <w:color w:val="000000" w:themeColor="text1"/>
          <w:sz w:val="22"/>
          <w:szCs w:val="22"/>
          <w:lang w:eastAsia="en-GB"/>
        </w:rPr>
        <w:t xml:space="preserve">or </w:t>
      </w:r>
      <w:r w:rsidR="00940FBA" w:rsidRPr="00027237">
        <w:rPr>
          <w:rFonts w:ascii="Arial" w:eastAsia="Arial" w:hAnsi="Arial" w:cs="Arial"/>
          <w:color w:val="000000" w:themeColor="text1"/>
          <w:sz w:val="22"/>
          <w:szCs w:val="22"/>
          <w:lang w:eastAsia="en-GB"/>
        </w:rPr>
        <w:t xml:space="preserve">other actions </w:t>
      </w:r>
      <w:r w:rsidR="00B61E75" w:rsidRPr="00027237">
        <w:rPr>
          <w:rFonts w:ascii="Arial" w:eastAsia="Arial" w:hAnsi="Arial" w:cs="Arial"/>
          <w:color w:val="000000" w:themeColor="text1"/>
          <w:sz w:val="22"/>
          <w:szCs w:val="22"/>
          <w:lang w:eastAsia="en-GB"/>
        </w:rPr>
        <w:t xml:space="preserve">by the </w:t>
      </w:r>
      <w:r w:rsidR="00CE0CEA" w:rsidRPr="00027237">
        <w:rPr>
          <w:rFonts w:ascii="Arial" w:eastAsia="Arial" w:hAnsi="Arial" w:cs="Arial"/>
          <w:color w:val="000000" w:themeColor="text1"/>
          <w:sz w:val="22"/>
          <w:szCs w:val="22"/>
          <w:lang w:eastAsia="en-GB"/>
        </w:rPr>
        <w:t>c</w:t>
      </w:r>
      <w:r w:rsidR="00B61E75" w:rsidRPr="00027237">
        <w:rPr>
          <w:rFonts w:ascii="Arial" w:eastAsia="Arial" w:hAnsi="Arial" w:cs="Arial"/>
          <w:color w:val="000000" w:themeColor="text1"/>
          <w:sz w:val="22"/>
          <w:szCs w:val="22"/>
          <w:lang w:eastAsia="en-GB"/>
        </w:rPr>
        <w:t xml:space="preserve">ommunity </w:t>
      </w:r>
      <w:r w:rsidR="25C3257D" w:rsidRPr="00027237">
        <w:rPr>
          <w:rFonts w:ascii="Arial" w:eastAsia="Arial" w:hAnsi="Arial" w:cs="Arial"/>
          <w:color w:val="000000" w:themeColor="text1"/>
          <w:sz w:val="22"/>
          <w:szCs w:val="22"/>
          <w:lang w:eastAsia="en-GB"/>
        </w:rPr>
        <w:t>supervisors, such as</w:t>
      </w:r>
      <w:r w:rsidR="00B4149E" w:rsidRPr="00027237">
        <w:rPr>
          <w:rFonts w:ascii="Arial" w:eastAsia="Arial" w:hAnsi="Arial" w:cs="Arial"/>
          <w:color w:val="000000" w:themeColor="text1"/>
          <w:sz w:val="22"/>
          <w:szCs w:val="22"/>
          <w:lang w:eastAsia="en-GB"/>
        </w:rPr>
        <w:t xml:space="preserve"> </w:t>
      </w:r>
      <w:r w:rsidR="5E09565A" w:rsidRPr="00027237">
        <w:rPr>
          <w:rFonts w:ascii="Arial" w:eastAsia="Arial" w:hAnsi="Arial" w:cs="Arial"/>
          <w:color w:val="000000" w:themeColor="text1"/>
          <w:sz w:val="22"/>
          <w:szCs w:val="22"/>
          <w:lang w:eastAsia="en-GB"/>
        </w:rPr>
        <w:t>close</w:t>
      </w:r>
      <w:r w:rsidR="36ED507F" w:rsidRPr="00027237">
        <w:rPr>
          <w:rFonts w:ascii="Arial" w:eastAsia="Arial" w:hAnsi="Arial" w:cs="Arial"/>
          <w:color w:val="000000" w:themeColor="text1"/>
          <w:sz w:val="22"/>
          <w:szCs w:val="22"/>
          <w:lang w:eastAsia="en-GB"/>
        </w:rPr>
        <w:t>r</w:t>
      </w:r>
      <w:r w:rsidR="00B61E75" w:rsidRPr="00027237">
        <w:rPr>
          <w:rFonts w:ascii="Arial" w:eastAsia="Arial" w:hAnsi="Arial" w:cs="Arial"/>
          <w:color w:val="000000" w:themeColor="text1"/>
          <w:sz w:val="22"/>
          <w:szCs w:val="22"/>
          <w:lang w:eastAsia="en-GB"/>
        </w:rPr>
        <w:t xml:space="preserve"> monitor</w:t>
      </w:r>
      <w:r w:rsidR="51EE74CF" w:rsidRPr="00027237">
        <w:rPr>
          <w:rFonts w:ascii="Arial" w:eastAsia="Arial" w:hAnsi="Arial" w:cs="Arial"/>
          <w:color w:val="000000" w:themeColor="text1"/>
          <w:sz w:val="22"/>
          <w:szCs w:val="22"/>
          <w:lang w:eastAsia="en-GB"/>
        </w:rPr>
        <w:t>ing</w:t>
      </w:r>
      <w:r w:rsidR="00940FBA" w:rsidRPr="00027237">
        <w:rPr>
          <w:rFonts w:ascii="Arial" w:eastAsia="Arial" w:hAnsi="Arial" w:cs="Arial"/>
          <w:color w:val="000000" w:themeColor="text1"/>
          <w:sz w:val="22"/>
          <w:szCs w:val="22"/>
          <w:lang w:eastAsia="en-GB"/>
        </w:rPr>
        <w:t xml:space="preserve"> </w:t>
      </w:r>
      <w:r w:rsidR="310AEC3D" w:rsidRPr="00027237">
        <w:rPr>
          <w:rFonts w:ascii="Arial" w:eastAsia="Arial" w:hAnsi="Arial" w:cs="Arial"/>
          <w:color w:val="000000" w:themeColor="text1"/>
          <w:sz w:val="22"/>
          <w:szCs w:val="22"/>
          <w:lang w:eastAsia="en-GB"/>
        </w:rPr>
        <w:t xml:space="preserve">of </w:t>
      </w:r>
      <w:r w:rsidR="00940FBA" w:rsidRPr="00027237">
        <w:rPr>
          <w:rFonts w:ascii="Arial" w:eastAsia="Arial" w:hAnsi="Arial" w:cs="Arial"/>
          <w:color w:val="000000" w:themeColor="text1"/>
          <w:sz w:val="22"/>
          <w:szCs w:val="22"/>
          <w:lang w:eastAsia="en-GB"/>
        </w:rPr>
        <w:t xml:space="preserve">the patient’s presentation and risk in the community. </w:t>
      </w:r>
    </w:p>
    <w:p w14:paraId="68ABFC1F" w14:textId="20392BA4" w:rsidR="00252BBE" w:rsidRPr="00027237" w:rsidRDefault="00252BBE" w:rsidP="4DD53C4F">
      <w:pPr>
        <w:pStyle w:val="ListParagraph"/>
        <w:spacing w:after="231" w:line="249" w:lineRule="auto"/>
        <w:ind w:left="1070"/>
        <w:contextualSpacing/>
        <w:rPr>
          <w:rFonts w:ascii="Arial" w:eastAsia="Arial" w:hAnsi="Arial" w:cs="Arial"/>
          <w:color w:val="000000"/>
          <w:sz w:val="22"/>
          <w:szCs w:val="22"/>
          <w:lang w:eastAsia="en-GB"/>
        </w:rPr>
      </w:pPr>
    </w:p>
    <w:p w14:paraId="1592CE23" w14:textId="67F3769C" w:rsidR="00131164" w:rsidRPr="00027237" w:rsidRDefault="0032741C" w:rsidP="4DD53C4F">
      <w:pPr>
        <w:pStyle w:val="ListParagraph"/>
        <w:numPr>
          <w:ilvl w:val="0"/>
          <w:numId w:val="4"/>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 xml:space="preserve">Circumstances will arise where conditions that were set at the point of discharge </w:t>
      </w:r>
      <w:r w:rsidR="00FE06A0" w:rsidRPr="00027237">
        <w:rPr>
          <w:rFonts w:ascii="Arial" w:eastAsia="Arial" w:hAnsi="Arial" w:cs="Arial"/>
          <w:color w:val="000000" w:themeColor="text1"/>
          <w:sz w:val="22"/>
          <w:szCs w:val="22"/>
          <w:lang w:eastAsia="en-GB"/>
        </w:rPr>
        <w:t>may need to be varied, added</w:t>
      </w:r>
      <w:r w:rsidR="01DB3057" w:rsidRPr="00027237">
        <w:rPr>
          <w:rFonts w:ascii="Arial" w:eastAsia="Arial" w:hAnsi="Arial" w:cs="Arial"/>
          <w:color w:val="000000" w:themeColor="text1"/>
          <w:sz w:val="22"/>
          <w:szCs w:val="22"/>
          <w:lang w:eastAsia="en-GB"/>
        </w:rPr>
        <w:t xml:space="preserve"> </w:t>
      </w:r>
      <w:proofErr w:type="gramStart"/>
      <w:r w:rsidR="01DB3057" w:rsidRPr="00027237">
        <w:rPr>
          <w:rFonts w:ascii="Arial" w:eastAsia="Arial" w:hAnsi="Arial" w:cs="Arial"/>
          <w:color w:val="000000" w:themeColor="text1"/>
          <w:sz w:val="22"/>
          <w:szCs w:val="22"/>
          <w:lang w:eastAsia="en-GB"/>
        </w:rPr>
        <w:t>to</w:t>
      </w:r>
      <w:proofErr w:type="gramEnd"/>
      <w:r w:rsidR="00FE06A0" w:rsidRPr="00027237">
        <w:rPr>
          <w:rFonts w:ascii="Arial" w:eastAsia="Arial" w:hAnsi="Arial" w:cs="Arial"/>
          <w:color w:val="000000" w:themeColor="text1"/>
          <w:sz w:val="22"/>
          <w:szCs w:val="22"/>
          <w:lang w:eastAsia="en-GB"/>
        </w:rPr>
        <w:t xml:space="preserve"> or removed. The </w:t>
      </w:r>
      <w:r w:rsidR="00E07C9C" w:rsidRPr="00027237">
        <w:rPr>
          <w:rFonts w:ascii="Arial" w:eastAsia="Arial" w:hAnsi="Arial" w:cs="Arial"/>
          <w:color w:val="000000" w:themeColor="text1"/>
          <w:sz w:val="22"/>
          <w:szCs w:val="22"/>
          <w:lang w:eastAsia="en-GB"/>
        </w:rPr>
        <w:t>remova</w:t>
      </w:r>
      <w:r w:rsidR="00A71703" w:rsidRPr="00027237">
        <w:rPr>
          <w:rFonts w:ascii="Arial" w:eastAsia="Arial" w:hAnsi="Arial" w:cs="Arial"/>
          <w:color w:val="000000" w:themeColor="text1"/>
          <w:sz w:val="22"/>
          <w:szCs w:val="22"/>
          <w:lang w:eastAsia="en-GB"/>
        </w:rPr>
        <w:t>l of</w:t>
      </w:r>
      <w:r w:rsidR="00FE06A0" w:rsidRPr="00027237">
        <w:rPr>
          <w:rFonts w:ascii="Arial" w:eastAsia="Arial" w:hAnsi="Arial" w:cs="Arial"/>
          <w:color w:val="000000" w:themeColor="text1"/>
          <w:sz w:val="22"/>
          <w:szCs w:val="22"/>
          <w:lang w:eastAsia="en-GB"/>
        </w:rPr>
        <w:t xml:space="preserve"> conditions can reflect the success of a discharge through</w:t>
      </w:r>
      <w:r w:rsidR="005D7C91" w:rsidRPr="00027237">
        <w:rPr>
          <w:rFonts w:ascii="Arial" w:eastAsia="Arial" w:hAnsi="Arial" w:cs="Arial"/>
          <w:color w:val="000000" w:themeColor="text1"/>
          <w:sz w:val="22"/>
          <w:szCs w:val="22"/>
          <w:lang w:eastAsia="en-GB"/>
        </w:rPr>
        <w:t xml:space="preserve"> the removal of conditions that are no longer required to aid the management of the patient</w:t>
      </w:r>
      <w:r w:rsidR="00851112" w:rsidRPr="00027237">
        <w:rPr>
          <w:rFonts w:ascii="Arial" w:eastAsia="Arial" w:hAnsi="Arial" w:cs="Arial"/>
          <w:color w:val="000000" w:themeColor="text1"/>
          <w:sz w:val="22"/>
          <w:szCs w:val="22"/>
          <w:lang w:eastAsia="en-GB"/>
        </w:rPr>
        <w:t xml:space="preserve"> in the community</w:t>
      </w:r>
      <w:r w:rsidR="00A641FF" w:rsidRPr="00027237">
        <w:rPr>
          <w:rFonts w:ascii="Arial" w:eastAsia="Arial" w:hAnsi="Arial" w:cs="Arial"/>
          <w:color w:val="000000" w:themeColor="text1"/>
          <w:sz w:val="22"/>
          <w:szCs w:val="22"/>
          <w:lang w:eastAsia="en-GB"/>
        </w:rPr>
        <w:t xml:space="preserve">. Conversely, it may be prudent to add conditions </w:t>
      </w:r>
      <w:r w:rsidR="002556FE" w:rsidRPr="00027237">
        <w:rPr>
          <w:rFonts w:ascii="Arial" w:eastAsia="Arial" w:hAnsi="Arial" w:cs="Arial"/>
          <w:color w:val="000000" w:themeColor="text1"/>
          <w:sz w:val="22"/>
          <w:szCs w:val="22"/>
          <w:lang w:eastAsia="en-GB"/>
        </w:rPr>
        <w:t xml:space="preserve">where a patient’s presentation in the community is such that further conditions will aid the community supervisors in identifying emerging risks and </w:t>
      </w:r>
      <w:r w:rsidR="00892E9B" w:rsidRPr="00027237">
        <w:rPr>
          <w:rFonts w:ascii="Arial" w:eastAsia="Arial" w:hAnsi="Arial" w:cs="Arial"/>
          <w:color w:val="000000" w:themeColor="text1"/>
          <w:sz w:val="22"/>
          <w:szCs w:val="22"/>
          <w:lang w:eastAsia="en-GB"/>
        </w:rPr>
        <w:t xml:space="preserve">clearly report concerns to the Secretary of State. </w:t>
      </w:r>
      <w:r w:rsidR="007F6977" w:rsidRPr="00027237">
        <w:rPr>
          <w:rFonts w:ascii="Arial" w:eastAsia="Arial" w:hAnsi="Arial" w:cs="Arial"/>
          <w:color w:val="000000" w:themeColor="text1"/>
          <w:sz w:val="22"/>
          <w:szCs w:val="22"/>
          <w:lang w:eastAsia="en-GB"/>
        </w:rPr>
        <w:t>Finally, the variation of conditions may</w:t>
      </w:r>
      <w:r w:rsidR="00F80372" w:rsidRPr="00027237">
        <w:rPr>
          <w:rFonts w:ascii="Arial" w:eastAsia="Arial" w:hAnsi="Arial" w:cs="Arial"/>
          <w:color w:val="000000" w:themeColor="text1"/>
          <w:sz w:val="22"/>
          <w:szCs w:val="22"/>
          <w:lang w:eastAsia="en-GB"/>
        </w:rPr>
        <w:t xml:space="preserve"> be required</w:t>
      </w:r>
      <w:r w:rsidR="001A13D7" w:rsidRPr="00027237">
        <w:rPr>
          <w:rFonts w:ascii="Arial" w:eastAsia="Arial" w:hAnsi="Arial" w:cs="Arial"/>
          <w:color w:val="000000" w:themeColor="text1"/>
          <w:sz w:val="22"/>
          <w:szCs w:val="22"/>
          <w:lang w:eastAsia="en-GB"/>
        </w:rPr>
        <w:t xml:space="preserve"> </w:t>
      </w:r>
      <w:r w:rsidR="0C0F6D86" w:rsidRPr="00027237">
        <w:rPr>
          <w:rFonts w:ascii="Arial" w:eastAsia="Arial" w:hAnsi="Arial" w:cs="Arial"/>
          <w:color w:val="000000" w:themeColor="text1"/>
          <w:sz w:val="22"/>
          <w:szCs w:val="22"/>
          <w:lang w:eastAsia="en-GB"/>
        </w:rPr>
        <w:t>when</w:t>
      </w:r>
      <w:r w:rsidR="001A13D7" w:rsidRPr="00027237">
        <w:rPr>
          <w:rFonts w:ascii="Arial" w:eastAsia="Arial" w:hAnsi="Arial" w:cs="Arial"/>
          <w:color w:val="000000" w:themeColor="text1"/>
          <w:sz w:val="22"/>
          <w:szCs w:val="22"/>
          <w:lang w:eastAsia="en-GB"/>
        </w:rPr>
        <w:t xml:space="preserve"> the conditions are still </w:t>
      </w:r>
      <w:r w:rsidR="00BC4A22" w:rsidRPr="00027237">
        <w:rPr>
          <w:rFonts w:ascii="Arial" w:eastAsia="Arial" w:hAnsi="Arial" w:cs="Arial"/>
          <w:color w:val="000000" w:themeColor="text1"/>
          <w:sz w:val="22"/>
          <w:szCs w:val="22"/>
          <w:lang w:eastAsia="en-GB"/>
        </w:rPr>
        <w:t>necessary</w:t>
      </w:r>
      <w:r w:rsidR="13DF92A5" w:rsidRPr="00027237">
        <w:rPr>
          <w:rFonts w:ascii="Arial" w:eastAsia="Arial" w:hAnsi="Arial" w:cs="Arial"/>
          <w:color w:val="000000" w:themeColor="text1"/>
          <w:sz w:val="22"/>
          <w:szCs w:val="22"/>
          <w:lang w:eastAsia="en-GB"/>
        </w:rPr>
        <w:t>, but</w:t>
      </w:r>
      <w:r w:rsidR="001A13D7" w:rsidRPr="00027237">
        <w:rPr>
          <w:rFonts w:ascii="Arial" w:eastAsia="Arial" w:hAnsi="Arial" w:cs="Arial"/>
          <w:color w:val="000000" w:themeColor="text1"/>
          <w:sz w:val="22"/>
          <w:szCs w:val="22"/>
          <w:lang w:eastAsia="en-GB"/>
        </w:rPr>
        <w:t xml:space="preserve"> the </w:t>
      </w:r>
      <w:r w:rsidR="00457E37" w:rsidRPr="00027237">
        <w:rPr>
          <w:rFonts w:ascii="Arial" w:eastAsia="Arial" w:hAnsi="Arial" w:cs="Arial"/>
          <w:color w:val="000000" w:themeColor="text1"/>
          <w:sz w:val="22"/>
          <w:szCs w:val="22"/>
          <w:lang w:eastAsia="en-GB"/>
        </w:rPr>
        <w:t xml:space="preserve">wording or parameters of the conditions will need to </w:t>
      </w:r>
      <w:r w:rsidR="00A03144" w:rsidRPr="00027237">
        <w:rPr>
          <w:rFonts w:ascii="Arial" w:eastAsia="Arial" w:hAnsi="Arial" w:cs="Arial"/>
          <w:color w:val="000000" w:themeColor="text1"/>
          <w:sz w:val="22"/>
          <w:szCs w:val="22"/>
          <w:lang w:eastAsia="en-GB"/>
        </w:rPr>
        <w:t xml:space="preserve">be amended to </w:t>
      </w:r>
      <w:r w:rsidR="00457E37" w:rsidRPr="00027237">
        <w:rPr>
          <w:rFonts w:ascii="Arial" w:eastAsia="Arial" w:hAnsi="Arial" w:cs="Arial"/>
          <w:color w:val="000000" w:themeColor="text1"/>
          <w:sz w:val="22"/>
          <w:szCs w:val="22"/>
          <w:lang w:eastAsia="en-GB"/>
        </w:rPr>
        <w:t xml:space="preserve">reflect the patient’s </w:t>
      </w:r>
      <w:r w:rsidR="003C7E77" w:rsidRPr="00027237">
        <w:rPr>
          <w:rFonts w:ascii="Arial" w:eastAsia="Arial" w:hAnsi="Arial" w:cs="Arial"/>
          <w:color w:val="000000" w:themeColor="text1"/>
          <w:sz w:val="22"/>
          <w:szCs w:val="22"/>
          <w:lang w:eastAsia="en-GB"/>
        </w:rPr>
        <w:t xml:space="preserve">current position rather than the position at the point of discharge. </w:t>
      </w:r>
    </w:p>
    <w:p w14:paraId="01915A29" w14:textId="77777777" w:rsidR="00D72F7A" w:rsidRPr="00027237" w:rsidRDefault="00D72F7A" w:rsidP="4DD53C4F">
      <w:pPr>
        <w:pStyle w:val="ListParagraph"/>
        <w:rPr>
          <w:rFonts w:ascii="Arial" w:eastAsia="Arial" w:hAnsi="Arial" w:cs="Arial"/>
          <w:color w:val="000000"/>
          <w:sz w:val="22"/>
          <w:szCs w:val="22"/>
          <w:lang w:eastAsia="en-GB"/>
        </w:rPr>
      </w:pPr>
    </w:p>
    <w:p w14:paraId="2E4AAB10" w14:textId="07D01DAB" w:rsidR="00D72F7A" w:rsidRPr="00027237" w:rsidRDefault="00D72F7A" w:rsidP="4DD53C4F">
      <w:pPr>
        <w:pStyle w:val="ListParagraph"/>
        <w:numPr>
          <w:ilvl w:val="0"/>
          <w:numId w:val="4"/>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 xml:space="preserve">As indicated in paragraph </w:t>
      </w:r>
      <w:r w:rsidR="1D399888" w:rsidRPr="00027237">
        <w:rPr>
          <w:rFonts w:ascii="Arial" w:eastAsia="Arial" w:hAnsi="Arial" w:cs="Arial"/>
          <w:color w:val="000000" w:themeColor="text1"/>
          <w:sz w:val="22"/>
          <w:szCs w:val="22"/>
          <w:lang w:eastAsia="en-GB"/>
        </w:rPr>
        <w:t>7</w:t>
      </w:r>
      <w:r w:rsidRPr="00027237">
        <w:rPr>
          <w:rFonts w:ascii="Arial" w:eastAsia="Arial" w:hAnsi="Arial" w:cs="Arial"/>
          <w:color w:val="000000" w:themeColor="text1"/>
          <w:sz w:val="22"/>
          <w:szCs w:val="22"/>
          <w:lang w:eastAsia="en-GB"/>
        </w:rPr>
        <w:t xml:space="preserve">, above, MHCS can and will add, </w:t>
      </w:r>
      <w:proofErr w:type="gramStart"/>
      <w:r w:rsidRPr="00027237">
        <w:rPr>
          <w:rFonts w:ascii="Arial" w:eastAsia="Arial" w:hAnsi="Arial" w:cs="Arial"/>
          <w:color w:val="000000" w:themeColor="text1"/>
          <w:sz w:val="22"/>
          <w:szCs w:val="22"/>
          <w:lang w:eastAsia="en-GB"/>
        </w:rPr>
        <w:t>vary</w:t>
      </w:r>
      <w:proofErr w:type="gramEnd"/>
      <w:r w:rsidRPr="00027237">
        <w:rPr>
          <w:rFonts w:ascii="Arial" w:eastAsia="Arial" w:hAnsi="Arial" w:cs="Arial"/>
          <w:color w:val="000000" w:themeColor="text1"/>
          <w:sz w:val="22"/>
          <w:szCs w:val="22"/>
          <w:lang w:eastAsia="en-GB"/>
        </w:rPr>
        <w:t xml:space="preserve"> or remove conditions, includ</w:t>
      </w:r>
      <w:r w:rsidR="34B68E69" w:rsidRPr="00027237">
        <w:rPr>
          <w:rFonts w:ascii="Arial" w:eastAsia="Arial" w:hAnsi="Arial" w:cs="Arial"/>
          <w:color w:val="000000" w:themeColor="text1"/>
          <w:sz w:val="22"/>
          <w:szCs w:val="22"/>
          <w:lang w:eastAsia="en-GB"/>
        </w:rPr>
        <w:t>ing</w:t>
      </w:r>
      <w:r w:rsidRPr="00027237">
        <w:rPr>
          <w:rFonts w:ascii="Arial" w:eastAsia="Arial" w:hAnsi="Arial" w:cs="Arial"/>
          <w:color w:val="000000" w:themeColor="text1"/>
          <w:sz w:val="22"/>
          <w:szCs w:val="22"/>
          <w:lang w:eastAsia="en-GB"/>
        </w:rPr>
        <w:t xml:space="preserve"> those changed by the Tribunals, where it is deemed necessary to protect the public. Such actions will be appropriately considered through </w:t>
      </w:r>
      <w:r w:rsidR="00A03952" w:rsidRPr="00027237">
        <w:rPr>
          <w:rFonts w:ascii="Arial" w:eastAsia="Arial" w:hAnsi="Arial" w:cs="Arial"/>
          <w:color w:val="000000" w:themeColor="text1"/>
          <w:sz w:val="22"/>
          <w:szCs w:val="22"/>
          <w:lang w:eastAsia="en-GB"/>
        </w:rPr>
        <w:t xml:space="preserve">a risk assessment conducted by MHCS. </w:t>
      </w:r>
      <w:r w:rsidRPr="00027237">
        <w:rPr>
          <w:rFonts w:ascii="Arial" w:eastAsia="Arial" w:hAnsi="Arial" w:cs="Arial"/>
          <w:color w:val="000000" w:themeColor="text1"/>
          <w:sz w:val="22"/>
          <w:szCs w:val="22"/>
          <w:lang w:eastAsia="en-GB"/>
        </w:rPr>
        <w:t xml:space="preserve"> </w:t>
      </w:r>
    </w:p>
    <w:p w14:paraId="642306CF" w14:textId="77777777" w:rsidR="00BC4A22" w:rsidRPr="00027237" w:rsidRDefault="00BC4A22" w:rsidP="4DD53C4F">
      <w:pPr>
        <w:pStyle w:val="ListParagraph"/>
        <w:rPr>
          <w:rFonts w:ascii="Arial" w:eastAsia="Arial" w:hAnsi="Arial" w:cs="Arial"/>
          <w:color w:val="000000"/>
          <w:sz w:val="22"/>
          <w:szCs w:val="22"/>
          <w:lang w:eastAsia="en-GB"/>
        </w:rPr>
      </w:pPr>
    </w:p>
    <w:p w14:paraId="6FE66BFF" w14:textId="78031710" w:rsidR="009453E5" w:rsidRPr="00027237" w:rsidRDefault="00855197" w:rsidP="009E77B2">
      <w:pPr>
        <w:spacing w:after="231" w:line="249" w:lineRule="auto"/>
        <w:ind w:left="710" w:firstLine="360"/>
        <w:contextualSpacing/>
        <w:rPr>
          <w:rFonts w:eastAsia="Arial"/>
          <w:b/>
          <w:bCs/>
          <w:color w:val="000000"/>
          <w:sz w:val="22"/>
          <w:lang w:eastAsia="en-GB"/>
        </w:rPr>
      </w:pPr>
      <w:r w:rsidRPr="00027237">
        <w:rPr>
          <w:rFonts w:eastAsia="Arial"/>
          <w:b/>
          <w:bCs/>
          <w:color w:val="000000" w:themeColor="text1"/>
          <w:sz w:val="22"/>
          <w:lang w:eastAsia="en-GB"/>
        </w:rPr>
        <w:t>Section 4 – Requesting a Change of Conditions</w:t>
      </w:r>
    </w:p>
    <w:p w14:paraId="5D43DBE2" w14:textId="54BBBD8D" w:rsidR="00C4061D" w:rsidRPr="00027237" w:rsidRDefault="00442FC1" w:rsidP="4DD53C4F">
      <w:pPr>
        <w:pStyle w:val="ListParagraph"/>
        <w:numPr>
          <w:ilvl w:val="0"/>
          <w:numId w:val="4"/>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The annex to this guidance</w:t>
      </w:r>
      <w:r w:rsidR="00A55968" w:rsidRPr="00027237">
        <w:rPr>
          <w:rFonts w:ascii="Arial" w:eastAsia="Arial" w:hAnsi="Arial" w:cs="Arial"/>
          <w:color w:val="000000" w:themeColor="text1"/>
          <w:sz w:val="22"/>
          <w:szCs w:val="22"/>
          <w:lang w:eastAsia="en-GB"/>
        </w:rPr>
        <w:t xml:space="preserve"> </w:t>
      </w:r>
      <w:r w:rsidR="008D66D6" w:rsidRPr="00027237">
        <w:rPr>
          <w:rFonts w:ascii="Arial" w:eastAsia="Arial" w:hAnsi="Arial" w:cs="Arial"/>
          <w:color w:val="000000" w:themeColor="text1"/>
          <w:sz w:val="22"/>
          <w:szCs w:val="22"/>
          <w:lang w:eastAsia="en-GB"/>
        </w:rPr>
        <w:t xml:space="preserve">contains the application form which should be completed and submitted to MHCS when seeking a change of conditions. </w:t>
      </w:r>
      <w:r w:rsidR="00904296" w:rsidRPr="00027237">
        <w:rPr>
          <w:rFonts w:ascii="Arial" w:eastAsia="Arial" w:hAnsi="Arial" w:cs="Arial"/>
          <w:color w:val="000000" w:themeColor="text1"/>
          <w:sz w:val="22"/>
          <w:szCs w:val="22"/>
          <w:lang w:eastAsia="en-GB"/>
        </w:rPr>
        <w:t xml:space="preserve">If a request to change a condition of discharge </w:t>
      </w:r>
      <w:r w:rsidR="00F07CA3" w:rsidRPr="00027237">
        <w:rPr>
          <w:rFonts w:ascii="Arial" w:eastAsia="Arial" w:hAnsi="Arial" w:cs="Arial"/>
          <w:color w:val="000000" w:themeColor="text1"/>
          <w:sz w:val="22"/>
          <w:szCs w:val="22"/>
          <w:lang w:eastAsia="en-GB"/>
        </w:rPr>
        <w:t xml:space="preserve">is </w:t>
      </w:r>
      <w:r w:rsidR="00F14A03" w:rsidRPr="00027237">
        <w:rPr>
          <w:rFonts w:ascii="Arial" w:eastAsia="Arial" w:hAnsi="Arial" w:cs="Arial"/>
          <w:color w:val="000000" w:themeColor="text1"/>
          <w:sz w:val="22"/>
          <w:szCs w:val="22"/>
          <w:lang w:eastAsia="en-GB"/>
        </w:rPr>
        <w:t xml:space="preserve">not submitted on the application </w:t>
      </w:r>
      <w:proofErr w:type="gramStart"/>
      <w:r w:rsidR="00F14A03" w:rsidRPr="00027237">
        <w:rPr>
          <w:rFonts w:ascii="Arial" w:eastAsia="Arial" w:hAnsi="Arial" w:cs="Arial"/>
          <w:color w:val="000000" w:themeColor="text1"/>
          <w:sz w:val="22"/>
          <w:szCs w:val="22"/>
          <w:lang w:eastAsia="en-GB"/>
        </w:rPr>
        <w:t>form</w:t>
      </w:r>
      <w:proofErr w:type="gramEnd"/>
      <w:r w:rsidR="00F14A03" w:rsidRPr="00027237">
        <w:rPr>
          <w:rFonts w:ascii="Arial" w:eastAsia="Arial" w:hAnsi="Arial" w:cs="Arial"/>
          <w:color w:val="000000" w:themeColor="text1"/>
          <w:sz w:val="22"/>
          <w:szCs w:val="22"/>
          <w:lang w:eastAsia="en-GB"/>
        </w:rPr>
        <w:t xml:space="preserve"> then it will not be processe</w:t>
      </w:r>
      <w:r w:rsidR="001D7CD4" w:rsidRPr="00027237">
        <w:rPr>
          <w:rFonts w:ascii="Arial" w:eastAsia="Arial" w:hAnsi="Arial" w:cs="Arial"/>
          <w:color w:val="000000" w:themeColor="text1"/>
          <w:sz w:val="22"/>
          <w:szCs w:val="22"/>
          <w:lang w:eastAsia="en-GB"/>
        </w:rPr>
        <w:t>d</w:t>
      </w:r>
      <w:r w:rsidR="007627CA" w:rsidRPr="00027237">
        <w:rPr>
          <w:rFonts w:ascii="Arial" w:eastAsia="Arial" w:hAnsi="Arial" w:cs="Arial"/>
          <w:color w:val="000000" w:themeColor="text1"/>
          <w:sz w:val="22"/>
          <w:szCs w:val="22"/>
          <w:lang w:eastAsia="en-GB"/>
        </w:rPr>
        <w:t xml:space="preserve">. Consideration will be given to </w:t>
      </w:r>
      <w:r w:rsidR="00BA4CA2" w:rsidRPr="00027237">
        <w:rPr>
          <w:rFonts w:ascii="Arial" w:eastAsia="Arial" w:hAnsi="Arial" w:cs="Arial"/>
          <w:color w:val="000000" w:themeColor="text1"/>
          <w:sz w:val="22"/>
          <w:szCs w:val="22"/>
          <w:lang w:eastAsia="en-GB"/>
        </w:rPr>
        <w:t xml:space="preserve">changes of conditions requests not submitted </w:t>
      </w:r>
      <w:r w:rsidR="00290F50" w:rsidRPr="00027237">
        <w:rPr>
          <w:rFonts w:ascii="Arial" w:eastAsia="Arial" w:hAnsi="Arial" w:cs="Arial"/>
          <w:color w:val="000000" w:themeColor="text1"/>
          <w:sz w:val="22"/>
          <w:szCs w:val="22"/>
          <w:lang w:eastAsia="en-GB"/>
        </w:rPr>
        <w:t>using</w:t>
      </w:r>
      <w:r w:rsidR="00BA4CA2" w:rsidRPr="00027237">
        <w:rPr>
          <w:rFonts w:ascii="Arial" w:eastAsia="Arial" w:hAnsi="Arial" w:cs="Arial"/>
          <w:color w:val="000000" w:themeColor="text1"/>
          <w:sz w:val="22"/>
          <w:szCs w:val="22"/>
          <w:lang w:eastAsia="en-GB"/>
        </w:rPr>
        <w:t xml:space="preserve"> the application form where</w:t>
      </w:r>
      <w:r w:rsidR="002E1CF2" w:rsidRPr="00027237">
        <w:rPr>
          <w:rFonts w:ascii="Arial" w:eastAsia="Arial" w:hAnsi="Arial" w:cs="Arial"/>
          <w:color w:val="000000" w:themeColor="text1"/>
          <w:sz w:val="22"/>
          <w:szCs w:val="22"/>
          <w:lang w:eastAsia="en-GB"/>
        </w:rPr>
        <w:t xml:space="preserve"> the request is very</w:t>
      </w:r>
      <w:r w:rsidR="0037566C" w:rsidRPr="00027237">
        <w:rPr>
          <w:rFonts w:ascii="Arial" w:eastAsia="Arial" w:hAnsi="Arial" w:cs="Arial"/>
          <w:color w:val="000000" w:themeColor="text1"/>
          <w:sz w:val="22"/>
          <w:szCs w:val="22"/>
          <w:lang w:eastAsia="en-GB"/>
        </w:rPr>
        <w:t xml:space="preserve"> urgent and</w:t>
      </w:r>
      <w:r w:rsidR="000C67DF" w:rsidRPr="00027237">
        <w:rPr>
          <w:rFonts w:ascii="Arial" w:eastAsia="Arial" w:hAnsi="Arial" w:cs="Arial"/>
          <w:color w:val="000000" w:themeColor="text1"/>
          <w:sz w:val="22"/>
          <w:szCs w:val="22"/>
          <w:lang w:eastAsia="en-GB"/>
        </w:rPr>
        <w:t xml:space="preserve"> pertains directly to the management of the patient’s risk</w:t>
      </w:r>
      <w:r w:rsidR="002E1CF2" w:rsidRPr="00027237">
        <w:rPr>
          <w:rFonts w:ascii="Arial" w:eastAsia="Arial" w:hAnsi="Arial" w:cs="Arial"/>
          <w:color w:val="000000" w:themeColor="text1"/>
          <w:sz w:val="22"/>
          <w:szCs w:val="22"/>
          <w:lang w:eastAsia="en-GB"/>
        </w:rPr>
        <w:t xml:space="preserve"> to themselves or others</w:t>
      </w:r>
      <w:r w:rsidR="00C4061D" w:rsidRPr="00027237">
        <w:rPr>
          <w:rFonts w:ascii="Arial" w:eastAsia="Arial" w:hAnsi="Arial" w:cs="Arial"/>
          <w:color w:val="000000" w:themeColor="text1"/>
          <w:sz w:val="22"/>
          <w:szCs w:val="22"/>
          <w:lang w:eastAsia="en-GB"/>
        </w:rPr>
        <w:t xml:space="preserve">, but where a recall to hospital is not appropriate. </w:t>
      </w:r>
    </w:p>
    <w:p w14:paraId="38E218D8" w14:textId="2DCF5FF0" w:rsidR="006B3C03" w:rsidRPr="00027237" w:rsidRDefault="00CB2A95" w:rsidP="009E77B2">
      <w:pPr>
        <w:spacing w:after="231" w:line="249" w:lineRule="auto"/>
        <w:ind w:left="350" w:firstLine="720"/>
        <w:contextualSpacing/>
        <w:rPr>
          <w:rFonts w:eastAsia="Arial"/>
          <w:b/>
          <w:bCs/>
          <w:color w:val="000000"/>
          <w:sz w:val="22"/>
          <w:lang w:eastAsia="en-GB"/>
        </w:rPr>
      </w:pPr>
      <w:r w:rsidRPr="00027237">
        <w:rPr>
          <w:rFonts w:eastAsia="Arial"/>
          <w:b/>
          <w:bCs/>
          <w:color w:val="000000" w:themeColor="text1"/>
          <w:sz w:val="22"/>
          <w:lang w:eastAsia="en-GB"/>
        </w:rPr>
        <w:t>S</w:t>
      </w:r>
      <w:r w:rsidR="003B04E9" w:rsidRPr="00027237">
        <w:rPr>
          <w:rFonts w:eastAsia="Arial"/>
          <w:b/>
          <w:bCs/>
          <w:color w:val="000000" w:themeColor="text1"/>
          <w:sz w:val="22"/>
          <w:lang w:eastAsia="en-GB"/>
        </w:rPr>
        <w:t xml:space="preserve">ection 5 – Standard Conditions </w:t>
      </w:r>
    </w:p>
    <w:p w14:paraId="07A047F8" w14:textId="2AF5970A" w:rsidR="003B04E9" w:rsidRPr="00027237" w:rsidRDefault="003B04E9" w:rsidP="4DD53C4F">
      <w:pPr>
        <w:spacing w:after="231" w:line="249" w:lineRule="auto"/>
        <w:contextualSpacing/>
        <w:rPr>
          <w:rFonts w:eastAsia="Arial"/>
          <w:b/>
          <w:bCs/>
          <w:color w:val="000000"/>
          <w:sz w:val="22"/>
          <w:lang w:eastAsia="en-GB"/>
        </w:rPr>
      </w:pPr>
    </w:p>
    <w:p w14:paraId="2AB018FA" w14:textId="488217F7" w:rsidR="003B04E9" w:rsidRPr="00027237" w:rsidRDefault="003B04E9" w:rsidP="4DD53C4F">
      <w:pPr>
        <w:spacing w:after="231" w:line="249" w:lineRule="auto"/>
        <w:contextualSpacing/>
        <w:rPr>
          <w:rFonts w:eastAsia="Arial"/>
          <w:color w:val="000000"/>
          <w:sz w:val="22"/>
          <w:lang w:eastAsia="en-GB"/>
        </w:rPr>
      </w:pPr>
      <w:r w:rsidRPr="00027237">
        <w:rPr>
          <w:rFonts w:eastAsia="Arial"/>
          <w:b/>
          <w:bCs/>
          <w:color w:val="000000"/>
          <w:sz w:val="22"/>
          <w:lang w:eastAsia="en-GB"/>
        </w:rPr>
        <w:tab/>
      </w:r>
      <w:r w:rsidRPr="00027237">
        <w:rPr>
          <w:rFonts w:eastAsia="Arial"/>
          <w:color w:val="000000"/>
          <w:sz w:val="22"/>
          <w:lang w:eastAsia="en-GB"/>
        </w:rPr>
        <w:t xml:space="preserve">   </w:t>
      </w:r>
      <w:r w:rsidR="00E863D0" w:rsidRPr="00027237">
        <w:rPr>
          <w:rFonts w:eastAsia="Arial"/>
          <w:color w:val="000000"/>
          <w:sz w:val="22"/>
          <w:lang w:eastAsia="en-GB"/>
        </w:rPr>
        <w:tab/>
      </w:r>
      <w:r w:rsidRPr="00027237">
        <w:rPr>
          <w:rFonts w:eastAsia="Arial"/>
          <w:color w:val="000000"/>
          <w:sz w:val="22"/>
          <w:lang w:eastAsia="en-GB"/>
        </w:rPr>
        <w:t>Conditions of residence</w:t>
      </w:r>
    </w:p>
    <w:p w14:paraId="1F1C0A9A" w14:textId="017BEC7C" w:rsidR="00957493" w:rsidRPr="00027237" w:rsidRDefault="00D55883" w:rsidP="4DD53C4F">
      <w:pPr>
        <w:pStyle w:val="ListParagraph"/>
        <w:numPr>
          <w:ilvl w:val="0"/>
          <w:numId w:val="4"/>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 xml:space="preserve">MHCS will </w:t>
      </w:r>
      <w:r w:rsidR="00DC3906" w:rsidRPr="00027237">
        <w:rPr>
          <w:rFonts w:ascii="Arial" w:eastAsia="Arial" w:hAnsi="Arial" w:cs="Arial"/>
          <w:color w:val="000000" w:themeColor="text1"/>
          <w:sz w:val="22"/>
          <w:szCs w:val="22"/>
          <w:lang w:eastAsia="en-GB"/>
        </w:rPr>
        <w:t>consider</w:t>
      </w:r>
      <w:r w:rsidRPr="00027237">
        <w:rPr>
          <w:rFonts w:ascii="Arial" w:eastAsia="Arial" w:hAnsi="Arial" w:cs="Arial"/>
          <w:color w:val="000000" w:themeColor="text1"/>
          <w:sz w:val="22"/>
          <w:szCs w:val="22"/>
          <w:lang w:eastAsia="en-GB"/>
        </w:rPr>
        <w:t xml:space="preserve"> changes of conditions </w:t>
      </w:r>
      <w:r w:rsidR="08D505C7" w:rsidRPr="00027237">
        <w:rPr>
          <w:rFonts w:ascii="Arial" w:eastAsia="Arial" w:hAnsi="Arial" w:cs="Arial"/>
          <w:color w:val="000000" w:themeColor="text1"/>
          <w:sz w:val="22"/>
          <w:szCs w:val="22"/>
          <w:lang w:eastAsia="en-GB"/>
        </w:rPr>
        <w:t>relating to</w:t>
      </w:r>
      <w:r w:rsidRPr="00027237">
        <w:rPr>
          <w:rFonts w:ascii="Arial" w:eastAsia="Arial" w:hAnsi="Arial" w:cs="Arial"/>
          <w:color w:val="000000" w:themeColor="text1"/>
          <w:sz w:val="22"/>
          <w:szCs w:val="22"/>
          <w:lang w:eastAsia="en-GB"/>
        </w:rPr>
        <w:t xml:space="preserve"> where the patient </w:t>
      </w:r>
      <w:r w:rsidR="0035286C" w:rsidRPr="00027237">
        <w:rPr>
          <w:rFonts w:ascii="Arial" w:eastAsia="Arial" w:hAnsi="Arial" w:cs="Arial"/>
          <w:color w:val="000000" w:themeColor="text1"/>
          <w:sz w:val="22"/>
          <w:szCs w:val="22"/>
          <w:lang w:eastAsia="en-GB"/>
        </w:rPr>
        <w:t>will</w:t>
      </w:r>
      <w:r w:rsidRPr="00027237">
        <w:rPr>
          <w:rFonts w:ascii="Arial" w:eastAsia="Arial" w:hAnsi="Arial" w:cs="Arial"/>
          <w:color w:val="000000" w:themeColor="text1"/>
          <w:sz w:val="22"/>
          <w:szCs w:val="22"/>
          <w:lang w:eastAsia="en-GB"/>
        </w:rPr>
        <w:t xml:space="preserve"> </w:t>
      </w:r>
      <w:r w:rsidR="14090102" w:rsidRPr="00027237">
        <w:rPr>
          <w:rFonts w:ascii="Arial" w:eastAsia="Arial" w:hAnsi="Arial" w:cs="Arial"/>
          <w:color w:val="000000" w:themeColor="text1"/>
          <w:sz w:val="22"/>
          <w:szCs w:val="22"/>
          <w:lang w:eastAsia="en-GB"/>
        </w:rPr>
        <w:t>reside,</w:t>
      </w:r>
      <w:r w:rsidRPr="00027237">
        <w:rPr>
          <w:rFonts w:ascii="Arial" w:eastAsia="Arial" w:hAnsi="Arial" w:cs="Arial"/>
          <w:color w:val="000000" w:themeColor="text1"/>
          <w:sz w:val="22"/>
          <w:szCs w:val="22"/>
          <w:lang w:eastAsia="en-GB"/>
        </w:rPr>
        <w:t xml:space="preserve"> but </w:t>
      </w:r>
      <w:r w:rsidR="00A551C4" w:rsidRPr="00027237">
        <w:rPr>
          <w:rFonts w:ascii="Arial" w:eastAsia="Arial" w:hAnsi="Arial" w:cs="Arial"/>
          <w:color w:val="000000" w:themeColor="text1"/>
          <w:sz w:val="22"/>
          <w:szCs w:val="22"/>
          <w:lang w:eastAsia="en-GB"/>
        </w:rPr>
        <w:t xml:space="preserve">it is highly unlikely that </w:t>
      </w:r>
      <w:r w:rsidR="00DC3906" w:rsidRPr="00027237">
        <w:rPr>
          <w:rFonts w:ascii="Arial" w:eastAsia="Arial" w:hAnsi="Arial" w:cs="Arial"/>
          <w:color w:val="000000" w:themeColor="text1"/>
          <w:sz w:val="22"/>
          <w:szCs w:val="22"/>
          <w:lang w:eastAsia="en-GB"/>
        </w:rPr>
        <w:t>agreement would be</w:t>
      </w:r>
      <w:r w:rsidR="00A777EA" w:rsidRPr="00027237">
        <w:rPr>
          <w:rFonts w:ascii="Arial" w:eastAsia="Arial" w:hAnsi="Arial" w:cs="Arial"/>
          <w:color w:val="000000" w:themeColor="text1"/>
          <w:sz w:val="22"/>
          <w:szCs w:val="22"/>
          <w:lang w:eastAsia="en-GB"/>
        </w:rPr>
        <w:t xml:space="preserve"> given</w:t>
      </w:r>
      <w:r w:rsidR="009B5E0D" w:rsidRPr="00027237">
        <w:rPr>
          <w:rFonts w:ascii="Arial" w:eastAsia="Arial" w:hAnsi="Arial" w:cs="Arial"/>
          <w:color w:val="000000" w:themeColor="text1"/>
          <w:sz w:val="22"/>
          <w:szCs w:val="22"/>
          <w:lang w:eastAsia="en-GB"/>
        </w:rPr>
        <w:t xml:space="preserve"> to</w:t>
      </w:r>
      <w:r w:rsidR="00A551C4" w:rsidRPr="00027237">
        <w:rPr>
          <w:rFonts w:ascii="Arial" w:eastAsia="Arial" w:hAnsi="Arial" w:cs="Arial"/>
          <w:color w:val="000000" w:themeColor="text1"/>
          <w:sz w:val="22"/>
          <w:szCs w:val="22"/>
          <w:lang w:eastAsia="en-GB"/>
        </w:rPr>
        <w:t xml:space="preserve"> the </w:t>
      </w:r>
      <w:r w:rsidR="17C5FCF0" w:rsidRPr="00027237">
        <w:rPr>
          <w:rFonts w:ascii="Arial" w:eastAsia="Arial" w:hAnsi="Arial" w:cs="Arial"/>
          <w:color w:val="000000" w:themeColor="text1"/>
          <w:sz w:val="22"/>
          <w:szCs w:val="22"/>
          <w:lang w:eastAsia="en-GB"/>
        </w:rPr>
        <w:t xml:space="preserve">complete </w:t>
      </w:r>
      <w:r w:rsidR="00A551C4" w:rsidRPr="00027237">
        <w:rPr>
          <w:rFonts w:ascii="Arial" w:eastAsia="Arial" w:hAnsi="Arial" w:cs="Arial"/>
          <w:color w:val="000000" w:themeColor="text1"/>
          <w:sz w:val="22"/>
          <w:szCs w:val="22"/>
          <w:lang w:eastAsia="en-GB"/>
        </w:rPr>
        <w:t xml:space="preserve">removal of </w:t>
      </w:r>
      <w:r w:rsidR="0035286C" w:rsidRPr="00027237">
        <w:rPr>
          <w:rFonts w:ascii="Arial" w:eastAsia="Arial" w:hAnsi="Arial" w:cs="Arial"/>
          <w:color w:val="000000" w:themeColor="text1"/>
          <w:sz w:val="22"/>
          <w:szCs w:val="22"/>
          <w:lang w:eastAsia="en-GB"/>
        </w:rPr>
        <w:t>a condition of residence</w:t>
      </w:r>
      <w:r w:rsidR="00A551C4" w:rsidRPr="00027237">
        <w:rPr>
          <w:rFonts w:ascii="Arial" w:eastAsia="Arial" w:hAnsi="Arial" w:cs="Arial"/>
          <w:color w:val="000000" w:themeColor="text1"/>
          <w:sz w:val="22"/>
          <w:szCs w:val="22"/>
          <w:lang w:eastAsia="en-GB"/>
        </w:rPr>
        <w:t xml:space="preserve">. It is important that </w:t>
      </w:r>
      <w:r w:rsidR="003030DA" w:rsidRPr="00027237">
        <w:rPr>
          <w:rFonts w:ascii="Arial" w:eastAsia="Arial" w:hAnsi="Arial" w:cs="Arial"/>
          <w:color w:val="000000" w:themeColor="text1"/>
          <w:sz w:val="22"/>
          <w:szCs w:val="22"/>
          <w:lang w:eastAsia="en-GB"/>
        </w:rPr>
        <w:t>MHCS</w:t>
      </w:r>
      <w:r w:rsidR="00E74414" w:rsidRPr="00027237">
        <w:rPr>
          <w:rFonts w:ascii="Arial" w:eastAsia="Arial" w:hAnsi="Arial" w:cs="Arial"/>
          <w:color w:val="000000" w:themeColor="text1"/>
          <w:sz w:val="22"/>
          <w:szCs w:val="22"/>
          <w:lang w:eastAsia="en-GB"/>
        </w:rPr>
        <w:t xml:space="preserve"> know</w:t>
      </w:r>
      <w:r w:rsidR="003030DA" w:rsidRPr="00027237">
        <w:rPr>
          <w:rFonts w:ascii="Arial" w:eastAsia="Arial" w:hAnsi="Arial" w:cs="Arial"/>
          <w:color w:val="000000" w:themeColor="text1"/>
          <w:sz w:val="22"/>
          <w:szCs w:val="22"/>
          <w:lang w:eastAsia="en-GB"/>
        </w:rPr>
        <w:t>s</w:t>
      </w:r>
      <w:r w:rsidR="00E74414" w:rsidRPr="00027237">
        <w:rPr>
          <w:rFonts w:ascii="Arial" w:eastAsia="Arial" w:hAnsi="Arial" w:cs="Arial"/>
          <w:color w:val="000000" w:themeColor="text1"/>
          <w:sz w:val="22"/>
          <w:szCs w:val="22"/>
          <w:lang w:eastAsia="en-GB"/>
        </w:rPr>
        <w:t xml:space="preserve"> where </w:t>
      </w:r>
      <w:r w:rsidR="00A777EA" w:rsidRPr="00027237">
        <w:rPr>
          <w:rFonts w:ascii="Arial" w:eastAsia="Arial" w:hAnsi="Arial" w:cs="Arial"/>
          <w:color w:val="000000" w:themeColor="text1"/>
          <w:sz w:val="22"/>
          <w:szCs w:val="22"/>
          <w:lang w:eastAsia="en-GB"/>
        </w:rPr>
        <w:t xml:space="preserve">a restricted patient resides </w:t>
      </w:r>
      <w:r w:rsidR="00E74414" w:rsidRPr="00027237">
        <w:rPr>
          <w:rFonts w:ascii="Arial" w:eastAsia="Arial" w:hAnsi="Arial" w:cs="Arial"/>
          <w:color w:val="000000" w:themeColor="text1"/>
          <w:sz w:val="22"/>
          <w:szCs w:val="22"/>
          <w:lang w:eastAsia="en-GB"/>
        </w:rPr>
        <w:t xml:space="preserve">to properly exercise his </w:t>
      </w:r>
      <w:r w:rsidR="00B157F8" w:rsidRPr="00027237">
        <w:rPr>
          <w:rFonts w:ascii="Arial" w:eastAsia="Arial" w:hAnsi="Arial" w:cs="Arial"/>
          <w:color w:val="000000" w:themeColor="text1"/>
          <w:sz w:val="22"/>
          <w:szCs w:val="22"/>
          <w:lang w:eastAsia="en-GB"/>
        </w:rPr>
        <w:t>public protection function and power to recall</w:t>
      </w:r>
      <w:r w:rsidR="00A777EA" w:rsidRPr="00027237">
        <w:rPr>
          <w:rFonts w:ascii="Arial" w:eastAsia="Arial" w:hAnsi="Arial" w:cs="Arial"/>
          <w:color w:val="000000" w:themeColor="text1"/>
          <w:sz w:val="22"/>
          <w:szCs w:val="22"/>
          <w:lang w:eastAsia="en-GB"/>
        </w:rPr>
        <w:t xml:space="preserve"> the patient to hospital. </w:t>
      </w:r>
      <w:r w:rsidR="00AD334D" w:rsidRPr="00027237">
        <w:rPr>
          <w:rFonts w:ascii="Arial" w:eastAsia="Arial" w:hAnsi="Arial" w:cs="Arial"/>
          <w:color w:val="000000" w:themeColor="text1"/>
          <w:sz w:val="22"/>
          <w:szCs w:val="22"/>
          <w:lang w:eastAsia="en-GB"/>
        </w:rPr>
        <w:t xml:space="preserve"> </w:t>
      </w:r>
    </w:p>
    <w:p w14:paraId="0474EBF0" w14:textId="148BF895" w:rsidR="00AD334D" w:rsidRPr="00027237" w:rsidRDefault="00AD334D" w:rsidP="4DD53C4F">
      <w:pPr>
        <w:pStyle w:val="ListParagraph"/>
        <w:spacing w:after="231" w:line="249" w:lineRule="auto"/>
        <w:ind w:left="1070"/>
        <w:contextualSpacing/>
        <w:rPr>
          <w:rFonts w:ascii="Arial" w:eastAsia="Arial" w:hAnsi="Arial" w:cs="Arial"/>
          <w:color w:val="000000"/>
          <w:sz w:val="22"/>
          <w:szCs w:val="22"/>
          <w:lang w:eastAsia="en-GB"/>
        </w:rPr>
      </w:pPr>
    </w:p>
    <w:p w14:paraId="6C57762F" w14:textId="4A7A237A" w:rsidR="00AE494D" w:rsidRPr="00027237" w:rsidRDefault="00783AD0" w:rsidP="4DD53C4F">
      <w:pPr>
        <w:pStyle w:val="ListParagraph"/>
        <w:numPr>
          <w:ilvl w:val="0"/>
          <w:numId w:val="4"/>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 xml:space="preserve">MHCS may refuse to agree to changes of conditions of residence where these potentially bring a patient into or very near to an </w:t>
      </w:r>
      <w:r w:rsidR="00312487" w:rsidRPr="00027237">
        <w:rPr>
          <w:rFonts w:ascii="Arial" w:eastAsia="Arial" w:hAnsi="Arial" w:cs="Arial"/>
          <w:color w:val="000000" w:themeColor="text1"/>
          <w:sz w:val="22"/>
          <w:szCs w:val="22"/>
          <w:lang w:eastAsia="en-GB"/>
        </w:rPr>
        <w:t xml:space="preserve">extant </w:t>
      </w:r>
      <w:r w:rsidRPr="00027237">
        <w:rPr>
          <w:rFonts w:ascii="Arial" w:eastAsia="Arial" w:hAnsi="Arial" w:cs="Arial"/>
          <w:color w:val="000000" w:themeColor="text1"/>
          <w:sz w:val="22"/>
          <w:szCs w:val="22"/>
          <w:lang w:eastAsia="en-GB"/>
        </w:rPr>
        <w:t>exclusion zone</w:t>
      </w:r>
      <w:r w:rsidR="00312487" w:rsidRPr="00027237">
        <w:rPr>
          <w:rFonts w:ascii="Arial" w:eastAsia="Arial" w:hAnsi="Arial" w:cs="Arial"/>
          <w:color w:val="000000" w:themeColor="text1"/>
          <w:sz w:val="22"/>
          <w:szCs w:val="22"/>
          <w:lang w:eastAsia="en-GB"/>
        </w:rPr>
        <w:t xml:space="preserve"> imposed to protect the victims of the patient’s offending.</w:t>
      </w:r>
      <w:r w:rsidR="006546C6" w:rsidRPr="00027237">
        <w:rPr>
          <w:rFonts w:ascii="Arial" w:eastAsia="Arial" w:hAnsi="Arial" w:cs="Arial"/>
          <w:color w:val="000000" w:themeColor="text1"/>
          <w:sz w:val="22"/>
          <w:szCs w:val="22"/>
          <w:lang w:eastAsia="en-GB"/>
        </w:rPr>
        <w:t xml:space="preserve"> It is therefore incumbent on </w:t>
      </w:r>
      <w:r w:rsidR="00570787" w:rsidRPr="00027237">
        <w:rPr>
          <w:rFonts w:ascii="Arial" w:eastAsia="Arial" w:hAnsi="Arial" w:cs="Arial"/>
          <w:color w:val="000000" w:themeColor="text1"/>
          <w:sz w:val="22"/>
          <w:szCs w:val="22"/>
          <w:lang w:eastAsia="en-GB"/>
        </w:rPr>
        <w:t>the</w:t>
      </w:r>
      <w:r w:rsidR="006753DD" w:rsidRPr="00027237">
        <w:rPr>
          <w:rFonts w:ascii="Arial" w:eastAsia="Arial" w:hAnsi="Arial" w:cs="Arial"/>
          <w:color w:val="000000" w:themeColor="text1"/>
          <w:sz w:val="22"/>
          <w:szCs w:val="22"/>
          <w:lang w:eastAsia="en-GB"/>
        </w:rPr>
        <w:t xml:space="preserve"> community </w:t>
      </w:r>
      <w:r w:rsidR="7FB839C5" w:rsidRPr="00027237">
        <w:rPr>
          <w:rFonts w:ascii="Arial" w:eastAsia="Arial" w:hAnsi="Arial" w:cs="Arial"/>
          <w:color w:val="000000" w:themeColor="text1"/>
          <w:sz w:val="22"/>
          <w:szCs w:val="22"/>
          <w:lang w:eastAsia="en-GB"/>
        </w:rPr>
        <w:t>supervisors</w:t>
      </w:r>
      <w:r w:rsidR="006546C6" w:rsidRPr="00027237">
        <w:rPr>
          <w:rFonts w:ascii="Arial" w:eastAsia="Arial" w:hAnsi="Arial" w:cs="Arial"/>
          <w:color w:val="000000" w:themeColor="text1"/>
          <w:sz w:val="22"/>
          <w:szCs w:val="22"/>
          <w:lang w:eastAsia="en-GB"/>
        </w:rPr>
        <w:t xml:space="preserve"> to account for why such a move is being planned and that the Victim Liaison Officer involved in the case has been consulted. The </w:t>
      </w:r>
      <w:r w:rsidR="006753DD" w:rsidRPr="00027237">
        <w:rPr>
          <w:rFonts w:ascii="Arial" w:eastAsia="Arial" w:hAnsi="Arial" w:cs="Arial"/>
          <w:color w:val="000000" w:themeColor="text1"/>
          <w:sz w:val="22"/>
          <w:szCs w:val="22"/>
          <w:lang w:eastAsia="en-GB"/>
        </w:rPr>
        <w:t>c</w:t>
      </w:r>
      <w:r w:rsidR="006546C6" w:rsidRPr="00027237">
        <w:rPr>
          <w:rFonts w:ascii="Arial" w:eastAsia="Arial" w:hAnsi="Arial" w:cs="Arial"/>
          <w:color w:val="000000" w:themeColor="text1"/>
          <w:sz w:val="22"/>
          <w:szCs w:val="22"/>
          <w:lang w:eastAsia="en-GB"/>
        </w:rPr>
        <w:t>ommunity</w:t>
      </w:r>
      <w:r w:rsidR="4DCB17E4" w:rsidRPr="00027237">
        <w:rPr>
          <w:rFonts w:ascii="Arial" w:eastAsia="Arial" w:hAnsi="Arial" w:cs="Arial"/>
          <w:color w:val="000000" w:themeColor="text1"/>
          <w:sz w:val="22"/>
          <w:szCs w:val="22"/>
          <w:lang w:eastAsia="en-GB"/>
        </w:rPr>
        <w:t xml:space="preserve"> supervisors</w:t>
      </w:r>
      <w:r w:rsidR="006546C6" w:rsidRPr="00027237">
        <w:rPr>
          <w:rFonts w:ascii="Arial" w:eastAsia="Arial" w:hAnsi="Arial" w:cs="Arial"/>
          <w:color w:val="000000" w:themeColor="text1"/>
          <w:sz w:val="22"/>
          <w:szCs w:val="22"/>
          <w:lang w:eastAsia="en-GB"/>
        </w:rPr>
        <w:t xml:space="preserve"> will also need to set </w:t>
      </w:r>
      <w:r w:rsidR="00AE0E0F" w:rsidRPr="00027237">
        <w:rPr>
          <w:rFonts w:ascii="Arial" w:eastAsia="Arial" w:hAnsi="Arial" w:cs="Arial"/>
          <w:color w:val="000000" w:themeColor="text1"/>
          <w:sz w:val="22"/>
          <w:szCs w:val="22"/>
          <w:lang w:eastAsia="en-GB"/>
        </w:rPr>
        <w:t xml:space="preserve">out whether such a move is likely to impinge on an area </w:t>
      </w:r>
      <w:r w:rsidR="00E03F11" w:rsidRPr="00027237">
        <w:rPr>
          <w:rFonts w:ascii="Arial" w:eastAsia="Arial" w:hAnsi="Arial" w:cs="Arial"/>
          <w:color w:val="000000" w:themeColor="text1"/>
          <w:sz w:val="22"/>
          <w:szCs w:val="22"/>
          <w:lang w:eastAsia="en-GB"/>
        </w:rPr>
        <w:t xml:space="preserve">where the victims reside and what </w:t>
      </w:r>
      <w:r w:rsidR="00543C49" w:rsidRPr="00027237">
        <w:rPr>
          <w:rFonts w:ascii="Arial" w:eastAsia="Arial" w:hAnsi="Arial" w:cs="Arial"/>
          <w:color w:val="000000" w:themeColor="text1"/>
          <w:sz w:val="22"/>
          <w:szCs w:val="22"/>
          <w:lang w:eastAsia="en-GB"/>
        </w:rPr>
        <w:t>planning has been undertaken to mitigate any potential contact between the patient and the victims.</w:t>
      </w:r>
      <w:r w:rsidR="002002E0" w:rsidRPr="00027237">
        <w:rPr>
          <w:rFonts w:ascii="Arial" w:eastAsia="Arial" w:hAnsi="Arial" w:cs="Arial"/>
          <w:color w:val="000000" w:themeColor="text1"/>
          <w:sz w:val="22"/>
          <w:szCs w:val="22"/>
          <w:lang w:eastAsia="en-GB"/>
        </w:rPr>
        <w:t xml:space="preserve"> MHCS cannot prevent such a </w:t>
      </w:r>
      <w:r w:rsidR="000A0F01" w:rsidRPr="00027237">
        <w:rPr>
          <w:rFonts w:ascii="Arial" w:eastAsia="Arial" w:hAnsi="Arial" w:cs="Arial"/>
          <w:color w:val="000000" w:themeColor="text1"/>
          <w:sz w:val="22"/>
          <w:szCs w:val="22"/>
          <w:lang w:eastAsia="en-GB"/>
        </w:rPr>
        <w:t xml:space="preserve">move but </w:t>
      </w:r>
      <w:r w:rsidR="000C4573" w:rsidRPr="00027237">
        <w:rPr>
          <w:rFonts w:ascii="Arial" w:eastAsia="Arial" w:hAnsi="Arial" w:cs="Arial"/>
          <w:color w:val="000000" w:themeColor="text1"/>
          <w:sz w:val="22"/>
          <w:szCs w:val="22"/>
          <w:lang w:eastAsia="en-GB"/>
        </w:rPr>
        <w:t xml:space="preserve">may ask for this to be </w:t>
      </w:r>
      <w:r w:rsidR="00F91334" w:rsidRPr="00027237">
        <w:rPr>
          <w:rFonts w:ascii="Arial" w:eastAsia="Arial" w:hAnsi="Arial" w:cs="Arial"/>
          <w:color w:val="000000" w:themeColor="text1"/>
          <w:sz w:val="22"/>
          <w:szCs w:val="22"/>
          <w:lang w:eastAsia="en-GB"/>
        </w:rPr>
        <w:t>delayed</w:t>
      </w:r>
      <w:r w:rsidR="7C989B22" w:rsidRPr="00027237">
        <w:rPr>
          <w:rFonts w:ascii="Arial" w:eastAsia="Arial" w:hAnsi="Arial" w:cs="Arial"/>
          <w:color w:val="000000" w:themeColor="text1"/>
          <w:sz w:val="22"/>
          <w:szCs w:val="22"/>
          <w:lang w:eastAsia="en-GB"/>
        </w:rPr>
        <w:t>,</w:t>
      </w:r>
      <w:r w:rsidR="00F91334" w:rsidRPr="00027237">
        <w:rPr>
          <w:rFonts w:ascii="Arial" w:eastAsia="Arial" w:hAnsi="Arial" w:cs="Arial"/>
          <w:color w:val="000000" w:themeColor="text1"/>
          <w:sz w:val="22"/>
          <w:szCs w:val="22"/>
          <w:lang w:eastAsia="en-GB"/>
        </w:rPr>
        <w:t xml:space="preserve"> </w:t>
      </w:r>
      <w:r w:rsidR="54958B4B" w:rsidRPr="00027237">
        <w:rPr>
          <w:rFonts w:ascii="Arial" w:eastAsia="Arial" w:hAnsi="Arial" w:cs="Arial"/>
          <w:color w:val="000000" w:themeColor="text1"/>
          <w:sz w:val="22"/>
          <w:szCs w:val="22"/>
          <w:lang w:eastAsia="en-GB"/>
        </w:rPr>
        <w:t>considering</w:t>
      </w:r>
      <w:r w:rsidR="00F91334" w:rsidRPr="00027237">
        <w:rPr>
          <w:rFonts w:ascii="Arial" w:eastAsia="Arial" w:hAnsi="Arial" w:cs="Arial"/>
          <w:color w:val="000000" w:themeColor="text1"/>
          <w:sz w:val="22"/>
          <w:szCs w:val="22"/>
          <w:lang w:eastAsia="en-GB"/>
        </w:rPr>
        <w:t xml:space="preserve"> the impact</w:t>
      </w:r>
      <w:r w:rsidR="00605703" w:rsidRPr="00027237">
        <w:rPr>
          <w:rFonts w:ascii="Arial" w:eastAsia="Arial" w:hAnsi="Arial" w:cs="Arial"/>
          <w:color w:val="000000" w:themeColor="text1"/>
          <w:sz w:val="22"/>
          <w:szCs w:val="22"/>
          <w:lang w:eastAsia="en-GB"/>
        </w:rPr>
        <w:t xml:space="preserve"> on the patient or any victims. </w:t>
      </w:r>
    </w:p>
    <w:p w14:paraId="725DDCC3" w14:textId="77777777" w:rsidR="00AE494D" w:rsidRPr="00027237" w:rsidRDefault="00AE494D" w:rsidP="4DD53C4F">
      <w:pPr>
        <w:pStyle w:val="ListParagraph"/>
        <w:rPr>
          <w:rFonts w:ascii="Arial" w:eastAsia="Arial" w:hAnsi="Arial" w:cs="Arial"/>
          <w:color w:val="000000"/>
          <w:sz w:val="22"/>
          <w:szCs w:val="22"/>
          <w:lang w:eastAsia="en-GB"/>
        </w:rPr>
      </w:pPr>
    </w:p>
    <w:p w14:paraId="303905CD" w14:textId="5AF195F5" w:rsidR="0071308D" w:rsidRPr="00027237" w:rsidRDefault="00325AEB" w:rsidP="4DD53C4F">
      <w:pPr>
        <w:pStyle w:val="ListParagraph"/>
        <w:numPr>
          <w:ilvl w:val="0"/>
          <w:numId w:val="4"/>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 xml:space="preserve">MHCS understands that patients who have been discharged for a considerable </w:t>
      </w:r>
      <w:r w:rsidR="0089860A" w:rsidRPr="00027237">
        <w:rPr>
          <w:rFonts w:ascii="Arial" w:eastAsia="Arial" w:hAnsi="Arial" w:cs="Arial"/>
          <w:color w:val="000000" w:themeColor="text1"/>
          <w:sz w:val="22"/>
          <w:szCs w:val="22"/>
          <w:lang w:eastAsia="en-GB"/>
        </w:rPr>
        <w:t>period</w:t>
      </w:r>
      <w:r w:rsidRPr="00027237">
        <w:rPr>
          <w:rFonts w:ascii="Arial" w:eastAsia="Arial" w:hAnsi="Arial" w:cs="Arial"/>
          <w:color w:val="000000" w:themeColor="text1"/>
          <w:sz w:val="22"/>
          <w:szCs w:val="22"/>
          <w:lang w:eastAsia="en-GB"/>
        </w:rPr>
        <w:t xml:space="preserve"> may </w:t>
      </w:r>
      <w:r w:rsidR="003B71B5" w:rsidRPr="00027237">
        <w:rPr>
          <w:rFonts w:ascii="Arial" w:eastAsia="Arial" w:hAnsi="Arial" w:cs="Arial"/>
          <w:color w:val="000000" w:themeColor="text1"/>
          <w:sz w:val="22"/>
          <w:szCs w:val="22"/>
          <w:lang w:eastAsia="en-GB"/>
        </w:rPr>
        <w:t xml:space="preserve">step down to less supported or independent accommodation. </w:t>
      </w:r>
      <w:r w:rsidR="00A17FAF" w:rsidRPr="00027237">
        <w:rPr>
          <w:rFonts w:ascii="Arial" w:eastAsia="Arial" w:hAnsi="Arial" w:cs="Arial"/>
          <w:color w:val="000000" w:themeColor="text1"/>
          <w:sz w:val="22"/>
          <w:szCs w:val="22"/>
          <w:lang w:eastAsia="en-GB"/>
        </w:rPr>
        <w:t xml:space="preserve">However, this does not mean that MHCS will endorse such a move if </w:t>
      </w:r>
      <w:r w:rsidR="00806CD3" w:rsidRPr="00027237">
        <w:rPr>
          <w:rFonts w:ascii="Arial" w:eastAsia="Arial" w:hAnsi="Arial" w:cs="Arial"/>
          <w:color w:val="000000" w:themeColor="text1"/>
          <w:sz w:val="22"/>
          <w:szCs w:val="22"/>
          <w:lang w:eastAsia="en-GB"/>
        </w:rPr>
        <w:t xml:space="preserve">there remain doubts about how the patient’s compliance with supervision, treatment or presentation will be monitored in the future. Where such moves are being considered </w:t>
      </w:r>
      <w:r w:rsidR="00A33693" w:rsidRPr="00027237">
        <w:rPr>
          <w:rFonts w:ascii="Arial" w:eastAsia="Arial" w:hAnsi="Arial" w:cs="Arial"/>
          <w:color w:val="000000" w:themeColor="text1"/>
          <w:sz w:val="22"/>
          <w:szCs w:val="22"/>
          <w:lang w:eastAsia="en-GB"/>
        </w:rPr>
        <w:t xml:space="preserve">it is appropriate to contact MHCS </w:t>
      </w:r>
      <w:r w:rsidR="00AE33BD" w:rsidRPr="00027237">
        <w:rPr>
          <w:rFonts w:ascii="Arial" w:eastAsia="Arial" w:hAnsi="Arial" w:cs="Arial"/>
          <w:color w:val="000000" w:themeColor="text1"/>
          <w:sz w:val="22"/>
          <w:szCs w:val="22"/>
          <w:lang w:eastAsia="en-GB"/>
        </w:rPr>
        <w:t xml:space="preserve">for </w:t>
      </w:r>
      <w:r w:rsidR="006A7D73" w:rsidRPr="00027237">
        <w:rPr>
          <w:rFonts w:ascii="Arial" w:eastAsia="Arial" w:hAnsi="Arial" w:cs="Arial"/>
          <w:color w:val="000000" w:themeColor="text1"/>
          <w:sz w:val="22"/>
          <w:szCs w:val="22"/>
          <w:lang w:eastAsia="en-GB"/>
        </w:rPr>
        <w:t>a view on</w:t>
      </w:r>
      <w:r w:rsidR="00F81340" w:rsidRPr="00027237">
        <w:rPr>
          <w:rFonts w:ascii="Arial" w:eastAsia="Arial" w:hAnsi="Arial" w:cs="Arial"/>
          <w:color w:val="000000" w:themeColor="text1"/>
          <w:sz w:val="22"/>
          <w:szCs w:val="22"/>
          <w:lang w:eastAsia="en-GB"/>
        </w:rPr>
        <w:t xml:space="preserve"> whether</w:t>
      </w:r>
      <w:r w:rsidR="006A7D73" w:rsidRPr="00027237">
        <w:rPr>
          <w:rFonts w:ascii="Arial" w:eastAsia="Arial" w:hAnsi="Arial" w:cs="Arial"/>
          <w:color w:val="000000" w:themeColor="text1"/>
          <w:sz w:val="22"/>
          <w:szCs w:val="22"/>
          <w:lang w:eastAsia="en-GB"/>
        </w:rPr>
        <w:t xml:space="preserve"> a</w:t>
      </w:r>
      <w:r w:rsidR="001064B6" w:rsidRPr="00027237">
        <w:rPr>
          <w:rFonts w:ascii="Arial" w:eastAsia="Arial" w:hAnsi="Arial" w:cs="Arial"/>
          <w:color w:val="000000" w:themeColor="text1"/>
          <w:sz w:val="22"/>
          <w:szCs w:val="22"/>
          <w:lang w:eastAsia="en-GB"/>
        </w:rPr>
        <w:t xml:space="preserve"> move to less supported accommodation</w:t>
      </w:r>
      <w:r w:rsidR="00F81340" w:rsidRPr="00027237">
        <w:rPr>
          <w:rFonts w:ascii="Arial" w:eastAsia="Arial" w:hAnsi="Arial" w:cs="Arial"/>
          <w:color w:val="000000" w:themeColor="text1"/>
          <w:sz w:val="22"/>
          <w:szCs w:val="22"/>
          <w:lang w:eastAsia="en-GB"/>
        </w:rPr>
        <w:t xml:space="preserve"> would be endorsed through a change of conditions. </w:t>
      </w:r>
    </w:p>
    <w:p w14:paraId="16A04BA3" w14:textId="77777777" w:rsidR="0071308D" w:rsidRPr="00027237" w:rsidRDefault="0071308D" w:rsidP="4DD53C4F">
      <w:pPr>
        <w:pStyle w:val="ListParagraph"/>
        <w:rPr>
          <w:rFonts w:ascii="Arial" w:eastAsia="Arial" w:hAnsi="Arial" w:cs="Arial"/>
          <w:color w:val="000000"/>
          <w:sz w:val="22"/>
          <w:szCs w:val="22"/>
          <w:lang w:eastAsia="en-GB"/>
        </w:rPr>
      </w:pPr>
    </w:p>
    <w:p w14:paraId="570871B8" w14:textId="5C9E87B9" w:rsidR="00CE393A" w:rsidRPr="00027237" w:rsidRDefault="00783AD0" w:rsidP="4DD53C4F">
      <w:pPr>
        <w:pStyle w:val="ListParagraph"/>
        <w:numPr>
          <w:ilvl w:val="0"/>
          <w:numId w:val="4"/>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 xml:space="preserve"> </w:t>
      </w:r>
      <w:r w:rsidR="00660C55" w:rsidRPr="00027237">
        <w:rPr>
          <w:rFonts w:ascii="Arial" w:eastAsia="Arial" w:hAnsi="Arial" w:cs="Arial"/>
          <w:color w:val="000000" w:themeColor="text1"/>
          <w:sz w:val="22"/>
          <w:szCs w:val="22"/>
          <w:lang w:eastAsia="en-GB"/>
        </w:rPr>
        <w:t>MHCS understands that circumstances may arise where emergency moves of accommodation are necessary</w:t>
      </w:r>
      <w:r w:rsidR="00A12618" w:rsidRPr="00027237">
        <w:rPr>
          <w:rFonts w:ascii="Arial" w:eastAsia="Arial" w:hAnsi="Arial" w:cs="Arial"/>
          <w:color w:val="000000" w:themeColor="text1"/>
          <w:sz w:val="22"/>
          <w:szCs w:val="22"/>
          <w:lang w:eastAsia="en-GB"/>
        </w:rPr>
        <w:t xml:space="preserve"> due to safeguarding concerns, </w:t>
      </w:r>
      <w:r w:rsidR="007F522E" w:rsidRPr="00027237">
        <w:rPr>
          <w:rFonts w:ascii="Arial" w:eastAsia="Arial" w:hAnsi="Arial" w:cs="Arial"/>
          <w:color w:val="000000" w:themeColor="text1"/>
          <w:sz w:val="22"/>
          <w:szCs w:val="22"/>
          <w:lang w:eastAsia="en-GB"/>
        </w:rPr>
        <w:t xml:space="preserve">the </w:t>
      </w:r>
      <w:r w:rsidR="00A12618" w:rsidRPr="00027237">
        <w:rPr>
          <w:rFonts w:ascii="Arial" w:eastAsia="Arial" w:hAnsi="Arial" w:cs="Arial"/>
          <w:color w:val="000000" w:themeColor="text1"/>
          <w:sz w:val="22"/>
          <w:szCs w:val="22"/>
          <w:lang w:eastAsia="en-GB"/>
        </w:rPr>
        <w:t xml:space="preserve">accommodation </w:t>
      </w:r>
      <w:proofErr w:type="gramStart"/>
      <w:r w:rsidR="00A12618" w:rsidRPr="00027237">
        <w:rPr>
          <w:rFonts w:ascii="Arial" w:eastAsia="Arial" w:hAnsi="Arial" w:cs="Arial"/>
          <w:color w:val="000000" w:themeColor="text1"/>
          <w:sz w:val="22"/>
          <w:szCs w:val="22"/>
          <w:lang w:eastAsia="en-GB"/>
        </w:rPr>
        <w:t>closing</w:t>
      </w:r>
      <w:proofErr w:type="gramEnd"/>
      <w:r w:rsidR="00A12618" w:rsidRPr="00027237">
        <w:rPr>
          <w:rFonts w:ascii="Arial" w:eastAsia="Arial" w:hAnsi="Arial" w:cs="Arial"/>
          <w:color w:val="000000" w:themeColor="text1"/>
          <w:sz w:val="22"/>
          <w:szCs w:val="22"/>
          <w:lang w:eastAsia="en-GB"/>
        </w:rPr>
        <w:t xml:space="preserve"> or the accommodation no longer being considered suitable for the patient. </w:t>
      </w:r>
      <w:r w:rsidR="007F522E" w:rsidRPr="00027237">
        <w:rPr>
          <w:rFonts w:ascii="Arial" w:eastAsia="Arial" w:hAnsi="Arial" w:cs="Arial"/>
          <w:color w:val="000000" w:themeColor="text1"/>
          <w:sz w:val="22"/>
          <w:szCs w:val="22"/>
          <w:lang w:eastAsia="en-GB"/>
        </w:rPr>
        <w:t xml:space="preserve">In such circumstances the urgency of the request must be highlighted both on the application form and </w:t>
      </w:r>
      <w:r w:rsidR="00B4781D" w:rsidRPr="00027237">
        <w:rPr>
          <w:rFonts w:ascii="Arial" w:eastAsia="Arial" w:hAnsi="Arial" w:cs="Arial"/>
          <w:color w:val="000000" w:themeColor="text1"/>
          <w:sz w:val="22"/>
          <w:szCs w:val="22"/>
          <w:lang w:eastAsia="en-GB"/>
        </w:rPr>
        <w:t>the email in which the form is sent</w:t>
      </w:r>
      <w:r w:rsidR="00F37968" w:rsidRPr="00027237">
        <w:rPr>
          <w:rFonts w:ascii="Arial" w:eastAsia="Arial" w:hAnsi="Arial" w:cs="Arial"/>
          <w:color w:val="000000" w:themeColor="text1"/>
          <w:sz w:val="22"/>
          <w:szCs w:val="22"/>
          <w:lang w:eastAsia="en-GB"/>
        </w:rPr>
        <w:t>.</w:t>
      </w:r>
    </w:p>
    <w:p w14:paraId="79FF91F5" w14:textId="77777777" w:rsidR="00CE393A" w:rsidRPr="00027237" w:rsidRDefault="00CE393A" w:rsidP="4DD53C4F">
      <w:pPr>
        <w:pStyle w:val="ListParagraph"/>
        <w:rPr>
          <w:rFonts w:ascii="Arial" w:eastAsia="Arial" w:hAnsi="Arial" w:cs="Arial"/>
          <w:color w:val="000000"/>
          <w:sz w:val="22"/>
          <w:szCs w:val="22"/>
          <w:lang w:eastAsia="en-GB"/>
        </w:rPr>
      </w:pPr>
    </w:p>
    <w:p w14:paraId="58CC2DEA" w14:textId="7BA84ACD" w:rsidR="00AD334D" w:rsidRPr="00027237" w:rsidRDefault="00CE393A" w:rsidP="4DD53C4F">
      <w:pPr>
        <w:pStyle w:val="ListParagraph"/>
        <w:numPr>
          <w:ilvl w:val="0"/>
          <w:numId w:val="4"/>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 xml:space="preserve">All residence conditions should have </w:t>
      </w:r>
      <w:r w:rsidR="00124900" w:rsidRPr="00027237">
        <w:rPr>
          <w:rFonts w:ascii="Arial" w:eastAsia="Arial" w:hAnsi="Arial" w:cs="Arial"/>
          <w:color w:val="000000" w:themeColor="text1"/>
          <w:sz w:val="22"/>
          <w:szCs w:val="22"/>
          <w:lang w:eastAsia="en-GB"/>
        </w:rPr>
        <w:t>the following wording</w:t>
      </w:r>
      <w:r w:rsidR="00E41B4C" w:rsidRPr="00027237">
        <w:rPr>
          <w:rFonts w:ascii="Arial" w:eastAsia="Arial" w:hAnsi="Arial" w:cs="Arial"/>
          <w:color w:val="000000" w:themeColor="text1"/>
          <w:sz w:val="22"/>
          <w:szCs w:val="22"/>
          <w:lang w:eastAsia="en-GB"/>
        </w:rPr>
        <w:t xml:space="preserve"> ‘</w:t>
      </w:r>
      <w:r w:rsidR="00E41B4C" w:rsidRPr="00027237">
        <w:rPr>
          <w:rFonts w:ascii="Arial" w:eastAsia="Arial" w:hAnsi="Arial" w:cs="Arial"/>
          <w:sz w:val="22"/>
          <w:szCs w:val="22"/>
          <w:lang w:val="en-GB" w:bidi="he-IL"/>
        </w:rPr>
        <w:t>to notify the Ministry of Justice at least 14 days in advance of any move’. MHCS would not agree to remove this wording on a condition of residence</w:t>
      </w:r>
      <w:r w:rsidR="004268DF" w:rsidRPr="00027237">
        <w:rPr>
          <w:rFonts w:ascii="Arial" w:eastAsia="Arial" w:hAnsi="Arial" w:cs="Arial"/>
          <w:sz w:val="22"/>
          <w:szCs w:val="22"/>
          <w:lang w:val="en-GB" w:bidi="he-IL"/>
        </w:rPr>
        <w:t xml:space="preserve"> </w:t>
      </w:r>
      <w:r w:rsidR="00EB415B" w:rsidRPr="00027237">
        <w:rPr>
          <w:rFonts w:ascii="Arial" w:eastAsia="Arial" w:hAnsi="Arial" w:cs="Arial"/>
          <w:sz w:val="22"/>
          <w:szCs w:val="22"/>
          <w:lang w:val="en-GB" w:bidi="he-IL"/>
        </w:rPr>
        <w:t xml:space="preserve">without a clear rationale as to why MHCS would not need to know, in advance, of a patient changing their place of residence. </w:t>
      </w:r>
    </w:p>
    <w:p w14:paraId="018A6531" w14:textId="1BFF7D57" w:rsidR="00B37728" w:rsidRPr="00027237" w:rsidRDefault="00B37728" w:rsidP="4DD53C4F">
      <w:pPr>
        <w:pStyle w:val="ListParagraph"/>
        <w:spacing w:after="231" w:line="249" w:lineRule="auto"/>
        <w:ind w:left="1070"/>
        <w:contextualSpacing/>
        <w:rPr>
          <w:rFonts w:ascii="Arial" w:eastAsia="Arial" w:hAnsi="Arial" w:cs="Arial"/>
          <w:color w:val="000000"/>
          <w:sz w:val="22"/>
          <w:szCs w:val="22"/>
          <w:lang w:eastAsia="en-GB"/>
        </w:rPr>
      </w:pPr>
    </w:p>
    <w:p w14:paraId="3378331F" w14:textId="7DB189B6" w:rsidR="00CE393A" w:rsidRPr="00027237" w:rsidRDefault="001F18A2" w:rsidP="009E77B2">
      <w:pPr>
        <w:pStyle w:val="ListParagraph"/>
        <w:spacing w:after="231" w:line="249" w:lineRule="auto"/>
        <w:ind w:left="1070" w:firstLine="370"/>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Compliance with supervision and/or treatment</w:t>
      </w:r>
    </w:p>
    <w:p w14:paraId="0FEEB674" w14:textId="53DA3EEE" w:rsidR="00A47349" w:rsidRPr="00027237" w:rsidRDefault="00A47349" w:rsidP="4DD53C4F">
      <w:pPr>
        <w:pStyle w:val="ListParagraph"/>
        <w:spacing w:after="231" w:line="249" w:lineRule="auto"/>
        <w:ind w:left="1070"/>
        <w:contextualSpacing/>
        <w:rPr>
          <w:rFonts w:ascii="Arial" w:eastAsia="Arial" w:hAnsi="Arial" w:cs="Arial"/>
          <w:color w:val="000000"/>
          <w:sz w:val="22"/>
          <w:szCs w:val="22"/>
          <w:lang w:eastAsia="en-GB"/>
        </w:rPr>
      </w:pPr>
    </w:p>
    <w:p w14:paraId="76AD128A" w14:textId="369C0430" w:rsidR="00A47349" w:rsidRPr="00027237" w:rsidRDefault="004251CE" w:rsidP="4DD53C4F">
      <w:pPr>
        <w:pStyle w:val="ListParagraph"/>
        <w:numPr>
          <w:ilvl w:val="0"/>
          <w:numId w:val="4"/>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For a conditional discharge to operate effectively and safely</w:t>
      </w:r>
      <w:r w:rsidR="00D01F5E" w:rsidRPr="00027237">
        <w:rPr>
          <w:rFonts w:ascii="Arial" w:eastAsia="Arial" w:hAnsi="Arial" w:cs="Arial"/>
          <w:color w:val="000000" w:themeColor="text1"/>
          <w:sz w:val="22"/>
          <w:szCs w:val="22"/>
          <w:lang w:eastAsia="en-GB"/>
        </w:rPr>
        <w:t xml:space="preserve"> it is essential that the patient complies with </w:t>
      </w:r>
      <w:r w:rsidR="002C27AA" w:rsidRPr="00027237">
        <w:rPr>
          <w:rFonts w:ascii="Arial" w:eastAsia="Arial" w:hAnsi="Arial" w:cs="Arial"/>
          <w:color w:val="000000" w:themeColor="text1"/>
          <w:sz w:val="22"/>
          <w:szCs w:val="22"/>
          <w:lang w:eastAsia="en-GB"/>
        </w:rPr>
        <w:t xml:space="preserve">both the clinical and social supervision. Further, given the nature of the conditional discharge there will be patients who require ongoing treatment through either medication or interventions </w:t>
      </w:r>
      <w:r w:rsidR="009C3979" w:rsidRPr="00027237">
        <w:rPr>
          <w:rFonts w:ascii="Arial" w:eastAsia="Arial" w:hAnsi="Arial" w:cs="Arial"/>
          <w:color w:val="000000" w:themeColor="text1"/>
          <w:sz w:val="22"/>
          <w:szCs w:val="22"/>
          <w:lang w:eastAsia="en-GB"/>
        </w:rPr>
        <w:t>and their compliance with treatment very much goes in hand with the supervision</w:t>
      </w:r>
      <w:r w:rsidR="00F64CC3" w:rsidRPr="00027237">
        <w:rPr>
          <w:rFonts w:ascii="Arial" w:eastAsia="Arial" w:hAnsi="Arial" w:cs="Arial"/>
          <w:color w:val="000000" w:themeColor="text1"/>
          <w:sz w:val="22"/>
          <w:szCs w:val="22"/>
          <w:lang w:eastAsia="en-GB"/>
        </w:rPr>
        <w:t xml:space="preserve">. </w:t>
      </w:r>
    </w:p>
    <w:p w14:paraId="1A59807A" w14:textId="77777777" w:rsidR="001D6FF1" w:rsidRPr="00027237" w:rsidRDefault="001D6FF1" w:rsidP="4DD53C4F">
      <w:pPr>
        <w:pStyle w:val="ListParagraph"/>
        <w:spacing w:after="231" w:line="249" w:lineRule="auto"/>
        <w:ind w:left="1070"/>
        <w:contextualSpacing/>
        <w:rPr>
          <w:rFonts w:ascii="Arial" w:eastAsia="Arial" w:hAnsi="Arial" w:cs="Arial"/>
          <w:color w:val="000000"/>
          <w:sz w:val="22"/>
          <w:szCs w:val="22"/>
          <w:lang w:eastAsia="en-GB"/>
        </w:rPr>
      </w:pPr>
    </w:p>
    <w:p w14:paraId="6A3B91F4" w14:textId="3C26EE94" w:rsidR="00EB6D4D" w:rsidRPr="00027237" w:rsidRDefault="001D6FF1" w:rsidP="4DD53C4F">
      <w:pPr>
        <w:pStyle w:val="ListParagraph"/>
        <w:numPr>
          <w:ilvl w:val="0"/>
          <w:numId w:val="4"/>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 xml:space="preserve">MHCS </w:t>
      </w:r>
      <w:r w:rsidR="0075558B" w:rsidRPr="00027237">
        <w:rPr>
          <w:rFonts w:ascii="Arial" w:eastAsia="Arial" w:hAnsi="Arial" w:cs="Arial"/>
          <w:color w:val="000000" w:themeColor="text1"/>
          <w:sz w:val="22"/>
          <w:szCs w:val="22"/>
          <w:lang w:eastAsia="en-GB"/>
        </w:rPr>
        <w:t>will</w:t>
      </w:r>
      <w:r w:rsidR="00342E48" w:rsidRPr="00027237">
        <w:rPr>
          <w:rFonts w:ascii="Arial" w:eastAsia="Arial" w:hAnsi="Arial" w:cs="Arial"/>
          <w:color w:val="000000" w:themeColor="text1"/>
          <w:sz w:val="22"/>
          <w:szCs w:val="22"/>
          <w:lang w:eastAsia="en-GB"/>
        </w:rPr>
        <w:t xml:space="preserve"> consider the removal of such conditions where the patient has a long history of discharge and a pattern of </w:t>
      </w:r>
      <w:r w:rsidR="00DE1186" w:rsidRPr="00027237">
        <w:rPr>
          <w:rFonts w:ascii="Arial" w:eastAsia="Arial" w:hAnsi="Arial" w:cs="Arial"/>
          <w:color w:val="000000" w:themeColor="text1"/>
          <w:sz w:val="22"/>
          <w:szCs w:val="22"/>
          <w:lang w:eastAsia="en-GB"/>
        </w:rPr>
        <w:t>compliance with treatment and supervision. However, MHCS will be less inclined to approve the removal of conditions for patients who</w:t>
      </w:r>
      <w:r w:rsidR="00EB6D4D" w:rsidRPr="00027237">
        <w:rPr>
          <w:rFonts w:ascii="Arial" w:eastAsia="Arial" w:hAnsi="Arial" w:cs="Arial"/>
          <w:color w:val="000000" w:themeColor="text1"/>
          <w:sz w:val="22"/>
          <w:szCs w:val="22"/>
          <w:lang w:eastAsia="en-GB"/>
        </w:rPr>
        <w:t xml:space="preserve"> have been recalled where a relapse through non-compliance with treatment or </w:t>
      </w:r>
      <w:r w:rsidR="3FA520C7" w:rsidRPr="00027237">
        <w:rPr>
          <w:rFonts w:ascii="Arial" w:eastAsia="Arial" w:hAnsi="Arial" w:cs="Arial"/>
          <w:color w:val="000000" w:themeColor="text1"/>
          <w:sz w:val="22"/>
          <w:szCs w:val="22"/>
          <w:lang w:eastAsia="en-GB"/>
        </w:rPr>
        <w:t xml:space="preserve">the </w:t>
      </w:r>
      <w:r w:rsidR="00EB6D4D" w:rsidRPr="00027237">
        <w:rPr>
          <w:rFonts w:ascii="Arial" w:eastAsia="Arial" w:hAnsi="Arial" w:cs="Arial"/>
          <w:color w:val="000000" w:themeColor="text1"/>
          <w:sz w:val="22"/>
          <w:szCs w:val="22"/>
          <w:lang w:eastAsia="en-GB"/>
        </w:rPr>
        <w:t>subversion</w:t>
      </w:r>
      <w:r w:rsidR="393554C4" w:rsidRPr="00027237">
        <w:rPr>
          <w:rFonts w:ascii="Arial" w:eastAsia="Arial" w:hAnsi="Arial" w:cs="Arial"/>
          <w:color w:val="000000" w:themeColor="text1"/>
          <w:sz w:val="22"/>
          <w:szCs w:val="22"/>
          <w:lang w:eastAsia="en-GB"/>
        </w:rPr>
        <w:t xml:space="preserve"> of</w:t>
      </w:r>
      <w:r w:rsidR="00F23068" w:rsidRPr="00027237">
        <w:rPr>
          <w:rFonts w:ascii="Arial" w:eastAsia="Arial" w:hAnsi="Arial" w:cs="Arial"/>
          <w:color w:val="000000" w:themeColor="text1"/>
          <w:sz w:val="22"/>
          <w:szCs w:val="22"/>
          <w:lang w:eastAsia="en-GB"/>
        </w:rPr>
        <w:t>/non-compliance</w:t>
      </w:r>
      <w:r w:rsidR="00EB6D4D" w:rsidRPr="00027237">
        <w:rPr>
          <w:rFonts w:ascii="Arial" w:eastAsia="Arial" w:hAnsi="Arial" w:cs="Arial"/>
          <w:color w:val="000000" w:themeColor="text1"/>
          <w:sz w:val="22"/>
          <w:szCs w:val="22"/>
          <w:lang w:eastAsia="en-GB"/>
        </w:rPr>
        <w:t xml:space="preserve"> </w:t>
      </w:r>
      <w:r w:rsidR="007E3C99" w:rsidRPr="00027237">
        <w:rPr>
          <w:rFonts w:ascii="Arial" w:eastAsia="Arial" w:hAnsi="Arial" w:cs="Arial"/>
          <w:color w:val="000000" w:themeColor="text1"/>
          <w:sz w:val="22"/>
          <w:szCs w:val="22"/>
          <w:lang w:eastAsia="en-GB"/>
        </w:rPr>
        <w:t>with</w:t>
      </w:r>
      <w:r w:rsidR="00EB6D4D" w:rsidRPr="00027237">
        <w:rPr>
          <w:rFonts w:ascii="Arial" w:eastAsia="Arial" w:hAnsi="Arial" w:cs="Arial"/>
          <w:color w:val="000000" w:themeColor="text1"/>
          <w:sz w:val="22"/>
          <w:szCs w:val="22"/>
          <w:lang w:eastAsia="en-GB"/>
        </w:rPr>
        <w:t xml:space="preserve"> supervision </w:t>
      </w:r>
      <w:r w:rsidR="00400129" w:rsidRPr="00027237">
        <w:rPr>
          <w:rFonts w:ascii="Arial" w:eastAsia="Arial" w:hAnsi="Arial" w:cs="Arial"/>
          <w:color w:val="000000" w:themeColor="text1"/>
          <w:sz w:val="22"/>
          <w:szCs w:val="22"/>
          <w:lang w:eastAsia="en-GB"/>
        </w:rPr>
        <w:t xml:space="preserve">was </w:t>
      </w:r>
      <w:r w:rsidR="00EB6D4D" w:rsidRPr="00027237">
        <w:rPr>
          <w:rFonts w:ascii="Arial" w:eastAsia="Arial" w:hAnsi="Arial" w:cs="Arial"/>
          <w:color w:val="000000" w:themeColor="text1"/>
          <w:sz w:val="22"/>
          <w:szCs w:val="22"/>
          <w:lang w:eastAsia="en-GB"/>
        </w:rPr>
        <w:t xml:space="preserve">clear. </w:t>
      </w:r>
      <w:r w:rsidR="00400129" w:rsidRPr="00027237">
        <w:rPr>
          <w:rFonts w:ascii="Arial" w:eastAsia="Arial" w:hAnsi="Arial" w:cs="Arial"/>
          <w:color w:val="000000" w:themeColor="text1"/>
          <w:sz w:val="22"/>
          <w:szCs w:val="22"/>
          <w:lang w:eastAsia="en-GB"/>
        </w:rPr>
        <w:t xml:space="preserve">In addition, MHCS will not simply remove conditions </w:t>
      </w:r>
      <w:r w:rsidR="00CA0FA5" w:rsidRPr="00027237">
        <w:rPr>
          <w:rFonts w:ascii="Arial" w:eastAsia="Arial" w:hAnsi="Arial" w:cs="Arial"/>
          <w:color w:val="000000" w:themeColor="text1"/>
          <w:sz w:val="22"/>
          <w:szCs w:val="22"/>
          <w:lang w:eastAsia="en-GB"/>
        </w:rPr>
        <w:t>on the basis that the patient or supervisors do not believe they are necessary</w:t>
      </w:r>
      <w:r w:rsidR="00E552ED" w:rsidRPr="00027237">
        <w:rPr>
          <w:rFonts w:ascii="Arial" w:eastAsia="Arial" w:hAnsi="Arial" w:cs="Arial"/>
          <w:color w:val="000000" w:themeColor="text1"/>
          <w:sz w:val="22"/>
          <w:szCs w:val="22"/>
          <w:lang w:eastAsia="en-GB"/>
        </w:rPr>
        <w:t xml:space="preserve"> because</w:t>
      </w:r>
      <w:r w:rsidR="00C4632F" w:rsidRPr="00027237">
        <w:rPr>
          <w:rFonts w:ascii="Arial" w:eastAsia="Arial" w:hAnsi="Arial" w:cs="Arial"/>
          <w:color w:val="000000" w:themeColor="text1"/>
          <w:sz w:val="22"/>
          <w:szCs w:val="22"/>
          <w:lang w:eastAsia="en-GB"/>
        </w:rPr>
        <w:t xml:space="preserve"> </w:t>
      </w:r>
      <w:r w:rsidR="00E552ED" w:rsidRPr="00027237">
        <w:rPr>
          <w:rFonts w:ascii="Arial" w:eastAsia="Arial" w:hAnsi="Arial" w:cs="Arial"/>
          <w:color w:val="000000" w:themeColor="text1"/>
          <w:sz w:val="22"/>
          <w:szCs w:val="22"/>
          <w:lang w:eastAsia="en-GB"/>
        </w:rPr>
        <w:t>the patient does not comply with the conditions</w:t>
      </w:r>
      <w:r w:rsidR="623BC1B7" w:rsidRPr="00027237">
        <w:rPr>
          <w:rFonts w:ascii="Arial" w:eastAsia="Arial" w:hAnsi="Arial" w:cs="Arial"/>
          <w:color w:val="000000" w:themeColor="text1"/>
          <w:sz w:val="22"/>
          <w:szCs w:val="22"/>
          <w:lang w:eastAsia="en-GB"/>
        </w:rPr>
        <w:t xml:space="preserve">. </w:t>
      </w:r>
      <w:r w:rsidR="6E4FB65E" w:rsidRPr="00027237">
        <w:rPr>
          <w:rFonts w:ascii="Arial" w:eastAsia="Arial" w:hAnsi="Arial" w:cs="Arial"/>
          <w:color w:val="000000" w:themeColor="text1"/>
          <w:sz w:val="22"/>
          <w:szCs w:val="22"/>
          <w:lang w:eastAsia="en-GB"/>
        </w:rPr>
        <w:t>S</w:t>
      </w:r>
      <w:r w:rsidR="00C4632F" w:rsidRPr="00027237">
        <w:rPr>
          <w:rFonts w:ascii="Arial" w:eastAsia="Arial" w:hAnsi="Arial" w:cs="Arial"/>
          <w:color w:val="000000" w:themeColor="text1"/>
          <w:sz w:val="22"/>
          <w:szCs w:val="22"/>
          <w:lang w:eastAsia="en-GB"/>
        </w:rPr>
        <w:t xml:space="preserve">upervisors should report contravention of conditions at the earliest point and outside the discharge reporting schedule </w:t>
      </w:r>
      <w:r w:rsidR="0062074B" w:rsidRPr="00027237">
        <w:rPr>
          <w:rFonts w:ascii="Arial" w:eastAsia="Arial" w:hAnsi="Arial" w:cs="Arial"/>
          <w:color w:val="000000" w:themeColor="text1"/>
          <w:sz w:val="22"/>
          <w:szCs w:val="22"/>
          <w:lang w:eastAsia="en-GB"/>
        </w:rPr>
        <w:t xml:space="preserve">for MHCS to consider if recall is appropriate. </w:t>
      </w:r>
    </w:p>
    <w:p w14:paraId="0A5B3874" w14:textId="77777777" w:rsidR="00EB6D4D" w:rsidRPr="00027237" w:rsidRDefault="00EB6D4D" w:rsidP="4DD53C4F">
      <w:pPr>
        <w:pStyle w:val="ListParagraph"/>
        <w:rPr>
          <w:rFonts w:ascii="Arial" w:eastAsia="Arial" w:hAnsi="Arial" w:cs="Arial"/>
          <w:color w:val="000000"/>
          <w:sz w:val="22"/>
          <w:szCs w:val="22"/>
          <w:lang w:eastAsia="en-GB"/>
        </w:rPr>
      </w:pPr>
    </w:p>
    <w:p w14:paraId="315FAFB4" w14:textId="71371996" w:rsidR="00EB6D4D" w:rsidRPr="00027237" w:rsidRDefault="00AF2835" w:rsidP="4DD53C4F">
      <w:pPr>
        <w:pStyle w:val="ListParagraph"/>
        <w:numPr>
          <w:ilvl w:val="0"/>
          <w:numId w:val="4"/>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MHCS will expect that supervisors are clear what benefit the removal of these conditions will have for the patient and w</w:t>
      </w:r>
      <w:r w:rsidR="00620FAB" w:rsidRPr="00027237">
        <w:rPr>
          <w:rFonts w:ascii="Arial" w:eastAsia="Arial" w:hAnsi="Arial" w:cs="Arial"/>
          <w:color w:val="000000" w:themeColor="text1"/>
          <w:sz w:val="22"/>
          <w:szCs w:val="22"/>
          <w:lang w:eastAsia="en-GB"/>
        </w:rPr>
        <w:t>hat effect the removal of the conditions will have on their compliance with supervision and treatment</w:t>
      </w:r>
      <w:r w:rsidR="00F23068" w:rsidRPr="00027237">
        <w:rPr>
          <w:rFonts w:ascii="Arial" w:eastAsia="Arial" w:hAnsi="Arial" w:cs="Arial"/>
          <w:color w:val="000000" w:themeColor="text1"/>
          <w:sz w:val="22"/>
          <w:szCs w:val="22"/>
          <w:lang w:eastAsia="en-GB"/>
        </w:rPr>
        <w:t xml:space="preserve"> and how this would be monitored in the future.</w:t>
      </w:r>
      <w:r w:rsidR="00620FAB" w:rsidRPr="00027237">
        <w:rPr>
          <w:rFonts w:ascii="Arial" w:eastAsia="Arial" w:hAnsi="Arial" w:cs="Arial"/>
          <w:color w:val="000000" w:themeColor="text1"/>
          <w:sz w:val="22"/>
          <w:szCs w:val="22"/>
          <w:lang w:eastAsia="en-GB"/>
        </w:rPr>
        <w:t xml:space="preserve"> </w:t>
      </w:r>
      <w:r w:rsidR="004B203E" w:rsidRPr="00027237">
        <w:rPr>
          <w:rFonts w:ascii="Arial" w:eastAsia="Arial" w:hAnsi="Arial" w:cs="Arial"/>
          <w:color w:val="000000" w:themeColor="text1"/>
          <w:sz w:val="22"/>
          <w:szCs w:val="22"/>
          <w:lang w:eastAsia="en-GB"/>
        </w:rPr>
        <w:t xml:space="preserve">Where such conditions are being added then MHCS will need to know why they are being added </w:t>
      </w:r>
      <w:proofErr w:type="gramStart"/>
      <w:r w:rsidR="004B203E" w:rsidRPr="00027237">
        <w:rPr>
          <w:rFonts w:ascii="Arial" w:eastAsia="Arial" w:hAnsi="Arial" w:cs="Arial"/>
          <w:color w:val="000000" w:themeColor="text1"/>
          <w:sz w:val="22"/>
          <w:szCs w:val="22"/>
          <w:lang w:eastAsia="en-GB"/>
        </w:rPr>
        <w:t>now, if</w:t>
      </w:r>
      <w:proofErr w:type="gramEnd"/>
      <w:r w:rsidR="004B203E" w:rsidRPr="00027237">
        <w:rPr>
          <w:rFonts w:ascii="Arial" w:eastAsia="Arial" w:hAnsi="Arial" w:cs="Arial"/>
          <w:color w:val="000000" w:themeColor="text1"/>
          <w:sz w:val="22"/>
          <w:szCs w:val="22"/>
          <w:lang w:eastAsia="en-GB"/>
        </w:rPr>
        <w:t xml:space="preserve"> they had not been part of the conditions in the past. </w:t>
      </w:r>
    </w:p>
    <w:p w14:paraId="342DCA48" w14:textId="77777777" w:rsidR="00AC2931" w:rsidRPr="00027237" w:rsidRDefault="00AC2931" w:rsidP="4DD53C4F">
      <w:pPr>
        <w:pStyle w:val="ListParagraph"/>
        <w:rPr>
          <w:rFonts w:ascii="Arial" w:eastAsia="Arial" w:hAnsi="Arial" w:cs="Arial"/>
          <w:color w:val="000000"/>
          <w:sz w:val="22"/>
          <w:szCs w:val="22"/>
          <w:lang w:eastAsia="en-GB"/>
        </w:rPr>
      </w:pPr>
    </w:p>
    <w:p w14:paraId="055563EC" w14:textId="77777777" w:rsidR="00DC114B" w:rsidRPr="00027237" w:rsidRDefault="00DC114B" w:rsidP="4DD53C4F">
      <w:pPr>
        <w:pStyle w:val="ListParagraph"/>
        <w:spacing w:after="231" w:line="249" w:lineRule="auto"/>
        <w:ind w:left="1070"/>
        <w:contextualSpacing/>
        <w:rPr>
          <w:rFonts w:ascii="Arial" w:eastAsia="Arial" w:hAnsi="Arial" w:cs="Arial"/>
          <w:b/>
          <w:bCs/>
          <w:color w:val="000000"/>
          <w:sz w:val="22"/>
          <w:szCs w:val="22"/>
          <w:lang w:eastAsia="en-GB"/>
        </w:rPr>
      </w:pPr>
    </w:p>
    <w:p w14:paraId="6E11992A" w14:textId="2869FE81" w:rsidR="00AC2931" w:rsidRPr="00027237" w:rsidRDefault="003B04E9" w:rsidP="4DD53C4F">
      <w:pPr>
        <w:pStyle w:val="ListParagraph"/>
        <w:spacing w:after="231" w:line="249" w:lineRule="auto"/>
        <w:ind w:left="1070"/>
        <w:contextualSpacing/>
        <w:rPr>
          <w:rFonts w:ascii="Arial" w:eastAsia="Arial" w:hAnsi="Arial" w:cs="Arial"/>
          <w:b/>
          <w:bCs/>
          <w:color w:val="000000"/>
          <w:sz w:val="22"/>
          <w:szCs w:val="22"/>
          <w:lang w:eastAsia="en-GB"/>
        </w:rPr>
      </w:pPr>
      <w:r w:rsidRPr="00027237">
        <w:rPr>
          <w:rFonts w:ascii="Arial" w:eastAsia="Arial" w:hAnsi="Arial" w:cs="Arial"/>
          <w:b/>
          <w:bCs/>
          <w:color w:val="000000" w:themeColor="text1"/>
          <w:sz w:val="22"/>
          <w:szCs w:val="22"/>
          <w:lang w:eastAsia="en-GB"/>
        </w:rPr>
        <w:t xml:space="preserve">Section 6 - </w:t>
      </w:r>
      <w:r w:rsidR="00960F3E" w:rsidRPr="00027237">
        <w:rPr>
          <w:rFonts w:ascii="Arial" w:eastAsia="Arial" w:hAnsi="Arial" w:cs="Arial"/>
          <w:b/>
          <w:bCs/>
          <w:color w:val="000000" w:themeColor="text1"/>
          <w:sz w:val="22"/>
          <w:szCs w:val="22"/>
          <w:lang w:eastAsia="en-GB"/>
        </w:rPr>
        <w:t>Victim related conditions</w:t>
      </w:r>
    </w:p>
    <w:p w14:paraId="2E111386" w14:textId="0CFB2CF5" w:rsidR="00620FAB" w:rsidRPr="00027237" w:rsidRDefault="00620FAB" w:rsidP="4DD53C4F">
      <w:pPr>
        <w:pStyle w:val="ListParagraph"/>
        <w:rPr>
          <w:rFonts w:ascii="Arial" w:eastAsia="Arial" w:hAnsi="Arial" w:cs="Arial"/>
          <w:color w:val="000000"/>
          <w:sz w:val="22"/>
          <w:szCs w:val="22"/>
          <w:lang w:eastAsia="en-GB"/>
        </w:rPr>
      </w:pPr>
    </w:p>
    <w:p w14:paraId="48D4FD95" w14:textId="5EFC3236" w:rsidR="00620FAB" w:rsidRPr="00027237" w:rsidRDefault="00AB32CA" w:rsidP="009E77B2">
      <w:pPr>
        <w:pStyle w:val="ListParagraph"/>
        <w:ind w:firstLine="720"/>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Relationships</w:t>
      </w:r>
    </w:p>
    <w:p w14:paraId="0C1F3D41" w14:textId="77777777" w:rsidR="009B5E0D" w:rsidRPr="00027237" w:rsidRDefault="009B5E0D" w:rsidP="4DD53C4F">
      <w:pPr>
        <w:pStyle w:val="ListParagraph"/>
        <w:rPr>
          <w:rFonts w:ascii="Arial" w:eastAsia="Arial" w:hAnsi="Arial" w:cs="Arial"/>
          <w:color w:val="000000"/>
          <w:sz w:val="22"/>
          <w:szCs w:val="22"/>
          <w:lang w:eastAsia="en-GB"/>
        </w:rPr>
      </w:pPr>
    </w:p>
    <w:p w14:paraId="29714663" w14:textId="198C8D50" w:rsidR="00AB32CA" w:rsidRPr="00027237" w:rsidRDefault="00AB32CA" w:rsidP="4DD53C4F">
      <w:pPr>
        <w:pStyle w:val="ListParagraph"/>
        <w:numPr>
          <w:ilvl w:val="0"/>
          <w:numId w:val="4"/>
        </w:numPr>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 xml:space="preserve">For patients who have a history of domestic violence or </w:t>
      </w:r>
      <w:r w:rsidR="003402D6" w:rsidRPr="00027237">
        <w:rPr>
          <w:rFonts w:ascii="Arial" w:eastAsia="Arial" w:hAnsi="Arial" w:cs="Arial"/>
          <w:color w:val="000000" w:themeColor="text1"/>
          <w:sz w:val="22"/>
          <w:szCs w:val="22"/>
          <w:lang w:eastAsia="en-GB"/>
        </w:rPr>
        <w:t xml:space="preserve">domestic homicide it is an expectation that a condition relating to </w:t>
      </w:r>
      <w:r w:rsidR="00663275" w:rsidRPr="00027237">
        <w:rPr>
          <w:rFonts w:ascii="Arial" w:eastAsia="Arial" w:hAnsi="Arial" w:cs="Arial"/>
          <w:color w:val="000000" w:themeColor="text1"/>
          <w:sz w:val="22"/>
          <w:szCs w:val="22"/>
          <w:lang w:eastAsia="en-GB"/>
        </w:rPr>
        <w:t>relationships is imposed at the point of discharge</w:t>
      </w:r>
      <w:r w:rsidR="00F23068" w:rsidRPr="00027237">
        <w:rPr>
          <w:rFonts w:ascii="Arial" w:eastAsia="Arial" w:hAnsi="Arial" w:cs="Arial"/>
          <w:color w:val="000000" w:themeColor="text1"/>
          <w:sz w:val="22"/>
          <w:szCs w:val="22"/>
          <w:lang w:eastAsia="en-GB"/>
        </w:rPr>
        <w:t xml:space="preserve"> and MHCS may consider adding such conditions </w:t>
      </w:r>
      <w:proofErr w:type="gramStart"/>
      <w:r w:rsidR="00F23068" w:rsidRPr="00027237">
        <w:rPr>
          <w:rFonts w:ascii="Arial" w:eastAsia="Arial" w:hAnsi="Arial" w:cs="Arial"/>
          <w:color w:val="000000" w:themeColor="text1"/>
          <w:sz w:val="22"/>
          <w:szCs w:val="22"/>
          <w:lang w:eastAsia="en-GB"/>
        </w:rPr>
        <w:t>at a later date</w:t>
      </w:r>
      <w:proofErr w:type="gramEnd"/>
      <w:r w:rsidR="00F23068" w:rsidRPr="00027237">
        <w:rPr>
          <w:rFonts w:ascii="Arial" w:eastAsia="Arial" w:hAnsi="Arial" w:cs="Arial"/>
          <w:color w:val="000000" w:themeColor="text1"/>
          <w:sz w:val="22"/>
          <w:szCs w:val="22"/>
          <w:lang w:eastAsia="en-GB"/>
        </w:rPr>
        <w:t xml:space="preserve"> if there is intelligence to suggest this is necessary</w:t>
      </w:r>
      <w:r w:rsidR="00663275" w:rsidRPr="00027237">
        <w:rPr>
          <w:rFonts w:ascii="Arial" w:eastAsia="Arial" w:hAnsi="Arial" w:cs="Arial"/>
          <w:color w:val="000000" w:themeColor="text1"/>
          <w:sz w:val="22"/>
          <w:szCs w:val="22"/>
          <w:lang w:eastAsia="en-GB"/>
        </w:rPr>
        <w:t xml:space="preserve">. </w:t>
      </w:r>
      <w:r w:rsidR="00E21A2B" w:rsidRPr="00027237">
        <w:rPr>
          <w:rFonts w:ascii="Arial" w:eastAsia="Arial" w:hAnsi="Arial" w:cs="Arial"/>
          <w:color w:val="000000" w:themeColor="text1"/>
          <w:sz w:val="22"/>
          <w:szCs w:val="22"/>
          <w:lang w:eastAsia="en-GB"/>
        </w:rPr>
        <w:t xml:space="preserve">The operation of such a condition should not simply rely on the patient disclosing a relationship and supervisors should consider </w:t>
      </w:r>
      <w:r w:rsidR="00896D5A" w:rsidRPr="00027237">
        <w:rPr>
          <w:rFonts w:ascii="Arial" w:eastAsia="Arial" w:hAnsi="Arial" w:cs="Arial"/>
          <w:color w:val="000000" w:themeColor="text1"/>
          <w:sz w:val="22"/>
          <w:szCs w:val="22"/>
          <w:lang w:eastAsia="en-GB"/>
        </w:rPr>
        <w:t xml:space="preserve">a variation or addition of a condition which </w:t>
      </w:r>
      <w:r w:rsidR="006235D5" w:rsidRPr="00027237">
        <w:rPr>
          <w:rFonts w:ascii="Arial" w:eastAsia="Arial" w:hAnsi="Arial" w:cs="Arial"/>
          <w:color w:val="000000" w:themeColor="text1"/>
          <w:sz w:val="22"/>
          <w:szCs w:val="22"/>
          <w:lang w:eastAsia="en-GB"/>
        </w:rPr>
        <w:t>facilitates them accessing a greater a</w:t>
      </w:r>
      <w:r w:rsidR="003E0CFD" w:rsidRPr="00027237">
        <w:rPr>
          <w:rFonts w:ascii="Arial" w:eastAsia="Arial" w:hAnsi="Arial" w:cs="Arial"/>
          <w:color w:val="000000" w:themeColor="text1"/>
          <w:sz w:val="22"/>
          <w:szCs w:val="22"/>
          <w:lang w:eastAsia="en-GB"/>
        </w:rPr>
        <w:t>rray of information sources rather than relying on the patient</w:t>
      </w:r>
      <w:r w:rsidR="00D03E93" w:rsidRPr="00027237">
        <w:rPr>
          <w:rFonts w:ascii="Arial" w:eastAsia="Arial" w:hAnsi="Arial" w:cs="Arial"/>
          <w:color w:val="000000" w:themeColor="text1"/>
          <w:sz w:val="22"/>
          <w:szCs w:val="22"/>
          <w:lang w:eastAsia="en-GB"/>
        </w:rPr>
        <w:t xml:space="preserve"> to disclose the existence of a </w:t>
      </w:r>
      <w:proofErr w:type="gramStart"/>
      <w:r w:rsidR="00D03E93" w:rsidRPr="00027237">
        <w:rPr>
          <w:rFonts w:ascii="Arial" w:eastAsia="Arial" w:hAnsi="Arial" w:cs="Arial"/>
          <w:color w:val="000000" w:themeColor="text1"/>
          <w:sz w:val="22"/>
          <w:szCs w:val="22"/>
          <w:lang w:eastAsia="en-GB"/>
        </w:rPr>
        <w:t>relationship</w:t>
      </w:r>
      <w:r w:rsidR="003E0CFD" w:rsidRPr="00027237">
        <w:rPr>
          <w:rFonts w:ascii="Arial" w:eastAsia="Arial" w:hAnsi="Arial" w:cs="Arial"/>
          <w:color w:val="000000" w:themeColor="text1"/>
          <w:sz w:val="22"/>
          <w:szCs w:val="22"/>
          <w:lang w:eastAsia="en-GB"/>
        </w:rPr>
        <w:t>, if</w:t>
      </w:r>
      <w:proofErr w:type="gramEnd"/>
      <w:r w:rsidR="003E0CFD" w:rsidRPr="00027237">
        <w:rPr>
          <w:rFonts w:ascii="Arial" w:eastAsia="Arial" w:hAnsi="Arial" w:cs="Arial"/>
          <w:color w:val="000000" w:themeColor="text1"/>
          <w:sz w:val="22"/>
          <w:szCs w:val="22"/>
          <w:lang w:eastAsia="en-GB"/>
        </w:rPr>
        <w:t xml:space="preserve"> such conditions were not imposed at the point of discharge. Examples of </w:t>
      </w:r>
      <w:r w:rsidR="002A61FB" w:rsidRPr="00027237">
        <w:rPr>
          <w:rFonts w:ascii="Arial" w:eastAsia="Arial" w:hAnsi="Arial" w:cs="Arial"/>
          <w:color w:val="000000" w:themeColor="text1"/>
          <w:sz w:val="22"/>
          <w:szCs w:val="22"/>
          <w:lang w:eastAsia="en-GB"/>
        </w:rPr>
        <w:t xml:space="preserve">such conditions can be found in the following link: </w:t>
      </w:r>
    </w:p>
    <w:p w14:paraId="6942BD16" w14:textId="3AC84DA4" w:rsidR="002A61FB" w:rsidRPr="00027237" w:rsidRDefault="002A61FB" w:rsidP="4DD53C4F">
      <w:pPr>
        <w:ind w:left="720"/>
        <w:rPr>
          <w:rFonts w:eastAsia="Arial"/>
          <w:color w:val="000000"/>
          <w:sz w:val="22"/>
          <w:lang w:eastAsia="en-GB"/>
        </w:rPr>
      </w:pPr>
    </w:p>
    <w:p w14:paraId="2B4F1428" w14:textId="226810EE" w:rsidR="002A61FB" w:rsidRPr="00027237" w:rsidRDefault="001462F6" w:rsidP="4DD53C4F">
      <w:pPr>
        <w:rPr>
          <w:rFonts w:eastAsia="Arial"/>
          <w:sz w:val="22"/>
        </w:rPr>
      </w:pPr>
      <w:hyperlink r:id="rId23">
        <w:r w:rsidR="3D8B20C3" w:rsidRPr="00027237">
          <w:rPr>
            <w:rStyle w:val="Hyperlink"/>
            <w:rFonts w:eastAsia="Arial"/>
            <w:sz w:val="22"/>
          </w:rPr>
          <w:t>Submit a discharge request for restricted patients - GOV.UK (www.gov.uk)</w:t>
        </w:r>
      </w:hyperlink>
    </w:p>
    <w:p w14:paraId="2D800C37" w14:textId="2E599EE5" w:rsidR="00DF5A77" w:rsidRPr="00027237" w:rsidRDefault="00564A02" w:rsidP="4DD53C4F">
      <w:pPr>
        <w:pStyle w:val="ListParagraph"/>
        <w:numPr>
          <w:ilvl w:val="0"/>
          <w:numId w:val="4"/>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Where conditions relating to patient</w:t>
      </w:r>
      <w:r w:rsidR="007750B7" w:rsidRPr="00027237">
        <w:rPr>
          <w:rFonts w:ascii="Arial" w:eastAsia="Arial" w:hAnsi="Arial" w:cs="Arial"/>
          <w:color w:val="000000" w:themeColor="text1"/>
          <w:sz w:val="22"/>
          <w:szCs w:val="22"/>
          <w:lang w:eastAsia="en-GB"/>
        </w:rPr>
        <w:t xml:space="preserve">’s relationships are being added and the proposed conditions will </w:t>
      </w:r>
      <w:r w:rsidR="00D53F3C" w:rsidRPr="00027237">
        <w:rPr>
          <w:rFonts w:ascii="Arial" w:eastAsia="Arial" w:hAnsi="Arial" w:cs="Arial"/>
          <w:color w:val="000000" w:themeColor="text1"/>
          <w:sz w:val="22"/>
          <w:szCs w:val="22"/>
          <w:lang w:eastAsia="en-GB"/>
        </w:rPr>
        <w:t>seek access to the patient’s</w:t>
      </w:r>
      <w:r w:rsidR="001E4F55" w:rsidRPr="00027237">
        <w:rPr>
          <w:rFonts w:ascii="Arial" w:eastAsia="Arial" w:hAnsi="Arial" w:cs="Arial"/>
          <w:color w:val="000000" w:themeColor="text1"/>
          <w:sz w:val="22"/>
          <w:szCs w:val="22"/>
          <w:lang w:eastAsia="en-GB"/>
        </w:rPr>
        <w:t xml:space="preserve"> electronic devices</w:t>
      </w:r>
      <w:r w:rsidR="0091758B" w:rsidRPr="00027237">
        <w:rPr>
          <w:rFonts w:ascii="Arial" w:eastAsia="Arial" w:hAnsi="Arial" w:cs="Arial"/>
          <w:color w:val="000000" w:themeColor="text1"/>
          <w:sz w:val="22"/>
          <w:szCs w:val="22"/>
          <w:lang w:eastAsia="en-GB"/>
        </w:rPr>
        <w:t>,</w:t>
      </w:r>
      <w:r w:rsidR="001E4F55" w:rsidRPr="00027237">
        <w:rPr>
          <w:rFonts w:ascii="Arial" w:eastAsia="Arial" w:hAnsi="Arial" w:cs="Arial"/>
          <w:color w:val="000000" w:themeColor="text1"/>
          <w:sz w:val="22"/>
          <w:szCs w:val="22"/>
          <w:lang w:eastAsia="en-GB"/>
        </w:rPr>
        <w:t xml:space="preserve"> </w:t>
      </w:r>
      <w:r w:rsidR="00E2749C" w:rsidRPr="00027237">
        <w:rPr>
          <w:rFonts w:ascii="Arial" w:eastAsia="Arial" w:hAnsi="Arial" w:cs="Arial"/>
          <w:color w:val="000000" w:themeColor="text1"/>
          <w:sz w:val="22"/>
          <w:szCs w:val="22"/>
          <w:lang w:eastAsia="en-GB"/>
        </w:rPr>
        <w:t>then the supervisors will need to be clear to MHCS how the conditions will be mo</w:t>
      </w:r>
      <w:r w:rsidR="00F35443" w:rsidRPr="00027237">
        <w:rPr>
          <w:rFonts w:ascii="Arial" w:eastAsia="Arial" w:hAnsi="Arial" w:cs="Arial"/>
          <w:color w:val="000000" w:themeColor="text1"/>
          <w:sz w:val="22"/>
          <w:szCs w:val="22"/>
          <w:lang w:eastAsia="en-GB"/>
        </w:rPr>
        <w:t>nitored and when breaches will be reported.</w:t>
      </w:r>
      <w:r w:rsidR="662C2677" w:rsidRPr="00027237">
        <w:rPr>
          <w:rFonts w:ascii="Arial" w:eastAsia="Arial" w:hAnsi="Arial" w:cs="Arial"/>
          <w:color w:val="000000" w:themeColor="text1"/>
          <w:sz w:val="22"/>
          <w:szCs w:val="22"/>
          <w:lang w:eastAsia="en-GB"/>
        </w:rPr>
        <w:t xml:space="preserve"> It is important that such supervisors operate with a heightened level of professional curiosity </w:t>
      </w:r>
      <w:proofErr w:type="gramStart"/>
      <w:r w:rsidR="662C2677" w:rsidRPr="00027237">
        <w:rPr>
          <w:rFonts w:ascii="Arial" w:eastAsia="Arial" w:hAnsi="Arial" w:cs="Arial"/>
          <w:color w:val="000000" w:themeColor="text1"/>
          <w:sz w:val="22"/>
          <w:szCs w:val="22"/>
          <w:lang w:eastAsia="en-GB"/>
        </w:rPr>
        <w:t>in regard to</w:t>
      </w:r>
      <w:proofErr w:type="gramEnd"/>
      <w:r w:rsidR="662C2677" w:rsidRPr="00027237">
        <w:rPr>
          <w:rFonts w:ascii="Arial" w:eastAsia="Arial" w:hAnsi="Arial" w:cs="Arial"/>
          <w:color w:val="000000" w:themeColor="text1"/>
          <w:sz w:val="22"/>
          <w:szCs w:val="22"/>
          <w:lang w:eastAsia="en-GB"/>
        </w:rPr>
        <w:t xml:space="preserve"> the patient’s compliance with this type of condition</w:t>
      </w:r>
      <w:r w:rsidR="5400C78F" w:rsidRPr="00027237">
        <w:rPr>
          <w:rFonts w:ascii="Arial" w:eastAsia="Arial" w:hAnsi="Arial" w:cs="Arial"/>
          <w:color w:val="000000" w:themeColor="text1"/>
          <w:sz w:val="22"/>
          <w:szCs w:val="22"/>
          <w:lang w:eastAsia="en-GB"/>
        </w:rPr>
        <w:t>.</w:t>
      </w:r>
      <w:r w:rsidR="00F35443" w:rsidRPr="00027237">
        <w:rPr>
          <w:rFonts w:ascii="Arial" w:eastAsia="Arial" w:hAnsi="Arial" w:cs="Arial"/>
          <w:color w:val="000000" w:themeColor="text1"/>
          <w:sz w:val="22"/>
          <w:szCs w:val="22"/>
          <w:lang w:eastAsia="en-GB"/>
        </w:rPr>
        <w:t xml:space="preserve"> Supervisors will also need to set out if </w:t>
      </w:r>
      <w:r w:rsidR="00B0099E" w:rsidRPr="00027237">
        <w:rPr>
          <w:rFonts w:ascii="Arial" w:eastAsia="Arial" w:hAnsi="Arial" w:cs="Arial"/>
          <w:color w:val="000000" w:themeColor="text1"/>
          <w:sz w:val="22"/>
          <w:szCs w:val="22"/>
          <w:lang w:eastAsia="en-GB"/>
        </w:rPr>
        <w:t>the conditions have been discussed with MAPPA and/or the police</w:t>
      </w:r>
      <w:r w:rsidR="000371DD" w:rsidRPr="00027237">
        <w:rPr>
          <w:rFonts w:ascii="Arial" w:eastAsia="Arial" w:hAnsi="Arial" w:cs="Arial"/>
          <w:color w:val="000000" w:themeColor="text1"/>
          <w:sz w:val="22"/>
          <w:szCs w:val="22"/>
          <w:lang w:eastAsia="en-GB"/>
        </w:rPr>
        <w:t xml:space="preserve"> if the case is managed at level 1. </w:t>
      </w:r>
    </w:p>
    <w:p w14:paraId="17BA1FD0" w14:textId="77777777" w:rsidR="00052B24" w:rsidRPr="00027237" w:rsidRDefault="00052B24" w:rsidP="4DD53C4F">
      <w:pPr>
        <w:pStyle w:val="ListParagraph"/>
        <w:spacing w:after="231" w:line="249" w:lineRule="auto"/>
        <w:ind w:left="1070"/>
        <w:contextualSpacing/>
        <w:rPr>
          <w:rFonts w:ascii="Arial" w:eastAsia="Arial" w:hAnsi="Arial" w:cs="Arial"/>
          <w:color w:val="000000"/>
          <w:sz w:val="22"/>
          <w:szCs w:val="22"/>
          <w:lang w:eastAsia="en-GB"/>
        </w:rPr>
      </w:pPr>
    </w:p>
    <w:p w14:paraId="421DD8E6" w14:textId="10582B7F" w:rsidR="00F23068" w:rsidRPr="00027237" w:rsidRDefault="00052B24" w:rsidP="4DD53C4F">
      <w:pPr>
        <w:pStyle w:val="ListParagraph"/>
        <w:numPr>
          <w:ilvl w:val="0"/>
          <w:numId w:val="4"/>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 xml:space="preserve">Any request for the removal of relationship related conditions will need to be clear why that condition should be removed. MHCS will carefully consider what led to the condition being originally imposed and the simple passing of time without any concerns from the patient would, alone, be insufficient to warrant the removal of such conditions. </w:t>
      </w:r>
      <w:r w:rsidR="53361A6C" w:rsidRPr="00027237">
        <w:rPr>
          <w:rFonts w:ascii="Arial" w:eastAsia="Arial" w:hAnsi="Arial" w:cs="Arial"/>
          <w:color w:val="000000" w:themeColor="text1"/>
          <w:sz w:val="22"/>
          <w:szCs w:val="22"/>
          <w:lang w:eastAsia="en-GB"/>
        </w:rPr>
        <w:t xml:space="preserve">The clinical and social supervisors should also consider seeking the views of MAPPA or convening a MAPPA meeting to </w:t>
      </w:r>
      <w:r w:rsidR="2CA628C3" w:rsidRPr="00027237">
        <w:rPr>
          <w:rFonts w:ascii="Arial" w:eastAsia="Arial" w:hAnsi="Arial" w:cs="Arial"/>
          <w:color w:val="000000" w:themeColor="text1"/>
          <w:sz w:val="22"/>
          <w:szCs w:val="22"/>
          <w:lang w:eastAsia="en-GB"/>
        </w:rPr>
        <w:t xml:space="preserve">ensure an appropriate multi-disciplinary approach is taken when seeking to remove or vary a potentially important risk management condition. </w:t>
      </w:r>
    </w:p>
    <w:p w14:paraId="530BBACB" w14:textId="77777777" w:rsidR="00052B24" w:rsidRPr="00027237" w:rsidRDefault="00052B24" w:rsidP="4DD53C4F">
      <w:pPr>
        <w:pStyle w:val="ListParagraph"/>
        <w:rPr>
          <w:rFonts w:ascii="Arial" w:eastAsia="Arial" w:hAnsi="Arial" w:cs="Arial"/>
          <w:color w:val="000000"/>
          <w:sz w:val="22"/>
          <w:szCs w:val="22"/>
          <w:lang w:eastAsia="en-GB"/>
        </w:rPr>
      </w:pPr>
    </w:p>
    <w:p w14:paraId="01901661" w14:textId="2AED5A70" w:rsidR="429DAA9A" w:rsidRPr="00027237" w:rsidRDefault="429DAA9A" w:rsidP="4DD53C4F">
      <w:pPr>
        <w:spacing w:after="231" w:line="249" w:lineRule="auto"/>
        <w:contextualSpacing/>
        <w:rPr>
          <w:rFonts w:eastAsia="Arial"/>
          <w:color w:val="000000" w:themeColor="text1"/>
          <w:sz w:val="22"/>
          <w:lang w:eastAsia="en-GB"/>
        </w:rPr>
      </w:pPr>
    </w:p>
    <w:p w14:paraId="2B400BA6" w14:textId="7683ECF2" w:rsidR="00052B24" w:rsidRPr="00027237" w:rsidRDefault="00052B24" w:rsidP="00027237">
      <w:pPr>
        <w:spacing w:after="231" w:line="249" w:lineRule="auto"/>
        <w:ind w:left="720" w:firstLine="720"/>
        <w:contextualSpacing/>
        <w:rPr>
          <w:rFonts w:eastAsia="Arial"/>
          <w:color w:val="000000"/>
          <w:sz w:val="22"/>
          <w:lang w:eastAsia="en-GB"/>
        </w:rPr>
        <w:pPrChange w:id="8" w:author="Binns, Christopher" w:date="2023-06-29T08:13:00Z">
          <w:pPr>
            <w:spacing w:after="231" w:line="249" w:lineRule="auto"/>
            <w:contextualSpacing/>
          </w:pPr>
        </w:pPrChange>
      </w:pPr>
      <w:r w:rsidRPr="00027237">
        <w:rPr>
          <w:rFonts w:eastAsia="Arial"/>
          <w:color w:val="000000" w:themeColor="text1"/>
          <w:sz w:val="22"/>
          <w:lang w:eastAsia="en-GB"/>
        </w:rPr>
        <w:t xml:space="preserve">Conditions requested by or on behalf of the </w:t>
      </w:r>
      <w:proofErr w:type="gramStart"/>
      <w:r w:rsidRPr="00027237">
        <w:rPr>
          <w:rFonts w:eastAsia="Arial"/>
          <w:color w:val="000000" w:themeColor="text1"/>
          <w:sz w:val="22"/>
          <w:lang w:eastAsia="en-GB"/>
        </w:rPr>
        <w:t>victim</w:t>
      </w:r>
      <w:proofErr w:type="gramEnd"/>
    </w:p>
    <w:p w14:paraId="1A79210C" w14:textId="28433859" w:rsidR="00695CE3" w:rsidRPr="00027237" w:rsidRDefault="00052B24" w:rsidP="4DD53C4F">
      <w:pPr>
        <w:pStyle w:val="ListParagraph"/>
        <w:numPr>
          <w:ilvl w:val="0"/>
          <w:numId w:val="4"/>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sz w:val="22"/>
          <w:szCs w:val="22"/>
          <w:lang w:eastAsia="en-GB"/>
        </w:rPr>
        <w:t xml:space="preserve"> </w:t>
      </w:r>
      <w:r w:rsidR="00695CE3" w:rsidRPr="00027237">
        <w:rPr>
          <w:rFonts w:ascii="Arial" w:eastAsia="Arial" w:hAnsi="Arial" w:cs="Arial"/>
          <w:color w:val="000000"/>
          <w:sz w:val="22"/>
          <w:szCs w:val="22"/>
          <w:lang w:eastAsia="en-GB"/>
        </w:rPr>
        <w:t>The Domestic Violence Crime and Victims Act (DVCVA) 2004</w:t>
      </w:r>
      <w:r w:rsidR="00CD64E6" w:rsidRPr="00027237">
        <w:rPr>
          <w:rFonts w:ascii="Arial" w:eastAsia="Arial" w:hAnsi="Arial" w:cs="Arial"/>
          <w:color w:val="000000"/>
          <w:sz w:val="22"/>
          <w:szCs w:val="22"/>
          <w:lang w:eastAsia="en-GB"/>
        </w:rPr>
        <w:t xml:space="preserve"> sets</w:t>
      </w:r>
      <w:r w:rsidR="00695CE3" w:rsidRPr="00027237">
        <w:rPr>
          <w:rFonts w:ascii="Arial" w:eastAsia="Arial" w:hAnsi="Arial" w:cs="Arial"/>
          <w:color w:val="000000"/>
          <w:sz w:val="22"/>
          <w:szCs w:val="22"/>
          <w:lang w:eastAsia="en-GB"/>
        </w:rPr>
        <w:t xml:space="preserve"> out the statutory boundaries of the V</w:t>
      </w:r>
      <w:r w:rsidR="00D03E93" w:rsidRPr="00027237">
        <w:rPr>
          <w:rFonts w:ascii="Arial" w:eastAsia="Arial" w:hAnsi="Arial" w:cs="Arial"/>
          <w:color w:val="000000"/>
          <w:sz w:val="22"/>
          <w:szCs w:val="22"/>
          <w:lang w:eastAsia="en-GB"/>
        </w:rPr>
        <w:t>ictim Contact Scheme (VCS)</w:t>
      </w:r>
      <w:r w:rsidR="00695CE3" w:rsidRPr="00027237">
        <w:rPr>
          <w:rFonts w:ascii="Arial" w:eastAsia="Arial" w:hAnsi="Arial" w:cs="Arial"/>
          <w:color w:val="000000"/>
          <w:sz w:val="22"/>
          <w:szCs w:val="22"/>
          <w:lang w:eastAsia="en-GB"/>
        </w:rPr>
        <w:t>, and the victims who statutorily qualify for the VCS</w:t>
      </w:r>
      <w:r w:rsidR="00D03E93" w:rsidRPr="00027237">
        <w:rPr>
          <w:rStyle w:val="FootnoteReference"/>
          <w:rFonts w:ascii="Arial" w:eastAsia="Arial" w:hAnsi="Arial" w:cs="Arial"/>
          <w:color w:val="000000"/>
          <w:sz w:val="22"/>
          <w:szCs w:val="22"/>
          <w:lang w:eastAsia="en-GB"/>
        </w:rPr>
        <w:footnoteReference w:id="9"/>
      </w:r>
      <w:r w:rsidR="00695CE3" w:rsidRPr="00027237">
        <w:rPr>
          <w:rFonts w:ascii="Arial" w:eastAsia="Arial" w:hAnsi="Arial" w:cs="Arial"/>
          <w:color w:val="000000"/>
          <w:sz w:val="22"/>
          <w:szCs w:val="22"/>
          <w:lang w:eastAsia="en-GB"/>
        </w:rPr>
        <w:t xml:space="preserve">. These </w:t>
      </w:r>
      <w:proofErr w:type="gramStart"/>
      <w:r w:rsidR="00695CE3" w:rsidRPr="00027237">
        <w:rPr>
          <w:rFonts w:ascii="Arial" w:eastAsia="Arial" w:hAnsi="Arial" w:cs="Arial"/>
          <w:color w:val="000000"/>
          <w:sz w:val="22"/>
          <w:szCs w:val="22"/>
          <w:lang w:eastAsia="en-GB"/>
        </w:rPr>
        <w:t>are;</w:t>
      </w:r>
      <w:proofErr w:type="gramEnd"/>
      <w:r w:rsidR="00695CE3" w:rsidRPr="00027237">
        <w:rPr>
          <w:rFonts w:ascii="Arial" w:eastAsia="Arial" w:hAnsi="Arial" w:cs="Arial"/>
          <w:color w:val="000000"/>
          <w:sz w:val="22"/>
          <w:szCs w:val="22"/>
          <w:lang w:eastAsia="en-GB"/>
        </w:rPr>
        <w:t xml:space="preserve"> </w:t>
      </w:r>
    </w:p>
    <w:p w14:paraId="33F57DCF" w14:textId="77777777" w:rsidR="00695CE3" w:rsidRPr="00027237" w:rsidRDefault="00695CE3" w:rsidP="4DD53C4F">
      <w:pPr>
        <w:pStyle w:val="ListParagraph"/>
        <w:spacing w:after="231" w:line="249" w:lineRule="auto"/>
        <w:ind w:left="1070"/>
        <w:contextualSpacing/>
        <w:rPr>
          <w:rFonts w:ascii="Arial" w:eastAsia="Arial" w:hAnsi="Arial" w:cs="Arial"/>
          <w:color w:val="000000"/>
          <w:sz w:val="22"/>
          <w:szCs w:val="22"/>
          <w:lang w:eastAsia="en-GB"/>
        </w:rPr>
      </w:pPr>
    </w:p>
    <w:p w14:paraId="6BE84DBB" w14:textId="35D56541" w:rsidR="00695CE3" w:rsidRPr="00027237" w:rsidRDefault="00695CE3" w:rsidP="4DD53C4F">
      <w:pPr>
        <w:pStyle w:val="ListParagraph"/>
        <w:numPr>
          <w:ilvl w:val="0"/>
          <w:numId w:val="6"/>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sz w:val="22"/>
          <w:szCs w:val="22"/>
          <w:lang w:eastAsia="en-GB"/>
        </w:rPr>
        <w:t>victims of offenders who have been made subject to a hospital order with restrictions for a specified sexual, violent or terrorism offence</w:t>
      </w:r>
      <w:r w:rsidR="00CD64E6" w:rsidRPr="00027237">
        <w:rPr>
          <w:rStyle w:val="FootnoteReference"/>
          <w:rFonts w:ascii="Arial" w:eastAsia="Arial" w:hAnsi="Arial" w:cs="Arial"/>
          <w:color w:val="000000"/>
          <w:sz w:val="22"/>
          <w:szCs w:val="22"/>
          <w:lang w:eastAsia="en-GB"/>
        </w:rPr>
        <w:footnoteReference w:id="10"/>
      </w:r>
      <w:r w:rsidRPr="00027237">
        <w:rPr>
          <w:rFonts w:ascii="Arial" w:eastAsia="Arial" w:hAnsi="Arial" w:cs="Arial"/>
          <w:color w:val="000000"/>
          <w:sz w:val="22"/>
          <w:szCs w:val="22"/>
          <w:lang w:eastAsia="en-GB"/>
        </w:rPr>
        <w:t xml:space="preserve">, under the Mental Health Act (MHA) 1983 (restricted patients) </w:t>
      </w:r>
    </w:p>
    <w:p w14:paraId="49FAEF7A" w14:textId="7E42637D" w:rsidR="00695CE3" w:rsidRPr="00027237" w:rsidRDefault="00695CE3" w:rsidP="4DD53C4F">
      <w:pPr>
        <w:pStyle w:val="ListParagraph"/>
        <w:numPr>
          <w:ilvl w:val="0"/>
          <w:numId w:val="6"/>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 xml:space="preserve">the next of kin or close family member(s) of a victim, who died </w:t>
      </w:r>
      <w:proofErr w:type="gramStart"/>
      <w:r w:rsidRPr="00027237">
        <w:rPr>
          <w:rFonts w:ascii="Arial" w:eastAsia="Arial" w:hAnsi="Arial" w:cs="Arial"/>
          <w:color w:val="000000" w:themeColor="text1"/>
          <w:sz w:val="22"/>
          <w:szCs w:val="22"/>
          <w:lang w:eastAsia="en-GB"/>
        </w:rPr>
        <w:t>as a result of</w:t>
      </w:r>
      <w:proofErr w:type="gramEnd"/>
      <w:r w:rsidRPr="00027237">
        <w:rPr>
          <w:rFonts w:ascii="Arial" w:eastAsia="Arial" w:hAnsi="Arial" w:cs="Arial"/>
          <w:color w:val="000000" w:themeColor="text1"/>
          <w:sz w:val="22"/>
          <w:szCs w:val="22"/>
          <w:lang w:eastAsia="en-GB"/>
        </w:rPr>
        <w:t xml:space="preserve"> the restricted patient’s offence; and</w:t>
      </w:r>
    </w:p>
    <w:p w14:paraId="76C2CEA7" w14:textId="1C8448BB" w:rsidR="00CD64E6" w:rsidRPr="00027237" w:rsidRDefault="00695CE3" w:rsidP="4DD53C4F">
      <w:pPr>
        <w:pStyle w:val="ListParagraph"/>
        <w:spacing w:after="231" w:line="249" w:lineRule="auto"/>
        <w:ind w:left="1070"/>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the parent, guardian or carer of a child or vulnerable adult who was a victim as specified in one of the above categories (unless this is not considered to be in the victim’s best interests). Once the child turns 18, contact must either be provided to them directly or their consent obtained to continue providing information to the parent/guardian or carer on their behalf</w:t>
      </w:r>
      <w:r w:rsidR="00E019B5" w:rsidRPr="00027237">
        <w:rPr>
          <w:rFonts w:ascii="Arial" w:eastAsia="Arial" w:hAnsi="Arial" w:cs="Arial"/>
          <w:color w:val="000000" w:themeColor="text1"/>
          <w:sz w:val="22"/>
          <w:szCs w:val="22"/>
          <w:lang w:eastAsia="en-GB"/>
        </w:rPr>
        <w:t>.</w:t>
      </w:r>
    </w:p>
    <w:p w14:paraId="19E6DD11" w14:textId="77777777" w:rsidR="00E019B5" w:rsidRPr="00027237" w:rsidRDefault="00E019B5" w:rsidP="4DD53C4F">
      <w:pPr>
        <w:pStyle w:val="ListParagraph"/>
        <w:spacing w:after="231" w:line="249" w:lineRule="auto"/>
        <w:ind w:left="1070"/>
        <w:contextualSpacing/>
        <w:rPr>
          <w:rFonts w:ascii="Arial" w:eastAsia="Arial" w:hAnsi="Arial" w:cs="Arial"/>
          <w:color w:val="000000"/>
          <w:sz w:val="22"/>
          <w:szCs w:val="22"/>
          <w:lang w:eastAsia="en-GB"/>
        </w:rPr>
      </w:pPr>
    </w:p>
    <w:p w14:paraId="7A9BA8B8" w14:textId="0D5E3C40" w:rsidR="000C3C33" w:rsidRPr="00027237" w:rsidRDefault="000C3C33" w:rsidP="00027237">
      <w:pPr>
        <w:pStyle w:val="ListParagraph"/>
        <w:spacing w:after="231" w:line="249" w:lineRule="auto"/>
        <w:ind w:left="1070" w:firstLine="370"/>
        <w:contextualSpacing/>
        <w:rPr>
          <w:rFonts w:ascii="Arial" w:eastAsia="Arial" w:hAnsi="Arial" w:cs="Arial"/>
          <w:color w:val="000000"/>
          <w:sz w:val="22"/>
          <w:szCs w:val="22"/>
          <w:lang w:eastAsia="en-GB"/>
        </w:rPr>
        <w:pPrChange w:id="9" w:author="Binns, Christopher" w:date="2023-06-29T08:13:00Z">
          <w:pPr>
            <w:pStyle w:val="ListParagraph"/>
            <w:spacing w:after="231" w:line="249" w:lineRule="auto"/>
            <w:ind w:left="1070"/>
            <w:contextualSpacing/>
          </w:pPr>
        </w:pPrChange>
      </w:pPr>
      <w:r w:rsidRPr="00027237">
        <w:rPr>
          <w:rFonts w:ascii="Arial" w:eastAsia="Arial" w:hAnsi="Arial" w:cs="Arial"/>
          <w:color w:val="000000" w:themeColor="text1"/>
          <w:sz w:val="22"/>
          <w:szCs w:val="22"/>
          <w:lang w:eastAsia="en-GB"/>
        </w:rPr>
        <w:t>Non-contact conditions.</w:t>
      </w:r>
    </w:p>
    <w:p w14:paraId="46EF1C70" w14:textId="77777777" w:rsidR="000C3C33" w:rsidRPr="00027237" w:rsidRDefault="000C3C33" w:rsidP="4DD53C4F">
      <w:pPr>
        <w:pStyle w:val="ListParagraph"/>
        <w:spacing w:after="231" w:line="249" w:lineRule="auto"/>
        <w:ind w:left="1070"/>
        <w:contextualSpacing/>
        <w:rPr>
          <w:rFonts w:ascii="Arial" w:eastAsia="Arial" w:hAnsi="Arial" w:cs="Arial"/>
          <w:color w:val="000000"/>
          <w:sz w:val="22"/>
          <w:szCs w:val="22"/>
          <w:lang w:eastAsia="en-GB"/>
        </w:rPr>
      </w:pPr>
    </w:p>
    <w:p w14:paraId="384A93DE" w14:textId="01B13FDD" w:rsidR="007C2DE8" w:rsidRPr="00027237" w:rsidRDefault="00CD64E6" w:rsidP="4DD53C4F">
      <w:pPr>
        <w:pStyle w:val="ListParagraph"/>
        <w:numPr>
          <w:ilvl w:val="0"/>
          <w:numId w:val="4"/>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Conditions requested by or on behalf of the victim or their family are ordinarily related to non-contact conditions or exclusion zones. Both types of conditions are primarily imposed to prevent a chance or intentional encounter between the patient and the victim</w:t>
      </w:r>
      <w:r w:rsidR="007C2DE8" w:rsidRPr="00027237">
        <w:rPr>
          <w:rFonts w:ascii="Arial" w:eastAsia="Arial" w:hAnsi="Arial" w:cs="Arial"/>
          <w:color w:val="000000" w:themeColor="text1"/>
          <w:sz w:val="22"/>
          <w:szCs w:val="22"/>
          <w:lang w:eastAsia="en-GB"/>
        </w:rPr>
        <w:t>(s)</w:t>
      </w:r>
      <w:r w:rsidRPr="00027237">
        <w:rPr>
          <w:rFonts w:ascii="Arial" w:eastAsia="Arial" w:hAnsi="Arial" w:cs="Arial"/>
          <w:color w:val="000000" w:themeColor="text1"/>
          <w:sz w:val="22"/>
          <w:szCs w:val="22"/>
          <w:lang w:eastAsia="en-GB"/>
        </w:rPr>
        <w:t>. Whilst i</w:t>
      </w:r>
      <w:r w:rsidR="007C2DE8" w:rsidRPr="00027237">
        <w:rPr>
          <w:rFonts w:ascii="Arial" w:eastAsia="Arial" w:hAnsi="Arial" w:cs="Arial"/>
          <w:color w:val="000000" w:themeColor="text1"/>
          <w:sz w:val="22"/>
          <w:szCs w:val="22"/>
          <w:lang w:eastAsia="en-GB"/>
        </w:rPr>
        <w:t>t</w:t>
      </w:r>
      <w:r w:rsidRPr="00027237">
        <w:rPr>
          <w:rFonts w:ascii="Arial" w:eastAsia="Arial" w:hAnsi="Arial" w:cs="Arial"/>
          <w:color w:val="000000" w:themeColor="text1"/>
          <w:sz w:val="22"/>
          <w:szCs w:val="22"/>
          <w:lang w:eastAsia="en-GB"/>
        </w:rPr>
        <w:t xml:space="preserve"> may be assessed and confirmed through the </w:t>
      </w:r>
      <w:proofErr w:type="spellStart"/>
      <w:r w:rsidRPr="00027237">
        <w:rPr>
          <w:rFonts w:ascii="Arial" w:eastAsia="Arial" w:hAnsi="Arial" w:cs="Arial"/>
          <w:color w:val="000000" w:themeColor="text1"/>
          <w:sz w:val="22"/>
          <w:szCs w:val="22"/>
          <w:lang w:eastAsia="en-GB"/>
        </w:rPr>
        <w:t>authorisation</w:t>
      </w:r>
      <w:proofErr w:type="spellEnd"/>
      <w:r w:rsidRPr="00027237">
        <w:rPr>
          <w:rFonts w:ascii="Arial" w:eastAsia="Arial" w:hAnsi="Arial" w:cs="Arial"/>
          <w:color w:val="000000" w:themeColor="text1"/>
          <w:sz w:val="22"/>
          <w:szCs w:val="22"/>
          <w:lang w:eastAsia="en-GB"/>
        </w:rPr>
        <w:t xml:space="preserve"> of a conditional discharge that the patient does not pose a specific risk to the victim this does not </w:t>
      </w:r>
      <w:r w:rsidR="007C2DE8" w:rsidRPr="00027237">
        <w:rPr>
          <w:rFonts w:ascii="Arial" w:eastAsia="Arial" w:hAnsi="Arial" w:cs="Arial"/>
          <w:color w:val="000000" w:themeColor="text1"/>
          <w:sz w:val="22"/>
          <w:szCs w:val="22"/>
          <w:lang w:eastAsia="en-GB"/>
        </w:rPr>
        <w:t>therefore render victim</w:t>
      </w:r>
      <w:r w:rsidR="21040191" w:rsidRPr="00027237">
        <w:rPr>
          <w:rFonts w:ascii="Arial" w:eastAsia="Arial" w:hAnsi="Arial" w:cs="Arial"/>
          <w:color w:val="000000" w:themeColor="text1"/>
          <w:sz w:val="22"/>
          <w:szCs w:val="22"/>
          <w:lang w:eastAsia="en-GB"/>
        </w:rPr>
        <w:t xml:space="preserve"> </w:t>
      </w:r>
      <w:r w:rsidR="007C2DE8" w:rsidRPr="00027237">
        <w:rPr>
          <w:rFonts w:ascii="Arial" w:eastAsia="Arial" w:hAnsi="Arial" w:cs="Arial"/>
          <w:color w:val="000000" w:themeColor="text1"/>
          <w:sz w:val="22"/>
          <w:szCs w:val="22"/>
          <w:lang w:eastAsia="en-GB"/>
        </w:rPr>
        <w:t xml:space="preserve">related conditions unnecessary. The victims of restricted patients are not party to the detail of the patient’s progression through the hospital system or how the risk of re-offending has reduced by virtue of that treatment. However, the victim may still suffer from the psychological trauma of the original offence which means any contact with the patient or concerns about contact with the patient will be a source of constant anxiety which affects their day to day lives. </w:t>
      </w:r>
    </w:p>
    <w:p w14:paraId="4A1B36D5" w14:textId="77777777" w:rsidR="007C2DE8" w:rsidRPr="00027237" w:rsidRDefault="007C2DE8" w:rsidP="4DD53C4F">
      <w:pPr>
        <w:pStyle w:val="ListParagraph"/>
        <w:spacing w:after="231" w:line="249" w:lineRule="auto"/>
        <w:ind w:left="1070"/>
        <w:contextualSpacing/>
        <w:rPr>
          <w:rFonts w:ascii="Arial" w:eastAsia="Arial" w:hAnsi="Arial" w:cs="Arial"/>
          <w:color w:val="000000"/>
          <w:sz w:val="22"/>
          <w:szCs w:val="22"/>
          <w:lang w:eastAsia="en-GB"/>
        </w:rPr>
      </w:pPr>
    </w:p>
    <w:p w14:paraId="65852BE0" w14:textId="733A2928" w:rsidR="007C2DE8" w:rsidRPr="00027237" w:rsidRDefault="007C2DE8" w:rsidP="4DD53C4F">
      <w:pPr>
        <w:pStyle w:val="ListParagraph"/>
        <w:numPr>
          <w:ilvl w:val="0"/>
          <w:numId w:val="4"/>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 xml:space="preserve">It is </w:t>
      </w:r>
      <w:r w:rsidR="00EF7316" w:rsidRPr="00027237">
        <w:rPr>
          <w:rFonts w:ascii="Arial" w:eastAsia="Arial" w:hAnsi="Arial" w:cs="Arial"/>
          <w:color w:val="000000" w:themeColor="text1"/>
          <w:sz w:val="22"/>
          <w:szCs w:val="22"/>
          <w:lang w:eastAsia="en-GB"/>
        </w:rPr>
        <w:t>rare</w:t>
      </w:r>
      <w:r w:rsidRPr="00027237">
        <w:rPr>
          <w:rFonts w:ascii="Arial" w:eastAsia="Arial" w:hAnsi="Arial" w:cs="Arial"/>
          <w:color w:val="000000" w:themeColor="text1"/>
          <w:sz w:val="22"/>
          <w:szCs w:val="22"/>
          <w:lang w:eastAsia="en-GB"/>
        </w:rPr>
        <w:t xml:space="preserve"> for non-contact conditions to be removed by MHCS </w:t>
      </w:r>
      <w:r w:rsidR="00800D9F" w:rsidRPr="00027237">
        <w:rPr>
          <w:rFonts w:ascii="Arial" w:eastAsia="Arial" w:hAnsi="Arial" w:cs="Arial"/>
          <w:color w:val="000000" w:themeColor="text1"/>
          <w:sz w:val="22"/>
          <w:szCs w:val="22"/>
          <w:lang w:eastAsia="en-GB"/>
        </w:rPr>
        <w:t xml:space="preserve">where it is clear, in the past, that this condition was required by the victims </w:t>
      </w:r>
      <w:r w:rsidRPr="00027237">
        <w:rPr>
          <w:rFonts w:ascii="Arial" w:eastAsia="Arial" w:hAnsi="Arial" w:cs="Arial"/>
          <w:color w:val="000000" w:themeColor="text1"/>
          <w:sz w:val="22"/>
          <w:szCs w:val="22"/>
          <w:lang w:eastAsia="en-GB"/>
        </w:rPr>
        <w:t xml:space="preserve">However, MHCS understands that in some </w:t>
      </w:r>
      <w:r w:rsidR="00EF7316" w:rsidRPr="00027237">
        <w:rPr>
          <w:rFonts w:ascii="Arial" w:eastAsia="Arial" w:hAnsi="Arial" w:cs="Arial"/>
          <w:color w:val="000000" w:themeColor="text1"/>
          <w:sz w:val="22"/>
          <w:szCs w:val="22"/>
          <w:lang w:eastAsia="en-GB"/>
        </w:rPr>
        <w:t>exceptional</w:t>
      </w:r>
      <w:r w:rsidRPr="00027237">
        <w:rPr>
          <w:rFonts w:ascii="Arial" w:eastAsia="Arial" w:hAnsi="Arial" w:cs="Arial"/>
          <w:color w:val="000000" w:themeColor="text1"/>
          <w:sz w:val="22"/>
          <w:szCs w:val="22"/>
          <w:lang w:eastAsia="en-GB"/>
        </w:rPr>
        <w:t xml:space="preserve"> </w:t>
      </w:r>
      <w:r w:rsidR="639D2F16" w:rsidRPr="00027237">
        <w:rPr>
          <w:rFonts w:ascii="Arial" w:eastAsia="Arial" w:hAnsi="Arial" w:cs="Arial"/>
          <w:color w:val="000000" w:themeColor="text1"/>
          <w:sz w:val="22"/>
          <w:szCs w:val="22"/>
          <w:lang w:eastAsia="en-GB"/>
        </w:rPr>
        <w:t>cases</w:t>
      </w:r>
      <w:r w:rsidRPr="00027237">
        <w:rPr>
          <w:rFonts w:ascii="Arial" w:eastAsia="Arial" w:hAnsi="Arial" w:cs="Arial"/>
          <w:color w:val="000000" w:themeColor="text1"/>
          <w:sz w:val="22"/>
          <w:szCs w:val="22"/>
          <w:lang w:eastAsia="en-GB"/>
        </w:rPr>
        <w:t xml:space="preserve"> the victim, who may be related to or know the patient well, is in contact with the patient even where such a condition exists to prevent that contact. In such circumstances MHCS will request the supervisors to set out why the non-contact condition is no</w:t>
      </w:r>
      <w:r w:rsidR="009B5E0D" w:rsidRPr="00027237">
        <w:rPr>
          <w:rFonts w:ascii="Arial" w:eastAsia="Arial" w:hAnsi="Arial" w:cs="Arial"/>
          <w:color w:val="000000" w:themeColor="text1"/>
          <w:sz w:val="22"/>
          <w:szCs w:val="22"/>
          <w:lang w:eastAsia="en-GB"/>
        </w:rPr>
        <w:t xml:space="preserve"> longer </w:t>
      </w:r>
      <w:r w:rsidRPr="00027237">
        <w:rPr>
          <w:rFonts w:ascii="Arial" w:eastAsia="Arial" w:hAnsi="Arial" w:cs="Arial"/>
          <w:color w:val="000000" w:themeColor="text1"/>
          <w:sz w:val="22"/>
          <w:szCs w:val="22"/>
          <w:lang w:eastAsia="en-GB"/>
        </w:rPr>
        <w:t xml:space="preserve">required and what is the potential risk of lifting such a condition for the </w:t>
      </w:r>
      <w:r w:rsidR="00EF7316" w:rsidRPr="00027237">
        <w:rPr>
          <w:rFonts w:ascii="Arial" w:eastAsia="Arial" w:hAnsi="Arial" w:cs="Arial"/>
          <w:color w:val="000000" w:themeColor="text1"/>
          <w:sz w:val="22"/>
          <w:szCs w:val="22"/>
          <w:lang w:eastAsia="en-GB"/>
        </w:rPr>
        <w:t>victim or the patient</w:t>
      </w:r>
      <w:r w:rsidR="00800D9F" w:rsidRPr="00027237">
        <w:rPr>
          <w:rFonts w:ascii="Arial" w:eastAsia="Arial" w:hAnsi="Arial" w:cs="Arial"/>
          <w:color w:val="000000" w:themeColor="text1"/>
          <w:sz w:val="22"/>
          <w:szCs w:val="22"/>
          <w:lang w:eastAsia="en-GB"/>
        </w:rPr>
        <w:t>.</w:t>
      </w:r>
    </w:p>
    <w:p w14:paraId="6C4FD4C2" w14:textId="7A264C50" w:rsidR="00800D9F" w:rsidRPr="00027237" w:rsidRDefault="00800D9F" w:rsidP="4DD53C4F">
      <w:pPr>
        <w:pStyle w:val="ListParagraph"/>
        <w:rPr>
          <w:rFonts w:ascii="Arial" w:eastAsia="Arial" w:hAnsi="Arial" w:cs="Arial"/>
          <w:color w:val="000000"/>
          <w:sz w:val="22"/>
          <w:szCs w:val="22"/>
          <w:lang w:eastAsia="en-GB"/>
        </w:rPr>
      </w:pPr>
    </w:p>
    <w:p w14:paraId="2A4A8DE1" w14:textId="67EEC9FE" w:rsidR="000C3C33" w:rsidRPr="00027237" w:rsidRDefault="000C3C33" w:rsidP="009E77B2">
      <w:pPr>
        <w:pStyle w:val="ListParagraph"/>
        <w:ind w:firstLine="720"/>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Exclusion zones</w:t>
      </w:r>
    </w:p>
    <w:p w14:paraId="517E17C1" w14:textId="77777777" w:rsidR="000C3C33" w:rsidRPr="00027237" w:rsidRDefault="000C3C33" w:rsidP="4DD53C4F">
      <w:pPr>
        <w:pStyle w:val="ListParagraph"/>
        <w:rPr>
          <w:rFonts w:ascii="Arial" w:eastAsia="Arial" w:hAnsi="Arial" w:cs="Arial"/>
          <w:color w:val="000000"/>
          <w:sz w:val="22"/>
          <w:szCs w:val="22"/>
          <w:lang w:eastAsia="en-GB"/>
        </w:rPr>
      </w:pPr>
    </w:p>
    <w:p w14:paraId="0BBCFD58" w14:textId="6766338E" w:rsidR="00800D9F" w:rsidRPr="00027237" w:rsidRDefault="00800D9F" w:rsidP="4DD53C4F">
      <w:pPr>
        <w:pStyle w:val="ListParagraph"/>
        <w:numPr>
          <w:ilvl w:val="0"/>
          <w:numId w:val="4"/>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 xml:space="preserve">Exclusion zones can cover a specified area or </w:t>
      </w:r>
      <w:proofErr w:type="gramStart"/>
      <w:r w:rsidRPr="00027237">
        <w:rPr>
          <w:rFonts w:ascii="Arial" w:eastAsia="Arial" w:hAnsi="Arial" w:cs="Arial"/>
          <w:color w:val="000000" w:themeColor="text1"/>
          <w:sz w:val="22"/>
          <w:szCs w:val="22"/>
          <w:lang w:eastAsia="en-GB"/>
        </w:rPr>
        <w:t>a number of</w:t>
      </w:r>
      <w:proofErr w:type="gramEnd"/>
      <w:r w:rsidRPr="00027237">
        <w:rPr>
          <w:rFonts w:ascii="Arial" w:eastAsia="Arial" w:hAnsi="Arial" w:cs="Arial"/>
          <w:color w:val="000000" w:themeColor="text1"/>
          <w:sz w:val="22"/>
          <w:szCs w:val="22"/>
          <w:lang w:eastAsia="en-GB"/>
        </w:rPr>
        <w:t xml:space="preserve"> areas depending on what the victim or their family have requested through their </w:t>
      </w:r>
      <w:bookmarkStart w:id="10" w:name="_Hlk124947404"/>
      <w:r w:rsidRPr="00027237">
        <w:rPr>
          <w:rFonts w:ascii="Arial" w:eastAsia="Arial" w:hAnsi="Arial" w:cs="Arial"/>
          <w:color w:val="000000" w:themeColor="text1"/>
          <w:sz w:val="22"/>
          <w:szCs w:val="22"/>
          <w:lang w:eastAsia="en-GB"/>
        </w:rPr>
        <w:t>Victim Liaison Officer</w:t>
      </w:r>
      <w:bookmarkEnd w:id="10"/>
      <w:r w:rsidRPr="00027237">
        <w:rPr>
          <w:rFonts w:ascii="Arial" w:eastAsia="Arial" w:hAnsi="Arial" w:cs="Arial"/>
          <w:color w:val="000000" w:themeColor="text1"/>
          <w:sz w:val="22"/>
          <w:szCs w:val="22"/>
          <w:lang w:eastAsia="en-GB"/>
        </w:rPr>
        <w:t xml:space="preserve">. It is common that such conditions will </w:t>
      </w:r>
      <w:r w:rsidR="18AB9F9A" w:rsidRPr="00027237">
        <w:rPr>
          <w:rFonts w:ascii="Arial" w:eastAsia="Arial" w:hAnsi="Arial" w:cs="Arial"/>
          <w:color w:val="000000" w:themeColor="text1"/>
          <w:sz w:val="22"/>
          <w:szCs w:val="22"/>
          <w:lang w:eastAsia="en-GB"/>
        </w:rPr>
        <w:t>be</w:t>
      </w:r>
      <w:r w:rsidRPr="00027237">
        <w:rPr>
          <w:rFonts w:ascii="Arial" w:eastAsia="Arial" w:hAnsi="Arial" w:cs="Arial"/>
          <w:color w:val="000000" w:themeColor="text1"/>
          <w:sz w:val="22"/>
          <w:szCs w:val="22"/>
          <w:lang w:eastAsia="en-GB"/>
        </w:rPr>
        <w:t xml:space="preserve"> imposed at the point the patient is first considered for community </w:t>
      </w:r>
      <w:r w:rsidR="4AB32530" w:rsidRPr="00027237">
        <w:rPr>
          <w:rFonts w:ascii="Arial" w:eastAsia="Arial" w:hAnsi="Arial" w:cs="Arial"/>
          <w:color w:val="000000" w:themeColor="text1"/>
          <w:sz w:val="22"/>
          <w:szCs w:val="22"/>
          <w:lang w:eastAsia="en-GB"/>
        </w:rPr>
        <w:t>leave when</w:t>
      </w:r>
      <w:r w:rsidRPr="00027237">
        <w:rPr>
          <w:rFonts w:ascii="Arial" w:eastAsia="Arial" w:hAnsi="Arial" w:cs="Arial"/>
          <w:color w:val="000000" w:themeColor="text1"/>
          <w:sz w:val="22"/>
          <w:szCs w:val="22"/>
          <w:lang w:eastAsia="en-GB"/>
        </w:rPr>
        <w:t xml:space="preserve"> they </w:t>
      </w:r>
      <w:r w:rsidR="3C0F9A2F" w:rsidRPr="00027237">
        <w:rPr>
          <w:rFonts w:ascii="Arial" w:eastAsia="Arial" w:hAnsi="Arial" w:cs="Arial"/>
          <w:color w:val="000000" w:themeColor="text1"/>
          <w:sz w:val="22"/>
          <w:szCs w:val="22"/>
          <w:lang w:eastAsia="en-GB"/>
        </w:rPr>
        <w:t>are</w:t>
      </w:r>
      <w:r w:rsidRPr="00027237">
        <w:rPr>
          <w:rFonts w:ascii="Arial" w:eastAsia="Arial" w:hAnsi="Arial" w:cs="Arial"/>
          <w:color w:val="000000" w:themeColor="text1"/>
          <w:sz w:val="22"/>
          <w:szCs w:val="22"/>
          <w:lang w:eastAsia="en-GB"/>
        </w:rPr>
        <w:t xml:space="preserve"> still detained in hospital. Consequently, the exclusion zones will be well known and in operation long before the patient is discharged.</w:t>
      </w:r>
      <w:r w:rsidR="020DD900" w:rsidRPr="00027237">
        <w:rPr>
          <w:rFonts w:ascii="Arial" w:eastAsia="Arial" w:hAnsi="Arial" w:cs="Arial"/>
          <w:color w:val="000000" w:themeColor="text1"/>
          <w:sz w:val="22"/>
          <w:szCs w:val="22"/>
          <w:lang w:eastAsia="en-GB"/>
        </w:rPr>
        <w:t xml:space="preserve"> Additionally,</w:t>
      </w:r>
      <w:r w:rsidRPr="00027237">
        <w:rPr>
          <w:rFonts w:ascii="Arial" w:eastAsia="Arial" w:hAnsi="Arial" w:cs="Arial"/>
          <w:color w:val="000000" w:themeColor="text1"/>
          <w:sz w:val="22"/>
          <w:szCs w:val="22"/>
          <w:lang w:eastAsia="en-GB"/>
        </w:rPr>
        <w:t xml:space="preserve"> </w:t>
      </w:r>
      <w:r w:rsidR="0C9F6ED0" w:rsidRPr="00027237">
        <w:rPr>
          <w:rFonts w:ascii="Arial" w:eastAsia="Arial" w:hAnsi="Arial" w:cs="Arial"/>
          <w:color w:val="000000" w:themeColor="text1"/>
          <w:sz w:val="22"/>
          <w:szCs w:val="22"/>
          <w:lang w:eastAsia="en-GB"/>
        </w:rPr>
        <w:t>i</w:t>
      </w:r>
      <w:r w:rsidRPr="00027237">
        <w:rPr>
          <w:rFonts w:ascii="Arial" w:eastAsia="Arial" w:hAnsi="Arial" w:cs="Arial"/>
          <w:color w:val="000000" w:themeColor="text1"/>
          <w:sz w:val="22"/>
          <w:szCs w:val="22"/>
          <w:lang w:eastAsia="en-GB"/>
        </w:rPr>
        <w:t xml:space="preserve">t </w:t>
      </w:r>
      <w:r w:rsidR="47B68D41" w:rsidRPr="00027237">
        <w:rPr>
          <w:rFonts w:ascii="Arial" w:eastAsia="Arial" w:hAnsi="Arial" w:cs="Arial"/>
          <w:color w:val="000000" w:themeColor="text1"/>
          <w:sz w:val="22"/>
          <w:szCs w:val="22"/>
          <w:lang w:eastAsia="en-GB"/>
        </w:rPr>
        <w:t xml:space="preserve">is </w:t>
      </w:r>
      <w:r w:rsidRPr="00027237">
        <w:rPr>
          <w:rFonts w:ascii="Arial" w:eastAsia="Arial" w:hAnsi="Arial" w:cs="Arial"/>
          <w:color w:val="000000" w:themeColor="text1"/>
          <w:sz w:val="22"/>
          <w:szCs w:val="22"/>
          <w:lang w:eastAsia="en-GB"/>
        </w:rPr>
        <w:t xml:space="preserve">highly likely that the question of the proportionality of any exclusion zone will have been addressed prior to the discharge of the patient from hospital and at the point they are being considered for community leave. </w:t>
      </w:r>
    </w:p>
    <w:p w14:paraId="51A9420A" w14:textId="77777777" w:rsidR="00800D9F" w:rsidRPr="00027237" w:rsidRDefault="00800D9F" w:rsidP="4DD53C4F">
      <w:pPr>
        <w:pStyle w:val="ListParagraph"/>
        <w:rPr>
          <w:rFonts w:ascii="Arial" w:eastAsia="Arial" w:hAnsi="Arial" w:cs="Arial"/>
          <w:color w:val="000000"/>
          <w:sz w:val="22"/>
          <w:szCs w:val="22"/>
          <w:lang w:eastAsia="en-GB"/>
        </w:rPr>
      </w:pPr>
    </w:p>
    <w:p w14:paraId="19FE73B2" w14:textId="5AFA20A5" w:rsidR="00800D9F" w:rsidRPr="00027237" w:rsidRDefault="00800D9F" w:rsidP="4DD53C4F">
      <w:pPr>
        <w:pStyle w:val="ListParagraph"/>
        <w:numPr>
          <w:ilvl w:val="0"/>
          <w:numId w:val="4"/>
        </w:numPr>
        <w:spacing w:before="240"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 xml:space="preserve">If a patient is seeking to vary or reduce an exclusion zone MHCS will expect that the Victim Liaison Officer is consulted prior to any request being submitted. It is unlikely MHCS will approve such a condition change without the view of the </w:t>
      </w:r>
      <w:r w:rsidR="004C2FAB" w:rsidRPr="00027237">
        <w:rPr>
          <w:rFonts w:ascii="Arial" w:eastAsia="Arial" w:hAnsi="Arial" w:cs="Arial"/>
          <w:color w:val="000000" w:themeColor="text1"/>
          <w:sz w:val="22"/>
          <w:szCs w:val="22"/>
          <w:lang w:eastAsia="en-GB"/>
        </w:rPr>
        <w:t>Victim Liaison Officer and the</w:t>
      </w:r>
      <w:r w:rsidR="00555C80" w:rsidRPr="00027237">
        <w:rPr>
          <w:rFonts w:ascii="Arial" w:eastAsia="Arial" w:hAnsi="Arial" w:cs="Arial"/>
          <w:color w:val="000000" w:themeColor="text1"/>
          <w:sz w:val="22"/>
          <w:szCs w:val="22"/>
          <w:lang w:eastAsia="en-GB"/>
        </w:rPr>
        <w:t>reby the</w:t>
      </w:r>
      <w:r w:rsidR="004C2FAB" w:rsidRPr="00027237">
        <w:rPr>
          <w:rFonts w:ascii="Arial" w:eastAsia="Arial" w:hAnsi="Arial" w:cs="Arial"/>
          <w:color w:val="000000" w:themeColor="text1"/>
          <w:sz w:val="22"/>
          <w:szCs w:val="22"/>
          <w:lang w:eastAsia="en-GB"/>
        </w:rPr>
        <w:t xml:space="preserve"> victim(s). MHCS will also need to know if the variation of an exclusion zone is a temporary measure, allowing the patient to </w:t>
      </w:r>
      <w:r w:rsidR="00555C80" w:rsidRPr="00027237">
        <w:rPr>
          <w:rFonts w:ascii="Arial" w:eastAsia="Arial" w:hAnsi="Arial" w:cs="Arial"/>
          <w:color w:val="000000" w:themeColor="text1"/>
          <w:sz w:val="22"/>
          <w:szCs w:val="22"/>
          <w:lang w:eastAsia="en-GB"/>
        </w:rPr>
        <w:t xml:space="preserve">enter the exclusion </w:t>
      </w:r>
      <w:r w:rsidR="004C2FAB" w:rsidRPr="00027237">
        <w:rPr>
          <w:rFonts w:ascii="Arial" w:eastAsia="Arial" w:hAnsi="Arial" w:cs="Arial"/>
          <w:color w:val="000000" w:themeColor="text1"/>
          <w:sz w:val="22"/>
          <w:szCs w:val="22"/>
          <w:lang w:eastAsia="en-GB"/>
        </w:rPr>
        <w:t xml:space="preserve">zone </w:t>
      </w:r>
      <w:r w:rsidR="00555C80" w:rsidRPr="00027237">
        <w:rPr>
          <w:rFonts w:ascii="Arial" w:eastAsia="Arial" w:hAnsi="Arial" w:cs="Arial"/>
          <w:color w:val="000000" w:themeColor="text1"/>
          <w:sz w:val="22"/>
          <w:szCs w:val="22"/>
          <w:lang w:eastAsia="en-GB"/>
        </w:rPr>
        <w:t>for compassionate or compelling reasons, such as seeing an ill or incapacitated close relative</w:t>
      </w:r>
      <w:r w:rsidR="00272958" w:rsidRPr="00027237">
        <w:rPr>
          <w:rFonts w:ascii="Arial" w:eastAsia="Arial" w:hAnsi="Arial" w:cs="Arial"/>
          <w:color w:val="000000" w:themeColor="text1"/>
          <w:sz w:val="22"/>
          <w:szCs w:val="22"/>
          <w:lang w:eastAsia="en-GB"/>
        </w:rPr>
        <w:t>,</w:t>
      </w:r>
      <w:r w:rsidR="00555C80" w:rsidRPr="00027237">
        <w:rPr>
          <w:rFonts w:ascii="Arial" w:eastAsia="Arial" w:hAnsi="Arial" w:cs="Arial"/>
          <w:color w:val="000000" w:themeColor="text1"/>
          <w:sz w:val="22"/>
          <w:szCs w:val="22"/>
          <w:lang w:eastAsia="en-GB"/>
        </w:rPr>
        <w:t xml:space="preserve"> or a permanent request.</w:t>
      </w:r>
      <w:r w:rsidR="004C2FAB" w:rsidRPr="00027237">
        <w:rPr>
          <w:rFonts w:ascii="Arial" w:eastAsia="Arial" w:hAnsi="Arial" w:cs="Arial"/>
          <w:color w:val="000000" w:themeColor="text1"/>
          <w:sz w:val="22"/>
          <w:szCs w:val="22"/>
          <w:lang w:eastAsia="en-GB"/>
        </w:rPr>
        <w:t xml:space="preserve"> </w:t>
      </w:r>
    </w:p>
    <w:p w14:paraId="27BABBC3" w14:textId="77777777" w:rsidR="00555C80" w:rsidRPr="00027237" w:rsidRDefault="00555C80" w:rsidP="4DD53C4F">
      <w:pPr>
        <w:pStyle w:val="ListParagraph"/>
        <w:rPr>
          <w:rFonts w:ascii="Arial" w:eastAsia="Arial" w:hAnsi="Arial" w:cs="Arial"/>
          <w:color w:val="000000"/>
          <w:sz w:val="22"/>
          <w:szCs w:val="22"/>
          <w:lang w:eastAsia="en-GB"/>
        </w:rPr>
      </w:pPr>
    </w:p>
    <w:p w14:paraId="1F129A6B" w14:textId="6392346F" w:rsidR="00555C80" w:rsidRPr="00027237" w:rsidRDefault="00555C80" w:rsidP="4DD53C4F">
      <w:pPr>
        <w:pStyle w:val="ListParagraph"/>
        <w:numPr>
          <w:ilvl w:val="0"/>
          <w:numId w:val="4"/>
        </w:numPr>
        <w:spacing w:before="240"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Permanent changes may include a reduction of the exclusion zone or seeking request for transit through the zone</w:t>
      </w:r>
      <w:r w:rsidR="00EA73C3" w:rsidRPr="00027237">
        <w:rPr>
          <w:rFonts w:ascii="Arial" w:eastAsia="Arial" w:hAnsi="Arial" w:cs="Arial"/>
          <w:color w:val="000000" w:themeColor="text1"/>
          <w:sz w:val="22"/>
          <w:szCs w:val="22"/>
          <w:lang w:eastAsia="en-GB"/>
        </w:rPr>
        <w:t>,</w:t>
      </w:r>
      <w:r w:rsidRPr="00027237">
        <w:rPr>
          <w:rFonts w:ascii="Arial" w:eastAsia="Arial" w:hAnsi="Arial" w:cs="Arial"/>
          <w:color w:val="000000" w:themeColor="text1"/>
          <w:sz w:val="22"/>
          <w:szCs w:val="22"/>
          <w:lang w:eastAsia="en-GB"/>
        </w:rPr>
        <w:t xml:space="preserve"> which may sit across major transport hubs.</w:t>
      </w:r>
      <w:r w:rsidR="00EA73C3" w:rsidRPr="00027237">
        <w:rPr>
          <w:rFonts w:ascii="Arial" w:eastAsia="Arial" w:hAnsi="Arial" w:cs="Arial"/>
          <w:color w:val="000000" w:themeColor="text1"/>
          <w:sz w:val="22"/>
          <w:szCs w:val="22"/>
          <w:lang w:eastAsia="en-GB"/>
        </w:rPr>
        <w:t xml:space="preserve"> Variations to exclusion zones to permit travel will be viewed objectively and in consideration of the effect </w:t>
      </w:r>
      <w:r w:rsidR="00D008E1" w:rsidRPr="00027237">
        <w:rPr>
          <w:rFonts w:ascii="Arial" w:eastAsia="Arial" w:hAnsi="Arial" w:cs="Arial"/>
          <w:color w:val="000000" w:themeColor="text1"/>
          <w:sz w:val="22"/>
          <w:szCs w:val="22"/>
          <w:lang w:eastAsia="en-GB"/>
        </w:rPr>
        <w:t>on</w:t>
      </w:r>
      <w:r w:rsidR="00EA73C3" w:rsidRPr="00027237">
        <w:rPr>
          <w:rFonts w:ascii="Arial" w:eastAsia="Arial" w:hAnsi="Arial" w:cs="Arial"/>
          <w:color w:val="000000" w:themeColor="text1"/>
          <w:sz w:val="22"/>
          <w:szCs w:val="22"/>
          <w:lang w:eastAsia="en-GB"/>
        </w:rPr>
        <w:t xml:space="preserve"> the patient if they cannot travel </w:t>
      </w:r>
      <w:r w:rsidR="009B5E0D" w:rsidRPr="00027237">
        <w:rPr>
          <w:rFonts w:ascii="Arial" w:eastAsia="Arial" w:hAnsi="Arial" w:cs="Arial"/>
          <w:color w:val="000000" w:themeColor="text1"/>
          <w:sz w:val="22"/>
          <w:szCs w:val="22"/>
          <w:lang w:eastAsia="en-GB"/>
        </w:rPr>
        <w:t xml:space="preserve">or </w:t>
      </w:r>
      <w:r w:rsidR="00EA73C3" w:rsidRPr="00027237">
        <w:rPr>
          <w:rFonts w:ascii="Arial" w:eastAsia="Arial" w:hAnsi="Arial" w:cs="Arial"/>
          <w:color w:val="000000" w:themeColor="text1"/>
          <w:sz w:val="22"/>
          <w:szCs w:val="22"/>
          <w:lang w:eastAsia="en-GB"/>
        </w:rPr>
        <w:t>use the transport links in the exclusion zone. However, the</w:t>
      </w:r>
      <w:r w:rsidR="008D31E0" w:rsidRPr="00027237">
        <w:rPr>
          <w:rFonts w:ascii="Arial" w:eastAsia="Arial" w:hAnsi="Arial" w:cs="Arial"/>
          <w:color w:val="000000" w:themeColor="text1"/>
          <w:sz w:val="22"/>
          <w:szCs w:val="22"/>
          <w:lang w:eastAsia="en-GB"/>
        </w:rPr>
        <w:t xml:space="preserve"> community</w:t>
      </w:r>
      <w:r w:rsidR="00EA73C3" w:rsidRPr="00027237">
        <w:rPr>
          <w:rFonts w:ascii="Arial" w:eastAsia="Arial" w:hAnsi="Arial" w:cs="Arial"/>
          <w:color w:val="000000" w:themeColor="text1"/>
          <w:sz w:val="22"/>
          <w:szCs w:val="22"/>
          <w:lang w:eastAsia="en-GB"/>
        </w:rPr>
        <w:t xml:space="preserve"> supervisors will need to specifically set out the effect in terms of time, expense and alternatives, or lack thereof</w:t>
      </w:r>
      <w:r w:rsidR="009B5E0D" w:rsidRPr="00027237">
        <w:rPr>
          <w:rFonts w:ascii="Arial" w:eastAsia="Arial" w:hAnsi="Arial" w:cs="Arial"/>
          <w:color w:val="000000" w:themeColor="text1"/>
          <w:sz w:val="22"/>
          <w:szCs w:val="22"/>
          <w:lang w:eastAsia="en-GB"/>
        </w:rPr>
        <w:t>,</w:t>
      </w:r>
      <w:r w:rsidR="00EA73C3" w:rsidRPr="00027237">
        <w:rPr>
          <w:rFonts w:ascii="Arial" w:eastAsia="Arial" w:hAnsi="Arial" w:cs="Arial"/>
          <w:color w:val="000000" w:themeColor="text1"/>
          <w:sz w:val="22"/>
          <w:szCs w:val="22"/>
          <w:lang w:eastAsia="en-GB"/>
        </w:rPr>
        <w:t xml:space="preserve"> if the patient cannot travel through the exclusion zone. </w:t>
      </w:r>
    </w:p>
    <w:p w14:paraId="120E3386" w14:textId="77777777" w:rsidR="00EA73C3" w:rsidRPr="00027237" w:rsidRDefault="00EA73C3" w:rsidP="4DD53C4F">
      <w:pPr>
        <w:pStyle w:val="ListParagraph"/>
        <w:rPr>
          <w:rFonts w:ascii="Arial" w:eastAsia="Arial" w:hAnsi="Arial" w:cs="Arial"/>
          <w:color w:val="000000"/>
          <w:sz w:val="22"/>
          <w:szCs w:val="22"/>
          <w:lang w:eastAsia="en-GB"/>
        </w:rPr>
      </w:pPr>
    </w:p>
    <w:p w14:paraId="3D583F84" w14:textId="73E9FE45" w:rsidR="000C3C33" w:rsidRPr="00027237" w:rsidRDefault="00EA73C3" w:rsidP="4DD53C4F">
      <w:pPr>
        <w:pStyle w:val="ListParagraph"/>
        <w:numPr>
          <w:ilvl w:val="0"/>
          <w:numId w:val="4"/>
        </w:numPr>
        <w:spacing w:before="240"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Requests for a permanent reduction in exclusion zones are potentially more complex, especially when it has been in place for a</w:t>
      </w:r>
      <w:r w:rsidR="00F778B6" w:rsidRPr="00027237">
        <w:rPr>
          <w:rFonts w:ascii="Arial" w:eastAsia="Arial" w:hAnsi="Arial" w:cs="Arial"/>
          <w:color w:val="000000" w:themeColor="text1"/>
          <w:sz w:val="22"/>
          <w:szCs w:val="22"/>
          <w:lang w:eastAsia="en-GB"/>
        </w:rPr>
        <w:t>n</w:t>
      </w:r>
      <w:r w:rsidRPr="00027237">
        <w:rPr>
          <w:rFonts w:ascii="Arial" w:eastAsia="Arial" w:hAnsi="Arial" w:cs="Arial"/>
          <w:color w:val="000000" w:themeColor="text1"/>
          <w:sz w:val="22"/>
          <w:szCs w:val="22"/>
          <w:lang w:eastAsia="en-GB"/>
        </w:rPr>
        <w:t xml:space="preserve"> extended </w:t>
      </w:r>
      <w:r w:rsidR="2B7FD24D" w:rsidRPr="00027237">
        <w:rPr>
          <w:rFonts w:ascii="Arial" w:eastAsia="Arial" w:hAnsi="Arial" w:cs="Arial"/>
          <w:color w:val="000000" w:themeColor="text1"/>
          <w:sz w:val="22"/>
          <w:szCs w:val="22"/>
          <w:lang w:eastAsia="en-GB"/>
        </w:rPr>
        <w:t>period</w:t>
      </w:r>
      <w:r w:rsidR="004A4DBF" w:rsidRPr="00027237">
        <w:rPr>
          <w:rFonts w:ascii="Arial" w:eastAsia="Arial" w:hAnsi="Arial" w:cs="Arial"/>
          <w:color w:val="000000" w:themeColor="text1"/>
          <w:sz w:val="22"/>
          <w:szCs w:val="22"/>
          <w:lang w:eastAsia="en-GB"/>
        </w:rPr>
        <w:t xml:space="preserve">. The reductions </w:t>
      </w:r>
      <w:r w:rsidR="000C3C33" w:rsidRPr="00027237">
        <w:rPr>
          <w:rFonts w:ascii="Arial" w:eastAsia="Arial" w:hAnsi="Arial" w:cs="Arial"/>
          <w:color w:val="000000" w:themeColor="text1"/>
          <w:sz w:val="22"/>
          <w:szCs w:val="22"/>
          <w:lang w:eastAsia="en-GB"/>
        </w:rPr>
        <w:t xml:space="preserve">in the extent of the exclusion zones </w:t>
      </w:r>
      <w:r w:rsidR="004A4DBF" w:rsidRPr="00027237">
        <w:rPr>
          <w:rFonts w:ascii="Arial" w:eastAsia="Arial" w:hAnsi="Arial" w:cs="Arial"/>
          <w:color w:val="000000" w:themeColor="text1"/>
          <w:sz w:val="22"/>
          <w:szCs w:val="22"/>
          <w:lang w:eastAsia="en-GB"/>
        </w:rPr>
        <w:t xml:space="preserve">will only be considered where evidence is submitted that there has been a substantive change in the victim and the patient’s circumstances </w:t>
      </w:r>
      <w:r w:rsidR="4FEFC40B" w:rsidRPr="00027237">
        <w:rPr>
          <w:rFonts w:ascii="Arial" w:eastAsia="Arial" w:hAnsi="Arial" w:cs="Arial"/>
          <w:color w:val="000000" w:themeColor="text1"/>
          <w:sz w:val="22"/>
          <w:szCs w:val="22"/>
          <w:lang w:eastAsia="en-GB"/>
        </w:rPr>
        <w:t>during</w:t>
      </w:r>
      <w:r w:rsidR="000C3C33" w:rsidRPr="00027237">
        <w:rPr>
          <w:rFonts w:ascii="Arial" w:eastAsia="Arial" w:hAnsi="Arial" w:cs="Arial"/>
          <w:color w:val="000000" w:themeColor="text1"/>
          <w:sz w:val="22"/>
          <w:szCs w:val="22"/>
          <w:lang w:eastAsia="en-GB"/>
        </w:rPr>
        <w:t xml:space="preserve"> the discharge</w:t>
      </w:r>
      <w:r w:rsidR="009B5E0D" w:rsidRPr="00027237">
        <w:rPr>
          <w:rFonts w:ascii="Arial" w:eastAsia="Arial" w:hAnsi="Arial" w:cs="Arial"/>
          <w:color w:val="000000" w:themeColor="text1"/>
          <w:sz w:val="22"/>
          <w:szCs w:val="22"/>
          <w:lang w:eastAsia="en-GB"/>
        </w:rPr>
        <w:t xml:space="preserve"> for</w:t>
      </w:r>
      <w:r w:rsidR="000C3C33" w:rsidRPr="00027237">
        <w:rPr>
          <w:rFonts w:ascii="Arial" w:eastAsia="Arial" w:hAnsi="Arial" w:cs="Arial"/>
          <w:color w:val="000000" w:themeColor="text1"/>
          <w:sz w:val="22"/>
          <w:szCs w:val="22"/>
          <w:lang w:eastAsia="en-GB"/>
        </w:rPr>
        <w:t xml:space="preserve"> MHCS to </w:t>
      </w:r>
      <w:r w:rsidR="009B5E0D" w:rsidRPr="00027237">
        <w:rPr>
          <w:rFonts w:ascii="Arial" w:eastAsia="Arial" w:hAnsi="Arial" w:cs="Arial"/>
          <w:color w:val="000000" w:themeColor="text1"/>
          <w:sz w:val="22"/>
          <w:szCs w:val="22"/>
          <w:lang w:eastAsia="en-GB"/>
        </w:rPr>
        <w:t>consider</w:t>
      </w:r>
      <w:r w:rsidR="000C3C33" w:rsidRPr="00027237">
        <w:rPr>
          <w:rFonts w:ascii="Arial" w:eastAsia="Arial" w:hAnsi="Arial" w:cs="Arial"/>
          <w:color w:val="000000" w:themeColor="text1"/>
          <w:sz w:val="22"/>
          <w:szCs w:val="22"/>
          <w:lang w:eastAsia="en-GB"/>
        </w:rPr>
        <w:t xml:space="preserve"> a change in the exclusion zone. As indicated previously, the passing of time since discharge is not</w:t>
      </w:r>
      <w:r w:rsidR="009B5E0D" w:rsidRPr="00027237">
        <w:rPr>
          <w:rFonts w:ascii="Arial" w:eastAsia="Arial" w:hAnsi="Arial" w:cs="Arial"/>
          <w:color w:val="000000" w:themeColor="text1"/>
          <w:sz w:val="22"/>
          <w:szCs w:val="22"/>
          <w:lang w:eastAsia="en-GB"/>
        </w:rPr>
        <w:t>,</w:t>
      </w:r>
      <w:r w:rsidR="000C3C33" w:rsidRPr="00027237">
        <w:rPr>
          <w:rFonts w:ascii="Arial" w:eastAsia="Arial" w:hAnsi="Arial" w:cs="Arial"/>
          <w:color w:val="000000" w:themeColor="text1"/>
          <w:sz w:val="22"/>
          <w:szCs w:val="22"/>
          <w:lang w:eastAsia="en-GB"/>
        </w:rPr>
        <w:t xml:space="preserve"> in itself</w:t>
      </w:r>
      <w:r w:rsidR="009B5E0D" w:rsidRPr="00027237">
        <w:rPr>
          <w:rFonts w:ascii="Arial" w:eastAsia="Arial" w:hAnsi="Arial" w:cs="Arial"/>
          <w:color w:val="000000" w:themeColor="text1"/>
          <w:sz w:val="22"/>
          <w:szCs w:val="22"/>
          <w:lang w:eastAsia="en-GB"/>
        </w:rPr>
        <w:t>,</w:t>
      </w:r>
      <w:r w:rsidR="000C3C33" w:rsidRPr="00027237">
        <w:rPr>
          <w:rFonts w:ascii="Arial" w:eastAsia="Arial" w:hAnsi="Arial" w:cs="Arial"/>
          <w:color w:val="000000" w:themeColor="text1"/>
          <w:sz w:val="22"/>
          <w:szCs w:val="22"/>
          <w:lang w:eastAsia="en-GB"/>
        </w:rPr>
        <w:t xml:space="preserve"> a sufficient reason to reduce or remove the exclusion zone when this is still considered necessary by the victim(s) or their family.</w:t>
      </w:r>
    </w:p>
    <w:p w14:paraId="7D898371" w14:textId="77777777" w:rsidR="000C3C33" w:rsidRPr="00027237" w:rsidRDefault="000C3C33" w:rsidP="4DD53C4F">
      <w:pPr>
        <w:pStyle w:val="ListParagraph"/>
        <w:rPr>
          <w:rFonts w:ascii="Arial" w:eastAsia="Arial" w:hAnsi="Arial" w:cs="Arial"/>
          <w:color w:val="000000"/>
          <w:sz w:val="22"/>
          <w:szCs w:val="22"/>
          <w:lang w:eastAsia="en-GB"/>
        </w:rPr>
      </w:pPr>
    </w:p>
    <w:p w14:paraId="6ECB8DDC" w14:textId="14B4A753" w:rsidR="00EA73C3" w:rsidRPr="00027237" w:rsidRDefault="004A4DBF" w:rsidP="4DD53C4F">
      <w:pPr>
        <w:pStyle w:val="ListParagraph"/>
        <w:numPr>
          <w:ilvl w:val="0"/>
          <w:numId w:val="4"/>
        </w:numPr>
        <w:spacing w:before="240"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 xml:space="preserve"> </w:t>
      </w:r>
      <w:r w:rsidR="000C3C33" w:rsidRPr="00027237">
        <w:rPr>
          <w:rFonts w:ascii="Arial" w:eastAsia="Arial" w:hAnsi="Arial" w:cs="Arial"/>
          <w:color w:val="000000" w:themeColor="text1"/>
          <w:sz w:val="22"/>
          <w:szCs w:val="22"/>
          <w:lang w:eastAsia="en-GB"/>
        </w:rPr>
        <w:t>MHCS may re-impose exclusion zones that have been previously removed by either the Tribunal or this Department. The re</w:t>
      </w:r>
      <w:r w:rsidR="00F76E58" w:rsidRPr="00027237">
        <w:rPr>
          <w:rFonts w:ascii="Arial" w:eastAsia="Arial" w:hAnsi="Arial" w:cs="Arial"/>
          <w:color w:val="000000" w:themeColor="text1"/>
          <w:sz w:val="22"/>
          <w:szCs w:val="22"/>
          <w:lang w:eastAsia="en-GB"/>
        </w:rPr>
        <w:t>-</w:t>
      </w:r>
      <w:r w:rsidR="000C3C33" w:rsidRPr="00027237">
        <w:rPr>
          <w:rFonts w:ascii="Arial" w:eastAsia="Arial" w:hAnsi="Arial" w:cs="Arial"/>
          <w:color w:val="000000" w:themeColor="text1"/>
          <w:sz w:val="22"/>
          <w:szCs w:val="22"/>
          <w:lang w:eastAsia="en-GB"/>
        </w:rPr>
        <w:t>imposition of exclusion zones that have previously been removed will</w:t>
      </w:r>
      <w:r w:rsidR="007302F0" w:rsidRPr="00027237">
        <w:rPr>
          <w:rFonts w:ascii="Arial" w:eastAsia="Arial" w:hAnsi="Arial" w:cs="Arial"/>
          <w:color w:val="000000" w:themeColor="text1"/>
          <w:sz w:val="22"/>
          <w:szCs w:val="22"/>
          <w:lang w:eastAsia="en-GB"/>
        </w:rPr>
        <w:t xml:space="preserve"> only be done after </w:t>
      </w:r>
      <w:r w:rsidR="0AD244E6" w:rsidRPr="00027237">
        <w:rPr>
          <w:rFonts w:ascii="Arial" w:eastAsia="Arial" w:hAnsi="Arial" w:cs="Arial"/>
          <w:color w:val="000000" w:themeColor="text1"/>
          <w:sz w:val="22"/>
          <w:szCs w:val="22"/>
          <w:lang w:eastAsia="en-GB"/>
        </w:rPr>
        <w:t>thorough</w:t>
      </w:r>
      <w:r w:rsidR="007302F0" w:rsidRPr="00027237">
        <w:rPr>
          <w:rFonts w:ascii="Arial" w:eastAsia="Arial" w:hAnsi="Arial" w:cs="Arial"/>
          <w:color w:val="000000" w:themeColor="text1"/>
          <w:sz w:val="22"/>
          <w:szCs w:val="22"/>
          <w:lang w:eastAsia="en-GB"/>
        </w:rPr>
        <w:t xml:space="preserve"> consideration of the impact this will have on the patient</w:t>
      </w:r>
      <w:r w:rsidR="009B5E0D" w:rsidRPr="00027237">
        <w:rPr>
          <w:rFonts w:ascii="Arial" w:eastAsia="Arial" w:hAnsi="Arial" w:cs="Arial"/>
          <w:color w:val="000000" w:themeColor="text1"/>
          <w:sz w:val="22"/>
          <w:szCs w:val="22"/>
          <w:lang w:eastAsia="en-GB"/>
        </w:rPr>
        <w:t xml:space="preserve"> or the victim</w:t>
      </w:r>
      <w:r w:rsidR="007302F0" w:rsidRPr="00027237">
        <w:rPr>
          <w:rFonts w:ascii="Arial" w:eastAsia="Arial" w:hAnsi="Arial" w:cs="Arial"/>
          <w:color w:val="000000" w:themeColor="text1"/>
          <w:sz w:val="22"/>
          <w:szCs w:val="22"/>
          <w:lang w:eastAsia="en-GB"/>
        </w:rPr>
        <w:t xml:space="preserve"> and the </w:t>
      </w:r>
      <w:r w:rsidR="1272A503" w:rsidRPr="00027237">
        <w:rPr>
          <w:rFonts w:ascii="Arial" w:eastAsia="Arial" w:hAnsi="Arial" w:cs="Arial"/>
          <w:color w:val="000000" w:themeColor="text1"/>
          <w:sz w:val="22"/>
          <w:szCs w:val="22"/>
          <w:lang w:eastAsia="en-GB"/>
        </w:rPr>
        <w:t>social and clinical supervisors</w:t>
      </w:r>
      <w:r w:rsidR="0079150B" w:rsidRPr="00027237">
        <w:rPr>
          <w:rFonts w:ascii="Arial" w:eastAsia="Arial" w:hAnsi="Arial" w:cs="Arial"/>
          <w:color w:val="000000" w:themeColor="text1"/>
          <w:sz w:val="22"/>
          <w:szCs w:val="22"/>
          <w:lang w:eastAsia="en-GB"/>
        </w:rPr>
        <w:t xml:space="preserve"> will be </w:t>
      </w:r>
      <w:r w:rsidR="59708A22" w:rsidRPr="00027237">
        <w:rPr>
          <w:rFonts w:ascii="Arial" w:eastAsia="Arial" w:hAnsi="Arial" w:cs="Arial"/>
          <w:color w:val="000000" w:themeColor="text1"/>
          <w:sz w:val="22"/>
          <w:szCs w:val="22"/>
          <w:lang w:eastAsia="en-GB"/>
        </w:rPr>
        <w:t>required</w:t>
      </w:r>
      <w:r w:rsidR="0079150B" w:rsidRPr="00027237">
        <w:rPr>
          <w:rFonts w:ascii="Arial" w:eastAsia="Arial" w:hAnsi="Arial" w:cs="Arial"/>
          <w:color w:val="000000" w:themeColor="text1"/>
          <w:sz w:val="22"/>
          <w:szCs w:val="22"/>
          <w:lang w:eastAsia="en-GB"/>
        </w:rPr>
        <w:t xml:space="preserve"> to engage with this process. </w:t>
      </w:r>
    </w:p>
    <w:p w14:paraId="670BF2E7" w14:textId="578DC57E" w:rsidR="0079150B" w:rsidRPr="00027237" w:rsidRDefault="0079150B" w:rsidP="009E77B2">
      <w:pPr>
        <w:spacing w:before="240" w:after="231" w:line="249" w:lineRule="auto"/>
        <w:ind w:left="350" w:firstLine="720"/>
        <w:contextualSpacing/>
        <w:rPr>
          <w:rFonts w:eastAsia="Arial"/>
          <w:b/>
          <w:bCs/>
          <w:color w:val="000000"/>
          <w:sz w:val="22"/>
          <w:lang w:eastAsia="en-GB"/>
        </w:rPr>
      </w:pPr>
      <w:bookmarkStart w:id="11" w:name="_Hlk125099192"/>
      <w:r w:rsidRPr="00027237">
        <w:rPr>
          <w:rFonts w:eastAsia="Arial"/>
          <w:b/>
          <w:bCs/>
          <w:color w:val="000000" w:themeColor="text1"/>
          <w:sz w:val="22"/>
          <w:lang w:eastAsia="en-GB"/>
        </w:rPr>
        <w:t>Section 7 – Risk Related Conditions</w:t>
      </w:r>
    </w:p>
    <w:bookmarkEnd w:id="11"/>
    <w:p w14:paraId="29E158D7" w14:textId="407356C5" w:rsidR="002E1CF2" w:rsidRPr="00027237" w:rsidRDefault="002E1CF2" w:rsidP="4DD53C4F">
      <w:pPr>
        <w:spacing w:after="231" w:line="249" w:lineRule="auto"/>
        <w:ind w:left="360"/>
        <w:contextualSpacing/>
        <w:rPr>
          <w:rFonts w:eastAsia="Arial"/>
          <w:color w:val="000000"/>
          <w:sz w:val="22"/>
          <w:lang w:eastAsia="en-GB" w:bidi="ar-SA"/>
        </w:rPr>
      </w:pPr>
    </w:p>
    <w:p w14:paraId="23D49AA3" w14:textId="015B08FA" w:rsidR="0079150B" w:rsidRPr="00027237" w:rsidRDefault="0079150B" w:rsidP="009E77B2">
      <w:pPr>
        <w:spacing w:after="231" w:line="249" w:lineRule="auto"/>
        <w:ind w:left="720" w:firstLine="720"/>
        <w:contextualSpacing/>
        <w:rPr>
          <w:rFonts w:eastAsia="Arial"/>
          <w:color w:val="000000"/>
          <w:sz w:val="22"/>
          <w:lang w:eastAsia="en-GB" w:bidi="ar-SA"/>
        </w:rPr>
      </w:pPr>
      <w:r w:rsidRPr="00027237">
        <w:rPr>
          <w:rFonts w:eastAsia="Arial"/>
          <w:color w:val="000000" w:themeColor="text1"/>
          <w:sz w:val="22"/>
          <w:lang w:eastAsia="en-GB" w:bidi="ar-SA"/>
        </w:rPr>
        <w:t>Substance misuse and testing conditions</w:t>
      </w:r>
    </w:p>
    <w:p w14:paraId="0FE8CC4E" w14:textId="6E164E9C" w:rsidR="0079150B" w:rsidRPr="00027237" w:rsidRDefault="001872F2" w:rsidP="4DD53C4F">
      <w:pPr>
        <w:pStyle w:val="ListParagraph"/>
        <w:numPr>
          <w:ilvl w:val="0"/>
          <w:numId w:val="4"/>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 xml:space="preserve">MHCS will consider the removal of conditions specifying that the patient should be abstinent from alcohol or illicit substances where there is no clear history of substance misuse either prior to detention, when detained and following discharge into the community. </w:t>
      </w:r>
    </w:p>
    <w:p w14:paraId="68D2ACD5" w14:textId="753D5273" w:rsidR="001872F2" w:rsidRPr="00027237" w:rsidRDefault="001872F2" w:rsidP="4DD53C4F">
      <w:pPr>
        <w:pStyle w:val="ListParagraph"/>
        <w:spacing w:after="231" w:line="249" w:lineRule="auto"/>
        <w:ind w:left="1070"/>
        <w:contextualSpacing/>
        <w:rPr>
          <w:rFonts w:ascii="Arial" w:eastAsia="Arial" w:hAnsi="Arial" w:cs="Arial"/>
          <w:color w:val="000000"/>
          <w:sz w:val="22"/>
          <w:szCs w:val="22"/>
          <w:lang w:eastAsia="en-GB"/>
        </w:rPr>
      </w:pPr>
    </w:p>
    <w:p w14:paraId="7F57481E" w14:textId="2208972B" w:rsidR="001872F2" w:rsidRPr="00027237" w:rsidRDefault="001872F2" w:rsidP="4DD53C4F">
      <w:pPr>
        <w:pStyle w:val="ListParagraph"/>
        <w:numPr>
          <w:ilvl w:val="0"/>
          <w:numId w:val="4"/>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 xml:space="preserve">The removal of conditions which require a patient to be abstinent from and to be tested for the use of substances where they have a history of substance misuse, either intermittently or a dependence, will be carefully considered. Where a removal of these conditions is requested MHCS will expect to receive a clear picture of what has changed since discharge to warrant the </w:t>
      </w:r>
      <w:r w:rsidR="009B5E0D" w:rsidRPr="00027237">
        <w:rPr>
          <w:rFonts w:ascii="Arial" w:eastAsia="Arial" w:hAnsi="Arial" w:cs="Arial"/>
          <w:color w:val="000000" w:themeColor="text1"/>
          <w:sz w:val="22"/>
          <w:szCs w:val="22"/>
          <w:lang w:eastAsia="en-GB"/>
        </w:rPr>
        <w:t xml:space="preserve">removal </w:t>
      </w:r>
      <w:r w:rsidRPr="00027237">
        <w:rPr>
          <w:rFonts w:ascii="Arial" w:eastAsia="Arial" w:hAnsi="Arial" w:cs="Arial"/>
          <w:color w:val="000000" w:themeColor="text1"/>
          <w:sz w:val="22"/>
          <w:szCs w:val="22"/>
          <w:lang w:eastAsia="en-GB"/>
        </w:rPr>
        <w:t>of</w:t>
      </w:r>
      <w:r w:rsidR="009B5E0D" w:rsidRPr="00027237">
        <w:rPr>
          <w:rFonts w:ascii="Arial" w:eastAsia="Arial" w:hAnsi="Arial" w:cs="Arial"/>
          <w:color w:val="000000" w:themeColor="text1"/>
          <w:sz w:val="22"/>
          <w:szCs w:val="22"/>
          <w:lang w:eastAsia="en-GB"/>
        </w:rPr>
        <w:t xml:space="preserve"> these</w:t>
      </w:r>
      <w:r w:rsidRPr="00027237">
        <w:rPr>
          <w:rFonts w:ascii="Arial" w:eastAsia="Arial" w:hAnsi="Arial" w:cs="Arial"/>
          <w:color w:val="000000" w:themeColor="text1"/>
          <w:sz w:val="22"/>
          <w:szCs w:val="22"/>
          <w:lang w:eastAsia="en-GB"/>
        </w:rPr>
        <w:t xml:space="preserve"> conditions and whether there will be any form of monitoring to ensure the patient does not revert to substance misuse in the future. </w:t>
      </w:r>
    </w:p>
    <w:p w14:paraId="4147BB69" w14:textId="77777777" w:rsidR="001872F2" w:rsidRPr="00027237" w:rsidRDefault="001872F2" w:rsidP="4DD53C4F">
      <w:pPr>
        <w:pStyle w:val="ListParagraph"/>
        <w:rPr>
          <w:rFonts w:ascii="Arial" w:eastAsia="Arial" w:hAnsi="Arial" w:cs="Arial"/>
          <w:color w:val="000000"/>
          <w:sz w:val="22"/>
          <w:szCs w:val="22"/>
          <w:lang w:eastAsia="en-GB"/>
        </w:rPr>
      </w:pPr>
    </w:p>
    <w:p w14:paraId="76D41572" w14:textId="05BB263E" w:rsidR="001872F2" w:rsidRPr="00027237" w:rsidRDefault="001872F2" w:rsidP="4DD53C4F">
      <w:pPr>
        <w:pStyle w:val="ListParagraph"/>
        <w:numPr>
          <w:ilvl w:val="0"/>
          <w:numId w:val="4"/>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 xml:space="preserve">It is unlikely MHCS will look </w:t>
      </w:r>
      <w:proofErr w:type="spellStart"/>
      <w:r w:rsidRPr="00027237">
        <w:rPr>
          <w:rFonts w:ascii="Arial" w:eastAsia="Arial" w:hAnsi="Arial" w:cs="Arial"/>
          <w:color w:val="000000" w:themeColor="text1"/>
          <w:sz w:val="22"/>
          <w:szCs w:val="22"/>
          <w:lang w:eastAsia="en-GB"/>
        </w:rPr>
        <w:t>favourably</w:t>
      </w:r>
      <w:proofErr w:type="spellEnd"/>
      <w:r w:rsidRPr="00027237">
        <w:rPr>
          <w:rFonts w:ascii="Arial" w:eastAsia="Arial" w:hAnsi="Arial" w:cs="Arial"/>
          <w:color w:val="000000" w:themeColor="text1"/>
          <w:sz w:val="22"/>
          <w:szCs w:val="22"/>
          <w:lang w:eastAsia="en-GB"/>
        </w:rPr>
        <w:t xml:space="preserve"> on a request to remove these conditions simply because the patient seeks to deliberately contravene the conditions.</w:t>
      </w:r>
    </w:p>
    <w:p w14:paraId="38DA0366" w14:textId="77777777" w:rsidR="00F76E58" w:rsidRPr="00027237" w:rsidRDefault="00F76E58" w:rsidP="4DD53C4F">
      <w:pPr>
        <w:pStyle w:val="ListParagraph"/>
        <w:rPr>
          <w:rFonts w:ascii="Arial" w:eastAsia="Arial" w:hAnsi="Arial" w:cs="Arial"/>
          <w:color w:val="000000"/>
          <w:sz w:val="22"/>
          <w:szCs w:val="22"/>
          <w:lang w:eastAsia="en-GB"/>
        </w:rPr>
      </w:pPr>
    </w:p>
    <w:p w14:paraId="77B6BF68" w14:textId="081F0775" w:rsidR="00F76E58" w:rsidRPr="00027237" w:rsidRDefault="00F76E58" w:rsidP="4DD53C4F">
      <w:pPr>
        <w:pStyle w:val="ListParagraph"/>
        <w:numPr>
          <w:ilvl w:val="0"/>
          <w:numId w:val="4"/>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 xml:space="preserve">Where MHCS </w:t>
      </w:r>
      <w:r w:rsidR="3F8BD9AC" w:rsidRPr="00027237">
        <w:rPr>
          <w:rFonts w:ascii="Arial" w:eastAsia="Arial" w:hAnsi="Arial" w:cs="Arial"/>
          <w:color w:val="000000" w:themeColor="text1"/>
          <w:sz w:val="22"/>
          <w:szCs w:val="22"/>
          <w:lang w:eastAsia="en-GB"/>
        </w:rPr>
        <w:t>receives</w:t>
      </w:r>
      <w:r w:rsidRPr="00027237">
        <w:rPr>
          <w:rFonts w:ascii="Arial" w:eastAsia="Arial" w:hAnsi="Arial" w:cs="Arial"/>
          <w:color w:val="000000" w:themeColor="text1"/>
          <w:sz w:val="22"/>
          <w:szCs w:val="22"/>
          <w:lang w:eastAsia="en-GB"/>
        </w:rPr>
        <w:t xml:space="preserve"> a request to remove an abstinence condition related to alcohol it will be for the supervisors to set out why the condition should be removed and what plans are in place to monitor the future consumption of alcohol. To that end, MHCS will </w:t>
      </w:r>
      <w:r w:rsidR="074D8ADF" w:rsidRPr="00027237">
        <w:rPr>
          <w:rFonts w:ascii="Arial" w:eastAsia="Arial" w:hAnsi="Arial" w:cs="Arial"/>
          <w:color w:val="000000" w:themeColor="text1"/>
          <w:sz w:val="22"/>
          <w:szCs w:val="22"/>
          <w:lang w:eastAsia="en-GB"/>
        </w:rPr>
        <w:t>be required</w:t>
      </w:r>
      <w:r w:rsidR="4B5DB60A" w:rsidRPr="00027237">
        <w:rPr>
          <w:rFonts w:ascii="Arial" w:eastAsia="Arial" w:hAnsi="Arial" w:cs="Arial"/>
          <w:color w:val="000000" w:themeColor="text1"/>
          <w:sz w:val="22"/>
          <w:szCs w:val="22"/>
          <w:lang w:eastAsia="en-GB"/>
        </w:rPr>
        <w:t xml:space="preserve"> </w:t>
      </w:r>
      <w:r w:rsidRPr="00027237">
        <w:rPr>
          <w:rFonts w:ascii="Arial" w:eastAsia="Arial" w:hAnsi="Arial" w:cs="Arial"/>
          <w:color w:val="000000" w:themeColor="text1"/>
          <w:sz w:val="22"/>
          <w:szCs w:val="22"/>
          <w:lang w:eastAsia="en-GB"/>
        </w:rPr>
        <w:t xml:space="preserve">to see a plan to monitor or limit the consumption of alcohol in the future. It would additionally be helpful for the supervisors to specify the </w:t>
      </w:r>
      <w:r w:rsidR="1AFEE30B" w:rsidRPr="00027237">
        <w:rPr>
          <w:rFonts w:ascii="Arial" w:eastAsia="Arial" w:hAnsi="Arial" w:cs="Arial"/>
          <w:color w:val="000000" w:themeColor="text1"/>
          <w:sz w:val="22"/>
          <w:szCs w:val="22"/>
          <w:lang w:eastAsia="en-GB"/>
        </w:rPr>
        <w:t>outcome</w:t>
      </w:r>
      <w:r w:rsidRPr="00027237">
        <w:rPr>
          <w:rFonts w:ascii="Arial" w:eastAsia="Arial" w:hAnsi="Arial" w:cs="Arial"/>
          <w:color w:val="000000" w:themeColor="text1"/>
          <w:sz w:val="22"/>
          <w:szCs w:val="22"/>
          <w:lang w:eastAsia="en-GB"/>
        </w:rPr>
        <w:t xml:space="preserve"> if such a request is refused. For example, would a refusal lead to the patient covertly consuming alcohol </w:t>
      </w:r>
      <w:r w:rsidR="00150089" w:rsidRPr="00027237">
        <w:rPr>
          <w:rFonts w:ascii="Arial" w:eastAsia="Arial" w:hAnsi="Arial" w:cs="Arial"/>
          <w:color w:val="000000" w:themeColor="text1"/>
          <w:sz w:val="22"/>
          <w:szCs w:val="22"/>
          <w:lang w:eastAsia="en-GB"/>
        </w:rPr>
        <w:t>and thereby subverting supervision which could lead to concerns about a potential increase in risk</w:t>
      </w:r>
      <w:r w:rsidR="009B5E0D" w:rsidRPr="00027237">
        <w:rPr>
          <w:rFonts w:ascii="Arial" w:eastAsia="Arial" w:hAnsi="Arial" w:cs="Arial"/>
          <w:color w:val="000000" w:themeColor="text1"/>
          <w:sz w:val="22"/>
          <w:szCs w:val="22"/>
          <w:lang w:eastAsia="en-GB"/>
        </w:rPr>
        <w:t>?</w:t>
      </w:r>
    </w:p>
    <w:p w14:paraId="2DE2236D" w14:textId="77777777" w:rsidR="00150089" w:rsidRPr="00027237" w:rsidRDefault="00150089" w:rsidP="4DD53C4F">
      <w:pPr>
        <w:pStyle w:val="ListParagraph"/>
        <w:rPr>
          <w:rFonts w:ascii="Arial" w:eastAsia="Arial" w:hAnsi="Arial" w:cs="Arial"/>
          <w:color w:val="000000"/>
          <w:sz w:val="22"/>
          <w:szCs w:val="22"/>
          <w:lang w:eastAsia="en-GB"/>
        </w:rPr>
      </w:pPr>
    </w:p>
    <w:p w14:paraId="1E57EB14" w14:textId="0CF74221" w:rsidR="00150089" w:rsidRPr="00027237" w:rsidRDefault="00150089" w:rsidP="4DD53C4F">
      <w:pPr>
        <w:pStyle w:val="ListParagraph"/>
        <w:numPr>
          <w:ilvl w:val="0"/>
          <w:numId w:val="4"/>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 xml:space="preserve">The use of drug or alcohol tests is a primary monitoring tool for confirming that a patient remains abstinent from these potential </w:t>
      </w:r>
      <w:proofErr w:type="spellStart"/>
      <w:r w:rsidRPr="00027237">
        <w:rPr>
          <w:rFonts w:ascii="Arial" w:eastAsia="Arial" w:hAnsi="Arial" w:cs="Arial"/>
          <w:color w:val="000000" w:themeColor="text1"/>
          <w:sz w:val="22"/>
          <w:szCs w:val="22"/>
          <w:lang w:eastAsia="en-GB"/>
        </w:rPr>
        <w:t>d</w:t>
      </w:r>
      <w:r w:rsidR="660F7D26" w:rsidRPr="00027237">
        <w:rPr>
          <w:rFonts w:ascii="Arial" w:eastAsia="Arial" w:hAnsi="Arial" w:cs="Arial"/>
          <w:color w:val="000000" w:themeColor="text1"/>
          <w:sz w:val="22"/>
          <w:szCs w:val="22"/>
          <w:lang w:eastAsia="en-GB"/>
        </w:rPr>
        <w:t>e</w:t>
      </w:r>
      <w:r w:rsidRPr="00027237">
        <w:rPr>
          <w:rFonts w:ascii="Arial" w:eastAsia="Arial" w:hAnsi="Arial" w:cs="Arial"/>
          <w:color w:val="000000" w:themeColor="text1"/>
          <w:sz w:val="22"/>
          <w:szCs w:val="22"/>
          <w:lang w:eastAsia="en-GB"/>
        </w:rPr>
        <w:t>stabilisers</w:t>
      </w:r>
      <w:proofErr w:type="spellEnd"/>
      <w:r w:rsidRPr="00027237">
        <w:rPr>
          <w:rFonts w:ascii="Arial" w:eastAsia="Arial" w:hAnsi="Arial" w:cs="Arial"/>
          <w:color w:val="000000" w:themeColor="text1"/>
          <w:sz w:val="22"/>
          <w:szCs w:val="22"/>
          <w:lang w:eastAsia="en-GB"/>
        </w:rPr>
        <w:t xml:space="preserve">. The removal of such conditions would normally go in hand with the removal of any substance misuse related condition. Where requests for removing the testing condition, but not an abstinence condition, is made MHCS will </w:t>
      </w:r>
      <w:r w:rsidR="009B5E0D" w:rsidRPr="00027237">
        <w:rPr>
          <w:rFonts w:ascii="Arial" w:eastAsia="Arial" w:hAnsi="Arial" w:cs="Arial"/>
          <w:color w:val="000000" w:themeColor="text1"/>
          <w:sz w:val="22"/>
          <w:szCs w:val="22"/>
          <w:lang w:eastAsia="en-GB"/>
        </w:rPr>
        <w:t xml:space="preserve">request </w:t>
      </w:r>
      <w:r w:rsidRPr="00027237">
        <w:rPr>
          <w:rFonts w:ascii="Arial" w:eastAsia="Arial" w:hAnsi="Arial" w:cs="Arial"/>
          <w:color w:val="000000" w:themeColor="text1"/>
          <w:sz w:val="22"/>
          <w:szCs w:val="22"/>
          <w:lang w:eastAsia="en-GB"/>
        </w:rPr>
        <w:t>information about how the monitoring of continued abstinence will continue. It is of note that the frequency of substance misuse testing is rarely</w:t>
      </w:r>
      <w:r w:rsidR="39A9756A" w:rsidRPr="00027237">
        <w:rPr>
          <w:rFonts w:ascii="Arial" w:eastAsia="Arial" w:hAnsi="Arial" w:cs="Arial"/>
          <w:color w:val="000000" w:themeColor="text1"/>
          <w:sz w:val="22"/>
          <w:szCs w:val="22"/>
          <w:lang w:eastAsia="en-GB"/>
        </w:rPr>
        <w:t>,</w:t>
      </w:r>
      <w:r w:rsidRPr="00027237">
        <w:rPr>
          <w:rFonts w:ascii="Arial" w:eastAsia="Arial" w:hAnsi="Arial" w:cs="Arial"/>
          <w:color w:val="000000" w:themeColor="text1"/>
          <w:sz w:val="22"/>
          <w:szCs w:val="22"/>
          <w:lang w:eastAsia="en-GB"/>
        </w:rPr>
        <w:t xml:space="preserve"> if ever</w:t>
      </w:r>
      <w:r w:rsidR="7ACDE042" w:rsidRPr="00027237">
        <w:rPr>
          <w:rFonts w:ascii="Arial" w:eastAsia="Arial" w:hAnsi="Arial" w:cs="Arial"/>
          <w:color w:val="000000" w:themeColor="text1"/>
          <w:sz w:val="22"/>
          <w:szCs w:val="22"/>
          <w:lang w:eastAsia="en-GB"/>
        </w:rPr>
        <w:t>,</w:t>
      </w:r>
      <w:r w:rsidRPr="00027237">
        <w:rPr>
          <w:rFonts w:ascii="Arial" w:eastAsia="Arial" w:hAnsi="Arial" w:cs="Arial"/>
          <w:color w:val="000000" w:themeColor="text1"/>
          <w:sz w:val="22"/>
          <w:szCs w:val="22"/>
          <w:lang w:eastAsia="en-GB"/>
        </w:rPr>
        <w:t xml:space="preserve"> specified in conditions and this is left to the </w:t>
      </w:r>
      <w:r w:rsidR="7BF78B04" w:rsidRPr="00027237">
        <w:rPr>
          <w:rFonts w:ascii="Arial" w:eastAsia="Arial" w:hAnsi="Arial" w:cs="Arial"/>
          <w:color w:val="000000" w:themeColor="text1"/>
          <w:sz w:val="22"/>
          <w:szCs w:val="22"/>
          <w:lang w:eastAsia="en-GB"/>
        </w:rPr>
        <w:t>social and clinical supervisors</w:t>
      </w:r>
      <w:r w:rsidR="00DD1FDA" w:rsidRPr="00027237">
        <w:rPr>
          <w:rFonts w:ascii="Arial" w:eastAsia="Arial" w:hAnsi="Arial" w:cs="Arial"/>
          <w:color w:val="000000" w:themeColor="text1"/>
          <w:sz w:val="22"/>
          <w:szCs w:val="22"/>
          <w:lang w:eastAsia="en-GB"/>
        </w:rPr>
        <w:t xml:space="preserve"> to determine in line with the patient’s presentation of risk. </w:t>
      </w:r>
    </w:p>
    <w:p w14:paraId="04A1FE9B" w14:textId="1771928A" w:rsidR="00150089" w:rsidRPr="00027237" w:rsidRDefault="00150089" w:rsidP="009E77B2">
      <w:pPr>
        <w:spacing w:after="231" w:line="249" w:lineRule="auto"/>
        <w:ind w:left="720" w:firstLine="720"/>
        <w:contextualSpacing/>
        <w:rPr>
          <w:rFonts w:eastAsia="Arial"/>
          <w:color w:val="000000"/>
          <w:sz w:val="22"/>
          <w:lang w:eastAsia="en-GB"/>
        </w:rPr>
      </w:pPr>
      <w:r w:rsidRPr="00027237">
        <w:rPr>
          <w:rFonts w:eastAsia="Arial"/>
          <w:color w:val="000000" w:themeColor="text1"/>
          <w:sz w:val="22"/>
          <w:lang w:eastAsia="en-GB"/>
        </w:rPr>
        <w:t xml:space="preserve">Weapons </w:t>
      </w:r>
    </w:p>
    <w:p w14:paraId="7B0F7831" w14:textId="1B82FB9F" w:rsidR="00150089" w:rsidRPr="00027237" w:rsidRDefault="00150089" w:rsidP="4DD53C4F">
      <w:pPr>
        <w:spacing w:after="231" w:line="249" w:lineRule="auto"/>
        <w:contextualSpacing/>
        <w:rPr>
          <w:rFonts w:eastAsia="Arial"/>
          <w:color w:val="000000"/>
          <w:sz w:val="22"/>
          <w:lang w:eastAsia="en-GB"/>
        </w:rPr>
      </w:pPr>
    </w:p>
    <w:p w14:paraId="0AFBB425" w14:textId="31430384" w:rsidR="00150089" w:rsidRPr="00027237" w:rsidRDefault="00150089" w:rsidP="4DD53C4F">
      <w:pPr>
        <w:pStyle w:val="ListParagraph"/>
        <w:numPr>
          <w:ilvl w:val="0"/>
          <w:numId w:val="4"/>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 xml:space="preserve">Conditions related to weapons are generally imposed where the patient has a previous conviction for firearms offences, carrying knives or </w:t>
      </w:r>
      <w:r w:rsidR="00602140" w:rsidRPr="00027237">
        <w:rPr>
          <w:rFonts w:ascii="Arial" w:eastAsia="Arial" w:hAnsi="Arial" w:cs="Arial"/>
          <w:color w:val="000000" w:themeColor="text1"/>
          <w:sz w:val="22"/>
          <w:szCs w:val="22"/>
          <w:lang w:eastAsia="en-GB"/>
        </w:rPr>
        <w:t xml:space="preserve">any implement that could harm others. It will ordinarily be the case that such conditions are added over the course of a discharge to manage or monitor an escalating risk. </w:t>
      </w:r>
    </w:p>
    <w:p w14:paraId="2CF452CB" w14:textId="23DC1414" w:rsidR="00602140" w:rsidRPr="00027237" w:rsidRDefault="00602140" w:rsidP="4DD53C4F">
      <w:pPr>
        <w:pStyle w:val="ListParagraph"/>
        <w:spacing w:after="231" w:line="249" w:lineRule="auto"/>
        <w:ind w:left="1070"/>
        <w:contextualSpacing/>
        <w:rPr>
          <w:rFonts w:ascii="Arial" w:eastAsia="Arial" w:hAnsi="Arial" w:cs="Arial"/>
          <w:color w:val="000000"/>
          <w:sz w:val="22"/>
          <w:szCs w:val="22"/>
          <w:lang w:eastAsia="en-GB"/>
        </w:rPr>
      </w:pPr>
    </w:p>
    <w:p w14:paraId="15DBB25E" w14:textId="3F01E9D5" w:rsidR="00602140" w:rsidRPr="00027237" w:rsidRDefault="00602140" w:rsidP="4DD53C4F">
      <w:pPr>
        <w:pStyle w:val="ListParagraph"/>
        <w:numPr>
          <w:ilvl w:val="0"/>
          <w:numId w:val="4"/>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Requests may be submitted for patients to possess bladed articles where this is required as part of a profession, such as a ‘</w:t>
      </w:r>
      <w:r w:rsidR="009646E3" w:rsidRPr="00027237">
        <w:rPr>
          <w:rFonts w:ascii="Arial" w:eastAsia="Arial" w:hAnsi="Arial" w:cs="Arial"/>
          <w:color w:val="000000" w:themeColor="text1"/>
          <w:sz w:val="22"/>
          <w:szCs w:val="22"/>
          <w:lang w:eastAsia="en-GB"/>
        </w:rPr>
        <w:t>S</w:t>
      </w:r>
      <w:r w:rsidRPr="00027237">
        <w:rPr>
          <w:rFonts w:ascii="Arial" w:eastAsia="Arial" w:hAnsi="Arial" w:cs="Arial"/>
          <w:color w:val="000000" w:themeColor="text1"/>
          <w:sz w:val="22"/>
          <w:szCs w:val="22"/>
          <w:lang w:eastAsia="en-GB"/>
        </w:rPr>
        <w:t xml:space="preserve">tanley knife’ for a carpet fitter. </w:t>
      </w:r>
      <w:r w:rsidR="00B61E75" w:rsidRPr="00027237">
        <w:rPr>
          <w:rFonts w:ascii="Arial" w:eastAsia="Arial" w:hAnsi="Arial" w:cs="Arial"/>
          <w:color w:val="000000" w:themeColor="text1"/>
          <w:sz w:val="22"/>
          <w:szCs w:val="22"/>
          <w:lang w:eastAsia="en-GB"/>
        </w:rPr>
        <w:t>I</w:t>
      </w:r>
      <w:r w:rsidRPr="00027237">
        <w:rPr>
          <w:rFonts w:ascii="Arial" w:eastAsia="Arial" w:hAnsi="Arial" w:cs="Arial"/>
          <w:color w:val="000000" w:themeColor="text1"/>
          <w:sz w:val="22"/>
          <w:szCs w:val="22"/>
          <w:lang w:eastAsia="en-GB"/>
        </w:rPr>
        <w:t xml:space="preserve">nformation will </w:t>
      </w:r>
      <w:r w:rsidR="00B61E75" w:rsidRPr="00027237">
        <w:rPr>
          <w:rFonts w:ascii="Arial" w:eastAsia="Arial" w:hAnsi="Arial" w:cs="Arial"/>
          <w:color w:val="000000" w:themeColor="text1"/>
          <w:sz w:val="22"/>
          <w:szCs w:val="22"/>
          <w:lang w:eastAsia="en-GB"/>
        </w:rPr>
        <w:t xml:space="preserve">be required </w:t>
      </w:r>
      <w:r w:rsidRPr="00027237">
        <w:rPr>
          <w:rFonts w:ascii="Arial" w:eastAsia="Arial" w:hAnsi="Arial" w:cs="Arial"/>
          <w:color w:val="000000" w:themeColor="text1"/>
          <w:sz w:val="22"/>
          <w:szCs w:val="22"/>
          <w:lang w:eastAsia="en-GB"/>
        </w:rPr>
        <w:t xml:space="preserve">for any scenario where a patient </w:t>
      </w:r>
      <w:r w:rsidR="00B61E75" w:rsidRPr="00027237">
        <w:rPr>
          <w:rFonts w:ascii="Arial" w:eastAsia="Arial" w:hAnsi="Arial" w:cs="Arial"/>
          <w:color w:val="000000" w:themeColor="text1"/>
          <w:sz w:val="22"/>
          <w:szCs w:val="22"/>
          <w:lang w:eastAsia="en-GB"/>
        </w:rPr>
        <w:t>requires</w:t>
      </w:r>
      <w:r w:rsidRPr="00027237">
        <w:rPr>
          <w:rFonts w:ascii="Arial" w:eastAsia="Arial" w:hAnsi="Arial" w:cs="Arial"/>
          <w:color w:val="000000" w:themeColor="text1"/>
          <w:sz w:val="22"/>
          <w:szCs w:val="22"/>
          <w:lang w:eastAsia="en-GB"/>
        </w:rPr>
        <w:t xml:space="preserve"> to be in possession of or carrying a knife or bladed article outside their accommodation or their professional business. </w:t>
      </w:r>
    </w:p>
    <w:p w14:paraId="6C6707EB" w14:textId="77777777" w:rsidR="00602140" w:rsidRPr="00027237" w:rsidRDefault="00602140" w:rsidP="4DD53C4F">
      <w:pPr>
        <w:pStyle w:val="ListParagraph"/>
        <w:rPr>
          <w:rFonts w:ascii="Arial" w:eastAsia="Arial" w:hAnsi="Arial" w:cs="Arial"/>
          <w:color w:val="000000"/>
          <w:sz w:val="22"/>
          <w:szCs w:val="22"/>
          <w:lang w:eastAsia="en-GB"/>
        </w:rPr>
      </w:pPr>
    </w:p>
    <w:p w14:paraId="03764CA5" w14:textId="582EB371" w:rsidR="00602140" w:rsidRPr="00027237" w:rsidRDefault="00602140" w:rsidP="4DD53C4F">
      <w:pPr>
        <w:pStyle w:val="ListParagraph"/>
        <w:numPr>
          <w:ilvl w:val="0"/>
          <w:numId w:val="4"/>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 xml:space="preserve">Possession of any form of firearm be that a replica, deactivated or a </w:t>
      </w:r>
      <w:proofErr w:type="spellStart"/>
      <w:r w:rsidRPr="00027237">
        <w:rPr>
          <w:rFonts w:ascii="Arial" w:eastAsia="Arial" w:hAnsi="Arial" w:cs="Arial"/>
          <w:color w:val="000000" w:themeColor="text1"/>
          <w:sz w:val="22"/>
          <w:szCs w:val="22"/>
          <w:lang w:eastAsia="en-GB"/>
        </w:rPr>
        <w:t>licenced</w:t>
      </w:r>
      <w:proofErr w:type="spellEnd"/>
      <w:r w:rsidRPr="00027237">
        <w:rPr>
          <w:rFonts w:ascii="Arial" w:eastAsia="Arial" w:hAnsi="Arial" w:cs="Arial"/>
          <w:color w:val="000000" w:themeColor="text1"/>
          <w:sz w:val="22"/>
          <w:szCs w:val="22"/>
          <w:lang w:eastAsia="en-GB"/>
        </w:rPr>
        <w:t xml:space="preserve"> firearm by a restricted patient would be rare and concerning. However, MHCS will consider the removal of such a condition where the possession of </w:t>
      </w:r>
      <w:r w:rsidR="00582C90" w:rsidRPr="00027237">
        <w:rPr>
          <w:rFonts w:ascii="Arial" w:eastAsia="Arial" w:hAnsi="Arial" w:cs="Arial"/>
          <w:color w:val="000000" w:themeColor="text1"/>
          <w:sz w:val="22"/>
          <w:szCs w:val="22"/>
          <w:lang w:eastAsia="en-GB"/>
        </w:rPr>
        <w:t xml:space="preserve">a firearm is for the purposes of a regulated sport (target shooting or </w:t>
      </w:r>
      <w:proofErr w:type="gramStart"/>
      <w:r w:rsidR="00582C90" w:rsidRPr="00027237">
        <w:rPr>
          <w:rFonts w:ascii="Arial" w:eastAsia="Arial" w:hAnsi="Arial" w:cs="Arial"/>
          <w:color w:val="000000" w:themeColor="text1"/>
          <w:sz w:val="22"/>
          <w:szCs w:val="22"/>
          <w:lang w:eastAsia="en-GB"/>
        </w:rPr>
        <w:t>paint-balling</w:t>
      </w:r>
      <w:proofErr w:type="gramEnd"/>
      <w:r w:rsidR="00582C90" w:rsidRPr="00027237">
        <w:rPr>
          <w:rFonts w:ascii="Arial" w:eastAsia="Arial" w:hAnsi="Arial" w:cs="Arial"/>
          <w:color w:val="000000" w:themeColor="text1"/>
          <w:sz w:val="22"/>
          <w:szCs w:val="22"/>
          <w:lang w:eastAsia="en-GB"/>
        </w:rPr>
        <w:t xml:space="preserve">) or for other purposes such as historical re-enactment. MHCS will expect the local police to be consulted about or alerted to any restricted patient being in possession of any firearm or the case referred to MAPPA, where the patient is managed at Level 2/3. </w:t>
      </w:r>
    </w:p>
    <w:p w14:paraId="5BE8A81A" w14:textId="77777777" w:rsidR="00582C90" w:rsidRPr="00027237" w:rsidRDefault="00582C90" w:rsidP="4DD53C4F">
      <w:pPr>
        <w:pStyle w:val="ListParagraph"/>
        <w:rPr>
          <w:rFonts w:ascii="Arial" w:eastAsia="Arial" w:hAnsi="Arial" w:cs="Arial"/>
          <w:color w:val="000000"/>
          <w:sz w:val="22"/>
          <w:szCs w:val="22"/>
          <w:lang w:eastAsia="en-GB"/>
        </w:rPr>
      </w:pPr>
    </w:p>
    <w:p w14:paraId="4DCB52F5" w14:textId="37F0853F" w:rsidR="00582C90" w:rsidRPr="00027237" w:rsidRDefault="00582C90" w:rsidP="009E77B2">
      <w:pPr>
        <w:pStyle w:val="ListParagraph"/>
        <w:spacing w:after="231" w:line="249" w:lineRule="auto"/>
        <w:ind w:left="1070" w:firstLine="370"/>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Terrorist/Extremism Related conditions</w:t>
      </w:r>
    </w:p>
    <w:p w14:paraId="4E149FF7" w14:textId="77777777" w:rsidR="00582C90" w:rsidRPr="00027237" w:rsidRDefault="00582C90" w:rsidP="4DD53C4F">
      <w:pPr>
        <w:pStyle w:val="ListParagraph"/>
        <w:spacing w:after="231" w:line="249" w:lineRule="auto"/>
        <w:ind w:left="1070"/>
        <w:contextualSpacing/>
        <w:rPr>
          <w:rFonts w:ascii="Arial" w:eastAsia="Arial" w:hAnsi="Arial" w:cs="Arial"/>
          <w:color w:val="000000"/>
          <w:sz w:val="22"/>
          <w:szCs w:val="22"/>
          <w:lang w:eastAsia="en-GB"/>
        </w:rPr>
      </w:pPr>
    </w:p>
    <w:p w14:paraId="65564B0D" w14:textId="55553BAA" w:rsidR="00E66808" w:rsidRPr="00027237" w:rsidRDefault="00582C90" w:rsidP="4DD53C4F">
      <w:pPr>
        <w:pStyle w:val="ListParagraph"/>
        <w:numPr>
          <w:ilvl w:val="0"/>
          <w:numId w:val="4"/>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Conditions which require additional and heightened levels of monitoring due to an extremist or terrorist risk are likely to have been subject extensive discussion prior to any discharge. Therefore, any request to remove or amend such conditions should not be submitted unless MAPPA have been informed of the request or other agencies who are responsible for the oversight of terrorist convicted or connected patients.</w:t>
      </w:r>
    </w:p>
    <w:p w14:paraId="41DECBD0" w14:textId="77777777" w:rsidR="00E66808" w:rsidRPr="00027237" w:rsidRDefault="00E66808" w:rsidP="4DD53C4F">
      <w:pPr>
        <w:pStyle w:val="ListParagraph"/>
        <w:spacing w:after="231" w:line="249" w:lineRule="auto"/>
        <w:ind w:left="1070"/>
        <w:contextualSpacing/>
        <w:rPr>
          <w:rFonts w:ascii="Arial" w:eastAsia="Arial" w:hAnsi="Arial" w:cs="Arial"/>
          <w:color w:val="000000"/>
          <w:sz w:val="22"/>
          <w:szCs w:val="22"/>
          <w:lang w:eastAsia="en-GB"/>
        </w:rPr>
      </w:pPr>
    </w:p>
    <w:p w14:paraId="38A8811E" w14:textId="7136D908" w:rsidR="00E66808" w:rsidRPr="00027237" w:rsidRDefault="00E66808" w:rsidP="4DD53C4F">
      <w:pPr>
        <w:pStyle w:val="ListParagraph"/>
        <w:numPr>
          <w:ilvl w:val="0"/>
          <w:numId w:val="4"/>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Conversely when such conditions are being requested for the first time MHCS will wish to see that MAPPA are consulted or where the request originates from MAPPA</w:t>
      </w:r>
      <w:r w:rsidR="4B43CA02" w:rsidRPr="00027237">
        <w:rPr>
          <w:rFonts w:ascii="Arial" w:eastAsia="Arial" w:hAnsi="Arial" w:cs="Arial"/>
          <w:color w:val="000000" w:themeColor="text1"/>
          <w:sz w:val="22"/>
          <w:szCs w:val="22"/>
          <w:lang w:eastAsia="en-GB"/>
        </w:rPr>
        <w:t xml:space="preserve"> a meeting is convened discuss those conditions. </w:t>
      </w:r>
    </w:p>
    <w:p w14:paraId="5A9CE04A" w14:textId="77777777" w:rsidR="00180CD8" w:rsidRPr="00027237" w:rsidRDefault="00180CD8" w:rsidP="4DD53C4F">
      <w:pPr>
        <w:pStyle w:val="ListParagraph"/>
        <w:rPr>
          <w:rFonts w:ascii="Arial" w:eastAsia="Arial" w:hAnsi="Arial" w:cs="Arial"/>
          <w:color w:val="000000"/>
          <w:sz w:val="22"/>
          <w:szCs w:val="22"/>
          <w:lang w:eastAsia="en-GB"/>
        </w:rPr>
      </w:pPr>
    </w:p>
    <w:p w14:paraId="00D3DB9E" w14:textId="70523E87" w:rsidR="00180CD8" w:rsidRPr="00027237" w:rsidRDefault="00180CD8" w:rsidP="009E77B2">
      <w:pPr>
        <w:pStyle w:val="ListParagraph"/>
        <w:spacing w:after="231" w:line="249" w:lineRule="auto"/>
        <w:ind w:left="1070" w:firstLine="370"/>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Arson/Fire setting</w:t>
      </w:r>
    </w:p>
    <w:p w14:paraId="1E35AB98" w14:textId="0C04A516" w:rsidR="00180CD8" w:rsidRPr="00027237" w:rsidRDefault="00180CD8" w:rsidP="4DD53C4F">
      <w:pPr>
        <w:pStyle w:val="ListParagraph"/>
        <w:spacing w:after="231" w:line="249" w:lineRule="auto"/>
        <w:ind w:left="1070"/>
        <w:contextualSpacing/>
        <w:rPr>
          <w:rFonts w:ascii="Arial" w:eastAsia="Arial" w:hAnsi="Arial" w:cs="Arial"/>
          <w:color w:val="000000"/>
          <w:sz w:val="22"/>
          <w:szCs w:val="22"/>
          <w:lang w:eastAsia="en-GB"/>
        </w:rPr>
      </w:pPr>
    </w:p>
    <w:p w14:paraId="1536AD41" w14:textId="612FAF19" w:rsidR="0078488C" w:rsidRPr="00027237" w:rsidRDefault="00180CD8" w:rsidP="4DD53C4F">
      <w:pPr>
        <w:pStyle w:val="ListParagraph"/>
        <w:numPr>
          <w:ilvl w:val="0"/>
          <w:numId w:val="4"/>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 xml:space="preserve">Where these conditions remain </w:t>
      </w:r>
      <w:proofErr w:type="gramStart"/>
      <w:r w:rsidRPr="00027237">
        <w:rPr>
          <w:rFonts w:ascii="Arial" w:eastAsia="Arial" w:hAnsi="Arial" w:cs="Arial"/>
          <w:color w:val="000000" w:themeColor="text1"/>
          <w:sz w:val="22"/>
          <w:szCs w:val="22"/>
          <w:lang w:eastAsia="en-GB"/>
        </w:rPr>
        <w:t>relevant</w:t>
      </w:r>
      <w:proofErr w:type="gramEnd"/>
      <w:r w:rsidRPr="00027237">
        <w:rPr>
          <w:rFonts w:ascii="Arial" w:eastAsia="Arial" w:hAnsi="Arial" w:cs="Arial"/>
          <w:color w:val="000000" w:themeColor="text1"/>
          <w:sz w:val="22"/>
          <w:szCs w:val="22"/>
          <w:lang w:eastAsia="en-GB"/>
        </w:rPr>
        <w:t xml:space="preserve"> they should remain in place. MHCS accepts that patients who are living independently cannot have access to fire-setting materials restricted as easily as those in supported accommodation</w:t>
      </w:r>
      <w:r w:rsidR="009E5967" w:rsidRPr="00027237">
        <w:rPr>
          <w:rFonts w:ascii="Arial" w:eastAsia="Arial" w:hAnsi="Arial" w:cs="Arial"/>
          <w:color w:val="000000" w:themeColor="text1"/>
          <w:sz w:val="22"/>
          <w:szCs w:val="22"/>
          <w:lang w:eastAsia="en-GB"/>
        </w:rPr>
        <w:t xml:space="preserve">. However, the community team should consider obvious signs of </w:t>
      </w:r>
      <w:r w:rsidR="00F00AD8" w:rsidRPr="00027237">
        <w:rPr>
          <w:rFonts w:ascii="Arial" w:eastAsia="Arial" w:hAnsi="Arial" w:cs="Arial"/>
          <w:color w:val="000000" w:themeColor="text1"/>
          <w:sz w:val="22"/>
          <w:szCs w:val="22"/>
          <w:lang w:eastAsia="en-GB"/>
        </w:rPr>
        <w:t xml:space="preserve">the accumulation of fire setting materials or accelerants as a sufficient concern to seek the imposition of such a condition or advice from MHCS about whether recall is necessary. </w:t>
      </w:r>
      <w:r w:rsidR="009E5967" w:rsidRPr="00027237">
        <w:rPr>
          <w:rFonts w:ascii="Arial" w:eastAsia="Arial" w:hAnsi="Arial" w:cs="Arial"/>
          <w:color w:val="000000" w:themeColor="text1"/>
          <w:sz w:val="22"/>
          <w:szCs w:val="22"/>
          <w:lang w:eastAsia="en-GB"/>
        </w:rPr>
        <w:t xml:space="preserve"> </w:t>
      </w:r>
    </w:p>
    <w:p w14:paraId="67B41CA8" w14:textId="6FDBDE4C" w:rsidR="0078488C" w:rsidRPr="00027237" w:rsidRDefault="0078488C" w:rsidP="4DD53C4F">
      <w:pPr>
        <w:pStyle w:val="ListParagraph"/>
        <w:spacing w:after="231" w:line="249" w:lineRule="auto"/>
        <w:ind w:left="1070"/>
        <w:contextualSpacing/>
        <w:rPr>
          <w:rFonts w:ascii="Arial" w:eastAsia="Arial" w:hAnsi="Arial" w:cs="Arial"/>
          <w:color w:val="000000"/>
          <w:sz w:val="22"/>
          <w:szCs w:val="22"/>
          <w:lang w:eastAsia="en-GB"/>
        </w:rPr>
      </w:pPr>
    </w:p>
    <w:p w14:paraId="53B36177" w14:textId="1B17CA94" w:rsidR="005638EB" w:rsidRPr="00027237" w:rsidRDefault="005638EB" w:rsidP="009E77B2">
      <w:pPr>
        <w:spacing w:before="240" w:after="231" w:line="249" w:lineRule="auto"/>
        <w:ind w:left="350" w:firstLine="720"/>
        <w:contextualSpacing/>
        <w:rPr>
          <w:rFonts w:eastAsia="Arial"/>
          <w:b/>
          <w:bCs/>
          <w:color w:val="000000"/>
          <w:sz w:val="22"/>
          <w:lang w:eastAsia="en-GB"/>
        </w:rPr>
      </w:pPr>
      <w:r w:rsidRPr="00027237">
        <w:rPr>
          <w:rFonts w:eastAsia="Arial"/>
          <w:b/>
          <w:bCs/>
          <w:color w:val="000000" w:themeColor="text1"/>
          <w:sz w:val="22"/>
          <w:lang w:eastAsia="en-GB"/>
        </w:rPr>
        <w:t>Section 8 – Bespoke Conditions</w:t>
      </w:r>
    </w:p>
    <w:p w14:paraId="7AC34171" w14:textId="2FB2764D" w:rsidR="00C83273" w:rsidRPr="00027237" w:rsidRDefault="00C83273" w:rsidP="4DD53C4F">
      <w:pPr>
        <w:spacing w:before="240" w:after="231" w:line="249" w:lineRule="auto"/>
        <w:contextualSpacing/>
        <w:rPr>
          <w:rFonts w:eastAsia="Arial"/>
          <w:b/>
          <w:bCs/>
          <w:color w:val="000000"/>
          <w:sz w:val="22"/>
          <w:lang w:eastAsia="en-GB"/>
        </w:rPr>
      </w:pPr>
    </w:p>
    <w:p w14:paraId="6C713153" w14:textId="68DAE693" w:rsidR="00C83273" w:rsidRPr="00027237" w:rsidRDefault="00C83273" w:rsidP="4DD53C4F">
      <w:pPr>
        <w:pStyle w:val="ListParagraph"/>
        <w:numPr>
          <w:ilvl w:val="0"/>
          <w:numId w:val="4"/>
        </w:numPr>
        <w:spacing w:before="240"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 xml:space="preserve">These conditions tend to be very specific to the patient’s situation and are therefore relatively uncommon. The types of conditions listed below are examples and are clearly not exhaustive. MHCS will consider the addition of any </w:t>
      </w:r>
      <w:r w:rsidR="00F00AD8" w:rsidRPr="00027237">
        <w:rPr>
          <w:rFonts w:ascii="Arial" w:eastAsia="Arial" w:hAnsi="Arial" w:cs="Arial"/>
          <w:color w:val="000000" w:themeColor="text1"/>
          <w:sz w:val="22"/>
          <w:szCs w:val="22"/>
          <w:lang w:eastAsia="en-GB"/>
        </w:rPr>
        <w:t xml:space="preserve">necessary and proportionate </w:t>
      </w:r>
      <w:r w:rsidRPr="00027237">
        <w:rPr>
          <w:rFonts w:ascii="Arial" w:eastAsia="Arial" w:hAnsi="Arial" w:cs="Arial"/>
          <w:color w:val="000000" w:themeColor="text1"/>
          <w:sz w:val="22"/>
          <w:szCs w:val="22"/>
          <w:lang w:eastAsia="en-GB"/>
        </w:rPr>
        <w:t xml:space="preserve">condition which is specific to the patient which aids the community team in the supervision and risk management of a restricted patient. </w:t>
      </w:r>
    </w:p>
    <w:p w14:paraId="60EC095C" w14:textId="77777777" w:rsidR="005638EB" w:rsidRPr="00027237" w:rsidRDefault="005638EB" w:rsidP="4DD53C4F">
      <w:pPr>
        <w:pStyle w:val="ListParagraph"/>
        <w:spacing w:after="231" w:line="249" w:lineRule="auto"/>
        <w:ind w:left="1070"/>
        <w:contextualSpacing/>
        <w:rPr>
          <w:rFonts w:ascii="Arial" w:eastAsia="Arial" w:hAnsi="Arial" w:cs="Arial"/>
          <w:color w:val="000000"/>
          <w:sz w:val="22"/>
          <w:szCs w:val="22"/>
          <w:lang w:eastAsia="en-GB"/>
        </w:rPr>
      </w:pPr>
    </w:p>
    <w:p w14:paraId="1C7739D0" w14:textId="5E98D5DC" w:rsidR="0078488C" w:rsidRPr="00027237" w:rsidRDefault="0078488C" w:rsidP="009E77B2">
      <w:pPr>
        <w:pStyle w:val="ListParagraph"/>
        <w:spacing w:after="231" w:line="249" w:lineRule="auto"/>
        <w:ind w:left="1070" w:firstLine="370"/>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Travel</w:t>
      </w:r>
    </w:p>
    <w:p w14:paraId="28514B57" w14:textId="51C40A18" w:rsidR="0078488C" w:rsidRPr="00027237" w:rsidRDefault="0078488C" w:rsidP="4DD53C4F">
      <w:pPr>
        <w:pStyle w:val="ListParagraph"/>
        <w:spacing w:after="231" w:line="249" w:lineRule="auto"/>
        <w:ind w:left="1070"/>
        <w:contextualSpacing/>
        <w:rPr>
          <w:rFonts w:ascii="Arial" w:eastAsia="Arial" w:hAnsi="Arial" w:cs="Arial"/>
          <w:color w:val="000000"/>
          <w:sz w:val="22"/>
          <w:szCs w:val="22"/>
          <w:lang w:eastAsia="en-GB"/>
        </w:rPr>
      </w:pPr>
    </w:p>
    <w:p w14:paraId="1F364CA0" w14:textId="6341FAE3" w:rsidR="008854D7" w:rsidRPr="00027237" w:rsidRDefault="0078488C" w:rsidP="4DD53C4F">
      <w:pPr>
        <w:pStyle w:val="ListParagraph"/>
        <w:numPr>
          <w:ilvl w:val="0"/>
          <w:numId w:val="4"/>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sz w:val="22"/>
          <w:szCs w:val="22"/>
          <w:lang w:eastAsia="en-GB"/>
        </w:rPr>
        <w:t>The travel restriction/notification conditions are put in place to ensure that some planning can be undertaken prior to a patient travelling abroad or to another UK jurisdiction</w:t>
      </w:r>
      <w:r w:rsidR="008958B9" w:rsidRPr="00027237">
        <w:rPr>
          <w:rStyle w:val="FootnoteReference"/>
          <w:rFonts w:ascii="Arial" w:eastAsia="Arial" w:hAnsi="Arial" w:cs="Arial"/>
          <w:color w:val="000000"/>
          <w:sz w:val="22"/>
          <w:szCs w:val="22"/>
          <w:lang w:eastAsia="en-GB"/>
        </w:rPr>
        <w:footnoteReference w:id="11"/>
      </w:r>
      <w:r w:rsidRPr="00027237">
        <w:rPr>
          <w:rFonts w:ascii="Arial" w:eastAsia="Arial" w:hAnsi="Arial" w:cs="Arial"/>
          <w:color w:val="000000"/>
          <w:sz w:val="22"/>
          <w:szCs w:val="22"/>
          <w:lang w:eastAsia="en-GB"/>
        </w:rPr>
        <w:t xml:space="preserve">. MHCS cannot physically prevent a patient from leaving </w:t>
      </w:r>
      <w:r w:rsidR="008854D7" w:rsidRPr="00027237">
        <w:rPr>
          <w:rFonts w:ascii="Arial" w:eastAsia="Arial" w:hAnsi="Arial" w:cs="Arial"/>
          <w:color w:val="000000"/>
          <w:sz w:val="22"/>
          <w:szCs w:val="22"/>
          <w:lang w:eastAsia="en-GB"/>
        </w:rPr>
        <w:t>England and Wales unless they are reaching the threshold for a recall to hospital under section 42</w:t>
      </w:r>
      <w:r w:rsidR="004C4DA0" w:rsidRPr="00027237">
        <w:rPr>
          <w:rFonts w:ascii="Arial" w:eastAsia="Arial" w:hAnsi="Arial" w:cs="Arial"/>
          <w:color w:val="000000"/>
          <w:sz w:val="22"/>
          <w:szCs w:val="22"/>
          <w:lang w:eastAsia="en-GB"/>
        </w:rPr>
        <w:t>(3)</w:t>
      </w:r>
      <w:r w:rsidR="008854D7" w:rsidRPr="00027237">
        <w:rPr>
          <w:rFonts w:ascii="Arial" w:eastAsia="Arial" w:hAnsi="Arial" w:cs="Arial"/>
          <w:color w:val="000000"/>
          <w:sz w:val="22"/>
          <w:szCs w:val="22"/>
          <w:lang w:eastAsia="en-GB"/>
        </w:rPr>
        <w:t xml:space="preserve"> of the 1983 Act. The conditions are primarily in place for those who have family ties that live in another </w:t>
      </w:r>
      <w:r w:rsidR="30BBD487" w:rsidRPr="00027237">
        <w:rPr>
          <w:rFonts w:ascii="Arial" w:eastAsia="Arial" w:hAnsi="Arial" w:cs="Arial"/>
          <w:color w:val="000000"/>
          <w:sz w:val="22"/>
          <w:szCs w:val="22"/>
          <w:lang w:eastAsia="en-GB"/>
        </w:rPr>
        <w:t>country,</w:t>
      </w:r>
      <w:r w:rsidR="008958B9" w:rsidRPr="00027237">
        <w:rPr>
          <w:rFonts w:ascii="Arial" w:eastAsia="Arial" w:hAnsi="Arial" w:cs="Arial"/>
          <w:color w:val="000000"/>
          <w:sz w:val="22"/>
          <w:szCs w:val="22"/>
          <w:lang w:eastAsia="en-GB"/>
        </w:rPr>
        <w:t xml:space="preserve"> or they are a national of another country (including a dual UK/foreign national) and are more likely to remove themselves from the jurisdiction of the 1983 Act</w:t>
      </w:r>
      <w:r w:rsidR="008854D7" w:rsidRPr="00027237">
        <w:rPr>
          <w:rFonts w:ascii="Arial" w:eastAsia="Arial" w:hAnsi="Arial" w:cs="Arial"/>
          <w:color w:val="000000"/>
          <w:sz w:val="22"/>
          <w:szCs w:val="22"/>
          <w:lang w:eastAsia="en-GB"/>
        </w:rPr>
        <w:t>. Consideration can be given to adding such a condition or removing this when or if it is relevant.</w:t>
      </w:r>
    </w:p>
    <w:p w14:paraId="0C2E3D45" w14:textId="7546D0EB" w:rsidR="008854D7" w:rsidRPr="00027237" w:rsidRDefault="008854D7" w:rsidP="4DD53C4F">
      <w:pPr>
        <w:pStyle w:val="ListParagraph"/>
        <w:spacing w:after="231" w:line="249" w:lineRule="auto"/>
        <w:ind w:left="1070"/>
        <w:contextualSpacing/>
        <w:rPr>
          <w:rFonts w:ascii="Arial" w:eastAsia="Arial" w:hAnsi="Arial" w:cs="Arial"/>
          <w:color w:val="000000"/>
          <w:sz w:val="22"/>
          <w:szCs w:val="22"/>
          <w:lang w:eastAsia="en-GB"/>
        </w:rPr>
      </w:pPr>
    </w:p>
    <w:p w14:paraId="44B79326" w14:textId="7CFFF0A8" w:rsidR="008854D7" w:rsidRPr="00027237" w:rsidRDefault="008854D7" w:rsidP="4DD53C4F">
      <w:pPr>
        <w:pStyle w:val="ListParagraph"/>
        <w:numPr>
          <w:ilvl w:val="0"/>
          <w:numId w:val="4"/>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As is set out in the MHCS guidance ‘Conditionally Discharged patients: Supervision and reporting’ if a patient were to travel abroad without notifying the Community Team MHCS would actively consider a recall for</w:t>
      </w:r>
      <w:r w:rsidR="008958B9" w:rsidRPr="00027237">
        <w:rPr>
          <w:rFonts w:ascii="Arial" w:eastAsia="Arial" w:hAnsi="Arial" w:cs="Arial"/>
          <w:color w:val="000000" w:themeColor="text1"/>
          <w:sz w:val="22"/>
          <w:szCs w:val="22"/>
          <w:lang w:eastAsia="en-GB"/>
        </w:rPr>
        <w:t xml:space="preserve"> urgent</w:t>
      </w:r>
      <w:r w:rsidRPr="00027237">
        <w:rPr>
          <w:rFonts w:ascii="Arial" w:eastAsia="Arial" w:hAnsi="Arial" w:cs="Arial"/>
          <w:color w:val="000000" w:themeColor="text1"/>
          <w:sz w:val="22"/>
          <w:szCs w:val="22"/>
          <w:lang w:eastAsia="en-GB"/>
        </w:rPr>
        <w:t xml:space="preserve"> assessment, especially where the patient has given no indication of their return to the UK. </w:t>
      </w:r>
      <w:r w:rsidR="008958B9" w:rsidRPr="00027237">
        <w:rPr>
          <w:rFonts w:ascii="Arial" w:eastAsia="Arial" w:hAnsi="Arial" w:cs="Arial"/>
          <w:color w:val="000000" w:themeColor="text1"/>
          <w:sz w:val="22"/>
          <w:szCs w:val="22"/>
          <w:lang w:eastAsia="en-GB"/>
        </w:rPr>
        <w:t xml:space="preserve">Where the patient has travelled to another UK jurisdiction without </w:t>
      </w:r>
      <w:r w:rsidR="00F00AD8" w:rsidRPr="00027237">
        <w:rPr>
          <w:rFonts w:ascii="Arial" w:eastAsia="Arial" w:hAnsi="Arial" w:cs="Arial"/>
          <w:color w:val="000000" w:themeColor="text1"/>
          <w:sz w:val="22"/>
          <w:szCs w:val="22"/>
          <w:lang w:eastAsia="en-GB"/>
        </w:rPr>
        <w:t xml:space="preserve">notifying the community team </w:t>
      </w:r>
      <w:r w:rsidR="008958B9" w:rsidRPr="00027237">
        <w:rPr>
          <w:rFonts w:ascii="Arial" w:eastAsia="Arial" w:hAnsi="Arial" w:cs="Arial"/>
          <w:color w:val="000000" w:themeColor="text1"/>
          <w:sz w:val="22"/>
          <w:szCs w:val="22"/>
          <w:lang w:eastAsia="en-GB"/>
        </w:rPr>
        <w:t xml:space="preserve">the same consideration for recall can be undertaken if the patient has indicated they will not return to England and Wales and are therefore subverting supervision. </w:t>
      </w:r>
    </w:p>
    <w:p w14:paraId="64738D84" w14:textId="77777777" w:rsidR="008854D7" w:rsidRPr="00027237" w:rsidRDefault="008854D7" w:rsidP="4DD53C4F">
      <w:pPr>
        <w:pStyle w:val="ListParagraph"/>
        <w:rPr>
          <w:rFonts w:ascii="Arial" w:eastAsia="Arial" w:hAnsi="Arial" w:cs="Arial"/>
          <w:color w:val="000000"/>
          <w:sz w:val="22"/>
          <w:szCs w:val="22"/>
          <w:lang w:eastAsia="en-GB"/>
        </w:rPr>
      </w:pPr>
    </w:p>
    <w:p w14:paraId="30987955" w14:textId="0BB6C834" w:rsidR="008854D7" w:rsidRPr="00027237" w:rsidRDefault="008854D7" w:rsidP="009E77B2">
      <w:pPr>
        <w:spacing w:after="231" w:line="249" w:lineRule="auto"/>
        <w:ind w:left="1060" w:firstLine="380"/>
        <w:contextualSpacing/>
        <w:rPr>
          <w:rFonts w:eastAsia="Arial"/>
          <w:color w:val="000000" w:themeColor="text1"/>
          <w:sz w:val="22"/>
          <w:lang w:eastAsia="en-GB"/>
        </w:rPr>
      </w:pPr>
      <w:r w:rsidRPr="00027237">
        <w:rPr>
          <w:rFonts w:eastAsia="Arial"/>
          <w:color w:val="000000" w:themeColor="text1"/>
          <w:sz w:val="22"/>
          <w:lang w:eastAsia="en-GB"/>
        </w:rPr>
        <w:t>Electronic Devices</w:t>
      </w:r>
    </w:p>
    <w:p w14:paraId="604DB344" w14:textId="77777777" w:rsidR="009E77B2" w:rsidRPr="00027237" w:rsidRDefault="009E77B2" w:rsidP="4DD53C4F">
      <w:pPr>
        <w:spacing w:after="231" w:line="249" w:lineRule="auto"/>
        <w:ind w:left="710"/>
        <w:contextualSpacing/>
        <w:rPr>
          <w:rFonts w:eastAsia="Arial"/>
          <w:color w:val="000000"/>
          <w:sz w:val="22"/>
          <w:lang w:eastAsia="en-GB"/>
        </w:rPr>
      </w:pPr>
    </w:p>
    <w:p w14:paraId="0EDA95E8" w14:textId="01C06807" w:rsidR="008958B9" w:rsidRPr="00027237" w:rsidRDefault="008854D7" w:rsidP="4DD53C4F">
      <w:pPr>
        <w:pStyle w:val="ListParagraph"/>
        <w:numPr>
          <w:ilvl w:val="0"/>
          <w:numId w:val="4"/>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 xml:space="preserve">Conditions which </w:t>
      </w:r>
      <w:r w:rsidR="00553CE7" w:rsidRPr="00027237">
        <w:rPr>
          <w:rFonts w:ascii="Arial" w:eastAsia="Arial" w:hAnsi="Arial" w:cs="Arial"/>
          <w:color w:val="000000" w:themeColor="text1"/>
          <w:sz w:val="22"/>
          <w:szCs w:val="22"/>
          <w:lang w:eastAsia="en-GB"/>
        </w:rPr>
        <w:t>restrict access to</w:t>
      </w:r>
      <w:r w:rsidR="005638EB" w:rsidRPr="00027237">
        <w:rPr>
          <w:rFonts w:ascii="Arial" w:eastAsia="Arial" w:hAnsi="Arial" w:cs="Arial"/>
          <w:color w:val="000000" w:themeColor="text1"/>
          <w:sz w:val="22"/>
          <w:szCs w:val="22"/>
          <w:lang w:eastAsia="en-GB"/>
        </w:rPr>
        <w:t>,</w:t>
      </w:r>
      <w:r w:rsidR="00553CE7" w:rsidRPr="00027237">
        <w:rPr>
          <w:rFonts w:ascii="Arial" w:eastAsia="Arial" w:hAnsi="Arial" w:cs="Arial"/>
          <w:color w:val="000000" w:themeColor="text1"/>
          <w:sz w:val="22"/>
          <w:szCs w:val="22"/>
          <w:lang w:eastAsia="en-GB"/>
        </w:rPr>
        <w:t xml:space="preserve"> or the monitoring of electronic devices </w:t>
      </w:r>
      <w:r w:rsidR="005638EB" w:rsidRPr="00027237">
        <w:rPr>
          <w:rFonts w:ascii="Arial" w:eastAsia="Arial" w:hAnsi="Arial" w:cs="Arial"/>
          <w:color w:val="000000" w:themeColor="text1"/>
          <w:sz w:val="22"/>
          <w:szCs w:val="22"/>
          <w:lang w:eastAsia="en-GB"/>
        </w:rPr>
        <w:t>are normally</w:t>
      </w:r>
      <w:r w:rsidR="00553CE7" w:rsidRPr="00027237">
        <w:rPr>
          <w:rFonts w:ascii="Arial" w:eastAsia="Arial" w:hAnsi="Arial" w:cs="Arial"/>
          <w:color w:val="000000" w:themeColor="text1"/>
          <w:sz w:val="22"/>
          <w:szCs w:val="22"/>
          <w:lang w:eastAsia="en-GB"/>
        </w:rPr>
        <w:t xml:space="preserve"> </w:t>
      </w:r>
      <w:r w:rsidR="008958B9" w:rsidRPr="00027237">
        <w:rPr>
          <w:rFonts w:ascii="Arial" w:eastAsia="Arial" w:hAnsi="Arial" w:cs="Arial"/>
          <w:color w:val="000000" w:themeColor="text1"/>
          <w:sz w:val="22"/>
          <w:szCs w:val="22"/>
          <w:lang w:eastAsia="en-GB"/>
        </w:rPr>
        <w:t>imposed</w:t>
      </w:r>
      <w:r w:rsidR="00553CE7" w:rsidRPr="00027237">
        <w:rPr>
          <w:rFonts w:ascii="Arial" w:eastAsia="Arial" w:hAnsi="Arial" w:cs="Arial"/>
          <w:color w:val="000000" w:themeColor="text1"/>
          <w:sz w:val="22"/>
          <w:szCs w:val="22"/>
          <w:lang w:eastAsia="en-GB"/>
        </w:rPr>
        <w:t xml:space="preserve"> following a consultation with MAPPA</w:t>
      </w:r>
      <w:r w:rsidR="008958B9" w:rsidRPr="00027237">
        <w:rPr>
          <w:rFonts w:ascii="Arial" w:eastAsia="Arial" w:hAnsi="Arial" w:cs="Arial"/>
          <w:color w:val="000000" w:themeColor="text1"/>
          <w:sz w:val="22"/>
          <w:szCs w:val="22"/>
          <w:lang w:eastAsia="en-GB"/>
        </w:rPr>
        <w:t xml:space="preserve"> or other competent agencies</w:t>
      </w:r>
      <w:r w:rsidR="00F00AD8" w:rsidRPr="00027237">
        <w:rPr>
          <w:rFonts w:ascii="Arial" w:eastAsia="Arial" w:hAnsi="Arial" w:cs="Arial"/>
          <w:color w:val="000000" w:themeColor="text1"/>
          <w:sz w:val="22"/>
          <w:szCs w:val="22"/>
          <w:lang w:eastAsia="en-GB"/>
        </w:rPr>
        <w:t>, such as the police</w:t>
      </w:r>
      <w:r w:rsidR="00553CE7" w:rsidRPr="00027237">
        <w:rPr>
          <w:rFonts w:ascii="Arial" w:eastAsia="Arial" w:hAnsi="Arial" w:cs="Arial"/>
          <w:color w:val="000000" w:themeColor="text1"/>
          <w:sz w:val="22"/>
          <w:szCs w:val="22"/>
          <w:lang w:eastAsia="en-GB"/>
        </w:rPr>
        <w:t>. It will also be necessary to set out the infrastructure or planning for such restrictions or monitoring to ensure this is justifiable. In most case</w:t>
      </w:r>
      <w:r w:rsidR="00131688" w:rsidRPr="00027237">
        <w:rPr>
          <w:rFonts w:ascii="Arial" w:eastAsia="Arial" w:hAnsi="Arial" w:cs="Arial"/>
          <w:color w:val="000000" w:themeColor="text1"/>
          <w:sz w:val="22"/>
          <w:szCs w:val="22"/>
          <w:lang w:eastAsia="en-GB"/>
        </w:rPr>
        <w:t>s</w:t>
      </w:r>
      <w:r w:rsidR="00553CE7" w:rsidRPr="00027237">
        <w:rPr>
          <w:rFonts w:ascii="Arial" w:eastAsia="Arial" w:hAnsi="Arial" w:cs="Arial"/>
          <w:color w:val="000000" w:themeColor="text1"/>
          <w:sz w:val="22"/>
          <w:szCs w:val="22"/>
          <w:lang w:eastAsia="en-GB"/>
        </w:rPr>
        <w:t xml:space="preserve"> the conditions will be related directly to the risk of re-offending</w:t>
      </w:r>
      <w:r w:rsidR="008958B9" w:rsidRPr="00027237">
        <w:rPr>
          <w:rFonts w:ascii="Arial" w:eastAsia="Arial" w:hAnsi="Arial" w:cs="Arial"/>
          <w:color w:val="000000" w:themeColor="text1"/>
          <w:sz w:val="22"/>
          <w:szCs w:val="22"/>
          <w:lang w:eastAsia="en-GB"/>
        </w:rPr>
        <w:t xml:space="preserve">, but in practice such conditions can </w:t>
      </w:r>
      <w:r w:rsidR="005638EB" w:rsidRPr="00027237">
        <w:rPr>
          <w:rFonts w:ascii="Arial" w:eastAsia="Arial" w:hAnsi="Arial" w:cs="Arial"/>
          <w:color w:val="000000" w:themeColor="text1"/>
          <w:sz w:val="22"/>
          <w:szCs w:val="22"/>
          <w:lang w:eastAsia="en-GB"/>
        </w:rPr>
        <w:t xml:space="preserve">be </w:t>
      </w:r>
      <w:r w:rsidR="008958B9" w:rsidRPr="00027237">
        <w:rPr>
          <w:rFonts w:ascii="Arial" w:eastAsia="Arial" w:hAnsi="Arial" w:cs="Arial"/>
          <w:color w:val="000000" w:themeColor="text1"/>
          <w:sz w:val="22"/>
          <w:szCs w:val="22"/>
          <w:lang w:eastAsia="en-GB"/>
        </w:rPr>
        <w:t>sought to manage or monitor any potential or emerging risk</w:t>
      </w:r>
      <w:r w:rsidR="00F00AD8" w:rsidRPr="00027237">
        <w:rPr>
          <w:rFonts w:ascii="Arial" w:eastAsia="Arial" w:hAnsi="Arial" w:cs="Arial"/>
          <w:color w:val="000000" w:themeColor="text1"/>
          <w:sz w:val="22"/>
          <w:szCs w:val="22"/>
          <w:lang w:eastAsia="en-GB"/>
        </w:rPr>
        <w:t xml:space="preserve"> of harm to the public. </w:t>
      </w:r>
    </w:p>
    <w:p w14:paraId="1CC82875" w14:textId="77777777" w:rsidR="008958B9" w:rsidRPr="00027237" w:rsidRDefault="008958B9" w:rsidP="4DD53C4F">
      <w:pPr>
        <w:pStyle w:val="ListParagraph"/>
        <w:spacing w:after="231" w:line="249" w:lineRule="auto"/>
        <w:ind w:left="1070"/>
        <w:contextualSpacing/>
        <w:rPr>
          <w:rFonts w:ascii="Arial" w:eastAsia="Arial" w:hAnsi="Arial" w:cs="Arial"/>
          <w:color w:val="000000"/>
          <w:sz w:val="22"/>
          <w:szCs w:val="22"/>
          <w:lang w:eastAsia="en-GB"/>
        </w:rPr>
      </w:pPr>
    </w:p>
    <w:p w14:paraId="60DEB6DE" w14:textId="634C3A4A" w:rsidR="008958B9" w:rsidRPr="00027237" w:rsidRDefault="005638EB" w:rsidP="4DD53C4F">
      <w:pPr>
        <w:pStyle w:val="ListParagraph"/>
        <w:numPr>
          <w:ilvl w:val="0"/>
          <w:numId w:val="4"/>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 xml:space="preserve">The removal of such conditions should only be sought following consultation with MAPPA or other agencies who are involved with the monitoring of the condition(s). </w:t>
      </w:r>
    </w:p>
    <w:p w14:paraId="06B5A765" w14:textId="77777777" w:rsidR="00C83273" w:rsidRPr="00027237" w:rsidRDefault="00C83273" w:rsidP="4DD53C4F">
      <w:pPr>
        <w:pStyle w:val="ListParagraph"/>
        <w:rPr>
          <w:rFonts w:ascii="Arial" w:eastAsia="Arial" w:hAnsi="Arial" w:cs="Arial"/>
          <w:color w:val="000000"/>
          <w:sz w:val="22"/>
          <w:szCs w:val="22"/>
          <w:lang w:eastAsia="en-GB"/>
        </w:rPr>
      </w:pPr>
    </w:p>
    <w:p w14:paraId="7E6513CD" w14:textId="45128673" w:rsidR="00C83273" w:rsidRPr="00027237" w:rsidRDefault="00C83273" w:rsidP="009E77B2">
      <w:pPr>
        <w:spacing w:after="231" w:line="249" w:lineRule="auto"/>
        <w:ind w:left="720" w:firstLine="720"/>
        <w:contextualSpacing/>
        <w:rPr>
          <w:rFonts w:eastAsia="Arial"/>
          <w:color w:val="000000"/>
          <w:sz w:val="22"/>
          <w:lang w:eastAsia="en-GB"/>
        </w:rPr>
      </w:pPr>
      <w:r w:rsidRPr="00027237">
        <w:rPr>
          <w:rFonts w:eastAsia="Arial"/>
          <w:color w:val="000000" w:themeColor="text1"/>
          <w:sz w:val="22"/>
          <w:lang w:eastAsia="en-GB"/>
        </w:rPr>
        <w:t>Gambling</w:t>
      </w:r>
    </w:p>
    <w:p w14:paraId="00CFE025" w14:textId="33D75B27" w:rsidR="00C83273" w:rsidRPr="00027237" w:rsidRDefault="002634FE" w:rsidP="4DD53C4F">
      <w:pPr>
        <w:pStyle w:val="ListParagraph"/>
        <w:numPr>
          <w:ilvl w:val="0"/>
          <w:numId w:val="4"/>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Conditions related to gambling can be difficult to monitor as ultimately there are many</w:t>
      </w:r>
      <w:r w:rsidR="0D241547" w:rsidRPr="00027237">
        <w:rPr>
          <w:rFonts w:ascii="Arial" w:eastAsia="Arial" w:hAnsi="Arial" w:cs="Arial"/>
          <w:color w:val="000000" w:themeColor="text1"/>
          <w:sz w:val="22"/>
          <w:szCs w:val="22"/>
          <w:lang w:eastAsia="en-GB"/>
        </w:rPr>
        <w:t xml:space="preserve"> </w:t>
      </w:r>
      <w:r w:rsidRPr="00027237">
        <w:rPr>
          <w:rFonts w:ascii="Arial" w:eastAsia="Arial" w:hAnsi="Arial" w:cs="Arial"/>
          <w:color w:val="000000" w:themeColor="text1"/>
          <w:sz w:val="22"/>
          <w:szCs w:val="22"/>
          <w:lang w:eastAsia="en-GB"/>
        </w:rPr>
        <w:t>ways to gamble which do not involve entering betting shops</w:t>
      </w:r>
      <w:r w:rsidR="00BD4332" w:rsidRPr="00027237">
        <w:rPr>
          <w:rFonts w:ascii="Arial" w:eastAsia="Arial" w:hAnsi="Arial" w:cs="Arial"/>
          <w:color w:val="000000" w:themeColor="text1"/>
          <w:sz w:val="22"/>
          <w:szCs w:val="22"/>
          <w:lang w:eastAsia="en-GB"/>
        </w:rPr>
        <w:t xml:space="preserve"> and can include online platforms which by their nature seek to attract patrons through financial enticement and prizes</w:t>
      </w:r>
      <w:r w:rsidRPr="00027237">
        <w:rPr>
          <w:rFonts w:ascii="Arial" w:eastAsia="Arial" w:hAnsi="Arial" w:cs="Arial"/>
          <w:color w:val="000000" w:themeColor="text1"/>
          <w:sz w:val="22"/>
          <w:szCs w:val="22"/>
          <w:lang w:eastAsia="en-GB"/>
        </w:rPr>
        <w:t>.</w:t>
      </w:r>
      <w:r w:rsidR="00BD4332" w:rsidRPr="00027237">
        <w:rPr>
          <w:rFonts w:ascii="Arial" w:eastAsia="Arial" w:hAnsi="Arial" w:cs="Arial"/>
          <w:color w:val="000000" w:themeColor="text1"/>
          <w:sz w:val="22"/>
          <w:szCs w:val="22"/>
          <w:lang w:eastAsia="en-GB"/>
        </w:rPr>
        <w:t xml:space="preserve"> Consequently</w:t>
      </w:r>
      <w:r w:rsidR="06533140" w:rsidRPr="00027237">
        <w:rPr>
          <w:rFonts w:ascii="Arial" w:eastAsia="Arial" w:hAnsi="Arial" w:cs="Arial"/>
          <w:color w:val="000000" w:themeColor="text1"/>
          <w:sz w:val="22"/>
          <w:szCs w:val="22"/>
          <w:lang w:eastAsia="en-GB"/>
        </w:rPr>
        <w:t>,</w:t>
      </w:r>
      <w:r w:rsidR="00BD4332" w:rsidRPr="00027237">
        <w:rPr>
          <w:rFonts w:ascii="Arial" w:eastAsia="Arial" w:hAnsi="Arial" w:cs="Arial"/>
          <w:color w:val="000000" w:themeColor="text1"/>
          <w:sz w:val="22"/>
          <w:szCs w:val="22"/>
          <w:lang w:eastAsia="en-GB"/>
        </w:rPr>
        <w:t xml:space="preserve"> any monitoring will be reactive </w:t>
      </w:r>
      <w:r w:rsidR="7D10547E" w:rsidRPr="00027237">
        <w:rPr>
          <w:rFonts w:ascii="Arial" w:eastAsia="Arial" w:hAnsi="Arial" w:cs="Arial"/>
          <w:color w:val="000000" w:themeColor="text1"/>
          <w:sz w:val="22"/>
          <w:szCs w:val="22"/>
          <w:lang w:eastAsia="en-GB"/>
        </w:rPr>
        <w:t>as far as</w:t>
      </w:r>
      <w:r w:rsidR="00BD4332" w:rsidRPr="00027237">
        <w:rPr>
          <w:rFonts w:ascii="Arial" w:eastAsia="Arial" w:hAnsi="Arial" w:cs="Arial"/>
          <w:color w:val="000000" w:themeColor="text1"/>
          <w:sz w:val="22"/>
          <w:szCs w:val="22"/>
          <w:lang w:eastAsia="en-GB"/>
        </w:rPr>
        <w:t xml:space="preserve"> the patient being short of money or accruing debt will be the primary indicators that the condition is being contravened. If supervisors are seeking to introduce such a condition it would assist MHCS in knowing what plans will be in place to assist a patient </w:t>
      </w:r>
      <w:r w:rsidR="00DD1FDA" w:rsidRPr="00027237">
        <w:rPr>
          <w:rFonts w:ascii="Arial" w:eastAsia="Arial" w:hAnsi="Arial" w:cs="Arial"/>
          <w:color w:val="000000" w:themeColor="text1"/>
          <w:sz w:val="22"/>
          <w:szCs w:val="22"/>
          <w:lang w:eastAsia="en-GB"/>
        </w:rPr>
        <w:t xml:space="preserve">who </w:t>
      </w:r>
      <w:r w:rsidR="00BD4332" w:rsidRPr="00027237">
        <w:rPr>
          <w:rFonts w:ascii="Arial" w:eastAsia="Arial" w:hAnsi="Arial" w:cs="Arial"/>
          <w:color w:val="000000" w:themeColor="text1"/>
          <w:sz w:val="22"/>
          <w:szCs w:val="22"/>
          <w:lang w:eastAsia="en-GB"/>
        </w:rPr>
        <w:t>is gambling to a pervasive level.</w:t>
      </w:r>
    </w:p>
    <w:p w14:paraId="19C6DCDC" w14:textId="0FBA5210" w:rsidR="00BD4332" w:rsidRPr="00027237" w:rsidRDefault="00BD4332" w:rsidP="009E77B2">
      <w:pPr>
        <w:spacing w:after="0" w:line="249" w:lineRule="auto"/>
        <w:ind w:left="720" w:firstLine="720"/>
        <w:contextualSpacing/>
        <w:rPr>
          <w:rFonts w:eastAsia="Arial"/>
          <w:color w:val="000000" w:themeColor="text1"/>
          <w:sz w:val="22"/>
          <w:lang w:eastAsia="en-GB"/>
        </w:rPr>
      </w:pPr>
      <w:r w:rsidRPr="00027237">
        <w:rPr>
          <w:rFonts w:eastAsia="Arial"/>
          <w:color w:val="000000" w:themeColor="text1"/>
          <w:sz w:val="22"/>
          <w:lang w:eastAsia="en-GB"/>
        </w:rPr>
        <w:t>Employment</w:t>
      </w:r>
    </w:p>
    <w:p w14:paraId="79824A40" w14:textId="77777777" w:rsidR="009E77B2" w:rsidRPr="00027237" w:rsidRDefault="009E77B2" w:rsidP="009E77B2">
      <w:pPr>
        <w:spacing w:after="0" w:line="249" w:lineRule="auto"/>
        <w:ind w:firstLine="710"/>
        <w:contextualSpacing/>
        <w:rPr>
          <w:rFonts w:eastAsia="Arial"/>
          <w:color w:val="000000"/>
          <w:sz w:val="22"/>
          <w:lang w:eastAsia="en-GB"/>
        </w:rPr>
      </w:pPr>
    </w:p>
    <w:p w14:paraId="3189FCD2" w14:textId="091F84F4" w:rsidR="00BD4332" w:rsidRPr="00027237" w:rsidRDefault="00BD4332" w:rsidP="009E77B2">
      <w:pPr>
        <w:pStyle w:val="ListParagraph"/>
        <w:numPr>
          <w:ilvl w:val="0"/>
          <w:numId w:val="4"/>
        </w:numPr>
        <w:spacing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 xml:space="preserve">Patients who are subject to a conditional discharge should be disclosing their status as a restricted patient </w:t>
      </w:r>
      <w:r w:rsidR="6264C511" w:rsidRPr="00027237">
        <w:rPr>
          <w:rFonts w:ascii="Arial" w:eastAsia="Arial" w:hAnsi="Arial" w:cs="Arial"/>
          <w:color w:val="000000" w:themeColor="text1"/>
          <w:sz w:val="22"/>
          <w:szCs w:val="22"/>
          <w:lang w:eastAsia="en-GB"/>
        </w:rPr>
        <w:t xml:space="preserve">and previous offending </w:t>
      </w:r>
      <w:r w:rsidRPr="00027237">
        <w:rPr>
          <w:rFonts w:ascii="Arial" w:eastAsia="Arial" w:hAnsi="Arial" w:cs="Arial"/>
          <w:color w:val="000000" w:themeColor="text1"/>
          <w:sz w:val="22"/>
          <w:szCs w:val="22"/>
          <w:lang w:eastAsia="en-GB"/>
        </w:rPr>
        <w:t>to a</w:t>
      </w:r>
      <w:r w:rsidR="356E3D04" w:rsidRPr="00027237">
        <w:rPr>
          <w:rFonts w:ascii="Arial" w:eastAsia="Arial" w:hAnsi="Arial" w:cs="Arial"/>
          <w:color w:val="000000" w:themeColor="text1"/>
          <w:sz w:val="22"/>
          <w:szCs w:val="22"/>
          <w:lang w:eastAsia="en-GB"/>
        </w:rPr>
        <w:t xml:space="preserve"> prospective</w:t>
      </w:r>
      <w:r w:rsidRPr="00027237">
        <w:rPr>
          <w:rFonts w:ascii="Arial" w:eastAsia="Arial" w:hAnsi="Arial" w:cs="Arial"/>
          <w:color w:val="000000" w:themeColor="text1"/>
          <w:sz w:val="22"/>
          <w:szCs w:val="22"/>
          <w:lang w:eastAsia="en-GB"/>
        </w:rPr>
        <w:t xml:space="preserve"> employer.</w:t>
      </w:r>
      <w:r w:rsidR="009E77B2" w:rsidRPr="00027237">
        <w:rPr>
          <w:rFonts w:ascii="Arial" w:eastAsia="Arial" w:hAnsi="Arial" w:cs="Arial"/>
          <w:color w:val="000000" w:themeColor="text1"/>
          <w:sz w:val="22"/>
          <w:szCs w:val="22"/>
          <w:lang w:eastAsia="en-GB"/>
        </w:rPr>
        <w:t xml:space="preserve"> </w:t>
      </w:r>
      <w:r w:rsidRPr="00027237">
        <w:rPr>
          <w:rFonts w:ascii="Arial" w:eastAsia="Arial" w:hAnsi="Arial" w:cs="Arial"/>
          <w:color w:val="000000" w:themeColor="text1"/>
          <w:sz w:val="22"/>
          <w:szCs w:val="22"/>
          <w:lang w:eastAsia="en-GB"/>
        </w:rPr>
        <w:t>Employment disclosure conditions are therefore not necessarily put in place</w:t>
      </w:r>
      <w:r w:rsidR="009646E3" w:rsidRPr="00027237">
        <w:rPr>
          <w:rFonts w:ascii="Arial" w:eastAsia="Arial" w:hAnsi="Arial" w:cs="Arial"/>
          <w:color w:val="000000" w:themeColor="text1"/>
          <w:sz w:val="22"/>
          <w:szCs w:val="22"/>
          <w:lang w:eastAsia="en-GB"/>
        </w:rPr>
        <w:t xml:space="preserve"> </w:t>
      </w:r>
      <w:r w:rsidR="001D2053" w:rsidRPr="00027237">
        <w:rPr>
          <w:rFonts w:ascii="Arial" w:eastAsia="Arial" w:hAnsi="Arial" w:cs="Arial"/>
          <w:color w:val="000000" w:themeColor="text1"/>
          <w:sz w:val="22"/>
          <w:szCs w:val="22"/>
          <w:lang w:eastAsia="en-GB"/>
        </w:rPr>
        <w:t xml:space="preserve">only </w:t>
      </w:r>
      <w:r w:rsidR="009646E3" w:rsidRPr="00027237">
        <w:rPr>
          <w:rFonts w:ascii="Arial" w:eastAsia="Arial" w:hAnsi="Arial" w:cs="Arial"/>
          <w:color w:val="000000" w:themeColor="text1"/>
          <w:sz w:val="22"/>
          <w:szCs w:val="22"/>
          <w:lang w:eastAsia="en-GB"/>
        </w:rPr>
        <w:t>for certain types of offences, such as sex offenders</w:t>
      </w:r>
      <w:r w:rsidR="001D2053" w:rsidRPr="00027237">
        <w:rPr>
          <w:rFonts w:ascii="Arial" w:eastAsia="Arial" w:hAnsi="Arial" w:cs="Arial"/>
          <w:color w:val="000000" w:themeColor="text1"/>
          <w:sz w:val="22"/>
          <w:szCs w:val="22"/>
          <w:lang w:eastAsia="en-GB"/>
        </w:rPr>
        <w:t>,</w:t>
      </w:r>
      <w:r w:rsidR="009646E3" w:rsidRPr="00027237">
        <w:rPr>
          <w:rFonts w:ascii="Arial" w:eastAsia="Arial" w:hAnsi="Arial" w:cs="Arial"/>
          <w:color w:val="000000" w:themeColor="text1"/>
          <w:sz w:val="22"/>
          <w:szCs w:val="22"/>
          <w:lang w:eastAsia="en-GB"/>
        </w:rPr>
        <w:t xml:space="preserve"> but can be used more broadly where there are concerns about a patient’s activities or honesty</w:t>
      </w:r>
      <w:r w:rsidR="00DD1FDA" w:rsidRPr="00027237">
        <w:rPr>
          <w:rFonts w:ascii="Arial" w:eastAsia="Arial" w:hAnsi="Arial" w:cs="Arial"/>
          <w:color w:val="000000" w:themeColor="text1"/>
          <w:sz w:val="22"/>
          <w:szCs w:val="22"/>
          <w:lang w:eastAsia="en-GB"/>
        </w:rPr>
        <w:t xml:space="preserve"> or they are seeking employment in a profession which could raise concerns about their risk to others. </w:t>
      </w:r>
    </w:p>
    <w:p w14:paraId="0089A152" w14:textId="77777777" w:rsidR="009E77B2" w:rsidRPr="00027237" w:rsidRDefault="009E77B2" w:rsidP="009E77B2">
      <w:pPr>
        <w:pStyle w:val="ListParagraph"/>
        <w:spacing w:line="249" w:lineRule="auto"/>
        <w:ind w:left="1070"/>
        <w:contextualSpacing/>
        <w:rPr>
          <w:rFonts w:ascii="Arial" w:eastAsia="Arial" w:hAnsi="Arial" w:cs="Arial"/>
          <w:color w:val="000000"/>
          <w:sz w:val="22"/>
          <w:szCs w:val="22"/>
          <w:lang w:eastAsia="en-GB"/>
        </w:rPr>
      </w:pPr>
    </w:p>
    <w:p w14:paraId="69E22303" w14:textId="66F4A897" w:rsidR="009646E3" w:rsidRPr="00027237" w:rsidRDefault="3A10F6C5" w:rsidP="009E77B2">
      <w:pPr>
        <w:spacing w:after="231" w:line="249" w:lineRule="auto"/>
        <w:ind w:left="720" w:firstLine="720"/>
        <w:contextualSpacing/>
        <w:rPr>
          <w:rFonts w:eastAsia="Arial"/>
          <w:color w:val="000000"/>
          <w:sz w:val="22"/>
          <w:lang w:eastAsia="en-GB"/>
        </w:rPr>
      </w:pPr>
      <w:r w:rsidRPr="00027237">
        <w:rPr>
          <w:rFonts w:eastAsia="Arial"/>
          <w:color w:val="000000" w:themeColor="text1"/>
          <w:sz w:val="22"/>
          <w:lang w:eastAsia="en-GB"/>
        </w:rPr>
        <w:t xml:space="preserve">Electronic </w:t>
      </w:r>
      <w:r w:rsidR="009646E3" w:rsidRPr="00027237">
        <w:rPr>
          <w:rFonts w:eastAsia="Arial"/>
          <w:color w:val="000000" w:themeColor="text1"/>
          <w:sz w:val="22"/>
          <w:lang w:eastAsia="en-GB"/>
        </w:rPr>
        <w:t xml:space="preserve">Tagging </w:t>
      </w:r>
    </w:p>
    <w:p w14:paraId="29F93C40" w14:textId="48E5DD1E" w:rsidR="00442FC1" w:rsidRPr="00027237" w:rsidRDefault="009646E3" w:rsidP="4DD53C4F">
      <w:pPr>
        <w:pStyle w:val="ListParagraph"/>
        <w:numPr>
          <w:ilvl w:val="0"/>
          <w:numId w:val="4"/>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 xml:space="preserve">Tagging for a restricted patient would amount to the patient wearing an ankle bracelet which can </w:t>
      </w:r>
      <w:r w:rsidR="71D9EE5C" w:rsidRPr="00027237">
        <w:rPr>
          <w:rFonts w:ascii="Arial" w:eastAsia="Arial" w:hAnsi="Arial" w:cs="Arial"/>
          <w:color w:val="000000" w:themeColor="text1"/>
          <w:sz w:val="22"/>
          <w:szCs w:val="22"/>
          <w:lang w:eastAsia="en-GB"/>
        </w:rPr>
        <w:t>monitor</w:t>
      </w:r>
      <w:r w:rsidRPr="00027237">
        <w:rPr>
          <w:rFonts w:ascii="Arial" w:eastAsia="Arial" w:hAnsi="Arial" w:cs="Arial"/>
          <w:color w:val="000000" w:themeColor="text1"/>
          <w:sz w:val="22"/>
          <w:szCs w:val="22"/>
          <w:lang w:eastAsia="en-GB"/>
        </w:rPr>
        <w:t xml:space="preserve"> their location. The imposition of such conditions </w:t>
      </w:r>
      <w:r w:rsidR="00D83C3E" w:rsidRPr="00027237">
        <w:rPr>
          <w:rFonts w:ascii="Arial" w:eastAsia="Arial" w:hAnsi="Arial" w:cs="Arial"/>
          <w:color w:val="000000" w:themeColor="text1"/>
          <w:sz w:val="22"/>
          <w:szCs w:val="22"/>
          <w:lang w:eastAsia="en-GB"/>
        </w:rPr>
        <w:t xml:space="preserve">is </w:t>
      </w:r>
      <w:r w:rsidRPr="00027237">
        <w:rPr>
          <w:rFonts w:ascii="Arial" w:eastAsia="Arial" w:hAnsi="Arial" w:cs="Arial"/>
          <w:color w:val="000000" w:themeColor="text1"/>
          <w:sz w:val="22"/>
          <w:szCs w:val="22"/>
          <w:lang w:eastAsia="en-GB"/>
        </w:rPr>
        <w:t>very rare for restricted patient</w:t>
      </w:r>
      <w:r w:rsidR="007E59DB" w:rsidRPr="00027237">
        <w:rPr>
          <w:rFonts w:ascii="Arial" w:eastAsia="Arial" w:hAnsi="Arial" w:cs="Arial"/>
          <w:color w:val="000000" w:themeColor="text1"/>
          <w:sz w:val="22"/>
          <w:szCs w:val="22"/>
          <w:lang w:eastAsia="en-GB"/>
        </w:rPr>
        <w:t>s</w:t>
      </w:r>
      <w:r w:rsidRPr="00027237">
        <w:rPr>
          <w:rFonts w:ascii="Arial" w:eastAsia="Arial" w:hAnsi="Arial" w:cs="Arial"/>
          <w:color w:val="000000" w:themeColor="text1"/>
          <w:sz w:val="22"/>
          <w:szCs w:val="22"/>
          <w:lang w:eastAsia="en-GB"/>
        </w:rPr>
        <w:t xml:space="preserve"> but can be considered where they are </w:t>
      </w:r>
      <w:r w:rsidR="007E59DB" w:rsidRPr="00027237">
        <w:rPr>
          <w:rFonts w:ascii="Arial" w:eastAsia="Arial" w:hAnsi="Arial" w:cs="Arial"/>
          <w:color w:val="000000" w:themeColor="text1"/>
          <w:sz w:val="22"/>
          <w:szCs w:val="22"/>
          <w:lang w:eastAsia="en-GB"/>
        </w:rPr>
        <w:t xml:space="preserve">a necessary and </w:t>
      </w:r>
      <w:r w:rsidRPr="00027237">
        <w:rPr>
          <w:rFonts w:ascii="Arial" w:eastAsia="Arial" w:hAnsi="Arial" w:cs="Arial"/>
          <w:color w:val="000000" w:themeColor="text1"/>
          <w:sz w:val="22"/>
          <w:szCs w:val="22"/>
          <w:lang w:eastAsia="en-GB"/>
        </w:rPr>
        <w:t xml:space="preserve">proportionate response to the management of risk. It will be the case </w:t>
      </w:r>
      <w:r w:rsidR="00442FC1" w:rsidRPr="00027237">
        <w:rPr>
          <w:rFonts w:ascii="Arial" w:eastAsia="Arial" w:hAnsi="Arial" w:cs="Arial"/>
          <w:color w:val="000000" w:themeColor="text1"/>
          <w:sz w:val="22"/>
          <w:szCs w:val="22"/>
          <w:lang w:eastAsia="en-GB"/>
        </w:rPr>
        <w:t>that such conditions are likely to be requested by MAPPA or other agencies and MHCS will wish to see why the request is being made and that the infrastructure is in place to bring such a condition into effect.</w:t>
      </w:r>
    </w:p>
    <w:p w14:paraId="0446A550" w14:textId="77777777" w:rsidR="00442FC1" w:rsidRPr="00027237" w:rsidRDefault="00442FC1" w:rsidP="4DD53C4F">
      <w:pPr>
        <w:pStyle w:val="ListParagraph"/>
        <w:spacing w:after="231" w:line="249" w:lineRule="auto"/>
        <w:ind w:left="1070"/>
        <w:contextualSpacing/>
        <w:rPr>
          <w:rFonts w:ascii="Arial" w:eastAsia="Arial" w:hAnsi="Arial" w:cs="Arial"/>
          <w:color w:val="000000"/>
          <w:sz w:val="22"/>
          <w:szCs w:val="22"/>
          <w:lang w:eastAsia="en-GB"/>
        </w:rPr>
      </w:pPr>
    </w:p>
    <w:p w14:paraId="6255AEC3" w14:textId="4FA069BC" w:rsidR="00442FC1" w:rsidRPr="00027237" w:rsidRDefault="00442FC1" w:rsidP="4DD53C4F">
      <w:pPr>
        <w:pStyle w:val="ListParagraph"/>
        <w:numPr>
          <w:ilvl w:val="0"/>
          <w:numId w:val="4"/>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 xml:space="preserve">Conversely, if a condition of this nature is being varied or removed MHCS will wish to see that the other agencies involved in its original imposition </w:t>
      </w:r>
      <w:r w:rsidR="5FAE8F74" w:rsidRPr="00027237">
        <w:rPr>
          <w:rFonts w:ascii="Arial" w:eastAsia="Arial" w:hAnsi="Arial" w:cs="Arial"/>
          <w:color w:val="000000" w:themeColor="text1"/>
          <w:sz w:val="22"/>
          <w:szCs w:val="22"/>
          <w:lang w:eastAsia="en-GB"/>
        </w:rPr>
        <w:t>agree</w:t>
      </w:r>
      <w:r w:rsidRPr="00027237">
        <w:rPr>
          <w:rFonts w:ascii="Arial" w:eastAsia="Arial" w:hAnsi="Arial" w:cs="Arial"/>
          <w:color w:val="000000" w:themeColor="text1"/>
          <w:sz w:val="22"/>
          <w:szCs w:val="22"/>
          <w:lang w:eastAsia="en-GB"/>
        </w:rPr>
        <w:t xml:space="preserve"> to the variation or removal of the condition</w:t>
      </w:r>
      <w:r w:rsidR="00861BD0" w:rsidRPr="00027237">
        <w:rPr>
          <w:rFonts w:ascii="Arial" w:eastAsia="Arial" w:hAnsi="Arial" w:cs="Arial"/>
          <w:color w:val="000000" w:themeColor="text1"/>
          <w:sz w:val="22"/>
          <w:szCs w:val="22"/>
          <w:lang w:eastAsia="en-GB"/>
        </w:rPr>
        <w:t>.</w:t>
      </w:r>
    </w:p>
    <w:p w14:paraId="278C4907" w14:textId="77777777" w:rsidR="009E77B2" w:rsidRPr="00027237" w:rsidRDefault="009E77B2" w:rsidP="4DD53C4F">
      <w:pPr>
        <w:pStyle w:val="ListParagraph"/>
        <w:spacing w:after="231" w:line="249" w:lineRule="auto"/>
        <w:ind w:left="1070"/>
        <w:contextualSpacing/>
        <w:rPr>
          <w:rFonts w:ascii="Arial" w:eastAsia="Arial" w:hAnsi="Arial" w:cs="Arial"/>
          <w:b/>
          <w:bCs/>
          <w:color w:val="000000" w:themeColor="text1"/>
          <w:sz w:val="22"/>
          <w:szCs w:val="22"/>
          <w:lang w:eastAsia="en-GB"/>
        </w:rPr>
      </w:pPr>
    </w:p>
    <w:p w14:paraId="51A4A80F" w14:textId="003C621B" w:rsidR="00442FC1" w:rsidRPr="00027237" w:rsidRDefault="00E47A31" w:rsidP="4DD53C4F">
      <w:pPr>
        <w:pStyle w:val="ListParagraph"/>
        <w:spacing w:after="231" w:line="249" w:lineRule="auto"/>
        <w:ind w:left="1070"/>
        <w:contextualSpacing/>
        <w:rPr>
          <w:rFonts w:ascii="Arial" w:eastAsia="Arial" w:hAnsi="Arial" w:cs="Arial"/>
          <w:b/>
          <w:bCs/>
          <w:color w:val="000000"/>
          <w:sz w:val="22"/>
          <w:szCs w:val="22"/>
          <w:lang w:eastAsia="en-GB"/>
        </w:rPr>
      </w:pPr>
      <w:r w:rsidRPr="00027237">
        <w:rPr>
          <w:rFonts w:ascii="Arial" w:eastAsia="Arial" w:hAnsi="Arial" w:cs="Arial"/>
          <w:b/>
          <w:bCs/>
          <w:color w:val="000000" w:themeColor="text1"/>
          <w:sz w:val="22"/>
          <w:szCs w:val="22"/>
          <w:lang w:eastAsia="en-GB"/>
        </w:rPr>
        <w:t>Section 9 - Requesting a variation in Conditional Discharge Reporting</w:t>
      </w:r>
    </w:p>
    <w:p w14:paraId="690E9D29" w14:textId="70B00D93" w:rsidR="00E47A31" w:rsidRPr="00027237" w:rsidRDefault="00E47A31" w:rsidP="4DD53C4F">
      <w:pPr>
        <w:pStyle w:val="ListParagraph"/>
        <w:spacing w:after="231" w:line="249" w:lineRule="auto"/>
        <w:ind w:left="1070"/>
        <w:contextualSpacing/>
        <w:rPr>
          <w:rFonts w:ascii="Arial" w:eastAsia="Arial" w:hAnsi="Arial" w:cs="Arial"/>
          <w:b/>
          <w:bCs/>
          <w:color w:val="000000"/>
          <w:sz w:val="22"/>
          <w:szCs w:val="22"/>
          <w:lang w:eastAsia="en-GB"/>
        </w:rPr>
      </w:pPr>
    </w:p>
    <w:p w14:paraId="2D05BEE2" w14:textId="5B4475F1" w:rsidR="00E47A31" w:rsidRPr="00027237" w:rsidRDefault="00E47A31" w:rsidP="4DD53C4F">
      <w:pPr>
        <w:pStyle w:val="ListParagraph"/>
        <w:numPr>
          <w:ilvl w:val="0"/>
          <w:numId w:val="4"/>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Section 41(6) of the 1983 Act makes it a statutory requirement that the Responsible Clinician should provide the Secretary of State with a report on a restricted patient under their care at least once every 12 months; ‘and every report shall contain such particulars as the Secretary of State may require.’</w:t>
      </w:r>
    </w:p>
    <w:p w14:paraId="6C6D72C5" w14:textId="77777777" w:rsidR="00E47A31" w:rsidRPr="00027237" w:rsidRDefault="00E47A31" w:rsidP="4DD53C4F">
      <w:pPr>
        <w:pStyle w:val="ListParagraph"/>
        <w:spacing w:after="231" w:line="249" w:lineRule="auto"/>
        <w:ind w:left="1070"/>
        <w:contextualSpacing/>
        <w:rPr>
          <w:rFonts w:ascii="Arial" w:eastAsia="Arial" w:hAnsi="Arial" w:cs="Arial"/>
          <w:color w:val="000000"/>
          <w:sz w:val="22"/>
          <w:szCs w:val="22"/>
          <w:lang w:eastAsia="en-GB"/>
        </w:rPr>
      </w:pPr>
    </w:p>
    <w:p w14:paraId="34B4004E" w14:textId="77777777" w:rsidR="009E77B2" w:rsidRPr="00027237" w:rsidRDefault="00E47A31" w:rsidP="4DD53C4F">
      <w:pPr>
        <w:pStyle w:val="ListParagraph"/>
        <w:numPr>
          <w:ilvl w:val="0"/>
          <w:numId w:val="4"/>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 xml:space="preserve">In the case of detained restricted </w:t>
      </w:r>
      <w:r w:rsidR="569DBCAF" w:rsidRPr="00027237">
        <w:rPr>
          <w:rFonts w:ascii="Arial" w:eastAsia="Arial" w:hAnsi="Arial" w:cs="Arial"/>
          <w:color w:val="000000" w:themeColor="text1"/>
          <w:sz w:val="22"/>
          <w:szCs w:val="22"/>
          <w:lang w:eastAsia="en-GB"/>
        </w:rPr>
        <w:t>patients,</w:t>
      </w:r>
      <w:r w:rsidRPr="00027237">
        <w:rPr>
          <w:rFonts w:ascii="Arial" w:eastAsia="Arial" w:hAnsi="Arial" w:cs="Arial"/>
          <w:color w:val="000000" w:themeColor="text1"/>
          <w:sz w:val="22"/>
          <w:szCs w:val="22"/>
          <w:lang w:eastAsia="en-GB"/>
        </w:rPr>
        <w:t xml:space="preserve"> the in-patient Responsible Clinician should provide an annual statutory report. For those patient</w:t>
      </w:r>
      <w:r w:rsidR="00AD4ADB" w:rsidRPr="00027237">
        <w:rPr>
          <w:rFonts w:ascii="Arial" w:eastAsia="Arial" w:hAnsi="Arial" w:cs="Arial"/>
          <w:color w:val="000000" w:themeColor="text1"/>
          <w:sz w:val="22"/>
          <w:szCs w:val="22"/>
          <w:lang w:eastAsia="en-GB"/>
        </w:rPr>
        <w:t>s</w:t>
      </w:r>
      <w:r w:rsidRPr="00027237">
        <w:rPr>
          <w:rFonts w:ascii="Arial" w:eastAsia="Arial" w:hAnsi="Arial" w:cs="Arial"/>
          <w:color w:val="000000" w:themeColor="text1"/>
          <w:sz w:val="22"/>
          <w:szCs w:val="22"/>
          <w:lang w:eastAsia="en-GB"/>
        </w:rPr>
        <w:t xml:space="preserve"> that have been conditionally discharged MHCS, on behalf of the Secretary of State, expect conditional discharge reports (CDR) to be submitted four weeks after the discharge has </w:t>
      </w:r>
      <w:r w:rsidR="00C34618" w:rsidRPr="00027237">
        <w:rPr>
          <w:rFonts w:ascii="Arial" w:eastAsia="Arial" w:hAnsi="Arial" w:cs="Arial"/>
          <w:color w:val="000000" w:themeColor="text1"/>
          <w:sz w:val="22"/>
          <w:szCs w:val="22"/>
          <w:lang w:eastAsia="en-GB"/>
        </w:rPr>
        <w:t>come</w:t>
      </w:r>
      <w:r w:rsidRPr="00027237">
        <w:rPr>
          <w:rFonts w:ascii="Arial" w:eastAsia="Arial" w:hAnsi="Arial" w:cs="Arial"/>
          <w:color w:val="000000" w:themeColor="text1"/>
          <w:sz w:val="22"/>
          <w:szCs w:val="22"/>
          <w:lang w:eastAsia="en-GB"/>
        </w:rPr>
        <w:t xml:space="preserve"> into effect and every three months thereafter. The </w:t>
      </w:r>
      <w:r w:rsidR="32B80767" w:rsidRPr="00027237">
        <w:rPr>
          <w:rFonts w:ascii="Arial" w:eastAsia="Arial" w:hAnsi="Arial" w:cs="Arial"/>
          <w:color w:val="000000" w:themeColor="text1"/>
          <w:sz w:val="22"/>
          <w:szCs w:val="22"/>
          <w:lang w:eastAsia="en-GB"/>
        </w:rPr>
        <w:t>conditional discharge report</w:t>
      </w:r>
      <w:r w:rsidRPr="00027237">
        <w:rPr>
          <w:rFonts w:ascii="Arial" w:eastAsia="Arial" w:hAnsi="Arial" w:cs="Arial"/>
          <w:color w:val="000000" w:themeColor="text1"/>
          <w:sz w:val="22"/>
          <w:szCs w:val="22"/>
          <w:lang w:eastAsia="en-GB"/>
        </w:rPr>
        <w:t xml:space="preserve"> forms and guidance on their completion can be found in</w:t>
      </w:r>
      <w:r w:rsidR="00C34618" w:rsidRPr="00027237">
        <w:rPr>
          <w:rFonts w:ascii="Arial" w:eastAsia="Arial" w:hAnsi="Arial" w:cs="Arial"/>
          <w:color w:val="000000" w:themeColor="text1"/>
          <w:sz w:val="22"/>
          <w:szCs w:val="22"/>
          <w:lang w:eastAsia="en-GB"/>
        </w:rPr>
        <w:t xml:space="preserve"> the document ‘Conditionally Discharged Patients: Supervision and reporting’ </w:t>
      </w:r>
      <w:r w:rsidR="438B05F0" w:rsidRPr="00027237">
        <w:rPr>
          <w:rFonts w:ascii="Arial" w:eastAsia="Arial" w:hAnsi="Arial" w:cs="Arial"/>
          <w:color w:val="000000" w:themeColor="text1"/>
          <w:sz w:val="22"/>
          <w:szCs w:val="22"/>
          <w:lang w:eastAsia="en-GB"/>
        </w:rPr>
        <w:t>which can be found at</w:t>
      </w:r>
      <w:r w:rsidR="009E77B2" w:rsidRPr="00027237">
        <w:rPr>
          <w:rFonts w:ascii="Arial" w:eastAsia="Arial" w:hAnsi="Arial" w:cs="Arial"/>
          <w:color w:val="000000" w:themeColor="text1"/>
          <w:sz w:val="22"/>
          <w:szCs w:val="22"/>
          <w:lang w:eastAsia="en-GB"/>
        </w:rPr>
        <w:t>:</w:t>
      </w:r>
    </w:p>
    <w:p w14:paraId="787C8E4B" w14:textId="77777777" w:rsidR="009E77B2" w:rsidRPr="00027237" w:rsidRDefault="009E77B2" w:rsidP="006610F7">
      <w:pPr>
        <w:pStyle w:val="ListParagraph"/>
        <w:rPr>
          <w:rFonts w:ascii="Arial" w:eastAsia="Arial" w:hAnsi="Arial" w:cs="Arial"/>
          <w:color w:val="000000" w:themeColor="text1"/>
          <w:sz w:val="22"/>
          <w:szCs w:val="22"/>
          <w:lang w:eastAsia="en-GB"/>
        </w:rPr>
      </w:pPr>
    </w:p>
    <w:p w14:paraId="4366D69F" w14:textId="43A1E3FC" w:rsidR="00E47A31" w:rsidRPr="00027237" w:rsidRDefault="438B05F0" w:rsidP="006610F7">
      <w:pPr>
        <w:pStyle w:val="ListParagraph"/>
        <w:spacing w:after="231" w:line="249" w:lineRule="auto"/>
        <w:ind w:left="1070"/>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 xml:space="preserve"> </w:t>
      </w:r>
      <w:hyperlink r:id="rId24">
        <w:r w:rsidR="00D8145A" w:rsidRPr="00027237">
          <w:rPr>
            <w:rFonts w:ascii="Arial" w:eastAsia="Arial" w:hAnsi="Arial" w:cs="Arial"/>
            <w:color w:val="0000FF"/>
            <w:sz w:val="22"/>
            <w:szCs w:val="22"/>
            <w:u w:val="single"/>
            <w:lang w:val="en-GB" w:bidi="he-IL"/>
          </w:rPr>
          <w:t>Submit a conditional discharge report for restricted patients - GOV.UK (www.gov.uk)</w:t>
        </w:r>
      </w:hyperlink>
    </w:p>
    <w:p w14:paraId="6C583606" w14:textId="77777777" w:rsidR="00C34618" w:rsidRPr="00027237" w:rsidRDefault="00C34618" w:rsidP="4DD53C4F">
      <w:pPr>
        <w:pStyle w:val="ListParagraph"/>
        <w:rPr>
          <w:rFonts w:ascii="Arial" w:eastAsia="Arial" w:hAnsi="Arial" w:cs="Arial"/>
          <w:color w:val="000000"/>
          <w:sz w:val="22"/>
          <w:szCs w:val="22"/>
          <w:lang w:eastAsia="en-GB"/>
        </w:rPr>
      </w:pPr>
    </w:p>
    <w:p w14:paraId="399A76B7" w14:textId="7E886BA6" w:rsidR="00BC723C" w:rsidRPr="00027237" w:rsidRDefault="40A2DCB2" w:rsidP="4DD53C4F">
      <w:pPr>
        <w:pStyle w:val="ListParagraph"/>
        <w:numPr>
          <w:ilvl w:val="0"/>
          <w:numId w:val="4"/>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The social and clinical supervisors</w:t>
      </w:r>
      <w:r w:rsidR="00C34618" w:rsidRPr="00027237">
        <w:rPr>
          <w:rFonts w:ascii="Arial" w:eastAsia="Arial" w:hAnsi="Arial" w:cs="Arial"/>
          <w:color w:val="000000" w:themeColor="text1"/>
          <w:sz w:val="22"/>
          <w:szCs w:val="22"/>
          <w:lang w:eastAsia="en-GB"/>
        </w:rPr>
        <w:t xml:space="preserve"> can apply for a reduction in the frequency of reporting from every three months to six monthly</w:t>
      </w:r>
      <w:r w:rsidR="00F36D8A" w:rsidRPr="00027237">
        <w:rPr>
          <w:rFonts w:ascii="Arial" w:eastAsia="Arial" w:hAnsi="Arial" w:cs="Arial"/>
          <w:color w:val="000000" w:themeColor="text1"/>
          <w:sz w:val="22"/>
          <w:szCs w:val="22"/>
          <w:lang w:eastAsia="en-GB"/>
        </w:rPr>
        <w:t xml:space="preserve">, </w:t>
      </w:r>
      <w:r w:rsidR="00C34618" w:rsidRPr="00027237">
        <w:rPr>
          <w:rFonts w:ascii="Arial" w:eastAsia="Arial" w:hAnsi="Arial" w:cs="Arial"/>
          <w:color w:val="000000" w:themeColor="text1"/>
          <w:sz w:val="22"/>
          <w:szCs w:val="22"/>
          <w:lang w:eastAsia="en-GB"/>
        </w:rPr>
        <w:t>and in exceptional cases annual reporting. MHCS will not usually consider a reduction in reporting frequency until the patient has been in the community</w:t>
      </w:r>
      <w:r w:rsidR="00BC723C" w:rsidRPr="00027237">
        <w:rPr>
          <w:rFonts w:ascii="Arial" w:eastAsia="Arial" w:hAnsi="Arial" w:cs="Arial"/>
          <w:color w:val="000000" w:themeColor="text1"/>
          <w:sz w:val="22"/>
          <w:szCs w:val="22"/>
          <w:lang w:eastAsia="en-GB"/>
        </w:rPr>
        <w:t xml:space="preserve"> for at least three consecutive years without any concerns. Exceptions may arise where a reduction in reporting can be considered at an earlier point and supervisors can contact </w:t>
      </w:r>
      <w:hyperlink r:id="rId25">
        <w:r w:rsidR="00BC723C" w:rsidRPr="00027237">
          <w:rPr>
            <w:rFonts w:ascii="Arial" w:eastAsia="Arial" w:hAnsi="Arial" w:cs="Arial"/>
            <w:noProof/>
            <w:color w:val="0000FF"/>
            <w:sz w:val="22"/>
            <w:szCs w:val="22"/>
            <w:u w:val="single"/>
            <w:lang w:val="en-GB" w:eastAsia="en-GB" w:bidi="he-IL"/>
          </w:rPr>
          <w:t>MHCSMailbox@justice.gov.uk</w:t>
        </w:r>
      </w:hyperlink>
      <w:r w:rsidR="00BC723C" w:rsidRPr="00027237">
        <w:rPr>
          <w:rFonts w:ascii="Arial" w:eastAsia="Arial" w:hAnsi="Arial" w:cs="Arial"/>
          <w:color w:val="000000" w:themeColor="text1"/>
          <w:sz w:val="22"/>
          <w:szCs w:val="22"/>
          <w:lang w:eastAsia="en-GB"/>
        </w:rPr>
        <w:t xml:space="preserve"> to seek advice</w:t>
      </w:r>
      <w:r w:rsidR="00F36D8A" w:rsidRPr="00027237">
        <w:rPr>
          <w:rFonts w:ascii="Arial" w:eastAsia="Arial" w:hAnsi="Arial" w:cs="Arial"/>
          <w:color w:val="000000" w:themeColor="text1"/>
          <w:sz w:val="22"/>
          <w:szCs w:val="22"/>
          <w:lang w:eastAsia="en-GB"/>
        </w:rPr>
        <w:t xml:space="preserve"> on whether this is appropriate</w:t>
      </w:r>
      <w:r w:rsidR="00BC723C" w:rsidRPr="00027237">
        <w:rPr>
          <w:rFonts w:ascii="Arial" w:eastAsia="Arial" w:hAnsi="Arial" w:cs="Arial"/>
          <w:color w:val="000000" w:themeColor="text1"/>
          <w:sz w:val="22"/>
          <w:szCs w:val="22"/>
          <w:lang w:eastAsia="en-GB"/>
        </w:rPr>
        <w:t>.</w:t>
      </w:r>
    </w:p>
    <w:p w14:paraId="75C91A20" w14:textId="77777777" w:rsidR="00BC723C" w:rsidRPr="00027237" w:rsidRDefault="00BC723C" w:rsidP="4DD53C4F">
      <w:pPr>
        <w:pStyle w:val="ListParagraph"/>
        <w:rPr>
          <w:rFonts w:ascii="Arial" w:eastAsia="Arial" w:hAnsi="Arial" w:cs="Arial"/>
          <w:color w:val="000000"/>
          <w:sz w:val="22"/>
          <w:szCs w:val="22"/>
          <w:lang w:eastAsia="en-GB"/>
        </w:rPr>
      </w:pPr>
    </w:p>
    <w:p w14:paraId="5EB8C26C" w14:textId="26BA0DDA" w:rsidR="00BC723C" w:rsidRPr="00027237" w:rsidRDefault="00BC723C" w:rsidP="4DD53C4F">
      <w:pPr>
        <w:pStyle w:val="ListParagraph"/>
        <w:numPr>
          <w:ilvl w:val="0"/>
          <w:numId w:val="4"/>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Whe</w:t>
      </w:r>
      <w:r w:rsidR="00F36D8A" w:rsidRPr="00027237">
        <w:rPr>
          <w:rFonts w:ascii="Arial" w:eastAsia="Arial" w:hAnsi="Arial" w:cs="Arial"/>
          <w:color w:val="000000" w:themeColor="text1"/>
          <w:sz w:val="22"/>
          <w:szCs w:val="22"/>
          <w:lang w:eastAsia="en-GB"/>
        </w:rPr>
        <w:t>re</w:t>
      </w:r>
      <w:r w:rsidRPr="00027237">
        <w:rPr>
          <w:rFonts w:ascii="Arial" w:eastAsia="Arial" w:hAnsi="Arial" w:cs="Arial"/>
          <w:color w:val="000000" w:themeColor="text1"/>
          <w:sz w:val="22"/>
          <w:szCs w:val="22"/>
          <w:lang w:eastAsia="en-GB"/>
        </w:rPr>
        <w:t xml:space="preserve"> supervisors are seeking a reduction in reporting frequency to six monthly</w:t>
      </w:r>
      <w:r w:rsidR="00DD1FDA" w:rsidRPr="00027237">
        <w:rPr>
          <w:rFonts w:ascii="Arial" w:eastAsia="Arial" w:hAnsi="Arial" w:cs="Arial"/>
          <w:color w:val="000000" w:themeColor="text1"/>
          <w:sz w:val="22"/>
          <w:szCs w:val="22"/>
          <w:lang w:eastAsia="en-GB"/>
        </w:rPr>
        <w:t xml:space="preserve"> </w:t>
      </w:r>
      <w:r w:rsidR="768CC845" w:rsidRPr="00027237">
        <w:rPr>
          <w:rFonts w:ascii="Arial" w:eastAsia="Arial" w:hAnsi="Arial" w:cs="Arial"/>
          <w:color w:val="000000" w:themeColor="text1"/>
          <w:sz w:val="22"/>
          <w:szCs w:val="22"/>
          <w:lang w:eastAsia="en-GB"/>
        </w:rPr>
        <w:t>reporting,</w:t>
      </w:r>
      <w:r w:rsidRPr="00027237">
        <w:rPr>
          <w:rFonts w:ascii="Arial" w:eastAsia="Arial" w:hAnsi="Arial" w:cs="Arial"/>
          <w:color w:val="000000" w:themeColor="text1"/>
          <w:sz w:val="22"/>
          <w:szCs w:val="22"/>
          <w:lang w:eastAsia="en-GB"/>
        </w:rPr>
        <w:t xml:space="preserve"> they will be required to set out to MHCS what effect this will have on the level of supervision or monitoring </w:t>
      </w:r>
      <w:r w:rsidR="00F36D8A" w:rsidRPr="00027237">
        <w:rPr>
          <w:rFonts w:ascii="Arial" w:eastAsia="Arial" w:hAnsi="Arial" w:cs="Arial"/>
          <w:color w:val="000000" w:themeColor="text1"/>
          <w:sz w:val="22"/>
          <w:szCs w:val="22"/>
          <w:lang w:eastAsia="en-GB"/>
        </w:rPr>
        <w:t>of the patient in the community</w:t>
      </w:r>
      <w:r w:rsidRPr="00027237">
        <w:rPr>
          <w:rFonts w:ascii="Arial" w:eastAsia="Arial" w:hAnsi="Arial" w:cs="Arial"/>
          <w:color w:val="000000" w:themeColor="text1"/>
          <w:sz w:val="22"/>
          <w:szCs w:val="22"/>
          <w:lang w:eastAsia="en-GB"/>
        </w:rPr>
        <w:t>. MHCS will be less inclined to agree to a reduction in reporting frequency if there is a corresponding reduction in supervision for those patients who have a history of committing violent</w:t>
      </w:r>
      <w:r w:rsidR="00D63456" w:rsidRPr="00027237">
        <w:rPr>
          <w:rFonts w:ascii="Arial" w:eastAsia="Arial" w:hAnsi="Arial" w:cs="Arial"/>
          <w:color w:val="000000" w:themeColor="text1"/>
          <w:sz w:val="22"/>
          <w:szCs w:val="22"/>
          <w:lang w:eastAsia="en-GB"/>
        </w:rPr>
        <w:t xml:space="preserve"> offences,</w:t>
      </w:r>
      <w:r w:rsidRPr="00027237">
        <w:rPr>
          <w:rFonts w:ascii="Arial" w:eastAsia="Arial" w:hAnsi="Arial" w:cs="Arial"/>
          <w:color w:val="000000" w:themeColor="text1"/>
          <w:sz w:val="22"/>
          <w:szCs w:val="22"/>
          <w:lang w:eastAsia="en-GB"/>
        </w:rPr>
        <w:t xml:space="preserve"> sexual offences</w:t>
      </w:r>
      <w:r w:rsidR="00D63456" w:rsidRPr="00027237">
        <w:rPr>
          <w:rFonts w:ascii="Arial" w:eastAsia="Arial" w:hAnsi="Arial" w:cs="Arial"/>
          <w:color w:val="000000" w:themeColor="text1"/>
          <w:sz w:val="22"/>
          <w:szCs w:val="22"/>
          <w:lang w:eastAsia="en-GB"/>
        </w:rPr>
        <w:t xml:space="preserve"> or have a discharge history which has led to recalls to hospital due to the risk they have posed in the past. </w:t>
      </w:r>
    </w:p>
    <w:p w14:paraId="2087CFAE" w14:textId="77777777" w:rsidR="00D63456" w:rsidRPr="00027237" w:rsidRDefault="00D63456" w:rsidP="4DD53C4F">
      <w:pPr>
        <w:pStyle w:val="ListParagraph"/>
        <w:spacing w:after="231" w:line="249" w:lineRule="auto"/>
        <w:ind w:left="1070"/>
        <w:contextualSpacing/>
        <w:rPr>
          <w:rFonts w:ascii="Arial" w:eastAsia="Arial" w:hAnsi="Arial" w:cs="Arial"/>
          <w:color w:val="000000"/>
          <w:sz w:val="22"/>
          <w:szCs w:val="22"/>
          <w:lang w:eastAsia="en-GB"/>
        </w:rPr>
      </w:pPr>
    </w:p>
    <w:p w14:paraId="5F912802" w14:textId="42E279CF" w:rsidR="00BC723C" w:rsidRPr="00027237" w:rsidRDefault="00BC723C" w:rsidP="4DD53C4F">
      <w:pPr>
        <w:pStyle w:val="ListParagraph"/>
        <w:numPr>
          <w:ilvl w:val="0"/>
          <w:numId w:val="4"/>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 xml:space="preserve">Notwithstanding the fact MHCS will have at its disposal all the previous CDRs the supervisors should </w:t>
      </w:r>
      <w:proofErr w:type="spellStart"/>
      <w:r w:rsidRPr="00027237">
        <w:rPr>
          <w:rFonts w:ascii="Arial" w:eastAsia="Arial" w:hAnsi="Arial" w:cs="Arial"/>
          <w:color w:val="000000" w:themeColor="text1"/>
          <w:sz w:val="22"/>
          <w:szCs w:val="22"/>
          <w:lang w:eastAsia="en-GB"/>
        </w:rPr>
        <w:t>summarise</w:t>
      </w:r>
      <w:proofErr w:type="spellEnd"/>
      <w:r w:rsidRPr="00027237">
        <w:rPr>
          <w:rFonts w:ascii="Arial" w:eastAsia="Arial" w:hAnsi="Arial" w:cs="Arial"/>
          <w:color w:val="000000" w:themeColor="text1"/>
          <w:sz w:val="22"/>
          <w:szCs w:val="22"/>
          <w:lang w:eastAsia="en-GB"/>
        </w:rPr>
        <w:t xml:space="preserve"> the progress of the patient since discharge and the past and potential risks the patient may pose</w:t>
      </w:r>
      <w:r w:rsidR="00F36D8A" w:rsidRPr="00027237">
        <w:rPr>
          <w:rFonts w:ascii="Arial" w:eastAsia="Arial" w:hAnsi="Arial" w:cs="Arial"/>
          <w:color w:val="000000" w:themeColor="text1"/>
          <w:sz w:val="22"/>
          <w:szCs w:val="22"/>
          <w:lang w:eastAsia="en-GB"/>
        </w:rPr>
        <w:t xml:space="preserve"> if they were to relapse. This summary should also include any previous problems with adhering to the conditions of discharge</w:t>
      </w:r>
      <w:r w:rsidR="00CE2039" w:rsidRPr="00027237">
        <w:rPr>
          <w:rFonts w:ascii="Arial" w:eastAsia="Arial" w:hAnsi="Arial" w:cs="Arial"/>
          <w:color w:val="000000" w:themeColor="text1"/>
          <w:sz w:val="22"/>
          <w:szCs w:val="22"/>
          <w:lang w:eastAsia="en-GB"/>
        </w:rPr>
        <w:t>, recalls</w:t>
      </w:r>
      <w:r w:rsidR="00F36D8A" w:rsidRPr="00027237">
        <w:rPr>
          <w:rFonts w:ascii="Arial" w:eastAsia="Arial" w:hAnsi="Arial" w:cs="Arial"/>
          <w:color w:val="000000" w:themeColor="text1"/>
          <w:sz w:val="22"/>
          <w:szCs w:val="22"/>
          <w:lang w:eastAsia="en-GB"/>
        </w:rPr>
        <w:t xml:space="preserve"> and involvement with the criminal justice system, even if this is not directly attributable to the patient’s mental disorder. </w:t>
      </w:r>
      <w:r w:rsidR="00CE2039" w:rsidRPr="00027237">
        <w:rPr>
          <w:rFonts w:ascii="Arial" w:eastAsia="Arial" w:hAnsi="Arial" w:cs="Arial"/>
          <w:color w:val="000000" w:themeColor="text1"/>
          <w:sz w:val="22"/>
          <w:szCs w:val="22"/>
          <w:lang w:eastAsia="en-GB"/>
        </w:rPr>
        <w:t xml:space="preserve">MHCS will not agree to a reduction in reporting simply because a discharged patient is also subject to a community sentence or a post-custodial </w:t>
      </w:r>
      <w:proofErr w:type="spellStart"/>
      <w:r w:rsidR="00CE2039" w:rsidRPr="00027237">
        <w:rPr>
          <w:rFonts w:ascii="Arial" w:eastAsia="Arial" w:hAnsi="Arial" w:cs="Arial"/>
          <w:color w:val="000000" w:themeColor="text1"/>
          <w:sz w:val="22"/>
          <w:szCs w:val="22"/>
          <w:lang w:eastAsia="en-GB"/>
        </w:rPr>
        <w:t>licence</w:t>
      </w:r>
      <w:proofErr w:type="spellEnd"/>
      <w:r w:rsidR="00CE2039" w:rsidRPr="00027237">
        <w:rPr>
          <w:rFonts w:ascii="Arial" w:eastAsia="Arial" w:hAnsi="Arial" w:cs="Arial"/>
          <w:color w:val="000000" w:themeColor="text1"/>
          <w:sz w:val="22"/>
          <w:szCs w:val="22"/>
          <w:lang w:eastAsia="en-GB"/>
        </w:rPr>
        <w:t xml:space="preserve"> following a prison sentence. </w:t>
      </w:r>
    </w:p>
    <w:p w14:paraId="0567D757" w14:textId="77777777" w:rsidR="00CE2039" w:rsidRPr="00027237" w:rsidRDefault="00CE2039" w:rsidP="4DD53C4F">
      <w:pPr>
        <w:pStyle w:val="ListParagraph"/>
        <w:spacing w:after="231" w:line="249" w:lineRule="auto"/>
        <w:ind w:left="1070"/>
        <w:contextualSpacing/>
        <w:rPr>
          <w:rFonts w:ascii="Arial" w:eastAsia="Arial" w:hAnsi="Arial" w:cs="Arial"/>
          <w:color w:val="000000"/>
          <w:sz w:val="22"/>
          <w:szCs w:val="22"/>
          <w:lang w:eastAsia="en-GB"/>
        </w:rPr>
      </w:pPr>
    </w:p>
    <w:p w14:paraId="6C6A3E3C" w14:textId="193C3233" w:rsidR="00CE2039" w:rsidRPr="00027237" w:rsidRDefault="00CE2039" w:rsidP="4DD53C4F">
      <w:pPr>
        <w:pStyle w:val="ListParagraph"/>
        <w:numPr>
          <w:ilvl w:val="0"/>
          <w:numId w:val="4"/>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Where a patient is a MAPPA Level 2 o</w:t>
      </w:r>
      <w:r w:rsidR="004B6FC9" w:rsidRPr="00027237">
        <w:rPr>
          <w:rFonts w:ascii="Arial" w:eastAsia="Arial" w:hAnsi="Arial" w:cs="Arial"/>
          <w:color w:val="000000" w:themeColor="text1"/>
          <w:sz w:val="22"/>
          <w:szCs w:val="22"/>
          <w:lang w:eastAsia="en-GB"/>
        </w:rPr>
        <w:t>r</w:t>
      </w:r>
      <w:r w:rsidRPr="00027237">
        <w:rPr>
          <w:rFonts w:ascii="Arial" w:eastAsia="Arial" w:hAnsi="Arial" w:cs="Arial"/>
          <w:color w:val="000000" w:themeColor="text1"/>
          <w:sz w:val="22"/>
          <w:szCs w:val="22"/>
          <w:lang w:eastAsia="en-GB"/>
        </w:rPr>
        <w:t xml:space="preserve"> 3 case,</w:t>
      </w:r>
      <w:r w:rsidR="004B2CD0" w:rsidRPr="00027237">
        <w:rPr>
          <w:rFonts w:ascii="Arial" w:eastAsia="Arial" w:hAnsi="Arial" w:cs="Arial"/>
          <w:color w:val="000000" w:themeColor="text1"/>
          <w:sz w:val="22"/>
          <w:szCs w:val="22"/>
          <w:lang w:eastAsia="en-GB"/>
        </w:rPr>
        <w:t xml:space="preserve"> or a MAPPA category 4 (Terrorism convicted or connected), </w:t>
      </w:r>
      <w:r w:rsidRPr="00027237">
        <w:rPr>
          <w:rFonts w:ascii="Arial" w:eastAsia="Arial" w:hAnsi="Arial" w:cs="Arial"/>
          <w:color w:val="000000" w:themeColor="text1"/>
          <w:sz w:val="22"/>
          <w:szCs w:val="22"/>
          <w:lang w:eastAsia="en-GB"/>
        </w:rPr>
        <w:t xml:space="preserve">MHCS will not consider a reduction in reporting frequency without a MAPPA view. For patients who are subject to notification orders or Sexual Offences Act 2003 prevention orders police views must be sought even when the patient is a Level 1 MAPPA case. </w:t>
      </w:r>
    </w:p>
    <w:p w14:paraId="4C00523A" w14:textId="77777777" w:rsidR="00A64673" w:rsidRPr="00027237" w:rsidRDefault="00A64673" w:rsidP="4DD53C4F">
      <w:pPr>
        <w:pStyle w:val="ListParagraph"/>
        <w:rPr>
          <w:rFonts w:ascii="Arial" w:eastAsia="Arial" w:hAnsi="Arial" w:cs="Arial"/>
          <w:color w:val="000000"/>
          <w:sz w:val="22"/>
          <w:szCs w:val="22"/>
          <w:lang w:eastAsia="en-GB"/>
        </w:rPr>
      </w:pPr>
    </w:p>
    <w:p w14:paraId="5D98DA6C" w14:textId="00030033" w:rsidR="00A64673" w:rsidRPr="00027237" w:rsidRDefault="00A64673" w:rsidP="4DD53C4F">
      <w:pPr>
        <w:pStyle w:val="ListParagraph"/>
        <w:numPr>
          <w:ilvl w:val="0"/>
          <w:numId w:val="4"/>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As indicated in paragraph 5</w:t>
      </w:r>
      <w:r w:rsidR="62BE0456" w:rsidRPr="00027237">
        <w:rPr>
          <w:rFonts w:ascii="Arial" w:eastAsia="Arial" w:hAnsi="Arial" w:cs="Arial"/>
          <w:color w:val="000000" w:themeColor="text1"/>
          <w:sz w:val="22"/>
          <w:szCs w:val="22"/>
          <w:lang w:eastAsia="en-GB"/>
        </w:rPr>
        <w:t>5</w:t>
      </w:r>
      <w:r w:rsidRPr="00027237">
        <w:rPr>
          <w:rFonts w:ascii="Arial" w:eastAsia="Arial" w:hAnsi="Arial" w:cs="Arial"/>
          <w:color w:val="000000" w:themeColor="text1"/>
          <w:sz w:val="22"/>
          <w:szCs w:val="22"/>
          <w:lang w:eastAsia="en-GB"/>
        </w:rPr>
        <w:t xml:space="preserve">, MHCS can exceptionally consider annual reporting </w:t>
      </w:r>
      <w:r w:rsidR="0095034F" w:rsidRPr="00027237">
        <w:rPr>
          <w:rFonts w:ascii="Arial" w:eastAsia="Arial" w:hAnsi="Arial" w:cs="Arial"/>
          <w:color w:val="000000" w:themeColor="text1"/>
          <w:sz w:val="22"/>
          <w:szCs w:val="22"/>
          <w:lang w:eastAsia="en-GB"/>
        </w:rPr>
        <w:t xml:space="preserve">for patients who have been conditionally discharged for a considerable number of years without concern or recall. MHCS can also consider annual reporting for those patients who are </w:t>
      </w:r>
      <w:r w:rsidR="001B0E3B" w:rsidRPr="00027237">
        <w:rPr>
          <w:rFonts w:ascii="Arial" w:eastAsia="Arial" w:hAnsi="Arial" w:cs="Arial"/>
          <w:color w:val="000000" w:themeColor="text1"/>
          <w:sz w:val="22"/>
          <w:szCs w:val="22"/>
          <w:lang w:eastAsia="en-GB"/>
        </w:rPr>
        <w:t>by virtue of age, the nature of their mental disorder or physical deterioration are discharged into highly supported</w:t>
      </w:r>
      <w:r w:rsidR="001D591E" w:rsidRPr="00027237">
        <w:rPr>
          <w:rFonts w:ascii="Arial" w:eastAsia="Arial" w:hAnsi="Arial" w:cs="Arial"/>
          <w:color w:val="000000" w:themeColor="text1"/>
          <w:sz w:val="22"/>
          <w:szCs w:val="22"/>
          <w:lang w:eastAsia="en-GB"/>
        </w:rPr>
        <w:t xml:space="preserve"> accommodation or</w:t>
      </w:r>
      <w:r w:rsidR="001B0E3B" w:rsidRPr="00027237">
        <w:rPr>
          <w:rFonts w:ascii="Arial" w:eastAsia="Arial" w:hAnsi="Arial" w:cs="Arial"/>
          <w:color w:val="000000" w:themeColor="text1"/>
          <w:sz w:val="22"/>
          <w:szCs w:val="22"/>
          <w:lang w:eastAsia="en-GB"/>
        </w:rPr>
        <w:t xml:space="preserve"> care home settings, where any future re-emergence of risk is highly unlikely but where an absolute discharge is not being sought or is</w:t>
      </w:r>
      <w:r w:rsidR="001D591E" w:rsidRPr="00027237">
        <w:rPr>
          <w:rFonts w:ascii="Arial" w:eastAsia="Arial" w:hAnsi="Arial" w:cs="Arial"/>
          <w:color w:val="000000" w:themeColor="text1"/>
          <w:sz w:val="22"/>
          <w:szCs w:val="22"/>
          <w:lang w:eastAsia="en-GB"/>
        </w:rPr>
        <w:t xml:space="preserve"> deemed</w:t>
      </w:r>
      <w:r w:rsidR="001B0E3B" w:rsidRPr="00027237">
        <w:rPr>
          <w:rFonts w:ascii="Arial" w:eastAsia="Arial" w:hAnsi="Arial" w:cs="Arial"/>
          <w:color w:val="000000" w:themeColor="text1"/>
          <w:sz w:val="22"/>
          <w:szCs w:val="22"/>
          <w:lang w:eastAsia="en-GB"/>
        </w:rPr>
        <w:t xml:space="preserve"> appropriate. </w:t>
      </w:r>
    </w:p>
    <w:p w14:paraId="2A05B853" w14:textId="77777777" w:rsidR="001D591E" w:rsidRPr="00027237" w:rsidRDefault="001D591E" w:rsidP="4DD53C4F">
      <w:pPr>
        <w:pStyle w:val="ListParagraph"/>
        <w:rPr>
          <w:rFonts w:ascii="Arial" w:eastAsia="Arial" w:hAnsi="Arial" w:cs="Arial"/>
          <w:color w:val="000000"/>
          <w:sz w:val="22"/>
          <w:szCs w:val="22"/>
          <w:lang w:eastAsia="en-GB"/>
        </w:rPr>
      </w:pPr>
    </w:p>
    <w:p w14:paraId="43FF08E9" w14:textId="4349DC24" w:rsidR="001D591E" w:rsidRPr="00027237" w:rsidRDefault="001D591E" w:rsidP="4DD53C4F">
      <w:pPr>
        <w:pStyle w:val="ListParagraph"/>
        <w:numPr>
          <w:ilvl w:val="0"/>
          <w:numId w:val="4"/>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 xml:space="preserve">In cases where MHCS have agreed to reduce the reporting frequency and the position of the patient changes, supervisors can ask to </w:t>
      </w:r>
      <w:proofErr w:type="gramStart"/>
      <w:r w:rsidRPr="00027237">
        <w:rPr>
          <w:rFonts w:ascii="Arial" w:eastAsia="Arial" w:hAnsi="Arial" w:cs="Arial"/>
          <w:color w:val="000000" w:themeColor="text1"/>
          <w:sz w:val="22"/>
          <w:szCs w:val="22"/>
          <w:lang w:eastAsia="en-GB"/>
        </w:rPr>
        <w:t>revert back</w:t>
      </w:r>
      <w:proofErr w:type="gramEnd"/>
      <w:r w:rsidRPr="00027237">
        <w:rPr>
          <w:rFonts w:ascii="Arial" w:eastAsia="Arial" w:hAnsi="Arial" w:cs="Arial"/>
          <w:color w:val="000000" w:themeColor="text1"/>
          <w:sz w:val="22"/>
          <w:szCs w:val="22"/>
          <w:lang w:eastAsia="en-GB"/>
        </w:rPr>
        <w:t xml:space="preserve"> to three monthly reporting. MHCS may also request a reversion to three monthly reporting where concerns have been raised</w:t>
      </w:r>
      <w:r w:rsidR="000611AF" w:rsidRPr="00027237">
        <w:rPr>
          <w:rFonts w:ascii="Arial" w:eastAsia="Arial" w:hAnsi="Arial" w:cs="Arial"/>
          <w:color w:val="000000" w:themeColor="text1"/>
          <w:sz w:val="22"/>
          <w:szCs w:val="22"/>
          <w:lang w:eastAsia="en-GB"/>
        </w:rPr>
        <w:t xml:space="preserve"> about the patient’s adherence to conditions, changes in presentation or an increase in risk </w:t>
      </w:r>
      <w:proofErr w:type="spellStart"/>
      <w:r w:rsidR="000611AF" w:rsidRPr="00027237">
        <w:rPr>
          <w:rFonts w:ascii="Arial" w:eastAsia="Arial" w:hAnsi="Arial" w:cs="Arial"/>
          <w:color w:val="000000" w:themeColor="text1"/>
          <w:sz w:val="22"/>
          <w:szCs w:val="22"/>
          <w:lang w:eastAsia="en-GB"/>
        </w:rPr>
        <w:t>behaviours</w:t>
      </w:r>
      <w:proofErr w:type="spellEnd"/>
      <w:r w:rsidR="000611AF" w:rsidRPr="00027237">
        <w:rPr>
          <w:rFonts w:ascii="Arial" w:eastAsia="Arial" w:hAnsi="Arial" w:cs="Arial"/>
          <w:color w:val="000000" w:themeColor="text1"/>
          <w:sz w:val="22"/>
          <w:szCs w:val="22"/>
          <w:lang w:eastAsia="en-GB"/>
        </w:rPr>
        <w:t xml:space="preserve">. </w:t>
      </w:r>
    </w:p>
    <w:p w14:paraId="4B3397F3" w14:textId="77777777" w:rsidR="001D591E" w:rsidRPr="00027237" w:rsidRDefault="001D591E" w:rsidP="4DD53C4F">
      <w:pPr>
        <w:pStyle w:val="ListParagraph"/>
        <w:rPr>
          <w:rFonts w:ascii="Arial" w:eastAsia="Arial" w:hAnsi="Arial" w:cs="Arial"/>
          <w:color w:val="000000"/>
          <w:sz w:val="22"/>
          <w:szCs w:val="22"/>
          <w:lang w:eastAsia="en-GB"/>
        </w:rPr>
      </w:pPr>
    </w:p>
    <w:p w14:paraId="4697DE2F" w14:textId="15DF1E5C" w:rsidR="001D591E" w:rsidRPr="00027237" w:rsidRDefault="001D591E" w:rsidP="4DD53C4F">
      <w:pPr>
        <w:pStyle w:val="ListParagraph"/>
        <w:numPr>
          <w:ilvl w:val="0"/>
          <w:numId w:val="4"/>
        </w:numPr>
        <w:spacing w:after="231" w:line="249" w:lineRule="auto"/>
        <w:contextualSpacing/>
        <w:rPr>
          <w:rFonts w:ascii="Arial" w:eastAsia="Arial" w:hAnsi="Arial" w:cs="Arial"/>
          <w:color w:val="000000"/>
          <w:sz w:val="22"/>
          <w:szCs w:val="22"/>
          <w:lang w:eastAsia="en-GB"/>
        </w:rPr>
      </w:pPr>
      <w:r w:rsidRPr="00027237">
        <w:rPr>
          <w:rFonts w:ascii="Arial" w:eastAsia="Arial" w:hAnsi="Arial" w:cs="Arial"/>
          <w:color w:val="000000" w:themeColor="text1"/>
          <w:sz w:val="22"/>
          <w:szCs w:val="22"/>
          <w:lang w:eastAsia="en-GB"/>
        </w:rPr>
        <w:t>If MHCS agree</w:t>
      </w:r>
      <w:r w:rsidR="5F99060F" w:rsidRPr="00027237">
        <w:rPr>
          <w:rFonts w:ascii="Arial" w:eastAsia="Arial" w:hAnsi="Arial" w:cs="Arial"/>
          <w:color w:val="000000" w:themeColor="text1"/>
          <w:sz w:val="22"/>
          <w:szCs w:val="22"/>
          <w:lang w:eastAsia="en-GB"/>
        </w:rPr>
        <w:t>s</w:t>
      </w:r>
      <w:r w:rsidRPr="00027237">
        <w:rPr>
          <w:rFonts w:ascii="Arial" w:eastAsia="Arial" w:hAnsi="Arial" w:cs="Arial"/>
          <w:color w:val="000000" w:themeColor="text1"/>
          <w:sz w:val="22"/>
          <w:szCs w:val="22"/>
          <w:lang w:eastAsia="en-GB"/>
        </w:rPr>
        <w:t xml:space="preserve"> to a reduction in the frequency of discharge </w:t>
      </w:r>
      <w:proofErr w:type="gramStart"/>
      <w:r w:rsidRPr="00027237">
        <w:rPr>
          <w:rFonts w:ascii="Arial" w:eastAsia="Arial" w:hAnsi="Arial" w:cs="Arial"/>
          <w:color w:val="000000" w:themeColor="text1"/>
          <w:sz w:val="22"/>
          <w:szCs w:val="22"/>
          <w:lang w:eastAsia="en-GB"/>
        </w:rPr>
        <w:t>reporting</w:t>
      </w:r>
      <w:proofErr w:type="gramEnd"/>
      <w:r w:rsidRPr="00027237">
        <w:rPr>
          <w:rFonts w:ascii="Arial" w:eastAsia="Arial" w:hAnsi="Arial" w:cs="Arial"/>
          <w:color w:val="000000" w:themeColor="text1"/>
          <w:sz w:val="22"/>
          <w:szCs w:val="22"/>
          <w:lang w:eastAsia="en-GB"/>
        </w:rPr>
        <w:t xml:space="preserve"> there is still a requirement that supervisors must contact MHCS outside of that schedule to highlight any new or emerging risk</w:t>
      </w:r>
      <w:r w:rsidR="00013239" w:rsidRPr="00027237">
        <w:rPr>
          <w:rFonts w:ascii="Arial" w:eastAsia="Arial" w:hAnsi="Arial" w:cs="Arial"/>
          <w:color w:val="000000" w:themeColor="text1"/>
          <w:sz w:val="22"/>
          <w:szCs w:val="22"/>
          <w:lang w:eastAsia="en-GB"/>
        </w:rPr>
        <w:t>.</w:t>
      </w:r>
    </w:p>
    <w:p w14:paraId="1AEEC578" w14:textId="77777777" w:rsidR="00CE2039" w:rsidRPr="00CE2039" w:rsidRDefault="00CE2039" w:rsidP="00CE2039">
      <w:pPr>
        <w:spacing w:after="231" w:line="249" w:lineRule="auto"/>
        <w:contextualSpacing/>
        <w:rPr>
          <w:rFonts w:eastAsia="Arial"/>
          <w:color w:val="000000"/>
          <w:sz w:val="22"/>
          <w:lang w:eastAsia="en-GB"/>
        </w:rPr>
      </w:pPr>
    </w:p>
    <w:p w14:paraId="1FCE8D75" w14:textId="521581A4" w:rsidR="0078488C" w:rsidRPr="0078488C" w:rsidRDefault="0078488C" w:rsidP="0078488C">
      <w:pPr>
        <w:spacing w:after="231" w:line="249" w:lineRule="auto"/>
        <w:contextualSpacing/>
        <w:rPr>
          <w:rFonts w:eastAsia="Arial"/>
          <w:color w:val="000000"/>
          <w:sz w:val="22"/>
          <w:lang w:eastAsia="en-GB"/>
        </w:rPr>
      </w:pPr>
      <w:r>
        <w:rPr>
          <w:rFonts w:eastAsia="Arial"/>
          <w:color w:val="000000"/>
          <w:sz w:val="22"/>
          <w:lang w:eastAsia="en-GB"/>
        </w:rPr>
        <w:t xml:space="preserve"> </w:t>
      </w:r>
    </w:p>
    <w:p w14:paraId="6A7900F3" w14:textId="77777777" w:rsidR="00DD1FDA" w:rsidRPr="00DD1FDA" w:rsidRDefault="00DD1FDA" w:rsidP="00DD1FDA">
      <w:pPr>
        <w:spacing w:after="0" w:line="240" w:lineRule="auto"/>
        <w:rPr>
          <w:rFonts w:ascii="Cambria" w:eastAsia="Times New Roman" w:hAnsi="Cambria" w:cs="Times New Roman"/>
          <w:szCs w:val="24"/>
          <w:lang w:val="en-US" w:bidi="ar-SA"/>
        </w:rPr>
      </w:pPr>
      <w:bookmarkStart w:id="12" w:name="_Hlk125113144"/>
    </w:p>
    <w:bookmarkEnd w:id="12"/>
    <w:p w14:paraId="67B273C0" w14:textId="440F7A85" w:rsidR="00C34618" w:rsidRDefault="00C34618" w:rsidP="00D0476C">
      <w:pPr>
        <w:pStyle w:val="Default"/>
        <w:rPr>
          <w:sz w:val="22"/>
          <w:szCs w:val="22"/>
        </w:rPr>
      </w:pPr>
    </w:p>
    <w:p w14:paraId="20DC1E21" w14:textId="377C9B5A" w:rsidR="00C34618" w:rsidRDefault="00C34618" w:rsidP="00D0476C">
      <w:pPr>
        <w:pStyle w:val="Default"/>
        <w:rPr>
          <w:sz w:val="22"/>
          <w:szCs w:val="22"/>
        </w:rPr>
      </w:pPr>
    </w:p>
    <w:p w14:paraId="42608A7C" w14:textId="0CAD9922" w:rsidR="00C34618" w:rsidRDefault="00C34618" w:rsidP="00D0476C">
      <w:pPr>
        <w:pStyle w:val="Default"/>
        <w:rPr>
          <w:sz w:val="22"/>
          <w:szCs w:val="22"/>
        </w:rPr>
      </w:pPr>
    </w:p>
    <w:p w14:paraId="0C8132AE" w14:textId="77777777" w:rsidR="00544CFC" w:rsidRDefault="00544CFC" w:rsidP="00D0476C">
      <w:pPr>
        <w:pStyle w:val="Default"/>
        <w:rPr>
          <w:sz w:val="22"/>
          <w:szCs w:val="22"/>
        </w:rPr>
      </w:pPr>
    </w:p>
    <w:p w14:paraId="3C8DCF81" w14:textId="77777777" w:rsidR="00544CFC" w:rsidRDefault="00544CFC" w:rsidP="00D0476C">
      <w:pPr>
        <w:pStyle w:val="Default"/>
        <w:rPr>
          <w:sz w:val="22"/>
          <w:szCs w:val="22"/>
        </w:rPr>
      </w:pPr>
    </w:p>
    <w:p w14:paraId="6A8C4B6C" w14:textId="77777777" w:rsidR="00544CFC" w:rsidRDefault="00544CFC" w:rsidP="00D0476C">
      <w:pPr>
        <w:pStyle w:val="Default"/>
        <w:rPr>
          <w:sz w:val="22"/>
          <w:szCs w:val="22"/>
        </w:rPr>
      </w:pPr>
    </w:p>
    <w:p w14:paraId="78F59ED7" w14:textId="77777777" w:rsidR="00544CFC" w:rsidRDefault="00544CFC" w:rsidP="00D0476C">
      <w:pPr>
        <w:pStyle w:val="Default"/>
        <w:rPr>
          <w:sz w:val="22"/>
          <w:szCs w:val="22"/>
        </w:rPr>
      </w:pPr>
    </w:p>
    <w:p w14:paraId="6171CD27" w14:textId="77777777" w:rsidR="00544CFC" w:rsidRDefault="00544CFC" w:rsidP="00D0476C">
      <w:pPr>
        <w:pStyle w:val="Default"/>
        <w:rPr>
          <w:sz w:val="22"/>
          <w:szCs w:val="22"/>
        </w:rPr>
      </w:pPr>
    </w:p>
    <w:p w14:paraId="3183AE11" w14:textId="77777777" w:rsidR="00544CFC" w:rsidRDefault="00544CFC" w:rsidP="00D0476C">
      <w:pPr>
        <w:pStyle w:val="Default"/>
        <w:rPr>
          <w:sz w:val="22"/>
          <w:szCs w:val="22"/>
        </w:rPr>
      </w:pPr>
    </w:p>
    <w:p w14:paraId="1FB1F903" w14:textId="77777777" w:rsidR="00544CFC" w:rsidRDefault="00544CFC" w:rsidP="00D0476C">
      <w:pPr>
        <w:pStyle w:val="Default"/>
        <w:rPr>
          <w:sz w:val="22"/>
          <w:szCs w:val="22"/>
        </w:rPr>
      </w:pPr>
    </w:p>
    <w:p w14:paraId="71E2528D" w14:textId="77777777" w:rsidR="00544CFC" w:rsidRDefault="00544CFC" w:rsidP="00D0476C">
      <w:pPr>
        <w:pStyle w:val="Default"/>
        <w:rPr>
          <w:sz w:val="22"/>
          <w:szCs w:val="22"/>
        </w:rPr>
      </w:pPr>
    </w:p>
    <w:p w14:paraId="34D3DB4C" w14:textId="77777777" w:rsidR="00544CFC" w:rsidRDefault="00544CFC" w:rsidP="00D0476C">
      <w:pPr>
        <w:pStyle w:val="Default"/>
        <w:rPr>
          <w:sz w:val="22"/>
          <w:szCs w:val="22"/>
        </w:rPr>
      </w:pPr>
    </w:p>
    <w:p w14:paraId="518AA5C5" w14:textId="77777777" w:rsidR="00544CFC" w:rsidRDefault="00544CFC" w:rsidP="00D0476C">
      <w:pPr>
        <w:pStyle w:val="Default"/>
        <w:rPr>
          <w:sz w:val="22"/>
          <w:szCs w:val="22"/>
        </w:rPr>
      </w:pPr>
    </w:p>
    <w:p w14:paraId="433B7571" w14:textId="77777777" w:rsidR="00544CFC" w:rsidRDefault="00544CFC" w:rsidP="00D0476C">
      <w:pPr>
        <w:pStyle w:val="Default"/>
        <w:rPr>
          <w:sz w:val="22"/>
          <w:szCs w:val="22"/>
        </w:rPr>
      </w:pPr>
    </w:p>
    <w:p w14:paraId="593C72F5" w14:textId="77777777" w:rsidR="00544CFC" w:rsidRDefault="00544CFC" w:rsidP="00D0476C">
      <w:pPr>
        <w:pStyle w:val="Default"/>
        <w:rPr>
          <w:sz w:val="22"/>
          <w:szCs w:val="22"/>
        </w:rPr>
      </w:pPr>
    </w:p>
    <w:p w14:paraId="18FF81AF" w14:textId="77777777" w:rsidR="00544CFC" w:rsidRDefault="00544CFC" w:rsidP="00D0476C">
      <w:pPr>
        <w:pStyle w:val="Default"/>
        <w:rPr>
          <w:sz w:val="22"/>
          <w:szCs w:val="22"/>
        </w:rPr>
      </w:pPr>
    </w:p>
    <w:p w14:paraId="41626496" w14:textId="77777777" w:rsidR="00544CFC" w:rsidRDefault="00544CFC" w:rsidP="00D0476C">
      <w:pPr>
        <w:pStyle w:val="Default"/>
        <w:rPr>
          <w:sz w:val="22"/>
          <w:szCs w:val="22"/>
        </w:rPr>
      </w:pPr>
    </w:p>
    <w:p w14:paraId="4884B8B1" w14:textId="77777777" w:rsidR="00544CFC" w:rsidRDefault="00544CFC" w:rsidP="00D0476C">
      <w:pPr>
        <w:pStyle w:val="Default"/>
        <w:rPr>
          <w:sz w:val="22"/>
          <w:szCs w:val="22"/>
        </w:rPr>
      </w:pPr>
    </w:p>
    <w:p w14:paraId="06B1F77A" w14:textId="77777777" w:rsidR="00544CFC" w:rsidRDefault="00544CFC" w:rsidP="00D0476C">
      <w:pPr>
        <w:pStyle w:val="Default"/>
        <w:rPr>
          <w:sz w:val="22"/>
          <w:szCs w:val="22"/>
        </w:rPr>
      </w:pPr>
    </w:p>
    <w:p w14:paraId="7AC4D8CC" w14:textId="77777777" w:rsidR="00544CFC" w:rsidRDefault="00544CFC" w:rsidP="00D0476C">
      <w:pPr>
        <w:pStyle w:val="Default"/>
        <w:rPr>
          <w:sz w:val="22"/>
          <w:szCs w:val="22"/>
        </w:rPr>
      </w:pPr>
    </w:p>
    <w:p w14:paraId="523F6991" w14:textId="77777777" w:rsidR="00544CFC" w:rsidRDefault="00544CFC" w:rsidP="00D0476C">
      <w:pPr>
        <w:pStyle w:val="Default"/>
        <w:rPr>
          <w:sz w:val="22"/>
          <w:szCs w:val="22"/>
        </w:rPr>
      </w:pPr>
    </w:p>
    <w:p w14:paraId="54DCC447" w14:textId="77777777" w:rsidR="00544CFC" w:rsidRDefault="00544CFC" w:rsidP="00D0476C">
      <w:pPr>
        <w:pStyle w:val="Default"/>
        <w:rPr>
          <w:sz w:val="22"/>
          <w:szCs w:val="22"/>
        </w:rPr>
      </w:pPr>
    </w:p>
    <w:p w14:paraId="4B8A0B66" w14:textId="77777777" w:rsidR="00544CFC" w:rsidRDefault="00544CFC" w:rsidP="00D0476C">
      <w:pPr>
        <w:pStyle w:val="Default"/>
        <w:rPr>
          <w:sz w:val="22"/>
          <w:szCs w:val="22"/>
        </w:rPr>
      </w:pPr>
    </w:p>
    <w:p w14:paraId="119E8CBA" w14:textId="77777777" w:rsidR="00544CFC" w:rsidRDefault="00544CFC" w:rsidP="00D0476C">
      <w:pPr>
        <w:pStyle w:val="Default"/>
        <w:rPr>
          <w:sz w:val="22"/>
          <w:szCs w:val="22"/>
        </w:rPr>
      </w:pPr>
    </w:p>
    <w:p w14:paraId="55FA2B15" w14:textId="77777777" w:rsidR="00544CFC" w:rsidRDefault="00544CFC" w:rsidP="00D0476C">
      <w:pPr>
        <w:pStyle w:val="Default"/>
        <w:rPr>
          <w:sz w:val="22"/>
          <w:szCs w:val="22"/>
        </w:rPr>
      </w:pPr>
    </w:p>
    <w:p w14:paraId="1838302A" w14:textId="77777777" w:rsidR="00544CFC" w:rsidRDefault="00544CFC" w:rsidP="00D0476C">
      <w:pPr>
        <w:pStyle w:val="Default"/>
        <w:rPr>
          <w:sz w:val="22"/>
          <w:szCs w:val="22"/>
        </w:rPr>
      </w:pPr>
    </w:p>
    <w:p w14:paraId="14B2588E" w14:textId="77777777" w:rsidR="00544CFC" w:rsidRDefault="00544CFC" w:rsidP="00D0476C">
      <w:pPr>
        <w:pStyle w:val="Default"/>
        <w:rPr>
          <w:sz w:val="22"/>
          <w:szCs w:val="22"/>
        </w:rPr>
      </w:pPr>
    </w:p>
    <w:p w14:paraId="15E4B043" w14:textId="77777777" w:rsidR="00544CFC" w:rsidRDefault="00544CFC" w:rsidP="00D0476C">
      <w:pPr>
        <w:pStyle w:val="Default"/>
        <w:rPr>
          <w:sz w:val="22"/>
          <w:szCs w:val="22"/>
        </w:rPr>
      </w:pPr>
    </w:p>
    <w:p w14:paraId="29F7F138" w14:textId="77777777" w:rsidR="00544CFC" w:rsidRDefault="00544CFC" w:rsidP="00D0476C">
      <w:pPr>
        <w:pStyle w:val="Default"/>
        <w:rPr>
          <w:sz w:val="22"/>
          <w:szCs w:val="22"/>
        </w:rPr>
      </w:pPr>
    </w:p>
    <w:p w14:paraId="65EC8606" w14:textId="77777777" w:rsidR="00544CFC" w:rsidRDefault="00544CFC" w:rsidP="00D0476C">
      <w:pPr>
        <w:pStyle w:val="Default"/>
        <w:rPr>
          <w:sz w:val="22"/>
          <w:szCs w:val="22"/>
        </w:rPr>
      </w:pPr>
    </w:p>
    <w:p w14:paraId="1E91D984" w14:textId="77777777" w:rsidR="00544CFC" w:rsidRDefault="00544CFC" w:rsidP="00D0476C">
      <w:pPr>
        <w:pStyle w:val="Default"/>
        <w:rPr>
          <w:sz w:val="22"/>
          <w:szCs w:val="22"/>
        </w:rPr>
      </w:pPr>
    </w:p>
    <w:p w14:paraId="602BB7DE" w14:textId="77777777" w:rsidR="00544CFC" w:rsidRDefault="00544CFC" w:rsidP="00D0476C">
      <w:pPr>
        <w:pStyle w:val="Default"/>
        <w:rPr>
          <w:sz w:val="22"/>
          <w:szCs w:val="22"/>
        </w:rPr>
      </w:pPr>
    </w:p>
    <w:p w14:paraId="7AD857E8" w14:textId="7980D0B1" w:rsidR="00C34618" w:rsidRDefault="00027237" w:rsidP="00D0476C">
      <w:pPr>
        <w:pStyle w:val="Default"/>
        <w:rPr>
          <w:sz w:val="22"/>
          <w:szCs w:val="22"/>
        </w:rPr>
      </w:pPr>
      <w:r>
        <w:rPr>
          <w:sz w:val="22"/>
          <w:szCs w:val="22"/>
        </w:rPr>
        <w:t>An</w:t>
      </w:r>
      <w:r w:rsidR="00D90A5B">
        <w:rPr>
          <w:sz w:val="22"/>
          <w:szCs w:val="22"/>
        </w:rPr>
        <w:t xml:space="preserve">nex: </w:t>
      </w:r>
      <w:r w:rsidR="009E77B2">
        <w:rPr>
          <w:sz w:val="22"/>
          <w:szCs w:val="22"/>
        </w:rPr>
        <w:t xml:space="preserve">The most up to date application form can be found on this link: </w:t>
      </w:r>
    </w:p>
    <w:p w14:paraId="7054C27D" w14:textId="77777777" w:rsidR="009E77B2" w:rsidRDefault="009E77B2" w:rsidP="00D0476C">
      <w:pPr>
        <w:pStyle w:val="Default"/>
        <w:rPr>
          <w:sz w:val="22"/>
          <w:szCs w:val="22"/>
        </w:rPr>
      </w:pPr>
    </w:p>
    <w:p w14:paraId="572B56C0" w14:textId="2B3CAE37" w:rsidR="127B363D" w:rsidRDefault="127B363D" w:rsidP="0C12FC55">
      <w:pPr>
        <w:pStyle w:val="Default"/>
      </w:pPr>
      <w:r>
        <w:t xml:space="preserve"> </w:t>
      </w:r>
      <w:hyperlink r:id="rId26" w:history="1">
        <w:r w:rsidRPr="0C12FC55">
          <w:rPr>
            <w:rStyle w:val="Hyperlink"/>
          </w:rPr>
          <w:t>Submit a conditional discharge report or request a change of discharge conditions - GOV.UK (www.gov.uk)</w:t>
        </w:r>
      </w:hyperlink>
    </w:p>
    <w:p w14:paraId="28A5DE6A" w14:textId="7E52577B" w:rsidR="00C34618" w:rsidRDefault="00C34618" w:rsidP="00D0476C">
      <w:pPr>
        <w:pStyle w:val="Default"/>
        <w:rPr>
          <w:sz w:val="22"/>
          <w:szCs w:val="22"/>
        </w:rPr>
      </w:pPr>
    </w:p>
    <w:p w14:paraId="37F2F4C2" w14:textId="77777777" w:rsidR="00C34618" w:rsidRPr="00EB5255" w:rsidRDefault="00C34618" w:rsidP="00D0476C">
      <w:pPr>
        <w:pStyle w:val="Default"/>
        <w:rPr>
          <w:sz w:val="22"/>
          <w:szCs w:val="22"/>
        </w:rPr>
      </w:pPr>
    </w:p>
    <w:sectPr w:rsidR="00C34618" w:rsidRPr="00EB5255">
      <w:headerReference w:type="even" r:id="rId27"/>
      <w:headerReference w:type="default" r:id="rId28"/>
      <w:footerReference w:type="even" r:id="rId29"/>
      <w:footerReference w:type="default" r:id="rId30"/>
      <w:headerReference w:type="first" r:id="rId31"/>
      <w:footerReference w:type="first" r:id="rId32"/>
      <w:pgSz w:w="11904" w:h="16840"/>
      <w:pgMar w:top="2840" w:right="1981" w:bottom="1146" w:left="2268" w:header="570" w:footer="57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B0A0F" w14:textId="77777777" w:rsidR="002659DF" w:rsidRDefault="002659DF" w:rsidP="007D199A">
      <w:pPr>
        <w:spacing w:after="0"/>
      </w:pPr>
      <w:r>
        <w:separator/>
      </w:r>
    </w:p>
  </w:endnote>
  <w:endnote w:type="continuationSeparator" w:id="0">
    <w:p w14:paraId="6FAD19D3" w14:textId="77777777" w:rsidR="002659DF" w:rsidRDefault="002659DF" w:rsidP="007D199A">
      <w:pPr>
        <w:spacing w:after="0"/>
      </w:pPr>
      <w:r>
        <w:continuationSeparator/>
      </w:r>
    </w:p>
  </w:endnote>
  <w:endnote w:type="continuationNotice" w:id="1">
    <w:p w14:paraId="3812AE50" w14:textId="77777777" w:rsidR="002659DF" w:rsidRDefault="002659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A532" w14:textId="77777777" w:rsidR="00077662" w:rsidRDefault="00077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083163"/>
      <w:docPartObj>
        <w:docPartGallery w:val="Page Numbers (Bottom of Page)"/>
        <w:docPartUnique/>
      </w:docPartObj>
    </w:sdtPr>
    <w:sdtEndPr>
      <w:rPr>
        <w:noProof/>
      </w:rPr>
    </w:sdtEndPr>
    <w:sdtContent>
      <w:p w14:paraId="0BD683DF" w14:textId="3DE506A3" w:rsidR="00DD4792" w:rsidRDefault="00DD47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5EEB27" w14:textId="70B70749" w:rsidR="00853668" w:rsidRDefault="008536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7401" w14:textId="77777777" w:rsidR="00AD6DD0" w:rsidRDefault="00AD6DD0">
    <w:pPr>
      <w:pStyle w:val="Footer"/>
    </w:pPr>
    <w:r>
      <w:rPr>
        <w:noProof/>
        <w:lang w:eastAsia="en-GB" w:bidi="ar-SA"/>
      </w:rPr>
      <w:drawing>
        <wp:anchor distT="0" distB="1778" distL="114300" distR="114300" simplePos="0" relativeHeight="251658240" behindDoc="1" locked="1" layoutInCell="1" allowOverlap="1" wp14:anchorId="07A04EA8" wp14:editId="2BF647AB">
          <wp:simplePos x="0" y="0"/>
          <wp:positionH relativeFrom="page">
            <wp:align>left</wp:align>
          </wp:positionH>
          <wp:positionV relativeFrom="page">
            <wp:align>bottom</wp:align>
          </wp:positionV>
          <wp:extent cx="7560310" cy="2059432"/>
          <wp:effectExtent l="0" t="0" r="2540" b="0"/>
          <wp:wrapNone/>
          <wp:docPr id="3" name="Picture 3" descr="Cover page footer decorative background image." title="Cover page footer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ver page footer decorative background image." title="Cover page footer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205930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A1C4" w14:textId="77777777" w:rsidR="00F9062B" w:rsidRDefault="00BD6E2D">
    <w:pPr>
      <w:spacing w:after="0" w:line="259" w:lineRule="auto"/>
      <w:ind w:left="-283"/>
    </w:pPr>
    <w:r>
      <w:rPr>
        <w:sz w:val="22"/>
      </w:rPr>
      <w:fldChar w:fldCharType="begin"/>
    </w:r>
    <w:r>
      <w:instrText xml:space="preserve"> PAGE   \* MERGEFORMAT </w:instrText>
    </w:r>
    <w:r>
      <w:rPr>
        <w:sz w:val="22"/>
      </w:rPr>
      <w:fldChar w:fldCharType="separate"/>
    </w:r>
    <w:r>
      <w:rPr>
        <w:sz w:val="18"/>
      </w:rPr>
      <w:t>2</w:t>
    </w:r>
    <w:r>
      <w:rPr>
        <w:sz w:val="18"/>
      </w:rPr>
      <w:fldChar w:fldCharType="end"/>
    </w:r>
    <w:r>
      <w:rPr>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FFD8F" w14:textId="77777777" w:rsidR="00F9062B" w:rsidRDefault="00BD6E2D">
    <w:pPr>
      <w:spacing w:after="0" w:line="259" w:lineRule="auto"/>
      <w:ind w:right="2"/>
      <w:jc w:val="right"/>
    </w:pPr>
    <w:r>
      <w:rPr>
        <w:sz w:val="22"/>
      </w:rPr>
      <w:fldChar w:fldCharType="begin"/>
    </w:r>
    <w:r>
      <w:instrText xml:space="preserve"> PAGE   \* MERGEFORMAT </w:instrText>
    </w:r>
    <w:r>
      <w:rPr>
        <w:sz w:val="22"/>
      </w:rPr>
      <w:fldChar w:fldCharType="separate"/>
    </w:r>
    <w:r>
      <w:rPr>
        <w:sz w:val="18"/>
      </w:rPr>
      <w:t>1</w:t>
    </w:r>
    <w:r>
      <w:rPr>
        <w:sz w:val="18"/>
      </w:rPr>
      <w:fldChar w:fldCharType="end"/>
    </w:r>
    <w:r>
      <w:rPr>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C403" w14:textId="77777777" w:rsidR="00F9062B" w:rsidRDefault="00BD6E2D">
    <w:pPr>
      <w:spacing w:after="0" w:line="259" w:lineRule="auto"/>
      <w:ind w:right="2"/>
      <w:jc w:val="right"/>
    </w:pPr>
    <w:r>
      <w:rPr>
        <w:sz w:val="22"/>
      </w:rPr>
      <w:fldChar w:fldCharType="begin"/>
    </w:r>
    <w:r>
      <w:instrText xml:space="preserve"> PAGE   \* MERGEFORMAT </w:instrText>
    </w:r>
    <w:r>
      <w:rPr>
        <w:sz w:val="22"/>
      </w:rPr>
      <w:fldChar w:fldCharType="separate"/>
    </w:r>
    <w:r>
      <w:rPr>
        <w:sz w:val="18"/>
      </w:rPr>
      <w:t>1</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0F135" w14:textId="77777777" w:rsidR="002659DF" w:rsidRPr="00BB3712" w:rsidRDefault="002659DF" w:rsidP="005E0344">
      <w:pPr>
        <w:spacing w:after="120"/>
        <w:rPr>
          <w:color w:val="7F4098"/>
        </w:rPr>
      </w:pPr>
      <w:r w:rsidRPr="00BB3712">
        <w:rPr>
          <w:color w:val="7F4098"/>
        </w:rPr>
        <w:separator/>
      </w:r>
    </w:p>
  </w:footnote>
  <w:footnote w:type="continuationSeparator" w:id="0">
    <w:p w14:paraId="35FD73EC" w14:textId="77777777" w:rsidR="002659DF" w:rsidRPr="00BB3712" w:rsidRDefault="002659DF" w:rsidP="0090581D">
      <w:pPr>
        <w:spacing w:after="120"/>
        <w:rPr>
          <w:color w:val="7F4098"/>
        </w:rPr>
      </w:pPr>
      <w:r w:rsidRPr="00BB3712">
        <w:rPr>
          <w:color w:val="7F4098"/>
        </w:rPr>
        <w:continuationSeparator/>
      </w:r>
    </w:p>
  </w:footnote>
  <w:footnote w:type="continuationNotice" w:id="1">
    <w:p w14:paraId="7377B668" w14:textId="77777777" w:rsidR="002659DF" w:rsidRDefault="002659DF">
      <w:pPr>
        <w:spacing w:after="0"/>
      </w:pPr>
    </w:p>
  </w:footnote>
  <w:footnote w:id="2">
    <w:p w14:paraId="10EBAC67" w14:textId="3B270BC2" w:rsidR="009F7F02" w:rsidRDefault="009F7F02">
      <w:pPr>
        <w:pStyle w:val="FootnoteText"/>
      </w:pPr>
      <w:r>
        <w:rPr>
          <w:rStyle w:val="FootnoteReference"/>
        </w:rPr>
        <w:footnoteRef/>
      </w:r>
      <w:r>
        <w:t xml:space="preserve"> </w:t>
      </w:r>
      <w:r w:rsidRPr="009F7F02">
        <w:t>https://www.gov.uk/government/publications/mentally-disordered-offenders-the-restricted-patient-system</w:t>
      </w:r>
    </w:p>
  </w:footnote>
  <w:footnote w:id="3">
    <w:p w14:paraId="688C145B" w14:textId="6CA94D0E" w:rsidR="009F7F02" w:rsidRDefault="009F7F02">
      <w:pPr>
        <w:pStyle w:val="FootnoteText"/>
      </w:pPr>
      <w:r>
        <w:rPr>
          <w:rStyle w:val="FootnoteReference"/>
        </w:rPr>
        <w:footnoteRef/>
      </w:r>
      <w:r>
        <w:t xml:space="preserve"> </w:t>
      </w:r>
      <w:r w:rsidRPr="009F7F02">
        <w:t>https://www.gov.uk/government/publications/submit-a-conditional-discharge-request-for-restricted-patients</w:t>
      </w:r>
    </w:p>
  </w:footnote>
  <w:footnote w:id="4">
    <w:p w14:paraId="388ABE3D" w14:textId="71CDA030" w:rsidR="009F7F02" w:rsidRDefault="009F7F02">
      <w:pPr>
        <w:pStyle w:val="FootnoteText"/>
      </w:pPr>
      <w:r>
        <w:rPr>
          <w:rStyle w:val="FootnoteReference"/>
        </w:rPr>
        <w:footnoteRef/>
      </w:r>
      <w:r>
        <w:t xml:space="preserve"> </w:t>
      </w:r>
      <w:r w:rsidRPr="009F7F02">
        <w:t>https://www.gov.uk/government/publications/conditionally-discharged-restricted-patient-report</w:t>
      </w:r>
    </w:p>
  </w:footnote>
  <w:footnote w:id="5">
    <w:p w14:paraId="7A685EE7" w14:textId="12EF592E" w:rsidR="3D8B20C3" w:rsidRDefault="3D8B20C3" w:rsidP="009F7F02">
      <w:pPr>
        <w:pStyle w:val="FootnoteText"/>
      </w:pPr>
      <w:r w:rsidRPr="3D8B20C3">
        <w:rPr>
          <w:rStyle w:val="FootnoteReference"/>
        </w:rPr>
        <w:footnoteRef/>
      </w:r>
      <w:r>
        <w:t xml:space="preserve"> Section 42 can be found on the following link: </w:t>
      </w:r>
      <w:proofErr w:type="gramStart"/>
      <w:r>
        <w:t>https://www.legislation.gov.uk/ukpga/1983/20/section/42</w:t>
      </w:r>
      <w:proofErr w:type="gramEnd"/>
    </w:p>
  </w:footnote>
  <w:footnote w:id="6">
    <w:p w14:paraId="5C71A86B" w14:textId="0D666BB6" w:rsidR="00233F6C" w:rsidRPr="004409AE" w:rsidRDefault="00233F6C">
      <w:pPr>
        <w:pStyle w:val="FootnoteText"/>
        <w:rPr>
          <w:sz w:val="18"/>
          <w:szCs w:val="18"/>
        </w:rPr>
      </w:pPr>
      <w:r w:rsidRPr="004409AE">
        <w:rPr>
          <w:rStyle w:val="FootnoteReference"/>
          <w:sz w:val="18"/>
          <w:szCs w:val="18"/>
        </w:rPr>
        <w:footnoteRef/>
      </w:r>
      <w:r w:rsidRPr="004409AE">
        <w:rPr>
          <w:sz w:val="18"/>
          <w:szCs w:val="18"/>
        </w:rPr>
        <w:t xml:space="preserve"> Section 73 of the 1983 Act is set out here: </w:t>
      </w:r>
      <w:hyperlink r:id="rId1" w:history="1">
        <w:r w:rsidR="004409AE" w:rsidRPr="004409AE">
          <w:rPr>
            <w:rStyle w:val="Hyperlink"/>
            <w:sz w:val="18"/>
            <w:szCs w:val="18"/>
          </w:rPr>
          <w:t>https://www.legislation.gov.uk/ukpga/1983/20/section/73</w:t>
        </w:r>
      </w:hyperlink>
      <w:r w:rsidR="004409AE" w:rsidRPr="004409AE">
        <w:rPr>
          <w:sz w:val="18"/>
          <w:szCs w:val="18"/>
        </w:rPr>
        <w:t xml:space="preserve"> </w:t>
      </w:r>
    </w:p>
  </w:footnote>
  <w:footnote w:id="7">
    <w:p w14:paraId="381E6021" w14:textId="677ED0D9" w:rsidR="3D8B20C3" w:rsidRDefault="3D8B20C3" w:rsidP="009F7F02">
      <w:pPr>
        <w:pStyle w:val="FootnoteText"/>
      </w:pPr>
      <w:r w:rsidRPr="3D8B20C3">
        <w:rPr>
          <w:rStyle w:val="FootnoteReference"/>
        </w:rPr>
        <w:footnoteRef/>
      </w:r>
      <w:r>
        <w:t xml:space="preserve"> Section 41 can be found on the following link:</w:t>
      </w:r>
    </w:p>
    <w:p w14:paraId="0CA78EE6" w14:textId="73FE2DDC" w:rsidR="3D8B20C3" w:rsidRDefault="3D8B20C3" w:rsidP="3D8B20C3">
      <w:pPr>
        <w:pStyle w:val="FootnoteText"/>
      </w:pPr>
      <w:r>
        <w:t>https://www.legislation.gov.uk/ukpga/1983/20/section/41</w:t>
      </w:r>
    </w:p>
  </w:footnote>
  <w:footnote w:id="8">
    <w:p w14:paraId="52691458" w14:textId="28503662" w:rsidR="00233F6C" w:rsidRDefault="00233F6C">
      <w:pPr>
        <w:pStyle w:val="FootnoteText"/>
      </w:pPr>
      <w:r>
        <w:rPr>
          <w:rStyle w:val="FootnoteReference"/>
        </w:rPr>
        <w:footnoteRef/>
      </w:r>
      <w:r>
        <w:t xml:space="preserve"> The eligibility for the Victim Contact Scheme is set out here: </w:t>
      </w:r>
      <w:proofErr w:type="gramStart"/>
      <w:r w:rsidR="009F7F02" w:rsidRPr="009F7F02">
        <w:t>https://assets.publishing.service.gov.uk/government/uploads/system/uploads/attachment_data/file/974376/victims-code-2020.pdf</w:t>
      </w:r>
      <w:proofErr w:type="gramEnd"/>
    </w:p>
  </w:footnote>
  <w:footnote w:id="9">
    <w:p w14:paraId="27DE03B8" w14:textId="1067E451" w:rsidR="00D03E93" w:rsidRDefault="00D03E93">
      <w:pPr>
        <w:pStyle w:val="FootnoteText"/>
      </w:pPr>
      <w:r>
        <w:rPr>
          <w:rStyle w:val="FootnoteReference"/>
        </w:rPr>
        <w:footnoteRef/>
      </w:r>
      <w:r>
        <w:t xml:space="preserve"> The full eligibility criteria for VCS is set out here: </w:t>
      </w:r>
      <w:hyperlink r:id="rId2" w:history="1">
        <w:r w:rsidRPr="00E019B5">
          <w:rPr>
            <w:color w:val="0000FF"/>
            <w:u w:val="single"/>
          </w:rPr>
          <w:t>MoJ Victims Code 2020 (publishing.service.gov.uk)</w:t>
        </w:r>
      </w:hyperlink>
    </w:p>
  </w:footnote>
  <w:footnote w:id="10">
    <w:p w14:paraId="39DDF37A" w14:textId="6B8BEF80" w:rsidR="00CD64E6" w:rsidRDefault="00CD64E6">
      <w:pPr>
        <w:pStyle w:val="FootnoteText"/>
      </w:pPr>
      <w:r>
        <w:rPr>
          <w:rStyle w:val="FootnoteReference"/>
        </w:rPr>
        <w:footnoteRef/>
      </w:r>
      <w:r>
        <w:t xml:space="preserve"> </w:t>
      </w:r>
      <w:r w:rsidRPr="00CD64E6">
        <w:t xml:space="preserve">Specified offences are listed in Schedule 18 of the Sentencing Act 2020 as found here: </w:t>
      </w:r>
      <w:hyperlink r:id="rId3" w:history="1">
        <w:r w:rsidRPr="00350099">
          <w:rPr>
            <w:rStyle w:val="Hyperlink"/>
          </w:rPr>
          <w:t>https://www.legislation.gov.uk/ukpga/2020/17/schedule/18</w:t>
        </w:r>
      </w:hyperlink>
      <w:r>
        <w:t xml:space="preserve"> </w:t>
      </w:r>
    </w:p>
  </w:footnote>
  <w:footnote w:id="11">
    <w:p w14:paraId="2B6F917D" w14:textId="258C89AC" w:rsidR="008958B9" w:rsidRDefault="008958B9">
      <w:pPr>
        <w:pStyle w:val="FootnoteText"/>
      </w:pPr>
      <w:r>
        <w:rPr>
          <w:rStyle w:val="FootnoteReference"/>
        </w:rPr>
        <w:footnoteRef/>
      </w:r>
      <w:r>
        <w:t xml:space="preserve"> UK jurisdictions refers to Wales, Scotland, the Channel </w:t>
      </w:r>
      <w:proofErr w:type="gramStart"/>
      <w:r>
        <w:t>Islands</w:t>
      </w:r>
      <w:proofErr w:type="gramEnd"/>
      <w:r>
        <w:t xml:space="preserve"> and the Isle of Man. It does not include the Republic of Ireland.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FE33" w14:textId="534731F4" w:rsidR="00077662" w:rsidRDefault="00077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050E" w14:textId="6D5432C2" w:rsidR="00077662" w:rsidRDefault="000776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8C6F8" w14:textId="57EDA7B2" w:rsidR="00AD6DD0" w:rsidRDefault="00AD6DD0">
    <w:pPr>
      <w:pStyle w:val="Header"/>
    </w:pPr>
    <w:r>
      <w:rPr>
        <w:noProof/>
        <w:lang w:eastAsia="en-GB" w:bidi="ar-SA"/>
      </w:rPr>
      <w:drawing>
        <wp:anchor distT="0" distB="0" distL="114300" distR="114300" simplePos="0" relativeHeight="251658241" behindDoc="1" locked="1" layoutInCell="1" allowOverlap="1" wp14:anchorId="76E1FE7C" wp14:editId="56ECC631">
          <wp:simplePos x="0" y="0"/>
          <wp:positionH relativeFrom="page">
            <wp:align>left</wp:align>
          </wp:positionH>
          <wp:positionV relativeFrom="page">
            <wp:posOffset>1864995</wp:posOffset>
          </wp:positionV>
          <wp:extent cx="7560310" cy="6851015"/>
          <wp:effectExtent l="0" t="0" r="2540" b="0"/>
          <wp:wrapNone/>
          <wp:docPr id="1" name="Picture 1" descr="Cover page decorative background image" title="Cover page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ver page decorative background image" title="Cover page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68510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bidi="ar-SA"/>
      </w:rPr>
      <w:drawing>
        <wp:anchor distT="0" distB="0" distL="114300" distR="114300" simplePos="0" relativeHeight="251658242" behindDoc="1" locked="1" layoutInCell="1" allowOverlap="1" wp14:anchorId="547C3C69" wp14:editId="3D267697">
          <wp:simplePos x="0" y="0"/>
          <wp:positionH relativeFrom="page">
            <wp:posOffset>118745</wp:posOffset>
          </wp:positionH>
          <wp:positionV relativeFrom="page">
            <wp:posOffset>0</wp:posOffset>
          </wp:positionV>
          <wp:extent cx="2609850" cy="1536700"/>
          <wp:effectExtent l="0" t="0" r="0" b="0"/>
          <wp:wrapTight wrapText="bothSides">
            <wp:wrapPolygon edited="0">
              <wp:start x="4099" y="6962"/>
              <wp:lineTo x="4099" y="20350"/>
              <wp:lineTo x="20654" y="20350"/>
              <wp:lineTo x="21127" y="18476"/>
              <wp:lineTo x="20181" y="17405"/>
              <wp:lineTo x="16555" y="16066"/>
              <wp:lineTo x="16870" y="13924"/>
              <wp:lineTo x="15609" y="13388"/>
              <wp:lineTo x="8672" y="11782"/>
              <wp:lineTo x="9145" y="10711"/>
              <wp:lineTo x="8829" y="9104"/>
              <wp:lineTo x="8041" y="6962"/>
              <wp:lineTo x="4099" y="6962"/>
            </wp:wrapPolygon>
          </wp:wrapTight>
          <wp:docPr id="2" name="Picture 2" descr="HM Prison &amp; Probation Service logo" title="HM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HM Prison &amp; Probation Service logo" title="HMPPS logo"/>
                  <pic:cNvPicPr/>
                </pic:nvPicPr>
                <pic:blipFill>
                  <a:blip r:embed="rId2">
                    <a:extLst>
                      <a:ext uri="{28A0092B-C50C-407E-A947-70E740481C1C}">
                        <a14:useLocalDpi xmlns:a14="http://schemas.microsoft.com/office/drawing/2010/main" val="0"/>
                      </a:ext>
                    </a:extLst>
                  </a:blip>
                  <a:stretch>
                    <a:fillRect/>
                  </a:stretch>
                </pic:blipFill>
                <pic:spPr>
                  <a:xfrm>
                    <a:off x="0" y="0"/>
                    <a:ext cx="2609850" cy="15367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2AB0" w14:textId="025ADC6A" w:rsidR="00F9062B" w:rsidRDefault="00F9062B">
    <w:pPr>
      <w:spacing w:after="0" w:line="259" w:lineRule="auto"/>
      <w:ind w:left="-28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2553" w14:textId="72C68C19" w:rsidR="00F9062B" w:rsidRDefault="00F9062B">
    <w:pPr>
      <w:spacing w:after="0" w:line="259" w:lineRule="auto"/>
      <w:ind w:right="2"/>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7DF3" w14:textId="522C2381" w:rsidR="00F9062B" w:rsidRDefault="00BD6E2D">
    <w:pPr>
      <w:spacing w:after="0" w:line="259" w:lineRule="auto"/>
      <w:ind w:right="2"/>
      <w:jc w:val="right"/>
    </w:pPr>
    <w:r>
      <w:rPr>
        <w:b/>
        <w:sz w:val="18"/>
      </w:rPr>
      <w:t xml:space="preserve">Guidance for social supervisors]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007A"/>
    <w:multiLevelType w:val="hybridMultilevel"/>
    <w:tmpl w:val="4732D0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7B1D31"/>
    <w:multiLevelType w:val="hybridMultilevel"/>
    <w:tmpl w:val="2C8087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2E0BEE"/>
    <w:multiLevelType w:val="hybridMultilevel"/>
    <w:tmpl w:val="A20C3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F7129"/>
    <w:multiLevelType w:val="hybridMultilevel"/>
    <w:tmpl w:val="F73E903E"/>
    <w:lvl w:ilvl="0" w:tplc="FFFFFFFF">
      <w:start w:val="1"/>
      <w:numFmt w:val="decimal"/>
      <w:lvlText w:val="%1."/>
      <w:lvlJc w:val="left"/>
      <w:pPr>
        <w:ind w:left="1070" w:hanging="360"/>
      </w:pPr>
      <w:rPr>
        <w:rFonts w:ascii="Arial" w:hAnsi="Arial" w:hint="default"/>
        <w:b w:val="0"/>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EA6F31"/>
    <w:multiLevelType w:val="hybridMultilevel"/>
    <w:tmpl w:val="31DC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C6DB9"/>
    <w:multiLevelType w:val="hybridMultilevel"/>
    <w:tmpl w:val="BAB65E54"/>
    <w:lvl w:ilvl="0" w:tplc="13AAB4A8">
      <w:start w:val="1"/>
      <w:numFmt w:val="bullet"/>
      <w:pStyle w:val="Bulletlist3"/>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32AF3"/>
    <w:multiLevelType w:val="hybridMultilevel"/>
    <w:tmpl w:val="10C260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161B8B"/>
    <w:multiLevelType w:val="hybridMultilevel"/>
    <w:tmpl w:val="D662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F473E6"/>
    <w:multiLevelType w:val="hybridMultilevel"/>
    <w:tmpl w:val="BB2070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FB23FA"/>
    <w:multiLevelType w:val="hybridMultilevel"/>
    <w:tmpl w:val="DB9EB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8B5BA3"/>
    <w:multiLevelType w:val="hybridMultilevel"/>
    <w:tmpl w:val="1812B7A2"/>
    <w:lvl w:ilvl="0" w:tplc="08090001">
      <w:start w:val="1"/>
      <w:numFmt w:val="bullet"/>
      <w:lvlText w:val=""/>
      <w:lvlJc w:val="left"/>
      <w:pPr>
        <w:ind w:left="1070" w:hanging="360"/>
      </w:pPr>
      <w:rPr>
        <w:rFonts w:ascii="Symbol" w:hAnsi="Symbol" w:hint="default"/>
        <w:b w:val="0"/>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BB70C27"/>
    <w:multiLevelType w:val="hybridMultilevel"/>
    <w:tmpl w:val="14B4A702"/>
    <w:lvl w:ilvl="0" w:tplc="A0C093DE">
      <w:start w:val="1"/>
      <w:numFmt w:val="bullet"/>
      <w:pStyle w:val="Bulletlist2"/>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175A8D"/>
    <w:multiLevelType w:val="hybridMultilevel"/>
    <w:tmpl w:val="F88EE1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950679"/>
    <w:multiLevelType w:val="hybridMultilevel"/>
    <w:tmpl w:val="A0989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C44B73"/>
    <w:multiLevelType w:val="hybridMultilevel"/>
    <w:tmpl w:val="A858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E3111B"/>
    <w:multiLevelType w:val="hybridMultilevel"/>
    <w:tmpl w:val="C3CC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B336F0"/>
    <w:multiLevelType w:val="hybridMultilevel"/>
    <w:tmpl w:val="E718056A"/>
    <w:lvl w:ilvl="0" w:tplc="793C66FA">
      <w:start w:val="1"/>
      <w:numFmt w:val="lowerRoman"/>
      <w:lvlText w:val="(%1)"/>
      <w:lvlJc w:val="left"/>
      <w:pPr>
        <w:ind w:left="2150" w:hanging="1080"/>
      </w:pPr>
      <w:rPr>
        <w:rFonts w:ascii="Arial" w:hAnsi="Arial" w:cs="Arial" w:hint="default"/>
        <w:sz w:val="22"/>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17" w15:restartNumberingAfterBreak="0">
    <w:nsid w:val="75F46359"/>
    <w:multiLevelType w:val="hybridMultilevel"/>
    <w:tmpl w:val="14984C2A"/>
    <w:lvl w:ilvl="0" w:tplc="61E6387C">
      <w:start w:val="1"/>
      <w:numFmt w:val="bullet"/>
      <w:pStyle w:val="Bulletlist1"/>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500173"/>
    <w:multiLevelType w:val="hybridMultilevel"/>
    <w:tmpl w:val="ABCE9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4027875">
    <w:abstractNumId w:val="17"/>
  </w:num>
  <w:num w:numId="2" w16cid:durableId="801078614">
    <w:abstractNumId w:val="11"/>
  </w:num>
  <w:num w:numId="3" w16cid:durableId="835733084">
    <w:abstractNumId w:val="5"/>
  </w:num>
  <w:num w:numId="4" w16cid:durableId="1505045385">
    <w:abstractNumId w:val="3"/>
  </w:num>
  <w:num w:numId="5" w16cid:durableId="894198857">
    <w:abstractNumId w:val="16"/>
  </w:num>
  <w:num w:numId="6" w16cid:durableId="790173703">
    <w:abstractNumId w:val="10"/>
  </w:num>
  <w:num w:numId="7" w16cid:durableId="312567370">
    <w:abstractNumId w:val="13"/>
  </w:num>
  <w:num w:numId="8" w16cid:durableId="544290714">
    <w:abstractNumId w:val="18"/>
  </w:num>
  <w:num w:numId="9" w16cid:durableId="1848130636">
    <w:abstractNumId w:val="2"/>
  </w:num>
  <w:num w:numId="10" w16cid:durableId="1230992916">
    <w:abstractNumId w:val="7"/>
  </w:num>
  <w:num w:numId="11" w16cid:durableId="951590765">
    <w:abstractNumId w:val="14"/>
  </w:num>
  <w:num w:numId="12" w16cid:durableId="2005274613">
    <w:abstractNumId w:val="4"/>
  </w:num>
  <w:num w:numId="13" w16cid:durableId="507643562">
    <w:abstractNumId w:val="15"/>
  </w:num>
  <w:num w:numId="14" w16cid:durableId="751126465">
    <w:abstractNumId w:val="6"/>
  </w:num>
  <w:num w:numId="15" w16cid:durableId="1544633241">
    <w:abstractNumId w:val="12"/>
  </w:num>
  <w:num w:numId="16" w16cid:durableId="959726245">
    <w:abstractNumId w:val="1"/>
  </w:num>
  <w:num w:numId="17" w16cid:durableId="398597297">
    <w:abstractNumId w:val="8"/>
  </w:num>
  <w:num w:numId="18" w16cid:durableId="2097896258">
    <w:abstractNumId w:val="0"/>
  </w:num>
  <w:num w:numId="19" w16cid:durableId="1287397061">
    <w:abstractNumId w:val="9"/>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ns, Christopher">
    <w15:presenceInfo w15:providerId="AD" w15:userId="S::Christopher.Binns2@justice.gov.uk::121289fb-81c0-4c50-a194-fb6b344020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trackRevisions/>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750"/>
    <w:rsid w:val="000044EA"/>
    <w:rsid w:val="000075ED"/>
    <w:rsid w:val="00007EE9"/>
    <w:rsid w:val="00011BF6"/>
    <w:rsid w:val="0001251B"/>
    <w:rsid w:val="00013239"/>
    <w:rsid w:val="000132D8"/>
    <w:rsid w:val="000136A9"/>
    <w:rsid w:val="00014814"/>
    <w:rsid w:val="0002333B"/>
    <w:rsid w:val="00024522"/>
    <w:rsid w:val="00024B2E"/>
    <w:rsid w:val="00025292"/>
    <w:rsid w:val="00027237"/>
    <w:rsid w:val="00027861"/>
    <w:rsid w:val="00030430"/>
    <w:rsid w:val="0003078E"/>
    <w:rsid w:val="00031B89"/>
    <w:rsid w:val="0003693D"/>
    <w:rsid w:val="000371DD"/>
    <w:rsid w:val="0003739A"/>
    <w:rsid w:val="00040C89"/>
    <w:rsid w:val="000412BD"/>
    <w:rsid w:val="0004440F"/>
    <w:rsid w:val="00044746"/>
    <w:rsid w:val="00044BA6"/>
    <w:rsid w:val="0004596E"/>
    <w:rsid w:val="00052B24"/>
    <w:rsid w:val="00052C8A"/>
    <w:rsid w:val="000574C9"/>
    <w:rsid w:val="000611AF"/>
    <w:rsid w:val="00061FE4"/>
    <w:rsid w:val="0007349B"/>
    <w:rsid w:val="000758E7"/>
    <w:rsid w:val="00077662"/>
    <w:rsid w:val="00082879"/>
    <w:rsid w:val="00092803"/>
    <w:rsid w:val="00093BC6"/>
    <w:rsid w:val="00096B84"/>
    <w:rsid w:val="000A0F01"/>
    <w:rsid w:val="000B3EAB"/>
    <w:rsid w:val="000B418A"/>
    <w:rsid w:val="000B526E"/>
    <w:rsid w:val="000C09EC"/>
    <w:rsid w:val="000C2BA0"/>
    <w:rsid w:val="000C3C33"/>
    <w:rsid w:val="000C4573"/>
    <w:rsid w:val="000C67DF"/>
    <w:rsid w:val="000D2FD4"/>
    <w:rsid w:val="000F0296"/>
    <w:rsid w:val="000F5052"/>
    <w:rsid w:val="0010072A"/>
    <w:rsid w:val="001028E8"/>
    <w:rsid w:val="001042C3"/>
    <w:rsid w:val="001057A6"/>
    <w:rsid w:val="001064B6"/>
    <w:rsid w:val="0011242B"/>
    <w:rsid w:val="00112E37"/>
    <w:rsid w:val="00117BD7"/>
    <w:rsid w:val="00117FB4"/>
    <w:rsid w:val="0012059D"/>
    <w:rsid w:val="00122367"/>
    <w:rsid w:val="00123637"/>
    <w:rsid w:val="00124900"/>
    <w:rsid w:val="00131164"/>
    <w:rsid w:val="00131688"/>
    <w:rsid w:val="001330CE"/>
    <w:rsid w:val="00142649"/>
    <w:rsid w:val="0014453E"/>
    <w:rsid w:val="0014597D"/>
    <w:rsid w:val="00146168"/>
    <w:rsid w:val="00150089"/>
    <w:rsid w:val="0015369F"/>
    <w:rsid w:val="00154B59"/>
    <w:rsid w:val="00156EE7"/>
    <w:rsid w:val="001571E5"/>
    <w:rsid w:val="00166725"/>
    <w:rsid w:val="00171D9F"/>
    <w:rsid w:val="001746E0"/>
    <w:rsid w:val="00176ABB"/>
    <w:rsid w:val="00177EDB"/>
    <w:rsid w:val="00177FC8"/>
    <w:rsid w:val="0017A0D8"/>
    <w:rsid w:val="00180CD8"/>
    <w:rsid w:val="001812D1"/>
    <w:rsid w:val="00181B38"/>
    <w:rsid w:val="001849CA"/>
    <w:rsid w:val="00185D98"/>
    <w:rsid w:val="001863FF"/>
    <w:rsid w:val="001872F2"/>
    <w:rsid w:val="00190AED"/>
    <w:rsid w:val="00191C75"/>
    <w:rsid w:val="00192352"/>
    <w:rsid w:val="0019378E"/>
    <w:rsid w:val="0019705D"/>
    <w:rsid w:val="001A13D7"/>
    <w:rsid w:val="001A396E"/>
    <w:rsid w:val="001A5305"/>
    <w:rsid w:val="001A6D5B"/>
    <w:rsid w:val="001B0E3B"/>
    <w:rsid w:val="001B22D4"/>
    <w:rsid w:val="001B5537"/>
    <w:rsid w:val="001B7840"/>
    <w:rsid w:val="001C35AC"/>
    <w:rsid w:val="001C4D63"/>
    <w:rsid w:val="001C72FC"/>
    <w:rsid w:val="001D0DE0"/>
    <w:rsid w:val="001D2053"/>
    <w:rsid w:val="001D238E"/>
    <w:rsid w:val="001D2AC9"/>
    <w:rsid w:val="001D591E"/>
    <w:rsid w:val="001D5FF3"/>
    <w:rsid w:val="001D6FF1"/>
    <w:rsid w:val="001D7CD4"/>
    <w:rsid w:val="001E1844"/>
    <w:rsid w:val="001E25EF"/>
    <w:rsid w:val="001E2B32"/>
    <w:rsid w:val="001E4F55"/>
    <w:rsid w:val="001F059F"/>
    <w:rsid w:val="001F18A2"/>
    <w:rsid w:val="001F482E"/>
    <w:rsid w:val="001F712B"/>
    <w:rsid w:val="001F7282"/>
    <w:rsid w:val="002002E0"/>
    <w:rsid w:val="00200811"/>
    <w:rsid w:val="00205E2D"/>
    <w:rsid w:val="00206280"/>
    <w:rsid w:val="002075C9"/>
    <w:rsid w:val="00210143"/>
    <w:rsid w:val="00211308"/>
    <w:rsid w:val="00211A6C"/>
    <w:rsid w:val="0021319C"/>
    <w:rsid w:val="0021325A"/>
    <w:rsid w:val="0021338D"/>
    <w:rsid w:val="0021737F"/>
    <w:rsid w:val="00217754"/>
    <w:rsid w:val="00221D84"/>
    <w:rsid w:val="002227E2"/>
    <w:rsid w:val="002319AB"/>
    <w:rsid w:val="00233F6C"/>
    <w:rsid w:val="002341E2"/>
    <w:rsid w:val="00234342"/>
    <w:rsid w:val="0023473B"/>
    <w:rsid w:val="00236C32"/>
    <w:rsid w:val="00236D24"/>
    <w:rsid w:val="00237273"/>
    <w:rsid w:val="0024040D"/>
    <w:rsid w:val="00245988"/>
    <w:rsid w:val="002472C7"/>
    <w:rsid w:val="00250533"/>
    <w:rsid w:val="00250812"/>
    <w:rsid w:val="00252BBE"/>
    <w:rsid w:val="002546B2"/>
    <w:rsid w:val="002556FE"/>
    <w:rsid w:val="00255FA3"/>
    <w:rsid w:val="00257750"/>
    <w:rsid w:val="00261309"/>
    <w:rsid w:val="002629F8"/>
    <w:rsid w:val="00262A2D"/>
    <w:rsid w:val="00262D6E"/>
    <w:rsid w:val="00263396"/>
    <w:rsid w:val="002634FE"/>
    <w:rsid w:val="00264971"/>
    <w:rsid w:val="002659DF"/>
    <w:rsid w:val="00267815"/>
    <w:rsid w:val="00272958"/>
    <w:rsid w:val="002734AC"/>
    <w:rsid w:val="00280DDF"/>
    <w:rsid w:val="00282E26"/>
    <w:rsid w:val="00284B52"/>
    <w:rsid w:val="00287E16"/>
    <w:rsid w:val="00290F50"/>
    <w:rsid w:val="002917FF"/>
    <w:rsid w:val="00292ADF"/>
    <w:rsid w:val="002A14BC"/>
    <w:rsid w:val="002A29D1"/>
    <w:rsid w:val="002A43BF"/>
    <w:rsid w:val="002A61FB"/>
    <w:rsid w:val="002A6518"/>
    <w:rsid w:val="002B0242"/>
    <w:rsid w:val="002B2C33"/>
    <w:rsid w:val="002B3C20"/>
    <w:rsid w:val="002B4848"/>
    <w:rsid w:val="002B52C4"/>
    <w:rsid w:val="002B5A84"/>
    <w:rsid w:val="002B7694"/>
    <w:rsid w:val="002C27AA"/>
    <w:rsid w:val="002C33AF"/>
    <w:rsid w:val="002C4FC1"/>
    <w:rsid w:val="002C6533"/>
    <w:rsid w:val="002D4B62"/>
    <w:rsid w:val="002E0BE4"/>
    <w:rsid w:val="002E1CF2"/>
    <w:rsid w:val="002E1FDA"/>
    <w:rsid w:val="002E2166"/>
    <w:rsid w:val="002E6A6A"/>
    <w:rsid w:val="002E6A83"/>
    <w:rsid w:val="002E7F1E"/>
    <w:rsid w:val="002F025C"/>
    <w:rsid w:val="00300E92"/>
    <w:rsid w:val="00301A22"/>
    <w:rsid w:val="003030DA"/>
    <w:rsid w:val="0030380D"/>
    <w:rsid w:val="00312487"/>
    <w:rsid w:val="0032105E"/>
    <w:rsid w:val="00323E71"/>
    <w:rsid w:val="00325AEB"/>
    <w:rsid w:val="0032741C"/>
    <w:rsid w:val="003275F2"/>
    <w:rsid w:val="00331528"/>
    <w:rsid w:val="003315AB"/>
    <w:rsid w:val="003368CD"/>
    <w:rsid w:val="00336FDB"/>
    <w:rsid w:val="003402D6"/>
    <w:rsid w:val="003417C2"/>
    <w:rsid w:val="00342E48"/>
    <w:rsid w:val="003434D6"/>
    <w:rsid w:val="003434F4"/>
    <w:rsid w:val="00346591"/>
    <w:rsid w:val="0034742F"/>
    <w:rsid w:val="0035286C"/>
    <w:rsid w:val="003635F6"/>
    <w:rsid w:val="003659F5"/>
    <w:rsid w:val="00367380"/>
    <w:rsid w:val="00367BD5"/>
    <w:rsid w:val="003726D0"/>
    <w:rsid w:val="003736B7"/>
    <w:rsid w:val="0037439B"/>
    <w:rsid w:val="0037566C"/>
    <w:rsid w:val="00380FCB"/>
    <w:rsid w:val="00383DF2"/>
    <w:rsid w:val="00387879"/>
    <w:rsid w:val="00393B78"/>
    <w:rsid w:val="003A01E9"/>
    <w:rsid w:val="003A4DCE"/>
    <w:rsid w:val="003A7F9F"/>
    <w:rsid w:val="003B04E9"/>
    <w:rsid w:val="003B713C"/>
    <w:rsid w:val="003B71B5"/>
    <w:rsid w:val="003C0306"/>
    <w:rsid w:val="003C1048"/>
    <w:rsid w:val="003C465D"/>
    <w:rsid w:val="003C6483"/>
    <w:rsid w:val="003C7725"/>
    <w:rsid w:val="003C7E77"/>
    <w:rsid w:val="003D18F9"/>
    <w:rsid w:val="003D2F75"/>
    <w:rsid w:val="003D495D"/>
    <w:rsid w:val="003E098E"/>
    <w:rsid w:val="003E09C2"/>
    <w:rsid w:val="003E0CFD"/>
    <w:rsid w:val="003E2FAE"/>
    <w:rsid w:val="003F09A6"/>
    <w:rsid w:val="003F6817"/>
    <w:rsid w:val="00400129"/>
    <w:rsid w:val="00404042"/>
    <w:rsid w:val="004051BF"/>
    <w:rsid w:val="00407CF7"/>
    <w:rsid w:val="00410456"/>
    <w:rsid w:val="004146FD"/>
    <w:rsid w:val="00415ED6"/>
    <w:rsid w:val="00417B04"/>
    <w:rsid w:val="0042144E"/>
    <w:rsid w:val="00422265"/>
    <w:rsid w:val="0042355A"/>
    <w:rsid w:val="004251CE"/>
    <w:rsid w:val="004268DF"/>
    <w:rsid w:val="0043287B"/>
    <w:rsid w:val="00432C95"/>
    <w:rsid w:val="004335A2"/>
    <w:rsid w:val="004373A7"/>
    <w:rsid w:val="00437D94"/>
    <w:rsid w:val="0044030C"/>
    <w:rsid w:val="004409AE"/>
    <w:rsid w:val="00442FC1"/>
    <w:rsid w:val="00444443"/>
    <w:rsid w:val="00456B0E"/>
    <w:rsid w:val="00457226"/>
    <w:rsid w:val="00457E37"/>
    <w:rsid w:val="00460723"/>
    <w:rsid w:val="00460EEB"/>
    <w:rsid w:val="00464234"/>
    <w:rsid w:val="00471380"/>
    <w:rsid w:val="0047153A"/>
    <w:rsid w:val="00472CD7"/>
    <w:rsid w:val="0047548C"/>
    <w:rsid w:val="0047793F"/>
    <w:rsid w:val="004855DF"/>
    <w:rsid w:val="00487D9F"/>
    <w:rsid w:val="004920A2"/>
    <w:rsid w:val="00493182"/>
    <w:rsid w:val="00494166"/>
    <w:rsid w:val="00496695"/>
    <w:rsid w:val="00496750"/>
    <w:rsid w:val="00496BFD"/>
    <w:rsid w:val="004A3B13"/>
    <w:rsid w:val="004A4340"/>
    <w:rsid w:val="004A4DBF"/>
    <w:rsid w:val="004B203E"/>
    <w:rsid w:val="004B2CD0"/>
    <w:rsid w:val="004B3A79"/>
    <w:rsid w:val="004B3E03"/>
    <w:rsid w:val="004B6FC9"/>
    <w:rsid w:val="004C2FAB"/>
    <w:rsid w:val="004C361D"/>
    <w:rsid w:val="004C3D4F"/>
    <w:rsid w:val="004C4DA0"/>
    <w:rsid w:val="004D22D0"/>
    <w:rsid w:val="004D65A8"/>
    <w:rsid w:val="004E3EB8"/>
    <w:rsid w:val="004E6605"/>
    <w:rsid w:val="004E6B30"/>
    <w:rsid w:val="004F07E4"/>
    <w:rsid w:val="004F1E79"/>
    <w:rsid w:val="004F2822"/>
    <w:rsid w:val="004F3415"/>
    <w:rsid w:val="004F5F33"/>
    <w:rsid w:val="0050103A"/>
    <w:rsid w:val="005057CE"/>
    <w:rsid w:val="00510F5C"/>
    <w:rsid w:val="0051156D"/>
    <w:rsid w:val="00514694"/>
    <w:rsid w:val="00514BE4"/>
    <w:rsid w:val="005155C1"/>
    <w:rsid w:val="005155F8"/>
    <w:rsid w:val="00515E11"/>
    <w:rsid w:val="005230EC"/>
    <w:rsid w:val="0053014A"/>
    <w:rsid w:val="00532718"/>
    <w:rsid w:val="005353AC"/>
    <w:rsid w:val="00537CEF"/>
    <w:rsid w:val="00541150"/>
    <w:rsid w:val="00543C49"/>
    <w:rsid w:val="0054456E"/>
    <w:rsid w:val="00544CFC"/>
    <w:rsid w:val="00550D4A"/>
    <w:rsid w:val="00552790"/>
    <w:rsid w:val="00553CE7"/>
    <w:rsid w:val="00555C80"/>
    <w:rsid w:val="0055645B"/>
    <w:rsid w:val="005600B2"/>
    <w:rsid w:val="00560DEC"/>
    <w:rsid w:val="00561247"/>
    <w:rsid w:val="005638EB"/>
    <w:rsid w:val="00564300"/>
    <w:rsid w:val="00564A02"/>
    <w:rsid w:val="00570787"/>
    <w:rsid w:val="005731D0"/>
    <w:rsid w:val="005733FA"/>
    <w:rsid w:val="00574F4C"/>
    <w:rsid w:val="00577FB5"/>
    <w:rsid w:val="005827D7"/>
    <w:rsid w:val="00582C90"/>
    <w:rsid w:val="00582C9C"/>
    <w:rsid w:val="00583E6B"/>
    <w:rsid w:val="0058560D"/>
    <w:rsid w:val="00590E24"/>
    <w:rsid w:val="0059299D"/>
    <w:rsid w:val="00593CD4"/>
    <w:rsid w:val="005A3EE1"/>
    <w:rsid w:val="005A4CDD"/>
    <w:rsid w:val="005A6995"/>
    <w:rsid w:val="005B0C71"/>
    <w:rsid w:val="005B23AE"/>
    <w:rsid w:val="005B4E11"/>
    <w:rsid w:val="005B5ABD"/>
    <w:rsid w:val="005C24FB"/>
    <w:rsid w:val="005C4F7D"/>
    <w:rsid w:val="005C5F34"/>
    <w:rsid w:val="005C6763"/>
    <w:rsid w:val="005C7227"/>
    <w:rsid w:val="005D0956"/>
    <w:rsid w:val="005D566E"/>
    <w:rsid w:val="005D6461"/>
    <w:rsid w:val="005D7C91"/>
    <w:rsid w:val="005E0344"/>
    <w:rsid w:val="005E2107"/>
    <w:rsid w:val="005E440B"/>
    <w:rsid w:val="005F7702"/>
    <w:rsid w:val="00602140"/>
    <w:rsid w:val="00605070"/>
    <w:rsid w:val="00605703"/>
    <w:rsid w:val="0060596D"/>
    <w:rsid w:val="00605ADB"/>
    <w:rsid w:val="0060603A"/>
    <w:rsid w:val="006071E0"/>
    <w:rsid w:val="006074D5"/>
    <w:rsid w:val="006075F8"/>
    <w:rsid w:val="00611C9F"/>
    <w:rsid w:val="0062074B"/>
    <w:rsid w:val="00620FAB"/>
    <w:rsid w:val="006226A0"/>
    <w:rsid w:val="006235D5"/>
    <w:rsid w:val="00624A85"/>
    <w:rsid w:val="00625089"/>
    <w:rsid w:val="006259B9"/>
    <w:rsid w:val="0063181C"/>
    <w:rsid w:val="00631E24"/>
    <w:rsid w:val="006322A0"/>
    <w:rsid w:val="0063269E"/>
    <w:rsid w:val="00636CEF"/>
    <w:rsid w:val="0063793A"/>
    <w:rsid w:val="0064226F"/>
    <w:rsid w:val="006456BF"/>
    <w:rsid w:val="00646F7C"/>
    <w:rsid w:val="00647394"/>
    <w:rsid w:val="00652016"/>
    <w:rsid w:val="00653298"/>
    <w:rsid w:val="006546C6"/>
    <w:rsid w:val="00655A04"/>
    <w:rsid w:val="00656DC8"/>
    <w:rsid w:val="00660C55"/>
    <w:rsid w:val="006610F7"/>
    <w:rsid w:val="00661B91"/>
    <w:rsid w:val="006622FC"/>
    <w:rsid w:val="00663275"/>
    <w:rsid w:val="00670DF1"/>
    <w:rsid w:val="00671345"/>
    <w:rsid w:val="00672A9B"/>
    <w:rsid w:val="006753DD"/>
    <w:rsid w:val="0068040F"/>
    <w:rsid w:val="006825B0"/>
    <w:rsid w:val="006849CF"/>
    <w:rsid w:val="00684AF8"/>
    <w:rsid w:val="00686734"/>
    <w:rsid w:val="00690008"/>
    <w:rsid w:val="00691BE3"/>
    <w:rsid w:val="006922DF"/>
    <w:rsid w:val="00695CE3"/>
    <w:rsid w:val="0069699D"/>
    <w:rsid w:val="00696EE0"/>
    <w:rsid w:val="006A19EF"/>
    <w:rsid w:val="006A7D73"/>
    <w:rsid w:val="006B2D87"/>
    <w:rsid w:val="006B3C03"/>
    <w:rsid w:val="006B529A"/>
    <w:rsid w:val="006B6947"/>
    <w:rsid w:val="006C0B79"/>
    <w:rsid w:val="006C185A"/>
    <w:rsid w:val="006C63B0"/>
    <w:rsid w:val="006C792E"/>
    <w:rsid w:val="006D116C"/>
    <w:rsid w:val="006D3A05"/>
    <w:rsid w:val="006D632C"/>
    <w:rsid w:val="006E2706"/>
    <w:rsid w:val="006E514B"/>
    <w:rsid w:val="006E52E0"/>
    <w:rsid w:val="006E6A61"/>
    <w:rsid w:val="006E6C3E"/>
    <w:rsid w:val="006E7C42"/>
    <w:rsid w:val="006F168A"/>
    <w:rsid w:val="006F29CB"/>
    <w:rsid w:val="006F4FEB"/>
    <w:rsid w:val="006F6275"/>
    <w:rsid w:val="00703FC2"/>
    <w:rsid w:val="007068BA"/>
    <w:rsid w:val="007105DE"/>
    <w:rsid w:val="0071308D"/>
    <w:rsid w:val="00716AB1"/>
    <w:rsid w:val="00716DB9"/>
    <w:rsid w:val="00716F56"/>
    <w:rsid w:val="00721267"/>
    <w:rsid w:val="0072254A"/>
    <w:rsid w:val="00725292"/>
    <w:rsid w:val="007302F0"/>
    <w:rsid w:val="00733628"/>
    <w:rsid w:val="007338D7"/>
    <w:rsid w:val="00734D2B"/>
    <w:rsid w:val="00737705"/>
    <w:rsid w:val="0074146F"/>
    <w:rsid w:val="007420AC"/>
    <w:rsid w:val="00742617"/>
    <w:rsid w:val="00742F83"/>
    <w:rsid w:val="007456D5"/>
    <w:rsid w:val="007463BD"/>
    <w:rsid w:val="007476C6"/>
    <w:rsid w:val="00747C5A"/>
    <w:rsid w:val="00753CA5"/>
    <w:rsid w:val="0075558B"/>
    <w:rsid w:val="00760F3B"/>
    <w:rsid w:val="007619D9"/>
    <w:rsid w:val="007627CA"/>
    <w:rsid w:val="00767613"/>
    <w:rsid w:val="007707D7"/>
    <w:rsid w:val="00771864"/>
    <w:rsid w:val="007750B7"/>
    <w:rsid w:val="00780629"/>
    <w:rsid w:val="007817EE"/>
    <w:rsid w:val="00783AD0"/>
    <w:rsid w:val="0078488C"/>
    <w:rsid w:val="00785427"/>
    <w:rsid w:val="00790540"/>
    <w:rsid w:val="007907E8"/>
    <w:rsid w:val="00790811"/>
    <w:rsid w:val="0079150B"/>
    <w:rsid w:val="00792DD2"/>
    <w:rsid w:val="007931DB"/>
    <w:rsid w:val="007A43FF"/>
    <w:rsid w:val="007A528D"/>
    <w:rsid w:val="007B1541"/>
    <w:rsid w:val="007B35A0"/>
    <w:rsid w:val="007B3918"/>
    <w:rsid w:val="007B46D3"/>
    <w:rsid w:val="007B4E06"/>
    <w:rsid w:val="007C121E"/>
    <w:rsid w:val="007C16E1"/>
    <w:rsid w:val="007C187C"/>
    <w:rsid w:val="007C2C75"/>
    <w:rsid w:val="007C2DE8"/>
    <w:rsid w:val="007C3B49"/>
    <w:rsid w:val="007D199A"/>
    <w:rsid w:val="007D2ABD"/>
    <w:rsid w:val="007D5085"/>
    <w:rsid w:val="007D6FEC"/>
    <w:rsid w:val="007E1C07"/>
    <w:rsid w:val="007E1DD9"/>
    <w:rsid w:val="007E3C99"/>
    <w:rsid w:val="007E59DB"/>
    <w:rsid w:val="007E5E1E"/>
    <w:rsid w:val="007E6916"/>
    <w:rsid w:val="007F05F1"/>
    <w:rsid w:val="007F0DFC"/>
    <w:rsid w:val="007F24B6"/>
    <w:rsid w:val="007F2A58"/>
    <w:rsid w:val="007F522E"/>
    <w:rsid w:val="007F525D"/>
    <w:rsid w:val="007F6977"/>
    <w:rsid w:val="00800D9F"/>
    <w:rsid w:val="00802A98"/>
    <w:rsid w:val="0080326C"/>
    <w:rsid w:val="00803D94"/>
    <w:rsid w:val="00804FEE"/>
    <w:rsid w:val="008052E1"/>
    <w:rsid w:val="00805337"/>
    <w:rsid w:val="00805743"/>
    <w:rsid w:val="00806CD3"/>
    <w:rsid w:val="00811C30"/>
    <w:rsid w:val="008177D0"/>
    <w:rsid w:val="0082453B"/>
    <w:rsid w:val="00825B14"/>
    <w:rsid w:val="008265EB"/>
    <w:rsid w:val="00827CD7"/>
    <w:rsid w:val="008305D3"/>
    <w:rsid w:val="008317C3"/>
    <w:rsid w:val="00840758"/>
    <w:rsid w:val="00845390"/>
    <w:rsid w:val="00850438"/>
    <w:rsid w:val="00851112"/>
    <w:rsid w:val="00853668"/>
    <w:rsid w:val="00853991"/>
    <w:rsid w:val="008544C7"/>
    <w:rsid w:val="00855197"/>
    <w:rsid w:val="00857D6C"/>
    <w:rsid w:val="008606F0"/>
    <w:rsid w:val="00861BD0"/>
    <w:rsid w:val="008627F7"/>
    <w:rsid w:val="00863764"/>
    <w:rsid w:val="00865489"/>
    <w:rsid w:val="0086553D"/>
    <w:rsid w:val="008657FC"/>
    <w:rsid w:val="00871333"/>
    <w:rsid w:val="00874FEB"/>
    <w:rsid w:val="008803B3"/>
    <w:rsid w:val="00882AA4"/>
    <w:rsid w:val="00883E22"/>
    <w:rsid w:val="008854D7"/>
    <w:rsid w:val="0088640C"/>
    <w:rsid w:val="00887EC6"/>
    <w:rsid w:val="0089084C"/>
    <w:rsid w:val="00892E9B"/>
    <w:rsid w:val="00893409"/>
    <w:rsid w:val="008943DF"/>
    <w:rsid w:val="008958B9"/>
    <w:rsid w:val="00896D5A"/>
    <w:rsid w:val="0089860A"/>
    <w:rsid w:val="008A2379"/>
    <w:rsid w:val="008A3D74"/>
    <w:rsid w:val="008A578E"/>
    <w:rsid w:val="008B15AA"/>
    <w:rsid w:val="008B5886"/>
    <w:rsid w:val="008B7BCC"/>
    <w:rsid w:val="008C50C3"/>
    <w:rsid w:val="008C7094"/>
    <w:rsid w:val="008D1046"/>
    <w:rsid w:val="008D1AED"/>
    <w:rsid w:val="008D2B97"/>
    <w:rsid w:val="008D2E72"/>
    <w:rsid w:val="008D31E0"/>
    <w:rsid w:val="008D66D6"/>
    <w:rsid w:val="008D6C81"/>
    <w:rsid w:val="008E0047"/>
    <w:rsid w:val="008E010C"/>
    <w:rsid w:val="008E1C99"/>
    <w:rsid w:val="008E246D"/>
    <w:rsid w:val="008E5728"/>
    <w:rsid w:val="008E6CF0"/>
    <w:rsid w:val="008F03D9"/>
    <w:rsid w:val="008F0783"/>
    <w:rsid w:val="008F0D68"/>
    <w:rsid w:val="008F1439"/>
    <w:rsid w:val="008F2DAD"/>
    <w:rsid w:val="008F7051"/>
    <w:rsid w:val="008F7225"/>
    <w:rsid w:val="008F7987"/>
    <w:rsid w:val="00904296"/>
    <w:rsid w:val="0090581D"/>
    <w:rsid w:val="00910C89"/>
    <w:rsid w:val="009111B9"/>
    <w:rsid w:val="009124D2"/>
    <w:rsid w:val="00914701"/>
    <w:rsid w:val="00916050"/>
    <w:rsid w:val="0091758B"/>
    <w:rsid w:val="00920BF2"/>
    <w:rsid w:val="009274F2"/>
    <w:rsid w:val="00930527"/>
    <w:rsid w:val="00932157"/>
    <w:rsid w:val="009349A9"/>
    <w:rsid w:val="009368F7"/>
    <w:rsid w:val="00940FBA"/>
    <w:rsid w:val="009453E5"/>
    <w:rsid w:val="009455FC"/>
    <w:rsid w:val="00947570"/>
    <w:rsid w:val="0095034F"/>
    <w:rsid w:val="009527D1"/>
    <w:rsid w:val="0095489B"/>
    <w:rsid w:val="00955DBD"/>
    <w:rsid w:val="00956472"/>
    <w:rsid w:val="00957493"/>
    <w:rsid w:val="00960F2A"/>
    <w:rsid w:val="00960F3E"/>
    <w:rsid w:val="009637E7"/>
    <w:rsid w:val="009646E3"/>
    <w:rsid w:val="00966FB9"/>
    <w:rsid w:val="00970DC6"/>
    <w:rsid w:val="00973B17"/>
    <w:rsid w:val="00980A88"/>
    <w:rsid w:val="00980F9C"/>
    <w:rsid w:val="00982F2E"/>
    <w:rsid w:val="00984218"/>
    <w:rsid w:val="00991634"/>
    <w:rsid w:val="00997BFB"/>
    <w:rsid w:val="009A428F"/>
    <w:rsid w:val="009A58EE"/>
    <w:rsid w:val="009B13CD"/>
    <w:rsid w:val="009B3A43"/>
    <w:rsid w:val="009B4BC7"/>
    <w:rsid w:val="009B5E0D"/>
    <w:rsid w:val="009B73AA"/>
    <w:rsid w:val="009C054D"/>
    <w:rsid w:val="009C15A1"/>
    <w:rsid w:val="009C15F3"/>
    <w:rsid w:val="009C3979"/>
    <w:rsid w:val="009C7224"/>
    <w:rsid w:val="009D7C85"/>
    <w:rsid w:val="009D7F3C"/>
    <w:rsid w:val="009E07C2"/>
    <w:rsid w:val="009E48EA"/>
    <w:rsid w:val="009E5967"/>
    <w:rsid w:val="009E77B2"/>
    <w:rsid w:val="009E7F82"/>
    <w:rsid w:val="009F1FEE"/>
    <w:rsid w:val="009F1FF6"/>
    <w:rsid w:val="009F2B25"/>
    <w:rsid w:val="009F72F9"/>
    <w:rsid w:val="009F7F02"/>
    <w:rsid w:val="00A00AF0"/>
    <w:rsid w:val="00A03144"/>
    <w:rsid w:val="00A03952"/>
    <w:rsid w:val="00A0575F"/>
    <w:rsid w:val="00A05ED3"/>
    <w:rsid w:val="00A100E8"/>
    <w:rsid w:val="00A10B06"/>
    <w:rsid w:val="00A12618"/>
    <w:rsid w:val="00A149A8"/>
    <w:rsid w:val="00A14B5A"/>
    <w:rsid w:val="00A17FAF"/>
    <w:rsid w:val="00A227FD"/>
    <w:rsid w:val="00A22F57"/>
    <w:rsid w:val="00A24E14"/>
    <w:rsid w:val="00A33693"/>
    <w:rsid w:val="00A3567F"/>
    <w:rsid w:val="00A35874"/>
    <w:rsid w:val="00A37698"/>
    <w:rsid w:val="00A38995"/>
    <w:rsid w:val="00A42BBE"/>
    <w:rsid w:val="00A42DCF"/>
    <w:rsid w:val="00A445A8"/>
    <w:rsid w:val="00A47349"/>
    <w:rsid w:val="00A54680"/>
    <w:rsid w:val="00A551C4"/>
    <w:rsid w:val="00A55968"/>
    <w:rsid w:val="00A608FE"/>
    <w:rsid w:val="00A641FF"/>
    <w:rsid w:val="00A64673"/>
    <w:rsid w:val="00A66430"/>
    <w:rsid w:val="00A702C8"/>
    <w:rsid w:val="00A71703"/>
    <w:rsid w:val="00A777EA"/>
    <w:rsid w:val="00A81D82"/>
    <w:rsid w:val="00A82655"/>
    <w:rsid w:val="00A878E1"/>
    <w:rsid w:val="00A901A3"/>
    <w:rsid w:val="00A93E33"/>
    <w:rsid w:val="00AA2113"/>
    <w:rsid w:val="00AA22D2"/>
    <w:rsid w:val="00AA603E"/>
    <w:rsid w:val="00AB07E2"/>
    <w:rsid w:val="00AB31C6"/>
    <w:rsid w:val="00AB32CA"/>
    <w:rsid w:val="00AC1939"/>
    <w:rsid w:val="00AC2931"/>
    <w:rsid w:val="00AC54F6"/>
    <w:rsid w:val="00AD167C"/>
    <w:rsid w:val="00AD17C7"/>
    <w:rsid w:val="00AD334D"/>
    <w:rsid w:val="00AD4027"/>
    <w:rsid w:val="00AD4041"/>
    <w:rsid w:val="00AD4ADB"/>
    <w:rsid w:val="00AD6DD0"/>
    <w:rsid w:val="00AE0BD2"/>
    <w:rsid w:val="00AE0E0F"/>
    <w:rsid w:val="00AE302B"/>
    <w:rsid w:val="00AE33BD"/>
    <w:rsid w:val="00AE494D"/>
    <w:rsid w:val="00AE7CEC"/>
    <w:rsid w:val="00AF11EA"/>
    <w:rsid w:val="00AF1642"/>
    <w:rsid w:val="00AF2835"/>
    <w:rsid w:val="00AF607A"/>
    <w:rsid w:val="00AF741D"/>
    <w:rsid w:val="00B0099E"/>
    <w:rsid w:val="00B05C47"/>
    <w:rsid w:val="00B0669C"/>
    <w:rsid w:val="00B1095D"/>
    <w:rsid w:val="00B13B2A"/>
    <w:rsid w:val="00B13D48"/>
    <w:rsid w:val="00B147C0"/>
    <w:rsid w:val="00B157F8"/>
    <w:rsid w:val="00B230A3"/>
    <w:rsid w:val="00B233F8"/>
    <w:rsid w:val="00B259DF"/>
    <w:rsid w:val="00B27838"/>
    <w:rsid w:val="00B27AB3"/>
    <w:rsid w:val="00B33F28"/>
    <w:rsid w:val="00B35CD9"/>
    <w:rsid w:val="00B37728"/>
    <w:rsid w:val="00B407C5"/>
    <w:rsid w:val="00B4149E"/>
    <w:rsid w:val="00B4455B"/>
    <w:rsid w:val="00B4781D"/>
    <w:rsid w:val="00B5519A"/>
    <w:rsid w:val="00B55CF5"/>
    <w:rsid w:val="00B61E75"/>
    <w:rsid w:val="00B64879"/>
    <w:rsid w:val="00B66AE6"/>
    <w:rsid w:val="00B71679"/>
    <w:rsid w:val="00B7285D"/>
    <w:rsid w:val="00B735E6"/>
    <w:rsid w:val="00B75DA3"/>
    <w:rsid w:val="00B7644C"/>
    <w:rsid w:val="00B77913"/>
    <w:rsid w:val="00B86257"/>
    <w:rsid w:val="00B86AE3"/>
    <w:rsid w:val="00B87441"/>
    <w:rsid w:val="00B87B4E"/>
    <w:rsid w:val="00B87CC4"/>
    <w:rsid w:val="00B91EB4"/>
    <w:rsid w:val="00B925B5"/>
    <w:rsid w:val="00B955DF"/>
    <w:rsid w:val="00B95B36"/>
    <w:rsid w:val="00BA38DC"/>
    <w:rsid w:val="00BA3EB3"/>
    <w:rsid w:val="00BA3EFC"/>
    <w:rsid w:val="00BA4811"/>
    <w:rsid w:val="00BA4CA2"/>
    <w:rsid w:val="00BA4E58"/>
    <w:rsid w:val="00BA5485"/>
    <w:rsid w:val="00BA7074"/>
    <w:rsid w:val="00BA7213"/>
    <w:rsid w:val="00BA735B"/>
    <w:rsid w:val="00BB3712"/>
    <w:rsid w:val="00BB3ECB"/>
    <w:rsid w:val="00BB7829"/>
    <w:rsid w:val="00BC15EF"/>
    <w:rsid w:val="00BC4A22"/>
    <w:rsid w:val="00BC723C"/>
    <w:rsid w:val="00BC7A86"/>
    <w:rsid w:val="00BD1118"/>
    <w:rsid w:val="00BD1457"/>
    <w:rsid w:val="00BD4332"/>
    <w:rsid w:val="00BD4812"/>
    <w:rsid w:val="00BD55DE"/>
    <w:rsid w:val="00BD6E2D"/>
    <w:rsid w:val="00BD76EF"/>
    <w:rsid w:val="00BE1C4F"/>
    <w:rsid w:val="00BE2A07"/>
    <w:rsid w:val="00BE2AD9"/>
    <w:rsid w:val="00BE4A9B"/>
    <w:rsid w:val="00BF14C9"/>
    <w:rsid w:val="00BF27FE"/>
    <w:rsid w:val="00C00859"/>
    <w:rsid w:val="00C02723"/>
    <w:rsid w:val="00C043B3"/>
    <w:rsid w:val="00C07752"/>
    <w:rsid w:val="00C079AB"/>
    <w:rsid w:val="00C14787"/>
    <w:rsid w:val="00C20562"/>
    <w:rsid w:val="00C23448"/>
    <w:rsid w:val="00C23A96"/>
    <w:rsid w:val="00C249C6"/>
    <w:rsid w:val="00C31F60"/>
    <w:rsid w:val="00C32CC1"/>
    <w:rsid w:val="00C34618"/>
    <w:rsid w:val="00C4061D"/>
    <w:rsid w:val="00C4418F"/>
    <w:rsid w:val="00C4632F"/>
    <w:rsid w:val="00C47C53"/>
    <w:rsid w:val="00C51E71"/>
    <w:rsid w:val="00C5507F"/>
    <w:rsid w:val="00C55C46"/>
    <w:rsid w:val="00C55C8D"/>
    <w:rsid w:val="00C57897"/>
    <w:rsid w:val="00C6483C"/>
    <w:rsid w:val="00C70CFF"/>
    <w:rsid w:val="00C71784"/>
    <w:rsid w:val="00C718FE"/>
    <w:rsid w:val="00C71B2F"/>
    <w:rsid w:val="00C74BA6"/>
    <w:rsid w:val="00C760D3"/>
    <w:rsid w:val="00C83273"/>
    <w:rsid w:val="00C84C38"/>
    <w:rsid w:val="00C8773D"/>
    <w:rsid w:val="00C87ABB"/>
    <w:rsid w:val="00C93CDD"/>
    <w:rsid w:val="00C953DF"/>
    <w:rsid w:val="00CA0FA5"/>
    <w:rsid w:val="00CA1092"/>
    <w:rsid w:val="00CB2A95"/>
    <w:rsid w:val="00CB4BA1"/>
    <w:rsid w:val="00CB6A9F"/>
    <w:rsid w:val="00CC534F"/>
    <w:rsid w:val="00CC608E"/>
    <w:rsid w:val="00CC7946"/>
    <w:rsid w:val="00CD5DD6"/>
    <w:rsid w:val="00CD64E6"/>
    <w:rsid w:val="00CD69B5"/>
    <w:rsid w:val="00CE0CEA"/>
    <w:rsid w:val="00CE2039"/>
    <w:rsid w:val="00CE2D64"/>
    <w:rsid w:val="00CE393A"/>
    <w:rsid w:val="00CE6198"/>
    <w:rsid w:val="00CF16CB"/>
    <w:rsid w:val="00CF6230"/>
    <w:rsid w:val="00D008E1"/>
    <w:rsid w:val="00D01A24"/>
    <w:rsid w:val="00D01F5E"/>
    <w:rsid w:val="00D03E93"/>
    <w:rsid w:val="00D046E9"/>
    <w:rsid w:val="00D0476C"/>
    <w:rsid w:val="00D052BF"/>
    <w:rsid w:val="00D05946"/>
    <w:rsid w:val="00D06D60"/>
    <w:rsid w:val="00D13147"/>
    <w:rsid w:val="00D1316A"/>
    <w:rsid w:val="00D17C60"/>
    <w:rsid w:val="00D266AB"/>
    <w:rsid w:val="00D35BF2"/>
    <w:rsid w:val="00D436F2"/>
    <w:rsid w:val="00D45D7C"/>
    <w:rsid w:val="00D46683"/>
    <w:rsid w:val="00D46A05"/>
    <w:rsid w:val="00D53AB7"/>
    <w:rsid w:val="00D53F3C"/>
    <w:rsid w:val="00D5515F"/>
    <w:rsid w:val="00D55883"/>
    <w:rsid w:val="00D5715A"/>
    <w:rsid w:val="00D63456"/>
    <w:rsid w:val="00D63669"/>
    <w:rsid w:val="00D6416C"/>
    <w:rsid w:val="00D64C66"/>
    <w:rsid w:val="00D705B0"/>
    <w:rsid w:val="00D70B67"/>
    <w:rsid w:val="00D711FA"/>
    <w:rsid w:val="00D71687"/>
    <w:rsid w:val="00D72F7A"/>
    <w:rsid w:val="00D74035"/>
    <w:rsid w:val="00D74813"/>
    <w:rsid w:val="00D8061C"/>
    <w:rsid w:val="00D8145A"/>
    <w:rsid w:val="00D82435"/>
    <w:rsid w:val="00D838FB"/>
    <w:rsid w:val="00D83C3E"/>
    <w:rsid w:val="00D90A5B"/>
    <w:rsid w:val="00D961A4"/>
    <w:rsid w:val="00D963CB"/>
    <w:rsid w:val="00D96471"/>
    <w:rsid w:val="00DA30BC"/>
    <w:rsid w:val="00DA3891"/>
    <w:rsid w:val="00DA6DCA"/>
    <w:rsid w:val="00DB5C18"/>
    <w:rsid w:val="00DB6050"/>
    <w:rsid w:val="00DC114B"/>
    <w:rsid w:val="00DC1B19"/>
    <w:rsid w:val="00DC2C34"/>
    <w:rsid w:val="00DC3906"/>
    <w:rsid w:val="00DD1FDA"/>
    <w:rsid w:val="00DD42C5"/>
    <w:rsid w:val="00DD4792"/>
    <w:rsid w:val="00DD67F4"/>
    <w:rsid w:val="00DD7AF2"/>
    <w:rsid w:val="00DE0742"/>
    <w:rsid w:val="00DE1186"/>
    <w:rsid w:val="00DE33B2"/>
    <w:rsid w:val="00DF20DF"/>
    <w:rsid w:val="00DF2601"/>
    <w:rsid w:val="00DF27DA"/>
    <w:rsid w:val="00DF5A77"/>
    <w:rsid w:val="00DF7821"/>
    <w:rsid w:val="00E00F95"/>
    <w:rsid w:val="00E01466"/>
    <w:rsid w:val="00E019B5"/>
    <w:rsid w:val="00E02D60"/>
    <w:rsid w:val="00E03F11"/>
    <w:rsid w:val="00E05A94"/>
    <w:rsid w:val="00E07C9C"/>
    <w:rsid w:val="00E1251E"/>
    <w:rsid w:val="00E136CF"/>
    <w:rsid w:val="00E14B44"/>
    <w:rsid w:val="00E161BD"/>
    <w:rsid w:val="00E21A2B"/>
    <w:rsid w:val="00E259EA"/>
    <w:rsid w:val="00E2749C"/>
    <w:rsid w:val="00E305CF"/>
    <w:rsid w:val="00E32820"/>
    <w:rsid w:val="00E33674"/>
    <w:rsid w:val="00E3473F"/>
    <w:rsid w:val="00E40C2D"/>
    <w:rsid w:val="00E41B4C"/>
    <w:rsid w:val="00E444B8"/>
    <w:rsid w:val="00E4658F"/>
    <w:rsid w:val="00E47A31"/>
    <w:rsid w:val="00E5329B"/>
    <w:rsid w:val="00E534DD"/>
    <w:rsid w:val="00E53CE6"/>
    <w:rsid w:val="00E54A67"/>
    <w:rsid w:val="00E552ED"/>
    <w:rsid w:val="00E6290E"/>
    <w:rsid w:val="00E63D7A"/>
    <w:rsid w:val="00E63EB4"/>
    <w:rsid w:val="00E64FFA"/>
    <w:rsid w:val="00E66808"/>
    <w:rsid w:val="00E669D6"/>
    <w:rsid w:val="00E71329"/>
    <w:rsid w:val="00E742F0"/>
    <w:rsid w:val="00E74414"/>
    <w:rsid w:val="00E7707F"/>
    <w:rsid w:val="00E80F2E"/>
    <w:rsid w:val="00E8363B"/>
    <w:rsid w:val="00E86219"/>
    <w:rsid w:val="00E863D0"/>
    <w:rsid w:val="00E92383"/>
    <w:rsid w:val="00EA19C4"/>
    <w:rsid w:val="00EA1B3A"/>
    <w:rsid w:val="00EA1C3A"/>
    <w:rsid w:val="00EA2109"/>
    <w:rsid w:val="00EA256C"/>
    <w:rsid w:val="00EA2CEF"/>
    <w:rsid w:val="00EA53F1"/>
    <w:rsid w:val="00EA73C3"/>
    <w:rsid w:val="00EB415B"/>
    <w:rsid w:val="00EB5255"/>
    <w:rsid w:val="00EB6D4D"/>
    <w:rsid w:val="00EC15BF"/>
    <w:rsid w:val="00EC15DD"/>
    <w:rsid w:val="00EC5299"/>
    <w:rsid w:val="00EC55AB"/>
    <w:rsid w:val="00ED2A89"/>
    <w:rsid w:val="00ED4D4E"/>
    <w:rsid w:val="00EE305F"/>
    <w:rsid w:val="00EE4E54"/>
    <w:rsid w:val="00EE512E"/>
    <w:rsid w:val="00EE51F0"/>
    <w:rsid w:val="00EE64D9"/>
    <w:rsid w:val="00EE6FA6"/>
    <w:rsid w:val="00EE7104"/>
    <w:rsid w:val="00EF094D"/>
    <w:rsid w:val="00EF1C6F"/>
    <w:rsid w:val="00EF7316"/>
    <w:rsid w:val="00EF76F3"/>
    <w:rsid w:val="00F00AD8"/>
    <w:rsid w:val="00F07CA3"/>
    <w:rsid w:val="00F07ED8"/>
    <w:rsid w:val="00F10641"/>
    <w:rsid w:val="00F11707"/>
    <w:rsid w:val="00F14A03"/>
    <w:rsid w:val="00F164D0"/>
    <w:rsid w:val="00F2169B"/>
    <w:rsid w:val="00F23068"/>
    <w:rsid w:val="00F237C3"/>
    <w:rsid w:val="00F23FCC"/>
    <w:rsid w:val="00F258B1"/>
    <w:rsid w:val="00F2746F"/>
    <w:rsid w:val="00F31AF4"/>
    <w:rsid w:val="00F34990"/>
    <w:rsid w:val="00F35443"/>
    <w:rsid w:val="00F35A6C"/>
    <w:rsid w:val="00F36D8A"/>
    <w:rsid w:val="00F37968"/>
    <w:rsid w:val="00F37CCB"/>
    <w:rsid w:val="00F41723"/>
    <w:rsid w:val="00F41EF6"/>
    <w:rsid w:val="00F436BB"/>
    <w:rsid w:val="00F44E26"/>
    <w:rsid w:val="00F471F6"/>
    <w:rsid w:val="00F50255"/>
    <w:rsid w:val="00F5063E"/>
    <w:rsid w:val="00F525C7"/>
    <w:rsid w:val="00F545BF"/>
    <w:rsid w:val="00F60FD0"/>
    <w:rsid w:val="00F611A5"/>
    <w:rsid w:val="00F638EF"/>
    <w:rsid w:val="00F64CC3"/>
    <w:rsid w:val="00F65877"/>
    <w:rsid w:val="00F669E5"/>
    <w:rsid w:val="00F66A79"/>
    <w:rsid w:val="00F71B56"/>
    <w:rsid w:val="00F766D4"/>
    <w:rsid w:val="00F76E58"/>
    <w:rsid w:val="00F778B6"/>
    <w:rsid w:val="00F80372"/>
    <w:rsid w:val="00F80746"/>
    <w:rsid w:val="00F81340"/>
    <w:rsid w:val="00F830FC"/>
    <w:rsid w:val="00F83287"/>
    <w:rsid w:val="00F873B3"/>
    <w:rsid w:val="00F9062B"/>
    <w:rsid w:val="00F91334"/>
    <w:rsid w:val="00F91D54"/>
    <w:rsid w:val="00FA073B"/>
    <w:rsid w:val="00FA42B9"/>
    <w:rsid w:val="00FA6A0D"/>
    <w:rsid w:val="00FA6F8D"/>
    <w:rsid w:val="00FA755A"/>
    <w:rsid w:val="00FB0470"/>
    <w:rsid w:val="00FB2B0F"/>
    <w:rsid w:val="00FB3402"/>
    <w:rsid w:val="00FB3856"/>
    <w:rsid w:val="00FB4038"/>
    <w:rsid w:val="00FB4F6B"/>
    <w:rsid w:val="00FB5FE1"/>
    <w:rsid w:val="00FC7D65"/>
    <w:rsid w:val="00FD1FDC"/>
    <w:rsid w:val="00FD44AA"/>
    <w:rsid w:val="00FD452F"/>
    <w:rsid w:val="00FE06A0"/>
    <w:rsid w:val="00FE0772"/>
    <w:rsid w:val="00FE0C15"/>
    <w:rsid w:val="00FF0874"/>
    <w:rsid w:val="00FF1AA0"/>
    <w:rsid w:val="00FF1D6D"/>
    <w:rsid w:val="00FF2BF6"/>
    <w:rsid w:val="00FF3CCB"/>
    <w:rsid w:val="00FF71D9"/>
    <w:rsid w:val="01B7A1C0"/>
    <w:rsid w:val="01DB3057"/>
    <w:rsid w:val="020DD900"/>
    <w:rsid w:val="0272E25B"/>
    <w:rsid w:val="03BE8FB8"/>
    <w:rsid w:val="055D082B"/>
    <w:rsid w:val="05679C1A"/>
    <w:rsid w:val="05FA8F70"/>
    <w:rsid w:val="06533140"/>
    <w:rsid w:val="06F9A2BC"/>
    <w:rsid w:val="07327997"/>
    <w:rsid w:val="073D6ABB"/>
    <w:rsid w:val="074D8ADF"/>
    <w:rsid w:val="07A14241"/>
    <w:rsid w:val="07CBCDB3"/>
    <w:rsid w:val="08D505C7"/>
    <w:rsid w:val="08DD5E82"/>
    <w:rsid w:val="08F35F98"/>
    <w:rsid w:val="09323032"/>
    <w:rsid w:val="09BE831E"/>
    <w:rsid w:val="0AD244E6"/>
    <w:rsid w:val="0C0F6D86"/>
    <w:rsid w:val="0C11EFBD"/>
    <w:rsid w:val="0C12FC55"/>
    <w:rsid w:val="0C41FDA8"/>
    <w:rsid w:val="0C51D6D7"/>
    <w:rsid w:val="0C9F6ED0"/>
    <w:rsid w:val="0D14DDD9"/>
    <w:rsid w:val="0D241547"/>
    <w:rsid w:val="0E209907"/>
    <w:rsid w:val="0EA88EA7"/>
    <w:rsid w:val="0F4CA006"/>
    <w:rsid w:val="10B8BAF6"/>
    <w:rsid w:val="1272A503"/>
    <w:rsid w:val="127B363D"/>
    <w:rsid w:val="128440C8"/>
    <w:rsid w:val="12E1CCC2"/>
    <w:rsid w:val="13DF92A5"/>
    <w:rsid w:val="14090102"/>
    <w:rsid w:val="1476EA3C"/>
    <w:rsid w:val="14CB1E87"/>
    <w:rsid w:val="1631A9DA"/>
    <w:rsid w:val="17C5FCF0"/>
    <w:rsid w:val="17EED1D5"/>
    <w:rsid w:val="18392E1F"/>
    <w:rsid w:val="18AB9F9A"/>
    <w:rsid w:val="18D53A83"/>
    <w:rsid w:val="1AFEE30B"/>
    <w:rsid w:val="1B242255"/>
    <w:rsid w:val="1B5323A8"/>
    <w:rsid w:val="1C1BD1A7"/>
    <w:rsid w:val="1C4B11DF"/>
    <w:rsid w:val="1CBD080F"/>
    <w:rsid w:val="1D399888"/>
    <w:rsid w:val="1FD990DD"/>
    <w:rsid w:val="21040191"/>
    <w:rsid w:val="23A23A13"/>
    <w:rsid w:val="2479CBCC"/>
    <w:rsid w:val="24AFE48E"/>
    <w:rsid w:val="25A38B57"/>
    <w:rsid w:val="25C3257D"/>
    <w:rsid w:val="26A99063"/>
    <w:rsid w:val="26DDA68A"/>
    <w:rsid w:val="284560C4"/>
    <w:rsid w:val="2925A62A"/>
    <w:rsid w:val="2A7DAE8C"/>
    <w:rsid w:val="2B7D0186"/>
    <w:rsid w:val="2B7FD24D"/>
    <w:rsid w:val="2C748F87"/>
    <w:rsid w:val="2CA628C3"/>
    <w:rsid w:val="2D6B7277"/>
    <w:rsid w:val="2F25466C"/>
    <w:rsid w:val="2FF1A520"/>
    <w:rsid w:val="30BBD487"/>
    <w:rsid w:val="310AEC3D"/>
    <w:rsid w:val="3193C3DD"/>
    <w:rsid w:val="32B80767"/>
    <w:rsid w:val="32EE4B9E"/>
    <w:rsid w:val="331EFBA0"/>
    <w:rsid w:val="33C121DA"/>
    <w:rsid w:val="34ABE449"/>
    <w:rsid w:val="34B68E69"/>
    <w:rsid w:val="34DB61D1"/>
    <w:rsid w:val="356E3D04"/>
    <w:rsid w:val="35D20193"/>
    <w:rsid w:val="35EAC44E"/>
    <w:rsid w:val="36A251D7"/>
    <w:rsid w:val="36A73E72"/>
    <w:rsid w:val="36ED507F"/>
    <w:rsid w:val="381CB4BD"/>
    <w:rsid w:val="3836CC2A"/>
    <w:rsid w:val="387E82E6"/>
    <w:rsid w:val="389F74C6"/>
    <w:rsid w:val="393554C4"/>
    <w:rsid w:val="397F8212"/>
    <w:rsid w:val="39A9756A"/>
    <w:rsid w:val="39C2206A"/>
    <w:rsid w:val="3A10F6C5"/>
    <w:rsid w:val="3A4E0768"/>
    <w:rsid w:val="3B20B478"/>
    <w:rsid w:val="3C0F9A2F"/>
    <w:rsid w:val="3D8B20C3"/>
    <w:rsid w:val="3DA9BC20"/>
    <w:rsid w:val="3DDCADD6"/>
    <w:rsid w:val="3E792DEC"/>
    <w:rsid w:val="3EF45EFD"/>
    <w:rsid w:val="3F8BD9AC"/>
    <w:rsid w:val="3FA520C7"/>
    <w:rsid w:val="3FFAAFBA"/>
    <w:rsid w:val="40537D8D"/>
    <w:rsid w:val="40A2DCB2"/>
    <w:rsid w:val="415A72F2"/>
    <w:rsid w:val="41F69B56"/>
    <w:rsid w:val="429DAA9A"/>
    <w:rsid w:val="438B05F0"/>
    <w:rsid w:val="4435BC6E"/>
    <w:rsid w:val="45F0DC31"/>
    <w:rsid w:val="46239B48"/>
    <w:rsid w:val="47B68D41"/>
    <w:rsid w:val="481DCE0E"/>
    <w:rsid w:val="490E8A66"/>
    <w:rsid w:val="4A7E2693"/>
    <w:rsid w:val="4AB32530"/>
    <w:rsid w:val="4B43CA02"/>
    <w:rsid w:val="4B5DB60A"/>
    <w:rsid w:val="4D0FB348"/>
    <w:rsid w:val="4D215D36"/>
    <w:rsid w:val="4DCB17E4"/>
    <w:rsid w:val="4DD53C4F"/>
    <w:rsid w:val="4E1517BA"/>
    <w:rsid w:val="4EBD2D97"/>
    <w:rsid w:val="4F0BD5BA"/>
    <w:rsid w:val="4F1295F6"/>
    <w:rsid w:val="4FEFC40B"/>
    <w:rsid w:val="5128BEF6"/>
    <w:rsid w:val="51B72390"/>
    <w:rsid w:val="51EE74CF"/>
    <w:rsid w:val="52171231"/>
    <w:rsid w:val="53361A6C"/>
    <w:rsid w:val="5400C78F"/>
    <w:rsid w:val="54958B4B"/>
    <w:rsid w:val="569DBCAF"/>
    <w:rsid w:val="57E8B15E"/>
    <w:rsid w:val="585B8BC1"/>
    <w:rsid w:val="58B97855"/>
    <w:rsid w:val="59708A22"/>
    <w:rsid w:val="5CD79196"/>
    <w:rsid w:val="5D80CA2B"/>
    <w:rsid w:val="5E09565A"/>
    <w:rsid w:val="5E27AC8B"/>
    <w:rsid w:val="5F08D127"/>
    <w:rsid w:val="5F4D57DC"/>
    <w:rsid w:val="5F9113C7"/>
    <w:rsid w:val="5F99060F"/>
    <w:rsid w:val="5FAE8F74"/>
    <w:rsid w:val="6028C6AE"/>
    <w:rsid w:val="603125E7"/>
    <w:rsid w:val="60A0B2CB"/>
    <w:rsid w:val="60CC77A7"/>
    <w:rsid w:val="610B7967"/>
    <w:rsid w:val="611F89B1"/>
    <w:rsid w:val="621E0784"/>
    <w:rsid w:val="62244D38"/>
    <w:rsid w:val="623BC1B7"/>
    <w:rsid w:val="6264C511"/>
    <w:rsid w:val="62684808"/>
    <w:rsid w:val="62BE0456"/>
    <w:rsid w:val="62F80E27"/>
    <w:rsid w:val="63202D52"/>
    <w:rsid w:val="639D2F16"/>
    <w:rsid w:val="63A6F53C"/>
    <w:rsid w:val="64884E81"/>
    <w:rsid w:val="64A84CE9"/>
    <w:rsid w:val="64C9239F"/>
    <w:rsid w:val="65353C33"/>
    <w:rsid w:val="660F7D26"/>
    <w:rsid w:val="662C2677"/>
    <w:rsid w:val="6664F400"/>
    <w:rsid w:val="677B5313"/>
    <w:rsid w:val="67DFEDAB"/>
    <w:rsid w:val="687A665F"/>
    <w:rsid w:val="68AB8829"/>
    <w:rsid w:val="6BF1E168"/>
    <w:rsid w:val="6CC1EEC5"/>
    <w:rsid w:val="6CFFEE1A"/>
    <w:rsid w:val="6D95C2E7"/>
    <w:rsid w:val="6DD6DAB3"/>
    <w:rsid w:val="6E16086A"/>
    <w:rsid w:val="6E4FB65E"/>
    <w:rsid w:val="6FF98F87"/>
    <w:rsid w:val="70A98A7B"/>
    <w:rsid w:val="70FBD8FA"/>
    <w:rsid w:val="717D5E9D"/>
    <w:rsid w:val="719330CF"/>
    <w:rsid w:val="71D9EE5C"/>
    <w:rsid w:val="751C3CA8"/>
    <w:rsid w:val="768CC845"/>
    <w:rsid w:val="76FCA74E"/>
    <w:rsid w:val="77ECA021"/>
    <w:rsid w:val="785C6983"/>
    <w:rsid w:val="7946E8C2"/>
    <w:rsid w:val="7958BB11"/>
    <w:rsid w:val="7A344810"/>
    <w:rsid w:val="7AC2311B"/>
    <w:rsid w:val="7ACDE042"/>
    <w:rsid w:val="7AF48B72"/>
    <w:rsid w:val="7B659EAB"/>
    <w:rsid w:val="7BF78B04"/>
    <w:rsid w:val="7C3AAC3C"/>
    <w:rsid w:val="7C989B22"/>
    <w:rsid w:val="7D10547E"/>
    <w:rsid w:val="7FB83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E0BE7"/>
  <w15:docId w15:val="{A474DB0C-BCEE-4B9E-9C51-91C2630D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B9"/>
    <w:pPr>
      <w:spacing w:after="240" w:line="264" w:lineRule="auto"/>
    </w:pPr>
    <w:rPr>
      <w:rFonts w:ascii="Arial" w:hAnsi="Arial"/>
      <w:sz w:val="24"/>
      <w:szCs w:val="22"/>
      <w:lang w:eastAsia="en-US" w:bidi="he-IL"/>
    </w:rPr>
  </w:style>
  <w:style w:type="paragraph" w:styleId="Heading1">
    <w:name w:val="heading 1"/>
    <w:basedOn w:val="Normal"/>
    <w:next w:val="Normal"/>
    <w:link w:val="Heading1Char"/>
    <w:uiPriority w:val="9"/>
    <w:qFormat/>
    <w:rsid w:val="007C3B49"/>
    <w:pPr>
      <w:keepNext/>
      <w:spacing w:before="240" w:after="480"/>
      <w:outlineLvl w:val="0"/>
    </w:pPr>
    <w:rPr>
      <w:b/>
      <w:color w:val="7F4098"/>
      <w:sz w:val="54"/>
    </w:rPr>
  </w:style>
  <w:style w:type="paragraph" w:styleId="Heading2">
    <w:name w:val="heading 2"/>
    <w:basedOn w:val="Normal"/>
    <w:next w:val="Normal"/>
    <w:link w:val="Heading2Char"/>
    <w:uiPriority w:val="9"/>
    <w:unhideWhenUsed/>
    <w:qFormat/>
    <w:rsid w:val="00F10641"/>
    <w:pPr>
      <w:keepNext/>
      <w:spacing w:after="180"/>
      <w:outlineLvl w:val="1"/>
    </w:pPr>
    <w:rPr>
      <w:b/>
      <w:sz w:val="34"/>
    </w:rPr>
  </w:style>
  <w:style w:type="paragraph" w:styleId="Heading3">
    <w:name w:val="heading 3"/>
    <w:basedOn w:val="Normal"/>
    <w:next w:val="Normal"/>
    <w:link w:val="Heading3Char"/>
    <w:uiPriority w:val="9"/>
    <w:unhideWhenUsed/>
    <w:qFormat/>
    <w:rsid w:val="007C3B49"/>
    <w:pPr>
      <w:keepNext/>
      <w:spacing w:after="80"/>
      <w:outlineLvl w:val="2"/>
    </w:pPr>
    <w:rPr>
      <w:b/>
    </w:rPr>
  </w:style>
  <w:style w:type="paragraph" w:styleId="Heading4">
    <w:name w:val="heading 4"/>
    <w:basedOn w:val="Normal"/>
    <w:next w:val="Normal"/>
    <w:link w:val="Heading4Char"/>
    <w:uiPriority w:val="9"/>
    <w:unhideWhenUsed/>
    <w:qFormat/>
    <w:rsid w:val="002C4FC1"/>
    <w:pPr>
      <w:keepNext/>
      <w:spacing w:after="40"/>
      <w:outlineLvl w:val="3"/>
    </w:pPr>
    <w:rPr>
      <w:b/>
      <w:i/>
    </w:rPr>
  </w:style>
  <w:style w:type="paragraph" w:styleId="Heading5">
    <w:name w:val="heading 5"/>
    <w:basedOn w:val="Normal"/>
    <w:next w:val="Normal"/>
    <w:link w:val="Heading5Char"/>
    <w:uiPriority w:val="9"/>
    <w:unhideWhenUsed/>
    <w:qFormat/>
    <w:rsid w:val="00F436BB"/>
    <w:pPr>
      <w:keepNext/>
      <w:spacing w:after="0"/>
      <w:outlineLvl w:val="4"/>
    </w:pPr>
    <w:rPr>
      <w:i/>
      <w:noProof/>
      <w:color w:val="008F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87C"/>
    <w:pPr>
      <w:tabs>
        <w:tab w:val="center" w:pos="4513"/>
        <w:tab w:val="right" w:pos="9026"/>
      </w:tabs>
    </w:pPr>
    <w:rPr>
      <w:sz w:val="18"/>
    </w:rPr>
  </w:style>
  <w:style w:type="character" w:customStyle="1" w:styleId="HeaderChar">
    <w:name w:val="Header Char"/>
    <w:link w:val="Header"/>
    <w:uiPriority w:val="99"/>
    <w:rsid w:val="007C187C"/>
    <w:rPr>
      <w:rFonts w:ascii="Arial" w:hAnsi="Arial"/>
      <w:sz w:val="18"/>
      <w:szCs w:val="22"/>
      <w:lang w:eastAsia="en-US" w:bidi="he-IL"/>
    </w:rPr>
  </w:style>
  <w:style w:type="paragraph" w:styleId="Footer">
    <w:name w:val="footer"/>
    <w:basedOn w:val="Normal"/>
    <w:link w:val="FooterChar"/>
    <w:uiPriority w:val="99"/>
    <w:unhideWhenUsed/>
    <w:rsid w:val="007D199A"/>
    <w:pPr>
      <w:tabs>
        <w:tab w:val="center" w:pos="4513"/>
        <w:tab w:val="right" w:pos="9026"/>
      </w:tabs>
    </w:pPr>
  </w:style>
  <w:style w:type="character" w:customStyle="1" w:styleId="FooterChar">
    <w:name w:val="Footer Char"/>
    <w:link w:val="Footer"/>
    <w:uiPriority w:val="99"/>
    <w:rsid w:val="007D199A"/>
    <w:rPr>
      <w:sz w:val="24"/>
      <w:szCs w:val="22"/>
      <w:lang w:eastAsia="en-US" w:bidi="he-IL"/>
    </w:rPr>
  </w:style>
  <w:style w:type="character" w:styleId="PageNumber">
    <w:name w:val="page number"/>
    <w:uiPriority w:val="99"/>
    <w:unhideWhenUsed/>
    <w:rsid w:val="007068BA"/>
    <w:rPr>
      <w:rFonts w:ascii="Arial" w:hAnsi="Arial"/>
      <w:b/>
      <w:color w:val="7F4098"/>
      <w:sz w:val="22"/>
    </w:rPr>
  </w:style>
  <w:style w:type="character" w:customStyle="1" w:styleId="Heading2Char">
    <w:name w:val="Heading 2 Char"/>
    <w:link w:val="Heading2"/>
    <w:uiPriority w:val="9"/>
    <w:rsid w:val="00F10641"/>
    <w:rPr>
      <w:rFonts w:ascii="Arial" w:hAnsi="Arial"/>
      <w:b/>
      <w:sz w:val="34"/>
      <w:szCs w:val="22"/>
      <w:lang w:eastAsia="en-US" w:bidi="he-IL"/>
    </w:rPr>
  </w:style>
  <w:style w:type="character" w:customStyle="1" w:styleId="Heading3Char">
    <w:name w:val="Heading 3 Char"/>
    <w:link w:val="Heading3"/>
    <w:uiPriority w:val="9"/>
    <w:rsid w:val="007C3B49"/>
    <w:rPr>
      <w:rFonts w:ascii="Arial" w:hAnsi="Arial"/>
      <w:b/>
      <w:sz w:val="24"/>
      <w:szCs w:val="22"/>
      <w:lang w:eastAsia="en-US" w:bidi="he-IL"/>
    </w:rPr>
  </w:style>
  <w:style w:type="character" w:customStyle="1" w:styleId="Heading4Char">
    <w:name w:val="Heading 4 Char"/>
    <w:link w:val="Heading4"/>
    <w:uiPriority w:val="9"/>
    <w:rsid w:val="002C4FC1"/>
    <w:rPr>
      <w:rFonts w:ascii="Arial" w:hAnsi="Arial"/>
      <w:b/>
      <w:i/>
      <w:sz w:val="22"/>
      <w:szCs w:val="22"/>
      <w:lang w:eastAsia="en-US" w:bidi="he-IL"/>
    </w:rPr>
  </w:style>
  <w:style w:type="character" w:customStyle="1" w:styleId="Heading5Char">
    <w:name w:val="Heading 5 Char"/>
    <w:link w:val="Heading5"/>
    <w:uiPriority w:val="9"/>
    <w:rsid w:val="00F436BB"/>
    <w:rPr>
      <w:i/>
      <w:noProof/>
      <w:color w:val="008FD1"/>
      <w:sz w:val="24"/>
      <w:szCs w:val="22"/>
      <w:lang w:eastAsia="en-US" w:bidi="he-IL"/>
    </w:rPr>
  </w:style>
  <w:style w:type="character" w:customStyle="1" w:styleId="Heading1Char">
    <w:name w:val="Heading 1 Char"/>
    <w:link w:val="Heading1"/>
    <w:uiPriority w:val="9"/>
    <w:rsid w:val="007C3B49"/>
    <w:rPr>
      <w:rFonts w:ascii="Arial" w:hAnsi="Arial"/>
      <w:b/>
      <w:color w:val="7F4098"/>
      <w:sz w:val="54"/>
      <w:szCs w:val="22"/>
      <w:lang w:eastAsia="en-US" w:bidi="he-IL"/>
    </w:rPr>
  </w:style>
  <w:style w:type="table" w:styleId="TableGrid">
    <w:name w:val="Table Grid"/>
    <w:basedOn w:val="TableNormal"/>
    <w:uiPriority w:val="39"/>
    <w:rsid w:val="00BB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1">
    <w:name w:val="Bullet list 1"/>
    <w:basedOn w:val="Normal"/>
    <w:qFormat/>
    <w:rsid w:val="00805743"/>
    <w:pPr>
      <w:numPr>
        <w:numId w:val="1"/>
      </w:numPr>
      <w:ind w:left="397" w:hanging="397"/>
    </w:pPr>
    <w:rPr>
      <w:noProof/>
    </w:rPr>
  </w:style>
  <w:style w:type="paragraph" w:customStyle="1" w:styleId="Bulletlist2">
    <w:name w:val="Bullet list 2"/>
    <w:basedOn w:val="Normal"/>
    <w:qFormat/>
    <w:rsid w:val="00805743"/>
    <w:pPr>
      <w:numPr>
        <w:numId w:val="2"/>
      </w:numPr>
      <w:ind w:left="794" w:hanging="397"/>
    </w:pPr>
    <w:rPr>
      <w:noProof/>
    </w:rPr>
  </w:style>
  <w:style w:type="paragraph" w:customStyle="1" w:styleId="Bulletlist3">
    <w:name w:val="Bullet list 3"/>
    <w:basedOn w:val="Normal"/>
    <w:qFormat/>
    <w:rsid w:val="00805743"/>
    <w:pPr>
      <w:numPr>
        <w:numId w:val="3"/>
      </w:numPr>
      <w:ind w:left="1191" w:hanging="397"/>
    </w:pPr>
    <w:rPr>
      <w:noProof/>
    </w:rPr>
  </w:style>
  <w:style w:type="paragraph" w:customStyle="1" w:styleId="TableandChartNote">
    <w:name w:val="Table and Chart Note"/>
    <w:basedOn w:val="Normal"/>
    <w:qFormat/>
    <w:rsid w:val="007068BA"/>
    <w:pPr>
      <w:spacing w:before="60"/>
    </w:pPr>
    <w:rPr>
      <w:b/>
      <w:noProof/>
      <w:color w:val="7F4098"/>
      <w:sz w:val="20"/>
      <w:szCs w:val="20"/>
    </w:rPr>
  </w:style>
  <w:style w:type="table" w:customStyle="1" w:styleId="HMPPSTable">
    <w:name w:val="HMPPS Table"/>
    <w:basedOn w:val="TableNormal"/>
    <w:uiPriority w:val="99"/>
    <w:rsid w:val="008F1439"/>
    <w:rPr>
      <w:rFonts w:ascii="Arial" w:hAnsi="Arial"/>
      <w:sz w:val="22"/>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paragraph" w:customStyle="1" w:styleId="TableText">
    <w:name w:val="Table Text"/>
    <w:basedOn w:val="Normal"/>
    <w:qFormat/>
    <w:rsid w:val="00C718FE"/>
    <w:pPr>
      <w:spacing w:after="0"/>
    </w:pPr>
  </w:style>
  <w:style w:type="table" w:customStyle="1" w:styleId="HMPPSBox">
    <w:name w:val="HMPPS Box"/>
    <w:basedOn w:val="TableNormal"/>
    <w:uiPriority w:val="99"/>
    <w:rsid w:val="008F1439"/>
    <w:rPr>
      <w:rFonts w:ascii="Arial" w:hAnsi="Arial"/>
      <w:sz w:val="22"/>
    </w:rPr>
    <w:tblPr>
      <w:tblBorders>
        <w:top w:val="single" w:sz="4" w:space="0" w:color="7F4098"/>
        <w:left w:val="single" w:sz="4" w:space="0" w:color="7F4098"/>
        <w:bottom w:val="single" w:sz="4" w:space="0" w:color="7F4098"/>
        <w:right w:val="single" w:sz="4" w:space="0" w:color="7F4098"/>
      </w:tblBorders>
      <w:tblCellMar>
        <w:top w:w="142" w:type="dxa"/>
        <w:left w:w="113" w:type="dxa"/>
        <w:bottom w:w="142" w:type="dxa"/>
        <w:right w:w="113" w:type="dxa"/>
      </w:tblCellMar>
    </w:tblPr>
  </w:style>
  <w:style w:type="paragraph" w:styleId="TOC1">
    <w:name w:val="toc 1"/>
    <w:basedOn w:val="Normal"/>
    <w:next w:val="Normal"/>
    <w:autoRedefine/>
    <w:uiPriority w:val="39"/>
    <w:unhideWhenUsed/>
    <w:rsid w:val="003434F4"/>
    <w:pPr>
      <w:tabs>
        <w:tab w:val="right" w:leader="dot" w:pos="9469"/>
      </w:tabs>
      <w:spacing w:before="240" w:after="0"/>
    </w:pPr>
    <w:rPr>
      <w:b/>
    </w:rPr>
  </w:style>
  <w:style w:type="paragraph" w:styleId="TOC2">
    <w:name w:val="toc 2"/>
    <w:basedOn w:val="Normal"/>
    <w:next w:val="Normal"/>
    <w:autoRedefine/>
    <w:uiPriority w:val="39"/>
    <w:unhideWhenUsed/>
    <w:rsid w:val="008E1C99"/>
    <w:pPr>
      <w:tabs>
        <w:tab w:val="right" w:leader="dot" w:pos="9469"/>
      </w:tabs>
      <w:spacing w:before="120" w:after="0"/>
      <w:ind w:left="397"/>
    </w:pPr>
    <w:rPr>
      <w:noProof/>
    </w:rPr>
  </w:style>
  <w:style w:type="character" w:styleId="Hyperlink">
    <w:name w:val="Hyperlink"/>
    <w:uiPriority w:val="99"/>
    <w:unhideWhenUsed/>
    <w:rsid w:val="00F71B56"/>
    <w:rPr>
      <w:color w:val="0563C1"/>
      <w:u w:val="single"/>
    </w:rPr>
  </w:style>
  <w:style w:type="paragraph" w:styleId="TOC3">
    <w:name w:val="toc 3"/>
    <w:basedOn w:val="Normal"/>
    <w:next w:val="Normal"/>
    <w:autoRedefine/>
    <w:uiPriority w:val="39"/>
    <w:unhideWhenUsed/>
    <w:rsid w:val="004C361D"/>
    <w:pPr>
      <w:tabs>
        <w:tab w:val="right" w:leader="dot" w:pos="9469"/>
      </w:tabs>
      <w:spacing w:before="120" w:after="0"/>
      <w:ind w:left="720"/>
    </w:pPr>
  </w:style>
  <w:style w:type="paragraph" w:customStyle="1" w:styleId="ContentsHeading">
    <w:name w:val="Contents Heading"/>
    <w:basedOn w:val="Normal"/>
    <w:qFormat/>
    <w:rsid w:val="00647394"/>
    <w:pPr>
      <w:spacing w:before="240" w:after="480"/>
    </w:pPr>
    <w:rPr>
      <w:b/>
      <w:color w:val="7F4098"/>
      <w:sz w:val="54"/>
      <w:szCs w:val="50"/>
    </w:rPr>
  </w:style>
  <w:style w:type="paragraph" w:customStyle="1" w:styleId="CoverDate">
    <w:name w:val="Cover Date"/>
    <w:basedOn w:val="Normal"/>
    <w:qFormat/>
    <w:rsid w:val="009B13CD"/>
    <w:pPr>
      <w:spacing w:before="240"/>
    </w:pPr>
    <w:rPr>
      <w:sz w:val="32"/>
      <w:szCs w:val="28"/>
    </w:rPr>
  </w:style>
  <w:style w:type="paragraph" w:customStyle="1" w:styleId="CoverTitle">
    <w:name w:val="Cover Title"/>
    <w:basedOn w:val="Normal"/>
    <w:qFormat/>
    <w:rsid w:val="009B13CD"/>
    <w:pPr>
      <w:spacing w:line="240" w:lineRule="auto"/>
    </w:pPr>
    <w:rPr>
      <w:b/>
      <w:sz w:val="80"/>
      <w:szCs w:val="88"/>
    </w:rPr>
  </w:style>
  <w:style w:type="paragraph" w:customStyle="1" w:styleId="CoverAuthor">
    <w:name w:val="Cover Author"/>
    <w:basedOn w:val="Normal"/>
    <w:qFormat/>
    <w:rsid w:val="009B13CD"/>
    <w:rPr>
      <w:sz w:val="40"/>
      <w:szCs w:val="28"/>
    </w:rPr>
  </w:style>
  <w:style w:type="paragraph" w:customStyle="1" w:styleId="InnerCoverTitle">
    <w:name w:val="Inner Cover Title"/>
    <w:basedOn w:val="Normal"/>
    <w:qFormat/>
    <w:rsid w:val="009B13CD"/>
    <w:rPr>
      <w:b/>
      <w:sz w:val="60"/>
    </w:rPr>
  </w:style>
  <w:style w:type="paragraph" w:customStyle="1" w:styleId="AppendixHeading">
    <w:name w:val="Appendix Heading"/>
    <w:basedOn w:val="Normal"/>
    <w:qFormat/>
    <w:rsid w:val="00647394"/>
    <w:pPr>
      <w:keepNext/>
      <w:spacing w:before="240" w:after="480"/>
    </w:pPr>
    <w:rPr>
      <w:b/>
      <w:color w:val="7F4098"/>
      <w:sz w:val="54"/>
    </w:rPr>
  </w:style>
  <w:style w:type="paragraph" w:styleId="FootnoteText">
    <w:name w:val="footnote text"/>
    <w:basedOn w:val="Normal"/>
    <w:link w:val="FootnoteTextChar"/>
    <w:uiPriority w:val="99"/>
    <w:semiHidden/>
    <w:unhideWhenUsed/>
    <w:rsid w:val="00C32CC1"/>
    <w:pPr>
      <w:spacing w:after="120"/>
      <w:ind w:left="397" w:hanging="397"/>
    </w:pPr>
    <w:rPr>
      <w:sz w:val="20"/>
      <w:szCs w:val="20"/>
    </w:rPr>
  </w:style>
  <w:style w:type="character" w:customStyle="1" w:styleId="FootnoteTextChar">
    <w:name w:val="Footnote Text Char"/>
    <w:link w:val="FootnoteText"/>
    <w:uiPriority w:val="99"/>
    <w:semiHidden/>
    <w:rsid w:val="00C32CC1"/>
    <w:rPr>
      <w:lang w:eastAsia="en-US" w:bidi="he-IL"/>
    </w:rPr>
  </w:style>
  <w:style w:type="character" w:styleId="FootnoteReference">
    <w:name w:val="footnote reference"/>
    <w:uiPriority w:val="99"/>
    <w:semiHidden/>
    <w:unhideWhenUsed/>
    <w:rsid w:val="00C32CC1"/>
    <w:rPr>
      <w:vertAlign w:val="superscript"/>
    </w:rPr>
  </w:style>
  <w:style w:type="character" w:styleId="PlaceholderText">
    <w:name w:val="Placeholder Text"/>
    <w:uiPriority w:val="99"/>
    <w:semiHidden/>
    <w:rsid w:val="0095489B"/>
    <w:rPr>
      <w:color w:val="808080"/>
    </w:rPr>
  </w:style>
  <w:style w:type="paragraph" w:styleId="BalloonText">
    <w:name w:val="Balloon Text"/>
    <w:basedOn w:val="Normal"/>
    <w:link w:val="BalloonTextChar"/>
    <w:uiPriority w:val="99"/>
    <w:semiHidden/>
    <w:unhideWhenUsed/>
    <w:rsid w:val="00696EE0"/>
    <w:pPr>
      <w:spacing w:after="0"/>
    </w:pPr>
    <w:rPr>
      <w:rFonts w:ascii="Tahoma" w:hAnsi="Tahoma" w:cs="Tahoma"/>
      <w:sz w:val="16"/>
      <w:szCs w:val="16"/>
    </w:rPr>
  </w:style>
  <w:style w:type="character" w:customStyle="1" w:styleId="BalloonTextChar">
    <w:name w:val="Balloon Text Char"/>
    <w:link w:val="BalloonText"/>
    <w:uiPriority w:val="99"/>
    <w:semiHidden/>
    <w:rsid w:val="00696EE0"/>
    <w:rPr>
      <w:rFonts w:ascii="Tahoma" w:hAnsi="Tahoma" w:cs="Tahoma"/>
      <w:sz w:val="16"/>
      <w:szCs w:val="16"/>
      <w:lang w:eastAsia="en-US" w:bidi="he-IL"/>
    </w:rPr>
  </w:style>
  <w:style w:type="character" w:customStyle="1" w:styleId="FooterChar2">
    <w:name w:val="Footer Char2"/>
    <w:uiPriority w:val="99"/>
    <w:semiHidden/>
    <w:locked/>
    <w:rsid w:val="00B230A3"/>
    <w:rPr>
      <w:rFonts w:cs="Times New Roman"/>
    </w:rPr>
  </w:style>
  <w:style w:type="paragraph" w:customStyle="1" w:styleId="Default">
    <w:name w:val="Default"/>
    <w:rsid w:val="00B230A3"/>
    <w:pPr>
      <w:autoSpaceDE w:val="0"/>
      <w:autoSpaceDN w:val="0"/>
      <w:adjustRightInd w:val="0"/>
    </w:pPr>
    <w:rPr>
      <w:rFonts w:ascii="Arial" w:eastAsia="Times New Roman" w:hAnsi="Arial"/>
      <w:color w:val="000000"/>
      <w:sz w:val="24"/>
      <w:szCs w:val="24"/>
    </w:rPr>
  </w:style>
  <w:style w:type="paragraph" w:styleId="ListParagraph">
    <w:name w:val="List Paragraph"/>
    <w:basedOn w:val="Normal"/>
    <w:uiPriority w:val="34"/>
    <w:qFormat/>
    <w:rsid w:val="00B230A3"/>
    <w:pPr>
      <w:spacing w:after="0" w:line="240" w:lineRule="auto"/>
      <w:ind w:left="720"/>
    </w:pPr>
    <w:rPr>
      <w:rFonts w:ascii="Cambria" w:eastAsia="Times New Roman" w:hAnsi="Cambria" w:cs="Times New Roman"/>
      <w:szCs w:val="24"/>
      <w:lang w:val="en-US" w:bidi="ar-SA"/>
    </w:rPr>
  </w:style>
  <w:style w:type="character" w:styleId="CommentReference">
    <w:name w:val="annotation reference"/>
    <w:basedOn w:val="DefaultParagraphFont"/>
    <w:uiPriority w:val="99"/>
    <w:semiHidden/>
    <w:unhideWhenUsed/>
    <w:rsid w:val="00EF094D"/>
    <w:rPr>
      <w:sz w:val="16"/>
      <w:szCs w:val="16"/>
    </w:rPr>
  </w:style>
  <w:style w:type="paragraph" w:styleId="CommentText">
    <w:name w:val="annotation text"/>
    <w:basedOn w:val="Normal"/>
    <w:link w:val="CommentTextChar"/>
    <w:uiPriority w:val="99"/>
    <w:unhideWhenUsed/>
    <w:rsid w:val="00EF094D"/>
    <w:pPr>
      <w:spacing w:line="240" w:lineRule="auto"/>
    </w:pPr>
    <w:rPr>
      <w:sz w:val="20"/>
      <w:szCs w:val="20"/>
    </w:rPr>
  </w:style>
  <w:style w:type="character" w:customStyle="1" w:styleId="CommentTextChar">
    <w:name w:val="Comment Text Char"/>
    <w:basedOn w:val="DefaultParagraphFont"/>
    <w:link w:val="CommentText"/>
    <w:uiPriority w:val="99"/>
    <w:rsid w:val="00EF094D"/>
    <w:rPr>
      <w:rFonts w:ascii="Arial" w:hAnsi="Arial"/>
      <w:lang w:eastAsia="en-US" w:bidi="he-IL"/>
    </w:rPr>
  </w:style>
  <w:style w:type="paragraph" w:styleId="CommentSubject">
    <w:name w:val="annotation subject"/>
    <w:basedOn w:val="CommentText"/>
    <w:next w:val="CommentText"/>
    <w:link w:val="CommentSubjectChar"/>
    <w:uiPriority w:val="99"/>
    <w:semiHidden/>
    <w:unhideWhenUsed/>
    <w:rsid w:val="00EF094D"/>
    <w:rPr>
      <w:b/>
      <w:bCs/>
    </w:rPr>
  </w:style>
  <w:style w:type="character" w:customStyle="1" w:styleId="CommentSubjectChar">
    <w:name w:val="Comment Subject Char"/>
    <w:basedOn w:val="CommentTextChar"/>
    <w:link w:val="CommentSubject"/>
    <w:uiPriority w:val="99"/>
    <w:semiHidden/>
    <w:rsid w:val="00EF094D"/>
    <w:rPr>
      <w:rFonts w:ascii="Arial" w:hAnsi="Arial"/>
      <w:b/>
      <w:bCs/>
      <w:lang w:eastAsia="en-US" w:bidi="he-IL"/>
    </w:rPr>
  </w:style>
  <w:style w:type="paragraph" w:styleId="NormalWeb">
    <w:name w:val="Normal (Web)"/>
    <w:basedOn w:val="Normal"/>
    <w:uiPriority w:val="99"/>
    <w:unhideWhenUsed/>
    <w:rsid w:val="007B46D3"/>
    <w:rPr>
      <w:rFonts w:ascii="Times New Roman" w:hAnsi="Times New Roman" w:cs="Times New Roman"/>
      <w:szCs w:val="24"/>
    </w:rPr>
  </w:style>
  <w:style w:type="character" w:styleId="FollowedHyperlink">
    <w:name w:val="FollowedHyperlink"/>
    <w:basedOn w:val="DefaultParagraphFont"/>
    <w:uiPriority w:val="99"/>
    <w:semiHidden/>
    <w:unhideWhenUsed/>
    <w:rsid w:val="00F83287"/>
    <w:rPr>
      <w:color w:val="954F72" w:themeColor="followedHyperlink"/>
      <w:u w:val="single"/>
    </w:rPr>
  </w:style>
  <w:style w:type="paragraph" w:styleId="NoSpacing">
    <w:name w:val="No Spacing"/>
    <w:qFormat/>
    <w:rsid w:val="00DD4792"/>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DD4792"/>
    <w:rPr>
      <w:color w:val="605E5C"/>
      <w:shd w:val="clear" w:color="auto" w:fill="E1DFDD"/>
    </w:rPr>
  </w:style>
  <w:style w:type="paragraph" w:styleId="Revision">
    <w:name w:val="Revision"/>
    <w:hidden/>
    <w:uiPriority w:val="99"/>
    <w:semiHidden/>
    <w:rsid w:val="00F669E5"/>
    <w:rPr>
      <w:rFonts w:ascii="Arial" w:hAnsi="Arial"/>
      <w:sz w:val="24"/>
      <w:szCs w:val="22"/>
      <w:lang w:eastAsia="en-US" w:bidi="he-IL"/>
    </w:rPr>
  </w:style>
  <w:style w:type="table" w:customStyle="1" w:styleId="TableGrid1">
    <w:name w:val="Table Grid1"/>
    <w:basedOn w:val="TableNormal"/>
    <w:next w:val="TableGrid"/>
    <w:uiPriority w:val="39"/>
    <w:rsid w:val="00DD1F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32142">
      <w:bodyDiv w:val="1"/>
      <w:marLeft w:val="0"/>
      <w:marRight w:val="0"/>
      <w:marTop w:val="0"/>
      <w:marBottom w:val="0"/>
      <w:divBdr>
        <w:top w:val="none" w:sz="0" w:space="0" w:color="auto"/>
        <w:left w:val="none" w:sz="0" w:space="0" w:color="auto"/>
        <w:bottom w:val="none" w:sz="0" w:space="0" w:color="auto"/>
        <w:right w:val="none" w:sz="0" w:space="0" w:color="auto"/>
      </w:divBdr>
    </w:div>
    <w:div w:id="366682689">
      <w:bodyDiv w:val="1"/>
      <w:marLeft w:val="0"/>
      <w:marRight w:val="0"/>
      <w:marTop w:val="0"/>
      <w:marBottom w:val="0"/>
      <w:divBdr>
        <w:top w:val="none" w:sz="0" w:space="0" w:color="auto"/>
        <w:left w:val="none" w:sz="0" w:space="0" w:color="auto"/>
        <w:bottom w:val="none" w:sz="0" w:space="0" w:color="auto"/>
        <w:right w:val="none" w:sz="0" w:space="0" w:color="auto"/>
      </w:divBdr>
    </w:div>
    <w:div w:id="458955697">
      <w:bodyDiv w:val="1"/>
      <w:marLeft w:val="0"/>
      <w:marRight w:val="0"/>
      <w:marTop w:val="0"/>
      <w:marBottom w:val="0"/>
      <w:divBdr>
        <w:top w:val="none" w:sz="0" w:space="0" w:color="auto"/>
        <w:left w:val="none" w:sz="0" w:space="0" w:color="auto"/>
        <w:bottom w:val="none" w:sz="0" w:space="0" w:color="auto"/>
        <w:right w:val="none" w:sz="0" w:space="0" w:color="auto"/>
      </w:divBdr>
    </w:div>
    <w:div w:id="730810970">
      <w:bodyDiv w:val="1"/>
      <w:marLeft w:val="0"/>
      <w:marRight w:val="0"/>
      <w:marTop w:val="0"/>
      <w:marBottom w:val="0"/>
      <w:divBdr>
        <w:top w:val="none" w:sz="0" w:space="0" w:color="auto"/>
        <w:left w:val="none" w:sz="0" w:space="0" w:color="auto"/>
        <w:bottom w:val="none" w:sz="0" w:space="0" w:color="auto"/>
        <w:right w:val="none" w:sz="0" w:space="0" w:color="auto"/>
      </w:divBdr>
    </w:div>
    <w:div w:id="1250775666">
      <w:bodyDiv w:val="1"/>
      <w:marLeft w:val="0"/>
      <w:marRight w:val="0"/>
      <w:marTop w:val="0"/>
      <w:marBottom w:val="0"/>
      <w:divBdr>
        <w:top w:val="none" w:sz="0" w:space="0" w:color="auto"/>
        <w:left w:val="none" w:sz="0" w:space="0" w:color="auto"/>
        <w:bottom w:val="none" w:sz="0" w:space="0" w:color="auto"/>
        <w:right w:val="none" w:sz="0" w:space="0" w:color="auto"/>
      </w:divBdr>
    </w:div>
    <w:div w:id="1418593112">
      <w:bodyDiv w:val="1"/>
      <w:marLeft w:val="0"/>
      <w:marRight w:val="0"/>
      <w:marTop w:val="0"/>
      <w:marBottom w:val="0"/>
      <w:divBdr>
        <w:top w:val="none" w:sz="0" w:space="0" w:color="auto"/>
        <w:left w:val="none" w:sz="0" w:space="0" w:color="auto"/>
        <w:bottom w:val="none" w:sz="0" w:space="0" w:color="auto"/>
        <w:right w:val="none" w:sz="0" w:space="0" w:color="auto"/>
      </w:divBdr>
    </w:div>
    <w:div w:id="1603804309">
      <w:bodyDiv w:val="1"/>
      <w:marLeft w:val="0"/>
      <w:marRight w:val="0"/>
      <w:marTop w:val="0"/>
      <w:marBottom w:val="0"/>
      <w:divBdr>
        <w:top w:val="none" w:sz="0" w:space="0" w:color="auto"/>
        <w:left w:val="none" w:sz="0" w:space="0" w:color="auto"/>
        <w:bottom w:val="none" w:sz="0" w:space="0" w:color="auto"/>
        <w:right w:val="none" w:sz="0" w:space="0" w:color="auto"/>
      </w:divBdr>
    </w:div>
    <w:div w:id="178672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si@nationalarchives.gsi.gov.uk" TargetMode="External"/><Relationship Id="rId18" Type="http://schemas.openxmlformats.org/officeDocument/2006/relationships/footer" Target="footer2.xml"/><Relationship Id="rId26" Type="http://schemas.openxmlformats.org/officeDocument/2006/relationships/hyperlink" Target="https://www.gov.uk/government/publications/conditionally-discharged-restricted-patient-report" TargetMode="External"/><Relationship Id="rId3" Type="http://schemas.openxmlformats.org/officeDocument/2006/relationships/customXml" Target="../customXml/item3.xml"/><Relationship Id="rId21" Type="http://schemas.openxmlformats.org/officeDocument/2006/relationships/hyperlink" Target="https://www.gov.uk/government/publications/mentally-disordered-offenders-the-restricted-patient-system"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nationalarchives.gov.uk/doc/open-government-licence/version/3/" TargetMode="External"/><Relationship Id="rId17" Type="http://schemas.openxmlformats.org/officeDocument/2006/relationships/footer" Target="footer1.xml"/><Relationship Id="rId25" Type="http://schemas.openxmlformats.org/officeDocument/2006/relationships/hyperlink" Target="mailto:MHCSMailbox@justice.gov.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conditionally-discharged-restricted-patient-report" TargetMode="Externa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gov.uk/government/publications/submit-a-conditional-discharge-request-for-restricted-patients"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hcscpst@justice.gov.uk" TargetMode="External"/><Relationship Id="rId22" Type="http://schemas.openxmlformats.org/officeDocument/2006/relationships/hyperlink" Target="https://www.gov.uk/government/publications/submit-a-conditional-discharge-request-for-restricted-patients" TargetMode="Externa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uk/ukpga/2020/17/schedule/18" TargetMode="External"/><Relationship Id="rId2" Type="http://schemas.openxmlformats.org/officeDocument/2006/relationships/hyperlink" Target="https://assets.publishing.service.gov.uk/government/uploads/system/uploads/attachment_data/file/974376/victims-code-2020.pdf" TargetMode="External"/><Relationship Id="rId1" Type="http://schemas.openxmlformats.org/officeDocument/2006/relationships/hyperlink" Target="https://www.legislation.gov.uk/ukpga/1983/20/section/73"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7e75edfc-f98d-4e21-94ee-a6fec13df8d9">
      <UserInfo>
        <DisplayName>Binns, Christopher [NOMS]</DisplayName>
        <AccountId>30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DA2E5AF2B40F42821606686795FE49" ma:contentTypeVersion="8" ma:contentTypeDescription="Create a new document." ma:contentTypeScope="" ma:versionID="d8a944b3ee23814228b140bc25f82bb5">
  <xsd:schema xmlns:xsd="http://www.w3.org/2001/XMLSchema" xmlns:xs="http://www.w3.org/2001/XMLSchema" xmlns:p="http://schemas.microsoft.com/office/2006/metadata/properties" xmlns:ns2="fe869ae7-07d9-4004-8013-75e70cb14e0b" xmlns:ns3="7e75edfc-f98d-4e21-94ee-a6fec13df8d9" targetNamespace="http://schemas.microsoft.com/office/2006/metadata/properties" ma:root="true" ma:fieldsID="51b259391b04060faae2c3dc7a532981" ns2:_="" ns3:_="">
    <xsd:import namespace="fe869ae7-07d9-4004-8013-75e70cb14e0b"/>
    <xsd:import namespace="7e75edfc-f98d-4e21-94ee-a6fec13df8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69ae7-07d9-4004-8013-75e70cb14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75edfc-f98d-4e21-94ee-a6fec13df8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B72C15-7F04-425C-B62F-D51CED609307}">
  <ds:schemaRefs>
    <ds:schemaRef ds:uri="http://schemas.openxmlformats.org/officeDocument/2006/bibliography"/>
  </ds:schemaRefs>
</ds:datastoreItem>
</file>

<file path=customXml/itemProps2.xml><?xml version="1.0" encoding="utf-8"?>
<ds:datastoreItem xmlns:ds="http://schemas.openxmlformats.org/officeDocument/2006/customXml" ds:itemID="{0448DC52-68CD-4697-9F2F-1D8B5B46DB2E}">
  <ds:schemaRefs>
    <ds:schemaRef ds:uri="http://schemas.microsoft.com/office/2006/metadata/properties"/>
    <ds:schemaRef ds:uri="http://schemas.microsoft.com/office/infopath/2007/PartnerControls"/>
    <ds:schemaRef ds:uri="7e75edfc-f98d-4e21-94ee-a6fec13df8d9"/>
  </ds:schemaRefs>
</ds:datastoreItem>
</file>

<file path=customXml/itemProps3.xml><?xml version="1.0" encoding="utf-8"?>
<ds:datastoreItem xmlns:ds="http://schemas.openxmlformats.org/officeDocument/2006/customXml" ds:itemID="{78BF57AF-8A78-4CC5-AC13-B59A5BABC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69ae7-07d9-4004-8013-75e70cb14e0b"/>
    <ds:schemaRef ds:uri="7e75edfc-f98d-4e21-94ee-a6fec13df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441C02-0660-4ECA-AC75-9CA44DF8C8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5260</Words>
  <Characters>29988</Characters>
  <Application>Microsoft Office Word</Application>
  <DocSecurity>0</DocSecurity>
  <Lines>249</Lines>
  <Paragraphs>70</Paragraphs>
  <ScaleCrop>false</ScaleCrop>
  <Manager>HM Prison &amp; Probation Service</Manager>
  <Company>HM Prison &amp; Probation Service</Company>
  <LinksUpToDate>false</LinksUpToDate>
  <CharactersWithSpaces>35178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HMPPS Report Template</dc:title>
  <dc:subject>HMPPS Report Template</dc:subject>
  <dc:creator>O'Prey, Natalya [NOMS]</dc:creator>
  <cp:keywords/>
  <dc:description/>
  <cp:lastModifiedBy>Binns, Christopher</cp:lastModifiedBy>
  <cp:revision>2</cp:revision>
  <cp:lastPrinted>2019-01-09T01:37:00Z</cp:lastPrinted>
  <dcterms:created xsi:type="dcterms:W3CDTF">2023-06-29T07:15:00Z</dcterms:created>
  <dcterms:modified xsi:type="dcterms:W3CDTF">2023-06-29T07:15:00Z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0x010100E3DA2E5AF2B40F42821606686795FE49</vt:lpwstr>
  </property>
</Properties>
</file>