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7EB8" w14:textId="0A2F2FE8" w:rsidR="00A37DC3" w:rsidRPr="00DC4340" w:rsidRDefault="00A37DC3" w:rsidP="009465B1">
      <w:pPr>
        <w:pStyle w:val="Heading1"/>
      </w:pPr>
      <w:bookmarkStart w:id="0" w:name="_Toc135043616"/>
      <w:bookmarkStart w:id="1" w:name="_Toc525808938"/>
      <w:bookmarkStart w:id="2" w:name="_Toc527387358"/>
      <w:bookmarkStart w:id="3" w:name="_Toc527554687"/>
      <w:bookmarkStart w:id="4" w:name="_Toc527554750"/>
      <w:bookmarkStart w:id="5" w:name="_Toc527554808"/>
      <w:r>
        <w:t>E</w:t>
      </w:r>
      <w:r w:rsidRPr="00E350C5">
        <w:t>stablishing youth-friendly health and care services</w:t>
      </w:r>
      <w:r>
        <w:t>: t</w:t>
      </w:r>
      <w:r w:rsidRPr="006F7290">
        <w:t>emplate for self-assessment</w:t>
      </w:r>
    </w:p>
    <w:p w14:paraId="40782284" w14:textId="3D36E1F7" w:rsidR="00A37DC3" w:rsidRDefault="00A37DC3" w:rsidP="009465B1">
      <w:pPr>
        <w:pStyle w:val="Dateofpublication"/>
      </w:pPr>
      <w:r>
        <w:t xml:space="preserve">Published </w:t>
      </w:r>
      <w:r w:rsidR="009E3698">
        <w:t>27 June 2023</w:t>
      </w:r>
    </w:p>
    <w:p w14:paraId="055410E7" w14:textId="20AA4DD2" w:rsidR="00A37DC3" w:rsidRPr="00A37DC3" w:rsidRDefault="00A37DC3" w:rsidP="009465B1">
      <w:pPr>
        <w:pStyle w:val="ParagraphText"/>
        <w:rPr>
          <w:b/>
        </w:rPr>
        <w:sectPr w:rsidR="00A37DC3" w:rsidRPr="00A37DC3" w:rsidSect="009465B1">
          <w:headerReference w:type="default" r:id="rId8"/>
          <w:footerReference w:type="default" r:id="rId9"/>
          <w:pgSz w:w="11906" w:h="16838" w:code="9"/>
          <w:pgMar w:top="1644" w:right="1134" w:bottom="1644" w:left="1134" w:header="567" w:footer="567" w:gutter="0"/>
          <w:cols w:space="720"/>
          <w:docGrid w:linePitch="326"/>
        </w:sectPr>
      </w:pPr>
    </w:p>
    <w:p w14:paraId="337AAA83" w14:textId="72A6E43C" w:rsidR="006D564A" w:rsidRPr="006D564A" w:rsidRDefault="006D564A" w:rsidP="00B90142">
      <w:pPr>
        <w:pStyle w:val="Heading2"/>
      </w:pPr>
      <w:bookmarkStart w:id="6" w:name="_Toc447886977"/>
      <w:bookmarkStart w:id="7" w:name="_Toc135043617"/>
      <w:bookmarkEnd w:id="0"/>
      <w:r w:rsidRPr="006D564A">
        <w:lastRenderedPageBreak/>
        <w:t xml:space="preserve">Standard 1: </w:t>
      </w:r>
      <w:r w:rsidR="0084456A">
        <w:t>i</w:t>
      </w:r>
      <w:r w:rsidRPr="006D564A">
        <w:t xml:space="preserve">nvolving young people in their care and in the design, </w:t>
      </w:r>
      <w:proofErr w:type="gramStart"/>
      <w:r w:rsidRPr="006D564A">
        <w:t>delivery</w:t>
      </w:r>
      <w:proofErr w:type="gramEnd"/>
      <w:r w:rsidRPr="006D564A">
        <w:t xml:space="preserve"> and review of services</w:t>
      </w:r>
      <w:bookmarkEnd w:id="6"/>
      <w:bookmarkEnd w:id="7"/>
    </w:p>
    <w:tbl>
      <w:tblPr>
        <w:tblStyle w:val="TableGrid"/>
        <w:tblW w:w="13745" w:type="dxa"/>
        <w:tblInd w:w="-147" w:type="dxa"/>
        <w:tblLayout w:type="fixed"/>
        <w:tblLook w:val="04A0" w:firstRow="1" w:lastRow="0" w:firstColumn="1" w:lastColumn="0" w:noHBand="0" w:noVBand="1"/>
      </w:tblPr>
      <w:tblGrid>
        <w:gridCol w:w="4678"/>
        <w:gridCol w:w="1619"/>
        <w:gridCol w:w="4395"/>
        <w:gridCol w:w="3053"/>
      </w:tblGrid>
      <w:tr w:rsidR="006D564A" w:rsidRPr="001558CE" w14:paraId="79BDFAA7" w14:textId="77777777" w:rsidTr="00D63EA2">
        <w:trPr>
          <w:tblHeader/>
        </w:trPr>
        <w:tc>
          <w:tcPr>
            <w:tcW w:w="4678" w:type="dxa"/>
          </w:tcPr>
          <w:p w14:paraId="376DD90C" w14:textId="77777777" w:rsidR="006D564A" w:rsidRPr="001558CE" w:rsidRDefault="006D564A" w:rsidP="001558CE">
            <w:pPr>
              <w:pStyle w:val="Table-headertext"/>
              <w:rPr>
                <w:b/>
                <w:bCs/>
              </w:rPr>
            </w:pPr>
            <w:r w:rsidRPr="001558CE">
              <w:rPr>
                <w:b/>
                <w:bCs/>
              </w:rPr>
              <w:t>Criteria</w:t>
            </w:r>
          </w:p>
        </w:tc>
        <w:tc>
          <w:tcPr>
            <w:tcW w:w="1619" w:type="dxa"/>
          </w:tcPr>
          <w:p w14:paraId="0C2C7BE0" w14:textId="6CE424A0" w:rsidR="006D564A" w:rsidRPr="001558CE" w:rsidRDefault="006D564A" w:rsidP="001558CE">
            <w:pPr>
              <w:pStyle w:val="Table-headertext"/>
              <w:rPr>
                <w:b/>
                <w:bCs/>
              </w:rPr>
            </w:pPr>
            <w:r w:rsidRPr="001558CE">
              <w:rPr>
                <w:b/>
                <w:bCs/>
              </w:rPr>
              <w:t>Complete?</w:t>
            </w:r>
            <w:r w:rsidR="00CE6F33" w:rsidRPr="001558CE">
              <w:rPr>
                <w:b/>
                <w:bCs/>
              </w:rPr>
              <w:t xml:space="preserve"> </w:t>
            </w:r>
          </w:p>
          <w:p w14:paraId="2199040A" w14:textId="22CC9EEC" w:rsidR="006D564A" w:rsidRPr="001558CE" w:rsidRDefault="006D564A" w:rsidP="001558CE">
            <w:pPr>
              <w:pStyle w:val="Table-headertext"/>
              <w:rPr>
                <w:b/>
                <w:bCs/>
              </w:rPr>
            </w:pPr>
            <w:r w:rsidRPr="001558CE">
              <w:rPr>
                <w:b/>
                <w:bCs/>
              </w:rPr>
              <w:t xml:space="preserve">Yes, </w:t>
            </w:r>
            <w:proofErr w:type="gramStart"/>
            <w:r w:rsidR="00CE6F33" w:rsidRPr="001558CE">
              <w:rPr>
                <w:b/>
                <w:bCs/>
              </w:rPr>
              <w:t>n</w:t>
            </w:r>
            <w:r w:rsidRPr="001558CE">
              <w:rPr>
                <w:b/>
                <w:bCs/>
              </w:rPr>
              <w:t>o</w:t>
            </w:r>
            <w:proofErr w:type="gramEnd"/>
            <w:r w:rsidR="00CE6F33" w:rsidRPr="001558CE">
              <w:rPr>
                <w:b/>
                <w:bCs/>
              </w:rPr>
              <w:t xml:space="preserve"> or</w:t>
            </w:r>
            <w:r w:rsidRPr="001558CE">
              <w:rPr>
                <w:b/>
                <w:bCs/>
              </w:rPr>
              <w:t xml:space="preserve"> </w:t>
            </w:r>
            <w:r w:rsidR="00CE6F33" w:rsidRPr="001558CE">
              <w:rPr>
                <w:b/>
                <w:bCs/>
              </w:rPr>
              <w:t>p</w:t>
            </w:r>
            <w:r w:rsidRPr="001558CE">
              <w:rPr>
                <w:b/>
                <w:bCs/>
              </w:rPr>
              <w:t xml:space="preserve">artially </w:t>
            </w:r>
          </w:p>
        </w:tc>
        <w:tc>
          <w:tcPr>
            <w:tcW w:w="4395" w:type="dxa"/>
          </w:tcPr>
          <w:p w14:paraId="063CA7F0" w14:textId="77777777" w:rsidR="006D564A" w:rsidRPr="001558CE" w:rsidRDefault="006D564A" w:rsidP="001558CE">
            <w:pPr>
              <w:pStyle w:val="Table-headertext"/>
              <w:rPr>
                <w:b/>
                <w:bCs/>
              </w:rPr>
            </w:pPr>
            <w:r w:rsidRPr="001558CE">
              <w:rPr>
                <w:b/>
                <w:bCs/>
              </w:rPr>
              <w:t>Evidence</w:t>
            </w:r>
          </w:p>
        </w:tc>
        <w:tc>
          <w:tcPr>
            <w:tcW w:w="3053" w:type="dxa"/>
          </w:tcPr>
          <w:p w14:paraId="60034D6B" w14:textId="77777777" w:rsidR="006D564A" w:rsidRPr="001558CE" w:rsidRDefault="006D564A" w:rsidP="001558CE">
            <w:pPr>
              <w:pStyle w:val="Table-headertext"/>
              <w:rPr>
                <w:b/>
                <w:bCs/>
              </w:rPr>
            </w:pPr>
            <w:r w:rsidRPr="001558CE">
              <w:rPr>
                <w:b/>
                <w:bCs/>
              </w:rPr>
              <w:t xml:space="preserve">Link to other quality frameworks, </w:t>
            </w:r>
            <w:proofErr w:type="gramStart"/>
            <w:r w:rsidRPr="001558CE">
              <w:rPr>
                <w:b/>
                <w:bCs/>
              </w:rPr>
              <w:t>indicators</w:t>
            </w:r>
            <w:proofErr w:type="gramEnd"/>
            <w:r w:rsidRPr="001558CE">
              <w:rPr>
                <w:b/>
                <w:bCs/>
              </w:rPr>
              <w:t xml:space="preserve"> and outcomes</w:t>
            </w:r>
          </w:p>
        </w:tc>
      </w:tr>
      <w:tr w:rsidR="006D564A" w:rsidRPr="00383CAD" w14:paraId="43DFA3C8" w14:textId="77777777" w:rsidTr="00D63EA2">
        <w:tc>
          <w:tcPr>
            <w:tcW w:w="4678" w:type="dxa"/>
          </w:tcPr>
          <w:p w14:paraId="7BAAF9C4" w14:textId="15B90FFC" w:rsidR="006D564A" w:rsidRPr="006D564A" w:rsidRDefault="006D564A" w:rsidP="00D63EA2">
            <w:pPr>
              <w:pStyle w:val="Table-bodytext"/>
            </w:pPr>
            <w:r w:rsidRPr="006D564A">
              <w:t>Essential</w:t>
            </w:r>
            <w:r w:rsidR="00D63EA2">
              <w:t xml:space="preserve">: </w:t>
            </w:r>
            <w:r w:rsidRPr="006D564A">
              <w:t>Staff actively encourages young people to be involved in their care. Plans are developed with young people, considering all aspects of their life and how they would like their parent or carer to be involved in their care.</w:t>
            </w:r>
            <w:r w:rsidR="00080FB4">
              <w:t xml:space="preserve"> Where appropriate, young people </w:t>
            </w:r>
            <w:r w:rsidR="00080FB4" w:rsidRPr="00080FB4">
              <w:t>are supported by an independent advocate.</w:t>
            </w:r>
          </w:p>
        </w:tc>
        <w:tc>
          <w:tcPr>
            <w:tcW w:w="1619" w:type="dxa"/>
          </w:tcPr>
          <w:p w14:paraId="693CC5B8" w14:textId="77777777" w:rsidR="006D564A" w:rsidRPr="006D564A" w:rsidRDefault="006D564A" w:rsidP="006D564A"/>
        </w:tc>
        <w:tc>
          <w:tcPr>
            <w:tcW w:w="4395" w:type="dxa"/>
          </w:tcPr>
          <w:p w14:paraId="5B7A04E0" w14:textId="77777777" w:rsidR="006D564A" w:rsidRPr="006D564A" w:rsidRDefault="006D564A" w:rsidP="006D564A"/>
        </w:tc>
        <w:tc>
          <w:tcPr>
            <w:tcW w:w="3053" w:type="dxa"/>
          </w:tcPr>
          <w:p w14:paraId="7319E7D4" w14:textId="77777777" w:rsidR="006D564A" w:rsidRPr="006D564A" w:rsidRDefault="006D564A" w:rsidP="006D564A"/>
        </w:tc>
      </w:tr>
      <w:tr w:rsidR="006D564A" w:rsidRPr="00383CAD" w14:paraId="559588EB" w14:textId="77777777" w:rsidTr="00D63EA2">
        <w:tc>
          <w:tcPr>
            <w:tcW w:w="4678" w:type="dxa"/>
          </w:tcPr>
          <w:p w14:paraId="1429D4EE" w14:textId="0DD83F9E" w:rsidR="006D564A" w:rsidRPr="006D564A" w:rsidRDefault="006D564A" w:rsidP="00D63EA2">
            <w:pPr>
              <w:pStyle w:val="Table-bodytext"/>
            </w:pPr>
            <w:r w:rsidRPr="006D564A">
              <w:t>Essential</w:t>
            </w:r>
            <w:r w:rsidR="00D63EA2">
              <w:t xml:space="preserve">: </w:t>
            </w:r>
            <w:r w:rsidRPr="006D564A">
              <w:t>There are processes in place to ensure that young people’s views are included in care planning, governance, service design and development. Consideration is given to ensuring the views of marginalised or seldom-heard groups of young people are heard.</w:t>
            </w:r>
            <w:r w:rsidRPr="006D564A" w:rsidDel="00516890">
              <w:t xml:space="preserve"> </w:t>
            </w:r>
            <w:r w:rsidRPr="006D564A">
              <w:t>Feedback is reviewed and acted upon. Staff listen and are responsive to the voice</w:t>
            </w:r>
            <w:r w:rsidR="00040DEC">
              <w:t>s</w:t>
            </w:r>
            <w:r w:rsidRPr="006D564A">
              <w:t xml:space="preserve"> of young people</w:t>
            </w:r>
            <w:r w:rsidR="003552F2">
              <w:t>.</w:t>
            </w:r>
          </w:p>
        </w:tc>
        <w:tc>
          <w:tcPr>
            <w:tcW w:w="1619" w:type="dxa"/>
          </w:tcPr>
          <w:p w14:paraId="23DA5D5E" w14:textId="77777777" w:rsidR="006D564A" w:rsidRPr="006D564A" w:rsidRDefault="006D564A" w:rsidP="006D564A"/>
        </w:tc>
        <w:tc>
          <w:tcPr>
            <w:tcW w:w="4395" w:type="dxa"/>
          </w:tcPr>
          <w:p w14:paraId="0B3CADC0" w14:textId="77777777" w:rsidR="006D564A" w:rsidRPr="006D564A" w:rsidRDefault="006D564A" w:rsidP="006D564A"/>
        </w:tc>
        <w:tc>
          <w:tcPr>
            <w:tcW w:w="3053" w:type="dxa"/>
          </w:tcPr>
          <w:p w14:paraId="31E266FB" w14:textId="77777777" w:rsidR="006D564A" w:rsidRPr="006D564A" w:rsidRDefault="006D564A" w:rsidP="006D564A"/>
        </w:tc>
      </w:tr>
      <w:tr w:rsidR="006D564A" w:rsidRPr="00383CAD" w14:paraId="55452AAF" w14:textId="77777777" w:rsidTr="00D63EA2">
        <w:tc>
          <w:tcPr>
            <w:tcW w:w="4678" w:type="dxa"/>
          </w:tcPr>
          <w:p w14:paraId="345711C9" w14:textId="066EEAF9" w:rsidR="006D564A" w:rsidRPr="006D564A" w:rsidRDefault="006D564A" w:rsidP="00D63EA2">
            <w:pPr>
              <w:pStyle w:val="Table-bodytext"/>
            </w:pPr>
            <w:r w:rsidRPr="006D564A">
              <w:t>Essential</w:t>
            </w:r>
            <w:r w:rsidR="00D63EA2">
              <w:t xml:space="preserve">: </w:t>
            </w:r>
            <w:r w:rsidRPr="006D564A">
              <w:t>There are clear processes to safeguard young people including those involved in youth participation.</w:t>
            </w:r>
          </w:p>
        </w:tc>
        <w:tc>
          <w:tcPr>
            <w:tcW w:w="1619" w:type="dxa"/>
          </w:tcPr>
          <w:p w14:paraId="0B521AB3" w14:textId="77777777" w:rsidR="006D564A" w:rsidRPr="006D564A" w:rsidRDefault="006D564A" w:rsidP="006D564A"/>
        </w:tc>
        <w:tc>
          <w:tcPr>
            <w:tcW w:w="4395" w:type="dxa"/>
          </w:tcPr>
          <w:p w14:paraId="67D6EDDC" w14:textId="77777777" w:rsidR="006D564A" w:rsidRPr="006D564A" w:rsidRDefault="006D564A" w:rsidP="006D564A"/>
        </w:tc>
        <w:tc>
          <w:tcPr>
            <w:tcW w:w="3053" w:type="dxa"/>
          </w:tcPr>
          <w:p w14:paraId="3B7010E6" w14:textId="77777777" w:rsidR="006D564A" w:rsidRPr="006D564A" w:rsidRDefault="006D564A" w:rsidP="006D564A"/>
        </w:tc>
      </w:tr>
      <w:tr w:rsidR="006D564A" w:rsidRPr="00383CAD" w14:paraId="6901D83B" w14:textId="77777777" w:rsidTr="00D63EA2">
        <w:tc>
          <w:tcPr>
            <w:tcW w:w="4678" w:type="dxa"/>
          </w:tcPr>
          <w:p w14:paraId="5DD3A3B7" w14:textId="7A5F3476" w:rsidR="006D564A" w:rsidRPr="006D564A" w:rsidRDefault="006D564A" w:rsidP="00D63EA2">
            <w:pPr>
              <w:pStyle w:val="Table-bodytext"/>
            </w:pPr>
            <w:r w:rsidRPr="006D564A">
              <w:t>Additional</w:t>
            </w:r>
            <w:r w:rsidR="00D63EA2">
              <w:t xml:space="preserve">: </w:t>
            </w:r>
            <w:r w:rsidRPr="006D564A">
              <w:t xml:space="preserve">The service has a nominated young people’s liaison who is responsible for linking with young people, supporting their </w:t>
            </w:r>
            <w:proofErr w:type="gramStart"/>
            <w:r w:rsidRPr="006D564A">
              <w:t>participation</w:t>
            </w:r>
            <w:proofErr w:type="gramEnd"/>
            <w:r w:rsidRPr="006D564A">
              <w:t xml:space="preserve"> and making sure others hear what they say.</w:t>
            </w:r>
          </w:p>
        </w:tc>
        <w:tc>
          <w:tcPr>
            <w:tcW w:w="1619" w:type="dxa"/>
          </w:tcPr>
          <w:p w14:paraId="1B3C86EA" w14:textId="77777777" w:rsidR="006D564A" w:rsidRPr="006D564A" w:rsidRDefault="006D564A" w:rsidP="006D564A"/>
        </w:tc>
        <w:tc>
          <w:tcPr>
            <w:tcW w:w="4395" w:type="dxa"/>
          </w:tcPr>
          <w:p w14:paraId="7C1073E7" w14:textId="77777777" w:rsidR="006D564A" w:rsidRPr="006D564A" w:rsidRDefault="006D564A" w:rsidP="006D564A"/>
        </w:tc>
        <w:tc>
          <w:tcPr>
            <w:tcW w:w="3053" w:type="dxa"/>
          </w:tcPr>
          <w:p w14:paraId="1E3B6E44" w14:textId="77777777" w:rsidR="006D564A" w:rsidRPr="006D564A" w:rsidRDefault="006D564A" w:rsidP="006D564A"/>
        </w:tc>
      </w:tr>
      <w:tr w:rsidR="006D564A" w:rsidRPr="00383CAD" w14:paraId="4D1A1F12" w14:textId="77777777" w:rsidTr="00D63EA2">
        <w:tc>
          <w:tcPr>
            <w:tcW w:w="4678" w:type="dxa"/>
          </w:tcPr>
          <w:p w14:paraId="7BD44939" w14:textId="6F5FE4D1" w:rsidR="006D564A" w:rsidRPr="006D564A" w:rsidRDefault="006D564A" w:rsidP="00D63EA2">
            <w:pPr>
              <w:pStyle w:val="Table-bodytext"/>
            </w:pPr>
            <w:r w:rsidRPr="006D564A">
              <w:lastRenderedPageBreak/>
              <w:t>Additional</w:t>
            </w:r>
            <w:r w:rsidR="00D63EA2">
              <w:t xml:space="preserve">: </w:t>
            </w:r>
            <w:r w:rsidRPr="006D564A">
              <w:t>Information about how young people can have a voice within the service is available and has been developed with young people.</w:t>
            </w:r>
          </w:p>
        </w:tc>
        <w:tc>
          <w:tcPr>
            <w:tcW w:w="1619" w:type="dxa"/>
          </w:tcPr>
          <w:p w14:paraId="1A0A10A9" w14:textId="77777777" w:rsidR="006D564A" w:rsidRPr="006D564A" w:rsidRDefault="006D564A" w:rsidP="006D564A"/>
        </w:tc>
        <w:tc>
          <w:tcPr>
            <w:tcW w:w="4395" w:type="dxa"/>
          </w:tcPr>
          <w:p w14:paraId="0F2DEE1A" w14:textId="77777777" w:rsidR="006D564A" w:rsidRPr="006D564A" w:rsidRDefault="006D564A" w:rsidP="006D564A"/>
        </w:tc>
        <w:tc>
          <w:tcPr>
            <w:tcW w:w="3053" w:type="dxa"/>
          </w:tcPr>
          <w:p w14:paraId="70141297" w14:textId="77777777" w:rsidR="006D564A" w:rsidRPr="006D564A" w:rsidRDefault="006D564A" w:rsidP="006D564A"/>
        </w:tc>
      </w:tr>
      <w:tr w:rsidR="006D564A" w:rsidRPr="00383CAD" w14:paraId="4D69B1D5" w14:textId="77777777" w:rsidTr="00D63EA2">
        <w:tc>
          <w:tcPr>
            <w:tcW w:w="4678" w:type="dxa"/>
          </w:tcPr>
          <w:p w14:paraId="5945147D" w14:textId="3D8241DB" w:rsidR="006D564A" w:rsidRPr="006D564A" w:rsidRDefault="006D564A" w:rsidP="00D63EA2">
            <w:pPr>
              <w:pStyle w:val="Table-bodytext"/>
            </w:pPr>
            <w:r w:rsidRPr="006D564A">
              <w:t>Additional</w:t>
            </w:r>
            <w:r w:rsidR="00D63EA2">
              <w:t xml:space="preserve">: </w:t>
            </w:r>
            <w:r w:rsidRPr="006D564A">
              <w:t>Young people are routinely included in young people or patient experience surveys</w:t>
            </w:r>
            <w:r w:rsidR="00E91E4A">
              <w:t>,</w:t>
            </w:r>
            <w:r w:rsidRPr="006D564A">
              <w:t xml:space="preserve"> for example</w:t>
            </w:r>
            <w:r w:rsidR="00E91E4A">
              <w:t>,</w:t>
            </w:r>
            <w:r w:rsidRPr="006D564A">
              <w:t xml:space="preserve"> the </w:t>
            </w:r>
            <w:hyperlink r:id="rId10" w:history="1">
              <w:r w:rsidRPr="006D564A">
                <w:rPr>
                  <w:rStyle w:val="Hyperlink"/>
                </w:rPr>
                <w:t>Friends and Family Test</w:t>
              </w:r>
            </w:hyperlink>
            <w:r w:rsidRPr="006D564A">
              <w:t>.</w:t>
            </w:r>
          </w:p>
        </w:tc>
        <w:tc>
          <w:tcPr>
            <w:tcW w:w="1619" w:type="dxa"/>
          </w:tcPr>
          <w:p w14:paraId="4A2FF3D9" w14:textId="77777777" w:rsidR="006D564A" w:rsidRPr="006D564A" w:rsidRDefault="006D564A" w:rsidP="006D564A"/>
        </w:tc>
        <w:tc>
          <w:tcPr>
            <w:tcW w:w="4395" w:type="dxa"/>
          </w:tcPr>
          <w:p w14:paraId="2CAAB003" w14:textId="77777777" w:rsidR="006D564A" w:rsidRPr="006D564A" w:rsidRDefault="006D564A" w:rsidP="006D564A"/>
        </w:tc>
        <w:tc>
          <w:tcPr>
            <w:tcW w:w="3053" w:type="dxa"/>
          </w:tcPr>
          <w:p w14:paraId="2B2F3750" w14:textId="77777777" w:rsidR="006D564A" w:rsidRPr="006D564A" w:rsidRDefault="006D564A" w:rsidP="006D564A"/>
        </w:tc>
      </w:tr>
      <w:tr w:rsidR="006D564A" w:rsidRPr="00383CAD" w14:paraId="599CBAEA" w14:textId="77777777" w:rsidTr="00D63EA2">
        <w:tc>
          <w:tcPr>
            <w:tcW w:w="4678" w:type="dxa"/>
          </w:tcPr>
          <w:p w14:paraId="5709B667" w14:textId="496B9FCB" w:rsidR="006D564A" w:rsidRPr="006D564A" w:rsidRDefault="006D564A" w:rsidP="00D63EA2">
            <w:pPr>
              <w:pStyle w:val="Table-bodytext"/>
            </w:pPr>
            <w:r w:rsidRPr="006D564A">
              <w:t>Additional</w:t>
            </w:r>
            <w:r w:rsidR="00D63EA2">
              <w:t xml:space="preserve">: </w:t>
            </w:r>
            <w:r w:rsidRPr="006D564A">
              <w:t>The service works with other organisations who already support young people’s engagement</w:t>
            </w:r>
            <w:r w:rsidR="00E91E4A">
              <w:t>,</w:t>
            </w:r>
            <w:r w:rsidRPr="006D564A">
              <w:t xml:space="preserve"> such as a local youth council or school councils.</w:t>
            </w:r>
          </w:p>
        </w:tc>
        <w:tc>
          <w:tcPr>
            <w:tcW w:w="1619" w:type="dxa"/>
          </w:tcPr>
          <w:p w14:paraId="2AA76B4E" w14:textId="77777777" w:rsidR="006D564A" w:rsidRPr="006D564A" w:rsidRDefault="006D564A" w:rsidP="006D564A"/>
        </w:tc>
        <w:tc>
          <w:tcPr>
            <w:tcW w:w="4395" w:type="dxa"/>
          </w:tcPr>
          <w:p w14:paraId="73CC59A9" w14:textId="77777777" w:rsidR="006D564A" w:rsidRPr="006D564A" w:rsidRDefault="006D564A" w:rsidP="006D564A"/>
        </w:tc>
        <w:tc>
          <w:tcPr>
            <w:tcW w:w="3053" w:type="dxa"/>
          </w:tcPr>
          <w:p w14:paraId="0198AFCB" w14:textId="77777777" w:rsidR="006D564A" w:rsidRPr="006D564A" w:rsidRDefault="006D564A" w:rsidP="006D564A"/>
        </w:tc>
      </w:tr>
    </w:tbl>
    <w:p w14:paraId="191EEF45" w14:textId="360BA60C" w:rsidR="00180403" w:rsidRDefault="009327F6" w:rsidP="00CE6F33">
      <w:pPr>
        <w:pStyle w:val="ParagraphText"/>
        <w:rPr>
          <w:b/>
          <w:sz w:val="33"/>
        </w:rPr>
      </w:pPr>
      <w:bookmarkStart w:id="8" w:name="_Toc135043618"/>
      <w:r w:rsidRPr="009327F6">
        <w:t>Young people comments and recommendations following review:</w:t>
      </w:r>
      <w:r w:rsidR="00180403">
        <w:br w:type="page"/>
      </w:r>
    </w:p>
    <w:p w14:paraId="5ECB5640" w14:textId="46A73EBF" w:rsidR="006D564A" w:rsidRPr="006D564A" w:rsidRDefault="006D564A" w:rsidP="006D564A">
      <w:pPr>
        <w:pStyle w:val="Heading2"/>
      </w:pPr>
      <w:r w:rsidRPr="006D564A">
        <w:lastRenderedPageBreak/>
        <w:t xml:space="preserve">Standard 2: </w:t>
      </w:r>
      <w:r w:rsidR="0084456A">
        <w:t>e</w:t>
      </w:r>
      <w:r w:rsidRPr="006D564A">
        <w:t>xplaining confidentiality and consent</w:t>
      </w:r>
      <w:bookmarkEnd w:id="8"/>
    </w:p>
    <w:tbl>
      <w:tblPr>
        <w:tblStyle w:val="TableGrid"/>
        <w:tblW w:w="14034" w:type="dxa"/>
        <w:tblLayout w:type="fixed"/>
        <w:tblLook w:val="04A0" w:firstRow="1" w:lastRow="0" w:firstColumn="1" w:lastColumn="0" w:noHBand="0" w:noVBand="1"/>
      </w:tblPr>
      <w:tblGrid>
        <w:gridCol w:w="4618"/>
        <w:gridCol w:w="1898"/>
        <w:gridCol w:w="4252"/>
        <w:gridCol w:w="3266"/>
      </w:tblGrid>
      <w:tr w:rsidR="006D564A" w:rsidRPr="00E91E4A" w14:paraId="59182B80" w14:textId="77777777" w:rsidTr="009465B1">
        <w:trPr>
          <w:tblHeader/>
        </w:trPr>
        <w:tc>
          <w:tcPr>
            <w:tcW w:w="4618" w:type="dxa"/>
          </w:tcPr>
          <w:p w14:paraId="03EDD94B" w14:textId="77777777" w:rsidR="006D564A" w:rsidRPr="009465B1" w:rsidRDefault="006D564A" w:rsidP="00E91E4A">
            <w:pPr>
              <w:pStyle w:val="Table-headertext"/>
              <w:rPr>
                <w:b/>
                <w:bCs/>
              </w:rPr>
            </w:pPr>
            <w:r w:rsidRPr="009465B1">
              <w:rPr>
                <w:b/>
                <w:bCs/>
              </w:rPr>
              <w:t>Criteria</w:t>
            </w:r>
          </w:p>
        </w:tc>
        <w:tc>
          <w:tcPr>
            <w:tcW w:w="1898" w:type="dxa"/>
          </w:tcPr>
          <w:p w14:paraId="56B5C127" w14:textId="77777777" w:rsidR="006D564A" w:rsidRPr="009465B1" w:rsidRDefault="006D564A" w:rsidP="00E91E4A">
            <w:pPr>
              <w:pStyle w:val="Table-headertext"/>
              <w:rPr>
                <w:b/>
                <w:bCs/>
              </w:rPr>
            </w:pPr>
            <w:r w:rsidRPr="009465B1">
              <w:rPr>
                <w:b/>
                <w:bCs/>
              </w:rPr>
              <w:t>Complete?</w:t>
            </w:r>
          </w:p>
          <w:p w14:paraId="15BFCF44" w14:textId="1DA7A5A7" w:rsidR="006D564A" w:rsidRPr="009465B1" w:rsidRDefault="006D564A" w:rsidP="00E91E4A">
            <w:pPr>
              <w:pStyle w:val="Table-headertext"/>
              <w:rPr>
                <w:b/>
                <w:bCs/>
              </w:rPr>
            </w:pPr>
            <w:r w:rsidRPr="009465B1">
              <w:rPr>
                <w:b/>
                <w:bCs/>
              </w:rPr>
              <w:t xml:space="preserve">Yes, </w:t>
            </w:r>
            <w:proofErr w:type="gramStart"/>
            <w:r w:rsidR="00E91E4A">
              <w:rPr>
                <w:b/>
                <w:bCs/>
              </w:rPr>
              <w:t>n</w:t>
            </w:r>
            <w:r w:rsidRPr="009465B1">
              <w:rPr>
                <w:b/>
                <w:bCs/>
              </w:rPr>
              <w:t>o</w:t>
            </w:r>
            <w:proofErr w:type="gramEnd"/>
            <w:r w:rsidR="00E91E4A">
              <w:rPr>
                <w:b/>
                <w:bCs/>
              </w:rPr>
              <w:t xml:space="preserve"> or</w:t>
            </w:r>
            <w:r w:rsidRPr="009465B1">
              <w:rPr>
                <w:b/>
                <w:bCs/>
              </w:rPr>
              <w:t xml:space="preserve"> </w:t>
            </w:r>
            <w:r w:rsidR="00E91E4A">
              <w:rPr>
                <w:b/>
                <w:bCs/>
              </w:rPr>
              <w:t>p</w:t>
            </w:r>
            <w:r w:rsidRPr="009465B1">
              <w:rPr>
                <w:b/>
                <w:bCs/>
              </w:rPr>
              <w:t xml:space="preserve">artially </w:t>
            </w:r>
          </w:p>
        </w:tc>
        <w:tc>
          <w:tcPr>
            <w:tcW w:w="4252" w:type="dxa"/>
          </w:tcPr>
          <w:p w14:paraId="7A7F32F9" w14:textId="77777777" w:rsidR="006D564A" w:rsidRPr="009465B1" w:rsidRDefault="006D564A" w:rsidP="00E91E4A">
            <w:pPr>
              <w:pStyle w:val="Table-headertext"/>
              <w:rPr>
                <w:b/>
                <w:bCs/>
              </w:rPr>
            </w:pPr>
            <w:r w:rsidRPr="009465B1">
              <w:rPr>
                <w:b/>
                <w:bCs/>
              </w:rPr>
              <w:t>Evidence</w:t>
            </w:r>
          </w:p>
        </w:tc>
        <w:tc>
          <w:tcPr>
            <w:tcW w:w="3266" w:type="dxa"/>
          </w:tcPr>
          <w:p w14:paraId="7CD38166" w14:textId="77777777" w:rsidR="006D564A" w:rsidRPr="009465B1" w:rsidRDefault="006D564A" w:rsidP="00E91E4A">
            <w:pPr>
              <w:pStyle w:val="Table-headertext"/>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17A442E4" w14:textId="77777777" w:rsidTr="009465B1">
        <w:tc>
          <w:tcPr>
            <w:tcW w:w="4618" w:type="dxa"/>
          </w:tcPr>
          <w:p w14:paraId="00F74C9E" w14:textId="438AADC4" w:rsidR="006D564A" w:rsidRPr="006D564A" w:rsidRDefault="006D564A" w:rsidP="00E91E4A">
            <w:pPr>
              <w:pStyle w:val="Table-bodytext"/>
            </w:pPr>
            <w:r w:rsidRPr="006D564A">
              <w:t>Essential</w:t>
            </w:r>
            <w:r w:rsidR="00E91E4A">
              <w:t xml:space="preserve">: </w:t>
            </w:r>
            <w:r w:rsidRPr="006D564A">
              <w:t xml:space="preserve">Information about young people’s right to confidentiality, what they can and cannot give consent to, and their right to make complaints, is freely available in an accessible format. </w:t>
            </w:r>
          </w:p>
        </w:tc>
        <w:tc>
          <w:tcPr>
            <w:tcW w:w="1898" w:type="dxa"/>
          </w:tcPr>
          <w:p w14:paraId="2A42FAED" w14:textId="77777777" w:rsidR="006D564A" w:rsidRPr="006D564A" w:rsidRDefault="006D564A" w:rsidP="006D564A"/>
        </w:tc>
        <w:tc>
          <w:tcPr>
            <w:tcW w:w="4252" w:type="dxa"/>
          </w:tcPr>
          <w:p w14:paraId="66A13269" w14:textId="77777777" w:rsidR="006D564A" w:rsidRPr="006D564A" w:rsidRDefault="006D564A" w:rsidP="006D564A"/>
        </w:tc>
        <w:tc>
          <w:tcPr>
            <w:tcW w:w="3266" w:type="dxa"/>
          </w:tcPr>
          <w:p w14:paraId="5117C318" w14:textId="77777777" w:rsidR="006D564A" w:rsidRPr="006D564A" w:rsidRDefault="006D564A" w:rsidP="006D564A"/>
        </w:tc>
      </w:tr>
      <w:tr w:rsidR="006D564A" w:rsidRPr="00383CAD" w14:paraId="55D8CB5A" w14:textId="77777777" w:rsidTr="009465B1">
        <w:tc>
          <w:tcPr>
            <w:tcW w:w="4618" w:type="dxa"/>
          </w:tcPr>
          <w:p w14:paraId="1A82059B" w14:textId="3A391796" w:rsidR="006D564A" w:rsidRPr="006D564A" w:rsidRDefault="006D564A" w:rsidP="00E91E4A">
            <w:pPr>
              <w:pStyle w:val="Table-bodytext"/>
            </w:pPr>
            <w:r w:rsidRPr="006D564A">
              <w:t>Essential</w:t>
            </w:r>
            <w:r w:rsidR="00E91E4A">
              <w:t xml:space="preserve">: </w:t>
            </w:r>
            <w:r w:rsidRPr="006D564A">
              <w:t>Confidentiality and consent policies are made explicit to young people and parents or carers. The information makes clear young people’s entitlement to confidentiality and any limitations to confidentiality about safeguarding and managing risk.</w:t>
            </w:r>
          </w:p>
        </w:tc>
        <w:tc>
          <w:tcPr>
            <w:tcW w:w="1898" w:type="dxa"/>
          </w:tcPr>
          <w:p w14:paraId="091DCFB9" w14:textId="77777777" w:rsidR="006D564A" w:rsidRPr="006D564A" w:rsidRDefault="006D564A" w:rsidP="006D564A"/>
        </w:tc>
        <w:tc>
          <w:tcPr>
            <w:tcW w:w="4252" w:type="dxa"/>
          </w:tcPr>
          <w:p w14:paraId="57B69976" w14:textId="77777777" w:rsidR="006D564A" w:rsidRPr="006D564A" w:rsidRDefault="006D564A" w:rsidP="006D564A"/>
        </w:tc>
        <w:tc>
          <w:tcPr>
            <w:tcW w:w="3266" w:type="dxa"/>
          </w:tcPr>
          <w:p w14:paraId="132A38FC" w14:textId="77777777" w:rsidR="006D564A" w:rsidRPr="006D564A" w:rsidRDefault="006D564A" w:rsidP="006D564A"/>
        </w:tc>
      </w:tr>
      <w:tr w:rsidR="006D564A" w:rsidRPr="00383CAD" w14:paraId="679BE9AA" w14:textId="77777777" w:rsidTr="009465B1">
        <w:tc>
          <w:tcPr>
            <w:tcW w:w="4618" w:type="dxa"/>
          </w:tcPr>
          <w:p w14:paraId="2D7C9CC9" w14:textId="3B4AB819" w:rsidR="006D564A" w:rsidRPr="006D564A" w:rsidRDefault="006D564A" w:rsidP="00E91E4A">
            <w:pPr>
              <w:pStyle w:val="Table-bodytext"/>
            </w:pPr>
            <w:r w:rsidRPr="006D564A">
              <w:t>Essential</w:t>
            </w:r>
            <w:r w:rsidR="00E91E4A">
              <w:t xml:space="preserve">: </w:t>
            </w:r>
            <w:r w:rsidRPr="006D564A">
              <w:t>Young people are made aware of who holds information about them, and when and how it may be shared.</w:t>
            </w:r>
          </w:p>
        </w:tc>
        <w:tc>
          <w:tcPr>
            <w:tcW w:w="1898" w:type="dxa"/>
          </w:tcPr>
          <w:p w14:paraId="20978385" w14:textId="77777777" w:rsidR="006D564A" w:rsidRPr="006D564A" w:rsidRDefault="006D564A" w:rsidP="006D564A"/>
        </w:tc>
        <w:tc>
          <w:tcPr>
            <w:tcW w:w="4252" w:type="dxa"/>
          </w:tcPr>
          <w:p w14:paraId="6F9D3724" w14:textId="77777777" w:rsidR="006D564A" w:rsidRPr="006D564A" w:rsidRDefault="006D564A" w:rsidP="006D564A"/>
        </w:tc>
        <w:tc>
          <w:tcPr>
            <w:tcW w:w="3266" w:type="dxa"/>
          </w:tcPr>
          <w:p w14:paraId="7D595842" w14:textId="77777777" w:rsidR="006D564A" w:rsidRPr="006D564A" w:rsidRDefault="006D564A" w:rsidP="006D564A"/>
        </w:tc>
      </w:tr>
      <w:tr w:rsidR="006D564A" w:rsidRPr="00383CAD" w14:paraId="30843203" w14:textId="77777777" w:rsidTr="009465B1">
        <w:tc>
          <w:tcPr>
            <w:tcW w:w="4618" w:type="dxa"/>
          </w:tcPr>
          <w:p w14:paraId="021546E4" w14:textId="3C85726C" w:rsidR="006D564A" w:rsidRPr="006D564A" w:rsidRDefault="006D564A" w:rsidP="00E91E4A">
            <w:pPr>
              <w:pStyle w:val="Table-bodytext"/>
            </w:pPr>
            <w:r w:rsidRPr="006D564A">
              <w:t>Additional</w:t>
            </w:r>
            <w:r w:rsidR="00E91E4A">
              <w:t xml:space="preserve">: </w:t>
            </w:r>
            <w:r w:rsidRPr="006D564A">
              <w:t>Young people are routinely offered the opportunity to attend appointments on their own, with impartial chaperones or</w:t>
            </w:r>
            <w:r w:rsidR="001C7E06">
              <w:t xml:space="preserve"> a</w:t>
            </w:r>
            <w:r w:rsidRPr="006D564A">
              <w:t xml:space="preserve"> trusted friend, instead of parents or carers if they wish. This is made clear in information about the service.</w:t>
            </w:r>
          </w:p>
        </w:tc>
        <w:tc>
          <w:tcPr>
            <w:tcW w:w="1898" w:type="dxa"/>
          </w:tcPr>
          <w:p w14:paraId="054D50F4" w14:textId="77777777" w:rsidR="006D564A" w:rsidRPr="006D564A" w:rsidRDefault="006D564A" w:rsidP="006D564A"/>
        </w:tc>
        <w:tc>
          <w:tcPr>
            <w:tcW w:w="4252" w:type="dxa"/>
          </w:tcPr>
          <w:p w14:paraId="022755FF" w14:textId="77777777" w:rsidR="006D564A" w:rsidRPr="006D564A" w:rsidRDefault="006D564A" w:rsidP="006D564A"/>
        </w:tc>
        <w:tc>
          <w:tcPr>
            <w:tcW w:w="3266" w:type="dxa"/>
          </w:tcPr>
          <w:p w14:paraId="3A1AC855" w14:textId="77777777" w:rsidR="006D564A" w:rsidRPr="006D564A" w:rsidRDefault="006D564A" w:rsidP="006D564A"/>
        </w:tc>
      </w:tr>
      <w:tr w:rsidR="006D564A" w:rsidRPr="00383CAD" w14:paraId="636C97E5" w14:textId="77777777" w:rsidTr="009465B1">
        <w:tc>
          <w:tcPr>
            <w:tcW w:w="4618" w:type="dxa"/>
          </w:tcPr>
          <w:p w14:paraId="78335A77" w14:textId="66835CD1" w:rsidR="006D564A" w:rsidRPr="006D564A" w:rsidRDefault="006D564A" w:rsidP="00E91E4A">
            <w:pPr>
              <w:pStyle w:val="Table-bodytext"/>
            </w:pPr>
            <w:r w:rsidRPr="006D564A">
              <w:t>Additional</w:t>
            </w:r>
            <w:r w:rsidR="00E91E4A">
              <w:t xml:space="preserve">: </w:t>
            </w:r>
            <w:r w:rsidRPr="006D564A">
              <w:t xml:space="preserve">All staff are trained and skilled to inform young people of their rights around confidentiality, </w:t>
            </w:r>
            <w:proofErr w:type="gramStart"/>
            <w:r w:rsidRPr="006D564A">
              <w:t>consent</w:t>
            </w:r>
            <w:proofErr w:type="gramEnd"/>
            <w:r w:rsidRPr="006D564A">
              <w:t xml:space="preserve"> and the right to complain.</w:t>
            </w:r>
          </w:p>
        </w:tc>
        <w:tc>
          <w:tcPr>
            <w:tcW w:w="1898" w:type="dxa"/>
          </w:tcPr>
          <w:p w14:paraId="65228F39" w14:textId="77777777" w:rsidR="006D564A" w:rsidRPr="006D564A" w:rsidRDefault="006D564A" w:rsidP="006D564A"/>
        </w:tc>
        <w:tc>
          <w:tcPr>
            <w:tcW w:w="4252" w:type="dxa"/>
          </w:tcPr>
          <w:p w14:paraId="79DD719E" w14:textId="77777777" w:rsidR="006D564A" w:rsidRPr="006D564A" w:rsidRDefault="006D564A" w:rsidP="006D564A"/>
        </w:tc>
        <w:tc>
          <w:tcPr>
            <w:tcW w:w="3266" w:type="dxa"/>
          </w:tcPr>
          <w:p w14:paraId="3F5CBA87" w14:textId="77777777" w:rsidR="006D564A" w:rsidRPr="006D564A" w:rsidRDefault="006D564A" w:rsidP="006D564A"/>
        </w:tc>
      </w:tr>
      <w:tr w:rsidR="006D564A" w:rsidRPr="00383CAD" w14:paraId="081A8367" w14:textId="77777777" w:rsidTr="009465B1">
        <w:tc>
          <w:tcPr>
            <w:tcW w:w="4618" w:type="dxa"/>
          </w:tcPr>
          <w:p w14:paraId="3A546576" w14:textId="588CB7FC" w:rsidR="006D564A" w:rsidRPr="006D564A" w:rsidRDefault="006D564A" w:rsidP="00E91E4A">
            <w:pPr>
              <w:pStyle w:val="Table-bodytext"/>
            </w:pPr>
            <w:r w:rsidRPr="006D564A">
              <w:t>Additional</w:t>
            </w:r>
            <w:r w:rsidR="00E91E4A">
              <w:t xml:space="preserve">: </w:t>
            </w:r>
            <w:r w:rsidRPr="006D564A">
              <w:t xml:space="preserve">A confidentiality policy sets out how staff will work with parents and </w:t>
            </w:r>
            <w:r w:rsidRPr="006D564A">
              <w:lastRenderedPageBreak/>
              <w:t>carers where appropriate whil</w:t>
            </w:r>
            <w:r w:rsidR="00CB46AB">
              <w:t>e</w:t>
            </w:r>
            <w:r w:rsidRPr="006D564A">
              <w:t xml:space="preserve"> respecting the confidentiality of the young person.</w:t>
            </w:r>
          </w:p>
        </w:tc>
        <w:tc>
          <w:tcPr>
            <w:tcW w:w="1898" w:type="dxa"/>
          </w:tcPr>
          <w:p w14:paraId="52C53968" w14:textId="77777777" w:rsidR="006D564A" w:rsidRPr="006D564A" w:rsidRDefault="006D564A" w:rsidP="006D564A"/>
        </w:tc>
        <w:tc>
          <w:tcPr>
            <w:tcW w:w="4252" w:type="dxa"/>
          </w:tcPr>
          <w:p w14:paraId="733826F1" w14:textId="77777777" w:rsidR="006D564A" w:rsidRPr="006D564A" w:rsidRDefault="006D564A" w:rsidP="006D564A"/>
        </w:tc>
        <w:tc>
          <w:tcPr>
            <w:tcW w:w="3266" w:type="dxa"/>
          </w:tcPr>
          <w:p w14:paraId="4C3AD56D" w14:textId="77777777" w:rsidR="006D564A" w:rsidRPr="006D564A" w:rsidRDefault="006D564A" w:rsidP="006D564A"/>
        </w:tc>
      </w:tr>
      <w:tr w:rsidR="006D564A" w:rsidRPr="00383CAD" w14:paraId="60A9E557" w14:textId="77777777" w:rsidTr="009465B1">
        <w:tc>
          <w:tcPr>
            <w:tcW w:w="4618" w:type="dxa"/>
          </w:tcPr>
          <w:p w14:paraId="4DFB0A95" w14:textId="297B1444" w:rsidR="006D564A" w:rsidRPr="006D564A" w:rsidRDefault="006D564A" w:rsidP="00E91E4A">
            <w:pPr>
              <w:pStyle w:val="Table-bodytext"/>
            </w:pPr>
            <w:r w:rsidRPr="006D564A">
              <w:t>Additional</w:t>
            </w:r>
            <w:r w:rsidR="00E91E4A">
              <w:t xml:space="preserve">: </w:t>
            </w:r>
            <w:r w:rsidRPr="006D564A">
              <w:t>All staff know when and how to routinely explain the confidentiality policy to young people and to their parents or carers.</w:t>
            </w:r>
          </w:p>
        </w:tc>
        <w:tc>
          <w:tcPr>
            <w:tcW w:w="1898" w:type="dxa"/>
          </w:tcPr>
          <w:p w14:paraId="32D1C7CD" w14:textId="77777777" w:rsidR="006D564A" w:rsidRPr="006D564A" w:rsidRDefault="006D564A" w:rsidP="006D564A"/>
        </w:tc>
        <w:tc>
          <w:tcPr>
            <w:tcW w:w="4252" w:type="dxa"/>
          </w:tcPr>
          <w:p w14:paraId="34EADCDD" w14:textId="77777777" w:rsidR="006D564A" w:rsidRPr="006D564A" w:rsidRDefault="006D564A" w:rsidP="006D564A"/>
        </w:tc>
        <w:tc>
          <w:tcPr>
            <w:tcW w:w="3266" w:type="dxa"/>
          </w:tcPr>
          <w:p w14:paraId="3127D883" w14:textId="77777777" w:rsidR="006D564A" w:rsidRPr="006D564A" w:rsidRDefault="006D564A" w:rsidP="006D564A"/>
        </w:tc>
      </w:tr>
      <w:tr w:rsidR="006D564A" w:rsidRPr="00383CAD" w14:paraId="796A5875" w14:textId="77777777" w:rsidTr="009465B1">
        <w:tc>
          <w:tcPr>
            <w:tcW w:w="4618" w:type="dxa"/>
          </w:tcPr>
          <w:p w14:paraId="5F4C06B4" w14:textId="71C546BF" w:rsidR="006D564A" w:rsidRPr="006D564A" w:rsidRDefault="006D564A" w:rsidP="00E91E4A">
            <w:pPr>
              <w:pStyle w:val="Table-bodytext"/>
            </w:pPr>
            <w:r w:rsidRPr="006D564A">
              <w:t>Additional</w:t>
            </w:r>
            <w:r w:rsidR="00E91E4A">
              <w:t xml:space="preserve">: </w:t>
            </w:r>
            <w:r w:rsidRPr="006D564A">
              <w:t>Where digital health records exist, all staff are clear at what age young people can access these records and when parents may no longer access them. This is explained to young people and parents.</w:t>
            </w:r>
          </w:p>
        </w:tc>
        <w:tc>
          <w:tcPr>
            <w:tcW w:w="1898" w:type="dxa"/>
          </w:tcPr>
          <w:p w14:paraId="02AA0415" w14:textId="77777777" w:rsidR="006D564A" w:rsidRPr="006D564A" w:rsidRDefault="006D564A" w:rsidP="006D564A"/>
        </w:tc>
        <w:tc>
          <w:tcPr>
            <w:tcW w:w="4252" w:type="dxa"/>
          </w:tcPr>
          <w:p w14:paraId="4F6B4131" w14:textId="77777777" w:rsidR="006D564A" w:rsidRPr="006D564A" w:rsidRDefault="006D564A" w:rsidP="006D564A"/>
        </w:tc>
        <w:tc>
          <w:tcPr>
            <w:tcW w:w="3266" w:type="dxa"/>
          </w:tcPr>
          <w:p w14:paraId="60B0CB0B" w14:textId="77777777" w:rsidR="006D564A" w:rsidRPr="006D564A" w:rsidRDefault="006D564A" w:rsidP="006D564A"/>
        </w:tc>
      </w:tr>
      <w:tr w:rsidR="006D564A" w:rsidRPr="00383CAD" w14:paraId="092FF447" w14:textId="77777777" w:rsidTr="009465B1">
        <w:tc>
          <w:tcPr>
            <w:tcW w:w="4618" w:type="dxa"/>
          </w:tcPr>
          <w:p w14:paraId="70ACCB33" w14:textId="58D5D288" w:rsidR="006D564A" w:rsidRPr="006D564A" w:rsidRDefault="006D564A" w:rsidP="00E91E4A">
            <w:pPr>
              <w:pStyle w:val="Table-bodytext"/>
            </w:pPr>
            <w:r w:rsidRPr="006D564A">
              <w:t>Additional</w:t>
            </w:r>
            <w:r w:rsidR="00E91E4A">
              <w:t xml:space="preserve">: </w:t>
            </w:r>
            <w:r w:rsidRPr="006D564A">
              <w:t xml:space="preserve">Staff signpost young people to alternative services or professionals they can talk to, for example </w:t>
            </w:r>
            <w:r w:rsidR="001C7E06">
              <w:t xml:space="preserve">the </w:t>
            </w:r>
            <w:r w:rsidRPr="006D564A">
              <w:t>school nurse, teachers, a trusted adult</w:t>
            </w:r>
            <w:r w:rsidR="001C7E06">
              <w:t>, or</w:t>
            </w:r>
            <w:r w:rsidRPr="006D564A">
              <w:t xml:space="preserve"> Childline or other helplines.</w:t>
            </w:r>
          </w:p>
        </w:tc>
        <w:tc>
          <w:tcPr>
            <w:tcW w:w="1898" w:type="dxa"/>
          </w:tcPr>
          <w:p w14:paraId="2FFC4D8D" w14:textId="77777777" w:rsidR="006D564A" w:rsidRPr="006D564A" w:rsidRDefault="006D564A" w:rsidP="006D564A"/>
        </w:tc>
        <w:tc>
          <w:tcPr>
            <w:tcW w:w="4252" w:type="dxa"/>
          </w:tcPr>
          <w:p w14:paraId="7D37F4F5" w14:textId="77777777" w:rsidR="006D564A" w:rsidRPr="006D564A" w:rsidRDefault="006D564A" w:rsidP="006D564A"/>
        </w:tc>
        <w:tc>
          <w:tcPr>
            <w:tcW w:w="3266" w:type="dxa"/>
          </w:tcPr>
          <w:p w14:paraId="66BD59EE" w14:textId="133C294D" w:rsidR="00CF6D5B" w:rsidRPr="006D564A" w:rsidRDefault="00CF6D5B" w:rsidP="006D564A"/>
        </w:tc>
      </w:tr>
    </w:tbl>
    <w:p w14:paraId="38173403" w14:textId="45ABFF2A" w:rsidR="00180403" w:rsidRDefault="00E91E4A" w:rsidP="009465B1">
      <w:pPr>
        <w:pStyle w:val="ParagraphText"/>
      </w:pPr>
      <w:bookmarkStart w:id="9" w:name="_Toc135043619"/>
      <w:r w:rsidRPr="00CF6D5B">
        <w:t>Young people comments and recommendations following review:</w:t>
      </w:r>
    </w:p>
    <w:p w14:paraId="5DC104F6" w14:textId="77777777" w:rsidR="00180403" w:rsidRDefault="00180403">
      <w:pPr>
        <w:rPr>
          <w:b/>
          <w:sz w:val="33"/>
        </w:rPr>
      </w:pPr>
      <w:r>
        <w:br w:type="page"/>
      </w:r>
    </w:p>
    <w:p w14:paraId="35E38D12" w14:textId="6D33228A" w:rsidR="006D564A" w:rsidRPr="006D564A" w:rsidRDefault="006D564A" w:rsidP="006D564A">
      <w:pPr>
        <w:pStyle w:val="Heading2"/>
      </w:pPr>
      <w:r w:rsidRPr="006D564A">
        <w:lastRenderedPageBreak/>
        <w:t xml:space="preserve">Standard 3: </w:t>
      </w:r>
      <w:r w:rsidR="0084456A">
        <w:t>m</w:t>
      </w:r>
      <w:r w:rsidRPr="006D564A">
        <w:t>aking young people welcome</w:t>
      </w:r>
      <w:bookmarkEnd w:id="9"/>
    </w:p>
    <w:tbl>
      <w:tblPr>
        <w:tblStyle w:val="TableGrid"/>
        <w:tblW w:w="13892" w:type="dxa"/>
        <w:tblLayout w:type="fixed"/>
        <w:tblLook w:val="04A0" w:firstRow="1" w:lastRow="0" w:firstColumn="1" w:lastColumn="0" w:noHBand="0" w:noVBand="1"/>
      </w:tblPr>
      <w:tblGrid>
        <w:gridCol w:w="4618"/>
        <w:gridCol w:w="1898"/>
        <w:gridCol w:w="4252"/>
        <w:gridCol w:w="3124"/>
      </w:tblGrid>
      <w:tr w:rsidR="006D564A" w:rsidRPr="001C7E06" w14:paraId="34180F03" w14:textId="77777777" w:rsidTr="009465B1">
        <w:trPr>
          <w:tblHeader/>
        </w:trPr>
        <w:tc>
          <w:tcPr>
            <w:tcW w:w="4618" w:type="dxa"/>
          </w:tcPr>
          <w:p w14:paraId="3D74ACA1" w14:textId="77777777" w:rsidR="006D564A" w:rsidRPr="009465B1" w:rsidRDefault="006D564A" w:rsidP="006D564A">
            <w:pPr>
              <w:rPr>
                <w:b/>
                <w:bCs/>
              </w:rPr>
            </w:pPr>
            <w:r w:rsidRPr="009465B1">
              <w:rPr>
                <w:b/>
                <w:bCs/>
              </w:rPr>
              <w:t>Criteria</w:t>
            </w:r>
          </w:p>
        </w:tc>
        <w:tc>
          <w:tcPr>
            <w:tcW w:w="1898" w:type="dxa"/>
          </w:tcPr>
          <w:p w14:paraId="400F7CC5" w14:textId="77777777" w:rsidR="006D564A" w:rsidRPr="009465B1" w:rsidRDefault="006D564A" w:rsidP="006D564A">
            <w:pPr>
              <w:rPr>
                <w:b/>
                <w:bCs/>
              </w:rPr>
            </w:pPr>
            <w:r w:rsidRPr="009465B1">
              <w:rPr>
                <w:b/>
                <w:bCs/>
              </w:rPr>
              <w:t>Complete?</w:t>
            </w:r>
          </w:p>
          <w:p w14:paraId="2D327B11" w14:textId="138415CF" w:rsidR="006D564A" w:rsidRPr="009465B1" w:rsidRDefault="006D564A" w:rsidP="006D564A">
            <w:pPr>
              <w:rPr>
                <w:b/>
                <w:bCs/>
              </w:rPr>
            </w:pPr>
            <w:r w:rsidRPr="009465B1">
              <w:rPr>
                <w:b/>
                <w:bCs/>
              </w:rPr>
              <w:t xml:space="preserve">Yes, </w:t>
            </w:r>
            <w:proofErr w:type="gramStart"/>
            <w:r w:rsidR="001C7E06" w:rsidRPr="009465B1">
              <w:rPr>
                <w:b/>
                <w:bCs/>
              </w:rPr>
              <w:t>n</w:t>
            </w:r>
            <w:r w:rsidRPr="009465B1">
              <w:rPr>
                <w:b/>
                <w:bCs/>
              </w:rPr>
              <w:t>o</w:t>
            </w:r>
            <w:proofErr w:type="gramEnd"/>
            <w:r w:rsidR="001C7E06" w:rsidRPr="009465B1">
              <w:rPr>
                <w:b/>
                <w:bCs/>
              </w:rPr>
              <w:t xml:space="preserve"> or</w:t>
            </w:r>
            <w:r w:rsidRPr="009465B1">
              <w:rPr>
                <w:b/>
                <w:bCs/>
              </w:rPr>
              <w:t xml:space="preserve"> </w:t>
            </w:r>
            <w:r w:rsidR="001C7E06" w:rsidRPr="009465B1">
              <w:rPr>
                <w:b/>
                <w:bCs/>
              </w:rPr>
              <w:t>p</w:t>
            </w:r>
            <w:r w:rsidRPr="009465B1">
              <w:rPr>
                <w:b/>
                <w:bCs/>
              </w:rPr>
              <w:t xml:space="preserve">artially </w:t>
            </w:r>
          </w:p>
        </w:tc>
        <w:tc>
          <w:tcPr>
            <w:tcW w:w="4252" w:type="dxa"/>
          </w:tcPr>
          <w:p w14:paraId="04A80B6E" w14:textId="77777777" w:rsidR="006D564A" w:rsidRPr="009465B1" w:rsidRDefault="006D564A" w:rsidP="006D564A">
            <w:pPr>
              <w:rPr>
                <w:b/>
                <w:bCs/>
              </w:rPr>
            </w:pPr>
            <w:r w:rsidRPr="009465B1">
              <w:rPr>
                <w:b/>
                <w:bCs/>
              </w:rPr>
              <w:t>Evidence</w:t>
            </w:r>
          </w:p>
        </w:tc>
        <w:tc>
          <w:tcPr>
            <w:tcW w:w="3124" w:type="dxa"/>
          </w:tcPr>
          <w:p w14:paraId="3DCB1CAE"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60F0BAC6" w14:textId="77777777" w:rsidTr="009465B1">
        <w:tc>
          <w:tcPr>
            <w:tcW w:w="4618" w:type="dxa"/>
          </w:tcPr>
          <w:p w14:paraId="35FCE5AF" w14:textId="4D455E65" w:rsidR="006D564A" w:rsidRPr="006D564A" w:rsidRDefault="006D564A" w:rsidP="001C7E06">
            <w:pPr>
              <w:pStyle w:val="Table-bodytext"/>
            </w:pPr>
            <w:r w:rsidRPr="006D564A">
              <w:t>Essential</w:t>
            </w:r>
            <w:r w:rsidR="001C7E06">
              <w:t xml:space="preserve">: </w:t>
            </w:r>
            <w:r w:rsidRPr="006D564A">
              <w:t>Young people are greeted with professionalism and compassion. All staff</w:t>
            </w:r>
            <w:r w:rsidR="001C7E06">
              <w:t>,</w:t>
            </w:r>
            <w:r w:rsidRPr="006D564A">
              <w:t xml:space="preserve"> including reception staff and volunteers</w:t>
            </w:r>
            <w:r w:rsidR="001C7E06">
              <w:t>,</w:t>
            </w:r>
            <w:r w:rsidRPr="006D564A">
              <w:t xml:space="preserve"> treat young people with respect. Where young people are accompanied by a </w:t>
            </w:r>
            <w:proofErr w:type="spellStart"/>
            <w:r w:rsidRPr="006D564A">
              <w:t>carer</w:t>
            </w:r>
            <w:proofErr w:type="spellEnd"/>
            <w:r w:rsidRPr="006D564A">
              <w:t>, both are acknowledged and made welcome.</w:t>
            </w:r>
          </w:p>
        </w:tc>
        <w:tc>
          <w:tcPr>
            <w:tcW w:w="1898" w:type="dxa"/>
          </w:tcPr>
          <w:p w14:paraId="420441DE" w14:textId="77777777" w:rsidR="006D564A" w:rsidRPr="006D564A" w:rsidRDefault="006D564A" w:rsidP="006D564A"/>
        </w:tc>
        <w:tc>
          <w:tcPr>
            <w:tcW w:w="4252" w:type="dxa"/>
          </w:tcPr>
          <w:p w14:paraId="385FAC94" w14:textId="77777777" w:rsidR="006D564A" w:rsidRPr="006D564A" w:rsidRDefault="006D564A" w:rsidP="006D564A"/>
        </w:tc>
        <w:tc>
          <w:tcPr>
            <w:tcW w:w="3124" w:type="dxa"/>
          </w:tcPr>
          <w:p w14:paraId="496C75D1" w14:textId="77777777" w:rsidR="006D564A" w:rsidRPr="006D564A" w:rsidRDefault="006D564A" w:rsidP="006D564A"/>
        </w:tc>
      </w:tr>
      <w:tr w:rsidR="006D564A" w:rsidRPr="00383CAD" w14:paraId="09AF8446" w14:textId="77777777" w:rsidTr="009465B1">
        <w:tc>
          <w:tcPr>
            <w:tcW w:w="4618" w:type="dxa"/>
          </w:tcPr>
          <w:p w14:paraId="6A044051" w14:textId="79432B5E" w:rsidR="006D564A" w:rsidRPr="006D564A" w:rsidRDefault="006D564A" w:rsidP="001C7E06">
            <w:pPr>
              <w:pStyle w:val="Table-bodytext"/>
            </w:pPr>
            <w:r w:rsidRPr="006D564A">
              <w:t>Essential</w:t>
            </w:r>
            <w:r w:rsidR="001C7E06">
              <w:t xml:space="preserve">: </w:t>
            </w:r>
            <w:r w:rsidRPr="006D564A">
              <w:t>Consideration is given to whether access is convenient for young people, including choice about service location, which may offer better transport links to support independent access. Staff recognise some young people may need longer appointment or meeting times, for example if they have complex needs, a long-term condition or disability. Services make it clear how young people can rearrange or cancel appointments when necessary</w:t>
            </w:r>
            <w:r w:rsidR="00A33A62">
              <w:t>.</w:t>
            </w:r>
          </w:p>
        </w:tc>
        <w:tc>
          <w:tcPr>
            <w:tcW w:w="1898" w:type="dxa"/>
          </w:tcPr>
          <w:p w14:paraId="40245159" w14:textId="77777777" w:rsidR="006D564A" w:rsidRPr="006D564A" w:rsidRDefault="006D564A" w:rsidP="006D564A"/>
        </w:tc>
        <w:tc>
          <w:tcPr>
            <w:tcW w:w="4252" w:type="dxa"/>
          </w:tcPr>
          <w:p w14:paraId="4C5188B7" w14:textId="77777777" w:rsidR="006D564A" w:rsidRPr="006D564A" w:rsidRDefault="006D564A" w:rsidP="006D564A"/>
        </w:tc>
        <w:tc>
          <w:tcPr>
            <w:tcW w:w="3124" w:type="dxa"/>
          </w:tcPr>
          <w:p w14:paraId="6EF6B5F6" w14:textId="77777777" w:rsidR="006D564A" w:rsidRPr="006D564A" w:rsidRDefault="006D564A" w:rsidP="006D564A"/>
        </w:tc>
      </w:tr>
      <w:tr w:rsidR="006D564A" w:rsidRPr="00383CAD" w14:paraId="4736AE4A" w14:textId="77777777" w:rsidTr="009465B1">
        <w:tc>
          <w:tcPr>
            <w:tcW w:w="4618" w:type="dxa"/>
          </w:tcPr>
          <w:p w14:paraId="0F2CA7E3" w14:textId="20E3BDD2" w:rsidR="006D564A" w:rsidRPr="006D564A" w:rsidRDefault="006D564A" w:rsidP="001C7E06">
            <w:pPr>
              <w:pStyle w:val="Table-bodytext"/>
            </w:pPr>
            <w:r w:rsidRPr="006D564A">
              <w:t>Essential</w:t>
            </w:r>
            <w:r w:rsidR="001C7E06">
              <w:t xml:space="preserve">: </w:t>
            </w:r>
            <w:r w:rsidRPr="006D564A">
              <w:t xml:space="preserve">Staff ensure that young people’s preferences about the consultation, appointment or meeting are considered. This includes who they prefer to be seen by, whether they can bring a friend, and how many people will be present. Staff work with young people to manage their expectations and provide explanations in an open and </w:t>
            </w:r>
            <w:r w:rsidRPr="006D564A">
              <w:lastRenderedPageBreak/>
              <w:t>honest manner when their wishes cannot be granted.</w:t>
            </w:r>
          </w:p>
        </w:tc>
        <w:tc>
          <w:tcPr>
            <w:tcW w:w="1898" w:type="dxa"/>
          </w:tcPr>
          <w:p w14:paraId="3F316D48" w14:textId="77777777" w:rsidR="006D564A" w:rsidRPr="006D564A" w:rsidRDefault="006D564A" w:rsidP="006D564A"/>
        </w:tc>
        <w:tc>
          <w:tcPr>
            <w:tcW w:w="4252" w:type="dxa"/>
          </w:tcPr>
          <w:p w14:paraId="663A3760" w14:textId="77777777" w:rsidR="006D564A" w:rsidRPr="006D564A" w:rsidRDefault="006D564A" w:rsidP="006D564A"/>
        </w:tc>
        <w:tc>
          <w:tcPr>
            <w:tcW w:w="3124" w:type="dxa"/>
          </w:tcPr>
          <w:p w14:paraId="626B3E02" w14:textId="77777777" w:rsidR="006D564A" w:rsidRPr="006D564A" w:rsidRDefault="006D564A" w:rsidP="006D564A"/>
        </w:tc>
      </w:tr>
      <w:tr w:rsidR="006D564A" w:rsidRPr="00383CAD" w14:paraId="50959D88" w14:textId="77777777" w:rsidTr="009465B1">
        <w:tc>
          <w:tcPr>
            <w:tcW w:w="4618" w:type="dxa"/>
          </w:tcPr>
          <w:p w14:paraId="446E1719" w14:textId="0EE224D3" w:rsidR="006D564A" w:rsidRPr="006D564A" w:rsidRDefault="006D564A" w:rsidP="001C7E06">
            <w:pPr>
              <w:pStyle w:val="Table-bodytext"/>
            </w:pPr>
            <w:r w:rsidRPr="006D564A">
              <w:t>Additional</w:t>
            </w:r>
            <w:r w:rsidR="001C7E06">
              <w:t xml:space="preserve">: </w:t>
            </w:r>
            <w:r w:rsidRPr="006D564A">
              <w:t xml:space="preserve">The service provides information and communicates in an inclusive way, explaining things such as how to access different parts of the service, how information is shared, and how to make complaints, </w:t>
            </w:r>
            <w:proofErr w:type="gramStart"/>
            <w:r w:rsidRPr="006D564A">
              <w:t>compliments</w:t>
            </w:r>
            <w:proofErr w:type="gramEnd"/>
            <w:r w:rsidRPr="006D564A">
              <w:t xml:space="preserve"> and comments. This may include </w:t>
            </w:r>
            <w:r w:rsidR="001C7E06">
              <w:t xml:space="preserve">providing </w:t>
            </w:r>
            <w:r w:rsidRPr="006D564A">
              <w:t>information in a variety of formats (such as large print or easy read, British Sign Language</w:t>
            </w:r>
            <w:r w:rsidRPr="006D564A" w:rsidDel="001D1EEF">
              <w:t xml:space="preserve"> </w:t>
            </w:r>
            <w:r w:rsidRPr="006D564A">
              <w:t xml:space="preserve">or </w:t>
            </w:r>
            <w:r w:rsidR="00040DEC">
              <w:t>B</w:t>
            </w:r>
            <w:r w:rsidRPr="006D564A">
              <w:t>raille) and in languages other than English where needed via provision of interpreters or translation of documents.</w:t>
            </w:r>
          </w:p>
        </w:tc>
        <w:tc>
          <w:tcPr>
            <w:tcW w:w="1898" w:type="dxa"/>
          </w:tcPr>
          <w:p w14:paraId="4E78E190" w14:textId="77777777" w:rsidR="006D564A" w:rsidRPr="006D564A" w:rsidRDefault="006D564A" w:rsidP="006D564A"/>
        </w:tc>
        <w:tc>
          <w:tcPr>
            <w:tcW w:w="4252" w:type="dxa"/>
          </w:tcPr>
          <w:p w14:paraId="0E723618" w14:textId="77777777" w:rsidR="006D564A" w:rsidRPr="006D564A" w:rsidRDefault="006D564A" w:rsidP="006D564A"/>
        </w:tc>
        <w:tc>
          <w:tcPr>
            <w:tcW w:w="3124" w:type="dxa"/>
          </w:tcPr>
          <w:p w14:paraId="4E91F5F5" w14:textId="77777777" w:rsidR="006D564A" w:rsidRPr="006D564A" w:rsidRDefault="006D564A" w:rsidP="006D564A"/>
        </w:tc>
      </w:tr>
      <w:tr w:rsidR="006D564A" w:rsidRPr="00383CAD" w14:paraId="5FC42C21" w14:textId="77777777" w:rsidTr="009465B1">
        <w:tc>
          <w:tcPr>
            <w:tcW w:w="4618" w:type="dxa"/>
          </w:tcPr>
          <w:p w14:paraId="1A92B474" w14:textId="062B7D46" w:rsidR="006D564A" w:rsidRPr="006D564A" w:rsidRDefault="006D564A" w:rsidP="001C7E06">
            <w:pPr>
              <w:pStyle w:val="Table-bodytext"/>
            </w:pPr>
            <w:r w:rsidRPr="006D564A">
              <w:t>Additional</w:t>
            </w:r>
            <w:r w:rsidR="001C7E06">
              <w:t xml:space="preserve">: </w:t>
            </w:r>
            <w:r w:rsidRPr="006D564A">
              <w:t xml:space="preserve">Care and interventions are delivered in a safe, accessible and </w:t>
            </w:r>
            <w:r w:rsidR="00DC35B1">
              <w:t>youth</w:t>
            </w:r>
            <w:r w:rsidR="00F57356">
              <w:t>-</w:t>
            </w:r>
            <w:r w:rsidR="00DC35B1">
              <w:t xml:space="preserve"> friendly</w:t>
            </w:r>
            <w:r w:rsidRPr="006D564A">
              <w:t xml:space="preserve"> environment. Young people are treated with sensitivity, and any potentially sensitive questions are asked in private where they cannot be overheard</w:t>
            </w:r>
            <w:r w:rsidR="001C7E06">
              <w:t xml:space="preserve"> -</w:t>
            </w:r>
            <w:r w:rsidRPr="006D564A">
              <w:t xml:space="preserve"> for example</w:t>
            </w:r>
            <w:r w:rsidR="001C7E06">
              <w:t>,</w:t>
            </w:r>
            <w:r w:rsidRPr="006D564A">
              <w:t xml:space="preserve"> away from the reception, waiting areas or clinical environment.</w:t>
            </w:r>
          </w:p>
        </w:tc>
        <w:tc>
          <w:tcPr>
            <w:tcW w:w="1898" w:type="dxa"/>
          </w:tcPr>
          <w:p w14:paraId="0921859C" w14:textId="77777777" w:rsidR="006D564A" w:rsidRPr="006D564A" w:rsidRDefault="006D564A" w:rsidP="006D564A"/>
        </w:tc>
        <w:tc>
          <w:tcPr>
            <w:tcW w:w="4252" w:type="dxa"/>
          </w:tcPr>
          <w:p w14:paraId="660F5F60" w14:textId="77777777" w:rsidR="006D564A" w:rsidRPr="006D564A" w:rsidRDefault="006D564A" w:rsidP="006D564A"/>
        </w:tc>
        <w:tc>
          <w:tcPr>
            <w:tcW w:w="3124" w:type="dxa"/>
          </w:tcPr>
          <w:p w14:paraId="76CADE6E" w14:textId="77777777" w:rsidR="006D564A" w:rsidRPr="006D564A" w:rsidRDefault="006D564A" w:rsidP="006D564A"/>
        </w:tc>
      </w:tr>
      <w:tr w:rsidR="006D564A" w:rsidRPr="00383CAD" w14:paraId="0D0317D5" w14:textId="77777777" w:rsidTr="009465B1">
        <w:tc>
          <w:tcPr>
            <w:tcW w:w="4618" w:type="dxa"/>
          </w:tcPr>
          <w:p w14:paraId="46F66163" w14:textId="4D71A3DF" w:rsidR="006D564A" w:rsidRPr="006D564A" w:rsidRDefault="006D564A" w:rsidP="001C7E06">
            <w:pPr>
              <w:pStyle w:val="Table-bodytext"/>
            </w:pPr>
            <w:r w:rsidRPr="006D564A">
              <w:t>Additional</w:t>
            </w:r>
            <w:r w:rsidR="001C7E06">
              <w:t xml:space="preserve">: </w:t>
            </w:r>
            <w:r w:rsidRPr="006D564A">
              <w:t xml:space="preserve">The reception, waiting area and care or treatment areas are accessible and </w:t>
            </w:r>
            <w:r w:rsidR="00DC35B1">
              <w:t>youth</w:t>
            </w:r>
            <w:r w:rsidR="00510458">
              <w:t>-</w:t>
            </w:r>
            <w:r w:rsidR="00DC35B1">
              <w:t>friendly</w:t>
            </w:r>
            <w:r w:rsidRPr="006D564A">
              <w:t xml:space="preserve">, </w:t>
            </w:r>
            <w:proofErr w:type="gramStart"/>
            <w:r w:rsidRPr="006D564A">
              <w:t>comfortable</w:t>
            </w:r>
            <w:proofErr w:type="gramEnd"/>
            <w:r w:rsidRPr="006D564A">
              <w:t xml:space="preserve"> and welcoming. Any resources that are provided are appropriate for young people and these </w:t>
            </w:r>
            <w:r w:rsidRPr="006D564A">
              <w:lastRenderedPageBreak/>
              <w:t>are refreshed regularly.</w:t>
            </w:r>
          </w:p>
        </w:tc>
        <w:tc>
          <w:tcPr>
            <w:tcW w:w="1898" w:type="dxa"/>
          </w:tcPr>
          <w:p w14:paraId="7502FD23" w14:textId="77777777" w:rsidR="006D564A" w:rsidRPr="006D564A" w:rsidRDefault="006D564A" w:rsidP="006D564A"/>
        </w:tc>
        <w:tc>
          <w:tcPr>
            <w:tcW w:w="4252" w:type="dxa"/>
          </w:tcPr>
          <w:p w14:paraId="0EB61051" w14:textId="77777777" w:rsidR="006D564A" w:rsidRPr="006D564A" w:rsidRDefault="006D564A" w:rsidP="006D564A"/>
        </w:tc>
        <w:tc>
          <w:tcPr>
            <w:tcW w:w="3124" w:type="dxa"/>
          </w:tcPr>
          <w:p w14:paraId="799CBCC7" w14:textId="77777777" w:rsidR="006D564A" w:rsidRPr="006D564A" w:rsidRDefault="006D564A" w:rsidP="006D564A"/>
        </w:tc>
      </w:tr>
    </w:tbl>
    <w:p w14:paraId="274FC428" w14:textId="1BA890C0" w:rsidR="00D425C6" w:rsidRDefault="001C7E06" w:rsidP="009465B1">
      <w:pPr>
        <w:pStyle w:val="ParagraphText"/>
      </w:pPr>
      <w:r w:rsidRPr="00CF6D5B">
        <w:t>Young people comments and recommendations following review:</w:t>
      </w:r>
      <w:r w:rsidR="00D425C6">
        <w:br w:type="page"/>
      </w:r>
    </w:p>
    <w:p w14:paraId="57B69022" w14:textId="2CC5CBC6" w:rsidR="006D564A" w:rsidRPr="006D564A" w:rsidRDefault="006D564A" w:rsidP="006D564A">
      <w:pPr>
        <w:pStyle w:val="Heading2"/>
      </w:pPr>
      <w:bookmarkStart w:id="10" w:name="_Toc135043620"/>
      <w:r w:rsidRPr="006D564A">
        <w:lastRenderedPageBreak/>
        <w:t xml:space="preserve">Standard 4: </w:t>
      </w:r>
      <w:r w:rsidR="0084456A">
        <w:t>p</w:t>
      </w:r>
      <w:r w:rsidRPr="006D564A">
        <w:t>roviding high</w:t>
      </w:r>
      <w:r w:rsidR="001C7E06">
        <w:t>-</w:t>
      </w:r>
      <w:r w:rsidRPr="006D564A">
        <w:t>quality health services</w:t>
      </w:r>
      <w:bookmarkEnd w:id="10"/>
    </w:p>
    <w:tbl>
      <w:tblPr>
        <w:tblStyle w:val="TableGrid"/>
        <w:tblW w:w="14034" w:type="dxa"/>
        <w:tblLayout w:type="fixed"/>
        <w:tblLook w:val="04A0" w:firstRow="1" w:lastRow="0" w:firstColumn="1" w:lastColumn="0" w:noHBand="0" w:noVBand="1"/>
      </w:tblPr>
      <w:tblGrid>
        <w:gridCol w:w="4678"/>
        <w:gridCol w:w="1838"/>
        <w:gridCol w:w="4252"/>
        <w:gridCol w:w="3266"/>
      </w:tblGrid>
      <w:tr w:rsidR="006D564A" w:rsidRPr="001C7E06" w14:paraId="3AA077CF" w14:textId="77777777" w:rsidTr="009465B1">
        <w:trPr>
          <w:tblHeader/>
        </w:trPr>
        <w:tc>
          <w:tcPr>
            <w:tcW w:w="4678" w:type="dxa"/>
          </w:tcPr>
          <w:p w14:paraId="34230155" w14:textId="77777777" w:rsidR="006D564A" w:rsidRPr="009465B1" w:rsidRDefault="006D564A" w:rsidP="006D564A">
            <w:pPr>
              <w:rPr>
                <w:b/>
                <w:bCs/>
              </w:rPr>
            </w:pPr>
            <w:r w:rsidRPr="009465B1">
              <w:rPr>
                <w:b/>
                <w:bCs/>
              </w:rPr>
              <w:t>Criteria</w:t>
            </w:r>
          </w:p>
        </w:tc>
        <w:tc>
          <w:tcPr>
            <w:tcW w:w="1838" w:type="dxa"/>
          </w:tcPr>
          <w:p w14:paraId="3DF6E57B" w14:textId="77777777" w:rsidR="006D564A" w:rsidRPr="009465B1" w:rsidRDefault="006D564A" w:rsidP="006D564A">
            <w:pPr>
              <w:rPr>
                <w:b/>
                <w:bCs/>
              </w:rPr>
            </w:pPr>
            <w:r w:rsidRPr="009465B1">
              <w:rPr>
                <w:b/>
                <w:bCs/>
              </w:rPr>
              <w:t>Complete?</w:t>
            </w:r>
          </w:p>
          <w:p w14:paraId="43CE8416" w14:textId="3CF975C4" w:rsidR="006D564A" w:rsidRPr="009465B1" w:rsidRDefault="006D564A" w:rsidP="006D564A">
            <w:pPr>
              <w:rPr>
                <w:b/>
                <w:bCs/>
              </w:rPr>
            </w:pPr>
            <w:r w:rsidRPr="009465B1">
              <w:rPr>
                <w:b/>
                <w:bCs/>
              </w:rPr>
              <w:t xml:space="preserve">Yes, </w:t>
            </w:r>
            <w:proofErr w:type="gramStart"/>
            <w:r w:rsidR="001C7E06">
              <w:rPr>
                <w:b/>
                <w:bCs/>
              </w:rPr>
              <w:t>n</w:t>
            </w:r>
            <w:r w:rsidRPr="009465B1">
              <w:rPr>
                <w:b/>
                <w:bCs/>
              </w:rPr>
              <w:t>o</w:t>
            </w:r>
            <w:proofErr w:type="gramEnd"/>
            <w:r w:rsidR="001C7E06">
              <w:rPr>
                <w:b/>
                <w:bCs/>
              </w:rPr>
              <w:t xml:space="preserve"> or</w:t>
            </w:r>
            <w:r w:rsidRPr="009465B1">
              <w:rPr>
                <w:b/>
                <w:bCs/>
              </w:rPr>
              <w:t xml:space="preserve"> </w:t>
            </w:r>
            <w:r w:rsidR="001C7E06">
              <w:rPr>
                <w:b/>
                <w:bCs/>
              </w:rPr>
              <w:t>p</w:t>
            </w:r>
            <w:r w:rsidRPr="009465B1">
              <w:rPr>
                <w:b/>
                <w:bCs/>
              </w:rPr>
              <w:t xml:space="preserve">artially </w:t>
            </w:r>
          </w:p>
        </w:tc>
        <w:tc>
          <w:tcPr>
            <w:tcW w:w="4252" w:type="dxa"/>
          </w:tcPr>
          <w:p w14:paraId="64AE291D" w14:textId="77777777" w:rsidR="006D564A" w:rsidRPr="009465B1" w:rsidRDefault="006D564A" w:rsidP="006D564A">
            <w:pPr>
              <w:rPr>
                <w:b/>
                <w:bCs/>
              </w:rPr>
            </w:pPr>
            <w:r w:rsidRPr="009465B1">
              <w:rPr>
                <w:b/>
                <w:bCs/>
              </w:rPr>
              <w:t>Evidence</w:t>
            </w:r>
          </w:p>
        </w:tc>
        <w:tc>
          <w:tcPr>
            <w:tcW w:w="3266" w:type="dxa"/>
          </w:tcPr>
          <w:p w14:paraId="086C37AC"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32855AAA" w14:textId="77777777" w:rsidTr="009465B1">
        <w:tc>
          <w:tcPr>
            <w:tcW w:w="4678" w:type="dxa"/>
          </w:tcPr>
          <w:p w14:paraId="42C59C1C" w14:textId="2993A742" w:rsidR="006D564A" w:rsidRPr="006D564A" w:rsidRDefault="006D564A" w:rsidP="001C7E06">
            <w:pPr>
              <w:pStyle w:val="Table-bodytext"/>
            </w:pPr>
            <w:r w:rsidRPr="006D564A">
              <w:t>Essential</w:t>
            </w:r>
            <w:r w:rsidR="001C7E06">
              <w:t xml:space="preserve">: </w:t>
            </w:r>
            <w:r w:rsidRPr="006D564A">
              <w:t>There is clear communication about the support and services being offered to young people. Communication may be face</w:t>
            </w:r>
            <w:r w:rsidR="000026F8">
              <w:t xml:space="preserve"> </w:t>
            </w:r>
            <w:r w:rsidRPr="006D564A">
              <w:t>to</w:t>
            </w:r>
            <w:r w:rsidR="000026F8">
              <w:t xml:space="preserve"> </w:t>
            </w:r>
            <w:r w:rsidRPr="006D564A">
              <w:t>face, in publicity materials such as leaflets or posters, social media platforms or websites and includes provision of materials that are accessible for everyone such as in different languages or for young people with or without disabilities. This information includes feedback from young people about the service and the outcomes the service achieves as evidenced by robust evaluation processes.</w:t>
            </w:r>
          </w:p>
        </w:tc>
        <w:tc>
          <w:tcPr>
            <w:tcW w:w="1838" w:type="dxa"/>
          </w:tcPr>
          <w:p w14:paraId="3202BD8F" w14:textId="77777777" w:rsidR="006D564A" w:rsidRPr="006D564A" w:rsidRDefault="006D564A" w:rsidP="006D564A"/>
        </w:tc>
        <w:tc>
          <w:tcPr>
            <w:tcW w:w="4252" w:type="dxa"/>
          </w:tcPr>
          <w:p w14:paraId="2E2ED331" w14:textId="77777777" w:rsidR="006D564A" w:rsidRPr="006D564A" w:rsidRDefault="006D564A" w:rsidP="006D564A"/>
        </w:tc>
        <w:tc>
          <w:tcPr>
            <w:tcW w:w="3266" w:type="dxa"/>
          </w:tcPr>
          <w:p w14:paraId="5568DA23" w14:textId="77777777" w:rsidR="006D564A" w:rsidRPr="006D564A" w:rsidRDefault="006D564A" w:rsidP="006D564A"/>
        </w:tc>
      </w:tr>
      <w:tr w:rsidR="006D564A" w:rsidRPr="00383CAD" w14:paraId="335D6777" w14:textId="77777777" w:rsidTr="009465B1">
        <w:tc>
          <w:tcPr>
            <w:tcW w:w="4678" w:type="dxa"/>
          </w:tcPr>
          <w:p w14:paraId="5527FBF8" w14:textId="20846599" w:rsidR="006D564A" w:rsidRPr="006D564A" w:rsidRDefault="006D564A" w:rsidP="001C7E06">
            <w:pPr>
              <w:pStyle w:val="Table-bodytext"/>
            </w:pPr>
            <w:r w:rsidRPr="006D564A">
              <w:t>Essential</w:t>
            </w:r>
            <w:r w:rsidR="001C7E06">
              <w:t xml:space="preserve">: </w:t>
            </w:r>
            <w:r w:rsidRPr="006D564A">
              <w:t xml:space="preserve">All staff use a holistic approach to provision of evidence-based care, with consideration given to social, educational, emotional, </w:t>
            </w:r>
            <w:proofErr w:type="gramStart"/>
            <w:r w:rsidRPr="006D564A">
              <w:t>spiritual</w:t>
            </w:r>
            <w:proofErr w:type="gramEnd"/>
            <w:r w:rsidRPr="006D564A">
              <w:t xml:space="preserve"> and physical wellbeing. Staff providing care for physical and complex conditions are aware of the importance of mental health and wellbeing, can identify early signs of need and provide information about, or referral to prevention services. </w:t>
            </w:r>
            <w:r w:rsidR="004F545A" w:rsidRPr="00450D94">
              <w:t xml:space="preserve">Staff listen to and support young people disclosing violence, </w:t>
            </w:r>
            <w:proofErr w:type="gramStart"/>
            <w:r w:rsidR="004F545A" w:rsidRPr="00450D94">
              <w:t>exploitation</w:t>
            </w:r>
            <w:proofErr w:type="gramEnd"/>
            <w:r w:rsidR="004F545A" w:rsidRPr="00450D94">
              <w:t xml:space="preserve"> or abuse, and take appropriate action.</w:t>
            </w:r>
          </w:p>
        </w:tc>
        <w:tc>
          <w:tcPr>
            <w:tcW w:w="1838" w:type="dxa"/>
          </w:tcPr>
          <w:p w14:paraId="79FA2F09" w14:textId="77777777" w:rsidR="006D564A" w:rsidRPr="006D564A" w:rsidRDefault="006D564A" w:rsidP="006D564A"/>
        </w:tc>
        <w:tc>
          <w:tcPr>
            <w:tcW w:w="4252" w:type="dxa"/>
          </w:tcPr>
          <w:p w14:paraId="0DEB5339" w14:textId="77777777" w:rsidR="006D564A" w:rsidRPr="006D564A" w:rsidRDefault="006D564A" w:rsidP="006D564A"/>
        </w:tc>
        <w:tc>
          <w:tcPr>
            <w:tcW w:w="3266" w:type="dxa"/>
          </w:tcPr>
          <w:p w14:paraId="17E47B5D" w14:textId="77777777" w:rsidR="006D564A" w:rsidRPr="006D564A" w:rsidRDefault="006D564A" w:rsidP="006D564A"/>
        </w:tc>
      </w:tr>
      <w:tr w:rsidR="006D564A" w:rsidRPr="00383CAD" w14:paraId="33CEC324" w14:textId="77777777" w:rsidTr="009465B1">
        <w:tc>
          <w:tcPr>
            <w:tcW w:w="4678" w:type="dxa"/>
          </w:tcPr>
          <w:p w14:paraId="55D9D84A" w14:textId="123A5129" w:rsidR="006D564A" w:rsidRPr="006D564A" w:rsidRDefault="006D564A" w:rsidP="001C7E06">
            <w:pPr>
              <w:pStyle w:val="Table-bodytext"/>
            </w:pPr>
            <w:r w:rsidRPr="006D564A">
              <w:t>Essential</w:t>
            </w:r>
            <w:r w:rsidR="001C7E06">
              <w:t xml:space="preserve">: </w:t>
            </w:r>
            <w:r w:rsidRPr="006D564A">
              <w:t xml:space="preserve">All staff routinely introduce </w:t>
            </w:r>
            <w:r w:rsidRPr="006D564A">
              <w:lastRenderedPageBreak/>
              <w:t xml:space="preserve">themselves and provide information about the provision available to support young people. Young people’s privacy and dignity are always maintained, including during discussions, provision of advice, physical examination, and during treatment, personal </w:t>
            </w:r>
            <w:proofErr w:type="gramStart"/>
            <w:r w:rsidRPr="006D564A">
              <w:t>care</w:t>
            </w:r>
            <w:proofErr w:type="gramEnd"/>
            <w:r w:rsidRPr="006D564A">
              <w:t xml:space="preserve"> and support.</w:t>
            </w:r>
          </w:p>
        </w:tc>
        <w:tc>
          <w:tcPr>
            <w:tcW w:w="1838" w:type="dxa"/>
          </w:tcPr>
          <w:p w14:paraId="214B81D3" w14:textId="77777777" w:rsidR="006D564A" w:rsidRPr="006D564A" w:rsidRDefault="006D564A" w:rsidP="006D564A"/>
        </w:tc>
        <w:tc>
          <w:tcPr>
            <w:tcW w:w="4252" w:type="dxa"/>
          </w:tcPr>
          <w:p w14:paraId="68C0478D" w14:textId="77777777" w:rsidR="006D564A" w:rsidRPr="006D564A" w:rsidRDefault="006D564A" w:rsidP="006D564A"/>
        </w:tc>
        <w:tc>
          <w:tcPr>
            <w:tcW w:w="3266" w:type="dxa"/>
          </w:tcPr>
          <w:p w14:paraId="3385EC80" w14:textId="77777777" w:rsidR="006D564A" w:rsidRPr="006D564A" w:rsidRDefault="006D564A" w:rsidP="006D564A"/>
        </w:tc>
      </w:tr>
      <w:tr w:rsidR="006D564A" w:rsidRPr="00383CAD" w14:paraId="520252C6" w14:textId="77777777" w:rsidTr="009465B1">
        <w:tc>
          <w:tcPr>
            <w:tcW w:w="4678" w:type="dxa"/>
          </w:tcPr>
          <w:p w14:paraId="158B060F" w14:textId="62485CAC" w:rsidR="006D564A" w:rsidRPr="006D564A" w:rsidRDefault="006D564A" w:rsidP="001C7E06">
            <w:pPr>
              <w:pStyle w:val="Table-bodytext"/>
            </w:pPr>
            <w:r w:rsidRPr="006D564A">
              <w:t>Additional</w:t>
            </w:r>
            <w:r w:rsidR="001C7E06">
              <w:t xml:space="preserve">: </w:t>
            </w:r>
            <w:r w:rsidRPr="006D564A">
              <w:t>Staff discuss choice of management and interventions with young people and</w:t>
            </w:r>
            <w:r w:rsidR="000026F8">
              <w:t>,</w:t>
            </w:r>
            <w:r w:rsidRPr="006D564A">
              <w:t xml:space="preserve"> where appropriate</w:t>
            </w:r>
            <w:r w:rsidR="000026F8">
              <w:t>,</w:t>
            </w:r>
            <w:r w:rsidRPr="006D564A">
              <w:t xml:space="preserve"> their parents or carers. </w:t>
            </w:r>
          </w:p>
        </w:tc>
        <w:tc>
          <w:tcPr>
            <w:tcW w:w="1838" w:type="dxa"/>
          </w:tcPr>
          <w:p w14:paraId="117424D3" w14:textId="77777777" w:rsidR="006D564A" w:rsidRPr="006D564A" w:rsidRDefault="006D564A" w:rsidP="006D564A"/>
        </w:tc>
        <w:tc>
          <w:tcPr>
            <w:tcW w:w="4252" w:type="dxa"/>
          </w:tcPr>
          <w:p w14:paraId="2FB56F0C" w14:textId="77777777" w:rsidR="006D564A" w:rsidRPr="006D564A" w:rsidRDefault="006D564A" w:rsidP="006D564A"/>
        </w:tc>
        <w:tc>
          <w:tcPr>
            <w:tcW w:w="3266" w:type="dxa"/>
          </w:tcPr>
          <w:p w14:paraId="5E71E245" w14:textId="77777777" w:rsidR="006D564A" w:rsidRPr="006D564A" w:rsidRDefault="006D564A" w:rsidP="006D564A"/>
        </w:tc>
      </w:tr>
      <w:tr w:rsidR="006D564A" w:rsidRPr="00383CAD" w14:paraId="2EABD784" w14:textId="77777777" w:rsidTr="009465B1">
        <w:tc>
          <w:tcPr>
            <w:tcW w:w="4678" w:type="dxa"/>
          </w:tcPr>
          <w:p w14:paraId="3242D76C" w14:textId="0D1816F7" w:rsidR="006D564A" w:rsidRPr="006D564A" w:rsidRDefault="006D564A" w:rsidP="001C7E06">
            <w:pPr>
              <w:pStyle w:val="Table-bodytext"/>
            </w:pPr>
            <w:r w:rsidRPr="006D564A">
              <w:t>Additional</w:t>
            </w:r>
            <w:r w:rsidR="001C7E06">
              <w:t xml:space="preserve">: </w:t>
            </w:r>
            <w:r w:rsidRPr="006D564A">
              <w:t xml:space="preserve">Staff working with young people have received training in adolescent development such as the </w:t>
            </w:r>
            <w:hyperlink r:id="rId11" w:history="1">
              <w:r w:rsidRPr="006D564A">
                <w:rPr>
                  <w:rStyle w:val="Hyperlink"/>
                </w:rPr>
                <w:t>Adolescent Health Programme</w:t>
              </w:r>
            </w:hyperlink>
            <w:r w:rsidRPr="006D564A">
              <w:t xml:space="preserve">. This includes communication skills when talking to young people, knowledge of interventions, </w:t>
            </w:r>
            <w:proofErr w:type="gramStart"/>
            <w:r w:rsidRPr="006D564A">
              <w:t>treatments</w:t>
            </w:r>
            <w:proofErr w:type="gramEnd"/>
            <w:r w:rsidRPr="006D564A">
              <w:t xml:space="preserve"> and likely outcomes, responding to diversity issues such as gender identity, ethnicity or culture, and a clear understanding of informed consent.</w:t>
            </w:r>
          </w:p>
        </w:tc>
        <w:tc>
          <w:tcPr>
            <w:tcW w:w="1838" w:type="dxa"/>
          </w:tcPr>
          <w:p w14:paraId="494F23D9" w14:textId="77777777" w:rsidR="006D564A" w:rsidRPr="006D564A" w:rsidRDefault="006D564A" w:rsidP="006D564A"/>
        </w:tc>
        <w:tc>
          <w:tcPr>
            <w:tcW w:w="4252" w:type="dxa"/>
          </w:tcPr>
          <w:p w14:paraId="7C1F1EF5" w14:textId="77777777" w:rsidR="006D564A" w:rsidRPr="006D564A" w:rsidRDefault="006D564A" w:rsidP="006D564A"/>
        </w:tc>
        <w:tc>
          <w:tcPr>
            <w:tcW w:w="3266" w:type="dxa"/>
          </w:tcPr>
          <w:p w14:paraId="50F3A91E" w14:textId="77777777" w:rsidR="006D564A" w:rsidRPr="006D564A" w:rsidRDefault="006D564A" w:rsidP="006D564A"/>
        </w:tc>
      </w:tr>
      <w:tr w:rsidR="006D564A" w:rsidRPr="00383CAD" w14:paraId="2E246E89" w14:textId="77777777" w:rsidTr="009465B1">
        <w:trPr>
          <w:trHeight w:val="726"/>
        </w:trPr>
        <w:tc>
          <w:tcPr>
            <w:tcW w:w="4678" w:type="dxa"/>
          </w:tcPr>
          <w:p w14:paraId="19165E0C" w14:textId="7035CB75" w:rsidR="006D564A" w:rsidRPr="006D564A" w:rsidRDefault="006D564A" w:rsidP="001C7E06">
            <w:pPr>
              <w:pStyle w:val="Table-bodytext"/>
            </w:pPr>
            <w:r w:rsidRPr="006D564A">
              <w:t>Additional</w:t>
            </w:r>
            <w:r w:rsidR="001C7E06">
              <w:t xml:space="preserve">: </w:t>
            </w:r>
            <w:r w:rsidRPr="006D564A">
              <w:t>The service has clear mechanisms in place to support young people’s transition to adult services where appropriate. Staff are aware of the processes and young people are supported in a timely way to ensure continuity of care.</w:t>
            </w:r>
          </w:p>
        </w:tc>
        <w:tc>
          <w:tcPr>
            <w:tcW w:w="1838" w:type="dxa"/>
          </w:tcPr>
          <w:p w14:paraId="0A22A7F0" w14:textId="77777777" w:rsidR="006D564A" w:rsidRPr="006D564A" w:rsidRDefault="006D564A" w:rsidP="006D564A"/>
        </w:tc>
        <w:tc>
          <w:tcPr>
            <w:tcW w:w="4252" w:type="dxa"/>
          </w:tcPr>
          <w:p w14:paraId="6E9150CA" w14:textId="77777777" w:rsidR="006D564A" w:rsidRPr="006D564A" w:rsidRDefault="006D564A" w:rsidP="006D564A"/>
        </w:tc>
        <w:tc>
          <w:tcPr>
            <w:tcW w:w="3266" w:type="dxa"/>
          </w:tcPr>
          <w:p w14:paraId="57D554D6" w14:textId="77777777" w:rsidR="006D564A" w:rsidRPr="006D564A" w:rsidRDefault="006D564A" w:rsidP="006D564A"/>
        </w:tc>
      </w:tr>
      <w:tr w:rsidR="006D564A" w:rsidRPr="00383CAD" w14:paraId="5C474498" w14:textId="77777777" w:rsidTr="009465B1">
        <w:tc>
          <w:tcPr>
            <w:tcW w:w="4678" w:type="dxa"/>
          </w:tcPr>
          <w:p w14:paraId="79B26EAB" w14:textId="5ACB3D84" w:rsidR="006D564A" w:rsidRPr="006D564A" w:rsidRDefault="006D564A" w:rsidP="001C7E06">
            <w:pPr>
              <w:pStyle w:val="Table-bodytext"/>
            </w:pPr>
            <w:r w:rsidRPr="006D564A">
              <w:t>Additional</w:t>
            </w:r>
            <w:r w:rsidR="001C7E06">
              <w:t xml:space="preserve">: </w:t>
            </w:r>
            <w:r w:rsidRPr="006D564A">
              <w:t xml:space="preserve">Young people, parents and </w:t>
            </w:r>
            <w:r w:rsidRPr="006D564A">
              <w:lastRenderedPageBreak/>
              <w:t xml:space="preserve">carers are provided with information about how to access local and national support and useful resources via social media, </w:t>
            </w:r>
            <w:proofErr w:type="gramStart"/>
            <w:r w:rsidRPr="006D564A">
              <w:t>apps</w:t>
            </w:r>
            <w:proofErr w:type="gramEnd"/>
            <w:r w:rsidRPr="006D564A">
              <w:t xml:space="preserve"> or other digital support tools.</w:t>
            </w:r>
          </w:p>
        </w:tc>
        <w:tc>
          <w:tcPr>
            <w:tcW w:w="1838" w:type="dxa"/>
          </w:tcPr>
          <w:p w14:paraId="4D4C932D" w14:textId="77777777" w:rsidR="006D564A" w:rsidRPr="006D564A" w:rsidRDefault="006D564A" w:rsidP="006D564A"/>
        </w:tc>
        <w:tc>
          <w:tcPr>
            <w:tcW w:w="4252" w:type="dxa"/>
          </w:tcPr>
          <w:p w14:paraId="0DB70556" w14:textId="77777777" w:rsidR="006D564A" w:rsidRPr="006D564A" w:rsidRDefault="006D564A" w:rsidP="006D564A"/>
        </w:tc>
        <w:tc>
          <w:tcPr>
            <w:tcW w:w="3266" w:type="dxa"/>
          </w:tcPr>
          <w:p w14:paraId="41545B81" w14:textId="77777777" w:rsidR="006D564A" w:rsidRPr="006D564A" w:rsidRDefault="006D564A" w:rsidP="006D564A"/>
        </w:tc>
      </w:tr>
      <w:tr w:rsidR="006D564A" w:rsidRPr="00383CAD" w14:paraId="0F7AADD7" w14:textId="77777777" w:rsidTr="009465B1">
        <w:tc>
          <w:tcPr>
            <w:tcW w:w="4678" w:type="dxa"/>
          </w:tcPr>
          <w:p w14:paraId="468EE2C5" w14:textId="11FD892F" w:rsidR="006D564A" w:rsidRPr="006D564A" w:rsidRDefault="006D564A" w:rsidP="001C7E06">
            <w:pPr>
              <w:pStyle w:val="Table-bodytext"/>
            </w:pPr>
            <w:r w:rsidRPr="006D564A">
              <w:t>Additional</w:t>
            </w:r>
            <w:r w:rsidR="001C7E06">
              <w:t xml:space="preserve">: </w:t>
            </w:r>
            <w:r w:rsidRPr="006D564A">
              <w:t>Staff promote healthy lifestyles in a non-judg</w:t>
            </w:r>
            <w:r w:rsidR="000026F8">
              <w:t>e</w:t>
            </w:r>
            <w:r w:rsidRPr="006D564A">
              <w:t xml:space="preserve">mental way by </w:t>
            </w:r>
            <w:hyperlink r:id="rId12" w:history="1">
              <w:r w:rsidRPr="006D564A">
                <w:rPr>
                  <w:rStyle w:val="Hyperlink"/>
                </w:rPr>
                <w:t>Making Every Contact Count</w:t>
              </w:r>
            </w:hyperlink>
            <w:r w:rsidRPr="006D564A">
              <w:t xml:space="preserve"> including issues such as keeping healthy and well, positive mental health and emotional wellbeing, healthy eating and physical activity, avoiding online harms, smoking cessation, avoiding alcohol and substance misuse, supporting long</w:t>
            </w:r>
            <w:r w:rsidR="00040DEC">
              <w:t>-</w:t>
            </w:r>
            <w:r w:rsidRPr="006D564A">
              <w:t>term health and care needs, staying safe and positive relationships and sexual health</w:t>
            </w:r>
          </w:p>
        </w:tc>
        <w:tc>
          <w:tcPr>
            <w:tcW w:w="1838" w:type="dxa"/>
          </w:tcPr>
          <w:p w14:paraId="729E8099" w14:textId="77777777" w:rsidR="006D564A" w:rsidRPr="006D564A" w:rsidRDefault="006D564A" w:rsidP="006D564A"/>
        </w:tc>
        <w:tc>
          <w:tcPr>
            <w:tcW w:w="4252" w:type="dxa"/>
          </w:tcPr>
          <w:p w14:paraId="45B8500A" w14:textId="77777777" w:rsidR="006D564A" w:rsidRPr="006D564A" w:rsidRDefault="006D564A" w:rsidP="006D564A"/>
        </w:tc>
        <w:tc>
          <w:tcPr>
            <w:tcW w:w="3266" w:type="dxa"/>
          </w:tcPr>
          <w:p w14:paraId="4AE35D2F" w14:textId="77777777" w:rsidR="006D564A" w:rsidRPr="006D564A" w:rsidRDefault="006D564A" w:rsidP="006D564A"/>
        </w:tc>
      </w:tr>
      <w:tr w:rsidR="006D564A" w:rsidRPr="00383CAD" w14:paraId="21DFCDD6" w14:textId="77777777" w:rsidTr="009465B1">
        <w:tc>
          <w:tcPr>
            <w:tcW w:w="4678" w:type="dxa"/>
          </w:tcPr>
          <w:p w14:paraId="74DC71B5" w14:textId="270619BB" w:rsidR="006D564A" w:rsidRPr="006D564A" w:rsidRDefault="006D564A" w:rsidP="001C7E06">
            <w:pPr>
              <w:pStyle w:val="Table-bodytext"/>
            </w:pPr>
            <w:r w:rsidRPr="006D564A">
              <w:t>Additional</w:t>
            </w:r>
            <w:r w:rsidR="001C7E06">
              <w:t xml:space="preserve">: </w:t>
            </w:r>
            <w:r w:rsidRPr="006D564A">
              <w:t xml:space="preserve">Staff connect young people with social prescribing schemes to enable them to identify local sources of support, for example volunteering, arts activities, </w:t>
            </w:r>
            <w:proofErr w:type="gramStart"/>
            <w:r w:rsidRPr="006D564A">
              <w:t>sports</w:t>
            </w:r>
            <w:proofErr w:type="gramEnd"/>
            <w:r w:rsidRPr="006D564A">
              <w:t xml:space="preserve"> and a range of other activities</w:t>
            </w:r>
          </w:p>
        </w:tc>
        <w:tc>
          <w:tcPr>
            <w:tcW w:w="1838" w:type="dxa"/>
          </w:tcPr>
          <w:p w14:paraId="480320F8" w14:textId="77777777" w:rsidR="006D564A" w:rsidRPr="006D564A" w:rsidRDefault="006D564A" w:rsidP="006D564A"/>
        </w:tc>
        <w:tc>
          <w:tcPr>
            <w:tcW w:w="4252" w:type="dxa"/>
          </w:tcPr>
          <w:p w14:paraId="3B149972" w14:textId="77777777" w:rsidR="006D564A" w:rsidRPr="006D564A" w:rsidRDefault="006D564A" w:rsidP="006D564A"/>
        </w:tc>
        <w:tc>
          <w:tcPr>
            <w:tcW w:w="3266" w:type="dxa"/>
          </w:tcPr>
          <w:p w14:paraId="204F6B9B" w14:textId="77777777" w:rsidR="006D564A" w:rsidRPr="006D564A" w:rsidRDefault="006D564A" w:rsidP="006D564A"/>
        </w:tc>
      </w:tr>
    </w:tbl>
    <w:p w14:paraId="1E18D43F" w14:textId="18100B65" w:rsidR="00D425C6" w:rsidRPr="001C7E06" w:rsidRDefault="001C7E06" w:rsidP="001C7E06">
      <w:pPr>
        <w:pStyle w:val="ParagraphText"/>
      </w:pPr>
      <w:r w:rsidRPr="00D425C6">
        <w:t>Young people comments and recommendations following review:</w:t>
      </w:r>
    </w:p>
    <w:p w14:paraId="625451D8" w14:textId="77777777" w:rsidR="00D425C6" w:rsidRDefault="00D425C6">
      <w:r>
        <w:rPr>
          <w:b/>
        </w:rPr>
        <w:br w:type="page"/>
      </w:r>
    </w:p>
    <w:p w14:paraId="1BF7F25E" w14:textId="39934895" w:rsidR="006D564A" w:rsidRPr="006D564A" w:rsidRDefault="006D564A" w:rsidP="00591EBE">
      <w:pPr>
        <w:pStyle w:val="Heading3"/>
      </w:pPr>
      <w:r w:rsidRPr="006D564A">
        <w:lastRenderedPageBreak/>
        <w:t>Specialist young people’s services</w:t>
      </w:r>
    </w:p>
    <w:p w14:paraId="1219B9D9" w14:textId="110B6A14" w:rsidR="006D564A" w:rsidRPr="006D564A" w:rsidRDefault="006D564A" w:rsidP="00591EBE">
      <w:pPr>
        <w:pStyle w:val="Heading4"/>
      </w:pPr>
      <w:r w:rsidRPr="006D564A">
        <w:t xml:space="preserve">Standard 4a: </w:t>
      </w:r>
      <w:r w:rsidR="0084456A">
        <w:t>s</w:t>
      </w:r>
      <w:r w:rsidRPr="006D564A">
        <w:t>pecialist services for healthy weight and physical activity</w:t>
      </w:r>
    </w:p>
    <w:tbl>
      <w:tblPr>
        <w:tblStyle w:val="TableGrid"/>
        <w:tblW w:w="14034" w:type="dxa"/>
        <w:tblLayout w:type="fixed"/>
        <w:tblLook w:val="04A0" w:firstRow="1" w:lastRow="0" w:firstColumn="1" w:lastColumn="0" w:noHBand="0" w:noVBand="1"/>
      </w:tblPr>
      <w:tblGrid>
        <w:gridCol w:w="4962"/>
        <w:gridCol w:w="1554"/>
        <w:gridCol w:w="4252"/>
        <w:gridCol w:w="3266"/>
      </w:tblGrid>
      <w:tr w:rsidR="006D564A" w:rsidRPr="001C7E06" w14:paraId="3F2314A3" w14:textId="77777777" w:rsidTr="009465B1">
        <w:trPr>
          <w:trHeight w:val="582"/>
          <w:tblHeader/>
        </w:trPr>
        <w:tc>
          <w:tcPr>
            <w:tcW w:w="4962" w:type="dxa"/>
          </w:tcPr>
          <w:p w14:paraId="63A0BE8E" w14:textId="77777777" w:rsidR="006D564A" w:rsidRPr="009465B1" w:rsidRDefault="006D564A" w:rsidP="006D564A">
            <w:pPr>
              <w:rPr>
                <w:b/>
                <w:bCs/>
              </w:rPr>
            </w:pPr>
            <w:r w:rsidRPr="009465B1">
              <w:rPr>
                <w:b/>
                <w:bCs/>
              </w:rPr>
              <w:t>Criteria</w:t>
            </w:r>
          </w:p>
        </w:tc>
        <w:tc>
          <w:tcPr>
            <w:tcW w:w="1554" w:type="dxa"/>
          </w:tcPr>
          <w:p w14:paraId="2EFB513C" w14:textId="79FECD03" w:rsidR="006D564A" w:rsidRPr="009465B1" w:rsidRDefault="006D564A" w:rsidP="001C7E06">
            <w:pPr>
              <w:rPr>
                <w:b/>
                <w:bCs/>
              </w:rPr>
            </w:pPr>
            <w:r w:rsidRPr="009465B1">
              <w:rPr>
                <w:b/>
                <w:bCs/>
              </w:rPr>
              <w:t>Complete?</w:t>
            </w:r>
            <w:r w:rsidR="001C7E06">
              <w:rPr>
                <w:b/>
                <w:bCs/>
              </w:rPr>
              <w:t xml:space="preserve"> Y</w:t>
            </w:r>
            <w:r w:rsidRPr="009465B1">
              <w:rPr>
                <w:b/>
                <w:bCs/>
              </w:rPr>
              <w:t xml:space="preserve">es, </w:t>
            </w:r>
            <w:proofErr w:type="gramStart"/>
            <w:r w:rsidR="001C7E06">
              <w:rPr>
                <w:b/>
                <w:bCs/>
              </w:rPr>
              <w:t>n</w:t>
            </w:r>
            <w:r w:rsidRPr="009465B1">
              <w:rPr>
                <w:b/>
                <w:bCs/>
              </w:rPr>
              <w:t>o</w:t>
            </w:r>
            <w:proofErr w:type="gramEnd"/>
            <w:r w:rsidR="001C7E06">
              <w:rPr>
                <w:b/>
                <w:bCs/>
              </w:rPr>
              <w:t xml:space="preserve"> or</w:t>
            </w:r>
            <w:r w:rsidR="001C7E06" w:rsidRPr="009465B1">
              <w:rPr>
                <w:b/>
                <w:bCs/>
              </w:rPr>
              <w:t xml:space="preserve"> </w:t>
            </w:r>
            <w:r w:rsidR="001C7E06">
              <w:rPr>
                <w:b/>
                <w:bCs/>
              </w:rPr>
              <w:t>p</w:t>
            </w:r>
            <w:r w:rsidRPr="009465B1">
              <w:rPr>
                <w:b/>
                <w:bCs/>
              </w:rPr>
              <w:t xml:space="preserve">artially </w:t>
            </w:r>
          </w:p>
        </w:tc>
        <w:tc>
          <w:tcPr>
            <w:tcW w:w="4252" w:type="dxa"/>
          </w:tcPr>
          <w:p w14:paraId="7A684994" w14:textId="77777777" w:rsidR="006D564A" w:rsidRPr="009465B1" w:rsidRDefault="006D564A" w:rsidP="006D564A">
            <w:pPr>
              <w:rPr>
                <w:b/>
                <w:bCs/>
              </w:rPr>
            </w:pPr>
            <w:r w:rsidRPr="009465B1">
              <w:rPr>
                <w:b/>
                <w:bCs/>
              </w:rPr>
              <w:t>Evidence</w:t>
            </w:r>
          </w:p>
        </w:tc>
        <w:tc>
          <w:tcPr>
            <w:tcW w:w="3266" w:type="dxa"/>
          </w:tcPr>
          <w:p w14:paraId="0DDBAA5B"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40FAC189" w14:textId="77777777" w:rsidTr="009465B1">
        <w:tc>
          <w:tcPr>
            <w:tcW w:w="4962" w:type="dxa"/>
          </w:tcPr>
          <w:p w14:paraId="767273BB" w14:textId="46849190" w:rsidR="006D564A" w:rsidRPr="006D564A" w:rsidRDefault="006D564A" w:rsidP="000026F8">
            <w:pPr>
              <w:pStyle w:val="Table-bodytext"/>
            </w:pPr>
            <w:r w:rsidRPr="006D564A">
              <w:t>Essential</w:t>
            </w:r>
            <w:r w:rsidR="000026F8">
              <w:t xml:space="preserve">: </w:t>
            </w:r>
            <w:r w:rsidRPr="006D564A">
              <w:t>Young people receive easy</w:t>
            </w:r>
            <w:r w:rsidR="000026F8">
              <w:t>-</w:t>
            </w:r>
            <w:r w:rsidRPr="006D564A">
              <w:t>to</w:t>
            </w:r>
            <w:r w:rsidR="000026F8">
              <w:t>-</w:t>
            </w:r>
            <w:r w:rsidRPr="006D564A">
              <w:t>understand advice and interventions on eating a balanced diet, healthy food choices and portion size, including advice on how to choose, cook and prepare healthy food.</w:t>
            </w:r>
          </w:p>
        </w:tc>
        <w:tc>
          <w:tcPr>
            <w:tcW w:w="1554" w:type="dxa"/>
          </w:tcPr>
          <w:p w14:paraId="1FCEB65C" w14:textId="77777777" w:rsidR="006D564A" w:rsidRPr="006D564A" w:rsidRDefault="006D564A" w:rsidP="006D564A"/>
        </w:tc>
        <w:tc>
          <w:tcPr>
            <w:tcW w:w="4252" w:type="dxa"/>
          </w:tcPr>
          <w:p w14:paraId="5836B0C7" w14:textId="77777777" w:rsidR="006D564A" w:rsidRPr="006D564A" w:rsidRDefault="006D564A" w:rsidP="006D564A"/>
        </w:tc>
        <w:tc>
          <w:tcPr>
            <w:tcW w:w="3266" w:type="dxa"/>
          </w:tcPr>
          <w:p w14:paraId="45289577" w14:textId="77777777" w:rsidR="006D564A" w:rsidRPr="006D564A" w:rsidRDefault="006D564A" w:rsidP="006D564A"/>
        </w:tc>
      </w:tr>
      <w:tr w:rsidR="006D564A" w:rsidRPr="00383CAD" w14:paraId="2478992C" w14:textId="77777777" w:rsidTr="009465B1">
        <w:tc>
          <w:tcPr>
            <w:tcW w:w="4962" w:type="dxa"/>
          </w:tcPr>
          <w:p w14:paraId="64A294B0" w14:textId="35D9F7E4" w:rsidR="006D564A" w:rsidRPr="006D564A" w:rsidRDefault="006D564A" w:rsidP="000026F8">
            <w:pPr>
              <w:pStyle w:val="Table-bodytext"/>
            </w:pPr>
            <w:r w:rsidRPr="006D564A">
              <w:t>Essential</w:t>
            </w:r>
            <w:r w:rsidR="000026F8">
              <w:t xml:space="preserve">: </w:t>
            </w:r>
            <w:r w:rsidRPr="006D564A">
              <w:t>Staff are familiar with physical activity guidelines, are aware of services and activities locally, and can provide</w:t>
            </w:r>
            <w:hyperlink r:id="rId13" w:history="1">
              <w:r w:rsidRPr="00D64922">
                <w:rPr>
                  <w:rStyle w:val="Hyperlink"/>
                </w:rPr>
                <w:t xml:space="preserve"> support to young people to help them increase their physical activity and reduce sedentary behaviour</w:t>
              </w:r>
            </w:hyperlink>
            <w:r w:rsidR="000026F8" w:rsidRPr="009465B1">
              <w:rPr>
                <w:rStyle w:val="ParagraphTextChar"/>
              </w:rPr>
              <w:t>.</w:t>
            </w:r>
          </w:p>
        </w:tc>
        <w:tc>
          <w:tcPr>
            <w:tcW w:w="1554" w:type="dxa"/>
          </w:tcPr>
          <w:p w14:paraId="4C2F15AE" w14:textId="77777777" w:rsidR="006D564A" w:rsidRPr="006D564A" w:rsidRDefault="006D564A" w:rsidP="006D564A"/>
        </w:tc>
        <w:tc>
          <w:tcPr>
            <w:tcW w:w="4252" w:type="dxa"/>
          </w:tcPr>
          <w:p w14:paraId="455F83B6" w14:textId="77777777" w:rsidR="006D564A" w:rsidRPr="006D564A" w:rsidRDefault="006D564A" w:rsidP="006D564A"/>
        </w:tc>
        <w:tc>
          <w:tcPr>
            <w:tcW w:w="3266" w:type="dxa"/>
          </w:tcPr>
          <w:p w14:paraId="7C4CAC3D" w14:textId="77777777" w:rsidR="006D564A" w:rsidRPr="006D564A" w:rsidRDefault="006D564A" w:rsidP="006D564A"/>
        </w:tc>
      </w:tr>
      <w:tr w:rsidR="006D564A" w:rsidRPr="00383CAD" w14:paraId="7A05EF91" w14:textId="77777777" w:rsidTr="009465B1">
        <w:tc>
          <w:tcPr>
            <w:tcW w:w="4962" w:type="dxa"/>
          </w:tcPr>
          <w:p w14:paraId="04205BD8" w14:textId="0607A3DF" w:rsidR="006D564A" w:rsidRPr="006D564A" w:rsidRDefault="006D564A" w:rsidP="000026F8">
            <w:pPr>
              <w:pStyle w:val="Table-bodytext"/>
            </w:pPr>
            <w:r w:rsidRPr="006D564A">
              <w:t>Essential</w:t>
            </w:r>
            <w:r w:rsidR="000026F8">
              <w:t xml:space="preserve">: </w:t>
            </w:r>
            <w:r w:rsidRPr="006D564A">
              <w:t xml:space="preserve">Easy to understand information is available for young people and their families about healthy weight, obesity, physical activity, healthy </w:t>
            </w:r>
            <w:proofErr w:type="gramStart"/>
            <w:r w:rsidRPr="006D564A">
              <w:t>eating</w:t>
            </w:r>
            <w:proofErr w:type="gramEnd"/>
            <w:r w:rsidRPr="006D564A">
              <w:t xml:space="preserve"> and local support services.</w:t>
            </w:r>
          </w:p>
        </w:tc>
        <w:tc>
          <w:tcPr>
            <w:tcW w:w="1554" w:type="dxa"/>
          </w:tcPr>
          <w:p w14:paraId="68703267" w14:textId="77777777" w:rsidR="006D564A" w:rsidRPr="006D564A" w:rsidRDefault="006D564A" w:rsidP="006D564A"/>
        </w:tc>
        <w:tc>
          <w:tcPr>
            <w:tcW w:w="4252" w:type="dxa"/>
          </w:tcPr>
          <w:p w14:paraId="334A7774" w14:textId="77777777" w:rsidR="006D564A" w:rsidRPr="006D564A" w:rsidRDefault="006D564A" w:rsidP="006D564A"/>
        </w:tc>
        <w:tc>
          <w:tcPr>
            <w:tcW w:w="3266" w:type="dxa"/>
          </w:tcPr>
          <w:p w14:paraId="4AD57568" w14:textId="77777777" w:rsidR="006D564A" w:rsidRPr="006D564A" w:rsidRDefault="006D564A" w:rsidP="006D564A"/>
        </w:tc>
      </w:tr>
      <w:tr w:rsidR="006D564A" w:rsidRPr="00383CAD" w14:paraId="4B98F06A" w14:textId="77777777" w:rsidTr="009465B1">
        <w:tc>
          <w:tcPr>
            <w:tcW w:w="4962" w:type="dxa"/>
          </w:tcPr>
          <w:p w14:paraId="7527C3DD" w14:textId="6E2664C5" w:rsidR="00E83EEF" w:rsidRPr="006D564A" w:rsidRDefault="006D564A" w:rsidP="000026F8">
            <w:pPr>
              <w:pStyle w:val="Table-bodytext"/>
            </w:pPr>
            <w:r w:rsidRPr="006D564A">
              <w:t>Additional</w:t>
            </w:r>
            <w:r w:rsidR="000026F8">
              <w:t xml:space="preserve">: </w:t>
            </w:r>
            <w:r w:rsidRPr="006D564A">
              <w:t>Staff are trained and follow N</w:t>
            </w:r>
            <w:r w:rsidR="002C4897">
              <w:t>ational Institute for Health and Care Excellence (N</w:t>
            </w:r>
            <w:r w:rsidRPr="006D564A">
              <w:t>ICE</w:t>
            </w:r>
            <w:r w:rsidR="002C4897">
              <w:t>)</w:t>
            </w:r>
            <w:r w:rsidRPr="006D564A">
              <w:t xml:space="preserve"> guidelines when assessing weight, lifestyle issues and potential co-morbidities.</w:t>
            </w:r>
          </w:p>
        </w:tc>
        <w:tc>
          <w:tcPr>
            <w:tcW w:w="1554" w:type="dxa"/>
          </w:tcPr>
          <w:p w14:paraId="1191F258" w14:textId="77777777" w:rsidR="006D564A" w:rsidRPr="006D564A" w:rsidRDefault="006D564A" w:rsidP="006D564A"/>
        </w:tc>
        <w:tc>
          <w:tcPr>
            <w:tcW w:w="4252" w:type="dxa"/>
          </w:tcPr>
          <w:p w14:paraId="270AD397" w14:textId="77777777" w:rsidR="006D564A" w:rsidRPr="006D564A" w:rsidRDefault="006D564A" w:rsidP="006D564A"/>
        </w:tc>
        <w:tc>
          <w:tcPr>
            <w:tcW w:w="3266" w:type="dxa"/>
          </w:tcPr>
          <w:p w14:paraId="6564157B" w14:textId="77777777" w:rsidR="006D564A" w:rsidRPr="006D564A" w:rsidRDefault="006D564A" w:rsidP="006D564A"/>
        </w:tc>
      </w:tr>
      <w:tr w:rsidR="006D564A" w:rsidRPr="00383CAD" w14:paraId="702DD452" w14:textId="77777777" w:rsidTr="009465B1">
        <w:tc>
          <w:tcPr>
            <w:tcW w:w="4962" w:type="dxa"/>
          </w:tcPr>
          <w:p w14:paraId="37794DDF" w14:textId="51F4D3B3" w:rsidR="006D564A" w:rsidRPr="006D564A" w:rsidRDefault="006D564A" w:rsidP="000026F8">
            <w:pPr>
              <w:pStyle w:val="Table-bodytext"/>
            </w:pPr>
            <w:r w:rsidRPr="006D564A">
              <w:t>Additional</w:t>
            </w:r>
            <w:r w:rsidR="000026F8">
              <w:t xml:space="preserve">: </w:t>
            </w:r>
            <w:r w:rsidRPr="006D564A">
              <w:t>Services link with local public health teams; they refer young people living with overweight or obesity to other services that help manage their weight.</w:t>
            </w:r>
          </w:p>
        </w:tc>
        <w:tc>
          <w:tcPr>
            <w:tcW w:w="1554" w:type="dxa"/>
          </w:tcPr>
          <w:p w14:paraId="43AD450B" w14:textId="77777777" w:rsidR="006D564A" w:rsidRPr="006D564A" w:rsidRDefault="006D564A" w:rsidP="006D564A"/>
        </w:tc>
        <w:tc>
          <w:tcPr>
            <w:tcW w:w="4252" w:type="dxa"/>
          </w:tcPr>
          <w:p w14:paraId="693E9973" w14:textId="77777777" w:rsidR="006D564A" w:rsidRPr="006D564A" w:rsidRDefault="006D564A" w:rsidP="006D564A"/>
        </w:tc>
        <w:tc>
          <w:tcPr>
            <w:tcW w:w="3266" w:type="dxa"/>
          </w:tcPr>
          <w:p w14:paraId="2191C48B" w14:textId="77777777" w:rsidR="006D564A" w:rsidRPr="006D564A" w:rsidRDefault="006D564A" w:rsidP="006D564A"/>
        </w:tc>
      </w:tr>
      <w:tr w:rsidR="006D564A" w:rsidRPr="00383CAD" w14:paraId="1B7F3AC0" w14:textId="77777777" w:rsidTr="009465B1">
        <w:tc>
          <w:tcPr>
            <w:tcW w:w="4962" w:type="dxa"/>
          </w:tcPr>
          <w:p w14:paraId="0C0C213D" w14:textId="386A56DD" w:rsidR="006D564A" w:rsidRPr="006D564A" w:rsidRDefault="006D564A" w:rsidP="000026F8">
            <w:pPr>
              <w:pStyle w:val="Table-bodytext"/>
            </w:pPr>
            <w:r w:rsidRPr="006D564A">
              <w:t>Additional</w:t>
            </w:r>
            <w:r w:rsidR="000026F8">
              <w:t xml:space="preserve">: </w:t>
            </w:r>
            <w:r w:rsidRPr="006D564A">
              <w:t xml:space="preserve">Staff are trained in nutrition and </w:t>
            </w:r>
            <w:r w:rsidRPr="006D564A">
              <w:lastRenderedPageBreak/>
              <w:t>actively encourage young people to take opportunities to support healthy lifestyle activities.</w:t>
            </w:r>
          </w:p>
        </w:tc>
        <w:tc>
          <w:tcPr>
            <w:tcW w:w="1554" w:type="dxa"/>
          </w:tcPr>
          <w:p w14:paraId="4863C8CC" w14:textId="77777777" w:rsidR="006D564A" w:rsidRPr="006D564A" w:rsidRDefault="006D564A" w:rsidP="006D564A"/>
        </w:tc>
        <w:tc>
          <w:tcPr>
            <w:tcW w:w="4252" w:type="dxa"/>
          </w:tcPr>
          <w:p w14:paraId="371B1752" w14:textId="77777777" w:rsidR="006D564A" w:rsidRPr="006D564A" w:rsidRDefault="006D564A" w:rsidP="006D564A"/>
        </w:tc>
        <w:tc>
          <w:tcPr>
            <w:tcW w:w="3266" w:type="dxa"/>
          </w:tcPr>
          <w:p w14:paraId="255A7D22" w14:textId="77777777" w:rsidR="006D564A" w:rsidRPr="006D564A" w:rsidRDefault="006D564A" w:rsidP="006D564A"/>
        </w:tc>
      </w:tr>
      <w:tr w:rsidR="006D564A" w:rsidRPr="00383CAD" w14:paraId="67CF9BEC" w14:textId="77777777" w:rsidTr="009465B1">
        <w:tc>
          <w:tcPr>
            <w:tcW w:w="4962" w:type="dxa"/>
          </w:tcPr>
          <w:p w14:paraId="4037A3C2" w14:textId="62933825" w:rsidR="006D564A" w:rsidRPr="006D564A" w:rsidRDefault="006D564A" w:rsidP="000026F8">
            <w:pPr>
              <w:pStyle w:val="Table-bodytext"/>
            </w:pPr>
            <w:r w:rsidRPr="006D564A">
              <w:t>Additional</w:t>
            </w:r>
            <w:r w:rsidR="000026F8">
              <w:t xml:space="preserve">: </w:t>
            </w:r>
            <w:r w:rsidRPr="006D564A">
              <w:t xml:space="preserve">Staff are trained and confident in raising and </w:t>
            </w:r>
            <w:hyperlink r:id="rId14" w:history="1">
              <w:r w:rsidRPr="006D564A">
                <w:rPr>
                  <w:rStyle w:val="Hyperlink"/>
                </w:rPr>
                <w:t>discussing healthy weight</w:t>
              </w:r>
            </w:hyperlink>
            <w:r w:rsidRPr="006D564A">
              <w:t xml:space="preserve"> with young people and their families sensitively and know about the local services where they can get further support.</w:t>
            </w:r>
          </w:p>
        </w:tc>
        <w:tc>
          <w:tcPr>
            <w:tcW w:w="1554" w:type="dxa"/>
          </w:tcPr>
          <w:p w14:paraId="31923201" w14:textId="77777777" w:rsidR="006D564A" w:rsidRPr="006D564A" w:rsidRDefault="006D564A" w:rsidP="006D564A"/>
        </w:tc>
        <w:tc>
          <w:tcPr>
            <w:tcW w:w="4252" w:type="dxa"/>
          </w:tcPr>
          <w:p w14:paraId="509512C0" w14:textId="77777777" w:rsidR="006D564A" w:rsidRPr="006D564A" w:rsidRDefault="006D564A" w:rsidP="006D564A"/>
        </w:tc>
        <w:tc>
          <w:tcPr>
            <w:tcW w:w="3266" w:type="dxa"/>
          </w:tcPr>
          <w:p w14:paraId="01FD270C" w14:textId="77777777" w:rsidR="006D564A" w:rsidRPr="006D564A" w:rsidRDefault="006D564A" w:rsidP="006D564A"/>
        </w:tc>
      </w:tr>
      <w:tr w:rsidR="006D564A" w:rsidRPr="00383CAD" w14:paraId="67DB92A9" w14:textId="77777777" w:rsidTr="009465B1">
        <w:tc>
          <w:tcPr>
            <w:tcW w:w="4962" w:type="dxa"/>
          </w:tcPr>
          <w:p w14:paraId="5BC47369" w14:textId="44DDD7CE" w:rsidR="006D564A" w:rsidRPr="006D564A" w:rsidRDefault="006D564A" w:rsidP="000026F8">
            <w:pPr>
              <w:pStyle w:val="Table-bodytext"/>
            </w:pPr>
            <w:r w:rsidRPr="006D564A">
              <w:t>Additional</w:t>
            </w:r>
            <w:r w:rsidR="000026F8">
              <w:t xml:space="preserve">: </w:t>
            </w:r>
            <w:r w:rsidRPr="006D564A">
              <w:t xml:space="preserve">The food and drink at the service venue for young people is healthy and supports them to make healthy choices and reduce </w:t>
            </w:r>
            <w:r w:rsidR="000026F8">
              <w:t xml:space="preserve">their </w:t>
            </w:r>
            <w:r w:rsidRPr="006D564A">
              <w:t>intake of high fat and high sugar foods.</w:t>
            </w:r>
          </w:p>
        </w:tc>
        <w:tc>
          <w:tcPr>
            <w:tcW w:w="1554" w:type="dxa"/>
          </w:tcPr>
          <w:p w14:paraId="1A8C70FE" w14:textId="77777777" w:rsidR="006D564A" w:rsidRPr="006D564A" w:rsidRDefault="006D564A" w:rsidP="006D564A"/>
        </w:tc>
        <w:tc>
          <w:tcPr>
            <w:tcW w:w="4252" w:type="dxa"/>
          </w:tcPr>
          <w:p w14:paraId="18D77EB1" w14:textId="77777777" w:rsidR="006D564A" w:rsidRPr="006D564A" w:rsidRDefault="006D564A" w:rsidP="006D564A"/>
        </w:tc>
        <w:tc>
          <w:tcPr>
            <w:tcW w:w="3266" w:type="dxa"/>
          </w:tcPr>
          <w:p w14:paraId="1E240B8B" w14:textId="77777777" w:rsidR="006D564A" w:rsidRPr="006D564A" w:rsidRDefault="006D564A" w:rsidP="006D564A"/>
        </w:tc>
      </w:tr>
    </w:tbl>
    <w:p w14:paraId="75BAD96E" w14:textId="254F36FB" w:rsidR="000026F8" w:rsidRDefault="000026F8" w:rsidP="009465B1">
      <w:pPr>
        <w:pStyle w:val="ParagraphText"/>
      </w:pPr>
      <w:r w:rsidRPr="00D425C6">
        <w:t>Young people comments and recommendations following review:</w:t>
      </w:r>
    </w:p>
    <w:p w14:paraId="0BAFDF7B" w14:textId="77777777" w:rsidR="005C2921" w:rsidRDefault="005C2921">
      <w:pPr>
        <w:rPr>
          <w:b/>
          <w:sz w:val="25"/>
        </w:rPr>
      </w:pPr>
      <w:r>
        <w:br w:type="page"/>
      </w:r>
    </w:p>
    <w:p w14:paraId="1BD67448" w14:textId="645428D8" w:rsidR="006D564A" w:rsidRPr="006D564A" w:rsidRDefault="006D564A" w:rsidP="00FE5B98">
      <w:pPr>
        <w:pStyle w:val="Heading4"/>
      </w:pPr>
      <w:r w:rsidRPr="006D564A">
        <w:lastRenderedPageBreak/>
        <w:t xml:space="preserve">Standard 4b: </w:t>
      </w:r>
      <w:r w:rsidR="0084456A">
        <w:t>s</w:t>
      </w:r>
      <w:r w:rsidRPr="006D564A">
        <w:t xml:space="preserve">pecialist services for alcohol and drugs </w:t>
      </w:r>
    </w:p>
    <w:tbl>
      <w:tblPr>
        <w:tblStyle w:val="TableGrid"/>
        <w:tblW w:w="14175" w:type="dxa"/>
        <w:tblLayout w:type="fixed"/>
        <w:tblLook w:val="04A0" w:firstRow="1" w:lastRow="0" w:firstColumn="1" w:lastColumn="0" w:noHBand="0" w:noVBand="1"/>
      </w:tblPr>
      <w:tblGrid>
        <w:gridCol w:w="4678"/>
        <w:gridCol w:w="1838"/>
        <w:gridCol w:w="4252"/>
        <w:gridCol w:w="3407"/>
      </w:tblGrid>
      <w:tr w:rsidR="006D564A" w:rsidRPr="000026F8" w14:paraId="6C3330EE" w14:textId="77777777" w:rsidTr="009465B1">
        <w:trPr>
          <w:tblHeader/>
        </w:trPr>
        <w:tc>
          <w:tcPr>
            <w:tcW w:w="4678" w:type="dxa"/>
          </w:tcPr>
          <w:p w14:paraId="1BB3F68A" w14:textId="77777777" w:rsidR="006D564A" w:rsidRPr="009465B1" w:rsidRDefault="006D564A" w:rsidP="006D564A">
            <w:pPr>
              <w:rPr>
                <w:b/>
                <w:bCs/>
              </w:rPr>
            </w:pPr>
            <w:r w:rsidRPr="009465B1">
              <w:rPr>
                <w:b/>
                <w:bCs/>
              </w:rPr>
              <w:t>Criteria</w:t>
            </w:r>
          </w:p>
        </w:tc>
        <w:tc>
          <w:tcPr>
            <w:tcW w:w="1838" w:type="dxa"/>
          </w:tcPr>
          <w:p w14:paraId="146EB47F" w14:textId="47ED9F1A" w:rsidR="006D564A" w:rsidRPr="009465B1" w:rsidRDefault="006D564A" w:rsidP="000026F8">
            <w:pPr>
              <w:rPr>
                <w:b/>
                <w:bCs/>
              </w:rPr>
            </w:pPr>
            <w:r w:rsidRPr="009465B1">
              <w:rPr>
                <w:b/>
                <w:bCs/>
              </w:rPr>
              <w:t>Complete?</w:t>
            </w:r>
            <w:r w:rsidR="000026F8">
              <w:rPr>
                <w:b/>
                <w:bCs/>
              </w:rPr>
              <w:t xml:space="preserve"> </w:t>
            </w:r>
            <w:r w:rsidRPr="009465B1">
              <w:rPr>
                <w:b/>
                <w:bCs/>
              </w:rPr>
              <w:t xml:space="preserve">Yes, </w:t>
            </w:r>
            <w:proofErr w:type="gramStart"/>
            <w:r w:rsidR="000026F8">
              <w:rPr>
                <w:b/>
                <w:bCs/>
              </w:rPr>
              <w:t>n</w:t>
            </w:r>
            <w:r w:rsidRPr="009465B1">
              <w:rPr>
                <w:b/>
                <w:bCs/>
              </w:rPr>
              <w:t>o</w:t>
            </w:r>
            <w:proofErr w:type="gramEnd"/>
            <w:r w:rsidR="000026F8">
              <w:rPr>
                <w:b/>
                <w:bCs/>
              </w:rPr>
              <w:t xml:space="preserve"> or</w:t>
            </w:r>
            <w:r w:rsidR="000026F8" w:rsidRPr="009465B1">
              <w:rPr>
                <w:b/>
                <w:bCs/>
              </w:rPr>
              <w:t xml:space="preserve"> </w:t>
            </w:r>
            <w:r w:rsidR="000026F8">
              <w:rPr>
                <w:b/>
                <w:bCs/>
              </w:rPr>
              <w:t>p</w:t>
            </w:r>
            <w:r w:rsidRPr="009465B1">
              <w:rPr>
                <w:b/>
                <w:bCs/>
              </w:rPr>
              <w:t xml:space="preserve">artially </w:t>
            </w:r>
          </w:p>
        </w:tc>
        <w:tc>
          <w:tcPr>
            <w:tcW w:w="4252" w:type="dxa"/>
          </w:tcPr>
          <w:p w14:paraId="760F3A95" w14:textId="77777777" w:rsidR="006D564A" w:rsidRPr="009465B1" w:rsidRDefault="006D564A" w:rsidP="006D564A">
            <w:pPr>
              <w:rPr>
                <w:b/>
                <w:bCs/>
              </w:rPr>
            </w:pPr>
            <w:r w:rsidRPr="009465B1">
              <w:rPr>
                <w:b/>
                <w:bCs/>
              </w:rPr>
              <w:t>Evidence</w:t>
            </w:r>
          </w:p>
        </w:tc>
        <w:tc>
          <w:tcPr>
            <w:tcW w:w="3407" w:type="dxa"/>
          </w:tcPr>
          <w:p w14:paraId="41476D26"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5D4C9564" w14:textId="77777777" w:rsidTr="009465B1">
        <w:tc>
          <w:tcPr>
            <w:tcW w:w="4678" w:type="dxa"/>
          </w:tcPr>
          <w:p w14:paraId="74B5FBD1" w14:textId="01FD958C" w:rsidR="006D564A" w:rsidRPr="006D564A" w:rsidRDefault="006D564A" w:rsidP="000026F8">
            <w:pPr>
              <w:pStyle w:val="Table-bodytext"/>
            </w:pPr>
            <w:r w:rsidRPr="006D564A">
              <w:t>Essential</w:t>
            </w:r>
            <w:r w:rsidR="000026F8">
              <w:t xml:space="preserve">: </w:t>
            </w:r>
            <w:r w:rsidRPr="006D564A">
              <w:t>Staff that work with young people at risk of alcohol and drug misuse problems can screen for substance misuse. They ask about other related risks and concerns such as mental health or sexual vulnerability.</w:t>
            </w:r>
          </w:p>
        </w:tc>
        <w:tc>
          <w:tcPr>
            <w:tcW w:w="1838" w:type="dxa"/>
          </w:tcPr>
          <w:p w14:paraId="048A7FB5" w14:textId="77777777" w:rsidR="006D564A" w:rsidRPr="006D564A" w:rsidRDefault="006D564A" w:rsidP="006D564A"/>
        </w:tc>
        <w:tc>
          <w:tcPr>
            <w:tcW w:w="4252" w:type="dxa"/>
          </w:tcPr>
          <w:p w14:paraId="5052031E" w14:textId="77777777" w:rsidR="006D564A" w:rsidRPr="006D564A" w:rsidRDefault="006D564A" w:rsidP="006D564A"/>
        </w:tc>
        <w:tc>
          <w:tcPr>
            <w:tcW w:w="3407" w:type="dxa"/>
          </w:tcPr>
          <w:p w14:paraId="754E70DC" w14:textId="77777777" w:rsidR="006D564A" w:rsidRPr="006D564A" w:rsidRDefault="006D564A" w:rsidP="006D564A"/>
        </w:tc>
      </w:tr>
      <w:tr w:rsidR="006D564A" w:rsidRPr="00383CAD" w14:paraId="06E1B96A" w14:textId="77777777" w:rsidTr="009465B1">
        <w:tc>
          <w:tcPr>
            <w:tcW w:w="4678" w:type="dxa"/>
          </w:tcPr>
          <w:p w14:paraId="54259B6C" w14:textId="785EBAF4" w:rsidR="006D564A" w:rsidRPr="006D564A" w:rsidRDefault="006D564A" w:rsidP="000026F8">
            <w:pPr>
              <w:pStyle w:val="Table-bodytext"/>
            </w:pPr>
            <w:r w:rsidRPr="006D564A">
              <w:t>Essential</w:t>
            </w:r>
            <w:r w:rsidR="000026F8">
              <w:t xml:space="preserve">: </w:t>
            </w:r>
            <w:r w:rsidRPr="006D564A">
              <w:t xml:space="preserve">Staff working with young people are trained to deliver interventions and know how and when to refer to other services for young people with complex needs including child sexual exploitation, gang involvement, domestic violence, </w:t>
            </w:r>
            <w:proofErr w:type="gramStart"/>
            <w:r w:rsidRPr="006D564A">
              <w:t>crime</w:t>
            </w:r>
            <w:proofErr w:type="gramEnd"/>
            <w:r w:rsidRPr="006D564A">
              <w:t xml:space="preserve"> and anti-social behaviour. </w:t>
            </w:r>
          </w:p>
        </w:tc>
        <w:tc>
          <w:tcPr>
            <w:tcW w:w="1838" w:type="dxa"/>
          </w:tcPr>
          <w:p w14:paraId="41C86EC7" w14:textId="77777777" w:rsidR="006D564A" w:rsidRPr="006D564A" w:rsidRDefault="006D564A" w:rsidP="006D564A"/>
        </w:tc>
        <w:tc>
          <w:tcPr>
            <w:tcW w:w="4252" w:type="dxa"/>
          </w:tcPr>
          <w:p w14:paraId="414E9B64" w14:textId="77777777" w:rsidR="006D564A" w:rsidRPr="006D564A" w:rsidRDefault="006D564A" w:rsidP="006D564A"/>
        </w:tc>
        <w:tc>
          <w:tcPr>
            <w:tcW w:w="3407" w:type="dxa"/>
          </w:tcPr>
          <w:p w14:paraId="7FAC0FA9" w14:textId="77777777" w:rsidR="006D564A" w:rsidRPr="006D564A" w:rsidRDefault="006D564A" w:rsidP="006D564A"/>
        </w:tc>
      </w:tr>
      <w:tr w:rsidR="006D564A" w:rsidRPr="00383CAD" w14:paraId="448CA3A6" w14:textId="77777777" w:rsidTr="009465B1">
        <w:tc>
          <w:tcPr>
            <w:tcW w:w="4678" w:type="dxa"/>
          </w:tcPr>
          <w:p w14:paraId="61A7EACA" w14:textId="65370B17" w:rsidR="006D564A" w:rsidRPr="006D564A" w:rsidRDefault="006D564A" w:rsidP="000026F8">
            <w:pPr>
              <w:pStyle w:val="Table-bodytext"/>
            </w:pPr>
            <w:r w:rsidRPr="006D564A">
              <w:t>Essential</w:t>
            </w:r>
            <w:r w:rsidR="000026F8">
              <w:t xml:space="preserve">: </w:t>
            </w:r>
            <w:r w:rsidRPr="006D564A">
              <w:t>Specialist alcohol and drug assessments are carried out by a trained professional in a sensitive non-judgmental approach to identify factors influencing and maintaining alcohol or drug use. Specialist alcohol and drug service staff can engage with young people, parents and carers, and other professionals that are working with young people as required.</w:t>
            </w:r>
          </w:p>
        </w:tc>
        <w:tc>
          <w:tcPr>
            <w:tcW w:w="1838" w:type="dxa"/>
          </w:tcPr>
          <w:p w14:paraId="01E73FDF" w14:textId="77777777" w:rsidR="006D564A" w:rsidRPr="006D564A" w:rsidRDefault="006D564A" w:rsidP="006D564A"/>
        </w:tc>
        <w:tc>
          <w:tcPr>
            <w:tcW w:w="4252" w:type="dxa"/>
          </w:tcPr>
          <w:p w14:paraId="1F8A047D" w14:textId="77777777" w:rsidR="006D564A" w:rsidRPr="006D564A" w:rsidRDefault="006D564A" w:rsidP="006D564A"/>
        </w:tc>
        <w:tc>
          <w:tcPr>
            <w:tcW w:w="3407" w:type="dxa"/>
          </w:tcPr>
          <w:p w14:paraId="0CDAE4EA" w14:textId="77777777" w:rsidR="006D564A" w:rsidRPr="006D564A" w:rsidRDefault="006D564A" w:rsidP="006D564A"/>
        </w:tc>
      </w:tr>
      <w:tr w:rsidR="006D564A" w:rsidRPr="00383CAD" w14:paraId="26A978FE" w14:textId="77777777" w:rsidTr="009465B1">
        <w:tc>
          <w:tcPr>
            <w:tcW w:w="4678" w:type="dxa"/>
          </w:tcPr>
          <w:p w14:paraId="6DABC43B" w14:textId="0BB16A38" w:rsidR="006D564A" w:rsidRPr="006D564A" w:rsidRDefault="006D564A" w:rsidP="000026F8">
            <w:pPr>
              <w:pStyle w:val="Table-bodytext"/>
            </w:pPr>
            <w:r w:rsidRPr="006D564A">
              <w:t>Additional</w:t>
            </w:r>
            <w:r w:rsidR="000026F8">
              <w:t xml:space="preserve">: </w:t>
            </w:r>
            <w:r w:rsidRPr="006D564A">
              <w:t xml:space="preserve">Staff ensure that other agencies working with young people know how to refer to the drug and alcohol service, and that young people are aware of how they can self-refer. </w:t>
            </w:r>
          </w:p>
        </w:tc>
        <w:tc>
          <w:tcPr>
            <w:tcW w:w="1838" w:type="dxa"/>
          </w:tcPr>
          <w:p w14:paraId="719409E9" w14:textId="77777777" w:rsidR="006D564A" w:rsidRPr="006D564A" w:rsidRDefault="006D564A" w:rsidP="006D564A"/>
        </w:tc>
        <w:tc>
          <w:tcPr>
            <w:tcW w:w="4252" w:type="dxa"/>
          </w:tcPr>
          <w:p w14:paraId="574D20DC" w14:textId="77777777" w:rsidR="006D564A" w:rsidRPr="006D564A" w:rsidRDefault="006D564A" w:rsidP="006D564A"/>
        </w:tc>
        <w:tc>
          <w:tcPr>
            <w:tcW w:w="3407" w:type="dxa"/>
          </w:tcPr>
          <w:p w14:paraId="44F28372" w14:textId="77777777" w:rsidR="006D564A" w:rsidRPr="006D564A" w:rsidRDefault="006D564A" w:rsidP="006D564A"/>
        </w:tc>
      </w:tr>
      <w:tr w:rsidR="006D564A" w:rsidRPr="00383CAD" w14:paraId="567C8421" w14:textId="77777777" w:rsidTr="009465B1">
        <w:tc>
          <w:tcPr>
            <w:tcW w:w="4678" w:type="dxa"/>
          </w:tcPr>
          <w:p w14:paraId="742F2EFA" w14:textId="3C0B7EC9" w:rsidR="006D564A" w:rsidRPr="006D564A" w:rsidRDefault="006D564A" w:rsidP="000026F8">
            <w:pPr>
              <w:pStyle w:val="Table-bodytext"/>
            </w:pPr>
            <w:r w:rsidRPr="006D564A">
              <w:t>Additional</w:t>
            </w:r>
            <w:r w:rsidR="000026F8">
              <w:t xml:space="preserve">: </w:t>
            </w:r>
            <w:r w:rsidRPr="006D564A">
              <w:t xml:space="preserve">A range of psychosocial </w:t>
            </w:r>
            <w:r w:rsidRPr="006D564A">
              <w:lastRenderedPageBreak/>
              <w:t xml:space="preserve">interventions are offered and delivered according to need by competent and qualified staff in line with </w:t>
            </w:r>
            <w:hyperlink r:id="rId15" w:history="1">
              <w:r w:rsidR="00E05638">
                <w:rPr>
                  <w:rStyle w:val="Hyperlink"/>
                </w:rPr>
                <w:t>NICE guidance on using psychosocial interventions to treat drug misuse in over 16s</w:t>
              </w:r>
            </w:hyperlink>
          </w:p>
        </w:tc>
        <w:tc>
          <w:tcPr>
            <w:tcW w:w="1838" w:type="dxa"/>
          </w:tcPr>
          <w:p w14:paraId="512A2874" w14:textId="77777777" w:rsidR="006D564A" w:rsidRPr="006D564A" w:rsidRDefault="006D564A" w:rsidP="006D564A"/>
        </w:tc>
        <w:tc>
          <w:tcPr>
            <w:tcW w:w="4252" w:type="dxa"/>
          </w:tcPr>
          <w:p w14:paraId="595EB8E4" w14:textId="77777777" w:rsidR="006D564A" w:rsidRPr="006D564A" w:rsidRDefault="006D564A" w:rsidP="006D564A"/>
        </w:tc>
        <w:tc>
          <w:tcPr>
            <w:tcW w:w="3407" w:type="dxa"/>
          </w:tcPr>
          <w:p w14:paraId="21E7D8FF" w14:textId="77777777" w:rsidR="006D564A" w:rsidRPr="006D564A" w:rsidRDefault="006D564A" w:rsidP="006D564A"/>
        </w:tc>
      </w:tr>
      <w:tr w:rsidR="006D564A" w:rsidRPr="00383CAD" w14:paraId="1A3C0620" w14:textId="77777777" w:rsidTr="009465B1">
        <w:tc>
          <w:tcPr>
            <w:tcW w:w="4678" w:type="dxa"/>
          </w:tcPr>
          <w:p w14:paraId="467F0A3A" w14:textId="3B027786" w:rsidR="006D564A" w:rsidRPr="006D564A" w:rsidRDefault="006D564A" w:rsidP="000026F8">
            <w:pPr>
              <w:pStyle w:val="Table-bodytext"/>
            </w:pPr>
            <w:r w:rsidRPr="006D564A">
              <w:t>Additional</w:t>
            </w:r>
            <w:r w:rsidR="000026F8">
              <w:t xml:space="preserve">: </w:t>
            </w:r>
            <w:r w:rsidRPr="006D564A">
              <w:t>A range of age</w:t>
            </w:r>
            <w:r w:rsidR="000026F8">
              <w:t>-</w:t>
            </w:r>
            <w:r w:rsidRPr="006D564A">
              <w:t>appropriate pharmacological (drug) interventions are offered and delivered by a qualified professional according to need.</w:t>
            </w:r>
          </w:p>
        </w:tc>
        <w:tc>
          <w:tcPr>
            <w:tcW w:w="1838" w:type="dxa"/>
          </w:tcPr>
          <w:p w14:paraId="12B81BE7" w14:textId="77777777" w:rsidR="006D564A" w:rsidRPr="006D564A" w:rsidRDefault="006D564A" w:rsidP="006D564A"/>
        </w:tc>
        <w:tc>
          <w:tcPr>
            <w:tcW w:w="4252" w:type="dxa"/>
          </w:tcPr>
          <w:p w14:paraId="3C1335AD" w14:textId="77777777" w:rsidR="006D564A" w:rsidRPr="006D564A" w:rsidRDefault="006D564A" w:rsidP="006D564A"/>
        </w:tc>
        <w:tc>
          <w:tcPr>
            <w:tcW w:w="3407" w:type="dxa"/>
          </w:tcPr>
          <w:p w14:paraId="47FEEFA2" w14:textId="77777777" w:rsidR="006D564A" w:rsidRPr="006D564A" w:rsidRDefault="006D564A" w:rsidP="006D564A"/>
        </w:tc>
      </w:tr>
      <w:tr w:rsidR="006D564A" w:rsidRPr="00383CAD" w14:paraId="5DACED95" w14:textId="77777777" w:rsidTr="009465B1">
        <w:tc>
          <w:tcPr>
            <w:tcW w:w="4678" w:type="dxa"/>
          </w:tcPr>
          <w:p w14:paraId="01F357F1" w14:textId="68B01B48" w:rsidR="006D564A" w:rsidRPr="006D564A" w:rsidRDefault="006D564A" w:rsidP="000026F8">
            <w:pPr>
              <w:pStyle w:val="Table-bodytext"/>
            </w:pPr>
            <w:r w:rsidRPr="006D564A">
              <w:t>Additional</w:t>
            </w:r>
            <w:r w:rsidR="000026F8">
              <w:t xml:space="preserve">: </w:t>
            </w:r>
            <w:r w:rsidRPr="006D564A">
              <w:t xml:space="preserve">Staff can recognise, intervene </w:t>
            </w:r>
            <w:proofErr w:type="gramStart"/>
            <w:r w:rsidRPr="006D564A">
              <w:t>appropriately</w:t>
            </w:r>
            <w:proofErr w:type="gramEnd"/>
            <w:r w:rsidRPr="006D564A">
              <w:t xml:space="preserve"> and refer on young people affected by different trends in drug use including new psychoactive substances.</w:t>
            </w:r>
          </w:p>
        </w:tc>
        <w:tc>
          <w:tcPr>
            <w:tcW w:w="1838" w:type="dxa"/>
          </w:tcPr>
          <w:p w14:paraId="6F816E1F" w14:textId="77777777" w:rsidR="006D564A" w:rsidRPr="006D564A" w:rsidRDefault="006D564A" w:rsidP="006D564A"/>
        </w:tc>
        <w:tc>
          <w:tcPr>
            <w:tcW w:w="4252" w:type="dxa"/>
          </w:tcPr>
          <w:p w14:paraId="536A9698" w14:textId="77777777" w:rsidR="006D564A" w:rsidRPr="006D564A" w:rsidRDefault="006D564A" w:rsidP="006D564A"/>
        </w:tc>
        <w:tc>
          <w:tcPr>
            <w:tcW w:w="3407" w:type="dxa"/>
          </w:tcPr>
          <w:p w14:paraId="3B203563" w14:textId="77777777" w:rsidR="006D564A" w:rsidRPr="006D564A" w:rsidRDefault="006D564A" w:rsidP="006D564A"/>
        </w:tc>
      </w:tr>
    </w:tbl>
    <w:p w14:paraId="24A91626" w14:textId="47137D8F" w:rsidR="00D425C6" w:rsidRDefault="000026F8" w:rsidP="009465B1">
      <w:pPr>
        <w:spacing w:before="240"/>
        <w:rPr>
          <w:b/>
          <w:sz w:val="25"/>
        </w:rPr>
      </w:pPr>
      <w:r w:rsidRPr="00D425C6">
        <w:t>Young people comments and recommendations following review:</w:t>
      </w:r>
    </w:p>
    <w:p w14:paraId="22E771B2" w14:textId="77777777" w:rsidR="005C2921" w:rsidRDefault="005C2921">
      <w:pPr>
        <w:rPr>
          <w:b/>
          <w:sz w:val="25"/>
        </w:rPr>
      </w:pPr>
      <w:r>
        <w:br w:type="page"/>
      </w:r>
    </w:p>
    <w:p w14:paraId="08DC0F64" w14:textId="51C4C013" w:rsidR="004117E3" w:rsidRPr="004117E3" w:rsidRDefault="006D564A" w:rsidP="009465B1">
      <w:pPr>
        <w:pStyle w:val="Heading4"/>
      </w:pPr>
      <w:r w:rsidRPr="006D564A">
        <w:lastRenderedPageBreak/>
        <w:t xml:space="preserve">Standard 4c: </w:t>
      </w:r>
      <w:r w:rsidR="0084456A">
        <w:t>s</w:t>
      </w:r>
      <w:r w:rsidRPr="006D564A">
        <w:t xml:space="preserve">pecialist </w:t>
      </w:r>
      <w:r w:rsidRPr="005C2921">
        <w:t>services</w:t>
      </w:r>
      <w:r w:rsidRPr="006D564A">
        <w:t xml:space="preserve"> for managing long-term and complex health needs and disabilities</w:t>
      </w:r>
    </w:p>
    <w:tbl>
      <w:tblPr>
        <w:tblStyle w:val="TableGrid"/>
        <w:tblW w:w="14175" w:type="dxa"/>
        <w:tblLayout w:type="fixed"/>
        <w:tblLook w:val="04A0" w:firstRow="1" w:lastRow="0" w:firstColumn="1" w:lastColumn="0" w:noHBand="0" w:noVBand="1"/>
      </w:tblPr>
      <w:tblGrid>
        <w:gridCol w:w="4618"/>
        <w:gridCol w:w="1898"/>
        <w:gridCol w:w="4252"/>
        <w:gridCol w:w="3407"/>
      </w:tblGrid>
      <w:tr w:rsidR="006D564A" w:rsidRPr="000026F8" w14:paraId="01761C70" w14:textId="77777777" w:rsidTr="009465B1">
        <w:trPr>
          <w:tblHeader/>
        </w:trPr>
        <w:tc>
          <w:tcPr>
            <w:tcW w:w="4618" w:type="dxa"/>
          </w:tcPr>
          <w:p w14:paraId="061C0FF6" w14:textId="77777777" w:rsidR="006D564A" w:rsidRPr="009465B1" w:rsidRDefault="006D564A" w:rsidP="006D564A">
            <w:pPr>
              <w:rPr>
                <w:b/>
                <w:bCs/>
              </w:rPr>
            </w:pPr>
            <w:r w:rsidRPr="009465B1">
              <w:rPr>
                <w:b/>
                <w:bCs/>
              </w:rPr>
              <w:t>Criteria</w:t>
            </w:r>
          </w:p>
        </w:tc>
        <w:tc>
          <w:tcPr>
            <w:tcW w:w="1898" w:type="dxa"/>
          </w:tcPr>
          <w:p w14:paraId="091704C3" w14:textId="271148EE" w:rsidR="006D564A" w:rsidRPr="009465B1" w:rsidRDefault="006D564A" w:rsidP="000026F8">
            <w:pPr>
              <w:rPr>
                <w:b/>
                <w:bCs/>
              </w:rPr>
            </w:pPr>
            <w:r w:rsidRPr="009465B1">
              <w:rPr>
                <w:b/>
                <w:bCs/>
              </w:rPr>
              <w:t>Complete?</w:t>
            </w:r>
            <w:r w:rsidR="000026F8">
              <w:rPr>
                <w:b/>
                <w:bCs/>
              </w:rPr>
              <w:t xml:space="preserve"> </w:t>
            </w:r>
            <w:r w:rsidRPr="009465B1">
              <w:rPr>
                <w:b/>
                <w:bCs/>
              </w:rPr>
              <w:t>Yes,</w:t>
            </w:r>
            <w:r w:rsidR="000026F8">
              <w:rPr>
                <w:b/>
                <w:bCs/>
              </w:rPr>
              <w:t xml:space="preserve"> </w:t>
            </w:r>
            <w:proofErr w:type="gramStart"/>
            <w:r w:rsidR="000026F8">
              <w:rPr>
                <w:b/>
                <w:bCs/>
              </w:rPr>
              <w:t>n</w:t>
            </w:r>
            <w:r w:rsidRPr="009465B1">
              <w:rPr>
                <w:b/>
                <w:bCs/>
              </w:rPr>
              <w:t>o</w:t>
            </w:r>
            <w:proofErr w:type="gramEnd"/>
            <w:r w:rsidR="000026F8">
              <w:rPr>
                <w:b/>
                <w:bCs/>
              </w:rPr>
              <w:t xml:space="preserve"> or</w:t>
            </w:r>
            <w:r w:rsidR="000026F8" w:rsidRPr="009465B1">
              <w:rPr>
                <w:b/>
                <w:bCs/>
              </w:rPr>
              <w:t xml:space="preserve"> </w:t>
            </w:r>
            <w:r w:rsidR="000026F8">
              <w:rPr>
                <w:b/>
                <w:bCs/>
              </w:rPr>
              <w:t>p</w:t>
            </w:r>
            <w:r w:rsidRPr="009465B1">
              <w:rPr>
                <w:b/>
                <w:bCs/>
              </w:rPr>
              <w:t>artially</w:t>
            </w:r>
          </w:p>
        </w:tc>
        <w:tc>
          <w:tcPr>
            <w:tcW w:w="4252" w:type="dxa"/>
          </w:tcPr>
          <w:p w14:paraId="531E5094" w14:textId="77777777" w:rsidR="006D564A" w:rsidRPr="009465B1" w:rsidRDefault="006D564A" w:rsidP="006D564A">
            <w:pPr>
              <w:rPr>
                <w:b/>
                <w:bCs/>
              </w:rPr>
            </w:pPr>
            <w:r w:rsidRPr="009465B1">
              <w:rPr>
                <w:b/>
                <w:bCs/>
              </w:rPr>
              <w:t>Evidence</w:t>
            </w:r>
          </w:p>
        </w:tc>
        <w:tc>
          <w:tcPr>
            <w:tcW w:w="3407" w:type="dxa"/>
          </w:tcPr>
          <w:p w14:paraId="4D063041"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DF089C" w14:paraId="7CA51079" w14:textId="77777777" w:rsidTr="009465B1">
        <w:tc>
          <w:tcPr>
            <w:tcW w:w="4618" w:type="dxa"/>
          </w:tcPr>
          <w:p w14:paraId="4361C524" w14:textId="37A479AA" w:rsidR="006D564A" w:rsidRPr="006D564A" w:rsidRDefault="006D564A" w:rsidP="000026F8">
            <w:pPr>
              <w:pStyle w:val="Table-bodytext"/>
            </w:pPr>
            <w:r w:rsidRPr="006D564A">
              <w:t>Essential</w:t>
            </w:r>
            <w:r w:rsidR="000026F8">
              <w:t xml:space="preserve">: </w:t>
            </w:r>
            <w:r w:rsidRPr="006D564A">
              <w:t>Staff work holistically with the young person an</w:t>
            </w:r>
            <w:r w:rsidR="00040DEC">
              <w:t>d</w:t>
            </w:r>
            <w:r w:rsidRPr="006D564A">
              <w:t xml:space="preserve"> engage other agencies to support ongoing health needs.</w:t>
            </w:r>
            <w:r w:rsidR="00040DEC">
              <w:t xml:space="preserve"> </w:t>
            </w:r>
            <w:r w:rsidRPr="006D564A">
              <w:t xml:space="preserve">Staff are familiar with the multi-agency assessment process for an </w:t>
            </w:r>
            <w:r w:rsidR="005A41CB">
              <w:t>e</w:t>
            </w:r>
            <w:r w:rsidRPr="006D564A">
              <w:t xml:space="preserve">ducation, </w:t>
            </w:r>
            <w:proofErr w:type="gramStart"/>
            <w:r w:rsidR="005A41CB">
              <w:t>h</w:t>
            </w:r>
            <w:r w:rsidRPr="006D564A">
              <w:t>ealth</w:t>
            </w:r>
            <w:proofErr w:type="gramEnd"/>
            <w:r w:rsidRPr="006D564A">
              <w:t xml:space="preserve"> and </w:t>
            </w:r>
            <w:r w:rsidR="005A41CB">
              <w:t>c</w:t>
            </w:r>
            <w:r w:rsidRPr="006D564A">
              <w:t xml:space="preserve">are </w:t>
            </w:r>
            <w:r w:rsidR="005A41CB">
              <w:t>p</w:t>
            </w:r>
            <w:r w:rsidRPr="006D564A">
              <w:t xml:space="preserve">lan (EHCP), where the young person has one. Services are commissioned, </w:t>
            </w:r>
            <w:proofErr w:type="gramStart"/>
            <w:r w:rsidRPr="006D564A">
              <w:t>funded</w:t>
            </w:r>
            <w:proofErr w:type="gramEnd"/>
            <w:r w:rsidRPr="006D564A">
              <w:t xml:space="preserve"> and delivered in line with provision specified in a young person’s EHCP, where applicable, and staff liaise with other professionals involved in the young person’s education and care as necessary. This approach is shared by all staff and made clear in information about the service.</w:t>
            </w:r>
          </w:p>
        </w:tc>
        <w:tc>
          <w:tcPr>
            <w:tcW w:w="1898" w:type="dxa"/>
          </w:tcPr>
          <w:p w14:paraId="18D4DBDF" w14:textId="77777777" w:rsidR="006D564A" w:rsidRPr="006D564A" w:rsidRDefault="006D564A" w:rsidP="006D564A"/>
        </w:tc>
        <w:tc>
          <w:tcPr>
            <w:tcW w:w="4252" w:type="dxa"/>
          </w:tcPr>
          <w:p w14:paraId="3903B774" w14:textId="77777777" w:rsidR="006D564A" w:rsidRPr="006D564A" w:rsidRDefault="006D564A" w:rsidP="006D564A"/>
        </w:tc>
        <w:tc>
          <w:tcPr>
            <w:tcW w:w="3407" w:type="dxa"/>
          </w:tcPr>
          <w:p w14:paraId="5EA1B4E1" w14:textId="77777777" w:rsidR="006D564A" w:rsidRPr="006D564A" w:rsidRDefault="006D564A" w:rsidP="006D564A"/>
        </w:tc>
      </w:tr>
      <w:tr w:rsidR="006D564A" w:rsidRPr="00DF089C" w14:paraId="04A2C0ED" w14:textId="77777777" w:rsidTr="009465B1">
        <w:tc>
          <w:tcPr>
            <w:tcW w:w="4618" w:type="dxa"/>
          </w:tcPr>
          <w:p w14:paraId="1E450028" w14:textId="3BDC3185" w:rsidR="006D564A" w:rsidRPr="006D564A" w:rsidRDefault="006D564A" w:rsidP="000026F8">
            <w:pPr>
              <w:pStyle w:val="Table-bodytext"/>
            </w:pPr>
            <w:r w:rsidRPr="006D564A">
              <w:t>Essential</w:t>
            </w:r>
            <w:r w:rsidR="000026F8">
              <w:t xml:space="preserve">: </w:t>
            </w:r>
            <w:r w:rsidRPr="006D564A">
              <w:t>The service has systems and facilities in place to identify and respond to young people’s additional requirements and access needs. A flagging system identifies young people with learning disabilities or autism in case they have additional requirements, for example, double appointments. Specific communication needs are identified and accommodated. Mobility issues are provided for, and in all cases, young people can maintain privacy and dignity regardless of level of need.</w:t>
            </w:r>
          </w:p>
        </w:tc>
        <w:tc>
          <w:tcPr>
            <w:tcW w:w="1898" w:type="dxa"/>
          </w:tcPr>
          <w:p w14:paraId="5823C7E3" w14:textId="77777777" w:rsidR="006D564A" w:rsidRPr="006D564A" w:rsidRDefault="006D564A" w:rsidP="006D564A"/>
        </w:tc>
        <w:tc>
          <w:tcPr>
            <w:tcW w:w="4252" w:type="dxa"/>
          </w:tcPr>
          <w:p w14:paraId="6FB822A2" w14:textId="77777777" w:rsidR="006D564A" w:rsidRPr="006D564A" w:rsidRDefault="006D564A" w:rsidP="006D564A"/>
        </w:tc>
        <w:tc>
          <w:tcPr>
            <w:tcW w:w="3407" w:type="dxa"/>
          </w:tcPr>
          <w:p w14:paraId="06159286" w14:textId="77777777" w:rsidR="006D564A" w:rsidRPr="006D564A" w:rsidRDefault="006D564A" w:rsidP="006D564A"/>
        </w:tc>
      </w:tr>
      <w:tr w:rsidR="006D564A" w:rsidRPr="00DF089C" w14:paraId="0CB13DBF" w14:textId="77777777" w:rsidTr="009465B1">
        <w:tc>
          <w:tcPr>
            <w:tcW w:w="4618" w:type="dxa"/>
          </w:tcPr>
          <w:p w14:paraId="41F287D2" w14:textId="4B0B3667" w:rsidR="006D564A" w:rsidRPr="006D564A" w:rsidRDefault="006D564A" w:rsidP="000026F8">
            <w:pPr>
              <w:pStyle w:val="Table-bodytext"/>
            </w:pPr>
            <w:r w:rsidRPr="006D564A">
              <w:lastRenderedPageBreak/>
              <w:t>Essential</w:t>
            </w:r>
            <w:r w:rsidR="000026F8">
              <w:t xml:space="preserve">: </w:t>
            </w:r>
            <w:r w:rsidRPr="006D564A">
              <w:t>Young people are supported and empowered to understand their long-term condition or disability. Staff offer information and advice to help young people and their families make informed decisions regarding their care, support needs and treatment choices.</w:t>
            </w:r>
          </w:p>
        </w:tc>
        <w:tc>
          <w:tcPr>
            <w:tcW w:w="1898" w:type="dxa"/>
          </w:tcPr>
          <w:p w14:paraId="10515A5C" w14:textId="77777777" w:rsidR="006D564A" w:rsidRPr="006D564A" w:rsidRDefault="006D564A" w:rsidP="006D564A"/>
        </w:tc>
        <w:tc>
          <w:tcPr>
            <w:tcW w:w="4252" w:type="dxa"/>
          </w:tcPr>
          <w:p w14:paraId="1C043173" w14:textId="77777777" w:rsidR="006D564A" w:rsidRPr="006D564A" w:rsidRDefault="006D564A" w:rsidP="006D564A"/>
        </w:tc>
        <w:tc>
          <w:tcPr>
            <w:tcW w:w="3407" w:type="dxa"/>
          </w:tcPr>
          <w:p w14:paraId="67E9BAD4" w14:textId="77777777" w:rsidR="006D564A" w:rsidRPr="006D564A" w:rsidRDefault="006D564A" w:rsidP="006D564A"/>
        </w:tc>
      </w:tr>
      <w:tr w:rsidR="006D564A" w:rsidRPr="00DF089C" w14:paraId="0194F326" w14:textId="77777777" w:rsidTr="009465B1">
        <w:tc>
          <w:tcPr>
            <w:tcW w:w="4618" w:type="dxa"/>
          </w:tcPr>
          <w:p w14:paraId="43952AC1" w14:textId="0832ED68" w:rsidR="006D564A" w:rsidRPr="006D564A" w:rsidRDefault="006D564A" w:rsidP="000026F8">
            <w:pPr>
              <w:pStyle w:val="Table-bodytext"/>
            </w:pPr>
            <w:r w:rsidRPr="006D564A">
              <w:t>Additional</w:t>
            </w:r>
            <w:r w:rsidR="000026F8">
              <w:t xml:space="preserve">: </w:t>
            </w:r>
            <w:r w:rsidRPr="006D564A">
              <w:t xml:space="preserve">Staff understand that young people with a long-term health need or disability can face social isolation and loneliness and help them come together in person or virtually, linking to local and national projects, school, </w:t>
            </w:r>
            <w:proofErr w:type="gramStart"/>
            <w:r w:rsidRPr="006D564A">
              <w:t>college</w:t>
            </w:r>
            <w:proofErr w:type="gramEnd"/>
            <w:r w:rsidRPr="006D564A">
              <w:t xml:space="preserve"> or care settings. </w:t>
            </w:r>
          </w:p>
        </w:tc>
        <w:tc>
          <w:tcPr>
            <w:tcW w:w="1898" w:type="dxa"/>
          </w:tcPr>
          <w:p w14:paraId="4C9601F5" w14:textId="77777777" w:rsidR="006D564A" w:rsidRPr="006D564A" w:rsidRDefault="006D564A" w:rsidP="006D564A"/>
        </w:tc>
        <w:tc>
          <w:tcPr>
            <w:tcW w:w="4252" w:type="dxa"/>
          </w:tcPr>
          <w:p w14:paraId="31D5F7A9" w14:textId="77777777" w:rsidR="006D564A" w:rsidRPr="006D564A" w:rsidRDefault="006D564A" w:rsidP="006D564A"/>
        </w:tc>
        <w:tc>
          <w:tcPr>
            <w:tcW w:w="3407" w:type="dxa"/>
          </w:tcPr>
          <w:p w14:paraId="788AD832" w14:textId="77777777" w:rsidR="006D564A" w:rsidRPr="006D564A" w:rsidRDefault="006D564A" w:rsidP="006D564A"/>
        </w:tc>
      </w:tr>
      <w:tr w:rsidR="006D564A" w:rsidRPr="00DF089C" w14:paraId="0AAE10E2" w14:textId="77777777" w:rsidTr="009465B1">
        <w:tc>
          <w:tcPr>
            <w:tcW w:w="4618" w:type="dxa"/>
          </w:tcPr>
          <w:p w14:paraId="28380E2F" w14:textId="24CA560C" w:rsidR="006D564A" w:rsidRPr="006D564A" w:rsidRDefault="006D564A" w:rsidP="000026F8">
            <w:pPr>
              <w:pStyle w:val="Table-bodytext"/>
            </w:pPr>
            <w:r w:rsidRPr="006D564A">
              <w:t>Additional</w:t>
            </w:r>
            <w:r w:rsidR="000026F8">
              <w:t xml:space="preserve">: </w:t>
            </w:r>
            <w:r w:rsidRPr="006D564A">
              <w:t>Staff recognise that young people may have different needs depending on their age and developmental stage. Advice and information are appropriate for their level of understanding and development including easy read, visual and other formats suitable for young people with communication needs or learning disabilities. Services provide age</w:t>
            </w:r>
            <w:r w:rsidR="00A6629C">
              <w:t>-</w:t>
            </w:r>
            <w:r w:rsidRPr="006D564A">
              <w:t>appropriate space and resources within the health or care setting.</w:t>
            </w:r>
          </w:p>
        </w:tc>
        <w:tc>
          <w:tcPr>
            <w:tcW w:w="1898" w:type="dxa"/>
          </w:tcPr>
          <w:p w14:paraId="0984E2CA" w14:textId="77777777" w:rsidR="006D564A" w:rsidRPr="006D564A" w:rsidRDefault="006D564A" w:rsidP="006D564A"/>
        </w:tc>
        <w:tc>
          <w:tcPr>
            <w:tcW w:w="4252" w:type="dxa"/>
          </w:tcPr>
          <w:p w14:paraId="49FD1E53" w14:textId="77777777" w:rsidR="006D564A" w:rsidRPr="006D564A" w:rsidRDefault="006D564A" w:rsidP="006D564A"/>
        </w:tc>
        <w:tc>
          <w:tcPr>
            <w:tcW w:w="3407" w:type="dxa"/>
          </w:tcPr>
          <w:p w14:paraId="0E811FCF" w14:textId="77777777" w:rsidR="006D564A" w:rsidRPr="006D564A" w:rsidRDefault="006D564A" w:rsidP="006D564A"/>
        </w:tc>
      </w:tr>
      <w:tr w:rsidR="006D564A" w:rsidRPr="00DF089C" w14:paraId="70B45ED5" w14:textId="77777777" w:rsidTr="009465B1">
        <w:tc>
          <w:tcPr>
            <w:tcW w:w="4618" w:type="dxa"/>
          </w:tcPr>
          <w:p w14:paraId="2925F75D" w14:textId="71D21BAD" w:rsidR="006D564A" w:rsidRPr="006D564A" w:rsidRDefault="006D564A" w:rsidP="000026F8">
            <w:pPr>
              <w:pStyle w:val="Table-bodytext"/>
            </w:pPr>
            <w:r w:rsidRPr="006D564A">
              <w:t>Additional</w:t>
            </w:r>
            <w:r w:rsidR="000026F8">
              <w:t xml:space="preserve">: </w:t>
            </w:r>
            <w:r w:rsidRPr="006D564A">
              <w:t xml:space="preserve">Staff within the service make every effort to reduce education or employment absences and support continuity of care. Staff offer engagement </w:t>
            </w:r>
            <w:r w:rsidRPr="006D564A">
              <w:lastRenderedPageBreak/>
              <w:t>where the young person feels most comfortable, such as appointments at school, college or in the community, after school or during holidays, supported by online access where feasible. A plan is in place to keep everyone up to date with communication (including, if appropriate, use of a passport of care). Appointments are as streamlined and co</w:t>
            </w:r>
            <w:r w:rsidR="00040DEC">
              <w:t>-</w:t>
            </w:r>
            <w:r w:rsidRPr="006D564A">
              <w:t>ordinated as possible.</w:t>
            </w:r>
          </w:p>
        </w:tc>
        <w:tc>
          <w:tcPr>
            <w:tcW w:w="1898" w:type="dxa"/>
          </w:tcPr>
          <w:p w14:paraId="308F775D" w14:textId="77777777" w:rsidR="006D564A" w:rsidRPr="006D564A" w:rsidRDefault="006D564A" w:rsidP="006D564A"/>
        </w:tc>
        <w:tc>
          <w:tcPr>
            <w:tcW w:w="4252" w:type="dxa"/>
          </w:tcPr>
          <w:p w14:paraId="0AE2F6B1" w14:textId="77777777" w:rsidR="006D564A" w:rsidRPr="006D564A" w:rsidRDefault="006D564A" w:rsidP="006D564A"/>
        </w:tc>
        <w:tc>
          <w:tcPr>
            <w:tcW w:w="3407" w:type="dxa"/>
          </w:tcPr>
          <w:p w14:paraId="401E97DA" w14:textId="77777777" w:rsidR="006D564A" w:rsidRPr="006D564A" w:rsidRDefault="006D564A" w:rsidP="006D564A"/>
        </w:tc>
      </w:tr>
      <w:tr w:rsidR="006D564A" w:rsidRPr="00DF089C" w14:paraId="1E492C98" w14:textId="77777777" w:rsidTr="009465B1">
        <w:tc>
          <w:tcPr>
            <w:tcW w:w="4618" w:type="dxa"/>
          </w:tcPr>
          <w:p w14:paraId="5365E046" w14:textId="25B3A5D7" w:rsidR="006D564A" w:rsidRPr="006D564A" w:rsidRDefault="006D564A" w:rsidP="000026F8">
            <w:pPr>
              <w:pStyle w:val="Table-bodytext"/>
            </w:pPr>
            <w:r w:rsidRPr="006D564A">
              <w:t>Additional</w:t>
            </w:r>
            <w:r w:rsidR="000026F8">
              <w:t xml:space="preserve">: </w:t>
            </w:r>
            <w:r w:rsidRPr="006D564A">
              <w:t>Each young person has a key worker to help them navigate the services they need and be a main point of contact. The key worker provides guidance on information received by the young person, offers practical support and advice, liaises with other agencies including education, and promotes self-management skills.</w:t>
            </w:r>
          </w:p>
        </w:tc>
        <w:tc>
          <w:tcPr>
            <w:tcW w:w="1898" w:type="dxa"/>
          </w:tcPr>
          <w:p w14:paraId="0659B314" w14:textId="77777777" w:rsidR="006D564A" w:rsidRPr="006D564A" w:rsidRDefault="006D564A" w:rsidP="006D564A"/>
        </w:tc>
        <w:tc>
          <w:tcPr>
            <w:tcW w:w="4252" w:type="dxa"/>
          </w:tcPr>
          <w:p w14:paraId="3A37AAFB" w14:textId="77777777" w:rsidR="006D564A" w:rsidRPr="006D564A" w:rsidRDefault="006D564A" w:rsidP="006D564A"/>
        </w:tc>
        <w:tc>
          <w:tcPr>
            <w:tcW w:w="3407" w:type="dxa"/>
          </w:tcPr>
          <w:p w14:paraId="04A7392D" w14:textId="77777777" w:rsidR="006D564A" w:rsidRPr="006D564A" w:rsidRDefault="006D564A" w:rsidP="006D564A"/>
        </w:tc>
      </w:tr>
      <w:tr w:rsidR="006D564A" w:rsidRPr="00DF089C" w14:paraId="1AF0FF51" w14:textId="77777777" w:rsidTr="009465B1">
        <w:tc>
          <w:tcPr>
            <w:tcW w:w="4618" w:type="dxa"/>
          </w:tcPr>
          <w:p w14:paraId="75CCF57B" w14:textId="497407CB" w:rsidR="006D564A" w:rsidRPr="006D564A" w:rsidRDefault="006D564A" w:rsidP="000026F8">
            <w:pPr>
              <w:pStyle w:val="Table-bodytext"/>
            </w:pPr>
            <w:r w:rsidRPr="006D564A">
              <w:t>Additional</w:t>
            </w:r>
            <w:r w:rsidR="000026F8">
              <w:t xml:space="preserve">: </w:t>
            </w:r>
            <w:r w:rsidRPr="006D564A">
              <w:t xml:space="preserve">Staff receive training in adolescent development, managing long-term conditions and transitional care, such as the </w:t>
            </w:r>
            <w:hyperlink r:id="rId16" w:history="1">
              <w:r w:rsidR="00A264AE">
                <w:rPr>
                  <w:rStyle w:val="Hyperlink"/>
                </w:rPr>
                <w:t>Adolescent Health Programme e-learning</w:t>
              </w:r>
            </w:hyperlink>
            <w:r w:rsidRPr="006D564A">
              <w:t xml:space="preserve">, as a context for understanding the impact of complex and long-term health needs. </w:t>
            </w:r>
          </w:p>
        </w:tc>
        <w:tc>
          <w:tcPr>
            <w:tcW w:w="1898" w:type="dxa"/>
          </w:tcPr>
          <w:p w14:paraId="52F26D1D" w14:textId="77777777" w:rsidR="006D564A" w:rsidRPr="006D564A" w:rsidRDefault="006D564A" w:rsidP="006D564A"/>
        </w:tc>
        <w:tc>
          <w:tcPr>
            <w:tcW w:w="4252" w:type="dxa"/>
          </w:tcPr>
          <w:p w14:paraId="3950CE13" w14:textId="77777777" w:rsidR="006D564A" w:rsidRPr="006D564A" w:rsidRDefault="006D564A" w:rsidP="006D564A"/>
        </w:tc>
        <w:tc>
          <w:tcPr>
            <w:tcW w:w="3407" w:type="dxa"/>
          </w:tcPr>
          <w:p w14:paraId="6BFE6EE4" w14:textId="77777777" w:rsidR="006D564A" w:rsidRPr="006D564A" w:rsidRDefault="006D564A" w:rsidP="006D564A"/>
        </w:tc>
      </w:tr>
      <w:tr w:rsidR="006D564A" w:rsidRPr="00DF089C" w14:paraId="4002DDEA" w14:textId="77777777" w:rsidTr="009465B1">
        <w:tc>
          <w:tcPr>
            <w:tcW w:w="4618" w:type="dxa"/>
          </w:tcPr>
          <w:p w14:paraId="7A6A8F66" w14:textId="11D37541" w:rsidR="006D564A" w:rsidRPr="006D564A" w:rsidRDefault="006D564A" w:rsidP="000026F8">
            <w:pPr>
              <w:pStyle w:val="Table-bodytext"/>
            </w:pPr>
            <w:r w:rsidRPr="006D564A">
              <w:t>Additional</w:t>
            </w:r>
            <w:r w:rsidR="000026F8">
              <w:t xml:space="preserve">: </w:t>
            </w:r>
            <w:r w:rsidRPr="006D564A">
              <w:t xml:space="preserve">Staff recognise and act upon the link between physical and mental health especially if it is having a daily impact, for example pain or fatigue, </w:t>
            </w:r>
            <w:r w:rsidR="005A41CB">
              <w:lastRenderedPageBreak/>
              <w:t>which</w:t>
            </w:r>
            <w:r w:rsidR="005A41CB" w:rsidRPr="006D564A">
              <w:t xml:space="preserve"> </w:t>
            </w:r>
            <w:r w:rsidRPr="006D564A">
              <w:t>can often be more likely with patients with chronic long-term conditions.</w:t>
            </w:r>
          </w:p>
        </w:tc>
        <w:tc>
          <w:tcPr>
            <w:tcW w:w="1898" w:type="dxa"/>
          </w:tcPr>
          <w:p w14:paraId="650C3A75" w14:textId="77777777" w:rsidR="006D564A" w:rsidRPr="006D564A" w:rsidRDefault="006D564A" w:rsidP="006D564A"/>
        </w:tc>
        <w:tc>
          <w:tcPr>
            <w:tcW w:w="4252" w:type="dxa"/>
          </w:tcPr>
          <w:p w14:paraId="212B84D4" w14:textId="77777777" w:rsidR="006D564A" w:rsidRPr="006D564A" w:rsidRDefault="006D564A" w:rsidP="006D564A"/>
        </w:tc>
        <w:tc>
          <w:tcPr>
            <w:tcW w:w="3407" w:type="dxa"/>
          </w:tcPr>
          <w:p w14:paraId="1D938931" w14:textId="77777777" w:rsidR="006D564A" w:rsidRPr="006D564A" w:rsidRDefault="006D564A" w:rsidP="006D564A"/>
        </w:tc>
      </w:tr>
    </w:tbl>
    <w:p w14:paraId="30D16E3C" w14:textId="46CF5CCB" w:rsidR="00533482" w:rsidRDefault="000026F8" w:rsidP="000026F8">
      <w:pPr>
        <w:pStyle w:val="ParagraphText"/>
      </w:pPr>
      <w:r w:rsidRPr="00D425C6">
        <w:t>Young people comments and recommendations following review:</w:t>
      </w:r>
    </w:p>
    <w:p w14:paraId="34A0D804" w14:textId="77777777" w:rsidR="00533482" w:rsidRDefault="00533482" w:rsidP="00533482">
      <w:pPr>
        <w:pStyle w:val="ParagraphText"/>
        <w:rPr>
          <w:b/>
          <w:sz w:val="25"/>
        </w:rPr>
      </w:pPr>
      <w:r>
        <w:br w:type="page"/>
      </w:r>
    </w:p>
    <w:p w14:paraId="6346086E" w14:textId="4AA2B55D" w:rsidR="006D564A" w:rsidRPr="006D564A" w:rsidRDefault="006D564A" w:rsidP="007D714B">
      <w:pPr>
        <w:pStyle w:val="Heading4"/>
      </w:pPr>
      <w:r w:rsidRPr="006D564A">
        <w:lastRenderedPageBreak/>
        <w:t xml:space="preserve">Standard 4d: </w:t>
      </w:r>
      <w:r w:rsidR="0084456A">
        <w:t>s</w:t>
      </w:r>
      <w:r w:rsidRPr="006D564A">
        <w:t>pecialist services for</w:t>
      </w:r>
      <w:r w:rsidR="00B60B64">
        <w:t xml:space="preserve"> children and young people’s</w:t>
      </w:r>
      <w:r w:rsidRPr="006D564A">
        <w:t xml:space="preserve"> mental health and wellbeing</w:t>
      </w:r>
    </w:p>
    <w:tbl>
      <w:tblPr>
        <w:tblStyle w:val="TableGrid"/>
        <w:tblW w:w="14029" w:type="dxa"/>
        <w:tblLayout w:type="fixed"/>
        <w:tblLook w:val="04A0" w:firstRow="1" w:lastRow="0" w:firstColumn="1" w:lastColumn="0" w:noHBand="0" w:noVBand="1"/>
      </w:tblPr>
      <w:tblGrid>
        <w:gridCol w:w="4618"/>
        <w:gridCol w:w="1898"/>
        <w:gridCol w:w="4252"/>
        <w:gridCol w:w="3261"/>
      </w:tblGrid>
      <w:tr w:rsidR="006D564A" w:rsidRPr="00B60B64" w14:paraId="387F6BBF" w14:textId="77777777" w:rsidTr="009465B1">
        <w:trPr>
          <w:tblHeader/>
        </w:trPr>
        <w:tc>
          <w:tcPr>
            <w:tcW w:w="4618" w:type="dxa"/>
          </w:tcPr>
          <w:p w14:paraId="6FB437DB" w14:textId="77777777" w:rsidR="006D564A" w:rsidRPr="009465B1" w:rsidRDefault="006D564A" w:rsidP="006D564A">
            <w:pPr>
              <w:rPr>
                <w:b/>
                <w:bCs/>
              </w:rPr>
            </w:pPr>
            <w:r w:rsidRPr="009465B1">
              <w:rPr>
                <w:b/>
                <w:bCs/>
              </w:rPr>
              <w:t>Criteria</w:t>
            </w:r>
          </w:p>
        </w:tc>
        <w:tc>
          <w:tcPr>
            <w:tcW w:w="1898" w:type="dxa"/>
          </w:tcPr>
          <w:p w14:paraId="0E09B364" w14:textId="69451C9D" w:rsidR="006D564A" w:rsidRPr="009465B1" w:rsidRDefault="006D564A" w:rsidP="00B60B64">
            <w:pPr>
              <w:rPr>
                <w:b/>
                <w:bCs/>
              </w:rPr>
            </w:pPr>
            <w:r w:rsidRPr="009465B1">
              <w:rPr>
                <w:b/>
                <w:bCs/>
              </w:rPr>
              <w:t>Complete?</w:t>
            </w:r>
            <w:r w:rsidR="00B60B64">
              <w:rPr>
                <w:b/>
                <w:bCs/>
              </w:rPr>
              <w:t xml:space="preserve"> </w:t>
            </w:r>
            <w:r w:rsidRPr="009465B1">
              <w:rPr>
                <w:b/>
                <w:bCs/>
              </w:rPr>
              <w:t xml:space="preserve">Yes, </w:t>
            </w:r>
            <w:proofErr w:type="gramStart"/>
            <w:r w:rsidR="00B60B64">
              <w:rPr>
                <w:b/>
                <w:bCs/>
              </w:rPr>
              <w:t>n</w:t>
            </w:r>
            <w:r w:rsidRPr="009465B1">
              <w:rPr>
                <w:b/>
                <w:bCs/>
              </w:rPr>
              <w:t>o</w:t>
            </w:r>
            <w:proofErr w:type="gramEnd"/>
            <w:r w:rsidR="00B60B64">
              <w:rPr>
                <w:b/>
                <w:bCs/>
              </w:rPr>
              <w:t xml:space="preserve"> or</w:t>
            </w:r>
            <w:r w:rsidR="00B60B64" w:rsidRPr="009465B1">
              <w:rPr>
                <w:b/>
                <w:bCs/>
              </w:rPr>
              <w:t xml:space="preserve"> </w:t>
            </w:r>
            <w:r w:rsidR="00B60B64">
              <w:rPr>
                <w:b/>
                <w:bCs/>
              </w:rPr>
              <w:t>p</w:t>
            </w:r>
            <w:r w:rsidRPr="009465B1">
              <w:rPr>
                <w:b/>
                <w:bCs/>
              </w:rPr>
              <w:t>artially</w:t>
            </w:r>
          </w:p>
        </w:tc>
        <w:tc>
          <w:tcPr>
            <w:tcW w:w="4252" w:type="dxa"/>
          </w:tcPr>
          <w:p w14:paraId="2533C0FF" w14:textId="77777777" w:rsidR="006D564A" w:rsidRPr="009465B1" w:rsidRDefault="006D564A" w:rsidP="006D564A">
            <w:pPr>
              <w:rPr>
                <w:b/>
                <w:bCs/>
              </w:rPr>
            </w:pPr>
            <w:r w:rsidRPr="009465B1">
              <w:rPr>
                <w:b/>
                <w:bCs/>
              </w:rPr>
              <w:t>Evidence</w:t>
            </w:r>
          </w:p>
        </w:tc>
        <w:tc>
          <w:tcPr>
            <w:tcW w:w="3261" w:type="dxa"/>
          </w:tcPr>
          <w:p w14:paraId="4D7FBCEB"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6D0787EA" w14:textId="77777777" w:rsidTr="009465B1">
        <w:tc>
          <w:tcPr>
            <w:tcW w:w="4618" w:type="dxa"/>
          </w:tcPr>
          <w:p w14:paraId="4CD304FE" w14:textId="06956814" w:rsidR="006D564A" w:rsidRPr="006D564A" w:rsidRDefault="006D564A" w:rsidP="00B60B64">
            <w:pPr>
              <w:pStyle w:val="Table-bodytext"/>
            </w:pPr>
            <w:r w:rsidRPr="006D564A">
              <w:t>Essential</w:t>
            </w:r>
            <w:r w:rsidR="00B60B64">
              <w:t xml:space="preserve">: </w:t>
            </w:r>
            <w:r w:rsidRPr="006D564A">
              <w:t>Young people, their parents and carers receive easy</w:t>
            </w:r>
            <w:r w:rsidR="00B60B64">
              <w:t>-</w:t>
            </w:r>
            <w:r w:rsidRPr="006D564A">
              <w:t>to</w:t>
            </w:r>
            <w:r w:rsidR="00B60B64">
              <w:t>-</w:t>
            </w:r>
            <w:r w:rsidRPr="006D564A">
              <w:t>understand information and advice on the roles of staff they might encounter in mental health services making it easier to share decision-making. Young people’s preferences for involving other people for support during the assessment, and when making treatment decisions, are considered.</w:t>
            </w:r>
          </w:p>
        </w:tc>
        <w:tc>
          <w:tcPr>
            <w:tcW w:w="1898" w:type="dxa"/>
          </w:tcPr>
          <w:p w14:paraId="5673575E" w14:textId="77777777" w:rsidR="006D564A" w:rsidRPr="006D564A" w:rsidRDefault="006D564A" w:rsidP="006D564A"/>
        </w:tc>
        <w:tc>
          <w:tcPr>
            <w:tcW w:w="4252" w:type="dxa"/>
          </w:tcPr>
          <w:p w14:paraId="21EB9BD9" w14:textId="77777777" w:rsidR="006D564A" w:rsidRPr="006D564A" w:rsidRDefault="006D564A" w:rsidP="006D564A"/>
        </w:tc>
        <w:tc>
          <w:tcPr>
            <w:tcW w:w="3261" w:type="dxa"/>
          </w:tcPr>
          <w:p w14:paraId="66C6A07B" w14:textId="77777777" w:rsidR="006D564A" w:rsidRPr="006D564A" w:rsidRDefault="006D564A" w:rsidP="006D564A"/>
        </w:tc>
      </w:tr>
      <w:tr w:rsidR="006D564A" w:rsidRPr="00383CAD" w14:paraId="727B8EB0" w14:textId="77777777" w:rsidTr="009465B1">
        <w:tc>
          <w:tcPr>
            <w:tcW w:w="4618" w:type="dxa"/>
          </w:tcPr>
          <w:p w14:paraId="15571B0D" w14:textId="2CC6877B" w:rsidR="006D564A" w:rsidRPr="006D564A" w:rsidRDefault="006D564A" w:rsidP="00B60B64">
            <w:pPr>
              <w:pStyle w:val="Table-bodytext"/>
            </w:pPr>
            <w:r w:rsidRPr="006D564A">
              <w:t>Essential</w:t>
            </w:r>
            <w:r w:rsidR="00B60B64">
              <w:t xml:space="preserve">: </w:t>
            </w:r>
            <w:r w:rsidRPr="006D564A">
              <w:t>Young people and their families receive clear information and advice about the intervention, treatment options and likely outcomes.</w:t>
            </w:r>
          </w:p>
        </w:tc>
        <w:tc>
          <w:tcPr>
            <w:tcW w:w="1898" w:type="dxa"/>
          </w:tcPr>
          <w:p w14:paraId="49B57799" w14:textId="77777777" w:rsidR="006D564A" w:rsidRPr="006D564A" w:rsidRDefault="006D564A" w:rsidP="006D564A"/>
        </w:tc>
        <w:tc>
          <w:tcPr>
            <w:tcW w:w="4252" w:type="dxa"/>
          </w:tcPr>
          <w:p w14:paraId="51BA00B7" w14:textId="77777777" w:rsidR="006D564A" w:rsidRPr="006D564A" w:rsidRDefault="006D564A" w:rsidP="006D564A"/>
        </w:tc>
        <w:tc>
          <w:tcPr>
            <w:tcW w:w="3261" w:type="dxa"/>
          </w:tcPr>
          <w:p w14:paraId="67BA55D4" w14:textId="77777777" w:rsidR="006D564A" w:rsidRPr="006D564A" w:rsidRDefault="006D564A" w:rsidP="006D564A"/>
        </w:tc>
      </w:tr>
      <w:tr w:rsidR="006D564A" w:rsidRPr="00383CAD" w14:paraId="6925FE25" w14:textId="77777777" w:rsidTr="009465B1">
        <w:tc>
          <w:tcPr>
            <w:tcW w:w="4618" w:type="dxa"/>
          </w:tcPr>
          <w:p w14:paraId="4100DB07" w14:textId="574846B5" w:rsidR="006D564A" w:rsidRPr="006D564A" w:rsidRDefault="006D564A" w:rsidP="00B60B64">
            <w:pPr>
              <w:pStyle w:val="Table-bodytext"/>
            </w:pPr>
            <w:r w:rsidRPr="006D564A">
              <w:t>Essential</w:t>
            </w:r>
            <w:r w:rsidR="00B60B64">
              <w:t xml:space="preserve">: </w:t>
            </w:r>
            <w:r w:rsidRPr="006D564A">
              <w:t xml:space="preserve">Young people are offered appropriate information and advice on whether to involve other people </w:t>
            </w:r>
            <w:r w:rsidR="00B605AB">
              <w:t xml:space="preserve">- </w:t>
            </w:r>
            <w:r w:rsidRPr="006D564A">
              <w:t xml:space="preserve">such as parents </w:t>
            </w:r>
            <w:r w:rsidR="00B605AB">
              <w:t xml:space="preserve">- </w:t>
            </w:r>
            <w:r w:rsidRPr="006D564A">
              <w:t>in their assessment and treatment process. Refusal of consent to family or carer involvement is accepted unless there is serious risk to the young person’s welfare. Shared decision-making underpins all actions, including in cases where the overriding serious risks lead to compulsory treatment. Young people are always offered appropriate information and advice to make treatment choices based on informed consent.</w:t>
            </w:r>
          </w:p>
        </w:tc>
        <w:tc>
          <w:tcPr>
            <w:tcW w:w="1898" w:type="dxa"/>
          </w:tcPr>
          <w:p w14:paraId="58DF608D" w14:textId="77777777" w:rsidR="006D564A" w:rsidRPr="006D564A" w:rsidRDefault="006D564A" w:rsidP="006D564A"/>
        </w:tc>
        <w:tc>
          <w:tcPr>
            <w:tcW w:w="4252" w:type="dxa"/>
          </w:tcPr>
          <w:p w14:paraId="0C87E63B" w14:textId="77777777" w:rsidR="006D564A" w:rsidRPr="006D564A" w:rsidRDefault="006D564A" w:rsidP="006D564A"/>
        </w:tc>
        <w:tc>
          <w:tcPr>
            <w:tcW w:w="3261" w:type="dxa"/>
          </w:tcPr>
          <w:p w14:paraId="54981337" w14:textId="77777777" w:rsidR="006D564A" w:rsidRPr="006D564A" w:rsidRDefault="006D564A" w:rsidP="006D564A"/>
        </w:tc>
      </w:tr>
      <w:tr w:rsidR="006D564A" w:rsidRPr="00383CAD" w14:paraId="337B73A9" w14:textId="77777777" w:rsidTr="009465B1">
        <w:tc>
          <w:tcPr>
            <w:tcW w:w="4618" w:type="dxa"/>
          </w:tcPr>
          <w:p w14:paraId="35F58C35" w14:textId="0ACD8378" w:rsidR="006D564A" w:rsidRPr="006D564A" w:rsidRDefault="006D564A" w:rsidP="00B60B64">
            <w:pPr>
              <w:pStyle w:val="Table-bodytext"/>
            </w:pPr>
            <w:r w:rsidRPr="006D564A">
              <w:lastRenderedPageBreak/>
              <w:t>Additional</w:t>
            </w:r>
            <w:r w:rsidR="00B60B64">
              <w:t xml:space="preserve">: </w:t>
            </w:r>
            <w:r w:rsidRPr="006D564A">
              <w:t>Staff are aware of current evidence-based practice and treatments and</w:t>
            </w:r>
            <w:r w:rsidR="00C40BB4">
              <w:t xml:space="preserve"> use these to </w:t>
            </w:r>
            <w:r w:rsidRPr="006D564A">
              <w:t>support young people</w:t>
            </w:r>
            <w:r w:rsidR="00C40BB4">
              <w:t>.</w:t>
            </w:r>
          </w:p>
        </w:tc>
        <w:tc>
          <w:tcPr>
            <w:tcW w:w="1898" w:type="dxa"/>
          </w:tcPr>
          <w:p w14:paraId="28109124" w14:textId="77777777" w:rsidR="006D564A" w:rsidRPr="006D564A" w:rsidRDefault="006D564A" w:rsidP="006D564A"/>
        </w:tc>
        <w:tc>
          <w:tcPr>
            <w:tcW w:w="4252" w:type="dxa"/>
          </w:tcPr>
          <w:p w14:paraId="1E9CDB49" w14:textId="77777777" w:rsidR="006D564A" w:rsidRPr="006D564A" w:rsidRDefault="006D564A" w:rsidP="006D564A"/>
        </w:tc>
        <w:tc>
          <w:tcPr>
            <w:tcW w:w="3261" w:type="dxa"/>
          </w:tcPr>
          <w:p w14:paraId="029544C2" w14:textId="77777777" w:rsidR="006D564A" w:rsidRPr="006D564A" w:rsidRDefault="006D564A" w:rsidP="006D564A"/>
        </w:tc>
      </w:tr>
      <w:tr w:rsidR="006D564A" w:rsidRPr="00383CAD" w14:paraId="707D57BF" w14:textId="77777777" w:rsidTr="009465B1">
        <w:tc>
          <w:tcPr>
            <w:tcW w:w="4618" w:type="dxa"/>
          </w:tcPr>
          <w:p w14:paraId="316164A2" w14:textId="093953C9" w:rsidR="006D564A" w:rsidRPr="006D564A" w:rsidRDefault="006D564A" w:rsidP="00B60B64">
            <w:pPr>
              <w:pStyle w:val="Table-bodytext"/>
            </w:pPr>
            <w:r w:rsidRPr="006D564A">
              <w:t>Additional</w:t>
            </w:r>
            <w:r w:rsidR="00B60B64">
              <w:t xml:space="preserve">: </w:t>
            </w:r>
            <w:r w:rsidRPr="006D564A">
              <w:t xml:space="preserve">Young people and their families are made aware of the legal procedures in place to ensure safety where appropriate and given the opportunity to ask questions. </w:t>
            </w:r>
          </w:p>
        </w:tc>
        <w:tc>
          <w:tcPr>
            <w:tcW w:w="1898" w:type="dxa"/>
          </w:tcPr>
          <w:p w14:paraId="005E5C6B" w14:textId="77777777" w:rsidR="006D564A" w:rsidRPr="006D564A" w:rsidRDefault="006D564A" w:rsidP="006D564A"/>
        </w:tc>
        <w:tc>
          <w:tcPr>
            <w:tcW w:w="4252" w:type="dxa"/>
          </w:tcPr>
          <w:p w14:paraId="3F0C25E0" w14:textId="77777777" w:rsidR="006D564A" w:rsidRPr="006D564A" w:rsidRDefault="006D564A" w:rsidP="006D564A"/>
        </w:tc>
        <w:tc>
          <w:tcPr>
            <w:tcW w:w="3261" w:type="dxa"/>
          </w:tcPr>
          <w:p w14:paraId="5015D446" w14:textId="77777777" w:rsidR="006D564A" w:rsidRPr="006D564A" w:rsidRDefault="006D564A" w:rsidP="006D564A"/>
        </w:tc>
      </w:tr>
      <w:tr w:rsidR="006D564A" w:rsidRPr="00383CAD" w14:paraId="73687895" w14:textId="77777777" w:rsidTr="009465B1">
        <w:tc>
          <w:tcPr>
            <w:tcW w:w="4618" w:type="dxa"/>
          </w:tcPr>
          <w:p w14:paraId="52CD124A" w14:textId="774FFA8B" w:rsidR="006D564A" w:rsidRPr="006D564A" w:rsidRDefault="006D564A" w:rsidP="00B60B64">
            <w:pPr>
              <w:pStyle w:val="Table-bodytext"/>
            </w:pPr>
            <w:r w:rsidRPr="006D564A">
              <w:t>Additional</w:t>
            </w:r>
            <w:r w:rsidR="00B60B64">
              <w:t xml:space="preserve">: </w:t>
            </w:r>
            <w:r w:rsidRPr="006D564A">
              <w:t>Staff are aware of local pathways, referral mechanisms and the roles and responsibilities of other services</w:t>
            </w:r>
            <w:r w:rsidR="00835D88">
              <w:t>.</w:t>
            </w:r>
          </w:p>
        </w:tc>
        <w:tc>
          <w:tcPr>
            <w:tcW w:w="1898" w:type="dxa"/>
          </w:tcPr>
          <w:p w14:paraId="20437494" w14:textId="77777777" w:rsidR="006D564A" w:rsidRPr="006D564A" w:rsidRDefault="006D564A" w:rsidP="006D564A"/>
        </w:tc>
        <w:tc>
          <w:tcPr>
            <w:tcW w:w="4252" w:type="dxa"/>
          </w:tcPr>
          <w:p w14:paraId="56DC277C" w14:textId="77777777" w:rsidR="006D564A" w:rsidRPr="006D564A" w:rsidRDefault="006D564A" w:rsidP="006D564A"/>
        </w:tc>
        <w:tc>
          <w:tcPr>
            <w:tcW w:w="3261" w:type="dxa"/>
          </w:tcPr>
          <w:p w14:paraId="56E39218" w14:textId="77777777" w:rsidR="006D564A" w:rsidRPr="006D564A" w:rsidRDefault="006D564A" w:rsidP="006D564A"/>
        </w:tc>
      </w:tr>
      <w:tr w:rsidR="006D564A" w:rsidRPr="00383CAD" w14:paraId="7C99FC31" w14:textId="77777777" w:rsidTr="009465B1">
        <w:tc>
          <w:tcPr>
            <w:tcW w:w="4618" w:type="dxa"/>
          </w:tcPr>
          <w:p w14:paraId="679AA784" w14:textId="376CFF0F" w:rsidR="006D564A" w:rsidRPr="006D564A" w:rsidRDefault="006D564A" w:rsidP="00B60B64">
            <w:pPr>
              <w:pStyle w:val="Table-bodytext"/>
            </w:pPr>
            <w:r w:rsidRPr="006D564A">
              <w:t>Additional</w:t>
            </w:r>
            <w:r w:rsidR="00B60B64">
              <w:t xml:space="preserve">: </w:t>
            </w:r>
            <w:r w:rsidRPr="006D564A">
              <w:t xml:space="preserve">The service has clear protocols for sharing of information and communication to support effective partnerships with young people and families and other services such as social care, schools, colleges, school nurses and </w:t>
            </w:r>
            <w:r w:rsidR="00835D88">
              <w:t>m</w:t>
            </w:r>
            <w:r w:rsidRPr="006D564A">
              <w:t xml:space="preserve">ental </w:t>
            </w:r>
            <w:r w:rsidR="00835D88">
              <w:t>h</w:t>
            </w:r>
            <w:r w:rsidRPr="006D564A">
              <w:t xml:space="preserve">ealth </w:t>
            </w:r>
            <w:r w:rsidR="00835D88">
              <w:t>s</w:t>
            </w:r>
            <w:r w:rsidRPr="006D564A">
              <w:t xml:space="preserve">upport </w:t>
            </w:r>
            <w:r w:rsidR="00835D88">
              <w:t>t</w:t>
            </w:r>
            <w:r w:rsidRPr="006D564A">
              <w:t>eams</w:t>
            </w:r>
            <w:r w:rsidR="00835D88">
              <w:t>.</w:t>
            </w:r>
          </w:p>
        </w:tc>
        <w:tc>
          <w:tcPr>
            <w:tcW w:w="1898" w:type="dxa"/>
          </w:tcPr>
          <w:p w14:paraId="33195BC7" w14:textId="77777777" w:rsidR="006D564A" w:rsidRPr="006D564A" w:rsidRDefault="006D564A" w:rsidP="006D564A"/>
        </w:tc>
        <w:tc>
          <w:tcPr>
            <w:tcW w:w="4252" w:type="dxa"/>
          </w:tcPr>
          <w:p w14:paraId="6EE2BF8D" w14:textId="77777777" w:rsidR="006D564A" w:rsidRPr="006D564A" w:rsidRDefault="006D564A" w:rsidP="006D564A"/>
        </w:tc>
        <w:tc>
          <w:tcPr>
            <w:tcW w:w="3261" w:type="dxa"/>
          </w:tcPr>
          <w:p w14:paraId="0BDB7166" w14:textId="77777777" w:rsidR="006D564A" w:rsidRPr="006D564A" w:rsidRDefault="006D564A" w:rsidP="006D564A"/>
        </w:tc>
      </w:tr>
    </w:tbl>
    <w:p w14:paraId="67541786" w14:textId="14A6964A" w:rsidR="00451BC1" w:rsidRPr="00B60B64" w:rsidRDefault="00B60B64" w:rsidP="00B60B64">
      <w:pPr>
        <w:pStyle w:val="ParagraphText"/>
      </w:pPr>
      <w:r w:rsidRPr="00451BC1">
        <w:t>Young people comments and recommendations following review:</w:t>
      </w:r>
    </w:p>
    <w:p w14:paraId="3A57CEE0" w14:textId="77777777" w:rsidR="00451BC1" w:rsidRDefault="00451BC1">
      <w:pPr>
        <w:rPr>
          <w:b/>
          <w:sz w:val="25"/>
        </w:rPr>
      </w:pPr>
      <w:r>
        <w:br w:type="page"/>
      </w:r>
    </w:p>
    <w:p w14:paraId="04745478" w14:textId="20175655" w:rsidR="006D564A" w:rsidRPr="006D564A" w:rsidRDefault="006D564A" w:rsidP="008D1844">
      <w:pPr>
        <w:pStyle w:val="Heading4"/>
      </w:pPr>
      <w:r w:rsidRPr="006D564A">
        <w:lastRenderedPageBreak/>
        <w:t xml:space="preserve">Standard 4e: </w:t>
      </w:r>
      <w:r w:rsidR="0084456A">
        <w:t>s</w:t>
      </w:r>
      <w:r w:rsidRPr="006D564A">
        <w:t>pecialist services for sexual and reproductive health services</w:t>
      </w:r>
    </w:p>
    <w:tbl>
      <w:tblPr>
        <w:tblStyle w:val="TableGrid"/>
        <w:tblW w:w="14170" w:type="dxa"/>
        <w:tblLayout w:type="fixed"/>
        <w:tblLook w:val="04A0" w:firstRow="1" w:lastRow="0" w:firstColumn="1" w:lastColumn="0" w:noHBand="0" w:noVBand="1"/>
      </w:tblPr>
      <w:tblGrid>
        <w:gridCol w:w="4618"/>
        <w:gridCol w:w="1898"/>
        <w:gridCol w:w="4252"/>
        <w:gridCol w:w="3402"/>
      </w:tblGrid>
      <w:tr w:rsidR="006D564A" w:rsidRPr="00B605AB" w14:paraId="2BA0493D" w14:textId="77777777" w:rsidTr="009465B1">
        <w:trPr>
          <w:tblHeader/>
        </w:trPr>
        <w:tc>
          <w:tcPr>
            <w:tcW w:w="4618" w:type="dxa"/>
          </w:tcPr>
          <w:p w14:paraId="0FC59402" w14:textId="77777777" w:rsidR="006D564A" w:rsidRPr="009465B1" w:rsidRDefault="006D564A" w:rsidP="006D564A">
            <w:pPr>
              <w:rPr>
                <w:b/>
                <w:bCs/>
              </w:rPr>
            </w:pPr>
            <w:r w:rsidRPr="009465B1">
              <w:rPr>
                <w:b/>
                <w:bCs/>
              </w:rPr>
              <w:t>Criteria</w:t>
            </w:r>
          </w:p>
        </w:tc>
        <w:tc>
          <w:tcPr>
            <w:tcW w:w="1898" w:type="dxa"/>
          </w:tcPr>
          <w:p w14:paraId="29CBCF98" w14:textId="77777777" w:rsidR="006D564A" w:rsidRPr="009465B1" w:rsidRDefault="006D564A" w:rsidP="006D564A">
            <w:pPr>
              <w:rPr>
                <w:b/>
                <w:bCs/>
              </w:rPr>
            </w:pPr>
            <w:r w:rsidRPr="009465B1">
              <w:rPr>
                <w:b/>
                <w:bCs/>
              </w:rPr>
              <w:t>Complete?</w:t>
            </w:r>
          </w:p>
          <w:p w14:paraId="0AE7BCE9" w14:textId="5688DC58" w:rsidR="006D564A" w:rsidRPr="009465B1" w:rsidRDefault="006D564A" w:rsidP="006D564A">
            <w:pPr>
              <w:rPr>
                <w:b/>
                <w:bCs/>
              </w:rPr>
            </w:pPr>
            <w:r w:rsidRPr="009465B1">
              <w:rPr>
                <w:b/>
                <w:bCs/>
              </w:rPr>
              <w:t xml:space="preserve">Yes, </w:t>
            </w:r>
            <w:proofErr w:type="gramStart"/>
            <w:r w:rsidR="00B605AB">
              <w:rPr>
                <w:b/>
                <w:bCs/>
              </w:rPr>
              <w:t>n</w:t>
            </w:r>
            <w:r w:rsidRPr="009465B1">
              <w:rPr>
                <w:b/>
                <w:bCs/>
              </w:rPr>
              <w:t>o</w:t>
            </w:r>
            <w:proofErr w:type="gramEnd"/>
            <w:r w:rsidR="00B605AB">
              <w:rPr>
                <w:b/>
                <w:bCs/>
              </w:rPr>
              <w:t xml:space="preserve"> or p</w:t>
            </w:r>
            <w:r w:rsidRPr="009465B1">
              <w:rPr>
                <w:b/>
                <w:bCs/>
              </w:rPr>
              <w:t xml:space="preserve">artially </w:t>
            </w:r>
          </w:p>
        </w:tc>
        <w:tc>
          <w:tcPr>
            <w:tcW w:w="4252" w:type="dxa"/>
          </w:tcPr>
          <w:p w14:paraId="7746DD14" w14:textId="77777777" w:rsidR="006D564A" w:rsidRPr="009465B1" w:rsidRDefault="006D564A" w:rsidP="006D564A">
            <w:pPr>
              <w:rPr>
                <w:b/>
                <w:bCs/>
              </w:rPr>
            </w:pPr>
            <w:r w:rsidRPr="009465B1">
              <w:rPr>
                <w:b/>
                <w:bCs/>
              </w:rPr>
              <w:t>Evidence</w:t>
            </w:r>
          </w:p>
        </w:tc>
        <w:tc>
          <w:tcPr>
            <w:tcW w:w="3402" w:type="dxa"/>
          </w:tcPr>
          <w:p w14:paraId="749C4F6F"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DF089C" w14:paraId="3005D33F" w14:textId="77777777" w:rsidTr="009465B1">
        <w:tc>
          <w:tcPr>
            <w:tcW w:w="4618" w:type="dxa"/>
          </w:tcPr>
          <w:p w14:paraId="16C867E0" w14:textId="5B79F7AE" w:rsidR="006D564A" w:rsidRPr="006D564A" w:rsidRDefault="006D564A" w:rsidP="00B605AB">
            <w:pPr>
              <w:pStyle w:val="Table-bodytext"/>
            </w:pPr>
            <w:r w:rsidRPr="006D564A">
              <w:t>Essential</w:t>
            </w:r>
            <w:r w:rsidR="00B605AB">
              <w:t xml:space="preserve">: </w:t>
            </w:r>
            <w:r w:rsidRPr="006D564A">
              <w:t>Provision of routine, intermediate or specialist sexual and reproductive health services is offered. This includes contraception, emergency contraception, screening for and treatment of sexually transmitted infections</w:t>
            </w:r>
            <w:r w:rsidR="0099398F">
              <w:t xml:space="preserve"> (STIs)</w:t>
            </w:r>
            <w:r w:rsidRPr="006D564A">
              <w:t>, pregnancy testing, referral for NHS-funded abortion services and antenatal care.</w:t>
            </w:r>
          </w:p>
        </w:tc>
        <w:tc>
          <w:tcPr>
            <w:tcW w:w="1898" w:type="dxa"/>
          </w:tcPr>
          <w:p w14:paraId="2145CA9A" w14:textId="77777777" w:rsidR="006D564A" w:rsidRPr="006D564A" w:rsidRDefault="006D564A" w:rsidP="006D564A"/>
        </w:tc>
        <w:tc>
          <w:tcPr>
            <w:tcW w:w="4252" w:type="dxa"/>
          </w:tcPr>
          <w:p w14:paraId="0D7A41B4" w14:textId="77777777" w:rsidR="006D564A" w:rsidRPr="006D564A" w:rsidRDefault="006D564A" w:rsidP="006D564A"/>
        </w:tc>
        <w:tc>
          <w:tcPr>
            <w:tcW w:w="3402" w:type="dxa"/>
          </w:tcPr>
          <w:p w14:paraId="26373C02" w14:textId="77777777" w:rsidR="006D564A" w:rsidRPr="006D564A" w:rsidRDefault="006D564A" w:rsidP="006D564A"/>
        </w:tc>
      </w:tr>
      <w:tr w:rsidR="006D564A" w:rsidRPr="00DF089C" w14:paraId="122F7872" w14:textId="77777777" w:rsidTr="009465B1">
        <w:tc>
          <w:tcPr>
            <w:tcW w:w="4618" w:type="dxa"/>
          </w:tcPr>
          <w:p w14:paraId="42B44BAD" w14:textId="6861B6AA" w:rsidR="006D564A" w:rsidRPr="006D564A" w:rsidRDefault="006D564A" w:rsidP="00B605AB">
            <w:pPr>
              <w:pStyle w:val="Table-bodytext"/>
            </w:pPr>
            <w:r w:rsidRPr="006D564A">
              <w:t>Essential</w:t>
            </w:r>
            <w:r w:rsidR="00B605AB">
              <w:t xml:space="preserve">: </w:t>
            </w:r>
            <w:r w:rsidRPr="006D564A">
              <w:t xml:space="preserve">Where </w:t>
            </w:r>
            <w:r w:rsidR="00B605AB">
              <w:t>STI</w:t>
            </w:r>
            <w:r w:rsidRPr="006D564A">
              <w:t xml:space="preserve"> services are not available on-site, there are clear methods for referral to other services or clinicians. Where the full range of contraception methods is not available, there are clear methods for seamless referral to other services where these can be accessed. </w:t>
            </w:r>
          </w:p>
        </w:tc>
        <w:tc>
          <w:tcPr>
            <w:tcW w:w="1898" w:type="dxa"/>
          </w:tcPr>
          <w:p w14:paraId="19C805D7" w14:textId="77777777" w:rsidR="006D564A" w:rsidRPr="006D564A" w:rsidRDefault="006D564A" w:rsidP="006D564A"/>
        </w:tc>
        <w:tc>
          <w:tcPr>
            <w:tcW w:w="4252" w:type="dxa"/>
          </w:tcPr>
          <w:p w14:paraId="2994C25A" w14:textId="77777777" w:rsidR="006D564A" w:rsidRPr="006D564A" w:rsidRDefault="006D564A" w:rsidP="006D564A"/>
        </w:tc>
        <w:tc>
          <w:tcPr>
            <w:tcW w:w="3402" w:type="dxa"/>
          </w:tcPr>
          <w:p w14:paraId="4AF0C7D8" w14:textId="77777777" w:rsidR="006D564A" w:rsidRPr="006D564A" w:rsidRDefault="006D564A" w:rsidP="006D564A"/>
        </w:tc>
      </w:tr>
      <w:tr w:rsidR="006D564A" w:rsidRPr="00DF089C" w14:paraId="4BFA6209" w14:textId="77777777" w:rsidTr="009465B1">
        <w:tc>
          <w:tcPr>
            <w:tcW w:w="4618" w:type="dxa"/>
          </w:tcPr>
          <w:p w14:paraId="5F9416BE" w14:textId="0FE70DAA" w:rsidR="006D564A" w:rsidRPr="006D564A" w:rsidRDefault="006D564A" w:rsidP="00B605AB">
            <w:pPr>
              <w:pStyle w:val="Table-bodytext"/>
            </w:pPr>
            <w:r w:rsidRPr="006D564A">
              <w:t>Essential</w:t>
            </w:r>
            <w:r w:rsidR="00B605AB">
              <w:t xml:space="preserve">: </w:t>
            </w:r>
            <w:r w:rsidRPr="006D564A">
              <w:t>Young people are offered appropriate information and advice to help them develop their ability to make safe, informed choices. This includes advice on healthy relationships and to help them develop the confidence and skills to make positive choices about sexual activity.</w:t>
            </w:r>
          </w:p>
        </w:tc>
        <w:tc>
          <w:tcPr>
            <w:tcW w:w="1898" w:type="dxa"/>
          </w:tcPr>
          <w:p w14:paraId="4F394EB0" w14:textId="77777777" w:rsidR="006D564A" w:rsidRPr="006D564A" w:rsidRDefault="006D564A" w:rsidP="006D564A"/>
        </w:tc>
        <w:tc>
          <w:tcPr>
            <w:tcW w:w="4252" w:type="dxa"/>
          </w:tcPr>
          <w:p w14:paraId="648CA3B5" w14:textId="77777777" w:rsidR="006D564A" w:rsidRPr="006D564A" w:rsidRDefault="006D564A" w:rsidP="006D564A"/>
        </w:tc>
        <w:tc>
          <w:tcPr>
            <w:tcW w:w="3402" w:type="dxa"/>
          </w:tcPr>
          <w:p w14:paraId="02713491" w14:textId="77777777" w:rsidR="006D564A" w:rsidRPr="006D564A" w:rsidRDefault="006D564A" w:rsidP="006D564A"/>
        </w:tc>
      </w:tr>
      <w:tr w:rsidR="006D564A" w:rsidRPr="00DF089C" w14:paraId="22F06395" w14:textId="77777777" w:rsidTr="009465B1">
        <w:tc>
          <w:tcPr>
            <w:tcW w:w="4618" w:type="dxa"/>
          </w:tcPr>
          <w:p w14:paraId="2B0931A6" w14:textId="2E03E616" w:rsidR="006D564A" w:rsidRPr="006D564A" w:rsidRDefault="006D564A" w:rsidP="00B605AB">
            <w:pPr>
              <w:pStyle w:val="Table-bodytext"/>
            </w:pPr>
            <w:r w:rsidRPr="006D564A">
              <w:t>Additional</w:t>
            </w:r>
            <w:r w:rsidR="00B605AB">
              <w:t xml:space="preserve">: </w:t>
            </w:r>
            <w:r w:rsidRPr="006D564A">
              <w:t xml:space="preserve">Appropriate, easy-to-understand information is available on a range of sexual health issues, including all methods of contraception, </w:t>
            </w:r>
            <w:r w:rsidR="002413C8">
              <w:t xml:space="preserve">STIs, </w:t>
            </w:r>
            <w:r w:rsidRPr="006D564A">
              <w:t xml:space="preserve">use </w:t>
            </w:r>
            <w:r w:rsidRPr="006D564A">
              <w:lastRenderedPageBreak/>
              <w:t xml:space="preserve">of condoms, </w:t>
            </w:r>
            <w:proofErr w:type="gramStart"/>
            <w:r w:rsidRPr="006D564A">
              <w:t>relationships</w:t>
            </w:r>
            <w:proofErr w:type="gramEnd"/>
            <w:r w:rsidRPr="006D564A">
              <w:t xml:space="preserve"> and sexuality. The information makes it clear that contraception, testing and treatment for </w:t>
            </w:r>
            <w:r w:rsidR="002413C8">
              <w:t xml:space="preserve">STIs </w:t>
            </w:r>
            <w:r w:rsidRPr="006D564A">
              <w:t xml:space="preserve">are free. </w:t>
            </w:r>
          </w:p>
        </w:tc>
        <w:tc>
          <w:tcPr>
            <w:tcW w:w="1898" w:type="dxa"/>
          </w:tcPr>
          <w:p w14:paraId="1AC26833" w14:textId="77777777" w:rsidR="006D564A" w:rsidRPr="006D564A" w:rsidRDefault="006D564A" w:rsidP="006D564A"/>
        </w:tc>
        <w:tc>
          <w:tcPr>
            <w:tcW w:w="4252" w:type="dxa"/>
          </w:tcPr>
          <w:p w14:paraId="2F243D87" w14:textId="77777777" w:rsidR="006D564A" w:rsidRPr="006D564A" w:rsidRDefault="006D564A" w:rsidP="006D564A"/>
        </w:tc>
        <w:tc>
          <w:tcPr>
            <w:tcW w:w="3402" w:type="dxa"/>
          </w:tcPr>
          <w:p w14:paraId="1C592515" w14:textId="77777777" w:rsidR="006D564A" w:rsidRPr="006D564A" w:rsidRDefault="006D564A" w:rsidP="006D564A"/>
        </w:tc>
      </w:tr>
      <w:tr w:rsidR="006D564A" w:rsidRPr="00DF089C" w14:paraId="680CB1E2" w14:textId="77777777" w:rsidTr="009465B1">
        <w:tc>
          <w:tcPr>
            <w:tcW w:w="4618" w:type="dxa"/>
          </w:tcPr>
          <w:p w14:paraId="785F4B24" w14:textId="6E15CA33" w:rsidR="006D564A" w:rsidRPr="006D564A" w:rsidRDefault="006D564A" w:rsidP="00B605AB">
            <w:pPr>
              <w:pStyle w:val="Table-bodytext"/>
            </w:pPr>
            <w:r w:rsidRPr="006D564A">
              <w:t>Additional</w:t>
            </w:r>
            <w:r w:rsidR="00B605AB">
              <w:t xml:space="preserve">: </w:t>
            </w:r>
            <w:r w:rsidRPr="006D564A">
              <w:t xml:space="preserve">Staff receive training and support in communication skills, the latest evidence </w:t>
            </w:r>
            <w:proofErr w:type="gramStart"/>
            <w:r w:rsidRPr="006D564A">
              <w:t>base</w:t>
            </w:r>
            <w:proofErr w:type="gramEnd"/>
            <w:r w:rsidRPr="006D564A">
              <w:t xml:space="preserve"> for best treatment options, how to recognise and respond to diversity, how to get informed consent, and how to recognise signs of sexual coercion, abuse, exploitation, female genital mutilation and substance misuse, including </w:t>
            </w:r>
            <w:proofErr w:type="spellStart"/>
            <w:r w:rsidRPr="006D564A">
              <w:t>chemsex</w:t>
            </w:r>
            <w:proofErr w:type="spellEnd"/>
            <w:r w:rsidRPr="006D564A">
              <w:t>. Staff know how and where to refer young people for additional support when needed.</w:t>
            </w:r>
          </w:p>
        </w:tc>
        <w:tc>
          <w:tcPr>
            <w:tcW w:w="1898" w:type="dxa"/>
          </w:tcPr>
          <w:p w14:paraId="7AD29524" w14:textId="77777777" w:rsidR="006D564A" w:rsidRPr="006D564A" w:rsidRDefault="006D564A" w:rsidP="006D564A"/>
        </w:tc>
        <w:tc>
          <w:tcPr>
            <w:tcW w:w="4252" w:type="dxa"/>
          </w:tcPr>
          <w:p w14:paraId="7BB08A06" w14:textId="77777777" w:rsidR="006D564A" w:rsidRPr="006D564A" w:rsidRDefault="006D564A" w:rsidP="006D564A"/>
        </w:tc>
        <w:tc>
          <w:tcPr>
            <w:tcW w:w="3402" w:type="dxa"/>
          </w:tcPr>
          <w:p w14:paraId="3EAC0370" w14:textId="77777777" w:rsidR="006D564A" w:rsidRPr="006D564A" w:rsidRDefault="006D564A" w:rsidP="006D564A"/>
        </w:tc>
      </w:tr>
      <w:tr w:rsidR="006D564A" w:rsidRPr="00DF089C" w14:paraId="4A7D2853" w14:textId="77777777" w:rsidTr="009465B1">
        <w:tc>
          <w:tcPr>
            <w:tcW w:w="4618" w:type="dxa"/>
          </w:tcPr>
          <w:p w14:paraId="3D3B5E8E" w14:textId="54FAFA5E" w:rsidR="006D564A" w:rsidRPr="006D564A" w:rsidRDefault="006D564A" w:rsidP="00B605AB">
            <w:pPr>
              <w:pStyle w:val="Table-bodytext"/>
            </w:pPr>
            <w:r w:rsidRPr="006D564A">
              <w:t>Additional</w:t>
            </w:r>
            <w:r w:rsidR="00B605AB">
              <w:t xml:space="preserve">: </w:t>
            </w:r>
            <w:r w:rsidRPr="006D564A">
              <w:t xml:space="preserve">The service will see young people who are not ordinarily registered with them </w:t>
            </w:r>
            <w:proofErr w:type="gramStart"/>
            <w:r w:rsidRPr="006D564A">
              <w:t>in order to</w:t>
            </w:r>
            <w:proofErr w:type="gramEnd"/>
            <w:r w:rsidRPr="006D564A">
              <w:t xml:space="preserve"> provide sexual health advice and contraception, including emergency contraception.</w:t>
            </w:r>
          </w:p>
        </w:tc>
        <w:tc>
          <w:tcPr>
            <w:tcW w:w="1898" w:type="dxa"/>
          </w:tcPr>
          <w:p w14:paraId="29A74747" w14:textId="77777777" w:rsidR="006D564A" w:rsidRPr="006D564A" w:rsidRDefault="006D564A" w:rsidP="006D564A"/>
        </w:tc>
        <w:tc>
          <w:tcPr>
            <w:tcW w:w="4252" w:type="dxa"/>
          </w:tcPr>
          <w:p w14:paraId="11663288" w14:textId="77777777" w:rsidR="006D564A" w:rsidRPr="006D564A" w:rsidRDefault="006D564A" w:rsidP="006D564A"/>
        </w:tc>
        <w:tc>
          <w:tcPr>
            <w:tcW w:w="3402" w:type="dxa"/>
          </w:tcPr>
          <w:p w14:paraId="18AD46AD" w14:textId="77777777" w:rsidR="006D564A" w:rsidRPr="006D564A" w:rsidRDefault="006D564A" w:rsidP="006D564A"/>
        </w:tc>
      </w:tr>
      <w:tr w:rsidR="006D564A" w:rsidRPr="00DF089C" w14:paraId="43AF6B7A" w14:textId="77777777" w:rsidTr="009465B1">
        <w:tc>
          <w:tcPr>
            <w:tcW w:w="4618" w:type="dxa"/>
          </w:tcPr>
          <w:p w14:paraId="28A91195" w14:textId="7C0D647A" w:rsidR="006D564A" w:rsidRPr="006D564A" w:rsidRDefault="006D564A" w:rsidP="00B605AB">
            <w:pPr>
              <w:pStyle w:val="Table-bodytext"/>
            </w:pPr>
            <w:r w:rsidRPr="006D564A">
              <w:t>Additional</w:t>
            </w:r>
            <w:r w:rsidR="00B605AB">
              <w:t xml:space="preserve">: </w:t>
            </w:r>
            <w:r w:rsidRPr="006D564A">
              <w:t xml:space="preserve">The service is committed to addressing the needs of young people from diverse communities including </w:t>
            </w:r>
            <w:r w:rsidR="00B605AB">
              <w:t>b</w:t>
            </w:r>
            <w:r w:rsidRPr="006D564A">
              <w:t xml:space="preserve">lack and minority ethnic, </w:t>
            </w:r>
            <w:proofErr w:type="gramStart"/>
            <w:r w:rsidRPr="006D564A">
              <w:t>LGBT</w:t>
            </w:r>
            <w:proofErr w:type="gramEnd"/>
            <w:r w:rsidRPr="006D564A">
              <w:t xml:space="preserve"> or disabled people. Diversity is integrated into service design and publicity.</w:t>
            </w:r>
          </w:p>
        </w:tc>
        <w:tc>
          <w:tcPr>
            <w:tcW w:w="1898" w:type="dxa"/>
          </w:tcPr>
          <w:p w14:paraId="79145293" w14:textId="77777777" w:rsidR="006D564A" w:rsidRPr="006D564A" w:rsidRDefault="006D564A" w:rsidP="006D564A"/>
        </w:tc>
        <w:tc>
          <w:tcPr>
            <w:tcW w:w="4252" w:type="dxa"/>
          </w:tcPr>
          <w:p w14:paraId="1BB0BC41" w14:textId="77777777" w:rsidR="006D564A" w:rsidRPr="006D564A" w:rsidRDefault="006D564A" w:rsidP="006D564A"/>
        </w:tc>
        <w:tc>
          <w:tcPr>
            <w:tcW w:w="3402" w:type="dxa"/>
          </w:tcPr>
          <w:p w14:paraId="6632BDFC" w14:textId="77777777" w:rsidR="006D564A" w:rsidRPr="006D564A" w:rsidRDefault="006D564A" w:rsidP="006D564A"/>
        </w:tc>
      </w:tr>
      <w:tr w:rsidR="006D564A" w:rsidRPr="00DF089C" w14:paraId="2DDBBD56" w14:textId="77777777" w:rsidTr="009465B1">
        <w:tc>
          <w:tcPr>
            <w:tcW w:w="4618" w:type="dxa"/>
          </w:tcPr>
          <w:p w14:paraId="1FBF07E8" w14:textId="28D49794" w:rsidR="006D564A" w:rsidRPr="006D564A" w:rsidRDefault="006D564A" w:rsidP="00B605AB">
            <w:pPr>
              <w:pStyle w:val="Table-bodytext"/>
            </w:pPr>
            <w:r w:rsidRPr="006D564A">
              <w:t>Additional</w:t>
            </w:r>
            <w:r w:rsidR="00B605AB">
              <w:t xml:space="preserve">: </w:t>
            </w:r>
            <w:r w:rsidRPr="006D564A">
              <w:t xml:space="preserve">The service has strong links with relationships and sex education programmes in schools and colleges and with other services and practitioners in </w:t>
            </w:r>
            <w:r w:rsidRPr="006D564A">
              <w:lastRenderedPageBreak/>
              <w:t>touch with young people, including school nurses.</w:t>
            </w:r>
          </w:p>
        </w:tc>
        <w:tc>
          <w:tcPr>
            <w:tcW w:w="1898" w:type="dxa"/>
          </w:tcPr>
          <w:p w14:paraId="7E9F0A2C" w14:textId="77777777" w:rsidR="006D564A" w:rsidRPr="006D564A" w:rsidRDefault="006D564A" w:rsidP="006D564A"/>
        </w:tc>
        <w:tc>
          <w:tcPr>
            <w:tcW w:w="4252" w:type="dxa"/>
          </w:tcPr>
          <w:p w14:paraId="36563159" w14:textId="77777777" w:rsidR="006D564A" w:rsidRPr="006D564A" w:rsidRDefault="006D564A" w:rsidP="006D564A"/>
        </w:tc>
        <w:tc>
          <w:tcPr>
            <w:tcW w:w="3402" w:type="dxa"/>
          </w:tcPr>
          <w:p w14:paraId="23AFE472" w14:textId="77777777" w:rsidR="006D564A" w:rsidRPr="006D564A" w:rsidRDefault="006D564A" w:rsidP="006D564A"/>
        </w:tc>
      </w:tr>
    </w:tbl>
    <w:p w14:paraId="35F72D16" w14:textId="093C7D2A" w:rsidR="006D564A" w:rsidRPr="006D564A" w:rsidRDefault="00B605AB" w:rsidP="009465B1">
      <w:pPr>
        <w:pStyle w:val="ParagraphText"/>
      </w:pPr>
      <w:r w:rsidRPr="00451BC1">
        <w:t>Young people comments and recommendations following review:</w:t>
      </w:r>
    </w:p>
    <w:p w14:paraId="7807CD38" w14:textId="77777777" w:rsidR="008D1844" w:rsidRDefault="008D1844">
      <w:pPr>
        <w:rPr>
          <w:b/>
          <w:sz w:val="29"/>
        </w:rPr>
      </w:pPr>
      <w:r>
        <w:br w:type="page"/>
      </w:r>
    </w:p>
    <w:p w14:paraId="66896D72" w14:textId="53C357C0" w:rsidR="006D564A" w:rsidRPr="006D564A" w:rsidRDefault="006D564A" w:rsidP="008D1844">
      <w:pPr>
        <w:pStyle w:val="Heading2"/>
      </w:pPr>
      <w:bookmarkStart w:id="11" w:name="_Toc135043621"/>
      <w:r w:rsidRPr="006D564A">
        <w:lastRenderedPageBreak/>
        <w:t xml:space="preserve">Standard 5: </w:t>
      </w:r>
      <w:r w:rsidR="0084456A">
        <w:t>d</w:t>
      </w:r>
      <w:r w:rsidRPr="006D564A">
        <w:t>eveloping digital approaches</w:t>
      </w:r>
      <w:bookmarkEnd w:id="11"/>
    </w:p>
    <w:tbl>
      <w:tblPr>
        <w:tblStyle w:val="TableGrid"/>
        <w:tblW w:w="14170" w:type="dxa"/>
        <w:tblLayout w:type="fixed"/>
        <w:tblLook w:val="04A0" w:firstRow="1" w:lastRow="0" w:firstColumn="1" w:lastColumn="0" w:noHBand="0" w:noVBand="1"/>
      </w:tblPr>
      <w:tblGrid>
        <w:gridCol w:w="4618"/>
        <w:gridCol w:w="1898"/>
        <w:gridCol w:w="4252"/>
        <w:gridCol w:w="3402"/>
      </w:tblGrid>
      <w:tr w:rsidR="006D564A" w:rsidRPr="00B605AB" w14:paraId="32A699CB" w14:textId="77777777" w:rsidTr="009465B1">
        <w:trPr>
          <w:tblHeader/>
        </w:trPr>
        <w:tc>
          <w:tcPr>
            <w:tcW w:w="4618" w:type="dxa"/>
          </w:tcPr>
          <w:p w14:paraId="34876C7B" w14:textId="77777777" w:rsidR="006D564A" w:rsidRPr="009465B1" w:rsidRDefault="006D564A" w:rsidP="006D564A">
            <w:pPr>
              <w:rPr>
                <w:b/>
                <w:bCs/>
              </w:rPr>
            </w:pPr>
            <w:r w:rsidRPr="009465B1">
              <w:rPr>
                <w:b/>
                <w:bCs/>
              </w:rPr>
              <w:t>Criteria</w:t>
            </w:r>
          </w:p>
        </w:tc>
        <w:tc>
          <w:tcPr>
            <w:tcW w:w="1898" w:type="dxa"/>
          </w:tcPr>
          <w:p w14:paraId="4A596EB8" w14:textId="77777777" w:rsidR="006D564A" w:rsidRPr="009465B1" w:rsidRDefault="006D564A" w:rsidP="006D564A">
            <w:pPr>
              <w:rPr>
                <w:b/>
                <w:bCs/>
              </w:rPr>
            </w:pPr>
            <w:r w:rsidRPr="009465B1">
              <w:rPr>
                <w:b/>
                <w:bCs/>
              </w:rPr>
              <w:t>Complete?</w:t>
            </w:r>
          </w:p>
          <w:p w14:paraId="63F95FFC" w14:textId="1BA8B6BA" w:rsidR="006D564A" w:rsidRPr="009465B1" w:rsidRDefault="006D564A" w:rsidP="006D564A">
            <w:pPr>
              <w:rPr>
                <w:b/>
                <w:bCs/>
              </w:rPr>
            </w:pPr>
            <w:r w:rsidRPr="009465B1">
              <w:rPr>
                <w:b/>
                <w:bCs/>
              </w:rPr>
              <w:t xml:space="preserve">Yes, </w:t>
            </w:r>
            <w:proofErr w:type="gramStart"/>
            <w:r w:rsidR="00B605AB">
              <w:rPr>
                <w:b/>
                <w:bCs/>
              </w:rPr>
              <w:t>n</w:t>
            </w:r>
            <w:r w:rsidRPr="009465B1">
              <w:rPr>
                <w:b/>
                <w:bCs/>
              </w:rPr>
              <w:t>o</w:t>
            </w:r>
            <w:proofErr w:type="gramEnd"/>
            <w:r w:rsidR="00B605AB">
              <w:rPr>
                <w:b/>
                <w:bCs/>
              </w:rPr>
              <w:t xml:space="preserve"> or</w:t>
            </w:r>
            <w:r w:rsidRPr="009465B1">
              <w:rPr>
                <w:b/>
                <w:bCs/>
              </w:rPr>
              <w:t xml:space="preserve"> </w:t>
            </w:r>
            <w:r w:rsidR="00B605AB">
              <w:rPr>
                <w:b/>
                <w:bCs/>
              </w:rPr>
              <w:t>p</w:t>
            </w:r>
            <w:r w:rsidRPr="009465B1">
              <w:rPr>
                <w:b/>
                <w:bCs/>
              </w:rPr>
              <w:t xml:space="preserve">artially </w:t>
            </w:r>
          </w:p>
        </w:tc>
        <w:tc>
          <w:tcPr>
            <w:tcW w:w="4252" w:type="dxa"/>
          </w:tcPr>
          <w:p w14:paraId="70E429E6" w14:textId="77777777" w:rsidR="006D564A" w:rsidRPr="009465B1" w:rsidRDefault="006D564A" w:rsidP="006D564A">
            <w:pPr>
              <w:rPr>
                <w:b/>
                <w:bCs/>
              </w:rPr>
            </w:pPr>
            <w:r w:rsidRPr="009465B1">
              <w:rPr>
                <w:b/>
                <w:bCs/>
              </w:rPr>
              <w:t>Evidence</w:t>
            </w:r>
          </w:p>
        </w:tc>
        <w:tc>
          <w:tcPr>
            <w:tcW w:w="3402" w:type="dxa"/>
          </w:tcPr>
          <w:p w14:paraId="7C285735"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66F99E40" w14:textId="77777777" w:rsidTr="009465B1">
        <w:tc>
          <w:tcPr>
            <w:tcW w:w="4618" w:type="dxa"/>
          </w:tcPr>
          <w:p w14:paraId="6AEE8FDE" w14:textId="29B889A1" w:rsidR="006D564A" w:rsidRPr="006D564A" w:rsidRDefault="006D564A" w:rsidP="00B605AB">
            <w:pPr>
              <w:pStyle w:val="Table-bodytext"/>
            </w:pPr>
            <w:r w:rsidRPr="006D564A">
              <w:t>Essential</w:t>
            </w:r>
            <w:r w:rsidR="00B605AB">
              <w:t xml:space="preserve">: </w:t>
            </w:r>
            <w:r w:rsidRPr="006D564A">
              <w:t xml:space="preserve">Staff make use of technology to increase accessibility for young people, for example text messaging, virtual consultations, online </w:t>
            </w:r>
            <w:proofErr w:type="gramStart"/>
            <w:r w:rsidRPr="006D564A">
              <w:t>prescriptions</w:t>
            </w:r>
            <w:proofErr w:type="gramEnd"/>
            <w:r w:rsidR="0029225A">
              <w:t xml:space="preserve"> and</w:t>
            </w:r>
            <w:r w:rsidRPr="006D564A">
              <w:t xml:space="preserve"> online appointment booking. Digital approaches do not replace face</w:t>
            </w:r>
            <w:r w:rsidR="0029225A">
              <w:t>-</w:t>
            </w:r>
            <w:r w:rsidRPr="006D564A">
              <w:t>to</w:t>
            </w:r>
            <w:r w:rsidR="0029225A">
              <w:t>-</w:t>
            </w:r>
            <w:r w:rsidRPr="006D564A">
              <w:t>face appointments – they are used to enhance the experience and improve accessibility.</w:t>
            </w:r>
          </w:p>
        </w:tc>
        <w:tc>
          <w:tcPr>
            <w:tcW w:w="1898" w:type="dxa"/>
          </w:tcPr>
          <w:p w14:paraId="5D121D1A" w14:textId="77777777" w:rsidR="006D564A" w:rsidRPr="006D564A" w:rsidRDefault="006D564A" w:rsidP="006D564A"/>
        </w:tc>
        <w:tc>
          <w:tcPr>
            <w:tcW w:w="4252" w:type="dxa"/>
          </w:tcPr>
          <w:p w14:paraId="1AF34630" w14:textId="77777777" w:rsidR="006D564A" w:rsidRPr="006D564A" w:rsidRDefault="006D564A" w:rsidP="006D564A"/>
        </w:tc>
        <w:tc>
          <w:tcPr>
            <w:tcW w:w="3402" w:type="dxa"/>
          </w:tcPr>
          <w:p w14:paraId="01D86DD1" w14:textId="77777777" w:rsidR="006D564A" w:rsidRPr="006D564A" w:rsidRDefault="006D564A" w:rsidP="006D564A"/>
        </w:tc>
      </w:tr>
      <w:tr w:rsidR="006D564A" w:rsidRPr="00383CAD" w14:paraId="4351B728" w14:textId="77777777" w:rsidTr="009465B1">
        <w:tc>
          <w:tcPr>
            <w:tcW w:w="4618" w:type="dxa"/>
          </w:tcPr>
          <w:p w14:paraId="3C8CA381" w14:textId="4BC736DB" w:rsidR="006D564A" w:rsidRPr="006D564A" w:rsidRDefault="006D564A" w:rsidP="00B605AB">
            <w:pPr>
              <w:pStyle w:val="Table-bodytext"/>
            </w:pPr>
            <w:r w:rsidRPr="006D564A">
              <w:t>Essential</w:t>
            </w:r>
            <w:r w:rsidR="00B605AB">
              <w:t xml:space="preserve">: </w:t>
            </w:r>
            <w:r w:rsidRPr="006D564A">
              <w:t xml:space="preserve">Staff are aware of digital limitations that restrict a young person’s access to phone, online or video consultation. Limitations include poor </w:t>
            </w:r>
            <w:proofErr w:type="spellStart"/>
            <w:r w:rsidR="0029225A">
              <w:t>w</w:t>
            </w:r>
            <w:r w:rsidRPr="006D564A">
              <w:t>i</w:t>
            </w:r>
            <w:r w:rsidR="0029225A">
              <w:t>f</w:t>
            </w:r>
            <w:r w:rsidRPr="006D564A">
              <w:t>i</w:t>
            </w:r>
            <w:proofErr w:type="spellEnd"/>
            <w:r w:rsidR="0029225A">
              <w:t>;</w:t>
            </w:r>
            <w:r w:rsidRPr="006D564A">
              <w:t xml:space="preserve"> sharing devices or no</w:t>
            </w:r>
            <w:r w:rsidR="0029225A">
              <w:t>t having</w:t>
            </w:r>
            <w:r w:rsidRPr="006D564A">
              <w:t xml:space="preserve"> devices</w:t>
            </w:r>
            <w:r w:rsidR="0029225A">
              <w:t>;</w:t>
            </w:r>
            <w:r w:rsidRPr="006D564A">
              <w:t xml:space="preserve"> sharing space</w:t>
            </w:r>
            <w:r w:rsidR="0029225A">
              <w:t xml:space="preserve">, which </w:t>
            </w:r>
            <w:r w:rsidRPr="006D564A">
              <w:t>reduc</w:t>
            </w:r>
            <w:r w:rsidR="0029225A">
              <w:t>es</w:t>
            </w:r>
            <w:r w:rsidRPr="006D564A">
              <w:t xml:space="preserve"> confidentiality, ability to use digital resources. </w:t>
            </w:r>
          </w:p>
        </w:tc>
        <w:tc>
          <w:tcPr>
            <w:tcW w:w="1898" w:type="dxa"/>
          </w:tcPr>
          <w:p w14:paraId="7A695F7B" w14:textId="77777777" w:rsidR="006D564A" w:rsidRPr="006D564A" w:rsidRDefault="006D564A" w:rsidP="006D564A"/>
        </w:tc>
        <w:tc>
          <w:tcPr>
            <w:tcW w:w="4252" w:type="dxa"/>
          </w:tcPr>
          <w:p w14:paraId="3780E6CC" w14:textId="77777777" w:rsidR="006D564A" w:rsidRPr="006D564A" w:rsidRDefault="006D564A" w:rsidP="006D564A"/>
        </w:tc>
        <w:tc>
          <w:tcPr>
            <w:tcW w:w="3402" w:type="dxa"/>
          </w:tcPr>
          <w:p w14:paraId="6722F65A" w14:textId="77777777" w:rsidR="006D564A" w:rsidRPr="006D564A" w:rsidRDefault="006D564A" w:rsidP="006D564A"/>
        </w:tc>
      </w:tr>
      <w:tr w:rsidR="006D564A" w:rsidRPr="00383CAD" w14:paraId="124B3829" w14:textId="77777777" w:rsidTr="009465B1">
        <w:tc>
          <w:tcPr>
            <w:tcW w:w="4618" w:type="dxa"/>
          </w:tcPr>
          <w:p w14:paraId="282AC160" w14:textId="7C1AF9A4" w:rsidR="006D564A" w:rsidRPr="006D564A" w:rsidRDefault="006D564A" w:rsidP="00B605AB">
            <w:pPr>
              <w:pStyle w:val="Table-bodytext"/>
            </w:pPr>
            <w:r w:rsidRPr="006D564A">
              <w:t>Essential</w:t>
            </w:r>
            <w:r w:rsidR="00B605AB">
              <w:t xml:space="preserve">: </w:t>
            </w:r>
            <w:r w:rsidRPr="006D564A">
              <w:t xml:space="preserve">Staff are appropriately trained in using the technology adopted by the service, and patients are provided with clear and accessible instructions for use in a timely manner </w:t>
            </w:r>
            <w:r w:rsidR="0029225A">
              <w:t>before</w:t>
            </w:r>
            <w:r w:rsidR="0029225A" w:rsidRPr="006D564A">
              <w:t xml:space="preserve"> </w:t>
            </w:r>
            <w:r w:rsidRPr="006D564A">
              <w:t>their appointment.</w:t>
            </w:r>
          </w:p>
        </w:tc>
        <w:tc>
          <w:tcPr>
            <w:tcW w:w="1898" w:type="dxa"/>
          </w:tcPr>
          <w:p w14:paraId="0B49438A" w14:textId="77777777" w:rsidR="006D564A" w:rsidRPr="006D564A" w:rsidRDefault="006D564A" w:rsidP="006D564A"/>
        </w:tc>
        <w:tc>
          <w:tcPr>
            <w:tcW w:w="4252" w:type="dxa"/>
          </w:tcPr>
          <w:p w14:paraId="14B0B970" w14:textId="77777777" w:rsidR="006D564A" w:rsidRPr="006D564A" w:rsidRDefault="006D564A" w:rsidP="006D564A"/>
        </w:tc>
        <w:tc>
          <w:tcPr>
            <w:tcW w:w="3402" w:type="dxa"/>
          </w:tcPr>
          <w:p w14:paraId="5AC6A8EB" w14:textId="77777777" w:rsidR="006D564A" w:rsidRPr="006D564A" w:rsidRDefault="006D564A" w:rsidP="006D564A"/>
        </w:tc>
      </w:tr>
      <w:tr w:rsidR="006D564A" w:rsidRPr="00383CAD" w14:paraId="602AE213" w14:textId="77777777" w:rsidTr="009465B1">
        <w:tc>
          <w:tcPr>
            <w:tcW w:w="4618" w:type="dxa"/>
          </w:tcPr>
          <w:p w14:paraId="7EF64D65" w14:textId="31E8100D" w:rsidR="006D564A" w:rsidRPr="006D564A" w:rsidRDefault="006D564A" w:rsidP="00B605AB">
            <w:pPr>
              <w:pStyle w:val="Table-bodytext"/>
            </w:pPr>
            <w:r w:rsidRPr="006D564A">
              <w:t>Additional</w:t>
            </w:r>
            <w:r w:rsidR="00B605AB">
              <w:t xml:space="preserve">: </w:t>
            </w:r>
            <w:r w:rsidRPr="006D564A">
              <w:t xml:space="preserve">A range of technology is used to gather young people’s feedback, for example through text surveys, online </w:t>
            </w:r>
            <w:proofErr w:type="gramStart"/>
            <w:r w:rsidRPr="006D564A">
              <w:t>surveys</w:t>
            </w:r>
            <w:proofErr w:type="gramEnd"/>
            <w:r w:rsidRPr="006D564A">
              <w:t xml:space="preserve"> or website comments.</w:t>
            </w:r>
          </w:p>
        </w:tc>
        <w:tc>
          <w:tcPr>
            <w:tcW w:w="1898" w:type="dxa"/>
          </w:tcPr>
          <w:p w14:paraId="4A04112E" w14:textId="77777777" w:rsidR="006D564A" w:rsidRPr="006D564A" w:rsidRDefault="006D564A" w:rsidP="006D564A"/>
        </w:tc>
        <w:tc>
          <w:tcPr>
            <w:tcW w:w="4252" w:type="dxa"/>
          </w:tcPr>
          <w:p w14:paraId="1913E45C" w14:textId="77777777" w:rsidR="006D564A" w:rsidRPr="006D564A" w:rsidRDefault="006D564A" w:rsidP="006D564A"/>
        </w:tc>
        <w:tc>
          <w:tcPr>
            <w:tcW w:w="3402" w:type="dxa"/>
          </w:tcPr>
          <w:p w14:paraId="2B2C5E50" w14:textId="77777777" w:rsidR="006D564A" w:rsidRPr="006D564A" w:rsidRDefault="006D564A" w:rsidP="006D564A"/>
        </w:tc>
      </w:tr>
      <w:tr w:rsidR="006D564A" w:rsidRPr="00383CAD" w14:paraId="6A5CCCC6" w14:textId="77777777" w:rsidTr="009465B1">
        <w:tc>
          <w:tcPr>
            <w:tcW w:w="4618" w:type="dxa"/>
          </w:tcPr>
          <w:p w14:paraId="76457B85" w14:textId="2EBC85C9" w:rsidR="006D564A" w:rsidRPr="006D564A" w:rsidRDefault="006D564A" w:rsidP="00B605AB">
            <w:pPr>
              <w:pStyle w:val="Table-bodytext"/>
            </w:pPr>
            <w:r w:rsidRPr="006D564A">
              <w:t>Additional</w:t>
            </w:r>
            <w:r w:rsidR="00B605AB">
              <w:t xml:space="preserve">: </w:t>
            </w:r>
            <w:r w:rsidRPr="006D564A">
              <w:t xml:space="preserve">Staff are mindful of digital </w:t>
            </w:r>
            <w:r w:rsidRPr="006D564A">
              <w:lastRenderedPageBreak/>
              <w:t>fatigue and the impact this can have for young people with complex health needs and disabilities when using online services.</w:t>
            </w:r>
          </w:p>
        </w:tc>
        <w:tc>
          <w:tcPr>
            <w:tcW w:w="1898" w:type="dxa"/>
          </w:tcPr>
          <w:p w14:paraId="62A08A2F" w14:textId="77777777" w:rsidR="006D564A" w:rsidRPr="006D564A" w:rsidRDefault="006D564A" w:rsidP="006D564A"/>
        </w:tc>
        <w:tc>
          <w:tcPr>
            <w:tcW w:w="4252" w:type="dxa"/>
          </w:tcPr>
          <w:p w14:paraId="43E22A6E" w14:textId="77777777" w:rsidR="006D564A" w:rsidRPr="006D564A" w:rsidRDefault="006D564A" w:rsidP="006D564A"/>
        </w:tc>
        <w:tc>
          <w:tcPr>
            <w:tcW w:w="3402" w:type="dxa"/>
          </w:tcPr>
          <w:p w14:paraId="56829361" w14:textId="77777777" w:rsidR="006D564A" w:rsidRPr="006D564A" w:rsidRDefault="006D564A" w:rsidP="006D564A"/>
        </w:tc>
      </w:tr>
      <w:tr w:rsidR="006D564A" w:rsidRPr="00383CAD" w14:paraId="021D3E48" w14:textId="77777777" w:rsidTr="009465B1">
        <w:tc>
          <w:tcPr>
            <w:tcW w:w="4618" w:type="dxa"/>
          </w:tcPr>
          <w:p w14:paraId="5D14154A" w14:textId="73540B2C" w:rsidR="006D564A" w:rsidRPr="006D564A" w:rsidRDefault="006D564A" w:rsidP="00B605AB">
            <w:pPr>
              <w:pStyle w:val="Table-bodytext"/>
            </w:pPr>
            <w:r w:rsidRPr="006D564A">
              <w:t>Additional</w:t>
            </w:r>
            <w:r w:rsidR="00B605AB">
              <w:t xml:space="preserve">: </w:t>
            </w:r>
            <w:r w:rsidRPr="006D564A">
              <w:t>Young people are routinely provided with advance detail</w:t>
            </w:r>
            <w:r w:rsidR="0029225A">
              <w:t>s</w:t>
            </w:r>
            <w:r w:rsidRPr="006D564A">
              <w:t xml:space="preserve"> about when their phone or online consultation or appointment will take place so they can </w:t>
            </w:r>
            <w:proofErr w:type="gramStart"/>
            <w:r w:rsidRPr="006D564A">
              <w:t>make arrangements</w:t>
            </w:r>
            <w:proofErr w:type="gramEnd"/>
            <w:r w:rsidRPr="006D564A">
              <w:t xml:space="preserve"> to be in a safe space to ensure confidentiality. This is important to help reduce anxiety and worry about the appointment.</w:t>
            </w:r>
          </w:p>
        </w:tc>
        <w:tc>
          <w:tcPr>
            <w:tcW w:w="1898" w:type="dxa"/>
          </w:tcPr>
          <w:p w14:paraId="66819E4F" w14:textId="77777777" w:rsidR="006D564A" w:rsidRPr="006D564A" w:rsidRDefault="006D564A" w:rsidP="006D564A"/>
        </w:tc>
        <w:tc>
          <w:tcPr>
            <w:tcW w:w="4252" w:type="dxa"/>
          </w:tcPr>
          <w:p w14:paraId="15A32228" w14:textId="77777777" w:rsidR="006D564A" w:rsidRPr="006D564A" w:rsidRDefault="006D564A" w:rsidP="006D564A"/>
        </w:tc>
        <w:tc>
          <w:tcPr>
            <w:tcW w:w="3402" w:type="dxa"/>
          </w:tcPr>
          <w:p w14:paraId="2E6209C3" w14:textId="77777777" w:rsidR="006D564A" w:rsidRPr="006D564A" w:rsidRDefault="006D564A" w:rsidP="006D564A"/>
        </w:tc>
      </w:tr>
    </w:tbl>
    <w:p w14:paraId="74462165" w14:textId="101FC51A" w:rsidR="00451BC1" w:rsidRDefault="00B605AB" w:rsidP="00451BC1">
      <w:pPr>
        <w:pStyle w:val="ParagraphText"/>
      </w:pPr>
      <w:r w:rsidRPr="00451BC1">
        <w:t>Young people comments and recommendations following review:</w:t>
      </w:r>
    </w:p>
    <w:p w14:paraId="52677FEF" w14:textId="77777777" w:rsidR="00451BC1" w:rsidRDefault="00451BC1">
      <w:pPr>
        <w:rPr>
          <w:b/>
          <w:sz w:val="33"/>
        </w:rPr>
      </w:pPr>
      <w:r>
        <w:br w:type="page"/>
      </w:r>
    </w:p>
    <w:p w14:paraId="2507C3F4" w14:textId="417C236A" w:rsidR="006D564A" w:rsidRPr="00D0463C" w:rsidRDefault="006D564A" w:rsidP="00D0463C">
      <w:pPr>
        <w:pStyle w:val="Heading2"/>
      </w:pPr>
      <w:bookmarkStart w:id="12" w:name="_Toc135043622"/>
      <w:r w:rsidRPr="00D0463C">
        <w:lastRenderedPageBreak/>
        <w:t xml:space="preserve">Standard 6: </w:t>
      </w:r>
      <w:r w:rsidR="0084456A">
        <w:t>s</w:t>
      </w:r>
      <w:r w:rsidRPr="00D0463C">
        <w:t>taff skills and training</w:t>
      </w:r>
      <w:bookmarkEnd w:id="12"/>
    </w:p>
    <w:tbl>
      <w:tblPr>
        <w:tblStyle w:val="TableGrid"/>
        <w:tblW w:w="14170" w:type="dxa"/>
        <w:tblLayout w:type="fixed"/>
        <w:tblLook w:val="04A0" w:firstRow="1" w:lastRow="0" w:firstColumn="1" w:lastColumn="0" w:noHBand="0" w:noVBand="1"/>
      </w:tblPr>
      <w:tblGrid>
        <w:gridCol w:w="4618"/>
        <w:gridCol w:w="1898"/>
        <w:gridCol w:w="4252"/>
        <w:gridCol w:w="3402"/>
      </w:tblGrid>
      <w:tr w:rsidR="006D564A" w:rsidRPr="003C3CEB" w14:paraId="20F2ADFE" w14:textId="77777777" w:rsidTr="009465B1">
        <w:trPr>
          <w:tblHeader/>
        </w:trPr>
        <w:tc>
          <w:tcPr>
            <w:tcW w:w="4618" w:type="dxa"/>
          </w:tcPr>
          <w:p w14:paraId="1BC42A08" w14:textId="77777777" w:rsidR="006D564A" w:rsidRPr="009465B1" w:rsidRDefault="006D564A" w:rsidP="006D564A">
            <w:pPr>
              <w:rPr>
                <w:b/>
                <w:bCs/>
              </w:rPr>
            </w:pPr>
            <w:r w:rsidRPr="009465B1">
              <w:rPr>
                <w:b/>
                <w:bCs/>
              </w:rPr>
              <w:t>Criteria</w:t>
            </w:r>
          </w:p>
        </w:tc>
        <w:tc>
          <w:tcPr>
            <w:tcW w:w="1898" w:type="dxa"/>
          </w:tcPr>
          <w:p w14:paraId="4F8D3C2A" w14:textId="77777777" w:rsidR="006D564A" w:rsidRPr="009465B1" w:rsidRDefault="006D564A" w:rsidP="006D564A">
            <w:pPr>
              <w:rPr>
                <w:b/>
                <w:bCs/>
              </w:rPr>
            </w:pPr>
            <w:r w:rsidRPr="009465B1">
              <w:rPr>
                <w:b/>
                <w:bCs/>
              </w:rPr>
              <w:t>Complete?</w:t>
            </w:r>
          </w:p>
          <w:p w14:paraId="7849E721" w14:textId="256332D6" w:rsidR="006D564A" w:rsidRPr="009465B1" w:rsidRDefault="006D564A" w:rsidP="006D564A">
            <w:pPr>
              <w:rPr>
                <w:b/>
                <w:bCs/>
              </w:rPr>
            </w:pPr>
            <w:r w:rsidRPr="009465B1">
              <w:rPr>
                <w:b/>
                <w:bCs/>
              </w:rPr>
              <w:t xml:space="preserve">Yes, </w:t>
            </w:r>
            <w:proofErr w:type="gramStart"/>
            <w:r w:rsidR="00C26AB7">
              <w:rPr>
                <w:b/>
                <w:bCs/>
              </w:rPr>
              <w:t>n</w:t>
            </w:r>
            <w:r w:rsidRPr="009465B1">
              <w:rPr>
                <w:b/>
                <w:bCs/>
              </w:rPr>
              <w:t>o</w:t>
            </w:r>
            <w:proofErr w:type="gramEnd"/>
            <w:r w:rsidR="00C26AB7">
              <w:rPr>
                <w:b/>
                <w:bCs/>
              </w:rPr>
              <w:t xml:space="preserve"> or</w:t>
            </w:r>
            <w:r w:rsidRPr="009465B1">
              <w:rPr>
                <w:b/>
                <w:bCs/>
              </w:rPr>
              <w:t xml:space="preserve"> </w:t>
            </w:r>
            <w:r w:rsidR="00C26AB7">
              <w:rPr>
                <w:b/>
                <w:bCs/>
              </w:rPr>
              <w:t>p</w:t>
            </w:r>
            <w:r w:rsidRPr="009465B1">
              <w:rPr>
                <w:b/>
                <w:bCs/>
              </w:rPr>
              <w:t xml:space="preserve">artially </w:t>
            </w:r>
          </w:p>
        </w:tc>
        <w:tc>
          <w:tcPr>
            <w:tcW w:w="4252" w:type="dxa"/>
          </w:tcPr>
          <w:p w14:paraId="4634CEF4" w14:textId="77777777" w:rsidR="006D564A" w:rsidRPr="009465B1" w:rsidRDefault="006D564A" w:rsidP="006D564A">
            <w:pPr>
              <w:rPr>
                <w:b/>
                <w:bCs/>
              </w:rPr>
            </w:pPr>
            <w:r w:rsidRPr="009465B1">
              <w:rPr>
                <w:b/>
                <w:bCs/>
              </w:rPr>
              <w:t>Evidence</w:t>
            </w:r>
          </w:p>
        </w:tc>
        <w:tc>
          <w:tcPr>
            <w:tcW w:w="3402" w:type="dxa"/>
          </w:tcPr>
          <w:p w14:paraId="72F44B1E"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DF089C" w14:paraId="23599113" w14:textId="77777777" w:rsidTr="009465B1">
        <w:tc>
          <w:tcPr>
            <w:tcW w:w="4618" w:type="dxa"/>
          </w:tcPr>
          <w:p w14:paraId="41C5E683" w14:textId="0762867D" w:rsidR="006D564A" w:rsidRPr="006D564A" w:rsidRDefault="006D564A" w:rsidP="003C3CEB">
            <w:pPr>
              <w:pStyle w:val="Table-bodytext"/>
            </w:pPr>
            <w:r w:rsidRPr="006D564A">
              <w:t>Essential</w:t>
            </w:r>
            <w:r w:rsidR="003C3CEB">
              <w:t xml:space="preserve">: </w:t>
            </w:r>
            <w:r w:rsidRPr="006D564A">
              <w:t xml:space="preserve">All staff who meet with young people receive appropriate training on cultural competence, </w:t>
            </w:r>
            <w:proofErr w:type="gramStart"/>
            <w:r w:rsidRPr="006D564A">
              <w:t>confidentiality</w:t>
            </w:r>
            <w:proofErr w:type="gramEnd"/>
            <w:r w:rsidRPr="006D564A">
              <w:t xml:space="preserve"> and consent, and engaging and communicating</w:t>
            </w:r>
            <w:r w:rsidR="0029225A">
              <w:t>,</w:t>
            </w:r>
            <w:r w:rsidRPr="006D564A">
              <w:t xml:space="preserve"> including strength-based approaches to interventions. Staff adopt an inclusive approach to service provision for young people including isolated and marginalised groups. Staff adjust their approach depending on a young person’s age and ability, </w:t>
            </w:r>
            <w:proofErr w:type="gramStart"/>
            <w:r w:rsidRPr="006D564A">
              <w:t>culture</w:t>
            </w:r>
            <w:proofErr w:type="gramEnd"/>
            <w:r w:rsidRPr="006D564A">
              <w:t xml:space="preserve"> and religious practices.</w:t>
            </w:r>
          </w:p>
        </w:tc>
        <w:tc>
          <w:tcPr>
            <w:tcW w:w="1898" w:type="dxa"/>
          </w:tcPr>
          <w:p w14:paraId="60291797" w14:textId="77777777" w:rsidR="006D564A" w:rsidRPr="006D564A" w:rsidRDefault="006D564A" w:rsidP="006D564A"/>
        </w:tc>
        <w:tc>
          <w:tcPr>
            <w:tcW w:w="4252" w:type="dxa"/>
          </w:tcPr>
          <w:p w14:paraId="237ADA31" w14:textId="77777777" w:rsidR="006D564A" w:rsidRPr="006D564A" w:rsidRDefault="006D564A" w:rsidP="006D564A"/>
        </w:tc>
        <w:tc>
          <w:tcPr>
            <w:tcW w:w="3402" w:type="dxa"/>
          </w:tcPr>
          <w:p w14:paraId="3B115794" w14:textId="77777777" w:rsidR="006D564A" w:rsidRPr="006D564A" w:rsidRDefault="006D564A" w:rsidP="006D564A"/>
        </w:tc>
      </w:tr>
      <w:tr w:rsidR="006D564A" w:rsidRPr="00DF089C" w14:paraId="6DA4491D" w14:textId="77777777" w:rsidTr="009465B1">
        <w:tc>
          <w:tcPr>
            <w:tcW w:w="4618" w:type="dxa"/>
          </w:tcPr>
          <w:p w14:paraId="53F6312E" w14:textId="69CE28A6" w:rsidR="006D564A" w:rsidRPr="006D564A" w:rsidRDefault="006D564A" w:rsidP="003C3CEB">
            <w:pPr>
              <w:pStyle w:val="Table-bodytext"/>
            </w:pPr>
            <w:r w:rsidRPr="006D564A">
              <w:t>Essential</w:t>
            </w:r>
            <w:r w:rsidR="003C3CEB">
              <w:t xml:space="preserve">: </w:t>
            </w:r>
            <w:r w:rsidRPr="006D564A">
              <w:t xml:space="preserve">All staff who meet with young people receive appropriate training, </w:t>
            </w:r>
            <w:proofErr w:type="gramStart"/>
            <w:r w:rsidRPr="006D564A">
              <w:t>supervision</w:t>
            </w:r>
            <w:proofErr w:type="gramEnd"/>
            <w:r w:rsidRPr="006D564A">
              <w:t xml:space="preserve"> and appraisal on understanding young people and the issues that they face which can impact on their health and wellbeing.</w:t>
            </w:r>
          </w:p>
        </w:tc>
        <w:tc>
          <w:tcPr>
            <w:tcW w:w="1898" w:type="dxa"/>
          </w:tcPr>
          <w:p w14:paraId="26C98FE6" w14:textId="77777777" w:rsidR="006D564A" w:rsidRPr="006D564A" w:rsidRDefault="006D564A" w:rsidP="006D564A"/>
        </w:tc>
        <w:tc>
          <w:tcPr>
            <w:tcW w:w="4252" w:type="dxa"/>
          </w:tcPr>
          <w:p w14:paraId="1DA22A65" w14:textId="77777777" w:rsidR="006D564A" w:rsidRPr="006D564A" w:rsidRDefault="006D564A" w:rsidP="006D564A"/>
        </w:tc>
        <w:tc>
          <w:tcPr>
            <w:tcW w:w="3402" w:type="dxa"/>
          </w:tcPr>
          <w:p w14:paraId="7141353D" w14:textId="77777777" w:rsidR="006D564A" w:rsidRPr="006D564A" w:rsidRDefault="006D564A" w:rsidP="006D564A"/>
        </w:tc>
      </w:tr>
      <w:tr w:rsidR="006D564A" w:rsidRPr="00DF089C" w14:paraId="5BAE4C3D" w14:textId="77777777" w:rsidTr="009465B1">
        <w:tc>
          <w:tcPr>
            <w:tcW w:w="4618" w:type="dxa"/>
          </w:tcPr>
          <w:p w14:paraId="526875A0" w14:textId="3188C2F1" w:rsidR="006D564A" w:rsidRPr="006D564A" w:rsidRDefault="006D564A" w:rsidP="003C3CEB">
            <w:pPr>
              <w:pStyle w:val="Table-bodytext"/>
            </w:pPr>
            <w:r w:rsidRPr="006D564A">
              <w:t>Essential</w:t>
            </w:r>
            <w:r w:rsidR="003C3CEB">
              <w:t xml:space="preserve">: </w:t>
            </w:r>
            <w:r w:rsidRPr="006D564A">
              <w:t>Staff routinely receive training appropriate to their level of responsibility on safeguarding, confidentiality and consent including contextual safeguarding, trauma</w:t>
            </w:r>
            <w:r w:rsidR="0029225A">
              <w:t>-</w:t>
            </w:r>
            <w:r w:rsidRPr="006D564A">
              <w:t>informed practice</w:t>
            </w:r>
            <w:r w:rsidR="004D3402">
              <w:t>, supporting disclosure</w:t>
            </w:r>
            <w:r w:rsidRPr="006D564A">
              <w:t xml:space="preserve"> and strength-based approaches to interventions.</w:t>
            </w:r>
          </w:p>
        </w:tc>
        <w:tc>
          <w:tcPr>
            <w:tcW w:w="1898" w:type="dxa"/>
          </w:tcPr>
          <w:p w14:paraId="0C755AD0" w14:textId="77777777" w:rsidR="006D564A" w:rsidRPr="006D564A" w:rsidRDefault="006D564A" w:rsidP="006D564A"/>
        </w:tc>
        <w:tc>
          <w:tcPr>
            <w:tcW w:w="4252" w:type="dxa"/>
          </w:tcPr>
          <w:p w14:paraId="0D298F51" w14:textId="77777777" w:rsidR="006D564A" w:rsidRPr="006D564A" w:rsidRDefault="006D564A" w:rsidP="006D564A"/>
        </w:tc>
        <w:tc>
          <w:tcPr>
            <w:tcW w:w="3402" w:type="dxa"/>
          </w:tcPr>
          <w:p w14:paraId="0E6BE148" w14:textId="77777777" w:rsidR="006D564A" w:rsidRPr="006D564A" w:rsidRDefault="006D564A" w:rsidP="006D564A"/>
        </w:tc>
      </w:tr>
      <w:tr w:rsidR="006D564A" w:rsidRPr="00DF089C" w14:paraId="4DB9977F" w14:textId="77777777" w:rsidTr="009465B1">
        <w:tc>
          <w:tcPr>
            <w:tcW w:w="4618" w:type="dxa"/>
          </w:tcPr>
          <w:p w14:paraId="30F6906A" w14:textId="66AB53DE" w:rsidR="006D564A" w:rsidRPr="006D564A" w:rsidRDefault="006D564A" w:rsidP="003C3CEB">
            <w:pPr>
              <w:pStyle w:val="Table-bodytext"/>
            </w:pPr>
            <w:r w:rsidRPr="006D564A">
              <w:t>Additional</w:t>
            </w:r>
            <w:r w:rsidR="003C3CEB">
              <w:t xml:space="preserve">: </w:t>
            </w:r>
            <w:r w:rsidRPr="006D564A">
              <w:t xml:space="preserve">Staff receive regular training, </w:t>
            </w:r>
            <w:proofErr w:type="gramStart"/>
            <w:r w:rsidRPr="006D564A">
              <w:t>supervision</w:t>
            </w:r>
            <w:proofErr w:type="gramEnd"/>
            <w:r w:rsidRPr="006D564A">
              <w:t xml:space="preserve"> and appraisal to ensure that they can manage sensitive and difficult </w:t>
            </w:r>
            <w:r w:rsidRPr="006D564A">
              <w:lastRenderedPageBreak/>
              <w:t>consultations and support young people in making their own informed choices.</w:t>
            </w:r>
          </w:p>
        </w:tc>
        <w:tc>
          <w:tcPr>
            <w:tcW w:w="1898" w:type="dxa"/>
          </w:tcPr>
          <w:p w14:paraId="7E0F0EAB" w14:textId="77777777" w:rsidR="006D564A" w:rsidRPr="006D564A" w:rsidRDefault="006D564A" w:rsidP="006D564A"/>
        </w:tc>
        <w:tc>
          <w:tcPr>
            <w:tcW w:w="4252" w:type="dxa"/>
          </w:tcPr>
          <w:p w14:paraId="22B29FFF" w14:textId="77777777" w:rsidR="006D564A" w:rsidRPr="006D564A" w:rsidRDefault="006D564A" w:rsidP="006D564A"/>
        </w:tc>
        <w:tc>
          <w:tcPr>
            <w:tcW w:w="3402" w:type="dxa"/>
          </w:tcPr>
          <w:p w14:paraId="39B0C670" w14:textId="77777777" w:rsidR="006D564A" w:rsidRPr="006D564A" w:rsidRDefault="006D564A" w:rsidP="006D564A"/>
        </w:tc>
      </w:tr>
      <w:tr w:rsidR="006D564A" w:rsidRPr="00DF089C" w14:paraId="24F48355" w14:textId="77777777" w:rsidTr="009465B1">
        <w:tc>
          <w:tcPr>
            <w:tcW w:w="4618" w:type="dxa"/>
          </w:tcPr>
          <w:p w14:paraId="79B4A917" w14:textId="55BD4DF4" w:rsidR="006D564A" w:rsidRPr="006D564A" w:rsidRDefault="006D564A" w:rsidP="003C3CEB">
            <w:pPr>
              <w:pStyle w:val="Table-bodytext"/>
            </w:pPr>
            <w:r w:rsidRPr="006D564A">
              <w:t>Additional</w:t>
            </w:r>
            <w:r w:rsidR="003C3CEB">
              <w:t xml:space="preserve">: </w:t>
            </w:r>
            <w:r w:rsidRPr="006D564A">
              <w:t xml:space="preserve">Staff use young people’s feedback and views to inform their reflections and make improvements to practice. These are included in revalidation processes for those with professional registration for example the Nursing </w:t>
            </w:r>
            <w:r w:rsidR="00F501D2">
              <w:t>and</w:t>
            </w:r>
            <w:r w:rsidRPr="006D564A">
              <w:t xml:space="preserve"> Midwifery Council.</w:t>
            </w:r>
          </w:p>
        </w:tc>
        <w:tc>
          <w:tcPr>
            <w:tcW w:w="1898" w:type="dxa"/>
          </w:tcPr>
          <w:p w14:paraId="22C7DB3B" w14:textId="77777777" w:rsidR="006D564A" w:rsidRPr="006D564A" w:rsidRDefault="006D564A" w:rsidP="006D564A"/>
        </w:tc>
        <w:tc>
          <w:tcPr>
            <w:tcW w:w="4252" w:type="dxa"/>
          </w:tcPr>
          <w:p w14:paraId="68323448" w14:textId="77777777" w:rsidR="006D564A" w:rsidRPr="006D564A" w:rsidRDefault="006D564A" w:rsidP="006D564A"/>
        </w:tc>
        <w:tc>
          <w:tcPr>
            <w:tcW w:w="3402" w:type="dxa"/>
          </w:tcPr>
          <w:p w14:paraId="690CA3CB" w14:textId="77777777" w:rsidR="006D564A" w:rsidRPr="006D564A" w:rsidRDefault="006D564A" w:rsidP="006D564A"/>
        </w:tc>
      </w:tr>
      <w:tr w:rsidR="006D564A" w:rsidRPr="00DF089C" w14:paraId="4D9877B6" w14:textId="77777777" w:rsidTr="009465B1">
        <w:tc>
          <w:tcPr>
            <w:tcW w:w="4618" w:type="dxa"/>
          </w:tcPr>
          <w:p w14:paraId="41A8A6EB" w14:textId="5A646F78" w:rsidR="00964823" w:rsidRPr="00964823" w:rsidRDefault="006D564A" w:rsidP="009465B1">
            <w:pPr>
              <w:pStyle w:val="Table-bodytext"/>
            </w:pPr>
            <w:r w:rsidRPr="006D564A">
              <w:t>Additional</w:t>
            </w:r>
            <w:r w:rsidR="003C3CEB">
              <w:t xml:space="preserve">: </w:t>
            </w:r>
            <w:r w:rsidRPr="006D564A">
              <w:t>Inter-disciplinary training is undertaken in line with local safeguarding arrangements to ensure that approaches to safeguarding are in line with national guidance</w:t>
            </w:r>
            <w:r w:rsidR="00964823" w:rsidRPr="00964823">
              <w:t>:</w:t>
            </w:r>
          </w:p>
          <w:p w14:paraId="7E186BF2" w14:textId="77777777" w:rsidR="00964823" w:rsidRPr="00964823" w:rsidRDefault="008513D7" w:rsidP="000C332C">
            <w:pPr>
              <w:pStyle w:val="Bullet"/>
            </w:pPr>
            <w:hyperlink r:id="rId17" w:history="1">
              <w:r w:rsidR="00964823" w:rsidRPr="00964823">
                <w:rPr>
                  <w:rStyle w:val="Hyperlink"/>
                </w:rPr>
                <w:t>Working together to safeguard children</w:t>
              </w:r>
            </w:hyperlink>
          </w:p>
          <w:p w14:paraId="09F221C5" w14:textId="77777777" w:rsidR="00964823" w:rsidRPr="00964823" w:rsidRDefault="008513D7" w:rsidP="000C332C">
            <w:pPr>
              <w:pStyle w:val="Bullet"/>
            </w:pPr>
            <w:hyperlink r:id="rId18" w:history="1">
              <w:r w:rsidR="00964823" w:rsidRPr="00964823">
                <w:rPr>
                  <w:rStyle w:val="Hyperlink"/>
                </w:rPr>
                <w:t>Child sexual exploitation: definition and guide for practitioners</w:t>
              </w:r>
            </w:hyperlink>
          </w:p>
          <w:p w14:paraId="290649FA" w14:textId="77777777" w:rsidR="00964823" w:rsidRPr="00964823" w:rsidRDefault="008513D7" w:rsidP="000C332C">
            <w:pPr>
              <w:pStyle w:val="Bullet"/>
            </w:pPr>
            <w:hyperlink r:id="rId19" w:history="1">
              <w:r w:rsidR="00964823" w:rsidRPr="00964823">
                <w:rPr>
                  <w:rStyle w:val="Hyperlink"/>
                </w:rPr>
                <w:t>Multi-agency statutory guidance on female genital mutilation</w:t>
              </w:r>
            </w:hyperlink>
          </w:p>
          <w:p w14:paraId="7150B344" w14:textId="77777777" w:rsidR="00964823" w:rsidRPr="00964823" w:rsidRDefault="008513D7" w:rsidP="000C332C">
            <w:pPr>
              <w:pStyle w:val="Bullet"/>
            </w:pPr>
            <w:hyperlink r:id="rId20" w:history="1">
              <w:r w:rsidR="00964823" w:rsidRPr="00964823">
                <w:rPr>
                  <w:rStyle w:val="Hyperlink"/>
                </w:rPr>
                <w:t>Preventing serious violence: a multi-agency approach</w:t>
              </w:r>
            </w:hyperlink>
          </w:p>
          <w:p w14:paraId="3FFA216D" w14:textId="77777777" w:rsidR="00964823" w:rsidRPr="00964823" w:rsidRDefault="008513D7" w:rsidP="000C332C">
            <w:pPr>
              <w:pStyle w:val="Bullet"/>
            </w:pPr>
            <w:hyperlink r:id="rId21" w:history="1">
              <w:r w:rsidR="00964823" w:rsidRPr="00964823">
                <w:rPr>
                  <w:rStyle w:val="Hyperlink"/>
                </w:rPr>
                <w:t>Domestic abuse: statutory guidance</w:t>
              </w:r>
            </w:hyperlink>
          </w:p>
          <w:p w14:paraId="79E137D3" w14:textId="77777777" w:rsidR="00964823" w:rsidRPr="00964823" w:rsidRDefault="008513D7" w:rsidP="000C332C">
            <w:pPr>
              <w:pStyle w:val="Bullet"/>
            </w:pPr>
            <w:hyperlink r:id="rId22" w:history="1">
              <w:r w:rsidR="00964823" w:rsidRPr="00964823">
                <w:rPr>
                  <w:rStyle w:val="Hyperlink"/>
                </w:rPr>
                <w:t>Tackling child sexual abuse strategy</w:t>
              </w:r>
            </w:hyperlink>
          </w:p>
          <w:p w14:paraId="502782B3" w14:textId="77777777" w:rsidR="00964823" w:rsidRPr="00964823" w:rsidRDefault="008513D7" w:rsidP="000C332C">
            <w:pPr>
              <w:pStyle w:val="Bullet"/>
            </w:pPr>
            <w:hyperlink r:id="rId23" w:history="1">
              <w:r w:rsidR="00964823" w:rsidRPr="00964823">
                <w:rPr>
                  <w:rStyle w:val="Hyperlink"/>
                </w:rPr>
                <w:t>Criminal exploitation of children and vulnerable adults</w:t>
              </w:r>
            </w:hyperlink>
          </w:p>
          <w:p w14:paraId="70BF0CC7" w14:textId="16CE0058" w:rsidR="006D564A" w:rsidRPr="006D564A" w:rsidRDefault="006D564A" w:rsidP="00801FDD">
            <w:pPr>
              <w:pStyle w:val="Table-bodytext"/>
            </w:pPr>
            <w:r w:rsidRPr="006D564A">
              <w:t>Training complies with the intercollegiate competencies and training standards for child safeguarding.</w:t>
            </w:r>
          </w:p>
        </w:tc>
        <w:tc>
          <w:tcPr>
            <w:tcW w:w="1898" w:type="dxa"/>
          </w:tcPr>
          <w:p w14:paraId="6C5A165E" w14:textId="77777777" w:rsidR="006D564A" w:rsidRPr="006D564A" w:rsidRDefault="006D564A" w:rsidP="006D564A"/>
        </w:tc>
        <w:tc>
          <w:tcPr>
            <w:tcW w:w="4252" w:type="dxa"/>
          </w:tcPr>
          <w:p w14:paraId="57190510" w14:textId="77777777" w:rsidR="006D564A" w:rsidRPr="006D564A" w:rsidRDefault="006D564A" w:rsidP="006D564A"/>
        </w:tc>
        <w:tc>
          <w:tcPr>
            <w:tcW w:w="3402" w:type="dxa"/>
          </w:tcPr>
          <w:p w14:paraId="75E42CD2" w14:textId="77777777" w:rsidR="006D564A" w:rsidRPr="006D564A" w:rsidRDefault="006D564A" w:rsidP="006D564A"/>
        </w:tc>
      </w:tr>
      <w:tr w:rsidR="006D564A" w:rsidRPr="00DF089C" w14:paraId="4F71D87B" w14:textId="77777777" w:rsidTr="009465B1">
        <w:tc>
          <w:tcPr>
            <w:tcW w:w="4618" w:type="dxa"/>
          </w:tcPr>
          <w:p w14:paraId="4B623EB6" w14:textId="5A1522A9" w:rsidR="006D564A" w:rsidRPr="006D564A" w:rsidRDefault="006D564A" w:rsidP="003C3CEB">
            <w:pPr>
              <w:pStyle w:val="Table-bodytext"/>
            </w:pPr>
            <w:r w:rsidRPr="006D564A">
              <w:t>Additional</w:t>
            </w:r>
            <w:r w:rsidR="003C3CEB">
              <w:t xml:space="preserve">: </w:t>
            </w:r>
            <w:r w:rsidRPr="006D564A">
              <w:t xml:space="preserve">Staff are trained to complete psychosocial assessments in consultations and reviews to help discussions about all aspects of young people’s lives. </w:t>
            </w:r>
          </w:p>
        </w:tc>
        <w:tc>
          <w:tcPr>
            <w:tcW w:w="1898" w:type="dxa"/>
          </w:tcPr>
          <w:p w14:paraId="130CA895" w14:textId="77777777" w:rsidR="006D564A" w:rsidRPr="006D564A" w:rsidRDefault="006D564A" w:rsidP="006D564A"/>
        </w:tc>
        <w:tc>
          <w:tcPr>
            <w:tcW w:w="4252" w:type="dxa"/>
          </w:tcPr>
          <w:p w14:paraId="67AC1526" w14:textId="77777777" w:rsidR="006D564A" w:rsidRPr="006D564A" w:rsidRDefault="006D564A" w:rsidP="006D564A"/>
        </w:tc>
        <w:tc>
          <w:tcPr>
            <w:tcW w:w="3402" w:type="dxa"/>
          </w:tcPr>
          <w:p w14:paraId="4FB43569" w14:textId="77777777" w:rsidR="006D564A" w:rsidRPr="006D564A" w:rsidRDefault="006D564A" w:rsidP="006D564A"/>
        </w:tc>
      </w:tr>
      <w:tr w:rsidR="006D564A" w:rsidRPr="00DF089C" w14:paraId="36D8168A" w14:textId="77777777" w:rsidTr="009465B1">
        <w:tc>
          <w:tcPr>
            <w:tcW w:w="4618" w:type="dxa"/>
          </w:tcPr>
          <w:p w14:paraId="17059295" w14:textId="77DFA5F3" w:rsidR="006D564A" w:rsidRPr="006D564A" w:rsidRDefault="006D564A" w:rsidP="003C3CEB">
            <w:pPr>
              <w:pStyle w:val="Table-bodytext"/>
            </w:pPr>
            <w:r w:rsidRPr="006D564A">
              <w:t>Additional</w:t>
            </w:r>
            <w:r w:rsidR="003C3CEB">
              <w:t xml:space="preserve">: </w:t>
            </w:r>
            <w:r w:rsidRPr="006D564A">
              <w:t xml:space="preserve">Staff receive routine induction to the organisation, local area and local services including training about working with young people. Staff feel comfortable asking for additional training if they identify a gap in their knowledge or skills. </w:t>
            </w:r>
          </w:p>
        </w:tc>
        <w:tc>
          <w:tcPr>
            <w:tcW w:w="1898" w:type="dxa"/>
          </w:tcPr>
          <w:p w14:paraId="4BD509D0" w14:textId="77777777" w:rsidR="006D564A" w:rsidRPr="006D564A" w:rsidRDefault="006D564A" w:rsidP="006D564A"/>
        </w:tc>
        <w:tc>
          <w:tcPr>
            <w:tcW w:w="4252" w:type="dxa"/>
          </w:tcPr>
          <w:p w14:paraId="46E6466E" w14:textId="77777777" w:rsidR="006D564A" w:rsidRPr="006D564A" w:rsidRDefault="006D564A" w:rsidP="006D564A"/>
        </w:tc>
        <w:tc>
          <w:tcPr>
            <w:tcW w:w="3402" w:type="dxa"/>
          </w:tcPr>
          <w:p w14:paraId="0B28C9F3" w14:textId="77777777" w:rsidR="006D564A" w:rsidRPr="006D564A" w:rsidRDefault="006D564A" w:rsidP="006D564A"/>
        </w:tc>
      </w:tr>
    </w:tbl>
    <w:p w14:paraId="74F80AC7" w14:textId="68213218" w:rsidR="00451BC1" w:rsidRDefault="003C3CEB" w:rsidP="00451BC1">
      <w:pPr>
        <w:pStyle w:val="ParagraphText"/>
      </w:pPr>
      <w:r w:rsidRPr="00451BC1">
        <w:t>Young people comments and recommendations following review:</w:t>
      </w:r>
    </w:p>
    <w:p w14:paraId="4032C6F0" w14:textId="77777777" w:rsidR="00451BC1" w:rsidRDefault="00451BC1">
      <w:pPr>
        <w:rPr>
          <w:b/>
          <w:sz w:val="33"/>
        </w:rPr>
      </w:pPr>
      <w:r>
        <w:br w:type="page"/>
      </w:r>
    </w:p>
    <w:p w14:paraId="40DEFE20" w14:textId="6AC26F3F" w:rsidR="006D564A" w:rsidRPr="006D564A" w:rsidRDefault="006D564A" w:rsidP="006D564A">
      <w:pPr>
        <w:pStyle w:val="Heading2"/>
      </w:pPr>
      <w:bookmarkStart w:id="13" w:name="_Toc135043623"/>
      <w:r w:rsidRPr="006D564A">
        <w:lastRenderedPageBreak/>
        <w:t xml:space="preserve">Standard 7: </w:t>
      </w:r>
      <w:r w:rsidR="0084456A">
        <w:t>l</w:t>
      </w:r>
      <w:r w:rsidRPr="006D564A">
        <w:t>inking with other services</w:t>
      </w:r>
      <w:bookmarkEnd w:id="13"/>
    </w:p>
    <w:tbl>
      <w:tblPr>
        <w:tblStyle w:val="TableGrid"/>
        <w:tblW w:w="14029" w:type="dxa"/>
        <w:tblLayout w:type="fixed"/>
        <w:tblLook w:val="04A0" w:firstRow="1" w:lastRow="0" w:firstColumn="1" w:lastColumn="0" w:noHBand="0" w:noVBand="1"/>
      </w:tblPr>
      <w:tblGrid>
        <w:gridCol w:w="4618"/>
        <w:gridCol w:w="1898"/>
        <w:gridCol w:w="4252"/>
        <w:gridCol w:w="3261"/>
      </w:tblGrid>
      <w:tr w:rsidR="006D564A" w:rsidRPr="0029225A" w14:paraId="4B3D8D43" w14:textId="77777777" w:rsidTr="009465B1">
        <w:trPr>
          <w:tblHeader/>
        </w:trPr>
        <w:tc>
          <w:tcPr>
            <w:tcW w:w="4618" w:type="dxa"/>
          </w:tcPr>
          <w:p w14:paraId="2341D327" w14:textId="77777777" w:rsidR="006D564A" w:rsidRPr="009465B1" w:rsidRDefault="006D564A" w:rsidP="006D564A">
            <w:pPr>
              <w:rPr>
                <w:b/>
                <w:bCs/>
              </w:rPr>
            </w:pPr>
            <w:r w:rsidRPr="009465B1">
              <w:rPr>
                <w:b/>
                <w:bCs/>
              </w:rPr>
              <w:t>Criteria</w:t>
            </w:r>
          </w:p>
        </w:tc>
        <w:tc>
          <w:tcPr>
            <w:tcW w:w="1898" w:type="dxa"/>
          </w:tcPr>
          <w:p w14:paraId="2F4E4274" w14:textId="77777777" w:rsidR="006D564A" w:rsidRPr="009465B1" w:rsidRDefault="006D564A" w:rsidP="006D564A">
            <w:pPr>
              <w:rPr>
                <w:b/>
                <w:bCs/>
              </w:rPr>
            </w:pPr>
            <w:r w:rsidRPr="009465B1">
              <w:rPr>
                <w:b/>
                <w:bCs/>
              </w:rPr>
              <w:t>Complete?</w:t>
            </w:r>
          </w:p>
          <w:p w14:paraId="68583A53" w14:textId="5DDE32E8" w:rsidR="006D564A" w:rsidRPr="009465B1" w:rsidRDefault="006D564A" w:rsidP="006D564A">
            <w:pPr>
              <w:rPr>
                <w:b/>
                <w:bCs/>
              </w:rPr>
            </w:pPr>
            <w:r w:rsidRPr="009465B1">
              <w:rPr>
                <w:b/>
                <w:bCs/>
              </w:rPr>
              <w:t xml:space="preserve">Yes, </w:t>
            </w:r>
            <w:proofErr w:type="gramStart"/>
            <w:r w:rsidR="0029225A">
              <w:rPr>
                <w:b/>
                <w:bCs/>
              </w:rPr>
              <w:t>n</w:t>
            </w:r>
            <w:r w:rsidRPr="009465B1">
              <w:rPr>
                <w:b/>
                <w:bCs/>
              </w:rPr>
              <w:t>o</w:t>
            </w:r>
            <w:proofErr w:type="gramEnd"/>
            <w:r w:rsidR="0029225A">
              <w:rPr>
                <w:b/>
                <w:bCs/>
              </w:rPr>
              <w:t xml:space="preserve"> or</w:t>
            </w:r>
            <w:r w:rsidR="0029225A" w:rsidRPr="009465B1">
              <w:rPr>
                <w:b/>
                <w:bCs/>
              </w:rPr>
              <w:t xml:space="preserve"> </w:t>
            </w:r>
            <w:r w:rsidR="0029225A">
              <w:rPr>
                <w:b/>
                <w:bCs/>
              </w:rPr>
              <w:t>p</w:t>
            </w:r>
            <w:r w:rsidRPr="009465B1">
              <w:rPr>
                <w:b/>
                <w:bCs/>
              </w:rPr>
              <w:t xml:space="preserve">artially </w:t>
            </w:r>
          </w:p>
        </w:tc>
        <w:tc>
          <w:tcPr>
            <w:tcW w:w="4252" w:type="dxa"/>
          </w:tcPr>
          <w:p w14:paraId="1BC2685B" w14:textId="77777777" w:rsidR="006D564A" w:rsidRPr="009465B1" w:rsidRDefault="006D564A" w:rsidP="006D564A">
            <w:pPr>
              <w:rPr>
                <w:b/>
                <w:bCs/>
              </w:rPr>
            </w:pPr>
            <w:r w:rsidRPr="009465B1">
              <w:rPr>
                <w:b/>
                <w:bCs/>
              </w:rPr>
              <w:t>Evidence</w:t>
            </w:r>
          </w:p>
        </w:tc>
        <w:tc>
          <w:tcPr>
            <w:tcW w:w="3261" w:type="dxa"/>
          </w:tcPr>
          <w:p w14:paraId="0C2A3B9C"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5218CB8C" w14:textId="77777777" w:rsidTr="009465B1">
        <w:tc>
          <w:tcPr>
            <w:tcW w:w="4618" w:type="dxa"/>
          </w:tcPr>
          <w:p w14:paraId="116F6AF4" w14:textId="3053C7F9" w:rsidR="006D564A" w:rsidRPr="006D564A" w:rsidRDefault="006D564A" w:rsidP="0029225A">
            <w:pPr>
              <w:pStyle w:val="Table-bodytext"/>
            </w:pPr>
            <w:r w:rsidRPr="006D564A">
              <w:t>Essential</w:t>
            </w:r>
            <w:r w:rsidR="0029225A">
              <w:t xml:space="preserve">: </w:t>
            </w:r>
            <w:r w:rsidRPr="006D564A">
              <w:t xml:space="preserve">The service is part of local networks with good links and active partnerships to a range of other projects, organisations and services working with young people, including </w:t>
            </w:r>
            <w:r w:rsidR="001C1867">
              <w:t>i</w:t>
            </w:r>
            <w:r w:rsidRPr="006D564A">
              <w:t xml:space="preserve">ntegrated </w:t>
            </w:r>
            <w:r w:rsidR="001C1867">
              <w:t>c</w:t>
            </w:r>
            <w:r w:rsidRPr="006D564A">
              <w:t xml:space="preserve">are </w:t>
            </w:r>
            <w:r w:rsidR="001C1867">
              <w:t>s</w:t>
            </w:r>
            <w:r w:rsidRPr="006D564A">
              <w:t>ystems.</w:t>
            </w:r>
          </w:p>
        </w:tc>
        <w:tc>
          <w:tcPr>
            <w:tcW w:w="1898" w:type="dxa"/>
          </w:tcPr>
          <w:p w14:paraId="7A66C6B6" w14:textId="77777777" w:rsidR="006D564A" w:rsidRPr="006D564A" w:rsidRDefault="006D564A" w:rsidP="006D564A"/>
        </w:tc>
        <w:tc>
          <w:tcPr>
            <w:tcW w:w="4252" w:type="dxa"/>
          </w:tcPr>
          <w:p w14:paraId="53E23D89" w14:textId="77777777" w:rsidR="006D564A" w:rsidRPr="006D564A" w:rsidRDefault="006D564A" w:rsidP="006D564A"/>
        </w:tc>
        <w:tc>
          <w:tcPr>
            <w:tcW w:w="3261" w:type="dxa"/>
          </w:tcPr>
          <w:p w14:paraId="295F8FB5" w14:textId="77777777" w:rsidR="006D564A" w:rsidRPr="006D564A" w:rsidRDefault="006D564A" w:rsidP="006D564A"/>
        </w:tc>
      </w:tr>
      <w:tr w:rsidR="006D564A" w:rsidRPr="00383CAD" w14:paraId="4827F340" w14:textId="77777777" w:rsidTr="009465B1">
        <w:tc>
          <w:tcPr>
            <w:tcW w:w="4618" w:type="dxa"/>
          </w:tcPr>
          <w:p w14:paraId="5C527126" w14:textId="52F736B3" w:rsidR="006D564A" w:rsidRPr="006D564A" w:rsidRDefault="006D564A" w:rsidP="0029225A">
            <w:pPr>
              <w:pStyle w:val="Table-bodytext"/>
            </w:pPr>
            <w:r w:rsidRPr="006D564A">
              <w:t>Essential</w:t>
            </w:r>
            <w:r w:rsidR="0029225A">
              <w:t xml:space="preserve">: </w:t>
            </w:r>
            <w:r w:rsidRPr="006D564A">
              <w:t xml:space="preserve">The service supports young people’s access to education, </w:t>
            </w:r>
            <w:proofErr w:type="gramStart"/>
            <w:r w:rsidRPr="006D564A">
              <w:t>training</w:t>
            </w:r>
            <w:proofErr w:type="gramEnd"/>
            <w:r w:rsidRPr="006D564A">
              <w:t xml:space="preserve"> and employment</w:t>
            </w:r>
            <w:r w:rsidR="00040DEC">
              <w:t>, f</w:t>
            </w:r>
            <w:r w:rsidRPr="006D564A">
              <w:t xml:space="preserve">or example, through flexible appointment times, which are longer where needed, </w:t>
            </w:r>
            <w:r w:rsidR="0024236A">
              <w:t xml:space="preserve">and </w:t>
            </w:r>
            <w:r w:rsidRPr="006D564A">
              <w:t>scheduled to fit with young people’s school, college or university timetables where possible.</w:t>
            </w:r>
          </w:p>
        </w:tc>
        <w:tc>
          <w:tcPr>
            <w:tcW w:w="1898" w:type="dxa"/>
          </w:tcPr>
          <w:p w14:paraId="61CB9D10" w14:textId="77777777" w:rsidR="006D564A" w:rsidRPr="006D564A" w:rsidRDefault="006D564A" w:rsidP="006D564A"/>
        </w:tc>
        <w:tc>
          <w:tcPr>
            <w:tcW w:w="4252" w:type="dxa"/>
          </w:tcPr>
          <w:p w14:paraId="5B555BFB" w14:textId="77777777" w:rsidR="006D564A" w:rsidRPr="006D564A" w:rsidRDefault="006D564A" w:rsidP="006D564A"/>
          <w:p w14:paraId="74B69EF9" w14:textId="77777777" w:rsidR="006D564A" w:rsidRPr="006D564A" w:rsidRDefault="006D564A" w:rsidP="006D564A"/>
        </w:tc>
        <w:tc>
          <w:tcPr>
            <w:tcW w:w="3261" w:type="dxa"/>
          </w:tcPr>
          <w:p w14:paraId="1CFD9ACA" w14:textId="77777777" w:rsidR="006D564A" w:rsidRPr="006D564A" w:rsidRDefault="006D564A" w:rsidP="006D564A"/>
        </w:tc>
      </w:tr>
      <w:tr w:rsidR="006D564A" w:rsidRPr="00383CAD" w14:paraId="178BFCD8" w14:textId="77777777" w:rsidTr="009465B1">
        <w:tc>
          <w:tcPr>
            <w:tcW w:w="4618" w:type="dxa"/>
          </w:tcPr>
          <w:p w14:paraId="4327C89B" w14:textId="2FEFBC6F" w:rsidR="006D564A" w:rsidRPr="006D564A" w:rsidRDefault="006D564A" w:rsidP="0029225A">
            <w:pPr>
              <w:pStyle w:val="Table-bodytext"/>
            </w:pPr>
            <w:r w:rsidRPr="006D564A">
              <w:t>Essential</w:t>
            </w:r>
            <w:r w:rsidR="0029225A">
              <w:t xml:space="preserve">: </w:t>
            </w:r>
            <w:r w:rsidRPr="006D564A">
              <w:t>The service provides information about other local services for young people. All staff are familiar with local service provision and arrangements for referral.</w:t>
            </w:r>
          </w:p>
        </w:tc>
        <w:tc>
          <w:tcPr>
            <w:tcW w:w="1898" w:type="dxa"/>
          </w:tcPr>
          <w:p w14:paraId="6847C9A2" w14:textId="77777777" w:rsidR="006D564A" w:rsidRPr="006D564A" w:rsidRDefault="006D564A" w:rsidP="006D564A"/>
        </w:tc>
        <w:tc>
          <w:tcPr>
            <w:tcW w:w="4252" w:type="dxa"/>
          </w:tcPr>
          <w:p w14:paraId="250F3833" w14:textId="77777777" w:rsidR="006D564A" w:rsidRPr="006D564A" w:rsidRDefault="006D564A" w:rsidP="006D564A"/>
        </w:tc>
        <w:tc>
          <w:tcPr>
            <w:tcW w:w="3261" w:type="dxa"/>
          </w:tcPr>
          <w:p w14:paraId="53EBC907" w14:textId="77777777" w:rsidR="006D564A" w:rsidRPr="006D564A" w:rsidRDefault="006D564A" w:rsidP="006D564A"/>
        </w:tc>
      </w:tr>
      <w:tr w:rsidR="006D564A" w:rsidRPr="00383CAD" w14:paraId="3796AC23" w14:textId="77777777" w:rsidTr="009465B1">
        <w:tc>
          <w:tcPr>
            <w:tcW w:w="4618" w:type="dxa"/>
          </w:tcPr>
          <w:p w14:paraId="360863E9" w14:textId="1B1CBBCD" w:rsidR="006D564A" w:rsidRPr="006D564A" w:rsidRDefault="006D564A" w:rsidP="0029225A">
            <w:pPr>
              <w:pStyle w:val="Table-bodytext"/>
            </w:pPr>
            <w:r w:rsidRPr="006D564A">
              <w:t>Additional</w:t>
            </w:r>
            <w:r w:rsidR="0029225A">
              <w:t xml:space="preserve">: </w:t>
            </w:r>
            <w:r w:rsidRPr="006D564A">
              <w:t>The service is co-located with other relevant services for young people where possible. Where this is not possible, there are regular collaborative working sessions and meetings.</w:t>
            </w:r>
          </w:p>
        </w:tc>
        <w:tc>
          <w:tcPr>
            <w:tcW w:w="1898" w:type="dxa"/>
          </w:tcPr>
          <w:p w14:paraId="7AEDAC6B" w14:textId="77777777" w:rsidR="006D564A" w:rsidRPr="006D564A" w:rsidRDefault="006D564A" w:rsidP="006D564A"/>
        </w:tc>
        <w:tc>
          <w:tcPr>
            <w:tcW w:w="4252" w:type="dxa"/>
          </w:tcPr>
          <w:p w14:paraId="0AFC8FB7" w14:textId="77777777" w:rsidR="006D564A" w:rsidRPr="006D564A" w:rsidRDefault="006D564A" w:rsidP="006D564A"/>
        </w:tc>
        <w:tc>
          <w:tcPr>
            <w:tcW w:w="3261" w:type="dxa"/>
          </w:tcPr>
          <w:p w14:paraId="1622294A" w14:textId="77777777" w:rsidR="006D564A" w:rsidRPr="006D564A" w:rsidRDefault="006D564A" w:rsidP="006D564A"/>
        </w:tc>
      </w:tr>
      <w:tr w:rsidR="006D564A" w:rsidRPr="00383CAD" w14:paraId="37C7E843" w14:textId="77777777" w:rsidTr="009465B1">
        <w:tc>
          <w:tcPr>
            <w:tcW w:w="4618" w:type="dxa"/>
          </w:tcPr>
          <w:p w14:paraId="70210FAD" w14:textId="385D7A45" w:rsidR="006D564A" w:rsidRPr="006D564A" w:rsidRDefault="006D564A" w:rsidP="0029225A">
            <w:pPr>
              <w:pStyle w:val="Table-bodytext"/>
            </w:pPr>
            <w:r w:rsidRPr="006D564A">
              <w:t>Additional</w:t>
            </w:r>
            <w:r w:rsidR="0029225A">
              <w:t xml:space="preserve">: </w:t>
            </w:r>
            <w:r w:rsidRPr="006D564A">
              <w:t xml:space="preserve">Information about the service, including the criteria and process referral, is provided to other relevant organisations and to key professionals working with young people. This </w:t>
            </w:r>
            <w:r w:rsidRPr="006D564A">
              <w:lastRenderedPageBreak/>
              <w:t>information is kept up to date, is freely available and accessible to young people.</w:t>
            </w:r>
          </w:p>
        </w:tc>
        <w:tc>
          <w:tcPr>
            <w:tcW w:w="1898" w:type="dxa"/>
          </w:tcPr>
          <w:p w14:paraId="3F634FF1" w14:textId="77777777" w:rsidR="006D564A" w:rsidRPr="006D564A" w:rsidRDefault="006D564A" w:rsidP="006D564A"/>
        </w:tc>
        <w:tc>
          <w:tcPr>
            <w:tcW w:w="4252" w:type="dxa"/>
          </w:tcPr>
          <w:p w14:paraId="5FFEA033" w14:textId="77777777" w:rsidR="006D564A" w:rsidRPr="006D564A" w:rsidRDefault="006D564A" w:rsidP="006D564A"/>
        </w:tc>
        <w:tc>
          <w:tcPr>
            <w:tcW w:w="3261" w:type="dxa"/>
          </w:tcPr>
          <w:p w14:paraId="4654A197" w14:textId="77777777" w:rsidR="006D564A" w:rsidRPr="006D564A" w:rsidRDefault="006D564A" w:rsidP="006D564A"/>
        </w:tc>
      </w:tr>
      <w:tr w:rsidR="006D564A" w:rsidRPr="00383CAD" w14:paraId="0570B0BE" w14:textId="77777777" w:rsidTr="009465B1">
        <w:tc>
          <w:tcPr>
            <w:tcW w:w="4618" w:type="dxa"/>
          </w:tcPr>
          <w:p w14:paraId="7EE5984E" w14:textId="752877E3" w:rsidR="006D564A" w:rsidRPr="006D564A" w:rsidRDefault="006D564A" w:rsidP="0029225A">
            <w:pPr>
              <w:pStyle w:val="Table-bodytext"/>
            </w:pPr>
            <w:r w:rsidRPr="006D564A">
              <w:t>Additional</w:t>
            </w:r>
            <w:r w:rsidR="0029225A">
              <w:t xml:space="preserve">: </w:t>
            </w:r>
            <w:r w:rsidRPr="006D564A">
              <w:t>Staff are aware of the emotional and psychological needs of young people with clear and appropriate referral pathways or signposting to provide support as early as possible.</w:t>
            </w:r>
          </w:p>
        </w:tc>
        <w:tc>
          <w:tcPr>
            <w:tcW w:w="1898" w:type="dxa"/>
          </w:tcPr>
          <w:p w14:paraId="4910D701" w14:textId="77777777" w:rsidR="006D564A" w:rsidRPr="006D564A" w:rsidRDefault="006D564A" w:rsidP="006D564A"/>
        </w:tc>
        <w:tc>
          <w:tcPr>
            <w:tcW w:w="4252" w:type="dxa"/>
          </w:tcPr>
          <w:p w14:paraId="26152625" w14:textId="77777777" w:rsidR="006D564A" w:rsidRPr="006D564A" w:rsidRDefault="006D564A" w:rsidP="006D564A"/>
        </w:tc>
        <w:tc>
          <w:tcPr>
            <w:tcW w:w="3261" w:type="dxa"/>
          </w:tcPr>
          <w:p w14:paraId="146518AF" w14:textId="77777777" w:rsidR="006D564A" w:rsidRPr="006D564A" w:rsidRDefault="006D564A" w:rsidP="006D564A"/>
        </w:tc>
      </w:tr>
      <w:tr w:rsidR="006D564A" w:rsidRPr="00383CAD" w14:paraId="682A1A79" w14:textId="77777777" w:rsidTr="009465B1">
        <w:tc>
          <w:tcPr>
            <w:tcW w:w="4618" w:type="dxa"/>
          </w:tcPr>
          <w:p w14:paraId="1A8A7C7D" w14:textId="23910778" w:rsidR="006D564A" w:rsidRPr="006D564A" w:rsidRDefault="006D564A" w:rsidP="0029225A">
            <w:pPr>
              <w:pStyle w:val="Table-bodytext"/>
            </w:pPr>
            <w:r w:rsidRPr="006D564A">
              <w:t>Additional</w:t>
            </w:r>
            <w:r w:rsidR="0029225A">
              <w:t xml:space="preserve">: </w:t>
            </w:r>
            <w:r w:rsidRPr="006D564A">
              <w:t xml:space="preserve">Young people are made aware of opportunities to support and influence development or change to services or policies in their local area or wider </w:t>
            </w:r>
            <w:r w:rsidR="00040DEC">
              <w:t>po</w:t>
            </w:r>
            <w:r w:rsidRPr="006D564A">
              <w:t>licies and practices in their educational setting, such as whole school and college approaches.</w:t>
            </w:r>
          </w:p>
        </w:tc>
        <w:tc>
          <w:tcPr>
            <w:tcW w:w="1898" w:type="dxa"/>
          </w:tcPr>
          <w:p w14:paraId="4DD686E0" w14:textId="77777777" w:rsidR="006D564A" w:rsidRPr="006D564A" w:rsidRDefault="006D564A" w:rsidP="006D564A"/>
        </w:tc>
        <w:tc>
          <w:tcPr>
            <w:tcW w:w="4252" w:type="dxa"/>
          </w:tcPr>
          <w:p w14:paraId="3A011372" w14:textId="77777777" w:rsidR="006D564A" w:rsidRPr="006D564A" w:rsidRDefault="006D564A" w:rsidP="006D564A"/>
        </w:tc>
        <w:tc>
          <w:tcPr>
            <w:tcW w:w="3261" w:type="dxa"/>
          </w:tcPr>
          <w:p w14:paraId="5653CE9C" w14:textId="77777777" w:rsidR="006D564A" w:rsidRPr="006D564A" w:rsidRDefault="006D564A" w:rsidP="006D564A"/>
        </w:tc>
      </w:tr>
    </w:tbl>
    <w:p w14:paraId="1C20CBED" w14:textId="4BCF1E45" w:rsidR="006A2397" w:rsidRDefault="006A2397" w:rsidP="009465B1">
      <w:pPr>
        <w:pStyle w:val="ParagraphText"/>
      </w:pPr>
      <w:r w:rsidRPr="006D564A">
        <w:t>Young people comments and recommendations following review:</w:t>
      </w:r>
    </w:p>
    <w:p w14:paraId="313C1200" w14:textId="62F001D8" w:rsidR="006D564A" w:rsidRPr="006D564A" w:rsidRDefault="006A2397" w:rsidP="006A2397">
      <w:pPr>
        <w:pStyle w:val="Heading2"/>
      </w:pPr>
      <w:r>
        <w:br w:type="page"/>
      </w:r>
      <w:bookmarkStart w:id="14" w:name="_Toc135043624"/>
      <w:r w:rsidR="006D564A" w:rsidRPr="006D564A">
        <w:lastRenderedPageBreak/>
        <w:t xml:space="preserve">Standard 8: </w:t>
      </w:r>
      <w:r w:rsidR="0084456A">
        <w:t>s</w:t>
      </w:r>
      <w:r w:rsidR="006D564A" w:rsidRPr="006D564A">
        <w:t>upporting young people’s changing needs</w:t>
      </w:r>
      <w:bookmarkEnd w:id="14"/>
    </w:p>
    <w:tbl>
      <w:tblPr>
        <w:tblStyle w:val="TableGrid"/>
        <w:tblW w:w="14029" w:type="dxa"/>
        <w:tblLayout w:type="fixed"/>
        <w:tblLook w:val="04A0" w:firstRow="1" w:lastRow="0" w:firstColumn="1" w:lastColumn="0" w:noHBand="0" w:noVBand="1"/>
      </w:tblPr>
      <w:tblGrid>
        <w:gridCol w:w="4820"/>
        <w:gridCol w:w="1696"/>
        <w:gridCol w:w="4252"/>
        <w:gridCol w:w="3261"/>
      </w:tblGrid>
      <w:tr w:rsidR="006D564A" w:rsidRPr="0024236A" w14:paraId="78226835" w14:textId="77777777" w:rsidTr="009465B1">
        <w:trPr>
          <w:tblHeader/>
        </w:trPr>
        <w:tc>
          <w:tcPr>
            <w:tcW w:w="4820" w:type="dxa"/>
          </w:tcPr>
          <w:p w14:paraId="424C1146" w14:textId="77777777" w:rsidR="006D564A" w:rsidRPr="009465B1" w:rsidRDefault="006D564A" w:rsidP="006D564A">
            <w:pPr>
              <w:rPr>
                <w:b/>
                <w:bCs/>
              </w:rPr>
            </w:pPr>
            <w:r w:rsidRPr="009465B1">
              <w:rPr>
                <w:b/>
                <w:bCs/>
              </w:rPr>
              <w:t>Criteria</w:t>
            </w:r>
          </w:p>
        </w:tc>
        <w:tc>
          <w:tcPr>
            <w:tcW w:w="1696" w:type="dxa"/>
          </w:tcPr>
          <w:p w14:paraId="7B3F8EAE" w14:textId="77777777" w:rsidR="006D564A" w:rsidRPr="009465B1" w:rsidRDefault="006D564A" w:rsidP="006D564A">
            <w:pPr>
              <w:rPr>
                <w:b/>
                <w:bCs/>
              </w:rPr>
            </w:pPr>
            <w:r w:rsidRPr="009465B1">
              <w:rPr>
                <w:b/>
                <w:bCs/>
              </w:rPr>
              <w:t>Complete?</w:t>
            </w:r>
          </w:p>
          <w:p w14:paraId="5051AAC3" w14:textId="43FD44C1" w:rsidR="006D564A" w:rsidRPr="009465B1" w:rsidRDefault="006D564A" w:rsidP="006D564A">
            <w:pPr>
              <w:rPr>
                <w:b/>
                <w:bCs/>
              </w:rPr>
            </w:pPr>
            <w:r w:rsidRPr="009465B1">
              <w:rPr>
                <w:b/>
                <w:bCs/>
              </w:rPr>
              <w:t xml:space="preserve">Yes, </w:t>
            </w:r>
            <w:proofErr w:type="gramStart"/>
            <w:r w:rsidR="0024236A">
              <w:rPr>
                <w:b/>
                <w:bCs/>
              </w:rPr>
              <w:t>n</w:t>
            </w:r>
            <w:r w:rsidRPr="009465B1">
              <w:rPr>
                <w:b/>
                <w:bCs/>
              </w:rPr>
              <w:t>o</w:t>
            </w:r>
            <w:proofErr w:type="gramEnd"/>
            <w:r w:rsidR="0024236A">
              <w:rPr>
                <w:b/>
                <w:bCs/>
              </w:rPr>
              <w:t xml:space="preserve"> </w:t>
            </w:r>
            <w:r w:rsidR="00A2038A">
              <w:rPr>
                <w:b/>
                <w:bCs/>
              </w:rPr>
              <w:t>or</w:t>
            </w:r>
            <w:r w:rsidR="0024236A" w:rsidRPr="009465B1">
              <w:rPr>
                <w:b/>
                <w:bCs/>
              </w:rPr>
              <w:t xml:space="preserve"> </w:t>
            </w:r>
            <w:r w:rsidR="0024236A">
              <w:rPr>
                <w:b/>
                <w:bCs/>
              </w:rPr>
              <w:t>p</w:t>
            </w:r>
            <w:r w:rsidRPr="009465B1">
              <w:rPr>
                <w:b/>
                <w:bCs/>
              </w:rPr>
              <w:t xml:space="preserve">artially </w:t>
            </w:r>
          </w:p>
        </w:tc>
        <w:tc>
          <w:tcPr>
            <w:tcW w:w="4252" w:type="dxa"/>
          </w:tcPr>
          <w:p w14:paraId="6810D6ED" w14:textId="77777777" w:rsidR="006D564A" w:rsidRPr="009465B1" w:rsidRDefault="006D564A" w:rsidP="006D564A">
            <w:pPr>
              <w:rPr>
                <w:b/>
                <w:bCs/>
              </w:rPr>
            </w:pPr>
            <w:r w:rsidRPr="009465B1">
              <w:rPr>
                <w:b/>
                <w:bCs/>
              </w:rPr>
              <w:t>Evidence</w:t>
            </w:r>
          </w:p>
        </w:tc>
        <w:tc>
          <w:tcPr>
            <w:tcW w:w="3261" w:type="dxa"/>
          </w:tcPr>
          <w:p w14:paraId="69122500" w14:textId="77777777" w:rsidR="006D564A" w:rsidRPr="009465B1" w:rsidRDefault="006D564A" w:rsidP="006D564A">
            <w:pPr>
              <w:rPr>
                <w:b/>
                <w:bCs/>
              </w:rPr>
            </w:pPr>
            <w:r w:rsidRPr="009465B1">
              <w:rPr>
                <w:b/>
                <w:bCs/>
              </w:rPr>
              <w:t xml:space="preserve">Link to other quality frameworks, </w:t>
            </w:r>
            <w:proofErr w:type="gramStart"/>
            <w:r w:rsidRPr="009465B1">
              <w:rPr>
                <w:b/>
                <w:bCs/>
              </w:rPr>
              <w:t>indicators</w:t>
            </w:r>
            <w:proofErr w:type="gramEnd"/>
            <w:r w:rsidRPr="009465B1">
              <w:rPr>
                <w:b/>
                <w:bCs/>
              </w:rPr>
              <w:t xml:space="preserve"> and outcomes</w:t>
            </w:r>
          </w:p>
        </w:tc>
      </w:tr>
      <w:tr w:rsidR="006D564A" w:rsidRPr="00383CAD" w14:paraId="2525F9B7" w14:textId="77777777" w:rsidTr="009465B1">
        <w:tc>
          <w:tcPr>
            <w:tcW w:w="4820" w:type="dxa"/>
          </w:tcPr>
          <w:p w14:paraId="49663906" w14:textId="4362D191" w:rsidR="006A2397" w:rsidRPr="006D564A" w:rsidRDefault="006D564A" w:rsidP="0024236A">
            <w:pPr>
              <w:pStyle w:val="Table-bodytext"/>
            </w:pPr>
            <w:r w:rsidRPr="006D564A">
              <w:t>Essential</w:t>
            </w:r>
            <w:r w:rsidR="0024236A">
              <w:t xml:space="preserve">: </w:t>
            </w:r>
            <w:r w:rsidRPr="006D564A">
              <w:t>The service provides healthcare and support based on a young person’s needs and competency.</w:t>
            </w:r>
          </w:p>
        </w:tc>
        <w:tc>
          <w:tcPr>
            <w:tcW w:w="1696" w:type="dxa"/>
          </w:tcPr>
          <w:p w14:paraId="71A685A6" w14:textId="77777777" w:rsidR="006D564A" w:rsidRPr="006D564A" w:rsidRDefault="006D564A" w:rsidP="006D564A"/>
        </w:tc>
        <w:tc>
          <w:tcPr>
            <w:tcW w:w="4252" w:type="dxa"/>
          </w:tcPr>
          <w:p w14:paraId="1C6235C8" w14:textId="77777777" w:rsidR="006D564A" w:rsidRPr="006D564A" w:rsidRDefault="006D564A" w:rsidP="006D564A"/>
        </w:tc>
        <w:tc>
          <w:tcPr>
            <w:tcW w:w="3261" w:type="dxa"/>
          </w:tcPr>
          <w:p w14:paraId="7EB5F286" w14:textId="77777777" w:rsidR="006D564A" w:rsidRPr="006D564A" w:rsidRDefault="006D564A" w:rsidP="006D564A"/>
        </w:tc>
      </w:tr>
      <w:tr w:rsidR="006D564A" w:rsidRPr="00383CAD" w14:paraId="7DA8986D" w14:textId="77777777" w:rsidTr="009465B1">
        <w:tc>
          <w:tcPr>
            <w:tcW w:w="4820" w:type="dxa"/>
          </w:tcPr>
          <w:p w14:paraId="644CFBCE" w14:textId="410E79A6" w:rsidR="006D564A" w:rsidRPr="006D564A" w:rsidRDefault="006D564A" w:rsidP="0024236A">
            <w:pPr>
              <w:pStyle w:val="Table-bodytext"/>
            </w:pPr>
            <w:r w:rsidRPr="006D564A">
              <w:t>Essential</w:t>
            </w:r>
            <w:r w:rsidR="0024236A">
              <w:t xml:space="preserve">: </w:t>
            </w:r>
            <w:r w:rsidRPr="006D564A">
              <w:t xml:space="preserve">Referral systems foster a positive approach to healthy transitions with established systems for communication between relevant health professionals, </w:t>
            </w:r>
            <w:proofErr w:type="gramStart"/>
            <w:r w:rsidRPr="006D564A">
              <w:t>departments</w:t>
            </w:r>
            <w:proofErr w:type="gramEnd"/>
            <w:r w:rsidRPr="006D564A">
              <w:t xml:space="preserve"> and services.</w:t>
            </w:r>
          </w:p>
        </w:tc>
        <w:tc>
          <w:tcPr>
            <w:tcW w:w="1696" w:type="dxa"/>
          </w:tcPr>
          <w:p w14:paraId="7864E726" w14:textId="77777777" w:rsidR="006D564A" w:rsidRPr="006D564A" w:rsidRDefault="006D564A" w:rsidP="006D564A"/>
        </w:tc>
        <w:tc>
          <w:tcPr>
            <w:tcW w:w="4252" w:type="dxa"/>
          </w:tcPr>
          <w:p w14:paraId="52048A6D" w14:textId="77777777" w:rsidR="006D564A" w:rsidRPr="006D564A" w:rsidRDefault="006D564A" w:rsidP="006D564A"/>
        </w:tc>
        <w:tc>
          <w:tcPr>
            <w:tcW w:w="3261" w:type="dxa"/>
          </w:tcPr>
          <w:p w14:paraId="133F478D" w14:textId="77777777" w:rsidR="006D564A" w:rsidRPr="006D564A" w:rsidRDefault="006D564A" w:rsidP="006D564A"/>
        </w:tc>
      </w:tr>
      <w:tr w:rsidR="006D564A" w:rsidRPr="00383CAD" w14:paraId="0E034175" w14:textId="77777777" w:rsidTr="009465B1">
        <w:tc>
          <w:tcPr>
            <w:tcW w:w="4820" w:type="dxa"/>
          </w:tcPr>
          <w:p w14:paraId="4BDDAE4C" w14:textId="635DA434" w:rsidR="006A2397" w:rsidRPr="006D564A" w:rsidRDefault="006D564A" w:rsidP="0024236A">
            <w:pPr>
              <w:pStyle w:val="Table-bodytext"/>
            </w:pPr>
            <w:r w:rsidRPr="006D564A">
              <w:t>Essential</w:t>
            </w:r>
            <w:r w:rsidR="0024236A">
              <w:t xml:space="preserve">: </w:t>
            </w:r>
            <w:r w:rsidRPr="006D564A">
              <w:t xml:space="preserve">Staff have a working knowledge of guidance on assessing a young person’s ability to consent based on age, </w:t>
            </w:r>
            <w:proofErr w:type="gramStart"/>
            <w:r w:rsidRPr="006D564A">
              <w:t>maturity</w:t>
            </w:r>
            <w:proofErr w:type="gramEnd"/>
            <w:r w:rsidRPr="006D564A">
              <w:t xml:space="preserve"> and mental capacity. This information is shared with young people, parents and carers, and other relevant professionals.</w:t>
            </w:r>
          </w:p>
        </w:tc>
        <w:tc>
          <w:tcPr>
            <w:tcW w:w="1696" w:type="dxa"/>
          </w:tcPr>
          <w:p w14:paraId="127483F0" w14:textId="77777777" w:rsidR="006D564A" w:rsidRPr="006D564A" w:rsidRDefault="006D564A" w:rsidP="006D564A"/>
        </w:tc>
        <w:tc>
          <w:tcPr>
            <w:tcW w:w="4252" w:type="dxa"/>
          </w:tcPr>
          <w:p w14:paraId="1AF63800" w14:textId="77777777" w:rsidR="006D564A" w:rsidRPr="006D564A" w:rsidRDefault="006D564A" w:rsidP="006D564A"/>
        </w:tc>
        <w:tc>
          <w:tcPr>
            <w:tcW w:w="3261" w:type="dxa"/>
          </w:tcPr>
          <w:p w14:paraId="72CF191C" w14:textId="77777777" w:rsidR="006D564A" w:rsidRPr="006D564A" w:rsidRDefault="006D564A" w:rsidP="006D564A"/>
        </w:tc>
      </w:tr>
      <w:tr w:rsidR="006D564A" w:rsidRPr="00383CAD" w14:paraId="69682B39" w14:textId="77777777" w:rsidTr="009465B1">
        <w:tc>
          <w:tcPr>
            <w:tcW w:w="4820" w:type="dxa"/>
          </w:tcPr>
          <w:p w14:paraId="7B93E074" w14:textId="1A7142FF" w:rsidR="006A2397" w:rsidRPr="006D564A" w:rsidRDefault="006D564A" w:rsidP="0024236A">
            <w:pPr>
              <w:pStyle w:val="Table-bodytext"/>
            </w:pPr>
            <w:r w:rsidRPr="006D564A">
              <w:t>Additional</w:t>
            </w:r>
            <w:r w:rsidR="0024236A">
              <w:t xml:space="preserve">: </w:t>
            </w:r>
            <w:r w:rsidRPr="006D564A">
              <w:t xml:space="preserve">The service has a clear procedure to prepare young people </w:t>
            </w:r>
            <w:hyperlink r:id="rId24" w:history="1">
              <w:r w:rsidRPr="00D95A44">
                <w:rPr>
                  <w:rStyle w:val="Hyperlink"/>
                </w:rPr>
                <w:t>for the transition from health and care services designed for children and young people to adult health services, consistent with current NICE guidance</w:t>
              </w:r>
            </w:hyperlink>
            <w:r w:rsidRPr="006D564A">
              <w:t>. Specific attention is given to the needs of young people with long-term health needs.</w:t>
            </w:r>
          </w:p>
        </w:tc>
        <w:tc>
          <w:tcPr>
            <w:tcW w:w="1696" w:type="dxa"/>
          </w:tcPr>
          <w:p w14:paraId="7316BDEB" w14:textId="77777777" w:rsidR="006D564A" w:rsidRPr="006D564A" w:rsidRDefault="006D564A" w:rsidP="006D564A"/>
        </w:tc>
        <w:tc>
          <w:tcPr>
            <w:tcW w:w="4252" w:type="dxa"/>
          </w:tcPr>
          <w:p w14:paraId="4A80E345" w14:textId="77777777" w:rsidR="006D564A" w:rsidRPr="006D564A" w:rsidRDefault="006D564A" w:rsidP="006D564A"/>
        </w:tc>
        <w:tc>
          <w:tcPr>
            <w:tcW w:w="3261" w:type="dxa"/>
          </w:tcPr>
          <w:p w14:paraId="4D9BB47E" w14:textId="77777777" w:rsidR="006D564A" w:rsidRPr="006D564A" w:rsidRDefault="006D564A" w:rsidP="006D564A"/>
        </w:tc>
      </w:tr>
      <w:tr w:rsidR="006D564A" w:rsidRPr="00383CAD" w14:paraId="0739EB5F" w14:textId="77777777" w:rsidTr="009465B1">
        <w:tc>
          <w:tcPr>
            <w:tcW w:w="4820" w:type="dxa"/>
          </w:tcPr>
          <w:p w14:paraId="27841119" w14:textId="0623FDE4" w:rsidR="006A2397" w:rsidRPr="006D564A" w:rsidRDefault="006D564A" w:rsidP="0024236A">
            <w:pPr>
              <w:pStyle w:val="Table-bodytext"/>
            </w:pPr>
            <w:r w:rsidRPr="006D564A">
              <w:t>Additional</w:t>
            </w:r>
            <w:r w:rsidR="0024236A">
              <w:t xml:space="preserve">: </w:t>
            </w:r>
            <w:r w:rsidRPr="006D564A">
              <w:t xml:space="preserve">Staff members are trained to help young people, and their parents or carers, with the transition to adult services from the age of 12 onwards, where appropriate. All young people with ongoing needs have an individual transition plan </w:t>
            </w:r>
            <w:r w:rsidRPr="006D564A">
              <w:lastRenderedPageBreak/>
              <w:t>including a named key worker to provide continuity during the transition process.</w:t>
            </w:r>
          </w:p>
        </w:tc>
        <w:tc>
          <w:tcPr>
            <w:tcW w:w="1696" w:type="dxa"/>
          </w:tcPr>
          <w:p w14:paraId="1090AF12" w14:textId="77777777" w:rsidR="006D564A" w:rsidRPr="006D564A" w:rsidRDefault="006D564A" w:rsidP="006D564A"/>
        </w:tc>
        <w:tc>
          <w:tcPr>
            <w:tcW w:w="4252" w:type="dxa"/>
          </w:tcPr>
          <w:p w14:paraId="199907DA" w14:textId="77777777" w:rsidR="006D564A" w:rsidRPr="006D564A" w:rsidRDefault="006D564A" w:rsidP="006D564A"/>
        </w:tc>
        <w:tc>
          <w:tcPr>
            <w:tcW w:w="3261" w:type="dxa"/>
          </w:tcPr>
          <w:p w14:paraId="1ECF0685" w14:textId="77777777" w:rsidR="006D564A" w:rsidRPr="006D564A" w:rsidRDefault="006D564A" w:rsidP="006D564A"/>
        </w:tc>
      </w:tr>
      <w:tr w:rsidR="006D564A" w:rsidRPr="00383CAD" w14:paraId="17D671C3" w14:textId="77777777" w:rsidTr="009465B1">
        <w:tc>
          <w:tcPr>
            <w:tcW w:w="4820" w:type="dxa"/>
          </w:tcPr>
          <w:p w14:paraId="2AA92D2F" w14:textId="2DCFD1B8" w:rsidR="006D564A" w:rsidRPr="006D564A" w:rsidRDefault="006D564A" w:rsidP="0024236A">
            <w:pPr>
              <w:pStyle w:val="Table-bodytext"/>
            </w:pPr>
            <w:r w:rsidRPr="006D564A">
              <w:t>Additional</w:t>
            </w:r>
            <w:r w:rsidR="0024236A">
              <w:t xml:space="preserve">: </w:t>
            </w:r>
            <w:r w:rsidRPr="006D564A">
              <w:t xml:space="preserve">The service provides publicity material specifically on transition to adult services that is accessible for everyone such as in different languages or for young people with or without disabilities. This is </w:t>
            </w:r>
            <w:r w:rsidR="00DC35B1">
              <w:t>youth</w:t>
            </w:r>
            <w:r w:rsidR="00BF0ADC">
              <w:t>-</w:t>
            </w:r>
            <w:proofErr w:type="gramStart"/>
            <w:r w:rsidR="00DC35B1">
              <w:t>friendly</w:t>
            </w:r>
            <w:r w:rsidRPr="006D564A">
              <w:t xml:space="preserve">, </w:t>
            </w:r>
            <w:r w:rsidR="00212B25">
              <w:t>and</w:t>
            </w:r>
            <w:proofErr w:type="gramEnd"/>
            <w:r w:rsidR="00212B25">
              <w:t xml:space="preserve"> </w:t>
            </w:r>
            <w:r w:rsidRPr="006D564A">
              <w:t>uses age</w:t>
            </w:r>
            <w:r w:rsidR="003F6FC5">
              <w:t>-</w:t>
            </w:r>
            <w:r w:rsidRPr="006D564A">
              <w:t xml:space="preserve">appropriate language and images for the age and ability of the young person. </w:t>
            </w:r>
          </w:p>
        </w:tc>
        <w:tc>
          <w:tcPr>
            <w:tcW w:w="1696" w:type="dxa"/>
          </w:tcPr>
          <w:p w14:paraId="37373838" w14:textId="77777777" w:rsidR="006D564A" w:rsidRPr="006D564A" w:rsidRDefault="006D564A" w:rsidP="006D564A"/>
        </w:tc>
        <w:tc>
          <w:tcPr>
            <w:tcW w:w="4252" w:type="dxa"/>
          </w:tcPr>
          <w:p w14:paraId="5C749582" w14:textId="77777777" w:rsidR="006D564A" w:rsidRPr="006D564A" w:rsidRDefault="006D564A" w:rsidP="006D564A"/>
        </w:tc>
        <w:tc>
          <w:tcPr>
            <w:tcW w:w="3261" w:type="dxa"/>
          </w:tcPr>
          <w:p w14:paraId="7F987BE8" w14:textId="77777777" w:rsidR="006D564A" w:rsidRPr="006D564A" w:rsidRDefault="006D564A" w:rsidP="006D564A"/>
        </w:tc>
      </w:tr>
      <w:tr w:rsidR="006D564A" w:rsidRPr="00383CAD" w14:paraId="57C26158" w14:textId="77777777" w:rsidTr="009465B1">
        <w:tc>
          <w:tcPr>
            <w:tcW w:w="4820" w:type="dxa"/>
          </w:tcPr>
          <w:p w14:paraId="0AEF285D" w14:textId="18AD5B09" w:rsidR="006D564A" w:rsidRPr="006D564A" w:rsidRDefault="006D564A" w:rsidP="0024236A">
            <w:pPr>
              <w:pStyle w:val="Table-bodytext"/>
            </w:pPr>
            <w:r w:rsidRPr="006D564A">
              <w:t>Additional</w:t>
            </w:r>
            <w:r w:rsidR="0024236A">
              <w:t xml:space="preserve">: </w:t>
            </w:r>
            <w:r w:rsidRPr="006D564A">
              <w:t>Parents and carers are provided with relevant information and support, in ways that are sensitive to different cultures and religions.</w:t>
            </w:r>
          </w:p>
        </w:tc>
        <w:tc>
          <w:tcPr>
            <w:tcW w:w="1696" w:type="dxa"/>
          </w:tcPr>
          <w:p w14:paraId="13EC2173" w14:textId="77777777" w:rsidR="006D564A" w:rsidRPr="006D564A" w:rsidRDefault="006D564A" w:rsidP="006D564A"/>
        </w:tc>
        <w:tc>
          <w:tcPr>
            <w:tcW w:w="4252" w:type="dxa"/>
          </w:tcPr>
          <w:p w14:paraId="64CBEBF4" w14:textId="77777777" w:rsidR="006D564A" w:rsidRPr="006D564A" w:rsidRDefault="006D564A" w:rsidP="006D564A"/>
        </w:tc>
        <w:tc>
          <w:tcPr>
            <w:tcW w:w="3261" w:type="dxa"/>
          </w:tcPr>
          <w:p w14:paraId="7E27CBCD" w14:textId="77777777" w:rsidR="006D564A" w:rsidRPr="006D564A" w:rsidRDefault="006D564A" w:rsidP="006D564A"/>
        </w:tc>
      </w:tr>
    </w:tbl>
    <w:bookmarkEnd w:id="1"/>
    <w:bookmarkEnd w:id="2"/>
    <w:bookmarkEnd w:id="3"/>
    <w:bookmarkEnd w:id="4"/>
    <w:bookmarkEnd w:id="5"/>
    <w:p w14:paraId="5474D476" w14:textId="526C0FB0" w:rsidR="006A2397" w:rsidRPr="006A2397" w:rsidRDefault="001C7E06" w:rsidP="009465B1">
      <w:pPr>
        <w:pStyle w:val="ParagraphText"/>
      </w:pPr>
      <w:r w:rsidRPr="00451BC1">
        <w:t>Young people comments and recommendations following review:</w:t>
      </w:r>
    </w:p>
    <w:sectPr w:rsidR="006A2397" w:rsidRPr="006A2397" w:rsidSect="00CE6F33">
      <w:headerReference w:type="default" r:id="rId25"/>
      <w:pgSz w:w="16838" w:h="11906" w:orient="landscape" w:code="9"/>
      <w:pgMar w:top="1134" w:right="1644" w:bottom="1134" w:left="164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AD4D" w14:textId="77777777" w:rsidR="0081147D" w:rsidRDefault="0081147D"/>
  </w:endnote>
  <w:endnote w:type="continuationSeparator" w:id="0">
    <w:p w14:paraId="01D8AD31" w14:textId="77777777" w:rsidR="0081147D" w:rsidRDefault="0081147D">
      <w:r>
        <w:continuationSeparator/>
      </w:r>
    </w:p>
    <w:p w14:paraId="7078DE94" w14:textId="77777777" w:rsidR="0081147D" w:rsidRDefault="0081147D"/>
    <w:p w14:paraId="67FFD34B" w14:textId="77777777" w:rsidR="0081147D" w:rsidRDefault="0081147D"/>
  </w:endnote>
  <w:endnote w:type="continuationNotice" w:id="1">
    <w:p w14:paraId="7E33B1BE" w14:textId="77777777" w:rsidR="0081147D" w:rsidRDefault="00811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ilo-Bold">
    <w:altName w:val="Yu Gothic"/>
    <w:panose1 w:val="00000000000000000000"/>
    <w:charset w:val="80"/>
    <w:family w:val="swiss"/>
    <w:notTrueType/>
    <w:pitch w:val="default"/>
    <w:sig w:usb0="00000001" w:usb1="08070000" w:usb2="00000010" w:usb3="00000000" w:csb0="00020000" w:csb1="00000000"/>
  </w:font>
  <w:font w:name="Arial Unicode MS">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0160"/>
      <w:docPartObj>
        <w:docPartGallery w:val="Page Numbers (Bottom of Page)"/>
        <w:docPartUnique/>
      </w:docPartObj>
    </w:sdtPr>
    <w:sdtEndPr>
      <w:rPr>
        <w:noProof/>
      </w:rPr>
    </w:sdtEndPr>
    <w:sdtContent>
      <w:p w14:paraId="278F56D1" w14:textId="5E40A17F" w:rsidR="006D564A" w:rsidRDefault="006D564A" w:rsidP="00A37DC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F6DB" w14:textId="77777777" w:rsidR="0081147D" w:rsidRDefault="0081147D">
      <w:r>
        <w:separator/>
      </w:r>
    </w:p>
    <w:p w14:paraId="2B0D050E" w14:textId="77777777" w:rsidR="0081147D" w:rsidRDefault="0081147D" w:rsidP="005D25DC"/>
  </w:footnote>
  <w:footnote w:type="continuationSeparator" w:id="0">
    <w:p w14:paraId="48273E4D" w14:textId="77777777" w:rsidR="0081147D" w:rsidRDefault="0081147D">
      <w:r>
        <w:continuationSeparator/>
      </w:r>
    </w:p>
    <w:p w14:paraId="248DEED5" w14:textId="77777777" w:rsidR="0081147D" w:rsidRDefault="0081147D"/>
    <w:p w14:paraId="74103991" w14:textId="77777777" w:rsidR="0081147D" w:rsidRDefault="0081147D"/>
  </w:footnote>
  <w:footnote w:type="continuationNotice" w:id="1">
    <w:p w14:paraId="3F064A40" w14:textId="77777777" w:rsidR="0081147D" w:rsidRDefault="00811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9AE8" w14:textId="270B51F3" w:rsidR="00A37DC3" w:rsidRDefault="00A37DC3">
    <w:pPr>
      <w:pStyle w:val="Header"/>
    </w:pPr>
    <w:r>
      <w:rPr>
        <w:noProof/>
      </w:rPr>
      <w:drawing>
        <wp:inline distT="0" distB="0" distL="0" distR="0" wp14:anchorId="7853A593" wp14:editId="3C03F17D">
          <wp:extent cx="1772419" cy="1150620"/>
          <wp:effectExtent l="0" t="0" r="0" b="0"/>
          <wp:docPr id="1" name="Picture 1" descr="Office for Health Improvement and Disp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for Health Improvement and Dispar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334" cy="11590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EEEC" w14:textId="553A699A" w:rsidR="008C0CA1" w:rsidRDefault="008C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1"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2"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3179FD"/>
    <w:multiLevelType w:val="multilevel"/>
    <w:tmpl w:val="6666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5AA0782"/>
    <w:multiLevelType w:val="multilevel"/>
    <w:tmpl w:val="92E8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DB5DBC"/>
    <w:multiLevelType w:val="multilevel"/>
    <w:tmpl w:val="6BA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11493"/>
    <w:multiLevelType w:val="multilevel"/>
    <w:tmpl w:val="211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0090E"/>
    <w:multiLevelType w:val="multilevel"/>
    <w:tmpl w:val="2DB2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A13DC"/>
    <w:multiLevelType w:val="hybridMultilevel"/>
    <w:tmpl w:val="65A86C62"/>
    <w:lvl w:ilvl="0" w:tplc="4F56F852">
      <w:start w:val="1"/>
      <w:numFmt w:val="decimal"/>
      <w:pStyle w:val="Bullet-numberedsteps"/>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368496">
    <w:abstractNumId w:val="0"/>
  </w:num>
  <w:num w:numId="2" w16cid:durableId="910428988">
    <w:abstractNumId w:val="1"/>
  </w:num>
  <w:num w:numId="3" w16cid:durableId="1344436685">
    <w:abstractNumId w:val="7"/>
  </w:num>
  <w:num w:numId="4" w16cid:durableId="1567258142">
    <w:abstractNumId w:val="5"/>
  </w:num>
  <w:num w:numId="5" w16cid:durableId="596257190">
    <w:abstractNumId w:val="2"/>
  </w:num>
  <w:num w:numId="6" w16cid:durableId="270741682">
    <w:abstractNumId w:val="11"/>
    <w:lvlOverride w:ilvl="0">
      <w:startOverride w:val="1"/>
    </w:lvlOverride>
  </w:num>
  <w:num w:numId="7" w16cid:durableId="762412094">
    <w:abstractNumId w:val="11"/>
    <w:lvlOverride w:ilvl="0">
      <w:startOverride w:val="1"/>
    </w:lvlOverride>
  </w:num>
  <w:num w:numId="8" w16cid:durableId="1100679088">
    <w:abstractNumId w:val="4"/>
  </w:num>
  <w:num w:numId="9" w16cid:durableId="380516553">
    <w:abstractNumId w:val="11"/>
    <w:lvlOverride w:ilvl="0">
      <w:startOverride w:val="1"/>
    </w:lvlOverride>
  </w:num>
  <w:num w:numId="10" w16cid:durableId="1151362619">
    <w:abstractNumId w:val="11"/>
    <w:lvlOverride w:ilvl="0">
      <w:startOverride w:val="1"/>
    </w:lvlOverride>
  </w:num>
  <w:num w:numId="11" w16cid:durableId="371616202">
    <w:abstractNumId w:val="11"/>
    <w:lvlOverride w:ilvl="0">
      <w:startOverride w:val="1"/>
    </w:lvlOverride>
  </w:num>
  <w:num w:numId="12" w16cid:durableId="235672504">
    <w:abstractNumId w:val="11"/>
    <w:lvlOverride w:ilvl="0">
      <w:startOverride w:val="1"/>
    </w:lvlOverride>
  </w:num>
  <w:num w:numId="13" w16cid:durableId="1146432908">
    <w:abstractNumId w:val="11"/>
  </w:num>
  <w:num w:numId="14" w16cid:durableId="1159232648">
    <w:abstractNumId w:val="11"/>
    <w:lvlOverride w:ilvl="0">
      <w:startOverride w:val="1"/>
    </w:lvlOverride>
  </w:num>
  <w:num w:numId="15" w16cid:durableId="420565669">
    <w:abstractNumId w:val="11"/>
    <w:lvlOverride w:ilvl="0">
      <w:startOverride w:val="1"/>
    </w:lvlOverride>
  </w:num>
  <w:num w:numId="16" w16cid:durableId="1005933981">
    <w:abstractNumId w:val="11"/>
    <w:lvlOverride w:ilvl="0">
      <w:startOverride w:val="1"/>
    </w:lvlOverride>
  </w:num>
  <w:num w:numId="17" w16cid:durableId="70347396">
    <w:abstractNumId w:val="11"/>
    <w:lvlOverride w:ilvl="0">
      <w:startOverride w:val="1"/>
    </w:lvlOverride>
  </w:num>
  <w:num w:numId="18" w16cid:durableId="1152986924">
    <w:abstractNumId w:val="11"/>
    <w:lvlOverride w:ilvl="0">
      <w:startOverride w:val="1"/>
    </w:lvlOverride>
  </w:num>
  <w:num w:numId="19" w16cid:durableId="1909152038">
    <w:abstractNumId w:val="11"/>
    <w:lvlOverride w:ilvl="0">
      <w:startOverride w:val="1"/>
    </w:lvlOverride>
  </w:num>
  <w:num w:numId="20" w16cid:durableId="1246644709">
    <w:abstractNumId w:val="11"/>
    <w:lvlOverride w:ilvl="0">
      <w:startOverride w:val="1"/>
    </w:lvlOverride>
  </w:num>
  <w:num w:numId="21" w16cid:durableId="393243425">
    <w:abstractNumId w:val="11"/>
    <w:lvlOverride w:ilvl="0">
      <w:startOverride w:val="1"/>
    </w:lvlOverride>
  </w:num>
  <w:num w:numId="22" w16cid:durableId="989409774">
    <w:abstractNumId w:val="11"/>
    <w:lvlOverride w:ilvl="0">
      <w:startOverride w:val="1"/>
    </w:lvlOverride>
  </w:num>
  <w:num w:numId="23" w16cid:durableId="3944203">
    <w:abstractNumId w:val="11"/>
    <w:lvlOverride w:ilvl="0">
      <w:startOverride w:val="1"/>
    </w:lvlOverride>
  </w:num>
  <w:num w:numId="24" w16cid:durableId="1612542086">
    <w:abstractNumId w:val="11"/>
    <w:lvlOverride w:ilvl="0">
      <w:startOverride w:val="1"/>
    </w:lvlOverride>
  </w:num>
  <w:num w:numId="25" w16cid:durableId="2044012749">
    <w:abstractNumId w:val="11"/>
    <w:lvlOverride w:ilvl="0">
      <w:startOverride w:val="1"/>
    </w:lvlOverride>
  </w:num>
  <w:num w:numId="26" w16cid:durableId="925574602">
    <w:abstractNumId w:val="11"/>
    <w:lvlOverride w:ilvl="0">
      <w:startOverride w:val="1"/>
    </w:lvlOverride>
  </w:num>
  <w:num w:numId="27" w16cid:durableId="307898266">
    <w:abstractNumId w:val="11"/>
    <w:lvlOverride w:ilvl="0">
      <w:startOverride w:val="1"/>
    </w:lvlOverride>
  </w:num>
  <w:num w:numId="28" w16cid:durableId="1078287878">
    <w:abstractNumId w:val="11"/>
    <w:lvlOverride w:ilvl="0">
      <w:startOverride w:val="1"/>
    </w:lvlOverride>
  </w:num>
  <w:num w:numId="29" w16cid:durableId="1173691620">
    <w:abstractNumId w:val="3"/>
  </w:num>
  <w:num w:numId="30" w16cid:durableId="376204022">
    <w:abstractNumId w:val="9"/>
  </w:num>
  <w:num w:numId="31" w16cid:durableId="708264121">
    <w:abstractNumId w:val="6"/>
  </w:num>
  <w:num w:numId="32" w16cid:durableId="930552731">
    <w:abstractNumId w:val="10"/>
  </w:num>
  <w:num w:numId="33" w16cid:durableId="139535089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F"/>
    <w:rsid w:val="000026F8"/>
    <w:rsid w:val="00002FCC"/>
    <w:rsid w:val="000034A2"/>
    <w:rsid w:val="00012205"/>
    <w:rsid w:val="00014176"/>
    <w:rsid w:val="0001439F"/>
    <w:rsid w:val="00016D59"/>
    <w:rsid w:val="000221CB"/>
    <w:rsid w:val="00023158"/>
    <w:rsid w:val="00024254"/>
    <w:rsid w:val="000245CE"/>
    <w:rsid w:val="00026813"/>
    <w:rsid w:val="00026A3D"/>
    <w:rsid w:val="0002724C"/>
    <w:rsid w:val="000331D3"/>
    <w:rsid w:val="00034435"/>
    <w:rsid w:val="00035D95"/>
    <w:rsid w:val="000400E9"/>
    <w:rsid w:val="00040DEC"/>
    <w:rsid w:val="00042BE8"/>
    <w:rsid w:val="000431A0"/>
    <w:rsid w:val="00046942"/>
    <w:rsid w:val="000514D6"/>
    <w:rsid w:val="000538FB"/>
    <w:rsid w:val="00055331"/>
    <w:rsid w:val="00055723"/>
    <w:rsid w:val="00056E4E"/>
    <w:rsid w:val="00061B12"/>
    <w:rsid w:val="00062BAA"/>
    <w:rsid w:val="00063CD4"/>
    <w:rsid w:val="00064EC1"/>
    <w:rsid w:val="00070DD0"/>
    <w:rsid w:val="00071AA3"/>
    <w:rsid w:val="000726AF"/>
    <w:rsid w:val="00073AED"/>
    <w:rsid w:val="00077BCE"/>
    <w:rsid w:val="00080FB4"/>
    <w:rsid w:val="00080FE5"/>
    <w:rsid w:val="00082208"/>
    <w:rsid w:val="0008385D"/>
    <w:rsid w:val="0008590D"/>
    <w:rsid w:val="00087E7C"/>
    <w:rsid w:val="0009257A"/>
    <w:rsid w:val="00092880"/>
    <w:rsid w:val="000958DC"/>
    <w:rsid w:val="00095984"/>
    <w:rsid w:val="00097FA6"/>
    <w:rsid w:val="000A0305"/>
    <w:rsid w:val="000A0449"/>
    <w:rsid w:val="000A0774"/>
    <w:rsid w:val="000A1079"/>
    <w:rsid w:val="000A33BF"/>
    <w:rsid w:val="000A3CCF"/>
    <w:rsid w:val="000A3EAD"/>
    <w:rsid w:val="000A4877"/>
    <w:rsid w:val="000A6EAB"/>
    <w:rsid w:val="000A7E41"/>
    <w:rsid w:val="000B1164"/>
    <w:rsid w:val="000B5DD1"/>
    <w:rsid w:val="000B71E4"/>
    <w:rsid w:val="000C011D"/>
    <w:rsid w:val="000C0E1C"/>
    <w:rsid w:val="000C332C"/>
    <w:rsid w:val="000D2247"/>
    <w:rsid w:val="000D3CC2"/>
    <w:rsid w:val="000D4C8A"/>
    <w:rsid w:val="000D4ED4"/>
    <w:rsid w:val="000D4FF7"/>
    <w:rsid w:val="000E5812"/>
    <w:rsid w:val="000E5DC2"/>
    <w:rsid w:val="000E7D50"/>
    <w:rsid w:val="000F0EC5"/>
    <w:rsid w:val="000F14DB"/>
    <w:rsid w:val="000F2E74"/>
    <w:rsid w:val="000F38CC"/>
    <w:rsid w:val="000F397E"/>
    <w:rsid w:val="000F6EFA"/>
    <w:rsid w:val="00102B76"/>
    <w:rsid w:val="00106DA1"/>
    <w:rsid w:val="001106BD"/>
    <w:rsid w:val="001112D4"/>
    <w:rsid w:val="00112AD6"/>
    <w:rsid w:val="00113DC1"/>
    <w:rsid w:val="0011423C"/>
    <w:rsid w:val="00114AEC"/>
    <w:rsid w:val="00117502"/>
    <w:rsid w:val="0012520B"/>
    <w:rsid w:val="0012628F"/>
    <w:rsid w:val="00127F6D"/>
    <w:rsid w:val="00130B57"/>
    <w:rsid w:val="00131DED"/>
    <w:rsid w:val="001324CA"/>
    <w:rsid w:val="00133224"/>
    <w:rsid w:val="00133AB4"/>
    <w:rsid w:val="0013583E"/>
    <w:rsid w:val="00143032"/>
    <w:rsid w:val="00143B59"/>
    <w:rsid w:val="00145936"/>
    <w:rsid w:val="00145BE8"/>
    <w:rsid w:val="00146BE4"/>
    <w:rsid w:val="001558CE"/>
    <w:rsid w:val="00156240"/>
    <w:rsid w:val="00157BAB"/>
    <w:rsid w:val="00160302"/>
    <w:rsid w:val="001611ED"/>
    <w:rsid w:val="001617A4"/>
    <w:rsid w:val="00165853"/>
    <w:rsid w:val="001658CE"/>
    <w:rsid w:val="00165D3D"/>
    <w:rsid w:val="00166300"/>
    <w:rsid w:val="00171D0D"/>
    <w:rsid w:val="0017259A"/>
    <w:rsid w:val="001728ED"/>
    <w:rsid w:val="00176576"/>
    <w:rsid w:val="001768E5"/>
    <w:rsid w:val="00177673"/>
    <w:rsid w:val="00180403"/>
    <w:rsid w:val="00182358"/>
    <w:rsid w:val="001828D6"/>
    <w:rsid w:val="00192089"/>
    <w:rsid w:val="00195728"/>
    <w:rsid w:val="00196B36"/>
    <w:rsid w:val="001A207F"/>
    <w:rsid w:val="001A2CC4"/>
    <w:rsid w:val="001A3C98"/>
    <w:rsid w:val="001A54F0"/>
    <w:rsid w:val="001A5B0A"/>
    <w:rsid w:val="001B09D4"/>
    <w:rsid w:val="001B0B1A"/>
    <w:rsid w:val="001B45D7"/>
    <w:rsid w:val="001B4DD0"/>
    <w:rsid w:val="001B6A5B"/>
    <w:rsid w:val="001B7EF1"/>
    <w:rsid w:val="001C1867"/>
    <w:rsid w:val="001C2E08"/>
    <w:rsid w:val="001C4BDA"/>
    <w:rsid w:val="001C5C86"/>
    <w:rsid w:val="001C7E06"/>
    <w:rsid w:val="001D016E"/>
    <w:rsid w:val="001D1FD5"/>
    <w:rsid w:val="001D5E42"/>
    <w:rsid w:val="001E2741"/>
    <w:rsid w:val="001E3152"/>
    <w:rsid w:val="001E6161"/>
    <w:rsid w:val="001E6439"/>
    <w:rsid w:val="001E6A12"/>
    <w:rsid w:val="001E6A1C"/>
    <w:rsid w:val="001F06D6"/>
    <w:rsid w:val="001F4B9B"/>
    <w:rsid w:val="001F723F"/>
    <w:rsid w:val="00207C79"/>
    <w:rsid w:val="00212B25"/>
    <w:rsid w:val="00214E24"/>
    <w:rsid w:val="002167F5"/>
    <w:rsid w:val="00220EA2"/>
    <w:rsid w:val="002240B9"/>
    <w:rsid w:val="00224CDB"/>
    <w:rsid w:val="00225D4C"/>
    <w:rsid w:val="00226FBB"/>
    <w:rsid w:val="0023092B"/>
    <w:rsid w:val="00230BEB"/>
    <w:rsid w:val="00230C3B"/>
    <w:rsid w:val="00236C5F"/>
    <w:rsid w:val="002413C8"/>
    <w:rsid w:val="00242243"/>
    <w:rsid w:val="0024236A"/>
    <w:rsid w:val="002426F3"/>
    <w:rsid w:val="00242B95"/>
    <w:rsid w:val="00246E37"/>
    <w:rsid w:val="002561BE"/>
    <w:rsid w:val="00257B0A"/>
    <w:rsid w:val="00257B21"/>
    <w:rsid w:val="002605E1"/>
    <w:rsid w:val="002610C5"/>
    <w:rsid w:val="002625C0"/>
    <w:rsid w:val="00266249"/>
    <w:rsid w:val="00272E25"/>
    <w:rsid w:val="0027434C"/>
    <w:rsid w:val="00274CA4"/>
    <w:rsid w:val="0027601C"/>
    <w:rsid w:val="002766B1"/>
    <w:rsid w:val="0027730E"/>
    <w:rsid w:val="00277F1D"/>
    <w:rsid w:val="0028411D"/>
    <w:rsid w:val="00285103"/>
    <w:rsid w:val="00286063"/>
    <w:rsid w:val="002917C0"/>
    <w:rsid w:val="00291843"/>
    <w:rsid w:val="0029225A"/>
    <w:rsid w:val="002932DB"/>
    <w:rsid w:val="00293A35"/>
    <w:rsid w:val="00293A74"/>
    <w:rsid w:val="002952E1"/>
    <w:rsid w:val="002A0D60"/>
    <w:rsid w:val="002A39C6"/>
    <w:rsid w:val="002A3B95"/>
    <w:rsid w:val="002A4BDB"/>
    <w:rsid w:val="002A5FCB"/>
    <w:rsid w:val="002B08A9"/>
    <w:rsid w:val="002B558F"/>
    <w:rsid w:val="002B63C0"/>
    <w:rsid w:val="002C00BC"/>
    <w:rsid w:val="002C18E0"/>
    <w:rsid w:val="002C4114"/>
    <w:rsid w:val="002C4897"/>
    <w:rsid w:val="002C6E54"/>
    <w:rsid w:val="002E5B04"/>
    <w:rsid w:val="002E6977"/>
    <w:rsid w:val="002F082A"/>
    <w:rsid w:val="002F091D"/>
    <w:rsid w:val="002F1650"/>
    <w:rsid w:val="002F2444"/>
    <w:rsid w:val="002F34AD"/>
    <w:rsid w:val="002F6DA0"/>
    <w:rsid w:val="003006E4"/>
    <w:rsid w:val="00301C7B"/>
    <w:rsid w:val="003049F1"/>
    <w:rsid w:val="00305BFB"/>
    <w:rsid w:val="003077A9"/>
    <w:rsid w:val="00311879"/>
    <w:rsid w:val="00311D8E"/>
    <w:rsid w:val="00313CC3"/>
    <w:rsid w:val="00314290"/>
    <w:rsid w:val="003144D1"/>
    <w:rsid w:val="003158FF"/>
    <w:rsid w:val="0031680E"/>
    <w:rsid w:val="00317848"/>
    <w:rsid w:val="003203F1"/>
    <w:rsid w:val="0032042A"/>
    <w:rsid w:val="003219DD"/>
    <w:rsid w:val="00322DC9"/>
    <w:rsid w:val="00323730"/>
    <w:rsid w:val="00332DFE"/>
    <w:rsid w:val="0033386F"/>
    <w:rsid w:val="00334676"/>
    <w:rsid w:val="0033552C"/>
    <w:rsid w:val="0033703C"/>
    <w:rsid w:val="00337A77"/>
    <w:rsid w:val="0034092D"/>
    <w:rsid w:val="00341E5D"/>
    <w:rsid w:val="00342FC5"/>
    <w:rsid w:val="00343CC9"/>
    <w:rsid w:val="0034467E"/>
    <w:rsid w:val="00345FE8"/>
    <w:rsid w:val="003464AC"/>
    <w:rsid w:val="003478DC"/>
    <w:rsid w:val="00352A74"/>
    <w:rsid w:val="003540DC"/>
    <w:rsid w:val="003545DA"/>
    <w:rsid w:val="003552F2"/>
    <w:rsid w:val="00356B9F"/>
    <w:rsid w:val="00362C91"/>
    <w:rsid w:val="00363950"/>
    <w:rsid w:val="00364AC6"/>
    <w:rsid w:val="0036525A"/>
    <w:rsid w:val="00371261"/>
    <w:rsid w:val="003719FA"/>
    <w:rsid w:val="003742FD"/>
    <w:rsid w:val="003748C2"/>
    <w:rsid w:val="0037507E"/>
    <w:rsid w:val="00382AFF"/>
    <w:rsid w:val="00383C5F"/>
    <w:rsid w:val="00384982"/>
    <w:rsid w:val="00384A4F"/>
    <w:rsid w:val="003924F8"/>
    <w:rsid w:val="00392DDC"/>
    <w:rsid w:val="00393B70"/>
    <w:rsid w:val="0039567E"/>
    <w:rsid w:val="003A053F"/>
    <w:rsid w:val="003A2A11"/>
    <w:rsid w:val="003A2A22"/>
    <w:rsid w:val="003A7CAA"/>
    <w:rsid w:val="003B5372"/>
    <w:rsid w:val="003C2383"/>
    <w:rsid w:val="003C2421"/>
    <w:rsid w:val="003C3CEB"/>
    <w:rsid w:val="003C6A9E"/>
    <w:rsid w:val="003C78DC"/>
    <w:rsid w:val="003D139A"/>
    <w:rsid w:val="003D150C"/>
    <w:rsid w:val="003D2018"/>
    <w:rsid w:val="003D4006"/>
    <w:rsid w:val="003D634A"/>
    <w:rsid w:val="003D7200"/>
    <w:rsid w:val="003E3874"/>
    <w:rsid w:val="003F0745"/>
    <w:rsid w:val="003F373F"/>
    <w:rsid w:val="003F5A8C"/>
    <w:rsid w:val="003F5F75"/>
    <w:rsid w:val="003F6FC5"/>
    <w:rsid w:val="00400D04"/>
    <w:rsid w:val="00401C2F"/>
    <w:rsid w:val="00401C8B"/>
    <w:rsid w:val="00402482"/>
    <w:rsid w:val="0040407D"/>
    <w:rsid w:val="004117E3"/>
    <w:rsid w:val="00411E37"/>
    <w:rsid w:val="00417A3E"/>
    <w:rsid w:val="004214E8"/>
    <w:rsid w:val="004224FE"/>
    <w:rsid w:val="00423663"/>
    <w:rsid w:val="00423CFA"/>
    <w:rsid w:val="004309F3"/>
    <w:rsid w:val="00432FB9"/>
    <w:rsid w:val="00434569"/>
    <w:rsid w:val="004365A4"/>
    <w:rsid w:val="00441C85"/>
    <w:rsid w:val="004434CE"/>
    <w:rsid w:val="00444B08"/>
    <w:rsid w:val="004457A3"/>
    <w:rsid w:val="00450D94"/>
    <w:rsid w:val="004513E9"/>
    <w:rsid w:val="00451BC1"/>
    <w:rsid w:val="00453469"/>
    <w:rsid w:val="00455902"/>
    <w:rsid w:val="00456AEA"/>
    <w:rsid w:val="00456CE7"/>
    <w:rsid w:val="004619AD"/>
    <w:rsid w:val="00462DF9"/>
    <w:rsid w:val="00463023"/>
    <w:rsid w:val="00464749"/>
    <w:rsid w:val="0046494A"/>
    <w:rsid w:val="00470AAC"/>
    <w:rsid w:val="00470B1A"/>
    <w:rsid w:val="0047103C"/>
    <w:rsid w:val="00471175"/>
    <w:rsid w:val="004761AE"/>
    <w:rsid w:val="00480A14"/>
    <w:rsid w:val="00483680"/>
    <w:rsid w:val="004841BD"/>
    <w:rsid w:val="00486B51"/>
    <w:rsid w:val="004877B6"/>
    <w:rsid w:val="004930BC"/>
    <w:rsid w:val="004949C1"/>
    <w:rsid w:val="00497B4D"/>
    <w:rsid w:val="00497B7B"/>
    <w:rsid w:val="004A537B"/>
    <w:rsid w:val="004A5542"/>
    <w:rsid w:val="004A5DB6"/>
    <w:rsid w:val="004A5FB3"/>
    <w:rsid w:val="004B34C2"/>
    <w:rsid w:val="004B3782"/>
    <w:rsid w:val="004B490B"/>
    <w:rsid w:val="004B6BA6"/>
    <w:rsid w:val="004C201F"/>
    <w:rsid w:val="004C3EAD"/>
    <w:rsid w:val="004C4618"/>
    <w:rsid w:val="004D0B87"/>
    <w:rsid w:val="004D20FD"/>
    <w:rsid w:val="004D2A73"/>
    <w:rsid w:val="004D33A6"/>
    <w:rsid w:val="004D3402"/>
    <w:rsid w:val="004D4676"/>
    <w:rsid w:val="004D4A9B"/>
    <w:rsid w:val="004D71E8"/>
    <w:rsid w:val="004E239A"/>
    <w:rsid w:val="004E33B5"/>
    <w:rsid w:val="004E6A8A"/>
    <w:rsid w:val="004E6AF6"/>
    <w:rsid w:val="004F2384"/>
    <w:rsid w:val="004F545A"/>
    <w:rsid w:val="004F563E"/>
    <w:rsid w:val="004F6CA1"/>
    <w:rsid w:val="004F7872"/>
    <w:rsid w:val="00500539"/>
    <w:rsid w:val="00502FDF"/>
    <w:rsid w:val="005048F1"/>
    <w:rsid w:val="0050648A"/>
    <w:rsid w:val="005066CF"/>
    <w:rsid w:val="00506A1A"/>
    <w:rsid w:val="00507F1B"/>
    <w:rsid w:val="00510458"/>
    <w:rsid w:val="00513783"/>
    <w:rsid w:val="005137C8"/>
    <w:rsid w:val="0051753A"/>
    <w:rsid w:val="00517E8C"/>
    <w:rsid w:val="00520E7A"/>
    <w:rsid w:val="00522B9E"/>
    <w:rsid w:val="005237F9"/>
    <w:rsid w:val="00523DAE"/>
    <w:rsid w:val="00532B38"/>
    <w:rsid w:val="00533482"/>
    <w:rsid w:val="00533DF1"/>
    <w:rsid w:val="00533E0F"/>
    <w:rsid w:val="00534654"/>
    <w:rsid w:val="005365D0"/>
    <w:rsid w:val="00536B84"/>
    <w:rsid w:val="00540922"/>
    <w:rsid w:val="00546504"/>
    <w:rsid w:val="005503EC"/>
    <w:rsid w:val="005545B3"/>
    <w:rsid w:val="005545CA"/>
    <w:rsid w:val="005545F7"/>
    <w:rsid w:val="005553BA"/>
    <w:rsid w:val="00557ECC"/>
    <w:rsid w:val="0056024D"/>
    <w:rsid w:val="00561C37"/>
    <w:rsid w:val="00563B80"/>
    <w:rsid w:val="00563E55"/>
    <w:rsid w:val="00564813"/>
    <w:rsid w:val="00564C99"/>
    <w:rsid w:val="00565DF8"/>
    <w:rsid w:val="00570031"/>
    <w:rsid w:val="005746C7"/>
    <w:rsid w:val="00575995"/>
    <w:rsid w:val="00576578"/>
    <w:rsid w:val="005804D0"/>
    <w:rsid w:val="00582721"/>
    <w:rsid w:val="0058393D"/>
    <w:rsid w:val="005918DA"/>
    <w:rsid w:val="00591EBE"/>
    <w:rsid w:val="0059214A"/>
    <w:rsid w:val="0059216F"/>
    <w:rsid w:val="00593E8B"/>
    <w:rsid w:val="00596320"/>
    <w:rsid w:val="00596C42"/>
    <w:rsid w:val="00597CB3"/>
    <w:rsid w:val="005A1C89"/>
    <w:rsid w:val="005A246B"/>
    <w:rsid w:val="005A3D1F"/>
    <w:rsid w:val="005A41CB"/>
    <w:rsid w:val="005A5C75"/>
    <w:rsid w:val="005B2F9D"/>
    <w:rsid w:val="005B407E"/>
    <w:rsid w:val="005B71EC"/>
    <w:rsid w:val="005C031F"/>
    <w:rsid w:val="005C0801"/>
    <w:rsid w:val="005C1997"/>
    <w:rsid w:val="005C2921"/>
    <w:rsid w:val="005C4297"/>
    <w:rsid w:val="005C6D6E"/>
    <w:rsid w:val="005D0AEA"/>
    <w:rsid w:val="005D25D3"/>
    <w:rsid w:val="005D25DC"/>
    <w:rsid w:val="005D37DA"/>
    <w:rsid w:val="005D61FF"/>
    <w:rsid w:val="005D63CE"/>
    <w:rsid w:val="005D728B"/>
    <w:rsid w:val="005E0844"/>
    <w:rsid w:val="005E0A73"/>
    <w:rsid w:val="005E3FD0"/>
    <w:rsid w:val="005F2544"/>
    <w:rsid w:val="005F3743"/>
    <w:rsid w:val="00601F41"/>
    <w:rsid w:val="006038A5"/>
    <w:rsid w:val="00606A89"/>
    <w:rsid w:val="00607B5C"/>
    <w:rsid w:val="00611E5F"/>
    <w:rsid w:val="006122A0"/>
    <w:rsid w:val="0061484E"/>
    <w:rsid w:val="006172E1"/>
    <w:rsid w:val="00622015"/>
    <w:rsid w:val="006351A9"/>
    <w:rsid w:val="00636B4C"/>
    <w:rsid w:val="006418E7"/>
    <w:rsid w:val="006440FC"/>
    <w:rsid w:val="00644A07"/>
    <w:rsid w:val="00645C62"/>
    <w:rsid w:val="006514DC"/>
    <w:rsid w:val="00654C97"/>
    <w:rsid w:val="00662264"/>
    <w:rsid w:val="0066473B"/>
    <w:rsid w:val="00671385"/>
    <w:rsid w:val="006732D2"/>
    <w:rsid w:val="00674997"/>
    <w:rsid w:val="00675130"/>
    <w:rsid w:val="00676D1B"/>
    <w:rsid w:val="0068524C"/>
    <w:rsid w:val="00685F51"/>
    <w:rsid w:val="0068668B"/>
    <w:rsid w:val="00690191"/>
    <w:rsid w:val="00690518"/>
    <w:rsid w:val="00690F69"/>
    <w:rsid w:val="00691E59"/>
    <w:rsid w:val="00691F4F"/>
    <w:rsid w:val="00692CBB"/>
    <w:rsid w:val="00693565"/>
    <w:rsid w:val="00693F79"/>
    <w:rsid w:val="006A0266"/>
    <w:rsid w:val="006A1EEF"/>
    <w:rsid w:val="006A2245"/>
    <w:rsid w:val="006A22AB"/>
    <w:rsid w:val="006A2397"/>
    <w:rsid w:val="006A25B5"/>
    <w:rsid w:val="006B3B9F"/>
    <w:rsid w:val="006B5BAD"/>
    <w:rsid w:val="006C0531"/>
    <w:rsid w:val="006C29DF"/>
    <w:rsid w:val="006C320A"/>
    <w:rsid w:val="006D271D"/>
    <w:rsid w:val="006D3C6D"/>
    <w:rsid w:val="006D564A"/>
    <w:rsid w:val="006D6730"/>
    <w:rsid w:val="006D7502"/>
    <w:rsid w:val="006E48D7"/>
    <w:rsid w:val="006E526B"/>
    <w:rsid w:val="006E7031"/>
    <w:rsid w:val="006F0A77"/>
    <w:rsid w:val="006F1EF5"/>
    <w:rsid w:val="006F2319"/>
    <w:rsid w:val="006F3024"/>
    <w:rsid w:val="006F3214"/>
    <w:rsid w:val="006F36E4"/>
    <w:rsid w:val="00705281"/>
    <w:rsid w:val="00706DE6"/>
    <w:rsid w:val="00707E07"/>
    <w:rsid w:val="00711CF3"/>
    <w:rsid w:val="0071245F"/>
    <w:rsid w:val="007130CA"/>
    <w:rsid w:val="00714D60"/>
    <w:rsid w:val="00717855"/>
    <w:rsid w:val="00720BBD"/>
    <w:rsid w:val="00725A28"/>
    <w:rsid w:val="00726C35"/>
    <w:rsid w:val="0072743F"/>
    <w:rsid w:val="007276E9"/>
    <w:rsid w:val="00727AA3"/>
    <w:rsid w:val="00730B9A"/>
    <w:rsid w:val="00731C07"/>
    <w:rsid w:val="00732812"/>
    <w:rsid w:val="0073408A"/>
    <w:rsid w:val="00734113"/>
    <w:rsid w:val="007348A5"/>
    <w:rsid w:val="0073732E"/>
    <w:rsid w:val="00740416"/>
    <w:rsid w:val="00740D8C"/>
    <w:rsid w:val="00741895"/>
    <w:rsid w:val="00742CB7"/>
    <w:rsid w:val="007435F2"/>
    <w:rsid w:val="0074572A"/>
    <w:rsid w:val="0075288E"/>
    <w:rsid w:val="00755E11"/>
    <w:rsid w:val="00755F94"/>
    <w:rsid w:val="007623AA"/>
    <w:rsid w:val="00765ACA"/>
    <w:rsid w:val="00771AD1"/>
    <w:rsid w:val="00771C5B"/>
    <w:rsid w:val="00772B06"/>
    <w:rsid w:val="007735C9"/>
    <w:rsid w:val="00774CB3"/>
    <w:rsid w:val="00775F43"/>
    <w:rsid w:val="00776117"/>
    <w:rsid w:val="00777541"/>
    <w:rsid w:val="00783782"/>
    <w:rsid w:val="00783966"/>
    <w:rsid w:val="00783C2E"/>
    <w:rsid w:val="0078575A"/>
    <w:rsid w:val="007868C8"/>
    <w:rsid w:val="00790B4A"/>
    <w:rsid w:val="00792F01"/>
    <w:rsid w:val="00793E5B"/>
    <w:rsid w:val="007A0DA5"/>
    <w:rsid w:val="007A0DB3"/>
    <w:rsid w:val="007A0E01"/>
    <w:rsid w:val="007A1AA1"/>
    <w:rsid w:val="007A20AE"/>
    <w:rsid w:val="007A4937"/>
    <w:rsid w:val="007A6BA5"/>
    <w:rsid w:val="007A7CFA"/>
    <w:rsid w:val="007B0604"/>
    <w:rsid w:val="007B79CA"/>
    <w:rsid w:val="007C198C"/>
    <w:rsid w:val="007C6103"/>
    <w:rsid w:val="007C7960"/>
    <w:rsid w:val="007D0A4B"/>
    <w:rsid w:val="007D1CAA"/>
    <w:rsid w:val="007D4E81"/>
    <w:rsid w:val="007D714B"/>
    <w:rsid w:val="007D71E2"/>
    <w:rsid w:val="007E5613"/>
    <w:rsid w:val="007E7619"/>
    <w:rsid w:val="007F23BB"/>
    <w:rsid w:val="007F52DB"/>
    <w:rsid w:val="007F6798"/>
    <w:rsid w:val="00801DAE"/>
    <w:rsid w:val="00801FDD"/>
    <w:rsid w:val="00802740"/>
    <w:rsid w:val="00804058"/>
    <w:rsid w:val="008050D3"/>
    <w:rsid w:val="00807105"/>
    <w:rsid w:val="0081147D"/>
    <w:rsid w:val="00811690"/>
    <w:rsid w:val="00823112"/>
    <w:rsid w:val="00826F91"/>
    <w:rsid w:val="00827F5E"/>
    <w:rsid w:val="00830367"/>
    <w:rsid w:val="00830D6D"/>
    <w:rsid w:val="00834F34"/>
    <w:rsid w:val="0083533C"/>
    <w:rsid w:val="00835D88"/>
    <w:rsid w:val="00840D5E"/>
    <w:rsid w:val="0084142E"/>
    <w:rsid w:val="008431DF"/>
    <w:rsid w:val="0084456A"/>
    <w:rsid w:val="008472A6"/>
    <w:rsid w:val="00850AB1"/>
    <w:rsid w:val="008513D7"/>
    <w:rsid w:val="0085406E"/>
    <w:rsid w:val="00855D27"/>
    <w:rsid w:val="00856385"/>
    <w:rsid w:val="00856395"/>
    <w:rsid w:val="00857A44"/>
    <w:rsid w:val="00860DAC"/>
    <w:rsid w:val="008617B4"/>
    <w:rsid w:val="0086187D"/>
    <w:rsid w:val="00864F2C"/>
    <w:rsid w:val="00866036"/>
    <w:rsid w:val="008660D9"/>
    <w:rsid w:val="00866431"/>
    <w:rsid w:val="00867A6A"/>
    <w:rsid w:val="008700CE"/>
    <w:rsid w:val="008726B2"/>
    <w:rsid w:val="008738C0"/>
    <w:rsid w:val="00874E27"/>
    <w:rsid w:val="00875669"/>
    <w:rsid w:val="00875A86"/>
    <w:rsid w:val="00877964"/>
    <w:rsid w:val="00877C33"/>
    <w:rsid w:val="008844BC"/>
    <w:rsid w:val="00886024"/>
    <w:rsid w:val="008863EF"/>
    <w:rsid w:val="00886D8C"/>
    <w:rsid w:val="00890D8F"/>
    <w:rsid w:val="00890DEB"/>
    <w:rsid w:val="00896F39"/>
    <w:rsid w:val="00897AA6"/>
    <w:rsid w:val="00897ACD"/>
    <w:rsid w:val="00897DB7"/>
    <w:rsid w:val="008A2321"/>
    <w:rsid w:val="008A3D4C"/>
    <w:rsid w:val="008A6383"/>
    <w:rsid w:val="008A7489"/>
    <w:rsid w:val="008A79B2"/>
    <w:rsid w:val="008A7A2C"/>
    <w:rsid w:val="008A7BC5"/>
    <w:rsid w:val="008B01D2"/>
    <w:rsid w:val="008B144F"/>
    <w:rsid w:val="008B219D"/>
    <w:rsid w:val="008B3A79"/>
    <w:rsid w:val="008B5371"/>
    <w:rsid w:val="008B54F8"/>
    <w:rsid w:val="008B7DFF"/>
    <w:rsid w:val="008C0CA1"/>
    <w:rsid w:val="008C1321"/>
    <w:rsid w:val="008D0893"/>
    <w:rsid w:val="008D0894"/>
    <w:rsid w:val="008D1844"/>
    <w:rsid w:val="008D1A13"/>
    <w:rsid w:val="008D1BC6"/>
    <w:rsid w:val="008D3C28"/>
    <w:rsid w:val="008D431D"/>
    <w:rsid w:val="008D7F73"/>
    <w:rsid w:val="008E53AA"/>
    <w:rsid w:val="008E6A6A"/>
    <w:rsid w:val="008F4E76"/>
    <w:rsid w:val="008F4EB4"/>
    <w:rsid w:val="008F72DA"/>
    <w:rsid w:val="0090067A"/>
    <w:rsid w:val="009021AE"/>
    <w:rsid w:val="00902A95"/>
    <w:rsid w:val="0090343C"/>
    <w:rsid w:val="00907867"/>
    <w:rsid w:val="009108E3"/>
    <w:rsid w:val="009123FB"/>
    <w:rsid w:val="00913DF8"/>
    <w:rsid w:val="00913FB4"/>
    <w:rsid w:val="00915CFF"/>
    <w:rsid w:val="00916EB3"/>
    <w:rsid w:val="009178F0"/>
    <w:rsid w:val="0092100C"/>
    <w:rsid w:val="009264B8"/>
    <w:rsid w:val="0093073C"/>
    <w:rsid w:val="009327F6"/>
    <w:rsid w:val="00935EF5"/>
    <w:rsid w:val="00936529"/>
    <w:rsid w:val="00940E47"/>
    <w:rsid w:val="00942163"/>
    <w:rsid w:val="00946077"/>
    <w:rsid w:val="009465B1"/>
    <w:rsid w:val="0094696A"/>
    <w:rsid w:val="00946CC4"/>
    <w:rsid w:val="00954BAF"/>
    <w:rsid w:val="00954DB5"/>
    <w:rsid w:val="009606DC"/>
    <w:rsid w:val="0096131A"/>
    <w:rsid w:val="009615E8"/>
    <w:rsid w:val="00962114"/>
    <w:rsid w:val="009633E3"/>
    <w:rsid w:val="00963786"/>
    <w:rsid w:val="00964823"/>
    <w:rsid w:val="009653C4"/>
    <w:rsid w:val="00970400"/>
    <w:rsid w:val="009711BE"/>
    <w:rsid w:val="00972473"/>
    <w:rsid w:val="0097399B"/>
    <w:rsid w:val="00980923"/>
    <w:rsid w:val="00981573"/>
    <w:rsid w:val="0098299A"/>
    <w:rsid w:val="00984BE8"/>
    <w:rsid w:val="00990E1D"/>
    <w:rsid w:val="009937AB"/>
    <w:rsid w:val="0099398F"/>
    <w:rsid w:val="00994796"/>
    <w:rsid w:val="00994F1D"/>
    <w:rsid w:val="00994F69"/>
    <w:rsid w:val="00997EF3"/>
    <w:rsid w:val="009A10DD"/>
    <w:rsid w:val="009A117B"/>
    <w:rsid w:val="009A3435"/>
    <w:rsid w:val="009A5988"/>
    <w:rsid w:val="009A75D3"/>
    <w:rsid w:val="009B33AB"/>
    <w:rsid w:val="009B3661"/>
    <w:rsid w:val="009B48CF"/>
    <w:rsid w:val="009B4AEF"/>
    <w:rsid w:val="009B54F6"/>
    <w:rsid w:val="009C01FD"/>
    <w:rsid w:val="009C185D"/>
    <w:rsid w:val="009C25B1"/>
    <w:rsid w:val="009C3432"/>
    <w:rsid w:val="009C39B7"/>
    <w:rsid w:val="009C3D81"/>
    <w:rsid w:val="009C4C5F"/>
    <w:rsid w:val="009C6E9F"/>
    <w:rsid w:val="009C77AE"/>
    <w:rsid w:val="009C7F5D"/>
    <w:rsid w:val="009D23E0"/>
    <w:rsid w:val="009D2BEE"/>
    <w:rsid w:val="009D4908"/>
    <w:rsid w:val="009D7026"/>
    <w:rsid w:val="009E0004"/>
    <w:rsid w:val="009E047F"/>
    <w:rsid w:val="009E3698"/>
    <w:rsid w:val="009E74FE"/>
    <w:rsid w:val="009F1BE2"/>
    <w:rsid w:val="009F2988"/>
    <w:rsid w:val="009F3A7C"/>
    <w:rsid w:val="009F5348"/>
    <w:rsid w:val="009F5607"/>
    <w:rsid w:val="00A0007F"/>
    <w:rsid w:val="00A013C5"/>
    <w:rsid w:val="00A0295D"/>
    <w:rsid w:val="00A0381E"/>
    <w:rsid w:val="00A03CAE"/>
    <w:rsid w:val="00A05743"/>
    <w:rsid w:val="00A05EC1"/>
    <w:rsid w:val="00A07336"/>
    <w:rsid w:val="00A115CC"/>
    <w:rsid w:val="00A12D90"/>
    <w:rsid w:val="00A2038A"/>
    <w:rsid w:val="00A20B6F"/>
    <w:rsid w:val="00A22456"/>
    <w:rsid w:val="00A22A7D"/>
    <w:rsid w:val="00A242DA"/>
    <w:rsid w:val="00A24642"/>
    <w:rsid w:val="00A25EDB"/>
    <w:rsid w:val="00A26281"/>
    <w:rsid w:val="00A264AE"/>
    <w:rsid w:val="00A26D3A"/>
    <w:rsid w:val="00A27589"/>
    <w:rsid w:val="00A27DB2"/>
    <w:rsid w:val="00A30A60"/>
    <w:rsid w:val="00A30FEB"/>
    <w:rsid w:val="00A31C82"/>
    <w:rsid w:val="00A327BD"/>
    <w:rsid w:val="00A334B5"/>
    <w:rsid w:val="00A33A62"/>
    <w:rsid w:val="00A36A3A"/>
    <w:rsid w:val="00A37DC3"/>
    <w:rsid w:val="00A37DDC"/>
    <w:rsid w:val="00A41E69"/>
    <w:rsid w:val="00A45A73"/>
    <w:rsid w:val="00A47EA9"/>
    <w:rsid w:val="00A5325F"/>
    <w:rsid w:val="00A554D2"/>
    <w:rsid w:val="00A56E79"/>
    <w:rsid w:val="00A6485A"/>
    <w:rsid w:val="00A6629C"/>
    <w:rsid w:val="00A668EF"/>
    <w:rsid w:val="00A66985"/>
    <w:rsid w:val="00A70AEB"/>
    <w:rsid w:val="00A71136"/>
    <w:rsid w:val="00A7393B"/>
    <w:rsid w:val="00A7688E"/>
    <w:rsid w:val="00A76F72"/>
    <w:rsid w:val="00A809E0"/>
    <w:rsid w:val="00A822BE"/>
    <w:rsid w:val="00A82890"/>
    <w:rsid w:val="00A839D8"/>
    <w:rsid w:val="00A83DB7"/>
    <w:rsid w:val="00A846B3"/>
    <w:rsid w:val="00A8579B"/>
    <w:rsid w:val="00A874EF"/>
    <w:rsid w:val="00A90719"/>
    <w:rsid w:val="00A926BF"/>
    <w:rsid w:val="00A9564D"/>
    <w:rsid w:val="00A95F89"/>
    <w:rsid w:val="00A96387"/>
    <w:rsid w:val="00A96E0A"/>
    <w:rsid w:val="00A9712F"/>
    <w:rsid w:val="00A97D84"/>
    <w:rsid w:val="00AA5857"/>
    <w:rsid w:val="00AA69F9"/>
    <w:rsid w:val="00AA7D4F"/>
    <w:rsid w:val="00AA7F92"/>
    <w:rsid w:val="00AB15F8"/>
    <w:rsid w:val="00AB17BF"/>
    <w:rsid w:val="00AB26D5"/>
    <w:rsid w:val="00AB2FE6"/>
    <w:rsid w:val="00AB418B"/>
    <w:rsid w:val="00AB47AC"/>
    <w:rsid w:val="00AB4870"/>
    <w:rsid w:val="00AB6369"/>
    <w:rsid w:val="00AB7073"/>
    <w:rsid w:val="00AC35F9"/>
    <w:rsid w:val="00AC3F5F"/>
    <w:rsid w:val="00AC589A"/>
    <w:rsid w:val="00AC640C"/>
    <w:rsid w:val="00AC78E9"/>
    <w:rsid w:val="00AC7C4D"/>
    <w:rsid w:val="00AD0E30"/>
    <w:rsid w:val="00AD3A4E"/>
    <w:rsid w:val="00AD42F8"/>
    <w:rsid w:val="00AD4947"/>
    <w:rsid w:val="00AE0A91"/>
    <w:rsid w:val="00AE32C9"/>
    <w:rsid w:val="00AE4847"/>
    <w:rsid w:val="00AF1B95"/>
    <w:rsid w:val="00AF3412"/>
    <w:rsid w:val="00AF4810"/>
    <w:rsid w:val="00AF6596"/>
    <w:rsid w:val="00AF7C9A"/>
    <w:rsid w:val="00B012C9"/>
    <w:rsid w:val="00B02247"/>
    <w:rsid w:val="00B0377E"/>
    <w:rsid w:val="00B04622"/>
    <w:rsid w:val="00B0517D"/>
    <w:rsid w:val="00B065BA"/>
    <w:rsid w:val="00B0673F"/>
    <w:rsid w:val="00B06F97"/>
    <w:rsid w:val="00B0769A"/>
    <w:rsid w:val="00B120B3"/>
    <w:rsid w:val="00B1684D"/>
    <w:rsid w:val="00B20670"/>
    <w:rsid w:val="00B21698"/>
    <w:rsid w:val="00B216F2"/>
    <w:rsid w:val="00B22DB3"/>
    <w:rsid w:val="00B31038"/>
    <w:rsid w:val="00B33592"/>
    <w:rsid w:val="00B34C65"/>
    <w:rsid w:val="00B40755"/>
    <w:rsid w:val="00B40E91"/>
    <w:rsid w:val="00B41681"/>
    <w:rsid w:val="00B422AC"/>
    <w:rsid w:val="00B43FF7"/>
    <w:rsid w:val="00B44CC2"/>
    <w:rsid w:val="00B46E31"/>
    <w:rsid w:val="00B50EA1"/>
    <w:rsid w:val="00B52A5D"/>
    <w:rsid w:val="00B5346F"/>
    <w:rsid w:val="00B53757"/>
    <w:rsid w:val="00B54707"/>
    <w:rsid w:val="00B54E35"/>
    <w:rsid w:val="00B57663"/>
    <w:rsid w:val="00B605AB"/>
    <w:rsid w:val="00B60B05"/>
    <w:rsid w:val="00B60B64"/>
    <w:rsid w:val="00B62CC7"/>
    <w:rsid w:val="00B64CC2"/>
    <w:rsid w:val="00B6620A"/>
    <w:rsid w:val="00B66CB7"/>
    <w:rsid w:val="00B66D8E"/>
    <w:rsid w:val="00B67543"/>
    <w:rsid w:val="00B72E7E"/>
    <w:rsid w:val="00B767C5"/>
    <w:rsid w:val="00B81079"/>
    <w:rsid w:val="00B82F54"/>
    <w:rsid w:val="00B831F0"/>
    <w:rsid w:val="00B83273"/>
    <w:rsid w:val="00B85034"/>
    <w:rsid w:val="00B8597F"/>
    <w:rsid w:val="00B87E38"/>
    <w:rsid w:val="00B90142"/>
    <w:rsid w:val="00B917FA"/>
    <w:rsid w:val="00B91F9A"/>
    <w:rsid w:val="00B92D1D"/>
    <w:rsid w:val="00B94364"/>
    <w:rsid w:val="00B943A0"/>
    <w:rsid w:val="00B94F5C"/>
    <w:rsid w:val="00B96661"/>
    <w:rsid w:val="00B96C29"/>
    <w:rsid w:val="00BA01A1"/>
    <w:rsid w:val="00BA14FC"/>
    <w:rsid w:val="00BA20EF"/>
    <w:rsid w:val="00BA2C76"/>
    <w:rsid w:val="00BB1648"/>
    <w:rsid w:val="00BB50AC"/>
    <w:rsid w:val="00BB53C3"/>
    <w:rsid w:val="00BC45A6"/>
    <w:rsid w:val="00BC5942"/>
    <w:rsid w:val="00BD0BBD"/>
    <w:rsid w:val="00BD3EF0"/>
    <w:rsid w:val="00BD6EDA"/>
    <w:rsid w:val="00BE33F9"/>
    <w:rsid w:val="00BF0ADC"/>
    <w:rsid w:val="00BF0F2D"/>
    <w:rsid w:val="00BF4B37"/>
    <w:rsid w:val="00C005E5"/>
    <w:rsid w:val="00C00994"/>
    <w:rsid w:val="00C01907"/>
    <w:rsid w:val="00C01E88"/>
    <w:rsid w:val="00C13753"/>
    <w:rsid w:val="00C17159"/>
    <w:rsid w:val="00C213CF"/>
    <w:rsid w:val="00C21964"/>
    <w:rsid w:val="00C21AD1"/>
    <w:rsid w:val="00C22FE4"/>
    <w:rsid w:val="00C239C9"/>
    <w:rsid w:val="00C2411A"/>
    <w:rsid w:val="00C26AB7"/>
    <w:rsid w:val="00C321F2"/>
    <w:rsid w:val="00C32EC4"/>
    <w:rsid w:val="00C34B4E"/>
    <w:rsid w:val="00C371A9"/>
    <w:rsid w:val="00C40BB4"/>
    <w:rsid w:val="00C44DE0"/>
    <w:rsid w:val="00C45015"/>
    <w:rsid w:val="00C45635"/>
    <w:rsid w:val="00C5107A"/>
    <w:rsid w:val="00C52B92"/>
    <w:rsid w:val="00C52D7B"/>
    <w:rsid w:val="00C52F66"/>
    <w:rsid w:val="00C57189"/>
    <w:rsid w:val="00C6265C"/>
    <w:rsid w:val="00C63171"/>
    <w:rsid w:val="00C65007"/>
    <w:rsid w:val="00C65C42"/>
    <w:rsid w:val="00C70A56"/>
    <w:rsid w:val="00C727E3"/>
    <w:rsid w:val="00C77979"/>
    <w:rsid w:val="00C77ACF"/>
    <w:rsid w:val="00C8094E"/>
    <w:rsid w:val="00C8132B"/>
    <w:rsid w:val="00C81E85"/>
    <w:rsid w:val="00C824B3"/>
    <w:rsid w:val="00C9184E"/>
    <w:rsid w:val="00C923D8"/>
    <w:rsid w:val="00CA05E1"/>
    <w:rsid w:val="00CA1978"/>
    <w:rsid w:val="00CA1B62"/>
    <w:rsid w:val="00CA348E"/>
    <w:rsid w:val="00CA518A"/>
    <w:rsid w:val="00CA61F7"/>
    <w:rsid w:val="00CB1E25"/>
    <w:rsid w:val="00CB2B80"/>
    <w:rsid w:val="00CB46AB"/>
    <w:rsid w:val="00CB487A"/>
    <w:rsid w:val="00CB77CF"/>
    <w:rsid w:val="00CC0193"/>
    <w:rsid w:val="00CC0EEE"/>
    <w:rsid w:val="00CC5411"/>
    <w:rsid w:val="00CC5FCE"/>
    <w:rsid w:val="00CC678F"/>
    <w:rsid w:val="00CD0CAF"/>
    <w:rsid w:val="00CD26C7"/>
    <w:rsid w:val="00CD4198"/>
    <w:rsid w:val="00CD4361"/>
    <w:rsid w:val="00CD5034"/>
    <w:rsid w:val="00CD5868"/>
    <w:rsid w:val="00CD61AB"/>
    <w:rsid w:val="00CD7D08"/>
    <w:rsid w:val="00CE13C4"/>
    <w:rsid w:val="00CE263E"/>
    <w:rsid w:val="00CE2C75"/>
    <w:rsid w:val="00CE3AA5"/>
    <w:rsid w:val="00CE43CF"/>
    <w:rsid w:val="00CE4AD4"/>
    <w:rsid w:val="00CE4AE0"/>
    <w:rsid w:val="00CE5D11"/>
    <w:rsid w:val="00CE6028"/>
    <w:rsid w:val="00CE6F33"/>
    <w:rsid w:val="00CE7153"/>
    <w:rsid w:val="00CE7E24"/>
    <w:rsid w:val="00CF0461"/>
    <w:rsid w:val="00CF0F1A"/>
    <w:rsid w:val="00CF3221"/>
    <w:rsid w:val="00CF4CB4"/>
    <w:rsid w:val="00CF5062"/>
    <w:rsid w:val="00CF6D5B"/>
    <w:rsid w:val="00D01097"/>
    <w:rsid w:val="00D03E5C"/>
    <w:rsid w:val="00D0463C"/>
    <w:rsid w:val="00D0586D"/>
    <w:rsid w:val="00D05EDD"/>
    <w:rsid w:val="00D14ECB"/>
    <w:rsid w:val="00D151C2"/>
    <w:rsid w:val="00D22D8A"/>
    <w:rsid w:val="00D25206"/>
    <w:rsid w:val="00D253F4"/>
    <w:rsid w:val="00D35D0F"/>
    <w:rsid w:val="00D36DB0"/>
    <w:rsid w:val="00D419A0"/>
    <w:rsid w:val="00D425C6"/>
    <w:rsid w:val="00D42BE9"/>
    <w:rsid w:val="00D4664A"/>
    <w:rsid w:val="00D47278"/>
    <w:rsid w:val="00D509A3"/>
    <w:rsid w:val="00D50B54"/>
    <w:rsid w:val="00D514E4"/>
    <w:rsid w:val="00D524A5"/>
    <w:rsid w:val="00D53382"/>
    <w:rsid w:val="00D55154"/>
    <w:rsid w:val="00D6123C"/>
    <w:rsid w:val="00D6249B"/>
    <w:rsid w:val="00D63EA2"/>
    <w:rsid w:val="00D64922"/>
    <w:rsid w:val="00D72062"/>
    <w:rsid w:val="00D73192"/>
    <w:rsid w:val="00D746CB"/>
    <w:rsid w:val="00D75B8C"/>
    <w:rsid w:val="00D87361"/>
    <w:rsid w:val="00D8751A"/>
    <w:rsid w:val="00D879A0"/>
    <w:rsid w:val="00D91508"/>
    <w:rsid w:val="00D92063"/>
    <w:rsid w:val="00D9327C"/>
    <w:rsid w:val="00D93B1A"/>
    <w:rsid w:val="00D9472D"/>
    <w:rsid w:val="00D95A44"/>
    <w:rsid w:val="00D979D8"/>
    <w:rsid w:val="00DA12D8"/>
    <w:rsid w:val="00DA2F75"/>
    <w:rsid w:val="00DA3A70"/>
    <w:rsid w:val="00DA3CB8"/>
    <w:rsid w:val="00DA7D2B"/>
    <w:rsid w:val="00DB1CFE"/>
    <w:rsid w:val="00DB4D05"/>
    <w:rsid w:val="00DB5E56"/>
    <w:rsid w:val="00DC35B1"/>
    <w:rsid w:val="00DC3D8C"/>
    <w:rsid w:val="00DC5A5F"/>
    <w:rsid w:val="00DC665C"/>
    <w:rsid w:val="00DC78D6"/>
    <w:rsid w:val="00DD089F"/>
    <w:rsid w:val="00DD0D79"/>
    <w:rsid w:val="00DD0EB0"/>
    <w:rsid w:val="00DD14B8"/>
    <w:rsid w:val="00DE1733"/>
    <w:rsid w:val="00DE4475"/>
    <w:rsid w:val="00DE733A"/>
    <w:rsid w:val="00DF2FFE"/>
    <w:rsid w:val="00E001E1"/>
    <w:rsid w:val="00E04A38"/>
    <w:rsid w:val="00E055D4"/>
    <w:rsid w:val="00E05638"/>
    <w:rsid w:val="00E07CB4"/>
    <w:rsid w:val="00E10F10"/>
    <w:rsid w:val="00E10F7F"/>
    <w:rsid w:val="00E1415A"/>
    <w:rsid w:val="00E16158"/>
    <w:rsid w:val="00E17FAA"/>
    <w:rsid w:val="00E22118"/>
    <w:rsid w:val="00E22896"/>
    <w:rsid w:val="00E23109"/>
    <w:rsid w:val="00E25568"/>
    <w:rsid w:val="00E26C3B"/>
    <w:rsid w:val="00E31006"/>
    <w:rsid w:val="00E41ACF"/>
    <w:rsid w:val="00E41B93"/>
    <w:rsid w:val="00E43173"/>
    <w:rsid w:val="00E43C05"/>
    <w:rsid w:val="00E45B19"/>
    <w:rsid w:val="00E45E6D"/>
    <w:rsid w:val="00E51BE9"/>
    <w:rsid w:val="00E51F7E"/>
    <w:rsid w:val="00E53355"/>
    <w:rsid w:val="00E541B1"/>
    <w:rsid w:val="00E5434B"/>
    <w:rsid w:val="00E54DDA"/>
    <w:rsid w:val="00E5776C"/>
    <w:rsid w:val="00E6277B"/>
    <w:rsid w:val="00E62991"/>
    <w:rsid w:val="00E64A31"/>
    <w:rsid w:val="00E65512"/>
    <w:rsid w:val="00E65FE5"/>
    <w:rsid w:val="00E664DB"/>
    <w:rsid w:val="00E71130"/>
    <w:rsid w:val="00E7277D"/>
    <w:rsid w:val="00E746CE"/>
    <w:rsid w:val="00E747F2"/>
    <w:rsid w:val="00E77A1E"/>
    <w:rsid w:val="00E8035D"/>
    <w:rsid w:val="00E81547"/>
    <w:rsid w:val="00E82C03"/>
    <w:rsid w:val="00E83EEF"/>
    <w:rsid w:val="00E8608E"/>
    <w:rsid w:val="00E8627B"/>
    <w:rsid w:val="00E8648D"/>
    <w:rsid w:val="00E86993"/>
    <w:rsid w:val="00E877B6"/>
    <w:rsid w:val="00E902C2"/>
    <w:rsid w:val="00E903ED"/>
    <w:rsid w:val="00E91CA7"/>
    <w:rsid w:val="00E91E4A"/>
    <w:rsid w:val="00E927FF"/>
    <w:rsid w:val="00E92DCE"/>
    <w:rsid w:val="00E964CB"/>
    <w:rsid w:val="00E978D2"/>
    <w:rsid w:val="00EA2CE0"/>
    <w:rsid w:val="00EA4B55"/>
    <w:rsid w:val="00EA53FC"/>
    <w:rsid w:val="00EB01BB"/>
    <w:rsid w:val="00EB0B73"/>
    <w:rsid w:val="00EB3753"/>
    <w:rsid w:val="00EB5394"/>
    <w:rsid w:val="00EB57C0"/>
    <w:rsid w:val="00EB6697"/>
    <w:rsid w:val="00EC16AD"/>
    <w:rsid w:val="00EC1C2D"/>
    <w:rsid w:val="00EC272A"/>
    <w:rsid w:val="00EC3B2C"/>
    <w:rsid w:val="00EC42FF"/>
    <w:rsid w:val="00EC5D85"/>
    <w:rsid w:val="00EC6581"/>
    <w:rsid w:val="00EC696F"/>
    <w:rsid w:val="00ED2730"/>
    <w:rsid w:val="00EE2F60"/>
    <w:rsid w:val="00EE4C1E"/>
    <w:rsid w:val="00EE71C1"/>
    <w:rsid w:val="00EF1154"/>
    <w:rsid w:val="00EF1FBA"/>
    <w:rsid w:val="00EF31C0"/>
    <w:rsid w:val="00EF45B4"/>
    <w:rsid w:val="00EF7521"/>
    <w:rsid w:val="00EF769A"/>
    <w:rsid w:val="00F06FC0"/>
    <w:rsid w:val="00F07614"/>
    <w:rsid w:val="00F07CC8"/>
    <w:rsid w:val="00F1199F"/>
    <w:rsid w:val="00F13A9A"/>
    <w:rsid w:val="00F15504"/>
    <w:rsid w:val="00F17DC4"/>
    <w:rsid w:val="00F241E8"/>
    <w:rsid w:val="00F2593F"/>
    <w:rsid w:val="00F2616E"/>
    <w:rsid w:val="00F332AA"/>
    <w:rsid w:val="00F37027"/>
    <w:rsid w:val="00F501D2"/>
    <w:rsid w:val="00F503D6"/>
    <w:rsid w:val="00F50AA5"/>
    <w:rsid w:val="00F50ED4"/>
    <w:rsid w:val="00F50FBB"/>
    <w:rsid w:val="00F51311"/>
    <w:rsid w:val="00F51BBE"/>
    <w:rsid w:val="00F51D38"/>
    <w:rsid w:val="00F563CC"/>
    <w:rsid w:val="00F57356"/>
    <w:rsid w:val="00F64366"/>
    <w:rsid w:val="00F64C3D"/>
    <w:rsid w:val="00F65B39"/>
    <w:rsid w:val="00F72D4C"/>
    <w:rsid w:val="00F73888"/>
    <w:rsid w:val="00F7458B"/>
    <w:rsid w:val="00F761D2"/>
    <w:rsid w:val="00F81304"/>
    <w:rsid w:val="00F8317C"/>
    <w:rsid w:val="00F86187"/>
    <w:rsid w:val="00F91EEE"/>
    <w:rsid w:val="00F940E1"/>
    <w:rsid w:val="00F960EB"/>
    <w:rsid w:val="00F973A7"/>
    <w:rsid w:val="00F97FE7"/>
    <w:rsid w:val="00FA021A"/>
    <w:rsid w:val="00FA1CFA"/>
    <w:rsid w:val="00FA52E4"/>
    <w:rsid w:val="00FB28AA"/>
    <w:rsid w:val="00FB459A"/>
    <w:rsid w:val="00FB46FC"/>
    <w:rsid w:val="00FC75BF"/>
    <w:rsid w:val="00FD02EF"/>
    <w:rsid w:val="00FD0420"/>
    <w:rsid w:val="00FD0991"/>
    <w:rsid w:val="00FD32E3"/>
    <w:rsid w:val="00FD3E8B"/>
    <w:rsid w:val="00FD4791"/>
    <w:rsid w:val="00FD7902"/>
    <w:rsid w:val="00FE2137"/>
    <w:rsid w:val="00FE5AF9"/>
    <w:rsid w:val="00FE5B98"/>
    <w:rsid w:val="00FE63A1"/>
    <w:rsid w:val="00FE6FEA"/>
    <w:rsid w:val="00FF0170"/>
    <w:rsid w:val="00FF0382"/>
    <w:rsid w:val="00FF6315"/>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4F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1"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foot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07B5C"/>
    <w:rPr>
      <w:sz w:val="24"/>
    </w:rPr>
  </w:style>
  <w:style w:type="paragraph" w:styleId="Heading1">
    <w:name w:val="heading 1"/>
    <w:next w:val="ParagraphText"/>
    <w:qFormat/>
    <w:rsid w:val="00A37DC3"/>
    <w:pPr>
      <w:keepNext/>
      <w:pageBreakBefore/>
      <w:spacing w:before="360" w:after="284" w:line="584" w:lineRule="exact"/>
      <w:outlineLvl w:val="0"/>
    </w:pPr>
    <w:rPr>
      <w:b/>
      <w:sz w:val="48"/>
    </w:rPr>
  </w:style>
  <w:style w:type="paragraph" w:styleId="Heading2">
    <w:name w:val="heading 2"/>
    <w:next w:val="ParagraphText"/>
    <w:qFormat/>
    <w:rsid w:val="00533E0F"/>
    <w:pPr>
      <w:keepNext/>
      <w:keepLines/>
      <w:spacing w:before="240" w:after="240" w:line="410" w:lineRule="exact"/>
      <w:outlineLvl w:val="1"/>
    </w:pPr>
    <w:rPr>
      <w:b/>
      <w:sz w:val="33"/>
    </w:rPr>
  </w:style>
  <w:style w:type="paragraph" w:styleId="Heading3">
    <w:name w:val="heading 3"/>
    <w:next w:val="ParagraphText"/>
    <w:link w:val="Heading3Char"/>
    <w:uiPriority w:val="1"/>
    <w:qFormat/>
    <w:rsid w:val="00E45E6D"/>
    <w:pPr>
      <w:keepNext/>
      <w:keepLines/>
      <w:spacing w:before="120" w:after="240" w:line="370" w:lineRule="exact"/>
      <w:outlineLvl w:val="2"/>
    </w:pPr>
    <w:rPr>
      <w:b/>
      <w:sz w:val="29"/>
    </w:rPr>
  </w:style>
  <w:style w:type="paragraph" w:styleId="Heading4">
    <w:name w:val="heading 4"/>
    <w:next w:val="ParagraphText"/>
    <w:qFormat/>
    <w:rsid w:val="00533E0F"/>
    <w:pPr>
      <w:keepNext/>
      <w:keepLines/>
      <w:spacing w:before="120" w:after="120" w:line="330" w:lineRule="exact"/>
      <w:outlineLvl w:val="3"/>
    </w:pPr>
    <w:rPr>
      <w:b/>
      <w:sz w:val="25"/>
    </w:rPr>
  </w:style>
  <w:style w:type="paragraph" w:styleId="Heading5">
    <w:name w:val="heading 5"/>
    <w:next w:val="ParagraphText"/>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CE6F33"/>
    <w:rPr>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
    <w:uiPriority w:val="1"/>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C78D6"/>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uiPriority w:val="39"/>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CE6F33"/>
    <w:pPr>
      <w:spacing w:before="240" w:after="284" w:line="288" w:lineRule="auto"/>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qFormat/>
    <w:rsid w:val="00F332AA"/>
    <w:rPr>
      <w:i/>
    </w:rPr>
  </w:style>
  <w:style w:type="paragraph" w:customStyle="1" w:styleId="Heading1-numbered">
    <w:name w:val="Heading 1 - numbered"/>
    <w:next w:val="ParagraphText"/>
    <w:qFormat/>
    <w:rsid w:val="00533E0F"/>
    <w:pPr>
      <w:keepNext/>
      <w:pageBreakBefore/>
      <w:numPr>
        <w:numId w:val="3"/>
      </w:numPr>
      <w:spacing w:after="284" w:line="584" w:lineRule="exact"/>
      <w:outlineLvl w:val="0"/>
    </w:pPr>
    <w:rPr>
      <w:b/>
      <w:sz w:val="48"/>
    </w:rPr>
  </w:style>
  <w:style w:type="paragraph" w:customStyle="1" w:styleId="ParagraphText-numbered">
    <w:name w:val="Paragraph Text - numbered"/>
    <w:basedOn w:val="Heading1-numbered"/>
    <w:rsid w:val="000A0305"/>
    <w:pPr>
      <w:keepNext w:val="0"/>
      <w:pageBreakBefore w:val="0"/>
      <w:numPr>
        <w:ilvl w:val="1"/>
      </w:numPr>
      <w:spacing w:line="288" w:lineRule="auto"/>
      <w:outlineLvl w:val="9"/>
    </w:pPr>
    <w:rPr>
      <w:b w:val="0"/>
      <w:sz w:val="24"/>
    </w:rPr>
  </w:style>
  <w:style w:type="paragraph" w:customStyle="1" w:styleId="ParagraphText-numbered-level3">
    <w:name w:val="Paragraph Text - numbered - level 3"/>
    <w:basedOn w:val="Heading1-numbered"/>
    <w:uiPriority w:val="1"/>
    <w:rsid w:val="00DC78D6"/>
    <w:pPr>
      <w:keepNext w:val="0"/>
      <w:pageBreakBefore w:val="0"/>
      <w:numPr>
        <w:ilvl w:val="2"/>
      </w:numPr>
      <w:spacing w:line="288" w:lineRule="auto"/>
      <w:outlineLvl w:val="9"/>
    </w:pPr>
    <w:rPr>
      <w:b w:val="0"/>
      <w:sz w:val="24"/>
    </w:rPr>
  </w:style>
  <w:style w:type="paragraph" w:customStyle="1" w:styleId="ParagraphText-numbered-level4">
    <w:name w:val="Paragraph Text - numbered - level 4"/>
    <w:basedOn w:val="Heading1-numbered"/>
    <w:uiPriority w:val="1"/>
    <w:rsid w:val="00DC78D6"/>
    <w:pPr>
      <w:keepNext w:val="0"/>
      <w:pageBreakBefore w:val="0"/>
      <w:numPr>
        <w:ilvl w:val="3"/>
      </w:numPr>
      <w:spacing w:line="288" w:lineRule="auto"/>
      <w:outlineLvl w:val="9"/>
    </w:pPr>
    <w:rPr>
      <w:b w:val="0"/>
      <w:sz w:val="24"/>
    </w:rPr>
  </w:style>
  <w:style w:type="paragraph" w:customStyle="1" w:styleId="Heading-figurecharttable">
    <w:name w:val="Heading - figure/chart/table"/>
    <w:next w:val="Normal"/>
    <w:uiPriority w:val="1"/>
    <w:qFormat/>
    <w:rsid w:val="004D33A6"/>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next w:val="Dateofpublication"/>
    <w:uiPriority w:val="1"/>
    <w:qFormat/>
    <w:rsid w:val="002A39C6"/>
    <w:pPr>
      <w:spacing w:after="240" w:line="240" w:lineRule="auto"/>
    </w:pPr>
    <w:rPr>
      <w:rFonts w:cs="Arial"/>
      <w:b/>
      <w:sz w:val="36"/>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rPr>
  </w:style>
  <w:style w:type="paragraph" w:customStyle="1" w:styleId="Bullet-sub">
    <w:name w:val="Bullet-sub"/>
    <w:uiPriority w:val="1"/>
    <w:qFormat/>
    <w:rsid w:val="00DC78D6"/>
    <w:pPr>
      <w:numPr>
        <w:numId w:val="4"/>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greenborder">
    <w:name w:val="Boxed text - green border"/>
    <w:basedOn w:val="ParagraphText"/>
    <w:uiPriority w:val="1"/>
    <w:semiHidden/>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5"/>
      </w:numPr>
    </w:pPr>
  </w:style>
  <w:style w:type="paragraph" w:customStyle="1" w:styleId="Bullet-numberedsteps">
    <w:name w:val="Bullet - numbered steps"/>
    <w:basedOn w:val="ParagraphText"/>
    <w:uiPriority w:val="1"/>
    <w:qFormat/>
    <w:rsid w:val="00CF3221"/>
    <w:pPr>
      <w:numPr>
        <w:numId w:val="13"/>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Bilo-Bold" w:hAnsi="Bilo-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rsid w:val="00D979D8"/>
    <w:pPr>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Boxedtext">
    <w:name w:val="Boxed text"/>
    <w:basedOn w:val="Normal"/>
    <w:uiPriority w:val="1"/>
    <w:qFormat/>
    <w:rsid w:val="000F0EC5"/>
    <w:pPr>
      <w:numPr>
        <w:numId w:val="8"/>
      </w:numPr>
      <w:pBdr>
        <w:top w:val="single" w:sz="12" w:space="6" w:color="00A188"/>
        <w:left w:val="single" w:sz="12" w:space="6" w:color="00A188"/>
        <w:bottom w:val="single" w:sz="12" w:space="6" w:color="00A188"/>
        <w:right w:val="single" w:sz="12" w:space="6" w:color="00A188"/>
      </w:pBdr>
      <w:spacing w:after="284" w:line="288" w:lineRule="auto"/>
    </w:pPr>
    <w:rPr>
      <w:color w:val="000000" w:themeColor="text1"/>
      <w14:textOutline w14:w="9525" w14:cap="rnd" w14:cmpd="sng" w14:algn="ctr">
        <w14:noFill/>
        <w14:prstDash w14:val="solid"/>
        <w14:bevel/>
      </w14:textOutline>
    </w:rPr>
  </w:style>
  <w:style w:type="paragraph" w:customStyle="1" w:styleId="Address">
    <w:name w:val="Address"/>
    <w:basedOn w:val="Textindented"/>
    <w:uiPriority w:val="1"/>
    <w:rsid w:val="002A39C6"/>
    <w:pPr>
      <w:spacing w:after="0" w:line="288" w:lineRule="auto"/>
      <w:ind w:left="0"/>
    </w:pPr>
  </w:style>
  <w:style w:type="paragraph" w:customStyle="1" w:styleId="Dateofpublication">
    <w:name w:val="Date of publication"/>
    <w:basedOn w:val="Normal"/>
    <w:next w:val="Normal"/>
    <w:uiPriority w:val="1"/>
    <w:rsid w:val="002A39C6"/>
  </w:style>
  <w:style w:type="character" w:customStyle="1" w:styleId="Heading3Char">
    <w:name w:val="Heading 3 Char"/>
    <w:basedOn w:val="DefaultParagraphFont"/>
    <w:link w:val="Heading3"/>
    <w:rsid w:val="00860DAC"/>
    <w:rPr>
      <w:b/>
      <w:sz w:val="29"/>
    </w:rPr>
  </w:style>
  <w:style w:type="paragraph" w:styleId="BodyText">
    <w:name w:val="Body Text"/>
    <w:basedOn w:val="Normal"/>
    <w:link w:val="BodyTextChar"/>
    <w:uiPriority w:val="1"/>
    <w:qFormat/>
    <w:rsid w:val="00B06F97"/>
    <w:pPr>
      <w:widowControl w:val="0"/>
      <w:ind w:left="1644"/>
    </w:pPr>
    <w:rPr>
      <w:rFonts w:ascii="Arial Unicode MS" w:eastAsia="Arial Unicode MS" w:hAnsi="Arial Unicode MS" w:cstheme="minorBidi"/>
      <w:sz w:val="20"/>
      <w:lang w:val="en-US" w:eastAsia="en-US"/>
    </w:rPr>
  </w:style>
  <w:style w:type="character" w:customStyle="1" w:styleId="BodyTextChar">
    <w:name w:val="Body Text Char"/>
    <w:basedOn w:val="DefaultParagraphFont"/>
    <w:link w:val="BodyText"/>
    <w:uiPriority w:val="1"/>
    <w:rsid w:val="00B06F97"/>
    <w:rPr>
      <w:rFonts w:ascii="Arial Unicode MS" w:eastAsia="Arial Unicode MS" w:hAnsi="Arial Unicode MS" w:cstheme="minorBidi"/>
      <w:lang w:val="en-US" w:eastAsia="en-US"/>
    </w:rPr>
  </w:style>
  <w:style w:type="character" w:styleId="CommentReference">
    <w:name w:val="annotation reference"/>
    <w:basedOn w:val="DefaultParagraphFont"/>
    <w:uiPriority w:val="99"/>
    <w:semiHidden/>
    <w:unhideWhenUsed/>
    <w:rsid w:val="00B06F97"/>
    <w:rPr>
      <w:sz w:val="16"/>
      <w:szCs w:val="16"/>
    </w:rPr>
  </w:style>
  <w:style w:type="paragraph" w:styleId="CommentText">
    <w:name w:val="annotation text"/>
    <w:basedOn w:val="Normal"/>
    <w:link w:val="CommentTextChar"/>
    <w:uiPriority w:val="99"/>
    <w:unhideWhenUsed/>
    <w:rsid w:val="00B06F97"/>
    <w:pPr>
      <w:widowControl w:val="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B06F9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06F97"/>
    <w:rPr>
      <w:b/>
      <w:bCs/>
    </w:rPr>
  </w:style>
  <w:style w:type="character" w:customStyle="1" w:styleId="CommentSubjectChar">
    <w:name w:val="Comment Subject Char"/>
    <w:basedOn w:val="CommentTextChar"/>
    <w:link w:val="CommentSubject"/>
    <w:uiPriority w:val="99"/>
    <w:semiHidden/>
    <w:rsid w:val="00B06F97"/>
    <w:rPr>
      <w:rFonts w:asciiTheme="minorHAnsi" w:eastAsiaTheme="minorHAnsi" w:hAnsiTheme="minorHAnsi" w:cstheme="minorBidi"/>
      <w:b/>
      <w:bCs/>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uiPriority w:val="34"/>
    <w:qFormat/>
    <w:rsid w:val="00B06F97"/>
    <w:pPr>
      <w:widowControl w:val="0"/>
    </w:pPr>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B06F97"/>
    <w:pPr>
      <w:keepLines/>
      <w:pageBreakBefore w:val="0"/>
      <w:spacing w:before="240"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styleId="Revision">
    <w:name w:val="Revision"/>
    <w:hidden/>
    <w:uiPriority w:val="99"/>
    <w:semiHidden/>
    <w:rsid w:val="00B06F97"/>
    <w:rPr>
      <w:rFonts w:asciiTheme="minorHAnsi" w:eastAsiaTheme="minorHAnsi" w:hAnsiTheme="minorHAnsi" w:cstheme="minorBidi"/>
      <w:sz w:val="22"/>
      <w:szCs w:val="22"/>
      <w:lang w:val="en-US" w:eastAsia="en-US"/>
    </w:rPr>
  </w:style>
  <w:style w:type="character" w:styleId="Mention">
    <w:name w:val="Mention"/>
    <w:basedOn w:val="DefaultParagraphFont"/>
    <w:uiPriority w:val="99"/>
    <w:unhideWhenUsed/>
    <w:rsid w:val="006B3B9F"/>
    <w:rPr>
      <w:color w:val="2B579A"/>
      <w:shd w:val="clear" w:color="auto" w:fill="E1DFDD"/>
    </w:rPr>
  </w:style>
  <w:style w:type="character" w:customStyle="1" w:styleId="HeaderChar">
    <w:name w:val="Header Char"/>
    <w:basedOn w:val="DefaultParagraphFont"/>
    <w:link w:val="Header"/>
    <w:rsid w:val="00A37DC3"/>
    <w:rPr>
      <w:b/>
      <w:sz w:val="18"/>
    </w:rPr>
  </w:style>
  <w:style w:type="character" w:customStyle="1" w:styleId="FooterChar">
    <w:name w:val="Footer Char"/>
    <w:basedOn w:val="DefaultParagraphFont"/>
    <w:link w:val="Footer"/>
    <w:uiPriority w:val="99"/>
    <w:rsid w:val="00A37DC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828">
      <w:bodyDiv w:val="1"/>
      <w:marLeft w:val="0"/>
      <w:marRight w:val="0"/>
      <w:marTop w:val="0"/>
      <w:marBottom w:val="0"/>
      <w:divBdr>
        <w:top w:val="none" w:sz="0" w:space="0" w:color="auto"/>
        <w:left w:val="none" w:sz="0" w:space="0" w:color="auto"/>
        <w:bottom w:val="none" w:sz="0" w:space="0" w:color="auto"/>
        <w:right w:val="none" w:sz="0" w:space="0" w:color="auto"/>
      </w:divBdr>
    </w:div>
    <w:div w:id="58871253">
      <w:bodyDiv w:val="1"/>
      <w:marLeft w:val="0"/>
      <w:marRight w:val="0"/>
      <w:marTop w:val="0"/>
      <w:marBottom w:val="0"/>
      <w:divBdr>
        <w:top w:val="none" w:sz="0" w:space="0" w:color="auto"/>
        <w:left w:val="none" w:sz="0" w:space="0" w:color="auto"/>
        <w:bottom w:val="none" w:sz="0" w:space="0" w:color="auto"/>
        <w:right w:val="none" w:sz="0" w:space="0" w:color="auto"/>
      </w:divBdr>
    </w:div>
    <w:div w:id="68624487">
      <w:bodyDiv w:val="1"/>
      <w:marLeft w:val="0"/>
      <w:marRight w:val="0"/>
      <w:marTop w:val="0"/>
      <w:marBottom w:val="0"/>
      <w:divBdr>
        <w:top w:val="none" w:sz="0" w:space="0" w:color="auto"/>
        <w:left w:val="none" w:sz="0" w:space="0" w:color="auto"/>
        <w:bottom w:val="none" w:sz="0" w:space="0" w:color="auto"/>
        <w:right w:val="none" w:sz="0" w:space="0" w:color="auto"/>
      </w:divBdr>
    </w:div>
    <w:div w:id="90321125">
      <w:bodyDiv w:val="1"/>
      <w:marLeft w:val="0"/>
      <w:marRight w:val="0"/>
      <w:marTop w:val="0"/>
      <w:marBottom w:val="0"/>
      <w:divBdr>
        <w:top w:val="none" w:sz="0" w:space="0" w:color="auto"/>
        <w:left w:val="none" w:sz="0" w:space="0" w:color="auto"/>
        <w:bottom w:val="none" w:sz="0" w:space="0" w:color="auto"/>
        <w:right w:val="none" w:sz="0" w:space="0" w:color="auto"/>
      </w:divBdr>
    </w:div>
    <w:div w:id="97916344">
      <w:bodyDiv w:val="1"/>
      <w:marLeft w:val="0"/>
      <w:marRight w:val="0"/>
      <w:marTop w:val="0"/>
      <w:marBottom w:val="0"/>
      <w:divBdr>
        <w:top w:val="none" w:sz="0" w:space="0" w:color="auto"/>
        <w:left w:val="none" w:sz="0" w:space="0" w:color="auto"/>
        <w:bottom w:val="none" w:sz="0" w:space="0" w:color="auto"/>
        <w:right w:val="none" w:sz="0" w:space="0" w:color="auto"/>
      </w:divBdr>
    </w:div>
    <w:div w:id="109400267">
      <w:bodyDiv w:val="1"/>
      <w:marLeft w:val="0"/>
      <w:marRight w:val="0"/>
      <w:marTop w:val="0"/>
      <w:marBottom w:val="0"/>
      <w:divBdr>
        <w:top w:val="none" w:sz="0" w:space="0" w:color="auto"/>
        <w:left w:val="none" w:sz="0" w:space="0" w:color="auto"/>
        <w:bottom w:val="none" w:sz="0" w:space="0" w:color="auto"/>
        <w:right w:val="none" w:sz="0" w:space="0" w:color="auto"/>
      </w:divBdr>
    </w:div>
    <w:div w:id="145586585">
      <w:bodyDiv w:val="1"/>
      <w:marLeft w:val="0"/>
      <w:marRight w:val="0"/>
      <w:marTop w:val="0"/>
      <w:marBottom w:val="0"/>
      <w:divBdr>
        <w:top w:val="none" w:sz="0" w:space="0" w:color="auto"/>
        <w:left w:val="none" w:sz="0" w:space="0" w:color="auto"/>
        <w:bottom w:val="none" w:sz="0" w:space="0" w:color="auto"/>
        <w:right w:val="none" w:sz="0" w:space="0" w:color="auto"/>
      </w:divBdr>
    </w:div>
    <w:div w:id="157312234">
      <w:bodyDiv w:val="1"/>
      <w:marLeft w:val="0"/>
      <w:marRight w:val="0"/>
      <w:marTop w:val="0"/>
      <w:marBottom w:val="0"/>
      <w:divBdr>
        <w:top w:val="none" w:sz="0" w:space="0" w:color="auto"/>
        <w:left w:val="none" w:sz="0" w:space="0" w:color="auto"/>
        <w:bottom w:val="none" w:sz="0" w:space="0" w:color="auto"/>
        <w:right w:val="none" w:sz="0" w:space="0" w:color="auto"/>
      </w:divBdr>
    </w:div>
    <w:div w:id="160394266">
      <w:bodyDiv w:val="1"/>
      <w:marLeft w:val="0"/>
      <w:marRight w:val="0"/>
      <w:marTop w:val="0"/>
      <w:marBottom w:val="0"/>
      <w:divBdr>
        <w:top w:val="none" w:sz="0" w:space="0" w:color="auto"/>
        <w:left w:val="none" w:sz="0" w:space="0" w:color="auto"/>
        <w:bottom w:val="none" w:sz="0" w:space="0" w:color="auto"/>
        <w:right w:val="none" w:sz="0" w:space="0" w:color="auto"/>
      </w:divBdr>
    </w:div>
    <w:div w:id="205219709">
      <w:bodyDiv w:val="1"/>
      <w:marLeft w:val="0"/>
      <w:marRight w:val="0"/>
      <w:marTop w:val="0"/>
      <w:marBottom w:val="0"/>
      <w:divBdr>
        <w:top w:val="none" w:sz="0" w:space="0" w:color="auto"/>
        <w:left w:val="none" w:sz="0" w:space="0" w:color="auto"/>
        <w:bottom w:val="none" w:sz="0" w:space="0" w:color="auto"/>
        <w:right w:val="none" w:sz="0" w:space="0" w:color="auto"/>
      </w:divBdr>
    </w:div>
    <w:div w:id="287513469">
      <w:bodyDiv w:val="1"/>
      <w:marLeft w:val="0"/>
      <w:marRight w:val="0"/>
      <w:marTop w:val="0"/>
      <w:marBottom w:val="0"/>
      <w:divBdr>
        <w:top w:val="none" w:sz="0" w:space="0" w:color="auto"/>
        <w:left w:val="none" w:sz="0" w:space="0" w:color="auto"/>
        <w:bottom w:val="none" w:sz="0" w:space="0" w:color="auto"/>
        <w:right w:val="none" w:sz="0" w:space="0" w:color="auto"/>
      </w:divBdr>
    </w:div>
    <w:div w:id="407921878">
      <w:bodyDiv w:val="1"/>
      <w:marLeft w:val="0"/>
      <w:marRight w:val="0"/>
      <w:marTop w:val="0"/>
      <w:marBottom w:val="0"/>
      <w:divBdr>
        <w:top w:val="none" w:sz="0" w:space="0" w:color="auto"/>
        <w:left w:val="none" w:sz="0" w:space="0" w:color="auto"/>
        <w:bottom w:val="none" w:sz="0" w:space="0" w:color="auto"/>
        <w:right w:val="none" w:sz="0" w:space="0" w:color="auto"/>
      </w:divBdr>
    </w:div>
    <w:div w:id="411119487">
      <w:bodyDiv w:val="1"/>
      <w:marLeft w:val="0"/>
      <w:marRight w:val="0"/>
      <w:marTop w:val="0"/>
      <w:marBottom w:val="0"/>
      <w:divBdr>
        <w:top w:val="none" w:sz="0" w:space="0" w:color="auto"/>
        <w:left w:val="none" w:sz="0" w:space="0" w:color="auto"/>
        <w:bottom w:val="none" w:sz="0" w:space="0" w:color="auto"/>
        <w:right w:val="none" w:sz="0" w:space="0" w:color="auto"/>
      </w:divBdr>
    </w:div>
    <w:div w:id="434905152">
      <w:bodyDiv w:val="1"/>
      <w:marLeft w:val="0"/>
      <w:marRight w:val="0"/>
      <w:marTop w:val="0"/>
      <w:marBottom w:val="0"/>
      <w:divBdr>
        <w:top w:val="none" w:sz="0" w:space="0" w:color="auto"/>
        <w:left w:val="none" w:sz="0" w:space="0" w:color="auto"/>
        <w:bottom w:val="none" w:sz="0" w:space="0" w:color="auto"/>
        <w:right w:val="none" w:sz="0" w:space="0" w:color="auto"/>
      </w:divBdr>
    </w:div>
    <w:div w:id="476411721">
      <w:bodyDiv w:val="1"/>
      <w:marLeft w:val="0"/>
      <w:marRight w:val="0"/>
      <w:marTop w:val="0"/>
      <w:marBottom w:val="0"/>
      <w:divBdr>
        <w:top w:val="none" w:sz="0" w:space="0" w:color="auto"/>
        <w:left w:val="none" w:sz="0" w:space="0" w:color="auto"/>
        <w:bottom w:val="none" w:sz="0" w:space="0" w:color="auto"/>
        <w:right w:val="none" w:sz="0" w:space="0" w:color="auto"/>
      </w:divBdr>
    </w:div>
    <w:div w:id="530922124">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827787102">
      <w:bodyDiv w:val="1"/>
      <w:marLeft w:val="0"/>
      <w:marRight w:val="0"/>
      <w:marTop w:val="0"/>
      <w:marBottom w:val="0"/>
      <w:divBdr>
        <w:top w:val="none" w:sz="0" w:space="0" w:color="auto"/>
        <w:left w:val="none" w:sz="0" w:space="0" w:color="auto"/>
        <w:bottom w:val="none" w:sz="0" w:space="0" w:color="auto"/>
        <w:right w:val="none" w:sz="0" w:space="0" w:color="auto"/>
      </w:divBdr>
    </w:div>
    <w:div w:id="991835541">
      <w:bodyDiv w:val="1"/>
      <w:marLeft w:val="0"/>
      <w:marRight w:val="0"/>
      <w:marTop w:val="0"/>
      <w:marBottom w:val="0"/>
      <w:divBdr>
        <w:top w:val="none" w:sz="0" w:space="0" w:color="auto"/>
        <w:left w:val="none" w:sz="0" w:space="0" w:color="auto"/>
        <w:bottom w:val="none" w:sz="0" w:space="0" w:color="auto"/>
        <w:right w:val="none" w:sz="0" w:space="0" w:color="auto"/>
      </w:divBdr>
    </w:div>
    <w:div w:id="1041512648">
      <w:bodyDiv w:val="1"/>
      <w:marLeft w:val="0"/>
      <w:marRight w:val="0"/>
      <w:marTop w:val="0"/>
      <w:marBottom w:val="0"/>
      <w:divBdr>
        <w:top w:val="none" w:sz="0" w:space="0" w:color="auto"/>
        <w:left w:val="none" w:sz="0" w:space="0" w:color="auto"/>
        <w:bottom w:val="none" w:sz="0" w:space="0" w:color="auto"/>
        <w:right w:val="none" w:sz="0" w:space="0" w:color="auto"/>
      </w:divBdr>
    </w:div>
    <w:div w:id="1171022693">
      <w:bodyDiv w:val="1"/>
      <w:marLeft w:val="0"/>
      <w:marRight w:val="0"/>
      <w:marTop w:val="0"/>
      <w:marBottom w:val="0"/>
      <w:divBdr>
        <w:top w:val="none" w:sz="0" w:space="0" w:color="auto"/>
        <w:left w:val="none" w:sz="0" w:space="0" w:color="auto"/>
        <w:bottom w:val="none" w:sz="0" w:space="0" w:color="auto"/>
        <w:right w:val="none" w:sz="0" w:space="0" w:color="auto"/>
      </w:divBdr>
    </w:div>
    <w:div w:id="1258824858">
      <w:bodyDiv w:val="1"/>
      <w:marLeft w:val="0"/>
      <w:marRight w:val="0"/>
      <w:marTop w:val="0"/>
      <w:marBottom w:val="0"/>
      <w:divBdr>
        <w:top w:val="none" w:sz="0" w:space="0" w:color="auto"/>
        <w:left w:val="none" w:sz="0" w:space="0" w:color="auto"/>
        <w:bottom w:val="none" w:sz="0" w:space="0" w:color="auto"/>
        <w:right w:val="none" w:sz="0" w:space="0" w:color="auto"/>
      </w:divBdr>
    </w:div>
    <w:div w:id="1375737307">
      <w:bodyDiv w:val="1"/>
      <w:marLeft w:val="0"/>
      <w:marRight w:val="0"/>
      <w:marTop w:val="0"/>
      <w:marBottom w:val="0"/>
      <w:divBdr>
        <w:top w:val="none" w:sz="0" w:space="0" w:color="auto"/>
        <w:left w:val="none" w:sz="0" w:space="0" w:color="auto"/>
        <w:bottom w:val="none" w:sz="0" w:space="0" w:color="auto"/>
        <w:right w:val="none" w:sz="0" w:space="0" w:color="auto"/>
      </w:divBdr>
    </w:div>
    <w:div w:id="1419401970">
      <w:bodyDiv w:val="1"/>
      <w:marLeft w:val="0"/>
      <w:marRight w:val="0"/>
      <w:marTop w:val="0"/>
      <w:marBottom w:val="0"/>
      <w:divBdr>
        <w:top w:val="none" w:sz="0" w:space="0" w:color="auto"/>
        <w:left w:val="none" w:sz="0" w:space="0" w:color="auto"/>
        <w:bottom w:val="none" w:sz="0" w:space="0" w:color="auto"/>
        <w:right w:val="none" w:sz="0" w:space="0" w:color="auto"/>
      </w:divBdr>
    </w:div>
    <w:div w:id="1431705302">
      <w:bodyDiv w:val="1"/>
      <w:marLeft w:val="0"/>
      <w:marRight w:val="0"/>
      <w:marTop w:val="0"/>
      <w:marBottom w:val="0"/>
      <w:divBdr>
        <w:top w:val="none" w:sz="0" w:space="0" w:color="auto"/>
        <w:left w:val="none" w:sz="0" w:space="0" w:color="auto"/>
        <w:bottom w:val="none" w:sz="0" w:space="0" w:color="auto"/>
        <w:right w:val="none" w:sz="0" w:space="0" w:color="auto"/>
      </w:divBdr>
    </w:div>
    <w:div w:id="1442259990">
      <w:bodyDiv w:val="1"/>
      <w:marLeft w:val="0"/>
      <w:marRight w:val="0"/>
      <w:marTop w:val="0"/>
      <w:marBottom w:val="0"/>
      <w:divBdr>
        <w:top w:val="none" w:sz="0" w:space="0" w:color="auto"/>
        <w:left w:val="none" w:sz="0" w:space="0" w:color="auto"/>
        <w:bottom w:val="none" w:sz="0" w:space="0" w:color="auto"/>
        <w:right w:val="none" w:sz="0" w:space="0" w:color="auto"/>
      </w:divBdr>
    </w:div>
    <w:div w:id="1485391386">
      <w:bodyDiv w:val="1"/>
      <w:marLeft w:val="0"/>
      <w:marRight w:val="0"/>
      <w:marTop w:val="0"/>
      <w:marBottom w:val="0"/>
      <w:divBdr>
        <w:top w:val="none" w:sz="0" w:space="0" w:color="auto"/>
        <w:left w:val="none" w:sz="0" w:space="0" w:color="auto"/>
        <w:bottom w:val="none" w:sz="0" w:space="0" w:color="auto"/>
        <w:right w:val="none" w:sz="0" w:space="0" w:color="auto"/>
      </w:divBdr>
    </w:div>
    <w:div w:id="1611740568">
      <w:bodyDiv w:val="1"/>
      <w:marLeft w:val="0"/>
      <w:marRight w:val="0"/>
      <w:marTop w:val="0"/>
      <w:marBottom w:val="0"/>
      <w:divBdr>
        <w:top w:val="none" w:sz="0" w:space="0" w:color="auto"/>
        <w:left w:val="none" w:sz="0" w:space="0" w:color="auto"/>
        <w:bottom w:val="none" w:sz="0" w:space="0" w:color="auto"/>
        <w:right w:val="none" w:sz="0" w:space="0" w:color="auto"/>
      </w:divBdr>
    </w:div>
    <w:div w:id="1623028692">
      <w:bodyDiv w:val="1"/>
      <w:marLeft w:val="0"/>
      <w:marRight w:val="0"/>
      <w:marTop w:val="0"/>
      <w:marBottom w:val="0"/>
      <w:divBdr>
        <w:top w:val="none" w:sz="0" w:space="0" w:color="auto"/>
        <w:left w:val="none" w:sz="0" w:space="0" w:color="auto"/>
        <w:bottom w:val="none" w:sz="0" w:space="0" w:color="auto"/>
        <w:right w:val="none" w:sz="0" w:space="0" w:color="auto"/>
      </w:divBdr>
    </w:div>
    <w:div w:id="1623270640">
      <w:bodyDiv w:val="1"/>
      <w:marLeft w:val="0"/>
      <w:marRight w:val="0"/>
      <w:marTop w:val="0"/>
      <w:marBottom w:val="0"/>
      <w:divBdr>
        <w:top w:val="none" w:sz="0" w:space="0" w:color="auto"/>
        <w:left w:val="none" w:sz="0" w:space="0" w:color="auto"/>
        <w:bottom w:val="none" w:sz="0" w:space="0" w:color="auto"/>
        <w:right w:val="none" w:sz="0" w:space="0" w:color="auto"/>
      </w:divBdr>
    </w:div>
    <w:div w:id="1647005769">
      <w:bodyDiv w:val="1"/>
      <w:marLeft w:val="0"/>
      <w:marRight w:val="0"/>
      <w:marTop w:val="0"/>
      <w:marBottom w:val="0"/>
      <w:divBdr>
        <w:top w:val="none" w:sz="0" w:space="0" w:color="auto"/>
        <w:left w:val="none" w:sz="0" w:space="0" w:color="auto"/>
        <w:bottom w:val="none" w:sz="0" w:space="0" w:color="auto"/>
        <w:right w:val="none" w:sz="0" w:space="0" w:color="auto"/>
      </w:divBdr>
    </w:div>
    <w:div w:id="1715347617">
      <w:bodyDiv w:val="1"/>
      <w:marLeft w:val="0"/>
      <w:marRight w:val="0"/>
      <w:marTop w:val="0"/>
      <w:marBottom w:val="0"/>
      <w:divBdr>
        <w:top w:val="none" w:sz="0" w:space="0" w:color="auto"/>
        <w:left w:val="none" w:sz="0" w:space="0" w:color="auto"/>
        <w:bottom w:val="none" w:sz="0" w:space="0" w:color="auto"/>
        <w:right w:val="none" w:sz="0" w:space="0" w:color="auto"/>
      </w:divBdr>
    </w:div>
    <w:div w:id="1716660032">
      <w:bodyDiv w:val="1"/>
      <w:marLeft w:val="0"/>
      <w:marRight w:val="0"/>
      <w:marTop w:val="0"/>
      <w:marBottom w:val="0"/>
      <w:divBdr>
        <w:top w:val="none" w:sz="0" w:space="0" w:color="auto"/>
        <w:left w:val="none" w:sz="0" w:space="0" w:color="auto"/>
        <w:bottom w:val="none" w:sz="0" w:space="0" w:color="auto"/>
        <w:right w:val="none" w:sz="0" w:space="0" w:color="auto"/>
      </w:divBdr>
    </w:div>
    <w:div w:id="1739013858">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08632694">
      <w:bodyDiv w:val="1"/>
      <w:marLeft w:val="0"/>
      <w:marRight w:val="0"/>
      <w:marTop w:val="0"/>
      <w:marBottom w:val="0"/>
      <w:divBdr>
        <w:top w:val="none" w:sz="0" w:space="0" w:color="auto"/>
        <w:left w:val="none" w:sz="0" w:space="0" w:color="auto"/>
        <w:bottom w:val="none" w:sz="0" w:space="0" w:color="auto"/>
        <w:right w:val="none" w:sz="0" w:space="0" w:color="auto"/>
      </w:divBdr>
    </w:div>
    <w:div w:id="2023319455">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 w:id="20580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physical-activity-applying-all-our-health" TargetMode="External"/><Relationship Id="rId18" Type="http://schemas.openxmlformats.org/officeDocument/2006/relationships/hyperlink" Target="https://www.gov.uk/government/publications/child-sexual-exploitation-definition-and-guide-for-practition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domestic-abuse-act-2021" TargetMode="External"/><Relationship Id="rId7" Type="http://schemas.openxmlformats.org/officeDocument/2006/relationships/endnotes" Target="endnotes.xml"/><Relationship Id="rId12" Type="http://schemas.openxmlformats.org/officeDocument/2006/relationships/hyperlink" Target="https://www.makingeverycontactcount.co.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lfh.org.uk/programmes/adolescent-health/" TargetMode="External"/><Relationship Id="rId20" Type="http://schemas.openxmlformats.org/officeDocument/2006/relationships/hyperlink" Target="https://www.gov.uk/government/publications/preventing-serious-violence-a-multi-agency-appro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h.org.uk/programmes/adolescent-health/" TargetMode="External"/><Relationship Id="rId24" Type="http://schemas.openxmlformats.org/officeDocument/2006/relationships/hyperlink" Target="https://www.nice.org.uk/guidance/ng43" TargetMode="External"/><Relationship Id="rId5" Type="http://schemas.openxmlformats.org/officeDocument/2006/relationships/webSettings" Target="webSettings.xml"/><Relationship Id="rId15" Type="http://schemas.openxmlformats.org/officeDocument/2006/relationships/hyperlink" Target="https://www.nice.org.uk/guidance/cg51" TargetMode="External"/><Relationship Id="rId23" Type="http://schemas.openxmlformats.org/officeDocument/2006/relationships/hyperlink" Target="https://www.gov.uk/government/publications/criminal-exploitation-of-children-and-vulnerable-adults-county-lines" TargetMode="External"/><Relationship Id="rId10" Type="http://schemas.openxmlformats.org/officeDocument/2006/relationships/hyperlink" Target="https://www.england.nhs.uk/fft/" TargetMode="External"/><Relationship Id="rId19" Type="http://schemas.openxmlformats.org/officeDocument/2006/relationships/hyperlink" Target="https://www.gov.uk/government/publications/multi-agency-statutory-guidance-on-female-genital-mutil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healthier-weight-promotion-consistent-messaging" TargetMode="External"/><Relationship Id="rId22" Type="http://schemas.openxmlformats.org/officeDocument/2006/relationships/hyperlink" Target="https://www.gov.uk/government/publications/tackling-child-sexual-abuse-strateg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5C76-DF12-49F6-A51A-F0FA946F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4101</Words>
  <Characters>26198</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2023-06-14T09:05:00Z</dcterms:created>
  <dcterms:modified xsi:type="dcterms:W3CDTF">2023-06-19T14:11:00Z</dcterms:modified>
</cp:coreProperties>
</file>