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1EC9F" w14:textId="54661BDC" w:rsidR="00BD09CD" w:rsidRDefault="004B5847">
      <w:r>
        <w:rPr>
          <w:noProof/>
        </w:rPr>
        <w:drawing>
          <wp:inline distT="0" distB="0" distL="0" distR="0" wp14:anchorId="55196C2B" wp14:editId="3CF3147F">
            <wp:extent cx="3422650" cy="3619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758F7849" w14:textId="77777777" w:rsidR="0004625F" w:rsidRDefault="0004625F" w:rsidP="00B32324">
      <w:pPr>
        <w:spacing w:after="60"/>
      </w:pPr>
    </w:p>
    <w:p w14:paraId="1C067146"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74DBC317" w14:textId="77777777" w:rsidTr="006062E5">
        <w:trPr>
          <w:cantSplit/>
          <w:trHeight w:val="659"/>
        </w:trPr>
        <w:tc>
          <w:tcPr>
            <w:tcW w:w="9356" w:type="dxa"/>
            <w:shd w:val="clear" w:color="auto" w:fill="auto"/>
          </w:tcPr>
          <w:p w14:paraId="3E343B82" w14:textId="77777777" w:rsidR="0004625F" w:rsidRPr="006062E5" w:rsidRDefault="006062E5"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A3DAAB7" w14:textId="77777777" w:rsidTr="006062E5">
        <w:trPr>
          <w:cantSplit/>
          <w:trHeight w:val="425"/>
        </w:trPr>
        <w:tc>
          <w:tcPr>
            <w:tcW w:w="9356" w:type="dxa"/>
            <w:shd w:val="clear" w:color="auto" w:fill="auto"/>
            <w:vAlign w:val="center"/>
          </w:tcPr>
          <w:p w14:paraId="2DD83388" w14:textId="74553820" w:rsidR="0004625F" w:rsidRPr="006062E5" w:rsidRDefault="006062E5" w:rsidP="00AB7672">
            <w:pPr>
              <w:spacing w:before="60"/>
              <w:ind w:left="-108" w:right="34"/>
              <w:rPr>
                <w:color w:val="000000"/>
                <w:szCs w:val="22"/>
              </w:rPr>
            </w:pPr>
            <w:r>
              <w:rPr>
                <w:color w:val="000000"/>
                <w:szCs w:val="22"/>
              </w:rPr>
              <w:t xml:space="preserve">Site visit made on </w:t>
            </w:r>
            <w:r w:rsidR="00E86D1F">
              <w:rPr>
                <w:color w:val="000000"/>
                <w:szCs w:val="22"/>
              </w:rPr>
              <w:t>29 November 2022</w:t>
            </w:r>
          </w:p>
        </w:tc>
      </w:tr>
      <w:tr w:rsidR="0004625F" w:rsidRPr="00361890" w14:paraId="2E5DB1AC" w14:textId="77777777" w:rsidTr="006062E5">
        <w:trPr>
          <w:cantSplit/>
          <w:trHeight w:val="374"/>
        </w:trPr>
        <w:tc>
          <w:tcPr>
            <w:tcW w:w="9356" w:type="dxa"/>
            <w:shd w:val="clear" w:color="auto" w:fill="auto"/>
          </w:tcPr>
          <w:p w14:paraId="0ACB252C" w14:textId="77777777" w:rsidR="0004625F" w:rsidRPr="006062E5" w:rsidRDefault="006062E5" w:rsidP="006062E5">
            <w:pPr>
              <w:spacing w:before="180"/>
              <w:ind w:left="-108" w:right="34"/>
              <w:rPr>
                <w:b/>
                <w:color w:val="000000"/>
                <w:sz w:val="16"/>
                <w:szCs w:val="22"/>
              </w:rPr>
            </w:pPr>
            <w:r>
              <w:rPr>
                <w:b/>
                <w:color w:val="000000"/>
                <w:szCs w:val="22"/>
              </w:rPr>
              <w:t>by Barney Grimshaw  BA DPA MRTPI(Rtd)</w:t>
            </w:r>
          </w:p>
        </w:tc>
      </w:tr>
      <w:tr w:rsidR="0004625F" w:rsidRPr="00361890" w14:paraId="53FF1344" w14:textId="77777777" w:rsidTr="006062E5">
        <w:trPr>
          <w:cantSplit/>
          <w:trHeight w:val="357"/>
        </w:trPr>
        <w:tc>
          <w:tcPr>
            <w:tcW w:w="9356" w:type="dxa"/>
            <w:shd w:val="clear" w:color="auto" w:fill="auto"/>
          </w:tcPr>
          <w:p w14:paraId="5B75DF29" w14:textId="77777777" w:rsidR="0004625F" w:rsidRPr="006062E5" w:rsidRDefault="006062E5"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50F57FE6" w14:textId="77777777" w:rsidTr="006062E5">
        <w:trPr>
          <w:cantSplit/>
          <w:trHeight w:val="335"/>
        </w:trPr>
        <w:tc>
          <w:tcPr>
            <w:tcW w:w="9356" w:type="dxa"/>
            <w:shd w:val="clear" w:color="auto" w:fill="auto"/>
          </w:tcPr>
          <w:p w14:paraId="7B92FCB4" w14:textId="54A7553A"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4B5847">
              <w:rPr>
                <w:b/>
                <w:color w:val="000000"/>
                <w:sz w:val="16"/>
                <w:szCs w:val="16"/>
              </w:rPr>
              <w:t xml:space="preserve"> 18 April 2023</w:t>
            </w:r>
          </w:p>
        </w:tc>
      </w:tr>
    </w:tbl>
    <w:p w14:paraId="753873CB" w14:textId="77777777" w:rsidR="0004625F" w:rsidRDefault="0004625F"/>
    <w:tbl>
      <w:tblPr>
        <w:tblW w:w="0" w:type="auto"/>
        <w:tblLayout w:type="fixed"/>
        <w:tblLook w:val="0000" w:firstRow="0" w:lastRow="0" w:firstColumn="0" w:lastColumn="0" w:noHBand="0" w:noVBand="0"/>
      </w:tblPr>
      <w:tblGrid>
        <w:gridCol w:w="9520"/>
      </w:tblGrid>
      <w:tr w:rsidR="00E050A6" w:rsidRPr="00D23A94" w14:paraId="5D2C2B67" w14:textId="77777777" w:rsidTr="004A18F7">
        <w:tc>
          <w:tcPr>
            <w:tcW w:w="9520" w:type="dxa"/>
            <w:shd w:val="clear" w:color="auto" w:fill="auto"/>
          </w:tcPr>
          <w:p w14:paraId="11BF1967" w14:textId="62C66855" w:rsidR="00E050A6" w:rsidRDefault="00E050A6" w:rsidP="00527382">
            <w:pPr>
              <w:rPr>
                <w:b/>
                <w:color w:val="000000"/>
              </w:rPr>
            </w:pPr>
            <w:r>
              <w:rPr>
                <w:b/>
                <w:color w:val="000000"/>
              </w:rPr>
              <w:t xml:space="preserve">Application Ref: </w:t>
            </w:r>
            <w:r w:rsidR="0007269D">
              <w:rPr>
                <w:b/>
                <w:color w:val="000000"/>
              </w:rPr>
              <w:t>COM/</w:t>
            </w:r>
            <w:r w:rsidR="00CC7091">
              <w:rPr>
                <w:b/>
                <w:color w:val="000000"/>
              </w:rPr>
              <w:t>3303863</w:t>
            </w:r>
          </w:p>
          <w:p w14:paraId="4C18A7B1" w14:textId="5AE69758" w:rsidR="00E050A6" w:rsidRPr="00067AFA" w:rsidRDefault="00527382" w:rsidP="00067AFA">
            <w:pPr>
              <w:rPr>
                <w:b/>
                <w:color w:val="000000"/>
              </w:rPr>
            </w:pPr>
            <w:r>
              <w:rPr>
                <w:sz w:val="20"/>
              </w:rPr>
              <w:t xml:space="preserve">Register Unit: </w:t>
            </w:r>
            <w:r w:rsidR="00F30F33">
              <w:rPr>
                <w:sz w:val="20"/>
              </w:rPr>
              <w:t>VG 18</w:t>
            </w:r>
          </w:p>
          <w:p w14:paraId="68E61122" w14:textId="027D8E27" w:rsidR="00E050A6" w:rsidRPr="00D23A94" w:rsidRDefault="00E050A6" w:rsidP="00AB7672">
            <w:pPr>
              <w:spacing w:after="60"/>
              <w:rPr>
                <w:b/>
                <w:color w:val="000000"/>
                <w:sz w:val="20"/>
              </w:rPr>
            </w:pPr>
            <w:r>
              <w:rPr>
                <w:sz w:val="20"/>
              </w:rPr>
              <w:t xml:space="preserve">Registration Authority: </w:t>
            </w:r>
            <w:r w:rsidR="00695B6D">
              <w:rPr>
                <w:sz w:val="20"/>
              </w:rPr>
              <w:t>Northumberland County Council</w:t>
            </w:r>
          </w:p>
        </w:tc>
      </w:tr>
      <w:tr w:rsidR="00E050A6" w:rsidRPr="00D23A94" w14:paraId="01E4A387" w14:textId="77777777" w:rsidTr="004A18F7">
        <w:tc>
          <w:tcPr>
            <w:tcW w:w="9520" w:type="dxa"/>
            <w:shd w:val="clear" w:color="auto" w:fill="auto"/>
          </w:tcPr>
          <w:p w14:paraId="0289F766" w14:textId="22CBC5B4" w:rsidR="00E050A6" w:rsidRPr="00D23A94" w:rsidRDefault="00E050A6" w:rsidP="00AB7672">
            <w:pPr>
              <w:pStyle w:val="TBullet"/>
            </w:pPr>
            <w:r>
              <w:t>The application, dated</w:t>
            </w:r>
            <w:r w:rsidR="00C55B12">
              <w:t xml:space="preserve"> 25 July 2022</w:t>
            </w:r>
            <w:r>
              <w:t>, is made under Section 16 of the Commons Act 2006 (“the 2006 Act”) to deregister common land</w:t>
            </w:r>
            <w:r w:rsidR="00A6353E">
              <w:t xml:space="preserve"> or village green</w:t>
            </w:r>
            <w:r>
              <w:t>.</w:t>
            </w:r>
          </w:p>
        </w:tc>
      </w:tr>
      <w:tr w:rsidR="00E050A6" w:rsidRPr="00D23A94" w14:paraId="40EFB4D9" w14:textId="77777777" w:rsidTr="004A18F7">
        <w:tc>
          <w:tcPr>
            <w:tcW w:w="9520" w:type="dxa"/>
            <w:shd w:val="clear" w:color="auto" w:fill="auto"/>
          </w:tcPr>
          <w:p w14:paraId="3B62309C" w14:textId="68C6657B" w:rsidR="00E050A6" w:rsidRPr="00D23A94" w:rsidRDefault="00E050A6" w:rsidP="00AB7672">
            <w:pPr>
              <w:pStyle w:val="TBullet"/>
            </w:pPr>
            <w:r>
              <w:t xml:space="preserve">The application is </w:t>
            </w:r>
            <w:r w:rsidRPr="00D23A94">
              <w:t xml:space="preserve">made </w:t>
            </w:r>
            <w:r w:rsidR="007219C5">
              <w:t>on behalf of Longhorsley Parish Council</w:t>
            </w:r>
            <w:r>
              <w:t>.</w:t>
            </w:r>
          </w:p>
        </w:tc>
      </w:tr>
      <w:tr w:rsidR="00E050A6" w:rsidRPr="00D23A94" w14:paraId="1524F513" w14:textId="77777777" w:rsidTr="004A18F7">
        <w:tc>
          <w:tcPr>
            <w:tcW w:w="9520" w:type="dxa"/>
            <w:shd w:val="clear" w:color="auto" w:fill="auto"/>
          </w:tcPr>
          <w:p w14:paraId="46F9B569" w14:textId="2190F626" w:rsidR="00E050A6" w:rsidRDefault="00E050A6" w:rsidP="004A18F7">
            <w:pPr>
              <w:pStyle w:val="TBullet"/>
            </w:pPr>
            <w:r w:rsidRPr="00B13A79">
              <w:rPr>
                <w:b/>
              </w:rPr>
              <w:t>The release land</w:t>
            </w:r>
            <w:r>
              <w:t xml:space="preserve"> comprises</w:t>
            </w:r>
            <w:r w:rsidR="00AB7672">
              <w:t xml:space="preserve"> </w:t>
            </w:r>
            <w:r w:rsidR="00F172B5">
              <w:t>139</w:t>
            </w:r>
            <w:r w:rsidR="00AB7672">
              <w:t>m</w:t>
            </w:r>
            <w:r w:rsidR="00AB7672">
              <w:rPr>
                <w:vertAlign w:val="superscript"/>
              </w:rPr>
              <w:t>2</w:t>
            </w:r>
            <w:r w:rsidR="00AB7672">
              <w:t xml:space="preserve"> of land</w:t>
            </w:r>
            <w:r>
              <w:t>.</w:t>
            </w:r>
          </w:p>
          <w:p w14:paraId="504C2B46" w14:textId="77777777" w:rsidR="00AB7672" w:rsidRPr="00D23A94" w:rsidRDefault="00AB7672" w:rsidP="00AB7672">
            <w:pPr>
              <w:pStyle w:val="TBullet"/>
              <w:numPr>
                <w:ilvl w:val="0"/>
                <w:numId w:val="0"/>
              </w:numPr>
              <w:ind w:left="360"/>
            </w:pPr>
          </w:p>
        </w:tc>
      </w:tr>
    </w:tbl>
    <w:p w14:paraId="45DA88CF" w14:textId="77777777" w:rsidR="00E050A6" w:rsidRDefault="00E050A6"/>
    <w:p w14:paraId="6BBF3BCC" w14:textId="77777777" w:rsidR="00067AFA" w:rsidRPr="0094298D" w:rsidRDefault="00067AFA" w:rsidP="00067AFA">
      <w:pPr>
        <w:rPr>
          <w:rFonts w:ascii="Arial" w:hAnsi="Arial" w:cs="Arial"/>
          <w:sz w:val="24"/>
          <w:szCs w:val="24"/>
        </w:rPr>
      </w:pPr>
      <w:r w:rsidRPr="0094298D">
        <w:rPr>
          <w:rFonts w:ascii="Arial" w:hAnsi="Arial" w:cs="Arial"/>
          <w:b/>
          <w:sz w:val="24"/>
          <w:szCs w:val="24"/>
        </w:rPr>
        <w:t xml:space="preserve">Decision </w:t>
      </w:r>
    </w:p>
    <w:p w14:paraId="2265EFB5" w14:textId="25EE8A93" w:rsidR="00067AFA" w:rsidRPr="0094298D" w:rsidRDefault="00067AFA" w:rsidP="00067AFA">
      <w:pPr>
        <w:pStyle w:val="Style1"/>
        <w:rPr>
          <w:rFonts w:ascii="Arial" w:hAnsi="Arial" w:cs="Arial"/>
          <w:sz w:val="24"/>
          <w:szCs w:val="24"/>
        </w:rPr>
      </w:pPr>
      <w:r w:rsidRPr="0094298D">
        <w:rPr>
          <w:rFonts w:ascii="Arial" w:hAnsi="Arial" w:cs="Arial"/>
          <w:sz w:val="24"/>
          <w:szCs w:val="24"/>
        </w:rPr>
        <w:t>The application is granted in accordance with the terms of the application [Ref:</w:t>
      </w:r>
      <w:r w:rsidR="00CC4BB3" w:rsidRPr="0094298D">
        <w:rPr>
          <w:rFonts w:ascii="Arial" w:hAnsi="Arial" w:cs="Arial"/>
          <w:sz w:val="24"/>
          <w:szCs w:val="24"/>
        </w:rPr>
        <w:t xml:space="preserve"> COM</w:t>
      </w:r>
      <w:r w:rsidR="00B716E4" w:rsidRPr="0094298D">
        <w:rPr>
          <w:rFonts w:ascii="Arial" w:hAnsi="Arial" w:cs="Arial"/>
          <w:sz w:val="24"/>
          <w:szCs w:val="24"/>
        </w:rPr>
        <w:t>/3303863</w:t>
      </w:r>
      <w:r w:rsidRPr="0094298D">
        <w:rPr>
          <w:rFonts w:ascii="Arial" w:hAnsi="Arial" w:cs="Arial"/>
          <w:sz w:val="24"/>
          <w:szCs w:val="24"/>
        </w:rPr>
        <w:t>] dated</w:t>
      </w:r>
      <w:r w:rsidR="00B716E4" w:rsidRPr="0094298D">
        <w:rPr>
          <w:rFonts w:ascii="Arial" w:hAnsi="Arial" w:cs="Arial"/>
          <w:sz w:val="24"/>
          <w:szCs w:val="24"/>
        </w:rPr>
        <w:t xml:space="preserve"> </w:t>
      </w:r>
      <w:r w:rsidR="00CF6FB3" w:rsidRPr="0094298D">
        <w:rPr>
          <w:rFonts w:ascii="Arial" w:hAnsi="Arial" w:cs="Arial"/>
          <w:sz w:val="24"/>
          <w:szCs w:val="24"/>
        </w:rPr>
        <w:t>25 Jul</w:t>
      </w:r>
      <w:r w:rsidR="00A771FB" w:rsidRPr="0094298D">
        <w:rPr>
          <w:rFonts w:ascii="Arial" w:hAnsi="Arial" w:cs="Arial"/>
          <w:sz w:val="24"/>
          <w:szCs w:val="24"/>
        </w:rPr>
        <w:t>y 2022</w:t>
      </w:r>
      <w:r w:rsidRPr="0094298D">
        <w:rPr>
          <w:rFonts w:ascii="Arial" w:hAnsi="Arial" w:cs="Arial"/>
          <w:sz w:val="24"/>
          <w:szCs w:val="24"/>
        </w:rPr>
        <w:t>, and the plan submitted therewith.</w:t>
      </w:r>
    </w:p>
    <w:p w14:paraId="3BA9AA20" w14:textId="77777777" w:rsidR="00E050A6" w:rsidRPr="0094298D" w:rsidRDefault="00E050A6" w:rsidP="006062E5">
      <w:pPr>
        <w:pStyle w:val="Heading6blackfont"/>
        <w:rPr>
          <w:rFonts w:ascii="Arial" w:hAnsi="Arial" w:cs="Arial"/>
          <w:sz w:val="24"/>
          <w:szCs w:val="24"/>
        </w:rPr>
      </w:pPr>
      <w:r w:rsidRPr="0094298D">
        <w:rPr>
          <w:rFonts w:ascii="Arial" w:hAnsi="Arial" w:cs="Arial"/>
          <w:sz w:val="24"/>
          <w:szCs w:val="24"/>
        </w:rPr>
        <w:t>Preliminary Matters</w:t>
      </w:r>
    </w:p>
    <w:p w14:paraId="76F07061" w14:textId="3CBD661C" w:rsidR="00682BD2" w:rsidRPr="0094298D" w:rsidRDefault="00682BD2" w:rsidP="00682BD2">
      <w:pPr>
        <w:pStyle w:val="Style1"/>
        <w:rPr>
          <w:rFonts w:ascii="Arial" w:hAnsi="Arial" w:cs="Arial"/>
          <w:sz w:val="24"/>
          <w:szCs w:val="24"/>
        </w:rPr>
      </w:pPr>
      <w:r w:rsidRPr="0094298D">
        <w:rPr>
          <w:rFonts w:ascii="Arial" w:hAnsi="Arial" w:cs="Arial"/>
          <w:sz w:val="24"/>
          <w:szCs w:val="24"/>
        </w:rPr>
        <w:t>Section 16(1) of the 2006 Act provides, among other things, that the owner of any land registered as common land may apply for the land (“the release land”) to cease to be so registered</w:t>
      </w:r>
      <w:r w:rsidR="00835221" w:rsidRPr="0094298D">
        <w:rPr>
          <w:rFonts w:ascii="Arial" w:hAnsi="Arial" w:cs="Arial"/>
          <w:sz w:val="24"/>
          <w:szCs w:val="24"/>
        </w:rPr>
        <w:t xml:space="preserve">. </w:t>
      </w:r>
      <w:r w:rsidRPr="0094298D">
        <w:rPr>
          <w:rFonts w:ascii="Arial" w:hAnsi="Arial" w:cs="Arial"/>
          <w:sz w:val="24"/>
          <w:szCs w:val="24"/>
        </w:rPr>
        <w:t>If the area of the release land is greater than 200m² a proposal must be made to replace it with other land to be registered as common land (“the replacement land”).</w:t>
      </w:r>
    </w:p>
    <w:p w14:paraId="01142284" w14:textId="53B8A15A" w:rsidR="00682BD2" w:rsidRDefault="00682BD2" w:rsidP="00682BD2">
      <w:pPr>
        <w:pStyle w:val="Style1"/>
        <w:rPr>
          <w:rFonts w:ascii="Arial" w:hAnsi="Arial" w:cs="Arial"/>
          <w:sz w:val="24"/>
          <w:szCs w:val="24"/>
        </w:rPr>
      </w:pPr>
      <w:r w:rsidRPr="0094298D">
        <w:rPr>
          <w:rFonts w:ascii="Arial" w:hAnsi="Arial" w:cs="Arial"/>
          <w:sz w:val="24"/>
          <w:szCs w:val="24"/>
        </w:rPr>
        <w:t xml:space="preserve">I made an inspection of the site on </w:t>
      </w:r>
      <w:r w:rsidR="00A771FB" w:rsidRPr="0094298D">
        <w:rPr>
          <w:rFonts w:ascii="Arial" w:hAnsi="Arial" w:cs="Arial"/>
          <w:sz w:val="24"/>
          <w:szCs w:val="24"/>
        </w:rPr>
        <w:t>29</w:t>
      </w:r>
      <w:r w:rsidRPr="0094298D">
        <w:rPr>
          <w:rFonts w:ascii="Arial" w:hAnsi="Arial" w:cs="Arial"/>
          <w:sz w:val="24"/>
          <w:szCs w:val="24"/>
        </w:rPr>
        <w:t xml:space="preserve"> November 20</w:t>
      </w:r>
      <w:r w:rsidR="00A771FB" w:rsidRPr="0094298D">
        <w:rPr>
          <w:rFonts w:ascii="Arial" w:hAnsi="Arial" w:cs="Arial"/>
          <w:sz w:val="24"/>
          <w:szCs w:val="24"/>
        </w:rPr>
        <w:t>22</w:t>
      </w:r>
      <w:r w:rsidRPr="0094298D">
        <w:rPr>
          <w:rFonts w:ascii="Arial" w:hAnsi="Arial" w:cs="Arial"/>
          <w:sz w:val="24"/>
          <w:szCs w:val="24"/>
        </w:rPr>
        <w:t xml:space="preserve">. I was accompanied at the inspection by </w:t>
      </w:r>
      <w:r w:rsidR="00A771FB" w:rsidRPr="0094298D">
        <w:rPr>
          <w:rFonts w:ascii="Arial" w:hAnsi="Arial" w:cs="Arial"/>
          <w:sz w:val="24"/>
          <w:szCs w:val="24"/>
        </w:rPr>
        <w:t>representatives of the applicant</w:t>
      </w:r>
      <w:r w:rsidR="002E697C" w:rsidRPr="0094298D">
        <w:rPr>
          <w:rFonts w:ascii="Arial" w:hAnsi="Arial" w:cs="Arial"/>
          <w:sz w:val="24"/>
          <w:szCs w:val="24"/>
        </w:rPr>
        <w:t xml:space="preserve"> (Longhorsley Parish Council)</w:t>
      </w:r>
      <w:r w:rsidR="00B6451E" w:rsidRPr="0094298D">
        <w:rPr>
          <w:rFonts w:ascii="Arial" w:hAnsi="Arial" w:cs="Arial"/>
          <w:sz w:val="24"/>
          <w:szCs w:val="24"/>
        </w:rPr>
        <w:t xml:space="preserve"> and </w:t>
      </w:r>
      <w:r w:rsidR="00381F8F">
        <w:rPr>
          <w:rFonts w:ascii="Arial" w:hAnsi="Arial" w:cs="Arial"/>
          <w:sz w:val="24"/>
          <w:szCs w:val="24"/>
        </w:rPr>
        <w:t xml:space="preserve">both </w:t>
      </w:r>
      <w:r w:rsidR="00B6451E" w:rsidRPr="0094298D">
        <w:rPr>
          <w:rFonts w:ascii="Arial" w:hAnsi="Arial" w:cs="Arial"/>
          <w:sz w:val="24"/>
          <w:szCs w:val="24"/>
        </w:rPr>
        <w:t>the owner and prospective developer of adjacent land.</w:t>
      </w:r>
    </w:p>
    <w:p w14:paraId="1DB9BD5E" w14:textId="2695A4A5" w:rsidR="00E246FE" w:rsidRPr="0094298D" w:rsidRDefault="0008473E" w:rsidP="00682BD2">
      <w:pPr>
        <w:pStyle w:val="Style1"/>
        <w:rPr>
          <w:rFonts w:ascii="Arial" w:hAnsi="Arial" w:cs="Arial"/>
          <w:sz w:val="24"/>
          <w:szCs w:val="24"/>
        </w:rPr>
      </w:pPr>
      <w:r>
        <w:rPr>
          <w:rFonts w:ascii="Arial" w:hAnsi="Arial" w:cs="Arial"/>
          <w:sz w:val="24"/>
          <w:szCs w:val="24"/>
        </w:rPr>
        <w:t>I attach a copy of the application plan for information purposes</w:t>
      </w:r>
      <w:r w:rsidR="003E1981">
        <w:rPr>
          <w:rFonts w:ascii="Arial" w:hAnsi="Arial" w:cs="Arial"/>
          <w:sz w:val="24"/>
          <w:szCs w:val="24"/>
        </w:rPr>
        <w:t>.</w:t>
      </w:r>
    </w:p>
    <w:p w14:paraId="7C7CDD5E" w14:textId="739B5A8A" w:rsidR="00E050A6" w:rsidRDefault="00E050A6" w:rsidP="00E050A6">
      <w:pPr>
        <w:pStyle w:val="Heading6"/>
        <w:rPr>
          <w:rFonts w:ascii="Arial" w:hAnsi="Arial" w:cs="Arial"/>
          <w:sz w:val="24"/>
          <w:szCs w:val="24"/>
        </w:rPr>
      </w:pPr>
      <w:r w:rsidRPr="0094298D">
        <w:rPr>
          <w:rFonts w:ascii="Arial" w:hAnsi="Arial" w:cs="Arial"/>
          <w:sz w:val="24"/>
          <w:szCs w:val="24"/>
        </w:rPr>
        <w:t>The Application</w:t>
      </w:r>
    </w:p>
    <w:p w14:paraId="665DEBBE" w14:textId="233935ED" w:rsidR="00F60AB3" w:rsidRPr="0060662B" w:rsidRDefault="00F60AB3" w:rsidP="00F60AB3">
      <w:pPr>
        <w:pStyle w:val="Style1"/>
      </w:pPr>
      <w:r>
        <w:t>The application has been made by the owner of the village green, Longhorsley Parish Council, in order to allow the construction of an access road to approved residential development of land to the north</w:t>
      </w:r>
      <w:r w:rsidR="005E1251">
        <w:t>-west</w:t>
      </w:r>
      <w:r>
        <w:t xml:space="preserve"> of the village green.</w:t>
      </w:r>
    </w:p>
    <w:p w14:paraId="29ED6462" w14:textId="3E15B80C" w:rsidR="0059491A" w:rsidRPr="0059491A" w:rsidRDefault="00A15826" w:rsidP="0059491A">
      <w:pPr>
        <w:pStyle w:val="Style1"/>
      </w:pPr>
      <w:r>
        <w:t>No replacement land is offered as part of the application.</w:t>
      </w:r>
    </w:p>
    <w:p w14:paraId="5D4560ED" w14:textId="7DA8AD7E" w:rsidR="00E050A6" w:rsidRPr="0094298D" w:rsidRDefault="00E050A6" w:rsidP="00E050A6">
      <w:pPr>
        <w:pStyle w:val="Long3"/>
        <w:rPr>
          <w:rFonts w:ascii="Arial" w:hAnsi="Arial" w:cs="Arial"/>
          <w:sz w:val="24"/>
          <w:szCs w:val="24"/>
        </w:rPr>
      </w:pPr>
      <w:r w:rsidRPr="0094298D">
        <w:rPr>
          <w:rFonts w:ascii="Arial" w:hAnsi="Arial" w:cs="Arial"/>
          <w:sz w:val="24"/>
          <w:szCs w:val="24"/>
        </w:rPr>
        <w:t>The Release Land</w:t>
      </w:r>
    </w:p>
    <w:p w14:paraId="49A43A31" w14:textId="56B75EBC" w:rsidR="00E050A6" w:rsidRPr="00BD332A" w:rsidRDefault="003C7B4C" w:rsidP="00E050A6">
      <w:pPr>
        <w:pStyle w:val="Style1"/>
        <w:rPr>
          <w:rFonts w:ascii="Arial" w:hAnsi="Arial" w:cs="Arial"/>
          <w:sz w:val="24"/>
          <w:szCs w:val="24"/>
        </w:rPr>
      </w:pPr>
      <w:r w:rsidRPr="0094298D">
        <w:rPr>
          <w:rFonts w:ascii="Arial" w:hAnsi="Arial" w:cs="Arial"/>
          <w:sz w:val="24"/>
          <w:szCs w:val="24"/>
        </w:rPr>
        <w:t xml:space="preserve">The </w:t>
      </w:r>
      <w:r w:rsidR="0002186C" w:rsidRPr="0094298D">
        <w:rPr>
          <w:rFonts w:ascii="Arial" w:hAnsi="Arial" w:cs="Arial"/>
          <w:sz w:val="24"/>
          <w:szCs w:val="24"/>
        </w:rPr>
        <w:t xml:space="preserve">release land forms part of </w:t>
      </w:r>
      <w:r w:rsidR="00664BF4" w:rsidRPr="0094298D">
        <w:rPr>
          <w:rFonts w:ascii="Arial" w:hAnsi="Arial" w:cs="Arial"/>
          <w:sz w:val="24"/>
          <w:szCs w:val="24"/>
        </w:rPr>
        <w:t>a strip of grass</w:t>
      </w:r>
      <w:r w:rsidR="0002186C" w:rsidRPr="0094298D">
        <w:rPr>
          <w:rFonts w:ascii="Arial" w:hAnsi="Arial" w:cs="Arial"/>
          <w:sz w:val="24"/>
          <w:szCs w:val="24"/>
        </w:rPr>
        <w:t xml:space="preserve"> verge </w:t>
      </w:r>
      <w:r w:rsidR="00945618" w:rsidRPr="0094298D">
        <w:rPr>
          <w:rFonts w:ascii="Arial" w:hAnsi="Arial" w:cs="Arial"/>
          <w:sz w:val="24"/>
          <w:szCs w:val="24"/>
        </w:rPr>
        <w:t>alongside</w:t>
      </w:r>
      <w:r w:rsidR="00C44C77" w:rsidRPr="0094298D">
        <w:rPr>
          <w:rFonts w:ascii="Arial" w:hAnsi="Arial" w:cs="Arial"/>
          <w:sz w:val="24"/>
          <w:szCs w:val="24"/>
        </w:rPr>
        <w:t xml:space="preserve"> East Road</w:t>
      </w:r>
      <w:r w:rsidR="001C5779" w:rsidRPr="0094298D">
        <w:rPr>
          <w:rFonts w:ascii="Arial" w:hAnsi="Arial" w:cs="Arial"/>
          <w:sz w:val="24"/>
          <w:szCs w:val="24"/>
        </w:rPr>
        <w:t xml:space="preserve"> at a point where it is crossed by</w:t>
      </w:r>
      <w:r w:rsidR="00EA3450" w:rsidRPr="0094298D">
        <w:rPr>
          <w:rFonts w:ascii="Arial" w:hAnsi="Arial" w:cs="Arial"/>
          <w:sz w:val="24"/>
          <w:szCs w:val="24"/>
        </w:rPr>
        <w:t xml:space="preserve"> an access to an adjacent field</w:t>
      </w:r>
      <w:r w:rsidR="00835221" w:rsidRPr="0094298D">
        <w:rPr>
          <w:rFonts w:ascii="Arial" w:hAnsi="Arial" w:cs="Arial"/>
          <w:sz w:val="24"/>
          <w:szCs w:val="24"/>
        </w:rPr>
        <w:t>.</w:t>
      </w:r>
      <w:r w:rsidR="00835221">
        <w:rPr>
          <w:rFonts w:ascii="Arial" w:hAnsi="Arial" w:cs="Arial"/>
          <w:sz w:val="24"/>
          <w:szCs w:val="24"/>
        </w:rPr>
        <w:t xml:space="preserve"> </w:t>
      </w:r>
    </w:p>
    <w:p w14:paraId="3C593854" w14:textId="77777777" w:rsidR="00E050A6" w:rsidRPr="0094298D" w:rsidRDefault="00E050A6" w:rsidP="00E050A6">
      <w:pPr>
        <w:pStyle w:val="Heading6"/>
        <w:rPr>
          <w:rFonts w:ascii="Arial" w:hAnsi="Arial" w:cs="Arial"/>
          <w:sz w:val="24"/>
          <w:szCs w:val="24"/>
        </w:rPr>
      </w:pPr>
      <w:r w:rsidRPr="0094298D">
        <w:rPr>
          <w:rFonts w:ascii="Arial" w:hAnsi="Arial" w:cs="Arial"/>
          <w:sz w:val="24"/>
          <w:szCs w:val="24"/>
        </w:rPr>
        <w:lastRenderedPageBreak/>
        <w:t>The Statutory Requirements</w:t>
      </w:r>
    </w:p>
    <w:p w14:paraId="45D2AFC7" w14:textId="77777777" w:rsidR="00E050A6" w:rsidRPr="0094298D" w:rsidRDefault="00E050A6" w:rsidP="00E050A6">
      <w:pPr>
        <w:pStyle w:val="Style1"/>
        <w:rPr>
          <w:rFonts w:ascii="Arial" w:hAnsi="Arial" w:cs="Arial"/>
          <w:sz w:val="24"/>
          <w:szCs w:val="24"/>
        </w:rPr>
      </w:pPr>
      <w:r w:rsidRPr="0094298D">
        <w:rPr>
          <w:rFonts w:ascii="Arial" w:hAnsi="Arial" w:cs="Arial"/>
          <w:sz w:val="24"/>
          <w:szCs w:val="24"/>
        </w:rPr>
        <w:t>I am required by Section 16(6) of the 2006 Act to have regard to the following in determining this application:</w:t>
      </w:r>
    </w:p>
    <w:p w14:paraId="3EAE4726" w14:textId="77777777" w:rsidR="00E050A6" w:rsidRPr="0094298D" w:rsidRDefault="00E050A6" w:rsidP="00E050A6">
      <w:pPr>
        <w:pStyle w:val="Style1"/>
        <w:numPr>
          <w:ilvl w:val="0"/>
          <w:numId w:val="9"/>
        </w:numPr>
        <w:tabs>
          <w:tab w:val="clear" w:pos="2292"/>
          <w:tab w:val="num" w:pos="1440"/>
        </w:tabs>
        <w:ind w:left="1440"/>
        <w:rPr>
          <w:rFonts w:ascii="Arial" w:hAnsi="Arial" w:cs="Arial"/>
          <w:sz w:val="24"/>
          <w:szCs w:val="24"/>
        </w:rPr>
      </w:pPr>
      <w:r w:rsidRPr="0094298D">
        <w:rPr>
          <w:rFonts w:ascii="Arial" w:hAnsi="Arial" w:cs="Arial"/>
          <w:sz w:val="24"/>
          <w:szCs w:val="24"/>
        </w:rPr>
        <w:t>the interests of persons having rights in relation to, or occupying, the release land;</w:t>
      </w:r>
    </w:p>
    <w:p w14:paraId="3EEC5F30" w14:textId="77777777" w:rsidR="00E050A6" w:rsidRPr="0094298D" w:rsidRDefault="00E050A6" w:rsidP="00E050A6">
      <w:pPr>
        <w:pStyle w:val="Style1"/>
        <w:numPr>
          <w:ilvl w:val="0"/>
          <w:numId w:val="9"/>
        </w:numPr>
        <w:tabs>
          <w:tab w:val="clear" w:pos="2292"/>
          <w:tab w:val="num" w:pos="1440"/>
        </w:tabs>
        <w:ind w:left="1440"/>
        <w:rPr>
          <w:rFonts w:ascii="Arial" w:hAnsi="Arial" w:cs="Arial"/>
          <w:sz w:val="24"/>
          <w:szCs w:val="24"/>
        </w:rPr>
      </w:pPr>
      <w:r w:rsidRPr="0094298D">
        <w:rPr>
          <w:rFonts w:ascii="Arial" w:hAnsi="Arial" w:cs="Arial"/>
          <w:sz w:val="24"/>
          <w:szCs w:val="24"/>
        </w:rPr>
        <w:t>the interests of the neighbourhood;</w:t>
      </w:r>
    </w:p>
    <w:p w14:paraId="0D0C7AE0" w14:textId="2AAA7CEC" w:rsidR="00E050A6" w:rsidRPr="0094298D" w:rsidRDefault="00E050A6" w:rsidP="00E050A6">
      <w:pPr>
        <w:pStyle w:val="Style1"/>
        <w:numPr>
          <w:ilvl w:val="0"/>
          <w:numId w:val="9"/>
        </w:numPr>
        <w:tabs>
          <w:tab w:val="clear" w:pos="2292"/>
          <w:tab w:val="num" w:pos="1440"/>
        </w:tabs>
        <w:ind w:left="1440"/>
        <w:rPr>
          <w:rFonts w:ascii="Arial" w:hAnsi="Arial" w:cs="Arial"/>
          <w:sz w:val="24"/>
          <w:szCs w:val="24"/>
        </w:rPr>
      </w:pPr>
      <w:r w:rsidRPr="0094298D">
        <w:rPr>
          <w:rFonts w:ascii="Arial" w:hAnsi="Arial" w:cs="Arial"/>
          <w:sz w:val="24"/>
          <w:szCs w:val="24"/>
        </w:rPr>
        <w:t>the public interest</w:t>
      </w:r>
      <w:r w:rsidR="00DD502F">
        <w:rPr>
          <w:rFonts w:ascii="Arial" w:hAnsi="Arial" w:cs="Arial"/>
          <w:sz w:val="24"/>
          <w:szCs w:val="24"/>
        </w:rPr>
        <w:t>, which includes</w:t>
      </w:r>
      <w:r w:rsidR="00E70962">
        <w:rPr>
          <w:rFonts w:ascii="Arial" w:hAnsi="Arial" w:cs="Arial"/>
          <w:sz w:val="24"/>
          <w:szCs w:val="24"/>
        </w:rPr>
        <w:t xml:space="preserve"> the public interest in nature conservation, the conservation of </w:t>
      </w:r>
      <w:r w:rsidR="003600F3">
        <w:rPr>
          <w:rFonts w:ascii="Arial" w:hAnsi="Arial" w:cs="Arial"/>
          <w:sz w:val="24"/>
          <w:szCs w:val="24"/>
        </w:rPr>
        <w:t>the landscape, the protection of public rights of access and the protection of</w:t>
      </w:r>
      <w:r w:rsidR="00064F0C">
        <w:rPr>
          <w:rFonts w:ascii="Arial" w:hAnsi="Arial" w:cs="Arial"/>
          <w:sz w:val="24"/>
          <w:szCs w:val="24"/>
        </w:rPr>
        <w:t xml:space="preserve"> archaeological remains and features of historic interest</w:t>
      </w:r>
      <w:r w:rsidR="00A07DD2">
        <w:rPr>
          <w:rFonts w:ascii="Arial" w:hAnsi="Arial" w:cs="Arial"/>
          <w:sz w:val="24"/>
          <w:szCs w:val="24"/>
        </w:rPr>
        <w:t>;</w:t>
      </w:r>
    </w:p>
    <w:p w14:paraId="32D28CF6" w14:textId="77777777" w:rsidR="00E050A6" w:rsidRPr="0094298D" w:rsidRDefault="00E050A6" w:rsidP="00E050A6">
      <w:pPr>
        <w:pStyle w:val="Style1"/>
        <w:numPr>
          <w:ilvl w:val="0"/>
          <w:numId w:val="9"/>
        </w:numPr>
        <w:tabs>
          <w:tab w:val="clear" w:pos="2292"/>
          <w:tab w:val="num" w:pos="1440"/>
        </w:tabs>
        <w:ind w:left="1440"/>
        <w:rPr>
          <w:rFonts w:ascii="Arial" w:hAnsi="Arial" w:cs="Arial"/>
          <w:sz w:val="24"/>
          <w:szCs w:val="24"/>
        </w:rPr>
      </w:pPr>
      <w:r w:rsidRPr="0094298D">
        <w:rPr>
          <w:rFonts w:ascii="Arial" w:hAnsi="Arial" w:cs="Arial"/>
          <w:sz w:val="24"/>
          <w:szCs w:val="24"/>
        </w:rPr>
        <w:t>any other matter considered to be relevant.</w:t>
      </w:r>
    </w:p>
    <w:p w14:paraId="52768BF0" w14:textId="6893CFAB" w:rsidR="00E050A6" w:rsidRPr="0094298D" w:rsidRDefault="00E050A6" w:rsidP="00AE36CF">
      <w:pPr>
        <w:pStyle w:val="Style1"/>
        <w:rPr>
          <w:rFonts w:ascii="Arial" w:hAnsi="Arial" w:cs="Arial"/>
          <w:sz w:val="24"/>
          <w:szCs w:val="24"/>
        </w:rPr>
      </w:pPr>
      <w:r w:rsidRPr="0094298D">
        <w:rPr>
          <w:rFonts w:ascii="Arial" w:hAnsi="Arial" w:cs="Arial"/>
          <w:sz w:val="24"/>
          <w:szCs w:val="24"/>
        </w:rPr>
        <w:t>I will also have regard to published guidance in relation to the determination of applications under Section 16</w:t>
      </w:r>
      <w:r w:rsidR="00A07DD2">
        <w:rPr>
          <w:rStyle w:val="FootnoteReference"/>
          <w:rFonts w:ascii="Arial" w:hAnsi="Arial" w:cs="Arial"/>
          <w:sz w:val="24"/>
          <w:szCs w:val="24"/>
        </w:rPr>
        <w:t xml:space="preserve"> </w:t>
      </w:r>
      <w:r w:rsidR="00F327D2">
        <w:rPr>
          <w:rFonts w:ascii="Arial" w:hAnsi="Arial" w:cs="Arial"/>
          <w:sz w:val="24"/>
          <w:szCs w:val="24"/>
        </w:rPr>
        <w:t>(common land Consents Policy Guidance</w:t>
      </w:r>
      <w:r w:rsidR="00007B36">
        <w:rPr>
          <w:rFonts w:ascii="Arial" w:hAnsi="Arial" w:cs="Arial"/>
          <w:sz w:val="24"/>
          <w:szCs w:val="24"/>
        </w:rPr>
        <w:t>, November 2015, Defra)</w:t>
      </w:r>
      <w:r w:rsidRPr="0094298D">
        <w:rPr>
          <w:rFonts w:ascii="Arial" w:hAnsi="Arial" w:cs="Arial"/>
          <w:sz w:val="24"/>
          <w:szCs w:val="24"/>
        </w:rPr>
        <w:t>.</w:t>
      </w:r>
    </w:p>
    <w:p w14:paraId="28E35679" w14:textId="1437A677" w:rsidR="00AE36CF" w:rsidRDefault="00AE36CF" w:rsidP="00AE36CF">
      <w:pPr>
        <w:pStyle w:val="Long2"/>
        <w:rPr>
          <w:rFonts w:ascii="Arial" w:hAnsi="Arial" w:cs="Arial"/>
          <w:sz w:val="24"/>
          <w:szCs w:val="24"/>
        </w:rPr>
      </w:pPr>
      <w:r w:rsidRPr="0094298D">
        <w:rPr>
          <w:rFonts w:ascii="Arial" w:hAnsi="Arial" w:cs="Arial"/>
          <w:sz w:val="24"/>
          <w:szCs w:val="24"/>
        </w:rPr>
        <w:t>Representations</w:t>
      </w:r>
    </w:p>
    <w:p w14:paraId="35F9D55C" w14:textId="4C7AF1C1" w:rsidR="00657A24" w:rsidRPr="00657A24" w:rsidRDefault="00657A24" w:rsidP="00657A24">
      <w:pPr>
        <w:pStyle w:val="Style1"/>
      </w:pPr>
      <w:r>
        <w:t>The Open Spaces Society has objected to the deregistration on the grounds that it offers no benefit to the public to compensate for the loss of village green.</w:t>
      </w:r>
    </w:p>
    <w:p w14:paraId="34792318" w14:textId="60CDAD42" w:rsidR="00AE36CF" w:rsidRDefault="00AE36CF" w:rsidP="00AE36CF">
      <w:pPr>
        <w:pStyle w:val="Heading6"/>
        <w:rPr>
          <w:rFonts w:ascii="Arial" w:hAnsi="Arial" w:cs="Arial"/>
          <w:sz w:val="24"/>
          <w:szCs w:val="24"/>
        </w:rPr>
      </w:pPr>
      <w:r w:rsidRPr="0094298D">
        <w:rPr>
          <w:rFonts w:ascii="Arial" w:hAnsi="Arial" w:cs="Arial"/>
          <w:sz w:val="24"/>
          <w:szCs w:val="24"/>
        </w:rPr>
        <w:t>Assessment</w:t>
      </w:r>
    </w:p>
    <w:p w14:paraId="426A512C" w14:textId="705720E2" w:rsidR="00874C04" w:rsidRDefault="00431522" w:rsidP="00F61A28">
      <w:pPr>
        <w:pStyle w:val="Style1"/>
      </w:pPr>
      <w:r>
        <w:t xml:space="preserve">The official guidance referred to above states </w:t>
      </w:r>
      <w:r w:rsidR="0056077E">
        <w:t>(</w:t>
      </w:r>
      <w:r w:rsidR="007B46B1">
        <w:t>Para.</w:t>
      </w:r>
      <w:r w:rsidR="009B52E6">
        <w:t xml:space="preserve">5.2) </w:t>
      </w:r>
      <w:r>
        <w:t>that</w:t>
      </w:r>
      <w:r w:rsidR="00F50941">
        <w:t xml:space="preserve"> </w:t>
      </w:r>
      <w:r w:rsidR="00F50941">
        <w:rPr>
          <w:i/>
          <w:iCs/>
        </w:rPr>
        <w:t>“Even if the land to be deregistered</w:t>
      </w:r>
      <w:r w:rsidR="00146696">
        <w:rPr>
          <w:i/>
          <w:iCs/>
        </w:rPr>
        <w:t xml:space="preserve"> is not more than </w:t>
      </w:r>
      <w:r w:rsidR="00146696" w:rsidRPr="00146696">
        <w:rPr>
          <w:i/>
          <w:iCs/>
        </w:rPr>
        <w:t>200m</w:t>
      </w:r>
      <w:r w:rsidR="00146696" w:rsidRPr="00146696">
        <w:rPr>
          <w:i/>
          <w:iCs/>
          <w:vertAlign w:val="superscript"/>
        </w:rPr>
        <w:t>2</w:t>
      </w:r>
      <w:r w:rsidR="00146696">
        <w:rPr>
          <w:i/>
          <w:iCs/>
          <w:vertAlign w:val="superscript"/>
        </w:rPr>
        <w:t xml:space="preserve"> </w:t>
      </w:r>
      <w:r w:rsidR="008D3B73">
        <w:rPr>
          <w:i/>
          <w:iCs/>
        </w:rPr>
        <w:t>the</w:t>
      </w:r>
      <w:r w:rsidR="00EA0CAA">
        <w:rPr>
          <w:i/>
          <w:iCs/>
        </w:rPr>
        <w:t xml:space="preserve"> Secretary of State will usually expect land to be offered in exchange for the land </w:t>
      </w:r>
      <w:r w:rsidR="00F16861">
        <w:rPr>
          <w:i/>
          <w:iCs/>
        </w:rPr>
        <w:t>being deregistered as her policy is not to allow our stock of common land and greens</w:t>
      </w:r>
      <w:r w:rsidR="00B2369F">
        <w:rPr>
          <w:i/>
          <w:iCs/>
        </w:rPr>
        <w:t xml:space="preserve"> to diminish. The Secretary of State does not interpret the purpose of section 16 as being </w:t>
      </w:r>
      <w:r w:rsidR="006601B9">
        <w:rPr>
          <w:i/>
          <w:iCs/>
        </w:rPr>
        <w:t xml:space="preserve">to facilitate the deregistration of ‘unwanted’ or ‘useless’ </w:t>
      </w:r>
      <w:r w:rsidR="00081C44">
        <w:rPr>
          <w:i/>
          <w:iCs/>
        </w:rPr>
        <w:t xml:space="preserve">pieces of common land or green, but to enable </w:t>
      </w:r>
      <w:r w:rsidR="00E32B45">
        <w:rPr>
          <w:i/>
          <w:iCs/>
        </w:rPr>
        <w:t>registered land to be released in exchange for replacement land of equal value”</w:t>
      </w:r>
      <w:r w:rsidR="0056077E">
        <w:rPr>
          <w:i/>
          <w:iCs/>
        </w:rPr>
        <w:t>.</w:t>
      </w:r>
    </w:p>
    <w:p w14:paraId="4D7C96E4" w14:textId="442FFE7F" w:rsidR="00F61A28" w:rsidRDefault="00431522" w:rsidP="00F61A28">
      <w:pPr>
        <w:pStyle w:val="Style1"/>
      </w:pPr>
      <w:r>
        <w:t xml:space="preserve"> </w:t>
      </w:r>
      <w:r w:rsidR="009B52E6">
        <w:t>It further states (</w:t>
      </w:r>
      <w:r w:rsidR="007B46B1">
        <w:t>Para.</w:t>
      </w:r>
      <w:r w:rsidR="009B52E6">
        <w:t>5.3)</w:t>
      </w:r>
      <w:r w:rsidR="00EC2315">
        <w:t xml:space="preserve"> that </w:t>
      </w:r>
      <w:r>
        <w:rPr>
          <w:i/>
        </w:rPr>
        <w:t>“</w:t>
      </w:r>
      <w:r w:rsidRPr="004E2DBB">
        <w:rPr>
          <w:i/>
        </w:rPr>
        <w:t xml:space="preserve">In considering </w:t>
      </w:r>
      <w:bookmarkStart w:id="1" w:name="noreplacementland"/>
      <w:r w:rsidRPr="004E2DBB">
        <w:rPr>
          <w:i/>
        </w:rPr>
        <w:t>an application which does not propose replacement land</w:t>
      </w:r>
      <w:bookmarkEnd w:id="1"/>
      <w:r w:rsidRPr="004E2DBB">
        <w:rPr>
          <w:i/>
        </w:rPr>
        <w:t>, the Secretary of State is required to have “particular regard … to the extent to which the absence of such a proposal is prejudicial to the interests specified in section 16(6)(a) to (c)” (i.e. the ‘private’ interests, the interests of the neighbourhood, and the public interest)</w:t>
      </w:r>
      <w:r>
        <w:rPr>
          <w:i/>
        </w:rPr>
        <w:t>”. In general, the Secretary of State will grant consent where no replacement land is offered only in exceptional circumstances. Such circumstances are most likely where a public interest is being served by the deregistration which may mitigate the prejudice caused by the loss of the release land.”</w:t>
      </w:r>
      <w:r>
        <w:t xml:space="preserve"> It further states that </w:t>
      </w:r>
      <w:r>
        <w:rPr>
          <w:i/>
        </w:rPr>
        <w:t xml:space="preserve">“It follows that </w:t>
      </w:r>
      <w:r w:rsidRPr="00DD3A6D">
        <w:rPr>
          <w:i/>
        </w:rPr>
        <w:t xml:space="preserve">an application for deregistration where no replacement land is offered is most unlikely to be granted if no </w:t>
      </w:r>
      <w:r>
        <w:rPr>
          <w:i/>
        </w:rPr>
        <w:t xml:space="preserve">compelling </w:t>
      </w:r>
      <w:r w:rsidRPr="00DD3A6D">
        <w:rPr>
          <w:i/>
        </w:rPr>
        <w:t>public interest is served by the deregistration</w:t>
      </w:r>
      <w:r>
        <w:rPr>
          <w:i/>
        </w:rPr>
        <w:t>”</w:t>
      </w:r>
      <w:r>
        <w:t>.</w:t>
      </w:r>
    </w:p>
    <w:p w14:paraId="2F96E2E5" w14:textId="681BE0D3" w:rsidR="00E34D83" w:rsidRDefault="003D3E47" w:rsidP="00F61A28">
      <w:pPr>
        <w:pStyle w:val="Style1"/>
      </w:pPr>
      <w:r>
        <w:t>Para.5.3 also states that even</w:t>
      </w:r>
      <w:r w:rsidR="000F7A0A">
        <w:t xml:space="preserve"> in cases</w:t>
      </w:r>
      <w:r w:rsidR="00137C33">
        <w:t xml:space="preserve"> that otherwise satisfy these requirements</w:t>
      </w:r>
      <w:r w:rsidR="00BF18D3">
        <w:t xml:space="preserve"> </w:t>
      </w:r>
      <w:r w:rsidR="00BF18D3">
        <w:rPr>
          <w:i/>
          <w:iCs/>
        </w:rPr>
        <w:t>“…land should be offered in exchange</w:t>
      </w:r>
      <w:r w:rsidR="00964BBE">
        <w:rPr>
          <w:i/>
          <w:iCs/>
        </w:rPr>
        <w:t xml:space="preserve"> unless there is a compelling reason why this is </w:t>
      </w:r>
      <w:r w:rsidR="001F5162">
        <w:rPr>
          <w:i/>
          <w:iCs/>
        </w:rPr>
        <w:t>not possible”</w:t>
      </w:r>
    </w:p>
    <w:p w14:paraId="659C1E04" w14:textId="772BABD1" w:rsidR="00960163" w:rsidRPr="00F61A28" w:rsidRDefault="002D7B90" w:rsidP="00F61A28">
      <w:pPr>
        <w:pStyle w:val="Style1"/>
      </w:pPr>
      <w:r>
        <w:lastRenderedPageBreak/>
        <w:t xml:space="preserve">Accordingly, it is clear that the current application should only be granted if it is demonstrated that the proposed deregistration of part of the village green without the offer of replacement land will serve a </w:t>
      </w:r>
      <w:r w:rsidR="00405672">
        <w:t>‘</w:t>
      </w:r>
      <w:r w:rsidR="009D414B">
        <w:t>compelling</w:t>
      </w:r>
      <w:r w:rsidR="00405672">
        <w:t>’</w:t>
      </w:r>
      <w:r w:rsidR="009D414B">
        <w:t xml:space="preserve"> </w:t>
      </w:r>
      <w:r>
        <w:t>public interest that mitigates any prejudice caused by the loss of the release land</w:t>
      </w:r>
      <w:r w:rsidR="00CE4F2E">
        <w:t xml:space="preserve"> and that there is a </w:t>
      </w:r>
      <w:r w:rsidR="00405672">
        <w:t>‘</w:t>
      </w:r>
      <w:r w:rsidR="00CE4F2E">
        <w:t>compelling</w:t>
      </w:r>
      <w:r w:rsidR="00405672">
        <w:t>’</w:t>
      </w:r>
      <w:r w:rsidR="00CE4F2E">
        <w:t xml:space="preserve"> reason</w:t>
      </w:r>
      <w:r w:rsidR="00405672">
        <w:t xml:space="preserve"> why it is not possible to offer land in exchange.</w:t>
      </w:r>
      <w:r>
        <w:t>.</w:t>
      </w:r>
    </w:p>
    <w:p w14:paraId="26441FF8" w14:textId="581AA217" w:rsidR="00AE36CF" w:rsidRDefault="00AE36CF" w:rsidP="00AE36CF">
      <w:pPr>
        <w:pStyle w:val="Long3"/>
        <w:rPr>
          <w:rFonts w:ascii="Arial" w:hAnsi="Arial" w:cs="Arial"/>
          <w:sz w:val="24"/>
          <w:szCs w:val="24"/>
        </w:rPr>
      </w:pPr>
      <w:r w:rsidRPr="0094298D">
        <w:rPr>
          <w:rFonts w:ascii="Arial" w:hAnsi="Arial" w:cs="Arial"/>
          <w:sz w:val="24"/>
          <w:szCs w:val="24"/>
        </w:rPr>
        <w:t>The interests of persons occupying or having rights in relation to the release land</w:t>
      </w:r>
    </w:p>
    <w:p w14:paraId="1C6CFC3B" w14:textId="1FEC2F68" w:rsidR="0024105C" w:rsidRPr="005168A5" w:rsidRDefault="00492578" w:rsidP="006E12A5">
      <w:pPr>
        <w:pStyle w:val="Style1"/>
      </w:pPr>
      <w:r>
        <w:t xml:space="preserve">The applicant is the owner of the </w:t>
      </w:r>
      <w:r w:rsidR="00F1638B">
        <w:t>release land</w:t>
      </w:r>
      <w:r w:rsidR="00D22CC4">
        <w:t xml:space="preserve"> and </w:t>
      </w:r>
      <w:r w:rsidR="005216A1">
        <w:t xml:space="preserve">states that </w:t>
      </w:r>
      <w:r w:rsidR="00D22CC4">
        <w:t>no rights of common are registered over i</w:t>
      </w:r>
      <w:r w:rsidR="003C6ABC">
        <w:t>t.</w:t>
      </w:r>
      <w:r w:rsidR="005216A1">
        <w:t xml:space="preserve"> </w:t>
      </w:r>
      <w:r w:rsidR="000E3E0F">
        <w:t>A</w:t>
      </w:r>
      <w:r w:rsidR="005216A1">
        <w:t xml:space="preserve">ccording to the </w:t>
      </w:r>
      <w:r w:rsidR="00AC27FC">
        <w:t xml:space="preserve">transcript of the </w:t>
      </w:r>
      <w:r w:rsidR="00B84EB2">
        <w:t>official register</w:t>
      </w:r>
      <w:r w:rsidR="00233775">
        <w:t xml:space="preserve"> I have seen, this is not strictly true</w:t>
      </w:r>
      <w:r w:rsidR="00415250">
        <w:t xml:space="preserve"> a</w:t>
      </w:r>
      <w:r w:rsidR="006D1465">
        <w:t>s</w:t>
      </w:r>
      <w:r w:rsidR="00415250">
        <w:t xml:space="preserve"> some parties have rights to </w:t>
      </w:r>
      <w:r w:rsidR="00F328E1">
        <w:t xml:space="preserve">collect estovers and dig peat and </w:t>
      </w:r>
      <w:r w:rsidR="000A53B3">
        <w:t xml:space="preserve">one has the right to graze 6 sheep. </w:t>
      </w:r>
      <w:r w:rsidR="000E3E0F">
        <w:t>However, t</w:t>
      </w:r>
      <w:r w:rsidR="000A53B3">
        <w:t>hese rights relate to the whole of VG18</w:t>
      </w:r>
      <w:r w:rsidR="00CD53ED">
        <w:t xml:space="preserve"> </w:t>
      </w:r>
      <w:r w:rsidR="004E51E9">
        <w:t>and it seems safe to assume that they are</w:t>
      </w:r>
      <w:r w:rsidR="00D37EFE">
        <w:t xml:space="preserve"> not now exercised in relation to the release land.</w:t>
      </w:r>
    </w:p>
    <w:p w14:paraId="1E8B352D" w14:textId="77777777" w:rsidR="00AE36CF" w:rsidRPr="0094298D" w:rsidRDefault="00AE36CF" w:rsidP="00AE36CF">
      <w:pPr>
        <w:pStyle w:val="Long3"/>
        <w:rPr>
          <w:rFonts w:ascii="Arial" w:hAnsi="Arial" w:cs="Arial"/>
          <w:sz w:val="24"/>
          <w:szCs w:val="24"/>
        </w:rPr>
      </w:pPr>
      <w:r w:rsidRPr="0094298D">
        <w:rPr>
          <w:rFonts w:ascii="Arial" w:hAnsi="Arial" w:cs="Arial"/>
          <w:sz w:val="24"/>
          <w:szCs w:val="24"/>
        </w:rPr>
        <w:t>The interests of the neighbourhood</w:t>
      </w:r>
    </w:p>
    <w:p w14:paraId="5D83CF25" w14:textId="3646CF9B" w:rsidR="00AE36CF" w:rsidRDefault="00AE36CF" w:rsidP="00AE36CF">
      <w:pPr>
        <w:pStyle w:val="Style1"/>
        <w:tabs>
          <w:tab w:val="clear" w:pos="720"/>
        </w:tabs>
        <w:rPr>
          <w:rFonts w:ascii="Arial" w:hAnsi="Arial" w:cs="Arial"/>
          <w:sz w:val="24"/>
          <w:szCs w:val="24"/>
        </w:rPr>
      </w:pPr>
      <w:r w:rsidRPr="0094298D">
        <w:rPr>
          <w:rFonts w:ascii="Arial" w:hAnsi="Arial" w:cs="Arial"/>
          <w:sz w:val="24"/>
          <w:szCs w:val="24"/>
        </w:rPr>
        <w:t>The 2006 Act does not define the term ‘neighbourhood’.</w:t>
      </w:r>
      <w:r w:rsidR="00220F3F" w:rsidRPr="0094298D">
        <w:rPr>
          <w:rFonts w:ascii="Arial" w:hAnsi="Arial" w:cs="Arial"/>
          <w:sz w:val="24"/>
          <w:szCs w:val="24"/>
        </w:rPr>
        <w:t xml:space="preserve"> However, in this case it seems logical to consider the village of Longhorsley to be the appropriate neighbourhood.</w:t>
      </w:r>
    </w:p>
    <w:p w14:paraId="55974EA4" w14:textId="3D2E93A1" w:rsidR="006E000B" w:rsidRDefault="003C6ABC" w:rsidP="00AE36CF">
      <w:pPr>
        <w:pStyle w:val="Style1"/>
        <w:tabs>
          <w:tab w:val="clear" w:pos="720"/>
        </w:tabs>
        <w:rPr>
          <w:rFonts w:ascii="Arial" w:hAnsi="Arial" w:cs="Arial"/>
          <w:sz w:val="24"/>
          <w:szCs w:val="24"/>
        </w:rPr>
      </w:pPr>
      <w:r>
        <w:rPr>
          <w:rFonts w:ascii="Arial" w:hAnsi="Arial" w:cs="Arial"/>
          <w:sz w:val="24"/>
          <w:szCs w:val="24"/>
        </w:rPr>
        <w:t xml:space="preserve">The village contains </w:t>
      </w:r>
      <w:r w:rsidR="006417E3">
        <w:rPr>
          <w:rFonts w:ascii="Arial" w:hAnsi="Arial" w:cs="Arial"/>
          <w:sz w:val="24"/>
          <w:szCs w:val="24"/>
        </w:rPr>
        <w:t xml:space="preserve">extensive areas of village </w:t>
      </w:r>
      <w:r w:rsidR="00143049">
        <w:rPr>
          <w:rFonts w:ascii="Arial" w:hAnsi="Arial" w:cs="Arial"/>
          <w:sz w:val="24"/>
          <w:szCs w:val="24"/>
        </w:rPr>
        <w:t>green</w:t>
      </w:r>
      <w:r w:rsidR="00E2522A">
        <w:rPr>
          <w:rFonts w:ascii="Arial" w:hAnsi="Arial" w:cs="Arial"/>
          <w:sz w:val="24"/>
          <w:szCs w:val="24"/>
        </w:rPr>
        <w:t xml:space="preserve"> which include football pitches</w:t>
      </w:r>
      <w:r w:rsidR="001770BB">
        <w:rPr>
          <w:rFonts w:ascii="Arial" w:hAnsi="Arial" w:cs="Arial"/>
          <w:sz w:val="24"/>
          <w:szCs w:val="24"/>
        </w:rPr>
        <w:t xml:space="preserve">, a war memorial and a pond area. The release land forms part of a </w:t>
      </w:r>
      <w:r w:rsidR="00902E11">
        <w:rPr>
          <w:rFonts w:ascii="Arial" w:hAnsi="Arial" w:cs="Arial"/>
          <w:sz w:val="24"/>
          <w:szCs w:val="24"/>
        </w:rPr>
        <w:t>fairly narrow strip of ro</w:t>
      </w:r>
      <w:r w:rsidR="002F2C70">
        <w:rPr>
          <w:rFonts w:ascii="Arial" w:hAnsi="Arial" w:cs="Arial"/>
          <w:sz w:val="24"/>
          <w:szCs w:val="24"/>
        </w:rPr>
        <w:t>a</w:t>
      </w:r>
      <w:r w:rsidR="00902E11">
        <w:rPr>
          <w:rFonts w:ascii="Arial" w:hAnsi="Arial" w:cs="Arial"/>
          <w:sz w:val="24"/>
          <w:szCs w:val="24"/>
        </w:rPr>
        <w:t xml:space="preserve">dside verge </w:t>
      </w:r>
      <w:r w:rsidR="002F2C70">
        <w:rPr>
          <w:rFonts w:ascii="Arial" w:hAnsi="Arial" w:cs="Arial"/>
          <w:sz w:val="24"/>
          <w:szCs w:val="24"/>
        </w:rPr>
        <w:t>which is not suitable for any recreational use</w:t>
      </w:r>
      <w:r w:rsidR="00D25624">
        <w:rPr>
          <w:rFonts w:ascii="Arial" w:hAnsi="Arial" w:cs="Arial"/>
          <w:sz w:val="24"/>
          <w:szCs w:val="24"/>
        </w:rPr>
        <w:t xml:space="preserve"> and does not include a footpath.</w:t>
      </w:r>
      <w:r w:rsidR="00D84672">
        <w:rPr>
          <w:rFonts w:ascii="Arial" w:hAnsi="Arial" w:cs="Arial"/>
          <w:sz w:val="24"/>
          <w:szCs w:val="24"/>
        </w:rPr>
        <w:t xml:space="preserve"> It is therefore </w:t>
      </w:r>
      <w:r w:rsidR="0031633F">
        <w:rPr>
          <w:rFonts w:ascii="Arial" w:hAnsi="Arial" w:cs="Arial"/>
          <w:sz w:val="24"/>
          <w:szCs w:val="24"/>
        </w:rPr>
        <w:t xml:space="preserve">considered by the applicant that the de-registration proposed would </w:t>
      </w:r>
      <w:r w:rsidR="00E50791">
        <w:rPr>
          <w:rFonts w:ascii="Arial" w:hAnsi="Arial" w:cs="Arial"/>
          <w:sz w:val="24"/>
          <w:szCs w:val="24"/>
        </w:rPr>
        <w:t>not result in any significant loss</w:t>
      </w:r>
      <w:r w:rsidR="008A0EDB">
        <w:rPr>
          <w:rFonts w:ascii="Arial" w:hAnsi="Arial" w:cs="Arial"/>
          <w:sz w:val="24"/>
          <w:szCs w:val="24"/>
        </w:rPr>
        <w:t xml:space="preserve"> to the inhabitants of the village.</w:t>
      </w:r>
    </w:p>
    <w:p w14:paraId="3EE2503E" w14:textId="3065D6B2" w:rsidR="008A0EDB" w:rsidRDefault="002D1A0C" w:rsidP="00AE36CF">
      <w:pPr>
        <w:pStyle w:val="Style1"/>
        <w:tabs>
          <w:tab w:val="clear" w:pos="720"/>
        </w:tabs>
        <w:rPr>
          <w:rFonts w:ascii="Arial" w:hAnsi="Arial" w:cs="Arial"/>
          <w:sz w:val="24"/>
          <w:szCs w:val="24"/>
        </w:rPr>
      </w:pPr>
      <w:r>
        <w:rPr>
          <w:rFonts w:ascii="Arial" w:hAnsi="Arial" w:cs="Arial"/>
          <w:sz w:val="24"/>
          <w:szCs w:val="24"/>
        </w:rPr>
        <w:t xml:space="preserve">The proposed de-registration would enable a new access to be formed to land </w:t>
      </w:r>
      <w:r w:rsidR="00B10D17">
        <w:rPr>
          <w:rFonts w:ascii="Arial" w:hAnsi="Arial" w:cs="Arial"/>
          <w:sz w:val="24"/>
          <w:szCs w:val="24"/>
        </w:rPr>
        <w:t>to the north-west</w:t>
      </w:r>
      <w:r w:rsidR="005156E8">
        <w:rPr>
          <w:rFonts w:ascii="Arial" w:hAnsi="Arial" w:cs="Arial"/>
          <w:sz w:val="24"/>
          <w:szCs w:val="24"/>
        </w:rPr>
        <w:t xml:space="preserve"> and enable its development with 9 houses </w:t>
      </w:r>
      <w:r w:rsidR="006D3D54">
        <w:rPr>
          <w:rFonts w:ascii="Arial" w:hAnsi="Arial" w:cs="Arial"/>
          <w:sz w:val="24"/>
          <w:szCs w:val="24"/>
        </w:rPr>
        <w:t>i</w:t>
      </w:r>
      <w:r w:rsidR="005156E8">
        <w:rPr>
          <w:rFonts w:ascii="Arial" w:hAnsi="Arial" w:cs="Arial"/>
          <w:sz w:val="24"/>
          <w:szCs w:val="24"/>
        </w:rPr>
        <w:t>n accordance with</w:t>
      </w:r>
      <w:r w:rsidR="00054F8D">
        <w:rPr>
          <w:rFonts w:ascii="Arial" w:hAnsi="Arial" w:cs="Arial"/>
          <w:sz w:val="24"/>
          <w:szCs w:val="24"/>
        </w:rPr>
        <w:t xml:space="preserve"> an approved plan</w:t>
      </w:r>
      <w:r w:rsidR="00B21CA1">
        <w:rPr>
          <w:rFonts w:ascii="Arial" w:hAnsi="Arial" w:cs="Arial"/>
          <w:sz w:val="24"/>
          <w:szCs w:val="24"/>
        </w:rPr>
        <w:t>. The houses are said to be needed to maintain the vitality of the village</w:t>
      </w:r>
      <w:r w:rsidR="00FC7487">
        <w:rPr>
          <w:rFonts w:ascii="Arial" w:hAnsi="Arial" w:cs="Arial"/>
          <w:sz w:val="24"/>
          <w:szCs w:val="24"/>
        </w:rPr>
        <w:t>.</w:t>
      </w:r>
    </w:p>
    <w:p w14:paraId="4BDB62BF" w14:textId="5048A989" w:rsidR="00FC7487" w:rsidRDefault="003F7107" w:rsidP="00AE36CF">
      <w:pPr>
        <w:pStyle w:val="Style1"/>
        <w:tabs>
          <w:tab w:val="clear" w:pos="720"/>
        </w:tabs>
        <w:rPr>
          <w:rFonts w:ascii="Arial" w:hAnsi="Arial" w:cs="Arial"/>
          <w:sz w:val="24"/>
          <w:szCs w:val="24"/>
        </w:rPr>
      </w:pPr>
      <w:r>
        <w:rPr>
          <w:rFonts w:ascii="Arial" w:hAnsi="Arial" w:cs="Arial"/>
          <w:sz w:val="24"/>
          <w:szCs w:val="24"/>
        </w:rPr>
        <w:t>In addition, if the de-registration is approved</w:t>
      </w:r>
      <w:r w:rsidR="00C97312">
        <w:rPr>
          <w:rFonts w:ascii="Arial" w:hAnsi="Arial" w:cs="Arial"/>
          <w:sz w:val="24"/>
          <w:szCs w:val="24"/>
        </w:rPr>
        <w:t>, the release land is to be sold to the developer of the adjacent land</w:t>
      </w:r>
      <w:r w:rsidR="00303578">
        <w:rPr>
          <w:rFonts w:ascii="Arial" w:hAnsi="Arial" w:cs="Arial"/>
          <w:sz w:val="24"/>
          <w:szCs w:val="24"/>
        </w:rPr>
        <w:t xml:space="preserve"> in return for a significant sum of money which will be used</w:t>
      </w:r>
      <w:r w:rsidR="00221039">
        <w:rPr>
          <w:rFonts w:ascii="Arial" w:hAnsi="Arial" w:cs="Arial"/>
          <w:sz w:val="24"/>
          <w:szCs w:val="24"/>
        </w:rPr>
        <w:t xml:space="preserve"> to provide improved facilities for village residents.</w:t>
      </w:r>
    </w:p>
    <w:p w14:paraId="0E9CBC7F" w14:textId="6FD263A1" w:rsidR="001343B9" w:rsidRDefault="00C42BD8" w:rsidP="00AE36CF">
      <w:pPr>
        <w:pStyle w:val="Style1"/>
        <w:tabs>
          <w:tab w:val="clear" w:pos="720"/>
        </w:tabs>
        <w:rPr>
          <w:rFonts w:ascii="Arial" w:hAnsi="Arial" w:cs="Arial"/>
          <w:sz w:val="24"/>
          <w:szCs w:val="24"/>
        </w:rPr>
      </w:pPr>
      <w:r>
        <w:rPr>
          <w:rFonts w:ascii="Arial" w:hAnsi="Arial" w:cs="Arial"/>
          <w:sz w:val="24"/>
          <w:szCs w:val="24"/>
        </w:rPr>
        <w:t>A</w:t>
      </w:r>
      <w:r w:rsidR="0011538D">
        <w:rPr>
          <w:rFonts w:ascii="Arial" w:hAnsi="Arial" w:cs="Arial"/>
          <w:sz w:val="24"/>
          <w:szCs w:val="24"/>
        </w:rPr>
        <w:t xml:space="preserve">lthough </w:t>
      </w:r>
      <w:r w:rsidR="0036217B">
        <w:rPr>
          <w:rFonts w:ascii="Arial" w:hAnsi="Arial" w:cs="Arial"/>
          <w:sz w:val="24"/>
          <w:szCs w:val="24"/>
        </w:rPr>
        <w:t>it is arguable that</w:t>
      </w:r>
      <w:r w:rsidR="00540F78">
        <w:rPr>
          <w:rFonts w:ascii="Arial" w:hAnsi="Arial" w:cs="Arial"/>
          <w:sz w:val="24"/>
          <w:szCs w:val="24"/>
        </w:rPr>
        <w:t xml:space="preserve"> the proposed der</w:t>
      </w:r>
      <w:r w:rsidR="005D0A48">
        <w:rPr>
          <w:rFonts w:ascii="Arial" w:hAnsi="Arial" w:cs="Arial"/>
          <w:sz w:val="24"/>
          <w:szCs w:val="24"/>
        </w:rPr>
        <w:t>egistration is in the interests of the neighbourhood</w:t>
      </w:r>
      <w:r w:rsidR="0011538D">
        <w:rPr>
          <w:rFonts w:ascii="Arial" w:hAnsi="Arial" w:cs="Arial"/>
          <w:sz w:val="24"/>
          <w:szCs w:val="24"/>
        </w:rPr>
        <w:t xml:space="preserve"> it is no</w:t>
      </w:r>
      <w:r w:rsidR="00DF29E4">
        <w:rPr>
          <w:rFonts w:ascii="Arial" w:hAnsi="Arial" w:cs="Arial"/>
          <w:sz w:val="24"/>
          <w:szCs w:val="24"/>
        </w:rPr>
        <w:t>t</w:t>
      </w:r>
      <w:r w:rsidR="0011538D">
        <w:rPr>
          <w:rFonts w:ascii="Arial" w:hAnsi="Arial" w:cs="Arial"/>
          <w:sz w:val="24"/>
          <w:szCs w:val="24"/>
        </w:rPr>
        <w:t xml:space="preserve"> clear that the circumstances </w:t>
      </w:r>
      <w:r w:rsidR="00B74211">
        <w:rPr>
          <w:rFonts w:ascii="Arial" w:hAnsi="Arial" w:cs="Arial"/>
          <w:sz w:val="24"/>
          <w:szCs w:val="24"/>
        </w:rPr>
        <w:t xml:space="preserve">are sufficiently </w:t>
      </w:r>
      <w:r w:rsidR="00E47FFD">
        <w:rPr>
          <w:rFonts w:ascii="Arial" w:hAnsi="Arial" w:cs="Arial"/>
          <w:sz w:val="24"/>
          <w:szCs w:val="24"/>
        </w:rPr>
        <w:t>‘</w:t>
      </w:r>
      <w:r w:rsidR="00B74211">
        <w:rPr>
          <w:rFonts w:ascii="Arial" w:hAnsi="Arial" w:cs="Arial"/>
          <w:sz w:val="24"/>
          <w:szCs w:val="24"/>
        </w:rPr>
        <w:t>exceptional</w:t>
      </w:r>
      <w:r w:rsidR="00C93EDA">
        <w:rPr>
          <w:rFonts w:ascii="Arial" w:hAnsi="Arial" w:cs="Arial"/>
          <w:sz w:val="24"/>
          <w:szCs w:val="24"/>
        </w:rPr>
        <w:t>’</w:t>
      </w:r>
      <w:r w:rsidR="00532458">
        <w:rPr>
          <w:rFonts w:ascii="Arial" w:hAnsi="Arial" w:cs="Arial"/>
          <w:sz w:val="24"/>
          <w:szCs w:val="24"/>
        </w:rPr>
        <w:t xml:space="preserve"> to satisfy the guidance nor that</w:t>
      </w:r>
      <w:r w:rsidR="00C93EDA">
        <w:rPr>
          <w:rFonts w:ascii="Arial" w:hAnsi="Arial" w:cs="Arial"/>
          <w:sz w:val="24"/>
          <w:szCs w:val="24"/>
        </w:rPr>
        <w:t xml:space="preserve"> it would serve a ‘compelling’ public interest</w:t>
      </w:r>
      <w:r w:rsidR="00532458">
        <w:rPr>
          <w:rFonts w:ascii="Arial" w:hAnsi="Arial" w:cs="Arial"/>
          <w:sz w:val="24"/>
          <w:szCs w:val="24"/>
        </w:rPr>
        <w:t xml:space="preserve"> </w:t>
      </w:r>
      <w:r w:rsidR="00E47FFD">
        <w:rPr>
          <w:rFonts w:ascii="Arial" w:hAnsi="Arial" w:cs="Arial"/>
          <w:sz w:val="24"/>
          <w:szCs w:val="24"/>
        </w:rPr>
        <w:t>. In addition, as the proposed development that would be enabled as a result of the dere</w:t>
      </w:r>
      <w:r w:rsidR="00210912">
        <w:rPr>
          <w:rFonts w:ascii="Arial" w:hAnsi="Arial" w:cs="Arial"/>
          <w:sz w:val="24"/>
          <w:szCs w:val="24"/>
        </w:rPr>
        <w:t>gistration includes some landscaped open space</w:t>
      </w:r>
      <w:r w:rsidR="00140444">
        <w:rPr>
          <w:rFonts w:ascii="Arial" w:hAnsi="Arial" w:cs="Arial"/>
          <w:sz w:val="24"/>
          <w:szCs w:val="24"/>
        </w:rPr>
        <w:t xml:space="preserve"> there would seem to be no ‘compelling’ reason why the </w:t>
      </w:r>
      <w:r w:rsidR="001E4DF8">
        <w:rPr>
          <w:rFonts w:ascii="Arial" w:hAnsi="Arial" w:cs="Arial"/>
          <w:sz w:val="24"/>
          <w:szCs w:val="24"/>
        </w:rPr>
        <w:t>offer of replacement land is not possible.</w:t>
      </w:r>
    </w:p>
    <w:p w14:paraId="37F0CC4E" w14:textId="57EB2318" w:rsidR="00DA1566" w:rsidRDefault="00050379" w:rsidP="00AE36CF">
      <w:pPr>
        <w:pStyle w:val="Style1"/>
        <w:tabs>
          <w:tab w:val="clear" w:pos="720"/>
        </w:tabs>
        <w:rPr>
          <w:rFonts w:ascii="Arial" w:hAnsi="Arial" w:cs="Arial"/>
          <w:sz w:val="24"/>
          <w:szCs w:val="24"/>
        </w:rPr>
      </w:pPr>
      <w:r>
        <w:rPr>
          <w:rFonts w:ascii="Arial" w:hAnsi="Arial" w:cs="Arial"/>
          <w:sz w:val="24"/>
          <w:szCs w:val="24"/>
        </w:rPr>
        <w:t xml:space="preserve">However, </w:t>
      </w:r>
      <w:r w:rsidR="003E69F7">
        <w:rPr>
          <w:rFonts w:ascii="Arial" w:hAnsi="Arial" w:cs="Arial"/>
          <w:sz w:val="24"/>
          <w:szCs w:val="24"/>
        </w:rPr>
        <w:t>since the application was submitted and the site visit held</w:t>
      </w:r>
      <w:r w:rsidR="00452863">
        <w:rPr>
          <w:rFonts w:ascii="Arial" w:hAnsi="Arial" w:cs="Arial"/>
          <w:sz w:val="24"/>
          <w:szCs w:val="24"/>
        </w:rPr>
        <w:t xml:space="preserve">, the current owner of land adjacent to the release land and </w:t>
      </w:r>
      <w:r w:rsidR="00BA0967">
        <w:rPr>
          <w:rFonts w:ascii="Arial" w:hAnsi="Arial" w:cs="Arial"/>
          <w:sz w:val="24"/>
          <w:szCs w:val="24"/>
        </w:rPr>
        <w:t>the proposed future owner and developer of this land have entered into a legally binding agreement</w:t>
      </w:r>
      <w:r w:rsidR="00F8672E">
        <w:rPr>
          <w:rFonts w:ascii="Arial" w:hAnsi="Arial" w:cs="Arial"/>
          <w:sz w:val="24"/>
          <w:szCs w:val="24"/>
        </w:rPr>
        <w:t xml:space="preserve"> to </w:t>
      </w:r>
      <w:r w:rsidR="00F45612">
        <w:rPr>
          <w:rFonts w:ascii="Arial" w:hAnsi="Arial" w:cs="Arial"/>
          <w:sz w:val="24"/>
          <w:szCs w:val="24"/>
        </w:rPr>
        <w:t>register 2 areas of land</w:t>
      </w:r>
      <w:r w:rsidR="00FE54E4">
        <w:rPr>
          <w:rFonts w:ascii="Arial" w:hAnsi="Arial" w:cs="Arial"/>
          <w:sz w:val="24"/>
          <w:szCs w:val="24"/>
        </w:rPr>
        <w:t xml:space="preserve"> as village green, if the deregistration of the release land is approved</w:t>
      </w:r>
      <w:r w:rsidR="00EF5959">
        <w:rPr>
          <w:rFonts w:ascii="Arial" w:hAnsi="Arial" w:cs="Arial"/>
          <w:sz w:val="24"/>
          <w:szCs w:val="24"/>
        </w:rPr>
        <w:t>. The land subject to this agreement</w:t>
      </w:r>
      <w:r w:rsidR="009609C0">
        <w:rPr>
          <w:rFonts w:ascii="Arial" w:hAnsi="Arial" w:cs="Arial"/>
          <w:sz w:val="24"/>
          <w:szCs w:val="24"/>
        </w:rPr>
        <w:t xml:space="preserve"> comprises 2 strips of amenity land </w:t>
      </w:r>
      <w:r w:rsidR="00731849">
        <w:rPr>
          <w:rFonts w:ascii="Arial" w:hAnsi="Arial" w:cs="Arial"/>
          <w:sz w:val="24"/>
          <w:szCs w:val="24"/>
        </w:rPr>
        <w:t>immediately adjoining the existing village green</w:t>
      </w:r>
      <w:r w:rsidR="009E0395">
        <w:rPr>
          <w:rFonts w:ascii="Arial" w:hAnsi="Arial" w:cs="Arial"/>
          <w:sz w:val="24"/>
          <w:szCs w:val="24"/>
        </w:rPr>
        <w:t xml:space="preserve"> and in total </w:t>
      </w:r>
      <w:r w:rsidR="001646ED">
        <w:rPr>
          <w:rFonts w:ascii="Arial" w:hAnsi="Arial" w:cs="Arial"/>
          <w:sz w:val="24"/>
          <w:szCs w:val="24"/>
        </w:rPr>
        <w:t>significantly larger in area than the release land.</w:t>
      </w:r>
      <w:r w:rsidR="001211F7">
        <w:rPr>
          <w:rFonts w:ascii="Arial" w:hAnsi="Arial" w:cs="Arial"/>
          <w:sz w:val="24"/>
          <w:szCs w:val="24"/>
        </w:rPr>
        <w:t xml:space="preserve"> </w:t>
      </w:r>
      <w:r w:rsidR="008327D2">
        <w:rPr>
          <w:rFonts w:ascii="Arial" w:hAnsi="Arial" w:cs="Arial"/>
          <w:sz w:val="24"/>
          <w:szCs w:val="24"/>
        </w:rPr>
        <w:t xml:space="preserve">This land will effectively become replacement land </w:t>
      </w:r>
      <w:r w:rsidR="0073235F">
        <w:rPr>
          <w:rFonts w:ascii="Arial" w:hAnsi="Arial" w:cs="Arial"/>
          <w:sz w:val="24"/>
          <w:szCs w:val="24"/>
        </w:rPr>
        <w:t xml:space="preserve">for the release land and the agreement specifies that it will be registered as village green within 3 months of the completion of the </w:t>
      </w:r>
      <w:r w:rsidR="00D1532C">
        <w:rPr>
          <w:rFonts w:ascii="Arial" w:hAnsi="Arial" w:cs="Arial"/>
          <w:sz w:val="24"/>
          <w:szCs w:val="24"/>
        </w:rPr>
        <w:t>associated housing development.</w:t>
      </w:r>
    </w:p>
    <w:p w14:paraId="219C40AC" w14:textId="588A7094" w:rsidR="00D1532C" w:rsidRPr="0094298D" w:rsidRDefault="00C977DC" w:rsidP="00AE36CF">
      <w:pPr>
        <w:pStyle w:val="Style1"/>
        <w:tabs>
          <w:tab w:val="clear" w:pos="720"/>
        </w:tabs>
        <w:rPr>
          <w:rFonts w:ascii="Arial" w:hAnsi="Arial" w:cs="Arial"/>
          <w:sz w:val="24"/>
          <w:szCs w:val="24"/>
        </w:rPr>
      </w:pPr>
      <w:r>
        <w:rPr>
          <w:rFonts w:ascii="Arial" w:hAnsi="Arial" w:cs="Arial"/>
          <w:sz w:val="24"/>
          <w:szCs w:val="24"/>
        </w:rPr>
        <w:lastRenderedPageBreak/>
        <w:t xml:space="preserve">The provision of this additional village green land along with the other </w:t>
      </w:r>
      <w:r w:rsidR="004266CA">
        <w:rPr>
          <w:rFonts w:ascii="Arial" w:hAnsi="Arial" w:cs="Arial"/>
          <w:sz w:val="24"/>
          <w:szCs w:val="24"/>
        </w:rPr>
        <w:t xml:space="preserve">benefits of the proposed deregistration </w:t>
      </w:r>
      <w:r w:rsidR="000F29E5">
        <w:rPr>
          <w:rFonts w:ascii="Arial" w:hAnsi="Arial" w:cs="Arial"/>
          <w:sz w:val="24"/>
          <w:szCs w:val="24"/>
        </w:rPr>
        <w:t>described above</w:t>
      </w:r>
      <w:r w:rsidR="00136AD4">
        <w:rPr>
          <w:rFonts w:ascii="Arial" w:hAnsi="Arial" w:cs="Arial"/>
          <w:sz w:val="24"/>
          <w:szCs w:val="24"/>
        </w:rPr>
        <w:t xml:space="preserve"> </w:t>
      </w:r>
      <w:r w:rsidR="00AB1E33">
        <w:rPr>
          <w:rFonts w:ascii="Arial" w:hAnsi="Arial" w:cs="Arial"/>
          <w:sz w:val="24"/>
          <w:szCs w:val="24"/>
        </w:rPr>
        <w:t>satisfies the requirement for the deregistration to be in the interests of the neighbourhood.</w:t>
      </w:r>
    </w:p>
    <w:p w14:paraId="24AEA971" w14:textId="77777777" w:rsidR="00AE36CF" w:rsidRPr="0094298D" w:rsidRDefault="00AE36CF" w:rsidP="00AE36CF">
      <w:pPr>
        <w:pStyle w:val="Long3"/>
        <w:rPr>
          <w:rFonts w:ascii="Arial" w:hAnsi="Arial" w:cs="Arial"/>
          <w:sz w:val="24"/>
          <w:szCs w:val="24"/>
        </w:rPr>
      </w:pPr>
      <w:r w:rsidRPr="0094298D">
        <w:rPr>
          <w:rFonts w:ascii="Arial" w:hAnsi="Arial" w:cs="Arial"/>
          <w:sz w:val="24"/>
          <w:szCs w:val="24"/>
        </w:rPr>
        <w:t>The public interest</w:t>
      </w:r>
    </w:p>
    <w:p w14:paraId="5BA71636" w14:textId="62AC99C8" w:rsidR="00AE36CF" w:rsidRPr="0094298D" w:rsidRDefault="00AE36CF" w:rsidP="00AE36CF">
      <w:pPr>
        <w:pStyle w:val="Long4"/>
        <w:rPr>
          <w:rFonts w:ascii="Arial" w:hAnsi="Arial" w:cs="Arial"/>
          <w:sz w:val="24"/>
          <w:szCs w:val="24"/>
        </w:rPr>
      </w:pPr>
      <w:r w:rsidRPr="0094298D">
        <w:rPr>
          <w:rFonts w:ascii="Arial" w:hAnsi="Arial" w:cs="Arial"/>
          <w:sz w:val="24"/>
          <w:szCs w:val="24"/>
        </w:rPr>
        <w:t>Nature Conservation</w:t>
      </w:r>
    </w:p>
    <w:p w14:paraId="12947369" w14:textId="482A44FD" w:rsidR="0094298D" w:rsidRPr="0094298D" w:rsidRDefault="0094298D" w:rsidP="0094298D">
      <w:pPr>
        <w:pStyle w:val="Style1"/>
        <w:tabs>
          <w:tab w:val="clear" w:pos="720"/>
        </w:tabs>
        <w:rPr>
          <w:rFonts w:ascii="Arial" w:hAnsi="Arial" w:cs="Arial"/>
          <w:sz w:val="24"/>
          <w:szCs w:val="24"/>
        </w:rPr>
      </w:pPr>
      <w:r w:rsidRPr="0094298D">
        <w:rPr>
          <w:rFonts w:ascii="Arial" w:hAnsi="Arial" w:cs="Arial"/>
          <w:sz w:val="24"/>
          <w:szCs w:val="24"/>
        </w:rPr>
        <w:t>There is no evidence that the proposed deregistration will have any adverse effect on nature conservation.</w:t>
      </w:r>
      <w:r w:rsidR="00926353">
        <w:rPr>
          <w:rFonts w:ascii="Arial" w:hAnsi="Arial" w:cs="Arial"/>
          <w:sz w:val="24"/>
          <w:szCs w:val="24"/>
        </w:rPr>
        <w:t xml:space="preserve"> The are</w:t>
      </w:r>
      <w:r w:rsidR="004428EB">
        <w:rPr>
          <w:rFonts w:ascii="Arial" w:hAnsi="Arial" w:cs="Arial"/>
          <w:sz w:val="24"/>
          <w:szCs w:val="24"/>
        </w:rPr>
        <w:t>a</w:t>
      </w:r>
      <w:r w:rsidR="00926353">
        <w:rPr>
          <w:rFonts w:ascii="Arial" w:hAnsi="Arial" w:cs="Arial"/>
          <w:sz w:val="24"/>
          <w:szCs w:val="24"/>
        </w:rPr>
        <w:t xml:space="preserve"> proposed to be de-registered</w:t>
      </w:r>
      <w:r w:rsidR="00757EDD">
        <w:rPr>
          <w:rFonts w:ascii="Arial" w:hAnsi="Arial" w:cs="Arial"/>
          <w:sz w:val="24"/>
          <w:szCs w:val="24"/>
        </w:rPr>
        <w:t xml:space="preserve"> is not subject to any designation for nature conservation</w:t>
      </w:r>
      <w:r w:rsidR="00D1220B">
        <w:rPr>
          <w:rFonts w:ascii="Arial" w:hAnsi="Arial" w:cs="Arial"/>
          <w:sz w:val="24"/>
          <w:szCs w:val="24"/>
        </w:rPr>
        <w:t xml:space="preserve">. Natural England </w:t>
      </w:r>
      <w:r w:rsidR="00D11FF9">
        <w:rPr>
          <w:rFonts w:ascii="Arial" w:hAnsi="Arial" w:cs="Arial"/>
          <w:sz w:val="24"/>
          <w:szCs w:val="24"/>
        </w:rPr>
        <w:t xml:space="preserve">(NE) </w:t>
      </w:r>
      <w:r w:rsidR="00133E80">
        <w:rPr>
          <w:rFonts w:ascii="Arial" w:hAnsi="Arial" w:cs="Arial"/>
          <w:sz w:val="24"/>
          <w:szCs w:val="24"/>
        </w:rPr>
        <w:t xml:space="preserve">was consulted on the application and commented that the release land </w:t>
      </w:r>
      <w:r w:rsidR="00183A78">
        <w:rPr>
          <w:rFonts w:ascii="Arial" w:hAnsi="Arial" w:cs="Arial"/>
          <w:sz w:val="24"/>
          <w:szCs w:val="24"/>
        </w:rPr>
        <w:t>is unlikely to have any notable level of biodiversity interest</w:t>
      </w:r>
      <w:r w:rsidR="00D11FF9">
        <w:rPr>
          <w:rFonts w:ascii="Arial" w:hAnsi="Arial" w:cs="Arial"/>
          <w:sz w:val="24"/>
          <w:szCs w:val="24"/>
        </w:rPr>
        <w:t xml:space="preserve"> and NE had no objection to the proposal</w:t>
      </w:r>
      <w:r w:rsidR="009858BC">
        <w:rPr>
          <w:rFonts w:ascii="Arial" w:hAnsi="Arial" w:cs="Arial"/>
          <w:sz w:val="24"/>
          <w:szCs w:val="24"/>
        </w:rPr>
        <w:t>.</w:t>
      </w:r>
    </w:p>
    <w:p w14:paraId="340BFE5E" w14:textId="114D47C4" w:rsidR="00AE36CF" w:rsidRDefault="00AE36CF" w:rsidP="00AE36CF">
      <w:pPr>
        <w:pStyle w:val="Long4"/>
        <w:rPr>
          <w:rFonts w:ascii="Arial" w:hAnsi="Arial" w:cs="Arial"/>
          <w:sz w:val="24"/>
          <w:szCs w:val="24"/>
        </w:rPr>
      </w:pPr>
      <w:r w:rsidRPr="0094298D">
        <w:rPr>
          <w:rFonts w:ascii="Arial" w:hAnsi="Arial" w:cs="Arial"/>
          <w:sz w:val="24"/>
          <w:szCs w:val="24"/>
        </w:rPr>
        <w:t>Landscape</w:t>
      </w:r>
    </w:p>
    <w:p w14:paraId="5CC6DD3A" w14:textId="4301003A" w:rsidR="001F3809" w:rsidRPr="001F3809" w:rsidRDefault="00D8261A" w:rsidP="00402759">
      <w:pPr>
        <w:pStyle w:val="Style1"/>
        <w:tabs>
          <w:tab w:val="clear" w:pos="720"/>
        </w:tabs>
      </w:pPr>
      <w:r>
        <w:t>The construction of the proposed access road</w:t>
      </w:r>
      <w:r w:rsidR="00402759">
        <w:t xml:space="preserve"> will alter the appearance of</w:t>
      </w:r>
      <w:r w:rsidR="0000299C">
        <w:t xml:space="preserve"> the village green to a limited extent</w:t>
      </w:r>
      <w:r w:rsidR="00B27A78">
        <w:t xml:space="preserve"> but will not have a significant effect on the wider landscape.</w:t>
      </w:r>
    </w:p>
    <w:p w14:paraId="4B2A3371" w14:textId="52F5F50F" w:rsidR="00AE36CF" w:rsidRDefault="00AE36CF" w:rsidP="00AE36CF">
      <w:pPr>
        <w:pStyle w:val="Long4"/>
        <w:rPr>
          <w:rFonts w:ascii="Arial" w:hAnsi="Arial" w:cs="Arial"/>
          <w:sz w:val="24"/>
          <w:szCs w:val="24"/>
        </w:rPr>
      </w:pPr>
      <w:r w:rsidRPr="0094298D">
        <w:rPr>
          <w:rFonts w:ascii="Arial" w:hAnsi="Arial" w:cs="Arial"/>
          <w:sz w:val="24"/>
          <w:szCs w:val="24"/>
        </w:rPr>
        <w:t>Public Access</w:t>
      </w:r>
    </w:p>
    <w:p w14:paraId="014EA8BE" w14:textId="77777777" w:rsidR="00CC3BB4" w:rsidRDefault="003F78F6" w:rsidP="00D07F91">
      <w:pPr>
        <w:pStyle w:val="Style1"/>
        <w:tabs>
          <w:tab w:val="clear" w:pos="720"/>
        </w:tabs>
      </w:pPr>
      <w:r>
        <w:t>As it is proposed that the release land will become a public road</w:t>
      </w:r>
      <w:r w:rsidR="00D07F91">
        <w:t xml:space="preserve"> if the deregistration is approv</w:t>
      </w:r>
      <w:r w:rsidR="00837BDA">
        <w:t>e</w:t>
      </w:r>
      <w:r w:rsidR="00D07F91">
        <w:t>d</w:t>
      </w:r>
      <w:r w:rsidR="00763F53">
        <w:t>,</w:t>
      </w:r>
      <w:r w:rsidR="00837BDA">
        <w:t xml:space="preserve"> </w:t>
      </w:r>
      <w:r w:rsidR="00352A2B">
        <w:t>public access will still be available</w:t>
      </w:r>
      <w:r w:rsidR="00D2467C">
        <w:t xml:space="preserve">. </w:t>
      </w:r>
      <w:r w:rsidR="00252F59">
        <w:t>In addition,</w:t>
      </w:r>
      <w:r w:rsidR="00C6709C">
        <w:t xml:space="preserve"> the proposed registration of additional village green land</w:t>
      </w:r>
      <w:r w:rsidR="00364EA7">
        <w:t xml:space="preserve"> will increase the amount of land available for public access.</w:t>
      </w:r>
      <w:r w:rsidR="00CC3BB4">
        <w:t xml:space="preserve"> </w:t>
      </w:r>
    </w:p>
    <w:p w14:paraId="40C72C7F" w14:textId="475AE01D" w:rsidR="00142C79" w:rsidRPr="00142C79" w:rsidRDefault="00D2467C" w:rsidP="00D07F91">
      <w:pPr>
        <w:pStyle w:val="Style1"/>
        <w:tabs>
          <w:tab w:val="clear" w:pos="720"/>
        </w:tabs>
      </w:pPr>
      <w:r>
        <w:t xml:space="preserve">At present </w:t>
      </w:r>
      <w:r w:rsidR="00F33393">
        <w:t>there is no foot</w:t>
      </w:r>
      <w:r w:rsidR="00C42BD8">
        <w:t>path</w:t>
      </w:r>
      <w:r w:rsidR="00EA130E">
        <w:t xml:space="preserve"> within this section of the village green</w:t>
      </w:r>
      <w:r w:rsidR="00824781">
        <w:t xml:space="preserve"> and it does not appear to be much used by pedestrians.</w:t>
      </w:r>
      <w:r w:rsidR="009A31D3">
        <w:t xml:space="preserve"> </w:t>
      </w:r>
      <w:r w:rsidR="00B11117">
        <w:t>It is proposed in the application that a foot</w:t>
      </w:r>
      <w:r w:rsidR="00026F73">
        <w:t xml:space="preserve">path will be </w:t>
      </w:r>
      <w:r w:rsidR="005469A9">
        <w:t>created on part of the existing village green to facilitate pedestrian access.</w:t>
      </w:r>
      <w:r w:rsidR="00B11117">
        <w:t xml:space="preserve"> </w:t>
      </w:r>
    </w:p>
    <w:p w14:paraId="2D0440FB" w14:textId="09E97EF3" w:rsidR="00AE36CF" w:rsidRDefault="00AE36CF" w:rsidP="00AE36CF">
      <w:pPr>
        <w:pStyle w:val="Long4"/>
        <w:rPr>
          <w:rFonts w:ascii="Arial" w:hAnsi="Arial" w:cs="Arial"/>
          <w:sz w:val="24"/>
          <w:szCs w:val="24"/>
        </w:rPr>
      </w:pPr>
      <w:r w:rsidRPr="0094298D">
        <w:rPr>
          <w:rFonts w:ascii="Arial" w:hAnsi="Arial" w:cs="Arial"/>
          <w:sz w:val="24"/>
          <w:szCs w:val="24"/>
        </w:rPr>
        <w:t>Archaeological remains and features of historic interest</w:t>
      </w:r>
    </w:p>
    <w:p w14:paraId="5DB7E015" w14:textId="545A0D3C" w:rsidR="006E000B" w:rsidRPr="006E12A5" w:rsidRDefault="006E000B" w:rsidP="006E12A5">
      <w:pPr>
        <w:pStyle w:val="Style1"/>
        <w:tabs>
          <w:tab w:val="clear" w:pos="720"/>
        </w:tabs>
        <w:rPr>
          <w:szCs w:val="22"/>
        </w:rPr>
      </w:pPr>
      <w:r>
        <w:rPr>
          <w:szCs w:val="22"/>
        </w:rPr>
        <w:t>There are no known issues relating to archaeological remains or features of historic interest.</w:t>
      </w:r>
    </w:p>
    <w:p w14:paraId="173DA93D" w14:textId="77777777" w:rsidR="00AE36CF" w:rsidRDefault="00AE36CF" w:rsidP="00AE36CF">
      <w:pPr>
        <w:pStyle w:val="Long4"/>
        <w:rPr>
          <w:rFonts w:ascii="Arial" w:hAnsi="Arial" w:cs="Arial"/>
          <w:sz w:val="24"/>
          <w:szCs w:val="24"/>
        </w:rPr>
      </w:pPr>
      <w:r w:rsidRPr="0094298D">
        <w:rPr>
          <w:rFonts w:ascii="Arial" w:hAnsi="Arial" w:cs="Arial"/>
          <w:sz w:val="24"/>
          <w:szCs w:val="24"/>
        </w:rPr>
        <w:t>Conclusions on the public interest</w:t>
      </w:r>
    </w:p>
    <w:p w14:paraId="33924AA6" w14:textId="33895B2C" w:rsidR="00AE36CF" w:rsidRPr="00E26906" w:rsidRDefault="00515BC1" w:rsidP="00E26906">
      <w:pPr>
        <w:pStyle w:val="Style1"/>
        <w:tabs>
          <w:tab w:val="clear" w:pos="720"/>
        </w:tabs>
        <w:rPr>
          <w:szCs w:val="22"/>
        </w:rPr>
      </w:pPr>
      <w:r w:rsidRPr="00F9550D">
        <w:rPr>
          <w:szCs w:val="22"/>
        </w:rPr>
        <w:t xml:space="preserve">Overall, the </w:t>
      </w:r>
      <w:r w:rsidR="00411AED" w:rsidRPr="00F9550D">
        <w:rPr>
          <w:szCs w:val="22"/>
        </w:rPr>
        <w:t xml:space="preserve">proposed </w:t>
      </w:r>
      <w:r w:rsidRPr="00F9550D">
        <w:rPr>
          <w:szCs w:val="22"/>
        </w:rPr>
        <w:t>der</w:t>
      </w:r>
      <w:r w:rsidR="00F9550D" w:rsidRPr="00F9550D">
        <w:rPr>
          <w:szCs w:val="22"/>
        </w:rPr>
        <w:t>egistration</w:t>
      </w:r>
      <w:r w:rsidR="00CC3BB4">
        <w:rPr>
          <w:szCs w:val="22"/>
        </w:rPr>
        <w:t>, along with the</w:t>
      </w:r>
      <w:r w:rsidR="00411AED">
        <w:rPr>
          <w:szCs w:val="22"/>
        </w:rPr>
        <w:t xml:space="preserve"> </w:t>
      </w:r>
      <w:r w:rsidR="00203287">
        <w:rPr>
          <w:szCs w:val="22"/>
        </w:rPr>
        <w:t>registration of additional village green,</w:t>
      </w:r>
      <w:r w:rsidR="00F9550D">
        <w:rPr>
          <w:szCs w:val="22"/>
        </w:rPr>
        <w:t xml:space="preserve"> will</w:t>
      </w:r>
      <w:r w:rsidR="00203287">
        <w:rPr>
          <w:szCs w:val="22"/>
        </w:rPr>
        <w:t xml:space="preserve"> </w:t>
      </w:r>
      <w:r w:rsidR="009B5FAB">
        <w:rPr>
          <w:szCs w:val="22"/>
        </w:rPr>
        <w:t xml:space="preserve">not have </w:t>
      </w:r>
      <w:r w:rsidR="00E1395A">
        <w:rPr>
          <w:szCs w:val="22"/>
        </w:rPr>
        <w:t>a</w:t>
      </w:r>
      <w:r w:rsidR="00FF3A37">
        <w:rPr>
          <w:szCs w:val="22"/>
        </w:rPr>
        <w:t>n adverse</w:t>
      </w:r>
      <w:r w:rsidR="00E1395A">
        <w:rPr>
          <w:szCs w:val="22"/>
        </w:rPr>
        <w:t xml:space="preserve"> effect on the public interest.</w:t>
      </w:r>
    </w:p>
    <w:p w14:paraId="0E4692B5" w14:textId="77777777" w:rsidR="00AE36CF" w:rsidRDefault="00AE36CF" w:rsidP="00AE36CF">
      <w:pPr>
        <w:pStyle w:val="Long2"/>
        <w:rPr>
          <w:rFonts w:ascii="Arial" w:hAnsi="Arial" w:cs="Arial"/>
          <w:sz w:val="24"/>
          <w:szCs w:val="24"/>
        </w:rPr>
      </w:pPr>
      <w:r w:rsidRPr="0094298D">
        <w:rPr>
          <w:rFonts w:ascii="Arial" w:hAnsi="Arial" w:cs="Arial"/>
          <w:sz w:val="24"/>
          <w:szCs w:val="24"/>
        </w:rPr>
        <w:t xml:space="preserve">Conclusion </w:t>
      </w:r>
    </w:p>
    <w:p w14:paraId="1E7F58B4" w14:textId="52AA3E29" w:rsidR="00BD09CD" w:rsidRDefault="005C5155" w:rsidP="006062E5">
      <w:pPr>
        <w:pStyle w:val="Style1"/>
        <w:tabs>
          <w:tab w:val="clear" w:pos="720"/>
        </w:tabs>
      </w:pPr>
      <w:r>
        <w:t xml:space="preserve">This </w:t>
      </w:r>
      <w:r w:rsidR="00840EA9">
        <w:t>application</w:t>
      </w:r>
      <w:r w:rsidR="00E41C85">
        <w:t>, when considered in associ</w:t>
      </w:r>
      <w:r w:rsidR="008739A8">
        <w:t xml:space="preserve">ation with the </w:t>
      </w:r>
      <w:r w:rsidR="00580DDD">
        <w:t>legal agreement that will come into effect if it is approved</w:t>
      </w:r>
      <w:r w:rsidR="00840EA9">
        <w:t>,</w:t>
      </w:r>
      <w:r>
        <w:t xml:space="preserve"> will have no significant adverse effect on the interests of persons having rights in relation to, or occupying, the release land, the interests of the neighbourhood or the wider public. The application should therefore be granted.</w:t>
      </w:r>
    </w:p>
    <w:p w14:paraId="4C2C6C87" w14:textId="77777777" w:rsidR="00703EB2" w:rsidRDefault="00703EB2" w:rsidP="00703EB2">
      <w:pPr>
        <w:pStyle w:val="Style1"/>
        <w:numPr>
          <w:ilvl w:val="0"/>
          <w:numId w:val="0"/>
        </w:numPr>
        <w:ind w:left="432"/>
      </w:pPr>
    </w:p>
    <w:p w14:paraId="167AB6C7" w14:textId="77777777" w:rsidR="00AE36CF" w:rsidRPr="00706C08" w:rsidRDefault="00AE36CF" w:rsidP="00AE36CF">
      <w:pPr>
        <w:tabs>
          <w:tab w:val="left" w:pos="425"/>
        </w:tabs>
        <w:spacing w:before="180"/>
        <w:rPr>
          <w:rFonts w:ascii="Monotype Corsiva" w:hAnsi="Monotype Corsiva"/>
          <w:sz w:val="32"/>
          <w:szCs w:val="32"/>
        </w:rPr>
      </w:pPr>
      <w:r w:rsidRPr="002674BA">
        <w:rPr>
          <w:rFonts w:ascii="Monotype Corsiva" w:hAnsi="Monotype Corsiva"/>
          <w:sz w:val="32"/>
          <w:szCs w:val="32"/>
        </w:rPr>
        <w:t>Barney Grimshaw</w:t>
      </w:r>
    </w:p>
    <w:p w14:paraId="7CC2AB68" w14:textId="77777777" w:rsidR="00AE36CF" w:rsidRPr="00D23A94" w:rsidRDefault="00AE36CF" w:rsidP="00AE36CF">
      <w:pPr>
        <w:pStyle w:val="Long1"/>
        <w:rPr>
          <w:szCs w:val="22"/>
        </w:rPr>
      </w:pPr>
      <w:r>
        <w:t>INSPECTOR</w:t>
      </w:r>
    </w:p>
    <w:p w14:paraId="1B2239DA" w14:textId="77777777" w:rsidR="0038184E" w:rsidRDefault="0038184E" w:rsidP="0038184E">
      <w:pPr>
        <w:pStyle w:val="Long2"/>
      </w:pPr>
      <w:r>
        <w:br w:type="page"/>
      </w:r>
      <w:r>
        <w:lastRenderedPageBreak/>
        <w:t>Order</w:t>
      </w:r>
    </w:p>
    <w:p w14:paraId="0B121EB0" w14:textId="77777777" w:rsidR="0038184E" w:rsidRPr="00B93056" w:rsidRDefault="0038184E" w:rsidP="0038184E">
      <w:pPr>
        <w:pStyle w:val="Style2"/>
        <w:numPr>
          <w:ilvl w:val="0"/>
          <w:numId w:val="0"/>
        </w:numPr>
      </w:pPr>
    </w:p>
    <w:p w14:paraId="51300C25" w14:textId="77777777" w:rsidR="0038184E" w:rsidRDefault="0038184E" w:rsidP="0038184E">
      <w:pPr>
        <w:autoSpaceDE w:val="0"/>
        <w:autoSpaceDN w:val="0"/>
        <w:adjustRightInd w:val="0"/>
        <w:ind w:left="284"/>
        <w:rPr>
          <w:rFonts w:cs="Verdana"/>
          <w:szCs w:val="22"/>
        </w:rPr>
      </w:pPr>
      <w:r>
        <w:rPr>
          <w:rFonts w:cs="Verdana"/>
          <w:szCs w:val="22"/>
        </w:rPr>
        <w:t>On behalf of the Secretary of State for Environment, Food and Rural Affairs and</w:t>
      </w:r>
    </w:p>
    <w:p w14:paraId="3B4EC8D9" w14:textId="77777777" w:rsidR="0038184E" w:rsidRDefault="0038184E" w:rsidP="0038184E">
      <w:pPr>
        <w:autoSpaceDE w:val="0"/>
        <w:autoSpaceDN w:val="0"/>
        <w:adjustRightInd w:val="0"/>
        <w:ind w:left="284"/>
        <w:rPr>
          <w:rFonts w:cs="Verdana"/>
          <w:b/>
          <w:bCs/>
          <w:szCs w:val="22"/>
        </w:rPr>
      </w:pPr>
      <w:r>
        <w:rPr>
          <w:rFonts w:cs="Verdana"/>
          <w:szCs w:val="22"/>
        </w:rPr>
        <w:t xml:space="preserve">pursuant to section 17(1) and (2) of the Commons Act 2006, </w:t>
      </w:r>
      <w:r>
        <w:rPr>
          <w:rFonts w:cs="Verdana"/>
          <w:b/>
          <w:bCs/>
          <w:szCs w:val="22"/>
        </w:rPr>
        <w:t>I HEREBY ORDER</w:t>
      </w:r>
    </w:p>
    <w:p w14:paraId="587C0BC4" w14:textId="2D28B0ED" w:rsidR="0038184E" w:rsidRDefault="0038184E" w:rsidP="0038184E">
      <w:pPr>
        <w:autoSpaceDE w:val="0"/>
        <w:autoSpaceDN w:val="0"/>
        <w:adjustRightInd w:val="0"/>
        <w:ind w:left="284"/>
        <w:rPr>
          <w:rFonts w:cs="Verdana"/>
          <w:szCs w:val="22"/>
        </w:rPr>
      </w:pPr>
      <w:r>
        <w:rPr>
          <w:rFonts w:cs="Verdana"/>
          <w:szCs w:val="22"/>
        </w:rPr>
        <w:t>Northumberland County Council, as commons registration authority for the area in which the release land is situated:</w:t>
      </w:r>
    </w:p>
    <w:p w14:paraId="29DC3D5D" w14:textId="77777777" w:rsidR="0038184E" w:rsidRDefault="0038184E" w:rsidP="0038184E">
      <w:pPr>
        <w:autoSpaceDE w:val="0"/>
        <w:autoSpaceDN w:val="0"/>
        <w:adjustRightInd w:val="0"/>
        <w:rPr>
          <w:rFonts w:cs="Verdana"/>
          <w:szCs w:val="22"/>
        </w:rPr>
      </w:pPr>
    </w:p>
    <w:p w14:paraId="012AE67D" w14:textId="0E5482AA" w:rsidR="0038184E" w:rsidRDefault="0038184E" w:rsidP="0038184E">
      <w:pPr>
        <w:autoSpaceDE w:val="0"/>
        <w:autoSpaceDN w:val="0"/>
        <w:adjustRightInd w:val="0"/>
        <w:ind w:left="709" w:hanging="283"/>
        <w:rPr>
          <w:rFonts w:cs="Verdana"/>
          <w:szCs w:val="22"/>
        </w:rPr>
      </w:pPr>
      <w:r>
        <w:rPr>
          <w:rFonts w:cs="Verdana"/>
          <w:szCs w:val="22"/>
        </w:rPr>
        <w:t>- to remove the release land from its register of town and village greens, by amending register unit VG 1</w:t>
      </w:r>
      <w:r w:rsidR="004F1879">
        <w:rPr>
          <w:rFonts w:cs="Verdana"/>
          <w:szCs w:val="22"/>
        </w:rPr>
        <w:t>8</w:t>
      </w:r>
      <w:r>
        <w:rPr>
          <w:rFonts w:cs="Verdana"/>
          <w:szCs w:val="22"/>
        </w:rPr>
        <w:t xml:space="preserve"> to exclude the release land; </w:t>
      </w:r>
    </w:p>
    <w:p w14:paraId="65D90ABF" w14:textId="77777777" w:rsidR="0038184E" w:rsidRDefault="0038184E" w:rsidP="0038184E">
      <w:pPr>
        <w:autoSpaceDE w:val="0"/>
        <w:autoSpaceDN w:val="0"/>
        <w:adjustRightInd w:val="0"/>
        <w:rPr>
          <w:rFonts w:cs="Verdana"/>
          <w:szCs w:val="22"/>
        </w:rPr>
      </w:pPr>
      <w:r>
        <w:rPr>
          <w:rFonts w:cs="Verdana"/>
          <w:szCs w:val="22"/>
        </w:rPr>
        <w:t xml:space="preserve"> </w:t>
      </w:r>
    </w:p>
    <w:p w14:paraId="527E2A36" w14:textId="77777777" w:rsidR="0038184E" w:rsidRDefault="0038184E" w:rsidP="0038184E">
      <w:pPr>
        <w:autoSpaceDE w:val="0"/>
        <w:autoSpaceDN w:val="0"/>
        <w:adjustRightInd w:val="0"/>
        <w:rPr>
          <w:rFonts w:cs="Verdana"/>
          <w:szCs w:val="22"/>
        </w:rPr>
      </w:pPr>
    </w:p>
    <w:p w14:paraId="4D264357" w14:textId="77777777" w:rsidR="0038184E" w:rsidRDefault="0038184E" w:rsidP="0038184E">
      <w:pPr>
        <w:autoSpaceDE w:val="0"/>
        <w:autoSpaceDN w:val="0"/>
        <w:adjustRightInd w:val="0"/>
        <w:rPr>
          <w:rFonts w:cs="Verdana"/>
          <w:szCs w:val="22"/>
        </w:rPr>
      </w:pPr>
      <w:r>
        <w:rPr>
          <w:rFonts w:cs="Verdana"/>
          <w:b/>
          <w:bCs/>
          <w:szCs w:val="22"/>
        </w:rPr>
        <w:t xml:space="preserve">Schedule – </w:t>
      </w:r>
      <w:r>
        <w:rPr>
          <w:rFonts w:cs="Verdana"/>
          <w:szCs w:val="22"/>
        </w:rPr>
        <w:t>the release land</w:t>
      </w:r>
    </w:p>
    <w:p w14:paraId="4FF245C2" w14:textId="77777777" w:rsidR="0038184E" w:rsidRDefault="0038184E" w:rsidP="0038184E">
      <w:pPr>
        <w:autoSpaceDE w:val="0"/>
        <w:autoSpaceDN w:val="0"/>
        <w:adjustRightInd w:val="0"/>
        <w:rPr>
          <w:rFonts w:cs="Verdan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4424"/>
        <w:gridCol w:w="2410"/>
      </w:tblGrid>
      <w:tr w:rsidR="0038184E" w:rsidRPr="00CC5BB0" w14:paraId="7AB8EC7C" w14:textId="77777777" w:rsidTr="00CD13F3">
        <w:tc>
          <w:tcPr>
            <w:tcW w:w="2518" w:type="dxa"/>
            <w:shd w:val="clear" w:color="auto" w:fill="auto"/>
          </w:tcPr>
          <w:p w14:paraId="1C6B058F" w14:textId="77777777" w:rsidR="0038184E" w:rsidRPr="00CC5BB0" w:rsidRDefault="0038184E" w:rsidP="00CD13F3">
            <w:pPr>
              <w:autoSpaceDE w:val="0"/>
              <w:autoSpaceDN w:val="0"/>
              <w:adjustRightInd w:val="0"/>
              <w:rPr>
                <w:rFonts w:cs="Verdana"/>
                <w:b/>
                <w:szCs w:val="22"/>
              </w:rPr>
            </w:pPr>
            <w:r w:rsidRPr="00CC5BB0">
              <w:rPr>
                <w:rFonts w:cs="Verdana"/>
                <w:b/>
                <w:szCs w:val="22"/>
              </w:rPr>
              <w:t>Colour on plan</w:t>
            </w:r>
          </w:p>
        </w:tc>
        <w:tc>
          <w:tcPr>
            <w:tcW w:w="4536" w:type="dxa"/>
            <w:shd w:val="clear" w:color="auto" w:fill="auto"/>
          </w:tcPr>
          <w:p w14:paraId="50C10FDF" w14:textId="77777777" w:rsidR="0038184E" w:rsidRPr="00CC5BB0" w:rsidRDefault="0038184E" w:rsidP="00CD13F3">
            <w:pPr>
              <w:autoSpaceDE w:val="0"/>
              <w:autoSpaceDN w:val="0"/>
              <w:adjustRightInd w:val="0"/>
              <w:rPr>
                <w:rFonts w:cs="Verdana"/>
                <w:b/>
                <w:szCs w:val="22"/>
              </w:rPr>
            </w:pPr>
            <w:r w:rsidRPr="00CC5BB0">
              <w:rPr>
                <w:rFonts w:cs="Verdana"/>
                <w:b/>
                <w:szCs w:val="22"/>
              </w:rPr>
              <w:t xml:space="preserve">Description </w:t>
            </w:r>
          </w:p>
        </w:tc>
        <w:tc>
          <w:tcPr>
            <w:tcW w:w="2466" w:type="dxa"/>
            <w:shd w:val="clear" w:color="auto" w:fill="auto"/>
          </w:tcPr>
          <w:p w14:paraId="198ABE72" w14:textId="77777777" w:rsidR="0038184E" w:rsidRPr="00CC5BB0" w:rsidRDefault="0038184E" w:rsidP="00CD13F3">
            <w:pPr>
              <w:autoSpaceDE w:val="0"/>
              <w:autoSpaceDN w:val="0"/>
              <w:adjustRightInd w:val="0"/>
              <w:rPr>
                <w:rFonts w:cs="Verdana"/>
                <w:b/>
                <w:szCs w:val="22"/>
              </w:rPr>
            </w:pPr>
            <w:r w:rsidRPr="00CC5BB0">
              <w:rPr>
                <w:rFonts w:cs="Verdana"/>
                <w:b/>
                <w:szCs w:val="22"/>
              </w:rPr>
              <w:t>Extent</w:t>
            </w:r>
          </w:p>
        </w:tc>
      </w:tr>
      <w:tr w:rsidR="0038184E" w:rsidRPr="00CC5BB0" w14:paraId="0365AB7D" w14:textId="77777777" w:rsidTr="00CD13F3">
        <w:tc>
          <w:tcPr>
            <w:tcW w:w="2518" w:type="dxa"/>
            <w:shd w:val="clear" w:color="auto" w:fill="auto"/>
          </w:tcPr>
          <w:p w14:paraId="23553F6B" w14:textId="2E25E83F" w:rsidR="0038184E" w:rsidRPr="00CC5BB0" w:rsidRDefault="00E8550A" w:rsidP="00CD13F3">
            <w:pPr>
              <w:autoSpaceDE w:val="0"/>
              <w:autoSpaceDN w:val="0"/>
              <w:adjustRightInd w:val="0"/>
              <w:rPr>
                <w:rFonts w:cs="Verdana"/>
                <w:szCs w:val="22"/>
              </w:rPr>
            </w:pPr>
            <w:r>
              <w:rPr>
                <w:rFonts w:cs="Verdana"/>
                <w:szCs w:val="22"/>
              </w:rPr>
              <w:t>Edged red</w:t>
            </w:r>
          </w:p>
        </w:tc>
        <w:tc>
          <w:tcPr>
            <w:tcW w:w="4536" w:type="dxa"/>
            <w:shd w:val="clear" w:color="auto" w:fill="auto"/>
          </w:tcPr>
          <w:p w14:paraId="186EB4C7" w14:textId="0C0A51B0" w:rsidR="0038184E" w:rsidRPr="00CC5BB0" w:rsidRDefault="0038184E" w:rsidP="00CD13F3">
            <w:pPr>
              <w:autoSpaceDE w:val="0"/>
              <w:autoSpaceDN w:val="0"/>
              <w:adjustRightInd w:val="0"/>
              <w:rPr>
                <w:rFonts w:cs="Verdana"/>
                <w:szCs w:val="22"/>
              </w:rPr>
            </w:pPr>
            <w:r w:rsidRPr="00CC5BB0">
              <w:rPr>
                <w:rFonts w:cs="Verdana"/>
                <w:szCs w:val="22"/>
              </w:rPr>
              <w:t>Land</w:t>
            </w:r>
            <w:r>
              <w:rPr>
                <w:rFonts w:cs="Verdana"/>
                <w:szCs w:val="22"/>
              </w:rPr>
              <w:t xml:space="preserve"> to the north</w:t>
            </w:r>
            <w:r w:rsidR="00E8550A">
              <w:rPr>
                <w:rFonts w:cs="Verdana"/>
                <w:szCs w:val="22"/>
              </w:rPr>
              <w:t>-west</w:t>
            </w:r>
            <w:r>
              <w:rPr>
                <w:rFonts w:cs="Verdana"/>
                <w:szCs w:val="22"/>
              </w:rPr>
              <w:t xml:space="preserve"> of</w:t>
            </w:r>
            <w:r w:rsidR="00E8550A">
              <w:rPr>
                <w:rFonts w:cs="Verdana"/>
                <w:szCs w:val="22"/>
              </w:rPr>
              <w:t xml:space="preserve"> East Road</w:t>
            </w:r>
            <w:r>
              <w:rPr>
                <w:rFonts w:cs="Verdana"/>
                <w:szCs w:val="22"/>
              </w:rPr>
              <w:t>,</w:t>
            </w:r>
            <w:r w:rsidR="00E8550A">
              <w:rPr>
                <w:rFonts w:cs="Verdana"/>
                <w:szCs w:val="22"/>
              </w:rPr>
              <w:t xml:space="preserve"> Longhorsley</w:t>
            </w:r>
            <w:r w:rsidRPr="00CC5BB0">
              <w:rPr>
                <w:rFonts w:cs="Verdana"/>
                <w:szCs w:val="22"/>
              </w:rPr>
              <w:t>.</w:t>
            </w:r>
          </w:p>
        </w:tc>
        <w:tc>
          <w:tcPr>
            <w:tcW w:w="2466" w:type="dxa"/>
            <w:shd w:val="clear" w:color="auto" w:fill="auto"/>
          </w:tcPr>
          <w:p w14:paraId="6A1A0604" w14:textId="04DC132D" w:rsidR="0038184E" w:rsidRPr="00CC5BB0" w:rsidRDefault="00E8550A" w:rsidP="00CD13F3">
            <w:pPr>
              <w:autoSpaceDE w:val="0"/>
              <w:autoSpaceDN w:val="0"/>
              <w:adjustRightInd w:val="0"/>
              <w:rPr>
                <w:rFonts w:cs="Verdana"/>
                <w:szCs w:val="22"/>
              </w:rPr>
            </w:pPr>
            <w:r>
              <w:t>139</w:t>
            </w:r>
            <w:r w:rsidR="0038184E">
              <w:t>m</w:t>
            </w:r>
            <w:r w:rsidR="0038184E" w:rsidRPr="00CC5BB0">
              <w:rPr>
                <w:vertAlign w:val="superscript"/>
              </w:rPr>
              <w:t>2</w:t>
            </w:r>
          </w:p>
        </w:tc>
      </w:tr>
    </w:tbl>
    <w:p w14:paraId="6E707A54" w14:textId="77777777" w:rsidR="0038184E" w:rsidRDefault="0038184E" w:rsidP="0038184E">
      <w:pPr>
        <w:autoSpaceDE w:val="0"/>
        <w:autoSpaceDN w:val="0"/>
        <w:adjustRightInd w:val="0"/>
        <w:rPr>
          <w:rFonts w:cs="Verdana"/>
          <w:szCs w:val="22"/>
        </w:rPr>
      </w:pPr>
    </w:p>
    <w:p w14:paraId="6C11D0E3" w14:textId="77777777" w:rsidR="0038184E" w:rsidRDefault="0038184E" w:rsidP="0038184E">
      <w:pPr>
        <w:autoSpaceDE w:val="0"/>
        <w:autoSpaceDN w:val="0"/>
        <w:adjustRightInd w:val="0"/>
        <w:rPr>
          <w:rFonts w:cs="Verdana"/>
          <w:szCs w:val="22"/>
        </w:rPr>
      </w:pPr>
    </w:p>
    <w:p w14:paraId="028795B8" w14:textId="77777777" w:rsidR="0038184E" w:rsidRDefault="0038184E" w:rsidP="0038184E">
      <w:pPr>
        <w:pStyle w:val="Style1"/>
        <w:numPr>
          <w:ilvl w:val="0"/>
          <w:numId w:val="0"/>
        </w:numPr>
        <w:ind w:left="432" w:hanging="432"/>
        <w:rPr>
          <w:sz w:val="20"/>
        </w:rPr>
      </w:pPr>
    </w:p>
    <w:p w14:paraId="5336C10C" w14:textId="0576BAFB" w:rsidR="00AE36CF" w:rsidRPr="00AE36CF" w:rsidRDefault="003E1981" w:rsidP="00AE36CF">
      <w:pPr>
        <w:pStyle w:val="Style1"/>
        <w:numPr>
          <w:ilvl w:val="0"/>
          <w:numId w:val="0"/>
        </w:numPr>
      </w:pPr>
      <w:r>
        <w:br w:type="page"/>
      </w:r>
      <w:r w:rsidR="004B5847">
        <w:rPr>
          <w:noProof/>
        </w:rPr>
        <w:lastRenderedPageBreak/>
        <w:drawing>
          <wp:inline distT="0" distB="0" distL="0" distR="0" wp14:anchorId="20340093" wp14:editId="5B6D26CF">
            <wp:extent cx="6343650" cy="8826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3650" cy="8826500"/>
                    </a:xfrm>
                    <a:prstGeom prst="rect">
                      <a:avLst/>
                    </a:prstGeom>
                    <a:noFill/>
                    <a:ln>
                      <a:noFill/>
                    </a:ln>
                  </pic:spPr>
                </pic:pic>
              </a:graphicData>
            </a:graphic>
          </wp:inline>
        </w:drawing>
      </w:r>
    </w:p>
    <w:sectPr w:rsidR="00AE36CF" w:rsidRPr="00AE36CF"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965AD" w14:textId="77777777" w:rsidR="002B2D5B" w:rsidRDefault="002B2D5B" w:rsidP="00F62916">
      <w:r>
        <w:separator/>
      </w:r>
    </w:p>
  </w:endnote>
  <w:endnote w:type="continuationSeparator" w:id="0">
    <w:p w14:paraId="488CCDFA" w14:textId="77777777" w:rsidR="002B2D5B" w:rsidRDefault="002B2D5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33D1"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2FC92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09D1" w14:textId="3793E017" w:rsidR="003E54CC" w:rsidRDefault="004B5847">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25D526" wp14:editId="3DDBE2AD">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07359"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BFF59D6"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AB7672">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ABAB" w14:textId="5B0C90C2" w:rsidR="003E54CC" w:rsidRDefault="004B5847" w:rsidP="006062E5">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A6F07D8" wp14:editId="4CF4812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ECA68"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CE9BAFA"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786C7" w14:textId="77777777" w:rsidR="002B2D5B" w:rsidRDefault="002B2D5B" w:rsidP="00F62916">
      <w:r>
        <w:separator/>
      </w:r>
    </w:p>
  </w:footnote>
  <w:footnote w:type="continuationSeparator" w:id="0">
    <w:p w14:paraId="547B8A52" w14:textId="77777777" w:rsidR="002B2D5B" w:rsidRDefault="002B2D5B"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525A53CF" w14:textId="77777777">
      <w:tc>
        <w:tcPr>
          <w:tcW w:w="9520" w:type="dxa"/>
        </w:tcPr>
        <w:p w14:paraId="50D339B9" w14:textId="0AD960BE" w:rsidR="003E54CC" w:rsidRDefault="00964E0B">
          <w:pPr>
            <w:pStyle w:val="Footer"/>
          </w:pPr>
          <w:r>
            <w:t>Application Ref: COM/</w:t>
          </w:r>
          <w:r w:rsidR="00183561">
            <w:t>3303863</w:t>
          </w:r>
        </w:p>
      </w:tc>
    </w:tr>
  </w:tbl>
  <w:p w14:paraId="6E4E11B9" w14:textId="0EB220B2" w:rsidR="003E54CC" w:rsidRDefault="004B5847" w:rsidP="00087477">
    <w:pPr>
      <w:pStyle w:val="Footer"/>
      <w:spacing w:after="180"/>
    </w:pPr>
    <w:r>
      <w:rPr>
        <w:noProof/>
      </w:rPr>
      <mc:AlternateContent>
        <mc:Choice Requires="wps">
          <w:drawing>
            <wp:anchor distT="0" distB="0" distL="114300" distR="114300" simplePos="0" relativeHeight="251657728" behindDoc="0" locked="0" layoutInCell="1" allowOverlap="1" wp14:anchorId="589EEE39" wp14:editId="386ED36F">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02650"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3839" w14:textId="458772BB"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0260ADD"/>
    <w:multiLevelType w:val="hybridMultilevel"/>
    <w:tmpl w:val="2D464BDC"/>
    <w:lvl w:ilvl="0" w:tplc="BFE2F078">
      <w:start w:val="1"/>
      <w:numFmt w:val="lowerLetter"/>
      <w:lvlText w:val="(%1)"/>
      <w:lvlJc w:val="left"/>
      <w:pPr>
        <w:tabs>
          <w:tab w:val="num" w:pos="2292"/>
        </w:tabs>
        <w:ind w:left="2292" w:hanging="720"/>
      </w:pPr>
      <w:rPr>
        <w:rFonts w:ascii="Verdana" w:eastAsia="Times New Roman" w:hAnsi="Verdana" w:cs="Times New Roman" w:hint="default"/>
      </w:rPr>
    </w:lvl>
    <w:lvl w:ilvl="1" w:tplc="743E0CC8">
      <w:start w:val="19"/>
      <w:numFmt w:val="decimal"/>
      <w:lvlText w:val="%2."/>
      <w:lvlJc w:val="left"/>
      <w:rPr>
        <w:rFonts w:ascii="Verdana" w:hAnsi="Verdana" w:cs="Times New Roman"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2" w:tplc="9AEE4124">
      <w:start w:val="10"/>
      <w:numFmt w:val="decimal"/>
      <w:lvlText w:val="%3."/>
      <w:lvlJc w:val="left"/>
      <w:rPr>
        <w:rFonts w:ascii="Verdana" w:hAnsi="Verdana" w:cs="Times New Roman"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3" w:tplc="0809000F" w:tentative="1">
      <w:start w:val="1"/>
      <w:numFmt w:val="decimal"/>
      <w:lvlText w:val="%4."/>
      <w:lvlJc w:val="left"/>
      <w:pPr>
        <w:tabs>
          <w:tab w:val="num" w:pos="4092"/>
        </w:tabs>
        <w:ind w:left="4092" w:hanging="360"/>
      </w:pPr>
      <w:rPr>
        <w:rFonts w:cs="Times New Roman"/>
      </w:rPr>
    </w:lvl>
    <w:lvl w:ilvl="4" w:tplc="08090019" w:tentative="1">
      <w:start w:val="1"/>
      <w:numFmt w:val="lowerLetter"/>
      <w:lvlText w:val="%5."/>
      <w:lvlJc w:val="left"/>
      <w:pPr>
        <w:tabs>
          <w:tab w:val="num" w:pos="4812"/>
        </w:tabs>
        <w:ind w:left="4812" w:hanging="360"/>
      </w:pPr>
      <w:rPr>
        <w:rFonts w:cs="Times New Roman"/>
      </w:rPr>
    </w:lvl>
    <w:lvl w:ilvl="5" w:tplc="0809001B" w:tentative="1">
      <w:start w:val="1"/>
      <w:numFmt w:val="lowerRoman"/>
      <w:lvlText w:val="%6."/>
      <w:lvlJc w:val="right"/>
      <w:pPr>
        <w:tabs>
          <w:tab w:val="num" w:pos="5532"/>
        </w:tabs>
        <w:ind w:left="5532" w:hanging="180"/>
      </w:pPr>
      <w:rPr>
        <w:rFonts w:cs="Times New Roman"/>
      </w:rPr>
    </w:lvl>
    <w:lvl w:ilvl="6" w:tplc="0809000F" w:tentative="1">
      <w:start w:val="1"/>
      <w:numFmt w:val="decimal"/>
      <w:lvlText w:val="%7."/>
      <w:lvlJc w:val="left"/>
      <w:pPr>
        <w:tabs>
          <w:tab w:val="num" w:pos="6252"/>
        </w:tabs>
        <w:ind w:left="6252" w:hanging="360"/>
      </w:pPr>
      <w:rPr>
        <w:rFonts w:cs="Times New Roman"/>
      </w:rPr>
    </w:lvl>
    <w:lvl w:ilvl="7" w:tplc="08090019" w:tentative="1">
      <w:start w:val="1"/>
      <w:numFmt w:val="lowerLetter"/>
      <w:lvlText w:val="%8."/>
      <w:lvlJc w:val="left"/>
      <w:pPr>
        <w:tabs>
          <w:tab w:val="num" w:pos="6972"/>
        </w:tabs>
        <w:ind w:left="6972" w:hanging="360"/>
      </w:pPr>
      <w:rPr>
        <w:rFonts w:cs="Times New Roman"/>
      </w:rPr>
    </w:lvl>
    <w:lvl w:ilvl="8" w:tplc="0809001B" w:tentative="1">
      <w:start w:val="1"/>
      <w:numFmt w:val="lowerRoman"/>
      <w:lvlText w:val="%9."/>
      <w:lvlJc w:val="right"/>
      <w:pPr>
        <w:tabs>
          <w:tab w:val="num" w:pos="7692"/>
        </w:tabs>
        <w:ind w:left="7692" w:hanging="180"/>
      </w:pPr>
      <w:rPr>
        <w:rFonts w:cs="Times New Roman"/>
      </w:r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41762310">
    <w:abstractNumId w:val="5"/>
  </w:num>
  <w:num w:numId="2" w16cid:durableId="803734301">
    <w:abstractNumId w:val="5"/>
  </w:num>
  <w:num w:numId="3" w16cid:durableId="2107840695">
    <w:abstractNumId w:val="6"/>
  </w:num>
  <w:num w:numId="4" w16cid:durableId="1582174605">
    <w:abstractNumId w:val="0"/>
  </w:num>
  <w:num w:numId="5" w16cid:durableId="220092333">
    <w:abstractNumId w:val="1"/>
  </w:num>
  <w:num w:numId="6" w16cid:durableId="1329288622">
    <w:abstractNumId w:val="4"/>
  </w:num>
  <w:num w:numId="7" w16cid:durableId="768161990">
    <w:abstractNumId w:val="7"/>
  </w:num>
  <w:num w:numId="8" w16cid:durableId="905342001">
    <w:abstractNumId w:val="3"/>
  </w:num>
  <w:num w:numId="9" w16cid:durableId="1864319140">
    <w:abstractNumId w:val="2"/>
  </w:num>
  <w:num w:numId="10" w16cid:durableId="1667629738">
    <w:abstractNumId w:val="4"/>
  </w:num>
  <w:num w:numId="11" w16cid:durableId="1583756976">
    <w:abstractNumId w:val="4"/>
  </w:num>
  <w:num w:numId="12" w16cid:durableId="1127746443">
    <w:abstractNumId w:val="4"/>
  </w:num>
  <w:num w:numId="13" w16cid:durableId="1299065060">
    <w:abstractNumId w:val="4"/>
  </w:num>
  <w:num w:numId="14" w16cid:durableId="884096614">
    <w:abstractNumId w:val="4"/>
  </w:num>
  <w:num w:numId="15" w16cid:durableId="1240944947">
    <w:abstractNumId w:val="4"/>
  </w:num>
  <w:num w:numId="16" w16cid:durableId="336462376">
    <w:abstractNumId w:val="4"/>
  </w:num>
  <w:num w:numId="17" w16cid:durableId="1776556227">
    <w:abstractNumId w:val="4"/>
  </w:num>
  <w:num w:numId="18" w16cid:durableId="1522889528">
    <w:abstractNumId w:val="4"/>
  </w:num>
  <w:num w:numId="19" w16cid:durableId="1441025825">
    <w:abstractNumId w:val="4"/>
  </w:num>
  <w:num w:numId="20" w16cid:durableId="1495490188">
    <w:abstractNumId w:val="4"/>
  </w:num>
  <w:num w:numId="21" w16cid:durableId="1415083580">
    <w:abstractNumId w:val="4"/>
  </w:num>
  <w:num w:numId="22" w16cid:durableId="119691505">
    <w:abstractNumId w:val="4"/>
  </w:num>
  <w:num w:numId="23" w16cid:durableId="68389865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062E5"/>
    <w:rsid w:val="0000299C"/>
    <w:rsid w:val="0000335F"/>
    <w:rsid w:val="00007B36"/>
    <w:rsid w:val="0002186C"/>
    <w:rsid w:val="00026F73"/>
    <w:rsid w:val="00031F16"/>
    <w:rsid w:val="00046145"/>
    <w:rsid w:val="0004625F"/>
    <w:rsid w:val="00050379"/>
    <w:rsid w:val="00053135"/>
    <w:rsid w:val="00054F8D"/>
    <w:rsid w:val="00064F0C"/>
    <w:rsid w:val="00067AFA"/>
    <w:rsid w:val="0007269D"/>
    <w:rsid w:val="00077358"/>
    <w:rsid w:val="00081C44"/>
    <w:rsid w:val="0008473E"/>
    <w:rsid w:val="00087477"/>
    <w:rsid w:val="00087DEC"/>
    <w:rsid w:val="000A4AEB"/>
    <w:rsid w:val="000A53B3"/>
    <w:rsid w:val="000A64AE"/>
    <w:rsid w:val="000C3F13"/>
    <w:rsid w:val="000C698E"/>
    <w:rsid w:val="000D0673"/>
    <w:rsid w:val="000E3E0F"/>
    <w:rsid w:val="000F16F4"/>
    <w:rsid w:val="000F29E5"/>
    <w:rsid w:val="000F7A0A"/>
    <w:rsid w:val="001000CB"/>
    <w:rsid w:val="00104D93"/>
    <w:rsid w:val="0011538D"/>
    <w:rsid w:val="001211F7"/>
    <w:rsid w:val="00133E80"/>
    <w:rsid w:val="001343B9"/>
    <w:rsid w:val="00136AD4"/>
    <w:rsid w:val="00137C33"/>
    <w:rsid w:val="00140444"/>
    <w:rsid w:val="00142C79"/>
    <w:rsid w:val="00143049"/>
    <w:rsid w:val="001438B6"/>
    <w:rsid w:val="00146696"/>
    <w:rsid w:val="00152C92"/>
    <w:rsid w:val="001646ED"/>
    <w:rsid w:val="001770BB"/>
    <w:rsid w:val="00183561"/>
    <w:rsid w:val="00183A78"/>
    <w:rsid w:val="00197B5B"/>
    <w:rsid w:val="001C5779"/>
    <w:rsid w:val="001E4DF8"/>
    <w:rsid w:val="001F3809"/>
    <w:rsid w:val="001F5162"/>
    <w:rsid w:val="001F5990"/>
    <w:rsid w:val="00203287"/>
    <w:rsid w:val="00207816"/>
    <w:rsid w:val="00210912"/>
    <w:rsid w:val="00212C8F"/>
    <w:rsid w:val="00220F3F"/>
    <w:rsid w:val="00221039"/>
    <w:rsid w:val="00233775"/>
    <w:rsid w:val="0024105C"/>
    <w:rsid w:val="00241875"/>
    <w:rsid w:val="00242A5E"/>
    <w:rsid w:val="00252F59"/>
    <w:rsid w:val="002819AB"/>
    <w:rsid w:val="002B2D5B"/>
    <w:rsid w:val="002B5A3A"/>
    <w:rsid w:val="002C068A"/>
    <w:rsid w:val="002D1A0C"/>
    <w:rsid w:val="002D4928"/>
    <w:rsid w:val="002D7B90"/>
    <w:rsid w:val="002E697C"/>
    <w:rsid w:val="002F2C70"/>
    <w:rsid w:val="00303578"/>
    <w:rsid w:val="0030500E"/>
    <w:rsid w:val="0031633F"/>
    <w:rsid w:val="003206FD"/>
    <w:rsid w:val="00343A1F"/>
    <w:rsid w:val="00344294"/>
    <w:rsid w:val="00344CD1"/>
    <w:rsid w:val="00352A2B"/>
    <w:rsid w:val="003600F3"/>
    <w:rsid w:val="00360664"/>
    <w:rsid w:val="00361890"/>
    <w:rsid w:val="0036217B"/>
    <w:rsid w:val="00364E17"/>
    <w:rsid w:val="00364EA7"/>
    <w:rsid w:val="0038184E"/>
    <w:rsid w:val="00381F8F"/>
    <w:rsid w:val="003941CF"/>
    <w:rsid w:val="003B2FE6"/>
    <w:rsid w:val="003C6ABC"/>
    <w:rsid w:val="003C7B4C"/>
    <w:rsid w:val="003D3E47"/>
    <w:rsid w:val="003E1981"/>
    <w:rsid w:val="003E54CC"/>
    <w:rsid w:val="003E69F7"/>
    <w:rsid w:val="003F3533"/>
    <w:rsid w:val="003F7107"/>
    <w:rsid w:val="003F78F6"/>
    <w:rsid w:val="00402759"/>
    <w:rsid w:val="00405672"/>
    <w:rsid w:val="00411AED"/>
    <w:rsid w:val="00415250"/>
    <w:rsid w:val="004156F0"/>
    <w:rsid w:val="004266CA"/>
    <w:rsid w:val="00430773"/>
    <w:rsid w:val="00431522"/>
    <w:rsid w:val="004428EB"/>
    <w:rsid w:val="004474DE"/>
    <w:rsid w:val="00451EE4"/>
    <w:rsid w:val="00452863"/>
    <w:rsid w:val="00453E15"/>
    <w:rsid w:val="0047718B"/>
    <w:rsid w:val="0048041A"/>
    <w:rsid w:val="00492578"/>
    <w:rsid w:val="004976CF"/>
    <w:rsid w:val="004A18F7"/>
    <w:rsid w:val="004A2EB8"/>
    <w:rsid w:val="004B5847"/>
    <w:rsid w:val="004C07CB"/>
    <w:rsid w:val="004E51E9"/>
    <w:rsid w:val="004E6091"/>
    <w:rsid w:val="004F1879"/>
    <w:rsid w:val="004F2BA8"/>
    <w:rsid w:val="00506851"/>
    <w:rsid w:val="005156E8"/>
    <w:rsid w:val="00515BC1"/>
    <w:rsid w:val="005168A5"/>
    <w:rsid w:val="005216A1"/>
    <w:rsid w:val="0052347F"/>
    <w:rsid w:val="00527382"/>
    <w:rsid w:val="00532458"/>
    <w:rsid w:val="00540F78"/>
    <w:rsid w:val="00541734"/>
    <w:rsid w:val="00542B4C"/>
    <w:rsid w:val="005469A9"/>
    <w:rsid w:val="0056077E"/>
    <w:rsid w:val="00561E69"/>
    <w:rsid w:val="0056634F"/>
    <w:rsid w:val="00566528"/>
    <w:rsid w:val="005718AF"/>
    <w:rsid w:val="00571FD4"/>
    <w:rsid w:val="00572879"/>
    <w:rsid w:val="00580DDD"/>
    <w:rsid w:val="0059491A"/>
    <w:rsid w:val="005A3A64"/>
    <w:rsid w:val="005B44B7"/>
    <w:rsid w:val="005C5155"/>
    <w:rsid w:val="005D0A48"/>
    <w:rsid w:val="005D739E"/>
    <w:rsid w:val="005E1251"/>
    <w:rsid w:val="005E34E1"/>
    <w:rsid w:val="005E34FF"/>
    <w:rsid w:val="005E3542"/>
    <w:rsid w:val="005E52F9"/>
    <w:rsid w:val="005F1261"/>
    <w:rsid w:val="005F3290"/>
    <w:rsid w:val="00602315"/>
    <w:rsid w:val="006062E5"/>
    <w:rsid w:val="00614E46"/>
    <w:rsid w:val="00615462"/>
    <w:rsid w:val="0063034D"/>
    <w:rsid w:val="006319E6"/>
    <w:rsid w:val="0063373D"/>
    <w:rsid w:val="006417E3"/>
    <w:rsid w:val="0065719B"/>
    <w:rsid w:val="00657A24"/>
    <w:rsid w:val="006601B9"/>
    <w:rsid w:val="0066322F"/>
    <w:rsid w:val="00664BF4"/>
    <w:rsid w:val="00682BD2"/>
    <w:rsid w:val="00683417"/>
    <w:rsid w:val="00686159"/>
    <w:rsid w:val="0069559D"/>
    <w:rsid w:val="00695B6D"/>
    <w:rsid w:val="00696368"/>
    <w:rsid w:val="006A7B8B"/>
    <w:rsid w:val="006C50F8"/>
    <w:rsid w:val="006D1465"/>
    <w:rsid w:val="006D2842"/>
    <w:rsid w:val="006D3D54"/>
    <w:rsid w:val="006D4440"/>
    <w:rsid w:val="006E000B"/>
    <w:rsid w:val="006E12A5"/>
    <w:rsid w:val="006F6496"/>
    <w:rsid w:val="00703EB2"/>
    <w:rsid w:val="007219C5"/>
    <w:rsid w:val="00731849"/>
    <w:rsid w:val="0073235F"/>
    <w:rsid w:val="0074119B"/>
    <w:rsid w:val="00747B4F"/>
    <w:rsid w:val="00757EDD"/>
    <w:rsid w:val="00763F53"/>
    <w:rsid w:val="00785862"/>
    <w:rsid w:val="007A0537"/>
    <w:rsid w:val="007B46B1"/>
    <w:rsid w:val="007C1DBC"/>
    <w:rsid w:val="007D65B4"/>
    <w:rsid w:val="007F1352"/>
    <w:rsid w:val="007F59EB"/>
    <w:rsid w:val="00824781"/>
    <w:rsid w:val="00827937"/>
    <w:rsid w:val="00832625"/>
    <w:rsid w:val="008327D2"/>
    <w:rsid w:val="00834368"/>
    <w:rsid w:val="00835221"/>
    <w:rsid w:val="00837BDA"/>
    <w:rsid w:val="00840EA9"/>
    <w:rsid w:val="008411A4"/>
    <w:rsid w:val="008739A8"/>
    <w:rsid w:val="00874C04"/>
    <w:rsid w:val="008A03E3"/>
    <w:rsid w:val="008A0EDB"/>
    <w:rsid w:val="008C6FA3"/>
    <w:rsid w:val="008D3B73"/>
    <w:rsid w:val="008E359C"/>
    <w:rsid w:val="00902E11"/>
    <w:rsid w:val="00907015"/>
    <w:rsid w:val="009124CE"/>
    <w:rsid w:val="00912954"/>
    <w:rsid w:val="00921F34"/>
    <w:rsid w:val="0092304C"/>
    <w:rsid w:val="00923F06"/>
    <w:rsid w:val="00926353"/>
    <w:rsid w:val="0094298D"/>
    <w:rsid w:val="00945618"/>
    <w:rsid w:val="00945D30"/>
    <w:rsid w:val="00960163"/>
    <w:rsid w:val="009609C0"/>
    <w:rsid w:val="00960B10"/>
    <w:rsid w:val="00964BBE"/>
    <w:rsid w:val="00964E0B"/>
    <w:rsid w:val="009841DA"/>
    <w:rsid w:val="009858BC"/>
    <w:rsid w:val="009A31D3"/>
    <w:rsid w:val="009B3075"/>
    <w:rsid w:val="009B52E6"/>
    <w:rsid w:val="009B5FAB"/>
    <w:rsid w:val="009B72ED"/>
    <w:rsid w:val="009B7BD4"/>
    <w:rsid w:val="009D414B"/>
    <w:rsid w:val="009E0395"/>
    <w:rsid w:val="009E1447"/>
    <w:rsid w:val="00A00FCD"/>
    <w:rsid w:val="00A07DD2"/>
    <w:rsid w:val="00A101CD"/>
    <w:rsid w:val="00A15826"/>
    <w:rsid w:val="00A302AC"/>
    <w:rsid w:val="00A60DB3"/>
    <w:rsid w:val="00A6353E"/>
    <w:rsid w:val="00A771FB"/>
    <w:rsid w:val="00AB1E33"/>
    <w:rsid w:val="00AB7672"/>
    <w:rsid w:val="00AC27FC"/>
    <w:rsid w:val="00AD0E39"/>
    <w:rsid w:val="00AD2F56"/>
    <w:rsid w:val="00AE2FAA"/>
    <w:rsid w:val="00AE36CF"/>
    <w:rsid w:val="00B049F2"/>
    <w:rsid w:val="00B10D17"/>
    <w:rsid w:val="00B11117"/>
    <w:rsid w:val="00B21CA1"/>
    <w:rsid w:val="00B2369F"/>
    <w:rsid w:val="00B27A78"/>
    <w:rsid w:val="00B32324"/>
    <w:rsid w:val="00B345C9"/>
    <w:rsid w:val="00B461D2"/>
    <w:rsid w:val="00B56990"/>
    <w:rsid w:val="00B61A59"/>
    <w:rsid w:val="00B6451E"/>
    <w:rsid w:val="00B716E4"/>
    <w:rsid w:val="00B74211"/>
    <w:rsid w:val="00B84EB2"/>
    <w:rsid w:val="00BA0967"/>
    <w:rsid w:val="00BD09CD"/>
    <w:rsid w:val="00BD332A"/>
    <w:rsid w:val="00BF18D3"/>
    <w:rsid w:val="00BF34D7"/>
    <w:rsid w:val="00C00E8A"/>
    <w:rsid w:val="00C11BD0"/>
    <w:rsid w:val="00C15093"/>
    <w:rsid w:val="00C274BD"/>
    <w:rsid w:val="00C40EA6"/>
    <w:rsid w:val="00C42BD8"/>
    <w:rsid w:val="00C44C77"/>
    <w:rsid w:val="00C53216"/>
    <w:rsid w:val="00C53693"/>
    <w:rsid w:val="00C55B12"/>
    <w:rsid w:val="00C57B84"/>
    <w:rsid w:val="00C65B75"/>
    <w:rsid w:val="00C6709C"/>
    <w:rsid w:val="00C8343C"/>
    <w:rsid w:val="00C857CB"/>
    <w:rsid w:val="00C8740F"/>
    <w:rsid w:val="00C93EDA"/>
    <w:rsid w:val="00C97312"/>
    <w:rsid w:val="00C977DC"/>
    <w:rsid w:val="00CC07F1"/>
    <w:rsid w:val="00CC3BB4"/>
    <w:rsid w:val="00CC4BB3"/>
    <w:rsid w:val="00CC7091"/>
    <w:rsid w:val="00CD53ED"/>
    <w:rsid w:val="00CE1B2E"/>
    <w:rsid w:val="00CE21C0"/>
    <w:rsid w:val="00CE4F2E"/>
    <w:rsid w:val="00CF6FB3"/>
    <w:rsid w:val="00D07F91"/>
    <w:rsid w:val="00D11FF9"/>
    <w:rsid w:val="00D1220B"/>
    <w:rsid w:val="00D125BE"/>
    <w:rsid w:val="00D1532C"/>
    <w:rsid w:val="00D22CC4"/>
    <w:rsid w:val="00D2467C"/>
    <w:rsid w:val="00D25624"/>
    <w:rsid w:val="00D354A3"/>
    <w:rsid w:val="00D37EFE"/>
    <w:rsid w:val="00D423EB"/>
    <w:rsid w:val="00D555DA"/>
    <w:rsid w:val="00D8261A"/>
    <w:rsid w:val="00D84672"/>
    <w:rsid w:val="00DA1566"/>
    <w:rsid w:val="00DB7937"/>
    <w:rsid w:val="00DD502F"/>
    <w:rsid w:val="00DF29E4"/>
    <w:rsid w:val="00E0100D"/>
    <w:rsid w:val="00E050A6"/>
    <w:rsid w:val="00E11244"/>
    <w:rsid w:val="00E1395A"/>
    <w:rsid w:val="00E16CAE"/>
    <w:rsid w:val="00E246FE"/>
    <w:rsid w:val="00E2522A"/>
    <w:rsid w:val="00E26906"/>
    <w:rsid w:val="00E32B45"/>
    <w:rsid w:val="00E34D83"/>
    <w:rsid w:val="00E41C85"/>
    <w:rsid w:val="00E47FFD"/>
    <w:rsid w:val="00E50791"/>
    <w:rsid w:val="00E515DB"/>
    <w:rsid w:val="00E54F7C"/>
    <w:rsid w:val="00E674DD"/>
    <w:rsid w:val="00E67B22"/>
    <w:rsid w:val="00E70962"/>
    <w:rsid w:val="00E7338B"/>
    <w:rsid w:val="00E81323"/>
    <w:rsid w:val="00E8550A"/>
    <w:rsid w:val="00E86D1F"/>
    <w:rsid w:val="00E97BCC"/>
    <w:rsid w:val="00EA0CAA"/>
    <w:rsid w:val="00EA130E"/>
    <w:rsid w:val="00EA3450"/>
    <w:rsid w:val="00EA406E"/>
    <w:rsid w:val="00EA43AC"/>
    <w:rsid w:val="00EA52D3"/>
    <w:rsid w:val="00EB2329"/>
    <w:rsid w:val="00EC2315"/>
    <w:rsid w:val="00ED3727"/>
    <w:rsid w:val="00ED3FF4"/>
    <w:rsid w:val="00EE1C1A"/>
    <w:rsid w:val="00EE550A"/>
    <w:rsid w:val="00EF1E98"/>
    <w:rsid w:val="00EF5820"/>
    <w:rsid w:val="00EF5959"/>
    <w:rsid w:val="00F1638B"/>
    <w:rsid w:val="00F16861"/>
    <w:rsid w:val="00F1724E"/>
    <w:rsid w:val="00F172B5"/>
    <w:rsid w:val="00F30F33"/>
    <w:rsid w:val="00F327D2"/>
    <w:rsid w:val="00F328E1"/>
    <w:rsid w:val="00F33393"/>
    <w:rsid w:val="00F45612"/>
    <w:rsid w:val="00F50941"/>
    <w:rsid w:val="00F60AB3"/>
    <w:rsid w:val="00F61A28"/>
    <w:rsid w:val="00F62916"/>
    <w:rsid w:val="00F63D9A"/>
    <w:rsid w:val="00F8672E"/>
    <w:rsid w:val="00F9550D"/>
    <w:rsid w:val="00FA02D2"/>
    <w:rsid w:val="00FB743C"/>
    <w:rsid w:val="00FC7487"/>
    <w:rsid w:val="00FD307B"/>
    <w:rsid w:val="00FE0F9D"/>
    <w:rsid w:val="00FE54E4"/>
    <w:rsid w:val="00FE68E4"/>
    <w:rsid w:val="00FF34A3"/>
    <w:rsid w:val="00FF3A37"/>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1FD14F3"/>
  <w15:chartTrackingRefBased/>
  <w15:docId w15:val="{2E9B93AA-B973-41EF-93CA-A3B485ACD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link w:val="Heading6Char"/>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customStyle="1" w:styleId="Heading6Char">
    <w:name w:val="Heading 6 Char"/>
    <w:link w:val="Heading6"/>
    <w:rsid w:val="00E050A6"/>
    <w:rPr>
      <w:rFonts w:ascii="Verdana" w:hAnsi="Verdana"/>
      <w:b/>
      <w:color w:val="000000"/>
      <w:sz w:val="22"/>
      <w:szCs w:val="22"/>
      <w:lang w:val="en-GB" w:eastAsia="en-GB" w:bidi="ar-SA"/>
    </w:rPr>
  </w:style>
  <w:style w:type="character" w:customStyle="1" w:styleId="FootnoteTextChar">
    <w:name w:val="Footnote Text Char"/>
    <w:link w:val="FootnoteText"/>
    <w:semiHidden/>
    <w:locked/>
    <w:rsid w:val="00E050A6"/>
    <w:rPr>
      <w:rFonts w:ascii="Verdana" w:hAnsi="Verdana"/>
      <w:sz w:val="16"/>
      <w:lang w:val="en-GB" w:eastAsia="en-GB" w:bidi="ar-SA"/>
    </w:rPr>
  </w:style>
  <w:style w:type="character" w:styleId="FootnoteReference">
    <w:name w:val="footnote reference"/>
    <w:semiHidden/>
    <w:rsid w:val="00E050A6"/>
    <w:rPr>
      <w:rFonts w:cs="Times New Roman"/>
      <w:vertAlign w:val="superscript"/>
    </w:rPr>
  </w:style>
  <w:style w:type="character" w:customStyle="1" w:styleId="Style1Char">
    <w:name w:val="Style1 Char"/>
    <w:link w:val="Style1"/>
    <w:rsid w:val="00E050A6"/>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E1AA8AC9-B16C-42FE-A637-8448B403CD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6</Pages>
  <Words>1544</Words>
  <Characters>8801</Characters>
  <Application>Microsoft Office Word</Application>
  <DocSecurity>4</DocSecurity>
  <Lines>73</Lines>
  <Paragraphs>20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Heading 9</vt:lpstr>
      <vt:lpstr>The application is granted in accordance with the terms of the application [Ref:</vt:lpstr>
      <vt:lpstr>Section 16(1) of the 2006 Act provides, among other things, that the owner of an</vt:lpstr>
      <vt:lpstr>I made an inspection of the site on 13 November 2014 when I was able to view bot</vt:lpstr>
      <vt:lpstr>I am required by Section 16(6) of the 2006 Act to have regard to the following i</vt:lpstr>
      <vt:lpstr>the interests of persons having rights in relation to, or occupying, the release</vt:lpstr>
      <vt:lpstr>the interests of the neighbourhood;</vt:lpstr>
      <vt:lpstr>the public interest; </vt:lpstr>
      <vt:lpstr>any other matter considered to be relevant.</vt:lpstr>
      <vt:lpstr>I will also have regard to published guidance in relation to the determination o</vt:lpstr>
      <vt:lpstr>The 2006 Act does not define the term ‘neighbourhood’.</vt:lpstr>
      <vt:lpstr/>
    </vt:vector>
  </TitlesOfParts>
  <Company>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Margoum, Naoual</cp:lastModifiedBy>
  <cp:revision>2</cp:revision>
  <cp:lastPrinted>2013-05-29T13:27:00Z</cp:lastPrinted>
  <dcterms:created xsi:type="dcterms:W3CDTF">2023-04-17T15:45:00Z</dcterms:created>
  <dcterms:modified xsi:type="dcterms:W3CDTF">2023-04-17T15:45:00Z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5fb85d04-751b-42b3-bf79-10f0e304cee9</vt:lpwstr>
  </property>
  <property fmtid="{D5CDD505-2E9C-101B-9397-08002B2CF9AE}" pid="9" name="bjSaver">
    <vt:lpwstr>RI5c9/ORO0M3Jj9fwTumn5FfqTQxtfxg</vt:lpwstr>
  </property>
  <property fmtid="{D5CDD505-2E9C-101B-9397-08002B2CF9AE}" pid="10" name="bjDocumentSecurityLabel">
    <vt:lpwstr>No Marking</vt:lpwstr>
  </property>
</Properties>
</file>