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BA34" w14:textId="0D7194AB" w:rsidR="008F56FF" w:rsidRPr="00E834FC" w:rsidRDefault="008F56FF">
      <w:pPr>
        <w:rPr>
          <w:rFonts w:ascii="Montserrat" w:eastAsia="Times New Roman" w:hAnsi="Montserrat" w:cs="Times New Roman"/>
          <w:bCs/>
          <w:color w:val="B01117"/>
          <w:kern w:val="32"/>
          <w:sz w:val="60"/>
          <w:szCs w:val="60"/>
          <w:lang w:eastAsia="en-GB"/>
        </w:rPr>
      </w:pPr>
      <w:r w:rsidRPr="00E834FC">
        <w:rPr>
          <w:rFonts w:ascii="Montserrat" w:eastAsia="Times New Roman" w:hAnsi="Montserrat" w:cs="Times New Roman"/>
          <w:bCs/>
          <w:color w:val="B01117"/>
          <w:kern w:val="32"/>
          <w:sz w:val="60"/>
          <w:szCs w:val="60"/>
          <w:lang w:eastAsia="en-GB"/>
        </w:rPr>
        <w:t xml:space="preserve">The Contingent Liability Checklist </w:t>
      </w:r>
    </w:p>
    <w:p w14:paraId="2AB75A8A" w14:textId="77777777" w:rsidR="008F56FF" w:rsidRPr="00286D14" w:rsidRDefault="008F56FF" w:rsidP="008F56FF">
      <w:pPr>
        <w:keepNext/>
        <w:spacing w:before="170" w:after="113" w:line="320" w:lineRule="exact"/>
        <w:outlineLvl w:val="1"/>
        <w:rPr>
          <w:rFonts w:ascii="Montserrat" w:eastAsia="Times New Roman" w:hAnsi="Montserrat" w:cs="Times New Roman"/>
          <w:lang w:eastAsia="en-GB"/>
        </w:rPr>
      </w:pPr>
      <w:r w:rsidRPr="00286D14">
        <w:rPr>
          <w:rFonts w:ascii="Montserrat" w:eastAsia="Times New Roman" w:hAnsi="Montserrat" w:cs="Times New Roman"/>
          <w:szCs w:val="20"/>
          <w:lang w:eastAsia="en-GB"/>
        </w:rPr>
        <w:t xml:space="preserve">The contingent liability checklist is designed to allow Treasury and departmental officials to discuss the details of a proposed contingent liability. The checklist will also form the basis of any advice to Treasury ministers. Treasury would encourage departments to share checklists in draft form to enable joint policy discussions ahead of any final decision. </w:t>
      </w:r>
    </w:p>
    <w:p w14:paraId="57193301" w14:textId="77777777" w:rsidR="008F56FF" w:rsidRPr="00286D14" w:rsidRDefault="008F56FF" w:rsidP="008F56FF">
      <w:pPr>
        <w:keepNext/>
        <w:spacing w:before="170" w:after="113" w:line="320" w:lineRule="exact"/>
        <w:outlineLvl w:val="1"/>
        <w:rPr>
          <w:rFonts w:ascii="Montserrat" w:eastAsia="Times New Roman" w:hAnsi="Montserrat" w:cs="Times New Roman"/>
          <w:szCs w:val="20"/>
          <w:lang w:eastAsia="en-GB"/>
        </w:rPr>
      </w:pPr>
      <w:r w:rsidRPr="00286D14">
        <w:rPr>
          <w:rFonts w:ascii="Montserrat" w:eastAsia="Times New Roman" w:hAnsi="Montserrat" w:cs="Times New Roman"/>
          <w:szCs w:val="20"/>
          <w:lang w:eastAsia="en-GB"/>
        </w:rPr>
        <w:t xml:space="preserve">If a business case is required, a pragmatic approach should be taken to the checklist given the significant overlap. It is usually best to discuss the checklist with HMT first as it will contain the key information needed which the business case will then further detail. </w:t>
      </w:r>
    </w:p>
    <w:p w14:paraId="7CC68327" w14:textId="77777777" w:rsidR="008F56FF" w:rsidRPr="00286D14" w:rsidRDefault="008F56FF" w:rsidP="008F56FF">
      <w:pPr>
        <w:keepNext/>
        <w:spacing w:before="170" w:after="113" w:line="320" w:lineRule="exact"/>
        <w:outlineLvl w:val="1"/>
        <w:rPr>
          <w:rFonts w:ascii="Montserrat" w:eastAsia="Times New Roman" w:hAnsi="Montserrat" w:cs="Times New Roman"/>
          <w:szCs w:val="20"/>
          <w:lang w:eastAsia="en-GB"/>
        </w:rPr>
      </w:pPr>
      <w:r w:rsidRPr="00286D14">
        <w:rPr>
          <w:rFonts w:ascii="Montserrat" w:eastAsia="Times New Roman" w:hAnsi="Montserrat" w:cs="Times New Roman"/>
          <w:szCs w:val="20"/>
          <w:lang w:eastAsia="en-GB"/>
        </w:rPr>
        <w:t xml:space="preserve">The Contingent Liability Central Capability (CLCC) (CLCC@UKGI.org.uk) are available to support departments in the design of contingent liabilities and to ensure best practice is met across government. As part of that process, they will be able to assist your department in the completion of this checklist. </w:t>
      </w:r>
    </w:p>
    <w:p w14:paraId="66A26E8B" w14:textId="77777777" w:rsidR="008F56FF" w:rsidRPr="00E834FC" w:rsidRDefault="008F56FF" w:rsidP="008F56FF">
      <w:pPr>
        <w:keepNext/>
        <w:spacing w:before="170" w:after="113" w:line="320" w:lineRule="exact"/>
        <w:outlineLvl w:val="1"/>
        <w:rPr>
          <w:rFonts w:ascii="Montserrat" w:eastAsia="Times New Roman" w:hAnsi="Montserrat" w:cs="Times New Roman"/>
          <w:szCs w:val="20"/>
          <w:lang w:eastAsia="en-GB"/>
        </w:rPr>
      </w:pPr>
      <w:r w:rsidRPr="00286D14">
        <w:rPr>
          <w:rFonts w:ascii="Montserrat" w:eastAsia="Times New Roman" w:hAnsi="Montserrat" w:cs="Times New Roman"/>
          <w:szCs w:val="20"/>
          <w:lang w:eastAsia="en-GB"/>
        </w:rPr>
        <w:t xml:space="preserve">When sending a checklist to Treasury please include a contact email for the relevant policy official, the commercial sensitivity of the proposed contingent liability and group or team responsible for the proposal. </w:t>
      </w:r>
    </w:p>
    <w:p w14:paraId="0077C29C" w14:textId="104AA7F5" w:rsidR="008F56FF" w:rsidRPr="00E834FC" w:rsidRDefault="008F56FF" w:rsidP="008F56FF">
      <w:pPr>
        <w:keepNext/>
        <w:spacing w:before="170" w:after="113" w:line="320" w:lineRule="exact"/>
        <w:outlineLvl w:val="1"/>
        <w:rPr>
          <w:rFonts w:ascii="Montserrat" w:eastAsia="Times New Roman" w:hAnsi="Montserrat" w:cs="Times New Roman"/>
          <w:szCs w:val="20"/>
          <w:lang w:eastAsia="en-GB"/>
        </w:rPr>
      </w:pPr>
    </w:p>
    <w:p w14:paraId="3070D51B" w14:textId="26C46D4B" w:rsidR="008F56FF" w:rsidRPr="00E834FC" w:rsidRDefault="008F56FF" w:rsidP="008F56FF">
      <w:pPr>
        <w:keepNext/>
        <w:spacing w:before="170" w:after="113" w:line="320" w:lineRule="exact"/>
        <w:outlineLvl w:val="1"/>
        <w:rPr>
          <w:rFonts w:ascii="Montserrat" w:eastAsia="Times New Roman" w:hAnsi="Montserrat" w:cs="Times New Roman"/>
          <w:szCs w:val="20"/>
          <w:lang w:eastAsia="en-GB"/>
        </w:rPr>
      </w:pPr>
      <w:r w:rsidRPr="00E834FC">
        <w:rPr>
          <w:rFonts w:ascii="Montserrat" w:eastAsia="Times New Roman" w:hAnsi="Montserrat" w:cs="Times New Roman"/>
          <w:szCs w:val="20"/>
          <w:lang w:eastAsia="en-GB"/>
        </w:rPr>
        <w:br w:type="page"/>
      </w:r>
    </w:p>
    <w:p w14:paraId="05FF99D0" w14:textId="77777777" w:rsidR="008F56FF" w:rsidRPr="00E834FC" w:rsidRDefault="008F56FF" w:rsidP="008F56FF">
      <w:pPr>
        <w:keepNext/>
        <w:spacing w:before="170" w:after="113" w:line="320" w:lineRule="exact"/>
        <w:outlineLvl w:val="1"/>
        <w:rPr>
          <w:rFonts w:ascii="Montserrat" w:eastAsia="Times New Roman" w:hAnsi="Montserrat" w:cs="Times New Roman"/>
          <w:szCs w:val="20"/>
          <w:lang w:eastAsia="en-GB"/>
        </w:rPr>
      </w:pPr>
      <w:r w:rsidRPr="00E834FC">
        <w:rPr>
          <w:rFonts w:ascii="Montserrat" w:eastAsia="Times New Roman" w:hAnsi="Montserrat" w:cs="Arial"/>
          <w:bCs/>
          <w:iCs/>
          <w:color w:val="B01117"/>
          <w:w w:val="85"/>
          <w:kern w:val="32"/>
          <w:sz w:val="28"/>
          <w:u w:color="BF311A"/>
          <w:lang w:eastAsia="en-GB"/>
        </w:rPr>
        <w:lastRenderedPageBreak/>
        <w:t>1.</w:t>
      </w:r>
      <w:r w:rsidRPr="00E834FC">
        <w:rPr>
          <w:rFonts w:ascii="Montserrat" w:eastAsia="Times New Roman" w:hAnsi="Montserrat" w:cs="Times New Roman"/>
          <w:szCs w:val="20"/>
          <w:lang w:eastAsia="en-GB"/>
        </w:rPr>
        <w:t xml:space="preserve">     </w:t>
      </w:r>
      <w:r w:rsidRPr="00E834FC">
        <w:rPr>
          <w:rFonts w:ascii="Montserrat" w:eastAsia="Times New Roman" w:hAnsi="Montserrat" w:cs="Arial"/>
          <w:bCs/>
          <w:iCs/>
          <w:color w:val="B01117"/>
          <w:w w:val="85"/>
          <w:kern w:val="32"/>
          <w:sz w:val="28"/>
          <w:u w:color="BF311A"/>
          <w:lang w:eastAsia="en-GB"/>
        </w:rPr>
        <w:t>Summary</w:t>
      </w:r>
    </w:p>
    <w:p w14:paraId="39BC759D" w14:textId="77777777" w:rsidR="008F56FF" w:rsidRPr="00A15D43" w:rsidRDefault="008F56FF" w:rsidP="008F56FF">
      <w:pPr>
        <w:spacing w:after="165" w:line="280" w:lineRule="atLeast"/>
        <w:rPr>
          <w:rFonts w:ascii="Montserrat" w:eastAsia="Times New Roman" w:hAnsi="Montserrat" w:cs="Times New Roman"/>
          <w:lang w:eastAsia="en-GB"/>
        </w:rPr>
      </w:pPr>
      <w:r w:rsidRPr="00A15D43">
        <w:rPr>
          <w:rFonts w:ascii="Montserrat" w:eastAsia="Times New Roman" w:hAnsi="Montserrat" w:cs="Times New Roman"/>
          <w:szCs w:val="20"/>
          <w:lang w:eastAsia="en-GB"/>
        </w:rPr>
        <w:t>1.1: Please set out details of the contingent liability/liabilities for which you are seeking Treasury consent.</w:t>
      </w:r>
    </w:p>
    <w:p w14:paraId="0DF8D298" w14:textId="77777777" w:rsidR="008F56FF" w:rsidRPr="00A15D43" w:rsidRDefault="008F56FF" w:rsidP="008F56FF">
      <w:pPr>
        <w:spacing w:after="165" w:line="280" w:lineRule="atLeast"/>
        <w:rPr>
          <w:rFonts w:ascii="Montserrat" w:eastAsia="Times New Roman" w:hAnsi="Montserrat" w:cs="Times New Roman"/>
          <w:szCs w:val="20"/>
          <w:lang w:eastAsia="en-GB"/>
        </w:rPr>
      </w:pPr>
      <w:r w:rsidRPr="00A15D43">
        <w:rPr>
          <w:rFonts w:ascii="Montserrat" w:eastAsia="Times New Roman" w:hAnsi="Montserrat" w:cs="Times New Roman"/>
          <w:szCs w:val="20"/>
          <w:lang w:eastAsia="en-GB"/>
        </w:rPr>
        <w:t xml:space="preserve">1.2: Please complete the following table summarising the financial impacts of this contingent liability. If you have used an alternate method to calculate expected cost, please adjust the table accordingly.  </w:t>
      </w:r>
    </w:p>
    <w:tbl>
      <w:tblPr>
        <w:tblStyle w:val="TableGrid2"/>
        <w:tblpPr w:leftFromText="180" w:rightFromText="180" w:vertAnchor="text" w:horzAnchor="margin" w:tblpY="-21"/>
        <w:tblW w:w="8828" w:type="dxa"/>
        <w:tblLook w:val="04A0" w:firstRow="1" w:lastRow="0" w:firstColumn="1" w:lastColumn="0" w:noHBand="0" w:noVBand="1"/>
      </w:tblPr>
      <w:tblGrid>
        <w:gridCol w:w="7971"/>
        <w:gridCol w:w="857"/>
      </w:tblGrid>
      <w:tr w:rsidR="008F56FF" w:rsidRPr="00A15D43" w14:paraId="1750BB9D"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1DB3BA6F" w14:textId="77777777" w:rsidR="008F56FF" w:rsidRPr="00A15D43" w:rsidRDefault="008F56FF" w:rsidP="00162326">
            <w:pPr>
              <w:spacing w:after="165" w:line="280" w:lineRule="atLeast"/>
              <w:rPr>
                <w:rFonts w:eastAsia="Times New Roman" w:cs="Times New Roman"/>
                <w:b/>
                <w:bCs/>
                <w:i/>
                <w:iCs/>
                <w:szCs w:val="24"/>
                <w:lang w:val="en-GB" w:eastAsia="en-GB"/>
              </w:rPr>
            </w:pPr>
            <w:r w:rsidRPr="00A15D43">
              <w:rPr>
                <w:rFonts w:eastAsia="Times New Roman" w:cs="Times New Roman"/>
                <w:b/>
                <w:bCs/>
                <w:i/>
                <w:iCs/>
                <w:szCs w:val="24"/>
                <w:lang w:val="en-GB" w:eastAsia="en-GB"/>
              </w:rPr>
              <w:t xml:space="preserve">Contingent Liability Summary Table </w:t>
            </w:r>
          </w:p>
        </w:tc>
        <w:tc>
          <w:tcPr>
            <w:tcW w:w="857" w:type="dxa"/>
            <w:tcBorders>
              <w:top w:val="single" w:sz="4" w:space="0" w:color="auto"/>
              <w:left w:val="single" w:sz="4" w:space="0" w:color="auto"/>
              <w:bottom w:val="single" w:sz="4" w:space="0" w:color="auto"/>
              <w:right w:val="single" w:sz="4" w:space="0" w:color="auto"/>
            </w:tcBorders>
          </w:tcPr>
          <w:p w14:paraId="1303E40E" w14:textId="77777777" w:rsidR="008F56FF" w:rsidRPr="00A15D43" w:rsidRDefault="008F56FF" w:rsidP="00162326">
            <w:pPr>
              <w:spacing w:after="165" w:line="280" w:lineRule="atLeast"/>
              <w:rPr>
                <w:rFonts w:eastAsia="Times New Roman" w:cs="Times New Roman"/>
                <w:szCs w:val="24"/>
                <w:lang w:val="en-GB" w:eastAsia="en-GB"/>
              </w:rPr>
            </w:pPr>
          </w:p>
        </w:tc>
      </w:tr>
      <w:tr w:rsidR="008F56FF" w:rsidRPr="00A15D43" w14:paraId="057DF79D"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0F3A374D" w14:textId="77777777" w:rsidR="008F56FF" w:rsidRPr="00A15D43" w:rsidRDefault="008F56FF" w:rsidP="00162326">
            <w:pPr>
              <w:spacing w:line="280" w:lineRule="atLeast"/>
              <w:rPr>
                <w:rFonts w:eastAsia="Times New Roman" w:cs="Times New Roman"/>
                <w:b/>
                <w:bCs/>
                <w:lang w:val="en-GB" w:eastAsia="en-GB"/>
              </w:rPr>
            </w:pPr>
            <w:r w:rsidRPr="00A15D43">
              <w:rPr>
                <w:rFonts w:eastAsia="Times New Roman" w:cs="Times New Roman"/>
                <w:b/>
                <w:bCs/>
                <w:lang w:val="en-GB" w:eastAsia="en-GB"/>
              </w:rPr>
              <w:t xml:space="preserve">(1) Start and end dates of risk exposure </w:t>
            </w:r>
            <w:r w:rsidRPr="00A15D43">
              <w:rPr>
                <w:rFonts w:eastAsia="Times New Roman" w:cs="Times New Roman"/>
                <w:lang w:val="en-GB" w:eastAsia="en-GB"/>
              </w:rPr>
              <w:t>[the dates between which an event could occur causing the liability to crystallise]</w:t>
            </w:r>
          </w:p>
        </w:tc>
        <w:tc>
          <w:tcPr>
            <w:tcW w:w="857" w:type="dxa"/>
            <w:tcBorders>
              <w:top w:val="single" w:sz="4" w:space="0" w:color="auto"/>
              <w:left w:val="single" w:sz="4" w:space="0" w:color="auto"/>
              <w:bottom w:val="single" w:sz="4" w:space="0" w:color="auto"/>
              <w:right w:val="single" w:sz="4" w:space="0" w:color="auto"/>
            </w:tcBorders>
          </w:tcPr>
          <w:p w14:paraId="47684077" w14:textId="77777777" w:rsidR="008F56FF" w:rsidRPr="00A15D43" w:rsidRDefault="008F56FF" w:rsidP="00162326">
            <w:pPr>
              <w:spacing w:line="280" w:lineRule="atLeast"/>
              <w:rPr>
                <w:rFonts w:eastAsia="Times New Roman" w:cs="Times New Roman"/>
                <w:lang w:val="en-GB" w:eastAsia="en-GB"/>
              </w:rPr>
            </w:pPr>
          </w:p>
        </w:tc>
      </w:tr>
      <w:tr w:rsidR="008F56FF" w:rsidRPr="00A15D43" w14:paraId="303AAE12"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4C910878" w14:textId="77777777" w:rsidR="008F56FF" w:rsidRPr="00A15D43" w:rsidRDefault="008F56FF" w:rsidP="00162326">
            <w:pPr>
              <w:spacing w:line="280" w:lineRule="atLeast"/>
              <w:rPr>
                <w:rFonts w:eastAsia="Times New Roman" w:cs="Times New Roman"/>
                <w:b/>
                <w:bCs/>
                <w:lang w:val="en-GB" w:eastAsia="en-GB"/>
              </w:rPr>
            </w:pPr>
            <w:r w:rsidRPr="00A15D43">
              <w:rPr>
                <w:rFonts w:eastAsia="Times New Roman" w:cs="Times New Roman"/>
                <w:b/>
                <w:bCs/>
                <w:lang w:val="en-GB" w:eastAsia="en-GB"/>
              </w:rPr>
              <w:t xml:space="preserve">(2) Start and end dates of liability exposure </w:t>
            </w:r>
            <w:r w:rsidRPr="00A15D43">
              <w:rPr>
                <w:rFonts w:eastAsia="Times New Roman" w:cs="Times New Roman"/>
                <w:lang w:val="en-GB" w:eastAsia="en-GB"/>
              </w:rPr>
              <w:t>[the dates between which a claim could be paid]</w:t>
            </w:r>
          </w:p>
        </w:tc>
        <w:tc>
          <w:tcPr>
            <w:tcW w:w="857" w:type="dxa"/>
            <w:tcBorders>
              <w:top w:val="single" w:sz="4" w:space="0" w:color="auto"/>
              <w:left w:val="single" w:sz="4" w:space="0" w:color="auto"/>
              <w:bottom w:val="single" w:sz="4" w:space="0" w:color="auto"/>
              <w:right w:val="single" w:sz="4" w:space="0" w:color="auto"/>
            </w:tcBorders>
          </w:tcPr>
          <w:p w14:paraId="72FEB38A" w14:textId="77777777" w:rsidR="008F56FF" w:rsidRPr="00A15D43" w:rsidRDefault="008F56FF" w:rsidP="00162326">
            <w:pPr>
              <w:spacing w:line="280" w:lineRule="atLeast"/>
              <w:rPr>
                <w:rFonts w:eastAsia="Times New Roman" w:cs="Times New Roman"/>
                <w:lang w:val="en-GB" w:eastAsia="en-GB"/>
              </w:rPr>
            </w:pPr>
          </w:p>
        </w:tc>
      </w:tr>
      <w:tr w:rsidR="008F56FF" w:rsidRPr="00A15D43" w14:paraId="3F826665" w14:textId="77777777" w:rsidTr="00162326">
        <w:trPr>
          <w:trHeight w:val="250"/>
        </w:trPr>
        <w:tc>
          <w:tcPr>
            <w:tcW w:w="7971" w:type="dxa"/>
            <w:tcBorders>
              <w:top w:val="single" w:sz="4" w:space="0" w:color="auto"/>
              <w:left w:val="single" w:sz="4" w:space="0" w:color="auto"/>
              <w:bottom w:val="single" w:sz="4" w:space="0" w:color="auto"/>
              <w:right w:val="single" w:sz="4" w:space="0" w:color="auto"/>
            </w:tcBorders>
            <w:hideMark/>
          </w:tcPr>
          <w:p w14:paraId="5634A29C" w14:textId="77777777" w:rsidR="008F56FF" w:rsidRPr="00A15D43" w:rsidRDefault="008F56FF" w:rsidP="00162326">
            <w:pPr>
              <w:spacing w:after="165" w:line="280" w:lineRule="atLeast"/>
              <w:rPr>
                <w:rFonts w:eastAsia="Times New Roman" w:cs="Times New Roman"/>
                <w:szCs w:val="24"/>
                <w:lang w:val="en-GB" w:eastAsia="en-GB"/>
              </w:rPr>
            </w:pPr>
            <w:r w:rsidRPr="00A15D43">
              <w:rPr>
                <w:rFonts w:eastAsia="Times New Roman" w:cs="Times New Roman"/>
                <w:b/>
                <w:bCs/>
                <w:szCs w:val="24"/>
                <w:lang w:val="en-GB" w:eastAsia="en-GB"/>
              </w:rPr>
              <w:t>(3) Maximum exposure</w:t>
            </w:r>
            <w:r w:rsidRPr="00A15D43">
              <w:rPr>
                <w:rFonts w:eastAsia="Times New Roman" w:cs="Times New Roman"/>
                <w:szCs w:val="24"/>
                <w:lang w:val="en-GB" w:eastAsia="en-GB"/>
              </w:rPr>
              <w:t xml:space="preserve"> (£ millions)</w:t>
            </w:r>
          </w:p>
        </w:tc>
        <w:tc>
          <w:tcPr>
            <w:tcW w:w="857" w:type="dxa"/>
            <w:tcBorders>
              <w:top w:val="single" w:sz="4" w:space="0" w:color="auto"/>
              <w:left w:val="single" w:sz="4" w:space="0" w:color="auto"/>
              <w:bottom w:val="single" w:sz="4" w:space="0" w:color="auto"/>
              <w:right w:val="single" w:sz="4" w:space="0" w:color="auto"/>
            </w:tcBorders>
          </w:tcPr>
          <w:p w14:paraId="3C4F0BBF" w14:textId="77777777" w:rsidR="008F56FF" w:rsidRPr="00A15D43" w:rsidRDefault="008F56FF" w:rsidP="00162326">
            <w:pPr>
              <w:spacing w:after="165" w:line="280" w:lineRule="atLeast"/>
              <w:rPr>
                <w:rFonts w:eastAsia="Times New Roman" w:cs="Times New Roman"/>
                <w:lang w:val="en-GB" w:eastAsia="en-GB"/>
              </w:rPr>
            </w:pPr>
          </w:p>
        </w:tc>
      </w:tr>
      <w:tr w:rsidR="008F56FF" w:rsidRPr="00A15D43" w14:paraId="4082547A"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089EF987" w14:textId="77777777" w:rsidR="008F56FF" w:rsidRPr="00A15D43" w:rsidRDefault="008F56FF" w:rsidP="00162326">
            <w:pPr>
              <w:spacing w:after="165" w:line="280" w:lineRule="atLeast"/>
              <w:rPr>
                <w:rFonts w:eastAsia="Times New Roman" w:cs="Times New Roman"/>
                <w:szCs w:val="24"/>
                <w:lang w:val="en-GB" w:eastAsia="en-GB"/>
              </w:rPr>
            </w:pPr>
            <w:r w:rsidRPr="00A15D43">
              <w:rPr>
                <w:rFonts w:eastAsia="Times New Roman" w:cs="Times New Roman"/>
                <w:b/>
                <w:bCs/>
                <w:szCs w:val="24"/>
                <w:lang w:val="en-GB" w:eastAsia="en-GB"/>
              </w:rPr>
              <w:t>(4) Reasonable worst case exposure</w:t>
            </w:r>
            <w:r w:rsidRPr="00A15D43">
              <w:rPr>
                <w:rFonts w:eastAsia="Times New Roman" w:cs="Times New Roman"/>
                <w:szCs w:val="24"/>
                <w:lang w:val="en-GB" w:eastAsia="en-GB"/>
              </w:rPr>
              <w:t xml:space="preserve"> (£ millions)</w:t>
            </w:r>
          </w:p>
        </w:tc>
        <w:tc>
          <w:tcPr>
            <w:tcW w:w="857" w:type="dxa"/>
            <w:tcBorders>
              <w:top w:val="single" w:sz="4" w:space="0" w:color="auto"/>
              <w:left w:val="single" w:sz="4" w:space="0" w:color="auto"/>
              <w:bottom w:val="single" w:sz="4" w:space="0" w:color="auto"/>
              <w:right w:val="single" w:sz="4" w:space="0" w:color="auto"/>
            </w:tcBorders>
          </w:tcPr>
          <w:p w14:paraId="55D7526F" w14:textId="77777777" w:rsidR="008F56FF" w:rsidRPr="00A15D43" w:rsidRDefault="008F56FF" w:rsidP="00162326">
            <w:pPr>
              <w:spacing w:after="165" w:line="280" w:lineRule="atLeast"/>
              <w:rPr>
                <w:rFonts w:eastAsia="Times New Roman" w:cs="Times New Roman"/>
                <w:szCs w:val="24"/>
                <w:lang w:val="en-GB" w:eastAsia="en-GB"/>
              </w:rPr>
            </w:pPr>
          </w:p>
        </w:tc>
      </w:tr>
      <w:tr w:rsidR="008F56FF" w:rsidRPr="00A15D43" w14:paraId="22174127"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62EF923A" w14:textId="770F93C7" w:rsidR="008F56FF" w:rsidRPr="00A15D43" w:rsidRDefault="008F56FF" w:rsidP="00162326">
            <w:pPr>
              <w:spacing w:after="165" w:line="280" w:lineRule="atLeast"/>
              <w:rPr>
                <w:rFonts w:eastAsia="Times New Roman" w:cs="Times New Roman"/>
                <w:szCs w:val="24"/>
                <w:lang w:val="en-GB" w:eastAsia="en-GB"/>
              </w:rPr>
            </w:pPr>
            <w:r w:rsidRPr="00A15D43">
              <w:rPr>
                <w:rFonts w:eastAsia="Times New Roman" w:cs="Times New Roman"/>
                <w:b/>
                <w:bCs/>
                <w:szCs w:val="24"/>
                <w:lang w:val="en-GB" w:eastAsia="en-GB"/>
              </w:rPr>
              <w:t>(5) Average cost per crystallisation</w:t>
            </w:r>
            <w:r w:rsidRPr="00A15D43">
              <w:rPr>
                <w:rFonts w:eastAsia="Times New Roman" w:cs="Times New Roman"/>
                <w:szCs w:val="24"/>
                <w:lang w:val="en-GB" w:eastAsia="en-GB"/>
              </w:rPr>
              <w:t xml:space="preserve"> (£</w:t>
            </w:r>
            <w:r w:rsidR="00DF5F14">
              <w:rPr>
                <w:rFonts w:eastAsia="Times New Roman" w:cs="Times New Roman"/>
                <w:szCs w:val="24"/>
                <w:lang w:val="en-GB" w:eastAsia="en-GB"/>
              </w:rPr>
              <w:t xml:space="preserve"> </w:t>
            </w:r>
            <w:r w:rsidRPr="00A15D43">
              <w:rPr>
                <w:rFonts w:eastAsia="Times New Roman" w:cs="Times New Roman"/>
                <w:szCs w:val="24"/>
                <w:lang w:val="en-GB" w:eastAsia="en-GB"/>
              </w:rPr>
              <w:t>millions)</w:t>
            </w:r>
          </w:p>
        </w:tc>
        <w:tc>
          <w:tcPr>
            <w:tcW w:w="857" w:type="dxa"/>
            <w:tcBorders>
              <w:top w:val="single" w:sz="4" w:space="0" w:color="auto"/>
              <w:left w:val="single" w:sz="4" w:space="0" w:color="auto"/>
              <w:bottom w:val="single" w:sz="4" w:space="0" w:color="auto"/>
              <w:right w:val="single" w:sz="4" w:space="0" w:color="auto"/>
            </w:tcBorders>
          </w:tcPr>
          <w:p w14:paraId="1BC9A6F8" w14:textId="77777777" w:rsidR="008F56FF" w:rsidRPr="00A15D43" w:rsidRDefault="008F56FF" w:rsidP="00162326">
            <w:pPr>
              <w:spacing w:after="165" w:line="280" w:lineRule="atLeast"/>
              <w:rPr>
                <w:rFonts w:eastAsia="Times New Roman" w:cs="Times New Roman"/>
                <w:szCs w:val="24"/>
                <w:lang w:val="en-GB" w:eastAsia="en-GB"/>
              </w:rPr>
            </w:pPr>
          </w:p>
        </w:tc>
      </w:tr>
      <w:tr w:rsidR="008F56FF" w:rsidRPr="00A15D43" w14:paraId="11DB5FED"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712B2C76" w14:textId="77777777" w:rsidR="008F56FF" w:rsidRPr="00A15D43" w:rsidRDefault="008F56FF" w:rsidP="00162326">
            <w:pPr>
              <w:spacing w:after="165" w:line="280" w:lineRule="atLeast"/>
              <w:rPr>
                <w:rFonts w:eastAsia="Times New Roman" w:cs="Times New Roman"/>
                <w:lang w:val="en-GB" w:eastAsia="en-GB"/>
              </w:rPr>
            </w:pPr>
            <w:r w:rsidRPr="00A15D43">
              <w:rPr>
                <w:rFonts w:eastAsia="Times New Roman" w:cs="Times New Roman"/>
                <w:b/>
                <w:bCs/>
                <w:lang w:val="en-GB" w:eastAsia="en-GB"/>
              </w:rPr>
              <w:t>(6) Probability of crystallisation</w:t>
            </w:r>
            <w:r w:rsidRPr="00A15D43">
              <w:rPr>
                <w:rFonts w:eastAsia="Times New Roman" w:cs="Times New Roman"/>
                <w:lang w:val="en-GB" w:eastAsia="en-GB"/>
              </w:rPr>
              <w:t xml:space="preserve"> [if only one crystallisation can occur] </w:t>
            </w:r>
            <w:r w:rsidRPr="00A15D43">
              <w:rPr>
                <w:rFonts w:eastAsia="Times New Roman" w:cs="Times New Roman"/>
                <w:i/>
                <w:iCs/>
                <w:lang w:val="en-GB" w:eastAsia="en-GB"/>
              </w:rPr>
              <w:t>or</w:t>
            </w:r>
            <w:r w:rsidRPr="00A15D43">
              <w:rPr>
                <w:rFonts w:eastAsia="Times New Roman" w:cs="Times New Roman"/>
                <w:b/>
                <w:bCs/>
                <w:lang w:val="en-GB" w:eastAsia="en-GB"/>
              </w:rPr>
              <w:t xml:space="preserve"> Expected number of crystallisations</w:t>
            </w:r>
            <w:r w:rsidRPr="00A15D43">
              <w:rPr>
                <w:rFonts w:eastAsia="Times New Roman" w:cs="Times New Roman"/>
                <w:lang w:val="en-GB" w:eastAsia="en-GB"/>
              </w:rPr>
              <w:t xml:space="preserve"> [if more than one crystallisation is possible] (%/number)</w:t>
            </w:r>
          </w:p>
        </w:tc>
        <w:tc>
          <w:tcPr>
            <w:tcW w:w="857" w:type="dxa"/>
            <w:tcBorders>
              <w:top w:val="single" w:sz="4" w:space="0" w:color="auto"/>
              <w:left w:val="single" w:sz="4" w:space="0" w:color="auto"/>
              <w:bottom w:val="single" w:sz="4" w:space="0" w:color="auto"/>
              <w:right w:val="single" w:sz="4" w:space="0" w:color="auto"/>
            </w:tcBorders>
          </w:tcPr>
          <w:p w14:paraId="2055AD05" w14:textId="77777777" w:rsidR="008F56FF" w:rsidRPr="00A15D43" w:rsidRDefault="008F56FF" w:rsidP="00162326">
            <w:pPr>
              <w:spacing w:after="165" w:line="280" w:lineRule="atLeast"/>
              <w:rPr>
                <w:rFonts w:eastAsia="Times New Roman" w:cs="Times New Roman"/>
                <w:szCs w:val="24"/>
                <w:lang w:val="en-GB" w:eastAsia="en-GB"/>
              </w:rPr>
            </w:pPr>
          </w:p>
        </w:tc>
      </w:tr>
      <w:tr w:rsidR="008F56FF" w:rsidRPr="00A15D43" w14:paraId="48FB6631"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27FBC909" w14:textId="77777777" w:rsidR="008F56FF" w:rsidRPr="00A15D43" w:rsidRDefault="008F56FF" w:rsidP="00162326">
            <w:pPr>
              <w:spacing w:after="165" w:line="280" w:lineRule="atLeast"/>
              <w:rPr>
                <w:rFonts w:eastAsia="Times New Roman" w:cs="Times New Roman"/>
                <w:szCs w:val="24"/>
                <w:lang w:val="en-GB" w:eastAsia="en-GB"/>
              </w:rPr>
            </w:pPr>
            <w:r w:rsidRPr="00A15D43">
              <w:rPr>
                <w:rFonts w:eastAsia="Times New Roman" w:cs="Times New Roman"/>
                <w:b/>
                <w:bCs/>
                <w:lang w:val="en-GB" w:eastAsia="en-GB"/>
              </w:rPr>
              <w:t>(7) Lifetime expected gross cost</w:t>
            </w:r>
            <w:r w:rsidRPr="00A15D43">
              <w:rPr>
                <w:rFonts w:eastAsia="Times New Roman" w:cs="Times New Roman"/>
                <w:lang w:val="en-GB" w:eastAsia="en-GB"/>
              </w:rPr>
              <w:t xml:space="preserve"> [average cost per crystallisation (5) multiplied by probability of/expected number of crystallisations (6)] (£ millions)</w:t>
            </w:r>
          </w:p>
        </w:tc>
        <w:tc>
          <w:tcPr>
            <w:tcW w:w="857" w:type="dxa"/>
            <w:tcBorders>
              <w:top w:val="single" w:sz="4" w:space="0" w:color="auto"/>
              <w:left w:val="single" w:sz="4" w:space="0" w:color="auto"/>
              <w:bottom w:val="single" w:sz="4" w:space="0" w:color="auto"/>
              <w:right w:val="single" w:sz="4" w:space="0" w:color="auto"/>
            </w:tcBorders>
          </w:tcPr>
          <w:p w14:paraId="015C321E" w14:textId="77777777" w:rsidR="008F56FF" w:rsidRPr="00A15D43" w:rsidRDefault="008F56FF" w:rsidP="00162326">
            <w:pPr>
              <w:spacing w:after="165" w:line="280" w:lineRule="atLeast"/>
              <w:rPr>
                <w:rFonts w:eastAsia="Times New Roman" w:cs="Times New Roman"/>
                <w:szCs w:val="24"/>
                <w:lang w:val="en-GB" w:eastAsia="en-GB"/>
              </w:rPr>
            </w:pPr>
          </w:p>
        </w:tc>
      </w:tr>
      <w:tr w:rsidR="008F56FF" w:rsidRPr="00A15D43" w14:paraId="7825E053"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6F8C2F9B" w14:textId="77777777" w:rsidR="008F56FF" w:rsidRPr="00A15D43" w:rsidRDefault="008F56FF" w:rsidP="00162326">
            <w:pPr>
              <w:spacing w:after="165" w:line="280" w:lineRule="atLeast"/>
              <w:rPr>
                <w:rFonts w:eastAsia="Times New Roman" w:cs="Times New Roman"/>
                <w:lang w:val="en-GB" w:eastAsia="en-GB"/>
              </w:rPr>
            </w:pPr>
            <w:r w:rsidRPr="00A15D43">
              <w:rPr>
                <w:rFonts w:eastAsia="Times New Roman" w:cs="Times New Roman"/>
                <w:b/>
                <w:bCs/>
                <w:szCs w:val="24"/>
                <w:lang w:val="en-GB" w:eastAsia="en-GB"/>
              </w:rPr>
              <w:t>(8) Lifetime expected</w:t>
            </w:r>
            <w:r w:rsidRPr="00A15D43">
              <w:rPr>
                <w:rFonts w:eastAsia="Times New Roman" w:cs="Times New Roman"/>
                <w:szCs w:val="24"/>
                <w:lang w:val="en-GB" w:eastAsia="en-GB"/>
              </w:rPr>
              <w:t xml:space="preserve"> </w:t>
            </w:r>
            <w:r w:rsidRPr="00A15D43">
              <w:rPr>
                <w:rFonts w:eastAsia="Times New Roman" w:cs="Times New Roman"/>
                <w:b/>
                <w:bCs/>
                <w:szCs w:val="24"/>
                <w:lang w:val="en-GB" w:eastAsia="en-GB"/>
              </w:rPr>
              <w:t xml:space="preserve">income </w:t>
            </w:r>
            <w:r w:rsidRPr="00A15D43">
              <w:rPr>
                <w:rFonts w:eastAsia="Times New Roman" w:cs="Times New Roman"/>
                <w:szCs w:val="24"/>
                <w:lang w:val="en-GB" w:eastAsia="en-GB"/>
              </w:rPr>
              <w:t>(£ millions)</w:t>
            </w:r>
          </w:p>
        </w:tc>
        <w:tc>
          <w:tcPr>
            <w:tcW w:w="857" w:type="dxa"/>
            <w:tcBorders>
              <w:top w:val="single" w:sz="4" w:space="0" w:color="auto"/>
              <w:left w:val="single" w:sz="4" w:space="0" w:color="auto"/>
              <w:bottom w:val="single" w:sz="4" w:space="0" w:color="auto"/>
              <w:right w:val="single" w:sz="4" w:space="0" w:color="auto"/>
            </w:tcBorders>
          </w:tcPr>
          <w:p w14:paraId="700B2F63" w14:textId="77777777" w:rsidR="008F56FF" w:rsidRPr="00A15D43" w:rsidRDefault="008F56FF" w:rsidP="00162326">
            <w:pPr>
              <w:spacing w:after="165" w:line="280" w:lineRule="atLeast"/>
              <w:rPr>
                <w:rFonts w:eastAsia="Times New Roman" w:cs="Times New Roman"/>
                <w:szCs w:val="24"/>
                <w:lang w:val="en-GB" w:eastAsia="en-GB"/>
              </w:rPr>
            </w:pPr>
          </w:p>
        </w:tc>
      </w:tr>
      <w:tr w:rsidR="008F56FF" w:rsidRPr="00A15D43" w14:paraId="68A1B346"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601BB7A0" w14:textId="77777777" w:rsidR="008F56FF" w:rsidRPr="00A15D43" w:rsidRDefault="008F56FF" w:rsidP="00162326">
            <w:pPr>
              <w:spacing w:after="165" w:line="280" w:lineRule="atLeast"/>
              <w:rPr>
                <w:rFonts w:eastAsia="Times New Roman" w:cs="Times New Roman"/>
                <w:szCs w:val="24"/>
                <w:lang w:val="en-GB" w:eastAsia="en-GB"/>
              </w:rPr>
            </w:pPr>
            <w:r w:rsidRPr="00A15D43">
              <w:rPr>
                <w:rFonts w:eastAsia="Times New Roman" w:cs="Times New Roman"/>
                <w:b/>
                <w:bCs/>
                <w:szCs w:val="24"/>
                <w:lang w:val="en-GB" w:eastAsia="en-GB"/>
              </w:rPr>
              <w:t>(9) Lifetime expected net cost</w:t>
            </w:r>
            <w:r w:rsidRPr="00A15D43">
              <w:rPr>
                <w:rFonts w:eastAsia="Times New Roman" w:cs="Times New Roman"/>
                <w:szCs w:val="24"/>
                <w:lang w:val="en-GB" w:eastAsia="en-GB"/>
              </w:rPr>
              <w:t xml:space="preserve"> [Lifetime expected gross cost (7) minus </w:t>
            </w:r>
            <w:r w:rsidRPr="00A15D43">
              <w:rPr>
                <w:rFonts w:eastAsia="Montserrat" w:cs="Times New Roman"/>
                <w:lang w:val="en-GB"/>
              </w:rPr>
              <w:t>Lifetime</w:t>
            </w:r>
            <w:r w:rsidRPr="00A15D43">
              <w:rPr>
                <w:rFonts w:eastAsia="Times New Roman" w:cs="Times New Roman"/>
                <w:szCs w:val="24"/>
                <w:lang w:val="en-GB" w:eastAsia="en-GB"/>
              </w:rPr>
              <w:t xml:space="preserve"> expected income (8)] (£ millions)</w:t>
            </w:r>
          </w:p>
        </w:tc>
        <w:tc>
          <w:tcPr>
            <w:tcW w:w="857" w:type="dxa"/>
            <w:tcBorders>
              <w:top w:val="single" w:sz="4" w:space="0" w:color="auto"/>
              <w:left w:val="single" w:sz="4" w:space="0" w:color="auto"/>
              <w:bottom w:val="single" w:sz="4" w:space="0" w:color="auto"/>
              <w:right w:val="single" w:sz="4" w:space="0" w:color="auto"/>
            </w:tcBorders>
          </w:tcPr>
          <w:p w14:paraId="22606F7C" w14:textId="77777777" w:rsidR="008F56FF" w:rsidRPr="00A15D43" w:rsidRDefault="008F56FF" w:rsidP="00162326">
            <w:pPr>
              <w:spacing w:after="165" w:line="280" w:lineRule="atLeast"/>
              <w:rPr>
                <w:rFonts w:eastAsia="Times New Roman" w:cs="Times New Roman"/>
                <w:szCs w:val="24"/>
                <w:lang w:val="en-GB" w:eastAsia="en-GB"/>
              </w:rPr>
            </w:pPr>
          </w:p>
        </w:tc>
      </w:tr>
      <w:tr w:rsidR="008F56FF" w:rsidRPr="00A15D43" w14:paraId="2FC7457F" w14:textId="77777777" w:rsidTr="00162326">
        <w:trPr>
          <w:trHeight w:val="243"/>
        </w:trPr>
        <w:tc>
          <w:tcPr>
            <w:tcW w:w="7971" w:type="dxa"/>
            <w:tcBorders>
              <w:top w:val="single" w:sz="4" w:space="0" w:color="auto"/>
              <w:left w:val="single" w:sz="4" w:space="0" w:color="auto"/>
              <w:bottom w:val="single" w:sz="4" w:space="0" w:color="auto"/>
              <w:right w:val="single" w:sz="4" w:space="0" w:color="auto"/>
            </w:tcBorders>
            <w:hideMark/>
          </w:tcPr>
          <w:p w14:paraId="1E676C5C" w14:textId="77777777" w:rsidR="008F56FF" w:rsidRPr="00A15D43" w:rsidRDefault="008F56FF" w:rsidP="00162326">
            <w:pPr>
              <w:spacing w:after="165" w:line="280" w:lineRule="atLeast"/>
              <w:rPr>
                <w:rFonts w:eastAsia="Times New Roman" w:cs="Times New Roman"/>
                <w:szCs w:val="24"/>
                <w:lang w:val="en-GB" w:eastAsia="en-GB"/>
              </w:rPr>
            </w:pPr>
            <w:r w:rsidRPr="00A15D43">
              <w:rPr>
                <w:rFonts w:eastAsia="Times New Roman" w:cs="Times New Roman"/>
                <w:b/>
                <w:bCs/>
                <w:szCs w:val="24"/>
                <w:lang w:val="en-GB" w:eastAsia="en-GB"/>
              </w:rPr>
              <w:t>(10) Probability of any costs arising</w:t>
            </w:r>
            <w:r w:rsidRPr="00A15D43">
              <w:rPr>
                <w:rFonts w:eastAsia="Times New Roman" w:cs="Times New Roman"/>
                <w:szCs w:val="24"/>
                <w:lang w:val="en-GB" w:eastAsia="en-GB"/>
              </w:rPr>
              <w:t xml:space="preserve"> [for single event CLs this would be the same as the probability above, for portfolios this will be higher – perhaps even 100%] (%)</w:t>
            </w:r>
          </w:p>
        </w:tc>
        <w:tc>
          <w:tcPr>
            <w:tcW w:w="857" w:type="dxa"/>
            <w:tcBorders>
              <w:top w:val="single" w:sz="4" w:space="0" w:color="auto"/>
              <w:left w:val="single" w:sz="4" w:space="0" w:color="auto"/>
              <w:bottom w:val="single" w:sz="4" w:space="0" w:color="auto"/>
              <w:right w:val="single" w:sz="4" w:space="0" w:color="auto"/>
            </w:tcBorders>
          </w:tcPr>
          <w:p w14:paraId="00B4B66E" w14:textId="77777777" w:rsidR="008F56FF" w:rsidRPr="00A15D43" w:rsidRDefault="008F56FF" w:rsidP="00162326">
            <w:pPr>
              <w:spacing w:after="165" w:line="280" w:lineRule="atLeast"/>
              <w:rPr>
                <w:rFonts w:eastAsia="Times New Roman" w:cs="Times New Roman"/>
                <w:szCs w:val="24"/>
                <w:lang w:val="en-GB" w:eastAsia="en-GB"/>
              </w:rPr>
            </w:pPr>
          </w:p>
        </w:tc>
      </w:tr>
    </w:tbl>
    <w:p w14:paraId="0AC1E113" w14:textId="77777777" w:rsidR="008F56FF" w:rsidRPr="00A15D43" w:rsidRDefault="008F56FF" w:rsidP="008F56FF">
      <w:pPr>
        <w:spacing w:after="165" w:line="280" w:lineRule="atLeast"/>
        <w:rPr>
          <w:rFonts w:ascii="Montserrat" w:eastAsia="Times New Roman" w:hAnsi="Montserrat" w:cs="Times New Roman"/>
          <w:lang w:eastAsia="en-GB"/>
        </w:rPr>
      </w:pPr>
    </w:p>
    <w:p w14:paraId="4AE43CE7" w14:textId="77777777" w:rsidR="008F56FF" w:rsidRPr="00A15D43" w:rsidRDefault="008F56FF" w:rsidP="008F56FF">
      <w:pPr>
        <w:spacing w:after="165" w:line="280" w:lineRule="atLeast"/>
        <w:rPr>
          <w:rFonts w:ascii="Montserrat" w:eastAsia="Times New Roman" w:hAnsi="Montserrat" w:cs="Times New Roman"/>
          <w:szCs w:val="20"/>
          <w:lang w:eastAsia="en-GB"/>
        </w:rPr>
      </w:pPr>
      <w:r w:rsidRPr="00A15D43">
        <w:rPr>
          <w:rFonts w:ascii="Montserrat" w:eastAsia="Times New Roman" w:hAnsi="Montserrat" w:cs="Times New Roman"/>
          <w:szCs w:val="20"/>
          <w:lang w:eastAsia="en-GB"/>
        </w:rPr>
        <w:t xml:space="preserve">1.3: Why is it beneficial for government to take on this contingent liability? </w:t>
      </w:r>
    </w:p>
    <w:p w14:paraId="31014572" w14:textId="77777777" w:rsidR="008F56FF" w:rsidRPr="00E834FC" w:rsidRDefault="008F56FF" w:rsidP="008F56FF">
      <w:pPr>
        <w:spacing w:after="165" w:line="280" w:lineRule="atLeast"/>
        <w:rPr>
          <w:rFonts w:ascii="Montserrat" w:eastAsia="Times New Roman" w:hAnsi="Montserrat" w:cs="Times New Roman"/>
          <w:szCs w:val="20"/>
          <w:lang w:eastAsia="en-GB"/>
        </w:rPr>
      </w:pPr>
      <w:r w:rsidRPr="00A15D43">
        <w:rPr>
          <w:rFonts w:ascii="Montserrat" w:eastAsia="Times New Roman" w:hAnsi="Montserrat" w:cs="Times New Roman"/>
          <w:szCs w:val="20"/>
          <w:lang w:eastAsia="en-GB"/>
        </w:rPr>
        <w:t>1.4: Please provide an options analysis demonstrating what alternatives have been considered.</w:t>
      </w:r>
    </w:p>
    <w:p w14:paraId="18D1E834" w14:textId="77777777" w:rsidR="008F56FF" w:rsidRPr="00E834FC" w:rsidRDefault="008F56FF" w:rsidP="008F56FF">
      <w:pPr>
        <w:spacing w:after="165" w:line="280" w:lineRule="atLeast"/>
        <w:rPr>
          <w:rFonts w:ascii="Montserrat" w:eastAsia="Times New Roman" w:hAnsi="Montserrat" w:cs="Times New Roman"/>
          <w:szCs w:val="20"/>
          <w:lang w:eastAsia="en-GB"/>
        </w:rPr>
      </w:pPr>
    </w:p>
    <w:p w14:paraId="47C5D8CC" w14:textId="77777777" w:rsidR="008F56FF" w:rsidRPr="005371E3" w:rsidRDefault="008F56FF" w:rsidP="008F56FF">
      <w:pPr>
        <w:keepNext/>
        <w:spacing w:before="170" w:after="113" w:line="320" w:lineRule="exact"/>
        <w:outlineLvl w:val="1"/>
        <w:rPr>
          <w:rFonts w:ascii="Montserrat" w:eastAsia="Times New Roman" w:hAnsi="Montserrat" w:cs="Arial"/>
          <w:color w:val="B01117"/>
          <w:kern w:val="32"/>
          <w:sz w:val="28"/>
          <w:lang w:eastAsia="en-GB"/>
        </w:rPr>
      </w:pPr>
      <w:r w:rsidRPr="00E834FC">
        <w:rPr>
          <w:rFonts w:ascii="Montserrat" w:eastAsia="Times New Roman" w:hAnsi="Montserrat" w:cs="Arial"/>
          <w:color w:val="B01117"/>
          <w:w w:val="80"/>
          <w:kern w:val="32"/>
          <w:sz w:val="28"/>
          <w:lang w:eastAsia="en-GB"/>
        </w:rPr>
        <w:t xml:space="preserve">2.     </w:t>
      </w:r>
      <w:r w:rsidRPr="005371E3">
        <w:rPr>
          <w:rFonts w:ascii="Montserrat" w:eastAsia="Times New Roman" w:hAnsi="Montserrat" w:cs="Arial"/>
          <w:color w:val="B01117"/>
          <w:w w:val="80"/>
          <w:kern w:val="32"/>
          <w:sz w:val="28"/>
          <w:lang w:eastAsia="en-GB"/>
        </w:rPr>
        <w:t>Evidence and Rationale</w:t>
      </w:r>
    </w:p>
    <w:p w14:paraId="0C1AF602" w14:textId="77777777" w:rsidR="008F56FF" w:rsidRPr="005371E3" w:rsidRDefault="008F56FF" w:rsidP="008F56FF">
      <w:pPr>
        <w:spacing w:after="165" w:line="280" w:lineRule="atLeast"/>
        <w:rPr>
          <w:rFonts w:ascii="Montserrat" w:eastAsia="Times New Roman" w:hAnsi="Montserrat" w:cs="Times New Roman"/>
          <w:lang w:eastAsia="en-GB"/>
        </w:rPr>
      </w:pPr>
      <w:r w:rsidRPr="005371E3">
        <w:rPr>
          <w:rFonts w:ascii="Montserrat" w:eastAsia="Times New Roman" w:hAnsi="Montserrat" w:cs="Times New Roman"/>
          <w:szCs w:val="20"/>
          <w:lang w:eastAsia="en-GB"/>
        </w:rPr>
        <w:t>2.1: Please provide evidence to support the maximum possible and reasonable worst case estimates in the summary table, including an assessment of uncertainty.</w:t>
      </w:r>
    </w:p>
    <w:p w14:paraId="015C73C9"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2.2: Why is this size necessary? If there is no explicit maximum, please explain why.</w:t>
      </w:r>
    </w:p>
    <w:p w14:paraId="52D29D51"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lastRenderedPageBreak/>
        <w:t>2.3: Why is the risk and liability exposure of this contingent liability necessary? If the contingent liability exists in perpetuity, please explain why.</w:t>
      </w:r>
    </w:p>
    <w:p w14:paraId="74EA0836"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2.4: Will there be any review points where parameters of the liability can be changed and are there options to exit the liability before the maturity?</w:t>
      </w:r>
    </w:p>
    <w:p w14:paraId="5149F87A"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2.5: Please provide evidence to support the “Average Cost per Crystallisation” in the summary table, including an assessment of uncertainty?</w:t>
      </w:r>
    </w:p>
    <w:p w14:paraId="1DCE39B6" w14:textId="38D10871"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2.6: Please provide evidence to support</w:t>
      </w:r>
      <w:r w:rsidR="00B94E7C">
        <w:rPr>
          <w:rFonts w:ascii="Montserrat" w:eastAsia="Times New Roman" w:hAnsi="Montserrat" w:cs="Times New Roman"/>
          <w:szCs w:val="20"/>
          <w:lang w:eastAsia="en-GB"/>
        </w:rPr>
        <w:t xml:space="preserve"> the</w:t>
      </w:r>
      <w:r w:rsidRPr="005371E3">
        <w:rPr>
          <w:rFonts w:ascii="Montserrat" w:eastAsia="Times New Roman" w:hAnsi="Montserrat" w:cs="Times New Roman"/>
          <w:szCs w:val="20"/>
          <w:lang w:eastAsia="en-GB"/>
        </w:rPr>
        <w:t xml:space="preserve"> “Probability of Crystallisation/Expected Number of Crystallisations” in the summary table, including an assessment of uncertainty. </w:t>
      </w:r>
    </w:p>
    <w:p w14:paraId="0B88C959"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 xml:space="preserve">2.7: Please provide evidence to support the income received estimate in the summary table, including an assessment of uncertainty. </w:t>
      </w:r>
    </w:p>
    <w:p w14:paraId="19A100B9"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2.8: Why is this level of income received appropriate? In particular, if your department does not intend to charge, please explain why.</w:t>
      </w:r>
    </w:p>
    <w:p w14:paraId="50A5852F"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2.9: If the liability crystallises, what is the impact on future crystallisations of this liability?</w:t>
      </w:r>
    </w:p>
    <w:p w14:paraId="78F33CF4" w14:textId="77777777" w:rsidR="008F56FF" w:rsidRPr="005371E3" w:rsidRDefault="008F56FF" w:rsidP="008F56FF">
      <w:pPr>
        <w:spacing w:after="165" w:line="280" w:lineRule="atLeast"/>
        <w:rPr>
          <w:rFonts w:ascii="Montserrat" w:eastAsia="Times New Roman" w:hAnsi="Montserrat" w:cs="Times New Roman"/>
          <w:color w:val="000000"/>
          <w:szCs w:val="24"/>
          <w:lang w:eastAsia="en-GB"/>
        </w:rPr>
      </w:pPr>
    </w:p>
    <w:p w14:paraId="26765786" w14:textId="77777777" w:rsidR="008F56FF" w:rsidRPr="005371E3" w:rsidRDefault="008F56FF" w:rsidP="008F56FF">
      <w:pPr>
        <w:keepNext/>
        <w:spacing w:before="170" w:after="113" w:line="320" w:lineRule="exact"/>
        <w:outlineLvl w:val="1"/>
        <w:rPr>
          <w:rFonts w:ascii="Montserrat" w:eastAsia="Times New Roman" w:hAnsi="Montserrat" w:cs="Arial"/>
          <w:color w:val="B01117"/>
          <w:kern w:val="32"/>
          <w:sz w:val="28"/>
          <w:szCs w:val="28"/>
          <w:lang w:eastAsia="en-GB"/>
        </w:rPr>
      </w:pPr>
      <w:r w:rsidRPr="00E834FC">
        <w:rPr>
          <w:rFonts w:ascii="Montserrat" w:eastAsia="Times New Roman" w:hAnsi="Montserrat" w:cs="Arial"/>
          <w:color w:val="B01117"/>
          <w:w w:val="85"/>
          <w:kern w:val="32"/>
          <w:sz w:val="28"/>
          <w:szCs w:val="28"/>
          <w:lang w:eastAsia="en-GB"/>
        </w:rPr>
        <w:t xml:space="preserve">3.     </w:t>
      </w:r>
      <w:r w:rsidRPr="005371E3">
        <w:rPr>
          <w:rFonts w:ascii="Montserrat" w:eastAsia="Times New Roman" w:hAnsi="Montserrat" w:cs="Arial"/>
          <w:color w:val="B01117"/>
          <w:w w:val="85"/>
          <w:kern w:val="32"/>
          <w:sz w:val="28"/>
          <w:szCs w:val="28"/>
          <w:lang w:eastAsia="en-GB"/>
        </w:rPr>
        <w:t xml:space="preserve">Risk management </w:t>
      </w:r>
    </w:p>
    <w:p w14:paraId="25088553" w14:textId="77777777" w:rsidR="008F56FF" w:rsidRPr="005371E3" w:rsidRDefault="008F56FF" w:rsidP="008F56FF">
      <w:pPr>
        <w:spacing w:after="165" w:line="280" w:lineRule="atLeast"/>
        <w:rPr>
          <w:rFonts w:ascii="Montserrat" w:eastAsia="Times New Roman" w:hAnsi="Montserrat" w:cs="Times New Roman"/>
          <w:lang w:eastAsia="en-GB"/>
        </w:rPr>
      </w:pPr>
      <w:r w:rsidRPr="005371E3">
        <w:rPr>
          <w:rFonts w:ascii="Montserrat" w:eastAsia="Times New Roman" w:hAnsi="Montserrat" w:cs="Times New Roman"/>
          <w:szCs w:val="20"/>
          <w:lang w:eastAsia="en-GB"/>
        </w:rPr>
        <w:t>3.1: What are the triggers for this contingent liability crystallising?</w:t>
      </w:r>
    </w:p>
    <w:p w14:paraId="52EF8C3B"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3.2: How does your department plan to monitor and report risks once the CL is approved, both to Treasury and internally?</w:t>
      </w:r>
    </w:p>
    <w:p w14:paraId="4AE38D6C" w14:textId="77777777"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 xml:space="preserve">3.3: What risk mitigation tools will be applied to reduce the risk of this liability crystallising and the quantum of any crystallisation? </w:t>
      </w:r>
    </w:p>
    <w:p w14:paraId="16B547D9" w14:textId="4924FC13" w:rsidR="008F56FF" w:rsidRPr="005371E3"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 xml:space="preserve">3.4: Will the liability be funded in advance by, for example, holding assets against the liability? As set out in </w:t>
      </w:r>
      <w:r w:rsidR="00B94E7C">
        <w:rPr>
          <w:rFonts w:ascii="Montserrat" w:eastAsia="Times New Roman" w:hAnsi="Montserrat" w:cs="Times New Roman"/>
          <w:szCs w:val="20"/>
          <w:lang w:eastAsia="en-GB"/>
        </w:rPr>
        <w:t>B</w:t>
      </w:r>
      <w:r w:rsidRPr="005371E3">
        <w:rPr>
          <w:rFonts w:ascii="Montserrat" w:eastAsia="Times New Roman" w:hAnsi="Montserrat" w:cs="Times New Roman"/>
          <w:szCs w:val="20"/>
          <w:lang w:eastAsia="en-GB"/>
        </w:rPr>
        <w:t xml:space="preserve">ox 4 of the contingent liability approval framework, this is rarely good VfM. </w:t>
      </w:r>
    </w:p>
    <w:p w14:paraId="4391FA9E" w14:textId="77777777" w:rsidR="008F56FF" w:rsidRPr="005371E3" w:rsidRDefault="008F56FF" w:rsidP="008F56FF">
      <w:pPr>
        <w:spacing w:after="165" w:line="280" w:lineRule="atLeast"/>
        <w:rPr>
          <w:rFonts w:ascii="Montserrat" w:eastAsia="Times New Roman" w:hAnsi="Montserrat" w:cs="Times New Roman"/>
          <w:color w:val="000000"/>
          <w:sz w:val="18"/>
          <w:szCs w:val="20"/>
          <w:lang w:eastAsia="en-GB"/>
        </w:rPr>
      </w:pPr>
    </w:p>
    <w:p w14:paraId="52484E5F" w14:textId="77777777" w:rsidR="008F56FF" w:rsidRPr="005371E3" w:rsidRDefault="008F56FF" w:rsidP="008F56FF">
      <w:pPr>
        <w:keepNext/>
        <w:spacing w:before="170" w:after="113" w:line="320" w:lineRule="exact"/>
        <w:outlineLvl w:val="1"/>
        <w:rPr>
          <w:rFonts w:ascii="Montserrat" w:eastAsia="Times New Roman" w:hAnsi="Montserrat" w:cs="Arial"/>
          <w:color w:val="B01117"/>
          <w:kern w:val="32"/>
          <w:sz w:val="28"/>
          <w:lang w:eastAsia="en-GB"/>
        </w:rPr>
      </w:pPr>
      <w:r w:rsidRPr="00E834FC">
        <w:rPr>
          <w:rFonts w:ascii="Montserrat" w:eastAsia="Times New Roman" w:hAnsi="Montserrat" w:cs="Arial"/>
          <w:color w:val="B01117"/>
          <w:w w:val="85"/>
          <w:kern w:val="32"/>
          <w:sz w:val="28"/>
          <w:lang w:eastAsia="en-GB"/>
        </w:rPr>
        <w:t xml:space="preserve">4.     </w:t>
      </w:r>
      <w:r w:rsidRPr="005371E3">
        <w:rPr>
          <w:rFonts w:ascii="Montserrat" w:eastAsia="Times New Roman" w:hAnsi="Montserrat" w:cs="Arial"/>
          <w:color w:val="B01117"/>
          <w:w w:val="85"/>
          <w:kern w:val="32"/>
          <w:sz w:val="28"/>
          <w:lang w:eastAsia="en-GB"/>
        </w:rPr>
        <w:t>Affordability</w:t>
      </w:r>
    </w:p>
    <w:p w14:paraId="3AF37D96" w14:textId="77777777" w:rsidR="008F56FF" w:rsidRPr="005371E3" w:rsidRDefault="008F56FF" w:rsidP="008F56FF">
      <w:pPr>
        <w:spacing w:after="165" w:line="280" w:lineRule="atLeast"/>
        <w:rPr>
          <w:rFonts w:ascii="Montserrat" w:eastAsia="Times New Roman" w:hAnsi="Montserrat" w:cs="Times New Roman"/>
          <w:lang w:eastAsia="en-GB"/>
        </w:rPr>
      </w:pPr>
      <w:r w:rsidRPr="005371E3">
        <w:rPr>
          <w:rFonts w:ascii="Montserrat" w:eastAsia="Times New Roman" w:hAnsi="Montserrat" w:cs="Times New Roman"/>
          <w:szCs w:val="20"/>
          <w:lang w:eastAsia="en-GB"/>
        </w:rPr>
        <w:t xml:space="preserve">4.1: If the contingent liability crystallised, how will your department meet the required payment (reasonable worst-case cost) from your department's existing budget? </w:t>
      </w:r>
    </w:p>
    <w:p w14:paraId="2A25ACA0" w14:textId="77777777" w:rsidR="008F56FF" w:rsidRPr="00E834FC" w:rsidRDefault="008F56FF" w:rsidP="008F56FF">
      <w:pPr>
        <w:spacing w:after="165" w:line="280" w:lineRule="atLeast"/>
        <w:rPr>
          <w:rFonts w:ascii="Montserrat" w:eastAsia="Times New Roman" w:hAnsi="Montserrat" w:cs="Times New Roman"/>
          <w:szCs w:val="20"/>
          <w:lang w:eastAsia="en-GB"/>
        </w:rPr>
      </w:pPr>
      <w:r w:rsidRPr="005371E3">
        <w:rPr>
          <w:rFonts w:ascii="Montserrat" w:eastAsia="Times New Roman" w:hAnsi="Montserrat" w:cs="Times New Roman"/>
          <w:szCs w:val="20"/>
          <w:lang w:eastAsia="en-GB"/>
        </w:rPr>
        <w:t xml:space="preserve">4.2: What other liabilities are held by your department have similar triggers? If this liability crystallises what is your assessment of the impact on the likelihood of crystallisation of other liabilities – would this be affordable within existing budgets? </w:t>
      </w:r>
      <w:r w:rsidRPr="00E834FC">
        <w:rPr>
          <w:rFonts w:ascii="Humnst777 Lt BT" w:eastAsia="Times New Roman" w:hAnsi="Humnst777 Lt BT" w:cs="Times New Roman"/>
          <w:lang w:eastAsia="en-GB"/>
        </w:rPr>
        <w:t xml:space="preserve"> </w:t>
      </w:r>
    </w:p>
    <w:p w14:paraId="0839C140" w14:textId="77777777" w:rsidR="008F56FF" w:rsidRPr="00E834FC" w:rsidRDefault="008F56FF">
      <w:pPr>
        <w:rPr>
          <w:rFonts w:ascii="Montserrat" w:eastAsia="Times New Roman" w:hAnsi="Montserrat" w:cs="Times New Roman"/>
          <w:bCs/>
          <w:color w:val="B01117"/>
          <w:kern w:val="32"/>
          <w:sz w:val="60"/>
          <w:szCs w:val="60"/>
          <w:lang w:eastAsia="en-GB"/>
        </w:rPr>
      </w:pPr>
    </w:p>
    <w:sectPr w:rsidR="008F56FF" w:rsidRPr="00E83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FF"/>
    <w:rsid w:val="00283C12"/>
    <w:rsid w:val="006E3870"/>
    <w:rsid w:val="008F56FF"/>
    <w:rsid w:val="00B94E7C"/>
    <w:rsid w:val="00DF5F14"/>
    <w:rsid w:val="00E32C8C"/>
    <w:rsid w:val="00E834FC"/>
    <w:rsid w:val="00E9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5FFD"/>
  <w15:chartTrackingRefBased/>
  <w15:docId w15:val="{13211E28-8367-454A-990C-C654340F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8F56FF"/>
    <w:pPr>
      <w:spacing w:after="0" w:line="240" w:lineRule="auto"/>
    </w:pPr>
    <w:rPr>
      <w:rFonts w:ascii="Montserrat" w:hAnsi="Montserra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93C1F2568D5C0B4E91A4E6CDFE191062" ma:contentTypeVersion="3310" ma:contentTypeDescription="Create an InfoStore Document" ma:contentTypeScope="" ma:versionID="720302a4019e89de9ab61667102abd7b">
  <xsd:schema xmlns:xsd="http://www.w3.org/2001/XMLSchema" xmlns:xs="http://www.w3.org/2001/XMLSchema" xmlns:p="http://schemas.microsoft.com/office/2006/metadata/properties" xmlns:ns1="http://schemas.microsoft.com/sharepoint/v3" xmlns:ns2="8485635d-cf54-460b-8438-0e2015e08040" xmlns:ns3="ed9ecc97-c302-46e1-8819-f9fdb6685262" targetNamespace="http://schemas.microsoft.com/office/2006/metadata/properties" ma:root="true" ma:fieldsID="ff9935e03359ccd449627ba943f3f090" ns1:_="" ns2:_="" ns3:_="">
    <xsd:import namespace="http://schemas.microsoft.com/sharepoint/v3"/>
    <xsd:import namespace="8485635d-cf54-460b-8438-0e2015e08040"/>
    <xsd:import namespace="ed9ecc97-c302-46e1-8819-f9fdb6685262"/>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19627d71-41ea-45b2-924f-845edad406b9}"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19627d71-41ea-45b2-924f-845edad406b9}"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ecc97-c302-46e1-8819-f9fdb6685262"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6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5</Value>
      <Value>95</Value>
      <Value>2</Value>
      <Value>1</Value>
      <Value>4</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Mailbox xmlns="http://schemas.microsoft.com/sharepoint/v3">
      <UserInfo>
        <DisplayName/>
        <AccountId xsi:nil="true"/>
        <AccountType/>
      </UserInfo>
    </dlc_EmailMailbox>
    <HMT_Topic xmlns="8485635d-cf54-460b-8438-0e2015e08040" xsi:nil="true"/>
    <_dlc_DocId xmlns="8485635d-cf54-460b-8438-0e2015e08040">HMTFISCAL-1860016806-40568</_dlc_DocId>
    <HMT_SubTeamHTField0 xmlns="8485635d-cf54-460b-8438-0e2015e08040">
      <Terms xmlns="http://schemas.microsoft.com/office/infopath/2007/PartnerControls"/>
    </HMT_SubTeamHTField0>
    <HMT_Record xmlns="8485635d-cf54-460b-8438-0e2015e08040" xsi:nil="true"/>
    <HMT_TeamHTField0 xmlns="8485635d-cf54-460b-8438-0e2015e08040">
      <Terms xmlns="http://schemas.microsoft.com/office/infopath/2007/PartnerControls">
        <TermInfo xmlns="http://schemas.microsoft.com/office/infopath/2007/PartnerControls">
          <TermName xmlns="http://schemas.microsoft.com/office/infopath/2007/PartnerControls">Balance Sheet Analysis</TermName>
          <TermId xmlns="http://schemas.microsoft.com/office/infopath/2007/PartnerControls">afd753de-4313-479d-81f7-ce1bf56684b5</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 xsi:nil="true"/>
    <HMT_Theme xmlns="8485635d-cf54-460b-8438-0e2015e08040" xsi:nil="true"/>
    <_dlc_DocIdUrl xmlns="8485635d-cf54-460b-8438-0e2015e08040">
      <Url>https://tris42.sharepoint.com/sites/hmt_is_fiscal/_layouts/15/DocIdRedir.aspx?ID=HMTFISCAL-1860016806-40568</Url>
      <Description>HMTFISCAL-1860016806-40568</Description>
    </_dlc_DocIdUrl>
    <HMT_ClosedArchive xmlns="8485635d-cf54-460b-8438-0e2015e08040" xsi:nil="tru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Fiscal</TermName>
          <TermId xmlns="http://schemas.microsoft.com/office/infopath/2007/PartnerControls">1ec2024d-df5a-46eb-a16f-aad0e3a2b2ea</TermId>
        </TermInfo>
      </Terms>
    </HMT_GroupHTField0>
    <HMT_LegacyRecord xmlns="8485635d-cf54-460b-8438-0e2015e08040" xsi:nil="true"/>
    <SharedWithUsers xmlns="8485635d-cf54-460b-8438-0e2015e08040">
      <UserInfo>
        <DisplayName>Greenish, Barney - HMT</DisplayName>
        <AccountId>782</AccountId>
        <AccountType/>
      </UserInfo>
      <UserInfo>
        <DisplayName>Todd, Samuel - HMT</DisplayName>
        <AccountId>538</AccountId>
        <AccountType/>
      </UserInfo>
      <UserInfo>
        <DisplayName>Kensett, James - HMT</DisplayName>
        <AccountId>2976</AccountId>
        <AccountType/>
      </UserInfo>
      <UserInfo>
        <DisplayName>White, Joshua - HMT</DisplayName>
        <AccountId>372</AccountId>
        <AccountType/>
      </UserInfo>
      <UserInfo>
        <DisplayName>Hutchison, Matthew - HMT</DisplayName>
        <AccountId>5593</AccountId>
        <AccountType/>
      </UserInfo>
      <UserInfo>
        <DisplayName>Dean, Morris - HMT</DisplayName>
        <AccountId>118</AccountId>
        <AccountType/>
      </UserInfo>
      <UserInfo>
        <DisplayName>Leao, Madalena - HMT</DisplayName>
        <AccountId>2551</AccountId>
        <AccountType/>
      </UserInfo>
      <UserInfo>
        <DisplayName>Metcalf, Camilla - HMT</DisplayName>
        <AccountId>1236</AccountId>
        <AccountType/>
      </UserInfo>
      <UserInfo>
        <DisplayName>Walker, Emily - HMT</DisplayName>
        <AccountId>3247</AccountId>
        <AccountType/>
      </UserInfo>
      <UserInfo>
        <DisplayName>Ingall, Alexandra - HMT</DisplayName>
        <AccountId>5629</AccountId>
        <AccountType/>
      </UserInfo>
      <UserInfo>
        <DisplayName>Bridge-Adams, Callum - HMT</DisplayName>
        <AccountId>5206</AccountId>
        <AccountType/>
      </UserInfo>
      <UserInfo>
        <DisplayName>Collins, Thomas - HMT</DisplayName>
        <AccountId>1965</AccountId>
        <AccountType/>
      </UserInfo>
    </SharedWithUsers>
    <HMT_LegacySensitive xmlns="8485635d-cf54-460b-8438-0e2015e0804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97FD3-6324-48C6-81F1-E8D0A08B588D}">
  <ds:schemaRefs>
    <ds:schemaRef ds:uri="http://schemas.microsoft.com/sharepoint/events"/>
  </ds:schemaRefs>
</ds:datastoreItem>
</file>

<file path=customXml/itemProps2.xml><?xml version="1.0" encoding="utf-8"?>
<ds:datastoreItem xmlns:ds="http://schemas.openxmlformats.org/officeDocument/2006/customXml" ds:itemID="{8D2EEAAD-F2C5-419E-9A7D-A233F04F1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ed9ecc97-c302-46e1-8819-f9fdb6685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280B3-AA61-4C3F-8E62-1B2455B2F6AA}">
  <ds:schemaRefs>
    <ds:schemaRef ds:uri="http://schemas.openxmlformats.org/officeDocument/2006/bibliography"/>
  </ds:schemaRefs>
</ds:datastoreItem>
</file>

<file path=customXml/itemProps4.xml><?xml version="1.0" encoding="utf-8"?>
<ds:datastoreItem xmlns:ds="http://schemas.openxmlformats.org/officeDocument/2006/customXml" ds:itemID="{3DAFAF0F-7C01-4781-A1C3-AB51CA35BDCF}">
  <ds:schemaRefs>
    <ds:schemaRef ds:uri="http://schemas.openxmlformats.org/package/2006/metadata/core-properties"/>
    <ds:schemaRef ds:uri="http://schemas.microsoft.com/office/2006/documentManagement/types"/>
    <ds:schemaRef ds:uri="http://schemas.microsoft.com/office/infopath/2007/PartnerControls"/>
    <ds:schemaRef ds:uri="ed9ecc97-c302-46e1-8819-f9fdb6685262"/>
    <ds:schemaRef ds:uri="http://purl.org/dc/elements/1.1/"/>
    <ds:schemaRef ds:uri="http://schemas.microsoft.com/office/2006/metadata/properties"/>
    <ds:schemaRef ds:uri="http://schemas.microsoft.com/sharepoint/v3"/>
    <ds:schemaRef ds:uri="http://purl.org/dc/terms/"/>
    <ds:schemaRef ds:uri="8485635d-cf54-460b-8438-0e2015e08040"/>
    <ds:schemaRef ds:uri="http://www.w3.org/XML/1998/namespace"/>
    <ds:schemaRef ds:uri="http://purl.org/dc/dcmitype/"/>
  </ds:schemaRefs>
</ds:datastoreItem>
</file>

<file path=customXml/itemProps5.xml><?xml version="1.0" encoding="utf-8"?>
<ds:datastoreItem xmlns:ds="http://schemas.openxmlformats.org/officeDocument/2006/customXml" ds:itemID="{B41F5BB9-E044-45F3-9DF7-BF275FD34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Thomas - HMT</dc:creator>
  <cp:keywords/>
  <dc:description/>
  <cp:lastModifiedBy>MacCallum, Ellie - HMT</cp:lastModifiedBy>
  <cp:revision>7</cp:revision>
  <dcterms:created xsi:type="dcterms:W3CDTF">2023-03-21T09:43:00Z</dcterms:created>
  <dcterms:modified xsi:type="dcterms:W3CDTF">2023-04-18T09:18:00Z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0x010100F3DA492754083E45834DB37B66A759800093C1F2568D5C0B4E91A4E6CDFE191062</vt:lpwstr>
  </property>
  <property fmtid="{D5CDD505-2E9C-101B-9397-08002B2CF9AE}" pid="3" name="HMT_Group">
    <vt:lpwstr>2;#Fiscal|1ec2024d-df5a-46eb-a16f-aad0e3a2b2ea</vt:lpwstr>
  </property>
  <property fmtid="{D5CDD505-2E9C-101B-9397-08002B2CF9AE}" pid="4" name="HMT_SubTeam">
    <vt:lpwstr/>
  </property>
  <property fmtid="{D5CDD505-2E9C-101B-9397-08002B2CF9AE}" pid="5" name="HMT_DocumentType">
    <vt:lpwstr>1;#Other|c235b5c2-f697-427b-a70a-43d69599f998</vt:lpwstr>
  </property>
  <property fmtid="{D5CDD505-2E9C-101B-9397-08002B2CF9AE}" pid="6" name="HMT_Team">
    <vt:lpwstr>95;#Balance Sheet Analysis|afd753de-4313-479d-81f7-ce1bf56684b5</vt:lpwstr>
  </property>
  <property fmtid="{D5CDD505-2E9C-101B-9397-08002B2CF9AE}" pid="7" name="HMT_Category">
    <vt:lpwstr>4;#Policy Document Types|bd4325a7-7f6a-48f9-b0dc-cc3aef626e65</vt:lpwstr>
  </property>
  <property fmtid="{D5CDD505-2E9C-101B-9397-08002B2CF9AE}" pid="8" name="HMT_Classification">
    <vt:lpwstr>5;#Sensitive|e4b4762f-94f6-4901-a732-9ab10906c6ba</vt:lpwstr>
  </property>
  <property fmtid="{D5CDD505-2E9C-101B-9397-08002B2CF9AE}" pid="9" name="_dlc_DocIdItemGuid">
    <vt:lpwstr>ff958b43-ab9c-4196-b3e9-79b5d681bdd5</vt:lpwstr>
  </property>
</Properties>
</file>