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4" w:type="dxa"/>
        <w:tblLook w:val="04A0" w:firstRow="1" w:lastRow="0" w:firstColumn="1" w:lastColumn="0" w:noHBand="0" w:noVBand="1"/>
      </w:tblPr>
      <w:tblGrid>
        <w:gridCol w:w="288"/>
        <w:gridCol w:w="9920"/>
      </w:tblGrid>
      <w:tr w:rsidR="008254FB" w:rsidRPr="00BE088C" w:rsidTr="00FF0AD5">
        <w:tc>
          <w:tcPr>
            <w:tcW w:w="288" w:type="dxa"/>
            <w:shd w:val="clear" w:color="auto" w:fill="auto"/>
          </w:tcPr>
          <w:p w:rsidR="0075255E" w:rsidRPr="0004017E" w:rsidRDefault="0075255E" w:rsidP="00FF0AD5">
            <w:pPr>
              <w:spacing w:line="240" w:lineRule="auto"/>
              <w:rPr>
                <w:rFonts w:ascii="Open Sans Light" w:hAnsi="Open Sans Light" w:cs="Open Sans Light"/>
                <w:noProof/>
              </w:rPr>
            </w:pPr>
          </w:p>
        </w:tc>
        <w:tc>
          <w:tcPr>
            <w:tcW w:w="9920" w:type="dxa"/>
            <w:shd w:val="clear" w:color="auto" w:fill="auto"/>
          </w:tcPr>
          <w:p w:rsidR="0075255E" w:rsidRDefault="0075255E" w:rsidP="0066437B">
            <w:pPr>
              <w:pStyle w:val="Titlelarge"/>
              <w:tabs>
                <w:tab w:val="left" w:pos="4597"/>
              </w:tabs>
              <w:jc w:val="right"/>
              <w:rPr>
                <w:rFonts w:ascii="Open Sans" w:hAnsi="Open Sans" w:cs="Open Sans"/>
                <w:color w:val="005596"/>
              </w:rPr>
            </w:pPr>
          </w:p>
          <w:p w:rsidR="0075255E" w:rsidRPr="00BE088C" w:rsidRDefault="0075255E" w:rsidP="00715859">
            <w:pPr>
              <w:pStyle w:val="Titlelarge"/>
              <w:rPr>
                <w:rStyle w:val="Emphasis"/>
                <w:rFonts w:cs="Open Sans"/>
                <w:color w:val="005596"/>
              </w:rPr>
            </w:pPr>
          </w:p>
        </w:tc>
      </w:tr>
    </w:tbl>
    <w:p w:rsidR="00C93D2F" w:rsidRDefault="008254FB" w:rsidP="003E692B">
      <w:bookmarkStart w:id="0" w:name="_GoBack"/>
      <w:bookmarkEnd w:id="0"/>
      <w:r>
        <w:rPr>
          <w:rFonts w:ascii="Open Sans Light" w:hAnsi="Open Sans Light" w:cs="Open Sans Light"/>
          <w:noProof/>
          <w:lang w:eastAsia="en-GB"/>
        </w:rPr>
        <w:drawing>
          <wp:anchor distT="0" distB="0" distL="114300" distR="114300" simplePos="0" relativeHeight="251658240" behindDoc="1" locked="0" layoutInCell="1" allowOverlap="1" wp14:anchorId="3F43E7D0" wp14:editId="000BFB21">
            <wp:simplePos x="0" y="0"/>
            <wp:positionH relativeFrom="column">
              <wp:posOffset>-179705</wp:posOffset>
            </wp:positionH>
            <wp:positionV relativeFrom="paragraph">
              <wp:posOffset>-1807683</wp:posOffset>
            </wp:positionV>
            <wp:extent cx="1620000" cy="153482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unications\17.COMMS\Logos\LOGOS\SMALL AW\The Coal Authority_BLK_SML_A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0000" cy="153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047" w:rsidRPr="00CD21BE" w:rsidRDefault="000854D7" w:rsidP="003E692B">
      <w:pPr>
        <w:pStyle w:val="Heading1"/>
        <w:jc w:val="center"/>
        <w:rPr>
          <w:color w:val="7F7F7F" w:themeColor="text1" w:themeTint="80"/>
          <w:sz w:val="34"/>
          <w:szCs w:val="34"/>
        </w:rPr>
      </w:pPr>
      <w:r w:rsidRPr="00CD21BE">
        <w:rPr>
          <w:color w:val="7F7F7F" w:themeColor="text1" w:themeTint="80"/>
          <w:sz w:val="34"/>
          <w:szCs w:val="34"/>
        </w:rPr>
        <w:t xml:space="preserve">Audit </w:t>
      </w:r>
      <w:r w:rsidR="00C93D2F" w:rsidRPr="00CD21BE">
        <w:rPr>
          <w:color w:val="7F7F7F" w:themeColor="text1" w:themeTint="80"/>
          <w:sz w:val="34"/>
          <w:szCs w:val="34"/>
        </w:rPr>
        <w:t xml:space="preserve">and Risk Assurance </w:t>
      </w:r>
      <w:r w:rsidRPr="00CD21BE">
        <w:rPr>
          <w:color w:val="7F7F7F" w:themeColor="text1" w:themeTint="80"/>
          <w:sz w:val="34"/>
          <w:szCs w:val="34"/>
        </w:rPr>
        <w:t>Committee</w:t>
      </w:r>
      <w:r w:rsidR="003E692B" w:rsidRPr="00CD21BE">
        <w:rPr>
          <w:color w:val="7F7F7F" w:themeColor="text1" w:themeTint="80"/>
          <w:sz w:val="34"/>
          <w:szCs w:val="34"/>
        </w:rPr>
        <w:t xml:space="preserve"> </w:t>
      </w:r>
    </w:p>
    <w:p w:rsidR="003E692B" w:rsidRPr="00CD21BE" w:rsidRDefault="002F3089" w:rsidP="003E692B">
      <w:pPr>
        <w:pStyle w:val="Heading1"/>
        <w:jc w:val="center"/>
        <w:rPr>
          <w:color w:val="7F7F7F" w:themeColor="text1" w:themeTint="80"/>
          <w:sz w:val="34"/>
          <w:szCs w:val="34"/>
        </w:rPr>
      </w:pPr>
      <w:r w:rsidRPr="00CD21BE">
        <w:rPr>
          <w:color w:val="7F7F7F" w:themeColor="text1" w:themeTint="80"/>
          <w:sz w:val="34"/>
          <w:szCs w:val="34"/>
        </w:rPr>
        <w:t>Terms of Reference</w:t>
      </w:r>
      <w:bookmarkStart w:id="1" w:name="_Audit_Committee_Terms"/>
      <w:bookmarkEnd w:id="1"/>
      <w:r w:rsidR="003E692B" w:rsidRPr="00CD21BE">
        <w:rPr>
          <w:color w:val="7F7F7F" w:themeColor="text1" w:themeTint="80"/>
          <w:sz w:val="34"/>
          <w:szCs w:val="34"/>
        </w:rPr>
        <w:t xml:space="preserve"> </w:t>
      </w:r>
    </w:p>
    <w:p w:rsidR="00333A48" w:rsidRPr="00CD21BE" w:rsidRDefault="006E31A8" w:rsidP="00333A48">
      <w:pPr>
        <w:pStyle w:val="Heading2"/>
        <w:jc w:val="center"/>
        <w:rPr>
          <w:snapToGrid w:val="0"/>
          <w:color w:val="7F7F7F" w:themeColor="text1" w:themeTint="80"/>
        </w:rPr>
      </w:pPr>
      <w:r w:rsidRPr="00CD21BE">
        <w:rPr>
          <w:snapToGrid w:val="0"/>
          <w:color w:val="7F7F7F" w:themeColor="text1" w:themeTint="80"/>
        </w:rPr>
        <w:t>Reviewed</w:t>
      </w:r>
      <w:r w:rsidR="00333A48" w:rsidRPr="00CD21BE">
        <w:rPr>
          <w:snapToGrid w:val="0"/>
          <w:color w:val="7F7F7F" w:themeColor="text1" w:themeTint="80"/>
        </w:rPr>
        <w:t xml:space="preserve"> by the Board on </w:t>
      </w:r>
      <w:r w:rsidR="00420544" w:rsidRPr="00CD21BE">
        <w:rPr>
          <w:snapToGrid w:val="0"/>
          <w:color w:val="7F7F7F" w:themeColor="text1" w:themeTint="80"/>
        </w:rPr>
        <w:t>24</w:t>
      </w:r>
      <w:r w:rsidR="000E667F" w:rsidRPr="00CD21BE">
        <w:rPr>
          <w:snapToGrid w:val="0"/>
          <w:color w:val="7F7F7F" w:themeColor="text1" w:themeTint="80"/>
        </w:rPr>
        <w:t xml:space="preserve"> March 202</w:t>
      </w:r>
      <w:r w:rsidR="00420544" w:rsidRPr="00CD21BE">
        <w:rPr>
          <w:snapToGrid w:val="0"/>
          <w:color w:val="7F7F7F" w:themeColor="text1" w:themeTint="80"/>
        </w:rPr>
        <w:t>3</w:t>
      </w:r>
    </w:p>
    <w:p w:rsidR="00333A48" w:rsidRPr="00CD21BE" w:rsidRDefault="001E4802" w:rsidP="003E692B">
      <w:pPr>
        <w:pStyle w:val="Heading1"/>
        <w:jc w:val="center"/>
        <w:rPr>
          <w:color w:val="7F7F7F" w:themeColor="text1" w:themeTint="80"/>
          <w:sz w:val="24"/>
          <w:szCs w:val="24"/>
        </w:rPr>
      </w:pPr>
      <w:r w:rsidRPr="00CD21BE">
        <w:rPr>
          <w:color w:val="7F7F7F" w:themeColor="text1" w:themeTint="80"/>
          <w:sz w:val="24"/>
          <w:szCs w:val="24"/>
        </w:rPr>
        <w:t xml:space="preserve"> </w:t>
      </w:r>
    </w:p>
    <w:p w:rsidR="002F0D1C" w:rsidRPr="00E720B5" w:rsidRDefault="002F0D1C" w:rsidP="00FB2D5F">
      <w:pPr>
        <w:pStyle w:val="ListParagraph"/>
        <w:numPr>
          <w:ilvl w:val="0"/>
          <w:numId w:val="4"/>
        </w:numPr>
        <w:spacing w:before="240"/>
        <w:ind w:left="1134" w:hanging="850"/>
        <w:rPr>
          <w:rFonts w:cs="Open Sans"/>
        </w:rPr>
      </w:pPr>
      <w:r w:rsidRPr="003369D4">
        <w:rPr>
          <w:rFonts w:cs="Open Sans"/>
          <w:b/>
        </w:rPr>
        <w:t>Constitution</w:t>
      </w:r>
    </w:p>
    <w:p w:rsidR="00CE07D7" w:rsidRPr="003E135B" w:rsidRDefault="002F0D1C" w:rsidP="00FB2D5F">
      <w:pPr>
        <w:pStyle w:val="ListParagraph"/>
        <w:numPr>
          <w:ilvl w:val="1"/>
          <w:numId w:val="4"/>
        </w:numPr>
        <w:spacing w:before="120" w:after="120"/>
        <w:ind w:left="1134" w:hanging="850"/>
        <w:rPr>
          <w:rFonts w:cs="Open Sans"/>
          <w:color w:val="auto"/>
        </w:rPr>
      </w:pPr>
      <w:r w:rsidRPr="003E135B">
        <w:rPr>
          <w:rFonts w:cs="Open Sans"/>
        </w:rPr>
        <w:t xml:space="preserve">The Board reaffirms </w:t>
      </w:r>
      <w:r w:rsidR="003E135B" w:rsidRPr="003E135B">
        <w:rPr>
          <w:rFonts w:cs="Open Sans"/>
        </w:rPr>
        <w:t>its resolution to establish a c</w:t>
      </w:r>
      <w:r w:rsidRPr="003E135B">
        <w:rPr>
          <w:rFonts w:cs="Open Sans"/>
        </w:rPr>
        <w:t>ommittee of the Authority to be</w:t>
      </w:r>
      <w:r w:rsidR="005036AC" w:rsidRPr="003E135B">
        <w:rPr>
          <w:rFonts w:cs="Open Sans"/>
        </w:rPr>
        <w:t xml:space="preserve"> known as the Audit </w:t>
      </w:r>
      <w:r w:rsidR="00C7568F">
        <w:rPr>
          <w:rFonts w:cs="Open Sans"/>
        </w:rPr>
        <w:t xml:space="preserve">and Risk Assurance </w:t>
      </w:r>
      <w:r w:rsidR="005036AC" w:rsidRPr="003E135B">
        <w:rPr>
          <w:rFonts w:cs="Open Sans"/>
        </w:rPr>
        <w:t xml:space="preserve">Committee </w:t>
      </w:r>
      <w:r w:rsidRPr="003E135B">
        <w:rPr>
          <w:rFonts w:cs="Open Sans"/>
          <w:color w:val="auto"/>
        </w:rPr>
        <w:t>as re</w:t>
      </w:r>
      <w:r w:rsidR="003E135B">
        <w:rPr>
          <w:rFonts w:cs="Open Sans"/>
          <w:color w:val="auto"/>
        </w:rPr>
        <w:t xml:space="preserve">quired by the </w:t>
      </w:r>
      <w:hyperlink r:id="rId9" w:history="1">
        <w:r w:rsidR="003E135B" w:rsidRPr="006E31A8">
          <w:rPr>
            <w:rStyle w:val="Hyperlink"/>
            <w:rFonts w:cs="Open Sans"/>
          </w:rPr>
          <w:t>Coal Authority’s framework d</w:t>
        </w:r>
        <w:r w:rsidRPr="006E31A8">
          <w:rPr>
            <w:rStyle w:val="Hyperlink"/>
            <w:rFonts w:cs="Open Sans"/>
          </w:rPr>
          <w:t>ocument</w:t>
        </w:r>
      </w:hyperlink>
      <w:r w:rsidR="008D73E8">
        <w:rPr>
          <w:rFonts w:cs="Open Sans"/>
          <w:color w:val="auto"/>
        </w:rPr>
        <w:t>.</w:t>
      </w:r>
    </w:p>
    <w:p w:rsidR="004A3CA9" w:rsidRPr="004A3CA9" w:rsidRDefault="00CE07D7" w:rsidP="00420544">
      <w:pPr>
        <w:pStyle w:val="ListParagraph"/>
        <w:numPr>
          <w:ilvl w:val="0"/>
          <w:numId w:val="0"/>
        </w:numPr>
        <w:spacing w:before="120" w:after="120"/>
        <w:ind w:left="1134"/>
        <w:rPr>
          <w:rFonts w:cs="Open Sans"/>
        </w:rPr>
      </w:pPr>
      <w:r w:rsidRPr="0043117B">
        <w:rPr>
          <w:rFonts w:cs="Open Sans"/>
          <w:color w:val="auto"/>
        </w:rPr>
        <w:t xml:space="preserve">The </w:t>
      </w:r>
      <w:r w:rsidR="001C6897" w:rsidRPr="0043117B">
        <w:rPr>
          <w:rFonts w:cs="Open Sans"/>
          <w:color w:val="auto"/>
        </w:rPr>
        <w:t>Audit</w:t>
      </w:r>
      <w:r w:rsidR="00C93D2F">
        <w:rPr>
          <w:rFonts w:cs="Open Sans"/>
          <w:color w:val="auto"/>
        </w:rPr>
        <w:t xml:space="preserve"> and Risk Assurance</w:t>
      </w:r>
      <w:r w:rsidR="001C6897" w:rsidRPr="0043117B">
        <w:rPr>
          <w:rFonts w:cs="Open Sans"/>
          <w:color w:val="auto"/>
        </w:rPr>
        <w:t xml:space="preserve"> </w:t>
      </w:r>
      <w:r w:rsidRPr="0043117B">
        <w:rPr>
          <w:rFonts w:cs="Open Sans"/>
          <w:color w:val="auto"/>
        </w:rPr>
        <w:t>Committee will be an advisory body with no executive powers.  It is authorised by the Board to investigate any activity of the Authority within its duties and to seek information that it requires from any officer or employee of the Authority.</w:t>
      </w:r>
    </w:p>
    <w:p w:rsidR="004A3CA9" w:rsidRPr="00985AB6" w:rsidRDefault="004A3CA9" w:rsidP="004A3CA9">
      <w:pPr>
        <w:pStyle w:val="ListParagraph"/>
        <w:numPr>
          <w:ilvl w:val="0"/>
          <w:numId w:val="4"/>
        </w:numPr>
        <w:spacing w:before="240"/>
        <w:ind w:left="1134" w:hanging="850"/>
        <w:rPr>
          <w:rFonts w:cs="Open Sans"/>
          <w:color w:val="auto"/>
        </w:rPr>
      </w:pPr>
      <w:r>
        <w:rPr>
          <w:rFonts w:cs="Open Sans"/>
          <w:b/>
        </w:rPr>
        <w:t>Purpose</w:t>
      </w:r>
    </w:p>
    <w:p w:rsidR="00693BCD" w:rsidRDefault="00693BCD" w:rsidP="008D73E8">
      <w:pPr>
        <w:spacing w:before="120" w:after="120"/>
        <w:ind w:left="1134"/>
        <w:rPr>
          <w:rFonts w:cs="Open Sans"/>
          <w:color w:val="auto"/>
        </w:rPr>
      </w:pPr>
      <w:r>
        <w:rPr>
          <w:rFonts w:cs="Open Sans"/>
          <w:color w:val="auto"/>
        </w:rPr>
        <w:t>The Audit and Risk Assurance Committee supports the effectiveness governance of the Coal Authority.</w:t>
      </w:r>
    </w:p>
    <w:p w:rsidR="00693BCD" w:rsidRDefault="00693BCD" w:rsidP="008D73E8">
      <w:pPr>
        <w:spacing w:before="120" w:after="120"/>
        <w:rPr>
          <w:rFonts w:cs="Open Sans"/>
          <w:color w:val="auto"/>
        </w:rPr>
      </w:pPr>
    </w:p>
    <w:p w:rsidR="004A3CA9" w:rsidRDefault="004A3CA9" w:rsidP="004A3CA9">
      <w:pPr>
        <w:spacing w:before="120" w:after="120"/>
        <w:ind w:left="414" w:firstLine="720"/>
        <w:rPr>
          <w:rFonts w:cs="Open Sans"/>
          <w:color w:val="auto"/>
        </w:rPr>
      </w:pPr>
      <w:r w:rsidRPr="00985AB6">
        <w:rPr>
          <w:rFonts w:cs="Open Sans"/>
          <w:color w:val="auto"/>
        </w:rPr>
        <w:t>Th</w:t>
      </w:r>
      <w:r w:rsidR="00693BCD">
        <w:rPr>
          <w:rFonts w:cs="Open Sans"/>
          <w:color w:val="auto"/>
        </w:rPr>
        <w:t xml:space="preserve">is includes the following specific duties:  </w:t>
      </w:r>
    </w:p>
    <w:p w:rsidR="004A3CA9" w:rsidRPr="00C93D2F" w:rsidRDefault="004A3CA9" w:rsidP="004A3CA9">
      <w:pPr>
        <w:spacing w:before="120" w:after="120"/>
        <w:ind w:left="414" w:firstLine="720"/>
        <w:rPr>
          <w:rFonts w:cs="Open Sans"/>
          <w:b/>
          <w:bCs/>
          <w:color w:val="auto"/>
        </w:rPr>
      </w:pPr>
      <w:r>
        <w:rPr>
          <w:rFonts w:cs="Open Sans"/>
          <w:b/>
          <w:bCs/>
          <w:color w:val="auto"/>
        </w:rPr>
        <w:t>Annual Reports and Accounts and External Audit</w:t>
      </w:r>
    </w:p>
    <w:p w:rsidR="004A3CA9" w:rsidRPr="00E720B5" w:rsidRDefault="004A3CA9" w:rsidP="004A3CA9">
      <w:pPr>
        <w:pStyle w:val="ListParagraph"/>
        <w:numPr>
          <w:ilvl w:val="1"/>
          <w:numId w:val="4"/>
        </w:numPr>
        <w:spacing w:before="120" w:after="120"/>
        <w:ind w:left="1134" w:hanging="850"/>
        <w:rPr>
          <w:rFonts w:cs="Open Sans"/>
        </w:rPr>
      </w:pPr>
      <w:r w:rsidRPr="00985AB6">
        <w:rPr>
          <w:rFonts w:cs="Open Sans"/>
          <w:color w:val="auto"/>
        </w:rPr>
        <w:t xml:space="preserve">To review and discuss with management and auditors on an ongoing basis the quality and acceptability of accounting policies.  </w:t>
      </w:r>
    </w:p>
    <w:p w:rsidR="004A3CA9" w:rsidRPr="007F0D00" w:rsidRDefault="004A3CA9" w:rsidP="004A3CA9">
      <w:pPr>
        <w:pStyle w:val="ListParagraph"/>
        <w:numPr>
          <w:ilvl w:val="1"/>
          <w:numId w:val="4"/>
        </w:numPr>
        <w:spacing w:before="120" w:after="120"/>
        <w:ind w:left="1134" w:hanging="850"/>
        <w:rPr>
          <w:rFonts w:cs="Open Sans"/>
        </w:rPr>
      </w:pPr>
      <w:r w:rsidRPr="00C6151C">
        <w:rPr>
          <w:rFonts w:cs="Open Sans"/>
        </w:rPr>
        <w:t xml:space="preserve">To review and discuss with management and auditors the </w:t>
      </w:r>
      <w:r>
        <w:rPr>
          <w:rFonts w:cs="Open Sans"/>
        </w:rPr>
        <w:t xml:space="preserve">draft financial statements </w:t>
      </w:r>
      <w:r w:rsidRPr="00C6151C">
        <w:rPr>
          <w:rFonts w:cs="Open Sans"/>
        </w:rPr>
        <w:t>and annual financial statements before submission to the Board, focusing particularly on:</w:t>
      </w:r>
    </w:p>
    <w:p w:rsidR="004A3CA9" w:rsidRPr="007F0D00" w:rsidRDefault="004A3CA9" w:rsidP="004A3CA9">
      <w:pPr>
        <w:pStyle w:val="ListParagraph"/>
        <w:numPr>
          <w:ilvl w:val="0"/>
          <w:numId w:val="5"/>
        </w:numPr>
        <w:ind w:left="1985" w:hanging="426"/>
        <w:rPr>
          <w:rFonts w:cs="Open Sans"/>
        </w:rPr>
      </w:pPr>
      <w:r w:rsidRPr="007F0D00">
        <w:rPr>
          <w:rFonts w:cs="Open Sans"/>
        </w:rPr>
        <w:t>areas involving significant judgement, estimation or uncertainty;</w:t>
      </w:r>
    </w:p>
    <w:p w:rsidR="004A3CA9" w:rsidRPr="007F0D00" w:rsidRDefault="004A3CA9" w:rsidP="004A3CA9">
      <w:pPr>
        <w:pStyle w:val="ListParagraph"/>
        <w:numPr>
          <w:ilvl w:val="0"/>
          <w:numId w:val="5"/>
        </w:numPr>
        <w:ind w:left="1985" w:hanging="426"/>
        <w:rPr>
          <w:rFonts w:cs="Open Sans"/>
        </w:rPr>
      </w:pPr>
      <w:r w:rsidRPr="007F0D00">
        <w:rPr>
          <w:rFonts w:cs="Open Sans"/>
        </w:rPr>
        <w:t>the basis for the ‘going-concern’ assumption;</w:t>
      </w:r>
    </w:p>
    <w:p w:rsidR="004A3CA9" w:rsidRPr="007F0D00" w:rsidRDefault="004A3CA9" w:rsidP="004A3CA9">
      <w:pPr>
        <w:pStyle w:val="ListParagraph"/>
        <w:numPr>
          <w:ilvl w:val="0"/>
          <w:numId w:val="5"/>
        </w:numPr>
        <w:ind w:left="1985" w:hanging="426"/>
        <w:rPr>
          <w:rFonts w:cs="Open Sans"/>
        </w:rPr>
      </w:pPr>
      <w:r w:rsidRPr="007F0D00">
        <w:rPr>
          <w:rFonts w:cs="Open Sans"/>
        </w:rPr>
        <w:t xml:space="preserve">compliance with financial reporting standards; and </w:t>
      </w:r>
    </w:p>
    <w:p w:rsidR="004A3CA9" w:rsidRPr="007F0D00" w:rsidRDefault="004A3CA9" w:rsidP="004A3CA9">
      <w:pPr>
        <w:pStyle w:val="ListParagraph"/>
        <w:numPr>
          <w:ilvl w:val="0"/>
          <w:numId w:val="5"/>
        </w:numPr>
        <w:ind w:left="1985" w:hanging="426"/>
        <w:rPr>
          <w:rFonts w:cs="Open Sans"/>
        </w:rPr>
      </w:pPr>
      <w:proofErr w:type="gramStart"/>
      <w:r>
        <w:rPr>
          <w:rFonts w:cs="Open Sans"/>
        </w:rPr>
        <w:t>m</w:t>
      </w:r>
      <w:r w:rsidRPr="007F0D00">
        <w:rPr>
          <w:rFonts w:cs="Open Sans"/>
        </w:rPr>
        <w:t>anagement’s</w:t>
      </w:r>
      <w:proofErr w:type="gramEnd"/>
      <w:r w:rsidRPr="007F0D00">
        <w:rPr>
          <w:rFonts w:cs="Open Sans"/>
        </w:rPr>
        <w:t xml:space="preserve"> representation letter to the external auditors.</w:t>
      </w:r>
    </w:p>
    <w:p w:rsidR="004A3CA9" w:rsidRPr="00C6151C" w:rsidRDefault="004A3CA9" w:rsidP="004A3CA9">
      <w:pPr>
        <w:pStyle w:val="ListParagraph"/>
        <w:numPr>
          <w:ilvl w:val="1"/>
          <w:numId w:val="4"/>
        </w:numPr>
        <w:spacing w:before="120" w:after="120"/>
        <w:ind w:left="1134" w:hanging="850"/>
        <w:rPr>
          <w:rFonts w:cs="Open Sans"/>
        </w:rPr>
      </w:pPr>
      <w:r w:rsidRPr="00C6151C">
        <w:rPr>
          <w:rFonts w:cs="Open Sans"/>
        </w:rPr>
        <w:t>To discuss wit</w:t>
      </w:r>
      <w:r>
        <w:rPr>
          <w:rFonts w:cs="Open Sans"/>
        </w:rPr>
        <w:t>h the external a</w:t>
      </w:r>
      <w:r w:rsidRPr="00C6151C">
        <w:rPr>
          <w:rFonts w:cs="Open Sans"/>
        </w:rPr>
        <w:t xml:space="preserve">uditor the nature and scope of each forthcoming audit and to ensure that </w:t>
      </w:r>
      <w:r>
        <w:rPr>
          <w:rFonts w:cs="Open Sans"/>
        </w:rPr>
        <w:t>they have</w:t>
      </w:r>
      <w:r w:rsidRPr="00C6151C">
        <w:rPr>
          <w:rFonts w:cs="Open Sans"/>
        </w:rPr>
        <w:t xml:space="preserve"> the full co-operation of the officers</w:t>
      </w:r>
      <w:r w:rsidR="009266FC">
        <w:rPr>
          <w:rFonts w:cs="Open Sans"/>
        </w:rPr>
        <w:t xml:space="preserve"> and employees of the Authority.</w:t>
      </w:r>
    </w:p>
    <w:p w:rsidR="004A3CA9" w:rsidRPr="002D252B" w:rsidRDefault="004A3CA9" w:rsidP="004A3CA9">
      <w:pPr>
        <w:pStyle w:val="ListParagraph"/>
        <w:numPr>
          <w:ilvl w:val="1"/>
          <w:numId w:val="4"/>
        </w:numPr>
        <w:spacing w:before="120" w:after="120"/>
        <w:ind w:left="1134" w:hanging="850"/>
        <w:rPr>
          <w:rFonts w:cs="Open Sans"/>
        </w:rPr>
      </w:pPr>
      <w:r w:rsidRPr="00C6151C">
        <w:rPr>
          <w:rFonts w:cs="Open Sans"/>
        </w:rPr>
        <w:lastRenderedPageBreak/>
        <w:t>To consider all reports on the statements of ac</w:t>
      </w:r>
      <w:r>
        <w:rPr>
          <w:rFonts w:cs="Open Sans"/>
        </w:rPr>
        <w:t>counts of the Authority by the e</w:t>
      </w:r>
      <w:r w:rsidRPr="00C6151C">
        <w:rPr>
          <w:rFonts w:cs="Open Sans"/>
        </w:rPr>
        <w:t xml:space="preserve">xternal </w:t>
      </w:r>
      <w:r>
        <w:rPr>
          <w:rFonts w:cs="Open Sans"/>
        </w:rPr>
        <w:t>a</w:t>
      </w:r>
      <w:r w:rsidRPr="00C6151C">
        <w:rPr>
          <w:rFonts w:cs="Open Sans"/>
        </w:rPr>
        <w:t>uditor a</w:t>
      </w:r>
      <w:r>
        <w:rPr>
          <w:rFonts w:cs="Open Sans"/>
        </w:rPr>
        <w:t>nd other relevant report</w:t>
      </w:r>
      <w:r w:rsidR="009266FC">
        <w:rPr>
          <w:rFonts w:cs="Open Sans"/>
        </w:rPr>
        <w:t>s,</w:t>
      </w:r>
      <w:r w:rsidRPr="00C6151C">
        <w:rPr>
          <w:rFonts w:cs="Open Sans"/>
        </w:rPr>
        <w:t xml:space="preserve"> the achievement by the Authority of value for money and the response to any</w:t>
      </w:r>
      <w:r>
        <w:rPr>
          <w:rFonts w:cs="Open Sans"/>
        </w:rPr>
        <w:t xml:space="preserve"> audit reports.</w:t>
      </w:r>
    </w:p>
    <w:p w:rsidR="004A3CA9" w:rsidRPr="009E01CA" w:rsidRDefault="004A3CA9" w:rsidP="004A3CA9">
      <w:pPr>
        <w:spacing w:after="120"/>
        <w:ind w:left="414" w:firstLine="720"/>
        <w:rPr>
          <w:rFonts w:cs="Open Sans"/>
          <w:b/>
          <w:bCs/>
        </w:rPr>
      </w:pPr>
      <w:r>
        <w:rPr>
          <w:rFonts w:cs="Open Sans"/>
          <w:b/>
          <w:bCs/>
        </w:rPr>
        <w:t>Internal Audit</w:t>
      </w:r>
    </w:p>
    <w:p w:rsidR="004A3CA9" w:rsidRPr="009E01CA" w:rsidRDefault="004A3CA9" w:rsidP="004A3CA9">
      <w:pPr>
        <w:pStyle w:val="ListParagraph"/>
        <w:numPr>
          <w:ilvl w:val="1"/>
          <w:numId w:val="4"/>
        </w:numPr>
        <w:spacing w:before="120" w:after="120"/>
        <w:ind w:left="1134" w:hanging="850"/>
        <w:rPr>
          <w:rFonts w:cs="Open Sans"/>
        </w:rPr>
      </w:pPr>
      <w:r w:rsidRPr="0001385A">
        <w:rPr>
          <w:rFonts w:cs="Open Sans"/>
        </w:rPr>
        <w:t>To consider the effectiveness of the internal audit function to ensure that the service provided by the internal auditors meets the standards specified in the ‘Government Internal Audit Manual’</w:t>
      </w:r>
      <w:r>
        <w:rPr>
          <w:rFonts w:cs="Open Sans"/>
        </w:rPr>
        <w:t>.</w:t>
      </w:r>
    </w:p>
    <w:p w:rsidR="004A3CA9" w:rsidRDefault="004A3CA9" w:rsidP="004A3CA9">
      <w:pPr>
        <w:pStyle w:val="ListParagraph"/>
        <w:numPr>
          <w:ilvl w:val="1"/>
          <w:numId w:val="4"/>
        </w:numPr>
        <w:spacing w:before="120" w:after="120"/>
        <w:ind w:left="1134" w:hanging="850"/>
        <w:rPr>
          <w:rFonts w:cs="Open Sans"/>
        </w:rPr>
      </w:pPr>
      <w:r w:rsidRPr="00C6151C">
        <w:rPr>
          <w:rFonts w:cs="Open Sans"/>
        </w:rPr>
        <w:t>To review the planned activity</w:t>
      </w:r>
      <w:r>
        <w:rPr>
          <w:rFonts w:cs="Open Sans"/>
        </w:rPr>
        <w:t>, results and effectiveness of internal a</w:t>
      </w:r>
      <w:r w:rsidRPr="00C6151C">
        <w:rPr>
          <w:rFonts w:cs="Open Sans"/>
        </w:rPr>
        <w:t>ud</w:t>
      </w:r>
      <w:r>
        <w:rPr>
          <w:rFonts w:cs="Open Sans"/>
        </w:rPr>
        <w:t>it, ensuring that the internal a</w:t>
      </w:r>
      <w:r w:rsidRPr="00C6151C">
        <w:rPr>
          <w:rFonts w:cs="Open Sans"/>
        </w:rPr>
        <w:t>udit function is accountable to the Audit Committee, that it is adequately resourced and has appropriate standing with the organisation</w:t>
      </w:r>
      <w:r>
        <w:rPr>
          <w:rFonts w:cs="Open Sans"/>
        </w:rPr>
        <w:t xml:space="preserve">.  </w:t>
      </w:r>
    </w:p>
    <w:p w:rsidR="004A3CA9" w:rsidRPr="00C6151C" w:rsidRDefault="004A3CA9" w:rsidP="004A3CA9">
      <w:pPr>
        <w:pStyle w:val="ListParagraph"/>
        <w:numPr>
          <w:ilvl w:val="1"/>
          <w:numId w:val="4"/>
        </w:numPr>
        <w:spacing w:before="120" w:after="120"/>
        <w:ind w:left="1134" w:hanging="850"/>
        <w:rPr>
          <w:rFonts w:cs="Open Sans"/>
        </w:rPr>
      </w:pPr>
      <w:r>
        <w:rPr>
          <w:rFonts w:cs="Open Sans"/>
        </w:rPr>
        <w:t>T</w:t>
      </w:r>
      <w:r w:rsidRPr="00C6151C">
        <w:rPr>
          <w:rFonts w:cs="Open Sans"/>
        </w:rPr>
        <w:t xml:space="preserve">o </w:t>
      </w:r>
      <w:r>
        <w:rPr>
          <w:rFonts w:cs="Open Sans"/>
        </w:rPr>
        <w:t xml:space="preserve">approve the </w:t>
      </w:r>
      <w:r w:rsidR="009266FC">
        <w:rPr>
          <w:rFonts w:cs="Open Sans"/>
        </w:rPr>
        <w:t>annual audit programme.</w:t>
      </w:r>
    </w:p>
    <w:p w:rsidR="004A3CA9" w:rsidRPr="007F0D00" w:rsidRDefault="004A3CA9" w:rsidP="004A3CA9">
      <w:pPr>
        <w:pStyle w:val="ListParagraph"/>
        <w:numPr>
          <w:ilvl w:val="1"/>
          <w:numId w:val="4"/>
        </w:numPr>
        <w:spacing w:before="120" w:after="120"/>
        <w:ind w:left="1134" w:hanging="850"/>
        <w:rPr>
          <w:rFonts w:cs="Open Sans"/>
        </w:rPr>
      </w:pPr>
      <w:r w:rsidRPr="00C6151C">
        <w:rPr>
          <w:rFonts w:cs="Open Sans"/>
        </w:rPr>
        <w:t>To consider reports by the internal auditors of the Authority, including value for money reports, and the arrangements for their implementation</w:t>
      </w:r>
      <w:r>
        <w:rPr>
          <w:rFonts w:cs="Open Sans"/>
        </w:rPr>
        <w:t>.</w:t>
      </w:r>
    </w:p>
    <w:p w:rsidR="004A3CA9" w:rsidRPr="00AF5519" w:rsidRDefault="004A3CA9" w:rsidP="004A3CA9">
      <w:pPr>
        <w:spacing w:before="120" w:after="120"/>
        <w:ind w:left="1440" w:hanging="360"/>
        <w:rPr>
          <w:rFonts w:cs="Open Sans"/>
          <w:b/>
          <w:bCs/>
        </w:rPr>
      </w:pPr>
      <w:r w:rsidRPr="00AF5519">
        <w:rPr>
          <w:rFonts w:cs="Open Sans"/>
          <w:b/>
          <w:bCs/>
        </w:rPr>
        <w:t>Risk Management</w:t>
      </w:r>
    </w:p>
    <w:p w:rsidR="004A3CA9" w:rsidRPr="00C6151C" w:rsidRDefault="004A3CA9" w:rsidP="004A3CA9">
      <w:pPr>
        <w:pStyle w:val="ListParagraph"/>
        <w:numPr>
          <w:ilvl w:val="1"/>
          <w:numId w:val="4"/>
        </w:numPr>
        <w:spacing w:before="120" w:after="120"/>
        <w:ind w:left="1134" w:hanging="850"/>
        <w:rPr>
          <w:rFonts w:cs="Open Sans"/>
        </w:rPr>
      </w:pPr>
      <w:r w:rsidRPr="00C6151C">
        <w:rPr>
          <w:rFonts w:cs="Open Sans"/>
        </w:rPr>
        <w:t>To ensure that the Authority operates effective governance, risk management and control systems, and in particular:</w:t>
      </w:r>
    </w:p>
    <w:p w:rsidR="004A3CA9" w:rsidRDefault="004A3CA9" w:rsidP="004A3CA9">
      <w:pPr>
        <w:pStyle w:val="ListParagraph"/>
        <w:numPr>
          <w:ilvl w:val="0"/>
          <w:numId w:val="6"/>
        </w:numPr>
        <w:ind w:left="1985" w:hanging="425"/>
        <w:rPr>
          <w:rFonts w:cs="Open Sans"/>
        </w:rPr>
      </w:pPr>
      <w:r>
        <w:rPr>
          <w:rFonts w:cs="Open Sans"/>
        </w:rPr>
        <w:t>To</w:t>
      </w:r>
      <w:r w:rsidRPr="00AF5519">
        <w:t xml:space="preserve"> </w:t>
      </w:r>
      <w:r w:rsidRPr="00AF5519">
        <w:rPr>
          <w:rFonts w:cs="Open Sans"/>
        </w:rPr>
        <w:t xml:space="preserve">provide </w:t>
      </w:r>
      <w:r>
        <w:rPr>
          <w:rFonts w:cs="Open Sans"/>
        </w:rPr>
        <w:t>assurance to the Board over</w:t>
      </w:r>
      <w:r w:rsidRPr="00AF5519">
        <w:rPr>
          <w:rFonts w:cs="Open Sans"/>
        </w:rPr>
        <w:t xml:space="preserve"> </w:t>
      </w:r>
      <w:r>
        <w:rPr>
          <w:rFonts w:cs="Open Sans"/>
        </w:rPr>
        <w:t xml:space="preserve">the Authority’s </w:t>
      </w:r>
      <w:r w:rsidRPr="00AF5519">
        <w:rPr>
          <w:rFonts w:cs="Open Sans"/>
        </w:rPr>
        <w:t>risk management s</w:t>
      </w:r>
      <w:r>
        <w:rPr>
          <w:rFonts w:cs="Open Sans"/>
        </w:rPr>
        <w:t xml:space="preserve">ystems and process and review </w:t>
      </w:r>
      <w:r w:rsidRPr="003211BF">
        <w:rPr>
          <w:rFonts w:cs="Open Sans"/>
        </w:rPr>
        <w:t xml:space="preserve">the policies and overall process for identifying and assessing </w:t>
      </w:r>
      <w:r>
        <w:rPr>
          <w:rFonts w:cs="Open Sans"/>
        </w:rPr>
        <w:t>risk appetite, and identifying risks</w:t>
      </w:r>
      <w:r w:rsidRPr="003211BF">
        <w:rPr>
          <w:rFonts w:cs="Open Sans"/>
        </w:rPr>
        <w:t>;</w:t>
      </w:r>
    </w:p>
    <w:p w:rsidR="004A3CA9" w:rsidRDefault="004A3CA9" w:rsidP="004A3CA9">
      <w:pPr>
        <w:pStyle w:val="ListParagraph"/>
        <w:numPr>
          <w:ilvl w:val="0"/>
          <w:numId w:val="6"/>
        </w:numPr>
        <w:ind w:left="1985" w:hanging="426"/>
        <w:rPr>
          <w:rFonts w:cs="Open Sans"/>
        </w:rPr>
      </w:pPr>
      <w:r>
        <w:rPr>
          <w:rFonts w:cs="Open Sans"/>
        </w:rPr>
        <w:t>To review the corporate risk register and consider the adequacy of proposed risk mitigations;</w:t>
      </w:r>
    </w:p>
    <w:p w:rsidR="004A3CA9" w:rsidRDefault="004A3CA9" w:rsidP="004A3CA9">
      <w:pPr>
        <w:pStyle w:val="ListParagraph"/>
        <w:numPr>
          <w:ilvl w:val="0"/>
          <w:numId w:val="6"/>
        </w:numPr>
        <w:ind w:left="1985" w:hanging="426"/>
        <w:rPr>
          <w:rFonts w:cs="Open Sans"/>
        </w:rPr>
      </w:pPr>
      <w:r>
        <w:rPr>
          <w:rFonts w:cs="Open Sans"/>
        </w:rPr>
        <w:t>To review the Authority’s assurance framework and consider the adequacy of available assurances;</w:t>
      </w:r>
    </w:p>
    <w:p w:rsidR="004A3CA9" w:rsidRPr="004336E6" w:rsidRDefault="004A3CA9" w:rsidP="004A3CA9">
      <w:pPr>
        <w:pStyle w:val="ListParagraph"/>
        <w:numPr>
          <w:ilvl w:val="0"/>
          <w:numId w:val="6"/>
        </w:numPr>
        <w:ind w:left="1985" w:hanging="426"/>
        <w:rPr>
          <w:rFonts w:cs="Open Sans"/>
        </w:rPr>
      </w:pPr>
      <w:r w:rsidRPr="004336E6">
        <w:rPr>
          <w:rFonts w:cs="Open Sans"/>
        </w:rPr>
        <w:t>To undertake period</w:t>
      </w:r>
      <w:r>
        <w:rPr>
          <w:rFonts w:cs="Open Sans"/>
        </w:rPr>
        <w:t xml:space="preserve">ic ‘deep dives’ into key risks </w:t>
      </w:r>
      <w:r w:rsidRPr="004336E6">
        <w:rPr>
          <w:rFonts w:cs="Open Sans"/>
        </w:rPr>
        <w:t>to ensure the effective</w:t>
      </w:r>
      <w:r>
        <w:rPr>
          <w:rFonts w:cs="Open Sans"/>
        </w:rPr>
        <w:t>ness of mitigation action plans</w:t>
      </w:r>
      <w:r w:rsidRPr="004336E6">
        <w:rPr>
          <w:rFonts w:cs="Open Sans"/>
        </w:rPr>
        <w:t>;</w:t>
      </w:r>
    </w:p>
    <w:p w:rsidR="004A3CA9" w:rsidRPr="00BC3377" w:rsidRDefault="009266FC" w:rsidP="004A3CA9">
      <w:pPr>
        <w:pStyle w:val="ListParagraph"/>
        <w:numPr>
          <w:ilvl w:val="0"/>
          <w:numId w:val="6"/>
        </w:numPr>
        <w:spacing w:after="240"/>
        <w:ind w:left="1985" w:hanging="426"/>
        <w:rPr>
          <w:rFonts w:cs="Open Sans"/>
        </w:rPr>
      </w:pPr>
      <w:r>
        <w:rPr>
          <w:rFonts w:cs="Open Sans"/>
        </w:rPr>
        <w:t xml:space="preserve">To review </w:t>
      </w:r>
      <w:r w:rsidR="004A3CA9" w:rsidRPr="009E01CA">
        <w:rPr>
          <w:rFonts w:cs="Open Sans"/>
        </w:rPr>
        <w:t xml:space="preserve">the Authority’s annual governance statement and its compliance with </w:t>
      </w:r>
      <w:r w:rsidR="004A3CA9" w:rsidRPr="009E01CA">
        <w:rPr>
          <w:rFonts w:cs="Open Sans"/>
          <w:color w:val="auto"/>
        </w:rPr>
        <w:t xml:space="preserve">the Board’s corporate </w:t>
      </w:r>
      <w:r w:rsidR="004A3CA9" w:rsidRPr="009E01CA">
        <w:rPr>
          <w:rFonts w:cs="Open Sans"/>
        </w:rPr>
        <w:t>governance guidance and best practice.</w:t>
      </w:r>
    </w:p>
    <w:p w:rsidR="004A3CA9" w:rsidRPr="00B47F7C" w:rsidRDefault="004A3CA9" w:rsidP="004A3CA9">
      <w:pPr>
        <w:spacing w:before="120" w:after="120"/>
        <w:ind w:left="1440" w:hanging="306"/>
        <w:rPr>
          <w:rFonts w:cs="Open Sans"/>
        </w:rPr>
      </w:pPr>
      <w:r w:rsidRPr="00B47F7C">
        <w:rPr>
          <w:rFonts w:cs="Open Sans"/>
          <w:b/>
          <w:bCs/>
        </w:rPr>
        <w:t>Other Duties</w:t>
      </w:r>
    </w:p>
    <w:p w:rsidR="004A3CA9" w:rsidRDefault="004A3CA9" w:rsidP="004A3CA9">
      <w:pPr>
        <w:pStyle w:val="ListParagraph"/>
        <w:numPr>
          <w:ilvl w:val="1"/>
          <w:numId w:val="4"/>
        </w:numPr>
        <w:spacing w:before="120" w:after="120"/>
        <w:ind w:left="1134" w:hanging="850"/>
        <w:rPr>
          <w:rFonts w:cs="Open Sans"/>
        </w:rPr>
      </w:pPr>
      <w:r w:rsidRPr="00C6151C">
        <w:rPr>
          <w:rFonts w:cs="Open Sans"/>
        </w:rPr>
        <w:t>To consider any other matter when requested to do so by the Board;</w:t>
      </w:r>
    </w:p>
    <w:p w:rsidR="004A3CA9" w:rsidRPr="000E4AC9" w:rsidRDefault="004A3CA9" w:rsidP="004A3CA9">
      <w:pPr>
        <w:pStyle w:val="ListParagraph"/>
        <w:numPr>
          <w:ilvl w:val="1"/>
          <w:numId w:val="4"/>
        </w:numPr>
        <w:spacing w:before="120" w:after="120"/>
        <w:ind w:left="1134" w:hanging="850"/>
        <w:rPr>
          <w:rFonts w:cs="Open Sans"/>
        </w:rPr>
      </w:pPr>
      <w:r>
        <w:rPr>
          <w:rFonts w:cs="Open Sans"/>
        </w:rPr>
        <w:t>To review the Authority’s counter-fraud strategy, policy and annual action plans.</w:t>
      </w:r>
    </w:p>
    <w:p w:rsidR="004A3CA9" w:rsidRPr="000E4AC9" w:rsidRDefault="004A3CA9" w:rsidP="004A3CA9">
      <w:pPr>
        <w:pStyle w:val="ListParagraph"/>
        <w:numPr>
          <w:ilvl w:val="1"/>
          <w:numId w:val="4"/>
        </w:numPr>
        <w:spacing w:before="120" w:after="120"/>
        <w:ind w:left="1134" w:hanging="850"/>
        <w:rPr>
          <w:rFonts w:cs="Open Sans"/>
        </w:rPr>
      </w:pPr>
      <w:r w:rsidRPr="00C6151C">
        <w:rPr>
          <w:rFonts w:cs="Open Sans"/>
        </w:rPr>
        <w:t xml:space="preserve">To </w:t>
      </w:r>
      <w:r w:rsidRPr="0043117B">
        <w:rPr>
          <w:rFonts w:cs="Open Sans"/>
          <w:color w:val="auto"/>
        </w:rPr>
        <w:t>annually</w:t>
      </w:r>
      <w:r w:rsidRPr="00AE7B37">
        <w:rPr>
          <w:rFonts w:cs="Open Sans"/>
          <w:color w:val="FF0000"/>
        </w:rPr>
        <w:t xml:space="preserve"> </w:t>
      </w:r>
      <w:r>
        <w:rPr>
          <w:rFonts w:cs="Open Sans"/>
        </w:rPr>
        <w:t>review key governance policies including</w:t>
      </w:r>
      <w:r w:rsidRPr="00C6151C">
        <w:rPr>
          <w:rFonts w:cs="Open Sans"/>
        </w:rPr>
        <w:t xml:space="preserve"> whistle-blowing processes and arrangements for special investigations;</w:t>
      </w:r>
    </w:p>
    <w:p w:rsidR="004A3CA9" w:rsidRPr="008D73E8" w:rsidRDefault="004A3CA9" w:rsidP="004A3CA9">
      <w:pPr>
        <w:pStyle w:val="ListParagraph"/>
        <w:numPr>
          <w:ilvl w:val="1"/>
          <w:numId w:val="4"/>
        </w:numPr>
        <w:spacing w:before="120" w:after="120"/>
        <w:ind w:left="1134" w:hanging="850"/>
        <w:rPr>
          <w:rFonts w:cs="Open Sans"/>
          <w:color w:val="FF0000"/>
        </w:rPr>
      </w:pPr>
      <w:r>
        <w:rPr>
          <w:rFonts w:cs="Open Sans"/>
        </w:rPr>
        <w:t xml:space="preserve">To </w:t>
      </w:r>
      <w:r w:rsidRPr="0043117B">
        <w:rPr>
          <w:rFonts w:cs="Open Sans"/>
          <w:color w:val="auto"/>
        </w:rPr>
        <w:t xml:space="preserve">annually </w:t>
      </w:r>
      <w:r w:rsidRPr="00325042">
        <w:rPr>
          <w:rFonts w:cs="Open Sans"/>
        </w:rPr>
        <w:t>evaluate i</w:t>
      </w:r>
      <w:r w:rsidR="009266FC">
        <w:rPr>
          <w:rFonts w:cs="Open Sans"/>
        </w:rPr>
        <w:t>ts own performance against its Terms of R</w:t>
      </w:r>
      <w:r w:rsidRPr="00325042">
        <w:rPr>
          <w:rFonts w:cs="Open Sans"/>
        </w:rPr>
        <w:t>eference and best practice with the intention of conducting business efficiently and</w:t>
      </w:r>
      <w:r>
        <w:rPr>
          <w:rFonts w:cs="Open Sans"/>
        </w:rPr>
        <w:t xml:space="preserve"> meeting the needs of the Board.</w:t>
      </w:r>
    </w:p>
    <w:p w:rsidR="008D73E8" w:rsidRPr="009E01CA" w:rsidRDefault="008D73E8" w:rsidP="008D73E8">
      <w:pPr>
        <w:pStyle w:val="ListParagraph"/>
        <w:numPr>
          <w:ilvl w:val="0"/>
          <w:numId w:val="0"/>
        </w:numPr>
        <w:spacing w:before="120" w:after="120"/>
        <w:ind w:left="1134"/>
        <w:rPr>
          <w:rFonts w:cs="Open Sans"/>
          <w:color w:val="FF0000"/>
        </w:rPr>
      </w:pPr>
    </w:p>
    <w:p w:rsidR="009266FC" w:rsidRDefault="004A3CA9" w:rsidP="009266FC">
      <w:pPr>
        <w:pStyle w:val="ListParagraph"/>
        <w:numPr>
          <w:ilvl w:val="0"/>
          <w:numId w:val="4"/>
        </w:numPr>
        <w:spacing w:before="240"/>
        <w:ind w:left="1135" w:hanging="851"/>
        <w:rPr>
          <w:rFonts w:cs="Open Sans"/>
          <w:b/>
        </w:rPr>
      </w:pPr>
      <w:r w:rsidRPr="008D73E8">
        <w:rPr>
          <w:rFonts w:cs="Open Sans"/>
          <w:b/>
        </w:rPr>
        <w:lastRenderedPageBreak/>
        <w:t>Membership</w:t>
      </w:r>
    </w:p>
    <w:p w:rsidR="008D73E8" w:rsidRPr="009266FC" w:rsidRDefault="008D73E8" w:rsidP="009266FC">
      <w:pPr>
        <w:pStyle w:val="ListParagraph"/>
        <w:numPr>
          <w:ilvl w:val="1"/>
          <w:numId w:val="9"/>
        </w:numPr>
        <w:spacing w:before="240"/>
        <w:ind w:left="1135" w:hanging="851"/>
        <w:rPr>
          <w:rFonts w:cs="Open Sans"/>
          <w:b/>
        </w:rPr>
      </w:pPr>
      <w:r w:rsidRPr="009266FC">
        <w:rPr>
          <w:rFonts w:cs="Open Sans"/>
          <w:color w:val="auto"/>
        </w:rPr>
        <w:t>Members of this committee are agreed by the Board. Membership will be reviewed annually as part of the annual consideration of committee performance and these Terms of Reference by the Board.</w:t>
      </w:r>
    </w:p>
    <w:p w:rsidR="008D73E8" w:rsidRPr="009266FC" w:rsidRDefault="008D73E8" w:rsidP="009266FC">
      <w:pPr>
        <w:pStyle w:val="ListParagraph"/>
        <w:numPr>
          <w:ilvl w:val="1"/>
          <w:numId w:val="9"/>
        </w:numPr>
        <w:spacing w:before="100" w:beforeAutospacing="1" w:after="120"/>
        <w:ind w:left="1135" w:hanging="851"/>
        <w:rPr>
          <w:rFonts w:cs="Open Sans"/>
          <w:color w:val="auto"/>
        </w:rPr>
      </w:pPr>
      <w:r w:rsidRPr="009266FC">
        <w:rPr>
          <w:rFonts w:cs="Open Sans"/>
          <w:color w:val="auto"/>
        </w:rPr>
        <w:t>The Chair of this committee is a non-executive board member appointed by the Chair of the Board.</w:t>
      </w:r>
    </w:p>
    <w:p w:rsidR="008D73E8" w:rsidRPr="00E25689" w:rsidRDefault="008D73E8" w:rsidP="00E25689">
      <w:pPr>
        <w:pStyle w:val="ListParagraph"/>
        <w:numPr>
          <w:ilvl w:val="1"/>
          <w:numId w:val="9"/>
        </w:numPr>
        <w:spacing w:before="100" w:beforeAutospacing="1" w:after="120"/>
        <w:ind w:left="1135" w:hanging="851"/>
        <w:rPr>
          <w:rFonts w:cs="Open Sans"/>
          <w:color w:val="auto"/>
        </w:rPr>
      </w:pPr>
      <w:r w:rsidRPr="00E25689">
        <w:rPr>
          <w:rFonts w:cs="Open Sans"/>
          <w:color w:val="auto"/>
        </w:rPr>
        <w:t>Three non-executive directors of the Board will be appointed to this committee (including the appointed committee Chair). Two non-executive directors must attend each meeting in order for it to be quorate.</w:t>
      </w:r>
    </w:p>
    <w:p w:rsidR="008D73E8" w:rsidRPr="008D73E8" w:rsidRDefault="008D73E8" w:rsidP="00E25689">
      <w:pPr>
        <w:pStyle w:val="ListParagraph"/>
        <w:numPr>
          <w:ilvl w:val="1"/>
          <w:numId w:val="9"/>
        </w:numPr>
        <w:spacing w:before="100" w:beforeAutospacing="1" w:after="120"/>
        <w:ind w:left="1135" w:hanging="851"/>
        <w:rPr>
          <w:rFonts w:cs="Open Sans"/>
          <w:color w:val="auto"/>
        </w:rPr>
      </w:pPr>
      <w:r w:rsidRPr="008D73E8">
        <w:rPr>
          <w:rFonts w:cs="Open Sans"/>
        </w:rPr>
        <w:t>M</w:t>
      </w:r>
      <w:r w:rsidR="00E25689">
        <w:rPr>
          <w:rFonts w:cs="Open Sans"/>
        </w:rPr>
        <w:t>embers shall not include the C</w:t>
      </w:r>
      <w:r w:rsidRPr="008D73E8">
        <w:rPr>
          <w:rFonts w:cs="Open Sans"/>
        </w:rPr>
        <w:t xml:space="preserve">hair of the Authority or any board members who occupy executive positions.  </w:t>
      </w:r>
    </w:p>
    <w:p w:rsidR="00476741" w:rsidRPr="00476741" w:rsidRDefault="008D73E8" w:rsidP="00E25689">
      <w:pPr>
        <w:pStyle w:val="ListParagraph"/>
        <w:numPr>
          <w:ilvl w:val="1"/>
          <w:numId w:val="9"/>
        </w:numPr>
        <w:spacing w:before="100" w:beforeAutospacing="1" w:after="120"/>
        <w:ind w:left="1135" w:hanging="851"/>
        <w:rPr>
          <w:rFonts w:cs="Open Sans"/>
          <w:color w:val="auto"/>
        </w:rPr>
      </w:pPr>
      <w:r w:rsidRPr="008D73E8">
        <w:rPr>
          <w:rFonts w:cs="Open Sans"/>
        </w:rPr>
        <w:t>Standing attendees are</w:t>
      </w:r>
      <w:r w:rsidRPr="00623F6C">
        <w:t xml:space="preserve"> </w:t>
      </w:r>
      <w:r w:rsidRPr="008D73E8">
        <w:rPr>
          <w:rFonts w:cs="Open Sans"/>
        </w:rPr>
        <w:t>the Chief Executive in their capacity as Accounting Officer, the Chief Finance and Information Officer, the Head of Finance, and the Head of Business Planning, Risk and Governance Deputies will be arranged by exception as required.  Internal and external Auditors shall usually be invited to attend all meetings of the Committee.</w:t>
      </w:r>
      <w:r w:rsidR="00476741">
        <w:rPr>
          <w:rFonts w:cs="Open Sans"/>
        </w:rPr>
        <w:t xml:space="preserve">  </w:t>
      </w:r>
    </w:p>
    <w:p w:rsidR="008D73E8" w:rsidRPr="008D73E8" w:rsidRDefault="008D73E8" w:rsidP="00E25689">
      <w:pPr>
        <w:pStyle w:val="ListParagraph"/>
        <w:numPr>
          <w:ilvl w:val="1"/>
          <w:numId w:val="9"/>
        </w:numPr>
        <w:spacing w:before="100" w:beforeAutospacing="1" w:after="120"/>
        <w:ind w:left="1135" w:hanging="851"/>
        <w:rPr>
          <w:rFonts w:cs="Open Sans"/>
          <w:color w:val="auto"/>
        </w:rPr>
      </w:pPr>
      <w:r w:rsidRPr="008D73E8">
        <w:rPr>
          <w:rFonts w:cs="Open Sans"/>
          <w:color w:val="auto"/>
        </w:rPr>
        <w:t xml:space="preserve">The Committee may co-opt additional members for a period not exceeding a year to provide specialist skills, knowledge and experience. </w:t>
      </w:r>
    </w:p>
    <w:p w:rsidR="008D73E8" w:rsidRPr="00E25689" w:rsidRDefault="008D73E8" w:rsidP="00E25689">
      <w:pPr>
        <w:pStyle w:val="ListParagraph"/>
        <w:numPr>
          <w:ilvl w:val="0"/>
          <w:numId w:val="4"/>
        </w:numPr>
        <w:spacing w:before="100" w:beforeAutospacing="1"/>
        <w:ind w:left="1135" w:hanging="851"/>
        <w:rPr>
          <w:rFonts w:cs="Open Sans"/>
          <w:b/>
        </w:rPr>
      </w:pPr>
      <w:r w:rsidRPr="00E25689">
        <w:rPr>
          <w:rFonts w:cs="Open Sans"/>
          <w:b/>
        </w:rPr>
        <w:t>Reporting</w:t>
      </w:r>
    </w:p>
    <w:p w:rsidR="008D73E8" w:rsidRPr="008D73E8" w:rsidRDefault="008D73E8" w:rsidP="00E25689">
      <w:pPr>
        <w:pStyle w:val="ListParagraph"/>
        <w:numPr>
          <w:ilvl w:val="1"/>
          <w:numId w:val="4"/>
        </w:numPr>
        <w:spacing w:before="100" w:beforeAutospacing="1" w:after="120"/>
        <w:ind w:left="1135" w:hanging="851"/>
        <w:rPr>
          <w:rFonts w:cs="Open Sans"/>
          <w:color w:val="auto"/>
        </w:rPr>
      </w:pPr>
      <w:r w:rsidRPr="008D73E8">
        <w:rPr>
          <w:rFonts w:cs="Open Sans"/>
        </w:rPr>
        <w:t>T</w:t>
      </w:r>
      <w:r w:rsidR="00E25689">
        <w:rPr>
          <w:rFonts w:cs="Open Sans"/>
        </w:rPr>
        <w:t>he C</w:t>
      </w:r>
      <w:r w:rsidRPr="008D73E8">
        <w:rPr>
          <w:rFonts w:cs="Open Sans"/>
        </w:rPr>
        <w:t>hair of the Committee shall give a report to the Board after each meeting of the Committee. A copy of the minutes of the meeting may form the basis of the report.</w:t>
      </w:r>
    </w:p>
    <w:p w:rsidR="008D73E8" w:rsidRPr="008D73E8" w:rsidRDefault="008D73E8" w:rsidP="00E25689">
      <w:pPr>
        <w:pStyle w:val="ListParagraph"/>
        <w:numPr>
          <w:ilvl w:val="1"/>
          <w:numId w:val="4"/>
        </w:numPr>
        <w:spacing w:before="100" w:beforeAutospacing="1" w:after="120"/>
        <w:ind w:left="1135" w:hanging="851"/>
        <w:rPr>
          <w:rFonts w:cs="Open Sans"/>
          <w:color w:val="auto"/>
        </w:rPr>
      </w:pPr>
      <w:r w:rsidRPr="008D73E8">
        <w:rPr>
          <w:rFonts w:cs="Open Sans"/>
          <w:color w:val="auto"/>
        </w:rPr>
        <w:t>The Committee will provide the Board and Accounting Officer with an annual report, timed to support finalisation of the accounts and governance statement, summarising its conclusions from the work it has done during the year.</w:t>
      </w:r>
    </w:p>
    <w:p w:rsidR="008D73E8" w:rsidRPr="008D73E8" w:rsidRDefault="008D73E8" w:rsidP="00E25689">
      <w:pPr>
        <w:pStyle w:val="ListParagraph"/>
        <w:numPr>
          <w:ilvl w:val="0"/>
          <w:numId w:val="4"/>
        </w:numPr>
        <w:spacing w:before="100" w:beforeAutospacing="1"/>
        <w:ind w:left="1135" w:hanging="851"/>
        <w:rPr>
          <w:rFonts w:cs="Open Sans"/>
          <w:b/>
        </w:rPr>
      </w:pPr>
      <w:r>
        <w:rPr>
          <w:rFonts w:cs="Open Sans"/>
          <w:b/>
        </w:rPr>
        <w:t>Meetings</w:t>
      </w:r>
    </w:p>
    <w:p w:rsidR="008D73E8" w:rsidRDefault="00CE07D7" w:rsidP="00E25689">
      <w:pPr>
        <w:pStyle w:val="ListParagraph"/>
        <w:numPr>
          <w:ilvl w:val="1"/>
          <w:numId w:val="4"/>
        </w:numPr>
        <w:spacing w:before="100" w:beforeAutospacing="1" w:after="120"/>
        <w:ind w:left="1135" w:hanging="851"/>
        <w:rPr>
          <w:rFonts w:cs="Open Sans"/>
          <w:color w:val="auto"/>
        </w:rPr>
      </w:pPr>
      <w:r w:rsidRPr="008D73E8">
        <w:rPr>
          <w:rFonts w:cs="Open Sans"/>
        </w:rPr>
        <w:t>T</w:t>
      </w:r>
      <w:r w:rsidR="008D73E8">
        <w:rPr>
          <w:rFonts w:cs="Open Sans"/>
        </w:rPr>
        <w:t xml:space="preserve">he </w:t>
      </w:r>
      <w:r w:rsidR="00623F6C" w:rsidRPr="008D73E8">
        <w:rPr>
          <w:rFonts w:cs="Open Sans"/>
        </w:rPr>
        <w:t>committee will meet four times per year.</w:t>
      </w:r>
      <w:r w:rsidR="00693BCD" w:rsidRPr="008D73E8">
        <w:rPr>
          <w:rFonts w:cs="Open Sans"/>
        </w:rPr>
        <w:t xml:space="preserve">  Meeting will normally be held virtually.  </w:t>
      </w:r>
      <w:r w:rsidR="00623F6C" w:rsidRPr="008D73E8">
        <w:rPr>
          <w:rFonts w:cs="Open Sans"/>
        </w:rPr>
        <w:t xml:space="preserve"> Papers will be sent to members and attendees at least 3 working days before the meeting (with an aspiration of 5 working days wherever possible).</w:t>
      </w:r>
      <w:r w:rsidR="002F0D1C" w:rsidRPr="008D73E8">
        <w:rPr>
          <w:rFonts w:cs="Open Sans"/>
          <w:color w:val="auto"/>
        </w:rPr>
        <w:t xml:space="preserve"> </w:t>
      </w:r>
    </w:p>
    <w:p w:rsidR="008D73E8" w:rsidRPr="008D73E8" w:rsidRDefault="00E13DD8" w:rsidP="00E25689">
      <w:pPr>
        <w:pStyle w:val="ListParagraph"/>
        <w:numPr>
          <w:ilvl w:val="1"/>
          <w:numId w:val="4"/>
        </w:numPr>
        <w:spacing w:before="100" w:beforeAutospacing="1" w:after="120"/>
        <w:ind w:left="1135" w:hanging="851"/>
        <w:rPr>
          <w:rFonts w:cs="Open Sans"/>
          <w:color w:val="auto"/>
        </w:rPr>
      </w:pPr>
      <w:r w:rsidRPr="008D73E8">
        <w:rPr>
          <w:rFonts w:cs="Open Sans"/>
          <w:color w:val="auto"/>
        </w:rPr>
        <w:t>Committee</w:t>
      </w:r>
      <w:r w:rsidR="00A72B90" w:rsidRPr="008D73E8">
        <w:rPr>
          <w:rFonts w:cs="Open Sans"/>
          <w:color w:val="auto"/>
        </w:rPr>
        <w:t xml:space="preserve"> Members</w:t>
      </w:r>
      <w:r w:rsidR="00B76C87" w:rsidRPr="008D73E8">
        <w:rPr>
          <w:rFonts w:cs="Open Sans"/>
          <w:color w:val="auto"/>
        </w:rPr>
        <w:t>, the Accounting O</w:t>
      </w:r>
      <w:r w:rsidRPr="008D73E8">
        <w:rPr>
          <w:rFonts w:cs="Open Sans"/>
          <w:color w:val="auto"/>
        </w:rPr>
        <w:t>fficer</w:t>
      </w:r>
      <w:r w:rsidR="00A72B90" w:rsidRPr="008D73E8">
        <w:rPr>
          <w:rFonts w:cs="Open Sans"/>
          <w:color w:val="auto"/>
        </w:rPr>
        <w:t>, the Board</w:t>
      </w:r>
      <w:r w:rsidRPr="008D73E8">
        <w:rPr>
          <w:rFonts w:cs="Open Sans"/>
          <w:color w:val="auto"/>
        </w:rPr>
        <w:t xml:space="preserve"> and </w:t>
      </w:r>
      <w:r w:rsidR="003E135B" w:rsidRPr="008D73E8">
        <w:rPr>
          <w:rFonts w:cs="Open Sans"/>
          <w:color w:val="auto"/>
        </w:rPr>
        <w:t>external and i</w:t>
      </w:r>
      <w:r w:rsidR="002F0D1C" w:rsidRPr="008D73E8">
        <w:rPr>
          <w:rFonts w:cs="Open Sans"/>
          <w:color w:val="auto"/>
        </w:rPr>
        <w:t>nternal</w:t>
      </w:r>
      <w:r w:rsidR="003E135B" w:rsidRPr="008D73E8">
        <w:rPr>
          <w:rFonts w:cs="Open Sans"/>
          <w:color w:val="auto"/>
        </w:rPr>
        <w:t xml:space="preserve"> a</w:t>
      </w:r>
      <w:r w:rsidR="00A72B90" w:rsidRPr="008D73E8">
        <w:rPr>
          <w:rFonts w:cs="Open Sans"/>
          <w:color w:val="auto"/>
        </w:rPr>
        <w:t xml:space="preserve">uditors may all request additional </w:t>
      </w:r>
      <w:r w:rsidR="002F0D1C" w:rsidRPr="008D73E8">
        <w:rPr>
          <w:rFonts w:cs="Open Sans"/>
          <w:color w:val="auto"/>
        </w:rPr>
        <w:t>meeting</w:t>
      </w:r>
      <w:r w:rsidR="00A72B90" w:rsidRPr="008D73E8">
        <w:rPr>
          <w:rFonts w:cs="Open Sans"/>
          <w:color w:val="auto"/>
        </w:rPr>
        <w:t>s</w:t>
      </w:r>
      <w:r w:rsidR="002F0D1C" w:rsidRPr="008D73E8">
        <w:rPr>
          <w:rFonts w:cs="Open Sans"/>
          <w:color w:val="auto"/>
        </w:rPr>
        <w:t xml:space="preserve"> if they consider it necessary</w:t>
      </w:r>
      <w:r w:rsidR="002F0D1C" w:rsidRPr="008D73E8">
        <w:rPr>
          <w:rFonts w:cs="Open Sans"/>
        </w:rPr>
        <w:t>.</w:t>
      </w:r>
      <w:r w:rsidR="00A8038B" w:rsidRPr="008D73E8">
        <w:rPr>
          <w:rFonts w:cs="Open Sans"/>
        </w:rPr>
        <w:t xml:space="preserve"> </w:t>
      </w:r>
    </w:p>
    <w:p w:rsidR="008D73E8" w:rsidRPr="008D73E8" w:rsidRDefault="00623F6C" w:rsidP="00E25689">
      <w:pPr>
        <w:pStyle w:val="ListParagraph"/>
        <w:numPr>
          <w:ilvl w:val="1"/>
          <w:numId w:val="4"/>
        </w:numPr>
        <w:spacing w:before="100" w:beforeAutospacing="1" w:after="120"/>
        <w:ind w:left="1135" w:hanging="851"/>
        <w:rPr>
          <w:rStyle w:val="CommentReference"/>
          <w:rFonts w:cs="Open Sans"/>
          <w:sz w:val="22"/>
          <w:szCs w:val="22"/>
        </w:rPr>
      </w:pPr>
      <w:r w:rsidRPr="008D73E8">
        <w:rPr>
          <w:rFonts w:cs="Open Sans"/>
        </w:rPr>
        <w:t>An annual programme of meetings and a rolling 18 month forward look will be developed by th</w:t>
      </w:r>
      <w:r w:rsidR="00E25689">
        <w:rPr>
          <w:rFonts w:cs="Open Sans"/>
        </w:rPr>
        <w:t>e executive lead and committee C</w:t>
      </w:r>
      <w:r w:rsidRPr="008D73E8">
        <w:rPr>
          <w:rFonts w:cs="Open Sans"/>
        </w:rPr>
        <w:t>hair and agreed by the committee at each meeting.</w:t>
      </w:r>
    </w:p>
    <w:p w:rsidR="00A8038B" w:rsidRDefault="008D73E8" w:rsidP="00E25689">
      <w:pPr>
        <w:pStyle w:val="ListParagraph"/>
        <w:numPr>
          <w:ilvl w:val="1"/>
          <w:numId w:val="4"/>
        </w:numPr>
        <w:spacing w:before="100" w:beforeAutospacing="1" w:after="120"/>
        <w:ind w:left="1135" w:hanging="851"/>
        <w:rPr>
          <w:rFonts w:cs="Open Sans"/>
        </w:rPr>
      </w:pPr>
      <w:r w:rsidRPr="008D73E8">
        <w:rPr>
          <w:rFonts w:cs="Open Sans"/>
        </w:rPr>
        <w:t xml:space="preserve"> </w:t>
      </w:r>
      <w:r w:rsidR="00E25689">
        <w:rPr>
          <w:rFonts w:cs="Open Sans"/>
        </w:rPr>
        <w:t>T</w:t>
      </w:r>
      <w:r w:rsidR="00BC3377" w:rsidRPr="008D73E8">
        <w:rPr>
          <w:rFonts w:cs="Open Sans"/>
        </w:rPr>
        <w:t xml:space="preserve">he </w:t>
      </w:r>
      <w:r w:rsidR="002F0D1C" w:rsidRPr="008D73E8">
        <w:rPr>
          <w:rFonts w:cs="Open Sans"/>
        </w:rPr>
        <w:t>Committ</w:t>
      </w:r>
      <w:r w:rsidR="003E135B" w:rsidRPr="008D73E8">
        <w:rPr>
          <w:rFonts w:cs="Open Sans"/>
        </w:rPr>
        <w:t xml:space="preserve">ee </w:t>
      </w:r>
      <w:r w:rsidR="00C7568F" w:rsidRPr="008D73E8">
        <w:rPr>
          <w:rFonts w:cs="Open Sans"/>
        </w:rPr>
        <w:t xml:space="preserve">will </w:t>
      </w:r>
      <w:r w:rsidR="003E135B" w:rsidRPr="008D73E8">
        <w:rPr>
          <w:rFonts w:cs="Open Sans"/>
        </w:rPr>
        <w:t>meet privately with the i</w:t>
      </w:r>
      <w:r w:rsidR="002F0D1C" w:rsidRPr="008D73E8">
        <w:rPr>
          <w:rFonts w:cs="Open Sans"/>
        </w:rPr>
        <w:t xml:space="preserve">nternal </w:t>
      </w:r>
      <w:r w:rsidR="003E135B" w:rsidRPr="008D73E8">
        <w:rPr>
          <w:rFonts w:cs="Open Sans"/>
        </w:rPr>
        <w:t>and/or external a</w:t>
      </w:r>
      <w:r w:rsidR="002F0D1C" w:rsidRPr="008D73E8">
        <w:rPr>
          <w:rFonts w:cs="Open Sans"/>
        </w:rPr>
        <w:t>uditors</w:t>
      </w:r>
      <w:r w:rsidR="00C7568F" w:rsidRPr="008D73E8">
        <w:rPr>
          <w:rFonts w:cs="Open Sans"/>
        </w:rPr>
        <w:t xml:space="preserve"> at least once a year</w:t>
      </w:r>
      <w:r w:rsidR="002F0D1C" w:rsidRPr="008D73E8">
        <w:rPr>
          <w:rFonts w:cs="Open Sans"/>
        </w:rPr>
        <w:t>.</w:t>
      </w:r>
    </w:p>
    <w:p w:rsidR="00E25689" w:rsidRPr="008D73E8" w:rsidRDefault="00E25689" w:rsidP="00E25689">
      <w:pPr>
        <w:pStyle w:val="ListParagraph"/>
        <w:numPr>
          <w:ilvl w:val="0"/>
          <w:numId w:val="0"/>
        </w:numPr>
        <w:spacing w:before="100" w:beforeAutospacing="1" w:after="120"/>
        <w:ind w:left="1135"/>
        <w:rPr>
          <w:rFonts w:cs="Open Sans"/>
        </w:rPr>
      </w:pPr>
    </w:p>
    <w:p w:rsidR="008D73E8" w:rsidRDefault="008D73E8" w:rsidP="00E25689">
      <w:pPr>
        <w:pStyle w:val="ListParagraph"/>
        <w:numPr>
          <w:ilvl w:val="0"/>
          <w:numId w:val="4"/>
        </w:numPr>
        <w:spacing w:before="100" w:beforeAutospacing="1"/>
        <w:ind w:left="1135" w:hanging="851"/>
        <w:rPr>
          <w:rFonts w:cs="Open Sans"/>
          <w:b/>
        </w:rPr>
      </w:pPr>
      <w:r>
        <w:rPr>
          <w:rFonts w:cs="Open Sans"/>
          <w:b/>
        </w:rPr>
        <w:lastRenderedPageBreak/>
        <w:t>Meetings</w:t>
      </w:r>
    </w:p>
    <w:p w:rsidR="008D73E8" w:rsidRPr="008D73E8" w:rsidRDefault="00482308" w:rsidP="00E25689">
      <w:pPr>
        <w:pStyle w:val="ListParagraph"/>
        <w:numPr>
          <w:ilvl w:val="1"/>
          <w:numId w:val="4"/>
        </w:numPr>
        <w:spacing w:before="100" w:beforeAutospacing="1"/>
        <w:ind w:left="1135" w:hanging="851"/>
        <w:rPr>
          <w:rFonts w:cs="Open Sans"/>
        </w:rPr>
      </w:pPr>
      <w:r w:rsidRPr="008D73E8">
        <w:rPr>
          <w:rFonts w:cs="Open Sans"/>
        </w:rPr>
        <w:t xml:space="preserve">The </w:t>
      </w:r>
      <w:r w:rsidR="00693BCD" w:rsidRPr="008D73E8">
        <w:rPr>
          <w:rFonts w:cs="Open Sans"/>
        </w:rPr>
        <w:t xml:space="preserve">Secretariat </w:t>
      </w:r>
      <w:r w:rsidRPr="008D73E8">
        <w:rPr>
          <w:rFonts w:cs="Open Sans"/>
        </w:rPr>
        <w:t xml:space="preserve">will provide the </w:t>
      </w:r>
      <w:r w:rsidR="00420544" w:rsidRPr="008D73E8">
        <w:rPr>
          <w:rFonts w:cs="Open Sans"/>
        </w:rPr>
        <w:t>c</w:t>
      </w:r>
      <w:r w:rsidRPr="008D73E8">
        <w:rPr>
          <w:rFonts w:cs="Open Sans"/>
        </w:rPr>
        <w:t>ommittee with</w:t>
      </w:r>
      <w:r w:rsidR="00693BCD" w:rsidRPr="008D73E8">
        <w:rPr>
          <w:rFonts w:cs="Open Sans"/>
        </w:rPr>
        <w:t xml:space="preserve"> oversight from the Chief Finance and Information Officer who will work c</w:t>
      </w:r>
      <w:r w:rsidR="00E25689">
        <w:rPr>
          <w:rFonts w:cs="Open Sans"/>
        </w:rPr>
        <w:t>losely with the committee C</w:t>
      </w:r>
      <w:r w:rsidR="008D73E8" w:rsidRPr="008D73E8">
        <w:rPr>
          <w:rFonts w:cs="Open Sans"/>
        </w:rPr>
        <w:t>hair.</w:t>
      </w:r>
    </w:p>
    <w:p w:rsidR="008D73E8" w:rsidRPr="008D73E8" w:rsidRDefault="002F0D1C" w:rsidP="00E25689">
      <w:pPr>
        <w:pStyle w:val="ListParagraph"/>
        <w:numPr>
          <w:ilvl w:val="1"/>
          <w:numId w:val="4"/>
        </w:numPr>
        <w:spacing w:before="100" w:beforeAutospacing="1"/>
        <w:ind w:left="1135" w:hanging="851"/>
        <w:rPr>
          <w:rFonts w:cs="Open Sans"/>
        </w:rPr>
      </w:pPr>
      <w:r w:rsidRPr="008D73E8">
        <w:rPr>
          <w:rFonts w:cs="Open Sans"/>
        </w:rPr>
        <w:t>The</w:t>
      </w:r>
      <w:r w:rsidRPr="008D73E8">
        <w:rPr>
          <w:rFonts w:cs="Open Sans"/>
          <w:color w:val="auto"/>
        </w:rPr>
        <w:t xml:space="preserve"> </w:t>
      </w:r>
      <w:r w:rsidR="00420544" w:rsidRPr="008D73E8">
        <w:rPr>
          <w:rFonts w:cs="Open Sans"/>
          <w:color w:val="auto"/>
        </w:rPr>
        <w:t>c</w:t>
      </w:r>
      <w:r w:rsidRPr="008D73E8">
        <w:rPr>
          <w:rFonts w:cs="Open Sans"/>
          <w:color w:val="auto"/>
        </w:rPr>
        <w:t xml:space="preserve">ommittee </w:t>
      </w:r>
      <w:r w:rsidR="00693BCD" w:rsidRPr="008D73E8">
        <w:rPr>
          <w:rFonts w:cs="Open Sans"/>
          <w:color w:val="auto"/>
        </w:rPr>
        <w:t xml:space="preserve">can </w:t>
      </w:r>
      <w:r w:rsidRPr="008D73E8">
        <w:rPr>
          <w:rFonts w:cs="Open Sans"/>
          <w:color w:val="auto"/>
        </w:rPr>
        <w:t xml:space="preserve">procure </w:t>
      </w:r>
      <w:r w:rsidR="00693BCD" w:rsidRPr="008D73E8">
        <w:rPr>
          <w:rFonts w:cs="Open Sans"/>
          <w:color w:val="auto"/>
        </w:rPr>
        <w:t>independen</w:t>
      </w:r>
      <w:r w:rsidR="008D73E8" w:rsidRPr="008D73E8">
        <w:rPr>
          <w:rFonts w:cs="Open Sans"/>
          <w:color w:val="auto"/>
        </w:rPr>
        <w:t>t professional advice if needed</w:t>
      </w:r>
      <w:r w:rsidR="00693BCD" w:rsidRPr="008D73E8">
        <w:rPr>
          <w:rFonts w:cs="Open Sans"/>
          <w:color w:val="auto"/>
        </w:rPr>
        <w:t xml:space="preserve">, in line with the procurement policies of the Coal Authority.  </w:t>
      </w:r>
    </w:p>
    <w:p w:rsidR="00C460E9" w:rsidRPr="008D73E8" w:rsidRDefault="005D1047" w:rsidP="00E25689">
      <w:pPr>
        <w:pStyle w:val="ListParagraph"/>
        <w:numPr>
          <w:ilvl w:val="1"/>
          <w:numId w:val="4"/>
        </w:numPr>
        <w:spacing w:before="100" w:beforeAutospacing="1"/>
        <w:ind w:left="1135" w:hanging="851"/>
        <w:rPr>
          <w:rFonts w:cs="Open Sans"/>
        </w:rPr>
      </w:pPr>
      <w:r w:rsidRPr="008D73E8">
        <w:rPr>
          <w:rFonts w:cs="Open Sans"/>
          <w:color w:val="auto"/>
        </w:rPr>
        <w:t>The committee will r</w:t>
      </w:r>
      <w:r w:rsidR="00C460E9" w:rsidRPr="008D73E8">
        <w:rPr>
          <w:rFonts w:cs="Open Sans"/>
          <w:color w:val="auto"/>
        </w:rPr>
        <w:t>eview its own performance annually to ensure that it is operating at maximum effectiveness and recommends any changes it considers necessary to the board.</w:t>
      </w:r>
    </w:p>
    <w:p w:rsidR="00CD21BE" w:rsidRDefault="00CD21BE" w:rsidP="00E25689">
      <w:pPr>
        <w:pStyle w:val="ListParagraph"/>
        <w:numPr>
          <w:ilvl w:val="0"/>
          <w:numId w:val="4"/>
        </w:numPr>
        <w:spacing w:before="100" w:beforeAutospacing="1"/>
        <w:ind w:left="1135" w:hanging="851"/>
        <w:rPr>
          <w:rFonts w:cs="Open Sans"/>
          <w:b/>
        </w:rPr>
      </w:pPr>
      <w:r>
        <w:rPr>
          <w:rFonts w:cs="Open Sans"/>
          <w:b/>
        </w:rPr>
        <w:t>Terms of Reference</w:t>
      </w:r>
    </w:p>
    <w:p w:rsidR="009228A0" w:rsidRPr="00CD21BE" w:rsidRDefault="002F0D1C" w:rsidP="00E25689">
      <w:pPr>
        <w:pStyle w:val="ListParagraph"/>
        <w:numPr>
          <w:ilvl w:val="1"/>
          <w:numId w:val="4"/>
        </w:numPr>
        <w:spacing w:before="100" w:beforeAutospacing="1"/>
        <w:ind w:left="1135" w:hanging="851"/>
        <w:rPr>
          <w:rFonts w:cs="Open Sans"/>
        </w:rPr>
      </w:pPr>
      <w:r w:rsidRPr="00CD21BE">
        <w:rPr>
          <w:rFonts w:cs="Open Sans"/>
        </w:rPr>
        <w:t>The Boa</w:t>
      </w:r>
      <w:r w:rsidR="00E25689">
        <w:rPr>
          <w:rFonts w:cs="Open Sans"/>
        </w:rPr>
        <w:t>rd will review the Committee’s T</w:t>
      </w:r>
      <w:r w:rsidRPr="00CD21BE">
        <w:rPr>
          <w:rFonts w:cs="Open Sans"/>
        </w:rPr>
        <w:t>erms o</w:t>
      </w:r>
      <w:r w:rsidR="00E25689">
        <w:rPr>
          <w:rFonts w:cs="Open Sans"/>
        </w:rPr>
        <w:t>f R</w:t>
      </w:r>
      <w:r w:rsidR="00C86B52" w:rsidRPr="00CD21BE">
        <w:rPr>
          <w:rFonts w:cs="Open Sans"/>
        </w:rPr>
        <w:t>eference annual</w:t>
      </w:r>
      <w:bookmarkStart w:id="2" w:name="_Safety,_Health_and"/>
      <w:bookmarkEnd w:id="2"/>
      <w:r w:rsidR="003227E6" w:rsidRPr="00CD21BE">
        <w:rPr>
          <w:rFonts w:cs="Open Sans"/>
        </w:rPr>
        <w:t>ly.</w:t>
      </w:r>
    </w:p>
    <w:p w:rsidR="00CD21BE" w:rsidRDefault="00CD21BE" w:rsidP="00E25689">
      <w:pPr>
        <w:spacing w:before="100" w:beforeAutospacing="1" w:after="120"/>
        <w:ind w:left="1135" w:hanging="851"/>
        <w:rPr>
          <w:rFonts w:cs="Open Sans"/>
          <w:color w:val="auto"/>
        </w:rPr>
      </w:pPr>
    </w:p>
    <w:p w:rsidR="00CD21BE" w:rsidRDefault="00CD21BE" w:rsidP="009266FC">
      <w:pPr>
        <w:spacing w:before="100" w:beforeAutospacing="1" w:after="120"/>
        <w:ind w:left="284" w:firstLine="851"/>
        <w:rPr>
          <w:rFonts w:cs="Open Sans"/>
          <w:color w:val="auto"/>
        </w:rPr>
      </w:pPr>
    </w:p>
    <w:p w:rsidR="00CD21BE" w:rsidRPr="00CD21BE" w:rsidRDefault="00CD21BE" w:rsidP="00CD21BE">
      <w:pPr>
        <w:spacing w:before="120" w:after="120"/>
        <w:rPr>
          <w:rFonts w:cs="Open Sans"/>
          <w:color w:val="auto"/>
        </w:rPr>
      </w:pPr>
      <w:r w:rsidRPr="00D00F1C">
        <w:rPr>
          <w:noProof/>
          <w:lang w:eastAsia="en-GB"/>
        </w:rPr>
        <mc:AlternateContent>
          <mc:Choice Requires="wps">
            <w:drawing>
              <wp:anchor distT="45720" distB="45720" distL="114300" distR="114300" simplePos="0" relativeHeight="251660288" behindDoc="0" locked="0" layoutInCell="1" allowOverlap="1" wp14:anchorId="284F0121" wp14:editId="7F51CAA7">
                <wp:simplePos x="0" y="0"/>
                <wp:positionH relativeFrom="margin">
                  <wp:posOffset>230891</wp:posOffset>
                </wp:positionH>
                <wp:positionV relativeFrom="paragraph">
                  <wp:posOffset>456233</wp:posOffset>
                </wp:positionV>
                <wp:extent cx="4262755" cy="1208405"/>
                <wp:effectExtent l="0" t="0" r="234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208405"/>
                        </a:xfrm>
                        <a:prstGeom prst="rect">
                          <a:avLst/>
                        </a:prstGeom>
                        <a:solidFill>
                          <a:srgbClr val="FFFFFF"/>
                        </a:solidFill>
                        <a:ln w="9525">
                          <a:solidFill>
                            <a:schemeClr val="bg1">
                              <a:lumMod val="75000"/>
                            </a:schemeClr>
                          </a:solidFill>
                          <a:miter lim="800000"/>
                          <a:headEnd/>
                          <a:tailEnd/>
                        </a:ln>
                      </wps:spPr>
                      <wps:txbx>
                        <w:txbxContent>
                          <w:p w:rsidR="00AF5519" w:rsidRDefault="00D00F1C">
                            <w:pPr>
                              <w:rPr>
                                <w:b/>
                              </w:rPr>
                            </w:pPr>
                            <w:r w:rsidRPr="00D00F1C">
                              <w:rPr>
                                <w:b/>
                              </w:rPr>
                              <w:t xml:space="preserve">Audit </w:t>
                            </w:r>
                            <w:r w:rsidR="00AF5519">
                              <w:rPr>
                                <w:b/>
                              </w:rPr>
                              <w:t xml:space="preserve">and Risk Assurance </w:t>
                            </w:r>
                            <w:r w:rsidRPr="00D00F1C">
                              <w:rPr>
                                <w:b/>
                              </w:rPr>
                              <w:t>Committee Terms of Reference</w:t>
                            </w:r>
                          </w:p>
                          <w:p w:rsidR="00E760E1" w:rsidRPr="00CD21BE" w:rsidRDefault="003E692B">
                            <w:r w:rsidRPr="00CD21BE">
                              <w:t>A</w:t>
                            </w:r>
                            <w:r w:rsidR="00D00F1C" w:rsidRPr="00CD21BE">
                              <w:t>pproved by the Board</w:t>
                            </w:r>
                            <w:r w:rsidR="00AF5519" w:rsidRPr="00CD21BE">
                              <w:t xml:space="preserve"> </w:t>
                            </w:r>
                            <w:r w:rsidRPr="00CD21BE">
                              <w:t>23 July 2020</w:t>
                            </w:r>
                          </w:p>
                          <w:p w:rsidR="00D00F1C" w:rsidRPr="00CD21BE" w:rsidRDefault="00E760E1">
                            <w:r w:rsidRPr="00CD21BE">
                              <w:t>Reviewed by ARA</w:t>
                            </w:r>
                            <w:r w:rsidR="00D123D2" w:rsidRPr="00CD21BE">
                              <w:t>C February 11 2021 – no changes</w:t>
                            </w:r>
                          </w:p>
                          <w:p w:rsidR="00D123D2" w:rsidRPr="00CD21BE" w:rsidRDefault="00D123D2">
                            <w:r w:rsidRPr="00CD21BE">
                              <w:t>Reviewed by the Board 17 March 2022 – no changes</w:t>
                            </w:r>
                          </w:p>
                          <w:p w:rsidR="00420544" w:rsidRPr="00CD21BE" w:rsidRDefault="00420544" w:rsidP="00420544">
                            <w:r w:rsidRPr="00CD21BE">
                              <w:t>Reviewed by the Board 24 March 202</w:t>
                            </w:r>
                            <w:r w:rsidR="005D1047" w:rsidRPr="00CD21BE">
                              <w:t>3</w:t>
                            </w:r>
                            <w:r w:rsidRPr="00CD21BE">
                              <w:t xml:space="preserve"> </w:t>
                            </w:r>
                          </w:p>
                          <w:p w:rsidR="00420544" w:rsidRPr="00D00F1C" w:rsidRDefault="0042054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F0121" id="_x0000_t202" coordsize="21600,21600" o:spt="202" path="m,l,21600r21600,l21600,xe">
                <v:stroke joinstyle="miter"/>
                <v:path gradientshapeok="t" o:connecttype="rect"/>
              </v:shapetype>
              <v:shape id="Text Box 2" o:spid="_x0000_s1026" type="#_x0000_t202" style="position:absolute;margin-left:18.2pt;margin-top:35.9pt;width:335.65pt;height:9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" strokecolor="#bfbfbf [2412]">
                <v:textbox>
                  <w:txbxContent>
                    <w:p w:rsidR="00AF5519" w:rsidRDefault="00D00F1C">
                      <w:pPr>
                        <w:rPr>
                          <w:b/>
                        </w:rPr>
                      </w:pPr>
                      <w:r w:rsidRPr="00D00F1C">
                        <w:rPr>
                          <w:b/>
                        </w:rPr>
                        <w:t xml:space="preserve">Audit </w:t>
                      </w:r>
                      <w:r w:rsidR="00AF5519">
                        <w:rPr>
                          <w:b/>
                        </w:rPr>
                        <w:t xml:space="preserve">and Risk Assurance </w:t>
                      </w:r>
                      <w:r w:rsidRPr="00D00F1C">
                        <w:rPr>
                          <w:b/>
                        </w:rPr>
                        <w:t>Committee Terms of Reference</w:t>
                      </w:r>
                    </w:p>
                    <w:p w:rsidR="00E760E1" w:rsidRPr="00CD21BE" w:rsidRDefault="003E692B">
                      <w:r w:rsidRPr="00CD21BE">
                        <w:t>A</w:t>
                      </w:r>
                      <w:r w:rsidR="00D00F1C" w:rsidRPr="00CD21BE">
                        <w:t>pproved by the Board</w:t>
                      </w:r>
                      <w:r w:rsidR="00AF5519" w:rsidRPr="00CD21BE">
                        <w:t xml:space="preserve"> </w:t>
                      </w:r>
                      <w:r w:rsidRPr="00CD21BE">
                        <w:t>23 July 2020</w:t>
                      </w:r>
                    </w:p>
                    <w:p w:rsidR="00D00F1C" w:rsidRPr="00CD21BE" w:rsidRDefault="00E760E1">
                      <w:r w:rsidRPr="00CD21BE">
                        <w:t>Reviewed by ARA</w:t>
                      </w:r>
                      <w:r w:rsidR="00D123D2" w:rsidRPr="00CD21BE">
                        <w:t>C February 11 2021 – no changes</w:t>
                      </w:r>
                    </w:p>
                    <w:p w:rsidR="00D123D2" w:rsidRPr="00CD21BE" w:rsidRDefault="00D123D2">
                      <w:r w:rsidRPr="00CD21BE">
                        <w:t>Reviewed by the Board 17 March 2022 – no changes</w:t>
                      </w:r>
                    </w:p>
                    <w:p w:rsidR="00420544" w:rsidRPr="00CD21BE" w:rsidRDefault="00420544" w:rsidP="00420544">
                      <w:r w:rsidRPr="00CD21BE">
                        <w:t>Reviewed by the Board 24 March 202</w:t>
                      </w:r>
                      <w:r w:rsidR="005D1047" w:rsidRPr="00CD21BE">
                        <w:t>3</w:t>
                      </w:r>
                      <w:r w:rsidRPr="00CD21BE">
                        <w:t xml:space="preserve"> </w:t>
                      </w:r>
                    </w:p>
                    <w:p w:rsidR="00420544" w:rsidRPr="00D00F1C" w:rsidRDefault="00420544">
                      <w:pPr>
                        <w:rPr>
                          <w:b/>
                        </w:rPr>
                      </w:pPr>
                    </w:p>
                  </w:txbxContent>
                </v:textbox>
                <w10:wrap type="square" anchorx="margin"/>
              </v:shape>
            </w:pict>
          </mc:Fallback>
        </mc:AlternateContent>
      </w:r>
    </w:p>
    <w:sectPr w:rsidR="00CD21BE" w:rsidRPr="00CD21BE" w:rsidSect="002D252B">
      <w:footerReference w:type="default" r:id="rId10"/>
      <w:headerReference w:type="first" r:id="rId11"/>
      <w:footerReference w:type="first" r:id="rId12"/>
      <w:pgSz w:w="11906" w:h="16838" w:code="9"/>
      <w:pgMar w:top="851" w:right="851" w:bottom="993" w:left="851" w:header="28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6AC7" w16cex:dateUtc="2020-05-26T09:15:00Z"/>
  <w16cex:commentExtensible w16cex:durableId="22776AF1" w16cex:dateUtc="2020-05-26T09:16:00Z"/>
  <w16cex:commentExtensible w16cex:durableId="22776B26" w16cex:dateUtc="2020-05-26T09:17:00Z"/>
  <w16cex:commentExtensible w16cex:durableId="22776B54" w16cex:dateUtc="2020-05-26T09:17:00Z"/>
  <w16cex:commentExtensible w16cex:durableId="22776BAC" w16cex:dateUtc="2020-05-26T09:19:00Z"/>
  <w16cex:commentExtensible w16cex:durableId="22776B91" w16cex:dateUtc="2020-05-26T09:18:00Z"/>
  <w16cex:commentExtensible w16cex:durableId="22776C86" w16cex:dateUtc="2020-05-26T09:23:00Z"/>
  <w16cex:commentExtensible w16cex:durableId="22776C24" w16cex:dateUtc="2020-05-26T09:21:00Z"/>
  <w16cex:commentExtensible w16cex:durableId="22776C54" w16cex:dateUtc="2020-05-26T09:22:00Z"/>
  <w16cex:commentExtensible w16cex:durableId="22777028" w16cex:dateUtc="2020-05-26T09:38:00Z"/>
  <w16cex:commentExtensible w16cex:durableId="22776F6A" w16cex:dateUtc="2020-05-26T09:35:00Z"/>
  <w16cex:commentExtensible w16cex:durableId="22777152" w16cex:dateUtc="2020-05-26T09:43:00Z"/>
  <w16cex:commentExtensible w16cex:durableId="227771A2" w16cex:dateUtc="2020-05-26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A8192" w16cid:durableId="22776AC7"/>
  <w16cid:commentId w16cid:paraId="4EAB9574" w16cid:durableId="22776AF1"/>
  <w16cid:commentId w16cid:paraId="5409DF01" w16cid:durableId="22776B26"/>
  <w16cid:commentId w16cid:paraId="71CAF546" w16cid:durableId="22776B54"/>
  <w16cid:commentId w16cid:paraId="0D8CD4B7" w16cid:durableId="22776BAC"/>
  <w16cid:commentId w16cid:paraId="33CD5926" w16cid:durableId="22776B91"/>
  <w16cid:commentId w16cid:paraId="0EC86DC1" w16cid:durableId="22776C86"/>
  <w16cid:commentId w16cid:paraId="6157EEF7" w16cid:durableId="22776C24"/>
  <w16cid:commentId w16cid:paraId="60BA188D" w16cid:durableId="22776C54"/>
  <w16cid:commentId w16cid:paraId="1CAF884B" w16cid:durableId="22777028"/>
  <w16cid:commentId w16cid:paraId="7EBE1E26" w16cid:durableId="22776F6A"/>
  <w16cid:commentId w16cid:paraId="05D96445" w16cid:durableId="22777152"/>
  <w16cid:commentId w16cid:paraId="26F29864" w16cid:durableId="227771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48" w:rsidRDefault="00757848" w:rsidP="00FC7381">
      <w:r>
        <w:separator/>
      </w:r>
    </w:p>
  </w:endnote>
  <w:endnote w:type="continuationSeparator" w:id="0">
    <w:p w:rsidR="00757848" w:rsidRDefault="00757848" w:rsidP="00F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erriweather">
    <w:panose1 w:val="02060503050406030704"/>
    <w:charset w:val="00"/>
    <w:family w:val="roman"/>
    <w:pitch w:val="variable"/>
    <w:sig w:usb0="800000AF" w:usb1="5000204A"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E9" w:rsidRDefault="00D16EE9">
    <w:pPr>
      <w:pStyle w:val="Footer"/>
    </w:pPr>
    <w:r>
      <w:rPr>
        <w:noProof/>
        <w:lang w:eastAsia="en-GB"/>
      </w:rPr>
      <w:drawing>
        <wp:anchor distT="0" distB="0" distL="114300" distR="114300" simplePos="0" relativeHeight="251656704" behindDoc="1" locked="0" layoutInCell="1" allowOverlap="1" wp14:anchorId="15B6239B" wp14:editId="521B3ED8">
          <wp:simplePos x="0" y="0"/>
          <wp:positionH relativeFrom="column">
            <wp:posOffset>-521004</wp:posOffset>
          </wp:positionH>
          <wp:positionV relativeFrom="paragraph">
            <wp:posOffset>-710068</wp:posOffset>
          </wp:positionV>
          <wp:extent cx="7571740" cy="9429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42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9A" w:rsidRDefault="0014167C" w:rsidP="00465F9A">
    <w:pPr>
      <w:pStyle w:val="Header"/>
    </w:pPr>
    <w:r>
      <w:rPr>
        <w:noProof/>
      </w:rPr>
      <w:pict w14:anchorId="711B5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45pt;margin-top:-44.05pt;width:596.6pt;height:73.35pt;z-index:-251657728;mso-position-horizontal-relative:text;mso-position-vertical-relative:text;mso-width-relative:page;mso-height-relative:page">
          <v:imagedata r:id="rId1" o:title="CA_A4_Footer"/>
        </v:shape>
      </w:pict>
    </w:r>
  </w:p>
  <w:p w:rsidR="001313C8" w:rsidRDefault="001313C8" w:rsidP="001313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48" w:rsidRDefault="00757848" w:rsidP="00FC7381">
      <w:r>
        <w:separator/>
      </w:r>
    </w:p>
  </w:footnote>
  <w:footnote w:type="continuationSeparator" w:id="0">
    <w:p w:rsidR="00757848" w:rsidRDefault="00757848" w:rsidP="00FC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49" w:rsidRPr="006D03C2" w:rsidRDefault="00B34549" w:rsidP="00B31412">
    <w:pPr>
      <w:pStyle w:val="Header"/>
      <w:tabs>
        <w:tab w:val="left" w:pos="9781"/>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FF1"/>
    <w:multiLevelType w:val="multilevel"/>
    <w:tmpl w:val="5A8C1F3C"/>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36265"/>
    <w:multiLevelType w:val="multilevel"/>
    <w:tmpl w:val="0E5E87DE"/>
    <w:lvl w:ilvl="0">
      <w:start w:val="3"/>
      <w:numFmt w:val="decimal"/>
      <w:lvlText w:val="%1"/>
      <w:lvlJc w:val="left"/>
      <w:pPr>
        <w:ind w:left="360" w:hanging="360"/>
      </w:pPr>
      <w:rPr>
        <w:rFonts w:hint="default"/>
        <w:b w:val="0"/>
        <w:color w:val="auto"/>
      </w:rPr>
    </w:lvl>
    <w:lvl w:ilvl="1">
      <w:start w:val="1"/>
      <w:numFmt w:val="decimal"/>
      <w:lvlText w:val="%1.%2"/>
      <w:lvlJc w:val="left"/>
      <w:pPr>
        <w:ind w:left="785"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860" w:hanging="144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788" w:hanging="180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2" w15:restartNumberingAfterBreak="0">
    <w:nsid w:val="10E6729F"/>
    <w:multiLevelType w:val="multilevel"/>
    <w:tmpl w:val="0E5E87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860" w:hanging="144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788" w:hanging="180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3" w15:restartNumberingAfterBreak="0">
    <w:nsid w:val="2ABE6CAE"/>
    <w:multiLevelType w:val="hybridMultilevel"/>
    <w:tmpl w:val="C2F850F6"/>
    <w:lvl w:ilvl="0" w:tplc="8E4443DA">
      <w:start w:val="1"/>
      <w:numFmt w:val="bullet"/>
      <w:pStyle w:val="Listparagraphbullet2ndlevel"/>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70F25"/>
    <w:multiLevelType w:val="multilevel"/>
    <w:tmpl w:val="5A8C1F3C"/>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C36DFC"/>
    <w:multiLevelType w:val="hybridMultilevel"/>
    <w:tmpl w:val="9D0EBC54"/>
    <w:lvl w:ilvl="0" w:tplc="201EAA1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5AD61ECE"/>
    <w:multiLevelType w:val="multilevel"/>
    <w:tmpl w:val="B83EA6BA"/>
    <w:lvl w:ilvl="0">
      <w:start w:val="1"/>
      <w:numFmt w:val="decimal"/>
      <w:pStyle w:val="NumberListHeader"/>
      <w:lvlText w:val="%1.0"/>
      <w:lvlJc w:val="left"/>
      <w:pPr>
        <w:ind w:left="720" w:hanging="720"/>
      </w:pPr>
      <w:rPr>
        <w:rFonts w:cs="Times New Roman"/>
        <w:b w:val="0"/>
        <w:bCs w:val="0"/>
        <w:i w:val="0"/>
        <w:iCs w:val="0"/>
        <w:caps w:val="0"/>
        <w:smallCaps w:val="0"/>
        <w:strike w:val="0"/>
        <w:dstrike w:val="0"/>
        <w:outline w:val="0"/>
        <w:shadow w:val="0"/>
        <w:emboss w:val="0"/>
        <w:imprint w:val="0"/>
        <w:noProof w:val="0"/>
        <w:vanish w:val="0"/>
        <w:color w:val="00629B"/>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461A0D"/>
    <w:multiLevelType w:val="hybridMultilevel"/>
    <w:tmpl w:val="5BA2F356"/>
    <w:lvl w:ilvl="0" w:tplc="14E86C3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8D0C42"/>
    <w:multiLevelType w:val="hybridMultilevel"/>
    <w:tmpl w:val="9D0EBC54"/>
    <w:lvl w:ilvl="0" w:tplc="201EAA1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703746CD"/>
    <w:multiLevelType w:val="hybridMultilevel"/>
    <w:tmpl w:val="CCD006F8"/>
    <w:lvl w:ilvl="0" w:tplc="0809001B">
      <w:start w:val="1"/>
      <w:numFmt w:val="lowerRoman"/>
      <w:lvlText w:val="%1."/>
      <w:lvlJc w:val="righ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7"/>
  </w:num>
  <w:num w:numId="2">
    <w:abstractNumId w:val="3"/>
  </w:num>
  <w:num w:numId="3">
    <w:abstractNumId w:val="6"/>
  </w:num>
  <w:num w:numId="4">
    <w:abstractNumId w:val="4"/>
  </w:num>
  <w:num w:numId="5">
    <w:abstractNumId w:val="5"/>
  </w:num>
  <w:num w:numId="6">
    <w:abstractNumId w:val="8"/>
  </w:num>
  <w:num w:numId="7">
    <w:abstractNumId w:val="9"/>
  </w:num>
  <w:num w:numId="8">
    <w:abstractNumId w:val="0"/>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745EFA-B735-443A-B71F-13FED8844951}"/>
    <w:docVar w:name="dgnword-eventsink" w:val="526139864"/>
  </w:docVars>
  <w:rsids>
    <w:rsidRoot w:val="002F0D1C"/>
    <w:rsid w:val="0001385A"/>
    <w:rsid w:val="00014BB0"/>
    <w:rsid w:val="00023AC9"/>
    <w:rsid w:val="000261F2"/>
    <w:rsid w:val="0004017E"/>
    <w:rsid w:val="00040830"/>
    <w:rsid w:val="00045D12"/>
    <w:rsid w:val="0005183D"/>
    <w:rsid w:val="00074691"/>
    <w:rsid w:val="000770AC"/>
    <w:rsid w:val="000854D7"/>
    <w:rsid w:val="0008565C"/>
    <w:rsid w:val="000858C0"/>
    <w:rsid w:val="000B5497"/>
    <w:rsid w:val="000C368D"/>
    <w:rsid w:val="000E4AC9"/>
    <w:rsid w:val="000E667F"/>
    <w:rsid w:val="000F75E9"/>
    <w:rsid w:val="001230F8"/>
    <w:rsid w:val="00123A6F"/>
    <w:rsid w:val="00127586"/>
    <w:rsid w:val="001313C8"/>
    <w:rsid w:val="0014167C"/>
    <w:rsid w:val="00143775"/>
    <w:rsid w:val="00193FCE"/>
    <w:rsid w:val="00195693"/>
    <w:rsid w:val="001C29BF"/>
    <w:rsid w:val="001C6897"/>
    <w:rsid w:val="001D0C91"/>
    <w:rsid w:val="001E0379"/>
    <w:rsid w:val="001E4802"/>
    <w:rsid w:val="001F08E8"/>
    <w:rsid w:val="001F4C48"/>
    <w:rsid w:val="002014EC"/>
    <w:rsid w:val="00202016"/>
    <w:rsid w:val="002132F8"/>
    <w:rsid w:val="00227EA5"/>
    <w:rsid w:val="00241930"/>
    <w:rsid w:val="00250263"/>
    <w:rsid w:val="0026023D"/>
    <w:rsid w:val="00266F33"/>
    <w:rsid w:val="00272F8B"/>
    <w:rsid w:val="00294100"/>
    <w:rsid w:val="00297273"/>
    <w:rsid w:val="002C19C6"/>
    <w:rsid w:val="002C7F19"/>
    <w:rsid w:val="002D252B"/>
    <w:rsid w:val="002F05C7"/>
    <w:rsid w:val="002F0D1C"/>
    <w:rsid w:val="002F3089"/>
    <w:rsid w:val="00302E32"/>
    <w:rsid w:val="00303000"/>
    <w:rsid w:val="00303391"/>
    <w:rsid w:val="00316FF3"/>
    <w:rsid w:val="003211BF"/>
    <w:rsid w:val="003227E6"/>
    <w:rsid w:val="00325042"/>
    <w:rsid w:val="0032585B"/>
    <w:rsid w:val="00333A48"/>
    <w:rsid w:val="003369D4"/>
    <w:rsid w:val="003550B0"/>
    <w:rsid w:val="00356D23"/>
    <w:rsid w:val="0036283E"/>
    <w:rsid w:val="00366833"/>
    <w:rsid w:val="003850C3"/>
    <w:rsid w:val="00392F52"/>
    <w:rsid w:val="003A05A2"/>
    <w:rsid w:val="003E135B"/>
    <w:rsid w:val="003E66B1"/>
    <w:rsid w:val="003E692B"/>
    <w:rsid w:val="00406B45"/>
    <w:rsid w:val="00413992"/>
    <w:rsid w:val="00420544"/>
    <w:rsid w:val="00422A21"/>
    <w:rsid w:val="0043117B"/>
    <w:rsid w:val="004336E6"/>
    <w:rsid w:val="0046186F"/>
    <w:rsid w:val="00462347"/>
    <w:rsid w:val="00462DC8"/>
    <w:rsid w:val="00465F9A"/>
    <w:rsid w:val="00476741"/>
    <w:rsid w:val="00482308"/>
    <w:rsid w:val="00483F60"/>
    <w:rsid w:val="004A15D7"/>
    <w:rsid w:val="004A3702"/>
    <w:rsid w:val="004A39BB"/>
    <w:rsid w:val="004A3CA9"/>
    <w:rsid w:val="004A5408"/>
    <w:rsid w:val="004C03FA"/>
    <w:rsid w:val="004D2C8B"/>
    <w:rsid w:val="004E6C49"/>
    <w:rsid w:val="004E7EA8"/>
    <w:rsid w:val="005036AC"/>
    <w:rsid w:val="00512D3E"/>
    <w:rsid w:val="00514DC9"/>
    <w:rsid w:val="00517B1D"/>
    <w:rsid w:val="005644F9"/>
    <w:rsid w:val="00566A32"/>
    <w:rsid w:val="005726CE"/>
    <w:rsid w:val="005C53C7"/>
    <w:rsid w:val="005C585D"/>
    <w:rsid w:val="005C5ABC"/>
    <w:rsid w:val="005D1047"/>
    <w:rsid w:val="005D2483"/>
    <w:rsid w:val="005D2BE3"/>
    <w:rsid w:val="005D4B69"/>
    <w:rsid w:val="005E2946"/>
    <w:rsid w:val="005E7969"/>
    <w:rsid w:val="005F36CE"/>
    <w:rsid w:val="00622467"/>
    <w:rsid w:val="00623F6C"/>
    <w:rsid w:val="0064438B"/>
    <w:rsid w:val="0065761F"/>
    <w:rsid w:val="0066437B"/>
    <w:rsid w:val="00672E2C"/>
    <w:rsid w:val="00681CA2"/>
    <w:rsid w:val="006830B1"/>
    <w:rsid w:val="00684AEB"/>
    <w:rsid w:val="00693BCD"/>
    <w:rsid w:val="006A46B1"/>
    <w:rsid w:val="006A48C3"/>
    <w:rsid w:val="006C659E"/>
    <w:rsid w:val="006D01F2"/>
    <w:rsid w:val="006D03C2"/>
    <w:rsid w:val="006E31A8"/>
    <w:rsid w:val="0070650B"/>
    <w:rsid w:val="00710DAE"/>
    <w:rsid w:val="00737CF7"/>
    <w:rsid w:val="00742FE5"/>
    <w:rsid w:val="00751282"/>
    <w:rsid w:val="0075233D"/>
    <w:rsid w:val="0075255E"/>
    <w:rsid w:val="00754F45"/>
    <w:rsid w:val="007566DE"/>
    <w:rsid w:val="00757848"/>
    <w:rsid w:val="00766074"/>
    <w:rsid w:val="00791D90"/>
    <w:rsid w:val="00793513"/>
    <w:rsid w:val="007E006A"/>
    <w:rsid w:val="007E59B1"/>
    <w:rsid w:val="007F0D00"/>
    <w:rsid w:val="007F620F"/>
    <w:rsid w:val="008133C3"/>
    <w:rsid w:val="008151C6"/>
    <w:rsid w:val="008254FB"/>
    <w:rsid w:val="00832D66"/>
    <w:rsid w:val="00852D51"/>
    <w:rsid w:val="00870916"/>
    <w:rsid w:val="00885DEA"/>
    <w:rsid w:val="00894BA9"/>
    <w:rsid w:val="008B6DEB"/>
    <w:rsid w:val="008C6911"/>
    <w:rsid w:val="008D73E8"/>
    <w:rsid w:val="0090573F"/>
    <w:rsid w:val="009228A0"/>
    <w:rsid w:val="009266FC"/>
    <w:rsid w:val="00951FBE"/>
    <w:rsid w:val="00985AB6"/>
    <w:rsid w:val="009A4568"/>
    <w:rsid w:val="009B173E"/>
    <w:rsid w:val="009B1C75"/>
    <w:rsid w:val="009B702A"/>
    <w:rsid w:val="009E01CA"/>
    <w:rsid w:val="00A01AFE"/>
    <w:rsid w:val="00A23AA7"/>
    <w:rsid w:val="00A2646D"/>
    <w:rsid w:val="00A72B90"/>
    <w:rsid w:val="00A8038B"/>
    <w:rsid w:val="00A936C0"/>
    <w:rsid w:val="00A96A7B"/>
    <w:rsid w:val="00AA157A"/>
    <w:rsid w:val="00AA47CF"/>
    <w:rsid w:val="00AB7596"/>
    <w:rsid w:val="00AD2100"/>
    <w:rsid w:val="00AD5356"/>
    <w:rsid w:val="00AD5F33"/>
    <w:rsid w:val="00AE5A6F"/>
    <w:rsid w:val="00AE7B37"/>
    <w:rsid w:val="00AF5519"/>
    <w:rsid w:val="00B17ACB"/>
    <w:rsid w:val="00B23780"/>
    <w:rsid w:val="00B310F3"/>
    <w:rsid w:val="00B31412"/>
    <w:rsid w:val="00B34460"/>
    <w:rsid w:val="00B34549"/>
    <w:rsid w:val="00B35C4E"/>
    <w:rsid w:val="00B45DF8"/>
    <w:rsid w:val="00B47F7C"/>
    <w:rsid w:val="00B536B1"/>
    <w:rsid w:val="00B54DAA"/>
    <w:rsid w:val="00B76C87"/>
    <w:rsid w:val="00B808D1"/>
    <w:rsid w:val="00B82CC1"/>
    <w:rsid w:val="00B90A99"/>
    <w:rsid w:val="00BA0DE8"/>
    <w:rsid w:val="00BB5909"/>
    <w:rsid w:val="00BC0FAE"/>
    <w:rsid w:val="00BC23A4"/>
    <w:rsid w:val="00BC3377"/>
    <w:rsid w:val="00BD167B"/>
    <w:rsid w:val="00BD53B3"/>
    <w:rsid w:val="00BD6B38"/>
    <w:rsid w:val="00BD6F6A"/>
    <w:rsid w:val="00BE088C"/>
    <w:rsid w:val="00BE0C26"/>
    <w:rsid w:val="00BE297C"/>
    <w:rsid w:val="00C075DD"/>
    <w:rsid w:val="00C3607D"/>
    <w:rsid w:val="00C460E9"/>
    <w:rsid w:val="00C5199C"/>
    <w:rsid w:val="00C62E1B"/>
    <w:rsid w:val="00C7056D"/>
    <w:rsid w:val="00C72A18"/>
    <w:rsid w:val="00C74DAC"/>
    <w:rsid w:val="00C7568F"/>
    <w:rsid w:val="00C822A9"/>
    <w:rsid w:val="00C86B52"/>
    <w:rsid w:val="00C93D2F"/>
    <w:rsid w:val="00C97B25"/>
    <w:rsid w:val="00CA0195"/>
    <w:rsid w:val="00CB0247"/>
    <w:rsid w:val="00CB60D6"/>
    <w:rsid w:val="00CB72BF"/>
    <w:rsid w:val="00CD21BE"/>
    <w:rsid w:val="00CE07D7"/>
    <w:rsid w:val="00D00F1C"/>
    <w:rsid w:val="00D0189C"/>
    <w:rsid w:val="00D05823"/>
    <w:rsid w:val="00D123D2"/>
    <w:rsid w:val="00D1370B"/>
    <w:rsid w:val="00D16EE9"/>
    <w:rsid w:val="00D233F5"/>
    <w:rsid w:val="00D56E2A"/>
    <w:rsid w:val="00D61B6F"/>
    <w:rsid w:val="00D61D3A"/>
    <w:rsid w:val="00D7259C"/>
    <w:rsid w:val="00D80252"/>
    <w:rsid w:val="00D828E3"/>
    <w:rsid w:val="00DB083D"/>
    <w:rsid w:val="00DC06CE"/>
    <w:rsid w:val="00DC2532"/>
    <w:rsid w:val="00DC49B0"/>
    <w:rsid w:val="00E13DD8"/>
    <w:rsid w:val="00E25689"/>
    <w:rsid w:val="00E30D7B"/>
    <w:rsid w:val="00E3588C"/>
    <w:rsid w:val="00E47A45"/>
    <w:rsid w:val="00E61F58"/>
    <w:rsid w:val="00E6249F"/>
    <w:rsid w:val="00E64109"/>
    <w:rsid w:val="00E720B5"/>
    <w:rsid w:val="00E760E1"/>
    <w:rsid w:val="00E81429"/>
    <w:rsid w:val="00E82855"/>
    <w:rsid w:val="00E831F8"/>
    <w:rsid w:val="00E84BFA"/>
    <w:rsid w:val="00EA6A7C"/>
    <w:rsid w:val="00EB78A9"/>
    <w:rsid w:val="00EE7184"/>
    <w:rsid w:val="00EF3A8F"/>
    <w:rsid w:val="00F05A35"/>
    <w:rsid w:val="00F1171C"/>
    <w:rsid w:val="00F14171"/>
    <w:rsid w:val="00F343CC"/>
    <w:rsid w:val="00F44E80"/>
    <w:rsid w:val="00F461C3"/>
    <w:rsid w:val="00F478D5"/>
    <w:rsid w:val="00F8794F"/>
    <w:rsid w:val="00FB2D5F"/>
    <w:rsid w:val="00FC622B"/>
    <w:rsid w:val="00FC7381"/>
    <w:rsid w:val="00FD6C77"/>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96E88C-3ED0-4582-83B4-F233FE5C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uiPriority w:val="2"/>
    <w:qFormat/>
    <w:rsid w:val="004A3CA9"/>
    <w:pPr>
      <w:spacing w:line="276" w:lineRule="auto"/>
    </w:pPr>
    <w:rPr>
      <w:color w:val="252525"/>
      <w:sz w:val="22"/>
      <w:szCs w:val="22"/>
      <w:lang w:eastAsia="en-US"/>
    </w:rPr>
  </w:style>
  <w:style w:type="paragraph" w:styleId="Heading1">
    <w:name w:val="heading 1"/>
    <w:aliases w:val="Heading A"/>
    <w:basedOn w:val="Normal"/>
    <w:next w:val="Normal"/>
    <w:link w:val="Heading1Char"/>
    <w:uiPriority w:val="1"/>
    <w:qFormat/>
    <w:rsid w:val="005C585D"/>
    <w:pPr>
      <w:outlineLvl w:val="0"/>
    </w:pPr>
    <w:rPr>
      <w:rFonts w:ascii="Merriweather" w:hAnsi="Merriweather"/>
      <w:color w:val="00629B"/>
      <w:sz w:val="50"/>
      <w:szCs w:val="50"/>
    </w:rPr>
  </w:style>
  <w:style w:type="paragraph" w:styleId="Heading2">
    <w:name w:val="heading 2"/>
    <w:aliases w:val="Heading B"/>
    <w:basedOn w:val="Normal"/>
    <w:next w:val="Normal"/>
    <w:link w:val="Heading2Char"/>
    <w:uiPriority w:val="1"/>
    <w:qFormat/>
    <w:rsid w:val="005C585D"/>
    <w:pPr>
      <w:outlineLvl w:val="1"/>
    </w:pPr>
    <w:rPr>
      <w:rFonts w:ascii="Merriweather" w:hAnsi="Merriweather"/>
      <w:color w:val="595959" w:themeColor="text1" w:themeTint="A6"/>
      <w:sz w:val="32"/>
      <w:szCs w:val="32"/>
    </w:rPr>
  </w:style>
  <w:style w:type="paragraph" w:styleId="Heading3">
    <w:name w:val="heading 3"/>
    <w:basedOn w:val="Normal"/>
    <w:next w:val="Normal"/>
    <w:link w:val="Heading3Char"/>
    <w:uiPriority w:val="1"/>
    <w:rsid w:val="005C585D"/>
    <w:pPr>
      <w:keepNext/>
      <w:keepLines/>
      <w:spacing w:before="80" w:after="80"/>
      <w:outlineLvl w:val="2"/>
    </w:pPr>
    <w:rPr>
      <w:rFonts w:eastAsia="Times New Roman"/>
      <w:b/>
      <w:bCs/>
      <w:color w:val="00AEEF"/>
      <w:sz w:val="24"/>
    </w:rPr>
  </w:style>
  <w:style w:type="paragraph" w:styleId="Heading4">
    <w:name w:val="heading 4"/>
    <w:aliases w:val="Heading C"/>
    <w:basedOn w:val="Normal"/>
    <w:next w:val="Normal"/>
    <w:link w:val="Heading4Char"/>
    <w:uiPriority w:val="1"/>
    <w:qFormat/>
    <w:rsid w:val="005C585D"/>
    <w:pPr>
      <w:outlineLvl w:val="3"/>
    </w:pPr>
    <w:rPr>
      <w:rFonts w:ascii="Open Sans Semibold" w:hAnsi="Open Sans Semibold" w:cs="Open Sans Semibold"/>
      <w:sz w:val="28"/>
    </w:rPr>
  </w:style>
  <w:style w:type="paragraph" w:styleId="Heading5">
    <w:name w:val="heading 5"/>
    <w:basedOn w:val="Normal"/>
    <w:next w:val="Normal"/>
    <w:link w:val="Heading5Char"/>
    <w:uiPriority w:val="9"/>
    <w:unhideWhenUsed/>
    <w:rsid w:val="005C585D"/>
    <w:pPr>
      <w:keepNext/>
      <w:keepLines/>
      <w:spacing w:before="80" w:after="80"/>
      <w:outlineLvl w:val="4"/>
    </w:pPr>
    <w:rPr>
      <w:rFonts w:eastAsia="Times New Roman"/>
      <w:sz w:val="24"/>
    </w:rPr>
  </w:style>
  <w:style w:type="paragraph" w:styleId="Heading6">
    <w:name w:val="heading 6"/>
    <w:basedOn w:val="Normal"/>
    <w:next w:val="Normal"/>
    <w:link w:val="Heading6Char"/>
    <w:uiPriority w:val="9"/>
    <w:unhideWhenUsed/>
    <w:rsid w:val="005C585D"/>
    <w:pPr>
      <w:keepNext/>
      <w:keepLines/>
      <w:spacing w:before="80" w:after="80"/>
      <w:outlineLvl w:val="5"/>
    </w:pPr>
    <w:rPr>
      <w:rFonts w:ascii="Open Sans Light" w:eastAsia="Times New Roman" w:hAnsi="Open Sans Light"/>
      <w:iCs/>
      <w:color w:val="797C82"/>
    </w:rPr>
  </w:style>
  <w:style w:type="paragraph" w:styleId="Heading7">
    <w:name w:val="heading 7"/>
    <w:basedOn w:val="Normal"/>
    <w:next w:val="Normal"/>
    <w:link w:val="Heading7Char"/>
    <w:uiPriority w:val="9"/>
    <w:unhideWhenUsed/>
    <w:rsid w:val="005C585D"/>
    <w:pPr>
      <w:keepNext/>
      <w:keepLines/>
      <w:outlineLvl w:val="6"/>
    </w:pPr>
    <w:rPr>
      <w:rFonts w:ascii="Open Sans Light" w:eastAsia="Times New Roman" w:hAnsi="Open Sans Light"/>
      <w:iCs/>
      <w:color w:val="5B5B5B"/>
    </w:rPr>
  </w:style>
  <w:style w:type="paragraph" w:styleId="Heading8">
    <w:name w:val="heading 8"/>
    <w:aliases w:val="Heading 8: tables"/>
    <w:basedOn w:val="Heading3"/>
    <w:next w:val="Normal"/>
    <w:link w:val="Heading8Char"/>
    <w:uiPriority w:val="9"/>
    <w:unhideWhenUsed/>
    <w:rsid w:val="005C585D"/>
    <w:pPr>
      <w:spacing w:before="160" w:after="160"/>
      <w:outlineLvl w:val="7"/>
    </w:pPr>
    <w:rPr>
      <w:color w:val="FFFFFF"/>
      <w:sz w:val="22"/>
      <w:szCs w:val="20"/>
    </w:rPr>
  </w:style>
  <w:style w:type="paragraph" w:styleId="Heading9">
    <w:name w:val="heading 9"/>
    <w:basedOn w:val="Normal"/>
    <w:next w:val="Normal"/>
    <w:link w:val="Heading9Char"/>
    <w:uiPriority w:val="9"/>
    <w:unhideWhenUsed/>
    <w:rsid w:val="005C585D"/>
    <w:pPr>
      <w:keepNext/>
      <w:keepLines/>
      <w:spacing w:before="160" w:after="160"/>
      <w:outlineLvl w:val="8"/>
    </w:pPr>
    <w:rPr>
      <w:rFonts w:eastAsia="Times New Roman"/>
      <w:iCs/>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85D"/>
    <w:rPr>
      <w:rFonts w:ascii="Tahoma" w:hAnsi="Tahoma" w:cs="Tahoma"/>
      <w:sz w:val="16"/>
      <w:szCs w:val="16"/>
    </w:rPr>
  </w:style>
  <w:style w:type="character" w:customStyle="1" w:styleId="BalloonTextChar">
    <w:name w:val="Balloon Text Char"/>
    <w:link w:val="BalloonText"/>
    <w:uiPriority w:val="99"/>
    <w:semiHidden/>
    <w:rsid w:val="005C585D"/>
    <w:rPr>
      <w:rFonts w:ascii="Tahoma" w:hAnsi="Tahoma" w:cs="Tahoma"/>
      <w:color w:val="252525"/>
      <w:sz w:val="16"/>
      <w:szCs w:val="16"/>
      <w:lang w:eastAsia="en-US"/>
    </w:rPr>
  </w:style>
  <w:style w:type="paragraph" w:styleId="Header">
    <w:name w:val="header"/>
    <w:basedOn w:val="Normal"/>
    <w:link w:val="HeaderChar"/>
    <w:uiPriority w:val="99"/>
    <w:unhideWhenUsed/>
    <w:rsid w:val="005C585D"/>
    <w:pPr>
      <w:tabs>
        <w:tab w:val="center" w:pos="4513"/>
        <w:tab w:val="right" w:pos="9026"/>
      </w:tabs>
    </w:pPr>
  </w:style>
  <w:style w:type="character" w:customStyle="1" w:styleId="HeaderChar">
    <w:name w:val="Header Char"/>
    <w:link w:val="Header"/>
    <w:uiPriority w:val="99"/>
    <w:rsid w:val="005C585D"/>
    <w:rPr>
      <w:color w:val="252525"/>
      <w:sz w:val="22"/>
      <w:szCs w:val="22"/>
      <w:lang w:eastAsia="en-US"/>
    </w:rPr>
  </w:style>
  <w:style w:type="paragraph" w:styleId="Footer">
    <w:name w:val="footer"/>
    <w:basedOn w:val="Normal"/>
    <w:link w:val="FooterChar"/>
    <w:uiPriority w:val="99"/>
    <w:unhideWhenUsed/>
    <w:rsid w:val="005C585D"/>
    <w:pPr>
      <w:tabs>
        <w:tab w:val="center" w:pos="4513"/>
        <w:tab w:val="right" w:pos="9026"/>
      </w:tabs>
    </w:pPr>
  </w:style>
  <w:style w:type="character" w:customStyle="1" w:styleId="FooterChar">
    <w:name w:val="Footer Char"/>
    <w:link w:val="Footer"/>
    <w:uiPriority w:val="99"/>
    <w:rsid w:val="005C585D"/>
    <w:rPr>
      <w:color w:val="252525"/>
      <w:sz w:val="22"/>
      <w:szCs w:val="22"/>
      <w:lang w:eastAsia="en-US"/>
    </w:rPr>
  </w:style>
  <w:style w:type="table" w:styleId="TableGrid">
    <w:name w:val="Table Grid"/>
    <w:basedOn w:val="TableNormal"/>
    <w:uiPriority w:val="59"/>
    <w:rsid w:val="005C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A Char"/>
    <w:link w:val="Heading1"/>
    <w:uiPriority w:val="1"/>
    <w:rsid w:val="005C585D"/>
    <w:rPr>
      <w:rFonts w:ascii="Merriweather" w:hAnsi="Merriweather"/>
      <w:color w:val="00629B"/>
      <w:sz w:val="50"/>
      <w:szCs w:val="50"/>
      <w:lang w:eastAsia="en-US"/>
    </w:rPr>
  </w:style>
  <w:style w:type="paragraph" w:styleId="NoSpacing">
    <w:name w:val="No Spacing"/>
    <w:link w:val="NoSpacingChar"/>
    <w:uiPriority w:val="1"/>
    <w:qFormat/>
    <w:rsid w:val="005C585D"/>
    <w:rPr>
      <w:rFonts w:cs="Open Sans"/>
      <w:color w:val="252525"/>
      <w:sz w:val="22"/>
      <w:szCs w:val="24"/>
      <w:lang w:eastAsia="en-US"/>
    </w:rPr>
  </w:style>
  <w:style w:type="paragraph" w:styleId="Title">
    <w:name w:val="Title"/>
    <w:aliases w:val="Title large right aligned"/>
    <w:basedOn w:val="Heading1"/>
    <w:next w:val="Normal"/>
    <w:link w:val="TitleChar"/>
    <w:uiPriority w:val="10"/>
    <w:rsid w:val="005C585D"/>
    <w:pPr>
      <w:spacing w:before="520" w:after="520"/>
      <w:contextualSpacing/>
      <w:jc w:val="right"/>
    </w:pPr>
    <w:rPr>
      <w:spacing w:val="5"/>
      <w:kern w:val="28"/>
      <w:sz w:val="76"/>
      <w:szCs w:val="52"/>
    </w:rPr>
  </w:style>
  <w:style w:type="character" w:customStyle="1" w:styleId="TitleChar">
    <w:name w:val="Title Char"/>
    <w:aliases w:val="Title large right aligned Char"/>
    <w:link w:val="Title"/>
    <w:uiPriority w:val="10"/>
    <w:rsid w:val="005C585D"/>
    <w:rPr>
      <w:rFonts w:ascii="Merriweather" w:hAnsi="Merriweather"/>
      <w:color w:val="00629B"/>
      <w:spacing w:val="5"/>
      <w:kern w:val="28"/>
      <w:sz w:val="76"/>
      <w:szCs w:val="52"/>
      <w:lang w:eastAsia="en-US"/>
    </w:rPr>
  </w:style>
  <w:style w:type="character" w:customStyle="1" w:styleId="Heading2Char">
    <w:name w:val="Heading 2 Char"/>
    <w:aliases w:val="Heading B Char"/>
    <w:link w:val="Heading2"/>
    <w:uiPriority w:val="1"/>
    <w:rsid w:val="005C585D"/>
    <w:rPr>
      <w:rFonts w:ascii="Merriweather" w:hAnsi="Merriweather"/>
      <w:color w:val="595959" w:themeColor="text1" w:themeTint="A6"/>
      <w:sz w:val="32"/>
      <w:szCs w:val="32"/>
      <w:lang w:eastAsia="en-US"/>
    </w:rPr>
  </w:style>
  <w:style w:type="character" w:customStyle="1" w:styleId="Heading3Char">
    <w:name w:val="Heading 3 Char"/>
    <w:link w:val="Heading3"/>
    <w:uiPriority w:val="1"/>
    <w:rsid w:val="005C585D"/>
    <w:rPr>
      <w:rFonts w:eastAsia="Times New Roman"/>
      <w:b/>
      <w:bCs/>
      <w:color w:val="00AEEF"/>
      <w:sz w:val="24"/>
      <w:szCs w:val="22"/>
      <w:lang w:eastAsia="en-US"/>
    </w:rPr>
  </w:style>
  <w:style w:type="character" w:customStyle="1" w:styleId="Heading4Char">
    <w:name w:val="Heading 4 Char"/>
    <w:aliases w:val="Heading C Char"/>
    <w:link w:val="Heading4"/>
    <w:uiPriority w:val="1"/>
    <w:rsid w:val="005C585D"/>
    <w:rPr>
      <w:rFonts w:ascii="Open Sans Semibold" w:hAnsi="Open Sans Semibold" w:cs="Open Sans Semibold"/>
      <w:color w:val="252525"/>
      <w:sz w:val="28"/>
      <w:szCs w:val="22"/>
      <w:lang w:eastAsia="en-US"/>
    </w:rPr>
  </w:style>
  <w:style w:type="character" w:customStyle="1" w:styleId="Heading5Char">
    <w:name w:val="Heading 5 Char"/>
    <w:link w:val="Heading5"/>
    <w:uiPriority w:val="9"/>
    <w:rsid w:val="005C585D"/>
    <w:rPr>
      <w:rFonts w:eastAsia="Times New Roman"/>
      <w:color w:val="252525"/>
      <w:sz w:val="24"/>
      <w:szCs w:val="22"/>
      <w:lang w:eastAsia="en-US"/>
    </w:rPr>
  </w:style>
  <w:style w:type="character" w:styleId="SubtleEmphasis">
    <w:name w:val="Subtle Emphasis"/>
    <w:uiPriority w:val="19"/>
    <w:rsid w:val="005C585D"/>
    <w:rPr>
      <w:i/>
      <w:iCs/>
      <w:color w:val="929292"/>
    </w:rPr>
  </w:style>
  <w:style w:type="paragraph" w:styleId="Quote">
    <w:name w:val="Quote"/>
    <w:basedOn w:val="Normal"/>
    <w:next w:val="Normal"/>
    <w:link w:val="QuoteChar"/>
    <w:uiPriority w:val="29"/>
    <w:qFormat/>
    <w:rsid w:val="005C585D"/>
    <w:rPr>
      <w:rFonts w:ascii="Merriweather" w:hAnsi="Merriweather"/>
      <w:iCs/>
    </w:rPr>
  </w:style>
  <w:style w:type="character" w:customStyle="1" w:styleId="QuoteChar">
    <w:name w:val="Quote Char"/>
    <w:link w:val="Quote"/>
    <w:uiPriority w:val="29"/>
    <w:rsid w:val="005C585D"/>
    <w:rPr>
      <w:rFonts w:ascii="Merriweather" w:hAnsi="Merriweather"/>
      <w:iCs/>
      <w:color w:val="252525"/>
      <w:sz w:val="22"/>
      <w:szCs w:val="22"/>
      <w:lang w:eastAsia="en-US"/>
    </w:rPr>
  </w:style>
  <w:style w:type="paragraph" w:customStyle="1" w:styleId="Titlelargeleftaligned">
    <w:name w:val="Title large left aligned"/>
    <w:basedOn w:val="Title"/>
    <w:qFormat/>
    <w:rsid w:val="00F343CC"/>
    <w:pPr>
      <w:spacing w:before="720" w:after="720"/>
      <w:contextualSpacing w:val="0"/>
      <w:jc w:val="left"/>
    </w:pPr>
    <w:rPr>
      <w:sz w:val="72"/>
    </w:rPr>
  </w:style>
  <w:style w:type="paragraph" w:customStyle="1" w:styleId="StyleHeading3Before0ptLinespacingsingle">
    <w:name w:val="Style Heading 3 + Before:  0 pt Line spacing:  single"/>
    <w:basedOn w:val="Heading3"/>
    <w:uiPriority w:val="19"/>
    <w:rsid w:val="005C585D"/>
    <w:pPr>
      <w:spacing w:line="240" w:lineRule="auto"/>
    </w:pPr>
    <w:rPr>
      <w:szCs w:val="20"/>
    </w:rPr>
  </w:style>
  <w:style w:type="paragraph" w:customStyle="1" w:styleId="Heading3rightaligned">
    <w:name w:val="Heading 3 right aligned"/>
    <w:basedOn w:val="Heading3"/>
    <w:next w:val="Normal"/>
    <w:semiHidden/>
    <w:qFormat/>
    <w:rsid w:val="005C585D"/>
    <w:pPr>
      <w:spacing w:before="0" w:line="240" w:lineRule="auto"/>
      <w:jc w:val="right"/>
    </w:pPr>
    <w:rPr>
      <w:szCs w:val="20"/>
    </w:rPr>
  </w:style>
  <w:style w:type="paragraph" w:customStyle="1" w:styleId="StyleHeading3Before0ptLinespacingsingle1">
    <w:name w:val="Style Heading 3 + Before:  0 pt Line spacing:  single1"/>
    <w:basedOn w:val="Heading3"/>
    <w:next w:val="Normal"/>
    <w:uiPriority w:val="19"/>
    <w:rsid w:val="005C585D"/>
    <w:pPr>
      <w:spacing w:before="0" w:line="240" w:lineRule="auto"/>
      <w:jc w:val="right"/>
    </w:pPr>
    <w:rPr>
      <w:szCs w:val="20"/>
    </w:rPr>
  </w:style>
  <w:style w:type="character" w:customStyle="1" w:styleId="Heading6Char">
    <w:name w:val="Heading 6 Char"/>
    <w:link w:val="Heading6"/>
    <w:uiPriority w:val="9"/>
    <w:rsid w:val="005C585D"/>
    <w:rPr>
      <w:rFonts w:ascii="Open Sans Light" w:eastAsia="Times New Roman" w:hAnsi="Open Sans Light"/>
      <w:iCs/>
      <w:color w:val="797C82"/>
      <w:sz w:val="22"/>
      <w:szCs w:val="22"/>
      <w:lang w:eastAsia="en-US"/>
    </w:rPr>
  </w:style>
  <w:style w:type="character" w:customStyle="1" w:styleId="Heading7Char">
    <w:name w:val="Heading 7 Char"/>
    <w:link w:val="Heading7"/>
    <w:uiPriority w:val="9"/>
    <w:rsid w:val="005C585D"/>
    <w:rPr>
      <w:rFonts w:ascii="Open Sans Light" w:eastAsia="Times New Roman" w:hAnsi="Open Sans Light"/>
      <w:iCs/>
      <w:color w:val="5B5B5B"/>
      <w:sz w:val="22"/>
      <w:szCs w:val="22"/>
      <w:lang w:eastAsia="en-US"/>
    </w:rPr>
  </w:style>
  <w:style w:type="character" w:customStyle="1" w:styleId="Heading8Char">
    <w:name w:val="Heading 8 Char"/>
    <w:aliases w:val="Heading 8: tables Char"/>
    <w:link w:val="Heading8"/>
    <w:uiPriority w:val="9"/>
    <w:rsid w:val="005C585D"/>
    <w:rPr>
      <w:rFonts w:eastAsia="Times New Roman"/>
      <w:b/>
      <w:bCs/>
      <w:color w:val="FFFFFF"/>
      <w:sz w:val="22"/>
      <w:lang w:eastAsia="en-US"/>
    </w:rPr>
  </w:style>
  <w:style w:type="character" w:customStyle="1" w:styleId="Heading9Char">
    <w:name w:val="Heading 9 Char"/>
    <w:link w:val="Heading9"/>
    <w:uiPriority w:val="9"/>
    <w:rsid w:val="005C585D"/>
    <w:rPr>
      <w:rFonts w:eastAsia="Times New Roman"/>
      <w:iCs/>
      <w:color w:val="FFFFFF"/>
      <w:sz w:val="24"/>
      <w:lang w:eastAsia="en-US"/>
    </w:rPr>
  </w:style>
  <w:style w:type="paragraph" w:styleId="ListParagraph">
    <w:name w:val="List Paragraph"/>
    <w:aliases w:val="List Paragraph bullet 1st level"/>
    <w:basedOn w:val="Normal"/>
    <w:link w:val="ListParagraphChar"/>
    <w:uiPriority w:val="34"/>
    <w:qFormat/>
    <w:rsid w:val="005C585D"/>
    <w:pPr>
      <w:numPr>
        <w:numId w:val="1"/>
      </w:numPr>
      <w:spacing w:after="80"/>
    </w:pPr>
  </w:style>
  <w:style w:type="paragraph" w:customStyle="1" w:styleId="Listparagraphbullet2ndlevel">
    <w:name w:val="List paragraph bullet 2nd level"/>
    <w:basedOn w:val="ListParagraph"/>
    <w:uiPriority w:val="4"/>
    <w:qFormat/>
    <w:rsid w:val="005C585D"/>
    <w:pPr>
      <w:numPr>
        <w:numId w:val="2"/>
      </w:numPr>
      <w:spacing w:after="0" w:line="240" w:lineRule="auto"/>
    </w:pPr>
  </w:style>
  <w:style w:type="character" w:styleId="Strong">
    <w:name w:val="Strong"/>
    <w:aliases w:val="Titles for charts graphs figs or tables"/>
    <w:uiPriority w:val="22"/>
    <w:rsid w:val="005C585D"/>
    <w:rPr>
      <w:rFonts w:ascii="Open Sans" w:eastAsia="Times New Roman" w:hAnsi="Open Sans" w:cs="Times New Roman"/>
      <w:b w:val="0"/>
      <w:bCs/>
      <w:iCs/>
      <w:color w:val="42454F"/>
      <w:sz w:val="24"/>
    </w:rPr>
  </w:style>
  <w:style w:type="paragraph" w:customStyle="1" w:styleId="StyleHeading8Heading8tables11ptBackground1Centered">
    <w:name w:val="Style Heading 8Heading 8: tables + 11 pt Background 1 Centered ..."/>
    <w:basedOn w:val="Heading8"/>
    <w:uiPriority w:val="19"/>
    <w:rsid w:val="005C585D"/>
    <w:pPr>
      <w:spacing w:line="240" w:lineRule="auto"/>
      <w:jc w:val="center"/>
    </w:pPr>
  </w:style>
  <w:style w:type="paragraph" w:customStyle="1" w:styleId="numberedheading1report">
    <w:name w:val="numbered heading1 report"/>
    <w:basedOn w:val="Heading2"/>
    <w:uiPriority w:val="19"/>
    <w:rsid w:val="005C585D"/>
  </w:style>
  <w:style w:type="paragraph" w:customStyle="1" w:styleId="StyleStyleHeading3Before0ptLinespacingsingleRight">
    <w:name w:val="Style Style Heading 3 + Before:  0 pt Line spacing:  single + Right"/>
    <w:basedOn w:val="StyleHeading3Before0ptLinespacingsingle"/>
    <w:uiPriority w:val="19"/>
    <w:rsid w:val="005C585D"/>
    <w:pPr>
      <w:jc w:val="right"/>
    </w:pPr>
  </w:style>
  <w:style w:type="paragraph" w:customStyle="1" w:styleId="heading9tables">
    <w:name w:val="heading 9 tables"/>
    <w:basedOn w:val="Heading8"/>
    <w:uiPriority w:val="19"/>
    <w:rsid w:val="005C585D"/>
    <w:pPr>
      <w:spacing w:line="240" w:lineRule="auto"/>
    </w:pPr>
    <w:rPr>
      <w:b w:val="0"/>
      <w:sz w:val="24"/>
    </w:rPr>
  </w:style>
  <w:style w:type="character" w:styleId="Emphasis">
    <w:name w:val="Emphasis"/>
    <w:aliases w:val="links"/>
    <w:uiPriority w:val="20"/>
    <w:qFormat/>
    <w:rsid w:val="005C585D"/>
    <w:rPr>
      <w:rFonts w:ascii="Open Sans" w:hAnsi="Open Sans"/>
      <w:b w:val="0"/>
      <w:i w:val="0"/>
      <w:iCs/>
      <w:color w:val="006BA3"/>
      <w:sz w:val="22"/>
      <w:u w:val="single"/>
    </w:rPr>
  </w:style>
  <w:style w:type="paragraph" w:customStyle="1" w:styleId="Charts">
    <w:name w:val="Charts"/>
    <w:aliases w:val="graphs,figs or tables"/>
    <w:basedOn w:val="Heading4"/>
    <w:next w:val="Normal"/>
    <w:uiPriority w:val="5"/>
    <w:qFormat/>
    <w:rsid w:val="00AD5F33"/>
    <w:pPr>
      <w:spacing w:line="240" w:lineRule="auto"/>
    </w:pPr>
    <w:rPr>
      <w:color w:val="42454F"/>
    </w:rPr>
  </w:style>
  <w:style w:type="paragraph" w:customStyle="1" w:styleId="Titlelarge">
    <w:name w:val="Title large"/>
    <w:basedOn w:val="Title"/>
    <w:next w:val="Normal"/>
    <w:qFormat/>
    <w:rsid w:val="00B35C4E"/>
    <w:pPr>
      <w:spacing w:after="0"/>
      <w:jc w:val="left"/>
    </w:pPr>
    <w:rPr>
      <w:sz w:val="72"/>
    </w:rPr>
  </w:style>
  <w:style w:type="paragraph" w:customStyle="1" w:styleId="Captionsandsourceinformation">
    <w:name w:val="Captions and source information"/>
    <w:basedOn w:val="Normal"/>
    <w:next w:val="Normal"/>
    <w:uiPriority w:val="5"/>
    <w:qFormat/>
    <w:rsid w:val="005C585D"/>
    <w:rPr>
      <w:sz w:val="16"/>
    </w:rPr>
  </w:style>
  <w:style w:type="paragraph" w:customStyle="1" w:styleId="Documentsubtitle">
    <w:name w:val="Document subtitle"/>
    <w:basedOn w:val="Normal"/>
    <w:qFormat/>
    <w:rsid w:val="005C585D"/>
    <w:rPr>
      <w:rFonts w:ascii="Open Sans Light" w:hAnsi="Open Sans Light" w:cs="Open Sans Light"/>
      <w:color w:val="595959" w:themeColor="text1" w:themeTint="A6"/>
      <w:sz w:val="44"/>
      <w:szCs w:val="44"/>
    </w:rPr>
  </w:style>
  <w:style w:type="paragraph" w:customStyle="1" w:styleId="DoucmentTitle">
    <w:name w:val="Doucment Title"/>
    <w:basedOn w:val="Normal"/>
    <w:next w:val="Normal"/>
    <w:qFormat/>
    <w:rsid w:val="005C585D"/>
    <w:pPr>
      <w:spacing w:line="240" w:lineRule="auto"/>
    </w:pPr>
    <w:rPr>
      <w:rFonts w:ascii="Merriweather" w:hAnsi="Merriweather"/>
      <w:color w:val="00629B"/>
      <w:sz w:val="76"/>
      <w:szCs w:val="76"/>
    </w:rPr>
  </w:style>
  <w:style w:type="character" w:customStyle="1" w:styleId="ListParagraphChar">
    <w:name w:val="List Paragraph Char"/>
    <w:aliases w:val="List Paragraph bullet 1st level Char"/>
    <w:basedOn w:val="DefaultParagraphFont"/>
    <w:link w:val="ListParagraph"/>
    <w:uiPriority w:val="34"/>
    <w:rsid w:val="005C585D"/>
    <w:rPr>
      <w:color w:val="252525"/>
      <w:sz w:val="22"/>
      <w:szCs w:val="22"/>
      <w:lang w:eastAsia="en-US"/>
    </w:rPr>
  </w:style>
  <w:style w:type="character" w:customStyle="1" w:styleId="NoSpacingChar">
    <w:name w:val="No Spacing Char"/>
    <w:basedOn w:val="DefaultParagraphFont"/>
    <w:link w:val="NoSpacing"/>
    <w:uiPriority w:val="1"/>
    <w:rsid w:val="005C585D"/>
    <w:rPr>
      <w:rFonts w:cs="Open Sans"/>
      <w:color w:val="252525"/>
      <w:sz w:val="22"/>
      <w:szCs w:val="24"/>
      <w:lang w:eastAsia="en-US"/>
    </w:rPr>
  </w:style>
  <w:style w:type="paragraph" w:customStyle="1" w:styleId="NumberListHeader">
    <w:name w:val="Number List Header"/>
    <w:basedOn w:val="ListParagraph"/>
    <w:link w:val="NumberListHeaderChar"/>
    <w:uiPriority w:val="2"/>
    <w:qFormat/>
    <w:rsid w:val="005C585D"/>
    <w:pPr>
      <w:numPr>
        <w:numId w:val="3"/>
      </w:numPr>
      <w:spacing w:before="120" w:after="120" w:line="240" w:lineRule="auto"/>
      <w:contextualSpacing/>
    </w:pPr>
    <w:rPr>
      <w:rFonts w:ascii="Merriweather" w:hAnsi="Merriweather" w:cs="Open Sans Light"/>
      <w:color w:val="00629B"/>
      <w:sz w:val="32"/>
      <w:szCs w:val="32"/>
    </w:rPr>
  </w:style>
  <w:style w:type="character" w:customStyle="1" w:styleId="NumberListHeaderChar">
    <w:name w:val="Number List Header Char"/>
    <w:basedOn w:val="ListParagraphChar"/>
    <w:link w:val="NumberListHeader"/>
    <w:uiPriority w:val="2"/>
    <w:rsid w:val="005C585D"/>
    <w:rPr>
      <w:rFonts w:ascii="Merriweather" w:hAnsi="Merriweather" w:cs="Open Sans Light"/>
      <w:color w:val="00629B"/>
      <w:sz w:val="32"/>
      <w:szCs w:val="32"/>
      <w:lang w:eastAsia="en-US"/>
    </w:rPr>
  </w:style>
  <w:style w:type="character" w:styleId="PlaceholderText">
    <w:name w:val="Placeholder Text"/>
    <w:basedOn w:val="DefaultParagraphFont"/>
    <w:uiPriority w:val="99"/>
    <w:semiHidden/>
    <w:rsid w:val="005C585D"/>
    <w:rPr>
      <w:color w:val="808080"/>
    </w:rPr>
  </w:style>
  <w:style w:type="paragraph" w:customStyle="1" w:styleId="TableHeading">
    <w:name w:val="Table Heading"/>
    <w:basedOn w:val="Normal"/>
    <w:link w:val="TableHeadingChar"/>
    <w:uiPriority w:val="2"/>
    <w:qFormat/>
    <w:rsid w:val="00F461C3"/>
    <w:pPr>
      <w:spacing w:before="120" w:after="120" w:line="240" w:lineRule="auto"/>
      <w:ind w:right="-543"/>
    </w:pPr>
    <w:rPr>
      <w:b/>
    </w:rPr>
  </w:style>
  <w:style w:type="character" w:customStyle="1" w:styleId="TableHeadingChar">
    <w:name w:val="Table Heading Char"/>
    <w:basedOn w:val="DefaultParagraphFont"/>
    <w:link w:val="TableHeading"/>
    <w:uiPriority w:val="2"/>
    <w:rsid w:val="00F461C3"/>
    <w:rPr>
      <w:b/>
      <w:color w:val="252525"/>
      <w:sz w:val="22"/>
      <w:szCs w:val="22"/>
      <w:lang w:eastAsia="en-US"/>
    </w:rPr>
  </w:style>
  <w:style w:type="character" w:styleId="Hyperlink">
    <w:name w:val="Hyperlink"/>
    <w:basedOn w:val="DefaultParagraphFont"/>
    <w:unhideWhenUsed/>
    <w:rsid w:val="002F0D1C"/>
    <w:rPr>
      <w:color w:val="0563C1" w:themeColor="hyperlink"/>
      <w:u w:val="single"/>
    </w:rPr>
  </w:style>
  <w:style w:type="character" w:styleId="FollowedHyperlink">
    <w:name w:val="FollowedHyperlink"/>
    <w:basedOn w:val="DefaultParagraphFont"/>
    <w:uiPriority w:val="99"/>
    <w:semiHidden/>
    <w:unhideWhenUsed/>
    <w:rsid w:val="002F0D1C"/>
    <w:rPr>
      <w:color w:val="954F72" w:themeColor="followedHyperlink"/>
      <w:u w:val="single"/>
    </w:rPr>
  </w:style>
  <w:style w:type="character" w:styleId="CommentReference">
    <w:name w:val="annotation reference"/>
    <w:basedOn w:val="DefaultParagraphFont"/>
    <w:uiPriority w:val="99"/>
    <w:semiHidden/>
    <w:unhideWhenUsed/>
    <w:rsid w:val="00C7568F"/>
    <w:rPr>
      <w:sz w:val="16"/>
      <w:szCs w:val="16"/>
    </w:rPr>
  </w:style>
  <w:style w:type="paragraph" w:styleId="CommentText">
    <w:name w:val="annotation text"/>
    <w:basedOn w:val="Normal"/>
    <w:link w:val="CommentTextChar"/>
    <w:uiPriority w:val="99"/>
    <w:semiHidden/>
    <w:unhideWhenUsed/>
    <w:rsid w:val="00C7568F"/>
    <w:pPr>
      <w:spacing w:line="240" w:lineRule="auto"/>
    </w:pPr>
    <w:rPr>
      <w:sz w:val="20"/>
      <w:szCs w:val="20"/>
    </w:rPr>
  </w:style>
  <w:style w:type="character" w:customStyle="1" w:styleId="CommentTextChar">
    <w:name w:val="Comment Text Char"/>
    <w:basedOn w:val="DefaultParagraphFont"/>
    <w:link w:val="CommentText"/>
    <w:uiPriority w:val="99"/>
    <w:semiHidden/>
    <w:rsid w:val="00C7568F"/>
    <w:rPr>
      <w:color w:val="252525"/>
      <w:lang w:eastAsia="en-US"/>
    </w:rPr>
  </w:style>
  <w:style w:type="paragraph" w:styleId="CommentSubject">
    <w:name w:val="annotation subject"/>
    <w:basedOn w:val="CommentText"/>
    <w:next w:val="CommentText"/>
    <w:link w:val="CommentSubjectChar"/>
    <w:uiPriority w:val="99"/>
    <w:semiHidden/>
    <w:unhideWhenUsed/>
    <w:rsid w:val="00C7568F"/>
    <w:rPr>
      <w:b/>
      <w:bCs/>
    </w:rPr>
  </w:style>
  <w:style w:type="character" w:customStyle="1" w:styleId="CommentSubjectChar">
    <w:name w:val="Comment Subject Char"/>
    <w:basedOn w:val="CommentTextChar"/>
    <w:link w:val="CommentSubject"/>
    <w:uiPriority w:val="99"/>
    <w:semiHidden/>
    <w:rsid w:val="00C7568F"/>
    <w:rPr>
      <w:b/>
      <w:bCs/>
      <w:color w:val="2525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8890">
      <w:bodyDiv w:val="1"/>
      <w:marLeft w:val="0"/>
      <w:marRight w:val="0"/>
      <w:marTop w:val="0"/>
      <w:marBottom w:val="0"/>
      <w:divBdr>
        <w:top w:val="none" w:sz="0" w:space="0" w:color="auto"/>
        <w:left w:val="none" w:sz="0" w:space="0" w:color="auto"/>
        <w:bottom w:val="none" w:sz="0" w:space="0" w:color="auto"/>
        <w:right w:val="none" w:sz="0" w:space="0" w:color="auto"/>
      </w:divBdr>
    </w:div>
    <w:div w:id="898396643">
      <w:bodyDiv w:val="1"/>
      <w:marLeft w:val="0"/>
      <w:marRight w:val="0"/>
      <w:marTop w:val="0"/>
      <w:marBottom w:val="0"/>
      <w:divBdr>
        <w:top w:val="none" w:sz="0" w:space="0" w:color="auto"/>
        <w:left w:val="none" w:sz="0" w:space="0" w:color="auto"/>
        <w:bottom w:val="none" w:sz="0" w:space="0" w:color="auto"/>
        <w:right w:val="none" w:sz="0" w:space="0" w:color="auto"/>
      </w:divBdr>
    </w:div>
    <w:div w:id="1194266774">
      <w:bodyDiv w:val="1"/>
      <w:marLeft w:val="0"/>
      <w:marRight w:val="0"/>
      <w:marTop w:val="0"/>
      <w:marBottom w:val="0"/>
      <w:divBdr>
        <w:top w:val="none" w:sz="0" w:space="0" w:color="auto"/>
        <w:left w:val="none" w:sz="0" w:space="0" w:color="auto"/>
        <w:bottom w:val="none" w:sz="0" w:space="0" w:color="auto"/>
        <w:right w:val="none" w:sz="0" w:space="0" w:color="auto"/>
      </w:divBdr>
    </w:div>
    <w:div w:id="1251432000">
      <w:bodyDiv w:val="1"/>
      <w:marLeft w:val="0"/>
      <w:marRight w:val="0"/>
      <w:marTop w:val="0"/>
      <w:marBottom w:val="0"/>
      <w:divBdr>
        <w:top w:val="none" w:sz="0" w:space="0" w:color="auto"/>
        <w:left w:val="none" w:sz="0" w:space="0" w:color="auto"/>
        <w:bottom w:val="none" w:sz="0" w:space="0" w:color="auto"/>
        <w:right w:val="none" w:sz="0" w:space="0" w:color="auto"/>
      </w:divBdr>
    </w:div>
    <w:div w:id="18437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ISDOM:80/Wisdom/DocumentLauncher.aspx?a=47af403d-d293-11ec-b829-0050569fb2a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B026-13F9-4C78-90A7-DCF35FB4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Audit and Risk Assurance Committee TOR</vt:lpstr>
    </vt:vector>
  </TitlesOfParts>
  <Company>The Coal Authority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Assurance Committee TOR</dc:title>
  <dc:subject/>
  <dc:creator>dudles</dc:creator>
  <cp:keywords/>
  <cp:lastModifiedBy>Lindsey Twigg</cp:lastModifiedBy>
  <cp:revision>3</cp:revision>
  <cp:lastPrinted>2020-07-17T14:36:00Z</cp:lastPrinted>
  <dcterms:created xsi:type="dcterms:W3CDTF">2023-04-04T08:13:00Z</dcterms:created>
  <dcterms:modified xsi:type="dcterms:W3CDTF">2023-04-04T08:18:00Z</dcterms:modified>
</cp:coreProperties>
</file>