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33438" w14:textId="77777777" w:rsidR="00E80B4F" w:rsidRPr="00E318AF" w:rsidRDefault="00D00EA9" w:rsidP="00E80B4F">
      <w:pPr>
        <w:spacing w:before="120" w:after="284"/>
      </w:pPr>
      <w:bookmarkStart w:id="0" w:name="_Hlk18410760"/>
      <w:r>
        <w:rPr>
          <w:noProof/>
        </w:rPr>
        <w:drawing>
          <wp:inline distT="0" distB="0" distL="0" distR="0" wp14:anchorId="21D4183B" wp14:editId="60B26706">
            <wp:extent cx="866775" cy="866775"/>
            <wp:effectExtent l="0" t="0" r="0" b="0"/>
            <wp:docPr id="1" name="Picture 1" descr="UK AEA_BLK_SML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K AEA_BLK_SML_AW"/>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inline>
        </w:drawing>
      </w:r>
    </w:p>
    <w:p w14:paraId="1B56F83A" w14:textId="77777777" w:rsidR="00E80B4F" w:rsidRDefault="00E80B4F" w:rsidP="00E80B4F">
      <w:pPr>
        <w:rPr>
          <w:szCs w:val="24"/>
        </w:rPr>
      </w:pPr>
    </w:p>
    <w:p w14:paraId="727D7F2A" w14:textId="0EAF26E7" w:rsidR="00E80B4F" w:rsidRDefault="00E80B4F" w:rsidP="00E80B4F">
      <w:pPr>
        <w:rPr>
          <w:b/>
          <w:caps/>
          <w:sz w:val="20"/>
        </w:rPr>
      </w:pPr>
      <w:r>
        <w:rPr>
          <w:b/>
          <w:caps/>
          <w:sz w:val="28"/>
          <w:szCs w:val="28"/>
        </w:rPr>
        <w:t xml:space="preserve">Minutes of the </w:t>
      </w:r>
      <w:r w:rsidR="00C66A0C">
        <w:rPr>
          <w:b/>
          <w:caps/>
          <w:sz w:val="28"/>
          <w:szCs w:val="28"/>
        </w:rPr>
        <w:t>2</w:t>
      </w:r>
      <w:r w:rsidR="00C66A0C">
        <w:rPr>
          <w:b/>
          <w:caps/>
          <w:sz w:val="28"/>
          <w:szCs w:val="28"/>
          <w:vertAlign w:val="superscript"/>
        </w:rPr>
        <w:t>nd</w:t>
      </w:r>
      <w:r>
        <w:rPr>
          <w:b/>
          <w:caps/>
          <w:sz w:val="28"/>
          <w:szCs w:val="28"/>
        </w:rPr>
        <w:t xml:space="preserve"> </w:t>
      </w:r>
      <w:r w:rsidR="00C66A0C">
        <w:rPr>
          <w:b/>
          <w:caps/>
          <w:sz w:val="28"/>
          <w:szCs w:val="28"/>
        </w:rPr>
        <w:t>Board</w:t>
      </w:r>
      <w:r>
        <w:rPr>
          <w:b/>
          <w:caps/>
          <w:sz w:val="28"/>
          <w:szCs w:val="28"/>
        </w:rPr>
        <w:t xml:space="preserve"> meeting in 20</w:t>
      </w:r>
      <w:r w:rsidR="00C66A0C">
        <w:rPr>
          <w:b/>
          <w:caps/>
          <w:sz w:val="28"/>
          <w:szCs w:val="28"/>
        </w:rPr>
        <w:t>22</w:t>
      </w:r>
    </w:p>
    <w:p w14:paraId="53847401" w14:textId="77777777" w:rsidR="00E80B4F" w:rsidRPr="003A00CB" w:rsidRDefault="00E80B4F" w:rsidP="00E80B4F">
      <w:pPr>
        <w:rPr>
          <w:b/>
          <w:caps/>
          <w:sz w:val="20"/>
        </w:rPr>
      </w:pPr>
    </w:p>
    <w:p w14:paraId="1B632D0C" w14:textId="11486D91" w:rsidR="00E80B4F" w:rsidRPr="00A337E4" w:rsidRDefault="00C66A0C" w:rsidP="00E80B4F">
      <w:pPr>
        <w:rPr>
          <w:b/>
          <w:bCs/>
          <w:szCs w:val="24"/>
        </w:rPr>
      </w:pPr>
      <w:r>
        <w:rPr>
          <w:b/>
          <w:bCs/>
          <w:szCs w:val="24"/>
        </w:rPr>
        <w:t>1</w:t>
      </w:r>
      <w:r w:rsidR="004648CB">
        <w:rPr>
          <w:b/>
          <w:bCs/>
          <w:szCs w:val="24"/>
        </w:rPr>
        <w:t>8</w:t>
      </w:r>
      <w:r>
        <w:rPr>
          <w:b/>
          <w:bCs/>
          <w:szCs w:val="24"/>
        </w:rPr>
        <w:t xml:space="preserve"> March 2022</w:t>
      </w:r>
    </w:p>
    <w:p w14:paraId="46C3E14D" w14:textId="77777777" w:rsidR="00E80B4F" w:rsidRDefault="00E80B4F" w:rsidP="00E80B4F">
      <w:pPr>
        <w:rPr>
          <w:szCs w:val="24"/>
        </w:rPr>
      </w:pPr>
    </w:p>
    <w:tbl>
      <w:tblPr>
        <w:tblW w:w="9414" w:type="dxa"/>
        <w:tblLayout w:type="fixed"/>
        <w:tblLook w:val="01E0" w:firstRow="1" w:lastRow="1" w:firstColumn="1" w:lastColumn="1" w:noHBand="0" w:noVBand="0"/>
      </w:tblPr>
      <w:tblGrid>
        <w:gridCol w:w="1690"/>
        <w:gridCol w:w="3161"/>
        <w:gridCol w:w="1437"/>
        <w:gridCol w:w="3126"/>
      </w:tblGrid>
      <w:tr w:rsidR="00E80B4F" w:rsidRPr="000027A7" w14:paraId="3877E699" w14:textId="77777777" w:rsidTr="00C66A0C">
        <w:trPr>
          <w:trHeight w:val="364"/>
        </w:trPr>
        <w:tc>
          <w:tcPr>
            <w:tcW w:w="1690" w:type="dxa"/>
            <w:shd w:val="clear" w:color="auto" w:fill="auto"/>
          </w:tcPr>
          <w:p w14:paraId="63A72CCC" w14:textId="77777777" w:rsidR="00E80B4F" w:rsidRPr="000027A7" w:rsidRDefault="00E80B4F" w:rsidP="003D3FC5">
            <w:pPr>
              <w:rPr>
                <w:b/>
                <w:szCs w:val="24"/>
              </w:rPr>
            </w:pPr>
            <w:r>
              <w:rPr>
                <w:b/>
                <w:szCs w:val="24"/>
              </w:rPr>
              <w:t>Location:</w:t>
            </w:r>
          </w:p>
          <w:p w14:paraId="1F6E888B" w14:textId="77777777" w:rsidR="00E80B4F" w:rsidRPr="000027A7" w:rsidRDefault="00E80B4F" w:rsidP="003D3FC5">
            <w:pPr>
              <w:rPr>
                <w:b/>
                <w:szCs w:val="24"/>
              </w:rPr>
            </w:pPr>
          </w:p>
        </w:tc>
        <w:tc>
          <w:tcPr>
            <w:tcW w:w="3161" w:type="dxa"/>
            <w:tcBorders>
              <w:bottom w:val="single" w:sz="4" w:space="0" w:color="FFFFFF"/>
            </w:tcBorders>
            <w:shd w:val="clear" w:color="auto" w:fill="auto"/>
          </w:tcPr>
          <w:p w14:paraId="6E790EB1" w14:textId="52154005" w:rsidR="00E80B4F" w:rsidRPr="000027A7" w:rsidRDefault="00C66A0C" w:rsidP="003D3FC5">
            <w:pPr>
              <w:rPr>
                <w:szCs w:val="24"/>
              </w:rPr>
            </w:pPr>
            <w:r>
              <w:rPr>
                <w:szCs w:val="24"/>
              </w:rPr>
              <w:t>UKAEA HOW Room</w:t>
            </w:r>
          </w:p>
        </w:tc>
        <w:tc>
          <w:tcPr>
            <w:tcW w:w="1437" w:type="dxa"/>
            <w:tcBorders>
              <w:bottom w:val="single" w:sz="4" w:space="0" w:color="FFFFFF"/>
            </w:tcBorders>
            <w:shd w:val="clear" w:color="auto" w:fill="auto"/>
          </w:tcPr>
          <w:p w14:paraId="3535801B" w14:textId="77777777" w:rsidR="00E80B4F" w:rsidRPr="000027A7" w:rsidRDefault="00E80B4F" w:rsidP="003D3FC5">
            <w:pPr>
              <w:rPr>
                <w:b/>
                <w:szCs w:val="24"/>
              </w:rPr>
            </w:pPr>
          </w:p>
        </w:tc>
        <w:tc>
          <w:tcPr>
            <w:tcW w:w="3125" w:type="dxa"/>
            <w:shd w:val="clear" w:color="auto" w:fill="auto"/>
          </w:tcPr>
          <w:p w14:paraId="6080638C" w14:textId="77777777" w:rsidR="00E80B4F" w:rsidRPr="000027A7" w:rsidRDefault="00E80B4F" w:rsidP="003D3FC5">
            <w:pPr>
              <w:rPr>
                <w:szCs w:val="24"/>
              </w:rPr>
            </w:pPr>
          </w:p>
        </w:tc>
      </w:tr>
      <w:tr w:rsidR="00E80B4F" w:rsidRPr="000027A7" w14:paraId="4D339B5C" w14:textId="77777777" w:rsidTr="00C66A0C">
        <w:trPr>
          <w:trHeight w:val="2710"/>
        </w:trPr>
        <w:tc>
          <w:tcPr>
            <w:tcW w:w="1690" w:type="dxa"/>
            <w:shd w:val="clear" w:color="auto" w:fill="auto"/>
          </w:tcPr>
          <w:p w14:paraId="6AD65545" w14:textId="511777D3" w:rsidR="00E80B4F" w:rsidRPr="000027A7" w:rsidRDefault="00C66A0C" w:rsidP="003D3FC5">
            <w:pPr>
              <w:rPr>
                <w:b/>
                <w:szCs w:val="24"/>
              </w:rPr>
            </w:pPr>
            <w:r>
              <w:rPr>
                <w:b/>
                <w:szCs w:val="24"/>
              </w:rPr>
              <w:t>Members</w:t>
            </w:r>
          </w:p>
          <w:p w14:paraId="3B92222A" w14:textId="77777777" w:rsidR="00E80B4F" w:rsidRPr="000027A7" w:rsidRDefault="00E80B4F" w:rsidP="003D3FC5">
            <w:pPr>
              <w:rPr>
                <w:b/>
                <w:szCs w:val="24"/>
              </w:rPr>
            </w:pPr>
          </w:p>
        </w:tc>
        <w:tc>
          <w:tcPr>
            <w:tcW w:w="7724" w:type="dxa"/>
            <w:gridSpan w:val="3"/>
            <w:tcBorders>
              <w:top w:val="single" w:sz="4" w:space="0" w:color="FFFFFF"/>
            </w:tcBorders>
            <w:shd w:val="clear" w:color="auto" w:fill="auto"/>
          </w:tcPr>
          <w:tbl>
            <w:tblPr>
              <w:tblW w:w="0" w:type="auto"/>
              <w:tblInd w:w="1" w:type="dxa"/>
              <w:shd w:val="clear" w:color="auto" w:fill="FFFFFF"/>
              <w:tblLayout w:type="fixed"/>
              <w:tblLook w:val="04A0" w:firstRow="1" w:lastRow="0" w:firstColumn="1" w:lastColumn="0" w:noHBand="0" w:noVBand="1"/>
            </w:tblPr>
            <w:tblGrid>
              <w:gridCol w:w="2495"/>
            </w:tblGrid>
            <w:tr w:rsidR="00C66A0C" w:rsidRPr="00CE1A9C" w14:paraId="4DED6EF1" w14:textId="77777777" w:rsidTr="00C66A0C">
              <w:trPr>
                <w:trHeight w:val="1777"/>
              </w:trPr>
              <w:tc>
                <w:tcPr>
                  <w:tcW w:w="2495" w:type="dxa"/>
                  <w:shd w:val="clear" w:color="auto" w:fill="FFFFFF"/>
                </w:tcPr>
                <w:p w14:paraId="40816246" w14:textId="1094FF1B" w:rsidR="00C66A0C" w:rsidRDefault="00C66A0C" w:rsidP="006C32E5">
                  <w:pPr>
                    <w:jc w:val="left"/>
                    <w:rPr>
                      <w:szCs w:val="24"/>
                    </w:rPr>
                  </w:pPr>
                  <w:r>
                    <w:rPr>
                      <w:szCs w:val="24"/>
                    </w:rPr>
                    <w:t>David Gann (Chair)</w:t>
                  </w:r>
                </w:p>
                <w:p w14:paraId="32E7502E" w14:textId="77777777" w:rsidR="00C66A0C" w:rsidRDefault="00C66A0C" w:rsidP="006C32E5">
                  <w:pPr>
                    <w:jc w:val="left"/>
                    <w:rPr>
                      <w:szCs w:val="24"/>
                    </w:rPr>
                  </w:pPr>
                  <w:r>
                    <w:rPr>
                      <w:szCs w:val="24"/>
                    </w:rPr>
                    <w:t xml:space="preserve">Ian Chapman </w:t>
                  </w:r>
                </w:p>
                <w:p w14:paraId="498F52AB" w14:textId="77777777" w:rsidR="00C66A0C" w:rsidRDefault="00C66A0C" w:rsidP="006C32E5">
                  <w:pPr>
                    <w:jc w:val="left"/>
                    <w:rPr>
                      <w:szCs w:val="24"/>
                    </w:rPr>
                  </w:pPr>
                  <w:r>
                    <w:rPr>
                      <w:szCs w:val="24"/>
                    </w:rPr>
                    <w:t>Stephen Barter</w:t>
                  </w:r>
                </w:p>
                <w:p w14:paraId="6B671ABB" w14:textId="77777777" w:rsidR="00C66A0C" w:rsidRDefault="00C66A0C" w:rsidP="006C32E5">
                  <w:pPr>
                    <w:jc w:val="left"/>
                    <w:rPr>
                      <w:szCs w:val="24"/>
                    </w:rPr>
                  </w:pPr>
                  <w:r>
                    <w:rPr>
                      <w:szCs w:val="24"/>
                    </w:rPr>
                    <w:t>Mark Bayley</w:t>
                  </w:r>
                </w:p>
                <w:p w14:paraId="63459F09" w14:textId="77777777" w:rsidR="00C66A0C" w:rsidRDefault="00C66A0C" w:rsidP="006C32E5">
                  <w:pPr>
                    <w:jc w:val="left"/>
                    <w:rPr>
                      <w:szCs w:val="24"/>
                    </w:rPr>
                  </w:pPr>
                  <w:r>
                    <w:rPr>
                      <w:szCs w:val="24"/>
                    </w:rPr>
                    <w:t>Antonia Jenkinson</w:t>
                  </w:r>
                </w:p>
                <w:p w14:paraId="06BE007B" w14:textId="77777777" w:rsidR="00C66A0C" w:rsidRDefault="00C66A0C" w:rsidP="006C32E5">
                  <w:pPr>
                    <w:jc w:val="left"/>
                    <w:rPr>
                      <w:szCs w:val="24"/>
                    </w:rPr>
                  </w:pPr>
                  <w:r>
                    <w:rPr>
                      <w:szCs w:val="24"/>
                    </w:rPr>
                    <w:t>Shrin Honap</w:t>
                  </w:r>
                </w:p>
                <w:p w14:paraId="272EC9F7" w14:textId="77777777" w:rsidR="00C66A0C" w:rsidRDefault="00C66A0C" w:rsidP="006C32E5">
                  <w:pPr>
                    <w:jc w:val="left"/>
                    <w:rPr>
                      <w:szCs w:val="24"/>
                    </w:rPr>
                  </w:pPr>
                  <w:r>
                    <w:rPr>
                      <w:szCs w:val="24"/>
                    </w:rPr>
                    <w:t>Adrian Smith</w:t>
                  </w:r>
                </w:p>
                <w:p w14:paraId="4F6842E7" w14:textId="77777777" w:rsidR="00C66A0C" w:rsidRDefault="00C66A0C" w:rsidP="006C32E5">
                  <w:pPr>
                    <w:jc w:val="left"/>
                    <w:rPr>
                      <w:szCs w:val="24"/>
                    </w:rPr>
                  </w:pPr>
                  <w:r>
                    <w:rPr>
                      <w:szCs w:val="24"/>
                    </w:rPr>
                    <w:t>Richard Hookway</w:t>
                  </w:r>
                </w:p>
                <w:p w14:paraId="6DDB7653" w14:textId="77777777" w:rsidR="00C66A0C" w:rsidRDefault="00C66A0C" w:rsidP="006C32E5">
                  <w:pPr>
                    <w:jc w:val="left"/>
                    <w:rPr>
                      <w:szCs w:val="24"/>
                    </w:rPr>
                  </w:pPr>
                  <w:r>
                    <w:rPr>
                      <w:szCs w:val="24"/>
                    </w:rPr>
                    <w:t>Stephen Hillier</w:t>
                  </w:r>
                </w:p>
                <w:p w14:paraId="0AA2539A" w14:textId="77777777" w:rsidR="00C66A0C" w:rsidRDefault="00C66A0C" w:rsidP="006C32E5">
                  <w:pPr>
                    <w:jc w:val="left"/>
                    <w:rPr>
                      <w:szCs w:val="24"/>
                    </w:rPr>
                  </w:pPr>
                  <w:r>
                    <w:rPr>
                      <w:szCs w:val="24"/>
                    </w:rPr>
                    <w:t>Luc Bardin</w:t>
                  </w:r>
                </w:p>
                <w:p w14:paraId="671AF77A" w14:textId="3F0B64FB" w:rsidR="00C66A0C" w:rsidRDefault="00C66A0C" w:rsidP="006C32E5">
                  <w:pPr>
                    <w:jc w:val="left"/>
                    <w:rPr>
                      <w:szCs w:val="24"/>
                    </w:rPr>
                  </w:pPr>
                  <w:r>
                    <w:rPr>
                      <w:szCs w:val="24"/>
                    </w:rPr>
                    <w:t>Eithne Birt</w:t>
                  </w:r>
                </w:p>
                <w:p w14:paraId="19FD807E" w14:textId="5682564A" w:rsidR="00C66A0C" w:rsidRPr="00CE1A9C" w:rsidRDefault="00C66A0C" w:rsidP="006C32E5">
                  <w:pPr>
                    <w:jc w:val="left"/>
                    <w:rPr>
                      <w:szCs w:val="24"/>
                    </w:rPr>
                  </w:pPr>
                </w:p>
              </w:tc>
            </w:tr>
          </w:tbl>
          <w:p w14:paraId="28C5F423" w14:textId="77777777" w:rsidR="00E80B4F" w:rsidRPr="000027A7" w:rsidRDefault="00E80B4F" w:rsidP="003D3FC5">
            <w:pPr>
              <w:rPr>
                <w:szCs w:val="24"/>
              </w:rPr>
            </w:pPr>
          </w:p>
        </w:tc>
      </w:tr>
      <w:tr w:rsidR="0096648D" w:rsidRPr="000027A7" w14:paraId="424804EA" w14:textId="77777777" w:rsidTr="00C66A0C">
        <w:trPr>
          <w:trHeight w:val="1296"/>
        </w:trPr>
        <w:tc>
          <w:tcPr>
            <w:tcW w:w="1690" w:type="dxa"/>
            <w:shd w:val="clear" w:color="auto" w:fill="auto"/>
          </w:tcPr>
          <w:p w14:paraId="4FDBFE8C" w14:textId="66185B02" w:rsidR="0096648D" w:rsidRPr="000027A7" w:rsidRDefault="00C66A0C" w:rsidP="003D3FC5">
            <w:pPr>
              <w:rPr>
                <w:b/>
                <w:szCs w:val="24"/>
              </w:rPr>
            </w:pPr>
            <w:r>
              <w:rPr>
                <w:b/>
                <w:szCs w:val="24"/>
              </w:rPr>
              <w:t>Attendees</w:t>
            </w:r>
          </w:p>
          <w:p w14:paraId="45C130CD" w14:textId="77777777" w:rsidR="0096648D" w:rsidRDefault="0096648D" w:rsidP="003D3FC5">
            <w:pPr>
              <w:rPr>
                <w:b/>
                <w:szCs w:val="24"/>
              </w:rPr>
            </w:pPr>
          </w:p>
        </w:tc>
        <w:tc>
          <w:tcPr>
            <w:tcW w:w="7724" w:type="dxa"/>
            <w:gridSpan w:val="3"/>
            <w:shd w:val="clear" w:color="auto" w:fill="auto"/>
          </w:tcPr>
          <w:p w14:paraId="1F7A108D" w14:textId="77777777" w:rsidR="0096648D" w:rsidRDefault="00C66A0C" w:rsidP="003D3FC5">
            <w:pPr>
              <w:rPr>
                <w:szCs w:val="24"/>
              </w:rPr>
            </w:pPr>
            <w:r>
              <w:rPr>
                <w:szCs w:val="24"/>
              </w:rPr>
              <w:t>Tim Bestwick</w:t>
            </w:r>
          </w:p>
          <w:p w14:paraId="332DD789" w14:textId="77777777" w:rsidR="00C66A0C" w:rsidRDefault="00C66A0C" w:rsidP="003D3FC5">
            <w:pPr>
              <w:rPr>
                <w:szCs w:val="24"/>
              </w:rPr>
            </w:pPr>
            <w:r>
              <w:rPr>
                <w:szCs w:val="24"/>
              </w:rPr>
              <w:t>Lyanne Maclean</w:t>
            </w:r>
          </w:p>
          <w:p w14:paraId="5B157653" w14:textId="77777777" w:rsidR="00C66A0C" w:rsidRDefault="00C66A0C" w:rsidP="003D3FC5">
            <w:pPr>
              <w:rPr>
                <w:szCs w:val="24"/>
              </w:rPr>
            </w:pPr>
            <w:r>
              <w:rPr>
                <w:szCs w:val="24"/>
              </w:rPr>
              <w:t>Adam Baker (BEIS)</w:t>
            </w:r>
          </w:p>
          <w:p w14:paraId="1C1302AF" w14:textId="49982A1B" w:rsidR="00C66A0C" w:rsidRDefault="00C66A0C" w:rsidP="003D3FC5">
            <w:pPr>
              <w:rPr>
                <w:szCs w:val="24"/>
              </w:rPr>
            </w:pPr>
            <w:r>
              <w:rPr>
                <w:szCs w:val="24"/>
              </w:rPr>
              <w:t>Nick Walkden (Secretariat)</w:t>
            </w:r>
          </w:p>
          <w:p w14:paraId="54FD5EE5" w14:textId="77777777" w:rsidR="00C66A0C" w:rsidRDefault="00C66A0C" w:rsidP="003D3FC5">
            <w:pPr>
              <w:rPr>
                <w:szCs w:val="24"/>
              </w:rPr>
            </w:pPr>
          </w:p>
          <w:p w14:paraId="28D9B02A" w14:textId="77777777" w:rsidR="0096648D" w:rsidRDefault="0096648D" w:rsidP="003D3FC5">
            <w:pPr>
              <w:rPr>
                <w:szCs w:val="24"/>
              </w:rPr>
            </w:pPr>
          </w:p>
        </w:tc>
      </w:tr>
    </w:tbl>
    <w:p w14:paraId="6D94222D" w14:textId="77777777" w:rsidR="00C66A0C" w:rsidRDefault="00C66A0C" w:rsidP="004824F0">
      <w:pPr>
        <w:rPr>
          <w:b/>
          <w:sz w:val="28"/>
          <w:szCs w:val="28"/>
        </w:rPr>
      </w:pPr>
    </w:p>
    <w:p w14:paraId="66F0066A" w14:textId="77777777" w:rsidR="00C66A0C" w:rsidRDefault="00C66A0C" w:rsidP="004824F0">
      <w:pPr>
        <w:rPr>
          <w:b/>
          <w:sz w:val="28"/>
          <w:szCs w:val="28"/>
        </w:rPr>
      </w:pPr>
    </w:p>
    <w:p w14:paraId="21330A45" w14:textId="77777777" w:rsidR="00C66A0C" w:rsidRDefault="00C66A0C" w:rsidP="004824F0">
      <w:pPr>
        <w:rPr>
          <w:b/>
          <w:sz w:val="28"/>
          <w:szCs w:val="28"/>
        </w:rPr>
      </w:pPr>
    </w:p>
    <w:p w14:paraId="3E1DB2E9" w14:textId="77777777" w:rsidR="00C66A0C" w:rsidRDefault="00C66A0C" w:rsidP="004824F0">
      <w:pPr>
        <w:rPr>
          <w:b/>
          <w:sz w:val="28"/>
          <w:szCs w:val="28"/>
        </w:rPr>
      </w:pPr>
    </w:p>
    <w:p w14:paraId="1465772E" w14:textId="77777777" w:rsidR="00C66A0C" w:rsidRDefault="00C66A0C" w:rsidP="004824F0">
      <w:pPr>
        <w:rPr>
          <w:b/>
          <w:sz w:val="28"/>
          <w:szCs w:val="28"/>
        </w:rPr>
      </w:pPr>
    </w:p>
    <w:p w14:paraId="1399CDB8" w14:textId="77777777" w:rsidR="00C66A0C" w:rsidRDefault="00C66A0C" w:rsidP="004824F0">
      <w:pPr>
        <w:rPr>
          <w:b/>
          <w:sz w:val="28"/>
          <w:szCs w:val="28"/>
        </w:rPr>
      </w:pPr>
    </w:p>
    <w:p w14:paraId="0E75D38E" w14:textId="77777777" w:rsidR="00C66A0C" w:rsidRDefault="00C66A0C" w:rsidP="004824F0">
      <w:pPr>
        <w:rPr>
          <w:b/>
          <w:sz w:val="28"/>
          <w:szCs w:val="28"/>
        </w:rPr>
      </w:pPr>
    </w:p>
    <w:p w14:paraId="59419B8B" w14:textId="77777777" w:rsidR="00C66A0C" w:rsidRDefault="00C66A0C" w:rsidP="004824F0">
      <w:pPr>
        <w:rPr>
          <w:b/>
          <w:sz w:val="28"/>
          <w:szCs w:val="28"/>
        </w:rPr>
      </w:pPr>
    </w:p>
    <w:p w14:paraId="44F8FCBC" w14:textId="77777777" w:rsidR="00C66A0C" w:rsidRDefault="00C66A0C" w:rsidP="004824F0">
      <w:pPr>
        <w:rPr>
          <w:b/>
          <w:sz w:val="28"/>
          <w:szCs w:val="28"/>
        </w:rPr>
      </w:pPr>
    </w:p>
    <w:p w14:paraId="1F049EF3" w14:textId="77777777" w:rsidR="00C66A0C" w:rsidRDefault="00C66A0C" w:rsidP="004824F0">
      <w:pPr>
        <w:rPr>
          <w:b/>
          <w:sz w:val="28"/>
          <w:szCs w:val="28"/>
        </w:rPr>
      </w:pPr>
    </w:p>
    <w:p w14:paraId="0F52A446" w14:textId="77777777" w:rsidR="00C66A0C" w:rsidRDefault="00C66A0C" w:rsidP="004824F0">
      <w:pPr>
        <w:rPr>
          <w:b/>
          <w:sz w:val="28"/>
          <w:szCs w:val="28"/>
        </w:rPr>
      </w:pPr>
    </w:p>
    <w:p w14:paraId="7074DCA8" w14:textId="77777777" w:rsidR="00C66A0C" w:rsidRDefault="00C66A0C" w:rsidP="004824F0">
      <w:pPr>
        <w:rPr>
          <w:b/>
          <w:sz w:val="28"/>
          <w:szCs w:val="28"/>
        </w:rPr>
      </w:pPr>
    </w:p>
    <w:p w14:paraId="4E4200F5" w14:textId="77777777" w:rsidR="00C66A0C" w:rsidRDefault="00C66A0C" w:rsidP="004824F0">
      <w:pPr>
        <w:rPr>
          <w:b/>
          <w:sz w:val="28"/>
          <w:szCs w:val="28"/>
        </w:rPr>
      </w:pPr>
    </w:p>
    <w:p w14:paraId="552B8E72" w14:textId="77777777" w:rsidR="00C66A0C" w:rsidRDefault="00C66A0C" w:rsidP="004824F0">
      <w:pPr>
        <w:rPr>
          <w:b/>
          <w:sz w:val="28"/>
          <w:szCs w:val="28"/>
        </w:rPr>
      </w:pPr>
    </w:p>
    <w:p w14:paraId="03048448" w14:textId="77777777" w:rsidR="00C66A0C" w:rsidRDefault="00C66A0C" w:rsidP="004824F0">
      <w:pPr>
        <w:rPr>
          <w:b/>
          <w:sz w:val="28"/>
          <w:szCs w:val="28"/>
        </w:rPr>
      </w:pPr>
    </w:p>
    <w:p w14:paraId="5F5381F7" w14:textId="77777777" w:rsidR="00C66A0C" w:rsidRDefault="00C66A0C" w:rsidP="004824F0">
      <w:pPr>
        <w:rPr>
          <w:b/>
          <w:sz w:val="28"/>
          <w:szCs w:val="28"/>
        </w:rPr>
      </w:pPr>
    </w:p>
    <w:p w14:paraId="21ADC956" w14:textId="77777777" w:rsidR="00C66A0C" w:rsidRDefault="00C66A0C" w:rsidP="004824F0">
      <w:pPr>
        <w:rPr>
          <w:b/>
          <w:sz w:val="28"/>
          <w:szCs w:val="28"/>
        </w:rPr>
      </w:pPr>
    </w:p>
    <w:p w14:paraId="5FF14DB0" w14:textId="172E6C15" w:rsidR="00D44D32" w:rsidRPr="004824F0" w:rsidRDefault="00E80B4F" w:rsidP="004824F0">
      <w:pPr>
        <w:rPr>
          <w:b/>
          <w:sz w:val="28"/>
          <w:szCs w:val="28"/>
        </w:rPr>
      </w:pPr>
      <w:r>
        <w:rPr>
          <w:b/>
          <w:sz w:val="28"/>
          <w:szCs w:val="28"/>
        </w:rPr>
        <w:lastRenderedPageBreak/>
        <w:t>M</w:t>
      </w:r>
      <w:r w:rsidR="002B556A">
        <w:rPr>
          <w:b/>
          <w:sz w:val="28"/>
          <w:szCs w:val="28"/>
        </w:rPr>
        <w:t>INUTES</w:t>
      </w:r>
    </w:p>
    <w:p w14:paraId="473E3A1F" w14:textId="4D7D0BC9" w:rsidR="003A3273" w:rsidRDefault="004C14B3" w:rsidP="004C14B3">
      <w:pPr>
        <w:pStyle w:val="Heading1"/>
      </w:pPr>
      <w:r>
        <w:t>chair</w:t>
      </w:r>
      <w:r w:rsidR="00323938">
        <w:t>’</w:t>
      </w:r>
      <w:r>
        <w:t>s opening remarks</w:t>
      </w:r>
    </w:p>
    <w:p w14:paraId="69CDA1F1" w14:textId="166047F7" w:rsidR="004C14B3" w:rsidRDefault="00C66A0C" w:rsidP="004C14B3">
      <w:pPr>
        <w:pStyle w:val="Heading2"/>
        <w:rPr>
          <w:b w:val="0"/>
        </w:rPr>
      </w:pPr>
      <w:r>
        <w:rPr>
          <w:b w:val="0"/>
        </w:rPr>
        <w:t xml:space="preserve">The Chair began the meeting my thanking Adrian Smith and Shrin Honap for their time on the UKAEA Board. </w:t>
      </w:r>
      <w:r w:rsidR="0063164D">
        <w:rPr>
          <w:b w:val="0"/>
        </w:rPr>
        <w:t>An update on the Board renewals process was provided</w:t>
      </w:r>
    </w:p>
    <w:p w14:paraId="101CEFCB" w14:textId="47A2B354" w:rsidR="004C14B3" w:rsidRDefault="00C66A0C" w:rsidP="004C14B3">
      <w:pPr>
        <w:pStyle w:val="Heading2"/>
        <w:rPr>
          <w:b w:val="0"/>
        </w:rPr>
      </w:pPr>
      <w:r>
        <w:rPr>
          <w:b w:val="0"/>
        </w:rPr>
        <w:t>The Chair u</w:t>
      </w:r>
      <w:r w:rsidR="004C14B3">
        <w:rPr>
          <w:b w:val="0"/>
        </w:rPr>
        <w:t>pdate</w:t>
      </w:r>
      <w:r>
        <w:rPr>
          <w:b w:val="0"/>
        </w:rPr>
        <w:t>d</w:t>
      </w:r>
      <w:r w:rsidR="004C14B3">
        <w:rPr>
          <w:b w:val="0"/>
        </w:rPr>
        <w:t xml:space="preserve"> </w:t>
      </w:r>
      <w:r>
        <w:rPr>
          <w:b w:val="0"/>
        </w:rPr>
        <w:t>the Board on the</w:t>
      </w:r>
      <w:r w:rsidR="004C14B3">
        <w:rPr>
          <w:b w:val="0"/>
        </w:rPr>
        <w:t xml:space="preserve"> appointment of</w:t>
      </w:r>
      <w:r>
        <w:rPr>
          <w:b w:val="0"/>
        </w:rPr>
        <w:t xml:space="preserve"> a</w:t>
      </w:r>
      <w:r w:rsidR="004C14B3">
        <w:rPr>
          <w:b w:val="0"/>
        </w:rPr>
        <w:t xml:space="preserve"> new Board secretariat</w:t>
      </w:r>
      <w:r>
        <w:rPr>
          <w:b w:val="0"/>
        </w:rPr>
        <w:t xml:space="preserve"> from May, and thanked Nick Walkden for his role as Board secretariat</w:t>
      </w:r>
    </w:p>
    <w:p w14:paraId="0F81A731" w14:textId="66923351" w:rsidR="006418D0" w:rsidRDefault="006418D0" w:rsidP="006418D0">
      <w:pPr>
        <w:pStyle w:val="Heading2"/>
        <w:rPr>
          <w:b w:val="0"/>
        </w:rPr>
      </w:pPr>
      <w:r>
        <w:rPr>
          <w:b w:val="0"/>
        </w:rPr>
        <w:t>No interests</w:t>
      </w:r>
      <w:r w:rsidR="000C58CD">
        <w:rPr>
          <w:b w:val="0"/>
        </w:rPr>
        <w:t xml:space="preserve"> were</w:t>
      </w:r>
      <w:r>
        <w:rPr>
          <w:b w:val="0"/>
        </w:rPr>
        <w:t xml:space="preserve"> declared. </w:t>
      </w:r>
    </w:p>
    <w:p w14:paraId="6AE1A1DE" w14:textId="64892913" w:rsidR="006418D0" w:rsidRDefault="006418D0" w:rsidP="006418D0">
      <w:pPr>
        <w:pStyle w:val="Heading1"/>
      </w:pPr>
      <w:r>
        <w:t>minutes and actions</w:t>
      </w:r>
    </w:p>
    <w:p w14:paraId="07F1DBC7" w14:textId="73D86380" w:rsidR="006418D0" w:rsidRDefault="006418D0" w:rsidP="006418D0">
      <w:pPr>
        <w:pStyle w:val="Heading2"/>
        <w:rPr>
          <w:b w:val="0"/>
        </w:rPr>
      </w:pPr>
      <w:r>
        <w:rPr>
          <w:b w:val="0"/>
        </w:rPr>
        <w:t xml:space="preserve">The Board reviewed and approved the minutes of the January meeting. </w:t>
      </w:r>
    </w:p>
    <w:p w14:paraId="1BC8725F" w14:textId="4ED485B5" w:rsidR="006418D0" w:rsidRDefault="006418D0" w:rsidP="006418D0">
      <w:pPr>
        <w:pStyle w:val="Heading2"/>
        <w:rPr>
          <w:b w:val="0"/>
        </w:rPr>
      </w:pPr>
      <w:r>
        <w:rPr>
          <w:b w:val="0"/>
        </w:rPr>
        <w:t>Actions were updated as follows:</w:t>
      </w:r>
    </w:p>
    <w:p w14:paraId="4F6E2028" w14:textId="3D4EB9EE" w:rsidR="006418D0" w:rsidRDefault="000C58CD" w:rsidP="006418D0">
      <w:pPr>
        <w:pStyle w:val="Heading3"/>
      </w:pPr>
      <w:r>
        <w:t>UKAEA(22)</w:t>
      </w:r>
      <w:r w:rsidR="006418D0">
        <w:t xml:space="preserve">1/1 – </w:t>
      </w:r>
      <w:r>
        <w:t>The</w:t>
      </w:r>
      <w:r w:rsidR="006418D0">
        <w:t xml:space="preserve"> Board discussed </w:t>
      </w:r>
      <w:r w:rsidR="00BB0151">
        <w:t>the role of NEDs in feeding into Government discourse</w:t>
      </w:r>
      <w:r w:rsidR="00BE2CFE">
        <w:t xml:space="preserve">, </w:t>
      </w:r>
      <w:r>
        <w:t>and agreed to remove the</w:t>
      </w:r>
      <w:r w:rsidR="00BE2CFE">
        <w:t xml:space="preserve"> action </w:t>
      </w:r>
      <w:r>
        <w:t>from the actions list as BAU activity for the Board, with a</w:t>
      </w:r>
      <w:r w:rsidR="00BE2CFE">
        <w:t xml:space="preserve"> review in the future depending on the success of the </w:t>
      </w:r>
      <w:r>
        <w:t xml:space="preserve">newly formed </w:t>
      </w:r>
      <w:r w:rsidR="00BE2CFE">
        <w:t xml:space="preserve">FSSG. </w:t>
      </w:r>
    </w:p>
    <w:p w14:paraId="32A2A421" w14:textId="18454B08" w:rsidR="00B46236" w:rsidRDefault="000C58CD" w:rsidP="00BD11AE">
      <w:pPr>
        <w:pStyle w:val="Heading3"/>
      </w:pPr>
      <w:r>
        <w:t xml:space="preserve">UKAEA(22)1/4 – The Board noted the postponement of the Fusion22 event in light of current geopolitical circumstances and agreed to pause the action until a new date is known. </w:t>
      </w:r>
    </w:p>
    <w:p w14:paraId="1CF838FE" w14:textId="20FCE2EE" w:rsidR="00BD11AE" w:rsidRDefault="000C58CD" w:rsidP="00BD11AE">
      <w:pPr>
        <w:pStyle w:val="Heading3"/>
      </w:pPr>
      <w:r>
        <w:t xml:space="preserve">UKAEA(22)1/5 – The Board agreed the value of a bilateral Board mentee scheme and agreed to remove the action from the register, but to track progress periodically at Board meetings. </w:t>
      </w:r>
    </w:p>
    <w:p w14:paraId="0FCADCAE" w14:textId="5B704237" w:rsidR="003157CD" w:rsidRPr="003157CD" w:rsidRDefault="000C58CD" w:rsidP="003157CD">
      <w:pPr>
        <w:pStyle w:val="Heading3"/>
      </w:pPr>
      <w:r>
        <w:t xml:space="preserve">UKAEA(21)6/4 – The </w:t>
      </w:r>
      <w:r w:rsidR="003157CD">
        <w:t xml:space="preserve">Board discussed </w:t>
      </w:r>
      <w:r>
        <w:t xml:space="preserve">the increasing threat of a </w:t>
      </w:r>
      <w:r w:rsidR="00FE1E81">
        <w:t>cyber-attack</w:t>
      </w:r>
      <w:r w:rsidR="00932115">
        <w:t xml:space="preserve"> and requested the organisation of the security briefing be accelerated</w:t>
      </w:r>
      <w:r w:rsidR="009F495F">
        <w:t>.</w:t>
      </w:r>
      <w:r w:rsidR="00932115">
        <w:t xml:space="preserve"> The</w:t>
      </w:r>
      <w:r w:rsidR="009F495F">
        <w:t xml:space="preserve"> Board were assured of the processes and activities in place </w:t>
      </w:r>
      <w:r w:rsidR="00932115">
        <w:t xml:space="preserve">in the organisation </w:t>
      </w:r>
      <w:r w:rsidR="009F495F">
        <w:t xml:space="preserve">in light of the increased </w:t>
      </w:r>
      <w:r w:rsidR="00FE1E81">
        <w:t>threat and</w:t>
      </w:r>
      <w:r w:rsidR="009F495F">
        <w:t xml:space="preserve"> held a wide ranging discussion on the </w:t>
      </w:r>
      <w:r w:rsidR="00932115">
        <w:t>heightened</w:t>
      </w:r>
      <w:r w:rsidR="009F495F">
        <w:t xml:space="preserve"> threat and how it might impact the organisation. </w:t>
      </w:r>
      <w:r w:rsidR="00932115">
        <w:t xml:space="preserve">The </w:t>
      </w:r>
      <w:r w:rsidR="009F495F">
        <w:t>Board</w:t>
      </w:r>
      <w:r w:rsidR="00932115">
        <w:t xml:space="preserve"> were</w:t>
      </w:r>
      <w:r w:rsidR="009F495F">
        <w:t xml:space="preserve"> welcomed to contribute </w:t>
      </w:r>
      <w:r w:rsidR="00932115">
        <w:t>examples best practice and external contacts</w:t>
      </w:r>
      <w:r w:rsidR="009F495F">
        <w:t xml:space="preserve"> from other organisations</w:t>
      </w:r>
      <w:r w:rsidR="00932115">
        <w:t xml:space="preserve"> to support cyber security</w:t>
      </w:r>
      <w:r w:rsidR="009F495F">
        <w:t xml:space="preserve">. </w:t>
      </w:r>
      <w:r w:rsidR="00932115" w:rsidRPr="00EB41BD">
        <w:rPr>
          <w:b/>
        </w:rPr>
        <w:t xml:space="preserve">The Board requested </w:t>
      </w:r>
      <w:r w:rsidR="0064655F" w:rsidRPr="00EB41BD">
        <w:rPr>
          <w:b/>
        </w:rPr>
        <w:t xml:space="preserve"> a teach-in on cyber</w:t>
      </w:r>
      <w:r w:rsidR="00932115" w:rsidRPr="00EB41BD">
        <w:rPr>
          <w:b/>
        </w:rPr>
        <w:t xml:space="preserve"> security at UKAEA</w:t>
      </w:r>
      <w:r w:rsidR="0064655F" w:rsidRPr="00EB41BD">
        <w:rPr>
          <w:b/>
        </w:rPr>
        <w:t xml:space="preserve"> for newer </w:t>
      </w:r>
      <w:r w:rsidR="00932115" w:rsidRPr="00EB41BD">
        <w:rPr>
          <w:b/>
        </w:rPr>
        <w:t>Board members</w:t>
      </w:r>
      <w:r w:rsidR="0064655F">
        <w:t xml:space="preserve"> </w:t>
      </w:r>
      <w:r w:rsidR="008B61A9">
        <w:t>–</w:t>
      </w:r>
      <w:r w:rsidR="0064655F">
        <w:t xml:space="preserve"> </w:t>
      </w:r>
      <w:r w:rsidR="0064655F">
        <w:rPr>
          <w:b/>
        </w:rPr>
        <w:t>Action</w:t>
      </w:r>
      <w:r w:rsidR="008B61A9">
        <w:rPr>
          <w:b/>
        </w:rPr>
        <w:t xml:space="preserve"> UKAEA(22)2/1</w:t>
      </w:r>
    </w:p>
    <w:p w14:paraId="702F30E5" w14:textId="77FE6CB5" w:rsidR="00BD11AE" w:rsidRPr="001C7CE5" w:rsidRDefault="009F495F" w:rsidP="003157CD">
      <w:pPr>
        <w:pStyle w:val="Heading1"/>
      </w:pPr>
      <w:r w:rsidRPr="001C7CE5">
        <w:t>executive board report</w:t>
      </w:r>
    </w:p>
    <w:p w14:paraId="7750F61B" w14:textId="2BC4E880" w:rsidR="009F495F" w:rsidRPr="001C7CE5" w:rsidRDefault="001C7CE5" w:rsidP="009F495F">
      <w:pPr>
        <w:pStyle w:val="Heading2"/>
        <w:rPr>
          <w:color w:val="000000" w:themeColor="text1"/>
        </w:rPr>
      </w:pPr>
      <w:r>
        <w:rPr>
          <w:b w:val="0"/>
          <w:color w:val="000000" w:themeColor="text1"/>
        </w:rPr>
        <w:t xml:space="preserve">The Board were updated on the status of the CCDP project and a proposal to accelerate the release of entrance land to the council, alongside contributions via a S106 payment to provide for enhanced cycle access to Culham campus in order to meet requirements of planning in relation to traffic management. The Chair of the PSC provided a recommendation to the Board to approve the proposal. The Board approved the proposal. </w:t>
      </w:r>
    </w:p>
    <w:p w14:paraId="09D5A1A9" w14:textId="65A693D0" w:rsidR="00415F80" w:rsidRDefault="00EB41BD" w:rsidP="00415F80">
      <w:pPr>
        <w:pStyle w:val="Heading2"/>
        <w:rPr>
          <w:b w:val="0"/>
        </w:rPr>
      </w:pPr>
      <w:r>
        <w:rPr>
          <w:b w:val="0"/>
        </w:rPr>
        <w:t xml:space="preserve">The CEO updated the Board on several activities and issues highlighted within the paper. </w:t>
      </w:r>
      <w:r w:rsidRPr="00EB41BD">
        <w:t>The Board noted the re-allocation of spending review</w:t>
      </w:r>
      <w:r w:rsidR="00415F80" w:rsidRPr="00EB41BD">
        <w:t xml:space="preserve"> </w:t>
      </w:r>
      <w:r w:rsidRPr="00EB41BD">
        <w:t>delegations under agreement with BEIS,</w:t>
      </w:r>
      <w:r>
        <w:rPr>
          <w:b w:val="0"/>
        </w:rPr>
        <w:t xml:space="preserve"> and described in further detail within the finance update paper. </w:t>
      </w:r>
    </w:p>
    <w:p w14:paraId="2B4461A7" w14:textId="076283C0" w:rsidR="00415F80" w:rsidRDefault="00EB41BD" w:rsidP="00415F80">
      <w:pPr>
        <w:pStyle w:val="Heading2"/>
        <w:rPr>
          <w:b w:val="0"/>
        </w:rPr>
      </w:pPr>
      <w:r>
        <w:rPr>
          <w:b w:val="0"/>
        </w:rPr>
        <w:t xml:space="preserve">The Board discussed in detail </w:t>
      </w:r>
      <w:r w:rsidR="0029620E">
        <w:rPr>
          <w:b w:val="0"/>
        </w:rPr>
        <w:t>the increasing fusion activities within the US</w:t>
      </w:r>
      <w:r>
        <w:rPr>
          <w:b w:val="0"/>
        </w:rPr>
        <w:t xml:space="preserve"> and the prospects for undertaking a high bilateral collaboration between UK and US </w:t>
      </w:r>
      <w:r>
        <w:rPr>
          <w:b w:val="0"/>
        </w:rPr>
        <w:lastRenderedPageBreak/>
        <w:t>administrations in fusion. The Board discussed the objectives, leadership, risks, and support structure of such a collaboration.</w:t>
      </w:r>
      <w:r w:rsidR="00221298">
        <w:rPr>
          <w:b w:val="0"/>
        </w:rPr>
        <w:t xml:space="preserve"> </w:t>
      </w:r>
      <w:r>
        <w:t>The Board encouraged the Executive and BEIS to continue the development of potential frameworks for collaboration, and requested a paper at</w:t>
      </w:r>
      <w:r w:rsidR="004613A9" w:rsidRPr="004613A9">
        <w:t xml:space="preserve"> the next board outlining the v</w:t>
      </w:r>
      <w:r>
        <w:t>ision and possible nature of a</w:t>
      </w:r>
      <w:r w:rsidR="004613A9" w:rsidRPr="004613A9">
        <w:t xml:space="preserve"> collaboration for further discussion</w:t>
      </w:r>
      <w:r w:rsidR="005D00B0">
        <w:t>, including</w:t>
      </w:r>
      <w:r>
        <w:t xml:space="preserve"> discussion of</w:t>
      </w:r>
      <w:r w:rsidR="005D00B0">
        <w:t xml:space="preserve"> freedoms to act</w:t>
      </w:r>
      <w:r>
        <w:t xml:space="preserve">, risks to the domestic fusion strategy, and impact </w:t>
      </w:r>
      <w:r w:rsidR="00977C51">
        <w:t>on</w:t>
      </w:r>
      <w:r>
        <w:t xml:space="preserve"> the</w:t>
      </w:r>
      <w:r w:rsidR="00977C51">
        <w:t xml:space="preserve"> industrial base</w:t>
      </w:r>
      <w:r>
        <w:rPr>
          <w:b w:val="0"/>
        </w:rPr>
        <w:t xml:space="preserve"> -</w:t>
      </w:r>
      <w:r w:rsidR="009F7C25">
        <w:rPr>
          <w:b w:val="0"/>
        </w:rPr>
        <w:t xml:space="preserve"> </w:t>
      </w:r>
      <w:r w:rsidR="008B61A9">
        <w:t>Action</w:t>
      </w:r>
      <w:r w:rsidR="008B61A9">
        <w:rPr>
          <w:b w:val="0"/>
        </w:rPr>
        <w:t xml:space="preserve"> </w:t>
      </w:r>
      <w:r w:rsidR="008B61A9" w:rsidRPr="008B61A9">
        <w:t>UKAEA(22)2/2</w:t>
      </w:r>
    </w:p>
    <w:p w14:paraId="4E0209E1" w14:textId="0BF4424E" w:rsidR="000941F2" w:rsidRDefault="009B065C" w:rsidP="000941F2">
      <w:pPr>
        <w:pStyle w:val="Heading2"/>
        <w:rPr>
          <w:b w:val="0"/>
        </w:rPr>
      </w:pPr>
      <w:r>
        <w:rPr>
          <w:b w:val="0"/>
        </w:rPr>
        <w:t xml:space="preserve">The Board were updated on the current status of </w:t>
      </w:r>
      <w:r w:rsidR="009F7C25">
        <w:rPr>
          <w:b w:val="0"/>
        </w:rPr>
        <w:t>Euratom</w:t>
      </w:r>
      <w:r>
        <w:rPr>
          <w:b w:val="0"/>
        </w:rPr>
        <w:t>,</w:t>
      </w:r>
      <w:r w:rsidRPr="009B065C">
        <w:rPr>
          <w:b w:val="0"/>
        </w:rPr>
        <w:t xml:space="preserve"> and noted an considerably increased risk with relation to association and continued funding of JET operations</w:t>
      </w:r>
      <w:r w:rsidR="009F7C25">
        <w:rPr>
          <w:b w:val="0"/>
        </w:rPr>
        <w:t xml:space="preserve">. </w:t>
      </w:r>
      <w:r>
        <w:rPr>
          <w:b w:val="0"/>
        </w:rPr>
        <w:t>The Board discussed the potential appetite to pursue bilateral work with ITER, and other mitigations in the event that association is not achieved</w:t>
      </w:r>
      <w:r w:rsidR="000941F2">
        <w:rPr>
          <w:b w:val="0"/>
        </w:rPr>
        <w:t xml:space="preserve">. </w:t>
      </w:r>
      <w:r>
        <w:t>The Board requested a more fulsome update on the status and mitigations to Euratom association at the next meeting.</w:t>
      </w:r>
      <w:r w:rsidR="000941F2">
        <w:t xml:space="preserve"> </w:t>
      </w:r>
    </w:p>
    <w:p w14:paraId="037BF837" w14:textId="77777777" w:rsidR="009B065C" w:rsidRPr="009B065C" w:rsidRDefault="009B065C" w:rsidP="005C37D3">
      <w:pPr>
        <w:pStyle w:val="Heading2"/>
      </w:pPr>
      <w:r>
        <w:rPr>
          <w:b w:val="0"/>
        </w:rPr>
        <w:t>The Board were updated on a number of items including:</w:t>
      </w:r>
    </w:p>
    <w:p w14:paraId="19EAFAC0" w14:textId="77777777" w:rsidR="009B065C" w:rsidRDefault="009B065C" w:rsidP="009B065C">
      <w:pPr>
        <w:pStyle w:val="Heading3"/>
      </w:pPr>
      <w:r>
        <w:t>recent ministerial and political events, including the output from the last Fusion Senior Sponsorship Group.</w:t>
      </w:r>
    </w:p>
    <w:p w14:paraId="404A70A9" w14:textId="3A863E2A" w:rsidR="009B065C" w:rsidRDefault="009B065C" w:rsidP="009B065C">
      <w:pPr>
        <w:pStyle w:val="Heading3"/>
      </w:pPr>
      <w:r>
        <w:t>T</w:t>
      </w:r>
      <w:r w:rsidR="005C37D3" w:rsidRPr="009B065C">
        <w:t>he status of</w:t>
      </w:r>
      <w:r>
        <w:t xml:space="preserve"> major programmes, particularly</w:t>
      </w:r>
      <w:r w:rsidR="005C37D3" w:rsidRPr="009B065C">
        <w:t xml:space="preserve"> the Fusion Foundations and Fusion Industry programmes. </w:t>
      </w:r>
    </w:p>
    <w:p w14:paraId="4B0BB1B1" w14:textId="6C2ABEE1" w:rsidR="009B065C" w:rsidRDefault="009B065C" w:rsidP="009B065C">
      <w:pPr>
        <w:pStyle w:val="Heading3"/>
      </w:pPr>
      <w:r>
        <w:t>The latest Corporate Risk review and the top risks to the organisation</w:t>
      </w:r>
    </w:p>
    <w:p w14:paraId="1AACA460" w14:textId="76955EC3" w:rsidR="009B065C" w:rsidRDefault="009B065C" w:rsidP="009B065C">
      <w:pPr>
        <w:pStyle w:val="Heading3"/>
      </w:pPr>
      <w:r>
        <w:t xml:space="preserve">The latest status and detail of a deep dive into the environmental permit breach, and were assured by the actions taken in response and the effectiveness of the lines of defence within the organisation, noting ongoing discussions with the Environment Agency with updates to be issued as discussions continue. </w:t>
      </w:r>
    </w:p>
    <w:p w14:paraId="400F6B9C" w14:textId="086D237C" w:rsidR="009B065C" w:rsidRPr="009B065C" w:rsidRDefault="009B065C" w:rsidP="00E533A3">
      <w:pPr>
        <w:pStyle w:val="Heading2"/>
      </w:pPr>
      <w:r>
        <w:rPr>
          <w:b w:val="0"/>
        </w:rPr>
        <w:t>The Board reviewed the</w:t>
      </w:r>
      <w:r w:rsidR="00E533A3">
        <w:rPr>
          <w:b w:val="0"/>
        </w:rPr>
        <w:t xml:space="preserve"> UKAEA</w:t>
      </w:r>
      <w:r>
        <w:rPr>
          <w:b w:val="0"/>
        </w:rPr>
        <w:t xml:space="preserve"> Risk Appetite statement for 2022, and discussed in detail the wording of the appetite for compliance and legislation risk, suggesting a </w:t>
      </w:r>
      <w:r w:rsidR="00E533A3">
        <w:rPr>
          <w:b w:val="0"/>
        </w:rPr>
        <w:t>modified wording</w:t>
      </w:r>
      <w:r>
        <w:rPr>
          <w:b w:val="0"/>
        </w:rPr>
        <w:t xml:space="preserve">. </w:t>
      </w:r>
      <w:r w:rsidRPr="00D65692">
        <w:t xml:space="preserve">The Board approved the </w:t>
      </w:r>
      <w:r w:rsidR="00E533A3" w:rsidRPr="00D65692">
        <w:t>risk appetite with this change</w:t>
      </w:r>
      <w:r w:rsidR="00E533A3">
        <w:rPr>
          <w:b w:val="0"/>
        </w:rPr>
        <w:t xml:space="preserve">, and </w:t>
      </w:r>
      <w:r>
        <w:rPr>
          <w:b w:val="0"/>
        </w:rPr>
        <w:t xml:space="preserve">commended risk team for </w:t>
      </w:r>
      <w:r w:rsidR="00E533A3">
        <w:rPr>
          <w:b w:val="0"/>
        </w:rPr>
        <w:t xml:space="preserve">the </w:t>
      </w:r>
      <w:r>
        <w:rPr>
          <w:b w:val="0"/>
        </w:rPr>
        <w:t>work done over 4 year</w:t>
      </w:r>
      <w:r w:rsidR="00E533A3">
        <w:rPr>
          <w:b w:val="0"/>
        </w:rPr>
        <w:t>s of progress</w:t>
      </w:r>
      <w:r>
        <w:rPr>
          <w:b w:val="0"/>
        </w:rPr>
        <w:t xml:space="preserve">, noting </w:t>
      </w:r>
      <w:r w:rsidR="00E533A3">
        <w:rPr>
          <w:b w:val="0"/>
        </w:rPr>
        <w:t xml:space="preserve">that UKAEA </w:t>
      </w:r>
      <w:r>
        <w:rPr>
          <w:b w:val="0"/>
        </w:rPr>
        <w:t xml:space="preserve">reporting </w:t>
      </w:r>
      <w:r w:rsidR="00E533A3">
        <w:rPr>
          <w:b w:val="0"/>
        </w:rPr>
        <w:t xml:space="preserve">is </w:t>
      </w:r>
      <w:r>
        <w:rPr>
          <w:b w:val="0"/>
        </w:rPr>
        <w:t xml:space="preserve">being used as exemplar in other organisations.  </w:t>
      </w:r>
    </w:p>
    <w:p w14:paraId="3E2A0EA7" w14:textId="15E8D40C" w:rsidR="00FB6732" w:rsidRPr="00DB520E" w:rsidRDefault="003C725D" w:rsidP="00DB520E">
      <w:pPr>
        <w:pStyle w:val="Heading2"/>
        <w:rPr>
          <w:b w:val="0"/>
        </w:rPr>
      </w:pPr>
      <w:r>
        <w:rPr>
          <w:b w:val="0"/>
        </w:rPr>
        <w:t xml:space="preserve">The Board were updated on the status of </w:t>
      </w:r>
      <w:r w:rsidR="00D65692">
        <w:rPr>
          <w:b w:val="0"/>
        </w:rPr>
        <w:t xml:space="preserve">communications and </w:t>
      </w:r>
      <w:r>
        <w:rPr>
          <w:b w:val="0"/>
        </w:rPr>
        <w:t>events</w:t>
      </w:r>
      <w:r w:rsidR="00D65692">
        <w:rPr>
          <w:b w:val="0"/>
        </w:rPr>
        <w:t xml:space="preserve"> and commended the communications report provided. The Board noted challenges in engaging</w:t>
      </w:r>
      <w:r>
        <w:rPr>
          <w:b w:val="0"/>
        </w:rPr>
        <w:t xml:space="preserve"> with Government over the holding of events</w:t>
      </w:r>
      <w:r w:rsidR="00D65692">
        <w:rPr>
          <w:b w:val="0"/>
        </w:rPr>
        <w:t>, and discussed the impact</w:t>
      </w:r>
      <w:r>
        <w:rPr>
          <w:b w:val="0"/>
        </w:rPr>
        <w:t xml:space="preserve"> on</w:t>
      </w:r>
      <w:r w:rsidR="00D65692">
        <w:rPr>
          <w:b w:val="0"/>
        </w:rPr>
        <w:t xml:space="preserve"> the UKAEA mission noting </w:t>
      </w:r>
      <w:r w:rsidR="00DB520E">
        <w:rPr>
          <w:b w:val="0"/>
        </w:rPr>
        <w:t xml:space="preserve">an increased risk to delivery with heightened restrictions on comms activities. The Board noted the development of a strategic comms plan with BEIS. The Board discussed </w:t>
      </w:r>
      <w:r w:rsidR="00DB520E">
        <w:rPr>
          <w:b w:val="0"/>
        </w:rPr>
        <w:lastRenderedPageBreak/>
        <w:t>upcoming</w:t>
      </w:r>
      <w:r>
        <w:rPr>
          <w:b w:val="0"/>
        </w:rPr>
        <w:t xml:space="preserve"> IAEA conferences </w:t>
      </w:r>
      <w:r w:rsidR="00DB520E">
        <w:rPr>
          <w:b w:val="0"/>
        </w:rPr>
        <w:t xml:space="preserve">and agreed firmly that these represent </w:t>
      </w:r>
      <w:r>
        <w:rPr>
          <w:b w:val="0"/>
        </w:rPr>
        <w:t>technical scientific</w:t>
      </w:r>
      <w:r w:rsidR="00DB520E">
        <w:rPr>
          <w:b w:val="0"/>
        </w:rPr>
        <w:t xml:space="preserve"> conferences in the field and should not be regarded as comms events</w:t>
      </w:r>
      <w:r w:rsidR="001E5A18">
        <w:rPr>
          <w:b w:val="0"/>
        </w:rPr>
        <w:t xml:space="preserve">. </w:t>
      </w:r>
    </w:p>
    <w:p w14:paraId="3948814B" w14:textId="11C6E9EE" w:rsidR="00690C7F" w:rsidRDefault="007C7243" w:rsidP="007C7243">
      <w:pPr>
        <w:pStyle w:val="Heading1"/>
      </w:pPr>
      <w:r>
        <w:t>subcommittee updates</w:t>
      </w:r>
    </w:p>
    <w:p w14:paraId="56D3ADFF" w14:textId="14AFB3BF" w:rsidR="007C7243" w:rsidRDefault="00DB520E" w:rsidP="007C7243">
      <w:pPr>
        <w:pStyle w:val="Heading2"/>
      </w:pPr>
      <w:r>
        <w:rPr>
          <w:b w:val="0"/>
        </w:rPr>
        <w:t>The Chair of the Audit and Risk</w:t>
      </w:r>
      <w:r w:rsidR="00683279">
        <w:rPr>
          <w:b w:val="0"/>
        </w:rPr>
        <w:t xml:space="preserve"> Assurance</w:t>
      </w:r>
      <w:r>
        <w:rPr>
          <w:b w:val="0"/>
        </w:rPr>
        <w:t xml:space="preserve"> Committee updated the Board verbally on the outcomes of the last ARAC meeting as follows:</w:t>
      </w:r>
    </w:p>
    <w:p w14:paraId="0648C22D" w14:textId="434A0C5C" w:rsidR="00687670" w:rsidRDefault="002F7C8A" w:rsidP="00DB520E">
      <w:pPr>
        <w:pStyle w:val="Heading3"/>
      </w:pPr>
      <w:r>
        <w:t>The audit roadmap to the end of the FY was reviewed with the NAO and is considered on track</w:t>
      </w:r>
    </w:p>
    <w:p w14:paraId="0E644FFE" w14:textId="0217D050" w:rsidR="00687670" w:rsidRDefault="002F7C8A" w:rsidP="002F7C8A">
      <w:pPr>
        <w:pStyle w:val="Heading3"/>
      </w:pPr>
      <w:r>
        <w:t>The committee discussed the top corporate risks in detail with a focus on</w:t>
      </w:r>
      <w:r w:rsidR="00687670">
        <w:t xml:space="preserve"> </w:t>
      </w:r>
      <w:r>
        <w:t xml:space="preserve">Russia, Euratom association, a deep dive on cyber, and risks related to STEP, </w:t>
      </w:r>
      <w:r w:rsidR="00FE1E81">
        <w:t>alongside</w:t>
      </w:r>
      <w:r w:rsidR="00F34B88">
        <w:t xml:space="preserve"> the current landscape and plans for STEP.</w:t>
      </w:r>
    </w:p>
    <w:p w14:paraId="555AFE15" w14:textId="40FF13E9" w:rsidR="00F34B88" w:rsidRDefault="002F7C8A" w:rsidP="00DB520E">
      <w:pPr>
        <w:pStyle w:val="Heading3"/>
      </w:pPr>
      <w:r>
        <w:t>The Committee were pleased to see a</w:t>
      </w:r>
      <w:r w:rsidR="00F34B88">
        <w:t xml:space="preserve"> reduction in the number of overdue audit actions, and </w:t>
      </w:r>
      <w:r>
        <w:t>challenged the management team to keep to these</w:t>
      </w:r>
      <w:r w:rsidR="00F34B88">
        <w:t xml:space="preserve"> reduced levels. The timeliness and appropriateness of the audit process was discussed, with enhanced expectations</w:t>
      </w:r>
      <w:r>
        <w:t xml:space="preserve"> placed</w:t>
      </w:r>
      <w:r w:rsidR="00F34B88">
        <w:t xml:space="preserve"> on the </w:t>
      </w:r>
      <w:r>
        <w:t>management</w:t>
      </w:r>
      <w:r w:rsidR="00F34B88">
        <w:t xml:space="preserve"> response. </w:t>
      </w:r>
    </w:p>
    <w:p w14:paraId="03F67BD0" w14:textId="1A79933A" w:rsidR="00F34B88" w:rsidRDefault="00F34B88" w:rsidP="00DB520E">
      <w:pPr>
        <w:pStyle w:val="Heading3"/>
      </w:pPr>
      <w:r>
        <w:t>The audit plan for the coming year was reviewed</w:t>
      </w:r>
      <w:r w:rsidR="002F7C8A">
        <w:t xml:space="preserve"> and deemed appropriate by the C</w:t>
      </w:r>
      <w:r>
        <w:t xml:space="preserve">ommittee. </w:t>
      </w:r>
    </w:p>
    <w:p w14:paraId="01BC1508" w14:textId="07B231D8" w:rsidR="00FC49A2" w:rsidRDefault="002F7C8A" w:rsidP="002F7C8A">
      <w:pPr>
        <w:pStyle w:val="Heading3"/>
      </w:pPr>
      <w:r>
        <w:t xml:space="preserve">A </w:t>
      </w:r>
      <w:r w:rsidR="00FE1E81">
        <w:t>s</w:t>
      </w:r>
      <w:r w:rsidR="00FC49A2">
        <w:t>uccessful transition to new ARAC chair</w:t>
      </w:r>
      <w:r>
        <w:t xml:space="preserve"> was noted</w:t>
      </w:r>
      <w:r w:rsidR="00FC49A2">
        <w:t xml:space="preserve">. </w:t>
      </w:r>
    </w:p>
    <w:p w14:paraId="61A7B5B7" w14:textId="338F567E" w:rsidR="00FC49A2" w:rsidRDefault="002F7C8A" w:rsidP="00FC49A2">
      <w:pPr>
        <w:pStyle w:val="Heading2"/>
      </w:pPr>
      <w:r>
        <w:rPr>
          <w:b w:val="0"/>
        </w:rPr>
        <w:t>The Chair of the People and Remuneration Committee provided a verbal update on the</w:t>
      </w:r>
      <w:r w:rsidR="00683279">
        <w:rPr>
          <w:b w:val="0"/>
        </w:rPr>
        <w:t xml:space="preserve"> outcomes from the last meeting:</w:t>
      </w:r>
      <w:r>
        <w:rPr>
          <w:b w:val="0"/>
        </w:rPr>
        <w:t xml:space="preserve"> </w:t>
      </w:r>
    </w:p>
    <w:p w14:paraId="067E802E" w14:textId="0B7B3CB7" w:rsidR="00FC49A2" w:rsidRDefault="00D761B0" w:rsidP="00D761B0">
      <w:pPr>
        <w:pStyle w:val="Heading3"/>
      </w:pPr>
      <w:r>
        <w:t xml:space="preserve">The </w:t>
      </w:r>
      <w:r w:rsidR="00FC49A2">
        <w:t>Committee reviewed</w:t>
      </w:r>
      <w:r>
        <w:t xml:space="preserve"> the</w:t>
      </w:r>
      <w:r w:rsidR="00FC49A2">
        <w:t xml:space="preserve"> objectives for the Executive team for the new financial year</w:t>
      </w:r>
      <w:r>
        <w:t xml:space="preserve"> in detail</w:t>
      </w:r>
      <w:r w:rsidR="00FC49A2">
        <w:t xml:space="preserve">, and </w:t>
      </w:r>
      <w:r>
        <w:t>were assured</w:t>
      </w:r>
      <w:r w:rsidR="00FC49A2">
        <w:t xml:space="preserve"> </w:t>
      </w:r>
      <w:r>
        <w:t>that they</w:t>
      </w:r>
      <w:r w:rsidR="00FC49A2">
        <w:t xml:space="preserve"> reflect scale and content of expectations on senior leaders</w:t>
      </w:r>
      <w:r>
        <w:t xml:space="preserve"> with some small suggestions and changes provided</w:t>
      </w:r>
      <w:r w:rsidR="00FC49A2">
        <w:t xml:space="preserve">. </w:t>
      </w:r>
      <w:r>
        <w:t xml:space="preserve">The </w:t>
      </w:r>
      <w:r w:rsidR="00FC49A2">
        <w:t>Committee recognised the commitment of the CEO and senior team to the performance management process</w:t>
      </w:r>
    </w:p>
    <w:p w14:paraId="63884EB0" w14:textId="2304C398" w:rsidR="00FC49A2" w:rsidRDefault="00D761B0" w:rsidP="00683279">
      <w:pPr>
        <w:pStyle w:val="Heading3"/>
      </w:pPr>
      <w:r>
        <w:t xml:space="preserve">The </w:t>
      </w:r>
      <w:r w:rsidR="00FC49A2">
        <w:t>Committee</w:t>
      </w:r>
      <w:r>
        <w:t xml:space="preserve"> held a</w:t>
      </w:r>
      <w:r w:rsidR="00FC49A2">
        <w:t xml:space="preserve"> focus on key elements of the developing people strategy, including the gender pay gap</w:t>
      </w:r>
      <w:r w:rsidR="005B08EF">
        <w:t xml:space="preserve"> and actions identified to address it. </w:t>
      </w:r>
      <w:r>
        <w:t>The Committee recommended that the Board read</w:t>
      </w:r>
      <w:r w:rsidR="005B08EF">
        <w:t xml:space="preserve"> the gender pay gap report when it is published</w:t>
      </w:r>
      <w:r>
        <w:t xml:space="preserve"> publicly. An updated schedule for the development of the People strategy was provided.</w:t>
      </w:r>
    </w:p>
    <w:p w14:paraId="4A2C95A4" w14:textId="066E3D53" w:rsidR="005B08EF" w:rsidRDefault="005B08EF" w:rsidP="00683279">
      <w:pPr>
        <w:pStyle w:val="Heading3"/>
      </w:pPr>
      <w:r>
        <w:t xml:space="preserve">The Committee </w:t>
      </w:r>
      <w:r w:rsidR="00D761B0">
        <w:t>noted</w:t>
      </w:r>
      <w:r>
        <w:t xml:space="preserve"> that the mobilisation of the Inclusion council is now well underway</w:t>
      </w:r>
    </w:p>
    <w:p w14:paraId="702BF13C" w14:textId="4E335445" w:rsidR="005B08EF" w:rsidRDefault="005B08EF" w:rsidP="00683279">
      <w:pPr>
        <w:pStyle w:val="Heading3"/>
      </w:pPr>
      <w:r>
        <w:t xml:space="preserve">The Committee discussed the process for enactment of the new flexibilities for senior staff appointment and promotion, noting that the first wave of the process is expected to </w:t>
      </w:r>
      <w:r>
        <w:lastRenderedPageBreak/>
        <w:t xml:space="preserve">conclude in the summer. </w:t>
      </w:r>
      <w:r w:rsidR="004356D9">
        <w:t>The Board noted the</w:t>
      </w:r>
      <w:r w:rsidR="00D761B0">
        <w:t xml:space="preserve"> potential</w:t>
      </w:r>
      <w:r w:rsidR="004356D9">
        <w:t xml:space="preserve"> consequences associated with increased pay at steady budget.</w:t>
      </w:r>
    </w:p>
    <w:p w14:paraId="2D94DF68" w14:textId="3F89A726" w:rsidR="00690C7F" w:rsidRDefault="00D761B0" w:rsidP="004356D9">
      <w:pPr>
        <w:pStyle w:val="Heading2"/>
      </w:pPr>
      <w:r>
        <w:rPr>
          <w:b w:val="0"/>
        </w:rPr>
        <w:t>The Chair of the Property Sub-Committee updated the Board verbally on the outcomes of the last meeting:</w:t>
      </w:r>
    </w:p>
    <w:p w14:paraId="68F759F8" w14:textId="1FDFE2BF" w:rsidR="004356D9" w:rsidRDefault="00AF3C08" w:rsidP="00D761B0">
      <w:pPr>
        <w:pStyle w:val="Heading3"/>
      </w:pPr>
      <w:r>
        <w:t>The status of the CCDP project was discussed by the Committee which informed the</w:t>
      </w:r>
      <w:r w:rsidR="004356D9">
        <w:t xml:space="preserve"> decision made by </w:t>
      </w:r>
      <w:r>
        <w:t xml:space="preserve">the </w:t>
      </w:r>
      <w:r w:rsidR="004356D9">
        <w:t xml:space="preserve">Board during this agenda. </w:t>
      </w:r>
    </w:p>
    <w:p w14:paraId="34488216" w14:textId="53179C7E" w:rsidR="004356D9" w:rsidRDefault="00AF3C08" w:rsidP="00D761B0">
      <w:pPr>
        <w:pStyle w:val="Heading3"/>
      </w:pPr>
      <w:r>
        <w:t>The Committee r</w:t>
      </w:r>
      <w:r w:rsidR="004356D9">
        <w:t>eceived an update on the ST</w:t>
      </w:r>
      <w:r>
        <w:t xml:space="preserve">EP site </w:t>
      </w:r>
      <w:r w:rsidR="00FE1E81">
        <w:t>selection and</w:t>
      </w:r>
      <w:r>
        <w:t xml:space="preserve"> were assured of the quality of the process and highlighted the </w:t>
      </w:r>
      <w:r w:rsidR="004356D9">
        <w:t xml:space="preserve">importance of commercial opportunities in the wider areas associated with siting discussion. </w:t>
      </w:r>
    </w:p>
    <w:p w14:paraId="00732FDA" w14:textId="7A3ECBB3" w:rsidR="004356D9" w:rsidRDefault="00AF3C08" w:rsidP="00D761B0">
      <w:pPr>
        <w:pStyle w:val="Heading3"/>
      </w:pPr>
      <w:r>
        <w:t xml:space="preserve">The </w:t>
      </w:r>
      <w:r w:rsidR="004356D9">
        <w:t xml:space="preserve">Committee discussed the development plans for the Harwell campus and the terms of land release </w:t>
      </w:r>
    </w:p>
    <w:p w14:paraId="2B1B13D1" w14:textId="7525CCAF" w:rsidR="004356D9" w:rsidRDefault="00AF3C08" w:rsidP="00AF3C08">
      <w:pPr>
        <w:pStyle w:val="Heading3"/>
      </w:pPr>
      <w:r>
        <w:t>The Committee reviewed and discussed an updated Sustainability strategy</w:t>
      </w:r>
      <w:r w:rsidR="004356D9">
        <w:t xml:space="preserve"> </w:t>
      </w:r>
      <w:r>
        <w:t>and advised on including the</w:t>
      </w:r>
      <w:r w:rsidR="004356D9">
        <w:t xml:space="preserve"> impact of embedded carbon in current</w:t>
      </w:r>
      <w:r>
        <w:t xml:space="preserve"> </w:t>
      </w:r>
      <w:r w:rsidR="00FE1E81">
        <w:t>building</w:t>
      </w:r>
      <w:r w:rsidR="004356D9">
        <w:t xml:space="preserve"> stock</w:t>
      </w:r>
    </w:p>
    <w:p w14:paraId="48D4122A" w14:textId="783AADA3" w:rsidR="004356D9" w:rsidRDefault="004356D9" w:rsidP="004356D9">
      <w:pPr>
        <w:pStyle w:val="Heading1"/>
      </w:pPr>
      <w:r>
        <w:t>review of the arac tors</w:t>
      </w:r>
    </w:p>
    <w:p w14:paraId="0AC9BBEA" w14:textId="743D5E21" w:rsidR="004356D9" w:rsidRDefault="00FB03C8" w:rsidP="004356D9">
      <w:pPr>
        <w:pStyle w:val="Heading2"/>
        <w:rPr>
          <w:b w:val="0"/>
        </w:rPr>
      </w:pPr>
      <w:r>
        <w:rPr>
          <w:b w:val="0"/>
        </w:rPr>
        <w:t>The Board reviewed the Terms of Reference of the ARAC, noting</w:t>
      </w:r>
      <w:r w:rsidR="00AF3C08">
        <w:rPr>
          <w:b w:val="0"/>
        </w:rPr>
        <w:t xml:space="preserve"> a</w:t>
      </w:r>
      <w:r>
        <w:rPr>
          <w:b w:val="0"/>
        </w:rPr>
        <w:t xml:space="preserve"> review undertaken by the ARAC. No comments were </w:t>
      </w:r>
      <w:r w:rsidR="00FE1E81">
        <w:rPr>
          <w:b w:val="0"/>
        </w:rPr>
        <w:t>raised,</w:t>
      </w:r>
      <w:r>
        <w:rPr>
          <w:b w:val="0"/>
        </w:rPr>
        <w:t xml:space="preserve"> and the Board unanimously approved the terms of reference. </w:t>
      </w:r>
    </w:p>
    <w:p w14:paraId="7FAB4BEE" w14:textId="601ABA97" w:rsidR="00FB03C8" w:rsidRDefault="007542BD" w:rsidP="00FB03C8">
      <w:pPr>
        <w:pStyle w:val="Heading1"/>
      </w:pPr>
      <w:r>
        <w:t>finance update</w:t>
      </w:r>
    </w:p>
    <w:p w14:paraId="159EB9DB" w14:textId="7FE07EA9" w:rsidR="007542BD" w:rsidRDefault="007542BD" w:rsidP="007542BD">
      <w:pPr>
        <w:pStyle w:val="Heading2"/>
        <w:rPr>
          <w:b w:val="0"/>
        </w:rPr>
      </w:pPr>
      <w:r>
        <w:rPr>
          <w:b w:val="0"/>
        </w:rPr>
        <w:t>An overview of the financial performance at the end of P10 was provided to the Board. The Board noted permissions within the delegation to the Accounting Officer to reallocate between existing programmes based on cost pres</w:t>
      </w:r>
      <w:r w:rsidR="00BE75F2">
        <w:rPr>
          <w:b w:val="0"/>
        </w:rPr>
        <w:t>sures and the management of</w:t>
      </w:r>
      <w:r>
        <w:rPr>
          <w:b w:val="0"/>
        </w:rPr>
        <w:t xml:space="preserve"> is</w:t>
      </w:r>
      <w:r w:rsidR="00BE75F2">
        <w:rPr>
          <w:b w:val="0"/>
        </w:rPr>
        <w:t>sues, respecting ringfences, with</w:t>
      </w:r>
      <w:r>
        <w:rPr>
          <w:b w:val="0"/>
        </w:rPr>
        <w:t xml:space="preserve"> reallocation to new programmes or purposes undertaken in discussion with BEIS.</w:t>
      </w:r>
    </w:p>
    <w:p w14:paraId="0E85C7E2" w14:textId="4DC7BE78" w:rsidR="007542BD" w:rsidRDefault="007542BD" w:rsidP="007542BD">
      <w:pPr>
        <w:pStyle w:val="Heading2"/>
        <w:rPr>
          <w:b w:val="0"/>
        </w:rPr>
      </w:pPr>
      <w:r>
        <w:rPr>
          <w:b w:val="0"/>
        </w:rPr>
        <w:t>The Board discussed the risks reported within the paper, noting significant efforts undertaken by JET teams towards resolvi</w:t>
      </w:r>
      <w:r w:rsidR="00BE75F2">
        <w:rPr>
          <w:b w:val="0"/>
        </w:rPr>
        <w:t>ng budgetary pressures induced by</w:t>
      </w:r>
      <w:r>
        <w:rPr>
          <w:b w:val="0"/>
        </w:rPr>
        <w:t xml:space="preserve"> increased energy costs, with emphasis on the realisation of the plans produced. The Board discussed the purchasing methodologies for energy. </w:t>
      </w:r>
    </w:p>
    <w:p w14:paraId="09A0383C" w14:textId="60F4A2C4" w:rsidR="007542BD" w:rsidRDefault="00BE75F2" w:rsidP="007542BD">
      <w:pPr>
        <w:pStyle w:val="Heading2"/>
        <w:rPr>
          <w:b w:val="0"/>
        </w:rPr>
      </w:pPr>
      <w:r>
        <w:rPr>
          <w:b w:val="0"/>
        </w:rPr>
        <w:t>An a</w:t>
      </w:r>
      <w:r w:rsidR="007542BD">
        <w:rPr>
          <w:b w:val="0"/>
        </w:rPr>
        <w:t>dditional risk</w:t>
      </w:r>
      <w:r>
        <w:rPr>
          <w:b w:val="0"/>
        </w:rPr>
        <w:t xml:space="preserve"> of unexpectedly high inflation</w:t>
      </w:r>
      <w:r w:rsidR="007542BD">
        <w:rPr>
          <w:b w:val="0"/>
        </w:rPr>
        <w:t>, not reported on</w:t>
      </w:r>
      <w:r>
        <w:rPr>
          <w:b w:val="0"/>
        </w:rPr>
        <w:t xml:space="preserve"> in the paper but materialising now, was discussed</w:t>
      </w:r>
      <w:r w:rsidR="0051424C">
        <w:rPr>
          <w:b w:val="0"/>
        </w:rPr>
        <w:t xml:space="preserve">. The </w:t>
      </w:r>
      <w:r w:rsidR="007542BD">
        <w:rPr>
          <w:b w:val="0"/>
        </w:rPr>
        <w:t>Board discussed the nature</w:t>
      </w:r>
      <w:r w:rsidR="0051424C">
        <w:rPr>
          <w:b w:val="0"/>
        </w:rPr>
        <w:t xml:space="preserve"> of the</w:t>
      </w:r>
      <w:r w:rsidR="007542BD">
        <w:rPr>
          <w:b w:val="0"/>
        </w:rPr>
        <w:t xml:space="preserve"> inflation risk to capital programmes, and to </w:t>
      </w:r>
      <w:r w:rsidR="0051424C">
        <w:rPr>
          <w:b w:val="0"/>
        </w:rPr>
        <w:t xml:space="preserve">an </w:t>
      </w:r>
      <w:r w:rsidR="007542BD">
        <w:rPr>
          <w:b w:val="0"/>
        </w:rPr>
        <w:t xml:space="preserve">enhanced </w:t>
      </w:r>
      <w:r w:rsidR="0051424C">
        <w:rPr>
          <w:b w:val="0"/>
        </w:rPr>
        <w:t>reduction in competitiveness of salaries</w:t>
      </w:r>
      <w:r w:rsidR="007542BD">
        <w:rPr>
          <w:b w:val="0"/>
        </w:rPr>
        <w:t xml:space="preserve"> as living costs rise. </w:t>
      </w:r>
    </w:p>
    <w:p w14:paraId="4FB99A53" w14:textId="602DB578" w:rsidR="00721F1A" w:rsidRDefault="00721F1A" w:rsidP="00721F1A">
      <w:pPr>
        <w:pStyle w:val="Heading1"/>
      </w:pPr>
      <w:r>
        <w:t>portfolio business planning update</w:t>
      </w:r>
    </w:p>
    <w:p w14:paraId="3898FCF9" w14:textId="4B14CFD9" w:rsidR="00721F1A" w:rsidRPr="00483BDF" w:rsidRDefault="00721F1A" w:rsidP="00483BDF">
      <w:pPr>
        <w:pStyle w:val="Heading2"/>
        <w:rPr>
          <w:b w:val="0"/>
        </w:rPr>
      </w:pPr>
      <w:r>
        <w:rPr>
          <w:b w:val="0"/>
        </w:rPr>
        <w:t xml:space="preserve">An update was provided to the Board on the business planning process up to this point, and </w:t>
      </w:r>
      <w:r w:rsidR="00483BDF">
        <w:rPr>
          <w:b w:val="0"/>
        </w:rPr>
        <w:t>how it has evolved in recent year</w:t>
      </w:r>
      <w:r>
        <w:rPr>
          <w:b w:val="0"/>
        </w:rPr>
        <w:t xml:space="preserve">s. </w:t>
      </w:r>
      <w:r w:rsidR="005870A2">
        <w:rPr>
          <w:b w:val="0"/>
        </w:rPr>
        <w:t xml:space="preserve">The report does not represent the business </w:t>
      </w:r>
      <w:r w:rsidR="00FE1E81">
        <w:rPr>
          <w:b w:val="0"/>
        </w:rPr>
        <w:t>plan but</w:t>
      </w:r>
      <w:r w:rsidR="005870A2">
        <w:rPr>
          <w:b w:val="0"/>
        </w:rPr>
        <w:t xml:space="preserve"> represents an input into strategic business planning. The impact of STEP and JET decommissioning was highlighted to the Board. The impact of an increased pay award within a flat cash scenario was highlighted as a pressure to the Board. </w:t>
      </w:r>
      <w:r w:rsidR="00483BDF">
        <w:rPr>
          <w:b w:val="0"/>
        </w:rPr>
        <w:t xml:space="preserve">The Board noted that baseline trajectory in the model is completely in line with the spending review </w:t>
      </w:r>
      <w:r w:rsidR="00483BDF">
        <w:rPr>
          <w:b w:val="0"/>
        </w:rPr>
        <w:lastRenderedPageBreak/>
        <w:t xml:space="preserve">settlement. The appearance of other strategic elements not directly linked with income to the organisation was discussed. </w:t>
      </w:r>
    </w:p>
    <w:p w14:paraId="1CB31F54" w14:textId="43497BF4" w:rsidR="005870A2" w:rsidRDefault="005870A2" w:rsidP="005870A2">
      <w:pPr>
        <w:pStyle w:val="Heading2"/>
        <w:rPr>
          <w:b w:val="0"/>
        </w:rPr>
      </w:pPr>
      <w:r>
        <w:rPr>
          <w:b w:val="0"/>
        </w:rPr>
        <w:t xml:space="preserve">The Board discussed the proactive consideration of activities to drive productivity. The proportion of spend in back-office </w:t>
      </w:r>
      <w:r w:rsidR="00483BDF">
        <w:rPr>
          <w:b w:val="0"/>
        </w:rPr>
        <w:t>functions</w:t>
      </w:r>
      <w:r>
        <w:rPr>
          <w:b w:val="0"/>
        </w:rPr>
        <w:t xml:space="preserve"> was outlined to the Board who noted that a dedicated business plan for these functions is in development. The Board noted the provision of a fund for transformation budgets to drive efficiencies in the business</w:t>
      </w:r>
    </w:p>
    <w:p w14:paraId="1E4860B8" w14:textId="642A4AAA" w:rsidR="005870A2" w:rsidRDefault="005870A2" w:rsidP="005870A2">
      <w:pPr>
        <w:pStyle w:val="Heading2"/>
        <w:rPr>
          <w:b w:val="0"/>
        </w:rPr>
      </w:pPr>
      <w:r>
        <w:rPr>
          <w:b w:val="0"/>
        </w:rPr>
        <w:t xml:space="preserve">Business plan shows an increased movement towards a single dominant funding source, and </w:t>
      </w:r>
      <w:r w:rsidR="00483BDF">
        <w:rPr>
          <w:b w:val="0"/>
        </w:rPr>
        <w:t xml:space="preserve">the Board </w:t>
      </w:r>
      <w:r>
        <w:rPr>
          <w:b w:val="0"/>
        </w:rPr>
        <w:t>discussed the strategy for securing other funding sources. The Board discussed the impact of the SDO on the</w:t>
      </w:r>
      <w:r w:rsidR="00483BDF">
        <w:rPr>
          <w:b w:val="0"/>
        </w:rPr>
        <w:t xml:space="preserve"> future</w:t>
      </w:r>
      <w:r>
        <w:rPr>
          <w:b w:val="0"/>
        </w:rPr>
        <w:t xml:space="preserve"> diversification of income, but also the impact of embedding into international relationships as a driver for safeguarding funding. </w:t>
      </w:r>
      <w:r w:rsidR="003F107A">
        <w:rPr>
          <w:b w:val="0"/>
        </w:rPr>
        <w:t xml:space="preserve">The Board </w:t>
      </w:r>
      <w:r w:rsidR="009D0A33">
        <w:rPr>
          <w:b w:val="0"/>
        </w:rPr>
        <w:t>discussed</w:t>
      </w:r>
      <w:r w:rsidR="003E53CD">
        <w:rPr>
          <w:b w:val="0"/>
        </w:rPr>
        <w:t xml:space="preserve"> </w:t>
      </w:r>
      <w:r w:rsidR="00483BDF">
        <w:rPr>
          <w:b w:val="0"/>
        </w:rPr>
        <w:t>the organisation</w:t>
      </w:r>
      <w:r w:rsidR="00FE1E81">
        <w:rPr>
          <w:b w:val="0"/>
        </w:rPr>
        <w:t>’</w:t>
      </w:r>
      <w:r w:rsidR="00483BDF">
        <w:rPr>
          <w:b w:val="0"/>
        </w:rPr>
        <w:t xml:space="preserve">s </w:t>
      </w:r>
      <w:r w:rsidR="003E53CD">
        <w:rPr>
          <w:b w:val="0"/>
        </w:rPr>
        <w:t xml:space="preserve">readiness to mobilise to potential major private investment </w:t>
      </w:r>
      <w:r w:rsidR="00C97BF5">
        <w:rPr>
          <w:b w:val="0"/>
        </w:rPr>
        <w:t xml:space="preserve">if the opportunity would arise. </w:t>
      </w:r>
    </w:p>
    <w:p w14:paraId="7CAD7880" w14:textId="54F33AC8" w:rsidR="005870A2" w:rsidRDefault="005870A2" w:rsidP="005870A2">
      <w:pPr>
        <w:pStyle w:val="Heading2"/>
        <w:rPr>
          <w:b w:val="0"/>
        </w:rPr>
      </w:pPr>
      <w:r>
        <w:rPr>
          <w:b w:val="0"/>
        </w:rPr>
        <w:t xml:space="preserve">The Board discussed how to </w:t>
      </w:r>
      <w:r w:rsidR="00483BDF">
        <w:rPr>
          <w:b w:val="0"/>
        </w:rPr>
        <w:t>continue the business planning process</w:t>
      </w:r>
      <w:r>
        <w:rPr>
          <w:b w:val="0"/>
        </w:rPr>
        <w:t xml:space="preserve"> </w:t>
      </w:r>
      <w:r w:rsidR="00483BDF">
        <w:rPr>
          <w:b w:val="0"/>
        </w:rPr>
        <w:t xml:space="preserve">as a live process, </w:t>
      </w:r>
      <w:r w:rsidR="00C34D8E">
        <w:rPr>
          <w:b w:val="0"/>
        </w:rPr>
        <w:t>and</w:t>
      </w:r>
      <w:r w:rsidR="00483BDF">
        <w:rPr>
          <w:b w:val="0"/>
        </w:rPr>
        <w:t xml:space="preserve"> the</w:t>
      </w:r>
      <w:r w:rsidR="00C34D8E">
        <w:rPr>
          <w:b w:val="0"/>
        </w:rPr>
        <w:t xml:space="preserve"> regularity of reporting on the business plan. </w:t>
      </w:r>
      <w:r w:rsidR="00483BDF">
        <w:rPr>
          <w:b w:val="0"/>
        </w:rPr>
        <w:t>The e</w:t>
      </w:r>
      <w:r w:rsidR="00C34D8E">
        <w:rPr>
          <w:b w:val="0"/>
        </w:rPr>
        <w:t>xercise</w:t>
      </w:r>
      <w:r w:rsidR="00483BDF">
        <w:rPr>
          <w:b w:val="0"/>
        </w:rPr>
        <w:t xml:space="preserve"> is</w:t>
      </w:r>
      <w:r w:rsidR="00C34D8E">
        <w:rPr>
          <w:b w:val="0"/>
        </w:rPr>
        <w:t xml:space="preserve"> taken on an annual basis</w:t>
      </w:r>
      <w:r w:rsidR="00995662">
        <w:rPr>
          <w:b w:val="0"/>
        </w:rPr>
        <w:t>,</w:t>
      </w:r>
      <w:r w:rsidR="00DA0322">
        <w:rPr>
          <w:b w:val="0"/>
        </w:rPr>
        <w:t xml:space="preserve"> with a</w:t>
      </w:r>
      <w:r w:rsidR="00C9015C">
        <w:rPr>
          <w:b w:val="0"/>
        </w:rPr>
        <w:t xml:space="preserve"> discussion to come at a future board </w:t>
      </w:r>
      <w:r w:rsidR="00AF4427">
        <w:rPr>
          <w:b w:val="0"/>
        </w:rPr>
        <w:t xml:space="preserve">in Sept </w:t>
      </w:r>
      <w:r w:rsidR="00483BDF">
        <w:rPr>
          <w:b w:val="0"/>
        </w:rPr>
        <w:t>only if</w:t>
      </w:r>
      <w:r w:rsidR="00C9015C">
        <w:rPr>
          <w:b w:val="0"/>
        </w:rPr>
        <w:t xml:space="preserve"> tangible changes to the model </w:t>
      </w:r>
      <w:r w:rsidR="00FB362E">
        <w:rPr>
          <w:b w:val="0"/>
        </w:rPr>
        <w:t xml:space="preserve">occur </w:t>
      </w:r>
      <w:r w:rsidR="00483BDF">
        <w:rPr>
          <w:b w:val="0"/>
        </w:rPr>
        <w:t>due to major changes in the</w:t>
      </w:r>
      <w:r w:rsidR="00FB362E">
        <w:rPr>
          <w:b w:val="0"/>
        </w:rPr>
        <w:t xml:space="preserve"> landscape. </w:t>
      </w:r>
    </w:p>
    <w:p w14:paraId="073384A7" w14:textId="759D1DBA" w:rsidR="00C34D8E" w:rsidRDefault="006C6FD0" w:rsidP="00C34D8E">
      <w:pPr>
        <w:pStyle w:val="Heading2"/>
        <w:rPr>
          <w:b w:val="0"/>
        </w:rPr>
      </w:pPr>
      <w:r>
        <w:rPr>
          <w:b w:val="0"/>
        </w:rPr>
        <w:t xml:space="preserve">The Board discussed the implications of the headcount trajectory presented within the </w:t>
      </w:r>
      <w:r w:rsidR="00FE1E81">
        <w:rPr>
          <w:b w:val="0"/>
        </w:rPr>
        <w:t>report and</w:t>
      </w:r>
      <w:r>
        <w:rPr>
          <w:b w:val="0"/>
        </w:rPr>
        <w:t xml:space="preserve"> noted that whilst the trajectory appears within the tolerances of potential headcount caps, there is no skills match in the model so the </w:t>
      </w:r>
      <w:r w:rsidR="00483BDF">
        <w:rPr>
          <w:b w:val="0"/>
        </w:rPr>
        <w:t xml:space="preserve">potential future </w:t>
      </w:r>
      <w:r>
        <w:rPr>
          <w:b w:val="0"/>
        </w:rPr>
        <w:t xml:space="preserve">need for restructuring funds is not ruled out by the model. </w:t>
      </w:r>
    </w:p>
    <w:p w14:paraId="5542BC4B" w14:textId="371F8A58" w:rsidR="006C6FD0" w:rsidRDefault="006C6FD0" w:rsidP="006C6FD0">
      <w:pPr>
        <w:pStyle w:val="Heading1"/>
      </w:pPr>
      <w:r>
        <w:t>budget</w:t>
      </w:r>
    </w:p>
    <w:p w14:paraId="04010B6A" w14:textId="2CFBDC2F" w:rsidR="006C6FD0" w:rsidRDefault="006C6FD0" w:rsidP="006C6FD0">
      <w:pPr>
        <w:pStyle w:val="Heading2"/>
        <w:rPr>
          <w:b w:val="0"/>
        </w:rPr>
      </w:pPr>
      <w:r>
        <w:rPr>
          <w:b w:val="0"/>
        </w:rPr>
        <w:t>The current position of the budget and</w:t>
      </w:r>
      <w:r w:rsidR="00BD18EE">
        <w:rPr>
          <w:b w:val="0"/>
        </w:rPr>
        <w:t xml:space="preserve"> the</w:t>
      </w:r>
      <w:r>
        <w:rPr>
          <w:b w:val="0"/>
        </w:rPr>
        <w:t xml:space="preserve"> approvals sought were overviewed to the Board, with any deviations from the paper</w:t>
      </w:r>
      <w:r w:rsidR="00BD18EE">
        <w:rPr>
          <w:b w:val="0"/>
        </w:rPr>
        <w:t xml:space="preserve"> as</w:t>
      </w:r>
      <w:r>
        <w:rPr>
          <w:b w:val="0"/>
        </w:rPr>
        <w:t xml:space="preserve"> </w:t>
      </w:r>
      <w:r w:rsidR="00BD18EE">
        <w:rPr>
          <w:b w:val="0"/>
        </w:rPr>
        <w:t>presented appearing in</w:t>
      </w:r>
      <w:r>
        <w:rPr>
          <w:b w:val="0"/>
        </w:rPr>
        <w:t xml:space="preserve"> the final budget approved by </w:t>
      </w:r>
      <w:r w:rsidR="00BD18EE">
        <w:rPr>
          <w:b w:val="0"/>
        </w:rPr>
        <w:t xml:space="preserve">the </w:t>
      </w:r>
      <w:r>
        <w:rPr>
          <w:b w:val="0"/>
        </w:rPr>
        <w:t>Ex</w:t>
      </w:r>
      <w:r w:rsidR="00BD18EE">
        <w:rPr>
          <w:b w:val="0"/>
        </w:rPr>
        <w:t xml:space="preserve">ecutive </w:t>
      </w:r>
      <w:r>
        <w:rPr>
          <w:b w:val="0"/>
        </w:rPr>
        <w:t>Co</w:t>
      </w:r>
      <w:r w:rsidR="00BD18EE">
        <w:rPr>
          <w:b w:val="0"/>
        </w:rPr>
        <w:t>mmittee</w:t>
      </w:r>
      <w:r>
        <w:rPr>
          <w:b w:val="0"/>
        </w:rPr>
        <w:t xml:space="preserve"> (within</w:t>
      </w:r>
      <w:r w:rsidR="00BD18EE">
        <w:rPr>
          <w:b w:val="0"/>
        </w:rPr>
        <w:t xml:space="preserve"> the</w:t>
      </w:r>
      <w:r>
        <w:rPr>
          <w:b w:val="0"/>
        </w:rPr>
        <w:t xml:space="preserve"> tolerances</w:t>
      </w:r>
      <w:r w:rsidR="00BD18EE">
        <w:rPr>
          <w:b w:val="0"/>
        </w:rPr>
        <w:t xml:space="preserve"> proposed</w:t>
      </w:r>
      <w:r>
        <w:rPr>
          <w:b w:val="0"/>
        </w:rPr>
        <w:t xml:space="preserve">) to be presented to the Board in May. </w:t>
      </w:r>
    </w:p>
    <w:p w14:paraId="5793D642" w14:textId="3F9099B7" w:rsidR="006C6FD0" w:rsidRDefault="00BD18EE" w:rsidP="006C6FD0">
      <w:pPr>
        <w:pStyle w:val="Heading2"/>
        <w:rPr>
          <w:b w:val="0"/>
        </w:rPr>
      </w:pPr>
      <w:r w:rsidRPr="00742C8F">
        <w:rPr>
          <w:b w:val="0"/>
        </w:rPr>
        <w:t xml:space="preserve">The </w:t>
      </w:r>
      <w:r w:rsidR="006C6FD0" w:rsidRPr="00742C8F">
        <w:rPr>
          <w:b w:val="0"/>
        </w:rPr>
        <w:t>M</w:t>
      </w:r>
      <w:r w:rsidR="005A7620" w:rsidRPr="00742C8F">
        <w:rPr>
          <w:b w:val="0"/>
        </w:rPr>
        <w:t>ajor drivers for the year-on-year increase in</w:t>
      </w:r>
      <w:r w:rsidR="006C6FD0" w:rsidRPr="00742C8F">
        <w:rPr>
          <w:b w:val="0"/>
        </w:rPr>
        <w:t xml:space="preserve"> budget </w:t>
      </w:r>
      <w:r w:rsidRPr="00742C8F">
        <w:rPr>
          <w:b w:val="0"/>
        </w:rPr>
        <w:t>were</w:t>
      </w:r>
      <w:r>
        <w:rPr>
          <w:b w:val="0"/>
        </w:rPr>
        <w:t xml:space="preserve"> </w:t>
      </w:r>
      <w:r w:rsidR="00742C8F">
        <w:rPr>
          <w:b w:val="0"/>
        </w:rPr>
        <w:t>reviewed, and the Board discussed the approach to over-</w:t>
      </w:r>
      <w:r w:rsidR="00FE1E81">
        <w:rPr>
          <w:b w:val="0"/>
        </w:rPr>
        <w:t>budgeting</w:t>
      </w:r>
      <w:r w:rsidR="00742C8F">
        <w:rPr>
          <w:b w:val="0"/>
        </w:rPr>
        <w:t xml:space="preserve"> to be taken on a programme-by-programme basis informed by historical precedent</w:t>
      </w:r>
      <w:r w:rsidR="006C6FD0">
        <w:rPr>
          <w:b w:val="0"/>
        </w:rPr>
        <w:t>. Members discus</w:t>
      </w:r>
      <w:r w:rsidR="00F608FC">
        <w:rPr>
          <w:b w:val="0"/>
        </w:rPr>
        <w:t>sed the measurement of delivery performance against spend, which is taken as an objective this year to expand reporting within the finance update.</w:t>
      </w:r>
    </w:p>
    <w:p w14:paraId="6656DE08" w14:textId="692FBE56" w:rsidR="006C6FD0" w:rsidRDefault="00F608FC" w:rsidP="006C6FD0">
      <w:pPr>
        <w:pStyle w:val="Heading2"/>
        <w:rPr>
          <w:b w:val="0"/>
        </w:rPr>
      </w:pPr>
      <w:r>
        <w:rPr>
          <w:b w:val="0"/>
        </w:rPr>
        <w:t>The Board discussed the underspends</w:t>
      </w:r>
      <w:r w:rsidR="00742C8F">
        <w:rPr>
          <w:b w:val="0"/>
        </w:rPr>
        <w:t xml:space="preserve"> against budget</w:t>
      </w:r>
      <w:r>
        <w:rPr>
          <w:b w:val="0"/>
        </w:rPr>
        <w:t xml:space="preserve"> </w:t>
      </w:r>
      <w:r w:rsidR="00742C8F">
        <w:rPr>
          <w:b w:val="0"/>
        </w:rPr>
        <w:t>in previous years and</w:t>
      </w:r>
      <w:r>
        <w:rPr>
          <w:b w:val="0"/>
        </w:rPr>
        <w:t xml:space="preserve"> the challenges in delivering the budget presented in light of</w:t>
      </w:r>
      <w:r w:rsidR="00742C8F">
        <w:rPr>
          <w:b w:val="0"/>
        </w:rPr>
        <w:t xml:space="preserve"> current risks to delivery, with Members recommending future financial reporting to be both against budget and forecast to track performance in year.</w:t>
      </w:r>
    </w:p>
    <w:p w14:paraId="385747B6" w14:textId="621F15EA" w:rsidR="00FB2B6A" w:rsidRDefault="00FB2B6A" w:rsidP="00FB2B6A">
      <w:pPr>
        <w:pStyle w:val="Heading2"/>
        <w:rPr>
          <w:b w:val="0"/>
        </w:rPr>
      </w:pPr>
      <w:r>
        <w:rPr>
          <w:b w:val="0"/>
        </w:rPr>
        <w:t xml:space="preserve">The Board </w:t>
      </w:r>
      <w:r w:rsidR="00742C8F">
        <w:rPr>
          <w:b w:val="0"/>
        </w:rPr>
        <w:t>approved the budget for 2022/23 subject to the tolerances outlined in the report.</w:t>
      </w:r>
    </w:p>
    <w:p w14:paraId="62178331" w14:textId="11B9A18A" w:rsidR="00B94C14" w:rsidRDefault="00B94C14" w:rsidP="00B94C14">
      <w:pPr>
        <w:pStyle w:val="Heading1"/>
      </w:pPr>
      <w:r>
        <w:t>approval of performance measures for 2022/23</w:t>
      </w:r>
    </w:p>
    <w:p w14:paraId="58AC228B" w14:textId="32BE9390" w:rsidR="007C6C88" w:rsidRDefault="00B94C14" w:rsidP="00B94C14">
      <w:pPr>
        <w:pStyle w:val="Heading2"/>
        <w:rPr>
          <w:b w:val="0"/>
        </w:rPr>
      </w:pPr>
      <w:r>
        <w:rPr>
          <w:b w:val="0"/>
        </w:rPr>
        <w:t xml:space="preserve">The Board discussed the performance measures </w:t>
      </w:r>
      <w:r w:rsidR="00364301">
        <w:rPr>
          <w:b w:val="0"/>
        </w:rPr>
        <w:t xml:space="preserve">for 2022/23 </w:t>
      </w:r>
      <w:r>
        <w:rPr>
          <w:b w:val="0"/>
        </w:rPr>
        <w:t>in detail</w:t>
      </w:r>
      <w:r w:rsidR="00364301">
        <w:rPr>
          <w:b w:val="0"/>
        </w:rPr>
        <w:t>, including the balance of activities against the UKAEA portfolio</w:t>
      </w:r>
      <w:r w:rsidR="00C1744A">
        <w:rPr>
          <w:b w:val="0"/>
        </w:rPr>
        <w:t xml:space="preserve">. The Board recommended two changes to performance measures, related to the inclusion of continuous cultural development, </w:t>
      </w:r>
      <w:r w:rsidR="00C1744A">
        <w:rPr>
          <w:b w:val="0"/>
        </w:rPr>
        <w:lastRenderedPageBreak/>
        <w:t xml:space="preserve">and environmental targets. The Board approved the performance measures subject to these changes. </w:t>
      </w:r>
    </w:p>
    <w:p w14:paraId="4656B5C7" w14:textId="006CED83" w:rsidR="00C1744A" w:rsidRPr="00B94C14" w:rsidRDefault="00C1744A" w:rsidP="00C1744A">
      <w:pPr>
        <w:pStyle w:val="Heading2"/>
      </w:pPr>
      <w:r>
        <w:rPr>
          <w:b w:val="0"/>
        </w:rPr>
        <w:t xml:space="preserve">The Board discussed long term reward mechanisms as a potential avenue for the future for improved offerings to staff, given the </w:t>
      </w:r>
      <w:r w:rsidR="00FE1E81">
        <w:rPr>
          <w:b w:val="0"/>
        </w:rPr>
        <w:t>long-term</w:t>
      </w:r>
      <w:r>
        <w:rPr>
          <w:b w:val="0"/>
        </w:rPr>
        <w:t xml:space="preserve"> nature of the programme, and agreed this as a topic to be picked up by the P&amp;RemCo in due course. </w:t>
      </w:r>
    </w:p>
    <w:p w14:paraId="3B95D6C6" w14:textId="77777777" w:rsidR="00B467EA" w:rsidRDefault="00B467EA" w:rsidP="00B467EA">
      <w:pPr>
        <w:pStyle w:val="Heading1"/>
      </w:pPr>
      <w:r>
        <w:t>update on STep</w:t>
      </w:r>
    </w:p>
    <w:p w14:paraId="67B8610E" w14:textId="51D600F3" w:rsidR="00A866BD" w:rsidRDefault="00994313" w:rsidP="00A866BD">
      <w:pPr>
        <w:pStyle w:val="Heading2"/>
        <w:rPr>
          <w:b w:val="0"/>
        </w:rPr>
      </w:pPr>
      <w:r>
        <w:rPr>
          <w:b w:val="0"/>
        </w:rPr>
        <w:t>The Board were briefed on the major upcoming decisions for STEP, and the interaction and exposure from those decisions with other parts of the Authority and/or programme. The approvals related to siting</w:t>
      </w:r>
      <w:r w:rsidR="002D4D0E">
        <w:rPr>
          <w:b w:val="0"/>
        </w:rPr>
        <w:t xml:space="preserve"> and the creation of the SDO</w:t>
      </w:r>
      <w:r>
        <w:rPr>
          <w:b w:val="0"/>
        </w:rPr>
        <w:t xml:space="preserve"> </w:t>
      </w:r>
      <w:r w:rsidR="002D4D0E">
        <w:rPr>
          <w:b w:val="0"/>
        </w:rPr>
        <w:t xml:space="preserve">were outlined, with approvals due prior to final approval of the Tranche-2a of the programme. </w:t>
      </w:r>
      <w:r w:rsidR="0031611A">
        <w:rPr>
          <w:b w:val="0"/>
        </w:rPr>
        <w:t>The risks associated with securing outline conse</w:t>
      </w:r>
      <w:r w:rsidR="007A246D">
        <w:rPr>
          <w:b w:val="0"/>
        </w:rPr>
        <w:t xml:space="preserve">nt </w:t>
      </w:r>
      <w:r w:rsidR="00463098">
        <w:rPr>
          <w:b w:val="0"/>
        </w:rPr>
        <w:t xml:space="preserve">for the STEP site </w:t>
      </w:r>
      <w:r w:rsidR="007A246D">
        <w:rPr>
          <w:b w:val="0"/>
        </w:rPr>
        <w:t>were discussed, and the Board were assured that the risks and plans were being analysed in an appropriate manner</w:t>
      </w:r>
      <w:r w:rsidR="00463098">
        <w:rPr>
          <w:b w:val="0"/>
        </w:rPr>
        <w:t xml:space="preserve">. </w:t>
      </w:r>
      <w:r w:rsidR="003442B4">
        <w:rPr>
          <w:b w:val="0"/>
        </w:rPr>
        <w:t xml:space="preserve">The Board were assured that the considerations given towards forming a </w:t>
      </w:r>
      <w:r w:rsidR="00463098">
        <w:rPr>
          <w:b w:val="0"/>
        </w:rPr>
        <w:t>recommendation for the STEP site</w:t>
      </w:r>
      <w:r w:rsidR="003442B4">
        <w:rPr>
          <w:b w:val="0"/>
        </w:rPr>
        <w:t xml:space="preserve"> were appropriate, noting Board representation in the site recommendation process</w:t>
      </w:r>
      <w:r w:rsidR="002253F9">
        <w:rPr>
          <w:b w:val="0"/>
        </w:rPr>
        <w:t xml:space="preserve"> and a comprehensive coverage of risks associated to the selection process</w:t>
      </w:r>
      <w:r w:rsidR="004E15D0">
        <w:rPr>
          <w:b w:val="0"/>
        </w:rPr>
        <w:t xml:space="preserve">. </w:t>
      </w:r>
      <w:r w:rsidR="002253F9">
        <w:rPr>
          <w:b w:val="0"/>
        </w:rPr>
        <w:t xml:space="preserve">The siting recommendation paper will be distributed to the Board when available to note. </w:t>
      </w:r>
    </w:p>
    <w:p w14:paraId="207BE915" w14:textId="0BE11B64" w:rsidR="0031611A" w:rsidRDefault="008A5E44" w:rsidP="0031611A">
      <w:pPr>
        <w:pStyle w:val="Heading2"/>
        <w:rPr>
          <w:b w:val="0"/>
        </w:rPr>
      </w:pPr>
      <w:r>
        <w:rPr>
          <w:b w:val="0"/>
        </w:rPr>
        <w:t>The Board discussed the preferred concept for the STEP design</w:t>
      </w:r>
      <w:r w:rsidR="002253F9">
        <w:rPr>
          <w:b w:val="0"/>
        </w:rPr>
        <w:t xml:space="preserve">, with a detailed overview of breeder blanket technology. </w:t>
      </w:r>
    </w:p>
    <w:p w14:paraId="381AA32F" w14:textId="4264F8A8" w:rsidR="00B72146" w:rsidRDefault="00B72146" w:rsidP="00B72146">
      <w:pPr>
        <w:pStyle w:val="Heading1"/>
      </w:pPr>
      <w:r>
        <w:t>sTEP tranche-2a sobc</w:t>
      </w:r>
    </w:p>
    <w:p w14:paraId="5DDC456A" w14:textId="55E48CAA" w:rsidR="00D609E9" w:rsidRDefault="00B72146" w:rsidP="002253F9">
      <w:pPr>
        <w:pStyle w:val="Heading2"/>
        <w:rPr>
          <w:b w:val="0"/>
        </w:rPr>
      </w:pPr>
      <w:r>
        <w:rPr>
          <w:b w:val="0"/>
        </w:rPr>
        <w:t>The Board were briefed on the business case approvals process for the STEP Tranche-2a programme</w:t>
      </w:r>
      <w:r w:rsidR="00845EBF">
        <w:rPr>
          <w:b w:val="0"/>
        </w:rPr>
        <w:t>, and the s</w:t>
      </w:r>
      <w:r w:rsidR="00D609E9">
        <w:rPr>
          <w:b w:val="0"/>
        </w:rPr>
        <w:t>teps taken with Government key</w:t>
      </w:r>
      <w:r w:rsidR="00845EBF">
        <w:rPr>
          <w:b w:val="0"/>
        </w:rPr>
        <w:t xml:space="preserve">holders in the preparation of the business case. </w:t>
      </w:r>
    </w:p>
    <w:p w14:paraId="63BAFD1B" w14:textId="2965DA6C" w:rsidR="00CE3C24" w:rsidRPr="00B05CDB" w:rsidRDefault="00F8189F" w:rsidP="00B05CDB">
      <w:pPr>
        <w:pStyle w:val="Heading2"/>
        <w:rPr>
          <w:b w:val="0"/>
        </w:rPr>
      </w:pPr>
      <w:r>
        <w:rPr>
          <w:b w:val="0"/>
        </w:rPr>
        <w:t>The Board discus</w:t>
      </w:r>
      <w:r w:rsidR="002253F9">
        <w:rPr>
          <w:b w:val="0"/>
        </w:rPr>
        <w:t>sed the future relationship between STEP and</w:t>
      </w:r>
      <w:r>
        <w:rPr>
          <w:b w:val="0"/>
        </w:rPr>
        <w:t xml:space="preserve"> the UKAEA and its representation within the business case</w:t>
      </w:r>
      <w:r w:rsidR="00BE79F5">
        <w:rPr>
          <w:b w:val="0"/>
        </w:rPr>
        <w:t xml:space="preserve">. The understanding of the relationship between UKAEA and STEP was discussed as being </w:t>
      </w:r>
      <w:r w:rsidR="002253F9">
        <w:rPr>
          <w:b w:val="0"/>
        </w:rPr>
        <w:t>a topic for the Board to</w:t>
      </w:r>
      <w:r w:rsidR="00BE79F5">
        <w:rPr>
          <w:b w:val="0"/>
        </w:rPr>
        <w:t xml:space="preserve"> come back to and understand as the programme understanding matures. </w:t>
      </w:r>
      <w:r w:rsidR="00BE79F5" w:rsidRPr="00B05CDB">
        <w:rPr>
          <w:b w:val="0"/>
        </w:rPr>
        <w:t>The Board discussed the working assumption of the Governments expectation of third-party investment in the full life of STEP</w:t>
      </w:r>
      <w:r w:rsidR="00B05CDB">
        <w:rPr>
          <w:b w:val="0"/>
        </w:rPr>
        <w:t xml:space="preserve"> and t</w:t>
      </w:r>
      <w:r w:rsidR="00BE79F5" w:rsidRPr="00B05CDB">
        <w:rPr>
          <w:b w:val="0"/>
        </w:rPr>
        <w:t>he range of possible partnership</w:t>
      </w:r>
      <w:r w:rsidR="00FE1E81">
        <w:rPr>
          <w:b w:val="0"/>
        </w:rPr>
        <w:t>s</w:t>
      </w:r>
      <w:r w:rsidR="00BE79F5" w:rsidRPr="00B05CDB">
        <w:rPr>
          <w:b w:val="0"/>
        </w:rPr>
        <w:t xml:space="preserve"> with the private sector was discussed. </w:t>
      </w:r>
    </w:p>
    <w:p w14:paraId="205A6D14" w14:textId="4703D5FB" w:rsidR="00770DF2" w:rsidRDefault="00770DF2" w:rsidP="00770DF2">
      <w:pPr>
        <w:pStyle w:val="Heading2"/>
        <w:rPr>
          <w:b w:val="0"/>
        </w:rPr>
      </w:pPr>
      <w:r>
        <w:rPr>
          <w:b w:val="0"/>
        </w:rPr>
        <w:t>Members d</w:t>
      </w:r>
      <w:r w:rsidR="00B05CDB">
        <w:rPr>
          <w:b w:val="0"/>
        </w:rPr>
        <w:t>iscussed the presentation of an</w:t>
      </w:r>
      <w:r>
        <w:rPr>
          <w:b w:val="0"/>
        </w:rPr>
        <w:t xml:space="preserve"> accelerated delivery option</w:t>
      </w:r>
      <w:r w:rsidR="00B05CDB">
        <w:rPr>
          <w:b w:val="0"/>
        </w:rPr>
        <w:t xml:space="preserve"> for STEP within the business case</w:t>
      </w:r>
      <w:r>
        <w:rPr>
          <w:b w:val="0"/>
        </w:rPr>
        <w:t xml:space="preserve"> and whether </w:t>
      </w:r>
      <w:r w:rsidR="008F2814">
        <w:rPr>
          <w:b w:val="0"/>
        </w:rPr>
        <w:t>it is considered deliverable</w:t>
      </w:r>
      <w:r w:rsidR="00BC373F">
        <w:rPr>
          <w:b w:val="0"/>
        </w:rPr>
        <w:t xml:space="preserve">, and discussed the ability to accelerate given approvals timescales needed. </w:t>
      </w:r>
      <w:r w:rsidR="009F0E23">
        <w:rPr>
          <w:b w:val="0"/>
        </w:rPr>
        <w:t>The Board discussed lessons learnt from the vaccin</w:t>
      </w:r>
      <w:r w:rsidR="00B24647">
        <w:rPr>
          <w:b w:val="0"/>
        </w:rPr>
        <w:t>es</w:t>
      </w:r>
      <w:r w:rsidR="00B05CDB">
        <w:rPr>
          <w:b w:val="0"/>
        </w:rPr>
        <w:t xml:space="preserve"> programme</w:t>
      </w:r>
      <w:r w:rsidR="00B24647">
        <w:rPr>
          <w:b w:val="0"/>
        </w:rPr>
        <w:t>, and noted some factors</w:t>
      </w:r>
      <w:r w:rsidR="00B05CDB">
        <w:rPr>
          <w:b w:val="0"/>
        </w:rPr>
        <w:t xml:space="preserve"> already influencing the</w:t>
      </w:r>
      <w:r w:rsidR="00B24647">
        <w:rPr>
          <w:b w:val="0"/>
        </w:rPr>
        <w:t xml:space="preserve"> options considered. </w:t>
      </w:r>
    </w:p>
    <w:p w14:paraId="6E25E511" w14:textId="73E3665C" w:rsidR="00B24647" w:rsidRDefault="00B05CDB" w:rsidP="00B24647">
      <w:pPr>
        <w:pStyle w:val="Heading2"/>
        <w:rPr>
          <w:b w:val="0"/>
        </w:rPr>
      </w:pPr>
      <w:r>
        <w:rPr>
          <w:b w:val="0"/>
        </w:rPr>
        <w:t>Board considered that the case presents</w:t>
      </w:r>
      <w:r w:rsidR="00B24647">
        <w:rPr>
          <w:b w:val="0"/>
        </w:rPr>
        <w:t xml:space="preserve"> a useful framing of the issues and strategy of the programme, with some comments provided</w:t>
      </w:r>
      <w:r>
        <w:rPr>
          <w:b w:val="0"/>
        </w:rPr>
        <w:t xml:space="preserve"> for improvement</w:t>
      </w:r>
      <w:r w:rsidR="00B24647">
        <w:rPr>
          <w:b w:val="0"/>
        </w:rPr>
        <w:t xml:space="preserve">. </w:t>
      </w:r>
    </w:p>
    <w:p w14:paraId="3E7C4653" w14:textId="66E3A8BD" w:rsidR="00690C7F" w:rsidRDefault="00830CC5" w:rsidP="00830CC5">
      <w:pPr>
        <w:pStyle w:val="Heading1"/>
      </w:pPr>
      <w:r>
        <w:t>any other business</w:t>
      </w:r>
    </w:p>
    <w:p w14:paraId="05AA0738" w14:textId="5B60EA0C" w:rsidR="00830CC5" w:rsidRDefault="00B05CDB" w:rsidP="00830CC5">
      <w:pPr>
        <w:pStyle w:val="Heading2"/>
        <w:rPr>
          <w:b w:val="0"/>
        </w:rPr>
      </w:pPr>
      <w:r>
        <w:rPr>
          <w:b w:val="0"/>
        </w:rPr>
        <w:t>The Board noted that the JET Decommissioning SOBC had been reviewed by BEIS PIC prior to the Board, and the result would be communicated as soon as known.</w:t>
      </w:r>
      <w:r w:rsidR="00830CC5">
        <w:rPr>
          <w:b w:val="0"/>
        </w:rPr>
        <w:t xml:space="preserve"> </w:t>
      </w:r>
    </w:p>
    <w:p w14:paraId="6235F331" w14:textId="31697AFF" w:rsidR="00690C7F" w:rsidRPr="00B05CDB" w:rsidRDefault="00B05CDB" w:rsidP="00FC1255">
      <w:pPr>
        <w:pStyle w:val="Heading2"/>
        <w:rPr>
          <w:b w:val="0"/>
        </w:rPr>
      </w:pPr>
      <w:r>
        <w:rPr>
          <w:b w:val="0"/>
        </w:rPr>
        <w:t>The Board recommended engagement with InnovateUK following their SR allocation</w:t>
      </w:r>
      <w:r w:rsidR="00830CC5">
        <w:t xml:space="preserve"> </w:t>
      </w:r>
      <w:r>
        <w:rPr>
          <w:b w:val="0"/>
        </w:rPr>
        <w:t xml:space="preserve">for potential synergies and overlaps with the potential for </w:t>
      </w:r>
      <w:r w:rsidR="00830CC5">
        <w:rPr>
          <w:b w:val="0"/>
        </w:rPr>
        <w:t xml:space="preserve">collaborative activities. </w:t>
      </w:r>
      <w:bookmarkEnd w:id="0"/>
    </w:p>
    <w:sectPr w:rsidR="00690C7F" w:rsidRPr="00B05CDB" w:rsidSect="00690C7F">
      <w:headerReference w:type="default" r:id="rId12"/>
      <w:footerReference w:type="default" r:id="rId13"/>
      <w:headerReference w:type="first" r:id="rId14"/>
      <w:footerReference w:type="first" r:id="rId15"/>
      <w:pgSz w:w="11906" w:h="16838" w:code="9"/>
      <w:pgMar w:top="1134" w:right="1418" w:bottom="1418" w:left="1418" w:header="567" w:footer="709" w:gutter="0"/>
      <w:cols w:space="720"/>
      <w:formProt w:val="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98E70" w14:textId="77777777" w:rsidR="00F07825" w:rsidRDefault="00F07825">
      <w:r>
        <w:separator/>
      </w:r>
    </w:p>
  </w:endnote>
  <w:endnote w:type="continuationSeparator" w:id="0">
    <w:p w14:paraId="19499CC6" w14:textId="77777777" w:rsidR="00F07825" w:rsidRDefault="00F07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FBEE7" w14:textId="77777777" w:rsidR="005F1ECF" w:rsidRDefault="005F1ECF">
    <w:pPr>
      <w:pStyle w:val="Footer"/>
      <w:jc w:val="right"/>
    </w:pPr>
    <w:r>
      <w:fldChar w:fldCharType="begin"/>
    </w:r>
    <w:r>
      <w:instrText xml:space="preserve"> PAGE   \* MERGEFORMAT </w:instrText>
    </w:r>
    <w:r>
      <w:fldChar w:fldCharType="separate"/>
    </w:r>
    <w:r w:rsidR="001C7CE5">
      <w:rPr>
        <w:noProof/>
      </w:rPr>
      <w:t>2</w:t>
    </w:r>
    <w:r>
      <w:rPr>
        <w:noProof/>
      </w:rPr>
      <w:fldChar w:fldCharType="end"/>
    </w:r>
  </w:p>
  <w:p w14:paraId="4E4B98CE" w14:textId="77777777" w:rsidR="005F1ECF" w:rsidRDefault="005F1ECF" w:rsidP="00FC67CA">
    <w:pPr>
      <w:pStyle w:val="Footer"/>
      <w:tabs>
        <w:tab w:val="center" w:pos="4536"/>
        <w:tab w:val="right" w:pos="8931"/>
      </w:tabs>
      <w:jc w:val="left"/>
      <w:rPr>
        <w:rStyle w:val="PageNumbe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3697719"/>
      <w:docPartObj>
        <w:docPartGallery w:val="Page Numbers (Bottom of Page)"/>
        <w:docPartUnique/>
      </w:docPartObj>
    </w:sdtPr>
    <w:sdtContent>
      <w:sdt>
        <w:sdtPr>
          <w:id w:val="-1705238520"/>
          <w:docPartObj>
            <w:docPartGallery w:val="Page Numbers (Top of Page)"/>
            <w:docPartUnique/>
          </w:docPartObj>
        </w:sdtPr>
        <w:sdtContent>
          <w:p w14:paraId="0D9EBC4B" w14:textId="77777777" w:rsidR="005F1ECF" w:rsidRDefault="005F1ECF" w:rsidP="0062582E">
            <w:pPr>
              <w:pStyle w:val="Footer"/>
            </w:pPr>
            <w:r>
              <w:t xml:space="preserve">Page </w:t>
            </w:r>
            <w:r>
              <w:rPr>
                <w:b w:val="0"/>
                <w:bCs/>
                <w:sz w:val="24"/>
                <w:szCs w:val="24"/>
              </w:rPr>
              <w:fldChar w:fldCharType="begin"/>
            </w:r>
            <w:r>
              <w:rPr>
                <w:bCs/>
              </w:rPr>
              <w:instrText xml:space="preserve"> PAGE </w:instrText>
            </w:r>
            <w:r>
              <w:rPr>
                <w:b w:val="0"/>
                <w:bCs/>
                <w:sz w:val="24"/>
                <w:szCs w:val="24"/>
              </w:rPr>
              <w:fldChar w:fldCharType="separate"/>
            </w:r>
            <w:r w:rsidR="001C7CE5">
              <w:rPr>
                <w:bCs/>
                <w:noProof/>
              </w:rPr>
              <w:t>1</w:t>
            </w:r>
            <w:r>
              <w:rPr>
                <w:b w:val="0"/>
                <w:bCs/>
                <w:sz w:val="24"/>
                <w:szCs w:val="24"/>
              </w:rPr>
              <w:fldChar w:fldCharType="end"/>
            </w:r>
            <w:r>
              <w:t xml:space="preserve"> of </w:t>
            </w:r>
            <w:r>
              <w:rPr>
                <w:b w:val="0"/>
                <w:bCs/>
                <w:sz w:val="24"/>
                <w:szCs w:val="24"/>
              </w:rPr>
              <w:fldChar w:fldCharType="begin"/>
            </w:r>
            <w:r>
              <w:rPr>
                <w:bCs/>
              </w:rPr>
              <w:instrText xml:space="preserve"> NUMPAGES  </w:instrText>
            </w:r>
            <w:r>
              <w:rPr>
                <w:b w:val="0"/>
                <w:bCs/>
                <w:sz w:val="24"/>
                <w:szCs w:val="24"/>
              </w:rPr>
              <w:fldChar w:fldCharType="separate"/>
            </w:r>
            <w:r w:rsidR="001C7CE5">
              <w:rPr>
                <w:bCs/>
                <w:noProof/>
              </w:rPr>
              <w:t>6</w:t>
            </w:r>
            <w:r>
              <w:rPr>
                <w:b w:val="0"/>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EDB65" w14:textId="77777777" w:rsidR="00F07825" w:rsidRDefault="00F07825">
      <w:r>
        <w:separator/>
      </w:r>
    </w:p>
  </w:footnote>
  <w:footnote w:type="continuationSeparator" w:id="0">
    <w:p w14:paraId="00274D9D" w14:textId="77777777" w:rsidR="00F07825" w:rsidRDefault="00F07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83BA1" w14:textId="77777777" w:rsidR="005F1ECF" w:rsidRDefault="005F1ECF">
    <w:pPr>
      <w:pStyle w:val="Header"/>
    </w:pPr>
    <w:r>
      <w:t>official sensitive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BD6BA" w14:textId="77777777" w:rsidR="005F1ECF" w:rsidRDefault="005F1ECF">
    <w:pPr>
      <w:pStyle w:val="Header"/>
    </w:pPr>
    <w:r>
      <w:t>OFFICIAL SENSITIVE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80F2B"/>
    <w:multiLevelType w:val="hybridMultilevel"/>
    <w:tmpl w:val="BA00015A"/>
    <w:lvl w:ilvl="0" w:tplc="A0402E62">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 w15:restartNumberingAfterBreak="0">
    <w:nsid w:val="01C22D4F"/>
    <w:multiLevelType w:val="hybridMultilevel"/>
    <w:tmpl w:val="E4A889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24B28B4"/>
    <w:multiLevelType w:val="multilevel"/>
    <w:tmpl w:val="F2C64BE6"/>
    <w:lvl w:ilvl="0">
      <w:start w:val="5"/>
      <w:numFmt w:val="decimal"/>
      <w:lvlText w:val="%1"/>
      <w:lvlJc w:val="left"/>
      <w:pPr>
        <w:ind w:left="360" w:hanging="360"/>
      </w:pPr>
      <w:rPr>
        <w:rFonts w:hint="default"/>
      </w:rPr>
    </w:lvl>
    <w:lvl w:ilvl="1">
      <w:start w:val="1"/>
      <w:numFmt w:val="decimal"/>
      <w:lvlText w:val="%1.%2"/>
      <w:lvlJc w:val="right"/>
      <w:pPr>
        <w:ind w:left="360" w:hanging="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7562628"/>
    <w:multiLevelType w:val="multilevel"/>
    <w:tmpl w:val="54B66468"/>
    <w:lvl w:ilvl="0">
      <w:start w:val="1"/>
      <w:numFmt w:val="decimal"/>
      <w:lvlText w:val="%1"/>
      <w:lvlJc w:val="left"/>
      <w:pPr>
        <w:ind w:left="567" w:hanging="567"/>
      </w:pPr>
      <w:rPr>
        <w:rFonts w:hint="default"/>
      </w:rPr>
    </w:lvl>
    <w:lvl w:ilvl="1">
      <w:start w:val="1"/>
      <w:numFmt w:val="decimal"/>
      <w:lvlText w:val="%1.%2"/>
      <w:lvlJc w:val="right"/>
      <w:pPr>
        <w:ind w:left="567" w:hanging="279"/>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9A64E61"/>
    <w:multiLevelType w:val="multilevel"/>
    <w:tmpl w:val="631CB7A0"/>
    <w:lvl w:ilvl="0">
      <w:start w:val="10"/>
      <w:numFmt w:val="decimal"/>
      <w:lvlText w:val="%1"/>
      <w:lvlJc w:val="left"/>
      <w:pPr>
        <w:ind w:left="360" w:hanging="360"/>
      </w:pPr>
      <w:rPr>
        <w:rFonts w:hint="default"/>
      </w:rPr>
    </w:lvl>
    <w:lvl w:ilvl="1">
      <w:start w:val="1"/>
      <w:numFmt w:val="decimal"/>
      <w:lvlText w:val="%1.%2"/>
      <w:lvlJc w:val="right"/>
      <w:pPr>
        <w:ind w:left="360" w:hanging="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0CB7D61"/>
    <w:multiLevelType w:val="hybridMultilevel"/>
    <w:tmpl w:val="8788F9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DB42C01"/>
    <w:multiLevelType w:val="hybridMultilevel"/>
    <w:tmpl w:val="D72C5E1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7" w15:restartNumberingAfterBreak="0">
    <w:nsid w:val="217C4BED"/>
    <w:multiLevelType w:val="hybridMultilevel"/>
    <w:tmpl w:val="0F50B4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4BA3B0E"/>
    <w:multiLevelType w:val="hybridMultilevel"/>
    <w:tmpl w:val="BA00015A"/>
    <w:lvl w:ilvl="0" w:tplc="A0402E62">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9" w15:restartNumberingAfterBreak="0">
    <w:nsid w:val="32D67B94"/>
    <w:multiLevelType w:val="multilevel"/>
    <w:tmpl w:val="613A4A1E"/>
    <w:lvl w:ilvl="0">
      <w:start w:val="7"/>
      <w:numFmt w:val="decimal"/>
      <w:lvlText w:val="%1"/>
      <w:lvlJc w:val="left"/>
      <w:pPr>
        <w:ind w:left="360" w:hanging="360"/>
      </w:pPr>
      <w:rPr>
        <w:rFonts w:hint="default"/>
        <w:b/>
      </w:rPr>
    </w:lvl>
    <w:lvl w:ilvl="1">
      <w:start w:val="1"/>
      <w:numFmt w:val="decimal"/>
      <w:lvlText w:val="%1.%2"/>
      <w:lvlJc w:val="right"/>
      <w:pPr>
        <w:ind w:left="360" w:hanging="72"/>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7602E6E"/>
    <w:multiLevelType w:val="hybridMultilevel"/>
    <w:tmpl w:val="EA0A46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9CF7C10"/>
    <w:multiLevelType w:val="multilevel"/>
    <w:tmpl w:val="1E4CC65C"/>
    <w:lvl w:ilvl="0">
      <w:start w:val="1"/>
      <w:numFmt w:val="decimal"/>
      <w:pStyle w:val="Heading1"/>
      <w:lvlText w:val="%1"/>
      <w:lvlJc w:val="left"/>
      <w:pPr>
        <w:tabs>
          <w:tab w:val="num" w:pos="567"/>
        </w:tabs>
        <w:ind w:left="567" w:hanging="567"/>
      </w:pPr>
      <w:rPr>
        <w:rFonts w:ascii="Times New Roman" w:hAnsi="Times New Roman" w:hint="default"/>
        <w:b/>
        <w:i w:val="0"/>
        <w:kern w:val="0"/>
        <w:sz w:val="24"/>
      </w:rPr>
    </w:lvl>
    <w:lvl w:ilvl="1">
      <w:start w:val="1"/>
      <w:numFmt w:val="decimal"/>
      <w:pStyle w:val="Heading2"/>
      <w:lvlText w:val="%1.%2"/>
      <w:lvlJc w:val="left"/>
      <w:pPr>
        <w:tabs>
          <w:tab w:val="num" w:pos="567"/>
        </w:tabs>
        <w:ind w:left="567" w:hanging="567"/>
      </w:pPr>
      <w:rPr>
        <w:rFonts w:ascii="Times New Roman" w:hAnsi="Times New Roman" w:hint="default"/>
        <w:b/>
        <w:i w:val="0"/>
        <w:caps w:val="0"/>
        <w:sz w:val="24"/>
      </w:rPr>
    </w:lvl>
    <w:lvl w:ilvl="2">
      <w:start w:val="1"/>
      <w:numFmt w:val="decimal"/>
      <w:pStyle w:val="Heading3"/>
      <w:lvlText w:val="%1.%2.%3"/>
      <w:lvlJc w:val="left"/>
      <w:pPr>
        <w:tabs>
          <w:tab w:val="num" w:pos="567"/>
        </w:tabs>
        <w:ind w:left="567" w:hanging="567"/>
      </w:pPr>
      <w:rPr>
        <w:rFonts w:ascii="Times New Roman" w:hAnsi="Times New Roman" w:hint="default"/>
        <w:b w:val="0"/>
        <w:i w:val="0"/>
        <w:sz w:val="24"/>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40C46A0E"/>
    <w:multiLevelType w:val="hybridMultilevel"/>
    <w:tmpl w:val="CA4674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9BF68BE"/>
    <w:multiLevelType w:val="multilevel"/>
    <w:tmpl w:val="54B66468"/>
    <w:lvl w:ilvl="0">
      <w:start w:val="1"/>
      <w:numFmt w:val="decimal"/>
      <w:lvlText w:val="%1"/>
      <w:lvlJc w:val="left"/>
      <w:pPr>
        <w:ind w:left="567" w:hanging="567"/>
      </w:pPr>
      <w:rPr>
        <w:rFonts w:hint="default"/>
      </w:rPr>
    </w:lvl>
    <w:lvl w:ilvl="1">
      <w:start w:val="1"/>
      <w:numFmt w:val="decimal"/>
      <w:lvlText w:val="%1.%2"/>
      <w:lvlJc w:val="right"/>
      <w:pPr>
        <w:ind w:left="567" w:hanging="279"/>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CEC4966"/>
    <w:multiLevelType w:val="hybridMultilevel"/>
    <w:tmpl w:val="4DEA6A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D99328E"/>
    <w:multiLevelType w:val="hybridMultilevel"/>
    <w:tmpl w:val="72548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BD4BD4"/>
    <w:multiLevelType w:val="hybridMultilevel"/>
    <w:tmpl w:val="936E6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6C7238"/>
    <w:multiLevelType w:val="hybridMultilevel"/>
    <w:tmpl w:val="4CEA33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CD76940"/>
    <w:multiLevelType w:val="hybridMultilevel"/>
    <w:tmpl w:val="1D3AA3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63125D6"/>
    <w:multiLevelType w:val="hybridMultilevel"/>
    <w:tmpl w:val="6512D96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66F33FB2"/>
    <w:multiLevelType w:val="multilevel"/>
    <w:tmpl w:val="4114F8A0"/>
    <w:lvl w:ilvl="0">
      <w:start w:val="6"/>
      <w:numFmt w:val="decimal"/>
      <w:lvlText w:val="%1"/>
      <w:lvlJc w:val="left"/>
      <w:pPr>
        <w:ind w:left="360" w:hanging="360"/>
      </w:pPr>
      <w:rPr>
        <w:rFonts w:hint="default"/>
      </w:rPr>
    </w:lvl>
    <w:lvl w:ilvl="1">
      <w:start w:val="1"/>
      <w:numFmt w:val="decimal"/>
      <w:lvlText w:val="%1.%2"/>
      <w:lvlJc w:val="right"/>
      <w:pPr>
        <w:ind w:left="360" w:hanging="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79D4CE1"/>
    <w:multiLevelType w:val="hybridMultilevel"/>
    <w:tmpl w:val="55CAC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A6312F8"/>
    <w:multiLevelType w:val="multilevel"/>
    <w:tmpl w:val="BC0A6144"/>
    <w:lvl w:ilvl="0">
      <w:start w:val="8"/>
      <w:numFmt w:val="decimal"/>
      <w:lvlText w:val="%1"/>
      <w:lvlJc w:val="left"/>
      <w:pPr>
        <w:ind w:left="360" w:hanging="360"/>
      </w:pPr>
      <w:rPr>
        <w:rFonts w:hint="default"/>
        <w:b/>
      </w:rPr>
    </w:lvl>
    <w:lvl w:ilvl="1">
      <w:start w:val="1"/>
      <w:numFmt w:val="decimal"/>
      <w:lvlText w:val="%1.%2"/>
      <w:lvlJc w:val="right"/>
      <w:pPr>
        <w:ind w:left="360" w:hanging="72"/>
      </w:pPr>
      <w:rPr>
        <w:rFonts w:hint="default"/>
        <w:i w:val="0"/>
        <w:i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BE633E8"/>
    <w:multiLevelType w:val="multilevel"/>
    <w:tmpl w:val="0BCC0584"/>
    <w:lvl w:ilvl="0">
      <w:start w:val="11"/>
      <w:numFmt w:val="decimal"/>
      <w:lvlText w:val="%1"/>
      <w:lvlJc w:val="left"/>
      <w:pPr>
        <w:ind w:left="360" w:hanging="360"/>
      </w:pPr>
      <w:rPr>
        <w:rFonts w:hint="default"/>
      </w:rPr>
    </w:lvl>
    <w:lvl w:ilvl="1">
      <w:start w:val="1"/>
      <w:numFmt w:val="decimal"/>
      <w:lvlText w:val="%1.%2"/>
      <w:lvlJc w:val="right"/>
      <w:pPr>
        <w:ind w:left="360" w:hanging="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2DD5441"/>
    <w:multiLevelType w:val="hybridMultilevel"/>
    <w:tmpl w:val="2FE26E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7C367587"/>
    <w:multiLevelType w:val="multilevel"/>
    <w:tmpl w:val="BC0A6144"/>
    <w:lvl w:ilvl="0">
      <w:start w:val="8"/>
      <w:numFmt w:val="decimal"/>
      <w:lvlText w:val="%1"/>
      <w:lvlJc w:val="left"/>
      <w:pPr>
        <w:ind w:left="360" w:hanging="360"/>
      </w:pPr>
      <w:rPr>
        <w:rFonts w:hint="default"/>
        <w:b/>
      </w:rPr>
    </w:lvl>
    <w:lvl w:ilvl="1">
      <w:start w:val="1"/>
      <w:numFmt w:val="decimal"/>
      <w:lvlText w:val="%1.%2"/>
      <w:lvlJc w:val="right"/>
      <w:pPr>
        <w:ind w:left="360" w:hanging="72"/>
      </w:pPr>
      <w:rPr>
        <w:rFonts w:hint="default"/>
        <w:i w:val="0"/>
        <w:i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C8847B6"/>
    <w:multiLevelType w:val="hybridMultilevel"/>
    <w:tmpl w:val="E7D09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59907621">
    <w:abstractNumId w:val="11"/>
  </w:num>
  <w:num w:numId="2" w16cid:durableId="1035886051">
    <w:abstractNumId w:val="11"/>
  </w:num>
  <w:num w:numId="3" w16cid:durableId="1683049179">
    <w:abstractNumId w:val="11"/>
  </w:num>
  <w:num w:numId="4" w16cid:durableId="211353723">
    <w:abstractNumId w:val="13"/>
  </w:num>
  <w:num w:numId="5" w16cid:durableId="164632266">
    <w:abstractNumId w:val="15"/>
  </w:num>
  <w:num w:numId="6" w16cid:durableId="1036076703">
    <w:abstractNumId w:val="22"/>
  </w:num>
  <w:num w:numId="7" w16cid:durableId="973675844">
    <w:abstractNumId w:val="5"/>
  </w:num>
  <w:num w:numId="8" w16cid:durableId="594754558">
    <w:abstractNumId w:val="7"/>
  </w:num>
  <w:num w:numId="9" w16cid:durableId="1223364904">
    <w:abstractNumId w:val="18"/>
  </w:num>
  <w:num w:numId="10" w16cid:durableId="1053773714">
    <w:abstractNumId w:val="1"/>
  </w:num>
  <w:num w:numId="11" w16cid:durableId="1288241859">
    <w:abstractNumId w:val="14"/>
  </w:num>
  <w:num w:numId="12" w16cid:durableId="1979527543">
    <w:abstractNumId w:val="10"/>
  </w:num>
  <w:num w:numId="13" w16cid:durableId="1170213298">
    <w:abstractNumId w:val="17"/>
  </w:num>
  <w:num w:numId="14" w16cid:durableId="571699254">
    <w:abstractNumId w:val="12"/>
  </w:num>
  <w:num w:numId="15" w16cid:durableId="238760583">
    <w:abstractNumId w:val="24"/>
  </w:num>
  <w:num w:numId="16" w16cid:durableId="1265920163">
    <w:abstractNumId w:val="19"/>
  </w:num>
  <w:num w:numId="17" w16cid:durableId="2012484683">
    <w:abstractNumId w:val="20"/>
  </w:num>
  <w:num w:numId="18" w16cid:durableId="1968201541">
    <w:abstractNumId w:val="2"/>
  </w:num>
  <w:num w:numId="19" w16cid:durableId="1465389361">
    <w:abstractNumId w:val="9"/>
  </w:num>
  <w:num w:numId="20" w16cid:durableId="1930310991">
    <w:abstractNumId w:val="4"/>
  </w:num>
  <w:num w:numId="21" w16cid:durableId="1255744943">
    <w:abstractNumId w:val="23"/>
  </w:num>
  <w:num w:numId="22" w16cid:durableId="1192298543">
    <w:abstractNumId w:val="6"/>
  </w:num>
  <w:num w:numId="23" w16cid:durableId="2008703061">
    <w:abstractNumId w:val="8"/>
  </w:num>
  <w:num w:numId="24" w16cid:durableId="809903322">
    <w:abstractNumId w:val="0"/>
  </w:num>
  <w:num w:numId="25" w16cid:durableId="1153564692">
    <w:abstractNumId w:val="3"/>
  </w:num>
  <w:num w:numId="26" w16cid:durableId="629358433">
    <w:abstractNumId w:val="25"/>
  </w:num>
  <w:num w:numId="27" w16cid:durableId="563564235">
    <w:abstractNumId w:val="26"/>
  </w:num>
  <w:num w:numId="28" w16cid:durableId="1916743204">
    <w:abstractNumId w:val="16"/>
  </w:num>
  <w:num w:numId="29" w16cid:durableId="1843275470">
    <w:abstractNumId w:val="2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299"/>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F32"/>
    <w:rsid w:val="000027A7"/>
    <w:rsid w:val="0000535B"/>
    <w:rsid w:val="00007152"/>
    <w:rsid w:val="00022C60"/>
    <w:rsid w:val="000328A3"/>
    <w:rsid w:val="00035B88"/>
    <w:rsid w:val="00037F0E"/>
    <w:rsid w:val="0004271C"/>
    <w:rsid w:val="00057871"/>
    <w:rsid w:val="000616B4"/>
    <w:rsid w:val="00070695"/>
    <w:rsid w:val="0007077B"/>
    <w:rsid w:val="00072732"/>
    <w:rsid w:val="00090D82"/>
    <w:rsid w:val="000941F2"/>
    <w:rsid w:val="000A7494"/>
    <w:rsid w:val="000B018F"/>
    <w:rsid w:val="000B1182"/>
    <w:rsid w:val="000B6AD3"/>
    <w:rsid w:val="000C58CD"/>
    <w:rsid w:val="000D0814"/>
    <w:rsid w:val="000D78BE"/>
    <w:rsid w:val="000E3CB1"/>
    <w:rsid w:val="000E4FDF"/>
    <w:rsid w:val="000E56FA"/>
    <w:rsid w:val="000F1557"/>
    <w:rsid w:val="000F1F07"/>
    <w:rsid w:val="000F361D"/>
    <w:rsid w:val="001123EC"/>
    <w:rsid w:val="00112F79"/>
    <w:rsid w:val="001311A8"/>
    <w:rsid w:val="00131202"/>
    <w:rsid w:val="001354AD"/>
    <w:rsid w:val="0015030F"/>
    <w:rsid w:val="001607AF"/>
    <w:rsid w:val="00177B63"/>
    <w:rsid w:val="00183E35"/>
    <w:rsid w:val="001863CC"/>
    <w:rsid w:val="00186655"/>
    <w:rsid w:val="001907DD"/>
    <w:rsid w:val="00192229"/>
    <w:rsid w:val="00195DDD"/>
    <w:rsid w:val="001A046D"/>
    <w:rsid w:val="001A7A1B"/>
    <w:rsid w:val="001A7C61"/>
    <w:rsid w:val="001B06AA"/>
    <w:rsid w:val="001C018C"/>
    <w:rsid w:val="001C7CE5"/>
    <w:rsid w:val="001D0A7D"/>
    <w:rsid w:val="001D5F41"/>
    <w:rsid w:val="001D63A6"/>
    <w:rsid w:val="001E3FA6"/>
    <w:rsid w:val="001E5A18"/>
    <w:rsid w:val="00202CC7"/>
    <w:rsid w:val="00205C82"/>
    <w:rsid w:val="0021248C"/>
    <w:rsid w:val="00216EE1"/>
    <w:rsid w:val="00220459"/>
    <w:rsid w:val="00221298"/>
    <w:rsid w:val="00223645"/>
    <w:rsid w:val="002253F9"/>
    <w:rsid w:val="00243814"/>
    <w:rsid w:val="002438F3"/>
    <w:rsid w:val="0025213D"/>
    <w:rsid w:val="00256BBD"/>
    <w:rsid w:val="002628CB"/>
    <w:rsid w:val="00267C49"/>
    <w:rsid w:val="00271FC6"/>
    <w:rsid w:val="00281A8B"/>
    <w:rsid w:val="00287EE8"/>
    <w:rsid w:val="0029620E"/>
    <w:rsid w:val="002A5F4C"/>
    <w:rsid w:val="002B556A"/>
    <w:rsid w:val="002B5B8F"/>
    <w:rsid w:val="002D0D3C"/>
    <w:rsid w:val="002D4D0E"/>
    <w:rsid w:val="002E5B8B"/>
    <w:rsid w:val="002F4CAA"/>
    <w:rsid w:val="002F7C8A"/>
    <w:rsid w:val="00303010"/>
    <w:rsid w:val="0030313C"/>
    <w:rsid w:val="003157CD"/>
    <w:rsid w:val="0031611A"/>
    <w:rsid w:val="00323938"/>
    <w:rsid w:val="00325431"/>
    <w:rsid w:val="00326DFB"/>
    <w:rsid w:val="0033513C"/>
    <w:rsid w:val="003415F3"/>
    <w:rsid w:val="003442B4"/>
    <w:rsid w:val="00361307"/>
    <w:rsid w:val="00361FA5"/>
    <w:rsid w:val="00364301"/>
    <w:rsid w:val="00364407"/>
    <w:rsid w:val="003723F0"/>
    <w:rsid w:val="003952D2"/>
    <w:rsid w:val="00397171"/>
    <w:rsid w:val="003A00CB"/>
    <w:rsid w:val="003A01D1"/>
    <w:rsid w:val="003A3273"/>
    <w:rsid w:val="003A3CDA"/>
    <w:rsid w:val="003B4CCF"/>
    <w:rsid w:val="003B541E"/>
    <w:rsid w:val="003B64C6"/>
    <w:rsid w:val="003B6C22"/>
    <w:rsid w:val="003C725D"/>
    <w:rsid w:val="003D3E1E"/>
    <w:rsid w:val="003D3FC5"/>
    <w:rsid w:val="003E45F7"/>
    <w:rsid w:val="003E53CD"/>
    <w:rsid w:val="003E56EA"/>
    <w:rsid w:val="003F107A"/>
    <w:rsid w:val="003F5ABD"/>
    <w:rsid w:val="004025EB"/>
    <w:rsid w:val="00405D49"/>
    <w:rsid w:val="00415F80"/>
    <w:rsid w:val="00416ACC"/>
    <w:rsid w:val="00432148"/>
    <w:rsid w:val="00434FA4"/>
    <w:rsid w:val="004356D9"/>
    <w:rsid w:val="00443287"/>
    <w:rsid w:val="0044412A"/>
    <w:rsid w:val="00445A31"/>
    <w:rsid w:val="00447E08"/>
    <w:rsid w:val="00453E9B"/>
    <w:rsid w:val="004578A6"/>
    <w:rsid w:val="004613A9"/>
    <w:rsid w:val="00463098"/>
    <w:rsid w:val="00463313"/>
    <w:rsid w:val="004648CB"/>
    <w:rsid w:val="00466122"/>
    <w:rsid w:val="00471D2D"/>
    <w:rsid w:val="004824F0"/>
    <w:rsid w:val="00483BDF"/>
    <w:rsid w:val="004B380A"/>
    <w:rsid w:val="004C14B3"/>
    <w:rsid w:val="004D765B"/>
    <w:rsid w:val="004E15D0"/>
    <w:rsid w:val="004E4A6F"/>
    <w:rsid w:val="004E54BA"/>
    <w:rsid w:val="004F28F8"/>
    <w:rsid w:val="0050145F"/>
    <w:rsid w:val="00505FAD"/>
    <w:rsid w:val="00506496"/>
    <w:rsid w:val="0051424C"/>
    <w:rsid w:val="005248AD"/>
    <w:rsid w:val="0052717F"/>
    <w:rsid w:val="0053535D"/>
    <w:rsid w:val="00550083"/>
    <w:rsid w:val="00560CF7"/>
    <w:rsid w:val="00561325"/>
    <w:rsid w:val="005650EC"/>
    <w:rsid w:val="00565CA0"/>
    <w:rsid w:val="00573B0D"/>
    <w:rsid w:val="00575DF7"/>
    <w:rsid w:val="00576948"/>
    <w:rsid w:val="005870A2"/>
    <w:rsid w:val="0058735B"/>
    <w:rsid w:val="00590276"/>
    <w:rsid w:val="00591595"/>
    <w:rsid w:val="00591D7E"/>
    <w:rsid w:val="00592679"/>
    <w:rsid w:val="005971D3"/>
    <w:rsid w:val="005A1E9D"/>
    <w:rsid w:val="005A4E15"/>
    <w:rsid w:val="005A5E9A"/>
    <w:rsid w:val="005A7620"/>
    <w:rsid w:val="005B0179"/>
    <w:rsid w:val="005B07E5"/>
    <w:rsid w:val="005B08EF"/>
    <w:rsid w:val="005B6B0B"/>
    <w:rsid w:val="005C37D3"/>
    <w:rsid w:val="005C4143"/>
    <w:rsid w:val="005C7384"/>
    <w:rsid w:val="005D00B0"/>
    <w:rsid w:val="005D1A3D"/>
    <w:rsid w:val="005F03FF"/>
    <w:rsid w:val="005F1ECF"/>
    <w:rsid w:val="005F3C1D"/>
    <w:rsid w:val="00602B2D"/>
    <w:rsid w:val="00612A45"/>
    <w:rsid w:val="006148D7"/>
    <w:rsid w:val="0062582E"/>
    <w:rsid w:val="0063164D"/>
    <w:rsid w:val="006418D0"/>
    <w:rsid w:val="0064409C"/>
    <w:rsid w:val="00644899"/>
    <w:rsid w:val="0064655F"/>
    <w:rsid w:val="006546AC"/>
    <w:rsid w:val="006653A7"/>
    <w:rsid w:val="00683279"/>
    <w:rsid w:val="00687670"/>
    <w:rsid w:val="00687E74"/>
    <w:rsid w:val="00690C7F"/>
    <w:rsid w:val="006B0AA2"/>
    <w:rsid w:val="006B77E6"/>
    <w:rsid w:val="006C0B02"/>
    <w:rsid w:val="006C32E5"/>
    <w:rsid w:val="006C509B"/>
    <w:rsid w:val="006C6FD0"/>
    <w:rsid w:val="006D5BEA"/>
    <w:rsid w:val="006D7F14"/>
    <w:rsid w:val="006F5B8F"/>
    <w:rsid w:val="00721F1A"/>
    <w:rsid w:val="0073462F"/>
    <w:rsid w:val="00736C25"/>
    <w:rsid w:val="00742C8F"/>
    <w:rsid w:val="0074472C"/>
    <w:rsid w:val="007542BD"/>
    <w:rsid w:val="0076172A"/>
    <w:rsid w:val="00764673"/>
    <w:rsid w:val="00770DF2"/>
    <w:rsid w:val="0078458E"/>
    <w:rsid w:val="007918C9"/>
    <w:rsid w:val="00796A44"/>
    <w:rsid w:val="007A246D"/>
    <w:rsid w:val="007A24E3"/>
    <w:rsid w:val="007A63AF"/>
    <w:rsid w:val="007A6CC8"/>
    <w:rsid w:val="007B165C"/>
    <w:rsid w:val="007B28BD"/>
    <w:rsid w:val="007B4A74"/>
    <w:rsid w:val="007B7CE1"/>
    <w:rsid w:val="007C57B7"/>
    <w:rsid w:val="007C6C88"/>
    <w:rsid w:val="007C7243"/>
    <w:rsid w:val="007D0F72"/>
    <w:rsid w:val="007D1AD4"/>
    <w:rsid w:val="007D4433"/>
    <w:rsid w:val="007D546C"/>
    <w:rsid w:val="007D63AF"/>
    <w:rsid w:val="007E1402"/>
    <w:rsid w:val="007F2377"/>
    <w:rsid w:val="007F5EB0"/>
    <w:rsid w:val="00800FEC"/>
    <w:rsid w:val="008127D1"/>
    <w:rsid w:val="00830CC5"/>
    <w:rsid w:val="00845EBF"/>
    <w:rsid w:val="00852787"/>
    <w:rsid w:val="008533B0"/>
    <w:rsid w:val="008546AA"/>
    <w:rsid w:val="00860888"/>
    <w:rsid w:val="00860BD5"/>
    <w:rsid w:val="00860FA2"/>
    <w:rsid w:val="008639FD"/>
    <w:rsid w:val="00872D74"/>
    <w:rsid w:val="008734D3"/>
    <w:rsid w:val="00874183"/>
    <w:rsid w:val="008808DD"/>
    <w:rsid w:val="00891431"/>
    <w:rsid w:val="00892F23"/>
    <w:rsid w:val="00895038"/>
    <w:rsid w:val="008A2656"/>
    <w:rsid w:val="008A5E44"/>
    <w:rsid w:val="008A729F"/>
    <w:rsid w:val="008B61A9"/>
    <w:rsid w:val="008C50CC"/>
    <w:rsid w:val="008C6968"/>
    <w:rsid w:val="008D2407"/>
    <w:rsid w:val="008E36DC"/>
    <w:rsid w:val="008E475F"/>
    <w:rsid w:val="008F2814"/>
    <w:rsid w:val="008F2EAE"/>
    <w:rsid w:val="008F32D8"/>
    <w:rsid w:val="008F4080"/>
    <w:rsid w:val="0091292D"/>
    <w:rsid w:val="00915E28"/>
    <w:rsid w:val="009272CD"/>
    <w:rsid w:val="00932115"/>
    <w:rsid w:val="00940236"/>
    <w:rsid w:val="00942994"/>
    <w:rsid w:val="00944293"/>
    <w:rsid w:val="0095168A"/>
    <w:rsid w:val="00957333"/>
    <w:rsid w:val="0096648D"/>
    <w:rsid w:val="00974334"/>
    <w:rsid w:val="00977C51"/>
    <w:rsid w:val="00987329"/>
    <w:rsid w:val="00994313"/>
    <w:rsid w:val="00995662"/>
    <w:rsid w:val="00997F3D"/>
    <w:rsid w:val="009A4F24"/>
    <w:rsid w:val="009B065C"/>
    <w:rsid w:val="009B7637"/>
    <w:rsid w:val="009C7A4F"/>
    <w:rsid w:val="009D0A33"/>
    <w:rsid w:val="009D0EEA"/>
    <w:rsid w:val="009D6BF2"/>
    <w:rsid w:val="009E20DD"/>
    <w:rsid w:val="009E21EA"/>
    <w:rsid w:val="009F0E23"/>
    <w:rsid w:val="009F495F"/>
    <w:rsid w:val="009F7C25"/>
    <w:rsid w:val="00A006EE"/>
    <w:rsid w:val="00A07D3F"/>
    <w:rsid w:val="00A301FC"/>
    <w:rsid w:val="00A337E4"/>
    <w:rsid w:val="00A34970"/>
    <w:rsid w:val="00A35494"/>
    <w:rsid w:val="00A44D89"/>
    <w:rsid w:val="00A81B3A"/>
    <w:rsid w:val="00A866BD"/>
    <w:rsid w:val="00A91EDB"/>
    <w:rsid w:val="00A9291A"/>
    <w:rsid w:val="00A97EA2"/>
    <w:rsid w:val="00AA0CC3"/>
    <w:rsid w:val="00AA1346"/>
    <w:rsid w:val="00AA19CB"/>
    <w:rsid w:val="00AA1E95"/>
    <w:rsid w:val="00AA4578"/>
    <w:rsid w:val="00AA6F1F"/>
    <w:rsid w:val="00AB74FE"/>
    <w:rsid w:val="00AC1E31"/>
    <w:rsid w:val="00AC312A"/>
    <w:rsid w:val="00AC321A"/>
    <w:rsid w:val="00AD6C2F"/>
    <w:rsid w:val="00AE29DD"/>
    <w:rsid w:val="00AF31E6"/>
    <w:rsid w:val="00AF3C08"/>
    <w:rsid w:val="00AF4427"/>
    <w:rsid w:val="00B05CDB"/>
    <w:rsid w:val="00B24647"/>
    <w:rsid w:val="00B31717"/>
    <w:rsid w:val="00B35486"/>
    <w:rsid w:val="00B36BCC"/>
    <w:rsid w:val="00B46236"/>
    <w:rsid w:val="00B467EA"/>
    <w:rsid w:val="00B54381"/>
    <w:rsid w:val="00B63BCB"/>
    <w:rsid w:val="00B72146"/>
    <w:rsid w:val="00B8394C"/>
    <w:rsid w:val="00B85212"/>
    <w:rsid w:val="00B9423E"/>
    <w:rsid w:val="00B94C14"/>
    <w:rsid w:val="00BA50B8"/>
    <w:rsid w:val="00BA57B7"/>
    <w:rsid w:val="00BB0084"/>
    <w:rsid w:val="00BB0151"/>
    <w:rsid w:val="00BC1DB3"/>
    <w:rsid w:val="00BC35E9"/>
    <w:rsid w:val="00BC373F"/>
    <w:rsid w:val="00BC67E4"/>
    <w:rsid w:val="00BD11AE"/>
    <w:rsid w:val="00BD18EE"/>
    <w:rsid w:val="00BD322C"/>
    <w:rsid w:val="00BE2CFE"/>
    <w:rsid w:val="00BE3245"/>
    <w:rsid w:val="00BE75F2"/>
    <w:rsid w:val="00BE79F5"/>
    <w:rsid w:val="00BF4283"/>
    <w:rsid w:val="00C0056A"/>
    <w:rsid w:val="00C02F1E"/>
    <w:rsid w:val="00C049C1"/>
    <w:rsid w:val="00C10511"/>
    <w:rsid w:val="00C11B84"/>
    <w:rsid w:val="00C155EF"/>
    <w:rsid w:val="00C1744A"/>
    <w:rsid w:val="00C24BBD"/>
    <w:rsid w:val="00C3138B"/>
    <w:rsid w:val="00C346AE"/>
    <w:rsid w:val="00C34D8E"/>
    <w:rsid w:val="00C54AE3"/>
    <w:rsid w:val="00C55418"/>
    <w:rsid w:val="00C66A0C"/>
    <w:rsid w:val="00C66A0F"/>
    <w:rsid w:val="00C833CD"/>
    <w:rsid w:val="00C852C8"/>
    <w:rsid w:val="00C8610D"/>
    <w:rsid w:val="00C9015C"/>
    <w:rsid w:val="00C909C4"/>
    <w:rsid w:val="00C97BF5"/>
    <w:rsid w:val="00CA0F2F"/>
    <w:rsid w:val="00CA454B"/>
    <w:rsid w:val="00CA7E57"/>
    <w:rsid w:val="00CB54CD"/>
    <w:rsid w:val="00CB6DFD"/>
    <w:rsid w:val="00CC1B65"/>
    <w:rsid w:val="00CC3086"/>
    <w:rsid w:val="00CC7825"/>
    <w:rsid w:val="00CD11A2"/>
    <w:rsid w:val="00CD6003"/>
    <w:rsid w:val="00CD6B13"/>
    <w:rsid w:val="00CE1A9C"/>
    <w:rsid w:val="00CE3C24"/>
    <w:rsid w:val="00CE5544"/>
    <w:rsid w:val="00CF0826"/>
    <w:rsid w:val="00CF4FC1"/>
    <w:rsid w:val="00D00EA9"/>
    <w:rsid w:val="00D03064"/>
    <w:rsid w:val="00D0383D"/>
    <w:rsid w:val="00D145D9"/>
    <w:rsid w:val="00D36F6F"/>
    <w:rsid w:val="00D375D6"/>
    <w:rsid w:val="00D44D32"/>
    <w:rsid w:val="00D508A0"/>
    <w:rsid w:val="00D57DC5"/>
    <w:rsid w:val="00D609E9"/>
    <w:rsid w:val="00D6247D"/>
    <w:rsid w:val="00D65692"/>
    <w:rsid w:val="00D761B0"/>
    <w:rsid w:val="00D85C78"/>
    <w:rsid w:val="00D95C2B"/>
    <w:rsid w:val="00DA0322"/>
    <w:rsid w:val="00DA1839"/>
    <w:rsid w:val="00DB219D"/>
    <w:rsid w:val="00DB33CA"/>
    <w:rsid w:val="00DB520E"/>
    <w:rsid w:val="00DB740F"/>
    <w:rsid w:val="00DB7F32"/>
    <w:rsid w:val="00DD6D29"/>
    <w:rsid w:val="00DE4E15"/>
    <w:rsid w:val="00E10FA0"/>
    <w:rsid w:val="00E125C0"/>
    <w:rsid w:val="00E2459B"/>
    <w:rsid w:val="00E318AF"/>
    <w:rsid w:val="00E37C9A"/>
    <w:rsid w:val="00E4243A"/>
    <w:rsid w:val="00E519DC"/>
    <w:rsid w:val="00E533A3"/>
    <w:rsid w:val="00E61504"/>
    <w:rsid w:val="00E71A0F"/>
    <w:rsid w:val="00E745E1"/>
    <w:rsid w:val="00E80B4F"/>
    <w:rsid w:val="00E93F17"/>
    <w:rsid w:val="00EB1519"/>
    <w:rsid w:val="00EB4055"/>
    <w:rsid w:val="00EB41BD"/>
    <w:rsid w:val="00EC0B5C"/>
    <w:rsid w:val="00EC15F1"/>
    <w:rsid w:val="00EC430D"/>
    <w:rsid w:val="00EC6C73"/>
    <w:rsid w:val="00EC70A0"/>
    <w:rsid w:val="00ED3E02"/>
    <w:rsid w:val="00EE78B0"/>
    <w:rsid w:val="00F07825"/>
    <w:rsid w:val="00F22DB7"/>
    <w:rsid w:val="00F240E5"/>
    <w:rsid w:val="00F34B88"/>
    <w:rsid w:val="00F37612"/>
    <w:rsid w:val="00F42405"/>
    <w:rsid w:val="00F42F40"/>
    <w:rsid w:val="00F45873"/>
    <w:rsid w:val="00F55099"/>
    <w:rsid w:val="00F608FC"/>
    <w:rsid w:val="00F64A45"/>
    <w:rsid w:val="00F667F1"/>
    <w:rsid w:val="00F8189F"/>
    <w:rsid w:val="00F8434A"/>
    <w:rsid w:val="00F84540"/>
    <w:rsid w:val="00F873DE"/>
    <w:rsid w:val="00F97961"/>
    <w:rsid w:val="00FA3624"/>
    <w:rsid w:val="00FB03C8"/>
    <w:rsid w:val="00FB2B6A"/>
    <w:rsid w:val="00FB362E"/>
    <w:rsid w:val="00FB6732"/>
    <w:rsid w:val="00FC1255"/>
    <w:rsid w:val="00FC1302"/>
    <w:rsid w:val="00FC49A2"/>
    <w:rsid w:val="00FC5681"/>
    <w:rsid w:val="00FC67CA"/>
    <w:rsid w:val="00FD2670"/>
    <w:rsid w:val="00FD2DAE"/>
    <w:rsid w:val="00FD2DB8"/>
    <w:rsid w:val="00FD2F81"/>
    <w:rsid w:val="00FD4019"/>
    <w:rsid w:val="00FE1E81"/>
    <w:rsid w:val="00FE2119"/>
    <w:rsid w:val="00FE2F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F129872"/>
  <w14:defaultImageDpi w14:val="3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7C57B7"/>
    <w:pPr>
      <w:jc w:val="both"/>
    </w:pPr>
    <w:rPr>
      <w:rFonts w:ascii="Arial" w:hAnsi="Arial"/>
      <w:sz w:val="22"/>
    </w:rPr>
  </w:style>
  <w:style w:type="paragraph" w:styleId="Heading1">
    <w:name w:val="heading 1"/>
    <w:basedOn w:val="Normal"/>
    <w:next w:val="BodyText"/>
    <w:qFormat/>
    <w:pPr>
      <w:keepNext/>
      <w:numPr>
        <w:numId w:val="1"/>
      </w:numPr>
      <w:spacing w:before="240" w:after="240"/>
      <w:outlineLvl w:val="0"/>
    </w:pPr>
    <w:rPr>
      <w:b/>
      <w:caps/>
    </w:rPr>
  </w:style>
  <w:style w:type="paragraph" w:styleId="Heading2">
    <w:name w:val="heading 2"/>
    <w:basedOn w:val="Normal"/>
    <w:next w:val="BodyText"/>
    <w:qFormat/>
    <w:pPr>
      <w:keepNext/>
      <w:numPr>
        <w:ilvl w:val="1"/>
        <w:numId w:val="2"/>
      </w:numPr>
      <w:spacing w:before="240" w:after="240"/>
      <w:outlineLvl w:val="1"/>
    </w:pPr>
    <w:rPr>
      <w:b/>
    </w:rPr>
  </w:style>
  <w:style w:type="paragraph" w:styleId="Heading3">
    <w:name w:val="heading 3"/>
    <w:basedOn w:val="Normal"/>
    <w:next w:val="BodyText"/>
    <w:qFormat/>
    <w:pPr>
      <w:keepNext/>
      <w:numPr>
        <w:ilvl w:val="2"/>
        <w:numId w:val="3"/>
      </w:numPr>
      <w:spacing w:before="240" w:after="240"/>
      <w:outlineLvl w:val="2"/>
    </w:pPr>
  </w:style>
  <w:style w:type="paragraph" w:styleId="Heading4">
    <w:name w:val="heading 4"/>
    <w:basedOn w:val="Normal"/>
    <w:next w:val="Normal"/>
    <w:qFormat/>
    <w:pPr>
      <w:keepNext/>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ind w:left="567"/>
    </w:pPr>
    <w:rPr>
      <w:sz w:val="24"/>
    </w:rPr>
  </w:style>
  <w:style w:type="paragraph" w:styleId="Footer">
    <w:name w:val="footer"/>
    <w:basedOn w:val="Normal"/>
    <w:link w:val="FooterChar"/>
    <w:uiPriority w:val="99"/>
    <w:pPr>
      <w:jc w:val="center"/>
      <w:outlineLvl w:val="3"/>
    </w:pPr>
    <w:rPr>
      <w:b/>
    </w:rPr>
  </w:style>
  <w:style w:type="paragraph" w:styleId="Header">
    <w:name w:val="header"/>
    <w:basedOn w:val="Normal"/>
    <w:pPr>
      <w:spacing w:after="720"/>
      <w:jc w:val="center"/>
      <w:outlineLvl w:val="3"/>
    </w:pPr>
    <w:rPr>
      <w:b/>
      <w:caps/>
      <w:sz w:val="28"/>
    </w:rPr>
  </w:style>
  <w:style w:type="paragraph" w:styleId="Subtitle">
    <w:name w:val="Subtitle"/>
    <w:basedOn w:val="Normal"/>
    <w:next w:val="Heading1"/>
    <w:qFormat/>
    <w:pPr>
      <w:outlineLvl w:val="0"/>
    </w:pPr>
    <w:rPr>
      <w:b/>
      <w:sz w:val="28"/>
    </w:rPr>
  </w:style>
  <w:style w:type="paragraph" w:styleId="Title">
    <w:name w:val="Title"/>
    <w:basedOn w:val="Normal"/>
    <w:next w:val="Subtitle"/>
    <w:qFormat/>
    <w:pPr>
      <w:outlineLvl w:val="0"/>
    </w:pPr>
    <w:rPr>
      <w:b/>
      <w:caps/>
      <w:sz w:val="28"/>
    </w:rPr>
  </w:style>
  <w:style w:type="table" w:styleId="TableGrid">
    <w:name w:val="Table Grid"/>
    <w:basedOn w:val="TableNormal"/>
    <w:rsid w:val="007B16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FC67CA"/>
  </w:style>
  <w:style w:type="character" w:styleId="CommentReference">
    <w:name w:val="annotation reference"/>
    <w:semiHidden/>
    <w:rsid w:val="00C0056A"/>
    <w:rPr>
      <w:sz w:val="16"/>
      <w:szCs w:val="16"/>
    </w:rPr>
  </w:style>
  <w:style w:type="paragraph" w:styleId="CommentText">
    <w:name w:val="annotation text"/>
    <w:basedOn w:val="Normal"/>
    <w:semiHidden/>
    <w:rsid w:val="00C0056A"/>
    <w:rPr>
      <w:sz w:val="20"/>
    </w:rPr>
  </w:style>
  <w:style w:type="paragraph" w:styleId="CommentSubject">
    <w:name w:val="annotation subject"/>
    <w:basedOn w:val="CommentText"/>
    <w:next w:val="CommentText"/>
    <w:semiHidden/>
    <w:rsid w:val="00C0056A"/>
    <w:rPr>
      <w:b/>
      <w:bCs/>
    </w:rPr>
  </w:style>
  <w:style w:type="paragraph" w:styleId="BalloonText">
    <w:name w:val="Balloon Text"/>
    <w:basedOn w:val="Normal"/>
    <w:semiHidden/>
    <w:rsid w:val="00C0056A"/>
    <w:rPr>
      <w:rFonts w:ascii="Tahoma" w:hAnsi="Tahoma" w:cs="Tahoma"/>
      <w:sz w:val="16"/>
      <w:szCs w:val="16"/>
    </w:rPr>
  </w:style>
  <w:style w:type="character" w:customStyle="1" w:styleId="FooterChar">
    <w:name w:val="Footer Char"/>
    <w:link w:val="Footer"/>
    <w:uiPriority w:val="99"/>
    <w:rsid w:val="00F37612"/>
    <w:rPr>
      <w:rFonts w:ascii="Arial" w:hAnsi="Arial"/>
      <w:b/>
      <w:sz w:val="22"/>
    </w:rPr>
  </w:style>
  <w:style w:type="paragraph" w:styleId="ListParagraph">
    <w:name w:val="List Paragraph"/>
    <w:basedOn w:val="Normal"/>
    <w:uiPriority w:val="72"/>
    <w:qFormat/>
    <w:rsid w:val="00D508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9A7AD2E58AFC4D8EEDFCBA4A57BB40" ma:contentTypeVersion="4" ma:contentTypeDescription="Create a new document." ma:contentTypeScope="" ma:versionID="2f1154856444eb3b52e4eb6141fd65fb">
  <xsd:schema xmlns:xsd="http://www.w3.org/2001/XMLSchema" xmlns:xs="http://www.w3.org/2001/XMLSchema" xmlns:p="http://schemas.microsoft.com/office/2006/metadata/properties" xmlns:ns2="97fcf4d1-5b37-4067-80c5-b86713a3f882" xmlns:ns3="3c9b2365-c850-4672-97ca-89c6fc04ba88" targetNamespace="http://schemas.microsoft.com/office/2006/metadata/properties" ma:root="true" ma:fieldsID="465a19d1632aa091cb80fb778a69656a" ns2:_="" ns3:_="">
    <xsd:import namespace="97fcf4d1-5b37-4067-80c5-b86713a3f882"/>
    <xsd:import namespace="3c9b2365-c850-4672-97ca-89c6fc04ba8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fcf4d1-5b37-4067-80c5-b86713a3f8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c9b2365-c850-4672-97ca-89c6fc04ba8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070166-979E-4A4C-AFF5-27D420CF03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fcf4d1-5b37-4067-80c5-b86713a3f882"/>
    <ds:schemaRef ds:uri="3c9b2365-c850-4672-97ca-89c6fc04ba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E17C8A-3D50-4E1F-A022-1D3B36476AD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2EC1120-310D-4AFC-B5AA-F37F6DE374D3}">
  <ds:schemaRefs>
    <ds:schemaRef ds:uri="http://schemas.microsoft.com/sharepoint/v3/contenttype/forms"/>
  </ds:schemaRefs>
</ds:datastoreItem>
</file>

<file path=customXml/itemProps4.xml><?xml version="1.0" encoding="utf-8"?>
<ds:datastoreItem xmlns:ds="http://schemas.openxmlformats.org/officeDocument/2006/customXml" ds:itemID="{28B53FE9-733D-5944-B2A2-B4F9EF9D8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2343</Words>
  <Characters>13358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Authority meeting minutes template</vt:lpstr>
    </vt:vector>
  </TitlesOfParts>
  <Company>United Kingdom Atomic Energy Authority</Company>
  <LinksUpToDate>false</LinksUpToDate>
  <CharactersWithSpaces>15670</CharactersWithSpaces>
  <SharedDoc>false</SharedDoc>
  <HLinks>
    <vt:vector size="6" baseType="variant">
      <vt:variant>
        <vt:i4>1835033</vt:i4>
      </vt:variant>
      <vt:variant>
        <vt:i4>2048</vt:i4>
      </vt:variant>
      <vt:variant>
        <vt:i4>1025</vt:i4>
      </vt:variant>
      <vt:variant>
        <vt:i4>1</vt:i4>
      </vt:variant>
      <vt:variant>
        <vt:lpwstr>UK AEA_BLK_SML_AW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Authority meeting minutes template</dc:title>
  <dc:subject/>
  <dc:creator>Nick Walkden</dc:creator>
  <cp:keywords/>
  <cp:lastModifiedBy>Mooring, Lyndsey</cp:lastModifiedBy>
  <cp:revision>3</cp:revision>
  <cp:lastPrinted>2019-11-18T14:07:00Z</cp:lastPrinted>
  <dcterms:created xsi:type="dcterms:W3CDTF">2022-12-12T14:31:00Z</dcterms:created>
  <dcterms:modified xsi:type="dcterms:W3CDTF">2023-01-31T08:41:00Z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2759de7-3255-46b5-8dfe-736652f9c6c1_Enabled">
    <vt:lpwstr>true</vt:lpwstr>
  </property>
  <property fmtid="{D5CDD505-2E9C-101B-9397-08002B2CF9AE}" pid="3" name="MSIP_Label_22759de7-3255-46b5-8dfe-736652f9c6c1_SetDate">
    <vt:lpwstr>2022-05-31T16:21:10Z</vt:lpwstr>
  </property>
  <property fmtid="{D5CDD505-2E9C-101B-9397-08002B2CF9AE}" pid="4" name="MSIP_Label_22759de7-3255-46b5-8dfe-736652f9c6c1_Method">
    <vt:lpwstr>Standard</vt:lpwstr>
  </property>
  <property fmtid="{D5CDD505-2E9C-101B-9397-08002B2CF9AE}" pid="5" name="MSIP_Label_22759de7-3255-46b5-8dfe-736652f9c6c1_Name">
    <vt:lpwstr>22759de7-3255-46b5-8dfe-736652f9c6c1</vt:lpwstr>
  </property>
  <property fmtid="{D5CDD505-2E9C-101B-9397-08002B2CF9AE}" pid="6" name="MSIP_Label_22759de7-3255-46b5-8dfe-736652f9c6c1_SiteId">
    <vt:lpwstr>c6ac664b-ae27-4d5d-b4e6-bb5717196fc7</vt:lpwstr>
  </property>
  <property fmtid="{D5CDD505-2E9C-101B-9397-08002B2CF9AE}" pid="7" name="MSIP_Label_22759de7-3255-46b5-8dfe-736652f9c6c1_ActionId">
    <vt:lpwstr>b60a0879-b64e-4bb2-844f-8a98518ad874</vt:lpwstr>
  </property>
  <property fmtid="{D5CDD505-2E9C-101B-9397-08002B2CF9AE}" pid="8" name="MSIP_Label_22759de7-3255-46b5-8dfe-736652f9c6c1_ContentBits">
    <vt:lpwstr>0</vt:lpwstr>
  </property>
  <property fmtid="{D5CDD505-2E9C-101B-9397-08002B2CF9AE}" pid="9" name="ContentTypeId">
    <vt:lpwstr>0x010100149A7AD2E58AFC4D8EEDFCBA4A57BB40</vt:lpwstr>
  </property>
</Properties>
</file>