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9FB3" w14:textId="77777777" w:rsidR="00E80B4F" w:rsidRPr="00E318AF" w:rsidRDefault="00D00EA9" w:rsidP="00E80B4F">
      <w:pPr>
        <w:spacing w:before="120" w:after="284"/>
      </w:pPr>
      <w:bookmarkStart w:id="0" w:name="_Hlk18410760"/>
      <w:r>
        <w:rPr>
          <w:noProof/>
        </w:rPr>
        <w:drawing>
          <wp:inline distT="0" distB="0" distL="0" distR="0" wp14:anchorId="136E858B" wp14:editId="1205DA8C">
            <wp:extent cx="866775" cy="866775"/>
            <wp:effectExtent l="0" t="0" r="0" b="0"/>
            <wp:docPr id="1" name="Picture 1" descr="UK AEA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AEA_BLK_SML_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1C456228" w14:textId="77777777" w:rsidR="00E80B4F" w:rsidRDefault="00E80B4F" w:rsidP="00E80B4F">
      <w:pPr>
        <w:rPr>
          <w:szCs w:val="24"/>
        </w:rPr>
      </w:pPr>
    </w:p>
    <w:p w14:paraId="2CD360FD" w14:textId="4990C8A2" w:rsidR="00E80B4F" w:rsidRDefault="00E80B4F" w:rsidP="00E80B4F">
      <w:pPr>
        <w:rPr>
          <w:b/>
          <w:caps/>
          <w:sz w:val="20"/>
        </w:rPr>
      </w:pPr>
      <w:r>
        <w:rPr>
          <w:b/>
          <w:caps/>
          <w:sz w:val="28"/>
          <w:szCs w:val="28"/>
        </w:rPr>
        <w:t xml:space="preserve">Minutes of the </w:t>
      </w:r>
      <w:r w:rsidR="004A6F18">
        <w:rPr>
          <w:b/>
          <w:caps/>
          <w:sz w:val="28"/>
          <w:szCs w:val="28"/>
        </w:rPr>
        <w:t>1</w:t>
      </w:r>
      <w:r w:rsidR="004A6F18">
        <w:rPr>
          <w:b/>
          <w:caps/>
          <w:sz w:val="28"/>
          <w:szCs w:val="28"/>
          <w:vertAlign w:val="superscript"/>
        </w:rPr>
        <w:t>st</w:t>
      </w:r>
      <w:r>
        <w:rPr>
          <w:b/>
          <w:caps/>
          <w:sz w:val="28"/>
          <w:szCs w:val="28"/>
        </w:rPr>
        <w:t xml:space="preserve"> </w:t>
      </w:r>
      <w:r w:rsidR="00BB2D34">
        <w:rPr>
          <w:b/>
          <w:caps/>
          <w:sz w:val="28"/>
          <w:szCs w:val="28"/>
        </w:rPr>
        <w:t>ukaea board</w:t>
      </w:r>
      <w:r>
        <w:rPr>
          <w:b/>
          <w:caps/>
          <w:sz w:val="28"/>
          <w:szCs w:val="28"/>
        </w:rPr>
        <w:t xml:space="preserve"> meeting in 20</w:t>
      </w:r>
      <w:r w:rsidR="00BB2D34">
        <w:rPr>
          <w:b/>
          <w:caps/>
          <w:sz w:val="28"/>
          <w:szCs w:val="28"/>
        </w:rPr>
        <w:t>2</w:t>
      </w:r>
      <w:r w:rsidR="004A6F18">
        <w:rPr>
          <w:b/>
          <w:caps/>
          <w:sz w:val="28"/>
          <w:szCs w:val="28"/>
        </w:rPr>
        <w:t>2</w:t>
      </w:r>
    </w:p>
    <w:p w14:paraId="443C9630" w14:textId="77777777" w:rsidR="00E80B4F" w:rsidRPr="003A00CB" w:rsidRDefault="00E80B4F" w:rsidP="00E80B4F">
      <w:pPr>
        <w:rPr>
          <w:b/>
          <w:caps/>
          <w:sz w:val="20"/>
        </w:rPr>
      </w:pPr>
    </w:p>
    <w:p w14:paraId="635A85D4" w14:textId="6279B3CC" w:rsidR="00E80B4F" w:rsidRPr="00A337E4" w:rsidRDefault="004A6F18" w:rsidP="00E80B4F">
      <w:pPr>
        <w:rPr>
          <w:b/>
          <w:bCs/>
          <w:szCs w:val="24"/>
        </w:rPr>
      </w:pPr>
      <w:r>
        <w:rPr>
          <w:b/>
          <w:bCs/>
          <w:szCs w:val="24"/>
        </w:rPr>
        <w:t>19</w:t>
      </w:r>
      <w:r w:rsidR="00BB2D34">
        <w:rPr>
          <w:b/>
          <w:bCs/>
          <w:szCs w:val="24"/>
        </w:rPr>
        <w:t xml:space="preserve"> </w:t>
      </w:r>
      <w:r>
        <w:rPr>
          <w:b/>
          <w:bCs/>
          <w:szCs w:val="24"/>
        </w:rPr>
        <w:t>January 2022</w:t>
      </w:r>
    </w:p>
    <w:p w14:paraId="22CD006A" w14:textId="77777777" w:rsidR="00E80B4F" w:rsidRDefault="00E80B4F" w:rsidP="00E80B4F">
      <w:pPr>
        <w:rPr>
          <w:szCs w:val="24"/>
        </w:rPr>
      </w:pPr>
    </w:p>
    <w:tbl>
      <w:tblPr>
        <w:tblW w:w="9405" w:type="dxa"/>
        <w:tblLayout w:type="fixed"/>
        <w:tblLook w:val="01E0" w:firstRow="1" w:lastRow="1" w:firstColumn="1" w:lastColumn="1" w:noHBand="0" w:noVBand="0"/>
      </w:tblPr>
      <w:tblGrid>
        <w:gridCol w:w="1689"/>
        <w:gridCol w:w="3158"/>
        <w:gridCol w:w="1436"/>
        <w:gridCol w:w="3122"/>
      </w:tblGrid>
      <w:tr w:rsidR="00E80B4F" w:rsidRPr="000027A7" w14:paraId="766946C4" w14:textId="77777777" w:rsidTr="0096648D">
        <w:trPr>
          <w:trHeight w:val="416"/>
        </w:trPr>
        <w:tc>
          <w:tcPr>
            <w:tcW w:w="1689" w:type="dxa"/>
            <w:shd w:val="clear" w:color="auto" w:fill="auto"/>
          </w:tcPr>
          <w:p w14:paraId="2D95B9A7" w14:textId="77777777" w:rsidR="00E80B4F" w:rsidRPr="000027A7" w:rsidRDefault="00E80B4F" w:rsidP="003D3FC5">
            <w:pPr>
              <w:rPr>
                <w:b/>
                <w:szCs w:val="24"/>
              </w:rPr>
            </w:pPr>
            <w:r>
              <w:rPr>
                <w:b/>
                <w:szCs w:val="24"/>
              </w:rPr>
              <w:t>Location:</w:t>
            </w:r>
          </w:p>
          <w:p w14:paraId="63FFF8A8" w14:textId="77777777" w:rsidR="00E80B4F" w:rsidRPr="000027A7" w:rsidRDefault="00E80B4F" w:rsidP="003D3FC5">
            <w:pPr>
              <w:rPr>
                <w:b/>
                <w:szCs w:val="24"/>
              </w:rPr>
            </w:pPr>
          </w:p>
        </w:tc>
        <w:tc>
          <w:tcPr>
            <w:tcW w:w="3158" w:type="dxa"/>
            <w:tcBorders>
              <w:bottom w:val="single" w:sz="4" w:space="0" w:color="FFFFFF"/>
            </w:tcBorders>
            <w:shd w:val="clear" w:color="auto" w:fill="auto"/>
          </w:tcPr>
          <w:p w14:paraId="6DF33FB0" w14:textId="66CBB9D5" w:rsidR="00E80B4F" w:rsidRPr="000027A7" w:rsidRDefault="00F932FC" w:rsidP="003D3FC5">
            <w:pPr>
              <w:rPr>
                <w:szCs w:val="24"/>
              </w:rPr>
            </w:pPr>
            <w:r>
              <w:rPr>
                <w:szCs w:val="24"/>
              </w:rPr>
              <w:t>HOW Room</w:t>
            </w:r>
            <w:r w:rsidR="00BB2D34">
              <w:rPr>
                <w:szCs w:val="24"/>
              </w:rPr>
              <w:t xml:space="preserve">, UKAEA and remote </w:t>
            </w:r>
          </w:p>
        </w:tc>
        <w:tc>
          <w:tcPr>
            <w:tcW w:w="1436" w:type="dxa"/>
            <w:tcBorders>
              <w:bottom w:val="single" w:sz="4" w:space="0" w:color="FFFFFF"/>
            </w:tcBorders>
            <w:shd w:val="clear" w:color="auto" w:fill="auto"/>
          </w:tcPr>
          <w:p w14:paraId="27DF2A0A" w14:textId="77777777" w:rsidR="00E80B4F" w:rsidRPr="000027A7" w:rsidRDefault="00E80B4F" w:rsidP="003D3FC5">
            <w:pPr>
              <w:rPr>
                <w:b/>
                <w:szCs w:val="24"/>
              </w:rPr>
            </w:pPr>
          </w:p>
        </w:tc>
        <w:tc>
          <w:tcPr>
            <w:tcW w:w="3122" w:type="dxa"/>
            <w:shd w:val="clear" w:color="auto" w:fill="auto"/>
          </w:tcPr>
          <w:p w14:paraId="375C9913" w14:textId="77777777" w:rsidR="00E80B4F" w:rsidRPr="000027A7" w:rsidRDefault="00E80B4F" w:rsidP="003D3FC5">
            <w:pPr>
              <w:rPr>
                <w:szCs w:val="24"/>
              </w:rPr>
            </w:pPr>
          </w:p>
        </w:tc>
      </w:tr>
      <w:tr w:rsidR="006B03A2" w:rsidRPr="000027A7" w14:paraId="4AB63F6B" w14:textId="77777777" w:rsidTr="0096648D">
        <w:trPr>
          <w:trHeight w:val="1506"/>
        </w:trPr>
        <w:tc>
          <w:tcPr>
            <w:tcW w:w="1689" w:type="dxa"/>
            <w:shd w:val="clear" w:color="auto" w:fill="auto"/>
          </w:tcPr>
          <w:p w14:paraId="410E1426" w14:textId="77777777" w:rsidR="006B03A2" w:rsidRDefault="006B03A2" w:rsidP="003D3FC5">
            <w:pPr>
              <w:rPr>
                <w:b/>
                <w:szCs w:val="24"/>
              </w:rPr>
            </w:pPr>
          </w:p>
          <w:p w14:paraId="0BFF7160" w14:textId="5427CD18" w:rsidR="006B03A2" w:rsidRDefault="006B03A2" w:rsidP="003D3FC5">
            <w:pPr>
              <w:rPr>
                <w:b/>
                <w:szCs w:val="24"/>
              </w:rPr>
            </w:pPr>
            <w:r>
              <w:rPr>
                <w:b/>
                <w:szCs w:val="24"/>
              </w:rPr>
              <w:t>Members</w:t>
            </w:r>
          </w:p>
        </w:tc>
        <w:tc>
          <w:tcPr>
            <w:tcW w:w="7716" w:type="dxa"/>
            <w:gridSpan w:val="3"/>
            <w:tcBorders>
              <w:top w:val="single" w:sz="4" w:space="0" w:color="FFFFFF"/>
            </w:tcBorders>
            <w:shd w:val="clear" w:color="auto" w:fill="auto"/>
          </w:tcPr>
          <w:p w14:paraId="15F40303" w14:textId="77777777" w:rsidR="006B03A2" w:rsidRDefault="006B03A2" w:rsidP="003D3FC5">
            <w:pPr>
              <w:rPr>
                <w:szCs w:val="24"/>
              </w:rPr>
            </w:pPr>
          </w:p>
          <w:p w14:paraId="06098AEF" w14:textId="77777777" w:rsidR="006B03A2" w:rsidRDefault="006B03A2" w:rsidP="003D3FC5">
            <w:pPr>
              <w:rPr>
                <w:szCs w:val="24"/>
              </w:rPr>
            </w:pPr>
            <w:r>
              <w:rPr>
                <w:szCs w:val="24"/>
              </w:rPr>
              <w:t>David Gann (Chair)</w:t>
            </w:r>
          </w:p>
          <w:p w14:paraId="4063DA1C" w14:textId="77777777" w:rsidR="006B03A2" w:rsidRDefault="006B03A2" w:rsidP="003D3FC5">
            <w:pPr>
              <w:rPr>
                <w:szCs w:val="24"/>
              </w:rPr>
            </w:pPr>
            <w:r>
              <w:rPr>
                <w:szCs w:val="24"/>
              </w:rPr>
              <w:t>Mark Bayley</w:t>
            </w:r>
          </w:p>
          <w:p w14:paraId="6150EDF0" w14:textId="77777777" w:rsidR="006B03A2" w:rsidRDefault="006B03A2" w:rsidP="003D3FC5">
            <w:pPr>
              <w:rPr>
                <w:szCs w:val="24"/>
              </w:rPr>
            </w:pPr>
            <w:r>
              <w:rPr>
                <w:szCs w:val="24"/>
              </w:rPr>
              <w:t>Stephen Barter</w:t>
            </w:r>
          </w:p>
          <w:p w14:paraId="36839282" w14:textId="77777777" w:rsidR="006B03A2" w:rsidRDefault="006B03A2" w:rsidP="003D3FC5">
            <w:pPr>
              <w:rPr>
                <w:szCs w:val="24"/>
              </w:rPr>
            </w:pPr>
            <w:r>
              <w:rPr>
                <w:szCs w:val="24"/>
              </w:rPr>
              <w:t>Luc Bardin</w:t>
            </w:r>
          </w:p>
          <w:p w14:paraId="1E397B3C" w14:textId="77777777" w:rsidR="006B03A2" w:rsidRDefault="006B03A2" w:rsidP="003D3FC5">
            <w:pPr>
              <w:rPr>
                <w:szCs w:val="24"/>
              </w:rPr>
            </w:pPr>
            <w:r>
              <w:rPr>
                <w:szCs w:val="24"/>
              </w:rPr>
              <w:t>Eithne Birt</w:t>
            </w:r>
          </w:p>
          <w:p w14:paraId="762047AA" w14:textId="4F6A40D7" w:rsidR="006B03A2" w:rsidRDefault="006B03A2" w:rsidP="003D3FC5">
            <w:pPr>
              <w:rPr>
                <w:szCs w:val="24"/>
              </w:rPr>
            </w:pPr>
            <w:r>
              <w:rPr>
                <w:szCs w:val="24"/>
              </w:rPr>
              <w:t>Adrian Smith</w:t>
            </w:r>
          </w:p>
          <w:p w14:paraId="34211A1C" w14:textId="77777777" w:rsidR="00F932FC" w:rsidRDefault="00F932FC" w:rsidP="003D3FC5">
            <w:pPr>
              <w:rPr>
                <w:szCs w:val="24"/>
              </w:rPr>
            </w:pPr>
            <w:r>
              <w:rPr>
                <w:szCs w:val="24"/>
              </w:rPr>
              <w:t>Richard Hookway</w:t>
            </w:r>
          </w:p>
          <w:p w14:paraId="43E5C33C" w14:textId="77777777" w:rsidR="006B03A2" w:rsidRDefault="006B03A2" w:rsidP="003D3FC5">
            <w:pPr>
              <w:rPr>
                <w:szCs w:val="24"/>
              </w:rPr>
            </w:pPr>
            <w:r>
              <w:rPr>
                <w:szCs w:val="24"/>
              </w:rPr>
              <w:t>Ian Chapman (CEO)</w:t>
            </w:r>
          </w:p>
          <w:p w14:paraId="37506B8C" w14:textId="77777777" w:rsidR="006B03A2" w:rsidRDefault="006B03A2" w:rsidP="003D3FC5">
            <w:pPr>
              <w:rPr>
                <w:szCs w:val="24"/>
              </w:rPr>
            </w:pPr>
            <w:r>
              <w:rPr>
                <w:szCs w:val="24"/>
              </w:rPr>
              <w:t>Antonia Jenkinson (CFO)</w:t>
            </w:r>
          </w:p>
          <w:p w14:paraId="61AD26CC" w14:textId="1D94F24D" w:rsidR="00F40310" w:rsidRDefault="00F40310" w:rsidP="003D3FC5">
            <w:pPr>
              <w:rPr>
                <w:szCs w:val="24"/>
              </w:rPr>
            </w:pPr>
          </w:p>
        </w:tc>
      </w:tr>
      <w:tr w:rsidR="00E80B4F" w:rsidRPr="000027A7" w14:paraId="52A079A3" w14:textId="77777777" w:rsidTr="00876E16">
        <w:trPr>
          <w:trHeight w:val="2042"/>
        </w:trPr>
        <w:tc>
          <w:tcPr>
            <w:tcW w:w="1689" w:type="dxa"/>
            <w:shd w:val="clear" w:color="auto" w:fill="auto"/>
          </w:tcPr>
          <w:p w14:paraId="3FCCB760" w14:textId="3A673F95" w:rsidR="00E80B4F" w:rsidRPr="000027A7" w:rsidRDefault="00E80B4F" w:rsidP="003D3FC5">
            <w:pPr>
              <w:rPr>
                <w:b/>
                <w:szCs w:val="24"/>
              </w:rPr>
            </w:pPr>
            <w:r>
              <w:rPr>
                <w:b/>
                <w:szCs w:val="24"/>
              </w:rPr>
              <w:t>Attendees</w:t>
            </w:r>
          </w:p>
          <w:p w14:paraId="2BA3C68D" w14:textId="77777777" w:rsidR="00E80B4F" w:rsidRPr="000027A7" w:rsidRDefault="00E80B4F" w:rsidP="003D3FC5">
            <w:pPr>
              <w:rPr>
                <w:b/>
                <w:szCs w:val="24"/>
              </w:rPr>
            </w:pPr>
          </w:p>
        </w:tc>
        <w:tc>
          <w:tcPr>
            <w:tcW w:w="7716" w:type="dxa"/>
            <w:gridSpan w:val="3"/>
            <w:tcBorders>
              <w:top w:val="single" w:sz="4" w:space="0" w:color="FFFFFF"/>
            </w:tcBorders>
            <w:shd w:val="clear" w:color="auto" w:fill="auto"/>
          </w:tcPr>
          <w:p w14:paraId="7A31875A" w14:textId="1A6B8F68" w:rsidR="004A6F18" w:rsidRDefault="004A6F18" w:rsidP="003D3FC5">
            <w:pPr>
              <w:rPr>
                <w:szCs w:val="24"/>
              </w:rPr>
            </w:pPr>
            <w:r>
              <w:rPr>
                <w:szCs w:val="24"/>
              </w:rPr>
              <w:t>Adam Baker (BEIS)</w:t>
            </w:r>
          </w:p>
          <w:p w14:paraId="1C0A39DB" w14:textId="77777777" w:rsidR="00E80B4F" w:rsidRDefault="00F40310" w:rsidP="003D3FC5">
            <w:pPr>
              <w:rPr>
                <w:szCs w:val="24"/>
              </w:rPr>
            </w:pPr>
            <w:r>
              <w:rPr>
                <w:szCs w:val="24"/>
              </w:rPr>
              <w:t>Lyanne Maclean (COO)</w:t>
            </w:r>
          </w:p>
          <w:p w14:paraId="2B695B0E" w14:textId="03D6EC80" w:rsidR="004A6F18" w:rsidRDefault="004A6F18" w:rsidP="003D3FC5">
            <w:pPr>
              <w:rPr>
                <w:szCs w:val="24"/>
              </w:rPr>
            </w:pPr>
            <w:r>
              <w:rPr>
                <w:szCs w:val="24"/>
              </w:rPr>
              <w:t>Tim Bestwick (CTO)</w:t>
            </w:r>
          </w:p>
          <w:p w14:paraId="7DA76E03" w14:textId="77777777" w:rsidR="00F40310" w:rsidRDefault="00F40310" w:rsidP="003D3FC5">
            <w:pPr>
              <w:rPr>
                <w:szCs w:val="24"/>
              </w:rPr>
            </w:pPr>
            <w:r>
              <w:rPr>
                <w:szCs w:val="24"/>
              </w:rPr>
              <w:t>Nick Walkden (Secretariat)</w:t>
            </w:r>
          </w:p>
          <w:p w14:paraId="673B97C1" w14:textId="77777777" w:rsidR="004A6F18" w:rsidRDefault="004A6F18" w:rsidP="003D3FC5">
            <w:pPr>
              <w:rPr>
                <w:szCs w:val="24"/>
              </w:rPr>
            </w:pPr>
            <w:r>
              <w:rPr>
                <w:szCs w:val="24"/>
              </w:rPr>
              <w:t>Joe Milnes (Head of JET Operations, item 5)</w:t>
            </w:r>
          </w:p>
          <w:p w14:paraId="7439BC39" w14:textId="77777777" w:rsidR="004A6F18" w:rsidRDefault="004A6F18" w:rsidP="003D3FC5">
            <w:pPr>
              <w:rPr>
                <w:szCs w:val="24"/>
              </w:rPr>
            </w:pPr>
            <w:r>
              <w:rPr>
                <w:szCs w:val="24"/>
              </w:rPr>
              <w:t>Martin Townsend (Head of JET Repurposing programme, item 6)</w:t>
            </w:r>
          </w:p>
          <w:p w14:paraId="4912A0CE" w14:textId="74E1EFFE" w:rsidR="004A6F18" w:rsidRDefault="004A6F18" w:rsidP="003D3FC5">
            <w:pPr>
              <w:rPr>
                <w:szCs w:val="24"/>
              </w:rPr>
            </w:pPr>
            <w:r>
              <w:rPr>
                <w:szCs w:val="24"/>
              </w:rPr>
              <w:t>Harry Turnbull-Jones (Business case lead, item 6)</w:t>
            </w:r>
          </w:p>
          <w:p w14:paraId="1E9F454C" w14:textId="75C0E708" w:rsidR="00F40310" w:rsidRDefault="00F40310" w:rsidP="003D3FC5">
            <w:pPr>
              <w:rPr>
                <w:szCs w:val="24"/>
              </w:rPr>
            </w:pPr>
            <w:r>
              <w:rPr>
                <w:szCs w:val="24"/>
              </w:rPr>
              <w:t>All</w:t>
            </w:r>
            <w:r w:rsidR="00F932FC">
              <w:rPr>
                <w:szCs w:val="24"/>
              </w:rPr>
              <w:t xml:space="preserve">i Brown (Finance Director, item </w:t>
            </w:r>
            <w:r w:rsidR="004A6F18">
              <w:rPr>
                <w:szCs w:val="24"/>
              </w:rPr>
              <w:t>7</w:t>
            </w:r>
            <w:r>
              <w:rPr>
                <w:szCs w:val="24"/>
              </w:rPr>
              <w:t>)</w:t>
            </w:r>
          </w:p>
          <w:p w14:paraId="128D5271" w14:textId="0FA74218" w:rsidR="00F40310" w:rsidRPr="000027A7" w:rsidRDefault="00F40310" w:rsidP="004A6F18">
            <w:pPr>
              <w:rPr>
                <w:szCs w:val="24"/>
              </w:rPr>
            </w:pPr>
          </w:p>
        </w:tc>
      </w:tr>
      <w:tr w:rsidR="0096648D" w:rsidRPr="000027A7" w14:paraId="343D4E9D" w14:textId="77777777" w:rsidTr="00EB1519">
        <w:trPr>
          <w:trHeight w:val="309"/>
        </w:trPr>
        <w:tc>
          <w:tcPr>
            <w:tcW w:w="1689" w:type="dxa"/>
            <w:shd w:val="clear" w:color="auto" w:fill="auto"/>
          </w:tcPr>
          <w:p w14:paraId="71675215" w14:textId="6AAFC9E9" w:rsidR="0096648D" w:rsidRPr="000027A7" w:rsidRDefault="0096648D" w:rsidP="003D3FC5">
            <w:pPr>
              <w:rPr>
                <w:b/>
                <w:szCs w:val="24"/>
              </w:rPr>
            </w:pPr>
            <w:r w:rsidRPr="000027A7">
              <w:rPr>
                <w:b/>
                <w:szCs w:val="24"/>
              </w:rPr>
              <w:t>Apologies</w:t>
            </w:r>
          </w:p>
          <w:p w14:paraId="23C4D0BD" w14:textId="77777777" w:rsidR="0096648D" w:rsidRDefault="0096648D" w:rsidP="003D3FC5">
            <w:pPr>
              <w:rPr>
                <w:b/>
                <w:szCs w:val="24"/>
              </w:rPr>
            </w:pPr>
          </w:p>
        </w:tc>
        <w:tc>
          <w:tcPr>
            <w:tcW w:w="7716" w:type="dxa"/>
            <w:gridSpan w:val="3"/>
            <w:shd w:val="clear" w:color="auto" w:fill="auto"/>
          </w:tcPr>
          <w:p w14:paraId="5F750BF4" w14:textId="64E8BAFA" w:rsidR="00C22551" w:rsidRDefault="004A6F18" w:rsidP="003D3FC5">
            <w:pPr>
              <w:rPr>
                <w:szCs w:val="24"/>
              </w:rPr>
            </w:pPr>
            <w:r>
              <w:rPr>
                <w:szCs w:val="24"/>
              </w:rPr>
              <w:t>Kay Church</w:t>
            </w:r>
          </w:p>
          <w:p w14:paraId="7B02A04B" w14:textId="77777777" w:rsidR="00876E16" w:rsidRDefault="00876E16" w:rsidP="00876E16">
            <w:pPr>
              <w:rPr>
                <w:szCs w:val="24"/>
              </w:rPr>
            </w:pPr>
            <w:r>
              <w:rPr>
                <w:szCs w:val="24"/>
              </w:rPr>
              <w:t>Stephen Hillier</w:t>
            </w:r>
          </w:p>
          <w:p w14:paraId="55C82A11" w14:textId="5F659C7A" w:rsidR="00876E16" w:rsidRDefault="004A6F18" w:rsidP="003D3FC5">
            <w:pPr>
              <w:rPr>
                <w:szCs w:val="24"/>
              </w:rPr>
            </w:pPr>
            <w:proofErr w:type="spellStart"/>
            <w:r>
              <w:rPr>
                <w:szCs w:val="24"/>
              </w:rPr>
              <w:t>Shrin</w:t>
            </w:r>
            <w:proofErr w:type="spellEnd"/>
            <w:r>
              <w:rPr>
                <w:szCs w:val="24"/>
              </w:rPr>
              <w:t xml:space="preserve"> Honap (before item 4)</w:t>
            </w:r>
          </w:p>
          <w:p w14:paraId="30F486F4" w14:textId="77777777" w:rsidR="0096648D" w:rsidRDefault="0096648D" w:rsidP="00F932FC">
            <w:pPr>
              <w:rPr>
                <w:szCs w:val="24"/>
              </w:rPr>
            </w:pPr>
          </w:p>
          <w:p w14:paraId="2FEA1A0E" w14:textId="77777777" w:rsidR="005F7677" w:rsidRDefault="005F7677" w:rsidP="00F932FC">
            <w:pPr>
              <w:rPr>
                <w:szCs w:val="24"/>
              </w:rPr>
            </w:pPr>
          </w:p>
          <w:p w14:paraId="42F655A4" w14:textId="77777777" w:rsidR="005F7677" w:rsidRDefault="005F7677" w:rsidP="00F932FC">
            <w:pPr>
              <w:rPr>
                <w:szCs w:val="24"/>
              </w:rPr>
            </w:pPr>
          </w:p>
          <w:p w14:paraId="7F404426" w14:textId="77777777" w:rsidR="005F7677" w:rsidRDefault="005F7677" w:rsidP="00F932FC">
            <w:pPr>
              <w:rPr>
                <w:szCs w:val="24"/>
              </w:rPr>
            </w:pPr>
          </w:p>
          <w:p w14:paraId="5F836242" w14:textId="77777777" w:rsidR="005F7677" w:rsidRDefault="005F7677" w:rsidP="00F932FC">
            <w:pPr>
              <w:rPr>
                <w:szCs w:val="24"/>
              </w:rPr>
            </w:pPr>
          </w:p>
          <w:p w14:paraId="4E5D72F0" w14:textId="77777777" w:rsidR="005F7677" w:rsidRDefault="005F7677" w:rsidP="00F932FC">
            <w:pPr>
              <w:rPr>
                <w:szCs w:val="24"/>
              </w:rPr>
            </w:pPr>
          </w:p>
          <w:p w14:paraId="720F4FC7" w14:textId="77777777" w:rsidR="005F7677" w:rsidRDefault="005F7677" w:rsidP="00F932FC">
            <w:pPr>
              <w:rPr>
                <w:szCs w:val="24"/>
              </w:rPr>
            </w:pPr>
          </w:p>
          <w:p w14:paraId="50748964" w14:textId="77777777" w:rsidR="005F7677" w:rsidRDefault="005F7677" w:rsidP="00F932FC">
            <w:pPr>
              <w:rPr>
                <w:szCs w:val="24"/>
              </w:rPr>
            </w:pPr>
          </w:p>
          <w:p w14:paraId="21C7A429" w14:textId="77777777" w:rsidR="005F7677" w:rsidRDefault="005F7677" w:rsidP="00F932FC">
            <w:pPr>
              <w:rPr>
                <w:szCs w:val="24"/>
              </w:rPr>
            </w:pPr>
          </w:p>
          <w:p w14:paraId="046C133F" w14:textId="77777777" w:rsidR="004A6F18" w:rsidRDefault="004A6F18" w:rsidP="00F932FC">
            <w:pPr>
              <w:rPr>
                <w:szCs w:val="24"/>
              </w:rPr>
            </w:pPr>
          </w:p>
          <w:p w14:paraId="02F182C7" w14:textId="77777777" w:rsidR="005F7677" w:rsidRDefault="005F7677" w:rsidP="00F932FC">
            <w:pPr>
              <w:rPr>
                <w:szCs w:val="24"/>
              </w:rPr>
            </w:pPr>
          </w:p>
          <w:p w14:paraId="0632C385" w14:textId="77777777" w:rsidR="005F7677" w:rsidRDefault="005F7677" w:rsidP="00F932FC">
            <w:pPr>
              <w:rPr>
                <w:szCs w:val="24"/>
              </w:rPr>
            </w:pPr>
          </w:p>
          <w:p w14:paraId="648373C6" w14:textId="77777777" w:rsidR="005F7677" w:rsidRDefault="005F7677" w:rsidP="00F932FC">
            <w:pPr>
              <w:rPr>
                <w:szCs w:val="24"/>
              </w:rPr>
            </w:pPr>
          </w:p>
          <w:p w14:paraId="21FD5514" w14:textId="77777777" w:rsidR="005F7677" w:rsidRDefault="005F7677" w:rsidP="00F932FC">
            <w:pPr>
              <w:rPr>
                <w:szCs w:val="24"/>
              </w:rPr>
            </w:pPr>
          </w:p>
          <w:p w14:paraId="0EB5A8E0" w14:textId="77777777" w:rsidR="005F7677" w:rsidRDefault="005F7677" w:rsidP="00F932FC">
            <w:pPr>
              <w:rPr>
                <w:szCs w:val="24"/>
              </w:rPr>
            </w:pPr>
          </w:p>
          <w:p w14:paraId="254A737D" w14:textId="77777777" w:rsidR="005F7677" w:rsidRDefault="005F7677" w:rsidP="00F932FC">
            <w:pPr>
              <w:rPr>
                <w:szCs w:val="24"/>
              </w:rPr>
            </w:pPr>
          </w:p>
        </w:tc>
      </w:tr>
    </w:tbl>
    <w:p w14:paraId="2EFDAC76" w14:textId="7CFB23D9" w:rsidR="00D44D32" w:rsidRDefault="00E80B4F" w:rsidP="004824F0">
      <w:pPr>
        <w:pBdr>
          <w:bottom w:val="single" w:sz="6" w:space="1" w:color="auto"/>
        </w:pBdr>
        <w:rPr>
          <w:b/>
          <w:sz w:val="28"/>
          <w:szCs w:val="28"/>
        </w:rPr>
      </w:pPr>
      <w:r>
        <w:rPr>
          <w:b/>
          <w:sz w:val="28"/>
          <w:szCs w:val="28"/>
        </w:rPr>
        <w:lastRenderedPageBreak/>
        <w:t>M</w:t>
      </w:r>
      <w:r w:rsidR="002B556A">
        <w:rPr>
          <w:b/>
          <w:sz w:val="28"/>
          <w:szCs w:val="28"/>
        </w:rPr>
        <w:t>INUTES</w:t>
      </w:r>
    </w:p>
    <w:p w14:paraId="70F2F5EF" w14:textId="77777777" w:rsidR="00F72617" w:rsidRPr="004824F0" w:rsidRDefault="00F72617" w:rsidP="004824F0">
      <w:pPr>
        <w:rPr>
          <w:b/>
          <w:sz w:val="28"/>
          <w:szCs w:val="28"/>
        </w:rPr>
      </w:pPr>
    </w:p>
    <w:p w14:paraId="54CDF306" w14:textId="77777777" w:rsidR="00690C7F" w:rsidRDefault="00BB2D34" w:rsidP="00BB2D34">
      <w:pPr>
        <w:pStyle w:val="Heading1"/>
      </w:pPr>
      <w:r>
        <w:t>chair’s opening remarks</w:t>
      </w:r>
    </w:p>
    <w:p w14:paraId="7BF103F1" w14:textId="2DFAA274" w:rsidR="00BB2D34" w:rsidRPr="00F72617" w:rsidRDefault="004A6F18" w:rsidP="003F3CA7">
      <w:pPr>
        <w:pStyle w:val="Heading2"/>
        <w:rPr>
          <w:b w:val="0"/>
          <w:color w:val="000000"/>
          <w:szCs w:val="24"/>
          <w:lang w:eastAsia="en-US"/>
        </w:rPr>
      </w:pPr>
      <w:r>
        <w:rPr>
          <w:b w:val="0"/>
          <w:color w:val="000000"/>
          <w:szCs w:val="24"/>
          <w:lang w:eastAsia="en-US"/>
        </w:rPr>
        <w:t>The Chair updated the Board on the latest status of Board renewals.</w:t>
      </w:r>
      <w:r w:rsidR="00CC6AE0">
        <w:rPr>
          <w:b w:val="0"/>
          <w:color w:val="000000"/>
          <w:szCs w:val="24"/>
          <w:lang w:eastAsia="en-US"/>
        </w:rPr>
        <w:t xml:space="preserve"> </w:t>
      </w:r>
    </w:p>
    <w:p w14:paraId="12E92E80" w14:textId="16A9A47E" w:rsidR="00F72617" w:rsidRDefault="00F72617" w:rsidP="00F72617">
      <w:pPr>
        <w:pStyle w:val="Heading2"/>
        <w:rPr>
          <w:b w:val="0"/>
          <w:lang w:eastAsia="en-US"/>
        </w:rPr>
      </w:pPr>
      <w:r>
        <w:rPr>
          <w:b w:val="0"/>
          <w:lang w:eastAsia="en-US"/>
        </w:rPr>
        <w:t>No declarations of interest were raised.</w:t>
      </w:r>
    </w:p>
    <w:p w14:paraId="7788E9A3" w14:textId="781274C8" w:rsidR="00F335E9" w:rsidRDefault="001B2437" w:rsidP="001B2437">
      <w:pPr>
        <w:pStyle w:val="Heading1"/>
        <w:rPr>
          <w:lang w:eastAsia="en-US"/>
        </w:rPr>
      </w:pPr>
      <w:r>
        <w:rPr>
          <w:lang w:eastAsia="en-US"/>
        </w:rPr>
        <w:t>minutes and actions</w:t>
      </w:r>
    </w:p>
    <w:p w14:paraId="01E98EA8" w14:textId="41707F66" w:rsidR="001B2437" w:rsidRDefault="009A605E" w:rsidP="001B2437">
      <w:pPr>
        <w:pStyle w:val="Heading2"/>
        <w:rPr>
          <w:b w:val="0"/>
          <w:lang w:eastAsia="en-US"/>
        </w:rPr>
      </w:pPr>
      <w:r>
        <w:rPr>
          <w:b w:val="0"/>
          <w:lang w:eastAsia="en-US"/>
        </w:rPr>
        <w:t xml:space="preserve">The minutes of the </w:t>
      </w:r>
      <w:r w:rsidR="004A6F18">
        <w:rPr>
          <w:b w:val="0"/>
          <w:lang w:eastAsia="en-US"/>
        </w:rPr>
        <w:t>6</w:t>
      </w:r>
      <w:r w:rsidRPr="009A605E">
        <w:rPr>
          <w:b w:val="0"/>
          <w:vertAlign w:val="superscript"/>
          <w:lang w:eastAsia="en-US"/>
        </w:rPr>
        <w:t>th</w:t>
      </w:r>
      <w:r>
        <w:rPr>
          <w:b w:val="0"/>
          <w:lang w:eastAsia="en-US"/>
        </w:rPr>
        <w:t xml:space="preserve"> UKAEA Board meeting in 2021 were reviewed, and approved with minor </w:t>
      </w:r>
      <w:r w:rsidR="004A6F18">
        <w:rPr>
          <w:b w:val="0"/>
          <w:lang w:eastAsia="en-US"/>
        </w:rPr>
        <w:t>amendments</w:t>
      </w:r>
      <w:r>
        <w:rPr>
          <w:b w:val="0"/>
          <w:lang w:eastAsia="en-US"/>
        </w:rPr>
        <w:t>.</w:t>
      </w:r>
    </w:p>
    <w:p w14:paraId="48CDF109" w14:textId="481DBB8F" w:rsidR="009A605E" w:rsidRDefault="009A605E" w:rsidP="009A605E">
      <w:pPr>
        <w:pStyle w:val="Heading2"/>
        <w:rPr>
          <w:b w:val="0"/>
          <w:lang w:eastAsia="en-US"/>
        </w:rPr>
      </w:pPr>
      <w:r>
        <w:rPr>
          <w:b w:val="0"/>
          <w:lang w:eastAsia="en-US"/>
        </w:rPr>
        <w:t>The outstanding actions of the Board were reviewed as follows:</w:t>
      </w:r>
    </w:p>
    <w:p w14:paraId="05D67BA9" w14:textId="1052A610" w:rsidR="004A6F18" w:rsidRDefault="004A6F18" w:rsidP="00ED3C53">
      <w:pPr>
        <w:pStyle w:val="Heading3"/>
        <w:rPr>
          <w:lang w:eastAsia="en-US"/>
        </w:rPr>
      </w:pPr>
      <w:proofErr w:type="gramStart"/>
      <w:r>
        <w:rPr>
          <w:lang w:eastAsia="en-US"/>
        </w:rPr>
        <w:t>UKAEA(</w:t>
      </w:r>
      <w:proofErr w:type="gramEnd"/>
      <w:r>
        <w:rPr>
          <w:lang w:eastAsia="en-US"/>
        </w:rPr>
        <w:t xml:space="preserve">21)6/1: Action completed and closed. </w:t>
      </w:r>
    </w:p>
    <w:p w14:paraId="069CF9D8" w14:textId="3CA44ACD" w:rsidR="00ED3C53" w:rsidRDefault="009A605E" w:rsidP="00ED3C53">
      <w:pPr>
        <w:pStyle w:val="Heading3"/>
        <w:rPr>
          <w:lang w:eastAsia="en-US"/>
        </w:rPr>
      </w:pPr>
      <w:proofErr w:type="gramStart"/>
      <w:r>
        <w:rPr>
          <w:lang w:eastAsia="en-US"/>
        </w:rPr>
        <w:t>UKAEA(</w:t>
      </w:r>
      <w:proofErr w:type="gramEnd"/>
      <w:r>
        <w:rPr>
          <w:lang w:eastAsia="en-US"/>
        </w:rPr>
        <w:t>21)</w:t>
      </w:r>
      <w:r w:rsidR="004A6F18">
        <w:rPr>
          <w:lang w:eastAsia="en-US"/>
        </w:rPr>
        <w:t>6/3</w:t>
      </w:r>
      <w:r>
        <w:rPr>
          <w:lang w:eastAsia="en-US"/>
        </w:rPr>
        <w:t xml:space="preserve">: </w:t>
      </w:r>
      <w:r w:rsidR="004A6F18">
        <w:rPr>
          <w:lang w:eastAsia="en-US"/>
        </w:rPr>
        <w:t xml:space="preserve">The Board reviewed the governance map for STEP provided within the Executive Board report, and were briefed on the formation of the STEP Technical Advisory Committee. Action Closed. </w:t>
      </w:r>
    </w:p>
    <w:p w14:paraId="0DBEB7E1" w14:textId="366C9A6F" w:rsidR="00ED3C53" w:rsidRDefault="004A6F18" w:rsidP="00ED3C53">
      <w:pPr>
        <w:pStyle w:val="Heading3"/>
        <w:rPr>
          <w:lang w:eastAsia="en-US"/>
        </w:rPr>
      </w:pPr>
      <w:proofErr w:type="gramStart"/>
      <w:r>
        <w:rPr>
          <w:lang w:eastAsia="en-US"/>
        </w:rPr>
        <w:t>UKAEA(</w:t>
      </w:r>
      <w:proofErr w:type="gramEnd"/>
      <w:r>
        <w:rPr>
          <w:lang w:eastAsia="en-US"/>
        </w:rPr>
        <w:t>21)6/4</w:t>
      </w:r>
      <w:r w:rsidR="00ED3C53">
        <w:rPr>
          <w:lang w:eastAsia="en-US"/>
        </w:rPr>
        <w:t xml:space="preserve">: </w:t>
      </w:r>
      <w:r>
        <w:rPr>
          <w:lang w:eastAsia="en-US"/>
        </w:rPr>
        <w:t>The Board discussed progress among Non-Executive Members to reach out to networks and pass along best practice with regards to cyber.</w:t>
      </w:r>
      <w:r w:rsidR="00ED3C53">
        <w:rPr>
          <w:lang w:eastAsia="en-US"/>
        </w:rPr>
        <w:t xml:space="preserve"> </w:t>
      </w:r>
    </w:p>
    <w:p w14:paraId="7B32795D" w14:textId="648862BF" w:rsidR="002638FB" w:rsidRDefault="002638FB" w:rsidP="002638FB">
      <w:pPr>
        <w:pStyle w:val="Heading3"/>
        <w:rPr>
          <w:lang w:eastAsia="en-US"/>
        </w:rPr>
      </w:pPr>
      <w:r>
        <w:rPr>
          <w:lang w:eastAsia="en-US"/>
        </w:rPr>
        <w:t xml:space="preserve">All other actions were confirmed as being due at </w:t>
      </w:r>
      <w:r w:rsidR="00ED3C53">
        <w:rPr>
          <w:lang w:eastAsia="en-US"/>
        </w:rPr>
        <w:t>future</w:t>
      </w:r>
      <w:r>
        <w:rPr>
          <w:lang w:eastAsia="en-US"/>
        </w:rPr>
        <w:t xml:space="preserve"> meeting</w:t>
      </w:r>
      <w:r w:rsidR="00ED3C53">
        <w:rPr>
          <w:lang w:eastAsia="en-US"/>
        </w:rPr>
        <w:t>s</w:t>
      </w:r>
      <w:r>
        <w:rPr>
          <w:lang w:eastAsia="en-US"/>
        </w:rPr>
        <w:t xml:space="preserve">. </w:t>
      </w:r>
    </w:p>
    <w:p w14:paraId="373ADD5E" w14:textId="328798A8" w:rsidR="002638FB" w:rsidRDefault="009C0513" w:rsidP="009C0513">
      <w:pPr>
        <w:pStyle w:val="Heading1"/>
        <w:rPr>
          <w:lang w:eastAsia="en-US"/>
        </w:rPr>
      </w:pPr>
      <w:r>
        <w:rPr>
          <w:lang w:eastAsia="en-US"/>
        </w:rPr>
        <w:t>executive board report</w:t>
      </w:r>
    </w:p>
    <w:p w14:paraId="3C10C22F" w14:textId="513295EC" w:rsidR="006D06A6" w:rsidRDefault="009C0513" w:rsidP="006D06A6">
      <w:pPr>
        <w:pStyle w:val="Heading2"/>
        <w:rPr>
          <w:b w:val="0"/>
          <w:lang w:eastAsia="en-US"/>
        </w:rPr>
      </w:pPr>
      <w:r w:rsidRPr="006D06A6">
        <w:rPr>
          <w:b w:val="0"/>
          <w:lang w:eastAsia="en-US"/>
        </w:rPr>
        <w:t>The CEO</w:t>
      </w:r>
      <w:r w:rsidR="006D06A6">
        <w:rPr>
          <w:b w:val="0"/>
          <w:lang w:eastAsia="en-US"/>
        </w:rPr>
        <w:t>, CFO, COO, and CTO</w:t>
      </w:r>
      <w:r w:rsidRPr="006D06A6">
        <w:rPr>
          <w:b w:val="0"/>
          <w:lang w:eastAsia="en-US"/>
        </w:rPr>
        <w:t xml:space="preserve"> updated the Board on a number of areas </w:t>
      </w:r>
      <w:r w:rsidR="006D06A6" w:rsidRPr="006D06A6">
        <w:rPr>
          <w:b w:val="0"/>
          <w:lang w:eastAsia="en-US"/>
        </w:rPr>
        <w:t xml:space="preserve">of development since the </w:t>
      </w:r>
      <w:proofErr w:type="gramStart"/>
      <w:r w:rsidR="006D06A6" w:rsidRPr="006D06A6">
        <w:rPr>
          <w:b w:val="0"/>
          <w:lang w:eastAsia="en-US"/>
        </w:rPr>
        <w:t>report</w:t>
      </w:r>
      <w:r w:rsidR="0018115B">
        <w:rPr>
          <w:b w:val="0"/>
          <w:lang w:eastAsia="en-US"/>
        </w:rPr>
        <w:t>,</w:t>
      </w:r>
      <w:r w:rsidR="006D06A6">
        <w:rPr>
          <w:b w:val="0"/>
          <w:lang w:eastAsia="en-US"/>
        </w:rPr>
        <w:t xml:space="preserve"> and</w:t>
      </w:r>
      <w:proofErr w:type="gramEnd"/>
      <w:r w:rsidR="006D06A6">
        <w:rPr>
          <w:b w:val="0"/>
          <w:lang w:eastAsia="en-US"/>
        </w:rPr>
        <w:t xml:space="preserve"> highlighted important details </w:t>
      </w:r>
      <w:r w:rsidR="004A6F18">
        <w:rPr>
          <w:b w:val="0"/>
          <w:lang w:eastAsia="en-US"/>
        </w:rPr>
        <w:t xml:space="preserve">and key issues </w:t>
      </w:r>
      <w:r w:rsidR="0018115B">
        <w:rPr>
          <w:b w:val="0"/>
          <w:lang w:eastAsia="en-US"/>
        </w:rPr>
        <w:t>within the report</w:t>
      </w:r>
      <w:r w:rsidR="006D06A6" w:rsidRPr="006D06A6">
        <w:rPr>
          <w:b w:val="0"/>
          <w:lang w:eastAsia="en-US"/>
        </w:rPr>
        <w:t xml:space="preserve">. </w:t>
      </w:r>
    </w:p>
    <w:p w14:paraId="6B270369" w14:textId="02FBD72B" w:rsidR="009C0513" w:rsidRPr="006D06A6" w:rsidRDefault="004A6F18" w:rsidP="006D06A6">
      <w:pPr>
        <w:pStyle w:val="Heading2"/>
        <w:rPr>
          <w:b w:val="0"/>
          <w:lang w:eastAsia="en-US"/>
        </w:rPr>
      </w:pPr>
      <w:r>
        <w:rPr>
          <w:b w:val="0"/>
          <w:lang w:eastAsia="en-US"/>
        </w:rPr>
        <w:t xml:space="preserve">The Board reflected on the successes and activities undertaken by the organisation in </w:t>
      </w:r>
      <w:proofErr w:type="gramStart"/>
      <w:r>
        <w:rPr>
          <w:b w:val="0"/>
          <w:lang w:eastAsia="en-US"/>
        </w:rPr>
        <w:t>2021, and</w:t>
      </w:r>
      <w:proofErr w:type="gramEnd"/>
      <w:r>
        <w:rPr>
          <w:b w:val="0"/>
          <w:lang w:eastAsia="en-US"/>
        </w:rPr>
        <w:t xml:space="preserve"> extended their thanks to the Executive team and wider organisation. The Board were briefed on the planned press conference for the release of JET DT results, and discussed the target audiences for the release.</w:t>
      </w:r>
    </w:p>
    <w:p w14:paraId="4A4F4B27" w14:textId="51FF3BA5" w:rsidR="00F70A83" w:rsidRPr="00F70A83" w:rsidRDefault="005778DD" w:rsidP="00F70A83">
      <w:pPr>
        <w:pStyle w:val="Heading2"/>
        <w:rPr>
          <w:lang w:eastAsia="en-US"/>
        </w:rPr>
      </w:pPr>
      <w:r>
        <w:rPr>
          <w:b w:val="0"/>
          <w:lang w:eastAsia="en-US"/>
        </w:rPr>
        <w:t xml:space="preserve">The Board were updated on </w:t>
      </w:r>
      <w:r w:rsidR="00167224">
        <w:rPr>
          <w:b w:val="0"/>
          <w:lang w:eastAsia="en-US"/>
        </w:rPr>
        <w:t xml:space="preserve">that status of JET operations and EUROfusion participation in the interregnum to Euratom </w:t>
      </w:r>
      <w:proofErr w:type="gramStart"/>
      <w:r w:rsidR="00167224">
        <w:rPr>
          <w:b w:val="0"/>
          <w:lang w:eastAsia="en-US"/>
        </w:rPr>
        <w:t>association, and</w:t>
      </w:r>
      <w:proofErr w:type="gramEnd"/>
      <w:r w:rsidR="00167224">
        <w:rPr>
          <w:b w:val="0"/>
          <w:lang w:eastAsia="en-US"/>
        </w:rPr>
        <w:t xml:space="preserve"> noted</w:t>
      </w:r>
      <w:r w:rsidR="001242BB">
        <w:rPr>
          <w:b w:val="0"/>
          <w:lang w:eastAsia="en-US"/>
        </w:rPr>
        <w:t xml:space="preserve"> a</w:t>
      </w:r>
      <w:r w:rsidR="00167224">
        <w:rPr>
          <w:b w:val="0"/>
          <w:lang w:eastAsia="en-US"/>
        </w:rPr>
        <w:t xml:space="preserve"> heightening risk as the financial year draws to an end without association ratified.</w:t>
      </w:r>
      <w:r w:rsidR="00F70A83">
        <w:rPr>
          <w:b w:val="0"/>
          <w:lang w:eastAsia="en-US"/>
        </w:rPr>
        <w:t xml:space="preserve"> </w:t>
      </w:r>
    </w:p>
    <w:p w14:paraId="68EB444D" w14:textId="77777777" w:rsidR="003B7327" w:rsidRDefault="00167224" w:rsidP="005C75F0">
      <w:pPr>
        <w:pStyle w:val="Heading2"/>
        <w:rPr>
          <w:b w:val="0"/>
          <w:lang w:eastAsia="en-US"/>
        </w:rPr>
      </w:pPr>
      <w:r>
        <w:rPr>
          <w:b w:val="0"/>
          <w:lang w:eastAsia="en-US"/>
        </w:rPr>
        <w:t xml:space="preserve">The Board discussed Government plans for </w:t>
      </w:r>
      <w:proofErr w:type="spellStart"/>
      <w:r>
        <w:rPr>
          <w:b w:val="0"/>
          <w:lang w:eastAsia="en-US"/>
        </w:rPr>
        <w:t>Arms Length</w:t>
      </w:r>
      <w:proofErr w:type="spellEnd"/>
      <w:r>
        <w:rPr>
          <w:b w:val="0"/>
          <w:lang w:eastAsia="en-US"/>
        </w:rPr>
        <w:t xml:space="preserve"> Body reviews, noting an expectation that this will be conducted in the first half of 2022. The Board discussed the context and landscape of the review, including the related UKRI and Nurse reviews.</w:t>
      </w:r>
    </w:p>
    <w:p w14:paraId="61050874" w14:textId="3E92A327" w:rsidR="003B7327" w:rsidRDefault="003B7327" w:rsidP="005C75F0">
      <w:pPr>
        <w:pStyle w:val="Heading2"/>
        <w:rPr>
          <w:b w:val="0"/>
          <w:lang w:eastAsia="en-US"/>
        </w:rPr>
      </w:pPr>
      <w:r>
        <w:rPr>
          <w:b w:val="0"/>
          <w:lang w:eastAsia="en-US"/>
        </w:rPr>
        <w:t>The Board noted BEIS approval to enable wider utilisation of senior staff bands and noted that scrutiny of the enhanced flexibility will be provided by a small group of Executive and Non-Executive representatives. Members discussed the impact of the new flexibility on capability and capacity risks, and discussed the conditions for utilisation of the new flexibility, reinforcing a need to use the measure responsibly.</w:t>
      </w:r>
    </w:p>
    <w:p w14:paraId="235DD6E2" w14:textId="17C119A9" w:rsidR="005C75F0" w:rsidRDefault="003B7327" w:rsidP="005C75F0">
      <w:pPr>
        <w:pStyle w:val="Heading2"/>
        <w:rPr>
          <w:b w:val="0"/>
          <w:lang w:eastAsia="en-US"/>
        </w:rPr>
      </w:pPr>
      <w:r>
        <w:rPr>
          <w:b w:val="0"/>
          <w:lang w:eastAsia="en-US"/>
        </w:rPr>
        <w:t xml:space="preserve">The Board were briefed on a new risk related to the planning permission for the CCDP building, arising </w:t>
      </w:r>
      <w:proofErr w:type="gramStart"/>
      <w:r>
        <w:rPr>
          <w:b w:val="0"/>
          <w:lang w:eastAsia="en-US"/>
        </w:rPr>
        <w:t>as a result of</w:t>
      </w:r>
      <w:proofErr w:type="gramEnd"/>
      <w:r>
        <w:rPr>
          <w:b w:val="0"/>
          <w:lang w:eastAsia="en-US"/>
        </w:rPr>
        <w:t xml:space="preserve"> external factors. The Board discussed the impact of the </w:t>
      </w:r>
      <w:r>
        <w:rPr>
          <w:b w:val="0"/>
          <w:lang w:eastAsia="en-US"/>
        </w:rPr>
        <w:lastRenderedPageBreak/>
        <w:t>issue, and highlighted the need to ensure those making decisions externally are fully appraised of the impact. The Board discussed a variety of measures to support the organisation in mitigating the risk.</w:t>
      </w:r>
    </w:p>
    <w:p w14:paraId="3BED401B" w14:textId="20F82670" w:rsidR="003B7327" w:rsidRDefault="003B7327" w:rsidP="003B7327">
      <w:pPr>
        <w:pStyle w:val="Heading2"/>
        <w:rPr>
          <w:b w:val="0"/>
          <w:lang w:eastAsia="en-US"/>
        </w:rPr>
      </w:pPr>
      <w:r>
        <w:rPr>
          <w:b w:val="0"/>
          <w:lang w:eastAsia="en-US"/>
        </w:rPr>
        <w:t xml:space="preserve">The Board discussed </w:t>
      </w:r>
      <w:r w:rsidR="00B8294B">
        <w:rPr>
          <w:b w:val="0"/>
          <w:lang w:eastAsia="en-US"/>
        </w:rPr>
        <w:t xml:space="preserve">recent commercial opportunities arising with collaborators in the </w:t>
      </w:r>
      <w:r w:rsidR="000640AA">
        <w:rPr>
          <w:b w:val="0"/>
          <w:lang w:eastAsia="en-US"/>
        </w:rPr>
        <w:t>defence</w:t>
      </w:r>
      <w:r w:rsidR="00B8294B">
        <w:rPr>
          <w:b w:val="0"/>
          <w:lang w:eastAsia="en-US"/>
        </w:rPr>
        <w:t xml:space="preserve"> sector</w:t>
      </w:r>
      <w:r w:rsidR="000640AA">
        <w:rPr>
          <w:b w:val="0"/>
          <w:lang w:eastAsia="en-US"/>
        </w:rPr>
        <w:t xml:space="preserve">, and noted that within the organisations framework agreement SoS permission must be sought. </w:t>
      </w:r>
      <w:r w:rsidR="003F0847">
        <w:rPr>
          <w:b w:val="0"/>
          <w:lang w:eastAsia="en-US"/>
        </w:rPr>
        <w:t xml:space="preserve">Members discussed the need to ensure any work undertaken aligns with our own technical interests and recognised that this test had been applied. Members discussed the general </w:t>
      </w:r>
      <w:r w:rsidR="00426212">
        <w:rPr>
          <w:b w:val="0"/>
          <w:lang w:eastAsia="en-US"/>
        </w:rPr>
        <w:t xml:space="preserve">motivations for undertaking business development opportunities. </w:t>
      </w:r>
    </w:p>
    <w:p w14:paraId="1A253893" w14:textId="77A3494F" w:rsidR="00426212" w:rsidRDefault="009151EE" w:rsidP="00426212">
      <w:pPr>
        <w:pStyle w:val="Heading2"/>
        <w:rPr>
          <w:b w:val="0"/>
          <w:lang w:eastAsia="en-US"/>
        </w:rPr>
      </w:pPr>
      <w:r>
        <w:rPr>
          <w:b w:val="0"/>
          <w:lang w:eastAsia="en-US"/>
        </w:rPr>
        <w:t>The Board were briefed on operational activity within the MRF, and were assured that continued close inspection of policies and processes will be undertaken as new facilities are set up.</w:t>
      </w:r>
    </w:p>
    <w:p w14:paraId="3E0241CE" w14:textId="4CDCBE99" w:rsidR="009151EE" w:rsidRDefault="009151EE" w:rsidP="009151EE">
      <w:pPr>
        <w:pStyle w:val="Heading2"/>
        <w:rPr>
          <w:b w:val="0"/>
          <w:lang w:eastAsia="en-US"/>
        </w:rPr>
      </w:pPr>
      <w:r>
        <w:rPr>
          <w:b w:val="0"/>
          <w:lang w:eastAsia="en-US"/>
        </w:rPr>
        <w:t xml:space="preserve">The Board discussed the latest position on COVID-19. The Board were assured on the continued response to COVID within the Authority, and discussed the impact of COVID on performance and working practices, noting UKAEA as being often held as an exemplar regarding midwifed work practices. Members noted that longer term plans for working practices will be reviewed by the </w:t>
      </w:r>
      <w:proofErr w:type="spellStart"/>
      <w:r>
        <w:rPr>
          <w:b w:val="0"/>
          <w:lang w:eastAsia="en-US"/>
        </w:rPr>
        <w:t>RemCo</w:t>
      </w:r>
      <w:proofErr w:type="spellEnd"/>
      <w:r>
        <w:rPr>
          <w:b w:val="0"/>
          <w:lang w:eastAsia="en-US"/>
        </w:rPr>
        <w:t xml:space="preserve">. </w:t>
      </w:r>
      <w:r w:rsidR="00155BD1">
        <w:rPr>
          <w:b w:val="0"/>
          <w:lang w:eastAsia="en-US"/>
        </w:rPr>
        <w:t xml:space="preserve">New policies from Government, introduced </w:t>
      </w:r>
      <w:proofErr w:type="gramStart"/>
      <w:r w:rsidR="00155BD1">
        <w:rPr>
          <w:b w:val="0"/>
          <w:lang w:eastAsia="en-US"/>
        </w:rPr>
        <w:t>during the course of</w:t>
      </w:r>
      <w:proofErr w:type="gramEnd"/>
      <w:r w:rsidR="00155BD1">
        <w:rPr>
          <w:b w:val="0"/>
          <w:lang w:eastAsia="en-US"/>
        </w:rPr>
        <w:t xml:space="preserve"> the Board meeting, were discussed and the Board reflected on the need to keep a conscious view on safety aside from changes in advice. </w:t>
      </w:r>
    </w:p>
    <w:p w14:paraId="39690C8C" w14:textId="0D2CCD37" w:rsidR="009151EE" w:rsidRPr="00155BD1" w:rsidRDefault="009151EE" w:rsidP="00155BD1">
      <w:pPr>
        <w:pStyle w:val="Heading2"/>
        <w:rPr>
          <w:b w:val="0"/>
          <w:lang w:eastAsia="en-US"/>
        </w:rPr>
      </w:pPr>
      <w:r w:rsidRPr="00155BD1">
        <w:rPr>
          <w:b w:val="0"/>
          <w:lang w:eastAsia="en-US"/>
        </w:rPr>
        <w:t xml:space="preserve">Members reflected on </w:t>
      </w:r>
      <w:r w:rsidR="003A714D" w:rsidRPr="00155BD1">
        <w:rPr>
          <w:b w:val="0"/>
          <w:lang w:eastAsia="en-US"/>
        </w:rPr>
        <w:t xml:space="preserve">the current recruitment of an </w:t>
      </w:r>
      <w:r w:rsidRPr="00155BD1">
        <w:rPr>
          <w:b w:val="0"/>
          <w:lang w:eastAsia="en-US"/>
        </w:rPr>
        <w:t xml:space="preserve">EDI </w:t>
      </w:r>
      <w:r w:rsidR="003A714D" w:rsidRPr="00155BD1">
        <w:rPr>
          <w:b w:val="0"/>
          <w:lang w:eastAsia="en-US"/>
        </w:rPr>
        <w:t>business partner</w:t>
      </w:r>
      <w:r w:rsidRPr="00155BD1">
        <w:rPr>
          <w:b w:val="0"/>
          <w:lang w:eastAsia="en-US"/>
        </w:rPr>
        <w:t>, and Board reinforced the importance in taking forwards EDI measures</w:t>
      </w:r>
      <w:r w:rsidR="003A714D" w:rsidRPr="00155BD1">
        <w:rPr>
          <w:b w:val="0"/>
          <w:lang w:eastAsia="en-US"/>
        </w:rPr>
        <w:t xml:space="preserve"> within the organisation</w:t>
      </w:r>
      <w:r w:rsidRPr="00155BD1">
        <w:rPr>
          <w:b w:val="0"/>
          <w:lang w:eastAsia="en-US"/>
        </w:rPr>
        <w:t xml:space="preserve">. </w:t>
      </w:r>
    </w:p>
    <w:p w14:paraId="5F5144E7" w14:textId="2BB1CA2F" w:rsidR="009151EE" w:rsidRDefault="003A714D" w:rsidP="009151EE">
      <w:pPr>
        <w:pStyle w:val="Heading2"/>
        <w:rPr>
          <w:b w:val="0"/>
          <w:lang w:eastAsia="en-US"/>
        </w:rPr>
      </w:pPr>
      <w:r>
        <w:rPr>
          <w:b w:val="0"/>
          <w:lang w:eastAsia="en-US"/>
        </w:rPr>
        <w:t xml:space="preserve">The Board were briefed </w:t>
      </w:r>
      <w:r w:rsidR="00E75AB6">
        <w:rPr>
          <w:b w:val="0"/>
          <w:lang w:eastAsia="en-US"/>
        </w:rPr>
        <w:t>on the status of ITER</w:t>
      </w:r>
      <w:r w:rsidR="00177940">
        <w:rPr>
          <w:b w:val="0"/>
          <w:lang w:eastAsia="en-US"/>
        </w:rPr>
        <w:t>.</w:t>
      </w:r>
    </w:p>
    <w:p w14:paraId="33B3B6BB" w14:textId="299E8EDB" w:rsidR="00E75AB6" w:rsidRPr="0010676A" w:rsidRDefault="0010676A" w:rsidP="00E75AB6">
      <w:pPr>
        <w:pStyle w:val="Heading2"/>
        <w:rPr>
          <w:rFonts w:cs="Arial"/>
          <w:b w:val="0"/>
          <w:sz w:val="21"/>
          <w:lang w:eastAsia="en-US"/>
        </w:rPr>
      </w:pPr>
      <w:r w:rsidRPr="0010676A">
        <w:rPr>
          <w:rFonts w:cs="Arial"/>
          <w:b w:val="0"/>
          <w:color w:val="000000"/>
          <w:szCs w:val="24"/>
          <w:lang w:eastAsia="en-US"/>
        </w:rPr>
        <w:t>The Board discussed</w:t>
      </w:r>
      <w:r>
        <w:rPr>
          <w:rFonts w:cs="Arial"/>
          <w:b w:val="0"/>
          <w:color w:val="000000"/>
          <w:szCs w:val="24"/>
          <w:lang w:eastAsia="en-US"/>
        </w:rPr>
        <w:t xml:space="preserve"> the</w:t>
      </w:r>
      <w:r w:rsidRPr="0010676A">
        <w:rPr>
          <w:rFonts w:cs="Arial"/>
          <w:b w:val="0"/>
          <w:color w:val="000000"/>
          <w:szCs w:val="24"/>
          <w:lang w:eastAsia="en-US"/>
        </w:rPr>
        <w:t xml:space="preserve"> evolution of</w:t>
      </w:r>
      <w:r>
        <w:rPr>
          <w:rFonts w:cs="Arial"/>
          <w:b w:val="0"/>
          <w:color w:val="000000"/>
          <w:szCs w:val="24"/>
          <w:lang w:eastAsia="en-US"/>
        </w:rPr>
        <w:t xml:space="preserve"> the</w:t>
      </w:r>
      <w:r w:rsidRPr="0010676A">
        <w:rPr>
          <w:rFonts w:cs="Arial"/>
          <w:b w:val="0"/>
          <w:color w:val="000000"/>
          <w:szCs w:val="24"/>
          <w:lang w:eastAsia="en-US"/>
        </w:rPr>
        <w:t xml:space="preserve"> fusion landscape </w:t>
      </w:r>
      <w:proofErr w:type="gramStart"/>
      <w:r w:rsidRPr="0010676A">
        <w:rPr>
          <w:rFonts w:cs="Arial"/>
          <w:b w:val="0"/>
          <w:color w:val="000000"/>
          <w:szCs w:val="24"/>
          <w:lang w:eastAsia="en-US"/>
        </w:rPr>
        <w:t>in light of</w:t>
      </w:r>
      <w:proofErr w:type="gramEnd"/>
      <w:r w:rsidRPr="0010676A">
        <w:rPr>
          <w:rFonts w:cs="Arial"/>
          <w:b w:val="0"/>
          <w:color w:val="000000"/>
          <w:szCs w:val="24"/>
          <w:lang w:eastAsia="en-US"/>
        </w:rPr>
        <w:t xml:space="preserve"> major private investment in recent months in fusion industry</w:t>
      </w:r>
      <w:r w:rsidR="00C31725">
        <w:rPr>
          <w:rFonts w:cs="Arial"/>
          <w:b w:val="0"/>
          <w:color w:val="000000"/>
          <w:szCs w:val="24"/>
          <w:lang w:eastAsia="en-US"/>
        </w:rPr>
        <w:t>, and t</w:t>
      </w:r>
      <w:r>
        <w:rPr>
          <w:rFonts w:cs="Arial"/>
          <w:b w:val="0"/>
          <w:color w:val="000000"/>
          <w:szCs w:val="24"/>
          <w:lang w:eastAsia="en-US"/>
        </w:rPr>
        <w:t>he Board resolved to continue to keep a focus on the evolving landscape</w:t>
      </w:r>
      <w:r w:rsidR="00C31725">
        <w:rPr>
          <w:rFonts w:cs="Arial"/>
          <w:b w:val="0"/>
          <w:color w:val="000000"/>
          <w:szCs w:val="24"/>
          <w:lang w:eastAsia="en-US"/>
        </w:rPr>
        <w:t xml:space="preserve">. </w:t>
      </w:r>
    </w:p>
    <w:p w14:paraId="0E048B67" w14:textId="6FADE021" w:rsidR="002F7A70" w:rsidRDefault="00C31725" w:rsidP="002F7A70">
      <w:pPr>
        <w:pStyle w:val="Heading1"/>
        <w:rPr>
          <w:lang w:eastAsia="en-US"/>
        </w:rPr>
      </w:pPr>
      <w:r>
        <w:rPr>
          <w:lang w:eastAsia="en-US"/>
        </w:rPr>
        <w:t>Update on the step siting process</w:t>
      </w:r>
    </w:p>
    <w:p w14:paraId="561574C7" w14:textId="0ECED389" w:rsidR="00335BBB" w:rsidRPr="00335BBB" w:rsidRDefault="00C31725" w:rsidP="00335BBB">
      <w:pPr>
        <w:pStyle w:val="Heading2"/>
        <w:rPr>
          <w:lang w:eastAsia="en-US"/>
        </w:rPr>
      </w:pPr>
      <w:r>
        <w:rPr>
          <w:b w:val="0"/>
          <w:lang w:eastAsia="en-US"/>
        </w:rPr>
        <w:t xml:space="preserve">A verbal update was </w:t>
      </w:r>
      <w:r w:rsidR="00513D2F">
        <w:rPr>
          <w:b w:val="0"/>
          <w:lang w:eastAsia="en-US"/>
        </w:rPr>
        <w:t>provided to the Board by the CEO on the status of the STEP siting process. The Board noted plans for the shortlisting process, including site visits to begin in February with Non-Executive representation. Members discussed the timeframe</w:t>
      </w:r>
      <w:r w:rsidR="00155BD1">
        <w:rPr>
          <w:b w:val="0"/>
          <w:lang w:eastAsia="en-US"/>
        </w:rPr>
        <w:t>, approvals, and process</w:t>
      </w:r>
      <w:r w:rsidR="00513D2F">
        <w:rPr>
          <w:b w:val="0"/>
          <w:lang w:eastAsia="en-US"/>
        </w:rPr>
        <w:t xml:space="preserve"> to a final decision on the STEP site</w:t>
      </w:r>
      <w:r w:rsidR="00155BD1">
        <w:rPr>
          <w:b w:val="0"/>
          <w:lang w:eastAsia="en-US"/>
        </w:rPr>
        <w:t xml:space="preserve">. </w:t>
      </w:r>
    </w:p>
    <w:p w14:paraId="4320E4BD" w14:textId="21FE0A15" w:rsidR="005F7677" w:rsidRPr="005F7677" w:rsidRDefault="00155BD1" w:rsidP="00BC5262">
      <w:pPr>
        <w:pStyle w:val="Heading1"/>
        <w:rPr>
          <w:lang w:eastAsia="en-US"/>
        </w:rPr>
      </w:pPr>
      <w:r>
        <w:rPr>
          <w:lang w:eastAsia="en-US"/>
        </w:rPr>
        <w:t>Update on JET DT</w:t>
      </w:r>
      <w:r w:rsidR="00F94C15">
        <w:rPr>
          <w:lang w:eastAsia="en-US"/>
        </w:rPr>
        <w:t>E2 experiment</w:t>
      </w:r>
      <w:r>
        <w:rPr>
          <w:lang w:eastAsia="en-US"/>
        </w:rPr>
        <w:t>s</w:t>
      </w:r>
    </w:p>
    <w:p w14:paraId="28168734" w14:textId="3FAA7907" w:rsidR="00F16D44" w:rsidRDefault="00155BD1" w:rsidP="00F16D44">
      <w:pPr>
        <w:pStyle w:val="Heading2"/>
        <w:rPr>
          <w:b w:val="0"/>
          <w:lang w:eastAsia="en-US"/>
        </w:rPr>
      </w:pPr>
      <w:r>
        <w:rPr>
          <w:b w:val="0"/>
          <w:lang w:eastAsia="en-US"/>
        </w:rPr>
        <w:t xml:space="preserve">A fulsome update was provided to the Board on the outcome of the JET DTE2 experimental campaign. The Board discussed the wide-ranging technical aspects of the headline results from the DTE2 campaign. </w:t>
      </w:r>
      <w:r w:rsidR="00C5775B">
        <w:rPr>
          <w:b w:val="0"/>
          <w:lang w:eastAsia="en-US"/>
        </w:rPr>
        <w:t xml:space="preserve">Members discussed the contributions made by European collaborators despite the interregnum to Euratom association. </w:t>
      </w:r>
      <w:r w:rsidR="00F16D44">
        <w:rPr>
          <w:b w:val="0"/>
          <w:lang w:eastAsia="en-US"/>
        </w:rPr>
        <w:t xml:space="preserve"> </w:t>
      </w:r>
    </w:p>
    <w:p w14:paraId="495B90E9" w14:textId="431FB46A" w:rsidR="00B97B0C" w:rsidRDefault="00085A37" w:rsidP="00B97B0C">
      <w:pPr>
        <w:pStyle w:val="Heading2"/>
        <w:rPr>
          <w:b w:val="0"/>
          <w:color w:val="000000"/>
          <w:szCs w:val="24"/>
          <w:lang w:eastAsia="en-US"/>
        </w:rPr>
      </w:pPr>
      <w:r>
        <w:rPr>
          <w:b w:val="0"/>
          <w:color w:val="000000"/>
          <w:szCs w:val="24"/>
          <w:lang w:eastAsia="en-US"/>
        </w:rPr>
        <w:t>The Board</w:t>
      </w:r>
      <w:r w:rsidRPr="00085A37">
        <w:rPr>
          <w:b w:val="0"/>
          <w:color w:val="000000"/>
          <w:szCs w:val="24"/>
          <w:lang w:eastAsia="en-US"/>
        </w:rPr>
        <w:t xml:space="preserve"> discussed the dissemination of the results</w:t>
      </w:r>
      <w:r>
        <w:rPr>
          <w:b w:val="0"/>
          <w:color w:val="000000"/>
          <w:szCs w:val="24"/>
          <w:lang w:eastAsia="en-US"/>
        </w:rPr>
        <w:t xml:space="preserve"> from the DTE2 experiment</w:t>
      </w:r>
      <w:r w:rsidRPr="00085A37">
        <w:rPr>
          <w:b w:val="0"/>
          <w:color w:val="000000"/>
          <w:szCs w:val="24"/>
          <w:lang w:eastAsia="en-US"/>
        </w:rPr>
        <w:t xml:space="preserve"> and knowledge retention from the DTE2 campaign</w:t>
      </w:r>
      <w:r>
        <w:rPr>
          <w:b w:val="0"/>
          <w:color w:val="000000"/>
          <w:szCs w:val="24"/>
          <w:lang w:eastAsia="en-US"/>
        </w:rPr>
        <w:t xml:space="preserve">, noting a focus in the Executive on retention of knowhow and capability </w:t>
      </w:r>
      <w:r w:rsidR="00803D51">
        <w:rPr>
          <w:b w:val="0"/>
          <w:color w:val="000000"/>
          <w:szCs w:val="24"/>
          <w:lang w:eastAsia="en-US"/>
        </w:rPr>
        <w:t>from JET</w:t>
      </w:r>
      <w:r>
        <w:rPr>
          <w:b w:val="0"/>
          <w:color w:val="000000"/>
          <w:szCs w:val="24"/>
          <w:lang w:eastAsia="en-US"/>
        </w:rPr>
        <w:t xml:space="preserve">. </w:t>
      </w:r>
      <w:r w:rsidR="00A83F57">
        <w:rPr>
          <w:b w:val="0"/>
          <w:color w:val="000000"/>
          <w:szCs w:val="24"/>
          <w:lang w:eastAsia="en-US"/>
        </w:rPr>
        <w:t xml:space="preserve">Members discussed the valuable learnings from JET and their relevance within the fusion landscape, particularly with </w:t>
      </w:r>
      <w:r w:rsidR="00A83F57">
        <w:rPr>
          <w:b w:val="0"/>
          <w:color w:val="000000"/>
          <w:szCs w:val="24"/>
          <w:lang w:eastAsia="en-US"/>
        </w:rPr>
        <w:lastRenderedPageBreak/>
        <w:t xml:space="preserve">ITER. The Board requested a future update as to how the JET DTE2 results inform, assist, and translate to ITER – </w:t>
      </w:r>
      <w:r w:rsidR="00A83F57">
        <w:rPr>
          <w:color w:val="000000"/>
          <w:szCs w:val="24"/>
          <w:lang w:eastAsia="en-US"/>
        </w:rPr>
        <w:t xml:space="preserve">Action </w:t>
      </w:r>
      <w:proofErr w:type="gramStart"/>
      <w:r w:rsidR="00A83F57">
        <w:rPr>
          <w:color w:val="000000"/>
          <w:szCs w:val="24"/>
          <w:lang w:eastAsia="en-US"/>
        </w:rPr>
        <w:t>UKAEA(</w:t>
      </w:r>
      <w:proofErr w:type="gramEnd"/>
      <w:r w:rsidR="00A83F57">
        <w:rPr>
          <w:color w:val="000000"/>
          <w:szCs w:val="24"/>
          <w:lang w:eastAsia="en-US"/>
        </w:rPr>
        <w:t>22)1/2</w:t>
      </w:r>
    </w:p>
    <w:p w14:paraId="60CEE29E" w14:textId="77777777" w:rsidR="007C5C76" w:rsidRDefault="00A83F57" w:rsidP="00803D51">
      <w:pPr>
        <w:pStyle w:val="Heading2"/>
        <w:rPr>
          <w:lang w:eastAsia="en-US"/>
        </w:rPr>
      </w:pPr>
      <w:r>
        <w:rPr>
          <w:b w:val="0"/>
          <w:lang w:eastAsia="en-US"/>
        </w:rPr>
        <w:t xml:space="preserve">The Board reflected on the importance of an understanding of the detail and consequence of the results, and the wider challenges facing the fusion sector. The Board requested a future update on the position of the organisation with respect to the varied challenges of fusion, and where it aims to be – </w:t>
      </w:r>
      <w:r>
        <w:rPr>
          <w:lang w:eastAsia="en-US"/>
        </w:rPr>
        <w:t xml:space="preserve">Action </w:t>
      </w:r>
      <w:proofErr w:type="gramStart"/>
      <w:r>
        <w:rPr>
          <w:lang w:eastAsia="en-US"/>
        </w:rPr>
        <w:t>UKAEA(</w:t>
      </w:r>
      <w:proofErr w:type="gramEnd"/>
      <w:r>
        <w:rPr>
          <w:lang w:eastAsia="en-US"/>
        </w:rPr>
        <w:t>22)1/3</w:t>
      </w:r>
    </w:p>
    <w:p w14:paraId="4593BA72" w14:textId="77777777" w:rsidR="007C5C76" w:rsidRDefault="007C5C76" w:rsidP="007C5C76">
      <w:pPr>
        <w:pStyle w:val="Heading1"/>
        <w:rPr>
          <w:lang w:eastAsia="en-US"/>
        </w:rPr>
      </w:pPr>
      <w:r>
        <w:rPr>
          <w:lang w:eastAsia="en-US"/>
        </w:rPr>
        <w:t>Review of the jet decommissioning strategic outline business case</w:t>
      </w:r>
    </w:p>
    <w:p w14:paraId="4D39CD10" w14:textId="7323C999" w:rsidR="00803D51" w:rsidRDefault="00DD4981" w:rsidP="00DD4981">
      <w:pPr>
        <w:pStyle w:val="Heading2"/>
        <w:rPr>
          <w:b w:val="0"/>
          <w:lang w:eastAsia="en-US"/>
        </w:rPr>
      </w:pPr>
      <w:r>
        <w:rPr>
          <w:b w:val="0"/>
          <w:lang w:eastAsia="en-US"/>
        </w:rPr>
        <w:t xml:space="preserve">The Board were briefed on the content and direction of the business case, and the approvals sought now and in future business cases for the JET Decommissioning and Repurposing programme. </w:t>
      </w:r>
    </w:p>
    <w:p w14:paraId="153025B8" w14:textId="23D9497F" w:rsidR="00DD4981" w:rsidRDefault="00DD4981" w:rsidP="00DD4981">
      <w:pPr>
        <w:pStyle w:val="Heading2"/>
        <w:rPr>
          <w:b w:val="0"/>
          <w:lang w:eastAsia="en-US"/>
        </w:rPr>
      </w:pPr>
      <w:r>
        <w:rPr>
          <w:b w:val="0"/>
          <w:lang w:eastAsia="en-US"/>
        </w:rPr>
        <w:t xml:space="preserve">The Board held a </w:t>
      </w:r>
      <w:proofErr w:type="gramStart"/>
      <w:r>
        <w:rPr>
          <w:b w:val="0"/>
          <w:lang w:eastAsia="en-US"/>
        </w:rPr>
        <w:t>wide ranging</w:t>
      </w:r>
      <w:proofErr w:type="gramEnd"/>
      <w:r>
        <w:rPr>
          <w:b w:val="0"/>
          <w:lang w:eastAsia="en-US"/>
        </w:rPr>
        <w:t xml:space="preserve"> discussion on aspects of the business case, including the presentation and costing of options, the proposed programme governance, the flexibility and scalability of options, interaction with stakeholders including the NDA, assessment of risk in different options, and the workforce transition to decommissioning. Members discussed the legacy and history of JET for UKAEA, and requested that the Board remains attentive to this subject as JET moves towards decommissioning. </w:t>
      </w:r>
    </w:p>
    <w:p w14:paraId="70591075" w14:textId="382DDC2F" w:rsidR="00DD4981" w:rsidRDefault="00DD4981" w:rsidP="00DD4981">
      <w:pPr>
        <w:pStyle w:val="Heading2"/>
        <w:rPr>
          <w:b w:val="0"/>
          <w:lang w:eastAsia="en-US"/>
        </w:rPr>
      </w:pPr>
      <w:r>
        <w:rPr>
          <w:b w:val="0"/>
          <w:lang w:eastAsia="en-US"/>
        </w:rPr>
        <w:t xml:space="preserve">The Board approved the development of the business case in terms of strategic direction, narrative, and optioneering, with Board engagement in the rating of options, and with a final draft for comments to be issued two weeks before submission to BEIS. </w:t>
      </w:r>
    </w:p>
    <w:p w14:paraId="61E563AD" w14:textId="7F0BC58F" w:rsidR="00DD4981" w:rsidRDefault="00DD4981" w:rsidP="00DD4981">
      <w:pPr>
        <w:pStyle w:val="Heading1"/>
        <w:rPr>
          <w:lang w:eastAsia="en-US"/>
        </w:rPr>
      </w:pPr>
      <w:r>
        <w:rPr>
          <w:lang w:eastAsia="en-US"/>
        </w:rPr>
        <w:t>Finance report</w:t>
      </w:r>
    </w:p>
    <w:p w14:paraId="015A50CA" w14:textId="7B65C7E0" w:rsidR="000C4B39" w:rsidRPr="000C4B39" w:rsidRDefault="000C4B39" w:rsidP="000C4B39">
      <w:pPr>
        <w:pStyle w:val="Heading2"/>
        <w:rPr>
          <w:b w:val="0"/>
          <w:lang w:eastAsia="en-US"/>
        </w:rPr>
      </w:pPr>
      <w:r>
        <w:rPr>
          <w:b w:val="0"/>
          <w:lang w:eastAsia="en-US"/>
        </w:rPr>
        <w:t xml:space="preserve">The </w:t>
      </w:r>
      <w:r w:rsidRPr="000C4B39">
        <w:rPr>
          <w:b w:val="0"/>
          <w:lang w:eastAsia="en-US"/>
        </w:rPr>
        <w:t>Finance Director briefed the Board on</w:t>
      </w:r>
      <w:r>
        <w:rPr>
          <w:b w:val="0"/>
          <w:lang w:eastAsia="en-US"/>
        </w:rPr>
        <w:t xml:space="preserve"> the</w:t>
      </w:r>
      <w:r w:rsidRPr="000C4B39">
        <w:rPr>
          <w:b w:val="0"/>
          <w:lang w:eastAsia="en-US"/>
        </w:rPr>
        <w:t xml:space="preserve"> overall </w:t>
      </w:r>
      <w:r>
        <w:rPr>
          <w:b w:val="0"/>
          <w:lang w:eastAsia="en-US"/>
        </w:rPr>
        <w:t xml:space="preserve">financial </w:t>
      </w:r>
      <w:r w:rsidRPr="000C4B39">
        <w:rPr>
          <w:b w:val="0"/>
          <w:lang w:eastAsia="en-US"/>
        </w:rPr>
        <w:t xml:space="preserve">perspective, highlighting an underspend position, and discussing ongoing risks. The Board discussed the forecast accuracy rate, noting high accuracy in long standing areas of the organisation, but lower rates in newer programmes and projects, which </w:t>
      </w:r>
      <w:r>
        <w:rPr>
          <w:b w:val="0"/>
          <w:lang w:eastAsia="en-US"/>
        </w:rPr>
        <w:t>is a</w:t>
      </w:r>
      <w:r w:rsidRPr="000C4B39">
        <w:rPr>
          <w:b w:val="0"/>
          <w:lang w:eastAsia="en-US"/>
        </w:rPr>
        <w:t xml:space="preserve"> focus</w:t>
      </w:r>
      <w:r>
        <w:rPr>
          <w:b w:val="0"/>
          <w:lang w:eastAsia="en-US"/>
        </w:rPr>
        <w:t xml:space="preserve"> for improvement</w:t>
      </w:r>
      <w:r w:rsidRPr="000C4B39">
        <w:rPr>
          <w:b w:val="0"/>
          <w:lang w:eastAsia="en-US"/>
        </w:rPr>
        <w:t xml:space="preserve">. </w:t>
      </w:r>
      <w:r>
        <w:rPr>
          <w:b w:val="0"/>
          <w:lang w:eastAsia="en-US"/>
        </w:rPr>
        <w:t xml:space="preserve">The Board discussed the causes of the reported underspend position, actions being undertaken to mitigate the impact, and the impact on activity undertaken. </w:t>
      </w:r>
      <w:r w:rsidR="00BB4BCF">
        <w:rPr>
          <w:b w:val="0"/>
          <w:lang w:eastAsia="en-US"/>
        </w:rPr>
        <w:t xml:space="preserve">Members discussed the position with relation to budget, and to forecast, noting that budget availability is subject to allocation of grant-in-aid lines which was delayed in year, and external issues driving delay in some capital areas of the budget. Members discussed methodologies for tracking activity against spend in future reporting. Members highlighted the </w:t>
      </w:r>
      <w:proofErr w:type="spellStart"/>
      <w:r w:rsidR="00BB4BCF">
        <w:rPr>
          <w:b w:val="0"/>
          <w:lang w:eastAsia="en-US"/>
        </w:rPr>
        <w:lastRenderedPageBreak/>
        <w:t>backweighting</w:t>
      </w:r>
      <w:proofErr w:type="spellEnd"/>
      <w:r w:rsidR="00BB4BCF">
        <w:rPr>
          <w:b w:val="0"/>
          <w:lang w:eastAsia="en-US"/>
        </w:rPr>
        <w:t xml:space="preserve"> of the forecast to the final months of the </w:t>
      </w:r>
      <w:proofErr w:type="gramStart"/>
      <w:r w:rsidR="00BB4BCF">
        <w:rPr>
          <w:b w:val="0"/>
          <w:lang w:eastAsia="en-US"/>
        </w:rPr>
        <w:t>FY, and</w:t>
      </w:r>
      <w:proofErr w:type="gramEnd"/>
      <w:r w:rsidR="00BB4BCF">
        <w:rPr>
          <w:b w:val="0"/>
          <w:lang w:eastAsia="en-US"/>
        </w:rPr>
        <w:t xml:space="preserve"> noted the upcoming three year allocation as an opportunity to address this in future years. </w:t>
      </w:r>
    </w:p>
    <w:p w14:paraId="5264C5F9" w14:textId="2A9D2227" w:rsidR="00DD4981" w:rsidRDefault="000C4B39" w:rsidP="003916A4">
      <w:pPr>
        <w:pStyle w:val="Heading2"/>
        <w:rPr>
          <w:b w:val="0"/>
          <w:lang w:eastAsia="en-US"/>
        </w:rPr>
      </w:pPr>
      <w:r>
        <w:rPr>
          <w:b w:val="0"/>
          <w:lang w:eastAsia="en-US"/>
        </w:rPr>
        <w:t xml:space="preserve">The Board noted a second consecutive highlight of the UKAEA Annual Report and Accounts in the NAO Best Practice guide, and were invited to provide comment on any areas for improvement in the next annual report. </w:t>
      </w:r>
    </w:p>
    <w:p w14:paraId="0661EE14" w14:textId="09A655BD" w:rsidR="000C4B39" w:rsidRPr="000C4B39" w:rsidRDefault="000C4B39" w:rsidP="000C4B39">
      <w:pPr>
        <w:pStyle w:val="Heading2"/>
        <w:rPr>
          <w:b w:val="0"/>
          <w:lang w:eastAsia="en-US"/>
        </w:rPr>
      </w:pPr>
      <w:r>
        <w:rPr>
          <w:b w:val="0"/>
          <w:lang w:eastAsia="en-US"/>
        </w:rPr>
        <w:t xml:space="preserve">The Board discussed the high level of non-reporting of KPIs within the report, and considered this a symptom of the Christmas break rather than an ongoing issue. </w:t>
      </w:r>
    </w:p>
    <w:p w14:paraId="58B0EB79" w14:textId="653AF173" w:rsidR="00F16D44" w:rsidRDefault="00F16D44" w:rsidP="00F16D44">
      <w:pPr>
        <w:pStyle w:val="Heading1"/>
        <w:rPr>
          <w:lang w:eastAsia="en-US"/>
        </w:rPr>
      </w:pPr>
      <w:r>
        <w:rPr>
          <w:lang w:eastAsia="en-US"/>
        </w:rPr>
        <w:t xml:space="preserve">sub-committee updates </w:t>
      </w:r>
    </w:p>
    <w:p w14:paraId="4C0592C8" w14:textId="77777777" w:rsidR="002C04D1" w:rsidRPr="002C04D1" w:rsidRDefault="00BB4BCF" w:rsidP="00BB4BCF">
      <w:pPr>
        <w:pStyle w:val="Heading2"/>
        <w:rPr>
          <w:lang w:eastAsia="en-US"/>
        </w:rPr>
      </w:pPr>
      <w:r>
        <w:rPr>
          <w:b w:val="0"/>
          <w:lang w:eastAsia="en-US"/>
        </w:rPr>
        <w:t>The Chair of the Audit and Risk Assurance Committee</w:t>
      </w:r>
      <w:r w:rsidR="002C04D1">
        <w:rPr>
          <w:b w:val="0"/>
          <w:lang w:eastAsia="en-US"/>
        </w:rPr>
        <w:t xml:space="preserve"> updated the Board on key issues from the last meeting:</w:t>
      </w:r>
    </w:p>
    <w:p w14:paraId="12F70B6C" w14:textId="24307C31" w:rsidR="00A27A2E" w:rsidRDefault="002C04D1" w:rsidP="002C04D1">
      <w:pPr>
        <w:pStyle w:val="Heading3"/>
        <w:rPr>
          <w:lang w:eastAsia="en-US"/>
        </w:rPr>
      </w:pPr>
      <w:r>
        <w:rPr>
          <w:lang w:eastAsia="en-US"/>
        </w:rPr>
        <w:t>The committee agreed the programme of work for the next years interim audit, and the scope of work for the pensions audit</w:t>
      </w:r>
    </w:p>
    <w:p w14:paraId="26FD6C2F" w14:textId="632BFDD8" w:rsidR="002C04D1" w:rsidRPr="002C04D1" w:rsidRDefault="002C04D1" w:rsidP="002C04D1">
      <w:pPr>
        <w:pStyle w:val="Heading3"/>
        <w:rPr>
          <w:lang w:eastAsia="en-US"/>
        </w:rPr>
      </w:pPr>
      <w:r>
        <w:rPr>
          <w:lang w:eastAsia="en-US"/>
        </w:rPr>
        <w:t>The performance of the current years internal audit was noted as expected to be achieved, with overdue actions expected to be closed by year end, and one area of concern highlighted and being discussed by management</w:t>
      </w:r>
    </w:p>
    <w:p w14:paraId="01E75EE7" w14:textId="4FA391C5" w:rsidR="002C04D1" w:rsidRDefault="002C04D1" w:rsidP="002C04D1">
      <w:pPr>
        <w:pStyle w:val="Heading3"/>
        <w:rPr>
          <w:lang w:eastAsia="en-US"/>
        </w:rPr>
      </w:pPr>
      <w:r>
        <w:rPr>
          <w:lang w:eastAsia="en-US"/>
        </w:rPr>
        <w:t>The risk register and top corporate risks were reviewed by the committee</w:t>
      </w:r>
    </w:p>
    <w:p w14:paraId="29B63F35" w14:textId="43AD67BD" w:rsidR="002C04D1" w:rsidRDefault="002C04D1" w:rsidP="002C04D1">
      <w:pPr>
        <w:pStyle w:val="Heading3"/>
        <w:rPr>
          <w:lang w:eastAsia="en-US"/>
        </w:rPr>
      </w:pPr>
      <w:r>
        <w:rPr>
          <w:lang w:eastAsia="en-US"/>
        </w:rPr>
        <w:t xml:space="preserve">Compliance to external Government standards was discussed by the committee with a plan to </w:t>
      </w:r>
      <w:r w:rsidR="00032FAE">
        <w:rPr>
          <w:lang w:eastAsia="en-US"/>
        </w:rPr>
        <w:t xml:space="preserve">review progress at the next meeting </w:t>
      </w:r>
    </w:p>
    <w:p w14:paraId="458316D0" w14:textId="5D53E496" w:rsidR="002C04D1" w:rsidRDefault="00032FAE" w:rsidP="002C04D1">
      <w:pPr>
        <w:pStyle w:val="Heading3"/>
        <w:rPr>
          <w:lang w:eastAsia="en-US"/>
        </w:rPr>
      </w:pPr>
      <w:r>
        <w:rPr>
          <w:lang w:eastAsia="en-US"/>
        </w:rPr>
        <w:t>The results of the recent phishing exercise were reviewed by the committee</w:t>
      </w:r>
    </w:p>
    <w:p w14:paraId="6E3E0BB4" w14:textId="502C8B03" w:rsidR="00032FAE" w:rsidRDefault="00032FAE" w:rsidP="00032FAE">
      <w:pPr>
        <w:pStyle w:val="Heading3"/>
        <w:rPr>
          <w:lang w:eastAsia="en-US"/>
        </w:rPr>
      </w:pPr>
      <w:r>
        <w:rPr>
          <w:lang w:eastAsia="en-US"/>
        </w:rPr>
        <w:t>The Committee reviewed the status of the whistleblowing policy, with plans to re-publish</w:t>
      </w:r>
    </w:p>
    <w:p w14:paraId="57DDC57C" w14:textId="5372CE25" w:rsidR="00032FAE" w:rsidRDefault="00032FAE" w:rsidP="00032FAE">
      <w:pPr>
        <w:pStyle w:val="Heading3"/>
        <w:rPr>
          <w:lang w:eastAsia="en-US"/>
        </w:rPr>
      </w:pPr>
      <w:r>
        <w:rPr>
          <w:lang w:eastAsia="en-US"/>
        </w:rPr>
        <w:t>Plans to increase mandatory training uptake were discussed by the committee</w:t>
      </w:r>
    </w:p>
    <w:p w14:paraId="71EE0641" w14:textId="41F9EDB1" w:rsidR="00032FAE" w:rsidRDefault="00032FAE" w:rsidP="00032FAE">
      <w:pPr>
        <w:pStyle w:val="Heading3"/>
        <w:rPr>
          <w:lang w:eastAsia="en-US"/>
        </w:rPr>
      </w:pPr>
      <w:proofErr w:type="gramStart"/>
      <w:r>
        <w:rPr>
          <w:lang w:eastAsia="en-US"/>
        </w:rPr>
        <w:t>Future plans</w:t>
      </w:r>
      <w:proofErr w:type="gramEnd"/>
      <w:r>
        <w:rPr>
          <w:lang w:eastAsia="en-US"/>
        </w:rPr>
        <w:t xml:space="preserve"> for a committee deep dive on Asset Management were discussed. </w:t>
      </w:r>
    </w:p>
    <w:p w14:paraId="3B2CD526" w14:textId="76B9F5E4" w:rsidR="00032FAE" w:rsidRDefault="00032FAE" w:rsidP="00032FAE">
      <w:pPr>
        <w:pStyle w:val="Heading2"/>
        <w:rPr>
          <w:b w:val="0"/>
          <w:lang w:eastAsia="en-US"/>
        </w:rPr>
      </w:pPr>
      <w:r>
        <w:rPr>
          <w:b w:val="0"/>
          <w:lang w:eastAsia="en-US"/>
        </w:rPr>
        <w:t xml:space="preserve">The Board noted this as the final report by the ARAC Chair to the Board, and reflected on the impressive performance of the ARAC under his chairmanship, </w:t>
      </w:r>
      <w:proofErr w:type="spellStart"/>
      <w:r>
        <w:rPr>
          <w:b w:val="0"/>
          <w:lang w:eastAsia="en-US"/>
        </w:rPr>
        <w:t>extenging</w:t>
      </w:r>
      <w:proofErr w:type="spellEnd"/>
      <w:r>
        <w:rPr>
          <w:b w:val="0"/>
          <w:lang w:eastAsia="en-US"/>
        </w:rPr>
        <w:t xml:space="preserve"> their sincere thanks, and welcoming the new Chair.</w:t>
      </w:r>
    </w:p>
    <w:p w14:paraId="653152F4" w14:textId="667262A8" w:rsidR="002C04D1" w:rsidRPr="002C04D1" w:rsidRDefault="00032FAE" w:rsidP="00B73BC9">
      <w:pPr>
        <w:pStyle w:val="Heading2"/>
        <w:rPr>
          <w:lang w:eastAsia="en-US"/>
        </w:rPr>
      </w:pPr>
      <w:r>
        <w:rPr>
          <w:b w:val="0"/>
          <w:lang w:eastAsia="en-US"/>
        </w:rPr>
        <w:t>The Board discussed the performance of external</w:t>
      </w:r>
      <w:r w:rsidR="001C4699">
        <w:rPr>
          <w:b w:val="0"/>
          <w:lang w:eastAsia="en-US"/>
        </w:rPr>
        <w:t xml:space="preserve"> audit, noting a proactive approach with the management of external auditors to drive performance.</w:t>
      </w:r>
    </w:p>
    <w:p w14:paraId="36961617" w14:textId="4DD7BDF4" w:rsidR="00A27A2E" w:rsidRDefault="001C4699" w:rsidP="00A27A2E">
      <w:pPr>
        <w:pStyle w:val="Heading1"/>
        <w:rPr>
          <w:lang w:eastAsia="en-US"/>
        </w:rPr>
      </w:pPr>
      <w:r>
        <w:rPr>
          <w:lang w:eastAsia="en-US"/>
        </w:rPr>
        <w:t>plans for the fusion22 event</w:t>
      </w:r>
    </w:p>
    <w:p w14:paraId="4D3FC74F" w14:textId="4F40D943" w:rsidR="00B73BC9" w:rsidRDefault="00B73BC9" w:rsidP="00B73BC9">
      <w:pPr>
        <w:pStyle w:val="Heading2"/>
        <w:rPr>
          <w:b w:val="0"/>
          <w:lang w:eastAsia="en-US"/>
        </w:rPr>
      </w:pPr>
      <w:r>
        <w:rPr>
          <w:b w:val="0"/>
          <w:lang w:eastAsia="en-US"/>
        </w:rPr>
        <w:t>The CTO provided an overview of plans for the Fusion22 event to the Board, including the strategic rationale and relationship to COP26, the location, scale, and potential agenda, and potential audiences. The Board discussed the targeted demographic for the event, and encouraged the use of social media to garner interest from younger generations, noting that social media plans are in place for the event.</w:t>
      </w:r>
      <w:r w:rsidR="00F22647">
        <w:rPr>
          <w:b w:val="0"/>
          <w:lang w:eastAsia="en-US"/>
        </w:rPr>
        <w:t xml:space="preserve"> The Board also suggested extension of invitations to all known fusion </w:t>
      </w:r>
      <w:proofErr w:type="spellStart"/>
      <w:r w:rsidR="00F22647">
        <w:rPr>
          <w:b w:val="0"/>
          <w:lang w:eastAsia="en-US"/>
        </w:rPr>
        <w:t>startups</w:t>
      </w:r>
      <w:proofErr w:type="spellEnd"/>
      <w:r w:rsidR="00F22647">
        <w:rPr>
          <w:b w:val="0"/>
          <w:lang w:eastAsia="en-US"/>
        </w:rPr>
        <w:t xml:space="preserve"> as key stakeholders to the event.</w:t>
      </w:r>
      <w:r>
        <w:rPr>
          <w:b w:val="0"/>
          <w:lang w:eastAsia="en-US"/>
        </w:rPr>
        <w:t xml:space="preserve"> Members discussed potential advocacy for the event that could be enlisted to support its success. The Board were briefed on the approvals process for the event. </w:t>
      </w:r>
      <w:r w:rsidR="00A86D71">
        <w:rPr>
          <w:b w:val="0"/>
          <w:lang w:eastAsia="en-US"/>
        </w:rPr>
        <w:t xml:space="preserve">The </w:t>
      </w:r>
      <w:r w:rsidR="00A86D71">
        <w:rPr>
          <w:b w:val="0"/>
          <w:lang w:eastAsia="en-US"/>
        </w:rPr>
        <w:lastRenderedPageBreak/>
        <w:t>Board were asked to provide input into several aspects of the event, including the programme, invitation list, and potential speaker list.</w:t>
      </w:r>
    </w:p>
    <w:p w14:paraId="63B6B640" w14:textId="0D5C33E7" w:rsidR="00B73BC9" w:rsidRPr="00B73BC9" w:rsidRDefault="00FC1551" w:rsidP="00A86D71">
      <w:pPr>
        <w:pStyle w:val="Heading2"/>
        <w:rPr>
          <w:lang w:eastAsia="en-US"/>
        </w:rPr>
      </w:pPr>
      <w:r>
        <w:rPr>
          <w:b w:val="0"/>
          <w:lang w:eastAsia="en-US"/>
        </w:rPr>
        <w:t xml:space="preserve">The Board discussed the measurement of success for the event, including metrics targeted, and requested that a report return in July to present the </w:t>
      </w:r>
      <w:r w:rsidR="00A86D71">
        <w:rPr>
          <w:b w:val="0"/>
          <w:lang w:eastAsia="en-US"/>
        </w:rPr>
        <w:t xml:space="preserve">outcome of the event – </w:t>
      </w:r>
      <w:r w:rsidR="000B0816">
        <w:rPr>
          <w:lang w:eastAsia="en-US"/>
        </w:rPr>
        <w:t xml:space="preserve">Action </w:t>
      </w:r>
      <w:proofErr w:type="gramStart"/>
      <w:r w:rsidR="000B0816">
        <w:rPr>
          <w:lang w:eastAsia="en-US"/>
        </w:rPr>
        <w:t>UKAEA(</w:t>
      </w:r>
      <w:proofErr w:type="gramEnd"/>
      <w:r w:rsidR="000B0816">
        <w:rPr>
          <w:lang w:eastAsia="en-US"/>
        </w:rPr>
        <w:t>22)1/4</w:t>
      </w:r>
    </w:p>
    <w:p w14:paraId="037F3197" w14:textId="03047139" w:rsidR="00A45E3D" w:rsidRDefault="00A45E3D" w:rsidP="00A45E3D">
      <w:pPr>
        <w:pStyle w:val="Heading1"/>
        <w:rPr>
          <w:lang w:eastAsia="en-US"/>
        </w:rPr>
      </w:pPr>
      <w:r>
        <w:rPr>
          <w:lang w:eastAsia="en-US"/>
        </w:rPr>
        <w:t>any other business</w:t>
      </w:r>
    </w:p>
    <w:p w14:paraId="55550814" w14:textId="6E202AEE" w:rsidR="00A35CFE" w:rsidRDefault="00A35CFE" w:rsidP="00A45E3D">
      <w:pPr>
        <w:pStyle w:val="Heading2"/>
        <w:rPr>
          <w:b w:val="0"/>
          <w:lang w:eastAsia="en-US"/>
        </w:rPr>
      </w:pPr>
      <w:r>
        <w:rPr>
          <w:b w:val="0"/>
          <w:lang w:eastAsia="en-US"/>
        </w:rPr>
        <w:t>The Board reviewed and confirmed the dates for 2023 Board meetings as:</w:t>
      </w:r>
    </w:p>
    <w:p w14:paraId="545C25BA" w14:textId="2B03CC21" w:rsidR="00A35CFE" w:rsidRPr="00A35CFE" w:rsidRDefault="00A35CFE" w:rsidP="00A35CFE">
      <w:pPr>
        <w:pStyle w:val="BodyText"/>
        <w:numPr>
          <w:ilvl w:val="0"/>
          <w:numId w:val="30"/>
        </w:numPr>
        <w:rPr>
          <w:sz w:val="22"/>
          <w:lang w:eastAsia="en-US"/>
        </w:rPr>
      </w:pPr>
      <w:r w:rsidRPr="00A35CFE">
        <w:rPr>
          <w:sz w:val="22"/>
          <w:lang w:eastAsia="en-US"/>
        </w:rPr>
        <w:t>20</w:t>
      </w:r>
      <w:r w:rsidRPr="00A35CFE">
        <w:rPr>
          <w:sz w:val="22"/>
          <w:vertAlign w:val="superscript"/>
          <w:lang w:eastAsia="en-US"/>
        </w:rPr>
        <w:t>th</w:t>
      </w:r>
      <w:r w:rsidRPr="00A35CFE">
        <w:rPr>
          <w:sz w:val="22"/>
          <w:lang w:eastAsia="en-US"/>
        </w:rPr>
        <w:t xml:space="preserve"> January 2023</w:t>
      </w:r>
    </w:p>
    <w:p w14:paraId="282B951A" w14:textId="05745E7C" w:rsidR="00A35CFE" w:rsidRPr="00A35CFE" w:rsidRDefault="00A35CFE" w:rsidP="00A35CFE">
      <w:pPr>
        <w:pStyle w:val="BodyText"/>
        <w:numPr>
          <w:ilvl w:val="0"/>
          <w:numId w:val="30"/>
        </w:numPr>
        <w:rPr>
          <w:sz w:val="22"/>
          <w:lang w:eastAsia="en-US"/>
        </w:rPr>
      </w:pPr>
      <w:r w:rsidRPr="00A35CFE">
        <w:rPr>
          <w:sz w:val="22"/>
          <w:lang w:eastAsia="en-US"/>
        </w:rPr>
        <w:t>20</w:t>
      </w:r>
      <w:r w:rsidRPr="00A35CFE">
        <w:rPr>
          <w:sz w:val="22"/>
          <w:vertAlign w:val="superscript"/>
          <w:lang w:eastAsia="en-US"/>
        </w:rPr>
        <w:t>th</w:t>
      </w:r>
      <w:r w:rsidRPr="00A35CFE">
        <w:rPr>
          <w:sz w:val="22"/>
          <w:lang w:eastAsia="en-US"/>
        </w:rPr>
        <w:t xml:space="preserve"> March 2023</w:t>
      </w:r>
    </w:p>
    <w:p w14:paraId="5BEF469A" w14:textId="628E55D3" w:rsidR="00A35CFE" w:rsidRPr="00A35CFE" w:rsidRDefault="00A35CFE" w:rsidP="00A35CFE">
      <w:pPr>
        <w:pStyle w:val="BodyText"/>
        <w:numPr>
          <w:ilvl w:val="0"/>
          <w:numId w:val="30"/>
        </w:numPr>
        <w:rPr>
          <w:sz w:val="22"/>
          <w:lang w:eastAsia="en-US"/>
        </w:rPr>
      </w:pPr>
      <w:r w:rsidRPr="00A35CFE">
        <w:rPr>
          <w:sz w:val="22"/>
          <w:lang w:eastAsia="en-US"/>
        </w:rPr>
        <w:t>15</w:t>
      </w:r>
      <w:r w:rsidRPr="00A35CFE">
        <w:rPr>
          <w:sz w:val="22"/>
          <w:vertAlign w:val="superscript"/>
          <w:lang w:eastAsia="en-US"/>
        </w:rPr>
        <w:t>th</w:t>
      </w:r>
      <w:r w:rsidRPr="00A35CFE">
        <w:rPr>
          <w:sz w:val="22"/>
          <w:lang w:eastAsia="en-US"/>
        </w:rPr>
        <w:t xml:space="preserve"> May 2023</w:t>
      </w:r>
    </w:p>
    <w:p w14:paraId="6FD1E6C0" w14:textId="691B546F" w:rsidR="00A35CFE" w:rsidRPr="00A35CFE" w:rsidRDefault="00A35CFE" w:rsidP="00A35CFE">
      <w:pPr>
        <w:pStyle w:val="BodyText"/>
        <w:numPr>
          <w:ilvl w:val="0"/>
          <w:numId w:val="30"/>
        </w:numPr>
        <w:rPr>
          <w:sz w:val="22"/>
          <w:lang w:eastAsia="en-US"/>
        </w:rPr>
      </w:pPr>
      <w:r w:rsidRPr="00A35CFE">
        <w:rPr>
          <w:sz w:val="22"/>
          <w:lang w:eastAsia="en-US"/>
        </w:rPr>
        <w:t>3</w:t>
      </w:r>
      <w:r w:rsidRPr="00A35CFE">
        <w:rPr>
          <w:sz w:val="22"/>
          <w:vertAlign w:val="superscript"/>
          <w:lang w:eastAsia="en-US"/>
        </w:rPr>
        <w:t>rd</w:t>
      </w:r>
      <w:r w:rsidRPr="00A35CFE">
        <w:rPr>
          <w:sz w:val="22"/>
          <w:lang w:eastAsia="en-US"/>
        </w:rPr>
        <w:t xml:space="preserve"> July 2023</w:t>
      </w:r>
    </w:p>
    <w:p w14:paraId="777BF2B7" w14:textId="7100A8D3" w:rsidR="00A35CFE" w:rsidRPr="00A35CFE" w:rsidRDefault="00A35CFE" w:rsidP="00A35CFE">
      <w:pPr>
        <w:pStyle w:val="BodyText"/>
        <w:numPr>
          <w:ilvl w:val="0"/>
          <w:numId w:val="30"/>
        </w:numPr>
        <w:rPr>
          <w:sz w:val="22"/>
          <w:lang w:eastAsia="en-US"/>
        </w:rPr>
      </w:pPr>
      <w:r w:rsidRPr="00A35CFE">
        <w:rPr>
          <w:sz w:val="22"/>
          <w:lang w:eastAsia="en-US"/>
        </w:rPr>
        <w:t>18</w:t>
      </w:r>
      <w:r w:rsidRPr="00A35CFE">
        <w:rPr>
          <w:sz w:val="22"/>
          <w:vertAlign w:val="superscript"/>
          <w:lang w:eastAsia="en-US"/>
        </w:rPr>
        <w:t>th</w:t>
      </w:r>
      <w:r w:rsidRPr="00A35CFE">
        <w:rPr>
          <w:sz w:val="22"/>
          <w:lang w:eastAsia="en-US"/>
        </w:rPr>
        <w:t xml:space="preserve"> September 2023</w:t>
      </w:r>
    </w:p>
    <w:p w14:paraId="369E466E" w14:textId="23EAB958" w:rsidR="00A35CFE" w:rsidRPr="00A35CFE" w:rsidRDefault="00A35CFE" w:rsidP="00A35CFE">
      <w:pPr>
        <w:pStyle w:val="BodyText"/>
        <w:numPr>
          <w:ilvl w:val="0"/>
          <w:numId w:val="30"/>
        </w:numPr>
        <w:rPr>
          <w:sz w:val="22"/>
          <w:lang w:eastAsia="en-US"/>
        </w:rPr>
      </w:pPr>
      <w:r w:rsidRPr="00A35CFE">
        <w:rPr>
          <w:sz w:val="22"/>
          <w:lang w:eastAsia="en-US"/>
        </w:rPr>
        <w:t>17</w:t>
      </w:r>
      <w:r w:rsidRPr="00A35CFE">
        <w:rPr>
          <w:sz w:val="22"/>
          <w:vertAlign w:val="superscript"/>
          <w:lang w:eastAsia="en-US"/>
        </w:rPr>
        <w:t>th</w:t>
      </w:r>
      <w:r w:rsidRPr="00A35CFE">
        <w:rPr>
          <w:sz w:val="22"/>
          <w:lang w:eastAsia="en-US"/>
        </w:rPr>
        <w:t xml:space="preserve"> November 2023</w:t>
      </w:r>
    </w:p>
    <w:p w14:paraId="1B570968" w14:textId="1E771FB1" w:rsidR="00AE340E" w:rsidRDefault="00AE340E" w:rsidP="00A45E3D">
      <w:pPr>
        <w:pStyle w:val="Heading2"/>
        <w:rPr>
          <w:lang w:eastAsia="en-US"/>
        </w:rPr>
      </w:pPr>
      <w:r>
        <w:rPr>
          <w:b w:val="0"/>
          <w:lang w:eastAsia="en-US"/>
        </w:rPr>
        <w:t xml:space="preserve">The Board discussed a proposal to continue to operate a shadow board scheme by self-organisation with other interested and related PSREs. The Board supported the proposal and agreed to raise the proposal at a Board level with other potential partners in the scheme. The Executive agreed to return to the Board with a recommendation of individuals from the organisation who could be nominated for the scheme – </w:t>
      </w:r>
      <w:r w:rsidR="000B0816">
        <w:rPr>
          <w:lang w:eastAsia="en-US"/>
        </w:rPr>
        <w:t xml:space="preserve">Action </w:t>
      </w:r>
      <w:proofErr w:type="gramStart"/>
      <w:r w:rsidR="000B0816">
        <w:rPr>
          <w:lang w:eastAsia="en-US"/>
        </w:rPr>
        <w:t>UKAEA(</w:t>
      </w:r>
      <w:proofErr w:type="gramEnd"/>
      <w:r w:rsidR="000B0816">
        <w:rPr>
          <w:lang w:eastAsia="en-US"/>
        </w:rPr>
        <w:t>22)1/5</w:t>
      </w:r>
    </w:p>
    <w:p w14:paraId="16DD4554" w14:textId="4BF11172" w:rsidR="003B06BE" w:rsidRPr="003B06BE" w:rsidRDefault="003B06BE" w:rsidP="003B06BE">
      <w:pPr>
        <w:pStyle w:val="Heading2"/>
        <w:rPr>
          <w:lang w:eastAsia="en-US"/>
        </w:rPr>
      </w:pPr>
      <w:r>
        <w:rPr>
          <w:b w:val="0"/>
          <w:lang w:eastAsia="en-US"/>
        </w:rPr>
        <w:t xml:space="preserve">The Board discussed recent and upcoming visits from VIPs, and requested that a log of VIP visitors, and actions arising from their visits, be developed and maintained – </w:t>
      </w:r>
      <w:r>
        <w:rPr>
          <w:lang w:eastAsia="en-US"/>
        </w:rPr>
        <w:t xml:space="preserve">Action </w:t>
      </w:r>
      <w:proofErr w:type="gramStart"/>
      <w:r w:rsidR="000B0816">
        <w:rPr>
          <w:lang w:eastAsia="en-US"/>
        </w:rPr>
        <w:t>UKAEA(</w:t>
      </w:r>
      <w:proofErr w:type="gramEnd"/>
      <w:r w:rsidR="000B0816">
        <w:rPr>
          <w:lang w:eastAsia="en-US"/>
        </w:rPr>
        <w:t>22)1/6</w:t>
      </w:r>
    </w:p>
    <w:p w14:paraId="07246F2C" w14:textId="69AE8A50" w:rsidR="00A45E3D" w:rsidRPr="00AE340E" w:rsidRDefault="00AE340E" w:rsidP="00AE340E">
      <w:pPr>
        <w:pStyle w:val="Heading2"/>
        <w:numPr>
          <w:ilvl w:val="0"/>
          <w:numId w:val="0"/>
        </w:numPr>
        <w:rPr>
          <w:b w:val="0"/>
          <w:lang w:eastAsia="en-US"/>
        </w:rPr>
      </w:pPr>
      <w:r>
        <w:rPr>
          <w:b w:val="0"/>
          <w:lang w:eastAsia="en-US"/>
        </w:rPr>
        <w:t>End</w:t>
      </w:r>
      <w:r w:rsidR="00A45E3D" w:rsidRPr="00AE340E">
        <w:rPr>
          <w:b w:val="0"/>
          <w:lang w:eastAsia="en-US"/>
        </w:rPr>
        <w:t xml:space="preserve"> </w:t>
      </w:r>
      <w:bookmarkEnd w:id="0"/>
    </w:p>
    <w:sectPr w:rsidR="00A45E3D" w:rsidRPr="00AE340E" w:rsidSect="00690C7F">
      <w:headerReference w:type="default" r:id="rId9"/>
      <w:footerReference w:type="default" r:id="rId10"/>
      <w:headerReference w:type="first" r:id="rId11"/>
      <w:footerReference w:type="first" r:id="rId12"/>
      <w:pgSz w:w="11906" w:h="16838" w:code="9"/>
      <w:pgMar w:top="1134" w:right="1418" w:bottom="1418" w:left="1418" w:header="567" w:footer="70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8A13" w14:textId="77777777" w:rsidR="0046324E" w:rsidRDefault="0046324E">
      <w:r>
        <w:separator/>
      </w:r>
    </w:p>
  </w:endnote>
  <w:endnote w:type="continuationSeparator" w:id="0">
    <w:p w14:paraId="6909A8EE" w14:textId="77777777" w:rsidR="0046324E" w:rsidRDefault="0046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9909" w14:textId="77777777" w:rsidR="005F1ECF" w:rsidRDefault="005F1ECF">
    <w:pPr>
      <w:pStyle w:val="Footer"/>
      <w:jc w:val="right"/>
    </w:pPr>
    <w:r>
      <w:fldChar w:fldCharType="begin"/>
    </w:r>
    <w:r>
      <w:instrText xml:space="preserve"> PAGE   \* MERGEFORMAT </w:instrText>
    </w:r>
    <w:r>
      <w:fldChar w:fldCharType="separate"/>
    </w:r>
    <w:r w:rsidR="00225EFE">
      <w:rPr>
        <w:noProof/>
      </w:rPr>
      <w:t>7</w:t>
    </w:r>
    <w:r>
      <w:rPr>
        <w:noProof/>
      </w:rPr>
      <w:fldChar w:fldCharType="end"/>
    </w:r>
  </w:p>
  <w:p w14:paraId="3C8FE422" w14:textId="77777777" w:rsidR="005F1ECF" w:rsidRDefault="005F1ECF" w:rsidP="00FC67CA">
    <w:pPr>
      <w:pStyle w:val="Footer"/>
      <w:tabs>
        <w:tab w:val="center" w:pos="4536"/>
        <w:tab w:val="right" w:pos="8931"/>
      </w:tabs>
      <w:jc w:val="lef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697719"/>
      <w:docPartObj>
        <w:docPartGallery w:val="Page Numbers (Bottom of Page)"/>
        <w:docPartUnique/>
      </w:docPartObj>
    </w:sdtPr>
    <w:sdtEndPr/>
    <w:sdtContent>
      <w:sdt>
        <w:sdtPr>
          <w:id w:val="-1705238520"/>
          <w:docPartObj>
            <w:docPartGallery w:val="Page Numbers (Top of Page)"/>
            <w:docPartUnique/>
          </w:docPartObj>
        </w:sdtPr>
        <w:sdtEndPr/>
        <w:sdtContent>
          <w:p w14:paraId="4BB77582" w14:textId="77777777" w:rsidR="005F1ECF" w:rsidRDefault="005F1ECF" w:rsidP="0062582E">
            <w:pPr>
              <w:pStyle w:val="Footer"/>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225EFE">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225EFE">
              <w:rPr>
                <w:bCs/>
                <w:noProof/>
              </w:rPr>
              <w:t>6</w:t>
            </w:r>
            <w:r>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5484" w14:textId="77777777" w:rsidR="0046324E" w:rsidRDefault="0046324E">
      <w:r>
        <w:separator/>
      </w:r>
    </w:p>
  </w:footnote>
  <w:footnote w:type="continuationSeparator" w:id="0">
    <w:p w14:paraId="4672B28E" w14:textId="77777777" w:rsidR="0046324E" w:rsidRDefault="0046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DCB4" w14:textId="77777777" w:rsidR="005F1ECF" w:rsidRDefault="005F1ECF">
    <w:pPr>
      <w:pStyle w:val="Header"/>
    </w:pPr>
    <w:r>
      <w:t>official 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09F6" w14:textId="77777777" w:rsidR="005F1ECF" w:rsidRDefault="005F1ECF">
    <w:pPr>
      <w:pStyle w:val="Header"/>
    </w:pPr>
    <w: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F2B"/>
    <w:multiLevelType w:val="hybridMultilevel"/>
    <w:tmpl w:val="BA00015A"/>
    <w:lvl w:ilvl="0" w:tplc="A0402E6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1C22D4F"/>
    <w:multiLevelType w:val="hybridMultilevel"/>
    <w:tmpl w:val="E4A88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B28B4"/>
    <w:multiLevelType w:val="multilevel"/>
    <w:tmpl w:val="F2C64BE6"/>
    <w:lvl w:ilvl="0">
      <w:start w:val="5"/>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62628"/>
    <w:multiLevelType w:val="multilevel"/>
    <w:tmpl w:val="54B66468"/>
    <w:lvl w:ilvl="0">
      <w:start w:val="1"/>
      <w:numFmt w:val="decimal"/>
      <w:lvlText w:val="%1"/>
      <w:lvlJc w:val="left"/>
      <w:pPr>
        <w:ind w:left="567" w:hanging="567"/>
      </w:pPr>
      <w:rPr>
        <w:rFonts w:hint="default"/>
      </w:rPr>
    </w:lvl>
    <w:lvl w:ilvl="1">
      <w:start w:val="1"/>
      <w:numFmt w:val="decimal"/>
      <w:lvlText w:val="%1.%2"/>
      <w:lvlJc w:val="right"/>
      <w:pPr>
        <w:ind w:left="567" w:hanging="279"/>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64E61"/>
    <w:multiLevelType w:val="multilevel"/>
    <w:tmpl w:val="631CB7A0"/>
    <w:lvl w:ilvl="0">
      <w:start w:val="10"/>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CB7D61"/>
    <w:multiLevelType w:val="hybridMultilevel"/>
    <w:tmpl w:val="8788F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B42C01"/>
    <w:multiLevelType w:val="hybridMultilevel"/>
    <w:tmpl w:val="D72C5E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17C4BED"/>
    <w:multiLevelType w:val="hybridMultilevel"/>
    <w:tmpl w:val="0F50B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BA3B0E"/>
    <w:multiLevelType w:val="hybridMultilevel"/>
    <w:tmpl w:val="BA00015A"/>
    <w:lvl w:ilvl="0" w:tplc="A0402E6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54B5D03"/>
    <w:multiLevelType w:val="hybridMultilevel"/>
    <w:tmpl w:val="F9E6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67B94"/>
    <w:multiLevelType w:val="multilevel"/>
    <w:tmpl w:val="613A4A1E"/>
    <w:lvl w:ilvl="0">
      <w:start w:val="7"/>
      <w:numFmt w:val="decimal"/>
      <w:lvlText w:val="%1"/>
      <w:lvlJc w:val="left"/>
      <w:pPr>
        <w:ind w:left="360" w:hanging="360"/>
      </w:pPr>
      <w:rPr>
        <w:rFonts w:hint="default"/>
        <w:b/>
      </w:rPr>
    </w:lvl>
    <w:lvl w:ilvl="1">
      <w:start w:val="1"/>
      <w:numFmt w:val="decimal"/>
      <w:lvlText w:val="%1.%2"/>
      <w:lvlJc w:val="right"/>
      <w:pPr>
        <w:ind w:left="360" w:hanging="7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02E6E"/>
    <w:multiLevelType w:val="hybridMultilevel"/>
    <w:tmpl w:val="EA0A4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CF7C10"/>
    <w:multiLevelType w:val="multilevel"/>
    <w:tmpl w:val="1E4CC65C"/>
    <w:lvl w:ilvl="0">
      <w:start w:val="1"/>
      <w:numFmt w:val="decimal"/>
      <w:pStyle w:val="Heading1"/>
      <w:lvlText w:val="%1"/>
      <w:lvlJc w:val="left"/>
      <w:pPr>
        <w:tabs>
          <w:tab w:val="num" w:pos="567"/>
        </w:tabs>
        <w:ind w:left="567" w:hanging="567"/>
      </w:pPr>
      <w:rPr>
        <w:rFonts w:ascii="Times New Roman" w:hAnsi="Times New Roman" w:hint="default"/>
        <w:b/>
        <w:i w:val="0"/>
        <w:kern w:val="0"/>
        <w:sz w:val="24"/>
      </w:rPr>
    </w:lvl>
    <w:lvl w:ilvl="1">
      <w:start w:val="1"/>
      <w:numFmt w:val="decimal"/>
      <w:pStyle w:val="Heading2"/>
      <w:lvlText w:val="%1.%2"/>
      <w:lvlJc w:val="left"/>
      <w:pPr>
        <w:tabs>
          <w:tab w:val="num" w:pos="567"/>
        </w:tabs>
        <w:ind w:left="567" w:hanging="567"/>
      </w:pPr>
      <w:rPr>
        <w:rFonts w:ascii="Times New Roman" w:hAnsi="Times New Roman" w:hint="default"/>
        <w:b/>
        <w:i w:val="0"/>
        <w:caps w:val="0"/>
        <w:sz w:val="24"/>
      </w:rPr>
    </w:lvl>
    <w:lvl w:ilvl="2">
      <w:start w:val="1"/>
      <w:numFmt w:val="decimal"/>
      <w:pStyle w:val="Heading3"/>
      <w:lvlText w:val="%1.%2.%3"/>
      <w:lvlJc w:val="left"/>
      <w:pPr>
        <w:tabs>
          <w:tab w:val="num" w:pos="567"/>
        </w:tabs>
        <w:ind w:left="567" w:hanging="567"/>
      </w:pPr>
      <w:rPr>
        <w:rFonts w:ascii="Times New Roman" w:hAnsi="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C46A0E"/>
    <w:multiLevelType w:val="hybridMultilevel"/>
    <w:tmpl w:val="CA467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BF68BE"/>
    <w:multiLevelType w:val="multilevel"/>
    <w:tmpl w:val="54B66468"/>
    <w:lvl w:ilvl="0">
      <w:start w:val="1"/>
      <w:numFmt w:val="decimal"/>
      <w:lvlText w:val="%1"/>
      <w:lvlJc w:val="left"/>
      <w:pPr>
        <w:ind w:left="567" w:hanging="567"/>
      </w:pPr>
      <w:rPr>
        <w:rFonts w:hint="default"/>
      </w:rPr>
    </w:lvl>
    <w:lvl w:ilvl="1">
      <w:start w:val="1"/>
      <w:numFmt w:val="decimal"/>
      <w:lvlText w:val="%1.%2"/>
      <w:lvlJc w:val="right"/>
      <w:pPr>
        <w:ind w:left="567" w:hanging="279"/>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EC4966"/>
    <w:multiLevelType w:val="hybridMultilevel"/>
    <w:tmpl w:val="4DEA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99328E"/>
    <w:multiLevelType w:val="hybridMultilevel"/>
    <w:tmpl w:val="7254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A3BDC"/>
    <w:multiLevelType w:val="hybridMultilevel"/>
    <w:tmpl w:val="3D3C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F3A38"/>
    <w:multiLevelType w:val="hybridMultilevel"/>
    <w:tmpl w:val="73F860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C6C7238"/>
    <w:multiLevelType w:val="hybridMultilevel"/>
    <w:tmpl w:val="4CEA3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D76940"/>
    <w:multiLevelType w:val="hybridMultilevel"/>
    <w:tmpl w:val="1D3AA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1B41A8"/>
    <w:multiLevelType w:val="hybridMultilevel"/>
    <w:tmpl w:val="2B26DF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63125D6"/>
    <w:multiLevelType w:val="hybridMultilevel"/>
    <w:tmpl w:val="6512D9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F33FB2"/>
    <w:multiLevelType w:val="multilevel"/>
    <w:tmpl w:val="4114F8A0"/>
    <w:lvl w:ilvl="0">
      <w:start w:val="6"/>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6312F8"/>
    <w:multiLevelType w:val="multilevel"/>
    <w:tmpl w:val="BC0A6144"/>
    <w:lvl w:ilvl="0">
      <w:start w:val="8"/>
      <w:numFmt w:val="decimal"/>
      <w:lvlText w:val="%1"/>
      <w:lvlJc w:val="left"/>
      <w:pPr>
        <w:ind w:left="360" w:hanging="360"/>
      </w:pPr>
      <w:rPr>
        <w:rFonts w:hint="default"/>
        <w:b/>
      </w:rPr>
    </w:lvl>
    <w:lvl w:ilvl="1">
      <w:start w:val="1"/>
      <w:numFmt w:val="decimal"/>
      <w:lvlText w:val="%1.%2"/>
      <w:lvlJc w:val="right"/>
      <w:pPr>
        <w:ind w:left="360" w:hanging="72"/>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E633E8"/>
    <w:multiLevelType w:val="multilevel"/>
    <w:tmpl w:val="0BCC0584"/>
    <w:lvl w:ilvl="0">
      <w:start w:val="11"/>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D5441"/>
    <w:multiLevelType w:val="hybridMultilevel"/>
    <w:tmpl w:val="2FE26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367587"/>
    <w:multiLevelType w:val="multilevel"/>
    <w:tmpl w:val="BC0A6144"/>
    <w:lvl w:ilvl="0">
      <w:start w:val="8"/>
      <w:numFmt w:val="decimal"/>
      <w:lvlText w:val="%1"/>
      <w:lvlJc w:val="left"/>
      <w:pPr>
        <w:ind w:left="360" w:hanging="360"/>
      </w:pPr>
      <w:rPr>
        <w:rFonts w:hint="default"/>
        <w:b/>
      </w:rPr>
    </w:lvl>
    <w:lvl w:ilvl="1">
      <w:start w:val="1"/>
      <w:numFmt w:val="decimal"/>
      <w:lvlText w:val="%1.%2"/>
      <w:lvlJc w:val="right"/>
      <w:pPr>
        <w:ind w:left="360" w:hanging="72"/>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2"/>
  </w:num>
  <w:num w:numId="3">
    <w:abstractNumId w:val="12"/>
  </w:num>
  <w:num w:numId="4">
    <w:abstractNumId w:val="14"/>
  </w:num>
  <w:num w:numId="5">
    <w:abstractNumId w:val="16"/>
  </w:num>
  <w:num w:numId="6">
    <w:abstractNumId w:val="24"/>
  </w:num>
  <w:num w:numId="7">
    <w:abstractNumId w:val="5"/>
  </w:num>
  <w:num w:numId="8">
    <w:abstractNumId w:val="7"/>
  </w:num>
  <w:num w:numId="9">
    <w:abstractNumId w:val="20"/>
  </w:num>
  <w:num w:numId="10">
    <w:abstractNumId w:val="1"/>
  </w:num>
  <w:num w:numId="11">
    <w:abstractNumId w:val="15"/>
  </w:num>
  <w:num w:numId="12">
    <w:abstractNumId w:val="11"/>
  </w:num>
  <w:num w:numId="13">
    <w:abstractNumId w:val="19"/>
  </w:num>
  <w:num w:numId="14">
    <w:abstractNumId w:val="13"/>
  </w:num>
  <w:num w:numId="15">
    <w:abstractNumId w:val="26"/>
  </w:num>
  <w:num w:numId="16">
    <w:abstractNumId w:val="22"/>
  </w:num>
  <w:num w:numId="17">
    <w:abstractNumId w:val="23"/>
  </w:num>
  <w:num w:numId="18">
    <w:abstractNumId w:val="2"/>
  </w:num>
  <w:num w:numId="19">
    <w:abstractNumId w:val="10"/>
  </w:num>
  <w:num w:numId="20">
    <w:abstractNumId w:val="4"/>
  </w:num>
  <w:num w:numId="21">
    <w:abstractNumId w:val="25"/>
  </w:num>
  <w:num w:numId="22">
    <w:abstractNumId w:val="6"/>
  </w:num>
  <w:num w:numId="23">
    <w:abstractNumId w:val="8"/>
  </w:num>
  <w:num w:numId="24">
    <w:abstractNumId w:val="0"/>
  </w:num>
  <w:num w:numId="25">
    <w:abstractNumId w:val="3"/>
  </w:num>
  <w:num w:numId="26">
    <w:abstractNumId w:val="27"/>
  </w:num>
  <w:num w:numId="27">
    <w:abstractNumId w:val="9"/>
  </w:num>
  <w:num w:numId="28">
    <w:abstractNumId w:val="18"/>
  </w:num>
  <w:num w:numId="29">
    <w:abstractNumId w:val="17"/>
  </w:num>
  <w:num w:numId="3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34"/>
    <w:rsid w:val="000027A7"/>
    <w:rsid w:val="0000535B"/>
    <w:rsid w:val="00007152"/>
    <w:rsid w:val="00017300"/>
    <w:rsid w:val="00022C60"/>
    <w:rsid w:val="000328A3"/>
    <w:rsid w:val="00032FAE"/>
    <w:rsid w:val="000361F5"/>
    <w:rsid w:val="00037F0E"/>
    <w:rsid w:val="0004271C"/>
    <w:rsid w:val="00057871"/>
    <w:rsid w:val="000616B4"/>
    <w:rsid w:val="000640AA"/>
    <w:rsid w:val="00070695"/>
    <w:rsid w:val="0007077B"/>
    <w:rsid w:val="00070BE8"/>
    <w:rsid w:val="00070D21"/>
    <w:rsid w:val="00072732"/>
    <w:rsid w:val="00080A2F"/>
    <w:rsid w:val="00085A37"/>
    <w:rsid w:val="00090D82"/>
    <w:rsid w:val="000B018F"/>
    <w:rsid w:val="000B0816"/>
    <w:rsid w:val="000B1182"/>
    <w:rsid w:val="000B6AD3"/>
    <w:rsid w:val="000C4B39"/>
    <w:rsid w:val="000D0814"/>
    <w:rsid w:val="000D78BE"/>
    <w:rsid w:val="000E3CB1"/>
    <w:rsid w:val="000E4FDF"/>
    <w:rsid w:val="000E56FA"/>
    <w:rsid w:val="000F1557"/>
    <w:rsid w:val="000F1F07"/>
    <w:rsid w:val="000F361D"/>
    <w:rsid w:val="0010676A"/>
    <w:rsid w:val="001110EF"/>
    <w:rsid w:val="00111C34"/>
    <w:rsid w:val="00111F90"/>
    <w:rsid w:val="001123EC"/>
    <w:rsid w:val="00112F79"/>
    <w:rsid w:val="001169C2"/>
    <w:rsid w:val="001242BB"/>
    <w:rsid w:val="00131202"/>
    <w:rsid w:val="001354AD"/>
    <w:rsid w:val="00146329"/>
    <w:rsid w:val="0015030F"/>
    <w:rsid w:val="00153833"/>
    <w:rsid w:val="00155BD1"/>
    <w:rsid w:val="001607AF"/>
    <w:rsid w:val="00167224"/>
    <w:rsid w:val="00177940"/>
    <w:rsid w:val="00177B63"/>
    <w:rsid w:val="0018115B"/>
    <w:rsid w:val="00183E35"/>
    <w:rsid w:val="001863CC"/>
    <w:rsid w:val="00186655"/>
    <w:rsid w:val="001907DD"/>
    <w:rsid w:val="00192229"/>
    <w:rsid w:val="00195DDD"/>
    <w:rsid w:val="001A046D"/>
    <w:rsid w:val="001A7A1B"/>
    <w:rsid w:val="001B06AA"/>
    <w:rsid w:val="001B2437"/>
    <w:rsid w:val="001B701A"/>
    <w:rsid w:val="001C018C"/>
    <w:rsid w:val="001C4699"/>
    <w:rsid w:val="001D63A6"/>
    <w:rsid w:val="001E2B58"/>
    <w:rsid w:val="001E3A38"/>
    <w:rsid w:val="00202CC7"/>
    <w:rsid w:val="00205C82"/>
    <w:rsid w:val="0021248C"/>
    <w:rsid w:val="00216EE1"/>
    <w:rsid w:val="00220459"/>
    <w:rsid w:val="00223645"/>
    <w:rsid w:val="00225EFE"/>
    <w:rsid w:val="00243814"/>
    <w:rsid w:val="002438F3"/>
    <w:rsid w:val="0025213D"/>
    <w:rsid w:val="00256BBD"/>
    <w:rsid w:val="00256F9E"/>
    <w:rsid w:val="002628CB"/>
    <w:rsid w:val="002638FB"/>
    <w:rsid w:val="00265C07"/>
    <w:rsid w:val="00267C49"/>
    <w:rsid w:val="00271FC6"/>
    <w:rsid w:val="00281A8B"/>
    <w:rsid w:val="00287EE8"/>
    <w:rsid w:val="002A5F4C"/>
    <w:rsid w:val="002B556A"/>
    <w:rsid w:val="002B58A7"/>
    <w:rsid w:val="002B5B8F"/>
    <w:rsid w:val="002B79F1"/>
    <w:rsid w:val="002C04D1"/>
    <w:rsid w:val="002C1D1C"/>
    <w:rsid w:val="002C3946"/>
    <w:rsid w:val="002D0D3C"/>
    <w:rsid w:val="002E2152"/>
    <w:rsid w:val="002E5B8B"/>
    <w:rsid w:val="002F4A03"/>
    <w:rsid w:val="002F4C7A"/>
    <w:rsid w:val="002F4CAA"/>
    <w:rsid w:val="002F7A70"/>
    <w:rsid w:val="00303010"/>
    <w:rsid w:val="0030313C"/>
    <w:rsid w:val="00307C26"/>
    <w:rsid w:val="00311C03"/>
    <w:rsid w:val="00325431"/>
    <w:rsid w:val="00326DFB"/>
    <w:rsid w:val="0033513C"/>
    <w:rsid w:val="00335BBB"/>
    <w:rsid w:val="003415F3"/>
    <w:rsid w:val="00361307"/>
    <w:rsid w:val="00361FA5"/>
    <w:rsid w:val="00364407"/>
    <w:rsid w:val="003723F0"/>
    <w:rsid w:val="003916A4"/>
    <w:rsid w:val="003952D2"/>
    <w:rsid w:val="00397171"/>
    <w:rsid w:val="003A0057"/>
    <w:rsid w:val="003A00CB"/>
    <w:rsid w:val="003A01D1"/>
    <w:rsid w:val="003A3273"/>
    <w:rsid w:val="003A3CDA"/>
    <w:rsid w:val="003A5617"/>
    <w:rsid w:val="003A714D"/>
    <w:rsid w:val="003B06BE"/>
    <w:rsid w:val="003B4CCF"/>
    <w:rsid w:val="003B541E"/>
    <w:rsid w:val="003B64C6"/>
    <w:rsid w:val="003B6C22"/>
    <w:rsid w:val="003B7327"/>
    <w:rsid w:val="003D3E1E"/>
    <w:rsid w:val="003D3FC5"/>
    <w:rsid w:val="003E45F7"/>
    <w:rsid w:val="003E56EA"/>
    <w:rsid w:val="003F0847"/>
    <w:rsid w:val="003F3CA7"/>
    <w:rsid w:val="003F5ABD"/>
    <w:rsid w:val="004025EB"/>
    <w:rsid w:val="00405D49"/>
    <w:rsid w:val="00416ACC"/>
    <w:rsid w:val="00426212"/>
    <w:rsid w:val="00432148"/>
    <w:rsid w:val="00434FA4"/>
    <w:rsid w:val="004373EA"/>
    <w:rsid w:val="00437434"/>
    <w:rsid w:val="0044316F"/>
    <w:rsid w:val="0044412A"/>
    <w:rsid w:val="00445A31"/>
    <w:rsid w:val="00447E08"/>
    <w:rsid w:val="00453E9B"/>
    <w:rsid w:val="004578A6"/>
    <w:rsid w:val="0046324E"/>
    <w:rsid w:val="004644AB"/>
    <w:rsid w:val="00466122"/>
    <w:rsid w:val="00471D2D"/>
    <w:rsid w:val="004824F0"/>
    <w:rsid w:val="004A6F18"/>
    <w:rsid w:val="004B380A"/>
    <w:rsid w:val="004C2F27"/>
    <w:rsid w:val="004E4A6F"/>
    <w:rsid w:val="004E50A4"/>
    <w:rsid w:val="004E54BA"/>
    <w:rsid w:val="004F28F8"/>
    <w:rsid w:val="0050145F"/>
    <w:rsid w:val="00506496"/>
    <w:rsid w:val="00513D2F"/>
    <w:rsid w:val="00523059"/>
    <w:rsid w:val="005248AD"/>
    <w:rsid w:val="0052717F"/>
    <w:rsid w:val="0053535D"/>
    <w:rsid w:val="00550083"/>
    <w:rsid w:val="00560CF7"/>
    <w:rsid w:val="00561325"/>
    <w:rsid w:val="005618A4"/>
    <w:rsid w:val="005650EC"/>
    <w:rsid w:val="00565CA0"/>
    <w:rsid w:val="00573B0D"/>
    <w:rsid w:val="00575DF7"/>
    <w:rsid w:val="00576948"/>
    <w:rsid w:val="005778DD"/>
    <w:rsid w:val="0058735B"/>
    <w:rsid w:val="00590276"/>
    <w:rsid w:val="00591595"/>
    <w:rsid w:val="00591D7E"/>
    <w:rsid w:val="00592679"/>
    <w:rsid w:val="005971D3"/>
    <w:rsid w:val="005A1E9D"/>
    <w:rsid w:val="005A4E15"/>
    <w:rsid w:val="005A5E9A"/>
    <w:rsid w:val="005B0179"/>
    <w:rsid w:val="005B07E5"/>
    <w:rsid w:val="005B6B0B"/>
    <w:rsid w:val="005C4143"/>
    <w:rsid w:val="005C7384"/>
    <w:rsid w:val="005C75F0"/>
    <w:rsid w:val="005D1A3D"/>
    <w:rsid w:val="005D23CA"/>
    <w:rsid w:val="005F03FF"/>
    <w:rsid w:val="005F1ECF"/>
    <w:rsid w:val="005F3C1D"/>
    <w:rsid w:val="005F40F2"/>
    <w:rsid w:val="005F7677"/>
    <w:rsid w:val="00602B2D"/>
    <w:rsid w:val="006148D7"/>
    <w:rsid w:val="0062582E"/>
    <w:rsid w:val="0064409C"/>
    <w:rsid w:val="006546AC"/>
    <w:rsid w:val="006653A7"/>
    <w:rsid w:val="00687E74"/>
    <w:rsid w:val="006906D8"/>
    <w:rsid w:val="00690C7F"/>
    <w:rsid w:val="006A21BC"/>
    <w:rsid w:val="006B03A2"/>
    <w:rsid w:val="006B77E6"/>
    <w:rsid w:val="006C0B02"/>
    <w:rsid w:val="006C32E5"/>
    <w:rsid w:val="006D06A6"/>
    <w:rsid w:val="006D55BF"/>
    <w:rsid w:val="006D5BEA"/>
    <w:rsid w:val="006F335E"/>
    <w:rsid w:val="006F5B8F"/>
    <w:rsid w:val="007010F2"/>
    <w:rsid w:val="007015CF"/>
    <w:rsid w:val="0073141D"/>
    <w:rsid w:val="00736C25"/>
    <w:rsid w:val="00741602"/>
    <w:rsid w:val="00741B7F"/>
    <w:rsid w:val="0074472C"/>
    <w:rsid w:val="0074724B"/>
    <w:rsid w:val="0076172A"/>
    <w:rsid w:val="00764673"/>
    <w:rsid w:val="00783DF8"/>
    <w:rsid w:val="0078458E"/>
    <w:rsid w:val="007918C9"/>
    <w:rsid w:val="00796A44"/>
    <w:rsid w:val="007A24E3"/>
    <w:rsid w:val="007A6CC8"/>
    <w:rsid w:val="007B165C"/>
    <w:rsid w:val="007B4A74"/>
    <w:rsid w:val="007B5E6B"/>
    <w:rsid w:val="007B7CE1"/>
    <w:rsid w:val="007C1549"/>
    <w:rsid w:val="007C57B7"/>
    <w:rsid w:val="007C5C76"/>
    <w:rsid w:val="007D0F72"/>
    <w:rsid w:val="007D1AD4"/>
    <w:rsid w:val="007D4433"/>
    <w:rsid w:val="007D546C"/>
    <w:rsid w:val="007D63AF"/>
    <w:rsid w:val="007E1402"/>
    <w:rsid w:val="007E52A7"/>
    <w:rsid w:val="007F2377"/>
    <w:rsid w:val="007F4ECD"/>
    <w:rsid w:val="00803D51"/>
    <w:rsid w:val="008127D1"/>
    <w:rsid w:val="00851E8A"/>
    <w:rsid w:val="00852787"/>
    <w:rsid w:val="008533B0"/>
    <w:rsid w:val="00865209"/>
    <w:rsid w:val="00865469"/>
    <w:rsid w:val="00874183"/>
    <w:rsid w:val="00876E16"/>
    <w:rsid w:val="008808DD"/>
    <w:rsid w:val="00891431"/>
    <w:rsid w:val="00892F23"/>
    <w:rsid w:val="00895038"/>
    <w:rsid w:val="008A2656"/>
    <w:rsid w:val="008C50CC"/>
    <w:rsid w:val="008C6968"/>
    <w:rsid w:val="008D2071"/>
    <w:rsid w:val="008E1E6A"/>
    <w:rsid w:val="008E36DC"/>
    <w:rsid w:val="008E475F"/>
    <w:rsid w:val="008F0760"/>
    <w:rsid w:val="008F61F7"/>
    <w:rsid w:val="00903201"/>
    <w:rsid w:val="009151EE"/>
    <w:rsid w:val="00915E28"/>
    <w:rsid w:val="009272CD"/>
    <w:rsid w:val="009355A2"/>
    <w:rsid w:val="00940236"/>
    <w:rsid w:val="00942994"/>
    <w:rsid w:val="00944293"/>
    <w:rsid w:val="0095168A"/>
    <w:rsid w:val="00957333"/>
    <w:rsid w:val="0096648D"/>
    <w:rsid w:val="00974334"/>
    <w:rsid w:val="00981D77"/>
    <w:rsid w:val="00983702"/>
    <w:rsid w:val="00987329"/>
    <w:rsid w:val="00993B7F"/>
    <w:rsid w:val="00997F3D"/>
    <w:rsid w:val="009A4F24"/>
    <w:rsid w:val="009A605E"/>
    <w:rsid w:val="009C0513"/>
    <w:rsid w:val="009C7A4F"/>
    <w:rsid w:val="009D0EEA"/>
    <w:rsid w:val="009E20DD"/>
    <w:rsid w:val="009E21EA"/>
    <w:rsid w:val="00A07D3F"/>
    <w:rsid w:val="00A27A2E"/>
    <w:rsid w:val="00A301FC"/>
    <w:rsid w:val="00A337E4"/>
    <w:rsid w:val="00A34970"/>
    <w:rsid w:val="00A35494"/>
    <w:rsid w:val="00A35CFE"/>
    <w:rsid w:val="00A370CE"/>
    <w:rsid w:val="00A44D89"/>
    <w:rsid w:val="00A45E3D"/>
    <w:rsid w:val="00A60A3D"/>
    <w:rsid w:val="00A630BB"/>
    <w:rsid w:val="00A65B13"/>
    <w:rsid w:val="00A81B3A"/>
    <w:rsid w:val="00A83F57"/>
    <w:rsid w:val="00A86D71"/>
    <w:rsid w:val="00A91EDB"/>
    <w:rsid w:val="00A9291A"/>
    <w:rsid w:val="00A96791"/>
    <w:rsid w:val="00A97EA2"/>
    <w:rsid w:val="00AA1346"/>
    <w:rsid w:val="00AA1825"/>
    <w:rsid w:val="00AA19CB"/>
    <w:rsid w:val="00AA1E95"/>
    <w:rsid w:val="00AA4578"/>
    <w:rsid w:val="00AA6F1F"/>
    <w:rsid w:val="00AB74FE"/>
    <w:rsid w:val="00AC312A"/>
    <w:rsid w:val="00AC321A"/>
    <w:rsid w:val="00AD6C2F"/>
    <w:rsid w:val="00AE29DD"/>
    <w:rsid w:val="00AE340E"/>
    <w:rsid w:val="00AF31E6"/>
    <w:rsid w:val="00B05ADA"/>
    <w:rsid w:val="00B10AC3"/>
    <w:rsid w:val="00B31717"/>
    <w:rsid w:val="00B42888"/>
    <w:rsid w:val="00B437B7"/>
    <w:rsid w:val="00B46B7E"/>
    <w:rsid w:val="00B47718"/>
    <w:rsid w:val="00B54381"/>
    <w:rsid w:val="00B606DD"/>
    <w:rsid w:val="00B63BCB"/>
    <w:rsid w:val="00B73BC9"/>
    <w:rsid w:val="00B8294B"/>
    <w:rsid w:val="00B85212"/>
    <w:rsid w:val="00B9423E"/>
    <w:rsid w:val="00B94520"/>
    <w:rsid w:val="00B97B0C"/>
    <w:rsid w:val="00BA57B7"/>
    <w:rsid w:val="00BB2D34"/>
    <w:rsid w:val="00BB4BCF"/>
    <w:rsid w:val="00BC35E9"/>
    <w:rsid w:val="00BC5262"/>
    <w:rsid w:val="00BC67E4"/>
    <w:rsid w:val="00BD322C"/>
    <w:rsid w:val="00BE3245"/>
    <w:rsid w:val="00BF2F6B"/>
    <w:rsid w:val="00BF4283"/>
    <w:rsid w:val="00C0056A"/>
    <w:rsid w:val="00C02F1E"/>
    <w:rsid w:val="00C06557"/>
    <w:rsid w:val="00C10511"/>
    <w:rsid w:val="00C11B84"/>
    <w:rsid w:val="00C155EF"/>
    <w:rsid w:val="00C224AA"/>
    <w:rsid w:val="00C22551"/>
    <w:rsid w:val="00C24BBD"/>
    <w:rsid w:val="00C24E08"/>
    <w:rsid w:val="00C3138B"/>
    <w:rsid w:val="00C31725"/>
    <w:rsid w:val="00C33C9E"/>
    <w:rsid w:val="00C346AE"/>
    <w:rsid w:val="00C54455"/>
    <w:rsid w:val="00C54AE3"/>
    <w:rsid w:val="00C55418"/>
    <w:rsid w:val="00C5775B"/>
    <w:rsid w:val="00C66A0F"/>
    <w:rsid w:val="00C833CD"/>
    <w:rsid w:val="00C852C8"/>
    <w:rsid w:val="00C8610D"/>
    <w:rsid w:val="00C909C4"/>
    <w:rsid w:val="00C94888"/>
    <w:rsid w:val="00CA7E57"/>
    <w:rsid w:val="00CB54CD"/>
    <w:rsid w:val="00CB6DFD"/>
    <w:rsid w:val="00CC1B65"/>
    <w:rsid w:val="00CC3086"/>
    <w:rsid w:val="00CC596E"/>
    <w:rsid w:val="00CC6AE0"/>
    <w:rsid w:val="00CC7825"/>
    <w:rsid w:val="00CD11A2"/>
    <w:rsid w:val="00CD3AD2"/>
    <w:rsid w:val="00CD6003"/>
    <w:rsid w:val="00CE1A9C"/>
    <w:rsid w:val="00CF0826"/>
    <w:rsid w:val="00CF4FC1"/>
    <w:rsid w:val="00D00EA9"/>
    <w:rsid w:val="00D03064"/>
    <w:rsid w:val="00D145D9"/>
    <w:rsid w:val="00D22CF5"/>
    <w:rsid w:val="00D36F6F"/>
    <w:rsid w:val="00D375D6"/>
    <w:rsid w:val="00D44D32"/>
    <w:rsid w:val="00D508A0"/>
    <w:rsid w:val="00D57DC5"/>
    <w:rsid w:val="00D6247D"/>
    <w:rsid w:val="00D7700A"/>
    <w:rsid w:val="00D85C78"/>
    <w:rsid w:val="00D91B99"/>
    <w:rsid w:val="00DA1839"/>
    <w:rsid w:val="00DB219D"/>
    <w:rsid w:val="00DB33CA"/>
    <w:rsid w:val="00DB740F"/>
    <w:rsid w:val="00DD4981"/>
    <w:rsid w:val="00DD6D29"/>
    <w:rsid w:val="00DE4E15"/>
    <w:rsid w:val="00E10FA0"/>
    <w:rsid w:val="00E15E3F"/>
    <w:rsid w:val="00E15F83"/>
    <w:rsid w:val="00E318AF"/>
    <w:rsid w:val="00E37C9A"/>
    <w:rsid w:val="00E4243A"/>
    <w:rsid w:val="00E519DC"/>
    <w:rsid w:val="00E52B57"/>
    <w:rsid w:val="00E61504"/>
    <w:rsid w:val="00E745E1"/>
    <w:rsid w:val="00E75AB6"/>
    <w:rsid w:val="00E80B4F"/>
    <w:rsid w:val="00E8516B"/>
    <w:rsid w:val="00E8621F"/>
    <w:rsid w:val="00E93F17"/>
    <w:rsid w:val="00EA21BF"/>
    <w:rsid w:val="00EB1519"/>
    <w:rsid w:val="00EB4055"/>
    <w:rsid w:val="00EC0B5C"/>
    <w:rsid w:val="00EC15F1"/>
    <w:rsid w:val="00EC430D"/>
    <w:rsid w:val="00EC6C73"/>
    <w:rsid w:val="00EC70A0"/>
    <w:rsid w:val="00ED3C53"/>
    <w:rsid w:val="00ED3E02"/>
    <w:rsid w:val="00EE78B0"/>
    <w:rsid w:val="00F16D44"/>
    <w:rsid w:val="00F22647"/>
    <w:rsid w:val="00F22DB7"/>
    <w:rsid w:val="00F23B6F"/>
    <w:rsid w:val="00F240E5"/>
    <w:rsid w:val="00F335E9"/>
    <w:rsid w:val="00F37612"/>
    <w:rsid w:val="00F40310"/>
    <w:rsid w:val="00F45873"/>
    <w:rsid w:val="00F55099"/>
    <w:rsid w:val="00F56E6D"/>
    <w:rsid w:val="00F64A45"/>
    <w:rsid w:val="00F667F1"/>
    <w:rsid w:val="00F70A83"/>
    <w:rsid w:val="00F72617"/>
    <w:rsid w:val="00F8434A"/>
    <w:rsid w:val="00F84540"/>
    <w:rsid w:val="00F873DE"/>
    <w:rsid w:val="00F932FC"/>
    <w:rsid w:val="00F94C15"/>
    <w:rsid w:val="00F97961"/>
    <w:rsid w:val="00FA3624"/>
    <w:rsid w:val="00FB1B51"/>
    <w:rsid w:val="00FB304A"/>
    <w:rsid w:val="00FC1255"/>
    <w:rsid w:val="00FC1302"/>
    <w:rsid w:val="00FC1551"/>
    <w:rsid w:val="00FC5681"/>
    <w:rsid w:val="00FC67CA"/>
    <w:rsid w:val="00FD2670"/>
    <w:rsid w:val="00FD2DAE"/>
    <w:rsid w:val="00FD2DB8"/>
    <w:rsid w:val="00FD4019"/>
    <w:rsid w:val="00FE2119"/>
    <w:rsid w:val="00FE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A10B3"/>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57B7"/>
    <w:pPr>
      <w:jc w:val="both"/>
    </w:pPr>
    <w:rPr>
      <w:rFonts w:ascii="Arial" w:hAnsi="Arial"/>
      <w:sz w:val="22"/>
    </w:rPr>
  </w:style>
  <w:style w:type="paragraph" w:styleId="Heading1">
    <w:name w:val="heading 1"/>
    <w:basedOn w:val="Normal"/>
    <w:next w:val="BodyText"/>
    <w:qFormat/>
    <w:pPr>
      <w:keepNext/>
      <w:numPr>
        <w:numId w:val="1"/>
      </w:numPr>
      <w:spacing w:before="240" w:after="240"/>
      <w:outlineLvl w:val="0"/>
    </w:pPr>
    <w:rPr>
      <w:b/>
      <w:caps/>
    </w:rPr>
  </w:style>
  <w:style w:type="paragraph" w:styleId="Heading2">
    <w:name w:val="heading 2"/>
    <w:basedOn w:val="Normal"/>
    <w:next w:val="BodyText"/>
    <w:qFormat/>
    <w:pPr>
      <w:keepNext/>
      <w:numPr>
        <w:ilvl w:val="1"/>
        <w:numId w:val="2"/>
      </w:numPr>
      <w:spacing w:before="240" w:after="240"/>
      <w:outlineLvl w:val="1"/>
    </w:pPr>
    <w:rPr>
      <w:b/>
    </w:rPr>
  </w:style>
  <w:style w:type="paragraph" w:styleId="Heading3">
    <w:name w:val="heading 3"/>
    <w:basedOn w:val="Normal"/>
    <w:next w:val="BodyText"/>
    <w:qFormat/>
    <w:pPr>
      <w:keepNext/>
      <w:numPr>
        <w:ilvl w:val="2"/>
        <w:numId w:val="3"/>
      </w:numPr>
      <w:spacing w:before="240" w:after="240"/>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567"/>
    </w:pPr>
    <w:rPr>
      <w:sz w:val="24"/>
    </w:rPr>
  </w:style>
  <w:style w:type="paragraph" w:styleId="Footer">
    <w:name w:val="footer"/>
    <w:basedOn w:val="Normal"/>
    <w:link w:val="FooterChar"/>
    <w:uiPriority w:val="99"/>
    <w:pPr>
      <w:jc w:val="center"/>
      <w:outlineLvl w:val="3"/>
    </w:pPr>
    <w:rPr>
      <w:b/>
    </w:rPr>
  </w:style>
  <w:style w:type="paragraph" w:styleId="Header">
    <w:name w:val="header"/>
    <w:basedOn w:val="Normal"/>
    <w:pPr>
      <w:spacing w:after="720"/>
      <w:jc w:val="center"/>
      <w:outlineLvl w:val="3"/>
    </w:pPr>
    <w:rPr>
      <w:b/>
      <w:caps/>
      <w:sz w:val="28"/>
    </w:rPr>
  </w:style>
  <w:style w:type="paragraph" w:styleId="Subtitle">
    <w:name w:val="Subtitle"/>
    <w:basedOn w:val="Normal"/>
    <w:next w:val="Heading1"/>
    <w:qFormat/>
    <w:pPr>
      <w:outlineLvl w:val="0"/>
    </w:pPr>
    <w:rPr>
      <w:b/>
      <w:sz w:val="28"/>
    </w:rPr>
  </w:style>
  <w:style w:type="paragraph" w:styleId="Title">
    <w:name w:val="Title"/>
    <w:basedOn w:val="Normal"/>
    <w:next w:val="Subtitle"/>
    <w:qFormat/>
    <w:pPr>
      <w:outlineLvl w:val="0"/>
    </w:pPr>
    <w:rPr>
      <w:b/>
      <w:caps/>
      <w:sz w:val="28"/>
    </w:rPr>
  </w:style>
  <w:style w:type="table" w:styleId="TableGrid">
    <w:name w:val="Table Grid"/>
    <w:basedOn w:val="TableNormal"/>
    <w:rsid w:val="007B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67CA"/>
  </w:style>
  <w:style w:type="character" w:styleId="CommentReference">
    <w:name w:val="annotation reference"/>
    <w:semiHidden/>
    <w:rsid w:val="00C0056A"/>
    <w:rPr>
      <w:sz w:val="16"/>
      <w:szCs w:val="16"/>
    </w:rPr>
  </w:style>
  <w:style w:type="paragraph" w:styleId="CommentText">
    <w:name w:val="annotation text"/>
    <w:basedOn w:val="Normal"/>
    <w:semiHidden/>
    <w:rsid w:val="00C0056A"/>
    <w:rPr>
      <w:sz w:val="20"/>
    </w:rPr>
  </w:style>
  <w:style w:type="paragraph" w:styleId="CommentSubject">
    <w:name w:val="annotation subject"/>
    <w:basedOn w:val="CommentText"/>
    <w:next w:val="CommentText"/>
    <w:semiHidden/>
    <w:rsid w:val="00C0056A"/>
    <w:rPr>
      <w:b/>
      <w:bCs/>
    </w:rPr>
  </w:style>
  <w:style w:type="paragraph" w:styleId="BalloonText">
    <w:name w:val="Balloon Text"/>
    <w:basedOn w:val="Normal"/>
    <w:semiHidden/>
    <w:rsid w:val="00C0056A"/>
    <w:rPr>
      <w:rFonts w:ascii="Tahoma" w:hAnsi="Tahoma" w:cs="Tahoma"/>
      <w:sz w:val="16"/>
      <w:szCs w:val="16"/>
    </w:rPr>
  </w:style>
  <w:style w:type="character" w:customStyle="1" w:styleId="FooterChar">
    <w:name w:val="Footer Char"/>
    <w:link w:val="Footer"/>
    <w:uiPriority w:val="99"/>
    <w:rsid w:val="00F37612"/>
    <w:rPr>
      <w:rFonts w:ascii="Arial" w:hAnsi="Arial"/>
      <w:b/>
      <w:sz w:val="22"/>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508A0"/>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9C0513"/>
    <w:rPr>
      <w:rFonts w:ascii="Arial" w:hAnsi="Arial"/>
      <w:sz w:val="22"/>
    </w:rPr>
  </w:style>
  <w:style w:type="paragraph" w:styleId="Revision">
    <w:name w:val="Revision"/>
    <w:hidden/>
    <w:uiPriority w:val="71"/>
    <w:rsid w:val="006D55BF"/>
    <w:rPr>
      <w:rFonts w:ascii="Arial" w:hAnsi="Arial"/>
      <w:sz w:val="22"/>
    </w:rPr>
  </w:style>
  <w:style w:type="paragraph" w:styleId="DocumentMap">
    <w:name w:val="Document Map"/>
    <w:basedOn w:val="Normal"/>
    <w:link w:val="DocumentMapChar"/>
    <w:rsid w:val="004A6F18"/>
    <w:rPr>
      <w:rFonts w:ascii="Times New Roman" w:hAnsi="Times New Roman"/>
      <w:sz w:val="24"/>
      <w:szCs w:val="24"/>
    </w:rPr>
  </w:style>
  <w:style w:type="character" w:customStyle="1" w:styleId="DocumentMapChar">
    <w:name w:val="Document Map Char"/>
    <w:basedOn w:val="DefaultParagraphFont"/>
    <w:link w:val="DocumentMap"/>
    <w:rsid w:val="004A6F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9A7AD2E58AFC4D8EEDFCBA4A57BB40" ma:contentTypeVersion="4" ma:contentTypeDescription="Create a new document." ma:contentTypeScope="" ma:versionID="2f1154856444eb3b52e4eb6141fd65fb">
  <xsd:schema xmlns:xsd="http://www.w3.org/2001/XMLSchema" xmlns:xs="http://www.w3.org/2001/XMLSchema" xmlns:p="http://schemas.microsoft.com/office/2006/metadata/properties" xmlns:ns2="97fcf4d1-5b37-4067-80c5-b86713a3f882" xmlns:ns3="3c9b2365-c850-4672-97ca-89c6fc04ba88" targetNamespace="http://schemas.microsoft.com/office/2006/metadata/properties" ma:root="true" ma:fieldsID="465a19d1632aa091cb80fb778a69656a" ns2:_="" ns3:_="">
    <xsd:import namespace="97fcf4d1-5b37-4067-80c5-b86713a3f882"/>
    <xsd:import namespace="3c9b2365-c850-4672-97ca-89c6fc04ba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cf4d1-5b37-4067-80c5-b86713a3f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b2365-c850-4672-97ca-89c6fc04ba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44AA5-D26C-9C4D-BCCA-E938281A93D4}">
  <ds:schemaRefs>
    <ds:schemaRef ds:uri="http://schemas.openxmlformats.org/officeDocument/2006/bibliography"/>
  </ds:schemaRefs>
</ds:datastoreItem>
</file>

<file path=customXml/itemProps2.xml><?xml version="1.0" encoding="utf-8"?>
<ds:datastoreItem xmlns:ds="http://schemas.openxmlformats.org/officeDocument/2006/customXml" ds:itemID="{318113E7-986C-4465-8B08-18F328718C22}"/>
</file>

<file path=customXml/itemProps3.xml><?xml version="1.0" encoding="utf-8"?>
<ds:datastoreItem xmlns:ds="http://schemas.openxmlformats.org/officeDocument/2006/customXml" ds:itemID="{87F46EC7-E282-4E00-8852-CFEFC7F4F66D}"/>
</file>

<file path=customXml/itemProps4.xml><?xml version="1.0" encoding="utf-8"?>
<ds:datastoreItem xmlns:ds="http://schemas.openxmlformats.org/officeDocument/2006/customXml" ds:itemID="{10545138-2E6E-45DB-BE62-C24781B07D8D}"/>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Authority meeting minutes template</vt:lpstr>
    </vt:vector>
  </TitlesOfParts>
  <Company>United Kingdom Atomic Energy Authority</Company>
  <LinksUpToDate>false</LinksUpToDate>
  <CharactersWithSpaces>11892</CharactersWithSpaces>
  <SharedDoc>false</SharedDoc>
  <HLinks>
    <vt:vector size="6" baseType="variant">
      <vt:variant>
        <vt:i4>1835033</vt:i4>
      </vt:variant>
      <vt:variant>
        <vt:i4>2048</vt:i4>
      </vt:variant>
      <vt:variant>
        <vt:i4>1025</vt:i4>
      </vt:variant>
      <vt:variant>
        <vt:i4>1</vt:i4>
      </vt:variant>
      <vt:variant>
        <vt:lpwstr>UK AEA_BLK_SML_AW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meeting minutes template</dc:title>
  <dc:subject/>
  <dc:creator>Nick Walkden</dc:creator>
  <cp:keywords/>
  <cp:lastModifiedBy>Mooring, Lyndsey</cp:lastModifiedBy>
  <cp:revision>3</cp:revision>
  <cp:lastPrinted>2022-02-24T16:56:00Z</cp:lastPrinted>
  <dcterms:created xsi:type="dcterms:W3CDTF">2022-12-12T14:30:00Z</dcterms:created>
  <dcterms:modified xsi:type="dcterms:W3CDTF">2022-12-12T14:30:00Z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iteId">
    <vt:lpwstr>c6ac664b-ae27-4d5d-b4e6-bb5717196fc7</vt:lpwstr>
  </property>
  <property fmtid="{D5CDD505-2E9C-101B-9397-08002B2CF9AE}" pid="4" name="MSIP_Label_22759de7-3255-46b5-8dfe-736652f9c6c1_Owner">
    <vt:lpwstr>andrew.bickley@ukaea.uk</vt:lpwstr>
  </property>
  <property fmtid="{D5CDD505-2E9C-101B-9397-08002B2CF9AE}" pid="5" name="MSIP_Label_22759de7-3255-46b5-8dfe-736652f9c6c1_SetDate">
    <vt:lpwstr>2022-12-12T14:30:00Z</vt:lpwstr>
  </property>
  <property fmtid="{D5CDD505-2E9C-101B-9397-08002B2CF9AE}" pid="6" name="MSIP_Label_22759de7-3255-46b5-8dfe-736652f9c6c1_Name">
    <vt:lpwstr>22759de7-3255-46b5-8dfe-736652f9c6c1</vt:lpwstr>
  </property>
  <property fmtid="{D5CDD505-2E9C-101B-9397-08002B2CF9AE}" pid="7" name="MSIP_Label_22759de7-3255-46b5-8dfe-736652f9c6c1_Application">
    <vt:lpwstr>Microsoft Azure Information Protection</vt:lpwstr>
  </property>
  <property fmtid="{D5CDD505-2E9C-101B-9397-08002B2CF9AE}" pid="8" name="MSIP_Label_22759de7-3255-46b5-8dfe-736652f9c6c1_ActionId">
    <vt:lpwstr>b60a0879-b64e-4bb2-844f-8a98518ad874</vt:lpwstr>
  </property>
  <property fmtid="{D5CDD505-2E9C-101B-9397-08002B2CF9AE}" pid="9" name="MSIP_Label_22759de7-3255-46b5-8dfe-736652f9c6c1_Parent">
    <vt:lpwstr>0dcb255a-fd3f-4c0f-857e-201fa46304da</vt:lpwstr>
  </property>
  <property fmtid="{D5CDD505-2E9C-101B-9397-08002B2CF9AE}" pid="10" name="MSIP_Label_22759de7-3255-46b5-8dfe-736652f9c6c1_Extended_MSFT_Method">
    <vt:lpwstr>Automatic</vt:lpwstr>
  </property>
  <property fmtid="{D5CDD505-2E9C-101B-9397-08002B2CF9AE}" pid="11" name="MSIP_Label_22759de7-3255-46b5-8dfe-736652f9c6c1_Method">
    <vt:lpwstr>Standard</vt:lpwstr>
  </property>
  <property fmtid="{D5CDD505-2E9C-101B-9397-08002B2CF9AE}" pid="12" name="MSIP_Label_22759de7-3255-46b5-8dfe-736652f9c6c1_ContentBits">
    <vt:lpwstr>0</vt:lpwstr>
  </property>
  <property fmtid="{D5CDD505-2E9C-101B-9397-08002B2CF9AE}" pid="13" name="ContentTypeId">
    <vt:lpwstr>0x010100149A7AD2E58AFC4D8EEDFCBA4A57BB40</vt:lpwstr>
  </property>
</Properties>
</file>