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8637" w14:textId="0DC0D6B6" w:rsidR="00E80B4F" w:rsidRPr="00E318AF" w:rsidRDefault="00D00EA9" w:rsidP="00E80B4F">
      <w:pPr>
        <w:spacing w:before="120" w:after="284"/>
      </w:pPr>
      <w:bookmarkStart w:id="0" w:name="_Hlk18410760"/>
      <w:r>
        <w:rPr>
          <w:noProof/>
        </w:rPr>
        <w:drawing>
          <wp:anchor distT="0" distB="0" distL="114300" distR="114300" simplePos="0" relativeHeight="251658240" behindDoc="0" locked="0" layoutInCell="1" allowOverlap="1" wp14:anchorId="28498022" wp14:editId="10650015">
            <wp:simplePos x="0" y="0"/>
            <wp:positionH relativeFrom="column">
              <wp:align>left</wp:align>
            </wp:positionH>
            <wp:positionV relativeFrom="paragraph">
              <wp:align>top</wp:align>
            </wp:positionV>
            <wp:extent cx="866775" cy="866775"/>
            <wp:effectExtent l="0" t="0" r="0" b="0"/>
            <wp:wrapSquare wrapText="bothSides"/>
            <wp:docPr id="1" name="Picture 1" descr="UK AEA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AEA_BLK_SML_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sidR="003C747D">
        <w:br w:type="textWrapping" w:clear="all"/>
      </w:r>
    </w:p>
    <w:p w14:paraId="2382B929" w14:textId="77777777" w:rsidR="00E80B4F" w:rsidRDefault="00E80B4F" w:rsidP="00E80B4F">
      <w:pPr>
        <w:rPr>
          <w:szCs w:val="24"/>
        </w:rPr>
      </w:pPr>
    </w:p>
    <w:p w14:paraId="690610D1" w14:textId="1E0A3298" w:rsidR="00E80B4F" w:rsidRDefault="00E80B4F" w:rsidP="00E80B4F">
      <w:pPr>
        <w:rPr>
          <w:b/>
          <w:caps/>
          <w:sz w:val="20"/>
        </w:rPr>
      </w:pPr>
      <w:r>
        <w:rPr>
          <w:b/>
          <w:caps/>
          <w:sz w:val="28"/>
          <w:szCs w:val="28"/>
        </w:rPr>
        <w:t xml:space="preserve">Minutes of the </w:t>
      </w:r>
      <w:r w:rsidR="0054605A">
        <w:rPr>
          <w:b/>
          <w:caps/>
          <w:sz w:val="28"/>
          <w:szCs w:val="28"/>
        </w:rPr>
        <w:t>3</w:t>
      </w:r>
      <w:r w:rsidR="0054605A">
        <w:rPr>
          <w:b/>
          <w:caps/>
          <w:sz w:val="28"/>
          <w:szCs w:val="28"/>
          <w:vertAlign w:val="superscript"/>
        </w:rPr>
        <w:t>rd</w:t>
      </w:r>
      <w:r>
        <w:rPr>
          <w:b/>
          <w:caps/>
          <w:sz w:val="28"/>
          <w:szCs w:val="28"/>
        </w:rPr>
        <w:t xml:space="preserve"> </w:t>
      </w:r>
      <w:r w:rsidR="002A0473">
        <w:rPr>
          <w:b/>
          <w:caps/>
          <w:sz w:val="28"/>
          <w:szCs w:val="28"/>
        </w:rPr>
        <w:t>UKAEA Board</w:t>
      </w:r>
      <w:r>
        <w:rPr>
          <w:b/>
          <w:caps/>
          <w:sz w:val="28"/>
          <w:szCs w:val="28"/>
        </w:rPr>
        <w:t xml:space="preserve"> meeting in 20</w:t>
      </w:r>
      <w:r w:rsidR="002A0473">
        <w:rPr>
          <w:b/>
          <w:caps/>
          <w:sz w:val="28"/>
          <w:szCs w:val="28"/>
        </w:rPr>
        <w:t>2</w:t>
      </w:r>
      <w:r w:rsidR="004E7107">
        <w:rPr>
          <w:b/>
          <w:caps/>
          <w:sz w:val="28"/>
          <w:szCs w:val="28"/>
        </w:rPr>
        <w:t>1</w:t>
      </w:r>
    </w:p>
    <w:p w14:paraId="28C0013C" w14:textId="77777777" w:rsidR="00E80B4F" w:rsidRPr="003A00CB" w:rsidRDefault="00E80B4F" w:rsidP="00E80B4F">
      <w:pPr>
        <w:rPr>
          <w:b/>
          <w:caps/>
          <w:sz w:val="20"/>
        </w:rPr>
      </w:pPr>
    </w:p>
    <w:p w14:paraId="68FC366F" w14:textId="2A60B520" w:rsidR="00E80B4F" w:rsidRPr="00A337E4" w:rsidRDefault="0054605A" w:rsidP="00E80B4F">
      <w:pPr>
        <w:rPr>
          <w:b/>
          <w:bCs/>
          <w:szCs w:val="24"/>
        </w:rPr>
      </w:pPr>
      <w:r>
        <w:rPr>
          <w:b/>
          <w:bCs/>
          <w:szCs w:val="24"/>
        </w:rPr>
        <w:t>25th</w:t>
      </w:r>
      <w:r w:rsidR="00213534">
        <w:rPr>
          <w:b/>
          <w:bCs/>
          <w:szCs w:val="24"/>
        </w:rPr>
        <w:t xml:space="preserve"> </w:t>
      </w:r>
      <w:r>
        <w:rPr>
          <w:b/>
          <w:bCs/>
          <w:szCs w:val="24"/>
        </w:rPr>
        <w:t>May</w:t>
      </w:r>
      <w:r w:rsidR="004E7107">
        <w:rPr>
          <w:b/>
          <w:bCs/>
          <w:szCs w:val="24"/>
        </w:rPr>
        <w:t xml:space="preserve"> 2021</w:t>
      </w:r>
    </w:p>
    <w:p w14:paraId="2EC11FC9" w14:textId="77777777" w:rsidR="00E80B4F" w:rsidRDefault="00E80B4F" w:rsidP="00E80B4F">
      <w:pPr>
        <w:rPr>
          <w:szCs w:val="24"/>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90"/>
        <w:gridCol w:w="3055"/>
        <w:gridCol w:w="1430"/>
        <w:gridCol w:w="3122"/>
      </w:tblGrid>
      <w:tr w:rsidR="00E80B4F" w:rsidRPr="000027A7" w14:paraId="40D701EF" w14:textId="77777777" w:rsidTr="00CA28CF">
        <w:trPr>
          <w:trHeight w:val="416"/>
        </w:trPr>
        <w:tc>
          <w:tcPr>
            <w:tcW w:w="1708" w:type="dxa"/>
            <w:tcBorders>
              <w:top w:val="nil"/>
              <w:left w:val="nil"/>
              <w:bottom w:val="nil"/>
              <w:right w:val="nil"/>
            </w:tcBorders>
            <w:shd w:val="clear" w:color="auto" w:fill="auto"/>
          </w:tcPr>
          <w:p w14:paraId="41ED253B" w14:textId="77777777" w:rsidR="00E80B4F" w:rsidRPr="000027A7" w:rsidRDefault="00E80B4F" w:rsidP="003D3FC5">
            <w:pPr>
              <w:rPr>
                <w:b/>
                <w:szCs w:val="24"/>
              </w:rPr>
            </w:pPr>
            <w:r>
              <w:rPr>
                <w:b/>
                <w:szCs w:val="24"/>
              </w:rPr>
              <w:t>Location:</w:t>
            </w:r>
          </w:p>
          <w:p w14:paraId="41BA1FA6" w14:textId="77777777" w:rsidR="00E80B4F" w:rsidRPr="000027A7" w:rsidRDefault="00E80B4F" w:rsidP="003D3FC5">
            <w:pPr>
              <w:rPr>
                <w:b/>
                <w:szCs w:val="24"/>
              </w:rPr>
            </w:pPr>
          </w:p>
        </w:tc>
        <w:tc>
          <w:tcPr>
            <w:tcW w:w="3145" w:type="dxa"/>
            <w:gridSpan w:val="2"/>
            <w:tcBorders>
              <w:top w:val="nil"/>
              <w:left w:val="nil"/>
              <w:bottom w:val="nil"/>
              <w:right w:val="nil"/>
            </w:tcBorders>
            <w:shd w:val="clear" w:color="auto" w:fill="auto"/>
          </w:tcPr>
          <w:p w14:paraId="1C5D0DA1" w14:textId="4589C4BD" w:rsidR="00E80B4F" w:rsidRPr="000027A7" w:rsidRDefault="00C74A7C" w:rsidP="003D3FC5">
            <w:pPr>
              <w:rPr>
                <w:szCs w:val="24"/>
              </w:rPr>
            </w:pPr>
            <w:r>
              <w:rPr>
                <w:szCs w:val="24"/>
              </w:rPr>
              <w:t>Remote</w:t>
            </w:r>
            <w:r w:rsidR="00EC3878">
              <w:rPr>
                <w:szCs w:val="24"/>
              </w:rPr>
              <w:t xml:space="preserve"> – via zoom</w:t>
            </w:r>
          </w:p>
        </w:tc>
        <w:tc>
          <w:tcPr>
            <w:tcW w:w="1430" w:type="dxa"/>
            <w:tcBorders>
              <w:top w:val="nil"/>
              <w:left w:val="nil"/>
              <w:bottom w:val="nil"/>
              <w:right w:val="nil"/>
            </w:tcBorders>
            <w:shd w:val="clear" w:color="auto" w:fill="auto"/>
          </w:tcPr>
          <w:p w14:paraId="38E0A9AA" w14:textId="77777777" w:rsidR="00E80B4F" w:rsidRPr="000027A7" w:rsidRDefault="00E80B4F" w:rsidP="003D3FC5">
            <w:pPr>
              <w:rPr>
                <w:b/>
                <w:szCs w:val="24"/>
              </w:rPr>
            </w:pPr>
          </w:p>
        </w:tc>
        <w:tc>
          <w:tcPr>
            <w:tcW w:w="3122" w:type="dxa"/>
            <w:tcBorders>
              <w:top w:val="nil"/>
              <w:left w:val="nil"/>
              <w:bottom w:val="nil"/>
              <w:right w:val="nil"/>
            </w:tcBorders>
            <w:shd w:val="clear" w:color="auto" w:fill="auto"/>
          </w:tcPr>
          <w:p w14:paraId="1DD99FDF" w14:textId="77777777" w:rsidR="00E80B4F" w:rsidRPr="000027A7" w:rsidRDefault="00E80B4F" w:rsidP="003D3FC5">
            <w:pPr>
              <w:rPr>
                <w:szCs w:val="24"/>
              </w:rPr>
            </w:pPr>
          </w:p>
        </w:tc>
      </w:tr>
      <w:tr w:rsidR="00E80B4F" w:rsidRPr="000027A7" w14:paraId="186B050C" w14:textId="77777777" w:rsidTr="00CA28CF">
        <w:trPr>
          <w:trHeight w:val="2106"/>
        </w:trPr>
        <w:tc>
          <w:tcPr>
            <w:tcW w:w="1708" w:type="dxa"/>
            <w:tcBorders>
              <w:top w:val="nil"/>
              <w:left w:val="nil"/>
              <w:bottom w:val="nil"/>
              <w:right w:val="nil"/>
            </w:tcBorders>
            <w:shd w:val="clear" w:color="auto" w:fill="auto"/>
          </w:tcPr>
          <w:p w14:paraId="1371F216" w14:textId="14A10450" w:rsidR="00E80B4F" w:rsidRPr="000027A7" w:rsidRDefault="00C74A7C" w:rsidP="003D3FC5">
            <w:pPr>
              <w:rPr>
                <w:b/>
                <w:szCs w:val="24"/>
              </w:rPr>
            </w:pPr>
            <w:r>
              <w:rPr>
                <w:b/>
                <w:szCs w:val="24"/>
              </w:rPr>
              <w:t>Members</w:t>
            </w:r>
          </w:p>
          <w:p w14:paraId="1560FBAE" w14:textId="77777777" w:rsidR="00E80B4F" w:rsidRPr="000027A7" w:rsidRDefault="00E80B4F" w:rsidP="003D3FC5">
            <w:pPr>
              <w:rPr>
                <w:b/>
                <w:szCs w:val="24"/>
              </w:rPr>
            </w:pPr>
          </w:p>
        </w:tc>
        <w:tc>
          <w:tcPr>
            <w:tcW w:w="7697" w:type="dxa"/>
            <w:gridSpan w:val="4"/>
            <w:tcBorders>
              <w:top w:val="nil"/>
              <w:left w:val="nil"/>
              <w:bottom w:val="nil"/>
              <w:right w:val="nil"/>
            </w:tcBorders>
            <w:shd w:val="clear" w:color="auto" w:fill="auto"/>
          </w:tcPr>
          <w:tbl>
            <w:tblPr>
              <w:tblW w:w="0" w:type="auto"/>
              <w:tblInd w:w="1" w:type="dxa"/>
              <w:shd w:val="clear" w:color="auto" w:fill="FFFFFF"/>
              <w:tblLayout w:type="fixed"/>
              <w:tblLook w:val="04A0" w:firstRow="1" w:lastRow="0" w:firstColumn="1" w:lastColumn="0" w:noHBand="0" w:noVBand="1"/>
            </w:tblPr>
            <w:tblGrid>
              <w:gridCol w:w="2792"/>
              <w:gridCol w:w="2194"/>
              <w:gridCol w:w="2481"/>
            </w:tblGrid>
            <w:tr w:rsidR="00EC70A0" w:rsidRPr="00CE1A9C" w14:paraId="1D18C3E6" w14:textId="77777777" w:rsidTr="00C91569">
              <w:trPr>
                <w:trHeight w:val="1980"/>
              </w:trPr>
              <w:tc>
                <w:tcPr>
                  <w:tcW w:w="2792" w:type="dxa"/>
                  <w:shd w:val="clear" w:color="auto" w:fill="FFFFFF"/>
                </w:tcPr>
                <w:p w14:paraId="2BB50ED2" w14:textId="5312F41E" w:rsidR="00EC70A0" w:rsidRDefault="00C74A7C" w:rsidP="006C32E5">
                  <w:pPr>
                    <w:jc w:val="left"/>
                    <w:rPr>
                      <w:szCs w:val="24"/>
                    </w:rPr>
                  </w:pPr>
                  <w:r>
                    <w:rPr>
                      <w:szCs w:val="24"/>
                    </w:rPr>
                    <w:t>David Gann (Chair)</w:t>
                  </w:r>
                </w:p>
                <w:p w14:paraId="7B34BE69" w14:textId="6EF37176" w:rsidR="00C74A7C" w:rsidRDefault="00C74A7C" w:rsidP="006C32E5">
                  <w:pPr>
                    <w:jc w:val="left"/>
                    <w:rPr>
                      <w:szCs w:val="24"/>
                    </w:rPr>
                  </w:pPr>
                  <w:r>
                    <w:rPr>
                      <w:szCs w:val="24"/>
                    </w:rPr>
                    <w:t>Ian Chapman</w:t>
                  </w:r>
                  <w:r w:rsidR="00C91569">
                    <w:rPr>
                      <w:szCs w:val="24"/>
                    </w:rPr>
                    <w:t xml:space="preserve"> (CEO)</w:t>
                  </w:r>
                </w:p>
                <w:p w14:paraId="24A09ED8" w14:textId="0C54B374" w:rsidR="00C74A7C" w:rsidRDefault="00C74A7C" w:rsidP="006C32E5">
                  <w:pPr>
                    <w:jc w:val="left"/>
                    <w:rPr>
                      <w:szCs w:val="24"/>
                    </w:rPr>
                  </w:pPr>
                  <w:r>
                    <w:rPr>
                      <w:szCs w:val="24"/>
                    </w:rPr>
                    <w:t>Antonia Jenkinson</w:t>
                  </w:r>
                  <w:r w:rsidR="00C91569">
                    <w:rPr>
                      <w:szCs w:val="24"/>
                    </w:rPr>
                    <w:t xml:space="preserve"> (CFO)</w:t>
                  </w:r>
                </w:p>
                <w:p w14:paraId="6944B21F" w14:textId="77777777" w:rsidR="00C74A7C" w:rsidRDefault="00C74A7C" w:rsidP="006C32E5">
                  <w:pPr>
                    <w:jc w:val="left"/>
                    <w:rPr>
                      <w:szCs w:val="24"/>
                    </w:rPr>
                  </w:pPr>
                  <w:r>
                    <w:rPr>
                      <w:szCs w:val="24"/>
                    </w:rPr>
                    <w:t>Chris Theobald</w:t>
                  </w:r>
                </w:p>
                <w:p w14:paraId="463B5F77" w14:textId="77777777" w:rsidR="00C74A7C" w:rsidRDefault="00C74A7C" w:rsidP="006C32E5">
                  <w:pPr>
                    <w:jc w:val="left"/>
                    <w:rPr>
                      <w:szCs w:val="24"/>
                    </w:rPr>
                  </w:pPr>
                  <w:r>
                    <w:rPr>
                      <w:szCs w:val="24"/>
                    </w:rPr>
                    <w:t>Sue Scane</w:t>
                  </w:r>
                </w:p>
                <w:p w14:paraId="36D08091" w14:textId="5A96FC68" w:rsidR="00C74A7C" w:rsidRPr="00CE1A9C" w:rsidRDefault="00C74A7C" w:rsidP="006C32E5">
                  <w:pPr>
                    <w:jc w:val="left"/>
                    <w:rPr>
                      <w:szCs w:val="24"/>
                    </w:rPr>
                  </w:pPr>
                  <w:proofErr w:type="spellStart"/>
                  <w:r>
                    <w:rPr>
                      <w:szCs w:val="24"/>
                    </w:rPr>
                    <w:t>Shrin</w:t>
                  </w:r>
                  <w:proofErr w:type="spellEnd"/>
                  <w:r>
                    <w:rPr>
                      <w:szCs w:val="24"/>
                    </w:rPr>
                    <w:t xml:space="preserve"> Honap</w:t>
                  </w:r>
                </w:p>
              </w:tc>
              <w:tc>
                <w:tcPr>
                  <w:tcW w:w="2194" w:type="dxa"/>
                  <w:shd w:val="clear" w:color="auto" w:fill="FFFFFF"/>
                </w:tcPr>
                <w:p w14:paraId="068B41E8" w14:textId="77777777" w:rsidR="00EC70A0" w:rsidRDefault="00C74A7C" w:rsidP="006C32E5">
                  <w:pPr>
                    <w:jc w:val="left"/>
                    <w:rPr>
                      <w:szCs w:val="24"/>
                    </w:rPr>
                  </w:pPr>
                  <w:r>
                    <w:rPr>
                      <w:szCs w:val="24"/>
                    </w:rPr>
                    <w:t>Stephen Barter</w:t>
                  </w:r>
                </w:p>
                <w:p w14:paraId="276C07CC" w14:textId="77777777" w:rsidR="00C74A7C" w:rsidRDefault="00C74A7C" w:rsidP="006C32E5">
                  <w:pPr>
                    <w:jc w:val="left"/>
                    <w:rPr>
                      <w:szCs w:val="24"/>
                    </w:rPr>
                  </w:pPr>
                  <w:r>
                    <w:rPr>
                      <w:szCs w:val="24"/>
                    </w:rPr>
                    <w:t>Luc Bardin</w:t>
                  </w:r>
                </w:p>
                <w:p w14:paraId="562C841C" w14:textId="77777777" w:rsidR="00C74A7C" w:rsidRDefault="00C74A7C" w:rsidP="006C32E5">
                  <w:pPr>
                    <w:jc w:val="left"/>
                    <w:rPr>
                      <w:szCs w:val="24"/>
                    </w:rPr>
                  </w:pPr>
                  <w:r>
                    <w:rPr>
                      <w:szCs w:val="24"/>
                    </w:rPr>
                    <w:t>Mark Bayley</w:t>
                  </w:r>
                </w:p>
                <w:p w14:paraId="7FAF6B04" w14:textId="77777777" w:rsidR="00C74A7C" w:rsidRDefault="00D641D9" w:rsidP="006C32E5">
                  <w:pPr>
                    <w:jc w:val="left"/>
                    <w:rPr>
                      <w:szCs w:val="24"/>
                    </w:rPr>
                  </w:pPr>
                  <w:r>
                    <w:rPr>
                      <w:szCs w:val="24"/>
                    </w:rPr>
                    <w:t>Eithne Birt</w:t>
                  </w:r>
                </w:p>
                <w:p w14:paraId="2635E5D0" w14:textId="07A97B22" w:rsidR="004B491A" w:rsidRPr="00CE1A9C" w:rsidRDefault="004B491A" w:rsidP="006C32E5">
                  <w:pPr>
                    <w:jc w:val="left"/>
                    <w:rPr>
                      <w:szCs w:val="24"/>
                    </w:rPr>
                  </w:pPr>
                  <w:r>
                    <w:rPr>
                      <w:szCs w:val="24"/>
                    </w:rPr>
                    <w:t>Adrian Smith (after 1pm)</w:t>
                  </w:r>
                </w:p>
              </w:tc>
              <w:tc>
                <w:tcPr>
                  <w:tcW w:w="2481" w:type="dxa"/>
                  <w:shd w:val="clear" w:color="auto" w:fill="FFFFFF"/>
                </w:tcPr>
                <w:p w14:paraId="196D9C7A" w14:textId="1BC8F07F" w:rsidR="00EC70A0" w:rsidRPr="00CE1A9C" w:rsidRDefault="00EC70A0" w:rsidP="006C32E5">
                  <w:pPr>
                    <w:jc w:val="left"/>
                    <w:rPr>
                      <w:szCs w:val="24"/>
                    </w:rPr>
                  </w:pPr>
                </w:p>
              </w:tc>
            </w:tr>
          </w:tbl>
          <w:p w14:paraId="5A1FFE48" w14:textId="04D50051" w:rsidR="00E80B4F" w:rsidRPr="000027A7" w:rsidRDefault="00E80B4F" w:rsidP="003D3FC5">
            <w:pPr>
              <w:rPr>
                <w:szCs w:val="24"/>
              </w:rPr>
            </w:pPr>
          </w:p>
        </w:tc>
      </w:tr>
      <w:tr w:rsidR="00395766" w:rsidRPr="000027A7" w14:paraId="63B289DF" w14:textId="77777777" w:rsidTr="00395766">
        <w:trPr>
          <w:trHeight w:val="737"/>
        </w:trPr>
        <w:tc>
          <w:tcPr>
            <w:tcW w:w="1798" w:type="dxa"/>
            <w:gridSpan w:val="2"/>
            <w:tcBorders>
              <w:top w:val="nil"/>
              <w:left w:val="nil"/>
              <w:bottom w:val="nil"/>
              <w:right w:val="nil"/>
            </w:tcBorders>
            <w:shd w:val="clear" w:color="auto" w:fill="auto"/>
          </w:tcPr>
          <w:p w14:paraId="131B6A0B" w14:textId="53600A00" w:rsidR="00C74A7C" w:rsidRPr="000027A7" w:rsidRDefault="00C74A7C" w:rsidP="003D3FC5">
            <w:pPr>
              <w:rPr>
                <w:b/>
                <w:szCs w:val="24"/>
              </w:rPr>
            </w:pPr>
            <w:r>
              <w:rPr>
                <w:b/>
                <w:szCs w:val="24"/>
              </w:rPr>
              <w:t>Attendees</w:t>
            </w:r>
          </w:p>
        </w:tc>
        <w:tc>
          <w:tcPr>
            <w:tcW w:w="7607" w:type="dxa"/>
            <w:gridSpan w:val="3"/>
            <w:tcBorders>
              <w:top w:val="nil"/>
              <w:left w:val="nil"/>
              <w:bottom w:val="nil"/>
              <w:right w:val="nil"/>
            </w:tcBorders>
            <w:shd w:val="clear" w:color="auto" w:fill="auto"/>
          </w:tcPr>
          <w:p w14:paraId="0A02D48C" w14:textId="0D592B07" w:rsidR="00C74A7C" w:rsidRDefault="00C74A7C" w:rsidP="003D3FC5">
            <w:pPr>
              <w:rPr>
                <w:szCs w:val="24"/>
              </w:rPr>
            </w:pPr>
            <w:r>
              <w:rPr>
                <w:szCs w:val="24"/>
              </w:rPr>
              <w:t>Lyanne Maclean</w:t>
            </w:r>
            <w:r w:rsidR="001B1670">
              <w:rPr>
                <w:szCs w:val="24"/>
              </w:rPr>
              <w:t xml:space="preserve"> (COO)</w:t>
            </w:r>
          </w:p>
          <w:p w14:paraId="1778A14D" w14:textId="0915332E" w:rsidR="00C74A7C" w:rsidRDefault="00C74A7C" w:rsidP="003D3FC5">
            <w:pPr>
              <w:rPr>
                <w:szCs w:val="24"/>
              </w:rPr>
            </w:pPr>
            <w:r>
              <w:rPr>
                <w:szCs w:val="24"/>
              </w:rPr>
              <w:t>Tim Bestwick</w:t>
            </w:r>
            <w:r w:rsidR="001B1670">
              <w:rPr>
                <w:szCs w:val="24"/>
              </w:rPr>
              <w:t xml:space="preserve"> (CTO)</w:t>
            </w:r>
          </w:p>
          <w:p w14:paraId="3A061033" w14:textId="47FE9181" w:rsidR="00C74A7C" w:rsidRDefault="00D641D9" w:rsidP="003D3FC5">
            <w:pPr>
              <w:rPr>
                <w:szCs w:val="24"/>
              </w:rPr>
            </w:pPr>
            <w:r>
              <w:rPr>
                <w:szCs w:val="24"/>
              </w:rPr>
              <w:t>Adam Baker</w:t>
            </w:r>
            <w:r w:rsidR="00213534">
              <w:rPr>
                <w:szCs w:val="24"/>
              </w:rPr>
              <w:t xml:space="preserve"> </w:t>
            </w:r>
            <w:r w:rsidR="00C74A7C">
              <w:rPr>
                <w:szCs w:val="24"/>
              </w:rPr>
              <w:t>(BEIS)</w:t>
            </w:r>
          </w:p>
          <w:p w14:paraId="37212602" w14:textId="0DBBFACA" w:rsidR="00C2657F" w:rsidRDefault="00C2657F" w:rsidP="003D3FC5">
            <w:pPr>
              <w:rPr>
                <w:szCs w:val="24"/>
              </w:rPr>
            </w:pPr>
            <w:r>
              <w:rPr>
                <w:szCs w:val="24"/>
              </w:rPr>
              <w:t>Kay Church</w:t>
            </w:r>
          </w:p>
          <w:p w14:paraId="1EA0EFC4" w14:textId="77777777" w:rsidR="00C74A7C" w:rsidRDefault="00C74A7C" w:rsidP="003D3FC5">
            <w:pPr>
              <w:rPr>
                <w:szCs w:val="24"/>
              </w:rPr>
            </w:pPr>
            <w:r>
              <w:rPr>
                <w:szCs w:val="24"/>
              </w:rPr>
              <w:t>Nick Walkden (Sec)</w:t>
            </w:r>
          </w:p>
          <w:p w14:paraId="0AC36B44" w14:textId="693D8851" w:rsidR="00E92250" w:rsidRDefault="004B491A" w:rsidP="003D3FC5">
            <w:pPr>
              <w:rPr>
                <w:szCs w:val="24"/>
              </w:rPr>
            </w:pPr>
            <w:r>
              <w:rPr>
                <w:szCs w:val="24"/>
              </w:rPr>
              <w:t>Alli Brown (item 6,7</w:t>
            </w:r>
            <w:r w:rsidR="00E92250">
              <w:rPr>
                <w:szCs w:val="24"/>
              </w:rPr>
              <w:t>)</w:t>
            </w:r>
          </w:p>
          <w:p w14:paraId="1DBFD747" w14:textId="7DDF1BBF" w:rsidR="001A766C" w:rsidRDefault="001A766C" w:rsidP="004B491A">
            <w:pPr>
              <w:rPr>
                <w:szCs w:val="24"/>
              </w:rPr>
            </w:pPr>
          </w:p>
        </w:tc>
      </w:tr>
      <w:tr w:rsidR="0096648D" w:rsidRPr="000027A7" w14:paraId="5EB44A4E" w14:textId="77777777" w:rsidTr="00CA28CF">
        <w:trPr>
          <w:trHeight w:val="309"/>
        </w:trPr>
        <w:tc>
          <w:tcPr>
            <w:tcW w:w="1708" w:type="dxa"/>
            <w:tcBorders>
              <w:top w:val="nil"/>
              <w:left w:val="nil"/>
              <w:bottom w:val="nil"/>
              <w:right w:val="nil"/>
            </w:tcBorders>
            <w:shd w:val="clear" w:color="auto" w:fill="auto"/>
          </w:tcPr>
          <w:p w14:paraId="5CAD5E9F" w14:textId="06C6E809" w:rsidR="0096648D" w:rsidRPr="000027A7" w:rsidRDefault="0096648D" w:rsidP="003D3FC5">
            <w:pPr>
              <w:rPr>
                <w:b/>
                <w:szCs w:val="24"/>
              </w:rPr>
            </w:pPr>
            <w:r w:rsidRPr="000027A7">
              <w:rPr>
                <w:b/>
                <w:szCs w:val="24"/>
              </w:rPr>
              <w:t>Apologies</w:t>
            </w:r>
          </w:p>
          <w:p w14:paraId="3BC00A11" w14:textId="77777777" w:rsidR="0096648D" w:rsidRDefault="0096648D" w:rsidP="003D3FC5">
            <w:pPr>
              <w:rPr>
                <w:b/>
                <w:szCs w:val="24"/>
              </w:rPr>
            </w:pPr>
          </w:p>
          <w:p w14:paraId="0213DB9F" w14:textId="77777777" w:rsidR="008540B6" w:rsidRDefault="008540B6" w:rsidP="00786464">
            <w:pPr>
              <w:rPr>
                <w:b/>
                <w:szCs w:val="24"/>
              </w:rPr>
            </w:pPr>
          </w:p>
        </w:tc>
        <w:tc>
          <w:tcPr>
            <w:tcW w:w="7697" w:type="dxa"/>
            <w:gridSpan w:val="4"/>
            <w:tcBorders>
              <w:top w:val="nil"/>
              <w:left w:val="nil"/>
              <w:bottom w:val="nil"/>
              <w:right w:val="nil"/>
            </w:tcBorders>
            <w:shd w:val="clear" w:color="auto" w:fill="auto"/>
          </w:tcPr>
          <w:p w14:paraId="13F2A518" w14:textId="0BE57270" w:rsidR="0096648D" w:rsidRDefault="0054605A" w:rsidP="00CA28CF">
            <w:pPr>
              <w:rPr>
                <w:szCs w:val="24"/>
              </w:rPr>
            </w:pPr>
            <w:r>
              <w:rPr>
                <w:szCs w:val="24"/>
              </w:rPr>
              <w:t>Adrian Smith</w:t>
            </w:r>
            <w:r w:rsidR="004B491A">
              <w:rPr>
                <w:szCs w:val="24"/>
              </w:rPr>
              <w:t xml:space="preserve"> (before 1pm)</w:t>
            </w:r>
          </w:p>
        </w:tc>
      </w:tr>
    </w:tbl>
    <w:p w14:paraId="45938234" w14:textId="666D1D3A" w:rsidR="00D44D32" w:rsidRPr="004824F0" w:rsidRDefault="00E80B4F" w:rsidP="004824F0">
      <w:pPr>
        <w:pBdr>
          <w:bottom w:val="single" w:sz="6" w:space="1" w:color="auto"/>
        </w:pBdr>
        <w:rPr>
          <w:b/>
          <w:sz w:val="28"/>
          <w:szCs w:val="28"/>
        </w:rPr>
      </w:pPr>
      <w:r>
        <w:rPr>
          <w:b/>
          <w:sz w:val="28"/>
          <w:szCs w:val="28"/>
        </w:rPr>
        <w:t>M</w:t>
      </w:r>
      <w:r w:rsidR="002B556A">
        <w:rPr>
          <w:b/>
          <w:sz w:val="28"/>
          <w:szCs w:val="28"/>
        </w:rPr>
        <w:t>INUTES</w:t>
      </w:r>
    </w:p>
    <w:p w14:paraId="51159BA9" w14:textId="5048173E" w:rsidR="00690C7F" w:rsidRDefault="00EC3878" w:rsidP="00EC3878">
      <w:pPr>
        <w:pStyle w:val="Heading1"/>
      </w:pPr>
      <w:r>
        <w:t>Chair’s opening remarks</w:t>
      </w:r>
    </w:p>
    <w:p w14:paraId="576FE9C3" w14:textId="6A706E43" w:rsidR="00FC0CCF" w:rsidRDefault="004B491A" w:rsidP="00AC0C90">
      <w:pPr>
        <w:pStyle w:val="Heading2"/>
        <w:keepNext w:val="0"/>
        <w:widowControl w:val="0"/>
        <w:tabs>
          <w:tab w:val="clear" w:pos="567"/>
          <w:tab w:val="num" w:pos="6947"/>
        </w:tabs>
        <w:spacing w:before="0"/>
      </w:pPr>
      <w:r>
        <w:t>The Chair invited declarations of interest.</w:t>
      </w:r>
      <w:r w:rsidR="00FD3672">
        <w:t xml:space="preserve"> Mark Bayley declared an interest as Chair of the Network Rail property board. </w:t>
      </w:r>
    </w:p>
    <w:p w14:paraId="7642F78C" w14:textId="021FB5B1" w:rsidR="00FD3672" w:rsidRPr="00FD3672" w:rsidRDefault="00FD3672" w:rsidP="00FD3672">
      <w:pPr>
        <w:pStyle w:val="Heading2"/>
      </w:pPr>
      <w:r>
        <w:t xml:space="preserve">The Chair overviewed the latest status of the renewals process for two new positions. </w:t>
      </w:r>
    </w:p>
    <w:p w14:paraId="5A13038D" w14:textId="306374DA" w:rsidR="007209E9" w:rsidRDefault="007209E9" w:rsidP="007209E9">
      <w:pPr>
        <w:pStyle w:val="Heading1"/>
        <w:rPr>
          <w:lang w:eastAsia="en-US"/>
        </w:rPr>
      </w:pPr>
      <w:r>
        <w:rPr>
          <w:lang w:eastAsia="en-US"/>
        </w:rPr>
        <w:t>minutes and actions review</w:t>
      </w:r>
    </w:p>
    <w:p w14:paraId="4D0013DC" w14:textId="77777777" w:rsidR="006F2A4F" w:rsidRDefault="006F2A4F" w:rsidP="006F2A4F">
      <w:pPr>
        <w:pStyle w:val="Heading2"/>
      </w:pPr>
      <w:r>
        <w:t xml:space="preserve">The Board reviewed and approved the minutes, contingent on a few minor amendments. </w:t>
      </w:r>
    </w:p>
    <w:p w14:paraId="79C80D0A" w14:textId="77777777" w:rsidR="006F2A4F" w:rsidRDefault="006F2A4F" w:rsidP="006F2A4F">
      <w:pPr>
        <w:pStyle w:val="Heading2"/>
      </w:pPr>
      <w:r>
        <w:t xml:space="preserve">The Board reviewed the status of current actions, noting all actions as either closed, or not due at the meeting. </w:t>
      </w:r>
    </w:p>
    <w:p w14:paraId="0AA93ED5" w14:textId="2A02D287" w:rsidR="006F2A4F" w:rsidRPr="00677C3D" w:rsidRDefault="00677C3D" w:rsidP="00677C3D">
      <w:pPr>
        <w:pStyle w:val="Heading2"/>
        <w:rPr>
          <w:rFonts w:ascii="Times New Roman" w:hAnsi="Times New Roman"/>
        </w:rPr>
      </w:pPr>
      <w:r w:rsidRPr="00677C3D">
        <w:t xml:space="preserve">The action </w:t>
      </w:r>
      <w:proofErr w:type="gramStart"/>
      <w:r w:rsidRPr="00677C3D">
        <w:t>UKAEA(</w:t>
      </w:r>
      <w:proofErr w:type="gramEnd"/>
      <w:r w:rsidRPr="00677C3D">
        <w:t xml:space="preserve">21)2/2 was discussed by the Board.  In view of its accountability for health and safety compliance, the Board requested a briefing on the key features of the UKAEA’s safety management system and the arrangements for assurance that it is working effectively.  The Board requested a proposal for new terms of reference for the ARAC to expand its remit to conduct assurance on the UKAEA’s safety management on </w:t>
      </w:r>
      <w:r w:rsidRPr="00677C3D">
        <w:lastRenderedPageBreak/>
        <w:t xml:space="preserve">behalf of the Board.  The Board would consider these </w:t>
      </w:r>
      <w:proofErr w:type="spellStart"/>
      <w:r w:rsidRPr="00677C3D">
        <w:t>ToRs</w:t>
      </w:r>
      <w:proofErr w:type="spellEnd"/>
      <w:r w:rsidRPr="00677C3D">
        <w:t xml:space="preserve"> for approval in the light of the briefing.  Action </w:t>
      </w:r>
      <w:proofErr w:type="gramStart"/>
      <w:r w:rsidRPr="00677C3D">
        <w:t>UKAEA(</w:t>
      </w:r>
      <w:proofErr w:type="gramEnd"/>
      <w:r w:rsidRPr="00677C3D">
        <w:t>21)2/2 was modified.</w:t>
      </w:r>
    </w:p>
    <w:p w14:paraId="697E6983" w14:textId="285B1257" w:rsidR="001C4FB2" w:rsidRDefault="001C4FB2" w:rsidP="001C4FB2">
      <w:pPr>
        <w:pStyle w:val="Heading1"/>
        <w:rPr>
          <w:lang w:eastAsia="en-US"/>
        </w:rPr>
      </w:pPr>
      <w:r>
        <w:rPr>
          <w:lang w:eastAsia="en-US"/>
        </w:rPr>
        <w:t>Executive board report</w:t>
      </w:r>
    </w:p>
    <w:p w14:paraId="4BF3A329" w14:textId="4D39E0E5" w:rsidR="000928F4" w:rsidRDefault="000928F4" w:rsidP="000928F4">
      <w:pPr>
        <w:pStyle w:val="Heading2"/>
        <w:rPr>
          <w:b/>
        </w:rPr>
      </w:pPr>
      <w:r>
        <w:t xml:space="preserve">The CEO highlighted several aspects of the report to the Board. The Board were invited to provide a view on the questions needed to frame a discussion on the future of UKAEA </w:t>
      </w:r>
      <w:r w:rsidR="00026425">
        <w:t>after JET transitions to decommissioning</w:t>
      </w:r>
      <w:r>
        <w:t>. Members provided questions and</w:t>
      </w:r>
      <w:r w:rsidR="00B111D2">
        <w:t xml:space="preserve"> topics relevant to the </w:t>
      </w:r>
      <w:r w:rsidR="00510434">
        <w:t>discussion</w:t>
      </w:r>
      <w:r w:rsidR="00F510FB">
        <w:t>, and the Board discussed</w:t>
      </w:r>
      <w:r w:rsidR="00026425">
        <w:t xml:space="preserve"> future reviews of the planning. The Board agreed that a straw-person approach </w:t>
      </w:r>
      <w:r w:rsidR="00571971">
        <w:t>with optionality</w:t>
      </w:r>
      <w:r w:rsidR="00026425">
        <w:t xml:space="preserve"> will </w:t>
      </w:r>
      <w:r w:rsidR="00A54901">
        <w:t>be presented in Ju</w:t>
      </w:r>
      <w:r w:rsidR="00A9212F">
        <w:t>ly</w:t>
      </w:r>
      <w:r w:rsidR="00A54901">
        <w:t>, with</w:t>
      </w:r>
      <w:r w:rsidR="00571971">
        <w:t xml:space="preserve"> fuller plans presented in November – </w:t>
      </w:r>
      <w:r w:rsidR="00571971">
        <w:rPr>
          <w:b/>
        </w:rPr>
        <w:t xml:space="preserve">Action </w:t>
      </w:r>
      <w:proofErr w:type="gramStart"/>
      <w:r w:rsidR="00C642CC">
        <w:rPr>
          <w:b/>
        </w:rPr>
        <w:t>UKAE</w:t>
      </w:r>
      <w:r w:rsidR="00571971">
        <w:rPr>
          <w:b/>
        </w:rPr>
        <w:t>A(</w:t>
      </w:r>
      <w:proofErr w:type="gramEnd"/>
      <w:r w:rsidR="00571971">
        <w:rPr>
          <w:b/>
        </w:rPr>
        <w:t>21)3/1</w:t>
      </w:r>
      <w:r w:rsidR="00A54901">
        <w:rPr>
          <w:b/>
        </w:rPr>
        <w:t>, UKAEA(21)3/2</w:t>
      </w:r>
    </w:p>
    <w:p w14:paraId="2E810137" w14:textId="5B11BCF9" w:rsidR="00A54901" w:rsidRDefault="00A54901" w:rsidP="00A54901">
      <w:pPr>
        <w:pStyle w:val="Heading2"/>
      </w:pPr>
      <w:r>
        <w:t xml:space="preserve">The process for determining JET decommissioning plans was overviewed to the Board, noting that a business case will be required. The timescale for the preparation of the business case was discussed, and the relation to the JET repurposing programme was outlined. </w:t>
      </w:r>
    </w:p>
    <w:p w14:paraId="496C4EA4" w14:textId="3771BEAF" w:rsidR="00A54901" w:rsidRDefault="000A5480" w:rsidP="000A5480">
      <w:pPr>
        <w:pStyle w:val="Heading2"/>
      </w:pPr>
      <w:r>
        <w:t xml:space="preserve">The Board discussed the latest status of Cabinet Office controls, noting that this is not </w:t>
      </w:r>
      <w:r w:rsidR="00C642CC">
        <w:t xml:space="preserve">considered </w:t>
      </w:r>
      <w:r>
        <w:t xml:space="preserve">impactful at present, but has the potential to become impactful as more controls are extended to partner organisations. </w:t>
      </w:r>
    </w:p>
    <w:p w14:paraId="38BC55B3" w14:textId="506A8212" w:rsidR="0071293B" w:rsidRDefault="0071293B" w:rsidP="000A5480">
      <w:pPr>
        <w:pStyle w:val="Heading2"/>
      </w:pPr>
      <w:r>
        <w:t>The Board discussed several aspects of the report, including the status of Euratom associatio</w:t>
      </w:r>
      <w:r w:rsidR="00AC30C2">
        <w:t>n and its impact on programme</w:t>
      </w:r>
      <w:r>
        <w:t>, recent successes on MAST-U and upcoming communications on the subject</w:t>
      </w:r>
      <w:r w:rsidR="00AC30C2">
        <w:t>, and technical snagging in JET systems with the potential risk of impact on high-power operations</w:t>
      </w:r>
      <w:r>
        <w:t>.</w:t>
      </w:r>
      <w:r w:rsidR="00AC30C2">
        <w:t xml:space="preserve"> The Board noted that the latter issue</w:t>
      </w:r>
      <w:r w:rsidR="00A33688">
        <w:t>, arising due to the age of JET systems,</w:t>
      </w:r>
      <w:r w:rsidR="00AC30C2">
        <w:t xml:space="preserve"> </w:t>
      </w:r>
      <w:r w:rsidR="00A33688">
        <w:t xml:space="preserve">may drive a need to descope experimental campaigns in the year, and that this will require discussion with the Commission and potentially operating contract amendment. </w:t>
      </w:r>
    </w:p>
    <w:p w14:paraId="0A30000B" w14:textId="75D0D2CF" w:rsidR="000A5480" w:rsidRPr="00A9212F" w:rsidRDefault="0071293B" w:rsidP="00A33688">
      <w:pPr>
        <w:pStyle w:val="Heading2"/>
        <w:rPr>
          <w:rFonts w:cs="Arial"/>
          <w:szCs w:val="22"/>
          <w:highlight w:val="lightGray"/>
        </w:rPr>
      </w:pPr>
      <w:r>
        <w:t xml:space="preserve"> </w:t>
      </w:r>
      <w:r w:rsidRPr="00F660BC">
        <w:t xml:space="preserve">The CFO </w:t>
      </w:r>
      <w:r w:rsidR="003C52D1" w:rsidRPr="00F660BC">
        <w:t>overviewed</w:t>
      </w:r>
      <w:r w:rsidRPr="00F660BC">
        <w:t xml:space="preserve"> </w:t>
      </w:r>
      <w:r w:rsidR="003C52D1" w:rsidRPr="00F660BC">
        <w:t>activities in property and legal. The Board were briefed on</w:t>
      </w:r>
      <w:r w:rsidR="003C52D1" w:rsidRPr="00A33688">
        <w:rPr>
          <w:rFonts w:cs="Arial"/>
          <w:szCs w:val="22"/>
        </w:rPr>
        <w:t xml:space="preserve"> challenges to planning applications, noting that legal challenges to the Local Plan are ongoing, and congratulating on the outcome of the Fusion Foundations OGC review.</w:t>
      </w:r>
      <w:r w:rsidR="003021CC" w:rsidRPr="00A33688">
        <w:rPr>
          <w:rFonts w:cs="Arial"/>
          <w:szCs w:val="22"/>
        </w:rPr>
        <w:t xml:space="preserve"> A legal issue around a challenge on</w:t>
      </w:r>
      <w:r w:rsidR="00A9212F">
        <w:rPr>
          <w:rFonts w:cs="Arial"/>
          <w:szCs w:val="22"/>
        </w:rPr>
        <w:t xml:space="preserve"> enforcement of restrictive cove</w:t>
      </w:r>
      <w:r w:rsidR="003021CC" w:rsidRPr="00A33688">
        <w:rPr>
          <w:rFonts w:cs="Arial"/>
          <w:szCs w:val="22"/>
        </w:rPr>
        <w:t>nan</w:t>
      </w:r>
      <w:r w:rsidR="00A9212F">
        <w:rPr>
          <w:rFonts w:cs="Arial"/>
          <w:szCs w:val="22"/>
        </w:rPr>
        <w:t>t</w:t>
      </w:r>
      <w:r w:rsidR="003021CC" w:rsidRPr="00A33688">
        <w:rPr>
          <w:rFonts w:cs="Arial"/>
          <w:szCs w:val="22"/>
        </w:rPr>
        <w:t xml:space="preserve"> on a property owned by UKAEA was noted by the Board.</w:t>
      </w:r>
      <w:r w:rsidR="00A33688" w:rsidRPr="00A33688">
        <w:rPr>
          <w:rFonts w:cs="Arial"/>
          <w:szCs w:val="22"/>
        </w:rPr>
        <w:t xml:space="preserve"> </w:t>
      </w:r>
      <w:r w:rsidR="00A33688" w:rsidRPr="00A33688">
        <w:rPr>
          <w:rFonts w:cs="Arial"/>
          <w:color w:val="000000"/>
          <w:szCs w:val="22"/>
        </w:rPr>
        <w:t>An update was provided on an ongoing issue raised last year regarding 2 ASWs and the resulting Internal Audit launched</w:t>
      </w:r>
      <w:r w:rsidR="00F51533">
        <w:rPr>
          <w:rFonts w:cs="Arial"/>
          <w:color w:val="000000"/>
          <w:szCs w:val="22"/>
          <w:highlight w:val="lightGray"/>
        </w:rPr>
        <w:t>.</w:t>
      </w:r>
    </w:p>
    <w:p w14:paraId="4E08D8CF" w14:textId="41FDDE06" w:rsidR="00C712A0" w:rsidRDefault="00695C9C" w:rsidP="003021CC">
      <w:pPr>
        <w:pStyle w:val="Heading2"/>
      </w:pPr>
      <w:r>
        <w:t>The COO briefed the Board on current safety performance</w:t>
      </w:r>
      <w:r w:rsidR="00B63AD1">
        <w:t xml:space="preserve"> and</w:t>
      </w:r>
      <w:r w:rsidR="00003047">
        <w:t xml:space="preserve"> health an</w:t>
      </w:r>
      <w:r w:rsidR="00B426F2">
        <w:t>d</w:t>
      </w:r>
      <w:r w:rsidR="00B63AD1">
        <w:t xml:space="preserve"> safety</w:t>
      </w:r>
      <w:r w:rsidR="00C712A0">
        <w:t xml:space="preserve">. The Board noted that the accident frequency ratio is beginning to rise in line with increased numbers returning to site and the need to reinforce site safety rules as people return was discussed. Planning scenarios related to the lifting of COVID restrictions were overviewed to the Board, and the Board endorsed the principles of the COVID roadmap. </w:t>
      </w:r>
    </w:p>
    <w:p w14:paraId="4C6D5118" w14:textId="77777777" w:rsidR="00003047" w:rsidRDefault="00310185" w:rsidP="003021CC">
      <w:pPr>
        <w:pStyle w:val="Heading2"/>
      </w:pPr>
      <w:r>
        <w:t>The Board discussed the status of ongoing pay cases with BEIS</w:t>
      </w:r>
      <w:r w:rsidR="00003047">
        <w:t xml:space="preserve">, and the outlook for longer term solutions. The </w:t>
      </w:r>
      <w:proofErr w:type="spellStart"/>
      <w:r w:rsidR="00003047">
        <w:t>Deparmental</w:t>
      </w:r>
      <w:proofErr w:type="spellEnd"/>
      <w:r w:rsidR="00003047">
        <w:t xml:space="preserve"> guidance on bonus payments was discussed, which will be followed up by BEIS, and the Board advised that performance and bonus payment be considered as usual by the People and Remuneration Committee in July. </w:t>
      </w:r>
    </w:p>
    <w:p w14:paraId="2FBBB1AA" w14:textId="59911380" w:rsidR="00B426F2" w:rsidRDefault="00B426F2" w:rsidP="003021CC">
      <w:pPr>
        <w:pStyle w:val="Heading2"/>
      </w:pPr>
      <w:r>
        <w:t xml:space="preserve">The principles for </w:t>
      </w:r>
      <w:proofErr w:type="spellStart"/>
      <w:r>
        <w:t>Hybird</w:t>
      </w:r>
      <w:proofErr w:type="spellEnd"/>
      <w:r>
        <w:t xml:space="preserve"> Working in the organisation were highlighted, and the Board discussed potential preferences within the workforce for hybrid working. The progress of Hybrid working will be discussed at a future Board and/or People</w:t>
      </w:r>
      <w:r w:rsidR="00D85737">
        <w:t xml:space="preserve"> and Remuneration </w:t>
      </w:r>
      <w:r w:rsidR="00D85737">
        <w:lastRenderedPageBreak/>
        <w:t xml:space="preserve">Committee. Non-executive members of the Board were asked to share </w:t>
      </w:r>
      <w:r>
        <w:t>lessons from other organisations</w:t>
      </w:r>
      <w:r w:rsidR="00D85737">
        <w:t xml:space="preserve"> – </w:t>
      </w:r>
      <w:r w:rsidR="00D85737">
        <w:rPr>
          <w:b/>
        </w:rPr>
        <w:t xml:space="preserve">Action </w:t>
      </w:r>
      <w:proofErr w:type="gramStart"/>
      <w:r w:rsidR="00D85737">
        <w:rPr>
          <w:b/>
        </w:rPr>
        <w:t>UKAEA(</w:t>
      </w:r>
      <w:proofErr w:type="gramEnd"/>
      <w:r w:rsidR="00D85737">
        <w:rPr>
          <w:b/>
        </w:rPr>
        <w:t>21)3/3</w:t>
      </w:r>
      <w:r>
        <w:t xml:space="preserve"> </w:t>
      </w:r>
    </w:p>
    <w:p w14:paraId="3D7B33BF" w14:textId="1DFF7F0C" w:rsidR="00EA79C9" w:rsidRPr="00612531" w:rsidRDefault="00EA79C9" w:rsidP="00EA79C9">
      <w:pPr>
        <w:pStyle w:val="Heading2"/>
      </w:pPr>
      <w:r>
        <w:t>The Board discussed priorities of the Authority when considering industry and business development opportunities</w:t>
      </w:r>
      <w:r w:rsidR="00501D0D">
        <w:t xml:space="preserve">. </w:t>
      </w:r>
      <w:r>
        <w:t xml:space="preserve">The Board requested additional focus in on bids underway or in development, where input from the Board would be useful, and the hit rate in proposal bids to be provided in future Board reports. </w:t>
      </w:r>
    </w:p>
    <w:p w14:paraId="1F95DA32" w14:textId="4677534F" w:rsidR="003021CC" w:rsidRPr="003021CC" w:rsidRDefault="00EA79C9" w:rsidP="003021CC">
      <w:pPr>
        <w:pStyle w:val="Heading2"/>
      </w:pPr>
      <w:r w:rsidRPr="00393D1F">
        <w:rPr>
          <w:szCs w:val="22"/>
        </w:rPr>
        <w:t xml:space="preserve">The </w:t>
      </w:r>
      <w:r w:rsidRPr="00393D1F">
        <w:rPr>
          <w:color w:val="000000"/>
          <w:szCs w:val="22"/>
        </w:rPr>
        <w:t xml:space="preserve">Board were briefed on </w:t>
      </w:r>
      <w:proofErr w:type="gramStart"/>
      <w:r w:rsidRPr="00393D1F">
        <w:rPr>
          <w:color w:val="000000"/>
          <w:szCs w:val="22"/>
        </w:rPr>
        <w:t>a number of</w:t>
      </w:r>
      <w:proofErr w:type="gramEnd"/>
      <w:r w:rsidRPr="00393D1F">
        <w:rPr>
          <w:color w:val="000000"/>
          <w:szCs w:val="22"/>
        </w:rPr>
        <w:t xml:space="preserve"> upcoming events likely to receive media attention. The Board requested additional reporting on upcoming comms </w:t>
      </w:r>
      <w:proofErr w:type="spellStart"/>
      <w:r w:rsidRPr="00393D1F">
        <w:rPr>
          <w:color w:val="000000"/>
          <w:szCs w:val="22"/>
        </w:rPr>
        <w:t>activites</w:t>
      </w:r>
      <w:proofErr w:type="spellEnd"/>
      <w:r w:rsidRPr="00393D1F">
        <w:rPr>
          <w:color w:val="000000"/>
          <w:szCs w:val="22"/>
        </w:rPr>
        <w:t xml:space="preserve">, including a summary of a comms grid – </w:t>
      </w:r>
      <w:r w:rsidRPr="00393D1F">
        <w:rPr>
          <w:b/>
          <w:color w:val="000000"/>
          <w:szCs w:val="22"/>
        </w:rPr>
        <w:t xml:space="preserve">Action </w:t>
      </w:r>
      <w:proofErr w:type="gramStart"/>
      <w:r w:rsidRPr="00393D1F">
        <w:rPr>
          <w:b/>
          <w:color w:val="000000"/>
          <w:szCs w:val="22"/>
        </w:rPr>
        <w:t>UKAEA(</w:t>
      </w:r>
      <w:proofErr w:type="gramEnd"/>
      <w:r w:rsidRPr="00393D1F">
        <w:rPr>
          <w:b/>
          <w:color w:val="000000"/>
          <w:szCs w:val="22"/>
        </w:rPr>
        <w:t>21)3/</w:t>
      </w:r>
      <w:r w:rsidR="00D85737">
        <w:rPr>
          <w:b/>
          <w:color w:val="000000"/>
          <w:szCs w:val="22"/>
        </w:rPr>
        <w:t>4</w:t>
      </w:r>
      <w:r w:rsidRPr="00393D1F">
        <w:rPr>
          <w:color w:val="000000"/>
          <w:szCs w:val="22"/>
        </w:rPr>
        <w:t>.</w:t>
      </w:r>
    </w:p>
    <w:p w14:paraId="4310D881" w14:textId="77777777" w:rsidR="001056CD" w:rsidRPr="001056CD" w:rsidRDefault="001056CD" w:rsidP="001056CD">
      <w:pPr>
        <w:pStyle w:val="BodyText"/>
        <w:ind w:left="0"/>
        <w:rPr>
          <w:lang w:eastAsia="en-US"/>
        </w:rPr>
      </w:pPr>
    </w:p>
    <w:p w14:paraId="76B567C6" w14:textId="0B110F2F" w:rsidR="001C4FB2" w:rsidRDefault="00562EAA" w:rsidP="0090082A">
      <w:pPr>
        <w:pStyle w:val="Heading1"/>
      </w:pPr>
      <w:r>
        <w:t>EPSRC grant proposal presentation</w:t>
      </w:r>
    </w:p>
    <w:p w14:paraId="1137BFDA" w14:textId="176596E2" w:rsidR="00E25992" w:rsidRDefault="00E25992" w:rsidP="0023266E">
      <w:pPr>
        <w:pStyle w:val="Heading2"/>
      </w:pPr>
      <w:r>
        <w:t xml:space="preserve">The CEO provided an overview of the review process for the upcoming EPSRC programme grant </w:t>
      </w:r>
      <w:proofErr w:type="gramStart"/>
      <w:r>
        <w:t>renewal, and</w:t>
      </w:r>
      <w:proofErr w:type="gramEnd"/>
      <w:r>
        <w:t xml:space="preserve"> p</w:t>
      </w:r>
      <w:r w:rsidR="00894043">
        <w:t>r</w:t>
      </w:r>
      <w:r>
        <w:t>esented the context and content of the programme grant proposal as submitted to EPSRC</w:t>
      </w:r>
      <w:r w:rsidRPr="0023266E">
        <w:rPr>
          <w:szCs w:val="22"/>
        </w:rPr>
        <w:t xml:space="preserve">. </w:t>
      </w:r>
      <w:r w:rsidRPr="0023266E">
        <w:rPr>
          <w:color w:val="000000"/>
          <w:szCs w:val="22"/>
        </w:rPr>
        <w:t xml:space="preserve">The Board reflected on the content of the </w:t>
      </w:r>
      <w:proofErr w:type="gramStart"/>
      <w:r w:rsidRPr="0023266E">
        <w:rPr>
          <w:color w:val="000000"/>
          <w:szCs w:val="22"/>
        </w:rPr>
        <w:t>presentation, and</w:t>
      </w:r>
      <w:proofErr w:type="gramEnd"/>
      <w:r w:rsidRPr="0023266E">
        <w:rPr>
          <w:color w:val="000000"/>
          <w:szCs w:val="22"/>
        </w:rPr>
        <w:t xml:space="preserve"> suggested discussed several areas as potential themes of a review panel, with further comments to be provided out of committee</w:t>
      </w:r>
      <w:r w:rsidR="0023266E">
        <w:rPr>
          <w:color w:val="000000"/>
          <w:szCs w:val="22"/>
        </w:rPr>
        <w:t>.</w:t>
      </w:r>
    </w:p>
    <w:p w14:paraId="4CB0AF37" w14:textId="4BEFAEAD" w:rsidR="0023266E" w:rsidRDefault="0023266E" w:rsidP="0023266E">
      <w:pPr>
        <w:pStyle w:val="Heading1"/>
        <w:rPr>
          <w:lang w:eastAsia="en-US"/>
        </w:rPr>
      </w:pPr>
      <w:r>
        <w:rPr>
          <w:lang w:eastAsia="en-US"/>
        </w:rPr>
        <w:t>hmg sponsorship and governance arrangements</w:t>
      </w:r>
    </w:p>
    <w:p w14:paraId="5A9E839D" w14:textId="6DB9C41A" w:rsidR="00340727" w:rsidRPr="00340727" w:rsidRDefault="0023266E" w:rsidP="00340727">
      <w:pPr>
        <w:pStyle w:val="Heading2"/>
        <w:rPr>
          <w:iCs/>
          <w:szCs w:val="22"/>
        </w:rPr>
      </w:pPr>
      <w:r w:rsidRPr="00340727">
        <w:rPr>
          <w:rStyle w:val="Emphasis"/>
          <w:i w:val="0"/>
          <w:szCs w:val="22"/>
        </w:rPr>
        <w:t>A brief update on modified arrangements for advice, scrutiny, and governance from and of BEIS of the fusion programme and UKAEA was provided to the Board.</w:t>
      </w:r>
      <w:r w:rsidR="00340727" w:rsidRPr="00340727">
        <w:rPr>
          <w:rStyle w:val="Emphasis"/>
          <w:i w:val="0"/>
          <w:szCs w:val="22"/>
        </w:rPr>
        <w:t xml:space="preserve"> </w:t>
      </w:r>
      <w:r w:rsidR="00340727" w:rsidRPr="00340727">
        <w:rPr>
          <w:color w:val="000000"/>
          <w:szCs w:val="22"/>
        </w:rPr>
        <w:t>The role of the Board and Accounting Officer were confirmed as having not been impacted by this change. The Board recommended that the roles and responsibilities of the new structure are well elaborated and understood to members.</w:t>
      </w:r>
    </w:p>
    <w:p w14:paraId="65747AD0" w14:textId="19FD6E3F" w:rsidR="0090082A" w:rsidRDefault="0042447A" w:rsidP="0042447A">
      <w:pPr>
        <w:pStyle w:val="Heading1"/>
      </w:pPr>
      <w:r>
        <w:t>finance update</w:t>
      </w:r>
    </w:p>
    <w:p w14:paraId="2C7A6720" w14:textId="5F2BD291" w:rsidR="00393D1F" w:rsidRPr="00393D1F" w:rsidRDefault="0042447A" w:rsidP="00393D1F">
      <w:pPr>
        <w:pStyle w:val="Heading2"/>
        <w:rPr>
          <w:b/>
          <w:color w:val="000000"/>
          <w:szCs w:val="22"/>
        </w:rPr>
      </w:pPr>
      <w:r>
        <w:t>The Finance Director</w:t>
      </w:r>
      <w:r w:rsidR="00393D1F">
        <w:t xml:space="preserve"> updated</w:t>
      </w:r>
      <w:r>
        <w:t xml:space="preserve"> </w:t>
      </w:r>
      <w:r w:rsidR="00393D1F">
        <w:t>the Board with highlights from the finance report, including the final position from FY20, and the status of annual reporting. The Board were updated on points discussed at the ARAC, noting growth in the balance sheet, and the ongoing issues around the tenant bankrupt</w:t>
      </w:r>
      <w:r w:rsidR="008F32B6">
        <w:t>c</w:t>
      </w:r>
      <w:r w:rsidR="00393D1F">
        <w:t xml:space="preserve">y which are being managed. </w:t>
      </w:r>
      <w:r w:rsidR="00393D1F">
        <w:rPr>
          <w:color w:val="000000"/>
          <w:szCs w:val="22"/>
        </w:rPr>
        <w:t xml:space="preserve">The Board discussed </w:t>
      </w:r>
      <w:r w:rsidR="00393D1F" w:rsidRPr="00393D1F">
        <w:rPr>
          <w:color w:val="000000"/>
          <w:szCs w:val="22"/>
        </w:rPr>
        <w:t xml:space="preserve">reporting against multi-year programme budgets, which will be included from July – </w:t>
      </w:r>
      <w:r w:rsidR="00393D1F" w:rsidRPr="00393D1F">
        <w:rPr>
          <w:b/>
          <w:color w:val="000000"/>
          <w:szCs w:val="22"/>
        </w:rPr>
        <w:t>Action</w:t>
      </w:r>
      <w:r w:rsidR="00A85D29">
        <w:rPr>
          <w:b/>
          <w:color w:val="000000"/>
          <w:szCs w:val="22"/>
        </w:rPr>
        <w:t xml:space="preserve"> </w:t>
      </w:r>
      <w:proofErr w:type="gramStart"/>
      <w:r w:rsidR="00A85D29">
        <w:rPr>
          <w:b/>
          <w:color w:val="000000"/>
          <w:szCs w:val="22"/>
        </w:rPr>
        <w:t>UKAEA(</w:t>
      </w:r>
      <w:proofErr w:type="gramEnd"/>
      <w:r w:rsidR="00A85D29">
        <w:rPr>
          <w:b/>
          <w:color w:val="000000"/>
          <w:szCs w:val="22"/>
        </w:rPr>
        <w:t>21)3/5</w:t>
      </w:r>
    </w:p>
    <w:p w14:paraId="719069F0" w14:textId="5366D520" w:rsidR="00393D1F" w:rsidRPr="00393D1F" w:rsidRDefault="00393D1F" w:rsidP="00393D1F">
      <w:pPr>
        <w:pStyle w:val="Heading2"/>
        <w:rPr>
          <w:szCs w:val="22"/>
        </w:rPr>
      </w:pPr>
      <w:r w:rsidRPr="00393D1F">
        <w:rPr>
          <w:color w:val="000000"/>
          <w:szCs w:val="22"/>
        </w:rPr>
        <w:t xml:space="preserve">The Board discussed resourcing within the finance function as an area of focus, noting that pressure on the team is primarily driven by increasing complexity over increasing growth, with recruitment underway for </w:t>
      </w:r>
      <w:proofErr w:type="gramStart"/>
      <w:r w:rsidRPr="00393D1F">
        <w:rPr>
          <w:color w:val="000000"/>
          <w:szCs w:val="22"/>
        </w:rPr>
        <w:t>a number of</w:t>
      </w:r>
      <w:proofErr w:type="gramEnd"/>
      <w:r w:rsidRPr="00393D1F">
        <w:rPr>
          <w:color w:val="000000"/>
          <w:szCs w:val="22"/>
        </w:rPr>
        <w:t xml:space="preserve"> roles in the team.</w:t>
      </w:r>
    </w:p>
    <w:p w14:paraId="572CC6EB" w14:textId="6BD8172F" w:rsidR="00393D1F" w:rsidRDefault="00393D1F" w:rsidP="00393D1F">
      <w:pPr>
        <w:pStyle w:val="Heading2"/>
      </w:pPr>
      <w:r>
        <w:t xml:space="preserve">The Board were briefed on the re-valuation of property assets, which will represent an item of note in the annual report. </w:t>
      </w:r>
    </w:p>
    <w:p w14:paraId="44DE162E" w14:textId="77A47C2E" w:rsidR="005A36AB" w:rsidRDefault="00393D1F" w:rsidP="00894043">
      <w:pPr>
        <w:pStyle w:val="Heading1"/>
        <w:rPr>
          <w:lang w:eastAsia="en-US"/>
        </w:rPr>
      </w:pPr>
      <w:r>
        <w:rPr>
          <w:lang w:eastAsia="en-US"/>
        </w:rPr>
        <w:t>spending review update</w:t>
      </w:r>
    </w:p>
    <w:p w14:paraId="434289DC" w14:textId="594A4748" w:rsidR="005A36AB" w:rsidRPr="005A36AB" w:rsidRDefault="005A36AB" w:rsidP="005A36AB">
      <w:pPr>
        <w:pStyle w:val="Heading2"/>
      </w:pPr>
      <w:r>
        <w:t xml:space="preserve">The Board were briefed on the current planning for the Government spending review for 2021, noting a planning assumption of a </w:t>
      </w:r>
      <w:proofErr w:type="gramStart"/>
      <w:r>
        <w:t>three year</w:t>
      </w:r>
      <w:proofErr w:type="gramEnd"/>
      <w:r>
        <w:t xml:space="preserve"> spending round. The Board noted that the JET transition to decommissioning will arise within the assumed spending review timescale. Key lines planned for the spending review were overviewed to the Board, including JET </w:t>
      </w:r>
      <w:proofErr w:type="spellStart"/>
      <w:r>
        <w:t>decommissing</w:t>
      </w:r>
      <w:proofErr w:type="spellEnd"/>
      <w:r>
        <w:t xml:space="preserve"> and associated campus regeneration, growth in digital, new </w:t>
      </w:r>
      <w:r>
        <w:lastRenderedPageBreak/>
        <w:t xml:space="preserve">items in the Fusion Foundations Programme, and strategy development. </w:t>
      </w:r>
      <w:r w:rsidRPr="00894043">
        <w:rPr>
          <w:color w:val="000000"/>
          <w:szCs w:val="22"/>
        </w:rPr>
        <w:t>The planned activities within the new digital line, and its relation to FFP, were discussed.</w:t>
      </w:r>
      <w:r w:rsidRPr="005A36AB">
        <w:rPr>
          <w:color w:val="000000"/>
          <w:sz w:val="24"/>
          <w:szCs w:val="24"/>
        </w:rPr>
        <w:t xml:space="preserve"> </w:t>
      </w:r>
    </w:p>
    <w:p w14:paraId="5841A7B3" w14:textId="2F580CCB" w:rsidR="005A36AB" w:rsidRDefault="005A36AB" w:rsidP="005A36AB">
      <w:pPr>
        <w:pStyle w:val="Heading2"/>
        <w:rPr>
          <w:color w:val="000000"/>
          <w:szCs w:val="22"/>
        </w:rPr>
      </w:pPr>
      <w:r>
        <w:t xml:space="preserve">The Board advised that the spending review is expected to be tight, so prioritisation will be key, particularly for new activities and that the </w:t>
      </w:r>
      <w:r w:rsidRPr="005A36AB">
        <w:rPr>
          <w:szCs w:val="22"/>
        </w:rPr>
        <w:t>theme of ‘</w:t>
      </w:r>
      <w:r w:rsidRPr="005A36AB">
        <w:rPr>
          <w:color w:val="000000"/>
          <w:szCs w:val="22"/>
        </w:rPr>
        <w:t>science superpower’ should be kept to the fore</w:t>
      </w:r>
      <w:r>
        <w:rPr>
          <w:color w:val="000000"/>
          <w:szCs w:val="22"/>
        </w:rPr>
        <w:t>.</w:t>
      </w:r>
    </w:p>
    <w:p w14:paraId="11601D7D" w14:textId="5FEF8D0E" w:rsidR="005A36AB" w:rsidRPr="005A36AB" w:rsidRDefault="005A36AB" w:rsidP="005A36AB">
      <w:pPr>
        <w:pStyle w:val="Heading2"/>
      </w:pPr>
      <w:r>
        <w:t>The Board endorsed the current plans for the spending review</w:t>
      </w:r>
    </w:p>
    <w:p w14:paraId="0C2FF48B" w14:textId="6F652D07" w:rsidR="005A36AB" w:rsidRPr="005A36AB" w:rsidRDefault="005A36AB" w:rsidP="005A36AB">
      <w:pPr>
        <w:pStyle w:val="Heading1"/>
        <w:rPr>
          <w:lang w:eastAsia="en-US"/>
        </w:rPr>
      </w:pPr>
      <w:r>
        <w:rPr>
          <w:lang w:eastAsia="en-US"/>
        </w:rPr>
        <w:t>fusion industry programme</w:t>
      </w:r>
    </w:p>
    <w:p w14:paraId="5FBF7E94" w14:textId="39AE95AF" w:rsidR="005A36AB" w:rsidRDefault="005A36AB" w:rsidP="005A36AB">
      <w:pPr>
        <w:pStyle w:val="Heading2"/>
      </w:pPr>
      <w:r>
        <w:t xml:space="preserve">An overview of the fusion industry programme, and its relation to the one-year pilot project ongoing this year, was provided to the Board. The timeline for the development and submission of the business case was outlined, and the rationale for the programme was discussed. The protection of IP and capture of benefit in the UK was discussed as important aspects of the programme, and the position of the programme to grow capability within UK industry was highlighted. </w:t>
      </w:r>
    </w:p>
    <w:p w14:paraId="5067ECD9" w14:textId="63D51F29" w:rsidR="005A36AB" w:rsidRDefault="005A36AB" w:rsidP="005A36AB">
      <w:pPr>
        <w:pStyle w:val="Heading2"/>
      </w:pPr>
      <w:r>
        <w:t xml:space="preserve">Members discussed the marketing and stakeholder engagement needed to ensure the success of the programme, and the plans for the programme, and such activities in the </w:t>
      </w:r>
      <w:proofErr w:type="gramStart"/>
      <w:r>
        <w:t>first year</w:t>
      </w:r>
      <w:proofErr w:type="gramEnd"/>
      <w:r>
        <w:t xml:space="preserve"> pilot project were overviewed. </w:t>
      </w:r>
    </w:p>
    <w:p w14:paraId="2877E6FB" w14:textId="22AA7DD7" w:rsidR="005A36AB" w:rsidRDefault="005A36AB" w:rsidP="005A36AB">
      <w:pPr>
        <w:pStyle w:val="Heading2"/>
      </w:pPr>
      <w:r>
        <w:t xml:space="preserve">The Board discussed the equity scheme within the programme, noting its design as a seed or pre-seed funding source in line with sector needs. The potential to use this to develop vehicles for </w:t>
      </w:r>
      <w:r w:rsidR="00EB519A">
        <w:t>longer-term follow-on</w:t>
      </w:r>
      <w:r>
        <w:t xml:space="preserve"> investment in fusion technology companies or companies spun out from the fusion programme was discussed. </w:t>
      </w:r>
    </w:p>
    <w:p w14:paraId="1AE4FC2F" w14:textId="124AD1E2" w:rsidR="005A36AB" w:rsidRDefault="005A36AB" w:rsidP="005A36AB">
      <w:pPr>
        <w:pStyle w:val="Heading2"/>
      </w:pPr>
      <w:r>
        <w:t xml:space="preserve">The impact of Cabinet Office controls on comms recruitment for the programme and engagement in comms campaigns was highlighted, noting that challenges in marketing will be a likely result. </w:t>
      </w:r>
    </w:p>
    <w:p w14:paraId="5DAB581C" w14:textId="6A3ADE0B" w:rsidR="005A36AB" w:rsidRDefault="005A36AB" w:rsidP="005A36AB">
      <w:pPr>
        <w:pStyle w:val="Heading2"/>
      </w:pPr>
      <w:r>
        <w:t xml:space="preserve">The Board endorsed the strategic approach of the programme, and the business case submission to BEIS PIC. </w:t>
      </w:r>
    </w:p>
    <w:p w14:paraId="4F67B2C2" w14:textId="177D4800" w:rsidR="005A36AB" w:rsidRPr="005A36AB" w:rsidRDefault="005A36AB" w:rsidP="005A36AB">
      <w:pPr>
        <w:pStyle w:val="Heading1"/>
        <w:rPr>
          <w:lang w:eastAsia="en-US"/>
        </w:rPr>
      </w:pPr>
      <w:r>
        <w:rPr>
          <w:lang w:eastAsia="en-US"/>
        </w:rPr>
        <w:t>sub-committee updates</w:t>
      </w:r>
    </w:p>
    <w:p w14:paraId="27121811" w14:textId="10B6434B" w:rsidR="0071609A" w:rsidRDefault="00DD219B" w:rsidP="00DD219B">
      <w:pPr>
        <w:pStyle w:val="Heading2"/>
      </w:pPr>
      <w:r>
        <w:t>The chair of the ARAC provided a verbal report to the Board:</w:t>
      </w:r>
    </w:p>
    <w:p w14:paraId="58FFA431" w14:textId="2B977188" w:rsidR="005A36AB" w:rsidRPr="00E3624F" w:rsidRDefault="005A36AB" w:rsidP="005A36AB">
      <w:pPr>
        <w:pStyle w:val="ListParagraph"/>
        <w:widowControl w:val="0"/>
        <w:numPr>
          <w:ilvl w:val="0"/>
          <w:numId w:val="11"/>
        </w:numPr>
        <w:autoSpaceDE w:val="0"/>
        <w:autoSpaceDN w:val="0"/>
        <w:adjustRightInd w:val="0"/>
        <w:spacing w:after="240" w:line="340" w:lineRule="atLeast"/>
        <w:jc w:val="left"/>
        <w:outlineLvl w:val="0"/>
        <w:rPr>
          <w:color w:val="000000"/>
          <w:szCs w:val="22"/>
          <w:lang w:eastAsia="en-US"/>
        </w:rPr>
      </w:pPr>
      <w:bookmarkStart w:id="1" w:name="_Hlk67494316"/>
      <w:r w:rsidRPr="00E3624F">
        <w:rPr>
          <w:color w:val="000000"/>
          <w:szCs w:val="22"/>
          <w:lang w:eastAsia="en-US"/>
        </w:rPr>
        <w:t>The committee were assured on current progress of the annual accounts</w:t>
      </w:r>
    </w:p>
    <w:p w14:paraId="624ACBB6" w14:textId="36A83869" w:rsidR="005A36AB" w:rsidRPr="00E3624F" w:rsidRDefault="005A36AB" w:rsidP="005A36AB">
      <w:pPr>
        <w:pStyle w:val="ListParagraph"/>
        <w:widowControl w:val="0"/>
        <w:numPr>
          <w:ilvl w:val="0"/>
          <w:numId w:val="11"/>
        </w:numPr>
        <w:autoSpaceDE w:val="0"/>
        <w:autoSpaceDN w:val="0"/>
        <w:adjustRightInd w:val="0"/>
        <w:spacing w:after="240" w:line="340" w:lineRule="atLeast"/>
        <w:jc w:val="left"/>
        <w:outlineLvl w:val="0"/>
        <w:rPr>
          <w:color w:val="000000"/>
          <w:szCs w:val="22"/>
          <w:lang w:eastAsia="en-US"/>
        </w:rPr>
      </w:pPr>
      <w:r w:rsidRPr="00E3624F">
        <w:rPr>
          <w:color w:val="000000"/>
          <w:szCs w:val="22"/>
          <w:lang w:eastAsia="en-US"/>
        </w:rPr>
        <w:t>Nothing of concern was noted in the interim audit, and the valuation audit will be supported when needed</w:t>
      </w:r>
    </w:p>
    <w:p w14:paraId="6A75E2C6" w14:textId="13B789E6" w:rsidR="005A36AB" w:rsidRPr="00E3624F" w:rsidRDefault="005A36AB" w:rsidP="005A36AB">
      <w:pPr>
        <w:pStyle w:val="ListParagraph"/>
        <w:widowControl w:val="0"/>
        <w:numPr>
          <w:ilvl w:val="0"/>
          <w:numId w:val="11"/>
        </w:numPr>
        <w:autoSpaceDE w:val="0"/>
        <w:autoSpaceDN w:val="0"/>
        <w:adjustRightInd w:val="0"/>
        <w:spacing w:after="240" w:line="340" w:lineRule="atLeast"/>
        <w:jc w:val="left"/>
        <w:outlineLvl w:val="0"/>
        <w:rPr>
          <w:color w:val="000000"/>
          <w:szCs w:val="22"/>
          <w:lang w:eastAsia="en-US"/>
        </w:rPr>
      </w:pPr>
      <w:r w:rsidRPr="00E3624F">
        <w:rPr>
          <w:color w:val="000000"/>
          <w:szCs w:val="22"/>
          <w:lang w:eastAsia="en-US"/>
        </w:rPr>
        <w:t xml:space="preserve">The Commission audit and response is in its final stages </w:t>
      </w:r>
    </w:p>
    <w:p w14:paraId="4789C814" w14:textId="0331EF23" w:rsidR="005A36AB" w:rsidRPr="00E3624F" w:rsidRDefault="005A36AB" w:rsidP="005A36AB">
      <w:pPr>
        <w:pStyle w:val="ListParagraph"/>
        <w:widowControl w:val="0"/>
        <w:numPr>
          <w:ilvl w:val="0"/>
          <w:numId w:val="11"/>
        </w:numPr>
        <w:autoSpaceDE w:val="0"/>
        <w:autoSpaceDN w:val="0"/>
        <w:adjustRightInd w:val="0"/>
        <w:spacing w:after="240" w:line="340" w:lineRule="atLeast"/>
        <w:jc w:val="left"/>
        <w:outlineLvl w:val="0"/>
        <w:rPr>
          <w:color w:val="000000"/>
          <w:szCs w:val="22"/>
          <w:lang w:eastAsia="en-US"/>
        </w:rPr>
      </w:pPr>
      <w:r w:rsidRPr="00E3624F">
        <w:rPr>
          <w:color w:val="000000"/>
          <w:szCs w:val="22"/>
          <w:lang w:eastAsia="en-US"/>
        </w:rPr>
        <w:t>Discussions are ongoing with administrators regarding the bankrupt tenant</w:t>
      </w:r>
    </w:p>
    <w:p w14:paraId="5C902A11" w14:textId="77777777" w:rsidR="00E3624F" w:rsidRPr="00E3624F" w:rsidRDefault="007668BE" w:rsidP="005A36AB">
      <w:pPr>
        <w:pStyle w:val="ListParagraph"/>
        <w:widowControl w:val="0"/>
        <w:numPr>
          <w:ilvl w:val="0"/>
          <w:numId w:val="11"/>
        </w:numPr>
        <w:autoSpaceDE w:val="0"/>
        <w:autoSpaceDN w:val="0"/>
        <w:adjustRightInd w:val="0"/>
        <w:spacing w:after="240" w:line="340" w:lineRule="atLeast"/>
        <w:jc w:val="left"/>
        <w:outlineLvl w:val="0"/>
        <w:rPr>
          <w:color w:val="000000"/>
          <w:szCs w:val="22"/>
          <w:lang w:eastAsia="en-US"/>
        </w:rPr>
      </w:pPr>
      <w:r w:rsidRPr="00E3624F">
        <w:rPr>
          <w:color w:val="000000"/>
          <w:szCs w:val="22"/>
          <w:lang w:eastAsia="en-US"/>
        </w:rPr>
        <w:t>Notes will</w:t>
      </w:r>
      <w:r w:rsidR="005A36AB" w:rsidRPr="00E3624F">
        <w:rPr>
          <w:color w:val="000000"/>
          <w:szCs w:val="22"/>
          <w:lang w:eastAsia="en-US"/>
        </w:rPr>
        <w:t xml:space="preserve"> be added to </w:t>
      </w:r>
      <w:r w:rsidRPr="00E3624F">
        <w:rPr>
          <w:color w:val="000000"/>
          <w:szCs w:val="22"/>
          <w:lang w:eastAsia="en-US"/>
        </w:rPr>
        <w:t xml:space="preserve">the annual accounts from the </w:t>
      </w:r>
      <w:r w:rsidR="005A36AB" w:rsidRPr="00E3624F">
        <w:rPr>
          <w:color w:val="000000"/>
          <w:szCs w:val="22"/>
          <w:lang w:eastAsia="en-US"/>
        </w:rPr>
        <w:t xml:space="preserve">audit report around </w:t>
      </w:r>
      <w:r w:rsidRPr="00E3624F">
        <w:rPr>
          <w:color w:val="000000"/>
          <w:szCs w:val="22"/>
          <w:lang w:eastAsia="en-US"/>
        </w:rPr>
        <w:t xml:space="preserve">the </w:t>
      </w:r>
      <w:r w:rsidR="005A36AB" w:rsidRPr="00E3624F">
        <w:rPr>
          <w:color w:val="000000"/>
          <w:szCs w:val="22"/>
          <w:lang w:eastAsia="en-US"/>
        </w:rPr>
        <w:t xml:space="preserve">ability to align purchase orders with invoices, and progress </w:t>
      </w:r>
      <w:r w:rsidRPr="00E3624F">
        <w:rPr>
          <w:color w:val="000000"/>
          <w:szCs w:val="22"/>
          <w:lang w:eastAsia="en-US"/>
        </w:rPr>
        <w:t>with</w:t>
      </w:r>
      <w:r w:rsidR="005A36AB" w:rsidRPr="00E3624F">
        <w:rPr>
          <w:color w:val="000000"/>
          <w:szCs w:val="22"/>
          <w:lang w:eastAsia="en-US"/>
        </w:rPr>
        <w:t xml:space="preserve"> the processes in place around the a</w:t>
      </w:r>
      <w:r w:rsidR="00E3624F" w:rsidRPr="00E3624F">
        <w:rPr>
          <w:color w:val="000000"/>
          <w:szCs w:val="22"/>
          <w:lang w:eastAsia="en-US"/>
        </w:rPr>
        <w:t xml:space="preserve">sset register. </w:t>
      </w:r>
    </w:p>
    <w:p w14:paraId="2DB413D4" w14:textId="77777777" w:rsidR="00E3624F" w:rsidRPr="00E3624F" w:rsidRDefault="00E3624F" w:rsidP="005A36AB">
      <w:pPr>
        <w:pStyle w:val="ListParagraph"/>
        <w:widowControl w:val="0"/>
        <w:numPr>
          <w:ilvl w:val="0"/>
          <w:numId w:val="11"/>
        </w:numPr>
        <w:autoSpaceDE w:val="0"/>
        <w:autoSpaceDN w:val="0"/>
        <w:adjustRightInd w:val="0"/>
        <w:spacing w:after="240" w:line="340" w:lineRule="atLeast"/>
        <w:jc w:val="left"/>
        <w:outlineLvl w:val="0"/>
        <w:rPr>
          <w:color w:val="000000"/>
          <w:szCs w:val="22"/>
          <w:lang w:eastAsia="en-US"/>
        </w:rPr>
      </w:pPr>
      <w:r w:rsidRPr="00E3624F">
        <w:rPr>
          <w:color w:val="000000"/>
          <w:szCs w:val="22"/>
          <w:lang w:eastAsia="en-US"/>
        </w:rPr>
        <w:t>Excellent progress</w:t>
      </w:r>
      <w:r w:rsidR="005A36AB" w:rsidRPr="00E3624F">
        <w:rPr>
          <w:color w:val="000000"/>
          <w:szCs w:val="22"/>
          <w:lang w:eastAsia="en-US"/>
        </w:rPr>
        <w:t xml:space="preserve"> around cyber security</w:t>
      </w:r>
      <w:r w:rsidRPr="00E3624F">
        <w:rPr>
          <w:color w:val="000000"/>
          <w:szCs w:val="22"/>
          <w:lang w:eastAsia="en-US"/>
        </w:rPr>
        <w:t xml:space="preserve"> was noted</w:t>
      </w:r>
      <w:r w:rsidR="005A36AB" w:rsidRPr="00E3624F">
        <w:rPr>
          <w:color w:val="000000"/>
          <w:szCs w:val="22"/>
          <w:lang w:eastAsia="en-US"/>
        </w:rPr>
        <w:t xml:space="preserve">. </w:t>
      </w:r>
    </w:p>
    <w:p w14:paraId="152F55A5" w14:textId="17E44F86" w:rsidR="007668BE" w:rsidRPr="00E3624F" w:rsidRDefault="00E3624F" w:rsidP="005A36AB">
      <w:pPr>
        <w:pStyle w:val="ListParagraph"/>
        <w:widowControl w:val="0"/>
        <w:numPr>
          <w:ilvl w:val="0"/>
          <w:numId w:val="11"/>
        </w:numPr>
        <w:autoSpaceDE w:val="0"/>
        <w:autoSpaceDN w:val="0"/>
        <w:adjustRightInd w:val="0"/>
        <w:spacing w:after="240" w:line="340" w:lineRule="atLeast"/>
        <w:jc w:val="left"/>
        <w:outlineLvl w:val="0"/>
        <w:rPr>
          <w:color w:val="000000"/>
          <w:szCs w:val="22"/>
          <w:lang w:eastAsia="en-US"/>
        </w:rPr>
      </w:pPr>
      <w:r w:rsidRPr="00E3624F">
        <w:rPr>
          <w:color w:val="000000"/>
          <w:szCs w:val="22"/>
          <w:lang w:eastAsia="en-US"/>
        </w:rPr>
        <w:t>The c</w:t>
      </w:r>
      <w:r w:rsidR="005A36AB" w:rsidRPr="00E3624F">
        <w:rPr>
          <w:color w:val="000000"/>
          <w:szCs w:val="22"/>
          <w:lang w:eastAsia="en-US"/>
        </w:rPr>
        <w:t>ontinuing issue of</w:t>
      </w:r>
      <w:r w:rsidRPr="00E3624F">
        <w:rPr>
          <w:color w:val="000000"/>
          <w:szCs w:val="22"/>
          <w:lang w:eastAsia="en-US"/>
        </w:rPr>
        <w:t xml:space="preserve"> the</w:t>
      </w:r>
      <w:r w:rsidR="005A36AB" w:rsidRPr="00E3624F">
        <w:rPr>
          <w:color w:val="000000"/>
          <w:szCs w:val="22"/>
          <w:lang w:eastAsia="en-US"/>
        </w:rPr>
        <w:t xml:space="preserve"> payroll interface</w:t>
      </w:r>
      <w:r w:rsidRPr="00E3624F">
        <w:rPr>
          <w:color w:val="000000"/>
          <w:szCs w:val="22"/>
          <w:lang w:eastAsia="en-US"/>
        </w:rPr>
        <w:t xml:space="preserve"> was noted</w:t>
      </w:r>
      <w:r w:rsidR="005A36AB" w:rsidRPr="00E3624F">
        <w:rPr>
          <w:color w:val="000000"/>
          <w:szCs w:val="22"/>
          <w:lang w:eastAsia="en-US"/>
        </w:rPr>
        <w:t>, with compen</w:t>
      </w:r>
      <w:r w:rsidRPr="00E3624F">
        <w:rPr>
          <w:color w:val="000000"/>
          <w:szCs w:val="22"/>
          <w:lang w:eastAsia="en-US"/>
        </w:rPr>
        <w:t>sating controls in place and</w:t>
      </w:r>
      <w:r w:rsidR="005A36AB" w:rsidRPr="00E3624F">
        <w:rPr>
          <w:color w:val="000000"/>
          <w:szCs w:val="22"/>
          <w:lang w:eastAsia="en-US"/>
        </w:rPr>
        <w:t xml:space="preserve"> working. </w:t>
      </w:r>
    </w:p>
    <w:p w14:paraId="0BCD94AA" w14:textId="567A49EA" w:rsidR="005A36AB" w:rsidRPr="00E3624F" w:rsidRDefault="005A36AB" w:rsidP="005A36AB">
      <w:pPr>
        <w:pStyle w:val="ListParagraph"/>
        <w:widowControl w:val="0"/>
        <w:numPr>
          <w:ilvl w:val="0"/>
          <w:numId w:val="11"/>
        </w:numPr>
        <w:autoSpaceDE w:val="0"/>
        <w:autoSpaceDN w:val="0"/>
        <w:adjustRightInd w:val="0"/>
        <w:spacing w:after="240" w:line="340" w:lineRule="atLeast"/>
        <w:jc w:val="left"/>
        <w:outlineLvl w:val="0"/>
        <w:rPr>
          <w:color w:val="000000"/>
          <w:szCs w:val="22"/>
          <w:lang w:eastAsia="en-US"/>
        </w:rPr>
      </w:pPr>
      <w:r w:rsidRPr="00E3624F">
        <w:rPr>
          <w:color w:val="000000"/>
          <w:szCs w:val="22"/>
          <w:lang w:eastAsia="en-US"/>
        </w:rPr>
        <w:t xml:space="preserve">Management responses to management and financial audits </w:t>
      </w:r>
      <w:r w:rsidR="007668BE" w:rsidRPr="00E3624F">
        <w:rPr>
          <w:color w:val="000000"/>
          <w:szCs w:val="22"/>
          <w:lang w:eastAsia="en-US"/>
        </w:rPr>
        <w:t xml:space="preserve">were noted to </w:t>
      </w:r>
      <w:r w:rsidRPr="00E3624F">
        <w:rPr>
          <w:color w:val="000000"/>
          <w:szCs w:val="22"/>
          <w:lang w:eastAsia="en-US"/>
        </w:rPr>
        <w:t xml:space="preserve">have </w:t>
      </w:r>
      <w:r w:rsidR="00D85737">
        <w:rPr>
          <w:color w:val="000000"/>
          <w:szCs w:val="22"/>
          <w:lang w:eastAsia="en-US"/>
        </w:rPr>
        <w:lastRenderedPageBreak/>
        <w:t>slowed</w:t>
      </w:r>
      <w:r w:rsidRPr="00E3624F">
        <w:rPr>
          <w:color w:val="000000"/>
          <w:szCs w:val="22"/>
          <w:lang w:eastAsia="en-US"/>
        </w:rPr>
        <w:t xml:space="preserve"> and a report has been requested</w:t>
      </w:r>
    </w:p>
    <w:p w14:paraId="68CCF8B9" w14:textId="759836A0" w:rsidR="005A36AB" w:rsidRPr="00E3624F" w:rsidRDefault="007668BE" w:rsidP="005A36AB">
      <w:pPr>
        <w:pStyle w:val="ListParagraph"/>
        <w:widowControl w:val="0"/>
        <w:numPr>
          <w:ilvl w:val="0"/>
          <w:numId w:val="11"/>
        </w:numPr>
        <w:autoSpaceDE w:val="0"/>
        <w:autoSpaceDN w:val="0"/>
        <w:adjustRightInd w:val="0"/>
        <w:spacing w:after="240" w:line="340" w:lineRule="atLeast"/>
        <w:jc w:val="left"/>
        <w:outlineLvl w:val="0"/>
        <w:rPr>
          <w:color w:val="000000"/>
          <w:szCs w:val="22"/>
          <w:lang w:eastAsia="en-US"/>
        </w:rPr>
      </w:pPr>
      <w:r w:rsidRPr="00E3624F">
        <w:rPr>
          <w:color w:val="000000"/>
          <w:szCs w:val="22"/>
          <w:lang w:eastAsia="en-US"/>
        </w:rPr>
        <w:t>The committee are forecasting an</w:t>
      </w:r>
      <w:r w:rsidR="005A36AB" w:rsidRPr="00E3624F">
        <w:rPr>
          <w:color w:val="000000"/>
          <w:szCs w:val="22"/>
          <w:lang w:eastAsia="en-US"/>
        </w:rPr>
        <w:t xml:space="preserve"> overall moderate assurance in the accounts, with two limited audits</w:t>
      </w:r>
    </w:p>
    <w:bookmarkEnd w:id="1"/>
    <w:p w14:paraId="6ACE0155" w14:textId="7EE811C3" w:rsidR="00E3624F" w:rsidRDefault="00E3624F" w:rsidP="00E3624F">
      <w:pPr>
        <w:pStyle w:val="Heading2"/>
      </w:pPr>
      <w:r w:rsidRPr="00E3624F">
        <w:t xml:space="preserve">The purchase order alignment </w:t>
      </w:r>
      <w:r>
        <w:t xml:space="preserve">issue </w:t>
      </w:r>
      <w:r w:rsidRPr="00E3624F">
        <w:t>was discussed, noting issues both in systems and in resource to meet compensating control measures. A response in detail to this and other audit concerns is being prepared.</w:t>
      </w:r>
    </w:p>
    <w:p w14:paraId="27FE570F" w14:textId="635E9F9B" w:rsidR="00E3624F" w:rsidRPr="00E3624F" w:rsidRDefault="00E3624F" w:rsidP="00E3624F">
      <w:pPr>
        <w:pStyle w:val="Heading2"/>
      </w:pPr>
      <w:r>
        <w:t>The Board discussed the European Commission audit.</w:t>
      </w:r>
    </w:p>
    <w:p w14:paraId="2E7B1356" w14:textId="77551B9D" w:rsidR="00E3624F" w:rsidRDefault="00E3624F" w:rsidP="00E3624F">
      <w:pPr>
        <w:pStyle w:val="Heading2"/>
      </w:pPr>
      <w:r>
        <w:t xml:space="preserve">No meeting held prior to the Board for the People and Remuneration committee. The focus of committee members out of committee has been on the appointment of a new Director of People, who will secretary the committee. The next meeting will focus on performance assessment, with a first discussion of the inclusion and EDI agenda and the people strategy. </w:t>
      </w:r>
    </w:p>
    <w:p w14:paraId="2A821796" w14:textId="7C3CF1BC" w:rsidR="00ED143D" w:rsidRDefault="00E3624F" w:rsidP="009E0BB8">
      <w:pPr>
        <w:pStyle w:val="Heading2"/>
      </w:pPr>
      <w:r>
        <w:t>An update on a regular and exceptional Propert</w:t>
      </w:r>
      <w:r w:rsidR="00894043">
        <w:t>y</w:t>
      </w:r>
      <w:r>
        <w:t xml:space="preserve"> and Campus sub-committee was provided by the PSC Chair:</w:t>
      </w:r>
    </w:p>
    <w:p w14:paraId="5B74E14B" w14:textId="06BBBA9A" w:rsidR="00840AE9" w:rsidRPr="008F476F" w:rsidRDefault="00840AE9" w:rsidP="00840AE9">
      <w:pPr>
        <w:pStyle w:val="ListParagraph"/>
        <w:widowControl w:val="0"/>
        <w:numPr>
          <w:ilvl w:val="0"/>
          <w:numId w:val="12"/>
        </w:numPr>
        <w:autoSpaceDE w:val="0"/>
        <w:autoSpaceDN w:val="0"/>
        <w:adjustRightInd w:val="0"/>
        <w:spacing w:after="240" w:line="340" w:lineRule="atLeast"/>
        <w:jc w:val="left"/>
        <w:outlineLvl w:val="0"/>
        <w:rPr>
          <w:color w:val="000000"/>
          <w:szCs w:val="22"/>
          <w:lang w:eastAsia="en-US"/>
        </w:rPr>
      </w:pPr>
      <w:r w:rsidRPr="008F476F">
        <w:rPr>
          <w:color w:val="000000"/>
          <w:szCs w:val="22"/>
          <w:lang w:eastAsia="en-US"/>
        </w:rPr>
        <w:t>The details of the</w:t>
      </w:r>
      <w:r w:rsidR="008F476F">
        <w:rPr>
          <w:color w:val="000000"/>
          <w:szCs w:val="22"/>
          <w:lang w:eastAsia="en-US"/>
        </w:rPr>
        <w:t xml:space="preserve"> General Fusion agreement</w:t>
      </w:r>
      <w:r w:rsidRPr="008F476F">
        <w:rPr>
          <w:color w:val="000000"/>
          <w:szCs w:val="22"/>
          <w:lang w:eastAsia="en-US"/>
        </w:rPr>
        <w:t xml:space="preserve"> were discussed in detail</w:t>
      </w:r>
      <w:r w:rsidR="008F476F">
        <w:rPr>
          <w:color w:val="000000"/>
          <w:szCs w:val="22"/>
          <w:lang w:eastAsia="en-US"/>
        </w:rPr>
        <w:t xml:space="preserve"> by the committee</w:t>
      </w:r>
      <w:r w:rsidRPr="008F476F">
        <w:rPr>
          <w:color w:val="000000"/>
          <w:szCs w:val="22"/>
          <w:lang w:eastAsia="en-US"/>
        </w:rPr>
        <w:t>, and an item is present on this agenda to cover at Board level</w:t>
      </w:r>
    </w:p>
    <w:p w14:paraId="2DF3F042" w14:textId="314084BA" w:rsidR="00840AE9" w:rsidRPr="008F476F" w:rsidRDefault="00840AE9" w:rsidP="00840AE9">
      <w:pPr>
        <w:pStyle w:val="ListParagraph"/>
        <w:widowControl w:val="0"/>
        <w:numPr>
          <w:ilvl w:val="0"/>
          <w:numId w:val="12"/>
        </w:numPr>
        <w:autoSpaceDE w:val="0"/>
        <w:autoSpaceDN w:val="0"/>
        <w:adjustRightInd w:val="0"/>
        <w:spacing w:after="240" w:line="340" w:lineRule="atLeast"/>
        <w:jc w:val="left"/>
        <w:outlineLvl w:val="0"/>
        <w:rPr>
          <w:color w:val="000000"/>
          <w:szCs w:val="22"/>
          <w:lang w:eastAsia="en-US"/>
        </w:rPr>
      </w:pPr>
      <w:r w:rsidRPr="008F476F">
        <w:rPr>
          <w:color w:val="000000"/>
          <w:szCs w:val="22"/>
          <w:lang w:eastAsia="en-US"/>
        </w:rPr>
        <w:t xml:space="preserve">Harwell and </w:t>
      </w:r>
      <w:proofErr w:type="spellStart"/>
      <w:r w:rsidRPr="008F476F">
        <w:rPr>
          <w:color w:val="000000"/>
          <w:szCs w:val="22"/>
          <w:lang w:eastAsia="en-US"/>
        </w:rPr>
        <w:t>Culham</w:t>
      </w:r>
      <w:proofErr w:type="spellEnd"/>
      <w:r w:rsidRPr="008F476F">
        <w:rPr>
          <w:color w:val="000000"/>
          <w:szCs w:val="22"/>
          <w:lang w:eastAsia="en-US"/>
        </w:rPr>
        <w:t xml:space="preserve"> sites have been re-valued with an increase in asset value</w:t>
      </w:r>
    </w:p>
    <w:p w14:paraId="0FAFD70A" w14:textId="5CE3832B" w:rsidR="00840AE9" w:rsidRPr="008F476F" w:rsidRDefault="00840AE9" w:rsidP="00840AE9">
      <w:pPr>
        <w:pStyle w:val="ListParagraph"/>
        <w:widowControl w:val="0"/>
        <w:numPr>
          <w:ilvl w:val="0"/>
          <w:numId w:val="12"/>
        </w:numPr>
        <w:autoSpaceDE w:val="0"/>
        <w:autoSpaceDN w:val="0"/>
        <w:adjustRightInd w:val="0"/>
        <w:spacing w:after="240" w:line="340" w:lineRule="atLeast"/>
        <w:jc w:val="left"/>
        <w:outlineLvl w:val="0"/>
        <w:rPr>
          <w:color w:val="000000"/>
          <w:szCs w:val="22"/>
          <w:lang w:eastAsia="en-US"/>
        </w:rPr>
      </w:pPr>
      <w:r w:rsidRPr="008F476F">
        <w:rPr>
          <w:color w:val="000000"/>
          <w:szCs w:val="22"/>
          <w:lang w:eastAsia="en-US"/>
        </w:rPr>
        <w:t>Lessons learnt from ITER for STEP on siting were reviewed by the committee</w:t>
      </w:r>
    </w:p>
    <w:p w14:paraId="67D95C45" w14:textId="4A8F914B" w:rsidR="00840AE9" w:rsidRPr="008F476F" w:rsidRDefault="00840AE9" w:rsidP="00840AE9">
      <w:pPr>
        <w:pStyle w:val="ListParagraph"/>
        <w:widowControl w:val="0"/>
        <w:numPr>
          <w:ilvl w:val="0"/>
          <w:numId w:val="12"/>
        </w:numPr>
        <w:autoSpaceDE w:val="0"/>
        <w:autoSpaceDN w:val="0"/>
        <w:adjustRightInd w:val="0"/>
        <w:spacing w:after="240" w:line="340" w:lineRule="atLeast"/>
        <w:jc w:val="left"/>
        <w:outlineLvl w:val="0"/>
        <w:rPr>
          <w:color w:val="000000"/>
          <w:szCs w:val="22"/>
          <w:lang w:eastAsia="en-US"/>
        </w:rPr>
      </w:pPr>
      <w:r w:rsidRPr="008F476F">
        <w:rPr>
          <w:color w:val="000000"/>
          <w:szCs w:val="22"/>
          <w:lang w:eastAsia="en-US"/>
        </w:rPr>
        <w:t>Planning for site entrance reconfiguration</w:t>
      </w:r>
      <w:r w:rsidR="008F476F" w:rsidRPr="008F476F">
        <w:rPr>
          <w:color w:val="000000"/>
          <w:szCs w:val="22"/>
          <w:lang w:eastAsia="en-US"/>
        </w:rPr>
        <w:t xml:space="preserve"> is</w:t>
      </w:r>
      <w:r w:rsidRPr="008F476F">
        <w:rPr>
          <w:color w:val="000000"/>
          <w:szCs w:val="22"/>
          <w:lang w:eastAsia="en-US"/>
        </w:rPr>
        <w:t xml:space="preserve"> to be submitted in the summer</w:t>
      </w:r>
    </w:p>
    <w:p w14:paraId="3967BAC5" w14:textId="6D15A4A6" w:rsidR="00840AE9" w:rsidRDefault="008F476F" w:rsidP="008F476F">
      <w:pPr>
        <w:pStyle w:val="Heading1"/>
        <w:rPr>
          <w:lang w:eastAsia="en-US"/>
        </w:rPr>
      </w:pPr>
      <w:r>
        <w:rPr>
          <w:lang w:eastAsia="en-US"/>
        </w:rPr>
        <w:t>approval for the general fusion agreement</w:t>
      </w:r>
    </w:p>
    <w:p w14:paraId="4F8F5EF7" w14:textId="58659454" w:rsidR="008F476F" w:rsidRDefault="008F476F" w:rsidP="008F476F">
      <w:pPr>
        <w:pStyle w:val="Heading2"/>
      </w:pPr>
      <w:r>
        <w:t xml:space="preserve">An overview of the agreement between UKAEA and General Fusion was provided to the Board, including an overview of General Fusion as a company, and the strategic rationale for the agreement. </w:t>
      </w:r>
    </w:p>
    <w:p w14:paraId="4A3B0FB5" w14:textId="77777777" w:rsidR="008F476F" w:rsidRDefault="008F476F" w:rsidP="008F476F">
      <w:pPr>
        <w:pStyle w:val="Heading2"/>
      </w:pPr>
      <w:r>
        <w:t xml:space="preserve">The details of the agreement were discussed, including the contribution shares to the agreement, and the design of the building to ensure it becomes re-marketable </w:t>
      </w:r>
      <w:proofErr w:type="gramStart"/>
      <w:r>
        <w:t>at a later date</w:t>
      </w:r>
      <w:proofErr w:type="gramEnd"/>
      <w:r>
        <w:t xml:space="preserve">. </w:t>
      </w:r>
    </w:p>
    <w:p w14:paraId="56D674C2" w14:textId="33C01550" w:rsidR="008F476F" w:rsidRDefault="008F476F" w:rsidP="008F476F">
      <w:pPr>
        <w:pStyle w:val="Heading2"/>
      </w:pPr>
      <w:r>
        <w:t>The Board noted that the PSC have reviewed the legal and rental arrangements</w:t>
      </w:r>
      <w:r w:rsidR="0078325E">
        <w:t>. The</w:t>
      </w:r>
      <w:r>
        <w:t xml:space="preserve"> Board were asked to approve the agreement on the basis that it </w:t>
      </w:r>
      <w:r w:rsidR="0078325E">
        <w:t>is</w:t>
      </w:r>
      <w:r>
        <w:t xml:space="preserve"> novel activity, contingent on final review by the PSC. </w:t>
      </w:r>
    </w:p>
    <w:p w14:paraId="7C4A26CA" w14:textId="10AB6D15" w:rsidR="008F476F" w:rsidRDefault="008F476F" w:rsidP="008F476F">
      <w:pPr>
        <w:pStyle w:val="Heading2"/>
      </w:pPr>
      <w:r>
        <w:t xml:space="preserve">The Chair of the PSC overviewed key details to the Board, including responsibilities for building development, lease terms, and cost sharing. The Board were briefed on the key risks of the project. The Board noted that the time to re-marketability of the building has been a key consideration in the building design to inform the liability held should the tenancy end early. </w:t>
      </w:r>
    </w:p>
    <w:p w14:paraId="43BF1E4D" w14:textId="43736379" w:rsidR="008F476F" w:rsidRDefault="008F476F" w:rsidP="008F476F">
      <w:pPr>
        <w:pStyle w:val="Heading2"/>
      </w:pPr>
      <w:r>
        <w:t xml:space="preserve">The Board discussed the strategic implications of the agreement for the future of the UKAEA, noting the agreement as a landmark in progressing UKAEA’s strategy to grow </w:t>
      </w:r>
      <w:r>
        <w:lastRenderedPageBreak/>
        <w:t xml:space="preserve">a fusion cluster. The Comms of the deal, particularly focussing on the strengthening of UK science in the world, were discussed. </w:t>
      </w:r>
    </w:p>
    <w:p w14:paraId="2A8B3FD8" w14:textId="214B6791" w:rsidR="008F476F" w:rsidRDefault="008F476F" w:rsidP="008F476F">
      <w:pPr>
        <w:pStyle w:val="Heading2"/>
      </w:pPr>
      <w:r>
        <w:t>Members discussed opportunities to link the announcement of the agreement with the Fusion Industry Programme, and the Board discussed potential messaging in this regard. Members noted that the timescales to build the facility are uncertain, depend</w:t>
      </w:r>
      <w:r w:rsidR="00A9212F">
        <w:t>e</w:t>
      </w:r>
      <w:r>
        <w:t>nt a fundraising round currently in progress.</w:t>
      </w:r>
    </w:p>
    <w:p w14:paraId="6AF250E0" w14:textId="4912B168" w:rsidR="008F476F" w:rsidRPr="008F476F" w:rsidRDefault="008F476F" w:rsidP="008F476F">
      <w:pPr>
        <w:pStyle w:val="Heading2"/>
      </w:pPr>
      <w:r>
        <w:t xml:space="preserve">The Board approved the agreement with General Fusion, subject to final review of the details by the PSC before the commitment is made.  </w:t>
      </w:r>
    </w:p>
    <w:p w14:paraId="4C67D5D3" w14:textId="77777777" w:rsidR="00E3624F" w:rsidRPr="00E3624F" w:rsidRDefault="00E3624F" w:rsidP="00E3624F">
      <w:pPr>
        <w:pStyle w:val="BodyText"/>
        <w:rPr>
          <w:lang w:eastAsia="en-US"/>
        </w:rPr>
      </w:pPr>
    </w:p>
    <w:p w14:paraId="6326C81A" w14:textId="48B65D74" w:rsidR="00DC2CAA" w:rsidRDefault="00DC2CAA" w:rsidP="00DC2CAA">
      <w:pPr>
        <w:pStyle w:val="Heading1"/>
      </w:pPr>
      <w:r>
        <w:t>any other business</w:t>
      </w:r>
    </w:p>
    <w:bookmarkEnd w:id="0"/>
    <w:p w14:paraId="461F07BA" w14:textId="61595497" w:rsidR="008F476F" w:rsidRDefault="008F476F" w:rsidP="008F476F">
      <w:pPr>
        <w:pStyle w:val="Heading2"/>
      </w:pPr>
      <w:r>
        <w:t>An item was raised by the CFO updating the Board on discussions on the entrance land transfer. The Board noted continued d</w:t>
      </w:r>
      <w:r w:rsidR="0078325E">
        <w:t xml:space="preserve">iscussions on land transfer, </w:t>
      </w:r>
      <w:r>
        <w:t>endorsing delegation of review to the PSC</w:t>
      </w:r>
      <w:r w:rsidR="0078325E">
        <w:t xml:space="preserve"> to make a recommendation to the Board for approval</w:t>
      </w:r>
      <w:r>
        <w:t xml:space="preserve">. </w:t>
      </w:r>
    </w:p>
    <w:p w14:paraId="38F2B4A6" w14:textId="60647A6E" w:rsidR="008F476F" w:rsidRPr="008F476F" w:rsidRDefault="008F476F" w:rsidP="008F476F">
      <w:pPr>
        <w:pStyle w:val="Heading2"/>
      </w:pPr>
      <w:r>
        <w:t xml:space="preserve">An item was raised on threat analysis and cyber security, and planning for attack such as ransomware attack, with a request to bring a paper to a future meeting discussing planning in more detail – </w:t>
      </w:r>
      <w:r>
        <w:rPr>
          <w:b/>
        </w:rPr>
        <w:t xml:space="preserve">Action </w:t>
      </w:r>
      <w:proofErr w:type="gramStart"/>
      <w:r>
        <w:rPr>
          <w:b/>
        </w:rPr>
        <w:t>UKAEA(</w:t>
      </w:r>
      <w:proofErr w:type="gramEnd"/>
      <w:r>
        <w:rPr>
          <w:b/>
        </w:rPr>
        <w:t>21)3/</w:t>
      </w:r>
      <w:r w:rsidR="00A85D29">
        <w:rPr>
          <w:b/>
        </w:rPr>
        <w:t>6</w:t>
      </w:r>
    </w:p>
    <w:p w14:paraId="729D4E98" w14:textId="77777777" w:rsidR="00580540" w:rsidRPr="00580540" w:rsidRDefault="00580540" w:rsidP="00580540">
      <w:pPr>
        <w:pStyle w:val="BodyText"/>
        <w:ind w:left="0"/>
      </w:pPr>
    </w:p>
    <w:sectPr w:rsidR="00580540" w:rsidRPr="00580540" w:rsidSect="00690C7F">
      <w:headerReference w:type="default" r:id="rId9"/>
      <w:footerReference w:type="default" r:id="rId10"/>
      <w:headerReference w:type="first" r:id="rId11"/>
      <w:footerReference w:type="first" r:id="rId12"/>
      <w:pgSz w:w="11906" w:h="16838" w:code="9"/>
      <w:pgMar w:top="1134" w:right="1418" w:bottom="1418" w:left="1418" w:header="567" w:footer="70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D425" w14:textId="77777777" w:rsidR="003B07AA" w:rsidRDefault="003B07AA">
      <w:r>
        <w:separator/>
      </w:r>
    </w:p>
  </w:endnote>
  <w:endnote w:type="continuationSeparator" w:id="0">
    <w:p w14:paraId="12007A5D" w14:textId="77777777" w:rsidR="003B07AA" w:rsidRDefault="003B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EDC9" w14:textId="77777777" w:rsidR="005F1ECF" w:rsidRDefault="005F1ECF">
    <w:pPr>
      <w:pStyle w:val="Footer"/>
      <w:jc w:val="right"/>
    </w:pPr>
    <w:r>
      <w:fldChar w:fldCharType="begin"/>
    </w:r>
    <w:r>
      <w:instrText xml:space="preserve"> PAGE   \* MERGEFORMAT </w:instrText>
    </w:r>
    <w:r>
      <w:fldChar w:fldCharType="separate"/>
    </w:r>
    <w:r w:rsidR="00677C3D">
      <w:rPr>
        <w:noProof/>
      </w:rPr>
      <w:t>2</w:t>
    </w:r>
    <w:r>
      <w:rPr>
        <w:noProof/>
      </w:rPr>
      <w:fldChar w:fldCharType="end"/>
    </w:r>
  </w:p>
  <w:p w14:paraId="13DC24D2" w14:textId="77777777" w:rsidR="005F1ECF" w:rsidRDefault="005F1ECF" w:rsidP="00FC67CA">
    <w:pPr>
      <w:pStyle w:val="Footer"/>
      <w:tabs>
        <w:tab w:val="center" w:pos="4536"/>
        <w:tab w:val="right" w:pos="8931"/>
      </w:tabs>
      <w:jc w:val="lef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697719"/>
      <w:docPartObj>
        <w:docPartGallery w:val="Page Numbers (Bottom of Page)"/>
        <w:docPartUnique/>
      </w:docPartObj>
    </w:sdtPr>
    <w:sdtEndPr/>
    <w:sdtContent>
      <w:sdt>
        <w:sdtPr>
          <w:id w:val="-1705238520"/>
          <w:docPartObj>
            <w:docPartGallery w:val="Page Numbers (Top of Page)"/>
            <w:docPartUnique/>
          </w:docPartObj>
        </w:sdtPr>
        <w:sdtEndPr/>
        <w:sdtContent>
          <w:p w14:paraId="38A8FF68" w14:textId="77777777" w:rsidR="005F1ECF" w:rsidRDefault="005F1ECF" w:rsidP="0062582E">
            <w:pPr>
              <w:pStyle w:val="Footer"/>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677C3D">
              <w:rPr>
                <w:bCs/>
                <w:noProof/>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677C3D">
              <w:rPr>
                <w:bCs/>
                <w:noProof/>
              </w:rPr>
              <w:t>6</w:t>
            </w:r>
            <w:r>
              <w:rPr>
                <w:b w:val="0"/>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A296" w14:textId="77777777" w:rsidR="003B07AA" w:rsidRDefault="003B07AA">
      <w:r>
        <w:separator/>
      </w:r>
    </w:p>
  </w:footnote>
  <w:footnote w:type="continuationSeparator" w:id="0">
    <w:p w14:paraId="3F3D934B" w14:textId="77777777" w:rsidR="003B07AA" w:rsidRDefault="003B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0E91" w14:textId="77777777" w:rsidR="005F1ECF" w:rsidRDefault="005F1ECF">
    <w:pPr>
      <w:pStyle w:val="Header"/>
    </w:pPr>
    <w:r>
      <w:t>official sensitive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A4F3" w14:textId="77777777" w:rsidR="005F1ECF" w:rsidRDefault="005F1ECF">
    <w:pPr>
      <w:pStyle w:val="Header"/>
    </w:pPr>
    <w: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402"/>
    <w:multiLevelType w:val="hybridMultilevel"/>
    <w:tmpl w:val="E40C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55241"/>
    <w:multiLevelType w:val="hybridMultilevel"/>
    <w:tmpl w:val="7ACE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66495"/>
    <w:multiLevelType w:val="hybridMultilevel"/>
    <w:tmpl w:val="F30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0004B"/>
    <w:multiLevelType w:val="hybridMultilevel"/>
    <w:tmpl w:val="B16E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B4146"/>
    <w:multiLevelType w:val="hybridMultilevel"/>
    <w:tmpl w:val="9B74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A6D55"/>
    <w:multiLevelType w:val="hybridMultilevel"/>
    <w:tmpl w:val="B8644226"/>
    <w:lvl w:ilvl="0" w:tplc="FB325FAC">
      <w:start w:val="1"/>
      <w:numFmt w:val="bullet"/>
      <w:pStyle w:val="ListBullet"/>
      <w:lvlText w:val=""/>
      <w:lvlJc w:val="left"/>
      <w:pPr>
        <w:tabs>
          <w:tab w:val="num" w:pos="567"/>
        </w:tabs>
        <w:ind w:left="567" w:hanging="567"/>
      </w:pPr>
      <w:rPr>
        <w:rFonts w:ascii="Symbol" w:hAnsi="Symbol" w:hint="default"/>
      </w:rPr>
    </w:lvl>
    <w:lvl w:ilvl="1" w:tplc="F654AF50">
      <w:start w:val="1"/>
      <w:numFmt w:val="bullet"/>
      <w:pStyle w:val="ListBullet2"/>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F7C10"/>
    <w:multiLevelType w:val="multilevel"/>
    <w:tmpl w:val="F2D215A2"/>
    <w:lvl w:ilvl="0">
      <w:start w:val="1"/>
      <w:numFmt w:val="decimal"/>
      <w:pStyle w:val="Heading1"/>
      <w:lvlText w:val="%1"/>
      <w:lvlJc w:val="left"/>
      <w:pPr>
        <w:tabs>
          <w:tab w:val="num" w:pos="567"/>
        </w:tabs>
        <w:ind w:left="567" w:hanging="567"/>
      </w:pPr>
      <w:rPr>
        <w:rFonts w:ascii="Times New Roman" w:hAnsi="Times New Roman" w:hint="default"/>
        <w:b/>
        <w:i w:val="0"/>
        <w:kern w:val="0"/>
        <w:sz w:val="24"/>
      </w:rPr>
    </w:lvl>
    <w:lvl w:ilvl="1">
      <w:start w:val="1"/>
      <w:numFmt w:val="decimal"/>
      <w:pStyle w:val="Heading2"/>
      <w:lvlText w:val="%1.%2"/>
      <w:lvlJc w:val="left"/>
      <w:pPr>
        <w:tabs>
          <w:tab w:val="num" w:pos="567"/>
        </w:tabs>
        <w:ind w:left="567" w:hanging="567"/>
      </w:pPr>
      <w:rPr>
        <w:rFonts w:ascii="Times New Roman" w:hAnsi="Times New Roman" w:hint="default"/>
        <w:b/>
        <w:i w:val="0"/>
        <w:caps w:val="0"/>
        <w:sz w:val="24"/>
      </w:rPr>
    </w:lvl>
    <w:lvl w:ilvl="2">
      <w:start w:val="1"/>
      <w:numFmt w:val="decimal"/>
      <w:pStyle w:val="Heading3"/>
      <w:lvlText w:val="%1.%2.%3"/>
      <w:lvlJc w:val="left"/>
      <w:pPr>
        <w:tabs>
          <w:tab w:val="num" w:pos="567"/>
        </w:tabs>
        <w:ind w:left="567" w:hanging="567"/>
      </w:pPr>
      <w:rPr>
        <w:rFonts w:ascii="Times New Roman" w:hAnsi="Times New Roman"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CB354CD"/>
    <w:multiLevelType w:val="hybridMultilevel"/>
    <w:tmpl w:val="17AEDC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EEE0DA9"/>
    <w:multiLevelType w:val="hybridMultilevel"/>
    <w:tmpl w:val="6F30F6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2EF4838"/>
    <w:multiLevelType w:val="hybridMultilevel"/>
    <w:tmpl w:val="F6908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5"/>
  </w:num>
  <w:num w:numId="5">
    <w:abstractNumId w:val="7"/>
  </w:num>
  <w:num w:numId="6">
    <w:abstractNumId w:val="9"/>
  </w:num>
  <w:num w:numId="7">
    <w:abstractNumId w:val="8"/>
  </w:num>
  <w:num w:numId="8">
    <w:abstractNumId w:val="0"/>
  </w:num>
  <w:num w:numId="9">
    <w:abstractNumId w:val="3"/>
  </w:num>
  <w:num w:numId="10">
    <w:abstractNumId w:val="4"/>
  </w:num>
  <w:num w:numId="11">
    <w:abstractNumId w:val="2"/>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473"/>
    <w:rsid w:val="00001FA3"/>
    <w:rsid w:val="000027A7"/>
    <w:rsid w:val="00003047"/>
    <w:rsid w:val="0000535B"/>
    <w:rsid w:val="00007152"/>
    <w:rsid w:val="0001733D"/>
    <w:rsid w:val="0002268A"/>
    <w:rsid w:val="00022C60"/>
    <w:rsid w:val="00026425"/>
    <w:rsid w:val="000306F6"/>
    <w:rsid w:val="000328A3"/>
    <w:rsid w:val="0003317D"/>
    <w:rsid w:val="00037F0E"/>
    <w:rsid w:val="0004271C"/>
    <w:rsid w:val="00045CE2"/>
    <w:rsid w:val="0004663C"/>
    <w:rsid w:val="00055BA4"/>
    <w:rsid w:val="00057871"/>
    <w:rsid w:val="00057DE7"/>
    <w:rsid w:val="000616B4"/>
    <w:rsid w:val="00070695"/>
    <w:rsid w:val="0007077B"/>
    <w:rsid w:val="00072732"/>
    <w:rsid w:val="00086653"/>
    <w:rsid w:val="00090D82"/>
    <w:rsid w:val="000928F4"/>
    <w:rsid w:val="000A5480"/>
    <w:rsid w:val="000B018F"/>
    <w:rsid w:val="000B1182"/>
    <w:rsid w:val="000B6139"/>
    <w:rsid w:val="000B6AD3"/>
    <w:rsid w:val="000D0814"/>
    <w:rsid w:val="000D3A5A"/>
    <w:rsid w:val="000D4448"/>
    <w:rsid w:val="000D78BE"/>
    <w:rsid w:val="000E3CB1"/>
    <w:rsid w:val="000E4FDF"/>
    <w:rsid w:val="000E56FA"/>
    <w:rsid w:val="000F1557"/>
    <w:rsid w:val="000F1F07"/>
    <w:rsid w:val="000F361D"/>
    <w:rsid w:val="000F69EE"/>
    <w:rsid w:val="0010000E"/>
    <w:rsid w:val="001056CD"/>
    <w:rsid w:val="001123EC"/>
    <w:rsid w:val="00112F79"/>
    <w:rsid w:val="00113998"/>
    <w:rsid w:val="00131202"/>
    <w:rsid w:val="001312C2"/>
    <w:rsid w:val="001345E1"/>
    <w:rsid w:val="001354AD"/>
    <w:rsid w:val="001451C0"/>
    <w:rsid w:val="0015030F"/>
    <w:rsid w:val="001607AF"/>
    <w:rsid w:val="001621FB"/>
    <w:rsid w:val="001672A4"/>
    <w:rsid w:val="00175CC4"/>
    <w:rsid w:val="00177B63"/>
    <w:rsid w:val="00181755"/>
    <w:rsid w:val="00182270"/>
    <w:rsid w:val="00182B07"/>
    <w:rsid w:val="00183E35"/>
    <w:rsid w:val="00186090"/>
    <w:rsid w:val="001863CC"/>
    <w:rsid w:val="00186655"/>
    <w:rsid w:val="001903AD"/>
    <w:rsid w:val="001907DD"/>
    <w:rsid w:val="00192229"/>
    <w:rsid w:val="00195DDD"/>
    <w:rsid w:val="001967E0"/>
    <w:rsid w:val="001A046D"/>
    <w:rsid w:val="001A1474"/>
    <w:rsid w:val="001A503B"/>
    <w:rsid w:val="001A766C"/>
    <w:rsid w:val="001A7A1B"/>
    <w:rsid w:val="001B06AA"/>
    <w:rsid w:val="001B1670"/>
    <w:rsid w:val="001C018C"/>
    <w:rsid w:val="001C4FB2"/>
    <w:rsid w:val="001C5C72"/>
    <w:rsid w:val="001D03EF"/>
    <w:rsid w:val="001D63A6"/>
    <w:rsid w:val="001F66AB"/>
    <w:rsid w:val="00202CC7"/>
    <w:rsid w:val="00205C82"/>
    <w:rsid w:val="0021248C"/>
    <w:rsid w:val="00213534"/>
    <w:rsid w:val="00216EE1"/>
    <w:rsid w:val="00220459"/>
    <w:rsid w:val="002206B7"/>
    <w:rsid w:val="00223645"/>
    <w:rsid w:val="0023266E"/>
    <w:rsid w:val="00243814"/>
    <w:rsid w:val="002438F3"/>
    <w:rsid w:val="00244339"/>
    <w:rsid w:val="0025157E"/>
    <w:rsid w:val="0025213D"/>
    <w:rsid w:val="00256BBD"/>
    <w:rsid w:val="002628CB"/>
    <w:rsid w:val="00267C49"/>
    <w:rsid w:val="00271FC6"/>
    <w:rsid w:val="00281A8B"/>
    <w:rsid w:val="002877F3"/>
    <w:rsid w:val="00287EE8"/>
    <w:rsid w:val="002966F9"/>
    <w:rsid w:val="002A0473"/>
    <w:rsid w:val="002A4970"/>
    <w:rsid w:val="002A56F3"/>
    <w:rsid w:val="002A5F4C"/>
    <w:rsid w:val="002A6133"/>
    <w:rsid w:val="002B556A"/>
    <w:rsid w:val="002B5B8F"/>
    <w:rsid w:val="002C7871"/>
    <w:rsid w:val="002D0D3C"/>
    <w:rsid w:val="002D6FCC"/>
    <w:rsid w:val="002E5B8B"/>
    <w:rsid w:val="002F4CAA"/>
    <w:rsid w:val="003021CC"/>
    <w:rsid w:val="00303010"/>
    <w:rsid w:val="00303050"/>
    <w:rsid w:val="0030313C"/>
    <w:rsid w:val="0030374B"/>
    <w:rsid w:val="00305E06"/>
    <w:rsid w:val="00310185"/>
    <w:rsid w:val="00320F59"/>
    <w:rsid w:val="00325431"/>
    <w:rsid w:val="00326DFB"/>
    <w:rsid w:val="0033513C"/>
    <w:rsid w:val="00340727"/>
    <w:rsid w:val="003415F3"/>
    <w:rsid w:val="00341A00"/>
    <w:rsid w:val="00341B7D"/>
    <w:rsid w:val="00344A9C"/>
    <w:rsid w:val="00353CD4"/>
    <w:rsid w:val="00355E00"/>
    <w:rsid w:val="00361307"/>
    <w:rsid w:val="00361FA5"/>
    <w:rsid w:val="00364407"/>
    <w:rsid w:val="003723F0"/>
    <w:rsid w:val="00373DFA"/>
    <w:rsid w:val="00374143"/>
    <w:rsid w:val="00377041"/>
    <w:rsid w:val="00386AD9"/>
    <w:rsid w:val="00393D1F"/>
    <w:rsid w:val="003952D2"/>
    <w:rsid w:val="00395766"/>
    <w:rsid w:val="00397171"/>
    <w:rsid w:val="003A00CB"/>
    <w:rsid w:val="003A01D1"/>
    <w:rsid w:val="003A0B16"/>
    <w:rsid w:val="003A1AC3"/>
    <w:rsid w:val="003A3273"/>
    <w:rsid w:val="003A3CDA"/>
    <w:rsid w:val="003B07AA"/>
    <w:rsid w:val="003B25A5"/>
    <w:rsid w:val="003B4CCF"/>
    <w:rsid w:val="003B541E"/>
    <w:rsid w:val="003B64C6"/>
    <w:rsid w:val="003B6C22"/>
    <w:rsid w:val="003C2E33"/>
    <w:rsid w:val="003C52D1"/>
    <w:rsid w:val="003C5EBA"/>
    <w:rsid w:val="003C747D"/>
    <w:rsid w:val="003D1CBA"/>
    <w:rsid w:val="003D3E1E"/>
    <w:rsid w:val="003D3FC5"/>
    <w:rsid w:val="003E45F7"/>
    <w:rsid w:val="003E56EA"/>
    <w:rsid w:val="003E6902"/>
    <w:rsid w:val="003F5ABD"/>
    <w:rsid w:val="004025EB"/>
    <w:rsid w:val="00405D49"/>
    <w:rsid w:val="004066C8"/>
    <w:rsid w:val="004122A1"/>
    <w:rsid w:val="00416ACC"/>
    <w:rsid w:val="0042274B"/>
    <w:rsid w:val="0042447A"/>
    <w:rsid w:val="00432148"/>
    <w:rsid w:val="00434FA4"/>
    <w:rsid w:val="00437557"/>
    <w:rsid w:val="00443136"/>
    <w:rsid w:val="0044412A"/>
    <w:rsid w:val="00445A31"/>
    <w:rsid w:val="00446F9A"/>
    <w:rsid w:val="00447E08"/>
    <w:rsid w:val="00453E9B"/>
    <w:rsid w:val="00454BDF"/>
    <w:rsid w:val="004578A6"/>
    <w:rsid w:val="004608E0"/>
    <w:rsid w:val="00465725"/>
    <w:rsid w:val="00466122"/>
    <w:rsid w:val="004675E9"/>
    <w:rsid w:val="00471D2D"/>
    <w:rsid w:val="00472DFE"/>
    <w:rsid w:val="0047371A"/>
    <w:rsid w:val="004824F0"/>
    <w:rsid w:val="004916C8"/>
    <w:rsid w:val="00497424"/>
    <w:rsid w:val="004B380A"/>
    <w:rsid w:val="004B491A"/>
    <w:rsid w:val="004B55DC"/>
    <w:rsid w:val="004B74E9"/>
    <w:rsid w:val="004C6A87"/>
    <w:rsid w:val="004C7D1A"/>
    <w:rsid w:val="004D046B"/>
    <w:rsid w:val="004D319F"/>
    <w:rsid w:val="004D659E"/>
    <w:rsid w:val="004E4A6F"/>
    <w:rsid w:val="004E54BA"/>
    <w:rsid w:val="004E6206"/>
    <w:rsid w:val="004E7107"/>
    <w:rsid w:val="004F28F8"/>
    <w:rsid w:val="004F6343"/>
    <w:rsid w:val="0050145F"/>
    <w:rsid w:val="00501D0D"/>
    <w:rsid w:val="00506496"/>
    <w:rsid w:val="00510434"/>
    <w:rsid w:val="005177B9"/>
    <w:rsid w:val="005248AD"/>
    <w:rsid w:val="0052717F"/>
    <w:rsid w:val="00530446"/>
    <w:rsid w:val="00534B5B"/>
    <w:rsid w:val="0053535D"/>
    <w:rsid w:val="0054605A"/>
    <w:rsid w:val="00550083"/>
    <w:rsid w:val="005521F1"/>
    <w:rsid w:val="005535B7"/>
    <w:rsid w:val="00560CF7"/>
    <w:rsid w:val="00561325"/>
    <w:rsid w:val="00562B94"/>
    <w:rsid w:val="00562EAA"/>
    <w:rsid w:val="005650EC"/>
    <w:rsid w:val="00565CA0"/>
    <w:rsid w:val="00571971"/>
    <w:rsid w:val="00573B0D"/>
    <w:rsid w:val="00575DF7"/>
    <w:rsid w:val="00576948"/>
    <w:rsid w:val="00577343"/>
    <w:rsid w:val="00580540"/>
    <w:rsid w:val="0058735B"/>
    <w:rsid w:val="00590276"/>
    <w:rsid w:val="00591595"/>
    <w:rsid w:val="00591D7E"/>
    <w:rsid w:val="00592679"/>
    <w:rsid w:val="005971D3"/>
    <w:rsid w:val="005A1E9D"/>
    <w:rsid w:val="005A36AB"/>
    <w:rsid w:val="005A4E15"/>
    <w:rsid w:val="005A5E9A"/>
    <w:rsid w:val="005B0179"/>
    <w:rsid w:val="005B07E5"/>
    <w:rsid w:val="005B33E6"/>
    <w:rsid w:val="005B6B0B"/>
    <w:rsid w:val="005C4143"/>
    <w:rsid w:val="005C7384"/>
    <w:rsid w:val="005D1A3D"/>
    <w:rsid w:val="005D59A1"/>
    <w:rsid w:val="005F03FF"/>
    <w:rsid w:val="005F1ECF"/>
    <w:rsid w:val="005F3C1D"/>
    <w:rsid w:val="005F5120"/>
    <w:rsid w:val="00602B2D"/>
    <w:rsid w:val="00611A4E"/>
    <w:rsid w:val="006148D7"/>
    <w:rsid w:val="0062582E"/>
    <w:rsid w:val="0064409C"/>
    <w:rsid w:val="006546AC"/>
    <w:rsid w:val="0066280A"/>
    <w:rsid w:val="006653A7"/>
    <w:rsid w:val="00677C3D"/>
    <w:rsid w:val="00686372"/>
    <w:rsid w:val="00687E74"/>
    <w:rsid w:val="00690C7F"/>
    <w:rsid w:val="00695C9C"/>
    <w:rsid w:val="006A2BC7"/>
    <w:rsid w:val="006A3EF3"/>
    <w:rsid w:val="006A49C8"/>
    <w:rsid w:val="006A6C8E"/>
    <w:rsid w:val="006B36DD"/>
    <w:rsid w:val="006B77E6"/>
    <w:rsid w:val="006C0B02"/>
    <w:rsid w:val="006C0C44"/>
    <w:rsid w:val="006C32E5"/>
    <w:rsid w:val="006D36A9"/>
    <w:rsid w:val="006D5BEA"/>
    <w:rsid w:val="006D682B"/>
    <w:rsid w:val="006F2A4F"/>
    <w:rsid w:val="006F5B8F"/>
    <w:rsid w:val="00702C13"/>
    <w:rsid w:val="0071293B"/>
    <w:rsid w:val="0071609A"/>
    <w:rsid w:val="007209E9"/>
    <w:rsid w:val="00730ACE"/>
    <w:rsid w:val="00736C25"/>
    <w:rsid w:val="0074472C"/>
    <w:rsid w:val="00745FF9"/>
    <w:rsid w:val="00754D1A"/>
    <w:rsid w:val="0076172A"/>
    <w:rsid w:val="00764673"/>
    <w:rsid w:val="007668BE"/>
    <w:rsid w:val="00772CC3"/>
    <w:rsid w:val="0078325E"/>
    <w:rsid w:val="0078458E"/>
    <w:rsid w:val="00786464"/>
    <w:rsid w:val="007918C9"/>
    <w:rsid w:val="007940E5"/>
    <w:rsid w:val="00796A44"/>
    <w:rsid w:val="007A24E3"/>
    <w:rsid w:val="007A6CC8"/>
    <w:rsid w:val="007B165C"/>
    <w:rsid w:val="007B2425"/>
    <w:rsid w:val="007B4A74"/>
    <w:rsid w:val="007B7CE1"/>
    <w:rsid w:val="007C57B7"/>
    <w:rsid w:val="007D0F72"/>
    <w:rsid w:val="007D1A8A"/>
    <w:rsid w:val="007D1AD4"/>
    <w:rsid w:val="007D4433"/>
    <w:rsid w:val="007D546C"/>
    <w:rsid w:val="007D63AF"/>
    <w:rsid w:val="007E1402"/>
    <w:rsid w:val="007E5381"/>
    <w:rsid w:val="007F2377"/>
    <w:rsid w:val="007F50F2"/>
    <w:rsid w:val="008127D1"/>
    <w:rsid w:val="008234D5"/>
    <w:rsid w:val="00831648"/>
    <w:rsid w:val="00831D55"/>
    <w:rsid w:val="00836C4D"/>
    <w:rsid w:val="00837647"/>
    <w:rsid w:val="00840AE9"/>
    <w:rsid w:val="008500D6"/>
    <w:rsid w:val="00850E13"/>
    <w:rsid w:val="00851776"/>
    <w:rsid w:val="008526FD"/>
    <w:rsid w:val="00852787"/>
    <w:rsid w:val="008533B0"/>
    <w:rsid w:val="008540B6"/>
    <w:rsid w:val="00855A42"/>
    <w:rsid w:val="00860AC5"/>
    <w:rsid w:val="00874183"/>
    <w:rsid w:val="008808DD"/>
    <w:rsid w:val="008848C4"/>
    <w:rsid w:val="00886787"/>
    <w:rsid w:val="00887F91"/>
    <w:rsid w:val="00891431"/>
    <w:rsid w:val="00892F23"/>
    <w:rsid w:val="00894043"/>
    <w:rsid w:val="00895038"/>
    <w:rsid w:val="00897C87"/>
    <w:rsid w:val="008A2656"/>
    <w:rsid w:val="008B133E"/>
    <w:rsid w:val="008B19B4"/>
    <w:rsid w:val="008B35D9"/>
    <w:rsid w:val="008B5A16"/>
    <w:rsid w:val="008B5AB9"/>
    <w:rsid w:val="008C50CC"/>
    <w:rsid w:val="008C6968"/>
    <w:rsid w:val="008D7B36"/>
    <w:rsid w:val="008E36DC"/>
    <w:rsid w:val="008E475F"/>
    <w:rsid w:val="008E5FD9"/>
    <w:rsid w:val="008F12DE"/>
    <w:rsid w:val="008F32B6"/>
    <w:rsid w:val="008F476F"/>
    <w:rsid w:val="0090082A"/>
    <w:rsid w:val="00915E28"/>
    <w:rsid w:val="009179EA"/>
    <w:rsid w:val="009272CD"/>
    <w:rsid w:val="00940236"/>
    <w:rsid w:val="00942994"/>
    <w:rsid w:val="00944293"/>
    <w:rsid w:val="0095168A"/>
    <w:rsid w:val="00951F18"/>
    <w:rsid w:val="00957333"/>
    <w:rsid w:val="0096648D"/>
    <w:rsid w:val="00967354"/>
    <w:rsid w:val="009713DB"/>
    <w:rsid w:val="00974334"/>
    <w:rsid w:val="009813A7"/>
    <w:rsid w:val="00987329"/>
    <w:rsid w:val="00993071"/>
    <w:rsid w:val="00997F3D"/>
    <w:rsid w:val="009A4F24"/>
    <w:rsid w:val="009A71A9"/>
    <w:rsid w:val="009B3FB1"/>
    <w:rsid w:val="009C4D6C"/>
    <w:rsid w:val="009C7A4F"/>
    <w:rsid w:val="009D0EEA"/>
    <w:rsid w:val="009D331A"/>
    <w:rsid w:val="009D60CF"/>
    <w:rsid w:val="009E0BB8"/>
    <w:rsid w:val="009E20DD"/>
    <w:rsid w:val="009E21EA"/>
    <w:rsid w:val="009E73A1"/>
    <w:rsid w:val="009F075A"/>
    <w:rsid w:val="00A018C3"/>
    <w:rsid w:val="00A04ECF"/>
    <w:rsid w:val="00A07D3F"/>
    <w:rsid w:val="00A17E90"/>
    <w:rsid w:val="00A301FC"/>
    <w:rsid w:val="00A33688"/>
    <w:rsid w:val="00A337E4"/>
    <w:rsid w:val="00A34970"/>
    <w:rsid w:val="00A35494"/>
    <w:rsid w:val="00A40292"/>
    <w:rsid w:val="00A44D89"/>
    <w:rsid w:val="00A46369"/>
    <w:rsid w:val="00A54901"/>
    <w:rsid w:val="00A67929"/>
    <w:rsid w:val="00A70BA1"/>
    <w:rsid w:val="00A81B3A"/>
    <w:rsid w:val="00A85D29"/>
    <w:rsid w:val="00A91EDB"/>
    <w:rsid w:val="00A9212F"/>
    <w:rsid w:val="00A9291A"/>
    <w:rsid w:val="00A97EA2"/>
    <w:rsid w:val="00AA1346"/>
    <w:rsid w:val="00AA19CB"/>
    <w:rsid w:val="00AA1E95"/>
    <w:rsid w:val="00AA4578"/>
    <w:rsid w:val="00AA6F1F"/>
    <w:rsid w:val="00AB74FE"/>
    <w:rsid w:val="00AC0C90"/>
    <w:rsid w:val="00AC30C2"/>
    <w:rsid w:val="00AC312A"/>
    <w:rsid w:val="00AC321A"/>
    <w:rsid w:val="00AD4B15"/>
    <w:rsid w:val="00AD6C2F"/>
    <w:rsid w:val="00AE259E"/>
    <w:rsid w:val="00AE29DD"/>
    <w:rsid w:val="00AE5D02"/>
    <w:rsid w:val="00AF31E6"/>
    <w:rsid w:val="00AF7D1E"/>
    <w:rsid w:val="00B01A78"/>
    <w:rsid w:val="00B044B5"/>
    <w:rsid w:val="00B10CFE"/>
    <w:rsid w:val="00B111D2"/>
    <w:rsid w:val="00B1663E"/>
    <w:rsid w:val="00B17CB8"/>
    <w:rsid w:val="00B20C8B"/>
    <w:rsid w:val="00B2237E"/>
    <w:rsid w:val="00B31717"/>
    <w:rsid w:val="00B371AF"/>
    <w:rsid w:val="00B373BD"/>
    <w:rsid w:val="00B426F2"/>
    <w:rsid w:val="00B463F3"/>
    <w:rsid w:val="00B54381"/>
    <w:rsid w:val="00B63AD1"/>
    <w:rsid w:val="00B63BCB"/>
    <w:rsid w:val="00B76D58"/>
    <w:rsid w:val="00B770DC"/>
    <w:rsid w:val="00B80727"/>
    <w:rsid w:val="00B85212"/>
    <w:rsid w:val="00B85422"/>
    <w:rsid w:val="00B9056C"/>
    <w:rsid w:val="00B9423E"/>
    <w:rsid w:val="00BA57B7"/>
    <w:rsid w:val="00BC35E9"/>
    <w:rsid w:val="00BC67E4"/>
    <w:rsid w:val="00BD322C"/>
    <w:rsid w:val="00BD565C"/>
    <w:rsid w:val="00BE3245"/>
    <w:rsid w:val="00BE3445"/>
    <w:rsid w:val="00BE4726"/>
    <w:rsid w:val="00BF40FB"/>
    <w:rsid w:val="00BF4283"/>
    <w:rsid w:val="00C0056A"/>
    <w:rsid w:val="00C02F1E"/>
    <w:rsid w:val="00C10511"/>
    <w:rsid w:val="00C11B84"/>
    <w:rsid w:val="00C12523"/>
    <w:rsid w:val="00C155EF"/>
    <w:rsid w:val="00C1757D"/>
    <w:rsid w:val="00C24BBD"/>
    <w:rsid w:val="00C25FCB"/>
    <w:rsid w:val="00C2657F"/>
    <w:rsid w:val="00C26593"/>
    <w:rsid w:val="00C27826"/>
    <w:rsid w:val="00C3138B"/>
    <w:rsid w:val="00C346AE"/>
    <w:rsid w:val="00C41CE0"/>
    <w:rsid w:val="00C4635B"/>
    <w:rsid w:val="00C50B95"/>
    <w:rsid w:val="00C54AE3"/>
    <w:rsid w:val="00C55418"/>
    <w:rsid w:val="00C568D9"/>
    <w:rsid w:val="00C60D77"/>
    <w:rsid w:val="00C642CC"/>
    <w:rsid w:val="00C66A0F"/>
    <w:rsid w:val="00C704D1"/>
    <w:rsid w:val="00C712A0"/>
    <w:rsid w:val="00C74A7C"/>
    <w:rsid w:val="00C75C14"/>
    <w:rsid w:val="00C833CD"/>
    <w:rsid w:val="00C84C20"/>
    <w:rsid w:val="00C852C8"/>
    <w:rsid w:val="00C8610D"/>
    <w:rsid w:val="00C909C4"/>
    <w:rsid w:val="00C91569"/>
    <w:rsid w:val="00CA28CF"/>
    <w:rsid w:val="00CA79BB"/>
    <w:rsid w:val="00CA7E57"/>
    <w:rsid w:val="00CB069C"/>
    <w:rsid w:val="00CB54CD"/>
    <w:rsid w:val="00CB6DFD"/>
    <w:rsid w:val="00CC1B65"/>
    <w:rsid w:val="00CC3086"/>
    <w:rsid w:val="00CC7825"/>
    <w:rsid w:val="00CD11A2"/>
    <w:rsid w:val="00CD6003"/>
    <w:rsid w:val="00CD7C97"/>
    <w:rsid w:val="00CE1380"/>
    <w:rsid w:val="00CE1A9C"/>
    <w:rsid w:val="00CE5631"/>
    <w:rsid w:val="00CE799E"/>
    <w:rsid w:val="00CF0826"/>
    <w:rsid w:val="00CF4FC1"/>
    <w:rsid w:val="00CF6D4B"/>
    <w:rsid w:val="00D00EA9"/>
    <w:rsid w:val="00D03064"/>
    <w:rsid w:val="00D145D9"/>
    <w:rsid w:val="00D22AC6"/>
    <w:rsid w:val="00D26ECA"/>
    <w:rsid w:val="00D34DC8"/>
    <w:rsid w:val="00D36697"/>
    <w:rsid w:val="00D36F6F"/>
    <w:rsid w:val="00D375D6"/>
    <w:rsid w:val="00D44D32"/>
    <w:rsid w:val="00D4572C"/>
    <w:rsid w:val="00D508A0"/>
    <w:rsid w:val="00D57DC5"/>
    <w:rsid w:val="00D6247D"/>
    <w:rsid w:val="00D62F21"/>
    <w:rsid w:val="00D641D9"/>
    <w:rsid w:val="00D6521B"/>
    <w:rsid w:val="00D8261B"/>
    <w:rsid w:val="00D85737"/>
    <w:rsid w:val="00D85C78"/>
    <w:rsid w:val="00D966AD"/>
    <w:rsid w:val="00DA1839"/>
    <w:rsid w:val="00DB219D"/>
    <w:rsid w:val="00DB33CA"/>
    <w:rsid w:val="00DB740F"/>
    <w:rsid w:val="00DC2CAA"/>
    <w:rsid w:val="00DD219B"/>
    <w:rsid w:val="00DD6D29"/>
    <w:rsid w:val="00DE44DD"/>
    <w:rsid w:val="00DE4E15"/>
    <w:rsid w:val="00E04B6A"/>
    <w:rsid w:val="00E05E0F"/>
    <w:rsid w:val="00E101D7"/>
    <w:rsid w:val="00E10FA0"/>
    <w:rsid w:val="00E22C18"/>
    <w:rsid w:val="00E25992"/>
    <w:rsid w:val="00E318AF"/>
    <w:rsid w:val="00E32610"/>
    <w:rsid w:val="00E3624F"/>
    <w:rsid w:val="00E37C9A"/>
    <w:rsid w:val="00E4243A"/>
    <w:rsid w:val="00E46050"/>
    <w:rsid w:val="00E46959"/>
    <w:rsid w:val="00E519DC"/>
    <w:rsid w:val="00E61504"/>
    <w:rsid w:val="00E677EA"/>
    <w:rsid w:val="00E745E1"/>
    <w:rsid w:val="00E80B4F"/>
    <w:rsid w:val="00E92250"/>
    <w:rsid w:val="00E934FA"/>
    <w:rsid w:val="00E93F17"/>
    <w:rsid w:val="00E94852"/>
    <w:rsid w:val="00E95DCA"/>
    <w:rsid w:val="00E97FCB"/>
    <w:rsid w:val="00EA79C9"/>
    <w:rsid w:val="00EB05A3"/>
    <w:rsid w:val="00EB061E"/>
    <w:rsid w:val="00EB1519"/>
    <w:rsid w:val="00EB39C5"/>
    <w:rsid w:val="00EB4055"/>
    <w:rsid w:val="00EB519A"/>
    <w:rsid w:val="00EC090C"/>
    <w:rsid w:val="00EC0B5C"/>
    <w:rsid w:val="00EC15F1"/>
    <w:rsid w:val="00EC32A6"/>
    <w:rsid w:val="00EC3878"/>
    <w:rsid w:val="00EC430D"/>
    <w:rsid w:val="00EC68A6"/>
    <w:rsid w:val="00EC6C73"/>
    <w:rsid w:val="00EC70A0"/>
    <w:rsid w:val="00ED143D"/>
    <w:rsid w:val="00ED2CB8"/>
    <w:rsid w:val="00ED3E02"/>
    <w:rsid w:val="00ED5FD4"/>
    <w:rsid w:val="00EE78B0"/>
    <w:rsid w:val="00EF6B21"/>
    <w:rsid w:val="00F05B6E"/>
    <w:rsid w:val="00F21B9E"/>
    <w:rsid w:val="00F227C4"/>
    <w:rsid w:val="00F22DB7"/>
    <w:rsid w:val="00F240E5"/>
    <w:rsid w:val="00F24B94"/>
    <w:rsid w:val="00F2625D"/>
    <w:rsid w:val="00F37612"/>
    <w:rsid w:val="00F407B9"/>
    <w:rsid w:val="00F4471C"/>
    <w:rsid w:val="00F45873"/>
    <w:rsid w:val="00F510FB"/>
    <w:rsid w:val="00F51533"/>
    <w:rsid w:val="00F55099"/>
    <w:rsid w:val="00F62080"/>
    <w:rsid w:val="00F631A7"/>
    <w:rsid w:val="00F64A45"/>
    <w:rsid w:val="00F660BC"/>
    <w:rsid w:val="00F667F1"/>
    <w:rsid w:val="00F7090B"/>
    <w:rsid w:val="00F745F5"/>
    <w:rsid w:val="00F8434A"/>
    <w:rsid w:val="00F84540"/>
    <w:rsid w:val="00F873DE"/>
    <w:rsid w:val="00F97961"/>
    <w:rsid w:val="00FA3624"/>
    <w:rsid w:val="00FB1984"/>
    <w:rsid w:val="00FB7B53"/>
    <w:rsid w:val="00FC0CCF"/>
    <w:rsid w:val="00FC1255"/>
    <w:rsid w:val="00FC1302"/>
    <w:rsid w:val="00FC5681"/>
    <w:rsid w:val="00FC67CA"/>
    <w:rsid w:val="00FD2670"/>
    <w:rsid w:val="00FD2DAE"/>
    <w:rsid w:val="00FD2DB8"/>
    <w:rsid w:val="00FD3672"/>
    <w:rsid w:val="00FD4019"/>
    <w:rsid w:val="00FE2119"/>
    <w:rsid w:val="00FE2F56"/>
    <w:rsid w:val="00FF0B78"/>
    <w:rsid w:val="00FF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837FAD"/>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C57B7"/>
    <w:pPr>
      <w:jc w:val="both"/>
    </w:pPr>
    <w:rPr>
      <w:rFonts w:ascii="Arial" w:hAnsi="Arial"/>
      <w:sz w:val="22"/>
    </w:rPr>
  </w:style>
  <w:style w:type="paragraph" w:styleId="Heading1">
    <w:name w:val="heading 1"/>
    <w:basedOn w:val="Normal"/>
    <w:next w:val="BodyText"/>
    <w:qFormat/>
    <w:pPr>
      <w:keepNext/>
      <w:numPr>
        <w:numId w:val="1"/>
      </w:numPr>
      <w:spacing w:before="240" w:after="240"/>
      <w:outlineLvl w:val="0"/>
    </w:pPr>
    <w:rPr>
      <w:b/>
      <w:caps/>
    </w:rPr>
  </w:style>
  <w:style w:type="paragraph" w:styleId="Heading2">
    <w:name w:val="heading 2"/>
    <w:basedOn w:val="Normal"/>
    <w:next w:val="BodyText"/>
    <w:qFormat/>
    <w:rsid w:val="00D641D9"/>
    <w:pPr>
      <w:keepNext/>
      <w:numPr>
        <w:ilvl w:val="1"/>
        <w:numId w:val="2"/>
      </w:numPr>
      <w:spacing w:before="240" w:after="240"/>
      <w:outlineLvl w:val="1"/>
    </w:pPr>
    <w:rPr>
      <w:lang w:eastAsia="en-US"/>
    </w:rPr>
  </w:style>
  <w:style w:type="paragraph" w:styleId="Heading3">
    <w:name w:val="heading 3"/>
    <w:basedOn w:val="Normal"/>
    <w:next w:val="BodyText"/>
    <w:qFormat/>
    <w:pPr>
      <w:keepNext/>
      <w:numPr>
        <w:ilvl w:val="2"/>
        <w:numId w:val="3"/>
      </w:numPr>
      <w:spacing w:before="240" w:after="240"/>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567"/>
    </w:pPr>
    <w:rPr>
      <w:sz w:val="24"/>
    </w:rPr>
  </w:style>
  <w:style w:type="paragraph" w:styleId="Footer">
    <w:name w:val="footer"/>
    <w:basedOn w:val="Normal"/>
    <w:link w:val="FooterChar"/>
    <w:uiPriority w:val="99"/>
    <w:pPr>
      <w:jc w:val="center"/>
      <w:outlineLvl w:val="3"/>
    </w:pPr>
    <w:rPr>
      <w:b/>
    </w:rPr>
  </w:style>
  <w:style w:type="paragraph" w:styleId="Header">
    <w:name w:val="header"/>
    <w:basedOn w:val="Normal"/>
    <w:pPr>
      <w:spacing w:after="720"/>
      <w:jc w:val="center"/>
      <w:outlineLvl w:val="3"/>
    </w:pPr>
    <w:rPr>
      <w:b/>
      <w:caps/>
      <w:sz w:val="28"/>
    </w:rPr>
  </w:style>
  <w:style w:type="paragraph" w:styleId="Subtitle">
    <w:name w:val="Subtitle"/>
    <w:basedOn w:val="Normal"/>
    <w:next w:val="Heading1"/>
    <w:qFormat/>
    <w:pPr>
      <w:outlineLvl w:val="0"/>
    </w:pPr>
    <w:rPr>
      <w:b/>
      <w:sz w:val="28"/>
    </w:rPr>
  </w:style>
  <w:style w:type="paragraph" w:styleId="Title">
    <w:name w:val="Title"/>
    <w:basedOn w:val="Normal"/>
    <w:next w:val="Subtitle"/>
    <w:qFormat/>
    <w:pPr>
      <w:outlineLvl w:val="0"/>
    </w:pPr>
    <w:rPr>
      <w:b/>
      <w:caps/>
      <w:sz w:val="28"/>
    </w:rPr>
  </w:style>
  <w:style w:type="table" w:styleId="TableGrid">
    <w:name w:val="Table Grid"/>
    <w:basedOn w:val="TableNormal"/>
    <w:rsid w:val="007B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C67CA"/>
  </w:style>
  <w:style w:type="character" w:styleId="CommentReference">
    <w:name w:val="annotation reference"/>
    <w:semiHidden/>
    <w:rsid w:val="00C0056A"/>
    <w:rPr>
      <w:sz w:val="16"/>
      <w:szCs w:val="16"/>
    </w:rPr>
  </w:style>
  <w:style w:type="paragraph" w:styleId="CommentText">
    <w:name w:val="annotation text"/>
    <w:basedOn w:val="Normal"/>
    <w:semiHidden/>
    <w:rsid w:val="00C0056A"/>
    <w:rPr>
      <w:sz w:val="20"/>
    </w:rPr>
  </w:style>
  <w:style w:type="paragraph" w:styleId="CommentSubject">
    <w:name w:val="annotation subject"/>
    <w:basedOn w:val="CommentText"/>
    <w:next w:val="CommentText"/>
    <w:semiHidden/>
    <w:rsid w:val="00C0056A"/>
    <w:rPr>
      <w:b/>
      <w:bCs/>
    </w:rPr>
  </w:style>
  <w:style w:type="paragraph" w:styleId="BalloonText">
    <w:name w:val="Balloon Text"/>
    <w:basedOn w:val="Normal"/>
    <w:semiHidden/>
    <w:rsid w:val="00C0056A"/>
    <w:rPr>
      <w:rFonts w:ascii="Tahoma" w:hAnsi="Tahoma" w:cs="Tahoma"/>
      <w:sz w:val="16"/>
      <w:szCs w:val="16"/>
    </w:rPr>
  </w:style>
  <w:style w:type="character" w:customStyle="1" w:styleId="FooterChar">
    <w:name w:val="Footer Char"/>
    <w:link w:val="Footer"/>
    <w:uiPriority w:val="99"/>
    <w:rsid w:val="00F37612"/>
    <w:rPr>
      <w:rFonts w:ascii="Arial" w:hAnsi="Arial"/>
      <w:b/>
      <w:sz w:val="22"/>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D508A0"/>
    <w:pPr>
      <w:ind w:left="720"/>
      <w:contextualSpacing/>
    </w:pPr>
  </w:style>
  <w:style w:type="paragraph" w:styleId="ListBullet2">
    <w:name w:val="List Bullet 2"/>
    <w:basedOn w:val="Normal"/>
    <w:rsid w:val="00055BA4"/>
    <w:pPr>
      <w:keepLines/>
      <w:numPr>
        <w:ilvl w:val="1"/>
        <w:numId w:val="4"/>
      </w:numPr>
      <w:tabs>
        <w:tab w:val="left" w:pos="1080"/>
        <w:tab w:val="left" w:pos="1134"/>
      </w:tabs>
      <w:overflowPunct w:val="0"/>
      <w:autoSpaceDE w:val="0"/>
      <w:autoSpaceDN w:val="0"/>
      <w:adjustRightInd w:val="0"/>
      <w:jc w:val="center"/>
      <w:textAlignment w:val="baseline"/>
    </w:pPr>
    <w:rPr>
      <w:rFonts w:ascii="Gill Sans" w:hAnsi="Gill Sans"/>
      <w:b/>
      <w:bCs/>
      <w:sz w:val="24"/>
      <w:lang w:eastAsia="en-US"/>
    </w:rPr>
  </w:style>
  <w:style w:type="paragraph" w:styleId="ListBullet">
    <w:name w:val="List Bullet"/>
    <w:basedOn w:val="Normal"/>
    <w:rsid w:val="00055BA4"/>
    <w:pPr>
      <w:keepLines/>
      <w:numPr>
        <w:numId w:val="4"/>
      </w:numPr>
      <w:tabs>
        <w:tab w:val="left" w:pos="0"/>
        <w:tab w:val="left" w:pos="360"/>
      </w:tabs>
      <w:overflowPunct w:val="0"/>
      <w:autoSpaceDE w:val="0"/>
      <w:autoSpaceDN w:val="0"/>
      <w:adjustRightInd w:val="0"/>
      <w:spacing w:after="120"/>
      <w:jc w:val="center"/>
      <w:textAlignment w:val="baseline"/>
    </w:pPr>
    <w:rPr>
      <w:rFonts w:ascii="Gill Sans" w:hAnsi="Gill Sans"/>
      <w:b/>
      <w:bCs/>
      <w:sz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D966AD"/>
    <w:rPr>
      <w:rFonts w:ascii="Arial" w:hAnsi="Arial"/>
      <w:sz w:val="22"/>
    </w:rPr>
  </w:style>
  <w:style w:type="character" w:styleId="Emphasis">
    <w:name w:val="Emphasis"/>
    <w:basedOn w:val="DefaultParagraphFont"/>
    <w:qFormat/>
    <w:rsid w:val="00836C4D"/>
    <w:rPr>
      <w:i/>
      <w:iCs/>
    </w:rPr>
  </w:style>
  <w:style w:type="paragraph" w:styleId="Revision">
    <w:name w:val="Revision"/>
    <w:hidden/>
    <w:uiPriority w:val="71"/>
    <w:rsid w:val="0054605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02955">
      <w:bodyDiv w:val="1"/>
      <w:marLeft w:val="0"/>
      <w:marRight w:val="0"/>
      <w:marTop w:val="0"/>
      <w:marBottom w:val="0"/>
      <w:divBdr>
        <w:top w:val="none" w:sz="0" w:space="0" w:color="auto"/>
        <w:left w:val="none" w:sz="0" w:space="0" w:color="auto"/>
        <w:bottom w:val="none" w:sz="0" w:space="0" w:color="auto"/>
        <w:right w:val="none" w:sz="0" w:space="0" w:color="auto"/>
      </w:divBdr>
    </w:div>
    <w:div w:id="929968317">
      <w:bodyDiv w:val="1"/>
      <w:marLeft w:val="0"/>
      <w:marRight w:val="0"/>
      <w:marTop w:val="0"/>
      <w:marBottom w:val="0"/>
      <w:divBdr>
        <w:top w:val="none" w:sz="0" w:space="0" w:color="auto"/>
        <w:left w:val="none" w:sz="0" w:space="0" w:color="auto"/>
        <w:bottom w:val="none" w:sz="0" w:space="0" w:color="auto"/>
        <w:right w:val="none" w:sz="0" w:space="0" w:color="auto"/>
      </w:divBdr>
    </w:div>
    <w:div w:id="1257056559">
      <w:bodyDiv w:val="1"/>
      <w:marLeft w:val="0"/>
      <w:marRight w:val="0"/>
      <w:marTop w:val="0"/>
      <w:marBottom w:val="0"/>
      <w:divBdr>
        <w:top w:val="none" w:sz="0" w:space="0" w:color="auto"/>
        <w:left w:val="none" w:sz="0" w:space="0" w:color="auto"/>
        <w:bottom w:val="none" w:sz="0" w:space="0" w:color="auto"/>
        <w:right w:val="none" w:sz="0" w:space="0" w:color="auto"/>
      </w:divBdr>
    </w:div>
    <w:div w:id="14837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9A7AD2E58AFC4D8EEDFCBA4A57BB40" ma:contentTypeVersion="4" ma:contentTypeDescription="Create a new document." ma:contentTypeScope="" ma:versionID="2f1154856444eb3b52e4eb6141fd65fb">
  <xsd:schema xmlns:xsd="http://www.w3.org/2001/XMLSchema" xmlns:xs="http://www.w3.org/2001/XMLSchema" xmlns:p="http://schemas.microsoft.com/office/2006/metadata/properties" xmlns:ns2="97fcf4d1-5b37-4067-80c5-b86713a3f882" xmlns:ns3="3c9b2365-c850-4672-97ca-89c6fc04ba88" targetNamespace="http://schemas.microsoft.com/office/2006/metadata/properties" ma:root="true" ma:fieldsID="465a19d1632aa091cb80fb778a69656a" ns2:_="" ns3:_="">
    <xsd:import namespace="97fcf4d1-5b37-4067-80c5-b86713a3f882"/>
    <xsd:import namespace="3c9b2365-c850-4672-97ca-89c6fc04ba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cf4d1-5b37-4067-80c5-b86713a3f8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b2365-c850-4672-97ca-89c6fc04ba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E9DAC-23AA-2440-80F6-099F226FCC5C}">
  <ds:schemaRefs>
    <ds:schemaRef ds:uri="http://schemas.openxmlformats.org/officeDocument/2006/bibliography"/>
  </ds:schemaRefs>
</ds:datastoreItem>
</file>

<file path=customXml/itemProps2.xml><?xml version="1.0" encoding="utf-8"?>
<ds:datastoreItem xmlns:ds="http://schemas.openxmlformats.org/officeDocument/2006/customXml" ds:itemID="{189317F3-6048-47E4-BF3A-2F0833FC2F33}"/>
</file>

<file path=customXml/itemProps3.xml><?xml version="1.0" encoding="utf-8"?>
<ds:datastoreItem xmlns:ds="http://schemas.openxmlformats.org/officeDocument/2006/customXml" ds:itemID="{D0A25F40-B0E4-4B07-9437-10DCCDD1C5D0}"/>
</file>

<file path=customXml/itemProps4.xml><?xml version="1.0" encoding="utf-8"?>
<ds:datastoreItem xmlns:ds="http://schemas.openxmlformats.org/officeDocument/2006/customXml" ds:itemID="{72CD3549-1723-47D3-A7AF-91679AD78A9B}"/>
</file>

<file path=docProps/app.xml><?xml version="1.0" encoding="utf-8"?>
<Properties xmlns="http://schemas.openxmlformats.org/officeDocument/2006/extended-properties" xmlns:vt="http://schemas.openxmlformats.org/officeDocument/2006/docPropsVTypes">
  <Template>Normal.dotm</Template>
  <TotalTime>3</TotalTime>
  <Pages>6</Pages>
  <Words>2160</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Authority meeting minutes template</vt:lpstr>
    </vt:vector>
  </TitlesOfParts>
  <Company>United Kingdom Atomic Energy Authority</Company>
  <LinksUpToDate>false</LinksUpToDate>
  <CharactersWithSpaces>13292</CharactersWithSpaces>
  <SharedDoc>false</SharedDoc>
  <HLinks>
    <vt:vector size="6" baseType="variant">
      <vt:variant>
        <vt:i4>1835033</vt:i4>
      </vt:variant>
      <vt:variant>
        <vt:i4>2048</vt:i4>
      </vt:variant>
      <vt:variant>
        <vt:i4>1025</vt:i4>
      </vt:variant>
      <vt:variant>
        <vt:i4>1</vt:i4>
      </vt:variant>
      <vt:variant>
        <vt:lpwstr>UK AEA_BLK_SML_AW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meeting minutes template</dc:title>
  <dc:subject/>
  <dc:creator>Nick Walkden</dc:creator>
  <cp:keywords/>
  <cp:lastModifiedBy>Mooring, Lyndsey</cp:lastModifiedBy>
  <cp:revision>6</cp:revision>
  <cp:lastPrinted>2021-07-07T12:11:00Z</cp:lastPrinted>
  <dcterms:created xsi:type="dcterms:W3CDTF">2022-12-12T08:12:00Z</dcterms:created>
  <dcterms:modified xsi:type="dcterms:W3CDTF">2022-12-12T08:14:00Z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759de7-3255-46b5-8dfe-736652f9c6c1_Enabled">
    <vt:lpwstr>true</vt:lpwstr>
  </property>
  <property fmtid="{D5CDD505-2E9C-101B-9397-08002B2CF9AE}" pid="3" name="MSIP_Label_22759de7-3255-46b5-8dfe-736652f9c6c1_SiteId">
    <vt:lpwstr>c6ac664b-ae27-4d5d-b4e6-bb5717196fc7</vt:lpwstr>
  </property>
  <property fmtid="{D5CDD505-2E9C-101B-9397-08002B2CF9AE}" pid="4" name="MSIP_Label_22759de7-3255-46b5-8dfe-736652f9c6c1_Owner">
    <vt:lpwstr>andrew.bickley@ukaea.uk</vt:lpwstr>
  </property>
  <property fmtid="{D5CDD505-2E9C-101B-9397-08002B2CF9AE}" pid="5" name="MSIP_Label_22759de7-3255-46b5-8dfe-736652f9c6c1_SetDate">
    <vt:lpwstr>2022-12-12T08:12:14Z</vt:lpwstr>
  </property>
  <property fmtid="{D5CDD505-2E9C-101B-9397-08002B2CF9AE}" pid="6" name="MSIP_Label_22759de7-3255-46b5-8dfe-736652f9c6c1_Name">
    <vt:lpwstr>22759de7-3255-46b5-8dfe-736652f9c6c1</vt:lpwstr>
  </property>
  <property fmtid="{D5CDD505-2E9C-101B-9397-08002B2CF9AE}" pid="7" name="MSIP_Label_22759de7-3255-46b5-8dfe-736652f9c6c1_Application">
    <vt:lpwstr>Microsoft Azure Information Protection</vt:lpwstr>
  </property>
  <property fmtid="{D5CDD505-2E9C-101B-9397-08002B2CF9AE}" pid="8" name="MSIP_Label_22759de7-3255-46b5-8dfe-736652f9c6c1_ActionId">
    <vt:lpwstr>b60a0879-b64e-4bb2-844f-8a98518ad874</vt:lpwstr>
  </property>
  <property fmtid="{D5CDD505-2E9C-101B-9397-08002B2CF9AE}" pid="9" name="MSIP_Label_22759de7-3255-46b5-8dfe-736652f9c6c1_Parent">
    <vt:lpwstr>0dcb255a-fd3f-4c0f-857e-201fa46304da</vt:lpwstr>
  </property>
  <property fmtid="{D5CDD505-2E9C-101B-9397-08002B2CF9AE}" pid="10" name="MSIP_Label_22759de7-3255-46b5-8dfe-736652f9c6c1_Extended_MSFT_Method">
    <vt:lpwstr>Automatic</vt:lpwstr>
  </property>
  <property fmtid="{D5CDD505-2E9C-101B-9397-08002B2CF9AE}" pid="11" name="MSIP_Label_22759de7-3255-46b5-8dfe-736652f9c6c1_Method">
    <vt:lpwstr>Standard</vt:lpwstr>
  </property>
  <property fmtid="{D5CDD505-2E9C-101B-9397-08002B2CF9AE}" pid="12" name="MSIP_Label_22759de7-3255-46b5-8dfe-736652f9c6c1_ContentBits">
    <vt:lpwstr>0</vt:lpwstr>
  </property>
  <property fmtid="{D5CDD505-2E9C-101B-9397-08002B2CF9AE}" pid="13" name="ContentTypeId">
    <vt:lpwstr>0x010100149A7AD2E58AFC4D8EEDFCBA4A57BB40</vt:lpwstr>
  </property>
</Properties>
</file>