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26D96" w14:textId="69437612" w:rsidR="003C3AF1" w:rsidRPr="008C4825" w:rsidRDefault="00C81990">
      <w:pPr>
        <w:rPr>
          <w:rFonts w:ascii="Arial" w:hAnsi="Arial" w:cs="Arial"/>
          <w:noProof/>
        </w:rPr>
      </w:pPr>
      <w:r w:rsidRPr="008C4825">
        <w:rPr>
          <w:rFonts w:ascii="Arial" w:hAnsi="Arial" w:cs="Arial"/>
          <w:noProof/>
        </w:rPr>
        <w:drawing>
          <wp:inline distT="0" distB="0" distL="0" distR="0" wp14:anchorId="0888081B" wp14:editId="5CB002C4">
            <wp:extent cx="3422015" cy="358775"/>
            <wp:effectExtent l="0" t="0" r="0" b="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015" cy="358775"/>
                    </a:xfrm>
                    <a:prstGeom prst="rect">
                      <a:avLst/>
                    </a:prstGeom>
                    <a:noFill/>
                    <a:ln>
                      <a:noFill/>
                    </a:ln>
                  </pic:spPr>
                </pic:pic>
              </a:graphicData>
            </a:graphic>
          </wp:inline>
        </w:drawing>
      </w:r>
    </w:p>
    <w:p w14:paraId="5A02EEE7" w14:textId="77777777" w:rsidR="003C3AF1" w:rsidRPr="008C4825" w:rsidRDefault="003C3AF1">
      <w:pPr>
        <w:rPr>
          <w:rFonts w:ascii="Arial" w:hAnsi="Arial" w:cs="Arial"/>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3C3AF1" w:rsidRPr="008C4825" w14:paraId="2286EEEB" w14:textId="77777777" w:rsidTr="00DD37E9">
        <w:tblPrEx>
          <w:tblCellMar>
            <w:top w:w="0" w:type="dxa"/>
            <w:bottom w:w="0" w:type="dxa"/>
          </w:tblCellMar>
        </w:tblPrEx>
        <w:trPr>
          <w:cantSplit/>
          <w:trHeight w:val="374"/>
        </w:trPr>
        <w:tc>
          <w:tcPr>
            <w:tcW w:w="9356" w:type="dxa"/>
            <w:shd w:val="clear" w:color="auto" w:fill="auto"/>
          </w:tcPr>
          <w:p w14:paraId="3D9404D6" w14:textId="77777777" w:rsidR="0063776B" w:rsidRPr="008C4825" w:rsidRDefault="003C3AF1" w:rsidP="0063776B">
            <w:pPr>
              <w:spacing w:before="180"/>
              <w:ind w:left="-108" w:right="34"/>
              <w:rPr>
                <w:rFonts w:ascii="Arial" w:hAnsi="Arial" w:cs="Arial"/>
                <w:b/>
                <w:color w:val="000000"/>
                <w:sz w:val="40"/>
                <w:szCs w:val="40"/>
              </w:rPr>
            </w:pPr>
            <w:r w:rsidRPr="008C4825">
              <w:rPr>
                <w:rFonts w:ascii="Arial" w:hAnsi="Arial" w:cs="Arial"/>
                <w:b/>
                <w:color w:val="000000"/>
                <w:sz w:val="40"/>
                <w:szCs w:val="40"/>
              </w:rPr>
              <w:t>Appeal Decision</w:t>
            </w:r>
          </w:p>
          <w:p w14:paraId="728A5550" w14:textId="77777777" w:rsidR="0063776B" w:rsidRPr="008C4825" w:rsidRDefault="0063776B" w:rsidP="0063776B">
            <w:pPr>
              <w:spacing w:before="180"/>
              <w:ind w:left="-108" w:right="34"/>
              <w:rPr>
                <w:rFonts w:ascii="Arial" w:hAnsi="Arial" w:cs="Arial"/>
                <w:b/>
                <w:color w:val="000000"/>
                <w:sz w:val="20"/>
              </w:rPr>
            </w:pPr>
          </w:p>
          <w:p w14:paraId="3FF7DA85" w14:textId="77777777" w:rsidR="0063776B" w:rsidRPr="00875D72" w:rsidRDefault="0063776B" w:rsidP="003C3AF1">
            <w:pPr>
              <w:spacing w:before="180"/>
              <w:ind w:left="-108" w:right="34"/>
              <w:rPr>
                <w:rFonts w:ascii="Arial" w:hAnsi="Arial" w:cs="Arial"/>
                <w:b/>
                <w:color w:val="000000"/>
                <w:sz w:val="24"/>
                <w:szCs w:val="24"/>
              </w:rPr>
            </w:pPr>
            <w:r w:rsidRPr="00875D72">
              <w:rPr>
                <w:rFonts w:ascii="Arial" w:hAnsi="Arial" w:cs="Arial"/>
                <w:b/>
                <w:color w:val="000000"/>
                <w:sz w:val="24"/>
                <w:szCs w:val="24"/>
              </w:rPr>
              <w:t>by A Behn  Dip MS MIPROW</w:t>
            </w:r>
          </w:p>
        </w:tc>
      </w:tr>
      <w:tr w:rsidR="003C3AF1" w:rsidRPr="00361890" w14:paraId="671472AE" w14:textId="77777777" w:rsidTr="00DD37E9">
        <w:tblPrEx>
          <w:tblCellMar>
            <w:top w:w="0" w:type="dxa"/>
            <w:bottom w:w="0" w:type="dxa"/>
          </w:tblCellMar>
        </w:tblPrEx>
        <w:trPr>
          <w:cantSplit/>
          <w:trHeight w:val="357"/>
        </w:trPr>
        <w:tc>
          <w:tcPr>
            <w:tcW w:w="9356" w:type="dxa"/>
            <w:shd w:val="clear" w:color="auto" w:fill="auto"/>
          </w:tcPr>
          <w:p w14:paraId="2D88759A" w14:textId="77777777" w:rsidR="003C3AF1" w:rsidRPr="008C4825" w:rsidRDefault="003C3AF1" w:rsidP="003C3AF1">
            <w:pPr>
              <w:spacing w:before="120"/>
              <w:ind w:left="-108" w:right="34"/>
              <w:rPr>
                <w:rFonts w:ascii="Arial" w:hAnsi="Arial" w:cs="Arial"/>
                <w:b/>
                <w:color w:val="000000"/>
                <w:sz w:val="20"/>
              </w:rPr>
            </w:pPr>
            <w:r w:rsidRPr="008C4825">
              <w:rPr>
                <w:rFonts w:ascii="Arial" w:hAnsi="Arial" w:cs="Arial"/>
                <w:b/>
                <w:color w:val="000000"/>
                <w:sz w:val="20"/>
              </w:rPr>
              <w:t>an Inspector</w:t>
            </w:r>
            <w:r w:rsidR="00395B34">
              <w:rPr>
                <w:rFonts w:ascii="Arial" w:hAnsi="Arial" w:cs="Arial"/>
                <w:b/>
                <w:color w:val="000000"/>
                <w:sz w:val="20"/>
              </w:rPr>
              <w:t xml:space="preserve"> </w:t>
            </w:r>
            <w:r w:rsidR="00875D72" w:rsidRPr="00E209C7">
              <w:rPr>
                <w:rFonts w:ascii="Arial" w:hAnsi="Arial" w:cs="Arial"/>
                <w:b/>
                <w:color w:val="000000"/>
                <w:sz w:val="20"/>
              </w:rPr>
              <w:t>on</w:t>
            </w:r>
            <w:r w:rsidR="00D15ED9" w:rsidRPr="00E209C7">
              <w:rPr>
                <w:rFonts w:ascii="Arial" w:hAnsi="Arial" w:cs="Arial"/>
                <w:b/>
                <w:color w:val="000000"/>
                <w:sz w:val="20"/>
              </w:rPr>
              <w:t xml:space="preserve"> direct</w:t>
            </w:r>
            <w:r w:rsidR="00875D72" w:rsidRPr="00E209C7">
              <w:rPr>
                <w:rFonts w:ascii="Arial" w:hAnsi="Arial" w:cs="Arial"/>
                <w:b/>
                <w:color w:val="000000"/>
                <w:sz w:val="20"/>
              </w:rPr>
              <w:t>ion of</w:t>
            </w:r>
            <w:r w:rsidRPr="008C4825">
              <w:rPr>
                <w:rFonts w:ascii="Arial" w:hAnsi="Arial" w:cs="Arial"/>
                <w:b/>
                <w:color w:val="000000"/>
                <w:sz w:val="20"/>
              </w:rPr>
              <w:t xml:space="preserve"> the Secretary of State for Environment, Food and Rural Affairs</w:t>
            </w:r>
          </w:p>
        </w:tc>
      </w:tr>
      <w:tr w:rsidR="003C3AF1" w:rsidRPr="00A101CD" w14:paraId="55EE7001" w14:textId="77777777" w:rsidTr="00DD37E9">
        <w:tblPrEx>
          <w:tblCellMar>
            <w:top w:w="0" w:type="dxa"/>
            <w:bottom w:w="0" w:type="dxa"/>
          </w:tblCellMar>
        </w:tblPrEx>
        <w:trPr>
          <w:cantSplit/>
          <w:trHeight w:val="335"/>
        </w:trPr>
        <w:tc>
          <w:tcPr>
            <w:tcW w:w="9356" w:type="dxa"/>
            <w:shd w:val="clear" w:color="auto" w:fill="auto"/>
          </w:tcPr>
          <w:p w14:paraId="16805FF8" w14:textId="1775861E" w:rsidR="003C3AF1" w:rsidRPr="008C4825" w:rsidRDefault="003C3AF1" w:rsidP="003C3AF1">
            <w:pPr>
              <w:spacing w:before="120"/>
              <w:ind w:left="-108" w:right="176"/>
              <w:rPr>
                <w:rFonts w:ascii="Arial" w:hAnsi="Arial" w:cs="Arial"/>
                <w:b/>
                <w:color w:val="000000"/>
                <w:sz w:val="20"/>
              </w:rPr>
            </w:pPr>
            <w:r w:rsidRPr="008C4825">
              <w:rPr>
                <w:rFonts w:ascii="Arial" w:hAnsi="Arial" w:cs="Arial"/>
                <w:b/>
                <w:color w:val="000000"/>
                <w:sz w:val="20"/>
              </w:rPr>
              <w:t xml:space="preserve">Decision date: </w:t>
            </w:r>
            <w:r w:rsidR="00B16EA0">
              <w:rPr>
                <w:rFonts w:ascii="Arial" w:hAnsi="Arial" w:cs="Arial"/>
                <w:b/>
                <w:color w:val="000000"/>
                <w:sz w:val="20"/>
              </w:rPr>
              <w:t>23 November 2022</w:t>
            </w:r>
          </w:p>
        </w:tc>
      </w:tr>
    </w:tbl>
    <w:p w14:paraId="374BB812" w14:textId="77777777" w:rsidR="00DD37E9" w:rsidRPr="006A3491" w:rsidRDefault="00DD37E9">
      <w:pPr>
        <w:rPr>
          <w:rFonts w:ascii="Arial" w:hAnsi="Arial" w:cs="Arial"/>
          <w:sz w:val="16"/>
          <w:szCs w:val="16"/>
        </w:rPr>
      </w:pPr>
    </w:p>
    <w:tbl>
      <w:tblPr>
        <w:tblW w:w="0" w:type="auto"/>
        <w:tblLayout w:type="fixed"/>
        <w:tblLook w:val="0000" w:firstRow="0" w:lastRow="0" w:firstColumn="0" w:lastColumn="0" w:noHBand="0" w:noVBand="0"/>
      </w:tblPr>
      <w:tblGrid>
        <w:gridCol w:w="9520"/>
      </w:tblGrid>
      <w:tr w:rsidR="00DD37E9" w:rsidRPr="006A3491" w14:paraId="5705B838" w14:textId="77777777" w:rsidTr="00DD37E9">
        <w:tblPrEx>
          <w:tblCellMar>
            <w:top w:w="0" w:type="dxa"/>
            <w:bottom w:w="0" w:type="dxa"/>
          </w:tblCellMar>
        </w:tblPrEx>
        <w:tc>
          <w:tcPr>
            <w:tcW w:w="9520" w:type="dxa"/>
            <w:shd w:val="clear" w:color="auto" w:fill="auto"/>
          </w:tcPr>
          <w:p w14:paraId="6EE15EFB" w14:textId="77777777" w:rsidR="00DD37E9" w:rsidRPr="00875D72" w:rsidRDefault="00C5189E" w:rsidP="00C16168">
            <w:pPr>
              <w:spacing w:after="60"/>
              <w:rPr>
                <w:rFonts w:ascii="Arial" w:hAnsi="Arial" w:cs="Arial"/>
                <w:b/>
                <w:color w:val="000000"/>
                <w:sz w:val="24"/>
                <w:szCs w:val="24"/>
              </w:rPr>
            </w:pPr>
            <w:bookmarkStart w:id="0" w:name="_Hlk115101008"/>
            <w:r w:rsidRPr="00875D72">
              <w:rPr>
                <w:rFonts w:ascii="Arial" w:hAnsi="Arial" w:cs="Arial"/>
                <w:b/>
                <w:color w:val="000000"/>
                <w:sz w:val="24"/>
                <w:szCs w:val="24"/>
              </w:rPr>
              <w:t>Appeal</w:t>
            </w:r>
            <w:r w:rsidR="00DD37E9" w:rsidRPr="00875D72">
              <w:rPr>
                <w:rFonts w:ascii="Arial" w:hAnsi="Arial" w:cs="Arial"/>
                <w:b/>
                <w:color w:val="000000"/>
                <w:sz w:val="24"/>
                <w:szCs w:val="24"/>
              </w:rPr>
              <w:t xml:space="preserve"> Ref: </w:t>
            </w:r>
            <w:r w:rsidR="006A3491" w:rsidRPr="00875D72">
              <w:rPr>
                <w:rFonts w:ascii="Arial" w:hAnsi="Arial" w:cs="Arial"/>
                <w:b/>
                <w:color w:val="000000"/>
                <w:sz w:val="24"/>
                <w:szCs w:val="24"/>
              </w:rPr>
              <w:t>FPS</w:t>
            </w:r>
            <w:r w:rsidR="00DD37E9" w:rsidRPr="00875D72">
              <w:rPr>
                <w:rFonts w:ascii="Arial" w:hAnsi="Arial" w:cs="Arial"/>
                <w:b/>
                <w:color w:val="000000"/>
                <w:sz w:val="24"/>
                <w:szCs w:val="24"/>
              </w:rPr>
              <w:t>/</w:t>
            </w:r>
            <w:r w:rsidR="006A3491" w:rsidRPr="00875D72">
              <w:rPr>
                <w:rFonts w:ascii="Arial" w:hAnsi="Arial" w:cs="Arial"/>
                <w:b/>
                <w:color w:val="000000"/>
                <w:sz w:val="24"/>
                <w:szCs w:val="24"/>
              </w:rPr>
              <w:t>H4315</w:t>
            </w:r>
            <w:r w:rsidR="004902DB" w:rsidRPr="00875D72">
              <w:rPr>
                <w:rFonts w:ascii="Arial" w:hAnsi="Arial" w:cs="Arial"/>
                <w:b/>
                <w:color w:val="000000"/>
                <w:sz w:val="24"/>
                <w:szCs w:val="24"/>
              </w:rPr>
              <w:t>/14A/</w:t>
            </w:r>
            <w:r w:rsidR="00982EE8" w:rsidRPr="00875D72">
              <w:rPr>
                <w:rFonts w:ascii="Arial" w:hAnsi="Arial" w:cs="Arial"/>
                <w:b/>
                <w:color w:val="000000"/>
                <w:sz w:val="24"/>
                <w:szCs w:val="24"/>
              </w:rPr>
              <w:t>1</w:t>
            </w:r>
          </w:p>
        </w:tc>
      </w:tr>
      <w:tr w:rsidR="00DD37E9" w14:paraId="71822AA2" w14:textId="77777777" w:rsidTr="00DD37E9">
        <w:tblPrEx>
          <w:tblCellMar>
            <w:top w:w="0" w:type="dxa"/>
            <w:bottom w:w="0" w:type="dxa"/>
          </w:tblCellMar>
        </w:tblPrEx>
        <w:tc>
          <w:tcPr>
            <w:tcW w:w="9520" w:type="dxa"/>
            <w:shd w:val="clear" w:color="auto" w:fill="auto"/>
          </w:tcPr>
          <w:p w14:paraId="1179320F" w14:textId="77777777" w:rsidR="00DD37E9" w:rsidRPr="00152A90" w:rsidRDefault="00DD37E9" w:rsidP="00C91991">
            <w:pPr>
              <w:pStyle w:val="TBullet"/>
              <w:numPr>
                <w:ilvl w:val="0"/>
                <w:numId w:val="0"/>
              </w:numPr>
            </w:pPr>
          </w:p>
        </w:tc>
      </w:tr>
      <w:tr w:rsidR="00DD37E9" w14:paraId="1521EB53" w14:textId="77777777" w:rsidTr="00DD37E9">
        <w:tblPrEx>
          <w:tblCellMar>
            <w:top w:w="0" w:type="dxa"/>
            <w:bottom w:w="0" w:type="dxa"/>
          </w:tblCellMar>
        </w:tblPrEx>
        <w:tc>
          <w:tcPr>
            <w:tcW w:w="9520" w:type="dxa"/>
            <w:shd w:val="clear" w:color="auto" w:fill="auto"/>
          </w:tcPr>
          <w:tbl>
            <w:tblPr>
              <w:tblW w:w="9520" w:type="dxa"/>
              <w:tblLayout w:type="fixed"/>
              <w:tblLook w:val="0000" w:firstRow="0" w:lastRow="0" w:firstColumn="0" w:lastColumn="0" w:noHBand="0" w:noVBand="0"/>
            </w:tblPr>
            <w:tblGrid>
              <w:gridCol w:w="9520"/>
            </w:tblGrid>
            <w:tr w:rsidR="0063776B" w:rsidRPr="00F93B05" w14:paraId="0E80EE07" w14:textId="77777777" w:rsidTr="00F862F0">
              <w:tblPrEx>
                <w:tblCellMar>
                  <w:top w:w="0" w:type="dxa"/>
                  <w:bottom w:w="0" w:type="dxa"/>
                </w:tblCellMar>
              </w:tblPrEx>
              <w:tc>
                <w:tcPr>
                  <w:tcW w:w="9520" w:type="dxa"/>
                  <w:shd w:val="clear" w:color="auto" w:fill="auto"/>
                </w:tcPr>
                <w:p w14:paraId="29AA8A1B" w14:textId="77777777" w:rsidR="0063776B" w:rsidRPr="00F20667" w:rsidRDefault="0063776B" w:rsidP="0063776B">
                  <w:pPr>
                    <w:pStyle w:val="TBullet"/>
                    <w:rPr>
                      <w:rFonts w:ascii="Arial" w:hAnsi="Arial" w:cs="Arial"/>
                    </w:rPr>
                  </w:pPr>
                  <w:r w:rsidRPr="00F20667">
                    <w:rPr>
                      <w:rFonts w:ascii="Arial" w:hAnsi="Arial" w:cs="Arial"/>
                    </w:rPr>
                    <w:t>This appeal is made under Section 53(5) and Paragraph 4(1) of Schedule 14 of the Wildlife and Countryside Act 1981 against the decision of St Helens Borough Council not to make an order under Section 53(2) of that Act.</w:t>
                  </w:r>
                </w:p>
              </w:tc>
            </w:tr>
            <w:tr w:rsidR="0063776B" w:rsidRPr="00F93B05" w14:paraId="1C91A59B" w14:textId="77777777" w:rsidTr="00F20667">
              <w:tblPrEx>
                <w:tblCellMar>
                  <w:top w:w="0" w:type="dxa"/>
                  <w:bottom w:w="0" w:type="dxa"/>
                </w:tblCellMar>
              </w:tblPrEx>
              <w:trPr>
                <w:trHeight w:val="213"/>
              </w:trPr>
              <w:tc>
                <w:tcPr>
                  <w:tcW w:w="9520" w:type="dxa"/>
                  <w:shd w:val="clear" w:color="auto" w:fill="auto"/>
                </w:tcPr>
                <w:p w14:paraId="03382936" w14:textId="77777777" w:rsidR="0063776B" w:rsidRPr="00F20667" w:rsidRDefault="0063776B" w:rsidP="0063776B">
                  <w:pPr>
                    <w:pStyle w:val="TBullet"/>
                    <w:spacing w:before="60"/>
                    <w:ind w:left="357" w:hanging="357"/>
                    <w:rPr>
                      <w:rFonts w:ascii="Arial" w:hAnsi="Arial" w:cs="Arial"/>
                    </w:rPr>
                  </w:pPr>
                  <w:r w:rsidRPr="00F20667">
                    <w:rPr>
                      <w:rFonts w:ascii="Arial" w:hAnsi="Arial" w:cs="Arial"/>
                    </w:rPr>
                    <w:t>By application dated 9 November 2020,</w:t>
                  </w:r>
                  <w:r w:rsidR="005638AC" w:rsidRPr="00F20667">
                    <w:rPr>
                      <w:rFonts w:ascii="Arial" w:hAnsi="Arial" w:cs="Arial"/>
                    </w:rPr>
                    <w:t xml:space="preserve"> (received by St Helens Borough Council on the 12 November 2020)</w:t>
                  </w:r>
                  <w:r w:rsidRPr="00F20667">
                    <w:rPr>
                      <w:rFonts w:ascii="Arial" w:hAnsi="Arial" w:cs="Arial"/>
                    </w:rPr>
                    <w:t xml:space="preserve"> Deborah King claimed that Footpath 201 leading from Blundells Lane, Rainhill, to Hall Lane should be upgraded on the definitive map and statement for the area to bridleway</w:t>
                  </w:r>
                  <w:r w:rsidR="00430F87" w:rsidRPr="00F20667">
                    <w:rPr>
                      <w:rFonts w:ascii="Arial" w:hAnsi="Arial" w:cs="Arial"/>
                    </w:rPr>
                    <w:t xml:space="preserve"> status</w:t>
                  </w:r>
                  <w:r w:rsidRPr="00F20667">
                    <w:rPr>
                      <w:rFonts w:ascii="Arial" w:hAnsi="Arial" w:cs="Arial"/>
                    </w:rPr>
                    <w:t xml:space="preserve">. </w:t>
                  </w:r>
                </w:p>
              </w:tc>
            </w:tr>
            <w:tr w:rsidR="0063776B" w:rsidRPr="0076374D" w14:paraId="7E99EF10" w14:textId="77777777" w:rsidTr="00F862F0">
              <w:tblPrEx>
                <w:tblCellMar>
                  <w:top w:w="0" w:type="dxa"/>
                  <w:bottom w:w="0" w:type="dxa"/>
                </w:tblCellMar>
              </w:tblPrEx>
              <w:tc>
                <w:tcPr>
                  <w:tcW w:w="9520" w:type="dxa"/>
                  <w:shd w:val="clear" w:color="auto" w:fill="auto"/>
                </w:tcPr>
                <w:p w14:paraId="1A8AEC80" w14:textId="77777777" w:rsidR="00C91991" w:rsidRPr="00F20667" w:rsidRDefault="0063776B" w:rsidP="0063776B">
                  <w:pPr>
                    <w:pStyle w:val="TBullet"/>
                    <w:spacing w:before="60"/>
                    <w:ind w:left="357" w:hanging="357"/>
                    <w:rPr>
                      <w:rFonts w:ascii="Arial" w:hAnsi="Arial" w:cs="Arial"/>
                    </w:rPr>
                  </w:pPr>
                  <w:r w:rsidRPr="00F20667">
                    <w:rPr>
                      <w:rFonts w:ascii="Arial" w:hAnsi="Arial" w:cs="Arial"/>
                    </w:rPr>
                    <w:t xml:space="preserve">The application was refused by St Helens Borough Council and the appellant was formally notified of the decision </w:t>
                  </w:r>
                  <w:r w:rsidR="005638AC" w:rsidRPr="00F20667">
                    <w:rPr>
                      <w:rFonts w:ascii="Arial" w:hAnsi="Arial" w:cs="Arial"/>
                    </w:rPr>
                    <w:t>on</w:t>
                  </w:r>
                  <w:r w:rsidRPr="00F20667">
                    <w:rPr>
                      <w:rFonts w:ascii="Arial" w:hAnsi="Arial" w:cs="Arial"/>
                    </w:rPr>
                    <w:t xml:space="preserve"> 2 December 2021.</w:t>
                  </w:r>
                </w:p>
                <w:p w14:paraId="5E9FB607" w14:textId="77777777" w:rsidR="0063776B" w:rsidRPr="00F20667" w:rsidRDefault="0063776B" w:rsidP="00C91991">
                  <w:pPr>
                    <w:pStyle w:val="TBullet"/>
                    <w:numPr>
                      <w:ilvl w:val="0"/>
                      <w:numId w:val="0"/>
                    </w:numPr>
                    <w:spacing w:before="60"/>
                    <w:rPr>
                      <w:rFonts w:ascii="Arial" w:hAnsi="Arial" w:cs="Arial"/>
                    </w:rPr>
                  </w:pPr>
                </w:p>
                <w:p w14:paraId="301707FB" w14:textId="77777777" w:rsidR="0063776B" w:rsidRPr="00582F45" w:rsidRDefault="0063776B" w:rsidP="0063776B">
                  <w:pPr>
                    <w:pStyle w:val="TBullet"/>
                    <w:numPr>
                      <w:ilvl w:val="0"/>
                      <w:numId w:val="0"/>
                    </w:numPr>
                    <w:spacing w:before="60"/>
                    <w:rPr>
                      <w:rFonts w:ascii="Arial" w:hAnsi="Arial" w:cs="Arial"/>
                      <w:sz w:val="24"/>
                      <w:szCs w:val="24"/>
                    </w:rPr>
                  </w:pPr>
                  <w:r w:rsidRPr="00582F45">
                    <w:rPr>
                      <w:rFonts w:ascii="Arial" w:hAnsi="Arial" w:cs="Arial"/>
                      <w:b/>
                      <w:sz w:val="24"/>
                      <w:szCs w:val="24"/>
                    </w:rPr>
                    <w:t>Summary of Decision:  The appeal is allowed.</w:t>
                  </w:r>
                </w:p>
              </w:tc>
            </w:tr>
          </w:tbl>
          <w:p w14:paraId="72753291" w14:textId="77777777" w:rsidR="00917447" w:rsidRPr="00152A90" w:rsidRDefault="00917447" w:rsidP="0063776B">
            <w:pPr>
              <w:pStyle w:val="TBullet"/>
              <w:numPr>
                <w:ilvl w:val="0"/>
                <w:numId w:val="0"/>
              </w:numPr>
              <w:spacing w:before="60"/>
            </w:pPr>
          </w:p>
        </w:tc>
      </w:tr>
      <w:tr w:rsidR="00DD37E9" w14:paraId="27F4D101" w14:textId="77777777" w:rsidTr="00DD37E9">
        <w:tblPrEx>
          <w:tblCellMar>
            <w:top w:w="0" w:type="dxa"/>
            <w:bottom w:w="0" w:type="dxa"/>
          </w:tblCellMar>
        </w:tblPrEx>
        <w:tc>
          <w:tcPr>
            <w:tcW w:w="9520" w:type="dxa"/>
            <w:tcBorders>
              <w:bottom w:val="single" w:sz="6" w:space="0" w:color="000000"/>
            </w:tcBorders>
            <w:shd w:val="clear" w:color="auto" w:fill="auto"/>
          </w:tcPr>
          <w:p w14:paraId="514D925D" w14:textId="77777777" w:rsidR="00DD37E9" w:rsidRPr="00E93AC0" w:rsidRDefault="00DD37E9" w:rsidP="001B7C59">
            <w:pPr>
              <w:spacing w:before="60" w:after="60"/>
              <w:rPr>
                <w:b/>
                <w:color w:val="000000"/>
                <w:sz w:val="2"/>
              </w:rPr>
            </w:pPr>
            <w:bookmarkStart w:id="1" w:name="bmkReturn"/>
            <w:bookmarkEnd w:id="0"/>
            <w:bookmarkEnd w:id="1"/>
          </w:p>
        </w:tc>
      </w:tr>
    </w:tbl>
    <w:p w14:paraId="7602D752" w14:textId="77777777" w:rsidR="002C6E5C" w:rsidRPr="00875D72" w:rsidRDefault="002C6E5C" w:rsidP="002C6E5C">
      <w:pPr>
        <w:pStyle w:val="Heading6blackfont"/>
        <w:rPr>
          <w:rFonts w:ascii="Arial" w:hAnsi="Arial" w:cs="Arial"/>
          <w:sz w:val="24"/>
          <w:szCs w:val="24"/>
        </w:rPr>
      </w:pPr>
      <w:r w:rsidRPr="00875D72">
        <w:rPr>
          <w:rFonts w:ascii="Arial" w:hAnsi="Arial" w:cs="Arial"/>
          <w:sz w:val="24"/>
          <w:szCs w:val="24"/>
        </w:rPr>
        <w:t>Preliminary Matters</w:t>
      </w:r>
    </w:p>
    <w:p w14:paraId="660B5B53" w14:textId="77777777" w:rsidR="00C5189E" w:rsidRPr="003D3BD8" w:rsidRDefault="00C5189E" w:rsidP="00C93009">
      <w:pPr>
        <w:pStyle w:val="Style1"/>
        <w:tabs>
          <w:tab w:val="clear" w:pos="432"/>
          <w:tab w:val="num" w:pos="426"/>
          <w:tab w:val="left" w:pos="1134"/>
        </w:tabs>
        <w:ind w:left="426" w:hanging="426"/>
        <w:rPr>
          <w:rFonts w:ascii="Arial" w:hAnsi="Arial" w:cs="Arial"/>
          <w:sz w:val="24"/>
          <w:szCs w:val="24"/>
        </w:rPr>
      </w:pPr>
      <w:r w:rsidRPr="003D3BD8">
        <w:rPr>
          <w:rFonts w:ascii="Arial" w:hAnsi="Arial" w:cs="Arial"/>
          <w:sz w:val="24"/>
          <w:szCs w:val="24"/>
        </w:rPr>
        <w:t xml:space="preserve">I </w:t>
      </w:r>
      <w:r w:rsidR="007277A3" w:rsidRPr="003D3BD8">
        <w:rPr>
          <w:rFonts w:ascii="Arial" w:hAnsi="Arial" w:cs="Arial"/>
          <w:sz w:val="24"/>
          <w:szCs w:val="24"/>
        </w:rPr>
        <w:t>have been directed</w:t>
      </w:r>
      <w:r w:rsidRPr="003D3BD8">
        <w:rPr>
          <w:rFonts w:ascii="Arial" w:hAnsi="Arial" w:cs="Arial"/>
          <w:sz w:val="24"/>
          <w:szCs w:val="24"/>
        </w:rPr>
        <w:t xml:space="preserve"> by the Secretary of State </w:t>
      </w:r>
      <w:r w:rsidR="00F64A71" w:rsidRPr="003D3BD8">
        <w:rPr>
          <w:rFonts w:ascii="Arial" w:hAnsi="Arial" w:cs="Arial"/>
          <w:sz w:val="24"/>
          <w:szCs w:val="24"/>
        </w:rPr>
        <w:t xml:space="preserve">for Environment, Food and Rural Affairs </w:t>
      </w:r>
      <w:r w:rsidRPr="003D3BD8">
        <w:rPr>
          <w:rFonts w:ascii="Arial" w:hAnsi="Arial" w:cs="Arial"/>
          <w:sz w:val="24"/>
          <w:szCs w:val="24"/>
        </w:rPr>
        <w:t xml:space="preserve">to determine </w:t>
      </w:r>
      <w:r w:rsidR="007F566E" w:rsidRPr="003D3BD8">
        <w:rPr>
          <w:rFonts w:ascii="Arial" w:hAnsi="Arial" w:cs="Arial"/>
          <w:sz w:val="24"/>
          <w:szCs w:val="24"/>
        </w:rPr>
        <w:t>th</w:t>
      </w:r>
      <w:r w:rsidR="00C31890" w:rsidRPr="003D3BD8">
        <w:rPr>
          <w:rFonts w:ascii="Arial" w:hAnsi="Arial" w:cs="Arial"/>
          <w:sz w:val="24"/>
          <w:szCs w:val="24"/>
        </w:rPr>
        <w:t>i</w:t>
      </w:r>
      <w:r w:rsidR="007F566E" w:rsidRPr="003D3BD8">
        <w:rPr>
          <w:rFonts w:ascii="Arial" w:hAnsi="Arial" w:cs="Arial"/>
          <w:sz w:val="24"/>
          <w:szCs w:val="24"/>
        </w:rPr>
        <w:t>s</w:t>
      </w:r>
      <w:r w:rsidRPr="003D3BD8">
        <w:rPr>
          <w:rFonts w:ascii="Arial" w:hAnsi="Arial" w:cs="Arial"/>
          <w:sz w:val="24"/>
          <w:szCs w:val="24"/>
        </w:rPr>
        <w:t xml:space="preserve"> appeal under Section 53(5) and Paragraph 4(1)</w:t>
      </w:r>
      <w:r w:rsidR="00F64A71" w:rsidRPr="003D3BD8">
        <w:rPr>
          <w:rFonts w:ascii="Arial" w:hAnsi="Arial" w:cs="Arial"/>
          <w:sz w:val="24"/>
          <w:szCs w:val="24"/>
        </w:rPr>
        <w:t xml:space="preserve"> of Schedule 14 of the Wildlife and Countryside Act 1981</w:t>
      </w:r>
      <w:r w:rsidR="0066025C" w:rsidRPr="003D3BD8">
        <w:rPr>
          <w:rFonts w:ascii="Arial" w:hAnsi="Arial" w:cs="Arial"/>
          <w:sz w:val="24"/>
          <w:szCs w:val="24"/>
        </w:rPr>
        <w:t xml:space="preserve"> (the 1981 Act)</w:t>
      </w:r>
      <w:r w:rsidR="004902DB" w:rsidRPr="003D3BD8">
        <w:rPr>
          <w:rFonts w:ascii="Arial" w:hAnsi="Arial" w:cs="Arial"/>
          <w:sz w:val="24"/>
          <w:szCs w:val="24"/>
        </w:rPr>
        <w:t xml:space="preserve"> </w:t>
      </w:r>
      <w:r w:rsidR="00DE1587" w:rsidRPr="003D3BD8">
        <w:rPr>
          <w:rFonts w:ascii="Arial" w:hAnsi="Arial" w:cs="Arial"/>
          <w:sz w:val="24"/>
          <w:szCs w:val="24"/>
        </w:rPr>
        <w:t>on</w:t>
      </w:r>
      <w:r w:rsidR="004902DB" w:rsidRPr="003D3BD8">
        <w:rPr>
          <w:rFonts w:ascii="Arial" w:hAnsi="Arial" w:cs="Arial"/>
          <w:sz w:val="24"/>
          <w:szCs w:val="24"/>
        </w:rPr>
        <w:t xml:space="preserve"> </w:t>
      </w:r>
      <w:r w:rsidR="00DE1587" w:rsidRPr="003D3BD8">
        <w:rPr>
          <w:rFonts w:ascii="Arial" w:hAnsi="Arial" w:cs="Arial"/>
          <w:sz w:val="24"/>
          <w:szCs w:val="24"/>
        </w:rPr>
        <w:t>the basis of the papers submitted.</w:t>
      </w:r>
      <w:r w:rsidR="00A606EF" w:rsidRPr="003D3BD8">
        <w:rPr>
          <w:rFonts w:ascii="Arial" w:hAnsi="Arial" w:cs="Arial"/>
          <w:sz w:val="24"/>
          <w:szCs w:val="24"/>
        </w:rPr>
        <w:t xml:space="preserve"> </w:t>
      </w:r>
      <w:r w:rsidR="00862392" w:rsidRPr="003D3BD8">
        <w:rPr>
          <w:rFonts w:ascii="Arial" w:hAnsi="Arial" w:cs="Arial"/>
          <w:sz w:val="24"/>
          <w:szCs w:val="24"/>
        </w:rPr>
        <w:t>In this case, I am satisfied I can reach a decision without visiting the site.</w:t>
      </w:r>
    </w:p>
    <w:p w14:paraId="5CBB66C7" w14:textId="77777777" w:rsidR="00D94097" w:rsidRPr="008F2A92" w:rsidRDefault="008453CB" w:rsidP="00C93009">
      <w:pPr>
        <w:pStyle w:val="Style1"/>
        <w:tabs>
          <w:tab w:val="clear" w:pos="432"/>
          <w:tab w:val="num" w:pos="426"/>
          <w:tab w:val="left" w:pos="1134"/>
        </w:tabs>
        <w:ind w:left="426" w:hanging="426"/>
        <w:rPr>
          <w:rFonts w:ascii="Arial" w:hAnsi="Arial" w:cs="Arial"/>
          <w:sz w:val="24"/>
          <w:szCs w:val="24"/>
        </w:rPr>
      </w:pPr>
      <w:r w:rsidRPr="00C721D1">
        <w:rPr>
          <w:rFonts w:ascii="Arial" w:hAnsi="Arial" w:cs="Arial"/>
          <w:sz w:val="24"/>
          <w:szCs w:val="24"/>
        </w:rPr>
        <w:t>The appellant</w:t>
      </w:r>
      <w:r w:rsidR="002C6661" w:rsidRPr="00C721D1">
        <w:rPr>
          <w:rFonts w:ascii="Arial" w:hAnsi="Arial" w:cs="Arial"/>
          <w:sz w:val="24"/>
          <w:szCs w:val="24"/>
        </w:rPr>
        <w:t xml:space="preserve">, </w:t>
      </w:r>
      <w:r w:rsidR="003D3BD8" w:rsidRPr="00C721D1">
        <w:rPr>
          <w:rFonts w:ascii="Arial" w:hAnsi="Arial" w:cs="Arial"/>
          <w:sz w:val="24"/>
          <w:szCs w:val="24"/>
        </w:rPr>
        <w:t>Deborah King</w:t>
      </w:r>
      <w:r w:rsidR="002C6661" w:rsidRPr="00C721D1">
        <w:rPr>
          <w:rFonts w:ascii="Arial" w:hAnsi="Arial" w:cs="Arial"/>
          <w:sz w:val="24"/>
          <w:szCs w:val="24"/>
        </w:rPr>
        <w:t>,</w:t>
      </w:r>
      <w:r w:rsidR="003D3BD8" w:rsidRPr="00C721D1">
        <w:rPr>
          <w:rFonts w:ascii="Arial" w:hAnsi="Arial" w:cs="Arial"/>
          <w:sz w:val="24"/>
          <w:szCs w:val="24"/>
        </w:rPr>
        <w:t xml:space="preserve"> </w:t>
      </w:r>
      <w:r w:rsidRPr="00C721D1">
        <w:rPr>
          <w:rFonts w:ascii="Arial" w:hAnsi="Arial" w:cs="Arial"/>
          <w:sz w:val="24"/>
          <w:szCs w:val="24"/>
        </w:rPr>
        <w:t>request</w:t>
      </w:r>
      <w:r w:rsidR="0066709C">
        <w:rPr>
          <w:rFonts w:ascii="Arial" w:hAnsi="Arial" w:cs="Arial"/>
          <w:sz w:val="24"/>
          <w:szCs w:val="24"/>
        </w:rPr>
        <w:t>s</w:t>
      </w:r>
      <w:r w:rsidRPr="00C721D1">
        <w:rPr>
          <w:rFonts w:ascii="Arial" w:hAnsi="Arial" w:cs="Arial"/>
          <w:sz w:val="24"/>
          <w:szCs w:val="24"/>
        </w:rPr>
        <w:t xml:space="preserve"> </w:t>
      </w:r>
      <w:r w:rsidR="007F566E" w:rsidRPr="00C721D1">
        <w:rPr>
          <w:rFonts w:ascii="Arial" w:hAnsi="Arial" w:cs="Arial"/>
          <w:sz w:val="24"/>
          <w:szCs w:val="24"/>
        </w:rPr>
        <w:t xml:space="preserve">that </w:t>
      </w:r>
      <w:r w:rsidRPr="00C721D1">
        <w:rPr>
          <w:rFonts w:ascii="Arial" w:hAnsi="Arial" w:cs="Arial"/>
          <w:sz w:val="24"/>
          <w:szCs w:val="24"/>
        </w:rPr>
        <w:t>the Secretary of State directs</w:t>
      </w:r>
      <w:r w:rsidR="00AC0C59" w:rsidRPr="00C721D1">
        <w:rPr>
          <w:rFonts w:ascii="Arial" w:hAnsi="Arial" w:cs="Arial"/>
          <w:sz w:val="24"/>
          <w:szCs w:val="24"/>
        </w:rPr>
        <w:t xml:space="preserve"> </w:t>
      </w:r>
      <w:r w:rsidR="003D3BD8" w:rsidRPr="00C721D1">
        <w:rPr>
          <w:rFonts w:ascii="Arial" w:hAnsi="Arial" w:cs="Arial"/>
          <w:sz w:val="24"/>
          <w:szCs w:val="24"/>
        </w:rPr>
        <w:t>St Helens Borough</w:t>
      </w:r>
      <w:r w:rsidR="005D4A25" w:rsidRPr="00C721D1">
        <w:rPr>
          <w:rFonts w:ascii="Arial" w:hAnsi="Arial" w:cs="Arial"/>
          <w:sz w:val="24"/>
          <w:szCs w:val="24"/>
        </w:rPr>
        <w:t xml:space="preserve"> </w:t>
      </w:r>
      <w:r w:rsidRPr="00C721D1">
        <w:rPr>
          <w:rFonts w:ascii="Arial" w:hAnsi="Arial" w:cs="Arial"/>
          <w:sz w:val="24"/>
          <w:szCs w:val="24"/>
        </w:rPr>
        <w:t xml:space="preserve">Council </w:t>
      </w:r>
      <w:r w:rsidR="001A120D" w:rsidRPr="00C721D1">
        <w:rPr>
          <w:rFonts w:ascii="Arial" w:hAnsi="Arial" w:cs="Arial"/>
          <w:sz w:val="24"/>
          <w:szCs w:val="24"/>
        </w:rPr>
        <w:t>(</w:t>
      </w:r>
      <w:r w:rsidR="003D3BD8" w:rsidRPr="00C721D1">
        <w:rPr>
          <w:rFonts w:ascii="Arial" w:hAnsi="Arial" w:cs="Arial"/>
          <w:sz w:val="24"/>
          <w:szCs w:val="24"/>
        </w:rPr>
        <w:t>SHB</w:t>
      </w:r>
      <w:r w:rsidR="00E37272" w:rsidRPr="00C721D1">
        <w:rPr>
          <w:rFonts w:ascii="Arial" w:hAnsi="Arial" w:cs="Arial"/>
          <w:sz w:val="24"/>
          <w:szCs w:val="24"/>
        </w:rPr>
        <w:t>C</w:t>
      </w:r>
      <w:r w:rsidR="001A120D" w:rsidRPr="00C721D1">
        <w:rPr>
          <w:rFonts w:ascii="Arial" w:hAnsi="Arial" w:cs="Arial"/>
          <w:sz w:val="24"/>
          <w:szCs w:val="24"/>
        </w:rPr>
        <w:t xml:space="preserve">) </w:t>
      </w:r>
      <w:r w:rsidRPr="00C721D1">
        <w:rPr>
          <w:rFonts w:ascii="Arial" w:hAnsi="Arial" w:cs="Arial"/>
          <w:sz w:val="24"/>
          <w:szCs w:val="24"/>
        </w:rPr>
        <w:t xml:space="preserve">to make </w:t>
      </w:r>
      <w:r w:rsidR="00D75175" w:rsidRPr="00C721D1">
        <w:rPr>
          <w:rFonts w:ascii="Arial" w:hAnsi="Arial" w:cs="Arial"/>
          <w:sz w:val="24"/>
          <w:szCs w:val="24"/>
        </w:rPr>
        <w:t xml:space="preserve">a </w:t>
      </w:r>
      <w:r w:rsidRPr="00C721D1">
        <w:rPr>
          <w:rFonts w:ascii="Arial" w:hAnsi="Arial" w:cs="Arial"/>
          <w:sz w:val="24"/>
          <w:szCs w:val="24"/>
        </w:rPr>
        <w:t xml:space="preserve">definitive map modification order </w:t>
      </w:r>
      <w:r w:rsidR="007F566E" w:rsidRPr="00C721D1">
        <w:rPr>
          <w:rFonts w:ascii="Arial" w:hAnsi="Arial" w:cs="Arial"/>
          <w:sz w:val="24"/>
          <w:szCs w:val="24"/>
        </w:rPr>
        <w:t xml:space="preserve">to </w:t>
      </w:r>
      <w:r w:rsidR="003D3BD8" w:rsidRPr="00C721D1">
        <w:rPr>
          <w:rFonts w:ascii="Arial" w:hAnsi="Arial" w:cs="Arial"/>
          <w:sz w:val="24"/>
          <w:szCs w:val="24"/>
        </w:rPr>
        <w:t>upgrade</w:t>
      </w:r>
      <w:r w:rsidRPr="00C721D1">
        <w:rPr>
          <w:rFonts w:ascii="Arial" w:hAnsi="Arial" w:cs="Arial"/>
          <w:color w:val="auto"/>
          <w:sz w:val="24"/>
          <w:szCs w:val="24"/>
        </w:rPr>
        <w:t xml:space="preserve"> </w:t>
      </w:r>
      <w:r w:rsidR="003D3BD8" w:rsidRPr="00C721D1">
        <w:rPr>
          <w:rFonts w:ascii="Arial" w:hAnsi="Arial" w:cs="Arial"/>
          <w:color w:val="auto"/>
          <w:sz w:val="24"/>
          <w:szCs w:val="24"/>
        </w:rPr>
        <w:t>Footpath 20</w:t>
      </w:r>
      <w:r w:rsidR="001B2ED8">
        <w:rPr>
          <w:rFonts w:ascii="Arial" w:hAnsi="Arial" w:cs="Arial"/>
          <w:color w:val="auto"/>
          <w:sz w:val="24"/>
          <w:szCs w:val="24"/>
        </w:rPr>
        <w:t>1</w:t>
      </w:r>
      <w:r w:rsidR="008F2A92">
        <w:rPr>
          <w:rFonts w:ascii="Arial" w:hAnsi="Arial" w:cs="Arial"/>
          <w:color w:val="auto"/>
          <w:sz w:val="24"/>
          <w:szCs w:val="24"/>
        </w:rPr>
        <w:t xml:space="preserve"> (FP201)</w:t>
      </w:r>
      <w:r w:rsidR="003D3BD8" w:rsidRPr="00C721D1">
        <w:rPr>
          <w:rFonts w:ascii="Arial" w:hAnsi="Arial" w:cs="Arial"/>
          <w:color w:val="auto"/>
          <w:sz w:val="24"/>
          <w:szCs w:val="24"/>
        </w:rPr>
        <w:t xml:space="preserve"> to a bridleway</w:t>
      </w:r>
      <w:r w:rsidR="005D4A25" w:rsidRPr="00C721D1">
        <w:rPr>
          <w:rFonts w:ascii="Arial" w:hAnsi="Arial" w:cs="Arial"/>
          <w:color w:val="auto"/>
          <w:sz w:val="24"/>
          <w:szCs w:val="24"/>
        </w:rPr>
        <w:t>.</w:t>
      </w:r>
    </w:p>
    <w:p w14:paraId="1C62C227" w14:textId="77777777" w:rsidR="008F2A92" w:rsidRPr="00C721D1" w:rsidRDefault="008F2A92" w:rsidP="00C93009">
      <w:pPr>
        <w:pStyle w:val="Style1"/>
        <w:tabs>
          <w:tab w:val="clear" w:pos="432"/>
          <w:tab w:val="num" w:pos="426"/>
          <w:tab w:val="left" w:pos="1134"/>
        </w:tabs>
        <w:ind w:left="426" w:hanging="426"/>
        <w:rPr>
          <w:rFonts w:ascii="Arial" w:hAnsi="Arial" w:cs="Arial"/>
          <w:sz w:val="24"/>
          <w:szCs w:val="24"/>
        </w:rPr>
      </w:pPr>
      <w:r>
        <w:rPr>
          <w:rFonts w:ascii="Arial" w:hAnsi="Arial" w:cs="Arial"/>
          <w:sz w:val="24"/>
          <w:szCs w:val="24"/>
        </w:rPr>
        <w:t xml:space="preserve">In </w:t>
      </w:r>
      <w:r w:rsidRPr="002707A6">
        <w:rPr>
          <w:rFonts w:ascii="Arial" w:hAnsi="Arial" w:cs="Arial"/>
          <w:color w:val="auto"/>
          <w:sz w:val="24"/>
          <w:szCs w:val="24"/>
        </w:rPr>
        <w:t>its report dated</w:t>
      </w:r>
      <w:r>
        <w:rPr>
          <w:rFonts w:ascii="Arial" w:hAnsi="Arial" w:cs="Arial"/>
          <w:color w:val="auto"/>
          <w:sz w:val="24"/>
          <w:szCs w:val="24"/>
        </w:rPr>
        <w:t xml:space="preserve"> 2 December 2021, after assessing the evidence, SHBC concluded that there was insufficient evidence to show th</w:t>
      </w:r>
      <w:r w:rsidR="0066709C">
        <w:rPr>
          <w:rFonts w:ascii="Arial" w:hAnsi="Arial" w:cs="Arial"/>
          <w:color w:val="auto"/>
          <w:sz w:val="24"/>
          <w:szCs w:val="24"/>
        </w:rPr>
        <w:t>at</w:t>
      </w:r>
      <w:r>
        <w:rPr>
          <w:rFonts w:ascii="Arial" w:hAnsi="Arial" w:cs="Arial"/>
          <w:color w:val="auto"/>
          <w:sz w:val="24"/>
          <w:szCs w:val="24"/>
        </w:rPr>
        <w:t xml:space="preserve"> FP201 should be upgraded to a bridleway.</w:t>
      </w:r>
    </w:p>
    <w:p w14:paraId="13BF0E30" w14:textId="77777777" w:rsidR="00C721D1" w:rsidRPr="00C721D1" w:rsidRDefault="00C721D1" w:rsidP="00C93009">
      <w:pPr>
        <w:pStyle w:val="Style1"/>
        <w:tabs>
          <w:tab w:val="clear" w:pos="432"/>
          <w:tab w:val="num" w:pos="426"/>
          <w:tab w:val="left" w:pos="1134"/>
        </w:tabs>
        <w:ind w:left="426" w:hanging="426"/>
        <w:rPr>
          <w:rFonts w:ascii="Arial" w:hAnsi="Arial" w:cs="Arial"/>
          <w:sz w:val="24"/>
          <w:szCs w:val="24"/>
        </w:rPr>
      </w:pPr>
      <w:r>
        <w:rPr>
          <w:rFonts w:ascii="Arial" w:hAnsi="Arial" w:cs="Arial"/>
          <w:color w:val="auto"/>
          <w:sz w:val="24"/>
          <w:szCs w:val="24"/>
        </w:rPr>
        <w:t>I</w:t>
      </w:r>
      <w:r w:rsidR="00E66D24">
        <w:rPr>
          <w:rFonts w:ascii="Arial" w:hAnsi="Arial" w:cs="Arial"/>
          <w:color w:val="auto"/>
          <w:sz w:val="24"/>
          <w:szCs w:val="24"/>
        </w:rPr>
        <w:t xml:space="preserve"> have found it </w:t>
      </w:r>
      <w:r>
        <w:rPr>
          <w:rFonts w:ascii="Arial" w:hAnsi="Arial" w:cs="Arial"/>
          <w:color w:val="auto"/>
          <w:sz w:val="24"/>
          <w:szCs w:val="24"/>
        </w:rPr>
        <w:t>convenient to refer to the points marked on the map</w:t>
      </w:r>
      <w:r w:rsidR="008E6360">
        <w:rPr>
          <w:rFonts w:ascii="Arial" w:hAnsi="Arial" w:cs="Arial"/>
          <w:color w:val="auto"/>
          <w:sz w:val="24"/>
          <w:szCs w:val="24"/>
        </w:rPr>
        <w:t xml:space="preserve"> provided by the appellant</w:t>
      </w:r>
      <w:r>
        <w:rPr>
          <w:rFonts w:ascii="Arial" w:hAnsi="Arial" w:cs="Arial"/>
          <w:color w:val="auto"/>
          <w:sz w:val="24"/>
          <w:szCs w:val="24"/>
        </w:rPr>
        <w:t xml:space="preserve"> and a copy is attached</w:t>
      </w:r>
      <w:r w:rsidR="008E6360">
        <w:rPr>
          <w:rFonts w:ascii="Arial" w:hAnsi="Arial" w:cs="Arial"/>
          <w:color w:val="auto"/>
          <w:sz w:val="24"/>
          <w:szCs w:val="24"/>
        </w:rPr>
        <w:t>.</w:t>
      </w:r>
      <w:r>
        <w:rPr>
          <w:rFonts w:ascii="Arial" w:hAnsi="Arial" w:cs="Arial"/>
          <w:color w:val="auto"/>
          <w:sz w:val="24"/>
          <w:szCs w:val="24"/>
        </w:rPr>
        <w:t xml:space="preserve"> </w:t>
      </w:r>
    </w:p>
    <w:p w14:paraId="23900DDF" w14:textId="77777777" w:rsidR="00193B16" w:rsidRPr="00121BED" w:rsidRDefault="00414C02" w:rsidP="00E37272">
      <w:pPr>
        <w:pStyle w:val="Style1"/>
        <w:ind w:left="426" w:hanging="426"/>
        <w:rPr>
          <w:rFonts w:ascii="Arial" w:hAnsi="Arial" w:cs="Arial"/>
          <w:color w:val="auto"/>
          <w:sz w:val="24"/>
          <w:szCs w:val="24"/>
        </w:rPr>
      </w:pPr>
      <w:r w:rsidRPr="00121BED">
        <w:rPr>
          <w:rFonts w:ascii="Arial" w:hAnsi="Arial" w:cs="Arial"/>
          <w:sz w:val="24"/>
          <w:szCs w:val="24"/>
        </w:rPr>
        <w:t>In addition to the submissions from the app</w:t>
      </w:r>
      <w:r w:rsidR="007D29DD" w:rsidRPr="00121BED">
        <w:rPr>
          <w:rFonts w:ascii="Arial" w:hAnsi="Arial" w:cs="Arial"/>
          <w:sz w:val="24"/>
          <w:szCs w:val="24"/>
        </w:rPr>
        <w:t>ell</w:t>
      </w:r>
      <w:r w:rsidRPr="00121BED">
        <w:rPr>
          <w:rFonts w:ascii="Arial" w:hAnsi="Arial" w:cs="Arial"/>
          <w:sz w:val="24"/>
          <w:szCs w:val="24"/>
        </w:rPr>
        <w:t xml:space="preserve">ant and </w:t>
      </w:r>
      <w:r w:rsidR="00C721D1" w:rsidRPr="00121BED">
        <w:rPr>
          <w:rFonts w:ascii="Arial" w:hAnsi="Arial" w:cs="Arial"/>
          <w:sz w:val="24"/>
          <w:szCs w:val="24"/>
        </w:rPr>
        <w:t>SHB</w:t>
      </w:r>
      <w:r w:rsidRPr="00121BED">
        <w:rPr>
          <w:rFonts w:ascii="Arial" w:hAnsi="Arial" w:cs="Arial"/>
          <w:sz w:val="24"/>
          <w:szCs w:val="24"/>
        </w:rPr>
        <w:t>C</w:t>
      </w:r>
      <w:r w:rsidR="005760B5">
        <w:rPr>
          <w:rFonts w:ascii="Arial" w:hAnsi="Arial" w:cs="Arial"/>
          <w:sz w:val="24"/>
          <w:szCs w:val="24"/>
        </w:rPr>
        <w:t xml:space="preserve"> which included a number of comments from local users</w:t>
      </w:r>
      <w:r w:rsidR="002707A6">
        <w:rPr>
          <w:rFonts w:ascii="Arial" w:hAnsi="Arial" w:cs="Arial"/>
          <w:sz w:val="24"/>
          <w:szCs w:val="24"/>
        </w:rPr>
        <w:t>,</w:t>
      </w:r>
      <w:r w:rsidRPr="00121BED">
        <w:rPr>
          <w:rFonts w:ascii="Arial" w:hAnsi="Arial" w:cs="Arial"/>
          <w:sz w:val="24"/>
          <w:szCs w:val="24"/>
        </w:rPr>
        <w:t xml:space="preserve"> representations </w:t>
      </w:r>
      <w:r w:rsidR="002707A6">
        <w:rPr>
          <w:rFonts w:ascii="Arial" w:hAnsi="Arial" w:cs="Arial"/>
          <w:sz w:val="24"/>
          <w:szCs w:val="24"/>
        </w:rPr>
        <w:t xml:space="preserve">were </w:t>
      </w:r>
      <w:r w:rsidRPr="00121BED">
        <w:rPr>
          <w:rFonts w:ascii="Arial" w:hAnsi="Arial" w:cs="Arial"/>
          <w:sz w:val="24"/>
          <w:szCs w:val="24"/>
        </w:rPr>
        <w:t>made on behalf of</w:t>
      </w:r>
      <w:r w:rsidR="005A3932" w:rsidRPr="00121BED">
        <w:rPr>
          <w:rFonts w:ascii="Arial" w:hAnsi="Arial" w:cs="Arial"/>
          <w:sz w:val="24"/>
          <w:szCs w:val="24"/>
        </w:rPr>
        <w:t xml:space="preserve"> </w:t>
      </w:r>
      <w:r w:rsidR="00C721D1" w:rsidRPr="00121BED">
        <w:rPr>
          <w:rFonts w:ascii="Arial" w:hAnsi="Arial" w:cs="Arial"/>
          <w:sz w:val="24"/>
          <w:szCs w:val="24"/>
        </w:rPr>
        <w:t>Rainhill Civic Society,</w:t>
      </w:r>
      <w:r w:rsidR="006A133A">
        <w:rPr>
          <w:rFonts w:ascii="Arial" w:hAnsi="Arial" w:cs="Arial"/>
          <w:sz w:val="24"/>
          <w:szCs w:val="24"/>
        </w:rPr>
        <w:t xml:space="preserve"> Blundells Hill Golf Club,</w:t>
      </w:r>
      <w:r w:rsidR="00C721D1" w:rsidRPr="00121BED">
        <w:rPr>
          <w:rFonts w:ascii="Arial" w:hAnsi="Arial" w:cs="Arial"/>
          <w:sz w:val="24"/>
          <w:szCs w:val="24"/>
        </w:rPr>
        <w:t xml:space="preserve"> Cowburn Land, Mr Kedge</w:t>
      </w:r>
      <w:r w:rsidR="001E2B9E" w:rsidRPr="00121BED">
        <w:rPr>
          <w:rFonts w:ascii="Arial" w:hAnsi="Arial" w:cs="Arial"/>
          <w:sz w:val="24"/>
          <w:szCs w:val="24"/>
        </w:rPr>
        <w:t xml:space="preserve"> and</w:t>
      </w:r>
      <w:r w:rsidR="00C721D1" w:rsidRPr="00121BED">
        <w:rPr>
          <w:rFonts w:ascii="Arial" w:hAnsi="Arial" w:cs="Arial"/>
          <w:sz w:val="24"/>
          <w:szCs w:val="24"/>
        </w:rPr>
        <w:t xml:space="preserve"> </w:t>
      </w:r>
      <w:r w:rsidR="001E2B9E" w:rsidRPr="00121BED">
        <w:rPr>
          <w:rFonts w:ascii="Arial" w:hAnsi="Arial" w:cs="Arial"/>
          <w:sz w:val="24"/>
          <w:szCs w:val="24"/>
        </w:rPr>
        <w:t xml:space="preserve">Mr </w:t>
      </w:r>
      <w:r w:rsidR="00C721D1" w:rsidRPr="00121BED">
        <w:rPr>
          <w:rFonts w:ascii="Arial" w:hAnsi="Arial" w:cs="Arial"/>
          <w:sz w:val="24"/>
          <w:szCs w:val="24"/>
        </w:rPr>
        <w:t>Clarke</w:t>
      </w:r>
      <w:r w:rsidR="00121BED" w:rsidRPr="00121BED">
        <w:rPr>
          <w:rFonts w:ascii="Arial" w:hAnsi="Arial" w:cs="Arial"/>
          <w:sz w:val="24"/>
          <w:szCs w:val="24"/>
        </w:rPr>
        <w:t xml:space="preserve">. </w:t>
      </w:r>
      <w:r w:rsidRPr="00121BED">
        <w:rPr>
          <w:rFonts w:ascii="Arial" w:hAnsi="Arial" w:cs="Arial"/>
          <w:sz w:val="24"/>
          <w:szCs w:val="24"/>
        </w:rPr>
        <w:t xml:space="preserve">I have considered all </w:t>
      </w:r>
      <w:r w:rsidR="00D15ED9">
        <w:rPr>
          <w:rFonts w:ascii="Arial" w:hAnsi="Arial" w:cs="Arial"/>
          <w:sz w:val="24"/>
          <w:szCs w:val="24"/>
        </w:rPr>
        <w:t xml:space="preserve">of </w:t>
      </w:r>
      <w:r w:rsidRPr="00121BED">
        <w:rPr>
          <w:rFonts w:ascii="Arial" w:hAnsi="Arial" w:cs="Arial"/>
          <w:sz w:val="24"/>
          <w:szCs w:val="24"/>
        </w:rPr>
        <w:t xml:space="preserve">these documents in </w:t>
      </w:r>
      <w:r w:rsidR="000826FE" w:rsidRPr="00121BED">
        <w:rPr>
          <w:rFonts w:ascii="Arial" w:hAnsi="Arial" w:cs="Arial"/>
          <w:sz w:val="24"/>
          <w:szCs w:val="24"/>
        </w:rPr>
        <w:t xml:space="preserve">forming my conclusions.  </w:t>
      </w:r>
    </w:p>
    <w:p w14:paraId="6870F3F5" w14:textId="77777777" w:rsidR="002C6E5C" w:rsidRPr="00875D72" w:rsidRDefault="002C6E5C" w:rsidP="002C6E5C">
      <w:pPr>
        <w:pStyle w:val="Heading6blackfont"/>
        <w:rPr>
          <w:rFonts w:ascii="Arial" w:hAnsi="Arial" w:cs="Arial"/>
          <w:sz w:val="24"/>
          <w:szCs w:val="24"/>
        </w:rPr>
      </w:pPr>
      <w:r w:rsidRPr="00875D72">
        <w:rPr>
          <w:rFonts w:ascii="Arial" w:hAnsi="Arial" w:cs="Arial"/>
          <w:sz w:val="24"/>
          <w:szCs w:val="24"/>
        </w:rPr>
        <w:t>Main issue</w:t>
      </w:r>
      <w:r w:rsidR="00622325" w:rsidRPr="00875D72">
        <w:rPr>
          <w:rFonts w:ascii="Arial" w:hAnsi="Arial" w:cs="Arial"/>
          <w:sz w:val="24"/>
          <w:szCs w:val="24"/>
        </w:rPr>
        <w:t>s</w:t>
      </w:r>
    </w:p>
    <w:p w14:paraId="504BF6F0" w14:textId="77777777" w:rsidR="00B4779F" w:rsidRPr="002A513A" w:rsidRDefault="00B4779F" w:rsidP="007D3BE4">
      <w:pPr>
        <w:pStyle w:val="Style1"/>
        <w:tabs>
          <w:tab w:val="num" w:pos="1430"/>
        </w:tabs>
        <w:ind w:left="426" w:hanging="426"/>
        <w:rPr>
          <w:rFonts w:ascii="Arial" w:hAnsi="Arial" w:cs="Arial"/>
          <w:color w:val="auto"/>
          <w:sz w:val="24"/>
          <w:szCs w:val="24"/>
        </w:rPr>
      </w:pPr>
      <w:r w:rsidRPr="00B4779F">
        <w:rPr>
          <w:rFonts w:ascii="Arial" w:hAnsi="Arial" w:cs="Arial"/>
          <w:sz w:val="24"/>
          <w:szCs w:val="24"/>
        </w:rPr>
        <w:t>Section 53(3)(c)(ii) of the 1981 Act states that an order should be made on the discovery by the authority of evidence which, when considered with all other relevant evidence available, shows that a highway shown in the map and statement as a highway of a particular description ought to be there shown as a highway of a different description.</w:t>
      </w:r>
    </w:p>
    <w:p w14:paraId="0D4D3579" w14:textId="77777777" w:rsidR="002A513A" w:rsidRPr="002A513A" w:rsidRDefault="002A513A" w:rsidP="002A513A">
      <w:pPr>
        <w:pStyle w:val="Style1"/>
        <w:tabs>
          <w:tab w:val="num" w:pos="1430"/>
        </w:tabs>
        <w:rPr>
          <w:rFonts w:ascii="Arial" w:hAnsi="Arial" w:cs="Arial"/>
          <w:color w:val="auto"/>
          <w:sz w:val="24"/>
          <w:szCs w:val="24"/>
        </w:rPr>
      </w:pPr>
      <w:r w:rsidRPr="002A513A">
        <w:rPr>
          <w:rFonts w:ascii="Arial" w:hAnsi="Arial" w:cs="Arial"/>
          <w:sz w:val="24"/>
          <w:szCs w:val="24"/>
        </w:rPr>
        <w:lastRenderedPageBreak/>
        <w:t xml:space="preserve">The application is supported by both </w:t>
      </w:r>
      <w:r>
        <w:rPr>
          <w:rFonts w:ascii="Arial" w:hAnsi="Arial" w:cs="Arial"/>
          <w:sz w:val="24"/>
          <w:szCs w:val="24"/>
        </w:rPr>
        <w:t xml:space="preserve">user and </w:t>
      </w:r>
      <w:r w:rsidRPr="002A513A">
        <w:rPr>
          <w:rFonts w:ascii="Arial" w:hAnsi="Arial" w:cs="Arial"/>
          <w:sz w:val="24"/>
          <w:szCs w:val="24"/>
        </w:rPr>
        <w:t xml:space="preserve">documentary evidence which might give rise to a presumption of statutory dedication under the provisions of the </w:t>
      </w:r>
      <w:r>
        <w:rPr>
          <w:rFonts w:ascii="Arial" w:hAnsi="Arial" w:cs="Arial"/>
          <w:sz w:val="24"/>
          <w:szCs w:val="24"/>
        </w:rPr>
        <w:t xml:space="preserve"> Highways Act </w:t>
      </w:r>
      <w:r w:rsidRPr="002A513A">
        <w:rPr>
          <w:rFonts w:ascii="Arial" w:hAnsi="Arial" w:cs="Arial"/>
          <w:sz w:val="24"/>
          <w:szCs w:val="24"/>
        </w:rPr>
        <w:t xml:space="preserve">1980 </w:t>
      </w:r>
      <w:r>
        <w:rPr>
          <w:rFonts w:ascii="Arial" w:hAnsi="Arial" w:cs="Arial"/>
          <w:sz w:val="24"/>
          <w:szCs w:val="24"/>
        </w:rPr>
        <w:t>(the 1980 Act)</w:t>
      </w:r>
      <w:r w:rsidRPr="002A513A">
        <w:rPr>
          <w:rFonts w:ascii="Arial" w:hAnsi="Arial" w:cs="Arial"/>
          <w:sz w:val="24"/>
          <w:szCs w:val="24"/>
        </w:rPr>
        <w:t xml:space="preserve"> or an inference of dedication at common law. The main elements of each type of evidence are examined below.</w:t>
      </w:r>
    </w:p>
    <w:p w14:paraId="66092617" w14:textId="77777777" w:rsidR="00B4779F" w:rsidRPr="00B4779F" w:rsidRDefault="00B4779F" w:rsidP="007D3BE4">
      <w:pPr>
        <w:pStyle w:val="Style1"/>
        <w:tabs>
          <w:tab w:val="num" w:pos="1430"/>
        </w:tabs>
        <w:ind w:left="426" w:hanging="426"/>
        <w:rPr>
          <w:rFonts w:ascii="Arial" w:hAnsi="Arial" w:cs="Arial"/>
          <w:color w:val="auto"/>
          <w:sz w:val="24"/>
          <w:szCs w:val="24"/>
        </w:rPr>
      </w:pPr>
      <w:r w:rsidRPr="00B4779F">
        <w:rPr>
          <w:rFonts w:ascii="Arial" w:hAnsi="Arial" w:cs="Arial"/>
          <w:sz w:val="24"/>
          <w:szCs w:val="24"/>
        </w:rPr>
        <w:t>Section 31 of the</w:t>
      </w:r>
      <w:r w:rsidR="002A513A">
        <w:rPr>
          <w:rFonts w:ascii="Arial" w:hAnsi="Arial" w:cs="Arial"/>
          <w:sz w:val="24"/>
          <w:szCs w:val="24"/>
        </w:rPr>
        <w:t xml:space="preserve"> </w:t>
      </w:r>
      <w:r w:rsidRPr="00B4779F">
        <w:rPr>
          <w:rFonts w:ascii="Arial" w:hAnsi="Arial" w:cs="Arial"/>
          <w:sz w:val="24"/>
          <w:szCs w:val="24"/>
        </w:rPr>
        <w:t xml:space="preserve">1980 Act states that where a way over any land, other than a way of such a character that use of it by the public could not give rise at common law to any presumption of dedication, has been actually enjoyed by the public as of right and without interruption for a full period of 20 years, the way is deemed to have been dedicated as a highway unless there is sufficient evidence that there was no intention during that period to dedicate it. The period of 20 years is to be calculated retrospectively from the date when the right of the public to use the way was brought into question. </w:t>
      </w:r>
      <w:r w:rsidR="00EC0986" w:rsidRPr="00EC0986">
        <w:rPr>
          <w:rFonts w:ascii="Arial" w:hAnsi="Arial" w:cs="Arial"/>
          <w:sz w:val="24"/>
          <w:szCs w:val="24"/>
        </w:rPr>
        <w:t>This presumption may be rebutted if there is sufficient evidence that there was no intention on the part of the landowner during this period to dedicate the route as a public right of way.</w:t>
      </w:r>
      <w:r w:rsidR="00EC0986" w:rsidRPr="00EA0759">
        <w:t xml:space="preserve">  </w:t>
      </w:r>
    </w:p>
    <w:p w14:paraId="080736F8" w14:textId="77777777" w:rsidR="00B4779F" w:rsidRDefault="00E91EDC" w:rsidP="00E91EDC">
      <w:pPr>
        <w:pStyle w:val="Style1"/>
        <w:tabs>
          <w:tab w:val="clear" w:pos="720"/>
          <w:tab w:val="num" w:pos="862"/>
          <w:tab w:val="num" w:pos="1430"/>
        </w:tabs>
        <w:ind w:left="426" w:hanging="426"/>
        <w:rPr>
          <w:rFonts w:ascii="Arial" w:hAnsi="Arial" w:cs="Arial"/>
          <w:sz w:val="24"/>
          <w:szCs w:val="24"/>
        </w:rPr>
      </w:pPr>
      <w:r w:rsidRPr="00E91EDC">
        <w:rPr>
          <w:rFonts w:ascii="Arial" w:hAnsi="Arial" w:cs="Arial"/>
          <w:sz w:val="24"/>
          <w:szCs w:val="24"/>
        </w:rPr>
        <w:t>Alternatively, if the case is not made out under statute, the</w:t>
      </w:r>
      <w:r w:rsidR="002A513A">
        <w:rPr>
          <w:rFonts w:ascii="Arial" w:hAnsi="Arial" w:cs="Arial"/>
          <w:sz w:val="24"/>
          <w:szCs w:val="24"/>
        </w:rPr>
        <w:t xml:space="preserve"> documentary and user</w:t>
      </w:r>
      <w:r w:rsidRPr="00E91EDC">
        <w:rPr>
          <w:rFonts w:ascii="Arial" w:hAnsi="Arial" w:cs="Arial"/>
          <w:sz w:val="24"/>
          <w:szCs w:val="24"/>
        </w:rPr>
        <w:t xml:space="preserve"> evidence </w:t>
      </w:r>
      <w:r w:rsidR="002A513A">
        <w:rPr>
          <w:rFonts w:ascii="Arial" w:hAnsi="Arial" w:cs="Arial"/>
          <w:sz w:val="24"/>
          <w:szCs w:val="24"/>
        </w:rPr>
        <w:t>should</w:t>
      </w:r>
      <w:r w:rsidRPr="00E91EDC">
        <w:rPr>
          <w:rFonts w:ascii="Arial" w:hAnsi="Arial" w:cs="Arial"/>
          <w:sz w:val="24"/>
          <w:szCs w:val="24"/>
        </w:rPr>
        <w:t xml:space="preserve"> be considered under the common law. </w:t>
      </w:r>
      <w:r w:rsidR="00B831A8">
        <w:rPr>
          <w:rFonts w:ascii="Arial" w:hAnsi="Arial" w:cs="Arial"/>
          <w:sz w:val="24"/>
          <w:szCs w:val="24"/>
        </w:rPr>
        <w:t>T</w:t>
      </w:r>
      <w:r w:rsidRPr="00E91EDC">
        <w:rPr>
          <w:rFonts w:ascii="Arial" w:hAnsi="Arial" w:cs="Arial"/>
          <w:sz w:val="24"/>
          <w:szCs w:val="24"/>
        </w:rPr>
        <w:t>he issues to be addressed would be whether, during any relevant period, the owners of the land in question had the capacity to dedicate a public right of way; whether there was express or implied dedication by the owners, and whether there is evidence of acceptance of the claimed right by the public.</w:t>
      </w:r>
    </w:p>
    <w:p w14:paraId="17D4902D" w14:textId="77777777" w:rsidR="002D2121" w:rsidRPr="002D2121" w:rsidRDefault="002D2121" w:rsidP="002D2121">
      <w:pPr>
        <w:pStyle w:val="Style1"/>
        <w:tabs>
          <w:tab w:val="num" w:pos="1430"/>
        </w:tabs>
        <w:rPr>
          <w:rFonts w:ascii="Arial" w:hAnsi="Arial" w:cs="Arial"/>
          <w:sz w:val="24"/>
          <w:szCs w:val="24"/>
        </w:rPr>
      </w:pPr>
      <w:r w:rsidRPr="002D2121">
        <w:rPr>
          <w:rFonts w:ascii="Arial" w:hAnsi="Arial" w:cs="Arial"/>
          <w:sz w:val="24"/>
          <w:szCs w:val="24"/>
        </w:rPr>
        <w:t>As regards the documentary evidence submitted, section 32 of the 1980 Act requires that I take into consideration any map, plan or history of the locality, or other relevant document provided as evidence, giving it such weight as is appropriate, to assist in determining whether a way has been dedicated a highway of the status claimed.</w:t>
      </w:r>
    </w:p>
    <w:p w14:paraId="50ABDE25" w14:textId="77777777" w:rsidR="008705DF" w:rsidRPr="008705DF" w:rsidRDefault="008705DF" w:rsidP="008705DF">
      <w:pPr>
        <w:pStyle w:val="Style1"/>
        <w:numPr>
          <w:ilvl w:val="0"/>
          <w:numId w:val="0"/>
        </w:numPr>
        <w:tabs>
          <w:tab w:val="num" w:pos="1430"/>
        </w:tabs>
        <w:rPr>
          <w:b/>
          <w:bCs/>
          <w:color w:val="auto"/>
        </w:rPr>
      </w:pPr>
      <w:r w:rsidRPr="008705DF">
        <w:rPr>
          <w:rFonts w:ascii="Arial" w:hAnsi="Arial" w:cs="Arial"/>
          <w:b/>
          <w:bCs/>
          <w:sz w:val="24"/>
          <w:szCs w:val="24"/>
        </w:rPr>
        <w:t>Reason</w:t>
      </w:r>
      <w:r w:rsidR="002266D7">
        <w:rPr>
          <w:rFonts w:ascii="Arial" w:hAnsi="Arial" w:cs="Arial"/>
          <w:b/>
          <w:bCs/>
          <w:sz w:val="24"/>
          <w:szCs w:val="24"/>
        </w:rPr>
        <w:t>ing</w:t>
      </w:r>
    </w:p>
    <w:p w14:paraId="6C761C70" w14:textId="77777777" w:rsidR="00FE0ADB" w:rsidRPr="004E3F1B" w:rsidRDefault="00B300AB" w:rsidP="00FE0ADB">
      <w:pPr>
        <w:pStyle w:val="Style1"/>
        <w:numPr>
          <w:ilvl w:val="0"/>
          <w:numId w:val="0"/>
        </w:numPr>
        <w:tabs>
          <w:tab w:val="clear" w:pos="432"/>
          <w:tab w:val="num" w:pos="426"/>
        </w:tabs>
        <w:rPr>
          <w:rFonts w:ascii="Arial" w:hAnsi="Arial" w:cs="Arial"/>
          <w:b/>
          <w:bCs/>
          <w:i/>
          <w:iCs/>
          <w:sz w:val="24"/>
          <w:szCs w:val="24"/>
        </w:rPr>
      </w:pPr>
      <w:r w:rsidRPr="004E3F1B">
        <w:rPr>
          <w:rFonts w:ascii="Arial" w:hAnsi="Arial" w:cs="Arial"/>
          <w:b/>
          <w:bCs/>
          <w:i/>
          <w:iCs/>
          <w:sz w:val="24"/>
          <w:szCs w:val="24"/>
        </w:rPr>
        <w:t>Statutory Dedicati</w:t>
      </w:r>
      <w:r w:rsidR="004E3F1B" w:rsidRPr="004E3F1B">
        <w:rPr>
          <w:rFonts w:ascii="Arial" w:hAnsi="Arial" w:cs="Arial"/>
          <w:b/>
          <w:bCs/>
          <w:i/>
          <w:iCs/>
          <w:sz w:val="24"/>
          <w:szCs w:val="24"/>
        </w:rPr>
        <w:t>on</w:t>
      </w:r>
    </w:p>
    <w:p w14:paraId="0A2DDD37" w14:textId="77777777" w:rsidR="007F1313" w:rsidRDefault="007F1313" w:rsidP="007A38D7">
      <w:pPr>
        <w:pStyle w:val="Style1"/>
        <w:rPr>
          <w:rFonts w:ascii="Arial" w:hAnsi="Arial" w:cs="Arial"/>
          <w:color w:val="auto"/>
          <w:sz w:val="24"/>
          <w:szCs w:val="24"/>
        </w:rPr>
      </w:pPr>
      <w:r>
        <w:rPr>
          <w:rFonts w:ascii="Arial" w:hAnsi="Arial" w:cs="Arial"/>
          <w:color w:val="auto"/>
          <w:sz w:val="24"/>
          <w:szCs w:val="24"/>
        </w:rPr>
        <w:t>The date on which use of the route was brought into question has been requested as the application date, in the absence of a formal calling into question.</w:t>
      </w:r>
      <w:r w:rsidR="0098217C">
        <w:rPr>
          <w:rFonts w:ascii="Arial" w:hAnsi="Arial" w:cs="Arial"/>
          <w:color w:val="auto"/>
          <w:sz w:val="24"/>
          <w:szCs w:val="24"/>
        </w:rPr>
        <w:t xml:space="preserve"> </w:t>
      </w:r>
      <w:r w:rsidR="00433FF5">
        <w:rPr>
          <w:rFonts w:ascii="Arial" w:hAnsi="Arial" w:cs="Arial"/>
          <w:color w:val="auto"/>
          <w:sz w:val="24"/>
          <w:szCs w:val="24"/>
        </w:rPr>
        <w:t>Therefore,</w:t>
      </w:r>
      <w:r w:rsidR="000E2702">
        <w:rPr>
          <w:rFonts w:ascii="Arial" w:hAnsi="Arial" w:cs="Arial"/>
          <w:color w:val="auto"/>
          <w:sz w:val="24"/>
          <w:szCs w:val="24"/>
        </w:rPr>
        <w:t xml:space="preserve"> the</w:t>
      </w:r>
      <w:r w:rsidR="0098217C">
        <w:rPr>
          <w:rFonts w:ascii="Arial" w:hAnsi="Arial" w:cs="Arial"/>
          <w:color w:val="auto"/>
          <w:sz w:val="24"/>
          <w:szCs w:val="24"/>
        </w:rPr>
        <w:t xml:space="preserve"> relevant period for this purpose is 2000-2020.</w:t>
      </w:r>
      <w:r>
        <w:rPr>
          <w:rFonts w:ascii="Arial" w:hAnsi="Arial" w:cs="Arial"/>
          <w:color w:val="auto"/>
          <w:sz w:val="24"/>
          <w:szCs w:val="24"/>
        </w:rPr>
        <w:t xml:space="preserve">  </w:t>
      </w:r>
    </w:p>
    <w:p w14:paraId="1C8C4972" w14:textId="77777777" w:rsidR="00DB7FBA" w:rsidRDefault="00654104" w:rsidP="007A38D7">
      <w:pPr>
        <w:pStyle w:val="Style1"/>
        <w:rPr>
          <w:rFonts w:ascii="Arial" w:hAnsi="Arial" w:cs="Arial"/>
          <w:color w:val="auto"/>
          <w:sz w:val="24"/>
          <w:szCs w:val="24"/>
        </w:rPr>
      </w:pPr>
      <w:r>
        <w:rPr>
          <w:rFonts w:ascii="Arial" w:hAnsi="Arial" w:cs="Arial"/>
          <w:color w:val="auto"/>
          <w:sz w:val="24"/>
          <w:szCs w:val="24"/>
        </w:rPr>
        <w:t>Seven user evidence forms were submitted with the application to upgrade FP201 to bridleway</w:t>
      </w:r>
      <w:r w:rsidRPr="00CA3FAE">
        <w:rPr>
          <w:rFonts w:ascii="Arial" w:hAnsi="Arial" w:cs="Arial"/>
          <w:color w:val="auto"/>
          <w:sz w:val="24"/>
          <w:szCs w:val="24"/>
        </w:rPr>
        <w:t>, with a further three</w:t>
      </w:r>
      <w:r w:rsidR="00430F87" w:rsidRPr="00CA3FAE">
        <w:rPr>
          <w:rFonts w:ascii="Arial" w:hAnsi="Arial" w:cs="Arial"/>
          <w:color w:val="auto"/>
          <w:sz w:val="24"/>
          <w:szCs w:val="24"/>
        </w:rPr>
        <w:t xml:space="preserve"> user</w:t>
      </w:r>
      <w:r w:rsidR="0011247F" w:rsidRPr="00CA3FAE">
        <w:rPr>
          <w:rFonts w:ascii="Arial" w:hAnsi="Arial" w:cs="Arial"/>
          <w:color w:val="auto"/>
          <w:sz w:val="24"/>
          <w:szCs w:val="24"/>
        </w:rPr>
        <w:t xml:space="preserve"> evidence forms being </w:t>
      </w:r>
      <w:r w:rsidR="003B3E71">
        <w:rPr>
          <w:rFonts w:ascii="Arial" w:hAnsi="Arial" w:cs="Arial"/>
          <w:color w:val="auto"/>
          <w:sz w:val="24"/>
          <w:szCs w:val="24"/>
        </w:rPr>
        <w:t>included in</w:t>
      </w:r>
      <w:r w:rsidR="00430F87" w:rsidRPr="00CA3FAE">
        <w:rPr>
          <w:rFonts w:ascii="Arial" w:hAnsi="Arial" w:cs="Arial"/>
          <w:color w:val="auto"/>
          <w:sz w:val="24"/>
          <w:szCs w:val="24"/>
        </w:rPr>
        <w:t xml:space="preserve"> the </w:t>
      </w:r>
      <w:r w:rsidR="00433FF5" w:rsidRPr="00CA3FAE">
        <w:rPr>
          <w:rFonts w:ascii="Arial" w:hAnsi="Arial" w:cs="Arial"/>
          <w:color w:val="auto"/>
          <w:sz w:val="24"/>
          <w:szCs w:val="24"/>
        </w:rPr>
        <w:t>applicants’</w:t>
      </w:r>
      <w:r w:rsidRPr="00CA3FAE">
        <w:rPr>
          <w:rFonts w:ascii="Arial" w:hAnsi="Arial" w:cs="Arial"/>
          <w:color w:val="auto"/>
          <w:sz w:val="24"/>
          <w:szCs w:val="24"/>
        </w:rPr>
        <w:t xml:space="preserve"> statement</w:t>
      </w:r>
      <w:r>
        <w:rPr>
          <w:rFonts w:ascii="Arial" w:hAnsi="Arial" w:cs="Arial"/>
          <w:color w:val="auto"/>
          <w:sz w:val="24"/>
          <w:szCs w:val="24"/>
        </w:rPr>
        <w:t xml:space="preserve"> of case</w:t>
      </w:r>
      <w:r w:rsidR="0011247F">
        <w:rPr>
          <w:rFonts w:ascii="Arial" w:hAnsi="Arial" w:cs="Arial"/>
          <w:color w:val="auto"/>
          <w:sz w:val="24"/>
          <w:szCs w:val="24"/>
        </w:rPr>
        <w:t>.</w:t>
      </w:r>
      <w:r w:rsidR="00D15F89">
        <w:rPr>
          <w:rFonts w:ascii="Arial" w:hAnsi="Arial" w:cs="Arial"/>
          <w:color w:val="auto"/>
          <w:sz w:val="24"/>
          <w:szCs w:val="24"/>
        </w:rPr>
        <w:t xml:space="preserve"> </w:t>
      </w:r>
      <w:r>
        <w:rPr>
          <w:rFonts w:ascii="Arial" w:hAnsi="Arial" w:cs="Arial"/>
          <w:color w:val="auto"/>
          <w:sz w:val="24"/>
          <w:szCs w:val="24"/>
        </w:rPr>
        <w:t>The</w:t>
      </w:r>
      <w:r w:rsidR="00430F87">
        <w:rPr>
          <w:rFonts w:ascii="Arial" w:hAnsi="Arial" w:cs="Arial"/>
          <w:color w:val="auto"/>
          <w:sz w:val="24"/>
          <w:szCs w:val="24"/>
        </w:rPr>
        <w:t xml:space="preserve"> users</w:t>
      </w:r>
      <w:r>
        <w:rPr>
          <w:rFonts w:ascii="Arial" w:hAnsi="Arial" w:cs="Arial"/>
          <w:color w:val="auto"/>
          <w:sz w:val="24"/>
          <w:szCs w:val="24"/>
        </w:rPr>
        <w:t xml:space="preserve"> described use of the route from 1955 to 2020.</w:t>
      </w:r>
    </w:p>
    <w:p w14:paraId="4CEA524F" w14:textId="77777777" w:rsidR="00654104" w:rsidRDefault="00654104" w:rsidP="007A38D7">
      <w:pPr>
        <w:pStyle w:val="Style1"/>
        <w:rPr>
          <w:rFonts w:ascii="Arial" w:hAnsi="Arial" w:cs="Arial"/>
          <w:color w:val="auto"/>
          <w:sz w:val="24"/>
          <w:szCs w:val="24"/>
        </w:rPr>
      </w:pPr>
      <w:r>
        <w:rPr>
          <w:rFonts w:ascii="Arial" w:hAnsi="Arial" w:cs="Arial"/>
          <w:color w:val="auto"/>
          <w:sz w:val="24"/>
          <w:szCs w:val="24"/>
        </w:rPr>
        <w:t>The frequency of use varied</w:t>
      </w:r>
      <w:r w:rsidR="00CA3FAE">
        <w:rPr>
          <w:rFonts w:ascii="Arial" w:hAnsi="Arial" w:cs="Arial"/>
          <w:color w:val="auto"/>
          <w:sz w:val="24"/>
          <w:szCs w:val="24"/>
        </w:rPr>
        <w:t xml:space="preserve"> significantly</w:t>
      </w:r>
      <w:r w:rsidR="007F1313">
        <w:rPr>
          <w:rFonts w:ascii="Arial" w:hAnsi="Arial" w:cs="Arial"/>
          <w:color w:val="auto"/>
          <w:sz w:val="24"/>
          <w:szCs w:val="24"/>
        </w:rPr>
        <w:t>,</w:t>
      </w:r>
      <w:r w:rsidR="00CA3FAE">
        <w:rPr>
          <w:rFonts w:ascii="Arial" w:hAnsi="Arial" w:cs="Arial"/>
          <w:color w:val="auto"/>
          <w:sz w:val="24"/>
          <w:szCs w:val="24"/>
        </w:rPr>
        <w:t xml:space="preserve"> being relatively sparse before the mid 1980’s, with</w:t>
      </w:r>
      <w:r w:rsidR="007F1313">
        <w:rPr>
          <w:rFonts w:ascii="Arial" w:hAnsi="Arial" w:cs="Arial"/>
          <w:color w:val="auto"/>
          <w:sz w:val="24"/>
          <w:szCs w:val="24"/>
        </w:rPr>
        <w:t xml:space="preserve"> heaviest use taking place </w:t>
      </w:r>
      <w:r w:rsidR="00CA3FAE">
        <w:rPr>
          <w:rFonts w:ascii="Arial" w:hAnsi="Arial" w:cs="Arial"/>
          <w:color w:val="auto"/>
          <w:sz w:val="24"/>
          <w:szCs w:val="24"/>
        </w:rPr>
        <w:t>between 198</w:t>
      </w:r>
      <w:r w:rsidR="008D77DF">
        <w:rPr>
          <w:rFonts w:ascii="Arial" w:hAnsi="Arial" w:cs="Arial"/>
          <w:color w:val="auto"/>
          <w:sz w:val="24"/>
          <w:szCs w:val="24"/>
        </w:rPr>
        <w:t>4</w:t>
      </w:r>
      <w:r w:rsidR="00CA3FAE">
        <w:rPr>
          <w:rFonts w:ascii="Arial" w:hAnsi="Arial" w:cs="Arial"/>
          <w:color w:val="auto"/>
          <w:sz w:val="24"/>
          <w:szCs w:val="24"/>
        </w:rPr>
        <w:t xml:space="preserve">-1995, </w:t>
      </w:r>
      <w:r w:rsidR="00300A36">
        <w:rPr>
          <w:rFonts w:ascii="Arial" w:hAnsi="Arial" w:cs="Arial"/>
          <w:color w:val="auto"/>
          <w:sz w:val="24"/>
          <w:szCs w:val="24"/>
        </w:rPr>
        <w:t>thereafter</w:t>
      </w:r>
      <w:r w:rsidR="007F1313">
        <w:rPr>
          <w:rFonts w:ascii="Arial" w:hAnsi="Arial" w:cs="Arial"/>
          <w:color w:val="auto"/>
          <w:sz w:val="24"/>
          <w:szCs w:val="24"/>
        </w:rPr>
        <w:t xml:space="preserve"> becoming </w:t>
      </w:r>
      <w:r w:rsidR="002943CD">
        <w:rPr>
          <w:rFonts w:ascii="Arial" w:hAnsi="Arial" w:cs="Arial"/>
          <w:color w:val="auto"/>
          <w:sz w:val="24"/>
          <w:szCs w:val="24"/>
        </w:rPr>
        <w:t xml:space="preserve">much </w:t>
      </w:r>
      <w:r w:rsidR="007F1313">
        <w:rPr>
          <w:rFonts w:ascii="Arial" w:hAnsi="Arial" w:cs="Arial"/>
          <w:color w:val="auto"/>
          <w:sz w:val="24"/>
          <w:szCs w:val="24"/>
        </w:rPr>
        <w:t>less frequent in recent years.</w:t>
      </w:r>
    </w:p>
    <w:p w14:paraId="54648DDE" w14:textId="77777777" w:rsidR="002943CD" w:rsidRDefault="002943CD" w:rsidP="007A38D7">
      <w:pPr>
        <w:pStyle w:val="Style1"/>
        <w:rPr>
          <w:rFonts w:ascii="Arial" w:hAnsi="Arial" w:cs="Arial"/>
          <w:color w:val="auto"/>
          <w:sz w:val="24"/>
          <w:szCs w:val="24"/>
        </w:rPr>
      </w:pPr>
      <w:r>
        <w:rPr>
          <w:rFonts w:ascii="Arial" w:hAnsi="Arial" w:cs="Arial"/>
          <w:color w:val="auto"/>
          <w:sz w:val="24"/>
          <w:szCs w:val="24"/>
        </w:rPr>
        <w:t>Earl</w:t>
      </w:r>
      <w:r w:rsidR="008D77DF">
        <w:rPr>
          <w:rFonts w:ascii="Arial" w:hAnsi="Arial" w:cs="Arial"/>
          <w:color w:val="auto"/>
          <w:sz w:val="24"/>
          <w:szCs w:val="24"/>
        </w:rPr>
        <w:t>iest</w:t>
      </w:r>
      <w:r>
        <w:rPr>
          <w:rFonts w:ascii="Arial" w:hAnsi="Arial" w:cs="Arial"/>
          <w:color w:val="auto"/>
          <w:sz w:val="24"/>
          <w:szCs w:val="24"/>
        </w:rPr>
        <w:t xml:space="preserve"> use was on the</w:t>
      </w:r>
      <w:r w:rsidR="001603CA">
        <w:rPr>
          <w:rFonts w:ascii="Arial" w:hAnsi="Arial" w:cs="Arial"/>
          <w:color w:val="auto"/>
          <w:sz w:val="24"/>
          <w:szCs w:val="24"/>
        </w:rPr>
        <w:t xml:space="preserve"> original </w:t>
      </w:r>
      <w:r>
        <w:rPr>
          <w:rFonts w:ascii="Arial" w:hAnsi="Arial" w:cs="Arial"/>
          <w:color w:val="auto"/>
          <w:sz w:val="24"/>
          <w:szCs w:val="24"/>
        </w:rPr>
        <w:t xml:space="preserve">route </w:t>
      </w:r>
      <w:r w:rsidR="001603CA">
        <w:rPr>
          <w:rFonts w:ascii="Arial" w:hAnsi="Arial" w:cs="Arial"/>
          <w:color w:val="auto"/>
          <w:sz w:val="24"/>
          <w:szCs w:val="24"/>
        </w:rPr>
        <w:t>of Cronton Lane</w:t>
      </w:r>
      <w:r>
        <w:rPr>
          <w:rFonts w:ascii="Arial" w:hAnsi="Arial" w:cs="Arial"/>
          <w:color w:val="auto"/>
          <w:sz w:val="24"/>
          <w:szCs w:val="24"/>
        </w:rPr>
        <w:t xml:space="preserve"> to meet up with Penny Lane</w:t>
      </w:r>
      <w:r w:rsidR="001603CA">
        <w:rPr>
          <w:rFonts w:ascii="Arial" w:hAnsi="Arial" w:cs="Arial"/>
          <w:color w:val="auto"/>
          <w:sz w:val="24"/>
          <w:szCs w:val="24"/>
        </w:rPr>
        <w:t>,</w:t>
      </w:r>
      <w:r>
        <w:rPr>
          <w:rFonts w:ascii="Arial" w:hAnsi="Arial" w:cs="Arial"/>
          <w:color w:val="auto"/>
          <w:sz w:val="24"/>
          <w:szCs w:val="24"/>
        </w:rPr>
        <w:t xml:space="preserve"> prior to the construction of the M62 motorway.</w:t>
      </w:r>
      <w:r w:rsidR="008D77DF">
        <w:rPr>
          <w:rFonts w:ascii="Arial" w:hAnsi="Arial" w:cs="Arial"/>
          <w:color w:val="auto"/>
          <w:sz w:val="24"/>
          <w:szCs w:val="24"/>
        </w:rPr>
        <w:t xml:space="preserve"> Following this</w:t>
      </w:r>
      <w:r>
        <w:rPr>
          <w:rFonts w:ascii="Arial" w:hAnsi="Arial" w:cs="Arial"/>
          <w:color w:val="auto"/>
          <w:sz w:val="24"/>
          <w:szCs w:val="24"/>
        </w:rPr>
        <w:t xml:space="preserve">, use </w:t>
      </w:r>
      <w:r w:rsidR="00E05EF8">
        <w:rPr>
          <w:rFonts w:ascii="Arial" w:hAnsi="Arial" w:cs="Arial"/>
          <w:color w:val="auto"/>
          <w:sz w:val="24"/>
          <w:szCs w:val="24"/>
        </w:rPr>
        <w:t>was</w:t>
      </w:r>
      <w:r>
        <w:rPr>
          <w:rFonts w:ascii="Arial" w:hAnsi="Arial" w:cs="Arial"/>
          <w:color w:val="auto"/>
          <w:sz w:val="24"/>
          <w:szCs w:val="24"/>
        </w:rPr>
        <w:t xml:space="preserve"> solely on the current route of</w:t>
      </w:r>
      <w:r w:rsidR="00E05EF8">
        <w:rPr>
          <w:rFonts w:ascii="Arial" w:hAnsi="Arial" w:cs="Arial"/>
          <w:color w:val="auto"/>
          <w:sz w:val="24"/>
          <w:szCs w:val="24"/>
        </w:rPr>
        <w:t xml:space="preserve"> FP201, </w:t>
      </w:r>
      <w:r>
        <w:rPr>
          <w:rFonts w:ascii="Arial" w:hAnsi="Arial" w:cs="Arial"/>
          <w:color w:val="auto"/>
          <w:sz w:val="24"/>
          <w:szCs w:val="24"/>
        </w:rPr>
        <w:t>A-B-C</w:t>
      </w:r>
      <w:r w:rsidR="00E05EF8">
        <w:rPr>
          <w:rFonts w:ascii="Arial" w:hAnsi="Arial" w:cs="Arial"/>
          <w:color w:val="auto"/>
          <w:sz w:val="24"/>
          <w:szCs w:val="24"/>
        </w:rPr>
        <w:t xml:space="preserve"> on the map.</w:t>
      </w:r>
    </w:p>
    <w:p w14:paraId="30A37071" w14:textId="77777777" w:rsidR="00D15ED9" w:rsidRDefault="001A6E64" w:rsidP="007A38D7">
      <w:pPr>
        <w:pStyle w:val="Style1"/>
        <w:rPr>
          <w:rFonts w:ascii="Arial" w:hAnsi="Arial" w:cs="Arial"/>
          <w:color w:val="auto"/>
          <w:sz w:val="24"/>
          <w:szCs w:val="24"/>
        </w:rPr>
      </w:pPr>
      <w:r>
        <w:rPr>
          <w:rFonts w:ascii="Arial" w:hAnsi="Arial" w:cs="Arial"/>
          <w:color w:val="auto"/>
          <w:sz w:val="24"/>
          <w:szCs w:val="24"/>
        </w:rPr>
        <w:t>All</w:t>
      </w:r>
      <w:r w:rsidR="009372A1">
        <w:rPr>
          <w:rFonts w:ascii="Arial" w:hAnsi="Arial" w:cs="Arial"/>
          <w:color w:val="auto"/>
          <w:sz w:val="24"/>
          <w:szCs w:val="24"/>
        </w:rPr>
        <w:t xml:space="preserve"> users </w:t>
      </w:r>
      <w:r w:rsidR="00D15ED9">
        <w:rPr>
          <w:rFonts w:ascii="Arial" w:hAnsi="Arial" w:cs="Arial"/>
          <w:color w:val="auto"/>
          <w:sz w:val="24"/>
          <w:szCs w:val="24"/>
        </w:rPr>
        <w:t xml:space="preserve">stated that they </w:t>
      </w:r>
      <w:r w:rsidR="005760B5">
        <w:rPr>
          <w:rFonts w:ascii="Arial" w:hAnsi="Arial" w:cs="Arial"/>
          <w:color w:val="auto"/>
          <w:sz w:val="24"/>
          <w:szCs w:val="24"/>
        </w:rPr>
        <w:t xml:space="preserve">used the route </w:t>
      </w:r>
      <w:r w:rsidR="00666A4C">
        <w:rPr>
          <w:rFonts w:ascii="Arial" w:hAnsi="Arial" w:cs="Arial"/>
          <w:color w:val="auto"/>
          <w:sz w:val="24"/>
          <w:szCs w:val="24"/>
        </w:rPr>
        <w:t>openly, without seeking permission</w:t>
      </w:r>
      <w:r w:rsidR="005760B5">
        <w:rPr>
          <w:rFonts w:ascii="Arial" w:hAnsi="Arial" w:cs="Arial"/>
          <w:color w:val="auto"/>
          <w:sz w:val="24"/>
          <w:szCs w:val="24"/>
        </w:rPr>
        <w:t xml:space="preserve"> and without challenge or interruption.</w:t>
      </w:r>
      <w:r>
        <w:rPr>
          <w:rFonts w:ascii="Arial" w:hAnsi="Arial" w:cs="Arial"/>
          <w:color w:val="auto"/>
          <w:sz w:val="24"/>
          <w:szCs w:val="24"/>
        </w:rPr>
        <w:t xml:space="preserve"> </w:t>
      </w:r>
    </w:p>
    <w:p w14:paraId="091D5D05" w14:textId="77777777" w:rsidR="00A03DAF" w:rsidRPr="00A03DAF" w:rsidRDefault="00A03DAF" w:rsidP="00D15ED9">
      <w:pPr>
        <w:pStyle w:val="Style1"/>
        <w:rPr>
          <w:rFonts w:ascii="Arial" w:hAnsi="Arial" w:cs="Arial"/>
          <w:color w:val="auto"/>
          <w:sz w:val="24"/>
          <w:szCs w:val="24"/>
        </w:rPr>
      </w:pPr>
      <w:r>
        <w:rPr>
          <w:rFonts w:ascii="Arial" w:hAnsi="Arial" w:cs="Arial"/>
          <w:sz w:val="24"/>
          <w:szCs w:val="24"/>
        </w:rPr>
        <w:t>A photograph from geograph.co.uk referenced ‘SJ4989: Cronton Lane (taken 13 years ago)’ documented FP201 as an old cart track and showed a photograph of a cyclist using the lane. It is unclear on what date this photograph was taken.</w:t>
      </w:r>
    </w:p>
    <w:p w14:paraId="4686449C" w14:textId="77777777" w:rsidR="00A03DAF" w:rsidRPr="00A03DAF" w:rsidRDefault="00A03DAF" w:rsidP="00A03DAF">
      <w:pPr>
        <w:pStyle w:val="Style1"/>
        <w:rPr>
          <w:rFonts w:ascii="Arial" w:hAnsi="Arial" w:cs="Arial"/>
          <w:sz w:val="24"/>
          <w:szCs w:val="24"/>
        </w:rPr>
      </w:pPr>
      <w:r w:rsidRPr="00A03DAF">
        <w:rPr>
          <w:rFonts w:ascii="Arial" w:hAnsi="Arial" w:cs="Arial"/>
          <w:sz w:val="24"/>
          <w:szCs w:val="24"/>
        </w:rPr>
        <w:lastRenderedPageBreak/>
        <w:t xml:space="preserve">The photograph from Geograph clearly shows a cyclist using the FP201. Although SHBC submit that there is insufficient evidence that the cyclist is on FP201, a photograph submitted by the appellant at the same location shows remarkably similar surroundings and markers to the profile of the Geograph photograph. A photograph taken on 8 February 2021 by SHBC also bears similarity to the same location. It is of note that Blundells </w:t>
      </w:r>
      <w:r w:rsidR="009C08C5">
        <w:rPr>
          <w:rFonts w:ascii="Arial" w:hAnsi="Arial" w:cs="Arial"/>
          <w:sz w:val="24"/>
          <w:szCs w:val="24"/>
        </w:rPr>
        <w:t xml:space="preserve">Hill </w:t>
      </w:r>
      <w:r w:rsidRPr="00A03DAF">
        <w:rPr>
          <w:rFonts w:ascii="Arial" w:hAnsi="Arial" w:cs="Arial"/>
          <w:sz w:val="24"/>
          <w:szCs w:val="24"/>
        </w:rPr>
        <w:t xml:space="preserve">Golf Club expressed the difficulties they faced in keeping the public to the path, ‘particularly teenagers on bikes. Mr Kedge also commented that cyclists were churning the ground in the narrower sections of the route and one of the SHBC photographs attached to the inspection survey of FP201 in July 2019 appears to show a cyclist using the route.  </w:t>
      </w:r>
    </w:p>
    <w:p w14:paraId="2802EC91" w14:textId="77777777" w:rsidR="001A6E64" w:rsidRPr="00D15ED9" w:rsidRDefault="000E2702" w:rsidP="00D15ED9">
      <w:pPr>
        <w:pStyle w:val="Style1"/>
        <w:rPr>
          <w:rFonts w:ascii="Arial" w:hAnsi="Arial" w:cs="Arial"/>
          <w:color w:val="auto"/>
          <w:sz w:val="24"/>
          <w:szCs w:val="24"/>
        </w:rPr>
      </w:pPr>
      <w:r w:rsidRPr="00A03DAF">
        <w:rPr>
          <w:rFonts w:ascii="Arial" w:hAnsi="Arial" w:cs="Arial"/>
          <w:color w:val="auto"/>
          <w:sz w:val="24"/>
          <w:szCs w:val="24"/>
        </w:rPr>
        <w:t>One user had recollection</w:t>
      </w:r>
      <w:r w:rsidRPr="00D15ED9">
        <w:rPr>
          <w:rFonts w:ascii="Arial" w:hAnsi="Arial" w:cs="Arial"/>
          <w:color w:val="auto"/>
          <w:sz w:val="24"/>
          <w:szCs w:val="24"/>
        </w:rPr>
        <w:t xml:space="preserve"> of a bridleway sign being in existence </w:t>
      </w:r>
      <w:r w:rsidR="001A6E64" w:rsidRPr="00D15ED9">
        <w:rPr>
          <w:rFonts w:ascii="Arial" w:hAnsi="Arial" w:cs="Arial"/>
          <w:color w:val="auto"/>
          <w:sz w:val="24"/>
          <w:szCs w:val="24"/>
        </w:rPr>
        <w:t>at some point in her period of use between 1990-2020</w:t>
      </w:r>
      <w:r w:rsidR="00D15ED9">
        <w:rPr>
          <w:rFonts w:ascii="Arial" w:hAnsi="Arial" w:cs="Arial"/>
          <w:color w:val="auto"/>
          <w:sz w:val="24"/>
          <w:szCs w:val="24"/>
        </w:rPr>
        <w:t xml:space="preserve"> and a</w:t>
      </w:r>
      <w:r w:rsidR="001A6E64" w:rsidRPr="00D15ED9">
        <w:rPr>
          <w:rFonts w:ascii="Arial" w:hAnsi="Arial" w:cs="Arial"/>
          <w:color w:val="auto"/>
          <w:sz w:val="24"/>
          <w:szCs w:val="24"/>
        </w:rPr>
        <w:t xml:space="preserve">nother user recollected an incident whereby </w:t>
      </w:r>
      <w:r w:rsidR="009168EC">
        <w:rPr>
          <w:rFonts w:ascii="Arial" w:hAnsi="Arial" w:cs="Arial"/>
          <w:color w:val="auto"/>
          <w:sz w:val="24"/>
          <w:szCs w:val="24"/>
        </w:rPr>
        <w:t>she</w:t>
      </w:r>
      <w:r w:rsidR="001A6E64" w:rsidRPr="00D15ED9">
        <w:rPr>
          <w:rFonts w:ascii="Arial" w:hAnsi="Arial" w:cs="Arial"/>
          <w:color w:val="auto"/>
          <w:sz w:val="24"/>
          <w:szCs w:val="24"/>
        </w:rPr>
        <w:t xml:space="preserve"> </w:t>
      </w:r>
      <w:r w:rsidR="009168EC">
        <w:rPr>
          <w:rFonts w:ascii="Arial" w:hAnsi="Arial" w:cs="Arial"/>
          <w:color w:val="auto"/>
          <w:sz w:val="24"/>
          <w:szCs w:val="24"/>
        </w:rPr>
        <w:t xml:space="preserve">had accidentally </w:t>
      </w:r>
      <w:r w:rsidR="001A6E64" w:rsidRPr="00D15ED9">
        <w:rPr>
          <w:rFonts w:ascii="Arial" w:hAnsi="Arial" w:cs="Arial"/>
          <w:color w:val="auto"/>
          <w:sz w:val="24"/>
          <w:szCs w:val="24"/>
        </w:rPr>
        <w:t xml:space="preserve">strayed from the route </w:t>
      </w:r>
      <w:r w:rsidR="00D15ED9">
        <w:rPr>
          <w:rFonts w:ascii="Arial" w:hAnsi="Arial" w:cs="Arial"/>
          <w:color w:val="auto"/>
          <w:sz w:val="24"/>
          <w:szCs w:val="24"/>
        </w:rPr>
        <w:t xml:space="preserve">on horseback </w:t>
      </w:r>
      <w:r w:rsidR="00670DCA" w:rsidRPr="00D15ED9">
        <w:rPr>
          <w:rFonts w:ascii="Arial" w:hAnsi="Arial" w:cs="Arial"/>
          <w:color w:val="auto"/>
          <w:sz w:val="24"/>
          <w:szCs w:val="24"/>
        </w:rPr>
        <w:t>d</w:t>
      </w:r>
      <w:r w:rsidR="001A6E64" w:rsidRPr="00D15ED9">
        <w:rPr>
          <w:rFonts w:ascii="Arial" w:hAnsi="Arial" w:cs="Arial"/>
          <w:color w:val="auto"/>
          <w:sz w:val="24"/>
          <w:szCs w:val="24"/>
        </w:rPr>
        <w:t>ue to heavy snow and w</w:t>
      </w:r>
      <w:r w:rsidR="009168EC">
        <w:rPr>
          <w:rFonts w:ascii="Arial" w:hAnsi="Arial" w:cs="Arial"/>
          <w:color w:val="auto"/>
          <w:sz w:val="24"/>
          <w:szCs w:val="24"/>
        </w:rPr>
        <w:t>as</w:t>
      </w:r>
      <w:r w:rsidR="001A6E64" w:rsidRPr="00D15ED9">
        <w:rPr>
          <w:rFonts w:ascii="Arial" w:hAnsi="Arial" w:cs="Arial"/>
          <w:color w:val="auto"/>
          <w:sz w:val="24"/>
          <w:szCs w:val="24"/>
        </w:rPr>
        <w:t xml:space="preserve"> redirected </w:t>
      </w:r>
      <w:r w:rsidR="00670DCA" w:rsidRPr="00D15ED9">
        <w:rPr>
          <w:rFonts w:ascii="Arial" w:hAnsi="Arial" w:cs="Arial"/>
          <w:color w:val="auto"/>
          <w:sz w:val="24"/>
          <w:szCs w:val="24"/>
        </w:rPr>
        <w:t xml:space="preserve">to Cronton Lane </w:t>
      </w:r>
      <w:r w:rsidR="001A6E64" w:rsidRPr="00D15ED9">
        <w:rPr>
          <w:rFonts w:ascii="Arial" w:hAnsi="Arial" w:cs="Arial"/>
          <w:color w:val="auto"/>
          <w:sz w:val="24"/>
          <w:szCs w:val="24"/>
        </w:rPr>
        <w:t xml:space="preserve">by an employee of the </w:t>
      </w:r>
      <w:r w:rsidR="00D15F89">
        <w:rPr>
          <w:rFonts w:ascii="Arial" w:hAnsi="Arial" w:cs="Arial"/>
          <w:color w:val="auto"/>
          <w:sz w:val="24"/>
          <w:szCs w:val="24"/>
        </w:rPr>
        <w:t>g</w:t>
      </w:r>
      <w:r w:rsidR="001A6E64" w:rsidRPr="00D15ED9">
        <w:rPr>
          <w:rFonts w:ascii="Arial" w:hAnsi="Arial" w:cs="Arial"/>
          <w:color w:val="auto"/>
          <w:sz w:val="24"/>
          <w:szCs w:val="24"/>
        </w:rPr>
        <w:t xml:space="preserve">olf </w:t>
      </w:r>
      <w:r w:rsidR="00D15F89">
        <w:rPr>
          <w:rFonts w:ascii="Arial" w:hAnsi="Arial" w:cs="Arial"/>
          <w:color w:val="auto"/>
          <w:sz w:val="24"/>
          <w:szCs w:val="24"/>
        </w:rPr>
        <w:t>c</w:t>
      </w:r>
      <w:r w:rsidR="001A6E64" w:rsidRPr="00D15ED9">
        <w:rPr>
          <w:rFonts w:ascii="Arial" w:hAnsi="Arial" w:cs="Arial"/>
          <w:color w:val="auto"/>
          <w:sz w:val="24"/>
          <w:szCs w:val="24"/>
        </w:rPr>
        <w:t>ourse</w:t>
      </w:r>
      <w:r w:rsidR="00045596" w:rsidRPr="00D15ED9">
        <w:rPr>
          <w:rFonts w:ascii="Arial" w:hAnsi="Arial" w:cs="Arial"/>
          <w:color w:val="auto"/>
          <w:sz w:val="24"/>
          <w:szCs w:val="24"/>
        </w:rPr>
        <w:t>.</w:t>
      </w:r>
    </w:p>
    <w:p w14:paraId="133A2CA1" w14:textId="77777777" w:rsidR="00045596" w:rsidRDefault="00670DCA" w:rsidP="007A38D7">
      <w:pPr>
        <w:pStyle w:val="Style1"/>
        <w:rPr>
          <w:rFonts w:ascii="Arial" w:hAnsi="Arial" w:cs="Arial"/>
          <w:color w:val="auto"/>
          <w:sz w:val="24"/>
          <w:szCs w:val="24"/>
        </w:rPr>
      </w:pPr>
      <w:r>
        <w:rPr>
          <w:rFonts w:ascii="Arial" w:hAnsi="Arial" w:cs="Arial"/>
          <w:color w:val="auto"/>
          <w:sz w:val="24"/>
          <w:szCs w:val="24"/>
        </w:rPr>
        <w:t>The</w:t>
      </w:r>
      <w:r w:rsidR="00955BA1">
        <w:rPr>
          <w:rFonts w:ascii="Arial" w:hAnsi="Arial" w:cs="Arial"/>
          <w:color w:val="auto"/>
          <w:sz w:val="24"/>
          <w:szCs w:val="24"/>
        </w:rPr>
        <w:t xml:space="preserve"> objectors that were frequent users of FP201 stated that they had never seen horses on the route and that they had also not observed evidence that they had used </w:t>
      </w:r>
      <w:r w:rsidR="00955BA1" w:rsidRPr="003602CC">
        <w:rPr>
          <w:rFonts w:ascii="Arial" w:hAnsi="Arial" w:cs="Arial"/>
          <w:color w:val="auto"/>
          <w:sz w:val="24"/>
          <w:szCs w:val="24"/>
        </w:rPr>
        <w:t>the route, in the form of hoof prints o</w:t>
      </w:r>
      <w:r w:rsidR="0017343B">
        <w:rPr>
          <w:rFonts w:ascii="Arial" w:hAnsi="Arial" w:cs="Arial"/>
          <w:color w:val="auto"/>
          <w:sz w:val="24"/>
          <w:szCs w:val="24"/>
        </w:rPr>
        <w:t>r</w:t>
      </w:r>
      <w:r w:rsidR="00955BA1" w:rsidRPr="003602CC">
        <w:rPr>
          <w:rFonts w:ascii="Arial" w:hAnsi="Arial" w:cs="Arial"/>
          <w:color w:val="auto"/>
          <w:sz w:val="24"/>
          <w:szCs w:val="24"/>
        </w:rPr>
        <w:t xml:space="preserve"> horse droppings.</w:t>
      </w:r>
      <w:r w:rsidR="00093733" w:rsidRPr="003602CC">
        <w:rPr>
          <w:rFonts w:ascii="Arial" w:hAnsi="Arial" w:cs="Arial"/>
          <w:color w:val="auto"/>
          <w:sz w:val="24"/>
          <w:szCs w:val="24"/>
        </w:rPr>
        <w:t xml:space="preserve"> I do not doubt this to be true, but</w:t>
      </w:r>
      <w:r w:rsidR="003602CC" w:rsidRPr="003602CC">
        <w:rPr>
          <w:rFonts w:ascii="Arial" w:hAnsi="Arial" w:cs="Arial"/>
          <w:color w:val="auto"/>
          <w:sz w:val="24"/>
          <w:szCs w:val="24"/>
        </w:rPr>
        <w:t xml:space="preserve"> the</w:t>
      </w:r>
      <w:r w:rsidR="003602CC">
        <w:rPr>
          <w:rFonts w:ascii="Arial" w:hAnsi="Arial" w:cs="Arial"/>
          <w:color w:val="auto"/>
          <w:sz w:val="24"/>
          <w:szCs w:val="24"/>
        </w:rPr>
        <w:t xml:space="preserve"> absence of this type of evidence is not necessarily proof that equestrian use did not take place.</w:t>
      </w:r>
    </w:p>
    <w:p w14:paraId="39CEC793" w14:textId="77777777" w:rsidR="00093733" w:rsidRDefault="00093733" w:rsidP="007A38D7">
      <w:pPr>
        <w:pStyle w:val="Style1"/>
        <w:rPr>
          <w:rFonts w:ascii="Arial" w:hAnsi="Arial" w:cs="Arial"/>
          <w:color w:val="auto"/>
          <w:sz w:val="24"/>
          <w:szCs w:val="24"/>
        </w:rPr>
      </w:pPr>
      <w:r>
        <w:rPr>
          <w:rFonts w:ascii="Arial" w:hAnsi="Arial" w:cs="Arial"/>
          <w:color w:val="auto"/>
          <w:sz w:val="24"/>
          <w:szCs w:val="24"/>
        </w:rPr>
        <w:t xml:space="preserve">David Kelly of SHBC also stated that on his scheduled inspections of the route and visits to check site notices, he had also seen no evidence of equestrian use, however these visits were mostly </w:t>
      </w:r>
      <w:r w:rsidR="00E1391C">
        <w:rPr>
          <w:rFonts w:ascii="Arial" w:hAnsi="Arial" w:cs="Arial"/>
          <w:color w:val="auto"/>
          <w:sz w:val="24"/>
          <w:szCs w:val="24"/>
        </w:rPr>
        <w:t xml:space="preserve">in 2021, which is </w:t>
      </w:r>
      <w:r>
        <w:rPr>
          <w:rFonts w:ascii="Arial" w:hAnsi="Arial" w:cs="Arial"/>
          <w:color w:val="auto"/>
          <w:sz w:val="24"/>
          <w:szCs w:val="24"/>
        </w:rPr>
        <w:t>outside of the relevant period of 2000-2020.</w:t>
      </w:r>
    </w:p>
    <w:p w14:paraId="4CCB16E3" w14:textId="77777777" w:rsidR="001026BE" w:rsidRPr="001026BE" w:rsidRDefault="001026BE" w:rsidP="001026BE">
      <w:pPr>
        <w:pStyle w:val="Style1"/>
        <w:rPr>
          <w:rFonts w:ascii="Arial" w:hAnsi="Arial" w:cs="Arial"/>
          <w:sz w:val="24"/>
          <w:szCs w:val="24"/>
        </w:rPr>
      </w:pPr>
      <w:r w:rsidRPr="001026BE">
        <w:rPr>
          <w:rFonts w:ascii="Arial" w:hAnsi="Arial" w:cs="Arial"/>
          <w:sz w:val="24"/>
          <w:szCs w:val="24"/>
        </w:rPr>
        <w:t>Evidence, both written and photographic, show there are concrete rings and tubular fencing on the footpath presenting a width restriction to the route. It is generally held that the rings were placed there to prevent vehicular and possibly other use</w:t>
      </w:r>
      <w:r w:rsidR="00F13228">
        <w:rPr>
          <w:rFonts w:ascii="Arial" w:hAnsi="Arial" w:cs="Arial"/>
          <w:sz w:val="24"/>
          <w:szCs w:val="24"/>
        </w:rPr>
        <w:t>,</w:t>
      </w:r>
      <w:r w:rsidRPr="001026BE">
        <w:rPr>
          <w:rFonts w:ascii="Arial" w:hAnsi="Arial" w:cs="Arial"/>
          <w:sz w:val="24"/>
          <w:szCs w:val="24"/>
        </w:rPr>
        <w:t xml:space="preserve"> but it is not certain who placed them there and exactly when. The tubular fencing </w:t>
      </w:r>
      <w:r w:rsidR="00F13228">
        <w:rPr>
          <w:rFonts w:ascii="Arial" w:hAnsi="Arial" w:cs="Arial"/>
          <w:sz w:val="24"/>
          <w:szCs w:val="24"/>
        </w:rPr>
        <w:t>has a sign attached by Blundells</w:t>
      </w:r>
      <w:r w:rsidR="009C08C5">
        <w:rPr>
          <w:rFonts w:ascii="Arial" w:hAnsi="Arial" w:cs="Arial"/>
          <w:sz w:val="24"/>
          <w:szCs w:val="24"/>
        </w:rPr>
        <w:t xml:space="preserve"> Hill</w:t>
      </w:r>
      <w:r w:rsidR="00F13228">
        <w:rPr>
          <w:rFonts w:ascii="Arial" w:hAnsi="Arial" w:cs="Arial"/>
          <w:sz w:val="24"/>
          <w:szCs w:val="24"/>
        </w:rPr>
        <w:t xml:space="preserve"> Golf club stating it is a public footpath</w:t>
      </w:r>
      <w:r w:rsidR="00A60A4C">
        <w:rPr>
          <w:rFonts w:ascii="Arial" w:hAnsi="Arial" w:cs="Arial"/>
          <w:sz w:val="24"/>
          <w:szCs w:val="24"/>
        </w:rPr>
        <w:t xml:space="preserve">, although no details have been provided </w:t>
      </w:r>
      <w:r w:rsidR="00FC76FA">
        <w:rPr>
          <w:rFonts w:ascii="Arial" w:hAnsi="Arial" w:cs="Arial"/>
          <w:sz w:val="24"/>
          <w:szCs w:val="24"/>
        </w:rPr>
        <w:t>as to</w:t>
      </w:r>
      <w:r w:rsidR="00A60A4C">
        <w:rPr>
          <w:rFonts w:ascii="Arial" w:hAnsi="Arial" w:cs="Arial"/>
          <w:sz w:val="24"/>
          <w:szCs w:val="24"/>
        </w:rPr>
        <w:t xml:space="preserve"> when this sign was erected</w:t>
      </w:r>
      <w:r w:rsidR="00F13228">
        <w:rPr>
          <w:rFonts w:ascii="Arial" w:hAnsi="Arial" w:cs="Arial"/>
          <w:sz w:val="24"/>
          <w:szCs w:val="24"/>
        </w:rPr>
        <w:t xml:space="preserve">. </w:t>
      </w:r>
      <w:r w:rsidRPr="001026BE">
        <w:rPr>
          <w:rFonts w:ascii="Arial" w:hAnsi="Arial" w:cs="Arial"/>
          <w:sz w:val="24"/>
          <w:szCs w:val="24"/>
        </w:rPr>
        <w:t>The user evidence forms indicate that these</w:t>
      </w:r>
      <w:r w:rsidR="00F13228">
        <w:rPr>
          <w:rFonts w:ascii="Arial" w:hAnsi="Arial" w:cs="Arial"/>
          <w:sz w:val="24"/>
          <w:szCs w:val="24"/>
        </w:rPr>
        <w:t xml:space="preserve"> width</w:t>
      </w:r>
      <w:r w:rsidRPr="001026BE">
        <w:rPr>
          <w:rFonts w:ascii="Arial" w:hAnsi="Arial" w:cs="Arial"/>
          <w:sz w:val="24"/>
          <w:szCs w:val="24"/>
        </w:rPr>
        <w:t xml:space="preserve"> restrictions did not obstruct their use.</w:t>
      </w:r>
    </w:p>
    <w:p w14:paraId="2639DD0E" w14:textId="77777777" w:rsidR="0031633E" w:rsidRDefault="0031633E" w:rsidP="007A38D7">
      <w:pPr>
        <w:pStyle w:val="Style1"/>
        <w:rPr>
          <w:rFonts w:ascii="Arial" w:hAnsi="Arial" w:cs="Arial"/>
          <w:color w:val="auto"/>
          <w:sz w:val="24"/>
          <w:szCs w:val="24"/>
        </w:rPr>
      </w:pPr>
      <w:r w:rsidRPr="005F04AF">
        <w:rPr>
          <w:rFonts w:ascii="Arial" w:hAnsi="Arial" w:cs="Arial"/>
          <w:color w:val="auto"/>
          <w:sz w:val="24"/>
          <w:szCs w:val="24"/>
        </w:rPr>
        <w:t xml:space="preserve">No </w:t>
      </w:r>
      <w:r w:rsidR="001026BE" w:rsidRPr="005F04AF">
        <w:rPr>
          <w:rFonts w:ascii="Arial" w:hAnsi="Arial" w:cs="Arial"/>
          <w:color w:val="auto"/>
          <w:sz w:val="24"/>
          <w:szCs w:val="24"/>
        </w:rPr>
        <w:t xml:space="preserve">other </w:t>
      </w:r>
      <w:r w:rsidRPr="005F04AF">
        <w:rPr>
          <w:rFonts w:ascii="Arial" w:hAnsi="Arial" w:cs="Arial"/>
          <w:color w:val="auto"/>
          <w:sz w:val="24"/>
          <w:szCs w:val="24"/>
        </w:rPr>
        <w:t>evidence has been provided to show that any landowner took action to demonstrate a lack of intention to dedicate higher public rights over the route.</w:t>
      </w:r>
    </w:p>
    <w:p w14:paraId="14E22CB8" w14:textId="77777777" w:rsidR="004234C8" w:rsidRPr="005F04AF" w:rsidRDefault="004234C8" w:rsidP="007A38D7">
      <w:pPr>
        <w:pStyle w:val="Style1"/>
        <w:rPr>
          <w:rFonts w:ascii="Arial" w:hAnsi="Arial" w:cs="Arial"/>
          <w:color w:val="auto"/>
          <w:sz w:val="24"/>
          <w:szCs w:val="24"/>
        </w:rPr>
      </w:pPr>
      <w:r>
        <w:rPr>
          <w:rFonts w:ascii="Arial" w:hAnsi="Arial" w:cs="Arial"/>
          <w:color w:val="auto"/>
          <w:sz w:val="24"/>
          <w:szCs w:val="24"/>
        </w:rPr>
        <w:t xml:space="preserve">With </w:t>
      </w:r>
      <w:r w:rsidRPr="005F04AF">
        <w:rPr>
          <w:rFonts w:ascii="Arial" w:hAnsi="Arial" w:cs="Arial"/>
          <w:color w:val="auto"/>
          <w:sz w:val="24"/>
          <w:szCs w:val="24"/>
        </w:rPr>
        <w:t>regard to the user evidence, although some objectors refute the use stated, the weight of this evidence is not sufficient for me to disregard the user evidence submitted. Nonetheless the evidence is supportive of the more significant use occurring prior to the commencement of the relevant period. Overall, I do not find on balance that the evidence of use during the relevant period is sufficient to support the dedication of a public bridleway under section 31 of the 1980 Act</w:t>
      </w:r>
    </w:p>
    <w:p w14:paraId="43DA3F06" w14:textId="77777777" w:rsidR="00253CB2" w:rsidRDefault="00253CB2" w:rsidP="00EE460D">
      <w:pPr>
        <w:pStyle w:val="Style1"/>
        <w:numPr>
          <w:ilvl w:val="0"/>
          <w:numId w:val="0"/>
        </w:numPr>
        <w:tabs>
          <w:tab w:val="num" w:pos="1430"/>
        </w:tabs>
        <w:rPr>
          <w:rFonts w:ascii="Arial" w:hAnsi="Arial" w:cs="Arial"/>
          <w:b/>
          <w:bCs/>
          <w:i/>
          <w:iCs/>
          <w:sz w:val="24"/>
          <w:szCs w:val="24"/>
        </w:rPr>
      </w:pPr>
      <w:r>
        <w:rPr>
          <w:rFonts w:ascii="Arial" w:hAnsi="Arial" w:cs="Arial"/>
          <w:b/>
          <w:bCs/>
          <w:i/>
          <w:iCs/>
          <w:sz w:val="24"/>
          <w:szCs w:val="24"/>
        </w:rPr>
        <w:t>Common Law</w:t>
      </w:r>
    </w:p>
    <w:p w14:paraId="26B09B27" w14:textId="77777777" w:rsidR="00EE460D" w:rsidRPr="00253CB2" w:rsidRDefault="00EE460D" w:rsidP="00EE460D">
      <w:pPr>
        <w:pStyle w:val="Style1"/>
        <w:numPr>
          <w:ilvl w:val="0"/>
          <w:numId w:val="0"/>
        </w:numPr>
        <w:tabs>
          <w:tab w:val="num" w:pos="1430"/>
        </w:tabs>
        <w:rPr>
          <w:rFonts w:ascii="Arial" w:hAnsi="Arial" w:cs="Arial"/>
          <w:i/>
          <w:iCs/>
          <w:color w:val="auto"/>
          <w:sz w:val="24"/>
          <w:szCs w:val="24"/>
        </w:rPr>
      </w:pPr>
      <w:r w:rsidRPr="00253CB2">
        <w:rPr>
          <w:rFonts w:ascii="Arial" w:hAnsi="Arial" w:cs="Arial"/>
          <w:i/>
          <w:iCs/>
          <w:sz w:val="24"/>
          <w:szCs w:val="24"/>
        </w:rPr>
        <w:t>Documentary Evidence</w:t>
      </w:r>
    </w:p>
    <w:p w14:paraId="603CF611" w14:textId="77777777" w:rsidR="00EE460D" w:rsidRPr="00EE460D" w:rsidRDefault="00EE460D" w:rsidP="00EE460D">
      <w:pPr>
        <w:pStyle w:val="Style1"/>
        <w:rPr>
          <w:rFonts w:ascii="Arial" w:hAnsi="Arial" w:cs="Arial"/>
          <w:sz w:val="24"/>
          <w:szCs w:val="24"/>
        </w:rPr>
      </w:pPr>
      <w:r w:rsidRPr="00EE460D">
        <w:rPr>
          <w:rFonts w:ascii="Arial" w:hAnsi="Arial" w:cs="Arial"/>
          <w:sz w:val="24"/>
          <w:szCs w:val="24"/>
        </w:rPr>
        <w:t>It does not appear that SHBC considered the documentary evidence when determining th</w:t>
      </w:r>
      <w:r w:rsidR="0031633E">
        <w:rPr>
          <w:rFonts w:ascii="Arial" w:hAnsi="Arial" w:cs="Arial"/>
          <w:sz w:val="24"/>
          <w:szCs w:val="24"/>
        </w:rPr>
        <w:t>e</w:t>
      </w:r>
      <w:r w:rsidRPr="00EE460D">
        <w:rPr>
          <w:rFonts w:ascii="Arial" w:hAnsi="Arial" w:cs="Arial"/>
          <w:sz w:val="24"/>
          <w:szCs w:val="24"/>
        </w:rPr>
        <w:t xml:space="preserve"> application, and so I have examined this evidence below. </w:t>
      </w:r>
    </w:p>
    <w:p w14:paraId="1DB8CE48" w14:textId="77777777" w:rsidR="00EE460D" w:rsidRPr="00267648" w:rsidRDefault="00EE460D" w:rsidP="00EE460D">
      <w:pPr>
        <w:pStyle w:val="Style1"/>
        <w:rPr>
          <w:rFonts w:ascii="Arial" w:hAnsi="Arial" w:cs="Arial"/>
          <w:sz w:val="24"/>
          <w:szCs w:val="24"/>
        </w:rPr>
      </w:pPr>
      <w:r>
        <w:rPr>
          <w:rFonts w:ascii="Arial" w:hAnsi="Arial" w:cs="Arial"/>
          <w:sz w:val="24"/>
          <w:szCs w:val="24"/>
        </w:rPr>
        <w:t>Yates’ Map (1786) shows the original line of Cronton Lane route as a ‘cross road’ on its Key. At this time cross roads were mostly minor roads that crossed the countryside. Hennets’ Map (1828) with its Key depicts the same.</w:t>
      </w:r>
    </w:p>
    <w:p w14:paraId="55CE6D68" w14:textId="77777777" w:rsidR="00EE460D" w:rsidRDefault="00EE460D" w:rsidP="00EE460D">
      <w:pPr>
        <w:pStyle w:val="Style1"/>
        <w:rPr>
          <w:rFonts w:ascii="Arial" w:hAnsi="Arial" w:cs="Arial"/>
          <w:sz w:val="24"/>
          <w:szCs w:val="24"/>
        </w:rPr>
      </w:pPr>
      <w:r>
        <w:rPr>
          <w:rFonts w:ascii="Arial" w:hAnsi="Arial" w:cs="Arial"/>
          <w:sz w:val="24"/>
          <w:szCs w:val="24"/>
        </w:rPr>
        <w:lastRenderedPageBreak/>
        <w:t>Greenwood’s Map (1818) which is considered accurate and detailed for its time, also illustrates the lane as a cross road.</w:t>
      </w:r>
    </w:p>
    <w:p w14:paraId="6B481308" w14:textId="77777777" w:rsidR="00EE460D" w:rsidRPr="00E66D24" w:rsidRDefault="00EE460D" w:rsidP="00EE460D">
      <w:pPr>
        <w:pStyle w:val="Style1"/>
        <w:rPr>
          <w:rFonts w:ascii="Arial" w:hAnsi="Arial" w:cs="Arial"/>
          <w:sz w:val="24"/>
          <w:szCs w:val="24"/>
        </w:rPr>
      </w:pPr>
      <w:r w:rsidRPr="00E66D24">
        <w:rPr>
          <w:rFonts w:ascii="Arial" w:hAnsi="Arial" w:cs="Arial"/>
          <w:sz w:val="24"/>
          <w:szCs w:val="24"/>
        </w:rPr>
        <w:t>The Tithe Map for the Township of Rainhill in the Parish of Prescot</w:t>
      </w:r>
      <w:r>
        <w:rPr>
          <w:rFonts w:ascii="Arial" w:hAnsi="Arial" w:cs="Arial"/>
          <w:sz w:val="24"/>
          <w:szCs w:val="24"/>
        </w:rPr>
        <w:t xml:space="preserve"> </w:t>
      </w:r>
      <w:r w:rsidRPr="00E66D24">
        <w:rPr>
          <w:rFonts w:ascii="Arial" w:hAnsi="Arial" w:cs="Arial"/>
          <w:sz w:val="24"/>
          <w:szCs w:val="24"/>
        </w:rPr>
        <w:t>(1840) was</w:t>
      </w:r>
      <w:r>
        <w:rPr>
          <w:rFonts w:ascii="Arial" w:hAnsi="Arial" w:cs="Arial"/>
          <w:sz w:val="24"/>
          <w:szCs w:val="24"/>
        </w:rPr>
        <w:t xml:space="preserve"> also</w:t>
      </w:r>
      <w:r w:rsidRPr="00E66D24">
        <w:rPr>
          <w:rFonts w:ascii="Arial" w:hAnsi="Arial" w:cs="Arial"/>
          <w:sz w:val="24"/>
          <w:szCs w:val="24"/>
        </w:rPr>
        <w:t xml:space="preserve"> provided in evidence. Cronton Lane is </w:t>
      </w:r>
      <w:r>
        <w:rPr>
          <w:rFonts w:ascii="Arial" w:hAnsi="Arial" w:cs="Arial"/>
          <w:sz w:val="24"/>
          <w:szCs w:val="24"/>
        </w:rPr>
        <w:t xml:space="preserve">again </w:t>
      </w:r>
      <w:r w:rsidRPr="00E66D24">
        <w:rPr>
          <w:rFonts w:ascii="Arial" w:hAnsi="Arial" w:cs="Arial"/>
          <w:sz w:val="24"/>
          <w:szCs w:val="24"/>
        </w:rPr>
        <w:t>shown as a carriageway but without the accompanying documentation, is of l</w:t>
      </w:r>
      <w:r>
        <w:rPr>
          <w:rFonts w:ascii="Arial" w:hAnsi="Arial" w:cs="Arial"/>
          <w:sz w:val="24"/>
          <w:szCs w:val="24"/>
        </w:rPr>
        <w:t>ess</w:t>
      </w:r>
      <w:r w:rsidRPr="00E66D24">
        <w:rPr>
          <w:rFonts w:ascii="Arial" w:hAnsi="Arial" w:cs="Arial"/>
          <w:sz w:val="24"/>
          <w:szCs w:val="24"/>
        </w:rPr>
        <w:t xml:space="preserve"> weight</w:t>
      </w:r>
      <w:r>
        <w:rPr>
          <w:rFonts w:ascii="Arial" w:hAnsi="Arial" w:cs="Arial"/>
          <w:sz w:val="24"/>
          <w:szCs w:val="24"/>
        </w:rPr>
        <w:t xml:space="preserve"> than it otherwise would be</w:t>
      </w:r>
      <w:r w:rsidRPr="00E66D24">
        <w:rPr>
          <w:rFonts w:ascii="Arial" w:hAnsi="Arial" w:cs="Arial"/>
          <w:sz w:val="24"/>
          <w:szCs w:val="24"/>
        </w:rPr>
        <w:t>.</w:t>
      </w:r>
    </w:p>
    <w:p w14:paraId="470F1B75" w14:textId="77777777" w:rsidR="00EE460D" w:rsidRPr="00C827A8" w:rsidRDefault="00EE460D" w:rsidP="00EE460D">
      <w:pPr>
        <w:pStyle w:val="Style1"/>
        <w:rPr>
          <w:rFonts w:ascii="Arial" w:hAnsi="Arial" w:cs="Arial"/>
          <w:sz w:val="24"/>
          <w:szCs w:val="24"/>
        </w:rPr>
      </w:pPr>
      <w:r w:rsidRPr="00C827A8">
        <w:rPr>
          <w:rFonts w:ascii="Arial" w:hAnsi="Arial" w:cs="Arial"/>
          <w:sz w:val="24"/>
          <w:szCs w:val="24"/>
        </w:rPr>
        <w:t>The Ordnance Survey Map published in 1892 appears to illustrate the lane as a road and is coloured sienna, which post 1880, were often used to indicate what were thought to be public roads. The Ordnance Survey Maps from 1850, 1880, 1894 and 1896 also depict Cronton Lane as a main road or unmetalled road.</w:t>
      </w:r>
    </w:p>
    <w:p w14:paraId="299D3398" w14:textId="77777777" w:rsidR="00EE460D" w:rsidRDefault="00EE460D" w:rsidP="00EE460D">
      <w:pPr>
        <w:pStyle w:val="Style1"/>
        <w:rPr>
          <w:rFonts w:ascii="Arial" w:hAnsi="Arial" w:cs="Arial"/>
          <w:sz w:val="24"/>
          <w:szCs w:val="24"/>
        </w:rPr>
      </w:pPr>
      <w:r>
        <w:rPr>
          <w:rFonts w:ascii="Arial" w:hAnsi="Arial" w:cs="Arial"/>
          <w:sz w:val="24"/>
          <w:szCs w:val="24"/>
        </w:rPr>
        <w:t xml:space="preserve">Rainhill Farm Estates Sales Documents 1920 advertise the farm having long road </w:t>
      </w:r>
      <w:r w:rsidRPr="00C827A8">
        <w:rPr>
          <w:rFonts w:ascii="Arial" w:hAnsi="Arial" w:cs="Arial"/>
          <w:sz w:val="24"/>
          <w:szCs w:val="24"/>
        </w:rPr>
        <w:t>frontages to Blundells Lane, Cronton Lane and Hall Lane.</w:t>
      </w:r>
      <w:r>
        <w:rPr>
          <w:rFonts w:ascii="Arial" w:hAnsi="Arial" w:cs="Arial"/>
          <w:sz w:val="24"/>
          <w:szCs w:val="24"/>
        </w:rPr>
        <w:t xml:space="preserve"> This evidence could be indicative of Cronton Lane being a public road, but it could </w:t>
      </w:r>
      <w:r w:rsidR="00F55339">
        <w:rPr>
          <w:rFonts w:ascii="Arial" w:hAnsi="Arial" w:cs="Arial"/>
          <w:sz w:val="24"/>
          <w:szCs w:val="24"/>
        </w:rPr>
        <w:t>equally</w:t>
      </w:r>
      <w:r>
        <w:rPr>
          <w:rFonts w:ascii="Arial" w:hAnsi="Arial" w:cs="Arial"/>
          <w:sz w:val="24"/>
          <w:szCs w:val="24"/>
        </w:rPr>
        <w:t xml:space="preserve"> have been a private road</w:t>
      </w:r>
      <w:r w:rsidR="00F55339">
        <w:rPr>
          <w:rFonts w:ascii="Arial" w:hAnsi="Arial" w:cs="Arial"/>
          <w:sz w:val="24"/>
          <w:szCs w:val="24"/>
        </w:rPr>
        <w:t xml:space="preserve"> which served adjoining properties</w:t>
      </w:r>
      <w:r>
        <w:rPr>
          <w:rFonts w:ascii="Arial" w:hAnsi="Arial" w:cs="Arial"/>
          <w:sz w:val="24"/>
          <w:szCs w:val="24"/>
        </w:rPr>
        <w:t>.</w:t>
      </w:r>
    </w:p>
    <w:p w14:paraId="0ED10AC4" w14:textId="77777777" w:rsidR="00EE460D" w:rsidRPr="00F20667" w:rsidRDefault="00EE460D" w:rsidP="00EE460D">
      <w:pPr>
        <w:pStyle w:val="Style1"/>
        <w:rPr>
          <w:rFonts w:ascii="Arial" w:hAnsi="Arial" w:cs="Arial"/>
          <w:sz w:val="24"/>
          <w:szCs w:val="24"/>
        </w:rPr>
      </w:pPr>
      <w:r>
        <w:rPr>
          <w:rFonts w:ascii="Arial" w:hAnsi="Arial" w:cs="Arial"/>
          <w:sz w:val="24"/>
          <w:szCs w:val="24"/>
        </w:rPr>
        <w:t>Bartholomew’s Half-Inch Map of 1904 depicts the route as an inferior road and not to be recommended to cyclists.</w:t>
      </w:r>
    </w:p>
    <w:p w14:paraId="0496ABB1" w14:textId="77777777" w:rsidR="00EE460D" w:rsidRDefault="00EE460D" w:rsidP="00EE460D">
      <w:pPr>
        <w:pStyle w:val="Style1"/>
        <w:rPr>
          <w:rFonts w:ascii="Arial" w:hAnsi="Arial" w:cs="Arial"/>
          <w:sz w:val="24"/>
          <w:szCs w:val="24"/>
        </w:rPr>
      </w:pPr>
      <w:r>
        <w:rPr>
          <w:rFonts w:ascii="Arial" w:hAnsi="Arial" w:cs="Arial"/>
          <w:sz w:val="24"/>
          <w:szCs w:val="24"/>
        </w:rPr>
        <w:t xml:space="preserve">Cronton Lane is shown in the Council’s List of Streets as a track not maintainable at public expense, albeit the section south of the motorway is shown as maintainable at public expense. </w:t>
      </w:r>
    </w:p>
    <w:p w14:paraId="23455867" w14:textId="77777777" w:rsidR="00EE460D" w:rsidRDefault="00EE460D" w:rsidP="00EE460D">
      <w:pPr>
        <w:pStyle w:val="Style1"/>
        <w:rPr>
          <w:rFonts w:ascii="Arial" w:hAnsi="Arial" w:cs="Arial"/>
          <w:sz w:val="24"/>
          <w:szCs w:val="24"/>
        </w:rPr>
      </w:pPr>
      <w:r>
        <w:rPr>
          <w:rFonts w:ascii="Arial" w:hAnsi="Arial" w:cs="Arial"/>
          <w:sz w:val="24"/>
          <w:szCs w:val="24"/>
        </w:rPr>
        <w:t>The M62 Lancashire to Yorkshire Motorway (Tarbock to Croft Section Side Roads) Order 1970 was submitted and shows B-D being stopped up and replaced with B-C. Reference is made to Cronton Lane and below the track on the site plan ‘F.P Cronton No 2’ is referenced on the site plans indicating that the route was clearly regarded as a footpath at that time.</w:t>
      </w:r>
    </w:p>
    <w:p w14:paraId="365D3C9D" w14:textId="77777777" w:rsidR="00EE460D" w:rsidRDefault="00EE460D" w:rsidP="0031633E">
      <w:pPr>
        <w:pStyle w:val="Style1"/>
        <w:rPr>
          <w:rFonts w:ascii="Arial" w:hAnsi="Arial" w:cs="Arial"/>
          <w:sz w:val="24"/>
          <w:szCs w:val="24"/>
        </w:rPr>
      </w:pPr>
      <w:r>
        <w:rPr>
          <w:rFonts w:ascii="Arial" w:hAnsi="Arial" w:cs="Arial"/>
          <w:sz w:val="24"/>
          <w:szCs w:val="24"/>
        </w:rPr>
        <w:t xml:space="preserve">A selection of Liverpool A-Z maps shows Cronton Lane as a rural lane / track and </w:t>
      </w:r>
      <w:r w:rsidRPr="0054099E">
        <w:rPr>
          <w:rFonts w:ascii="Arial" w:hAnsi="Arial" w:cs="Arial"/>
          <w:sz w:val="24"/>
          <w:szCs w:val="24"/>
        </w:rPr>
        <w:t>Rainhill’s Past in Pictures references Cronton Lane as an ancient right of way.</w:t>
      </w:r>
    </w:p>
    <w:p w14:paraId="31EB1AAB" w14:textId="77777777" w:rsidR="00EE460D" w:rsidRPr="005E580E" w:rsidRDefault="00EE460D" w:rsidP="00EE460D">
      <w:pPr>
        <w:pStyle w:val="Style1"/>
        <w:rPr>
          <w:rFonts w:ascii="Arial" w:hAnsi="Arial" w:cs="Arial"/>
          <w:sz w:val="24"/>
          <w:szCs w:val="24"/>
        </w:rPr>
      </w:pPr>
      <w:r>
        <w:rPr>
          <w:rFonts w:ascii="Arial" w:hAnsi="Arial" w:cs="Arial"/>
          <w:sz w:val="24"/>
          <w:szCs w:val="24"/>
        </w:rPr>
        <w:t xml:space="preserve">Various Land Registry titles submitted showing Cronton Lane, appear to show that the lane is unregistered. The INSPIRE database derived from Land Registry shows Cronton Lane as excluded from any registered land parcels, which </w:t>
      </w:r>
      <w:r w:rsidR="00856EC6">
        <w:rPr>
          <w:rFonts w:ascii="Arial" w:hAnsi="Arial" w:cs="Arial"/>
          <w:sz w:val="24"/>
          <w:szCs w:val="24"/>
        </w:rPr>
        <w:t>is</w:t>
      </w:r>
      <w:r>
        <w:rPr>
          <w:rFonts w:ascii="Arial" w:hAnsi="Arial" w:cs="Arial"/>
          <w:sz w:val="24"/>
          <w:szCs w:val="24"/>
        </w:rPr>
        <w:t xml:space="preserve"> common</w:t>
      </w:r>
      <w:r w:rsidR="00856EC6">
        <w:rPr>
          <w:rFonts w:ascii="Arial" w:hAnsi="Arial" w:cs="Arial"/>
          <w:sz w:val="24"/>
          <w:szCs w:val="24"/>
        </w:rPr>
        <w:t>ly</w:t>
      </w:r>
      <w:r>
        <w:rPr>
          <w:rFonts w:ascii="Arial" w:hAnsi="Arial" w:cs="Arial"/>
          <w:sz w:val="24"/>
          <w:szCs w:val="24"/>
        </w:rPr>
        <w:t xml:space="preserve"> </w:t>
      </w:r>
      <w:r w:rsidR="00856EC6">
        <w:rPr>
          <w:rFonts w:ascii="Arial" w:hAnsi="Arial" w:cs="Arial"/>
          <w:sz w:val="24"/>
          <w:szCs w:val="24"/>
        </w:rPr>
        <w:t>the case with</w:t>
      </w:r>
      <w:r>
        <w:rPr>
          <w:rFonts w:ascii="Arial" w:hAnsi="Arial" w:cs="Arial"/>
          <w:sz w:val="24"/>
          <w:szCs w:val="24"/>
        </w:rPr>
        <w:t xml:space="preserve"> ancient highway.</w:t>
      </w:r>
    </w:p>
    <w:p w14:paraId="236ADE7A" w14:textId="77777777" w:rsidR="00EE460D" w:rsidRDefault="00EE460D" w:rsidP="00EE460D">
      <w:pPr>
        <w:pStyle w:val="Style1"/>
        <w:rPr>
          <w:rFonts w:ascii="Arial" w:hAnsi="Arial" w:cs="Arial"/>
          <w:sz w:val="24"/>
          <w:szCs w:val="24"/>
        </w:rPr>
      </w:pPr>
      <w:r>
        <w:rPr>
          <w:rFonts w:ascii="Arial" w:hAnsi="Arial" w:cs="Arial"/>
          <w:sz w:val="24"/>
          <w:szCs w:val="24"/>
        </w:rPr>
        <w:t xml:space="preserve">From the evidence presented in this case it is clear that the original line of Cronton Lane was a well-defined lane, as early as 1786, whether a cross road, minor road, rural lane, or track. On their own, each document holds very limited weight in ascertaining bridleway status, but the significant number of different commercial maps submitted does support the submission that the way possibly held higher rights than its current footpath status. </w:t>
      </w:r>
    </w:p>
    <w:p w14:paraId="55E5A551" w14:textId="77777777" w:rsidR="00EE460D" w:rsidRDefault="00EE460D" w:rsidP="00EE460D">
      <w:pPr>
        <w:pStyle w:val="Style1"/>
        <w:rPr>
          <w:rFonts w:ascii="Arial" w:hAnsi="Arial" w:cs="Arial"/>
          <w:sz w:val="24"/>
          <w:szCs w:val="24"/>
        </w:rPr>
      </w:pPr>
      <w:r>
        <w:rPr>
          <w:rFonts w:ascii="Arial" w:hAnsi="Arial" w:cs="Arial"/>
          <w:sz w:val="24"/>
          <w:szCs w:val="24"/>
        </w:rPr>
        <w:t xml:space="preserve">In itself this is not sufficient to confirm the existence of a public bridleway, although the 1840 Tithe Map, which is considered a reliable record, holding more weight, does also correlate with the other maps in showing a road of some minor status. </w:t>
      </w:r>
    </w:p>
    <w:p w14:paraId="6603FAB3" w14:textId="77777777" w:rsidR="00EE460D" w:rsidRPr="005E7AAC" w:rsidRDefault="00EE460D" w:rsidP="005E7AAC">
      <w:pPr>
        <w:pStyle w:val="Style1"/>
        <w:rPr>
          <w:rFonts w:ascii="Arial" w:hAnsi="Arial" w:cs="Arial"/>
          <w:sz w:val="24"/>
          <w:szCs w:val="24"/>
        </w:rPr>
      </w:pPr>
      <w:r w:rsidRPr="004E3F1B">
        <w:rPr>
          <w:rFonts w:ascii="Arial" w:hAnsi="Arial" w:cs="Arial"/>
          <w:sz w:val="24"/>
          <w:szCs w:val="24"/>
        </w:rPr>
        <w:t xml:space="preserve">On the basis of the papers before me, the evidence </w:t>
      </w:r>
      <w:r w:rsidR="000B07FF">
        <w:rPr>
          <w:rFonts w:ascii="Arial" w:hAnsi="Arial" w:cs="Arial"/>
          <w:sz w:val="24"/>
          <w:szCs w:val="24"/>
        </w:rPr>
        <w:t xml:space="preserve">is </w:t>
      </w:r>
      <w:r w:rsidRPr="004E3F1B">
        <w:rPr>
          <w:rFonts w:ascii="Arial" w:hAnsi="Arial" w:cs="Arial"/>
          <w:sz w:val="24"/>
          <w:szCs w:val="24"/>
        </w:rPr>
        <w:t>suggest</w:t>
      </w:r>
      <w:r w:rsidR="000B07FF">
        <w:rPr>
          <w:rFonts w:ascii="Arial" w:hAnsi="Arial" w:cs="Arial"/>
          <w:sz w:val="24"/>
          <w:szCs w:val="24"/>
        </w:rPr>
        <w:t>ive of</w:t>
      </w:r>
      <w:r w:rsidRPr="004E3F1B">
        <w:rPr>
          <w:rFonts w:ascii="Arial" w:hAnsi="Arial" w:cs="Arial"/>
          <w:sz w:val="24"/>
          <w:szCs w:val="24"/>
        </w:rPr>
        <w:t xml:space="preserve"> higher rights historically.</w:t>
      </w:r>
    </w:p>
    <w:p w14:paraId="41B5A2E8" w14:textId="77777777" w:rsidR="00B300AB" w:rsidRPr="00A5398B" w:rsidRDefault="00A5398B" w:rsidP="00B300AB">
      <w:pPr>
        <w:pStyle w:val="Style1"/>
        <w:numPr>
          <w:ilvl w:val="0"/>
          <w:numId w:val="0"/>
        </w:numPr>
        <w:rPr>
          <w:rFonts w:ascii="Arial" w:hAnsi="Arial" w:cs="Arial"/>
          <w:i/>
          <w:iCs/>
          <w:color w:val="auto"/>
          <w:sz w:val="24"/>
          <w:szCs w:val="24"/>
        </w:rPr>
      </w:pPr>
      <w:r w:rsidRPr="00A5398B">
        <w:rPr>
          <w:rFonts w:ascii="Arial" w:hAnsi="Arial" w:cs="Arial"/>
          <w:i/>
          <w:iCs/>
          <w:color w:val="auto"/>
          <w:sz w:val="24"/>
          <w:szCs w:val="24"/>
        </w:rPr>
        <w:t>User evidence</w:t>
      </w:r>
    </w:p>
    <w:p w14:paraId="70377E1D" w14:textId="77777777" w:rsidR="0076535A" w:rsidRPr="0076535A" w:rsidRDefault="0076535A" w:rsidP="0076535A">
      <w:pPr>
        <w:pStyle w:val="Style1"/>
        <w:rPr>
          <w:rFonts w:ascii="Arial" w:hAnsi="Arial" w:cs="Arial"/>
          <w:b/>
          <w:bCs/>
          <w:color w:val="auto"/>
          <w:sz w:val="24"/>
          <w:szCs w:val="24"/>
        </w:rPr>
      </w:pPr>
      <w:r w:rsidRPr="0076535A">
        <w:rPr>
          <w:rFonts w:ascii="Arial" w:hAnsi="Arial" w:cs="Arial"/>
          <w:sz w:val="24"/>
          <w:szCs w:val="24"/>
        </w:rPr>
        <w:t>I have concluded that the user evidence is insufficient to raise a presumption of dedication under statute for this route</w:t>
      </w:r>
      <w:r>
        <w:rPr>
          <w:rFonts w:ascii="Arial" w:hAnsi="Arial" w:cs="Arial"/>
          <w:sz w:val="24"/>
          <w:szCs w:val="24"/>
        </w:rPr>
        <w:t xml:space="preserve"> as a bridleway</w:t>
      </w:r>
      <w:r w:rsidRPr="0076535A">
        <w:rPr>
          <w:rFonts w:ascii="Arial" w:hAnsi="Arial" w:cs="Arial"/>
          <w:sz w:val="24"/>
          <w:szCs w:val="24"/>
        </w:rPr>
        <w:t>,</w:t>
      </w:r>
      <w:r w:rsidR="00856EC6">
        <w:rPr>
          <w:rFonts w:ascii="Arial" w:hAnsi="Arial" w:cs="Arial"/>
          <w:sz w:val="24"/>
          <w:szCs w:val="24"/>
        </w:rPr>
        <w:t xml:space="preserve"> within the specific timeframe </w:t>
      </w:r>
      <w:r w:rsidR="00856EC6">
        <w:rPr>
          <w:rFonts w:ascii="Arial" w:hAnsi="Arial" w:cs="Arial"/>
          <w:sz w:val="24"/>
          <w:szCs w:val="24"/>
        </w:rPr>
        <w:lastRenderedPageBreak/>
        <w:t>of 2000-2020.</w:t>
      </w:r>
      <w:r w:rsidRPr="0076535A">
        <w:rPr>
          <w:rFonts w:ascii="Arial" w:hAnsi="Arial" w:cs="Arial"/>
          <w:sz w:val="24"/>
          <w:szCs w:val="24"/>
        </w:rPr>
        <w:t xml:space="preserve"> </w:t>
      </w:r>
      <w:r w:rsidR="00856EC6">
        <w:rPr>
          <w:rFonts w:ascii="Arial" w:hAnsi="Arial" w:cs="Arial"/>
          <w:sz w:val="24"/>
          <w:szCs w:val="24"/>
        </w:rPr>
        <w:t>H</w:t>
      </w:r>
      <w:r w:rsidRPr="0076535A">
        <w:rPr>
          <w:rFonts w:ascii="Arial" w:hAnsi="Arial" w:cs="Arial"/>
          <w:sz w:val="24"/>
          <w:szCs w:val="24"/>
        </w:rPr>
        <w:t>owever</w:t>
      </w:r>
      <w:r w:rsidR="00856EC6">
        <w:rPr>
          <w:rFonts w:ascii="Arial" w:hAnsi="Arial" w:cs="Arial"/>
          <w:sz w:val="24"/>
          <w:szCs w:val="24"/>
        </w:rPr>
        <w:t>,</w:t>
      </w:r>
      <w:r w:rsidRPr="0076535A">
        <w:rPr>
          <w:rFonts w:ascii="Arial" w:hAnsi="Arial" w:cs="Arial"/>
          <w:sz w:val="24"/>
          <w:szCs w:val="24"/>
        </w:rPr>
        <w:t xml:space="preserve"> this would not prevent a case alternatively being made for dedication at common law</w:t>
      </w:r>
      <w:r w:rsidR="00856EC6">
        <w:rPr>
          <w:rFonts w:ascii="Arial" w:hAnsi="Arial" w:cs="Arial"/>
          <w:sz w:val="24"/>
          <w:szCs w:val="24"/>
        </w:rPr>
        <w:t xml:space="preserve">, for which there is no fixed </w:t>
      </w:r>
      <w:r w:rsidR="0062735F">
        <w:rPr>
          <w:rFonts w:ascii="Arial" w:hAnsi="Arial" w:cs="Arial"/>
          <w:sz w:val="24"/>
          <w:szCs w:val="24"/>
        </w:rPr>
        <w:t xml:space="preserve">time </w:t>
      </w:r>
      <w:r w:rsidR="00856EC6">
        <w:rPr>
          <w:rFonts w:ascii="Arial" w:hAnsi="Arial" w:cs="Arial"/>
          <w:sz w:val="24"/>
          <w:szCs w:val="24"/>
        </w:rPr>
        <w:t>period</w:t>
      </w:r>
      <w:r w:rsidRPr="0076535A">
        <w:rPr>
          <w:rFonts w:ascii="Arial" w:hAnsi="Arial" w:cs="Arial"/>
          <w:sz w:val="24"/>
          <w:szCs w:val="24"/>
        </w:rPr>
        <w:t xml:space="preserve">. </w:t>
      </w:r>
    </w:p>
    <w:p w14:paraId="1BEE0497" w14:textId="77777777" w:rsidR="00E23F94" w:rsidRPr="00911A1A" w:rsidRDefault="00E23F94" w:rsidP="00741D70">
      <w:pPr>
        <w:pStyle w:val="Style1"/>
        <w:rPr>
          <w:rFonts w:ascii="Arial" w:hAnsi="Arial" w:cs="Arial"/>
          <w:color w:val="auto"/>
          <w:sz w:val="24"/>
          <w:szCs w:val="24"/>
        </w:rPr>
      </w:pPr>
      <w:r w:rsidRPr="0076535A">
        <w:rPr>
          <w:rFonts w:ascii="Arial" w:hAnsi="Arial" w:cs="Arial"/>
          <w:color w:val="auto"/>
          <w:sz w:val="24"/>
          <w:szCs w:val="24"/>
        </w:rPr>
        <w:t xml:space="preserve">In this case, the </w:t>
      </w:r>
      <w:r w:rsidR="0058607A" w:rsidRPr="0076535A">
        <w:rPr>
          <w:rFonts w:ascii="Arial" w:hAnsi="Arial" w:cs="Arial"/>
          <w:color w:val="auto"/>
          <w:sz w:val="24"/>
          <w:szCs w:val="24"/>
        </w:rPr>
        <w:t xml:space="preserve">user </w:t>
      </w:r>
      <w:r w:rsidRPr="0076535A">
        <w:rPr>
          <w:rFonts w:ascii="Arial" w:hAnsi="Arial" w:cs="Arial"/>
          <w:color w:val="auto"/>
          <w:sz w:val="24"/>
          <w:szCs w:val="24"/>
        </w:rPr>
        <w:t xml:space="preserve">evidence indicates that </w:t>
      </w:r>
      <w:r w:rsidR="0054446C" w:rsidRPr="0076535A">
        <w:rPr>
          <w:rFonts w:ascii="Arial" w:hAnsi="Arial" w:cs="Arial"/>
          <w:color w:val="auto"/>
          <w:sz w:val="24"/>
          <w:szCs w:val="24"/>
        </w:rPr>
        <w:t>people</w:t>
      </w:r>
      <w:r w:rsidRPr="0076535A">
        <w:rPr>
          <w:rFonts w:ascii="Arial" w:hAnsi="Arial" w:cs="Arial"/>
          <w:color w:val="auto"/>
          <w:sz w:val="24"/>
          <w:szCs w:val="24"/>
        </w:rPr>
        <w:t xml:space="preserve"> have used the route </w:t>
      </w:r>
      <w:r w:rsidR="00520965" w:rsidRPr="0076535A">
        <w:rPr>
          <w:rFonts w:ascii="Arial" w:hAnsi="Arial" w:cs="Arial"/>
          <w:color w:val="auto"/>
          <w:sz w:val="24"/>
          <w:szCs w:val="24"/>
        </w:rPr>
        <w:t xml:space="preserve">in question </w:t>
      </w:r>
      <w:r w:rsidRPr="0076535A">
        <w:rPr>
          <w:rFonts w:ascii="Arial" w:hAnsi="Arial" w:cs="Arial"/>
          <w:color w:val="auto"/>
          <w:sz w:val="24"/>
          <w:szCs w:val="24"/>
        </w:rPr>
        <w:t>for cycling or horse riding, as well as walking</w:t>
      </w:r>
      <w:r w:rsidR="0054446C" w:rsidRPr="0076535A">
        <w:rPr>
          <w:rFonts w:ascii="Arial" w:hAnsi="Arial" w:cs="Arial"/>
          <w:color w:val="auto"/>
          <w:sz w:val="24"/>
          <w:szCs w:val="24"/>
        </w:rPr>
        <w:t>,</w:t>
      </w:r>
      <w:r w:rsidRPr="0076535A">
        <w:rPr>
          <w:rFonts w:ascii="Arial" w:hAnsi="Arial" w:cs="Arial"/>
          <w:color w:val="auto"/>
          <w:sz w:val="24"/>
          <w:szCs w:val="24"/>
        </w:rPr>
        <w:t xml:space="preserve"> over a lengthy period,</w:t>
      </w:r>
      <w:r w:rsidR="0054446C" w:rsidRPr="0076535A">
        <w:rPr>
          <w:rFonts w:ascii="Arial" w:hAnsi="Arial" w:cs="Arial"/>
          <w:color w:val="auto"/>
          <w:sz w:val="24"/>
          <w:szCs w:val="24"/>
        </w:rPr>
        <w:t xml:space="preserve"> with the most concentrated equestrian use</w:t>
      </w:r>
      <w:r w:rsidR="0054446C">
        <w:rPr>
          <w:rFonts w:ascii="Arial" w:hAnsi="Arial" w:cs="Arial"/>
          <w:color w:val="auto"/>
          <w:sz w:val="24"/>
          <w:szCs w:val="24"/>
        </w:rPr>
        <w:t xml:space="preserve"> between 1984-1994</w:t>
      </w:r>
      <w:r w:rsidRPr="00911A1A">
        <w:rPr>
          <w:rFonts w:ascii="Arial" w:hAnsi="Arial" w:cs="Arial"/>
          <w:color w:val="auto"/>
          <w:sz w:val="24"/>
          <w:szCs w:val="24"/>
        </w:rPr>
        <w:t xml:space="preserve">. </w:t>
      </w:r>
    </w:p>
    <w:p w14:paraId="1532D79F" w14:textId="77777777" w:rsidR="00C80582" w:rsidRPr="0062735F" w:rsidRDefault="00520965" w:rsidP="0076535A">
      <w:pPr>
        <w:pStyle w:val="Style1"/>
        <w:rPr>
          <w:rFonts w:ascii="Arial" w:hAnsi="Arial" w:cs="Arial"/>
          <w:b/>
          <w:bCs/>
          <w:color w:val="auto"/>
          <w:sz w:val="24"/>
          <w:szCs w:val="24"/>
        </w:rPr>
      </w:pPr>
      <w:r>
        <w:rPr>
          <w:rFonts w:ascii="Arial" w:hAnsi="Arial" w:cs="Arial"/>
          <w:color w:val="auto"/>
          <w:sz w:val="24"/>
          <w:szCs w:val="24"/>
        </w:rPr>
        <w:t>From the evidence provided, t</w:t>
      </w:r>
      <w:r w:rsidR="00E23F94" w:rsidRPr="00911A1A">
        <w:rPr>
          <w:rFonts w:ascii="Arial" w:hAnsi="Arial" w:cs="Arial"/>
          <w:color w:val="auto"/>
          <w:sz w:val="24"/>
          <w:szCs w:val="24"/>
        </w:rPr>
        <w:t xml:space="preserve">he route </w:t>
      </w:r>
      <w:r>
        <w:rPr>
          <w:rFonts w:ascii="Arial" w:hAnsi="Arial" w:cs="Arial"/>
          <w:color w:val="auto"/>
          <w:sz w:val="24"/>
          <w:szCs w:val="24"/>
        </w:rPr>
        <w:t>appears</w:t>
      </w:r>
      <w:r w:rsidR="00E23F94" w:rsidRPr="00911A1A">
        <w:rPr>
          <w:rFonts w:ascii="Arial" w:hAnsi="Arial" w:cs="Arial"/>
          <w:color w:val="auto"/>
          <w:sz w:val="24"/>
          <w:szCs w:val="24"/>
        </w:rPr>
        <w:t xml:space="preserve"> to be on unregistered land. At some point concrete rings</w:t>
      </w:r>
      <w:r>
        <w:rPr>
          <w:rFonts w:ascii="Arial" w:hAnsi="Arial" w:cs="Arial"/>
          <w:color w:val="auto"/>
          <w:sz w:val="24"/>
          <w:szCs w:val="24"/>
        </w:rPr>
        <w:t xml:space="preserve"> and a small rusty stile</w:t>
      </w:r>
      <w:r w:rsidR="00E23F94" w:rsidRPr="00911A1A">
        <w:rPr>
          <w:rFonts w:ascii="Arial" w:hAnsi="Arial" w:cs="Arial"/>
          <w:color w:val="auto"/>
          <w:sz w:val="24"/>
          <w:szCs w:val="24"/>
        </w:rPr>
        <w:t xml:space="preserve"> </w:t>
      </w:r>
      <w:r>
        <w:rPr>
          <w:rFonts w:ascii="Arial" w:hAnsi="Arial" w:cs="Arial"/>
          <w:color w:val="auto"/>
          <w:sz w:val="24"/>
          <w:szCs w:val="24"/>
        </w:rPr>
        <w:t>were</w:t>
      </w:r>
      <w:r w:rsidR="00E23F94" w:rsidRPr="00911A1A">
        <w:rPr>
          <w:rFonts w:ascii="Arial" w:hAnsi="Arial" w:cs="Arial"/>
          <w:color w:val="auto"/>
          <w:sz w:val="24"/>
          <w:szCs w:val="24"/>
        </w:rPr>
        <w:t xml:space="preserve"> placed across </w:t>
      </w:r>
      <w:r>
        <w:rPr>
          <w:rFonts w:ascii="Arial" w:hAnsi="Arial" w:cs="Arial"/>
          <w:color w:val="auto"/>
          <w:sz w:val="24"/>
          <w:szCs w:val="24"/>
        </w:rPr>
        <w:t xml:space="preserve">part of </w:t>
      </w:r>
      <w:r w:rsidR="00E23F94" w:rsidRPr="00911A1A">
        <w:rPr>
          <w:rFonts w:ascii="Arial" w:hAnsi="Arial" w:cs="Arial"/>
          <w:color w:val="auto"/>
          <w:sz w:val="24"/>
          <w:szCs w:val="24"/>
        </w:rPr>
        <w:t>the route,</w:t>
      </w:r>
      <w:r w:rsidR="004513EE">
        <w:rPr>
          <w:rFonts w:ascii="Arial" w:hAnsi="Arial" w:cs="Arial"/>
          <w:color w:val="auto"/>
          <w:sz w:val="24"/>
          <w:szCs w:val="24"/>
        </w:rPr>
        <w:t xml:space="preserve"> it is un</w:t>
      </w:r>
      <w:r w:rsidR="008E24D7">
        <w:rPr>
          <w:rFonts w:ascii="Arial" w:hAnsi="Arial" w:cs="Arial"/>
          <w:color w:val="auto"/>
          <w:sz w:val="24"/>
          <w:szCs w:val="24"/>
        </w:rPr>
        <w:t>known</w:t>
      </w:r>
      <w:r w:rsidR="004513EE">
        <w:rPr>
          <w:rFonts w:ascii="Arial" w:hAnsi="Arial" w:cs="Arial"/>
          <w:color w:val="auto"/>
          <w:sz w:val="24"/>
          <w:szCs w:val="24"/>
        </w:rPr>
        <w:t xml:space="preserve"> by whom</w:t>
      </w:r>
      <w:r w:rsidR="0054446C">
        <w:rPr>
          <w:rFonts w:ascii="Arial" w:hAnsi="Arial" w:cs="Arial"/>
          <w:color w:val="auto"/>
          <w:sz w:val="24"/>
          <w:szCs w:val="24"/>
        </w:rPr>
        <w:t>,</w:t>
      </w:r>
      <w:r w:rsidR="00A70D35">
        <w:rPr>
          <w:rFonts w:ascii="Arial" w:hAnsi="Arial" w:cs="Arial"/>
          <w:color w:val="auto"/>
          <w:sz w:val="24"/>
          <w:szCs w:val="24"/>
        </w:rPr>
        <w:t xml:space="preserve"> but assumed by objectors to be the SHBC,</w:t>
      </w:r>
      <w:r w:rsidR="00E23F94" w:rsidRPr="00911A1A">
        <w:rPr>
          <w:rFonts w:ascii="Arial" w:hAnsi="Arial" w:cs="Arial"/>
          <w:color w:val="auto"/>
          <w:sz w:val="24"/>
          <w:szCs w:val="24"/>
        </w:rPr>
        <w:t xml:space="preserve"> presumably to prevent unwanted use</w:t>
      </w:r>
      <w:r w:rsidR="00A70D35">
        <w:rPr>
          <w:rFonts w:ascii="Arial" w:hAnsi="Arial" w:cs="Arial"/>
          <w:color w:val="auto"/>
          <w:sz w:val="24"/>
          <w:szCs w:val="24"/>
        </w:rPr>
        <w:t>. It</w:t>
      </w:r>
      <w:r w:rsidR="00E23F94" w:rsidRPr="00911A1A">
        <w:rPr>
          <w:rFonts w:ascii="Arial" w:hAnsi="Arial" w:cs="Arial"/>
          <w:color w:val="auto"/>
          <w:sz w:val="24"/>
          <w:szCs w:val="24"/>
        </w:rPr>
        <w:t xml:space="preserve"> is </w:t>
      </w:r>
      <w:r w:rsidR="008E24D7">
        <w:rPr>
          <w:rFonts w:ascii="Arial" w:hAnsi="Arial" w:cs="Arial"/>
          <w:color w:val="auto"/>
          <w:sz w:val="24"/>
          <w:szCs w:val="24"/>
        </w:rPr>
        <w:t>unclear</w:t>
      </w:r>
      <w:r>
        <w:rPr>
          <w:rFonts w:ascii="Arial" w:hAnsi="Arial" w:cs="Arial"/>
          <w:color w:val="auto"/>
          <w:sz w:val="24"/>
          <w:szCs w:val="24"/>
        </w:rPr>
        <w:t xml:space="preserve"> as to</w:t>
      </w:r>
      <w:r w:rsidR="00A70D35">
        <w:rPr>
          <w:rFonts w:ascii="Arial" w:hAnsi="Arial" w:cs="Arial"/>
          <w:color w:val="auto"/>
          <w:sz w:val="24"/>
          <w:szCs w:val="24"/>
        </w:rPr>
        <w:t xml:space="preserve"> </w:t>
      </w:r>
      <w:r w:rsidR="00E23F94" w:rsidRPr="00911A1A">
        <w:rPr>
          <w:rFonts w:ascii="Arial" w:hAnsi="Arial" w:cs="Arial"/>
          <w:color w:val="auto"/>
          <w:sz w:val="24"/>
          <w:szCs w:val="24"/>
        </w:rPr>
        <w:t>wh</w:t>
      </w:r>
      <w:r w:rsidR="008E24D7">
        <w:rPr>
          <w:rFonts w:ascii="Arial" w:hAnsi="Arial" w:cs="Arial"/>
          <w:color w:val="auto"/>
          <w:sz w:val="24"/>
          <w:szCs w:val="24"/>
        </w:rPr>
        <w:t>at use</w:t>
      </w:r>
      <w:r w:rsidR="00E23F94" w:rsidRPr="00911A1A">
        <w:rPr>
          <w:rFonts w:ascii="Arial" w:hAnsi="Arial" w:cs="Arial"/>
          <w:color w:val="auto"/>
          <w:sz w:val="24"/>
          <w:szCs w:val="24"/>
        </w:rPr>
        <w:t xml:space="preserve"> the restrictions were intended to prevent</w:t>
      </w:r>
      <w:r w:rsidR="008E24D7">
        <w:rPr>
          <w:rFonts w:ascii="Arial" w:hAnsi="Arial" w:cs="Arial"/>
          <w:color w:val="auto"/>
          <w:sz w:val="24"/>
          <w:szCs w:val="24"/>
        </w:rPr>
        <w:t>,</w:t>
      </w:r>
      <w:r>
        <w:rPr>
          <w:rFonts w:ascii="Arial" w:hAnsi="Arial" w:cs="Arial"/>
          <w:color w:val="auto"/>
          <w:sz w:val="24"/>
          <w:szCs w:val="24"/>
        </w:rPr>
        <w:t xml:space="preserve"> however </w:t>
      </w:r>
      <w:r w:rsidR="00CC5CD9">
        <w:rPr>
          <w:rFonts w:ascii="Arial" w:hAnsi="Arial" w:cs="Arial"/>
          <w:color w:val="auto"/>
          <w:sz w:val="24"/>
          <w:szCs w:val="24"/>
        </w:rPr>
        <w:t>they</w:t>
      </w:r>
      <w:r>
        <w:rPr>
          <w:rFonts w:ascii="Arial" w:hAnsi="Arial" w:cs="Arial"/>
          <w:color w:val="auto"/>
          <w:sz w:val="24"/>
          <w:szCs w:val="24"/>
        </w:rPr>
        <w:t xml:space="preserve"> do not seem to have inhibited use </w:t>
      </w:r>
      <w:r w:rsidR="00A21BB6">
        <w:rPr>
          <w:rFonts w:ascii="Arial" w:hAnsi="Arial" w:cs="Arial"/>
          <w:color w:val="auto"/>
          <w:sz w:val="24"/>
          <w:szCs w:val="24"/>
        </w:rPr>
        <w:t xml:space="preserve">of the route </w:t>
      </w:r>
      <w:r>
        <w:rPr>
          <w:rFonts w:ascii="Arial" w:hAnsi="Arial" w:cs="Arial"/>
          <w:color w:val="auto"/>
          <w:sz w:val="24"/>
          <w:szCs w:val="24"/>
        </w:rPr>
        <w:t xml:space="preserve">by </w:t>
      </w:r>
      <w:r w:rsidR="008E24D7">
        <w:rPr>
          <w:rFonts w:ascii="Arial" w:hAnsi="Arial" w:cs="Arial"/>
          <w:color w:val="auto"/>
          <w:sz w:val="24"/>
          <w:szCs w:val="24"/>
        </w:rPr>
        <w:t>cyc</w:t>
      </w:r>
      <w:r w:rsidR="0076535A">
        <w:rPr>
          <w:rFonts w:ascii="Arial" w:hAnsi="Arial" w:cs="Arial"/>
          <w:color w:val="auto"/>
          <w:sz w:val="24"/>
          <w:szCs w:val="24"/>
        </w:rPr>
        <w:t>l</w:t>
      </w:r>
      <w:r w:rsidR="008E24D7">
        <w:rPr>
          <w:rFonts w:ascii="Arial" w:hAnsi="Arial" w:cs="Arial"/>
          <w:color w:val="auto"/>
          <w:sz w:val="24"/>
          <w:szCs w:val="24"/>
        </w:rPr>
        <w:t>ists or equestrians</w:t>
      </w:r>
      <w:r w:rsidR="0076535A">
        <w:rPr>
          <w:rFonts w:ascii="Arial" w:hAnsi="Arial" w:cs="Arial"/>
          <w:color w:val="auto"/>
          <w:sz w:val="24"/>
          <w:szCs w:val="24"/>
        </w:rPr>
        <w:t>.</w:t>
      </w:r>
      <w:r w:rsidR="004F545D">
        <w:rPr>
          <w:rFonts w:ascii="Arial" w:hAnsi="Arial" w:cs="Arial"/>
          <w:color w:val="auto"/>
          <w:sz w:val="24"/>
          <w:szCs w:val="24"/>
        </w:rPr>
        <w:t xml:space="preserve"> There is also a photo of a sign by Blundells Golf Club stating public footpath, but it is not specified when this sign was erected. </w:t>
      </w:r>
    </w:p>
    <w:p w14:paraId="5A869C2B" w14:textId="77777777" w:rsidR="0062735F" w:rsidRPr="00F31051" w:rsidRDefault="00CA50F4" w:rsidP="0076535A">
      <w:pPr>
        <w:pStyle w:val="Style1"/>
        <w:rPr>
          <w:rFonts w:ascii="Arial" w:hAnsi="Arial" w:cs="Arial"/>
          <w:b/>
          <w:bCs/>
          <w:color w:val="auto"/>
          <w:sz w:val="24"/>
          <w:szCs w:val="24"/>
        </w:rPr>
      </w:pPr>
      <w:r w:rsidRPr="00F31051">
        <w:rPr>
          <w:rFonts w:ascii="Arial" w:hAnsi="Arial" w:cs="Arial"/>
          <w:color w:val="auto"/>
          <w:sz w:val="24"/>
          <w:szCs w:val="24"/>
        </w:rPr>
        <w:t>Overall,</w:t>
      </w:r>
      <w:r w:rsidR="0062735F" w:rsidRPr="00F31051">
        <w:rPr>
          <w:rFonts w:ascii="Arial" w:hAnsi="Arial" w:cs="Arial"/>
          <w:color w:val="auto"/>
          <w:sz w:val="24"/>
          <w:szCs w:val="24"/>
        </w:rPr>
        <w:t xml:space="preserve"> there is no </w:t>
      </w:r>
      <w:r w:rsidR="009C08C5">
        <w:rPr>
          <w:rFonts w:ascii="Arial" w:hAnsi="Arial" w:cs="Arial"/>
          <w:color w:val="auto"/>
          <w:sz w:val="24"/>
          <w:szCs w:val="24"/>
        </w:rPr>
        <w:t xml:space="preserve">significant </w:t>
      </w:r>
      <w:r w:rsidR="0062735F" w:rsidRPr="00F31051">
        <w:rPr>
          <w:rFonts w:ascii="Arial" w:hAnsi="Arial" w:cs="Arial"/>
          <w:color w:val="auto"/>
          <w:sz w:val="24"/>
          <w:szCs w:val="24"/>
        </w:rPr>
        <w:t>evidence of action being taken by any landowner in</w:t>
      </w:r>
      <w:r w:rsidR="00F31051" w:rsidRPr="00F31051">
        <w:rPr>
          <w:rFonts w:ascii="Arial" w:hAnsi="Arial" w:cs="Arial"/>
          <w:color w:val="auto"/>
          <w:sz w:val="24"/>
          <w:szCs w:val="24"/>
        </w:rPr>
        <w:t xml:space="preserve"> specific</w:t>
      </w:r>
      <w:r w:rsidR="0062735F" w:rsidRPr="00F31051">
        <w:rPr>
          <w:rFonts w:ascii="Arial" w:hAnsi="Arial" w:cs="Arial"/>
          <w:color w:val="auto"/>
          <w:sz w:val="24"/>
          <w:szCs w:val="24"/>
        </w:rPr>
        <w:t xml:space="preserve"> response to use by equestrians</w:t>
      </w:r>
      <w:r w:rsidR="00F61553">
        <w:rPr>
          <w:rFonts w:ascii="Arial" w:hAnsi="Arial" w:cs="Arial"/>
          <w:color w:val="auto"/>
          <w:sz w:val="24"/>
          <w:szCs w:val="24"/>
        </w:rPr>
        <w:t>,</w:t>
      </w:r>
      <w:r w:rsidR="0062735F" w:rsidRPr="00F31051">
        <w:rPr>
          <w:rFonts w:ascii="Arial" w:hAnsi="Arial" w:cs="Arial"/>
          <w:color w:val="auto"/>
          <w:sz w:val="24"/>
          <w:szCs w:val="24"/>
        </w:rPr>
        <w:t xml:space="preserve"> during the lengthy period covered by the user evidence</w:t>
      </w:r>
      <w:r w:rsidR="000C707C">
        <w:rPr>
          <w:rFonts w:ascii="Arial" w:hAnsi="Arial" w:cs="Arial"/>
          <w:color w:val="auto"/>
          <w:sz w:val="24"/>
          <w:szCs w:val="24"/>
        </w:rPr>
        <w:t xml:space="preserve"> prior to 2020</w:t>
      </w:r>
      <w:r w:rsidR="0062735F" w:rsidRPr="00F31051">
        <w:rPr>
          <w:rFonts w:ascii="Arial" w:hAnsi="Arial" w:cs="Arial"/>
          <w:color w:val="auto"/>
          <w:sz w:val="24"/>
          <w:szCs w:val="24"/>
        </w:rPr>
        <w:t>.</w:t>
      </w:r>
    </w:p>
    <w:p w14:paraId="7921FA4E" w14:textId="77777777" w:rsidR="00B22702" w:rsidRPr="00E86079" w:rsidRDefault="00175479" w:rsidP="00E43446">
      <w:pPr>
        <w:pStyle w:val="Heading6blackfont"/>
        <w:tabs>
          <w:tab w:val="num" w:pos="426"/>
          <w:tab w:val="left" w:pos="1418"/>
        </w:tabs>
        <w:ind w:left="426" w:hanging="426"/>
        <w:rPr>
          <w:rFonts w:ascii="Arial" w:hAnsi="Arial" w:cs="Arial"/>
          <w:i/>
          <w:iCs/>
          <w:color w:val="auto"/>
          <w:sz w:val="24"/>
          <w:szCs w:val="24"/>
        </w:rPr>
      </w:pPr>
      <w:bookmarkStart w:id="2" w:name="bmkPageBreak"/>
      <w:bookmarkEnd w:id="2"/>
      <w:r w:rsidRPr="00E86079">
        <w:rPr>
          <w:rFonts w:ascii="Arial" w:hAnsi="Arial" w:cs="Arial"/>
          <w:i/>
          <w:iCs/>
          <w:color w:val="auto"/>
          <w:sz w:val="24"/>
          <w:szCs w:val="24"/>
        </w:rPr>
        <w:t xml:space="preserve">Common Law </w:t>
      </w:r>
      <w:r w:rsidR="00C568CB" w:rsidRPr="00E86079">
        <w:rPr>
          <w:rFonts w:ascii="Arial" w:hAnsi="Arial" w:cs="Arial"/>
          <w:i/>
          <w:iCs/>
          <w:color w:val="auto"/>
          <w:sz w:val="24"/>
          <w:szCs w:val="24"/>
        </w:rPr>
        <w:t>c</w:t>
      </w:r>
      <w:r w:rsidR="00B22702" w:rsidRPr="00E86079">
        <w:rPr>
          <w:rFonts w:ascii="Arial" w:hAnsi="Arial" w:cs="Arial"/>
          <w:i/>
          <w:iCs/>
          <w:color w:val="auto"/>
          <w:sz w:val="24"/>
          <w:szCs w:val="24"/>
        </w:rPr>
        <w:t>onclusion</w:t>
      </w:r>
      <w:r w:rsidR="0062735F" w:rsidRPr="00E86079">
        <w:rPr>
          <w:rFonts w:ascii="Arial" w:hAnsi="Arial" w:cs="Arial"/>
          <w:i/>
          <w:iCs/>
          <w:color w:val="auto"/>
          <w:sz w:val="24"/>
          <w:szCs w:val="24"/>
        </w:rPr>
        <w:t>s</w:t>
      </w:r>
    </w:p>
    <w:p w14:paraId="278C76A0" w14:textId="77777777" w:rsidR="00A2631D" w:rsidRPr="00A2631D" w:rsidRDefault="00410F65" w:rsidP="00410F65">
      <w:pPr>
        <w:pStyle w:val="Style1"/>
        <w:tabs>
          <w:tab w:val="clear" w:pos="432"/>
          <w:tab w:val="num" w:pos="426"/>
          <w:tab w:val="left" w:pos="1418"/>
        </w:tabs>
        <w:ind w:left="426" w:right="-194" w:hanging="426"/>
        <w:rPr>
          <w:rFonts w:ascii="Arial" w:hAnsi="Arial" w:cs="Arial"/>
          <w:sz w:val="24"/>
          <w:szCs w:val="24"/>
        </w:rPr>
      </w:pPr>
      <w:r>
        <w:rPr>
          <w:rFonts w:ascii="Arial" w:hAnsi="Arial" w:cs="Arial"/>
          <w:color w:val="auto"/>
          <w:sz w:val="24"/>
          <w:szCs w:val="24"/>
        </w:rPr>
        <w:t xml:space="preserve">From the </w:t>
      </w:r>
      <w:r w:rsidRPr="00A2631D">
        <w:rPr>
          <w:rFonts w:ascii="Arial" w:hAnsi="Arial" w:cs="Arial"/>
          <w:color w:val="auto"/>
          <w:sz w:val="24"/>
          <w:szCs w:val="24"/>
        </w:rPr>
        <w:t xml:space="preserve">documentary evidence </w:t>
      </w:r>
      <w:r w:rsidRPr="00A2631D">
        <w:rPr>
          <w:rFonts w:ascii="Arial" w:hAnsi="Arial" w:cs="Arial"/>
          <w:sz w:val="24"/>
          <w:szCs w:val="24"/>
        </w:rPr>
        <w:t xml:space="preserve">presented in this case it is clear that a well-defined lane following the </w:t>
      </w:r>
      <w:r w:rsidR="00A107E0">
        <w:rPr>
          <w:rFonts w:ascii="Arial" w:hAnsi="Arial" w:cs="Arial"/>
          <w:sz w:val="24"/>
          <w:szCs w:val="24"/>
        </w:rPr>
        <w:t xml:space="preserve">original </w:t>
      </w:r>
      <w:r w:rsidRPr="00A2631D">
        <w:rPr>
          <w:rFonts w:ascii="Arial" w:hAnsi="Arial" w:cs="Arial"/>
          <w:sz w:val="24"/>
          <w:szCs w:val="24"/>
        </w:rPr>
        <w:t>line of FP201 has been in existence since the late 1700’s as shown by the commercial maps presented as evidence. The maps submitted all support the applicant’s su</w:t>
      </w:r>
      <w:r w:rsidR="00192215">
        <w:rPr>
          <w:rFonts w:ascii="Arial" w:hAnsi="Arial" w:cs="Arial"/>
          <w:sz w:val="24"/>
          <w:szCs w:val="24"/>
        </w:rPr>
        <w:t>bmission</w:t>
      </w:r>
      <w:r w:rsidRPr="00A2631D">
        <w:rPr>
          <w:rFonts w:ascii="Arial" w:hAnsi="Arial" w:cs="Arial"/>
          <w:sz w:val="24"/>
          <w:szCs w:val="24"/>
        </w:rPr>
        <w:t xml:space="preserve"> that in the past, FP201 was a carriageway of some description. On their own</w:t>
      </w:r>
      <w:r w:rsidR="00E46082">
        <w:rPr>
          <w:rFonts w:ascii="Arial" w:hAnsi="Arial" w:cs="Arial"/>
          <w:sz w:val="24"/>
          <w:szCs w:val="24"/>
        </w:rPr>
        <w:t>,</w:t>
      </w:r>
      <w:r w:rsidRPr="00A2631D">
        <w:rPr>
          <w:rFonts w:ascii="Arial" w:hAnsi="Arial" w:cs="Arial"/>
          <w:sz w:val="24"/>
          <w:szCs w:val="24"/>
        </w:rPr>
        <w:t xml:space="preserve"> the commercial maps are not sufficient to confirm the existence of a public right of bridleway status, </w:t>
      </w:r>
      <w:r w:rsidR="008E24D7">
        <w:rPr>
          <w:rFonts w:ascii="Arial" w:hAnsi="Arial" w:cs="Arial"/>
          <w:sz w:val="24"/>
          <w:szCs w:val="24"/>
        </w:rPr>
        <w:t>albeit</w:t>
      </w:r>
      <w:r w:rsidRPr="00A2631D">
        <w:rPr>
          <w:rFonts w:ascii="Arial" w:hAnsi="Arial" w:cs="Arial"/>
          <w:sz w:val="24"/>
          <w:szCs w:val="24"/>
        </w:rPr>
        <w:t xml:space="preserve"> the Tithe Map </w:t>
      </w:r>
      <w:r w:rsidR="005452E8">
        <w:rPr>
          <w:rFonts w:ascii="Arial" w:hAnsi="Arial" w:cs="Arial"/>
          <w:sz w:val="24"/>
          <w:szCs w:val="24"/>
        </w:rPr>
        <w:t>could</w:t>
      </w:r>
      <w:r w:rsidR="005E56B0">
        <w:rPr>
          <w:rFonts w:ascii="Arial" w:hAnsi="Arial" w:cs="Arial"/>
          <w:sz w:val="24"/>
          <w:szCs w:val="24"/>
        </w:rPr>
        <w:t xml:space="preserve"> also</w:t>
      </w:r>
      <w:r w:rsidRPr="00A2631D">
        <w:rPr>
          <w:rFonts w:ascii="Arial" w:hAnsi="Arial" w:cs="Arial"/>
          <w:sz w:val="24"/>
          <w:szCs w:val="24"/>
        </w:rPr>
        <w:t xml:space="preserve"> indicate a </w:t>
      </w:r>
      <w:r w:rsidR="005E56B0">
        <w:rPr>
          <w:rFonts w:ascii="Arial" w:hAnsi="Arial" w:cs="Arial"/>
          <w:sz w:val="24"/>
          <w:szCs w:val="24"/>
        </w:rPr>
        <w:t>highway</w:t>
      </w:r>
      <w:r w:rsidRPr="00A2631D">
        <w:rPr>
          <w:rFonts w:ascii="Arial" w:hAnsi="Arial" w:cs="Arial"/>
          <w:sz w:val="24"/>
          <w:szCs w:val="24"/>
        </w:rPr>
        <w:t xml:space="preserve"> of at least that status. </w:t>
      </w:r>
    </w:p>
    <w:p w14:paraId="52AFAE5E" w14:textId="77777777" w:rsidR="00A2631D" w:rsidRDefault="00A107E0" w:rsidP="00A2631D">
      <w:pPr>
        <w:pStyle w:val="Style1"/>
        <w:tabs>
          <w:tab w:val="clear" w:pos="432"/>
          <w:tab w:val="num" w:pos="426"/>
          <w:tab w:val="left" w:pos="1418"/>
        </w:tabs>
        <w:ind w:left="426" w:right="-194" w:hanging="426"/>
        <w:rPr>
          <w:rFonts w:ascii="Arial" w:hAnsi="Arial" w:cs="Arial"/>
          <w:color w:val="auto"/>
          <w:sz w:val="24"/>
          <w:szCs w:val="24"/>
        </w:rPr>
      </w:pPr>
      <w:r w:rsidRPr="00E64590">
        <w:rPr>
          <w:rFonts w:ascii="Arial" w:hAnsi="Arial" w:cs="Arial"/>
          <w:color w:val="auto"/>
          <w:sz w:val="24"/>
          <w:szCs w:val="24"/>
        </w:rPr>
        <w:t>Conversely,</w:t>
      </w:r>
      <w:r w:rsidR="00DA0D70">
        <w:rPr>
          <w:rFonts w:ascii="Arial" w:hAnsi="Arial" w:cs="Arial"/>
          <w:color w:val="auto"/>
          <w:sz w:val="24"/>
          <w:szCs w:val="24"/>
        </w:rPr>
        <w:t xml:space="preserve"> </w:t>
      </w:r>
      <w:r w:rsidRPr="00E64590">
        <w:rPr>
          <w:rFonts w:ascii="Arial" w:hAnsi="Arial" w:cs="Arial"/>
          <w:color w:val="auto"/>
          <w:sz w:val="24"/>
          <w:szCs w:val="24"/>
        </w:rPr>
        <w:t>T</w:t>
      </w:r>
      <w:r w:rsidR="00410F65" w:rsidRPr="00E64590">
        <w:rPr>
          <w:rFonts w:ascii="Arial" w:hAnsi="Arial" w:cs="Arial"/>
          <w:color w:val="auto"/>
          <w:sz w:val="24"/>
          <w:szCs w:val="24"/>
        </w:rPr>
        <w:t xml:space="preserve">he Side Roads Order </w:t>
      </w:r>
      <w:r w:rsidR="00A2631D" w:rsidRPr="00E64590">
        <w:rPr>
          <w:rFonts w:ascii="Arial" w:hAnsi="Arial" w:cs="Arial"/>
          <w:color w:val="auto"/>
          <w:sz w:val="24"/>
          <w:szCs w:val="24"/>
        </w:rPr>
        <w:t xml:space="preserve">of </w:t>
      </w:r>
      <w:r w:rsidR="00410F65" w:rsidRPr="00E64590">
        <w:rPr>
          <w:rFonts w:ascii="Arial" w:hAnsi="Arial" w:cs="Arial"/>
          <w:color w:val="auto"/>
          <w:sz w:val="24"/>
          <w:szCs w:val="24"/>
        </w:rPr>
        <w:t>1970</w:t>
      </w:r>
      <w:r w:rsidR="00A2631D" w:rsidRPr="00E64590">
        <w:rPr>
          <w:rFonts w:ascii="Arial" w:hAnsi="Arial" w:cs="Arial"/>
          <w:color w:val="auto"/>
          <w:sz w:val="24"/>
          <w:szCs w:val="24"/>
        </w:rPr>
        <w:t xml:space="preserve"> </w:t>
      </w:r>
      <w:r w:rsidR="00410F65" w:rsidRPr="00E64590">
        <w:rPr>
          <w:rFonts w:ascii="Arial" w:hAnsi="Arial" w:cs="Arial"/>
          <w:color w:val="auto"/>
          <w:sz w:val="24"/>
          <w:szCs w:val="24"/>
        </w:rPr>
        <w:t>that</w:t>
      </w:r>
      <w:r w:rsidR="00A2631D" w:rsidRPr="00E64590">
        <w:rPr>
          <w:rFonts w:ascii="Arial" w:hAnsi="Arial" w:cs="Arial"/>
          <w:color w:val="auto"/>
          <w:sz w:val="24"/>
          <w:szCs w:val="24"/>
        </w:rPr>
        <w:t xml:space="preserve"> realigned the</w:t>
      </w:r>
      <w:r w:rsidR="00410F65" w:rsidRPr="00E64590">
        <w:rPr>
          <w:rFonts w:ascii="Arial" w:hAnsi="Arial" w:cs="Arial"/>
          <w:color w:val="auto"/>
          <w:sz w:val="24"/>
          <w:szCs w:val="24"/>
        </w:rPr>
        <w:t xml:space="preserve"> route</w:t>
      </w:r>
      <w:r w:rsidR="00A2631D" w:rsidRPr="00E64590">
        <w:rPr>
          <w:rFonts w:ascii="Arial" w:hAnsi="Arial" w:cs="Arial"/>
          <w:color w:val="auto"/>
          <w:sz w:val="24"/>
          <w:szCs w:val="24"/>
        </w:rPr>
        <w:t xml:space="preserve"> to its current position </w:t>
      </w:r>
      <w:r w:rsidR="00B84486" w:rsidRPr="00E64590">
        <w:rPr>
          <w:rFonts w:ascii="Arial" w:hAnsi="Arial" w:cs="Arial"/>
          <w:color w:val="auto"/>
          <w:sz w:val="24"/>
          <w:szCs w:val="24"/>
        </w:rPr>
        <w:t>illustrates that at that time</w:t>
      </w:r>
      <w:r w:rsidR="007525E8">
        <w:rPr>
          <w:rFonts w:ascii="Arial" w:hAnsi="Arial" w:cs="Arial"/>
          <w:color w:val="auto"/>
          <w:sz w:val="24"/>
          <w:szCs w:val="24"/>
        </w:rPr>
        <w:t>,</w:t>
      </w:r>
      <w:r w:rsidR="00A2631D" w:rsidRPr="00E64590">
        <w:rPr>
          <w:rFonts w:ascii="Arial" w:hAnsi="Arial" w:cs="Arial"/>
          <w:color w:val="auto"/>
          <w:sz w:val="24"/>
          <w:szCs w:val="24"/>
        </w:rPr>
        <w:t xml:space="preserve"> Cronton Lane </w:t>
      </w:r>
      <w:r w:rsidR="00B84486" w:rsidRPr="00E64590">
        <w:rPr>
          <w:rFonts w:ascii="Arial" w:hAnsi="Arial" w:cs="Arial"/>
          <w:color w:val="auto"/>
          <w:sz w:val="24"/>
          <w:szCs w:val="24"/>
        </w:rPr>
        <w:t xml:space="preserve">was regarded </w:t>
      </w:r>
      <w:r w:rsidR="00A2631D" w:rsidRPr="00E64590">
        <w:rPr>
          <w:rFonts w:ascii="Arial" w:hAnsi="Arial" w:cs="Arial"/>
          <w:color w:val="auto"/>
          <w:sz w:val="24"/>
          <w:szCs w:val="24"/>
        </w:rPr>
        <w:t>as a highway at footpath status only.</w:t>
      </w:r>
    </w:p>
    <w:p w14:paraId="38C1289C" w14:textId="77777777" w:rsidR="0012487B" w:rsidRDefault="000C125B" w:rsidP="000C125B">
      <w:pPr>
        <w:pStyle w:val="Style1"/>
        <w:tabs>
          <w:tab w:val="clear" w:pos="432"/>
          <w:tab w:val="num" w:pos="426"/>
          <w:tab w:val="left" w:pos="1418"/>
        </w:tabs>
        <w:ind w:left="426" w:right="-194" w:hanging="426"/>
        <w:rPr>
          <w:rFonts w:ascii="Arial" w:hAnsi="Arial" w:cs="Arial"/>
          <w:color w:val="auto"/>
          <w:sz w:val="24"/>
          <w:szCs w:val="24"/>
        </w:rPr>
      </w:pPr>
      <w:r>
        <w:rPr>
          <w:rFonts w:ascii="Arial" w:hAnsi="Arial" w:cs="Arial"/>
          <w:color w:val="auto"/>
          <w:sz w:val="24"/>
          <w:szCs w:val="24"/>
        </w:rPr>
        <w:t xml:space="preserve">Although </w:t>
      </w:r>
      <w:r w:rsidRPr="00E64590">
        <w:rPr>
          <w:rFonts w:ascii="Arial" w:hAnsi="Arial" w:cs="Arial"/>
          <w:color w:val="auto"/>
          <w:sz w:val="24"/>
          <w:szCs w:val="24"/>
        </w:rPr>
        <w:t>the user evidence is refuted by some, there is not sufficient</w:t>
      </w:r>
      <w:r w:rsidR="00DA240A">
        <w:rPr>
          <w:rFonts w:ascii="Arial" w:hAnsi="Arial" w:cs="Arial"/>
          <w:color w:val="auto"/>
          <w:sz w:val="24"/>
          <w:szCs w:val="24"/>
        </w:rPr>
        <w:t>ly robust</w:t>
      </w:r>
      <w:r w:rsidRPr="00E64590">
        <w:rPr>
          <w:rFonts w:ascii="Arial" w:hAnsi="Arial" w:cs="Arial"/>
          <w:color w:val="auto"/>
          <w:sz w:val="24"/>
          <w:szCs w:val="24"/>
        </w:rPr>
        <w:t xml:space="preserve"> contradictory evidence to disregard the claims of equestrian use and moreover there also appears to be some evidence of use of the route by cyclists</w:t>
      </w:r>
      <w:r>
        <w:rPr>
          <w:rFonts w:ascii="Arial" w:hAnsi="Arial" w:cs="Arial"/>
          <w:color w:val="auto"/>
          <w:sz w:val="24"/>
          <w:szCs w:val="24"/>
        </w:rPr>
        <w:t>.</w:t>
      </w:r>
      <w:r w:rsidR="00A107E0" w:rsidRPr="000C125B">
        <w:rPr>
          <w:rFonts w:ascii="Arial" w:hAnsi="Arial" w:cs="Arial"/>
          <w:color w:val="auto"/>
          <w:sz w:val="24"/>
          <w:szCs w:val="24"/>
        </w:rPr>
        <w:t xml:space="preserve"> </w:t>
      </w:r>
    </w:p>
    <w:p w14:paraId="653FC80E" w14:textId="77777777" w:rsidR="001C1722" w:rsidRPr="00A7367D" w:rsidRDefault="00DA0D70" w:rsidP="000C125B">
      <w:pPr>
        <w:pStyle w:val="Style1"/>
        <w:tabs>
          <w:tab w:val="clear" w:pos="432"/>
          <w:tab w:val="num" w:pos="426"/>
          <w:tab w:val="left" w:pos="1418"/>
        </w:tabs>
        <w:ind w:left="426" w:right="-194" w:hanging="426"/>
        <w:rPr>
          <w:rFonts w:ascii="Arial" w:hAnsi="Arial" w:cs="Arial"/>
          <w:color w:val="auto"/>
          <w:sz w:val="24"/>
          <w:szCs w:val="24"/>
        </w:rPr>
      </w:pPr>
      <w:r w:rsidRPr="00A7367D">
        <w:rPr>
          <w:rFonts w:ascii="Arial" w:hAnsi="Arial" w:cs="Arial"/>
          <w:color w:val="auto"/>
          <w:sz w:val="24"/>
          <w:szCs w:val="24"/>
        </w:rPr>
        <w:t>Although t</w:t>
      </w:r>
      <w:r w:rsidR="001C1722" w:rsidRPr="00A7367D">
        <w:rPr>
          <w:rFonts w:ascii="Arial" w:hAnsi="Arial" w:cs="Arial"/>
          <w:color w:val="auto"/>
          <w:sz w:val="24"/>
          <w:szCs w:val="24"/>
        </w:rPr>
        <w:t xml:space="preserve">he user evidence </w:t>
      </w:r>
      <w:r w:rsidRPr="00A7367D">
        <w:rPr>
          <w:rFonts w:ascii="Arial" w:hAnsi="Arial" w:cs="Arial"/>
          <w:color w:val="auto"/>
          <w:sz w:val="24"/>
          <w:szCs w:val="24"/>
        </w:rPr>
        <w:t>is indicative of equestrian</w:t>
      </w:r>
      <w:r w:rsidR="001C1722" w:rsidRPr="00A7367D">
        <w:rPr>
          <w:rFonts w:ascii="Arial" w:hAnsi="Arial" w:cs="Arial"/>
          <w:color w:val="auto"/>
          <w:sz w:val="24"/>
          <w:szCs w:val="24"/>
        </w:rPr>
        <w:t xml:space="preserve"> usage </w:t>
      </w:r>
      <w:r w:rsidRPr="00A7367D">
        <w:rPr>
          <w:rFonts w:ascii="Arial" w:hAnsi="Arial" w:cs="Arial"/>
          <w:color w:val="auto"/>
          <w:sz w:val="24"/>
          <w:szCs w:val="24"/>
        </w:rPr>
        <w:t>being more significant</w:t>
      </w:r>
      <w:r w:rsidR="001C1722" w:rsidRPr="00A7367D">
        <w:rPr>
          <w:rFonts w:ascii="Arial" w:hAnsi="Arial" w:cs="Arial"/>
          <w:color w:val="auto"/>
          <w:sz w:val="24"/>
          <w:szCs w:val="24"/>
        </w:rPr>
        <w:t xml:space="preserve"> between 1984-199</w:t>
      </w:r>
      <w:r w:rsidRPr="00A7367D">
        <w:rPr>
          <w:rFonts w:ascii="Arial" w:hAnsi="Arial" w:cs="Arial"/>
          <w:color w:val="auto"/>
          <w:sz w:val="24"/>
          <w:szCs w:val="24"/>
        </w:rPr>
        <w:t>5</w:t>
      </w:r>
      <w:r w:rsidR="001C1722" w:rsidRPr="00A7367D">
        <w:rPr>
          <w:rFonts w:ascii="Arial" w:hAnsi="Arial" w:cs="Arial"/>
          <w:color w:val="auto"/>
          <w:sz w:val="24"/>
          <w:szCs w:val="24"/>
        </w:rPr>
        <w:t>,</w:t>
      </w:r>
      <w:r w:rsidRPr="00A7367D">
        <w:rPr>
          <w:rFonts w:ascii="Arial" w:hAnsi="Arial" w:cs="Arial"/>
          <w:color w:val="auto"/>
          <w:sz w:val="24"/>
          <w:szCs w:val="24"/>
        </w:rPr>
        <w:t xml:space="preserve"> the evidence also covers a number of years both before and after this period.</w:t>
      </w:r>
      <w:r w:rsidR="001C1722" w:rsidRPr="00A7367D">
        <w:rPr>
          <w:rFonts w:ascii="Arial" w:hAnsi="Arial" w:cs="Arial"/>
          <w:color w:val="auto"/>
          <w:sz w:val="24"/>
          <w:szCs w:val="24"/>
        </w:rPr>
        <w:t xml:space="preserve"> </w:t>
      </w:r>
      <w:r w:rsidRPr="00A7367D">
        <w:rPr>
          <w:rFonts w:ascii="Arial" w:hAnsi="Arial" w:cs="Arial"/>
          <w:color w:val="auto"/>
          <w:sz w:val="24"/>
          <w:szCs w:val="24"/>
        </w:rPr>
        <w:t>T</w:t>
      </w:r>
      <w:r w:rsidR="001C1722" w:rsidRPr="00A7367D">
        <w:rPr>
          <w:rFonts w:ascii="Arial" w:hAnsi="Arial" w:cs="Arial"/>
          <w:color w:val="auto"/>
          <w:sz w:val="24"/>
          <w:szCs w:val="24"/>
        </w:rPr>
        <w:t>his co</w:t>
      </w:r>
      <w:r w:rsidR="0008045C" w:rsidRPr="00A7367D">
        <w:rPr>
          <w:rFonts w:ascii="Arial" w:hAnsi="Arial" w:cs="Arial"/>
          <w:color w:val="auto"/>
          <w:sz w:val="24"/>
          <w:szCs w:val="24"/>
        </w:rPr>
        <w:t>mbined</w:t>
      </w:r>
      <w:r w:rsidR="001C1722" w:rsidRPr="00A7367D">
        <w:rPr>
          <w:rFonts w:ascii="Arial" w:hAnsi="Arial" w:cs="Arial"/>
          <w:color w:val="auto"/>
          <w:sz w:val="24"/>
          <w:szCs w:val="24"/>
        </w:rPr>
        <w:t xml:space="preserve"> with the accumulated historical evidence </w:t>
      </w:r>
      <w:r w:rsidRPr="00A7367D">
        <w:rPr>
          <w:rFonts w:ascii="Arial" w:hAnsi="Arial" w:cs="Arial"/>
          <w:color w:val="auto"/>
          <w:sz w:val="24"/>
          <w:szCs w:val="24"/>
        </w:rPr>
        <w:t>is supportive of</w:t>
      </w:r>
      <w:r w:rsidR="001C1722" w:rsidRPr="00A7367D">
        <w:rPr>
          <w:rFonts w:ascii="Arial" w:hAnsi="Arial" w:cs="Arial"/>
          <w:color w:val="auto"/>
          <w:sz w:val="24"/>
          <w:szCs w:val="24"/>
        </w:rPr>
        <w:t xml:space="preserve"> </w:t>
      </w:r>
      <w:r w:rsidRPr="00A7367D">
        <w:rPr>
          <w:rFonts w:ascii="Arial" w:hAnsi="Arial" w:cs="Arial"/>
          <w:color w:val="auto"/>
          <w:sz w:val="24"/>
          <w:szCs w:val="24"/>
        </w:rPr>
        <w:t>the existence of higher public</w:t>
      </w:r>
      <w:r w:rsidR="001C1722" w:rsidRPr="00A7367D">
        <w:rPr>
          <w:rFonts w:ascii="Arial" w:hAnsi="Arial" w:cs="Arial"/>
          <w:color w:val="auto"/>
          <w:sz w:val="24"/>
          <w:szCs w:val="24"/>
        </w:rPr>
        <w:t xml:space="preserve"> right</w:t>
      </w:r>
      <w:r w:rsidRPr="00A7367D">
        <w:rPr>
          <w:rFonts w:ascii="Arial" w:hAnsi="Arial" w:cs="Arial"/>
          <w:color w:val="auto"/>
          <w:sz w:val="24"/>
          <w:szCs w:val="24"/>
        </w:rPr>
        <w:t>s</w:t>
      </w:r>
      <w:r w:rsidR="001C1722" w:rsidRPr="00A7367D">
        <w:rPr>
          <w:rFonts w:ascii="Arial" w:hAnsi="Arial" w:cs="Arial"/>
          <w:color w:val="auto"/>
          <w:sz w:val="24"/>
          <w:szCs w:val="24"/>
        </w:rPr>
        <w:t xml:space="preserve"> </w:t>
      </w:r>
      <w:r w:rsidRPr="00A7367D">
        <w:rPr>
          <w:rFonts w:ascii="Arial" w:hAnsi="Arial" w:cs="Arial"/>
          <w:color w:val="auto"/>
          <w:sz w:val="24"/>
          <w:szCs w:val="24"/>
        </w:rPr>
        <w:t>having been dedicated over the route</w:t>
      </w:r>
      <w:r w:rsidR="001C1722" w:rsidRPr="00A7367D">
        <w:rPr>
          <w:rFonts w:ascii="Arial" w:hAnsi="Arial" w:cs="Arial"/>
          <w:color w:val="auto"/>
          <w:sz w:val="24"/>
          <w:szCs w:val="24"/>
        </w:rPr>
        <w:t>.</w:t>
      </w:r>
    </w:p>
    <w:p w14:paraId="5AEAA3B1" w14:textId="77777777" w:rsidR="000870B7" w:rsidRPr="0062735F" w:rsidRDefault="000870B7" w:rsidP="00F92553">
      <w:pPr>
        <w:pStyle w:val="Style1"/>
        <w:tabs>
          <w:tab w:val="clear" w:pos="432"/>
          <w:tab w:val="num" w:pos="426"/>
          <w:tab w:val="left" w:pos="1418"/>
        </w:tabs>
        <w:ind w:left="426" w:right="-194" w:hanging="426"/>
        <w:rPr>
          <w:rFonts w:ascii="Arial" w:hAnsi="Arial" w:cs="Arial"/>
          <w:sz w:val="24"/>
          <w:szCs w:val="24"/>
        </w:rPr>
      </w:pPr>
      <w:r>
        <w:rPr>
          <w:rFonts w:ascii="Arial" w:hAnsi="Arial" w:cs="Arial"/>
          <w:sz w:val="24"/>
          <w:szCs w:val="24"/>
        </w:rPr>
        <w:t xml:space="preserve">Having regard </w:t>
      </w:r>
      <w:r w:rsidRPr="00257B12">
        <w:rPr>
          <w:rFonts w:ascii="Arial" w:hAnsi="Arial" w:cs="Arial"/>
          <w:color w:val="auto"/>
          <w:sz w:val="24"/>
          <w:szCs w:val="24"/>
        </w:rPr>
        <w:t>to these and all other matters raised in the written representations</w:t>
      </w:r>
      <w:r w:rsidR="007525E8">
        <w:rPr>
          <w:rFonts w:ascii="Arial" w:hAnsi="Arial" w:cs="Arial"/>
          <w:color w:val="auto"/>
          <w:sz w:val="24"/>
          <w:szCs w:val="24"/>
        </w:rPr>
        <w:t>,</w:t>
      </w:r>
      <w:r w:rsidRPr="00257B12">
        <w:rPr>
          <w:rFonts w:ascii="Arial" w:hAnsi="Arial" w:cs="Arial"/>
          <w:color w:val="auto"/>
          <w:sz w:val="24"/>
          <w:szCs w:val="24"/>
        </w:rPr>
        <w:t xml:space="preserve"> I </w:t>
      </w:r>
      <w:r w:rsidRPr="0062735F">
        <w:rPr>
          <w:rFonts w:ascii="Arial" w:hAnsi="Arial" w:cs="Arial"/>
          <w:color w:val="auto"/>
          <w:sz w:val="24"/>
          <w:szCs w:val="24"/>
        </w:rPr>
        <w:t xml:space="preserve">conclude the </w:t>
      </w:r>
      <w:r w:rsidR="007525E8" w:rsidRPr="0062735F">
        <w:rPr>
          <w:rFonts w:ascii="Arial" w:hAnsi="Arial" w:cs="Arial"/>
          <w:color w:val="auto"/>
          <w:sz w:val="24"/>
          <w:szCs w:val="24"/>
        </w:rPr>
        <w:t xml:space="preserve">available </w:t>
      </w:r>
      <w:r w:rsidRPr="0062735F">
        <w:rPr>
          <w:rFonts w:ascii="Arial" w:hAnsi="Arial" w:cs="Arial"/>
          <w:color w:val="auto"/>
          <w:sz w:val="24"/>
          <w:szCs w:val="24"/>
        </w:rPr>
        <w:t>evidence</w:t>
      </w:r>
      <w:r w:rsidR="007525E8" w:rsidRPr="0062735F">
        <w:rPr>
          <w:rFonts w:ascii="Arial" w:hAnsi="Arial" w:cs="Arial"/>
          <w:color w:val="auto"/>
          <w:sz w:val="24"/>
          <w:szCs w:val="24"/>
        </w:rPr>
        <w:t xml:space="preserve"> marginally shows</w:t>
      </w:r>
      <w:r w:rsidRPr="0062735F">
        <w:rPr>
          <w:rFonts w:ascii="Arial" w:hAnsi="Arial" w:cs="Arial"/>
          <w:color w:val="auto"/>
          <w:sz w:val="24"/>
          <w:szCs w:val="24"/>
        </w:rPr>
        <w:t>, that on the balance of probabilities,</w:t>
      </w:r>
      <w:r w:rsidR="007525E8" w:rsidRPr="0062735F">
        <w:rPr>
          <w:rFonts w:ascii="Arial" w:hAnsi="Arial" w:cs="Arial"/>
          <w:color w:val="auto"/>
          <w:sz w:val="24"/>
          <w:szCs w:val="24"/>
        </w:rPr>
        <w:t xml:space="preserve"> </w:t>
      </w:r>
      <w:r w:rsidR="00B04B7E" w:rsidRPr="0062735F">
        <w:rPr>
          <w:rFonts w:ascii="Arial" w:hAnsi="Arial" w:cs="Arial"/>
          <w:color w:val="auto"/>
          <w:sz w:val="24"/>
          <w:szCs w:val="24"/>
        </w:rPr>
        <w:t>F</w:t>
      </w:r>
      <w:r w:rsidR="007525E8" w:rsidRPr="0062735F">
        <w:rPr>
          <w:rFonts w:ascii="Arial" w:hAnsi="Arial" w:cs="Arial"/>
          <w:color w:val="auto"/>
          <w:sz w:val="24"/>
          <w:szCs w:val="24"/>
        </w:rPr>
        <w:t>P</w:t>
      </w:r>
      <w:r w:rsidR="00B04B7E" w:rsidRPr="0062735F">
        <w:rPr>
          <w:rFonts w:ascii="Arial" w:hAnsi="Arial" w:cs="Arial"/>
          <w:color w:val="auto"/>
          <w:sz w:val="24"/>
          <w:szCs w:val="24"/>
        </w:rPr>
        <w:t>201</w:t>
      </w:r>
      <w:r w:rsidR="007525E8" w:rsidRPr="0062735F">
        <w:rPr>
          <w:rFonts w:ascii="Arial" w:hAnsi="Arial" w:cs="Arial"/>
          <w:color w:val="auto"/>
          <w:sz w:val="24"/>
          <w:szCs w:val="24"/>
        </w:rPr>
        <w:t xml:space="preserve"> should be of a higher status</w:t>
      </w:r>
      <w:r w:rsidRPr="0062735F">
        <w:rPr>
          <w:rFonts w:ascii="Arial" w:hAnsi="Arial" w:cs="Arial"/>
          <w:color w:val="auto"/>
          <w:sz w:val="24"/>
          <w:szCs w:val="24"/>
        </w:rPr>
        <w:t>.</w:t>
      </w:r>
    </w:p>
    <w:p w14:paraId="769698A3" w14:textId="77777777" w:rsidR="0062735F" w:rsidRPr="0062735F" w:rsidRDefault="0062735F" w:rsidP="0062735F">
      <w:pPr>
        <w:pStyle w:val="Style1"/>
        <w:numPr>
          <w:ilvl w:val="0"/>
          <w:numId w:val="0"/>
        </w:numPr>
        <w:rPr>
          <w:rFonts w:ascii="Arial" w:hAnsi="Arial" w:cs="Arial"/>
          <w:b/>
          <w:bCs/>
          <w:color w:val="auto"/>
          <w:sz w:val="24"/>
          <w:szCs w:val="24"/>
        </w:rPr>
      </w:pPr>
      <w:r w:rsidRPr="0062735F">
        <w:rPr>
          <w:rFonts w:ascii="Arial" w:hAnsi="Arial" w:cs="Arial"/>
          <w:b/>
          <w:bCs/>
          <w:color w:val="auto"/>
          <w:sz w:val="24"/>
          <w:szCs w:val="24"/>
        </w:rPr>
        <w:t>Other Matters</w:t>
      </w:r>
    </w:p>
    <w:p w14:paraId="0A6A8F2B" w14:textId="77777777" w:rsidR="0062735F" w:rsidRPr="00E62F48" w:rsidRDefault="0062735F" w:rsidP="00E62F48">
      <w:pPr>
        <w:pStyle w:val="Style1"/>
        <w:rPr>
          <w:rFonts w:ascii="Arial" w:hAnsi="Arial" w:cs="Arial"/>
          <w:sz w:val="24"/>
          <w:szCs w:val="24"/>
        </w:rPr>
      </w:pPr>
      <w:r w:rsidRPr="0062735F">
        <w:rPr>
          <w:rFonts w:ascii="Arial" w:hAnsi="Arial" w:cs="Arial"/>
          <w:sz w:val="24"/>
          <w:szCs w:val="24"/>
        </w:rPr>
        <w:t xml:space="preserve">A number of matters have been raised by numerous opposers of the application. These mostly relate to the desirability, suitability, financial burden, </w:t>
      </w:r>
      <w:r w:rsidR="002A4883">
        <w:rPr>
          <w:rFonts w:ascii="Arial" w:hAnsi="Arial" w:cs="Arial"/>
          <w:sz w:val="24"/>
          <w:szCs w:val="24"/>
        </w:rPr>
        <w:t>safety</w:t>
      </w:r>
      <w:r w:rsidR="00E62F48">
        <w:rPr>
          <w:rFonts w:ascii="Arial" w:hAnsi="Arial" w:cs="Arial"/>
          <w:sz w:val="24"/>
          <w:szCs w:val="24"/>
        </w:rPr>
        <w:t>,</w:t>
      </w:r>
      <w:r w:rsidR="002A4883">
        <w:rPr>
          <w:rFonts w:ascii="Arial" w:hAnsi="Arial" w:cs="Arial"/>
          <w:sz w:val="24"/>
          <w:szCs w:val="24"/>
        </w:rPr>
        <w:t xml:space="preserve"> </w:t>
      </w:r>
      <w:r w:rsidRPr="0062735F">
        <w:rPr>
          <w:rFonts w:ascii="Arial" w:hAnsi="Arial" w:cs="Arial"/>
          <w:sz w:val="24"/>
          <w:szCs w:val="24"/>
        </w:rPr>
        <w:t>and environmental concerns likely to arise if the route were to be upgraded. Whilst I recognise all of the above as very genuine concerns, the legal criteria</w:t>
      </w:r>
      <w:r w:rsidR="002A4883">
        <w:rPr>
          <w:rFonts w:ascii="Arial" w:hAnsi="Arial" w:cs="Arial"/>
          <w:sz w:val="24"/>
          <w:szCs w:val="24"/>
        </w:rPr>
        <w:t xml:space="preserve"> (as set out in </w:t>
      </w:r>
      <w:r w:rsidR="00EB0C65">
        <w:rPr>
          <w:rFonts w:ascii="Arial" w:hAnsi="Arial" w:cs="Arial"/>
          <w:sz w:val="24"/>
          <w:szCs w:val="24"/>
        </w:rPr>
        <w:t>t</w:t>
      </w:r>
      <w:r w:rsidR="002A4883">
        <w:rPr>
          <w:rFonts w:ascii="Arial" w:hAnsi="Arial" w:cs="Arial"/>
          <w:sz w:val="24"/>
          <w:szCs w:val="24"/>
        </w:rPr>
        <w:t>he Main Issues section above)</w:t>
      </w:r>
      <w:r w:rsidRPr="0062735F">
        <w:rPr>
          <w:rFonts w:ascii="Arial" w:hAnsi="Arial" w:cs="Arial"/>
          <w:sz w:val="24"/>
          <w:szCs w:val="24"/>
        </w:rPr>
        <w:t xml:space="preserve"> on which this case must be determined does not allow consideration of such matters.</w:t>
      </w:r>
      <w:r w:rsidR="00E62F48">
        <w:rPr>
          <w:rFonts w:ascii="Arial" w:hAnsi="Arial" w:cs="Arial"/>
          <w:sz w:val="24"/>
          <w:szCs w:val="24"/>
        </w:rPr>
        <w:t xml:space="preserve"> </w:t>
      </w:r>
      <w:r w:rsidR="002A4883" w:rsidRPr="00E62F48">
        <w:rPr>
          <w:rFonts w:ascii="Arial" w:hAnsi="Arial" w:cs="Arial"/>
          <w:color w:val="auto"/>
          <w:sz w:val="24"/>
          <w:szCs w:val="24"/>
        </w:rPr>
        <w:t xml:space="preserve">Although the </w:t>
      </w:r>
      <w:r w:rsidRPr="00E62F48">
        <w:rPr>
          <w:rFonts w:ascii="Arial" w:hAnsi="Arial" w:cs="Arial"/>
          <w:color w:val="auto"/>
          <w:sz w:val="24"/>
          <w:szCs w:val="24"/>
        </w:rPr>
        <w:t xml:space="preserve">Rainhill Civic Society felt that this </w:t>
      </w:r>
      <w:r w:rsidRPr="00E62F48">
        <w:rPr>
          <w:rFonts w:ascii="Arial" w:hAnsi="Arial" w:cs="Arial"/>
          <w:color w:val="auto"/>
          <w:sz w:val="24"/>
          <w:szCs w:val="24"/>
        </w:rPr>
        <w:lastRenderedPageBreak/>
        <w:t>conflicted with their right to freedom of expression and was contrary to human rights</w:t>
      </w:r>
      <w:r w:rsidR="00E62F48" w:rsidRPr="00E62F48">
        <w:rPr>
          <w:rFonts w:ascii="Arial" w:hAnsi="Arial" w:cs="Arial"/>
          <w:color w:val="auto"/>
          <w:sz w:val="24"/>
          <w:szCs w:val="24"/>
        </w:rPr>
        <w:t>, I am unable to take</w:t>
      </w:r>
      <w:r w:rsidR="00E62F48">
        <w:rPr>
          <w:rFonts w:ascii="Arial" w:hAnsi="Arial" w:cs="Arial"/>
          <w:color w:val="auto"/>
          <w:sz w:val="24"/>
          <w:szCs w:val="24"/>
        </w:rPr>
        <w:t xml:space="preserve"> inapplicable matters into consideration.</w:t>
      </w:r>
    </w:p>
    <w:p w14:paraId="3503121B" w14:textId="77777777" w:rsidR="0062735F" w:rsidRPr="00A7367D" w:rsidRDefault="0062735F" w:rsidP="00A7367D">
      <w:pPr>
        <w:pStyle w:val="Style1"/>
        <w:rPr>
          <w:rFonts w:ascii="Arial" w:hAnsi="Arial" w:cs="Arial"/>
          <w:color w:val="auto"/>
          <w:sz w:val="24"/>
          <w:szCs w:val="24"/>
        </w:rPr>
      </w:pPr>
      <w:r>
        <w:rPr>
          <w:rFonts w:ascii="Arial" w:hAnsi="Arial" w:cs="Arial"/>
          <w:color w:val="0B0C0C"/>
          <w:sz w:val="24"/>
          <w:szCs w:val="24"/>
          <w:shd w:val="clear" w:color="auto" w:fill="FFFFFF"/>
        </w:rPr>
        <w:t xml:space="preserve">I note from </w:t>
      </w:r>
      <w:r>
        <w:rPr>
          <w:rFonts w:ascii="Arial" w:hAnsi="Arial" w:cs="Arial"/>
          <w:color w:val="auto"/>
          <w:sz w:val="24"/>
          <w:szCs w:val="24"/>
        </w:rPr>
        <w:t xml:space="preserve">objectors’ comments that there could be a potential </w:t>
      </w:r>
      <w:r w:rsidR="00E62F48">
        <w:rPr>
          <w:rFonts w:ascii="Arial" w:hAnsi="Arial" w:cs="Arial"/>
          <w:color w:val="auto"/>
          <w:sz w:val="24"/>
          <w:szCs w:val="24"/>
        </w:rPr>
        <w:t>for use by equestrians to constitute a public</w:t>
      </w:r>
      <w:r>
        <w:rPr>
          <w:rFonts w:ascii="Arial" w:hAnsi="Arial" w:cs="Arial"/>
          <w:color w:val="auto"/>
          <w:sz w:val="24"/>
          <w:szCs w:val="24"/>
        </w:rPr>
        <w:t xml:space="preserve"> nuisance</w:t>
      </w:r>
      <w:r w:rsidR="00E62F48">
        <w:rPr>
          <w:rFonts w:ascii="Arial" w:hAnsi="Arial" w:cs="Arial"/>
          <w:color w:val="auto"/>
          <w:sz w:val="24"/>
          <w:szCs w:val="24"/>
        </w:rPr>
        <w:t xml:space="preserve"> in relation to pedestrian users,</w:t>
      </w:r>
      <w:r>
        <w:rPr>
          <w:rFonts w:ascii="Arial" w:hAnsi="Arial" w:cs="Arial"/>
          <w:color w:val="auto"/>
          <w:sz w:val="24"/>
          <w:szCs w:val="24"/>
        </w:rPr>
        <w:t xml:space="preserve"> albeit evidence </w:t>
      </w:r>
      <w:r w:rsidR="00E62F48">
        <w:rPr>
          <w:rFonts w:ascii="Arial" w:hAnsi="Arial" w:cs="Arial"/>
          <w:color w:val="auto"/>
          <w:sz w:val="24"/>
          <w:szCs w:val="24"/>
        </w:rPr>
        <w:t>has not been provided to show that this i</w:t>
      </w:r>
      <w:r w:rsidR="005E6797">
        <w:rPr>
          <w:rFonts w:ascii="Arial" w:hAnsi="Arial" w:cs="Arial"/>
          <w:color w:val="auto"/>
          <w:sz w:val="24"/>
          <w:szCs w:val="24"/>
        </w:rPr>
        <w:t xml:space="preserve">s currently </w:t>
      </w:r>
      <w:r w:rsidR="00E62F48">
        <w:rPr>
          <w:rFonts w:ascii="Arial" w:hAnsi="Arial" w:cs="Arial"/>
          <w:color w:val="auto"/>
          <w:sz w:val="24"/>
          <w:szCs w:val="24"/>
        </w:rPr>
        <w:t>the case.</w:t>
      </w:r>
    </w:p>
    <w:p w14:paraId="51DA5319" w14:textId="77777777" w:rsidR="00F92553" w:rsidRPr="008029F0" w:rsidRDefault="00F92553" w:rsidP="00F92553">
      <w:pPr>
        <w:pStyle w:val="Heading6blackfont"/>
        <w:tabs>
          <w:tab w:val="num" w:pos="426"/>
          <w:tab w:val="left" w:pos="1418"/>
        </w:tabs>
        <w:ind w:left="426" w:hanging="426"/>
        <w:rPr>
          <w:rFonts w:ascii="Arial" w:hAnsi="Arial" w:cs="Arial"/>
          <w:sz w:val="24"/>
          <w:szCs w:val="24"/>
        </w:rPr>
      </w:pPr>
      <w:r w:rsidRPr="008029F0">
        <w:rPr>
          <w:rFonts w:ascii="Arial" w:hAnsi="Arial" w:cs="Arial"/>
          <w:sz w:val="24"/>
          <w:szCs w:val="24"/>
        </w:rPr>
        <w:t>Formal Decision</w:t>
      </w:r>
    </w:p>
    <w:p w14:paraId="3FB2D640" w14:textId="77777777" w:rsidR="00F92553" w:rsidRPr="00A43E7C" w:rsidRDefault="00B300AB" w:rsidP="00B300AB">
      <w:pPr>
        <w:pStyle w:val="Style1"/>
        <w:tabs>
          <w:tab w:val="clear" w:pos="432"/>
          <w:tab w:val="num" w:pos="426"/>
          <w:tab w:val="left" w:pos="1418"/>
        </w:tabs>
        <w:ind w:left="426" w:hanging="426"/>
        <w:rPr>
          <w:rFonts w:ascii="Arial" w:hAnsi="Arial" w:cs="Arial"/>
          <w:sz w:val="24"/>
          <w:szCs w:val="24"/>
        </w:rPr>
      </w:pPr>
      <w:r w:rsidRPr="008029F0">
        <w:rPr>
          <w:rFonts w:ascii="Arial" w:hAnsi="Arial" w:cs="Arial"/>
          <w:sz w:val="24"/>
          <w:szCs w:val="24"/>
        </w:rPr>
        <w:t>The appeal is allowed</w:t>
      </w:r>
      <w:r w:rsidRPr="00A43E7C">
        <w:rPr>
          <w:rFonts w:ascii="Arial" w:hAnsi="Arial" w:cs="Arial"/>
          <w:sz w:val="24"/>
          <w:szCs w:val="24"/>
        </w:rPr>
        <w:t xml:space="preserve"> and i</w:t>
      </w:r>
      <w:r w:rsidR="00F92553" w:rsidRPr="00A43E7C">
        <w:rPr>
          <w:rFonts w:ascii="Arial" w:hAnsi="Arial" w:cs="Arial"/>
          <w:sz w:val="24"/>
          <w:szCs w:val="24"/>
        </w:rPr>
        <w:t xml:space="preserve">n accordance with Paragraph 4(2) of Schedule 14 to the 1981 Act, </w:t>
      </w:r>
      <w:r w:rsidRPr="00A43E7C">
        <w:rPr>
          <w:rFonts w:ascii="Arial" w:hAnsi="Arial" w:cs="Arial"/>
          <w:sz w:val="24"/>
          <w:szCs w:val="24"/>
        </w:rPr>
        <w:t>St Helens Borough</w:t>
      </w:r>
      <w:r w:rsidR="00F92553" w:rsidRPr="00A43E7C">
        <w:rPr>
          <w:rFonts w:ascii="Arial" w:hAnsi="Arial" w:cs="Arial"/>
          <w:sz w:val="24"/>
          <w:szCs w:val="24"/>
        </w:rPr>
        <w:t xml:space="preserve"> Council is directed to make an order under Section 53(2) and Schedule 15 of the Act</w:t>
      </w:r>
      <w:r w:rsidR="00FF0498">
        <w:rPr>
          <w:rFonts w:ascii="Arial" w:hAnsi="Arial" w:cs="Arial"/>
          <w:sz w:val="24"/>
          <w:szCs w:val="24"/>
        </w:rPr>
        <w:t xml:space="preserve"> within 3 months of this direction,</w:t>
      </w:r>
      <w:r w:rsidR="00410F65">
        <w:rPr>
          <w:rFonts w:ascii="Arial" w:hAnsi="Arial" w:cs="Arial"/>
          <w:sz w:val="24"/>
          <w:szCs w:val="24"/>
        </w:rPr>
        <w:t xml:space="preserve"> </w:t>
      </w:r>
      <w:r w:rsidR="00F92553" w:rsidRPr="00A43E7C">
        <w:rPr>
          <w:rFonts w:ascii="Arial" w:hAnsi="Arial" w:cs="Arial"/>
          <w:sz w:val="24"/>
          <w:szCs w:val="24"/>
        </w:rPr>
        <w:t xml:space="preserve">to modify the definitive map and statement for the area </w:t>
      </w:r>
      <w:r w:rsidRPr="00A43E7C">
        <w:rPr>
          <w:rFonts w:ascii="Arial" w:hAnsi="Arial" w:cs="Arial"/>
          <w:sz w:val="24"/>
          <w:szCs w:val="24"/>
        </w:rPr>
        <w:t>to upgrade Footpath 201 to bridleway status</w:t>
      </w:r>
      <w:r w:rsidR="00997239">
        <w:rPr>
          <w:rFonts w:ascii="Arial" w:hAnsi="Arial" w:cs="Arial"/>
          <w:sz w:val="24"/>
          <w:szCs w:val="24"/>
        </w:rPr>
        <w:t>.</w:t>
      </w:r>
    </w:p>
    <w:p w14:paraId="4AD22BDE" w14:textId="77777777" w:rsidR="00F92553" w:rsidRPr="00A43E7C" w:rsidRDefault="00F92553" w:rsidP="00F92553">
      <w:pPr>
        <w:pStyle w:val="Style1"/>
        <w:tabs>
          <w:tab w:val="clear" w:pos="432"/>
          <w:tab w:val="num" w:pos="426"/>
          <w:tab w:val="left" w:pos="1418"/>
        </w:tabs>
        <w:ind w:left="426" w:hanging="426"/>
        <w:rPr>
          <w:rFonts w:ascii="Arial" w:hAnsi="Arial" w:cs="Arial"/>
          <w:sz w:val="24"/>
          <w:szCs w:val="24"/>
        </w:rPr>
      </w:pPr>
      <w:r w:rsidRPr="00A43E7C">
        <w:rPr>
          <w:rFonts w:ascii="Arial" w:hAnsi="Arial" w:cs="Arial"/>
          <w:sz w:val="24"/>
          <w:szCs w:val="24"/>
        </w:rPr>
        <w:t xml:space="preserve">This decision is made without prejudice to any decision that may be issued by the Secretary of State in accordance with his powers under Schedule 15 of the 1981 Act. </w:t>
      </w:r>
    </w:p>
    <w:p w14:paraId="7BE9BC96" w14:textId="77777777" w:rsidR="00B22702" w:rsidRDefault="00B22702" w:rsidP="00B22702">
      <w:pPr>
        <w:pStyle w:val="Style1"/>
        <w:numPr>
          <w:ilvl w:val="0"/>
          <w:numId w:val="0"/>
        </w:numPr>
      </w:pPr>
    </w:p>
    <w:p w14:paraId="50F4B7A2" w14:textId="77777777" w:rsidR="00B22702" w:rsidRDefault="00A43E7C" w:rsidP="00A43E7C">
      <w:pPr>
        <w:pStyle w:val="Style1"/>
        <w:numPr>
          <w:ilvl w:val="0"/>
          <w:numId w:val="0"/>
        </w:numPr>
        <w:ind w:left="426"/>
        <w:rPr>
          <w:rFonts w:ascii="Monotype Corsiva" w:hAnsi="Monotype Corsiva"/>
          <w:sz w:val="36"/>
          <w:szCs w:val="36"/>
        </w:rPr>
      </w:pPr>
      <w:r>
        <w:rPr>
          <w:rFonts w:ascii="Monotype Corsiva" w:hAnsi="Monotype Corsiva"/>
          <w:sz w:val="36"/>
          <w:szCs w:val="36"/>
        </w:rPr>
        <w:t>A Behn</w:t>
      </w:r>
    </w:p>
    <w:p w14:paraId="5735A67B" w14:textId="77777777" w:rsidR="00367250" w:rsidRDefault="00353C22" w:rsidP="00765650">
      <w:pPr>
        <w:pStyle w:val="Style1"/>
        <w:numPr>
          <w:ilvl w:val="0"/>
          <w:numId w:val="0"/>
        </w:numPr>
        <w:rPr>
          <w:b/>
        </w:rPr>
      </w:pPr>
      <w:r>
        <w:rPr>
          <w:b/>
        </w:rPr>
        <w:tab/>
      </w:r>
      <w:r w:rsidR="00B22702" w:rsidRPr="001630FF">
        <w:rPr>
          <w:b/>
        </w:rPr>
        <w:t>Inspector</w:t>
      </w:r>
    </w:p>
    <w:p w14:paraId="4040945A" w14:textId="3752640D" w:rsidR="00367250" w:rsidRDefault="00C81990" w:rsidP="00765650">
      <w:pPr>
        <w:pStyle w:val="Style1"/>
        <w:numPr>
          <w:ilvl w:val="0"/>
          <w:numId w:val="0"/>
        </w:numPr>
        <w:rPr>
          <w:b/>
        </w:rPr>
      </w:pPr>
      <w:r w:rsidRPr="00367250">
        <w:rPr>
          <w:b/>
          <w:noProof/>
        </w:rPr>
        <w:lastRenderedPageBreak/>
        <w:drawing>
          <wp:inline distT="0" distB="0" distL="0" distR="0" wp14:anchorId="65ABAB41" wp14:editId="0AE7829A">
            <wp:extent cx="5907405" cy="5840095"/>
            <wp:effectExtent l="0" t="0" r="0" b="0"/>
            <wp:docPr id="3" name="Picture 2" descr="ROU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OUTE PL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405" cy="5840095"/>
                    </a:xfrm>
                    <a:prstGeom prst="rect">
                      <a:avLst/>
                    </a:prstGeom>
                    <a:noFill/>
                    <a:ln>
                      <a:noFill/>
                    </a:ln>
                  </pic:spPr>
                </pic:pic>
              </a:graphicData>
            </a:graphic>
          </wp:inline>
        </w:drawing>
      </w:r>
    </w:p>
    <w:sectPr w:rsidR="00367250"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C3FDE" w14:textId="77777777" w:rsidR="009B57DF" w:rsidRDefault="009B57DF" w:rsidP="00F62916">
      <w:r>
        <w:separator/>
      </w:r>
    </w:p>
  </w:endnote>
  <w:endnote w:type="continuationSeparator" w:id="0">
    <w:p w14:paraId="0D03AADD" w14:textId="77777777" w:rsidR="009B57DF" w:rsidRDefault="009B57DF" w:rsidP="00F62916">
      <w:r>
        <w:continuationSeparator/>
      </w:r>
    </w:p>
  </w:endnote>
  <w:endnote w:type="continuationNotice" w:id="1">
    <w:p w14:paraId="081B09D4" w14:textId="77777777" w:rsidR="009B57DF" w:rsidRDefault="009B57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4319"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1551FF">
      <w:rPr>
        <w:rStyle w:val="PageNumber"/>
      </w:rPr>
      <w:fldChar w:fldCharType="separate"/>
    </w:r>
    <w:r w:rsidR="00390284">
      <w:rPr>
        <w:rStyle w:val="PageNumber"/>
        <w:noProof/>
      </w:rPr>
      <w:t>10</w:t>
    </w:r>
    <w:r>
      <w:rPr>
        <w:rStyle w:val="PageNumber"/>
      </w:rPr>
      <w:fldChar w:fldCharType="end"/>
    </w:r>
  </w:p>
  <w:p w14:paraId="3119E07D"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F3B1" w14:textId="40D391F7" w:rsidR="00C57B84" w:rsidRDefault="00C81990" w:rsidP="001D1C79">
    <w:pPr>
      <w:pStyle w:val="Noindent"/>
      <w:spacing w:before="60"/>
      <w:jc w:val="center"/>
      <w:rPr>
        <w:rStyle w:val="PageNumber"/>
      </w:rPr>
    </w:pPr>
    <w:r>
      <w:rPr>
        <w:noProof/>
        <w:sz w:val="18"/>
      </w:rPr>
      <mc:AlternateContent>
        <mc:Choice Requires="wps">
          <w:drawing>
            <wp:anchor distT="0" distB="0" distL="114300" distR="114300" simplePos="0" relativeHeight="251658240" behindDoc="0" locked="0" layoutInCell="1" allowOverlap="1" wp14:anchorId="05D7552E" wp14:editId="746414B5">
              <wp:simplePos x="0" y="0"/>
              <wp:positionH relativeFrom="column">
                <wp:posOffset>-2540</wp:posOffset>
              </wp:positionH>
              <wp:positionV relativeFrom="paragraph">
                <wp:posOffset>159385</wp:posOffset>
              </wp:positionV>
              <wp:extent cx="5943600" cy="0"/>
              <wp:effectExtent l="0" t="0" r="0" b="0"/>
              <wp:wrapNone/>
              <wp:docPr id="1"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B243C"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73AC171" w14:textId="77777777" w:rsidR="00C57B84" w:rsidRDefault="00C57B84" w:rsidP="00E11735">
    <w:pPr>
      <w:pStyle w:val="Footer"/>
      <w:ind w:right="-52"/>
      <w:jc w:val="center"/>
    </w:pPr>
    <w:r>
      <w:rPr>
        <w:rStyle w:val="PageNumber"/>
      </w:rPr>
      <w:fldChar w:fldCharType="begin"/>
    </w:r>
    <w:r>
      <w:rPr>
        <w:rStyle w:val="PageNumber"/>
      </w:rPr>
      <w:instrText xml:space="preserve"> PAGE </w:instrText>
    </w:r>
    <w:r>
      <w:rPr>
        <w:rStyle w:val="PageNumber"/>
      </w:rPr>
      <w:fldChar w:fldCharType="separate"/>
    </w:r>
    <w:r w:rsidR="0074254B">
      <w:rPr>
        <w:rStyle w:val="PageNumber"/>
        <w:noProof/>
      </w:rPr>
      <w:t>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899B" w14:textId="77777777" w:rsidR="00C57B84" w:rsidRDefault="00C57B84" w:rsidP="00DD37E9">
    <w:pPr>
      <w:pStyle w:val="Footer"/>
      <w:pBdr>
        <w:bottom w:val="none" w:sz="0" w:space="0" w:color="000000"/>
      </w:pBd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A5637" w14:textId="77777777" w:rsidR="009B57DF" w:rsidRDefault="009B57DF" w:rsidP="00F62916">
      <w:r>
        <w:separator/>
      </w:r>
    </w:p>
  </w:footnote>
  <w:footnote w:type="continuationSeparator" w:id="0">
    <w:p w14:paraId="2163EFEF" w14:textId="77777777" w:rsidR="009B57DF" w:rsidRDefault="009B57DF" w:rsidP="00F62916">
      <w:r>
        <w:continuationSeparator/>
      </w:r>
    </w:p>
  </w:footnote>
  <w:footnote w:type="continuationNotice" w:id="1">
    <w:p w14:paraId="02507315" w14:textId="77777777" w:rsidR="009B57DF" w:rsidRDefault="009B57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74B60AE9" w14:textId="77777777">
      <w:tblPrEx>
        <w:tblCellMar>
          <w:top w:w="0" w:type="dxa"/>
          <w:bottom w:w="0" w:type="dxa"/>
        </w:tblCellMar>
      </w:tblPrEx>
      <w:tc>
        <w:tcPr>
          <w:tcW w:w="9520" w:type="dxa"/>
        </w:tcPr>
        <w:p w14:paraId="1F394FC5" w14:textId="77777777" w:rsidR="00C57B84" w:rsidRDefault="007277A3" w:rsidP="00C16168">
          <w:pPr>
            <w:pStyle w:val="Footer"/>
          </w:pPr>
          <w:r>
            <w:t>Appeal</w:t>
          </w:r>
          <w:r w:rsidR="00DD37E9">
            <w:t xml:space="preserve"> </w:t>
          </w:r>
          <w:r w:rsidR="00DD37E9" w:rsidRPr="00B74C3E">
            <w:t>Decisi</w:t>
          </w:r>
          <w:r w:rsidR="002C6E5C" w:rsidRPr="00B74C3E">
            <w:t xml:space="preserve">on </w:t>
          </w:r>
          <w:r w:rsidR="001B2ED8">
            <w:t>FPS</w:t>
          </w:r>
          <w:r w:rsidR="00B74C3E" w:rsidRPr="00B74C3E">
            <w:rPr>
              <w:color w:val="000000"/>
            </w:rPr>
            <w:t>/</w:t>
          </w:r>
          <w:r w:rsidR="001B2ED8">
            <w:rPr>
              <w:color w:val="000000"/>
            </w:rPr>
            <w:t>H4315</w:t>
          </w:r>
          <w:r w:rsidR="00B74C3E" w:rsidRPr="00B74C3E">
            <w:rPr>
              <w:color w:val="000000"/>
            </w:rPr>
            <w:t>/14A/</w:t>
          </w:r>
          <w:r w:rsidR="00982EE8">
            <w:rPr>
              <w:color w:val="000000"/>
            </w:rPr>
            <w:t>1</w:t>
          </w:r>
        </w:p>
      </w:tc>
    </w:tr>
  </w:tbl>
  <w:p w14:paraId="06CD7E64" w14:textId="3F90C831" w:rsidR="00C57B84" w:rsidRDefault="00C81990" w:rsidP="00DA1FE1">
    <w:pPr>
      <w:pStyle w:val="Footer"/>
      <w:spacing w:after="120"/>
    </w:pPr>
    <w:r>
      <w:rPr>
        <w:noProof/>
      </w:rPr>
      <mc:AlternateContent>
        <mc:Choice Requires="wps">
          <w:drawing>
            <wp:anchor distT="0" distB="0" distL="114300" distR="114300" simplePos="0" relativeHeight="251657216" behindDoc="0" locked="0" layoutInCell="1" allowOverlap="1" wp14:anchorId="3BD2175E" wp14:editId="6766F8CF">
              <wp:simplePos x="0" y="0"/>
              <wp:positionH relativeFrom="column">
                <wp:posOffset>0</wp:posOffset>
              </wp:positionH>
              <wp:positionV relativeFrom="paragraph">
                <wp:posOffset>114300</wp:posOffset>
              </wp:positionV>
              <wp:extent cx="5943600" cy="0"/>
              <wp:effectExtent l="0" t="0" r="0" b="0"/>
              <wp:wrapNone/>
              <wp:docPr id="2"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A08B9"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8BC4"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524E3119"/>
    <w:multiLevelType w:val="hybridMultilevel"/>
    <w:tmpl w:val="AF7818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5" w15:restartNumberingAfterBreak="0">
    <w:nsid w:val="62CA1CF1"/>
    <w:multiLevelType w:val="multilevel"/>
    <w:tmpl w:val="F63C1B38"/>
    <w:lvl w:ilvl="0">
      <w:start w:val="1"/>
      <w:numFmt w:val="decimal"/>
      <w:pStyle w:val="Style1"/>
      <w:lvlText w:val="%1."/>
      <w:lvlJc w:val="left"/>
      <w:pPr>
        <w:tabs>
          <w:tab w:val="num" w:pos="720"/>
        </w:tabs>
        <w:ind w:left="432" w:hanging="432"/>
      </w:pPr>
      <w:rPr>
        <w:b w:val="0"/>
        <w:bCs w:val="0"/>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6"/>
  </w:num>
  <w:num w:numId="2">
    <w:abstractNumId w:val="6"/>
  </w:num>
  <w:num w:numId="3">
    <w:abstractNumId w:val="7"/>
  </w:num>
  <w:num w:numId="4">
    <w:abstractNumId w:val="0"/>
  </w:num>
  <w:num w:numId="5">
    <w:abstractNumId w:val="2"/>
  </w:num>
  <w:num w:numId="6">
    <w:abstractNumId w:val="5"/>
  </w:num>
  <w:num w:numId="7">
    <w:abstractNumId w:val="8"/>
  </w:num>
  <w:num w:numId="8">
    <w:abstractNumId w:val="4"/>
  </w:num>
  <w:num w:numId="9">
    <w:abstractNumId w:val="1"/>
  </w:num>
  <w:num w:numId="10">
    <w:abstractNumId w:val="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D37E9"/>
    <w:rsid w:val="0000236A"/>
    <w:rsid w:val="00002B27"/>
    <w:rsid w:val="0000335F"/>
    <w:rsid w:val="000055E8"/>
    <w:rsid w:val="000070C2"/>
    <w:rsid w:val="00007272"/>
    <w:rsid w:val="00007357"/>
    <w:rsid w:val="00011435"/>
    <w:rsid w:val="0001196D"/>
    <w:rsid w:val="00013C61"/>
    <w:rsid w:val="000151AE"/>
    <w:rsid w:val="0001612F"/>
    <w:rsid w:val="000162BC"/>
    <w:rsid w:val="00017289"/>
    <w:rsid w:val="00017E74"/>
    <w:rsid w:val="00020719"/>
    <w:rsid w:val="00020CB8"/>
    <w:rsid w:val="00020D49"/>
    <w:rsid w:val="000239E5"/>
    <w:rsid w:val="00024749"/>
    <w:rsid w:val="00024A84"/>
    <w:rsid w:val="00024B6E"/>
    <w:rsid w:val="00030778"/>
    <w:rsid w:val="000310F3"/>
    <w:rsid w:val="00031D70"/>
    <w:rsid w:val="000324BB"/>
    <w:rsid w:val="00033B79"/>
    <w:rsid w:val="0003407C"/>
    <w:rsid w:val="00036169"/>
    <w:rsid w:val="00041A8D"/>
    <w:rsid w:val="00042FD9"/>
    <w:rsid w:val="00045596"/>
    <w:rsid w:val="00046145"/>
    <w:rsid w:val="0004625F"/>
    <w:rsid w:val="000463BA"/>
    <w:rsid w:val="00047A01"/>
    <w:rsid w:val="00050761"/>
    <w:rsid w:val="00051EC3"/>
    <w:rsid w:val="00053135"/>
    <w:rsid w:val="00054706"/>
    <w:rsid w:val="00060782"/>
    <w:rsid w:val="00060B9E"/>
    <w:rsid w:val="000624BF"/>
    <w:rsid w:val="0006329A"/>
    <w:rsid w:val="00065C30"/>
    <w:rsid w:val="00066C96"/>
    <w:rsid w:val="000678D2"/>
    <w:rsid w:val="000701C2"/>
    <w:rsid w:val="000737DE"/>
    <w:rsid w:val="000740C2"/>
    <w:rsid w:val="000741E5"/>
    <w:rsid w:val="00074CA4"/>
    <w:rsid w:val="00077358"/>
    <w:rsid w:val="0007788F"/>
    <w:rsid w:val="0008045C"/>
    <w:rsid w:val="000826FE"/>
    <w:rsid w:val="000870B7"/>
    <w:rsid w:val="000875A3"/>
    <w:rsid w:val="00087C9B"/>
    <w:rsid w:val="00087DEC"/>
    <w:rsid w:val="000911D6"/>
    <w:rsid w:val="00092B31"/>
    <w:rsid w:val="00093733"/>
    <w:rsid w:val="00093DBF"/>
    <w:rsid w:val="00095014"/>
    <w:rsid w:val="00097F9B"/>
    <w:rsid w:val="000A0111"/>
    <w:rsid w:val="000A21CE"/>
    <w:rsid w:val="000A313D"/>
    <w:rsid w:val="000A3E4C"/>
    <w:rsid w:val="000A427E"/>
    <w:rsid w:val="000A47F8"/>
    <w:rsid w:val="000A4AEB"/>
    <w:rsid w:val="000A64AE"/>
    <w:rsid w:val="000A669C"/>
    <w:rsid w:val="000A75E2"/>
    <w:rsid w:val="000B05F5"/>
    <w:rsid w:val="000B0686"/>
    <w:rsid w:val="000B07FF"/>
    <w:rsid w:val="000B0FEA"/>
    <w:rsid w:val="000B3AC4"/>
    <w:rsid w:val="000B4D75"/>
    <w:rsid w:val="000C125B"/>
    <w:rsid w:val="000C3F13"/>
    <w:rsid w:val="000C4649"/>
    <w:rsid w:val="000C698E"/>
    <w:rsid w:val="000C6EC9"/>
    <w:rsid w:val="000C707C"/>
    <w:rsid w:val="000D0673"/>
    <w:rsid w:val="000D0B90"/>
    <w:rsid w:val="000D2037"/>
    <w:rsid w:val="000D2BC2"/>
    <w:rsid w:val="000D64AE"/>
    <w:rsid w:val="000D7592"/>
    <w:rsid w:val="000E0B56"/>
    <w:rsid w:val="000E2702"/>
    <w:rsid w:val="000E3DF7"/>
    <w:rsid w:val="000E4669"/>
    <w:rsid w:val="000E65FF"/>
    <w:rsid w:val="000F55A8"/>
    <w:rsid w:val="000F5912"/>
    <w:rsid w:val="000F6823"/>
    <w:rsid w:val="001000CB"/>
    <w:rsid w:val="00101AD8"/>
    <w:rsid w:val="001026BE"/>
    <w:rsid w:val="00103897"/>
    <w:rsid w:val="001047CE"/>
    <w:rsid w:val="00104FC9"/>
    <w:rsid w:val="00107168"/>
    <w:rsid w:val="00107B17"/>
    <w:rsid w:val="00110F9D"/>
    <w:rsid w:val="001120DA"/>
    <w:rsid w:val="0011219D"/>
    <w:rsid w:val="0011247F"/>
    <w:rsid w:val="00112533"/>
    <w:rsid w:val="00115F3E"/>
    <w:rsid w:val="00121615"/>
    <w:rsid w:val="00121B21"/>
    <w:rsid w:val="00121BED"/>
    <w:rsid w:val="00122CE1"/>
    <w:rsid w:val="00123243"/>
    <w:rsid w:val="00123E18"/>
    <w:rsid w:val="001243A2"/>
    <w:rsid w:val="0012487B"/>
    <w:rsid w:val="00125E7F"/>
    <w:rsid w:val="00127B8D"/>
    <w:rsid w:val="00127B8F"/>
    <w:rsid w:val="00130782"/>
    <w:rsid w:val="001312AC"/>
    <w:rsid w:val="00131829"/>
    <w:rsid w:val="001339A7"/>
    <w:rsid w:val="00134C79"/>
    <w:rsid w:val="00136341"/>
    <w:rsid w:val="00141723"/>
    <w:rsid w:val="001428C1"/>
    <w:rsid w:val="00142CA3"/>
    <w:rsid w:val="00144841"/>
    <w:rsid w:val="00144EC3"/>
    <w:rsid w:val="0014693B"/>
    <w:rsid w:val="00146ADA"/>
    <w:rsid w:val="0014716E"/>
    <w:rsid w:val="00150BB9"/>
    <w:rsid w:val="00152A90"/>
    <w:rsid w:val="00152C92"/>
    <w:rsid w:val="00154971"/>
    <w:rsid w:val="001551FF"/>
    <w:rsid w:val="0015767F"/>
    <w:rsid w:val="00157EF4"/>
    <w:rsid w:val="001603CA"/>
    <w:rsid w:val="001630FF"/>
    <w:rsid w:val="00163279"/>
    <w:rsid w:val="00165A92"/>
    <w:rsid w:val="00166980"/>
    <w:rsid w:val="001676B2"/>
    <w:rsid w:val="00167B80"/>
    <w:rsid w:val="001729B8"/>
    <w:rsid w:val="00172A0A"/>
    <w:rsid w:val="00172F98"/>
    <w:rsid w:val="0017343B"/>
    <w:rsid w:val="001742F2"/>
    <w:rsid w:val="00175479"/>
    <w:rsid w:val="001758B7"/>
    <w:rsid w:val="00176A2B"/>
    <w:rsid w:val="001801C6"/>
    <w:rsid w:val="00181AC5"/>
    <w:rsid w:val="00181D5C"/>
    <w:rsid w:val="00182386"/>
    <w:rsid w:val="001830E8"/>
    <w:rsid w:val="00184D37"/>
    <w:rsid w:val="001861D7"/>
    <w:rsid w:val="001865C7"/>
    <w:rsid w:val="00187B23"/>
    <w:rsid w:val="00190941"/>
    <w:rsid w:val="00191027"/>
    <w:rsid w:val="001911D4"/>
    <w:rsid w:val="00191238"/>
    <w:rsid w:val="001913D5"/>
    <w:rsid w:val="0019157D"/>
    <w:rsid w:val="00192215"/>
    <w:rsid w:val="001932BA"/>
    <w:rsid w:val="00193B16"/>
    <w:rsid w:val="0019512B"/>
    <w:rsid w:val="00196BE1"/>
    <w:rsid w:val="001971B8"/>
    <w:rsid w:val="00197B5B"/>
    <w:rsid w:val="001A01CC"/>
    <w:rsid w:val="001A120D"/>
    <w:rsid w:val="001A1B87"/>
    <w:rsid w:val="001A28A9"/>
    <w:rsid w:val="001A4F71"/>
    <w:rsid w:val="001A6E64"/>
    <w:rsid w:val="001B01D3"/>
    <w:rsid w:val="001B124E"/>
    <w:rsid w:val="001B1705"/>
    <w:rsid w:val="001B2ED8"/>
    <w:rsid w:val="001B394B"/>
    <w:rsid w:val="001B3C24"/>
    <w:rsid w:val="001B431C"/>
    <w:rsid w:val="001B7B2D"/>
    <w:rsid w:val="001B7C59"/>
    <w:rsid w:val="001C0E2E"/>
    <w:rsid w:val="001C1722"/>
    <w:rsid w:val="001C2DC8"/>
    <w:rsid w:val="001C2F8B"/>
    <w:rsid w:val="001C36C8"/>
    <w:rsid w:val="001C7A9A"/>
    <w:rsid w:val="001D0A96"/>
    <w:rsid w:val="001D1C79"/>
    <w:rsid w:val="001D2191"/>
    <w:rsid w:val="001D2C66"/>
    <w:rsid w:val="001D4AC8"/>
    <w:rsid w:val="001D520A"/>
    <w:rsid w:val="001D6CB8"/>
    <w:rsid w:val="001E28E1"/>
    <w:rsid w:val="001E2B9E"/>
    <w:rsid w:val="001E2FE7"/>
    <w:rsid w:val="001E3A46"/>
    <w:rsid w:val="001E4DC4"/>
    <w:rsid w:val="001E5F71"/>
    <w:rsid w:val="001E6810"/>
    <w:rsid w:val="001F2C6F"/>
    <w:rsid w:val="001F2E1D"/>
    <w:rsid w:val="001F3497"/>
    <w:rsid w:val="001F37C4"/>
    <w:rsid w:val="001F39A5"/>
    <w:rsid w:val="001F3E40"/>
    <w:rsid w:val="001F413B"/>
    <w:rsid w:val="001F598F"/>
    <w:rsid w:val="001F6B1E"/>
    <w:rsid w:val="00201A75"/>
    <w:rsid w:val="00202C81"/>
    <w:rsid w:val="002039F7"/>
    <w:rsid w:val="00204FD8"/>
    <w:rsid w:val="00207816"/>
    <w:rsid w:val="00212C8F"/>
    <w:rsid w:val="0021342C"/>
    <w:rsid w:val="00214B78"/>
    <w:rsid w:val="002162A2"/>
    <w:rsid w:val="00216F63"/>
    <w:rsid w:val="00216F73"/>
    <w:rsid w:val="002174D4"/>
    <w:rsid w:val="00220CC6"/>
    <w:rsid w:val="00221F46"/>
    <w:rsid w:val="0022573C"/>
    <w:rsid w:val="00225F29"/>
    <w:rsid w:val="002266D7"/>
    <w:rsid w:val="00227B90"/>
    <w:rsid w:val="00232C48"/>
    <w:rsid w:val="00232D3C"/>
    <w:rsid w:val="00234AF5"/>
    <w:rsid w:val="00235000"/>
    <w:rsid w:val="0023765D"/>
    <w:rsid w:val="0023789E"/>
    <w:rsid w:val="0024150E"/>
    <w:rsid w:val="00241E6D"/>
    <w:rsid w:val="00242A5E"/>
    <w:rsid w:val="00242B70"/>
    <w:rsid w:val="002458D7"/>
    <w:rsid w:val="00250093"/>
    <w:rsid w:val="00250EF8"/>
    <w:rsid w:val="002536AE"/>
    <w:rsid w:val="00253CB2"/>
    <w:rsid w:val="002554FB"/>
    <w:rsid w:val="00257B12"/>
    <w:rsid w:val="00260F8E"/>
    <w:rsid w:val="002615F9"/>
    <w:rsid w:val="002666C9"/>
    <w:rsid w:val="00267288"/>
    <w:rsid w:val="00267648"/>
    <w:rsid w:val="002678B4"/>
    <w:rsid w:val="0026792B"/>
    <w:rsid w:val="002707A6"/>
    <w:rsid w:val="00271B38"/>
    <w:rsid w:val="002746CD"/>
    <w:rsid w:val="00274D05"/>
    <w:rsid w:val="00276769"/>
    <w:rsid w:val="00276C12"/>
    <w:rsid w:val="002803C8"/>
    <w:rsid w:val="00280580"/>
    <w:rsid w:val="00281087"/>
    <w:rsid w:val="00285603"/>
    <w:rsid w:val="00287CE5"/>
    <w:rsid w:val="00290EC1"/>
    <w:rsid w:val="00291DA2"/>
    <w:rsid w:val="00292365"/>
    <w:rsid w:val="002943CD"/>
    <w:rsid w:val="00294485"/>
    <w:rsid w:val="002953DD"/>
    <w:rsid w:val="00296CB6"/>
    <w:rsid w:val="002A0A00"/>
    <w:rsid w:val="002A1106"/>
    <w:rsid w:val="002A4176"/>
    <w:rsid w:val="002A4883"/>
    <w:rsid w:val="002A50BB"/>
    <w:rsid w:val="002A513A"/>
    <w:rsid w:val="002A6C62"/>
    <w:rsid w:val="002B239E"/>
    <w:rsid w:val="002B316A"/>
    <w:rsid w:val="002B52BB"/>
    <w:rsid w:val="002C068A"/>
    <w:rsid w:val="002C4B94"/>
    <w:rsid w:val="002C6375"/>
    <w:rsid w:val="002C6661"/>
    <w:rsid w:val="002C6E5C"/>
    <w:rsid w:val="002C73A5"/>
    <w:rsid w:val="002C7731"/>
    <w:rsid w:val="002C79DB"/>
    <w:rsid w:val="002D2121"/>
    <w:rsid w:val="002D4C36"/>
    <w:rsid w:val="002E0CA5"/>
    <w:rsid w:val="002E5B14"/>
    <w:rsid w:val="002E5D7E"/>
    <w:rsid w:val="002E6B7A"/>
    <w:rsid w:val="002E7828"/>
    <w:rsid w:val="002E7F59"/>
    <w:rsid w:val="00300A36"/>
    <w:rsid w:val="00301D90"/>
    <w:rsid w:val="00301F28"/>
    <w:rsid w:val="0030500E"/>
    <w:rsid w:val="003077B2"/>
    <w:rsid w:val="0031633E"/>
    <w:rsid w:val="00316B71"/>
    <w:rsid w:val="00316BDF"/>
    <w:rsid w:val="00317C73"/>
    <w:rsid w:val="003206FD"/>
    <w:rsid w:val="0032100A"/>
    <w:rsid w:val="003217E9"/>
    <w:rsid w:val="00321BE2"/>
    <w:rsid w:val="00325123"/>
    <w:rsid w:val="00325951"/>
    <w:rsid w:val="00325C69"/>
    <w:rsid w:val="00326762"/>
    <w:rsid w:val="00331F8C"/>
    <w:rsid w:val="00333E26"/>
    <w:rsid w:val="00334366"/>
    <w:rsid w:val="00334430"/>
    <w:rsid w:val="00340022"/>
    <w:rsid w:val="00340266"/>
    <w:rsid w:val="00343331"/>
    <w:rsid w:val="00343A1F"/>
    <w:rsid w:val="00344294"/>
    <w:rsid w:val="00344375"/>
    <w:rsid w:val="00344CD1"/>
    <w:rsid w:val="00345422"/>
    <w:rsid w:val="00345827"/>
    <w:rsid w:val="0034650B"/>
    <w:rsid w:val="00347923"/>
    <w:rsid w:val="00350431"/>
    <w:rsid w:val="003510CE"/>
    <w:rsid w:val="003512B9"/>
    <w:rsid w:val="00353A93"/>
    <w:rsid w:val="00353C22"/>
    <w:rsid w:val="00353E70"/>
    <w:rsid w:val="00354280"/>
    <w:rsid w:val="00355A19"/>
    <w:rsid w:val="00356A63"/>
    <w:rsid w:val="003602CC"/>
    <w:rsid w:val="00360664"/>
    <w:rsid w:val="00361193"/>
    <w:rsid w:val="00361890"/>
    <w:rsid w:val="0036492B"/>
    <w:rsid w:val="00364E17"/>
    <w:rsid w:val="00367250"/>
    <w:rsid w:val="00370052"/>
    <w:rsid w:val="00371219"/>
    <w:rsid w:val="003729D6"/>
    <w:rsid w:val="00374BEC"/>
    <w:rsid w:val="00376374"/>
    <w:rsid w:val="00376E54"/>
    <w:rsid w:val="00377BFC"/>
    <w:rsid w:val="00382703"/>
    <w:rsid w:val="00382B9E"/>
    <w:rsid w:val="003833BB"/>
    <w:rsid w:val="00385BEB"/>
    <w:rsid w:val="003861E4"/>
    <w:rsid w:val="00390284"/>
    <w:rsid w:val="00390AEE"/>
    <w:rsid w:val="003928D5"/>
    <w:rsid w:val="00393B30"/>
    <w:rsid w:val="00393D0D"/>
    <w:rsid w:val="003941CF"/>
    <w:rsid w:val="003946FB"/>
    <w:rsid w:val="00395B34"/>
    <w:rsid w:val="00396080"/>
    <w:rsid w:val="003A0DF6"/>
    <w:rsid w:val="003A1924"/>
    <w:rsid w:val="003A34FC"/>
    <w:rsid w:val="003A3D98"/>
    <w:rsid w:val="003A4255"/>
    <w:rsid w:val="003A58A7"/>
    <w:rsid w:val="003A629F"/>
    <w:rsid w:val="003B2FE6"/>
    <w:rsid w:val="003B3E71"/>
    <w:rsid w:val="003B65D4"/>
    <w:rsid w:val="003B6CAC"/>
    <w:rsid w:val="003C3AF1"/>
    <w:rsid w:val="003C6299"/>
    <w:rsid w:val="003C64A1"/>
    <w:rsid w:val="003D0DDA"/>
    <w:rsid w:val="003D1F07"/>
    <w:rsid w:val="003D3BD8"/>
    <w:rsid w:val="003D3D82"/>
    <w:rsid w:val="003D577F"/>
    <w:rsid w:val="003E08D0"/>
    <w:rsid w:val="003E2156"/>
    <w:rsid w:val="003E4463"/>
    <w:rsid w:val="003E4471"/>
    <w:rsid w:val="003E71CC"/>
    <w:rsid w:val="003F07A6"/>
    <w:rsid w:val="003F0B6E"/>
    <w:rsid w:val="003F0BA3"/>
    <w:rsid w:val="003F1D94"/>
    <w:rsid w:val="003F1FAF"/>
    <w:rsid w:val="003F3572"/>
    <w:rsid w:val="003F75DB"/>
    <w:rsid w:val="003F762F"/>
    <w:rsid w:val="00400F05"/>
    <w:rsid w:val="0040201A"/>
    <w:rsid w:val="00402B9D"/>
    <w:rsid w:val="00405E35"/>
    <w:rsid w:val="00410F65"/>
    <w:rsid w:val="004133F6"/>
    <w:rsid w:val="00414C02"/>
    <w:rsid w:val="0041539C"/>
    <w:rsid w:val="004156F0"/>
    <w:rsid w:val="0041618C"/>
    <w:rsid w:val="004167F8"/>
    <w:rsid w:val="004177B7"/>
    <w:rsid w:val="00417CEC"/>
    <w:rsid w:val="00420637"/>
    <w:rsid w:val="00420F3E"/>
    <w:rsid w:val="004214C1"/>
    <w:rsid w:val="004234C8"/>
    <w:rsid w:val="0042391D"/>
    <w:rsid w:val="00423A9C"/>
    <w:rsid w:val="004279F3"/>
    <w:rsid w:val="00430F87"/>
    <w:rsid w:val="00433FF5"/>
    <w:rsid w:val="00434FB1"/>
    <w:rsid w:val="00435D9C"/>
    <w:rsid w:val="004375C2"/>
    <w:rsid w:val="00441728"/>
    <w:rsid w:val="0044233A"/>
    <w:rsid w:val="00445B7D"/>
    <w:rsid w:val="00446B0B"/>
    <w:rsid w:val="004474DE"/>
    <w:rsid w:val="00450644"/>
    <w:rsid w:val="004513EE"/>
    <w:rsid w:val="00452393"/>
    <w:rsid w:val="00453E15"/>
    <w:rsid w:val="00455AD0"/>
    <w:rsid w:val="00457595"/>
    <w:rsid w:val="004579D5"/>
    <w:rsid w:val="0046030F"/>
    <w:rsid w:val="0046202A"/>
    <w:rsid w:val="00466C73"/>
    <w:rsid w:val="004672CC"/>
    <w:rsid w:val="004705F1"/>
    <w:rsid w:val="00471B16"/>
    <w:rsid w:val="004738F4"/>
    <w:rsid w:val="0047652E"/>
    <w:rsid w:val="00476E73"/>
    <w:rsid w:val="0048041A"/>
    <w:rsid w:val="00482BDD"/>
    <w:rsid w:val="00487478"/>
    <w:rsid w:val="004902DB"/>
    <w:rsid w:val="00492038"/>
    <w:rsid w:val="00493DBD"/>
    <w:rsid w:val="00496BC8"/>
    <w:rsid w:val="004976CF"/>
    <w:rsid w:val="004A19B2"/>
    <w:rsid w:val="004A24CE"/>
    <w:rsid w:val="004A2EB8"/>
    <w:rsid w:val="004A46C4"/>
    <w:rsid w:val="004A602B"/>
    <w:rsid w:val="004A75EA"/>
    <w:rsid w:val="004B17C8"/>
    <w:rsid w:val="004B17C9"/>
    <w:rsid w:val="004B46CA"/>
    <w:rsid w:val="004B4F8A"/>
    <w:rsid w:val="004B651B"/>
    <w:rsid w:val="004B78E4"/>
    <w:rsid w:val="004C07CB"/>
    <w:rsid w:val="004C22DF"/>
    <w:rsid w:val="004C2A4A"/>
    <w:rsid w:val="004C531B"/>
    <w:rsid w:val="004C64DB"/>
    <w:rsid w:val="004C7587"/>
    <w:rsid w:val="004D0F3D"/>
    <w:rsid w:val="004D181D"/>
    <w:rsid w:val="004D5098"/>
    <w:rsid w:val="004D6442"/>
    <w:rsid w:val="004D7AD3"/>
    <w:rsid w:val="004E102E"/>
    <w:rsid w:val="004E1EAA"/>
    <w:rsid w:val="004E1EE5"/>
    <w:rsid w:val="004E2126"/>
    <w:rsid w:val="004E3F1B"/>
    <w:rsid w:val="004E6091"/>
    <w:rsid w:val="004E749D"/>
    <w:rsid w:val="004F33E3"/>
    <w:rsid w:val="004F545D"/>
    <w:rsid w:val="004F665F"/>
    <w:rsid w:val="004F6D0D"/>
    <w:rsid w:val="004F7665"/>
    <w:rsid w:val="00500BDB"/>
    <w:rsid w:val="005027B1"/>
    <w:rsid w:val="0050338F"/>
    <w:rsid w:val="00504818"/>
    <w:rsid w:val="00504C0B"/>
    <w:rsid w:val="00505D63"/>
    <w:rsid w:val="005060F5"/>
    <w:rsid w:val="00506DB3"/>
    <w:rsid w:val="00507527"/>
    <w:rsid w:val="00507FBA"/>
    <w:rsid w:val="005113B4"/>
    <w:rsid w:val="00512561"/>
    <w:rsid w:val="005160A2"/>
    <w:rsid w:val="00520965"/>
    <w:rsid w:val="0052347F"/>
    <w:rsid w:val="00523821"/>
    <w:rsid w:val="00523F55"/>
    <w:rsid w:val="00524BD6"/>
    <w:rsid w:val="00524FF0"/>
    <w:rsid w:val="00526F33"/>
    <w:rsid w:val="00533E0D"/>
    <w:rsid w:val="00534767"/>
    <w:rsid w:val="005353BC"/>
    <w:rsid w:val="005359D4"/>
    <w:rsid w:val="00535F71"/>
    <w:rsid w:val="0053725B"/>
    <w:rsid w:val="0053728D"/>
    <w:rsid w:val="005401D6"/>
    <w:rsid w:val="00540431"/>
    <w:rsid w:val="0054099E"/>
    <w:rsid w:val="00542B4C"/>
    <w:rsid w:val="0054433A"/>
    <w:rsid w:val="0054446C"/>
    <w:rsid w:val="0054446F"/>
    <w:rsid w:val="00544A04"/>
    <w:rsid w:val="005452E8"/>
    <w:rsid w:val="005473B1"/>
    <w:rsid w:val="00550987"/>
    <w:rsid w:val="00551A2E"/>
    <w:rsid w:val="00551C15"/>
    <w:rsid w:val="00552C26"/>
    <w:rsid w:val="005539CC"/>
    <w:rsid w:val="005542E6"/>
    <w:rsid w:val="0055668D"/>
    <w:rsid w:val="00556B2D"/>
    <w:rsid w:val="0055745C"/>
    <w:rsid w:val="00557A33"/>
    <w:rsid w:val="00561E69"/>
    <w:rsid w:val="005638AC"/>
    <w:rsid w:val="00563F1F"/>
    <w:rsid w:val="005640D0"/>
    <w:rsid w:val="00564C43"/>
    <w:rsid w:val="0056634F"/>
    <w:rsid w:val="005670E5"/>
    <w:rsid w:val="005701BF"/>
    <w:rsid w:val="00570E35"/>
    <w:rsid w:val="005718AF"/>
    <w:rsid w:val="00571FD4"/>
    <w:rsid w:val="00572879"/>
    <w:rsid w:val="005751CC"/>
    <w:rsid w:val="005760B5"/>
    <w:rsid w:val="00580710"/>
    <w:rsid w:val="00582F45"/>
    <w:rsid w:val="00583C0D"/>
    <w:rsid w:val="00583CEF"/>
    <w:rsid w:val="00584D81"/>
    <w:rsid w:val="00585A5E"/>
    <w:rsid w:val="00585C74"/>
    <w:rsid w:val="0058607A"/>
    <w:rsid w:val="00587FB8"/>
    <w:rsid w:val="00590655"/>
    <w:rsid w:val="00591E03"/>
    <w:rsid w:val="005922C1"/>
    <w:rsid w:val="00594400"/>
    <w:rsid w:val="005946C9"/>
    <w:rsid w:val="00594BB8"/>
    <w:rsid w:val="005A3932"/>
    <w:rsid w:val="005A3A64"/>
    <w:rsid w:val="005A3DDE"/>
    <w:rsid w:val="005A4ABA"/>
    <w:rsid w:val="005A4BF8"/>
    <w:rsid w:val="005A74D4"/>
    <w:rsid w:val="005A7613"/>
    <w:rsid w:val="005B0FD3"/>
    <w:rsid w:val="005B195A"/>
    <w:rsid w:val="005B2B04"/>
    <w:rsid w:val="005B484D"/>
    <w:rsid w:val="005B6008"/>
    <w:rsid w:val="005B625D"/>
    <w:rsid w:val="005B6963"/>
    <w:rsid w:val="005B72FD"/>
    <w:rsid w:val="005B73DD"/>
    <w:rsid w:val="005C1DEE"/>
    <w:rsid w:val="005C2616"/>
    <w:rsid w:val="005C27E3"/>
    <w:rsid w:val="005C4360"/>
    <w:rsid w:val="005C689A"/>
    <w:rsid w:val="005C6A26"/>
    <w:rsid w:val="005D06EA"/>
    <w:rsid w:val="005D4092"/>
    <w:rsid w:val="005D4A25"/>
    <w:rsid w:val="005D4CA9"/>
    <w:rsid w:val="005D6A62"/>
    <w:rsid w:val="005D739E"/>
    <w:rsid w:val="005E2B42"/>
    <w:rsid w:val="005E34FF"/>
    <w:rsid w:val="005E4D18"/>
    <w:rsid w:val="005E52F9"/>
    <w:rsid w:val="005E563E"/>
    <w:rsid w:val="005E56B0"/>
    <w:rsid w:val="005E580E"/>
    <w:rsid w:val="005E6797"/>
    <w:rsid w:val="005E725A"/>
    <w:rsid w:val="005E7AAC"/>
    <w:rsid w:val="005F04AF"/>
    <w:rsid w:val="005F1261"/>
    <w:rsid w:val="005F3775"/>
    <w:rsid w:val="005F4B2E"/>
    <w:rsid w:val="0060135A"/>
    <w:rsid w:val="00602315"/>
    <w:rsid w:val="006029DB"/>
    <w:rsid w:val="006035BA"/>
    <w:rsid w:val="00607996"/>
    <w:rsid w:val="006101A3"/>
    <w:rsid w:val="006106A9"/>
    <w:rsid w:val="006134F3"/>
    <w:rsid w:val="00614E46"/>
    <w:rsid w:val="006174E6"/>
    <w:rsid w:val="0061767B"/>
    <w:rsid w:val="00620F18"/>
    <w:rsid w:val="00622325"/>
    <w:rsid w:val="00623942"/>
    <w:rsid w:val="00623AAF"/>
    <w:rsid w:val="0062735F"/>
    <w:rsid w:val="0062764F"/>
    <w:rsid w:val="006319E6"/>
    <w:rsid w:val="00634222"/>
    <w:rsid w:val="00635CF1"/>
    <w:rsid w:val="00636947"/>
    <w:rsid w:val="00637063"/>
    <w:rsid w:val="006370CD"/>
    <w:rsid w:val="0063776B"/>
    <w:rsid w:val="00640931"/>
    <w:rsid w:val="00644A83"/>
    <w:rsid w:val="0064644B"/>
    <w:rsid w:val="00653558"/>
    <w:rsid w:val="00653D76"/>
    <w:rsid w:val="00654013"/>
    <w:rsid w:val="00654104"/>
    <w:rsid w:val="00654A9B"/>
    <w:rsid w:val="00655ABF"/>
    <w:rsid w:val="00655CEB"/>
    <w:rsid w:val="006570E5"/>
    <w:rsid w:val="0065719B"/>
    <w:rsid w:val="006572A0"/>
    <w:rsid w:val="0066025C"/>
    <w:rsid w:val="00661671"/>
    <w:rsid w:val="00662317"/>
    <w:rsid w:val="0066244D"/>
    <w:rsid w:val="00662A71"/>
    <w:rsid w:val="0066322F"/>
    <w:rsid w:val="0066431D"/>
    <w:rsid w:val="00665957"/>
    <w:rsid w:val="006662B3"/>
    <w:rsid w:val="00666A4C"/>
    <w:rsid w:val="0066709C"/>
    <w:rsid w:val="00670DCA"/>
    <w:rsid w:val="0067795E"/>
    <w:rsid w:val="00681EBC"/>
    <w:rsid w:val="00683468"/>
    <w:rsid w:val="00684669"/>
    <w:rsid w:val="0068484F"/>
    <w:rsid w:val="00684FEA"/>
    <w:rsid w:val="006857CB"/>
    <w:rsid w:val="00690340"/>
    <w:rsid w:val="00693B9C"/>
    <w:rsid w:val="006947B0"/>
    <w:rsid w:val="00695033"/>
    <w:rsid w:val="00695420"/>
    <w:rsid w:val="006954A6"/>
    <w:rsid w:val="0069559D"/>
    <w:rsid w:val="006A133A"/>
    <w:rsid w:val="006A134E"/>
    <w:rsid w:val="006A3235"/>
    <w:rsid w:val="006A3491"/>
    <w:rsid w:val="006B2119"/>
    <w:rsid w:val="006B258D"/>
    <w:rsid w:val="006B5278"/>
    <w:rsid w:val="006C018C"/>
    <w:rsid w:val="006C0C19"/>
    <w:rsid w:val="006C0FEF"/>
    <w:rsid w:val="006C485B"/>
    <w:rsid w:val="006C79DF"/>
    <w:rsid w:val="006D044F"/>
    <w:rsid w:val="006D04BC"/>
    <w:rsid w:val="006D2842"/>
    <w:rsid w:val="006D3138"/>
    <w:rsid w:val="006D6526"/>
    <w:rsid w:val="006E12C7"/>
    <w:rsid w:val="006E15E6"/>
    <w:rsid w:val="006E2401"/>
    <w:rsid w:val="006E2823"/>
    <w:rsid w:val="006E2A0D"/>
    <w:rsid w:val="006E2FD8"/>
    <w:rsid w:val="006E35E0"/>
    <w:rsid w:val="006E3A85"/>
    <w:rsid w:val="006E3B1D"/>
    <w:rsid w:val="006E4E14"/>
    <w:rsid w:val="006E6DB4"/>
    <w:rsid w:val="006F0CD7"/>
    <w:rsid w:val="006F0D77"/>
    <w:rsid w:val="006F19A2"/>
    <w:rsid w:val="006F529C"/>
    <w:rsid w:val="006F5878"/>
    <w:rsid w:val="006F6496"/>
    <w:rsid w:val="006F6D2B"/>
    <w:rsid w:val="007019A7"/>
    <w:rsid w:val="007024A0"/>
    <w:rsid w:val="00703431"/>
    <w:rsid w:val="00707909"/>
    <w:rsid w:val="00707C32"/>
    <w:rsid w:val="007100BE"/>
    <w:rsid w:val="00713BB9"/>
    <w:rsid w:val="00713DC0"/>
    <w:rsid w:val="007142B9"/>
    <w:rsid w:val="00715000"/>
    <w:rsid w:val="00715DA1"/>
    <w:rsid w:val="007168AE"/>
    <w:rsid w:val="00720DEF"/>
    <w:rsid w:val="00722520"/>
    <w:rsid w:val="00722CFD"/>
    <w:rsid w:val="00724258"/>
    <w:rsid w:val="0072491D"/>
    <w:rsid w:val="0072575F"/>
    <w:rsid w:val="00725932"/>
    <w:rsid w:val="007277A3"/>
    <w:rsid w:val="00727A84"/>
    <w:rsid w:val="00727E10"/>
    <w:rsid w:val="00730A9C"/>
    <w:rsid w:val="00731052"/>
    <w:rsid w:val="00731B58"/>
    <w:rsid w:val="00731DBC"/>
    <w:rsid w:val="00733DE8"/>
    <w:rsid w:val="0073466C"/>
    <w:rsid w:val="00735B14"/>
    <w:rsid w:val="00736C51"/>
    <w:rsid w:val="007376F3"/>
    <w:rsid w:val="00740CE2"/>
    <w:rsid w:val="0074175D"/>
    <w:rsid w:val="00741CBA"/>
    <w:rsid w:val="00741D70"/>
    <w:rsid w:val="007423DB"/>
    <w:rsid w:val="0074254B"/>
    <w:rsid w:val="00742CAB"/>
    <w:rsid w:val="00743F8A"/>
    <w:rsid w:val="007443F7"/>
    <w:rsid w:val="007525E8"/>
    <w:rsid w:val="00755A06"/>
    <w:rsid w:val="0075688C"/>
    <w:rsid w:val="007573EA"/>
    <w:rsid w:val="007611A1"/>
    <w:rsid w:val="00761CED"/>
    <w:rsid w:val="00762085"/>
    <w:rsid w:val="0076374D"/>
    <w:rsid w:val="007644F0"/>
    <w:rsid w:val="0076535A"/>
    <w:rsid w:val="00765650"/>
    <w:rsid w:val="00770ADD"/>
    <w:rsid w:val="0077131A"/>
    <w:rsid w:val="0077457D"/>
    <w:rsid w:val="00774C3B"/>
    <w:rsid w:val="00775C43"/>
    <w:rsid w:val="00776E1A"/>
    <w:rsid w:val="007808C9"/>
    <w:rsid w:val="00783892"/>
    <w:rsid w:val="007841F2"/>
    <w:rsid w:val="00784DD4"/>
    <w:rsid w:val="00785862"/>
    <w:rsid w:val="0079197F"/>
    <w:rsid w:val="00791BAC"/>
    <w:rsid w:val="007937EC"/>
    <w:rsid w:val="007942CE"/>
    <w:rsid w:val="00796151"/>
    <w:rsid w:val="007963C2"/>
    <w:rsid w:val="00797723"/>
    <w:rsid w:val="00797EE6"/>
    <w:rsid w:val="007A0537"/>
    <w:rsid w:val="007A2A01"/>
    <w:rsid w:val="007A38D7"/>
    <w:rsid w:val="007A491B"/>
    <w:rsid w:val="007A6396"/>
    <w:rsid w:val="007B085A"/>
    <w:rsid w:val="007B0CEE"/>
    <w:rsid w:val="007B4109"/>
    <w:rsid w:val="007B4178"/>
    <w:rsid w:val="007B44E9"/>
    <w:rsid w:val="007B57D3"/>
    <w:rsid w:val="007B6FE8"/>
    <w:rsid w:val="007C0C81"/>
    <w:rsid w:val="007C1DBC"/>
    <w:rsid w:val="007C2DAA"/>
    <w:rsid w:val="007C5FBC"/>
    <w:rsid w:val="007C643E"/>
    <w:rsid w:val="007D0816"/>
    <w:rsid w:val="007D2308"/>
    <w:rsid w:val="007D29DD"/>
    <w:rsid w:val="007D2FB5"/>
    <w:rsid w:val="007D3322"/>
    <w:rsid w:val="007D3BE4"/>
    <w:rsid w:val="007D4673"/>
    <w:rsid w:val="007D498B"/>
    <w:rsid w:val="007D4BB8"/>
    <w:rsid w:val="007D618D"/>
    <w:rsid w:val="007D65B4"/>
    <w:rsid w:val="007E04C6"/>
    <w:rsid w:val="007E0AA6"/>
    <w:rsid w:val="007E1C46"/>
    <w:rsid w:val="007E3B08"/>
    <w:rsid w:val="007E3C60"/>
    <w:rsid w:val="007E5912"/>
    <w:rsid w:val="007F0052"/>
    <w:rsid w:val="007F0DD6"/>
    <w:rsid w:val="007F1313"/>
    <w:rsid w:val="007F1352"/>
    <w:rsid w:val="007F2556"/>
    <w:rsid w:val="007F566E"/>
    <w:rsid w:val="007F6501"/>
    <w:rsid w:val="0080063F"/>
    <w:rsid w:val="008029F0"/>
    <w:rsid w:val="00802B4C"/>
    <w:rsid w:val="0080353D"/>
    <w:rsid w:val="00803D09"/>
    <w:rsid w:val="00803D8E"/>
    <w:rsid w:val="00804004"/>
    <w:rsid w:val="00805ED8"/>
    <w:rsid w:val="00806BFA"/>
    <w:rsid w:val="00813F68"/>
    <w:rsid w:val="00814369"/>
    <w:rsid w:val="00815D47"/>
    <w:rsid w:val="008168C5"/>
    <w:rsid w:val="0081738D"/>
    <w:rsid w:val="00825436"/>
    <w:rsid w:val="0082573F"/>
    <w:rsid w:val="00826072"/>
    <w:rsid w:val="008264E7"/>
    <w:rsid w:val="00827100"/>
    <w:rsid w:val="0082746E"/>
    <w:rsid w:val="008276F7"/>
    <w:rsid w:val="00827B35"/>
    <w:rsid w:val="00827B63"/>
    <w:rsid w:val="00833231"/>
    <w:rsid w:val="008339FC"/>
    <w:rsid w:val="00834368"/>
    <w:rsid w:val="00837ACB"/>
    <w:rsid w:val="0084064A"/>
    <w:rsid w:val="0084078B"/>
    <w:rsid w:val="008407C9"/>
    <w:rsid w:val="00840A6B"/>
    <w:rsid w:val="00840DB2"/>
    <w:rsid w:val="008433B5"/>
    <w:rsid w:val="008453CB"/>
    <w:rsid w:val="00845761"/>
    <w:rsid w:val="008478D1"/>
    <w:rsid w:val="00851A1B"/>
    <w:rsid w:val="00856EC6"/>
    <w:rsid w:val="00861EE5"/>
    <w:rsid w:val="00862392"/>
    <w:rsid w:val="00862798"/>
    <w:rsid w:val="00862AB4"/>
    <w:rsid w:val="008646E4"/>
    <w:rsid w:val="00865392"/>
    <w:rsid w:val="00866DC6"/>
    <w:rsid w:val="00866DD9"/>
    <w:rsid w:val="008674B0"/>
    <w:rsid w:val="008702F4"/>
    <w:rsid w:val="008705DF"/>
    <w:rsid w:val="00874443"/>
    <w:rsid w:val="00875A28"/>
    <w:rsid w:val="00875D72"/>
    <w:rsid w:val="0087749E"/>
    <w:rsid w:val="00884E1B"/>
    <w:rsid w:val="00885A31"/>
    <w:rsid w:val="00885DE7"/>
    <w:rsid w:val="008862F8"/>
    <w:rsid w:val="00887915"/>
    <w:rsid w:val="00887AC6"/>
    <w:rsid w:val="00891457"/>
    <w:rsid w:val="00891782"/>
    <w:rsid w:val="008941A6"/>
    <w:rsid w:val="00895662"/>
    <w:rsid w:val="008959E4"/>
    <w:rsid w:val="00895C6A"/>
    <w:rsid w:val="0089625D"/>
    <w:rsid w:val="008A03E3"/>
    <w:rsid w:val="008A1924"/>
    <w:rsid w:val="008A2029"/>
    <w:rsid w:val="008A22B9"/>
    <w:rsid w:val="008A333A"/>
    <w:rsid w:val="008B0A49"/>
    <w:rsid w:val="008B3F3A"/>
    <w:rsid w:val="008B7E77"/>
    <w:rsid w:val="008C07FE"/>
    <w:rsid w:val="008C0BB7"/>
    <w:rsid w:val="008C1CD2"/>
    <w:rsid w:val="008C3038"/>
    <w:rsid w:val="008C3EDC"/>
    <w:rsid w:val="008C4825"/>
    <w:rsid w:val="008C4EAD"/>
    <w:rsid w:val="008C51F5"/>
    <w:rsid w:val="008C6FA3"/>
    <w:rsid w:val="008C7085"/>
    <w:rsid w:val="008D0068"/>
    <w:rsid w:val="008D0A63"/>
    <w:rsid w:val="008D1F57"/>
    <w:rsid w:val="008D2356"/>
    <w:rsid w:val="008D451B"/>
    <w:rsid w:val="008D4EF1"/>
    <w:rsid w:val="008D58A0"/>
    <w:rsid w:val="008D77DF"/>
    <w:rsid w:val="008D7C7E"/>
    <w:rsid w:val="008D7FD6"/>
    <w:rsid w:val="008E21FD"/>
    <w:rsid w:val="008E2327"/>
    <w:rsid w:val="008E24D7"/>
    <w:rsid w:val="008E30EB"/>
    <w:rsid w:val="008E3581"/>
    <w:rsid w:val="008E359C"/>
    <w:rsid w:val="008E61F2"/>
    <w:rsid w:val="008E6360"/>
    <w:rsid w:val="008E7C05"/>
    <w:rsid w:val="008F2A92"/>
    <w:rsid w:val="008F2DD2"/>
    <w:rsid w:val="008F3CA0"/>
    <w:rsid w:val="008F3E47"/>
    <w:rsid w:val="00902E71"/>
    <w:rsid w:val="00902ED4"/>
    <w:rsid w:val="00910A88"/>
    <w:rsid w:val="00911A1A"/>
    <w:rsid w:val="00911B07"/>
    <w:rsid w:val="00911BBC"/>
    <w:rsid w:val="00911D1C"/>
    <w:rsid w:val="00913CC2"/>
    <w:rsid w:val="0091493A"/>
    <w:rsid w:val="009168EC"/>
    <w:rsid w:val="00917447"/>
    <w:rsid w:val="00920874"/>
    <w:rsid w:val="0092089A"/>
    <w:rsid w:val="009225DD"/>
    <w:rsid w:val="00923B03"/>
    <w:rsid w:val="00923F06"/>
    <w:rsid w:val="00924AB3"/>
    <w:rsid w:val="00925F0C"/>
    <w:rsid w:val="0092687E"/>
    <w:rsid w:val="0093245B"/>
    <w:rsid w:val="00934DAE"/>
    <w:rsid w:val="009372A1"/>
    <w:rsid w:val="00937F5A"/>
    <w:rsid w:val="00942BBC"/>
    <w:rsid w:val="00943427"/>
    <w:rsid w:val="00944825"/>
    <w:rsid w:val="00944A32"/>
    <w:rsid w:val="00944F05"/>
    <w:rsid w:val="00945606"/>
    <w:rsid w:val="00945771"/>
    <w:rsid w:val="00946822"/>
    <w:rsid w:val="0095312F"/>
    <w:rsid w:val="00953255"/>
    <w:rsid w:val="0095336A"/>
    <w:rsid w:val="00955BA1"/>
    <w:rsid w:val="00956538"/>
    <w:rsid w:val="009602E3"/>
    <w:rsid w:val="00960B10"/>
    <w:rsid w:val="00967CC9"/>
    <w:rsid w:val="00970338"/>
    <w:rsid w:val="00972654"/>
    <w:rsid w:val="00973075"/>
    <w:rsid w:val="00976118"/>
    <w:rsid w:val="0097669C"/>
    <w:rsid w:val="00977259"/>
    <w:rsid w:val="00980AC0"/>
    <w:rsid w:val="0098217C"/>
    <w:rsid w:val="00982ECE"/>
    <w:rsid w:val="00982EE8"/>
    <w:rsid w:val="009841DA"/>
    <w:rsid w:val="00986453"/>
    <w:rsid w:val="009873FF"/>
    <w:rsid w:val="00991007"/>
    <w:rsid w:val="0099103C"/>
    <w:rsid w:val="00992143"/>
    <w:rsid w:val="00993A25"/>
    <w:rsid w:val="009940C3"/>
    <w:rsid w:val="00994B5B"/>
    <w:rsid w:val="00997239"/>
    <w:rsid w:val="00997571"/>
    <w:rsid w:val="00997C8E"/>
    <w:rsid w:val="009A0D64"/>
    <w:rsid w:val="009A2C93"/>
    <w:rsid w:val="009A463E"/>
    <w:rsid w:val="009A4CF3"/>
    <w:rsid w:val="009A50E6"/>
    <w:rsid w:val="009A6659"/>
    <w:rsid w:val="009B0106"/>
    <w:rsid w:val="009B0379"/>
    <w:rsid w:val="009B3075"/>
    <w:rsid w:val="009B3DF8"/>
    <w:rsid w:val="009B3FA8"/>
    <w:rsid w:val="009B57DF"/>
    <w:rsid w:val="009B72ED"/>
    <w:rsid w:val="009B7BD4"/>
    <w:rsid w:val="009C08C5"/>
    <w:rsid w:val="009C2C8A"/>
    <w:rsid w:val="009C5473"/>
    <w:rsid w:val="009C6A4D"/>
    <w:rsid w:val="009C7FD1"/>
    <w:rsid w:val="009D0C4D"/>
    <w:rsid w:val="009D1839"/>
    <w:rsid w:val="009E09BA"/>
    <w:rsid w:val="009E1152"/>
    <w:rsid w:val="009E140C"/>
    <w:rsid w:val="009E1447"/>
    <w:rsid w:val="009E5E76"/>
    <w:rsid w:val="009F0EF1"/>
    <w:rsid w:val="009F3685"/>
    <w:rsid w:val="00A00FCD"/>
    <w:rsid w:val="00A01369"/>
    <w:rsid w:val="00A03DAF"/>
    <w:rsid w:val="00A04267"/>
    <w:rsid w:val="00A04776"/>
    <w:rsid w:val="00A063E8"/>
    <w:rsid w:val="00A0690C"/>
    <w:rsid w:val="00A0730D"/>
    <w:rsid w:val="00A07DDB"/>
    <w:rsid w:val="00A101CD"/>
    <w:rsid w:val="00A107E0"/>
    <w:rsid w:val="00A10FF0"/>
    <w:rsid w:val="00A11867"/>
    <w:rsid w:val="00A13821"/>
    <w:rsid w:val="00A151BC"/>
    <w:rsid w:val="00A1567B"/>
    <w:rsid w:val="00A1684E"/>
    <w:rsid w:val="00A16DCC"/>
    <w:rsid w:val="00A17333"/>
    <w:rsid w:val="00A17ACC"/>
    <w:rsid w:val="00A21BB6"/>
    <w:rsid w:val="00A21E5B"/>
    <w:rsid w:val="00A24AB4"/>
    <w:rsid w:val="00A253AC"/>
    <w:rsid w:val="00A2631D"/>
    <w:rsid w:val="00A26CBF"/>
    <w:rsid w:val="00A30913"/>
    <w:rsid w:val="00A3183B"/>
    <w:rsid w:val="00A3191E"/>
    <w:rsid w:val="00A32874"/>
    <w:rsid w:val="00A339EC"/>
    <w:rsid w:val="00A3537A"/>
    <w:rsid w:val="00A3653D"/>
    <w:rsid w:val="00A42463"/>
    <w:rsid w:val="00A42DDD"/>
    <w:rsid w:val="00A43E7C"/>
    <w:rsid w:val="00A5213F"/>
    <w:rsid w:val="00A5398B"/>
    <w:rsid w:val="00A5608B"/>
    <w:rsid w:val="00A56E9F"/>
    <w:rsid w:val="00A606EF"/>
    <w:rsid w:val="00A60A4C"/>
    <w:rsid w:val="00A60DB3"/>
    <w:rsid w:val="00A627B1"/>
    <w:rsid w:val="00A6289F"/>
    <w:rsid w:val="00A660C1"/>
    <w:rsid w:val="00A70D35"/>
    <w:rsid w:val="00A70EC0"/>
    <w:rsid w:val="00A729E8"/>
    <w:rsid w:val="00A72A23"/>
    <w:rsid w:val="00A73091"/>
    <w:rsid w:val="00A7367D"/>
    <w:rsid w:val="00A738FF"/>
    <w:rsid w:val="00A764F2"/>
    <w:rsid w:val="00A770CF"/>
    <w:rsid w:val="00A77928"/>
    <w:rsid w:val="00A77951"/>
    <w:rsid w:val="00A77AB4"/>
    <w:rsid w:val="00A77BA2"/>
    <w:rsid w:val="00A77DDC"/>
    <w:rsid w:val="00A80E9D"/>
    <w:rsid w:val="00A85E96"/>
    <w:rsid w:val="00A87DA0"/>
    <w:rsid w:val="00A90697"/>
    <w:rsid w:val="00A90709"/>
    <w:rsid w:val="00A92DBC"/>
    <w:rsid w:val="00A96AF3"/>
    <w:rsid w:val="00A96F00"/>
    <w:rsid w:val="00A97F76"/>
    <w:rsid w:val="00AA09AC"/>
    <w:rsid w:val="00AA253E"/>
    <w:rsid w:val="00AA7679"/>
    <w:rsid w:val="00AA7D22"/>
    <w:rsid w:val="00AB0BE9"/>
    <w:rsid w:val="00AB0EDC"/>
    <w:rsid w:val="00AB1D5D"/>
    <w:rsid w:val="00AB1F9A"/>
    <w:rsid w:val="00AB2D6C"/>
    <w:rsid w:val="00AB32E7"/>
    <w:rsid w:val="00AB44C8"/>
    <w:rsid w:val="00AB68AE"/>
    <w:rsid w:val="00AB6A9E"/>
    <w:rsid w:val="00AB74A5"/>
    <w:rsid w:val="00AC0C59"/>
    <w:rsid w:val="00AC0CFE"/>
    <w:rsid w:val="00AC1823"/>
    <w:rsid w:val="00AC2A46"/>
    <w:rsid w:val="00AC49E3"/>
    <w:rsid w:val="00AC512D"/>
    <w:rsid w:val="00AC6FFF"/>
    <w:rsid w:val="00AD02FD"/>
    <w:rsid w:val="00AD0E39"/>
    <w:rsid w:val="00AD2257"/>
    <w:rsid w:val="00AD2F56"/>
    <w:rsid w:val="00AD41B6"/>
    <w:rsid w:val="00AD7023"/>
    <w:rsid w:val="00AE2E60"/>
    <w:rsid w:val="00AE2E84"/>
    <w:rsid w:val="00AF0FA4"/>
    <w:rsid w:val="00AF1FFD"/>
    <w:rsid w:val="00AF23BD"/>
    <w:rsid w:val="00AF6EB2"/>
    <w:rsid w:val="00B0080D"/>
    <w:rsid w:val="00B01215"/>
    <w:rsid w:val="00B04701"/>
    <w:rsid w:val="00B049F2"/>
    <w:rsid w:val="00B04B7E"/>
    <w:rsid w:val="00B0719E"/>
    <w:rsid w:val="00B1073C"/>
    <w:rsid w:val="00B113A1"/>
    <w:rsid w:val="00B119C1"/>
    <w:rsid w:val="00B13E4B"/>
    <w:rsid w:val="00B16527"/>
    <w:rsid w:val="00B16EA0"/>
    <w:rsid w:val="00B22702"/>
    <w:rsid w:val="00B237F9"/>
    <w:rsid w:val="00B26F12"/>
    <w:rsid w:val="00B300AB"/>
    <w:rsid w:val="00B32F7C"/>
    <w:rsid w:val="00B330AB"/>
    <w:rsid w:val="00B36DB8"/>
    <w:rsid w:val="00B40127"/>
    <w:rsid w:val="00B40913"/>
    <w:rsid w:val="00B41BA8"/>
    <w:rsid w:val="00B42554"/>
    <w:rsid w:val="00B45A65"/>
    <w:rsid w:val="00B4779F"/>
    <w:rsid w:val="00B4787F"/>
    <w:rsid w:val="00B52E66"/>
    <w:rsid w:val="00B53AB6"/>
    <w:rsid w:val="00B5404C"/>
    <w:rsid w:val="00B55CDD"/>
    <w:rsid w:val="00B56990"/>
    <w:rsid w:val="00B5754E"/>
    <w:rsid w:val="00B61A59"/>
    <w:rsid w:val="00B62B80"/>
    <w:rsid w:val="00B62F5B"/>
    <w:rsid w:val="00B70111"/>
    <w:rsid w:val="00B71A68"/>
    <w:rsid w:val="00B730CD"/>
    <w:rsid w:val="00B74497"/>
    <w:rsid w:val="00B74C3E"/>
    <w:rsid w:val="00B7688C"/>
    <w:rsid w:val="00B80746"/>
    <w:rsid w:val="00B81A17"/>
    <w:rsid w:val="00B81D82"/>
    <w:rsid w:val="00B831A8"/>
    <w:rsid w:val="00B84486"/>
    <w:rsid w:val="00B84FE5"/>
    <w:rsid w:val="00B87CC7"/>
    <w:rsid w:val="00B925A5"/>
    <w:rsid w:val="00B93A81"/>
    <w:rsid w:val="00B953E8"/>
    <w:rsid w:val="00B963FA"/>
    <w:rsid w:val="00B97372"/>
    <w:rsid w:val="00B9760F"/>
    <w:rsid w:val="00BA3064"/>
    <w:rsid w:val="00BA5750"/>
    <w:rsid w:val="00BA64F6"/>
    <w:rsid w:val="00BA6A17"/>
    <w:rsid w:val="00BA7C43"/>
    <w:rsid w:val="00BB11B5"/>
    <w:rsid w:val="00BB17BF"/>
    <w:rsid w:val="00BB51EE"/>
    <w:rsid w:val="00BC3ECE"/>
    <w:rsid w:val="00BC4B16"/>
    <w:rsid w:val="00BC4F66"/>
    <w:rsid w:val="00BC70EF"/>
    <w:rsid w:val="00BC7AA5"/>
    <w:rsid w:val="00BD09CD"/>
    <w:rsid w:val="00BD3544"/>
    <w:rsid w:val="00BD4449"/>
    <w:rsid w:val="00BD54FB"/>
    <w:rsid w:val="00BD5FBE"/>
    <w:rsid w:val="00BE3467"/>
    <w:rsid w:val="00BE61B6"/>
    <w:rsid w:val="00BE735D"/>
    <w:rsid w:val="00BF06CE"/>
    <w:rsid w:val="00BF4716"/>
    <w:rsid w:val="00BF5F8A"/>
    <w:rsid w:val="00BF7054"/>
    <w:rsid w:val="00BF7CA8"/>
    <w:rsid w:val="00C00E8A"/>
    <w:rsid w:val="00C00EF3"/>
    <w:rsid w:val="00C01750"/>
    <w:rsid w:val="00C036D5"/>
    <w:rsid w:val="00C03E0B"/>
    <w:rsid w:val="00C0588F"/>
    <w:rsid w:val="00C06B15"/>
    <w:rsid w:val="00C07DE2"/>
    <w:rsid w:val="00C1030A"/>
    <w:rsid w:val="00C11BD0"/>
    <w:rsid w:val="00C14ABE"/>
    <w:rsid w:val="00C15271"/>
    <w:rsid w:val="00C15838"/>
    <w:rsid w:val="00C16168"/>
    <w:rsid w:val="00C17388"/>
    <w:rsid w:val="00C2149E"/>
    <w:rsid w:val="00C21DB7"/>
    <w:rsid w:val="00C23E84"/>
    <w:rsid w:val="00C260D5"/>
    <w:rsid w:val="00C274BD"/>
    <w:rsid w:val="00C27509"/>
    <w:rsid w:val="00C279FC"/>
    <w:rsid w:val="00C27BF7"/>
    <w:rsid w:val="00C31325"/>
    <w:rsid w:val="00C31890"/>
    <w:rsid w:val="00C322C0"/>
    <w:rsid w:val="00C335BB"/>
    <w:rsid w:val="00C33746"/>
    <w:rsid w:val="00C37526"/>
    <w:rsid w:val="00C40226"/>
    <w:rsid w:val="00C40EA6"/>
    <w:rsid w:val="00C418E9"/>
    <w:rsid w:val="00C41ADD"/>
    <w:rsid w:val="00C43A9C"/>
    <w:rsid w:val="00C44672"/>
    <w:rsid w:val="00C46D46"/>
    <w:rsid w:val="00C5148B"/>
    <w:rsid w:val="00C5189E"/>
    <w:rsid w:val="00C51C93"/>
    <w:rsid w:val="00C520A7"/>
    <w:rsid w:val="00C54557"/>
    <w:rsid w:val="00C54C5F"/>
    <w:rsid w:val="00C559FF"/>
    <w:rsid w:val="00C568CB"/>
    <w:rsid w:val="00C57B84"/>
    <w:rsid w:val="00C57E33"/>
    <w:rsid w:val="00C611FB"/>
    <w:rsid w:val="00C6361B"/>
    <w:rsid w:val="00C6551F"/>
    <w:rsid w:val="00C67671"/>
    <w:rsid w:val="00C67DD1"/>
    <w:rsid w:val="00C70B03"/>
    <w:rsid w:val="00C712BD"/>
    <w:rsid w:val="00C713D4"/>
    <w:rsid w:val="00C721D1"/>
    <w:rsid w:val="00C72335"/>
    <w:rsid w:val="00C72638"/>
    <w:rsid w:val="00C75DF9"/>
    <w:rsid w:val="00C765D8"/>
    <w:rsid w:val="00C775BF"/>
    <w:rsid w:val="00C80582"/>
    <w:rsid w:val="00C81007"/>
    <w:rsid w:val="00C81990"/>
    <w:rsid w:val="00C827A8"/>
    <w:rsid w:val="00C82FAA"/>
    <w:rsid w:val="00C8343C"/>
    <w:rsid w:val="00C857CB"/>
    <w:rsid w:val="00C85C97"/>
    <w:rsid w:val="00C8740F"/>
    <w:rsid w:val="00C907F3"/>
    <w:rsid w:val="00C91925"/>
    <w:rsid w:val="00C91991"/>
    <w:rsid w:val="00C93009"/>
    <w:rsid w:val="00C93A9F"/>
    <w:rsid w:val="00CA03A8"/>
    <w:rsid w:val="00CA08BD"/>
    <w:rsid w:val="00CA240C"/>
    <w:rsid w:val="00CA3FAE"/>
    <w:rsid w:val="00CA50F4"/>
    <w:rsid w:val="00CA5304"/>
    <w:rsid w:val="00CA56A2"/>
    <w:rsid w:val="00CA5C4C"/>
    <w:rsid w:val="00CB21D1"/>
    <w:rsid w:val="00CB3AA7"/>
    <w:rsid w:val="00CB6561"/>
    <w:rsid w:val="00CC0A22"/>
    <w:rsid w:val="00CC14ED"/>
    <w:rsid w:val="00CC1D0D"/>
    <w:rsid w:val="00CC3231"/>
    <w:rsid w:val="00CC34B8"/>
    <w:rsid w:val="00CC3B75"/>
    <w:rsid w:val="00CC3BEB"/>
    <w:rsid w:val="00CC5CD9"/>
    <w:rsid w:val="00CC749F"/>
    <w:rsid w:val="00CC74EE"/>
    <w:rsid w:val="00CC79AD"/>
    <w:rsid w:val="00CD0716"/>
    <w:rsid w:val="00CD26CC"/>
    <w:rsid w:val="00CD34F4"/>
    <w:rsid w:val="00CD4367"/>
    <w:rsid w:val="00CD74E4"/>
    <w:rsid w:val="00CE06CF"/>
    <w:rsid w:val="00CE0834"/>
    <w:rsid w:val="00CE21C0"/>
    <w:rsid w:val="00CE45DB"/>
    <w:rsid w:val="00CE5D1E"/>
    <w:rsid w:val="00CE7BDA"/>
    <w:rsid w:val="00CF0D1D"/>
    <w:rsid w:val="00CF154B"/>
    <w:rsid w:val="00CF18FB"/>
    <w:rsid w:val="00CF1C1A"/>
    <w:rsid w:val="00CF2F3A"/>
    <w:rsid w:val="00CF73E0"/>
    <w:rsid w:val="00CF7DFF"/>
    <w:rsid w:val="00D02171"/>
    <w:rsid w:val="00D10B67"/>
    <w:rsid w:val="00D10BD9"/>
    <w:rsid w:val="00D125BE"/>
    <w:rsid w:val="00D129B1"/>
    <w:rsid w:val="00D133AE"/>
    <w:rsid w:val="00D151C6"/>
    <w:rsid w:val="00D15ED9"/>
    <w:rsid w:val="00D15F89"/>
    <w:rsid w:val="00D16DA0"/>
    <w:rsid w:val="00D17A44"/>
    <w:rsid w:val="00D20B2A"/>
    <w:rsid w:val="00D21C3A"/>
    <w:rsid w:val="00D22213"/>
    <w:rsid w:val="00D25AA9"/>
    <w:rsid w:val="00D27099"/>
    <w:rsid w:val="00D30CD7"/>
    <w:rsid w:val="00D30D59"/>
    <w:rsid w:val="00D315A7"/>
    <w:rsid w:val="00D323D4"/>
    <w:rsid w:val="00D3375E"/>
    <w:rsid w:val="00D3436A"/>
    <w:rsid w:val="00D354A3"/>
    <w:rsid w:val="00D361A9"/>
    <w:rsid w:val="00D36380"/>
    <w:rsid w:val="00D365EE"/>
    <w:rsid w:val="00D45264"/>
    <w:rsid w:val="00D462DC"/>
    <w:rsid w:val="00D54207"/>
    <w:rsid w:val="00D5453A"/>
    <w:rsid w:val="00D555DA"/>
    <w:rsid w:val="00D56F98"/>
    <w:rsid w:val="00D57381"/>
    <w:rsid w:val="00D57C6F"/>
    <w:rsid w:val="00D57C7F"/>
    <w:rsid w:val="00D618A3"/>
    <w:rsid w:val="00D623EE"/>
    <w:rsid w:val="00D630E2"/>
    <w:rsid w:val="00D634A6"/>
    <w:rsid w:val="00D63795"/>
    <w:rsid w:val="00D63ABE"/>
    <w:rsid w:val="00D678A5"/>
    <w:rsid w:val="00D712B3"/>
    <w:rsid w:val="00D71CA8"/>
    <w:rsid w:val="00D74F26"/>
    <w:rsid w:val="00D75175"/>
    <w:rsid w:val="00D77755"/>
    <w:rsid w:val="00D84B81"/>
    <w:rsid w:val="00D85B98"/>
    <w:rsid w:val="00D85EA6"/>
    <w:rsid w:val="00D860E9"/>
    <w:rsid w:val="00D91721"/>
    <w:rsid w:val="00D93403"/>
    <w:rsid w:val="00D94097"/>
    <w:rsid w:val="00D94483"/>
    <w:rsid w:val="00D94856"/>
    <w:rsid w:val="00D94EC1"/>
    <w:rsid w:val="00D97461"/>
    <w:rsid w:val="00D97B44"/>
    <w:rsid w:val="00DA0397"/>
    <w:rsid w:val="00DA0D70"/>
    <w:rsid w:val="00DA1217"/>
    <w:rsid w:val="00DA1818"/>
    <w:rsid w:val="00DA1BF0"/>
    <w:rsid w:val="00DA1FE1"/>
    <w:rsid w:val="00DA240A"/>
    <w:rsid w:val="00DA2512"/>
    <w:rsid w:val="00DA5291"/>
    <w:rsid w:val="00DA5ADA"/>
    <w:rsid w:val="00DA7A7D"/>
    <w:rsid w:val="00DB17CC"/>
    <w:rsid w:val="00DB39C3"/>
    <w:rsid w:val="00DB4B54"/>
    <w:rsid w:val="00DB6DC3"/>
    <w:rsid w:val="00DB7937"/>
    <w:rsid w:val="00DB7FBA"/>
    <w:rsid w:val="00DC0ED6"/>
    <w:rsid w:val="00DC10F9"/>
    <w:rsid w:val="00DC2580"/>
    <w:rsid w:val="00DC31EB"/>
    <w:rsid w:val="00DC3769"/>
    <w:rsid w:val="00DC4848"/>
    <w:rsid w:val="00DC539A"/>
    <w:rsid w:val="00DD0D89"/>
    <w:rsid w:val="00DD37C2"/>
    <w:rsid w:val="00DD37E9"/>
    <w:rsid w:val="00DD3BA4"/>
    <w:rsid w:val="00DD5296"/>
    <w:rsid w:val="00DD5A0B"/>
    <w:rsid w:val="00DD63D1"/>
    <w:rsid w:val="00DE1587"/>
    <w:rsid w:val="00DE33EB"/>
    <w:rsid w:val="00DE4275"/>
    <w:rsid w:val="00DE4375"/>
    <w:rsid w:val="00DE4BC0"/>
    <w:rsid w:val="00DE5AF8"/>
    <w:rsid w:val="00DE6E5C"/>
    <w:rsid w:val="00DE7616"/>
    <w:rsid w:val="00DF0884"/>
    <w:rsid w:val="00DF5370"/>
    <w:rsid w:val="00E03921"/>
    <w:rsid w:val="00E05EF8"/>
    <w:rsid w:val="00E079EF"/>
    <w:rsid w:val="00E11244"/>
    <w:rsid w:val="00E11735"/>
    <w:rsid w:val="00E11792"/>
    <w:rsid w:val="00E12FA9"/>
    <w:rsid w:val="00E13649"/>
    <w:rsid w:val="00E1391C"/>
    <w:rsid w:val="00E141ED"/>
    <w:rsid w:val="00E168CF"/>
    <w:rsid w:val="00E16CAE"/>
    <w:rsid w:val="00E1782C"/>
    <w:rsid w:val="00E17C84"/>
    <w:rsid w:val="00E209C7"/>
    <w:rsid w:val="00E23F94"/>
    <w:rsid w:val="00E2678B"/>
    <w:rsid w:val="00E2729E"/>
    <w:rsid w:val="00E31C40"/>
    <w:rsid w:val="00E32BA8"/>
    <w:rsid w:val="00E337CD"/>
    <w:rsid w:val="00E33F88"/>
    <w:rsid w:val="00E37272"/>
    <w:rsid w:val="00E41FEF"/>
    <w:rsid w:val="00E43446"/>
    <w:rsid w:val="00E451E0"/>
    <w:rsid w:val="00E4606F"/>
    <w:rsid w:val="00E46082"/>
    <w:rsid w:val="00E46209"/>
    <w:rsid w:val="00E50C92"/>
    <w:rsid w:val="00E515DB"/>
    <w:rsid w:val="00E51A2B"/>
    <w:rsid w:val="00E528D8"/>
    <w:rsid w:val="00E539D2"/>
    <w:rsid w:val="00E53A1B"/>
    <w:rsid w:val="00E54F7C"/>
    <w:rsid w:val="00E555DB"/>
    <w:rsid w:val="00E57D69"/>
    <w:rsid w:val="00E62F48"/>
    <w:rsid w:val="00E64590"/>
    <w:rsid w:val="00E65BA9"/>
    <w:rsid w:val="00E66D24"/>
    <w:rsid w:val="00E72298"/>
    <w:rsid w:val="00E727D0"/>
    <w:rsid w:val="00E738CC"/>
    <w:rsid w:val="00E73A3C"/>
    <w:rsid w:val="00E75F97"/>
    <w:rsid w:val="00E75F9E"/>
    <w:rsid w:val="00E766F6"/>
    <w:rsid w:val="00E8413C"/>
    <w:rsid w:val="00E85371"/>
    <w:rsid w:val="00E85F38"/>
    <w:rsid w:val="00E86079"/>
    <w:rsid w:val="00E8675A"/>
    <w:rsid w:val="00E8788F"/>
    <w:rsid w:val="00E90588"/>
    <w:rsid w:val="00E90DF1"/>
    <w:rsid w:val="00E91876"/>
    <w:rsid w:val="00E91EDC"/>
    <w:rsid w:val="00E9288E"/>
    <w:rsid w:val="00E93AC0"/>
    <w:rsid w:val="00E94082"/>
    <w:rsid w:val="00EA342A"/>
    <w:rsid w:val="00EA34A2"/>
    <w:rsid w:val="00EA3876"/>
    <w:rsid w:val="00EA406E"/>
    <w:rsid w:val="00EA52D3"/>
    <w:rsid w:val="00EA589F"/>
    <w:rsid w:val="00EA5F49"/>
    <w:rsid w:val="00EA6447"/>
    <w:rsid w:val="00EA6FC2"/>
    <w:rsid w:val="00EB0B3E"/>
    <w:rsid w:val="00EB0C65"/>
    <w:rsid w:val="00EB193C"/>
    <w:rsid w:val="00EB2329"/>
    <w:rsid w:val="00EB2FEB"/>
    <w:rsid w:val="00EB3E52"/>
    <w:rsid w:val="00EB41D8"/>
    <w:rsid w:val="00EB4E03"/>
    <w:rsid w:val="00EB5B18"/>
    <w:rsid w:val="00EB739F"/>
    <w:rsid w:val="00EC00A1"/>
    <w:rsid w:val="00EC0986"/>
    <w:rsid w:val="00EC4CC5"/>
    <w:rsid w:val="00EC5BFD"/>
    <w:rsid w:val="00EC6779"/>
    <w:rsid w:val="00EC6C11"/>
    <w:rsid w:val="00EC7C52"/>
    <w:rsid w:val="00ED11D7"/>
    <w:rsid w:val="00ED32F9"/>
    <w:rsid w:val="00ED35D8"/>
    <w:rsid w:val="00ED3727"/>
    <w:rsid w:val="00ED39B9"/>
    <w:rsid w:val="00ED3FF4"/>
    <w:rsid w:val="00ED43FE"/>
    <w:rsid w:val="00ED5989"/>
    <w:rsid w:val="00EE3D60"/>
    <w:rsid w:val="00EE460D"/>
    <w:rsid w:val="00EE488F"/>
    <w:rsid w:val="00EE4EF9"/>
    <w:rsid w:val="00EE550A"/>
    <w:rsid w:val="00EE5AC4"/>
    <w:rsid w:val="00EE7EC4"/>
    <w:rsid w:val="00EF00CA"/>
    <w:rsid w:val="00EF0694"/>
    <w:rsid w:val="00EF2E2C"/>
    <w:rsid w:val="00EF3B0F"/>
    <w:rsid w:val="00EF5820"/>
    <w:rsid w:val="00EF6FDE"/>
    <w:rsid w:val="00EF740D"/>
    <w:rsid w:val="00F07B60"/>
    <w:rsid w:val="00F11C4B"/>
    <w:rsid w:val="00F11E4A"/>
    <w:rsid w:val="00F12F31"/>
    <w:rsid w:val="00F1307A"/>
    <w:rsid w:val="00F13228"/>
    <w:rsid w:val="00F13C9C"/>
    <w:rsid w:val="00F14239"/>
    <w:rsid w:val="00F1502E"/>
    <w:rsid w:val="00F15A93"/>
    <w:rsid w:val="00F1646C"/>
    <w:rsid w:val="00F16954"/>
    <w:rsid w:val="00F20667"/>
    <w:rsid w:val="00F206C2"/>
    <w:rsid w:val="00F211B3"/>
    <w:rsid w:val="00F219FE"/>
    <w:rsid w:val="00F22375"/>
    <w:rsid w:val="00F2508D"/>
    <w:rsid w:val="00F25F7C"/>
    <w:rsid w:val="00F26E1E"/>
    <w:rsid w:val="00F27B93"/>
    <w:rsid w:val="00F30582"/>
    <w:rsid w:val="00F31051"/>
    <w:rsid w:val="00F33A2B"/>
    <w:rsid w:val="00F36571"/>
    <w:rsid w:val="00F36A49"/>
    <w:rsid w:val="00F40189"/>
    <w:rsid w:val="00F43FF0"/>
    <w:rsid w:val="00F44351"/>
    <w:rsid w:val="00F45F59"/>
    <w:rsid w:val="00F4755B"/>
    <w:rsid w:val="00F548D7"/>
    <w:rsid w:val="00F55264"/>
    <w:rsid w:val="00F55339"/>
    <w:rsid w:val="00F5578E"/>
    <w:rsid w:val="00F55F09"/>
    <w:rsid w:val="00F57902"/>
    <w:rsid w:val="00F605CE"/>
    <w:rsid w:val="00F60DBA"/>
    <w:rsid w:val="00F61551"/>
    <w:rsid w:val="00F61553"/>
    <w:rsid w:val="00F6169A"/>
    <w:rsid w:val="00F62916"/>
    <w:rsid w:val="00F63376"/>
    <w:rsid w:val="00F63D9A"/>
    <w:rsid w:val="00F64A71"/>
    <w:rsid w:val="00F65AE3"/>
    <w:rsid w:val="00F65D91"/>
    <w:rsid w:val="00F706F3"/>
    <w:rsid w:val="00F71BE2"/>
    <w:rsid w:val="00F72229"/>
    <w:rsid w:val="00F7363F"/>
    <w:rsid w:val="00F75527"/>
    <w:rsid w:val="00F80762"/>
    <w:rsid w:val="00F80F2E"/>
    <w:rsid w:val="00F82B8C"/>
    <w:rsid w:val="00F862F0"/>
    <w:rsid w:val="00F91142"/>
    <w:rsid w:val="00F92553"/>
    <w:rsid w:val="00F92622"/>
    <w:rsid w:val="00F93C34"/>
    <w:rsid w:val="00F94B70"/>
    <w:rsid w:val="00F956B2"/>
    <w:rsid w:val="00FA02D2"/>
    <w:rsid w:val="00FA05EF"/>
    <w:rsid w:val="00FA18D2"/>
    <w:rsid w:val="00FA6185"/>
    <w:rsid w:val="00FA629C"/>
    <w:rsid w:val="00FA64CA"/>
    <w:rsid w:val="00FB0BE2"/>
    <w:rsid w:val="00FB21DD"/>
    <w:rsid w:val="00FB33D4"/>
    <w:rsid w:val="00FB6CC7"/>
    <w:rsid w:val="00FB743C"/>
    <w:rsid w:val="00FC1F16"/>
    <w:rsid w:val="00FC3653"/>
    <w:rsid w:val="00FC3B89"/>
    <w:rsid w:val="00FC47E1"/>
    <w:rsid w:val="00FC76FA"/>
    <w:rsid w:val="00FD26AE"/>
    <w:rsid w:val="00FD3045"/>
    <w:rsid w:val="00FD307B"/>
    <w:rsid w:val="00FD3A5B"/>
    <w:rsid w:val="00FD4F2C"/>
    <w:rsid w:val="00FD6469"/>
    <w:rsid w:val="00FE0646"/>
    <w:rsid w:val="00FE0ADB"/>
    <w:rsid w:val="00FE3E82"/>
    <w:rsid w:val="00FE53CE"/>
    <w:rsid w:val="00FE56A9"/>
    <w:rsid w:val="00FE6402"/>
    <w:rsid w:val="00FE653F"/>
    <w:rsid w:val="00FE68E4"/>
    <w:rsid w:val="00FE6B66"/>
    <w:rsid w:val="00FE7BAB"/>
    <w:rsid w:val="00FF0498"/>
    <w:rsid w:val="00FF0ECF"/>
    <w:rsid w:val="00FF34A3"/>
    <w:rsid w:val="00FF56A9"/>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6677A6"/>
  <w15:chartTrackingRefBased/>
  <w15:docId w15:val="{E203B9BF-CFDF-49C0-8495-8D2F0CA7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8453CB"/>
    <w:rPr>
      <w:vertAlign w:val="superscript"/>
    </w:rPr>
  </w:style>
  <w:style w:type="paragraph" w:styleId="BalloonText">
    <w:name w:val="Balloon Text"/>
    <w:basedOn w:val="Normal"/>
    <w:semiHidden/>
    <w:rsid w:val="00292365"/>
    <w:rPr>
      <w:rFonts w:ascii="Tahoma" w:hAnsi="Tahoma" w:cs="Tahoma"/>
      <w:sz w:val="16"/>
      <w:szCs w:val="16"/>
    </w:rPr>
  </w:style>
  <w:style w:type="paragraph" w:customStyle="1" w:styleId="Default">
    <w:name w:val="Default"/>
    <w:rsid w:val="00550987"/>
    <w:pPr>
      <w:autoSpaceDE w:val="0"/>
      <w:autoSpaceDN w:val="0"/>
      <w:adjustRightInd w:val="0"/>
    </w:pPr>
    <w:rPr>
      <w:rFonts w:ascii="Verdana" w:hAnsi="Verdana" w:cs="Verdana"/>
      <w:color w:val="000000"/>
      <w:sz w:val="24"/>
      <w:szCs w:val="24"/>
    </w:rPr>
  </w:style>
  <w:style w:type="character" w:customStyle="1" w:styleId="Style1Char">
    <w:name w:val="Style1 Char"/>
    <w:link w:val="Style1"/>
    <w:rsid w:val="00E91EDC"/>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95062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55941735">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Props1.xml><?xml version="1.0" encoding="utf-8"?>
<ds:datastoreItem xmlns:ds="http://schemas.openxmlformats.org/officeDocument/2006/customXml" ds:itemID="{EE00467C-A1ED-4FDF-B252-77BC33AD7A89}">
  <ds:schemaRefs>
    <ds:schemaRef ds:uri="http://schemas.microsoft.com/sharepoint/v3/contenttype/forms"/>
  </ds:schemaRefs>
</ds:datastoreItem>
</file>

<file path=customXml/itemProps2.xml><?xml version="1.0" encoding="utf-8"?>
<ds:datastoreItem xmlns:ds="http://schemas.openxmlformats.org/officeDocument/2006/customXml" ds:itemID="{01B4B6D6-D78A-4C33-BAEC-8B7E22E264C0}"/>
</file>

<file path=customXml/itemProps3.xml><?xml version="1.0" encoding="utf-8"?>
<ds:datastoreItem xmlns:ds="http://schemas.openxmlformats.org/officeDocument/2006/customXml" ds:itemID="{8FEFE2A5-9B62-475F-89E9-451EB8752C1E}">
  <ds:schemaRefs>
    <ds:schemaRef ds:uri="http://schemas.openxmlformats.org/officeDocument/2006/bibliography"/>
  </ds:schemaRefs>
</ds:datastoreItem>
</file>

<file path=customXml/itemProps4.xml><?xml version="1.0" encoding="utf-8"?>
<ds:datastoreItem xmlns:ds="http://schemas.openxmlformats.org/officeDocument/2006/customXml" ds:itemID="{2BB51CCD-C894-4984-A59F-794E821EB2F9}">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27AA7AC4-F368-4645-B693-D85F5603C8F3}">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Decisions.dot</Template>
  <TotalTime>2</TotalTime>
  <Pages>7</Pages>
  <Words>2380</Words>
  <Characters>13571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Sch 14</vt:lpstr>
    </vt:vector>
  </TitlesOfParts>
  <Company>Department for Communities and Local Government</Company>
  <LinksUpToDate>false</LinksUpToDate>
  <CharactersWithSpaces>15920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 14</dc:title>
  <dc:subject/>
  <dc:creator>Annmarie.Behn.UK@planninginspectorate.gov.uk</dc:creator>
  <cp:keywords/>
  <cp:lastModifiedBy>Richards, Clive</cp:lastModifiedBy>
  <cp:revision>4</cp:revision>
  <cp:lastPrinted>2022-11-14T09:35:00Z</cp:lastPrinted>
  <dcterms:created xsi:type="dcterms:W3CDTF">2022-11-23T08:22:00Z</dcterms:created>
  <dcterms:modified xsi:type="dcterms:W3CDTF">2022-11-23T08:24:00Z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69e6cf60-825f-4e2b-a40f-dc38ef791c1a</vt:lpwstr>
  </property>
  <property fmtid="{D5CDD505-2E9C-101B-9397-08002B2CF9AE}" pid="6" name="bjSaver">
    <vt:lpwstr>0/D4LLz8KFefsUvlL+kY9eX383ag8/Wh</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MediaServiceImageTags">
    <vt:lpwstr/>
  </property>
</Properties>
</file>