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96DE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242D6C3" wp14:editId="7935B3FA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B764" w14:textId="77777777" w:rsidR="000B0589" w:rsidRDefault="000B0589" w:rsidP="00A5760C"/>
    <w:p w14:paraId="5CCA2AA7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923C24" w14:paraId="0B4F6AD7" w14:textId="77777777" w:rsidTr="0068708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2D332C4" w14:textId="4220B23F" w:rsidR="000B0589" w:rsidRPr="003B594B" w:rsidRDefault="0068708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bookmarkStart w:id="0" w:name="bmkTable00"/>
            <w:bookmarkEnd w:id="0"/>
            <w:r w:rsidRPr="003B594B">
              <w:rPr>
                <w:rFonts w:ascii="Arial" w:hAnsi="Arial" w:cs="Arial"/>
                <w:b/>
                <w:color w:val="000000"/>
                <w:sz w:val="32"/>
                <w:szCs w:val="32"/>
              </w:rPr>
              <w:t>Order Decision</w:t>
            </w:r>
          </w:p>
        </w:tc>
      </w:tr>
      <w:tr w:rsidR="000B0589" w:rsidRPr="00923C24" w14:paraId="3C187424" w14:textId="77777777" w:rsidTr="00687088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0C26139" w14:textId="0E8D4E7B" w:rsidR="000B0589" w:rsidRPr="00923C24" w:rsidRDefault="00687088" w:rsidP="00687088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color w:val="000000"/>
                <w:sz w:val="24"/>
                <w:szCs w:val="24"/>
              </w:rPr>
              <w:t>Site visit made on 7 June 2022</w:t>
            </w:r>
          </w:p>
        </w:tc>
      </w:tr>
      <w:tr w:rsidR="000B0589" w:rsidRPr="00923C24" w14:paraId="6D352184" w14:textId="77777777" w:rsidTr="0068708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12C57E8" w14:textId="5634826E" w:rsidR="000B0589" w:rsidRPr="00923C24" w:rsidRDefault="00687088" w:rsidP="00687088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b/>
                <w:color w:val="000000"/>
                <w:sz w:val="24"/>
                <w:szCs w:val="24"/>
              </w:rPr>
              <w:t>by C Beeby BA (Hons) MIPROW</w:t>
            </w:r>
          </w:p>
        </w:tc>
      </w:tr>
      <w:tr w:rsidR="000B0589" w:rsidRPr="00923C24" w14:paraId="6846FDBA" w14:textId="77777777" w:rsidTr="0068708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A53B4AC" w14:textId="42B0BCEC" w:rsidR="000B0589" w:rsidRPr="00923C24" w:rsidRDefault="0068708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b/>
                <w:color w:val="000000"/>
                <w:sz w:val="24"/>
                <w:szCs w:val="24"/>
              </w:rPr>
              <w:t>an Inspector appointed by the Secretary of State for Environment, Food and Rural Affairs</w:t>
            </w:r>
          </w:p>
        </w:tc>
      </w:tr>
      <w:tr w:rsidR="000B0589" w:rsidRPr="00923C24" w14:paraId="1480D2AB" w14:textId="77777777" w:rsidTr="0068708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680C135" w14:textId="4FE80C1B" w:rsidR="000B0589" w:rsidRPr="00923C24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Decision date:</w:t>
            </w:r>
            <w:r w:rsidR="00F0674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5 December 2022</w:t>
            </w:r>
          </w:p>
        </w:tc>
      </w:tr>
    </w:tbl>
    <w:p w14:paraId="05D4101F" w14:textId="77777777" w:rsidR="00687088" w:rsidRPr="00923C24" w:rsidRDefault="00687088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687088" w:rsidRPr="00923C24" w14:paraId="6FACCEBD" w14:textId="77777777" w:rsidTr="00687088">
        <w:tc>
          <w:tcPr>
            <w:tcW w:w="9520" w:type="dxa"/>
            <w:shd w:val="clear" w:color="auto" w:fill="auto"/>
          </w:tcPr>
          <w:p w14:paraId="186ED9F8" w14:textId="377CA6A7" w:rsidR="00687088" w:rsidRPr="00923C24" w:rsidRDefault="00687088" w:rsidP="00687088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ROW/3277979</w:t>
            </w:r>
          </w:p>
        </w:tc>
      </w:tr>
      <w:tr w:rsidR="00687088" w:rsidRPr="00923C24" w14:paraId="52A26820" w14:textId="77777777" w:rsidTr="00687088">
        <w:tc>
          <w:tcPr>
            <w:tcW w:w="9520" w:type="dxa"/>
            <w:shd w:val="clear" w:color="auto" w:fill="auto"/>
          </w:tcPr>
          <w:p w14:paraId="55951062" w14:textId="38A7FD55" w:rsidR="00687088" w:rsidRPr="00923C24" w:rsidRDefault="00687088" w:rsidP="00687088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923C24">
              <w:rPr>
                <w:rFonts w:ascii="Arial" w:hAnsi="Arial" w:cs="Arial"/>
                <w:sz w:val="24"/>
                <w:szCs w:val="24"/>
              </w:rPr>
              <w:t xml:space="preserve">This Order is made under Section 257 of the Town and Country Planning Act 1990 and is known as the </w:t>
            </w:r>
            <w:r w:rsidR="00956F2B" w:rsidRPr="00923C24">
              <w:rPr>
                <w:rFonts w:ascii="Arial" w:hAnsi="Arial" w:cs="Arial"/>
                <w:sz w:val="24"/>
                <w:szCs w:val="24"/>
              </w:rPr>
              <w:t>Borough Council of King’s Lynn and West Norfolk (Diversion of Footpath 09) Order 2019</w:t>
            </w:r>
            <w:r w:rsidRPr="00923C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7088" w:rsidRPr="00923C24" w14:paraId="6654CFEA" w14:textId="77777777" w:rsidTr="00687088">
        <w:tc>
          <w:tcPr>
            <w:tcW w:w="9520" w:type="dxa"/>
            <w:shd w:val="clear" w:color="auto" w:fill="auto"/>
          </w:tcPr>
          <w:p w14:paraId="7E56E324" w14:textId="1BA9B737" w:rsidR="00687088" w:rsidRPr="00923C24" w:rsidRDefault="00687088" w:rsidP="00687088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923C24">
              <w:rPr>
                <w:rFonts w:ascii="Arial" w:hAnsi="Arial" w:cs="Arial"/>
                <w:sz w:val="24"/>
                <w:szCs w:val="24"/>
              </w:rPr>
              <w:t xml:space="preserve">The Order is dated </w:t>
            </w:r>
            <w:r w:rsidR="00E37402" w:rsidRPr="00923C24">
              <w:rPr>
                <w:rFonts w:ascii="Arial" w:hAnsi="Arial" w:cs="Arial"/>
                <w:sz w:val="24"/>
                <w:szCs w:val="24"/>
              </w:rPr>
              <w:t>11 November 2020</w:t>
            </w:r>
            <w:r w:rsidRPr="00923C24">
              <w:rPr>
                <w:rFonts w:ascii="Arial" w:hAnsi="Arial" w:cs="Arial"/>
                <w:sz w:val="24"/>
                <w:szCs w:val="24"/>
              </w:rPr>
              <w:t xml:space="preserve"> and proposes to divert the public right of way shown on the Order plan and described in the Order Schedule.</w:t>
            </w:r>
          </w:p>
        </w:tc>
      </w:tr>
      <w:tr w:rsidR="00687088" w:rsidRPr="00923C24" w14:paraId="7E2AEDFF" w14:textId="77777777" w:rsidTr="00687088">
        <w:tc>
          <w:tcPr>
            <w:tcW w:w="9520" w:type="dxa"/>
            <w:shd w:val="clear" w:color="auto" w:fill="auto"/>
          </w:tcPr>
          <w:p w14:paraId="4DA2EB55" w14:textId="13C7873B" w:rsidR="00687088" w:rsidRPr="00923C24" w:rsidRDefault="00687088" w:rsidP="00687088">
            <w:pPr>
              <w:pStyle w:val="TBullet"/>
              <w:rPr>
                <w:rFonts w:ascii="Arial" w:hAnsi="Arial" w:cs="Arial"/>
                <w:sz w:val="24"/>
                <w:szCs w:val="24"/>
              </w:rPr>
            </w:pPr>
            <w:r w:rsidRPr="00923C24">
              <w:rPr>
                <w:rFonts w:ascii="Arial" w:hAnsi="Arial" w:cs="Arial"/>
                <w:sz w:val="24"/>
                <w:szCs w:val="24"/>
              </w:rPr>
              <w:t>There w</w:t>
            </w:r>
            <w:r w:rsidR="00E5468A" w:rsidRPr="00923C24">
              <w:rPr>
                <w:rFonts w:ascii="Arial" w:hAnsi="Arial" w:cs="Arial"/>
                <w:sz w:val="24"/>
                <w:szCs w:val="24"/>
              </w:rPr>
              <w:t>as one</w:t>
            </w:r>
            <w:r w:rsidRPr="00923C24">
              <w:rPr>
                <w:rFonts w:ascii="Arial" w:hAnsi="Arial" w:cs="Arial"/>
                <w:sz w:val="24"/>
                <w:szCs w:val="24"/>
              </w:rPr>
              <w:t xml:space="preserve"> objection outstanding when </w:t>
            </w:r>
            <w:r w:rsidR="00253054">
              <w:rPr>
                <w:rFonts w:ascii="Arial" w:hAnsi="Arial" w:cs="Arial"/>
                <w:sz w:val="24"/>
                <w:szCs w:val="24"/>
              </w:rPr>
              <w:t>t</w:t>
            </w:r>
            <w:r w:rsidRPr="00923C24">
              <w:rPr>
                <w:rFonts w:ascii="Arial" w:hAnsi="Arial" w:cs="Arial"/>
                <w:sz w:val="24"/>
                <w:szCs w:val="24"/>
              </w:rPr>
              <w:t>he Borough Council of King’s Lynn and West Norfolk submitted the Order to the Secretary of State for Environment, Food and Rural Affairs for confirmation.</w:t>
            </w:r>
          </w:p>
        </w:tc>
      </w:tr>
      <w:tr w:rsidR="00687088" w:rsidRPr="00923C24" w14:paraId="00D3B4CE" w14:textId="77777777" w:rsidTr="00687088">
        <w:tc>
          <w:tcPr>
            <w:tcW w:w="9520" w:type="dxa"/>
            <w:shd w:val="clear" w:color="auto" w:fill="auto"/>
          </w:tcPr>
          <w:p w14:paraId="2FF2632E" w14:textId="45E41CDB" w:rsidR="00687088" w:rsidRPr="00923C24" w:rsidRDefault="00687088" w:rsidP="00687088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23C24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41748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is confirmed.</w:t>
            </w:r>
          </w:p>
        </w:tc>
      </w:tr>
      <w:tr w:rsidR="00687088" w:rsidRPr="00923C24" w14:paraId="6AC6A455" w14:textId="77777777" w:rsidTr="00687088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5E61D8CA" w14:textId="77777777" w:rsidR="00687088" w:rsidRPr="00923C24" w:rsidRDefault="00687088" w:rsidP="00687088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1" w:name="bmkReturn"/>
            <w:bookmarkEnd w:id="1"/>
          </w:p>
        </w:tc>
      </w:tr>
    </w:tbl>
    <w:p w14:paraId="55879326" w14:textId="18975A02" w:rsidR="00687088" w:rsidRPr="001B6286" w:rsidRDefault="00687088" w:rsidP="00687088">
      <w:pPr>
        <w:pStyle w:val="Heading6blackfont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Procedural Matters</w:t>
      </w:r>
    </w:p>
    <w:p w14:paraId="5B286527" w14:textId="0E8C0ABA" w:rsidR="0018099C" w:rsidRPr="001B6286" w:rsidRDefault="001870D1" w:rsidP="00932E25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B6286">
        <w:rPr>
          <w:rFonts w:ascii="Arial" w:hAnsi="Arial" w:cs="Arial"/>
          <w:color w:val="auto"/>
          <w:sz w:val="24"/>
          <w:szCs w:val="24"/>
        </w:rPr>
        <w:t>In writing this decision I have found it convenient to refer to points marked on the Order Plan. I therefore attach a copy of this plan.</w:t>
      </w:r>
    </w:p>
    <w:p w14:paraId="1F633FC2" w14:textId="4B2A7399" w:rsidR="00687088" w:rsidRPr="001B6286" w:rsidRDefault="00687088" w:rsidP="00687088">
      <w:pPr>
        <w:pStyle w:val="Heading6blackfont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The Main Issues</w:t>
      </w:r>
    </w:p>
    <w:p w14:paraId="76B30A6C" w14:textId="4AB14AB6" w:rsidR="008F1DD8" w:rsidRPr="001B6286" w:rsidRDefault="008F1DD8" w:rsidP="008F1DD8">
      <w:pPr>
        <w:pStyle w:val="Style1"/>
        <w:tabs>
          <w:tab w:val="num" w:pos="720"/>
        </w:tabs>
        <w:rPr>
          <w:rFonts w:ascii="Arial" w:hAnsi="Arial" w:cs="Arial"/>
          <w:color w:val="auto"/>
          <w:sz w:val="24"/>
          <w:szCs w:val="24"/>
        </w:rPr>
      </w:pPr>
      <w:r w:rsidRPr="001B6286">
        <w:rPr>
          <w:rFonts w:ascii="Arial" w:hAnsi="Arial" w:cs="Arial"/>
          <w:color w:val="auto"/>
          <w:sz w:val="24"/>
          <w:szCs w:val="24"/>
        </w:rPr>
        <w:t xml:space="preserve">Section 257(1) of the Town and Country Planning Act 1990 (the 1990 Act) provides for an Order to be made to authorise the diversion of a footpath if it is necessary to do so </w:t>
      </w:r>
      <w:proofErr w:type="gramStart"/>
      <w:r w:rsidRPr="001B6286">
        <w:rPr>
          <w:rFonts w:ascii="Arial" w:hAnsi="Arial" w:cs="Arial"/>
          <w:color w:val="auto"/>
          <w:sz w:val="24"/>
          <w:szCs w:val="24"/>
        </w:rPr>
        <w:t xml:space="preserve">in order </w:t>
      </w:r>
      <w:bookmarkStart w:id="2" w:name="_Hlk119678241"/>
      <w:r w:rsidRPr="001B6286">
        <w:rPr>
          <w:rFonts w:ascii="Arial" w:hAnsi="Arial" w:cs="Arial"/>
          <w:color w:val="auto"/>
          <w:sz w:val="24"/>
          <w:szCs w:val="24"/>
        </w:rPr>
        <w:t>to</w:t>
      </w:r>
      <w:proofErr w:type="gramEnd"/>
      <w:r w:rsidRPr="001B6286">
        <w:rPr>
          <w:rFonts w:ascii="Arial" w:hAnsi="Arial" w:cs="Arial"/>
          <w:color w:val="auto"/>
          <w:sz w:val="24"/>
          <w:szCs w:val="24"/>
        </w:rPr>
        <w:t xml:space="preserve"> enable development to be carried out in accordance with planning permission </w:t>
      </w:r>
      <w:bookmarkEnd w:id="2"/>
      <w:r w:rsidRPr="001B6286">
        <w:rPr>
          <w:rFonts w:ascii="Arial" w:hAnsi="Arial" w:cs="Arial"/>
          <w:color w:val="auto"/>
          <w:sz w:val="24"/>
          <w:szCs w:val="24"/>
        </w:rPr>
        <w:t xml:space="preserve">already granted under Part III of the same Act. In this case the Order seeks </w:t>
      </w:r>
      <w:r w:rsidR="00F32BBC" w:rsidRPr="001B6286">
        <w:rPr>
          <w:rFonts w:ascii="Arial" w:hAnsi="Arial" w:cs="Arial"/>
          <w:color w:val="auto"/>
          <w:sz w:val="24"/>
          <w:szCs w:val="24"/>
        </w:rPr>
        <w:t xml:space="preserve">the diversion of </w:t>
      </w:r>
      <w:r w:rsidR="005256FE" w:rsidRPr="001B6286">
        <w:rPr>
          <w:rFonts w:ascii="Arial" w:hAnsi="Arial" w:cs="Arial"/>
          <w:color w:val="auto"/>
          <w:sz w:val="24"/>
          <w:szCs w:val="24"/>
        </w:rPr>
        <w:t xml:space="preserve">Footpath 09 in the village of </w:t>
      </w:r>
      <w:proofErr w:type="spellStart"/>
      <w:r w:rsidR="005256FE" w:rsidRPr="001B6286">
        <w:rPr>
          <w:rFonts w:ascii="Arial" w:hAnsi="Arial" w:cs="Arial"/>
          <w:color w:val="auto"/>
          <w:sz w:val="24"/>
          <w:szCs w:val="24"/>
        </w:rPr>
        <w:t>Methwold</w:t>
      </w:r>
      <w:proofErr w:type="spellEnd"/>
      <w:r w:rsidRPr="001B6286">
        <w:rPr>
          <w:rFonts w:ascii="Arial" w:hAnsi="Arial" w:cs="Arial"/>
          <w:color w:val="auto"/>
          <w:sz w:val="24"/>
          <w:szCs w:val="24"/>
        </w:rPr>
        <w:t>.</w:t>
      </w:r>
    </w:p>
    <w:p w14:paraId="4F571420" w14:textId="2C426E0E" w:rsidR="00DC7036" w:rsidRPr="001B6286" w:rsidRDefault="007E3846" w:rsidP="00AC2DCF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The statutory test outlined above involves consideration of the “need” for the Order.  If “necessary”, the “merits” of the Order will fall to be considered</w:t>
      </w:r>
      <w:r w:rsidR="00D22975" w:rsidRPr="001B6286">
        <w:rPr>
          <w:rFonts w:ascii="Arial" w:hAnsi="Arial" w:cs="Arial"/>
          <w:sz w:val="24"/>
          <w:szCs w:val="24"/>
        </w:rPr>
        <w:t>,</w:t>
      </w:r>
      <w:r w:rsidRPr="001B6286">
        <w:rPr>
          <w:rFonts w:ascii="Arial" w:hAnsi="Arial" w:cs="Arial"/>
          <w:sz w:val="24"/>
          <w:szCs w:val="24"/>
        </w:rPr>
        <w:t xml:space="preserve"> as set out in </w:t>
      </w:r>
      <w:r w:rsidR="00236DE8" w:rsidRPr="001B6286">
        <w:rPr>
          <w:rFonts w:ascii="Arial" w:hAnsi="Arial" w:cs="Arial"/>
          <w:sz w:val="24"/>
          <w:szCs w:val="24"/>
        </w:rPr>
        <w:t xml:space="preserve">the case of R (on the application of Network Rail Infrastructure Ltd) v S/S for Environment, Food and Rural Affairs </w:t>
      </w:r>
      <w:r w:rsidR="008418E9" w:rsidRPr="001B6286">
        <w:rPr>
          <w:rFonts w:ascii="Arial" w:hAnsi="Arial" w:cs="Arial"/>
          <w:sz w:val="24"/>
          <w:szCs w:val="24"/>
        </w:rPr>
        <w:t xml:space="preserve">[2018] EWCA </w:t>
      </w:r>
      <w:proofErr w:type="spellStart"/>
      <w:r w:rsidR="008418E9" w:rsidRPr="001B6286">
        <w:rPr>
          <w:rFonts w:ascii="Arial" w:hAnsi="Arial" w:cs="Arial"/>
          <w:sz w:val="24"/>
          <w:szCs w:val="24"/>
        </w:rPr>
        <w:t>Civ</w:t>
      </w:r>
      <w:proofErr w:type="spellEnd"/>
      <w:r w:rsidR="008418E9" w:rsidRPr="001B6286">
        <w:rPr>
          <w:rFonts w:ascii="Arial" w:hAnsi="Arial" w:cs="Arial"/>
          <w:sz w:val="24"/>
          <w:szCs w:val="24"/>
        </w:rPr>
        <w:t xml:space="preserve"> 2069.</w:t>
      </w:r>
      <w:r w:rsidRPr="001B6286">
        <w:rPr>
          <w:rFonts w:ascii="Arial" w:hAnsi="Arial" w:cs="Arial"/>
          <w:sz w:val="24"/>
          <w:szCs w:val="24"/>
        </w:rPr>
        <w:t xml:space="preserve"> </w:t>
      </w:r>
    </w:p>
    <w:p w14:paraId="1CD6D318" w14:textId="764A606C" w:rsidR="00687088" w:rsidRPr="001B6286" w:rsidRDefault="00687088" w:rsidP="00687088">
      <w:pPr>
        <w:pStyle w:val="Heading6blackfont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Reasons</w:t>
      </w:r>
    </w:p>
    <w:p w14:paraId="1E61F7B0" w14:textId="4EA40968" w:rsidR="00DE48D2" w:rsidRPr="001B6286" w:rsidRDefault="00DE48D2" w:rsidP="00DE48D2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1B6286">
        <w:rPr>
          <w:rFonts w:ascii="Arial" w:hAnsi="Arial" w:cs="Arial"/>
          <w:i/>
          <w:iCs/>
          <w:sz w:val="24"/>
          <w:szCs w:val="24"/>
        </w:rPr>
        <w:t>Background</w:t>
      </w:r>
    </w:p>
    <w:p w14:paraId="0609BC31" w14:textId="25FF7A97" w:rsidR="00DE48D2" w:rsidRPr="001B6286" w:rsidRDefault="00DE48D2" w:rsidP="00DE48D2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The footpath in question (</w:t>
      </w:r>
      <w:r w:rsidR="00665C26" w:rsidRPr="001B6286">
        <w:rPr>
          <w:rFonts w:ascii="Arial" w:hAnsi="Arial" w:cs="Arial"/>
          <w:sz w:val="24"/>
          <w:szCs w:val="24"/>
        </w:rPr>
        <w:t xml:space="preserve">A-B) </w:t>
      </w:r>
      <w:r w:rsidR="00E803BC" w:rsidRPr="001B6286">
        <w:rPr>
          <w:rFonts w:ascii="Arial" w:hAnsi="Arial" w:cs="Arial"/>
          <w:sz w:val="24"/>
          <w:szCs w:val="24"/>
        </w:rPr>
        <w:t>co</w:t>
      </w:r>
      <w:r w:rsidR="00321906" w:rsidRPr="001B6286">
        <w:rPr>
          <w:rFonts w:ascii="Arial" w:hAnsi="Arial" w:cs="Arial"/>
          <w:sz w:val="24"/>
          <w:szCs w:val="24"/>
        </w:rPr>
        <w:t xml:space="preserve">nnects </w:t>
      </w:r>
      <w:r w:rsidR="005B5A31" w:rsidRPr="001B6286">
        <w:rPr>
          <w:rFonts w:ascii="Arial" w:hAnsi="Arial" w:cs="Arial"/>
          <w:sz w:val="24"/>
          <w:szCs w:val="24"/>
        </w:rPr>
        <w:t xml:space="preserve">Hall Farm Drive </w:t>
      </w:r>
      <w:r w:rsidR="002A6CF5" w:rsidRPr="001B6286">
        <w:rPr>
          <w:rFonts w:ascii="Arial" w:hAnsi="Arial" w:cs="Arial"/>
          <w:sz w:val="24"/>
          <w:szCs w:val="24"/>
        </w:rPr>
        <w:t xml:space="preserve">off Crown Street </w:t>
      </w:r>
      <w:r w:rsidR="009D629A" w:rsidRPr="001B6286">
        <w:rPr>
          <w:rFonts w:ascii="Arial" w:hAnsi="Arial" w:cs="Arial"/>
          <w:sz w:val="24"/>
          <w:szCs w:val="24"/>
        </w:rPr>
        <w:t xml:space="preserve">and </w:t>
      </w:r>
      <w:r w:rsidR="00FB23E3" w:rsidRPr="001B6286">
        <w:rPr>
          <w:rFonts w:ascii="Arial" w:hAnsi="Arial" w:cs="Arial"/>
          <w:sz w:val="24"/>
          <w:szCs w:val="24"/>
        </w:rPr>
        <w:t>a</w:t>
      </w:r>
      <w:r w:rsidR="00277C8A" w:rsidRPr="001B6286">
        <w:rPr>
          <w:rFonts w:ascii="Arial" w:hAnsi="Arial" w:cs="Arial"/>
          <w:sz w:val="24"/>
          <w:szCs w:val="24"/>
        </w:rPr>
        <w:t xml:space="preserve"> recreation ground</w:t>
      </w:r>
      <w:r w:rsidR="00FB23E3" w:rsidRPr="001B6286">
        <w:rPr>
          <w:rFonts w:ascii="Arial" w:hAnsi="Arial" w:cs="Arial"/>
          <w:sz w:val="24"/>
          <w:szCs w:val="24"/>
        </w:rPr>
        <w:t>.</w:t>
      </w:r>
    </w:p>
    <w:p w14:paraId="03B7A199" w14:textId="2B508DCB" w:rsidR="0033127A" w:rsidRPr="001B6286" w:rsidRDefault="002A2768" w:rsidP="00054304">
      <w:pPr>
        <w:pStyle w:val="Style1"/>
        <w:tabs>
          <w:tab w:val="num" w:pos="720"/>
        </w:tabs>
        <w:spacing w:before="240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 xml:space="preserve">Planning Permission (Local Planning Authority (LPA) reference </w:t>
      </w:r>
      <w:r w:rsidR="00054304" w:rsidRPr="001B6286">
        <w:rPr>
          <w:rFonts w:ascii="Arial" w:hAnsi="Arial" w:cs="Arial"/>
          <w:sz w:val="24"/>
          <w:szCs w:val="24"/>
        </w:rPr>
        <w:t xml:space="preserve">15/01683/FM) was granted on </w:t>
      </w:r>
      <w:r w:rsidR="00444275" w:rsidRPr="001B6286">
        <w:rPr>
          <w:rFonts w:ascii="Arial" w:hAnsi="Arial" w:cs="Arial"/>
          <w:sz w:val="24"/>
          <w:szCs w:val="24"/>
        </w:rPr>
        <w:t>5 August 2016</w:t>
      </w:r>
      <w:r w:rsidR="00283903" w:rsidRPr="001B6286">
        <w:rPr>
          <w:rFonts w:ascii="Arial" w:hAnsi="Arial" w:cs="Arial"/>
          <w:sz w:val="24"/>
          <w:szCs w:val="24"/>
        </w:rPr>
        <w:t xml:space="preserve"> </w:t>
      </w:r>
      <w:r w:rsidR="00054304" w:rsidRPr="001B6286">
        <w:rPr>
          <w:rFonts w:ascii="Arial" w:hAnsi="Arial" w:cs="Arial"/>
          <w:sz w:val="24"/>
          <w:szCs w:val="24"/>
        </w:rPr>
        <w:t xml:space="preserve">for </w:t>
      </w:r>
      <w:r w:rsidR="00FE6900" w:rsidRPr="001B6286">
        <w:rPr>
          <w:rFonts w:ascii="Arial" w:hAnsi="Arial" w:cs="Arial"/>
          <w:sz w:val="24"/>
          <w:szCs w:val="24"/>
        </w:rPr>
        <w:t>the construction of 30 dwellings and associated infrastructure on vacant field</w:t>
      </w:r>
      <w:r w:rsidR="00444275" w:rsidRPr="001B6286">
        <w:rPr>
          <w:rFonts w:ascii="Arial" w:hAnsi="Arial" w:cs="Arial"/>
          <w:sz w:val="24"/>
          <w:szCs w:val="24"/>
        </w:rPr>
        <w:t xml:space="preserve"> </w:t>
      </w:r>
      <w:r w:rsidR="003B7390" w:rsidRPr="001B6286">
        <w:rPr>
          <w:rFonts w:ascii="Arial" w:hAnsi="Arial" w:cs="Arial"/>
          <w:sz w:val="24"/>
          <w:szCs w:val="24"/>
        </w:rPr>
        <w:t>at</w:t>
      </w:r>
      <w:r w:rsidR="00444275" w:rsidRPr="001B6286">
        <w:rPr>
          <w:rFonts w:ascii="Arial" w:hAnsi="Arial" w:cs="Arial"/>
          <w:sz w:val="24"/>
          <w:szCs w:val="24"/>
        </w:rPr>
        <w:t xml:space="preserve"> Land at Crown Street </w:t>
      </w:r>
      <w:proofErr w:type="spellStart"/>
      <w:r w:rsidR="00444275" w:rsidRPr="001B6286">
        <w:rPr>
          <w:rFonts w:ascii="Arial" w:hAnsi="Arial" w:cs="Arial"/>
          <w:sz w:val="24"/>
          <w:szCs w:val="24"/>
        </w:rPr>
        <w:t>Methwold</w:t>
      </w:r>
      <w:proofErr w:type="spellEnd"/>
      <w:r w:rsidR="00FE6900" w:rsidRPr="001B6286">
        <w:rPr>
          <w:rFonts w:ascii="Arial" w:hAnsi="Arial" w:cs="Arial"/>
          <w:sz w:val="24"/>
          <w:szCs w:val="24"/>
        </w:rPr>
        <w:t>.</w:t>
      </w:r>
    </w:p>
    <w:p w14:paraId="00976B39" w14:textId="46AC44E0" w:rsidR="00053991" w:rsidRPr="001B6286" w:rsidRDefault="00053991" w:rsidP="00DE48D2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lastRenderedPageBreak/>
        <w:t>Planning permission (LPA reference</w:t>
      </w:r>
      <w:r w:rsidR="00191E4C" w:rsidRPr="001B6286">
        <w:rPr>
          <w:rFonts w:ascii="Arial" w:hAnsi="Arial" w:cs="Arial"/>
          <w:sz w:val="24"/>
          <w:szCs w:val="24"/>
        </w:rPr>
        <w:t xml:space="preserve"> </w:t>
      </w:r>
      <w:r w:rsidR="002B0BB3" w:rsidRPr="001B6286">
        <w:rPr>
          <w:rFonts w:ascii="Arial" w:hAnsi="Arial" w:cs="Arial"/>
          <w:sz w:val="24"/>
          <w:szCs w:val="24"/>
        </w:rPr>
        <w:t>19/00144/F</w:t>
      </w:r>
      <w:r w:rsidR="00F75FBB" w:rsidRPr="001B6286">
        <w:rPr>
          <w:rFonts w:ascii="Arial" w:hAnsi="Arial" w:cs="Arial"/>
          <w:sz w:val="24"/>
          <w:szCs w:val="24"/>
        </w:rPr>
        <w:t xml:space="preserve">) was granted </w:t>
      </w:r>
      <w:r w:rsidR="00CB6B5C" w:rsidRPr="001B6286">
        <w:rPr>
          <w:rFonts w:ascii="Arial" w:hAnsi="Arial" w:cs="Arial"/>
          <w:sz w:val="24"/>
          <w:szCs w:val="24"/>
        </w:rPr>
        <w:t xml:space="preserve">on </w:t>
      </w:r>
      <w:r w:rsidR="00D61D01" w:rsidRPr="001B6286">
        <w:rPr>
          <w:rFonts w:ascii="Arial" w:hAnsi="Arial" w:cs="Arial"/>
          <w:sz w:val="24"/>
          <w:szCs w:val="24"/>
        </w:rPr>
        <w:t>12 July 2019</w:t>
      </w:r>
      <w:r w:rsidR="00191E4C" w:rsidRPr="001B6286">
        <w:rPr>
          <w:rFonts w:ascii="Arial" w:hAnsi="Arial" w:cs="Arial"/>
          <w:sz w:val="24"/>
          <w:szCs w:val="24"/>
        </w:rPr>
        <w:t xml:space="preserve"> </w:t>
      </w:r>
      <w:r w:rsidR="00283903" w:rsidRPr="001B6286">
        <w:rPr>
          <w:rFonts w:ascii="Arial" w:hAnsi="Arial" w:cs="Arial"/>
          <w:sz w:val="24"/>
          <w:szCs w:val="24"/>
        </w:rPr>
        <w:t xml:space="preserve">(the 2019 permission) </w:t>
      </w:r>
      <w:r w:rsidR="00191E4C" w:rsidRPr="001B6286">
        <w:rPr>
          <w:rFonts w:ascii="Arial" w:hAnsi="Arial" w:cs="Arial"/>
          <w:sz w:val="24"/>
          <w:szCs w:val="24"/>
        </w:rPr>
        <w:t xml:space="preserve">for </w:t>
      </w:r>
      <w:r w:rsidR="00752162" w:rsidRPr="001B6286">
        <w:rPr>
          <w:rFonts w:ascii="Arial" w:hAnsi="Arial" w:cs="Arial"/>
          <w:sz w:val="24"/>
          <w:szCs w:val="24"/>
        </w:rPr>
        <w:t xml:space="preserve">the variation of condition 2 of planning permission 15/01683/FM to amend </w:t>
      </w:r>
      <w:r w:rsidR="007F0F75" w:rsidRPr="001B6286">
        <w:rPr>
          <w:rFonts w:ascii="Arial" w:hAnsi="Arial" w:cs="Arial"/>
          <w:sz w:val="24"/>
          <w:szCs w:val="24"/>
        </w:rPr>
        <w:t>the approved plans</w:t>
      </w:r>
      <w:r w:rsidR="0033127A" w:rsidRPr="001B6286">
        <w:rPr>
          <w:rFonts w:ascii="Arial" w:hAnsi="Arial" w:cs="Arial"/>
          <w:sz w:val="24"/>
          <w:szCs w:val="24"/>
        </w:rPr>
        <w:t>.</w:t>
      </w:r>
      <w:r w:rsidR="001A0F14" w:rsidRPr="001B6286">
        <w:rPr>
          <w:rFonts w:ascii="Arial" w:hAnsi="Arial" w:cs="Arial"/>
          <w:sz w:val="24"/>
          <w:szCs w:val="24"/>
        </w:rPr>
        <w:t xml:space="preserve"> This became the new planning permission.</w:t>
      </w:r>
    </w:p>
    <w:p w14:paraId="4083A1A9" w14:textId="3FC1ABD7" w:rsidR="004C6E61" w:rsidRPr="001B6286" w:rsidRDefault="004C6E61" w:rsidP="004C6E61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1B6286">
        <w:rPr>
          <w:rFonts w:ascii="Arial" w:hAnsi="Arial" w:cs="Arial"/>
          <w:i/>
          <w:iCs/>
          <w:sz w:val="24"/>
          <w:szCs w:val="24"/>
        </w:rPr>
        <w:t xml:space="preserve">Whether the </w:t>
      </w:r>
      <w:r w:rsidR="0023276A" w:rsidRPr="001B6286">
        <w:rPr>
          <w:rFonts w:ascii="Arial" w:hAnsi="Arial" w:cs="Arial"/>
          <w:i/>
          <w:iCs/>
          <w:sz w:val="24"/>
          <w:szCs w:val="24"/>
        </w:rPr>
        <w:t>diversion</w:t>
      </w:r>
      <w:r w:rsidRPr="001B6286">
        <w:rPr>
          <w:rFonts w:ascii="Arial" w:hAnsi="Arial" w:cs="Arial"/>
          <w:i/>
          <w:iCs/>
          <w:sz w:val="24"/>
          <w:szCs w:val="24"/>
        </w:rPr>
        <w:t xml:space="preserve"> of Footpath 09 </w:t>
      </w:r>
      <w:proofErr w:type="spellStart"/>
      <w:r w:rsidRPr="001B6286">
        <w:rPr>
          <w:rFonts w:ascii="Arial" w:hAnsi="Arial" w:cs="Arial"/>
          <w:i/>
          <w:iCs/>
          <w:sz w:val="24"/>
          <w:szCs w:val="24"/>
        </w:rPr>
        <w:t>Methwold</w:t>
      </w:r>
      <w:proofErr w:type="spellEnd"/>
      <w:r w:rsidRPr="001B6286">
        <w:rPr>
          <w:rFonts w:ascii="Arial" w:hAnsi="Arial" w:cs="Arial"/>
          <w:i/>
          <w:iCs/>
          <w:sz w:val="24"/>
          <w:szCs w:val="24"/>
        </w:rPr>
        <w:t xml:space="preserve"> is necessary to allow development to be carried out in accordance with planning permission</w:t>
      </w:r>
    </w:p>
    <w:p w14:paraId="4AC40919" w14:textId="17C7866B" w:rsidR="004C6E61" w:rsidRPr="001B6286" w:rsidRDefault="00B70947" w:rsidP="004C6E6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 xml:space="preserve">For the purposes of this decision there is no dispute that the </w:t>
      </w:r>
      <w:r w:rsidR="00283903" w:rsidRPr="001B6286">
        <w:rPr>
          <w:rFonts w:ascii="Arial" w:hAnsi="Arial" w:cs="Arial"/>
          <w:sz w:val="24"/>
          <w:szCs w:val="24"/>
        </w:rPr>
        <w:t>2019</w:t>
      </w:r>
      <w:r w:rsidRPr="001B6286">
        <w:rPr>
          <w:rFonts w:ascii="Arial" w:hAnsi="Arial" w:cs="Arial"/>
          <w:sz w:val="24"/>
          <w:szCs w:val="24"/>
        </w:rPr>
        <w:t xml:space="preserve"> permission is the relevant permission, which has been implemented.  It directly relates to the land crossed by Footpath 09 </w:t>
      </w:r>
      <w:proofErr w:type="spellStart"/>
      <w:r w:rsidRPr="001B6286">
        <w:rPr>
          <w:rFonts w:ascii="Arial" w:hAnsi="Arial" w:cs="Arial"/>
          <w:sz w:val="24"/>
          <w:szCs w:val="24"/>
        </w:rPr>
        <w:t>Methwold</w:t>
      </w:r>
      <w:proofErr w:type="spellEnd"/>
      <w:r w:rsidRPr="001B6286">
        <w:rPr>
          <w:rFonts w:ascii="Arial" w:hAnsi="Arial" w:cs="Arial"/>
          <w:sz w:val="24"/>
          <w:szCs w:val="24"/>
        </w:rPr>
        <w:t>.</w:t>
      </w:r>
    </w:p>
    <w:p w14:paraId="59201BA1" w14:textId="7E570036" w:rsidR="00BC0A2D" w:rsidRPr="001B6286" w:rsidRDefault="00BA7E37" w:rsidP="00BE28AD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The need for an order under section 257 of the 1990 Act may be satisfied by the existence of either a legal or physical obstacle to the development proceeding.</w:t>
      </w:r>
      <w:r w:rsidR="00FA2A80" w:rsidRPr="001B6286">
        <w:rPr>
          <w:rFonts w:ascii="Arial" w:hAnsi="Arial" w:cs="Arial"/>
          <w:sz w:val="24"/>
          <w:szCs w:val="24"/>
        </w:rPr>
        <w:t xml:space="preserve">  </w:t>
      </w:r>
      <w:r w:rsidR="00F71315" w:rsidRPr="001B6286">
        <w:rPr>
          <w:rFonts w:ascii="Arial" w:hAnsi="Arial" w:cs="Arial"/>
          <w:color w:val="auto"/>
          <w:sz w:val="24"/>
          <w:szCs w:val="24"/>
        </w:rPr>
        <w:t>The evidence before me does not suggest that there would be a</w:t>
      </w:r>
      <w:r w:rsidR="000239BE" w:rsidRPr="001B6286">
        <w:rPr>
          <w:rFonts w:ascii="Arial" w:hAnsi="Arial" w:cs="Arial"/>
          <w:color w:val="auto"/>
          <w:sz w:val="24"/>
          <w:szCs w:val="24"/>
        </w:rPr>
        <w:t xml:space="preserve"> </w:t>
      </w:r>
      <w:r w:rsidR="00B16149" w:rsidRPr="001B6286">
        <w:rPr>
          <w:rFonts w:ascii="Arial" w:hAnsi="Arial" w:cs="Arial"/>
          <w:color w:val="auto"/>
          <w:sz w:val="24"/>
          <w:szCs w:val="24"/>
        </w:rPr>
        <w:t xml:space="preserve">legal obstacle to the development proceeding </w:t>
      </w:r>
      <w:r w:rsidR="00352EB2" w:rsidRPr="001B6286">
        <w:rPr>
          <w:rFonts w:ascii="Arial" w:hAnsi="Arial" w:cs="Arial"/>
          <w:color w:val="auto"/>
          <w:sz w:val="24"/>
          <w:szCs w:val="24"/>
        </w:rPr>
        <w:t xml:space="preserve">in the absence of the proposed </w:t>
      </w:r>
      <w:r w:rsidR="0023276A" w:rsidRPr="001B6286">
        <w:rPr>
          <w:rFonts w:ascii="Arial" w:hAnsi="Arial" w:cs="Arial"/>
          <w:color w:val="auto"/>
          <w:sz w:val="24"/>
          <w:szCs w:val="24"/>
        </w:rPr>
        <w:t>diversion</w:t>
      </w:r>
      <w:r w:rsidR="00352EB2" w:rsidRPr="001B6286">
        <w:rPr>
          <w:rFonts w:ascii="Arial" w:hAnsi="Arial" w:cs="Arial"/>
          <w:color w:val="auto"/>
          <w:sz w:val="24"/>
          <w:szCs w:val="24"/>
        </w:rPr>
        <w:t>.</w:t>
      </w:r>
    </w:p>
    <w:p w14:paraId="198E54D4" w14:textId="68F9659D" w:rsidR="00EB32EB" w:rsidRPr="001B6286" w:rsidRDefault="00EB32EB" w:rsidP="00FA791A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Garden boundary fences would obstruct the existing public footpath at three points.</w:t>
      </w:r>
      <w:r w:rsidR="00E3076B" w:rsidRPr="001B6286">
        <w:rPr>
          <w:rFonts w:ascii="Arial" w:hAnsi="Arial" w:cs="Arial"/>
          <w:sz w:val="24"/>
          <w:szCs w:val="24"/>
        </w:rPr>
        <w:t xml:space="preserve">  </w:t>
      </w:r>
      <w:r w:rsidR="00FA791A" w:rsidRPr="001B6286">
        <w:rPr>
          <w:rFonts w:ascii="Arial" w:hAnsi="Arial" w:cs="Arial"/>
          <w:sz w:val="24"/>
          <w:szCs w:val="24"/>
        </w:rPr>
        <w:t xml:space="preserve">Thus, there is a physical obstacle to the development proceeding which demonstrates a need for the Order.  </w:t>
      </w:r>
      <w:r w:rsidR="00E3076B" w:rsidRPr="001B6286">
        <w:rPr>
          <w:rFonts w:ascii="Arial" w:hAnsi="Arial" w:cs="Arial"/>
          <w:sz w:val="24"/>
          <w:szCs w:val="24"/>
        </w:rPr>
        <w:t xml:space="preserve">Diversion of the footpath between </w:t>
      </w:r>
      <w:r w:rsidR="00FA791A" w:rsidRPr="001B6286">
        <w:rPr>
          <w:rFonts w:ascii="Arial" w:hAnsi="Arial" w:cs="Arial"/>
          <w:sz w:val="24"/>
          <w:szCs w:val="24"/>
        </w:rPr>
        <w:t>points A and B is consequently necessary to enable the development to be constructed in accordance with the approved plans.</w:t>
      </w:r>
    </w:p>
    <w:p w14:paraId="42BC3205" w14:textId="51A04730" w:rsidR="005A3935" w:rsidRPr="001B6286" w:rsidRDefault="005A3935" w:rsidP="005A3935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1B6286">
        <w:rPr>
          <w:rFonts w:ascii="Arial" w:hAnsi="Arial" w:cs="Arial"/>
          <w:i/>
          <w:iCs/>
          <w:sz w:val="24"/>
          <w:szCs w:val="24"/>
        </w:rPr>
        <w:t>The merits or disadvantages of the proposed alternative route</w:t>
      </w:r>
    </w:p>
    <w:p w14:paraId="14882AE0" w14:textId="1049FDAF" w:rsidR="00BD2909" w:rsidRPr="001B6286" w:rsidRDefault="00C6534D" w:rsidP="006C58C3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 xml:space="preserve">The diverted section </w:t>
      </w:r>
      <w:r w:rsidR="00FE3548" w:rsidRPr="001B6286">
        <w:rPr>
          <w:rFonts w:ascii="Arial" w:hAnsi="Arial" w:cs="Arial"/>
          <w:sz w:val="24"/>
          <w:szCs w:val="24"/>
        </w:rPr>
        <w:t>B-C would continue the open field views available from section A-C</w:t>
      </w:r>
      <w:r w:rsidR="00564DA4" w:rsidRPr="001B6286">
        <w:rPr>
          <w:rFonts w:ascii="Arial" w:hAnsi="Arial" w:cs="Arial"/>
          <w:sz w:val="24"/>
          <w:szCs w:val="24"/>
        </w:rPr>
        <w:t>, and would</w:t>
      </w:r>
      <w:r w:rsidR="000764D0" w:rsidRPr="001B6286">
        <w:rPr>
          <w:rFonts w:ascii="Arial" w:hAnsi="Arial" w:cs="Arial"/>
          <w:sz w:val="24"/>
          <w:szCs w:val="24"/>
        </w:rPr>
        <w:t xml:space="preserve"> be surfaced, providing accessibility </w:t>
      </w:r>
      <w:r w:rsidR="006C58C3" w:rsidRPr="001B6286">
        <w:rPr>
          <w:rFonts w:ascii="Arial" w:hAnsi="Arial" w:cs="Arial"/>
          <w:sz w:val="24"/>
          <w:szCs w:val="24"/>
        </w:rPr>
        <w:t>benefits</w:t>
      </w:r>
      <w:r w:rsidR="00BD2909" w:rsidRPr="001B6286">
        <w:rPr>
          <w:rFonts w:ascii="Arial" w:hAnsi="Arial" w:cs="Arial"/>
          <w:sz w:val="24"/>
          <w:szCs w:val="24"/>
        </w:rPr>
        <w:t>.</w:t>
      </w:r>
    </w:p>
    <w:p w14:paraId="4E042C7A" w14:textId="0ACE3274" w:rsidR="00300B63" w:rsidRPr="001B6286" w:rsidRDefault="00DD4669" w:rsidP="00620D1F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 xml:space="preserve">Any </w:t>
      </w:r>
      <w:r w:rsidR="00D176F3" w:rsidRPr="001B6286">
        <w:rPr>
          <w:rFonts w:ascii="Arial" w:hAnsi="Arial" w:cs="Arial"/>
          <w:sz w:val="24"/>
          <w:szCs w:val="24"/>
        </w:rPr>
        <w:t>ability of the Order</w:t>
      </w:r>
      <w:r w:rsidRPr="001B6286">
        <w:rPr>
          <w:rFonts w:ascii="Arial" w:hAnsi="Arial" w:cs="Arial"/>
          <w:sz w:val="24"/>
          <w:szCs w:val="24"/>
        </w:rPr>
        <w:t xml:space="preserve">, in </w:t>
      </w:r>
      <w:r w:rsidR="00606839" w:rsidRPr="001B6286">
        <w:rPr>
          <w:rFonts w:ascii="Arial" w:hAnsi="Arial" w:cs="Arial"/>
          <w:sz w:val="24"/>
          <w:szCs w:val="24"/>
        </w:rPr>
        <w:t>enabling</w:t>
      </w:r>
      <w:r w:rsidR="00D176F3" w:rsidRPr="001B6286">
        <w:rPr>
          <w:rFonts w:ascii="Arial" w:hAnsi="Arial" w:cs="Arial"/>
          <w:sz w:val="24"/>
          <w:szCs w:val="24"/>
        </w:rPr>
        <w:t xml:space="preserve"> the </w:t>
      </w:r>
      <w:r w:rsidR="00606839" w:rsidRPr="001B6286">
        <w:rPr>
          <w:rFonts w:ascii="Arial" w:hAnsi="Arial" w:cs="Arial"/>
          <w:sz w:val="24"/>
          <w:szCs w:val="24"/>
        </w:rPr>
        <w:t xml:space="preserve">planned </w:t>
      </w:r>
      <w:r w:rsidR="00D176F3" w:rsidRPr="001B6286">
        <w:rPr>
          <w:rFonts w:ascii="Arial" w:hAnsi="Arial" w:cs="Arial"/>
          <w:sz w:val="24"/>
          <w:szCs w:val="24"/>
        </w:rPr>
        <w:t>development layout</w:t>
      </w:r>
      <w:r w:rsidRPr="001B6286">
        <w:rPr>
          <w:rFonts w:ascii="Arial" w:hAnsi="Arial" w:cs="Arial"/>
          <w:sz w:val="24"/>
          <w:szCs w:val="24"/>
        </w:rPr>
        <w:t>,</w:t>
      </w:r>
      <w:r w:rsidR="00D176F3" w:rsidRPr="001B6286">
        <w:rPr>
          <w:rFonts w:ascii="Arial" w:hAnsi="Arial" w:cs="Arial"/>
          <w:sz w:val="24"/>
          <w:szCs w:val="24"/>
        </w:rPr>
        <w:t xml:space="preserve"> to</w:t>
      </w:r>
      <w:r w:rsidRPr="001B6286">
        <w:rPr>
          <w:rFonts w:ascii="Arial" w:hAnsi="Arial" w:cs="Arial"/>
          <w:sz w:val="24"/>
          <w:szCs w:val="24"/>
        </w:rPr>
        <w:t xml:space="preserve"> contribute to the </w:t>
      </w:r>
      <w:r w:rsidR="00D176F3" w:rsidRPr="001B6286">
        <w:rPr>
          <w:rFonts w:ascii="Arial" w:hAnsi="Arial" w:cs="Arial"/>
          <w:sz w:val="24"/>
          <w:szCs w:val="24"/>
        </w:rPr>
        <w:t>protect</w:t>
      </w:r>
      <w:r w:rsidRPr="001B6286">
        <w:rPr>
          <w:rFonts w:ascii="Arial" w:hAnsi="Arial" w:cs="Arial"/>
          <w:sz w:val="24"/>
          <w:szCs w:val="24"/>
        </w:rPr>
        <w:t>ion of</w:t>
      </w:r>
      <w:r w:rsidR="00D176F3" w:rsidRPr="001B6286">
        <w:rPr>
          <w:rFonts w:ascii="Arial" w:hAnsi="Arial" w:cs="Arial"/>
          <w:sz w:val="24"/>
          <w:szCs w:val="24"/>
        </w:rPr>
        <w:t xml:space="preserve"> the appearance of the </w:t>
      </w:r>
      <w:proofErr w:type="spellStart"/>
      <w:r w:rsidR="007E332B" w:rsidRPr="001B6286">
        <w:rPr>
          <w:rFonts w:ascii="Arial" w:hAnsi="Arial" w:cs="Arial"/>
          <w:sz w:val="24"/>
          <w:szCs w:val="24"/>
        </w:rPr>
        <w:t>Methwold</w:t>
      </w:r>
      <w:proofErr w:type="spellEnd"/>
      <w:r w:rsidR="007E332B" w:rsidRPr="001B6286">
        <w:rPr>
          <w:rFonts w:ascii="Arial" w:hAnsi="Arial" w:cs="Arial"/>
          <w:sz w:val="24"/>
          <w:szCs w:val="24"/>
        </w:rPr>
        <w:t xml:space="preserve"> </w:t>
      </w:r>
      <w:r w:rsidR="00D176F3" w:rsidRPr="001B6286">
        <w:rPr>
          <w:rFonts w:ascii="Arial" w:hAnsi="Arial" w:cs="Arial"/>
          <w:sz w:val="24"/>
          <w:szCs w:val="24"/>
        </w:rPr>
        <w:t>Conservation Area and nearby listed buildings has not been adequately demonstrated.</w:t>
      </w:r>
    </w:p>
    <w:p w14:paraId="6A50DC10" w14:textId="52C247E2" w:rsidR="00620D1F" w:rsidRPr="004C5018" w:rsidRDefault="00816330" w:rsidP="004C5018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4C5018">
        <w:rPr>
          <w:rFonts w:ascii="Arial" w:hAnsi="Arial" w:cs="Arial"/>
          <w:sz w:val="24"/>
          <w:szCs w:val="24"/>
        </w:rPr>
        <w:t xml:space="preserve">Whilst the </w:t>
      </w:r>
      <w:r w:rsidR="00FB02BE" w:rsidRPr="004C5018">
        <w:rPr>
          <w:rFonts w:ascii="Arial" w:hAnsi="Arial" w:cs="Arial"/>
          <w:sz w:val="24"/>
          <w:szCs w:val="24"/>
        </w:rPr>
        <w:t xml:space="preserve">section of new route B-C would be approximately half the distance of the section to be diverted A-B, </w:t>
      </w:r>
      <w:r w:rsidR="00627722" w:rsidRPr="004C5018">
        <w:rPr>
          <w:rFonts w:ascii="Arial" w:hAnsi="Arial" w:cs="Arial"/>
          <w:sz w:val="24"/>
          <w:szCs w:val="24"/>
        </w:rPr>
        <w:t>the</w:t>
      </w:r>
      <w:r w:rsidR="00B26DBD" w:rsidRPr="004C5018">
        <w:rPr>
          <w:rFonts w:ascii="Arial" w:hAnsi="Arial" w:cs="Arial"/>
          <w:sz w:val="24"/>
          <w:szCs w:val="24"/>
        </w:rPr>
        <w:t xml:space="preserve"> distances involved are short and hence the</w:t>
      </w:r>
      <w:r w:rsidR="00627722" w:rsidRPr="004C5018">
        <w:rPr>
          <w:rFonts w:ascii="Arial" w:hAnsi="Arial" w:cs="Arial"/>
          <w:sz w:val="24"/>
          <w:szCs w:val="24"/>
        </w:rPr>
        <w:t xml:space="preserve"> overall loss of</w:t>
      </w:r>
      <w:r w:rsidR="005E23A7" w:rsidRPr="004C5018">
        <w:rPr>
          <w:rFonts w:ascii="Arial" w:hAnsi="Arial" w:cs="Arial"/>
          <w:sz w:val="24"/>
          <w:szCs w:val="24"/>
        </w:rPr>
        <w:t xml:space="preserve"> </w:t>
      </w:r>
      <w:r w:rsidR="00627722" w:rsidRPr="004C5018">
        <w:rPr>
          <w:rFonts w:ascii="Arial" w:hAnsi="Arial" w:cs="Arial"/>
          <w:sz w:val="24"/>
          <w:szCs w:val="24"/>
        </w:rPr>
        <w:t xml:space="preserve">public path would </w:t>
      </w:r>
      <w:r w:rsidR="00B26DBD" w:rsidRPr="004C5018">
        <w:rPr>
          <w:rFonts w:ascii="Arial" w:hAnsi="Arial" w:cs="Arial"/>
          <w:sz w:val="24"/>
          <w:szCs w:val="24"/>
        </w:rPr>
        <w:t>not be substantial</w:t>
      </w:r>
      <w:r w:rsidR="005E23A7" w:rsidRPr="004C5018">
        <w:rPr>
          <w:rFonts w:ascii="Arial" w:hAnsi="Arial" w:cs="Arial"/>
          <w:sz w:val="24"/>
          <w:szCs w:val="24"/>
        </w:rPr>
        <w:t>.</w:t>
      </w:r>
      <w:r w:rsidR="00E81E03" w:rsidRPr="004C5018">
        <w:rPr>
          <w:rFonts w:ascii="Arial" w:hAnsi="Arial" w:cs="Arial"/>
          <w:sz w:val="24"/>
          <w:szCs w:val="24"/>
        </w:rPr>
        <w:t xml:space="preserve">  The disadvantage of the proposed alternative route in this regard is consequently minor.</w:t>
      </w:r>
    </w:p>
    <w:p w14:paraId="6FE2177F" w14:textId="5F79F1DE" w:rsidR="00B54B39" w:rsidRPr="001B6286" w:rsidRDefault="00B54B39" w:rsidP="00620D1F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The evidence before me does not suggest that the Order would result in disadvanta</w:t>
      </w:r>
      <w:r w:rsidR="00FC1280" w:rsidRPr="001B6286">
        <w:rPr>
          <w:rFonts w:ascii="Arial" w:hAnsi="Arial" w:cs="Arial"/>
          <w:sz w:val="24"/>
          <w:szCs w:val="24"/>
        </w:rPr>
        <w:t>g</w:t>
      </w:r>
      <w:r w:rsidRPr="001B6286">
        <w:rPr>
          <w:rFonts w:ascii="Arial" w:hAnsi="Arial" w:cs="Arial"/>
          <w:sz w:val="24"/>
          <w:szCs w:val="24"/>
        </w:rPr>
        <w:t xml:space="preserve">e to people whose properties adjoin or are near the </w:t>
      </w:r>
      <w:r w:rsidR="00CD3F8D" w:rsidRPr="001B6286">
        <w:rPr>
          <w:rFonts w:ascii="Arial" w:hAnsi="Arial" w:cs="Arial"/>
          <w:sz w:val="24"/>
          <w:szCs w:val="24"/>
        </w:rPr>
        <w:t>existing highway.</w:t>
      </w:r>
    </w:p>
    <w:p w14:paraId="1E99ACCC" w14:textId="4FF3C82F" w:rsidR="00620D1F" w:rsidRPr="001B6286" w:rsidRDefault="0002142F" w:rsidP="0002142F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1B6286">
        <w:rPr>
          <w:rFonts w:ascii="Arial" w:hAnsi="Arial" w:cs="Arial"/>
          <w:i/>
          <w:iCs/>
          <w:sz w:val="24"/>
          <w:szCs w:val="24"/>
        </w:rPr>
        <w:t>Summary</w:t>
      </w:r>
    </w:p>
    <w:p w14:paraId="161D6FAD" w14:textId="3968DED7" w:rsidR="00944622" w:rsidRPr="001B6286" w:rsidRDefault="00B53771" w:rsidP="00944622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consider that the diversion has been shown to be necessary </w:t>
      </w:r>
      <w:r w:rsidRPr="00B53771">
        <w:rPr>
          <w:rFonts w:ascii="Arial" w:hAnsi="Arial" w:cs="Arial"/>
          <w:sz w:val="24"/>
          <w:szCs w:val="24"/>
        </w:rPr>
        <w:t>to enable development to be carried out</w:t>
      </w:r>
      <w:r>
        <w:rPr>
          <w:rFonts w:ascii="Arial" w:hAnsi="Arial" w:cs="Arial"/>
          <w:sz w:val="24"/>
          <w:szCs w:val="24"/>
        </w:rPr>
        <w:t xml:space="preserve">.  </w:t>
      </w:r>
      <w:r w:rsidR="0002142F" w:rsidRPr="001B6286">
        <w:rPr>
          <w:rFonts w:ascii="Arial" w:hAnsi="Arial" w:cs="Arial"/>
          <w:sz w:val="24"/>
          <w:szCs w:val="24"/>
        </w:rPr>
        <w:t xml:space="preserve">The </w:t>
      </w:r>
      <w:r w:rsidR="00944622" w:rsidRPr="001B6286">
        <w:rPr>
          <w:rFonts w:ascii="Arial" w:hAnsi="Arial" w:cs="Arial"/>
          <w:sz w:val="24"/>
          <w:szCs w:val="24"/>
        </w:rPr>
        <w:t>advantages of the Order are not outweighed by the disadvantages.</w:t>
      </w:r>
      <w:r w:rsidR="004A33CA" w:rsidRPr="001B6286">
        <w:rPr>
          <w:rFonts w:ascii="Arial" w:hAnsi="Arial" w:cs="Arial"/>
          <w:sz w:val="24"/>
          <w:szCs w:val="24"/>
        </w:rPr>
        <w:t xml:space="preserve"> </w:t>
      </w:r>
    </w:p>
    <w:p w14:paraId="09A232FE" w14:textId="3D13E532" w:rsidR="00355FCC" w:rsidRPr="001B6286" w:rsidRDefault="00687088" w:rsidP="00687088">
      <w:pPr>
        <w:pStyle w:val="Heading6blackfont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Conclusion</w:t>
      </w:r>
    </w:p>
    <w:p w14:paraId="3F4C7A2B" w14:textId="702BAD2D" w:rsidR="00844FF6" w:rsidRPr="001B6286" w:rsidRDefault="00844FF6" w:rsidP="00844FF6">
      <w:pPr>
        <w:pStyle w:val="Style1"/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Having regard to these and all other matters raised in the written representations, I conclude that the Order should be confirmed</w:t>
      </w:r>
      <w:r w:rsidR="00923C24" w:rsidRPr="001B6286">
        <w:rPr>
          <w:rFonts w:ascii="Arial" w:hAnsi="Arial" w:cs="Arial"/>
          <w:sz w:val="24"/>
          <w:szCs w:val="24"/>
        </w:rPr>
        <w:t>.</w:t>
      </w:r>
    </w:p>
    <w:p w14:paraId="53C24376" w14:textId="146ACE5E" w:rsidR="00923C24" w:rsidRPr="001B6286" w:rsidRDefault="00923C24" w:rsidP="00923C24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1B6286">
        <w:rPr>
          <w:rFonts w:ascii="Arial" w:hAnsi="Arial" w:cs="Arial"/>
          <w:b/>
          <w:bCs/>
          <w:sz w:val="24"/>
          <w:szCs w:val="24"/>
        </w:rPr>
        <w:t>Formal Decision</w:t>
      </w:r>
    </w:p>
    <w:p w14:paraId="607BAAC9" w14:textId="6B7E1E33" w:rsidR="00923C24" w:rsidRPr="001B6286" w:rsidRDefault="00923C24" w:rsidP="00923C24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sz w:val="24"/>
          <w:szCs w:val="24"/>
        </w:rPr>
        <w:t>I confirm the Order.</w:t>
      </w:r>
    </w:p>
    <w:p w14:paraId="7BF84AFC" w14:textId="04E474B1" w:rsidR="00923C24" w:rsidRDefault="00923C24" w:rsidP="00923C24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B6286">
        <w:rPr>
          <w:rFonts w:ascii="Arial" w:hAnsi="Arial" w:cs="Arial"/>
          <w:i/>
          <w:iCs/>
          <w:sz w:val="24"/>
          <w:szCs w:val="24"/>
        </w:rPr>
        <w:t>C Beeby</w:t>
      </w:r>
      <w:r w:rsidR="00F71BBC">
        <w:rPr>
          <w:rFonts w:ascii="Arial" w:hAnsi="Arial" w:cs="Arial"/>
          <w:i/>
          <w:iCs/>
          <w:sz w:val="24"/>
          <w:szCs w:val="24"/>
        </w:rPr>
        <w:t xml:space="preserve"> </w:t>
      </w:r>
      <w:r w:rsidR="00F06745">
        <w:rPr>
          <w:rFonts w:ascii="Arial" w:hAnsi="Arial" w:cs="Arial"/>
          <w:i/>
          <w:iCs/>
          <w:sz w:val="24"/>
          <w:szCs w:val="24"/>
        </w:rPr>
        <w:t>–</w:t>
      </w:r>
      <w:r w:rsidR="00F71B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B6286">
        <w:rPr>
          <w:rFonts w:ascii="Arial" w:hAnsi="Arial" w:cs="Arial"/>
          <w:sz w:val="24"/>
          <w:szCs w:val="24"/>
        </w:rPr>
        <w:t>INSPECTOR</w:t>
      </w:r>
    </w:p>
    <w:p w14:paraId="026776AD" w14:textId="1F80B734" w:rsidR="00F06745" w:rsidRPr="001B6286" w:rsidRDefault="00F06745" w:rsidP="00923C24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CB364F" wp14:editId="20BB161E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745" w:rsidRPr="001B6286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2A89" w14:textId="77777777" w:rsidR="00687088" w:rsidRDefault="00687088" w:rsidP="00F62916">
      <w:r>
        <w:separator/>
      </w:r>
    </w:p>
  </w:endnote>
  <w:endnote w:type="continuationSeparator" w:id="0">
    <w:p w14:paraId="26B71FAA" w14:textId="77777777" w:rsidR="00687088" w:rsidRDefault="00687088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8F51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C6C1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D6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7D6BDB" wp14:editId="1E9F6E87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2972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48CF7C98" w14:textId="77777777" w:rsidR="00366F95" w:rsidRPr="00E45340" w:rsidRDefault="0034553B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A796" w14:textId="77777777" w:rsidR="00366F95" w:rsidRDefault="00366F95" w:rsidP="00687088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5FECD5" wp14:editId="2C0DA5A2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6811C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37CFF332" w14:textId="77777777" w:rsidR="00366F95" w:rsidRPr="00451EE4" w:rsidRDefault="0034553B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45CC" w14:textId="77777777" w:rsidR="00687088" w:rsidRDefault="00687088" w:rsidP="00F62916">
      <w:r>
        <w:separator/>
      </w:r>
    </w:p>
  </w:footnote>
  <w:footnote w:type="continuationSeparator" w:id="0">
    <w:p w14:paraId="31E2E17C" w14:textId="77777777" w:rsidR="00687088" w:rsidRDefault="00687088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402A21DC" w14:textId="77777777">
      <w:tc>
        <w:tcPr>
          <w:tcW w:w="9520" w:type="dxa"/>
        </w:tcPr>
        <w:p w14:paraId="5BED783A" w14:textId="71F588B3" w:rsidR="00366F95" w:rsidRDefault="00687088">
          <w:pPr>
            <w:pStyle w:val="Footer"/>
          </w:pPr>
          <w:r>
            <w:t>Order Decision ROW/3277979</w:t>
          </w:r>
        </w:p>
      </w:tc>
    </w:tr>
  </w:tbl>
  <w:p w14:paraId="2B61D821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BDF6A" wp14:editId="3C36AC5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2FB5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89CB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7F124C86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87088"/>
    <w:rsid w:val="0000335F"/>
    <w:rsid w:val="0002142F"/>
    <w:rsid w:val="000239BE"/>
    <w:rsid w:val="00024500"/>
    <w:rsid w:val="000247B2"/>
    <w:rsid w:val="000314AF"/>
    <w:rsid w:val="000423D2"/>
    <w:rsid w:val="00046145"/>
    <w:rsid w:val="0004625F"/>
    <w:rsid w:val="00053135"/>
    <w:rsid w:val="00053991"/>
    <w:rsid w:val="00054304"/>
    <w:rsid w:val="000764D0"/>
    <w:rsid w:val="00077358"/>
    <w:rsid w:val="00081CDE"/>
    <w:rsid w:val="000834F0"/>
    <w:rsid w:val="00087477"/>
    <w:rsid w:val="00087DEC"/>
    <w:rsid w:val="00094A44"/>
    <w:rsid w:val="000962F2"/>
    <w:rsid w:val="000A07E0"/>
    <w:rsid w:val="000A4AEB"/>
    <w:rsid w:val="000A64AE"/>
    <w:rsid w:val="000B02BC"/>
    <w:rsid w:val="000B0589"/>
    <w:rsid w:val="000C3F13"/>
    <w:rsid w:val="000C5098"/>
    <w:rsid w:val="000C698E"/>
    <w:rsid w:val="000D0673"/>
    <w:rsid w:val="000E57C1"/>
    <w:rsid w:val="000F16F4"/>
    <w:rsid w:val="000F6EC2"/>
    <w:rsid w:val="001000CB"/>
    <w:rsid w:val="00104D93"/>
    <w:rsid w:val="001137B7"/>
    <w:rsid w:val="0012071D"/>
    <w:rsid w:val="00127C64"/>
    <w:rsid w:val="001440C3"/>
    <w:rsid w:val="00152C92"/>
    <w:rsid w:val="001535D4"/>
    <w:rsid w:val="00161B5C"/>
    <w:rsid w:val="0018099C"/>
    <w:rsid w:val="001870D1"/>
    <w:rsid w:val="00191E4C"/>
    <w:rsid w:val="00193010"/>
    <w:rsid w:val="00197B5B"/>
    <w:rsid w:val="001A0F14"/>
    <w:rsid w:val="001B37BF"/>
    <w:rsid w:val="001B6286"/>
    <w:rsid w:val="001F0D97"/>
    <w:rsid w:val="001F5990"/>
    <w:rsid w:val="00207816"/>
    <w:rsid w:val="00207BEA"/>
    <w:rsid w:val="00212C8F"/>
    <w:rsid w:val="0021333A"/>
    <w:rsid w:val="00213D64"/>
    <w:rsid w:val="0023276A"/>
    <w:rsid w:val="00236DE8"/>
    <w:rsid w:val="00242A5E"/>
    <w:rsid w:val="00245E43"/>
    <w:rsid w:val="00253054"/>
    <w:rsid w:val="00266107"/>
    <w:rsid w:val="00277C8A"/>
    <w:rsid w:val="002819AB"/>
    <w:rsid w:val="00283903"/>
    <w:rsid w:val="002958D9"/>
    <w:rsid w:val="002A2768"/>
    <w:rsid w:val="002A6026"/>
    <w:rsid w:val="002A6CF5"/>
    <w:rsid w:val="002B0BB3"/>
    <w:rsid w:val="002B5A3A"/>
    <w:rsid w:val="002C068A"/>
    <w:rsid w:val="002C0C58"/>
    <w:rsid w:val="002C2524"/>
    <w:rsid w:val="002D5A7C"/>
    <w:rsid w:val="00300B63"/>
    <w:rsid w:val="00303CA5"/>
    <w:rsid w:val="0030500E"/>
    <w:rsid w:val="003206FD"/>
    <w:rsid w:val="00321906"/>
    <w:rsid w:val="0033127A"/>
    <w:rsid w:val="00343A1F"/>
    <w:rsid w:val="00344294"/>
    <w:rsid w:val="00344CD1"/>
    <w:rsid w:val="00352EB2"/>
    <w:rsid w:val="00355FCC"/>
    <w:rsid w:val="00360664"/>
    <w:rsid w:val="00361890"/>
    <w:rsid w:val="00364E17"/>
    <w:rsid w:val="00366F95"/>
    <w:rsid w:val="003753FE"/>
    <w:rsid w:val="003941CF"/>
    <w:rsid w:val="003A1D95"/>
    <w:rsid w:val="003A1EB5"/>
    <w:rsid w:val="003B2FE6"/>
    <w:rsid w:val="003B594B"/>
    <w:rsid w:val="003B7390"/>
    <w:rsid w:val="003D1D4A"/>
    <w:rsid w:val="003D3715"/>
    <w:rsid w:val="003E54CC"/>
    <w:rsid w:val="003F15CB"/>
    <w:rsid w:val="003F3533"/>
    <w:rsid w:val="003F7DFB"/>
    <w:rsid w:val="00400E0D"/>
    <w:rsid w:val="004029F3"/>
    <w:rsid w:val="004156F0"/>
    <w:rsid w:val="00417482"/>
    <w:rsid w:val="004274A5"/>
    <w:rsid w:val="00434739"/>
    <w:rsid w:val="00444275"/>
    <w:rsid w:val="004474DE"/>
    <w:rsid w:val="00451EE4"/>
    <w:rsid w:val="004522C1"/>
    <w:rsid w:val="00453E15"/>
    <w:rsid w:val="0047718B"/>
    <w:rsid w:val="0048041A"/>
    <w:rsid w:val="00483D15"/>
    <w:rsid w:val="00487757"/>
    <w:rsid w:val="004976CF"/>
    <w:rsid w:val="004A2EB8"/>
    <w:rsid w:val="004A33CA"/>
    <w:rsid w:val="004C07CB"/>
    <w:rsid w:val="004C5018"/>
    <w:rsid w:val="004C6E61"/>
    <w:rsid w:val="004D41C6"/>
    <w:rsid w:val="004E04E0"/>
    <w:rsid w:val="004E17CB"/>
    <w:rsid w:val="004E57D2"/>
    <w:rsid w:val="004E6091"/>
    <w:rsid w:val="004F274A"/>
    <w:rsid w:val="00506851"/>
    <w:rsid w:val="0052347F"/>
    <w:rsid w:val="00523706"/>
    <w:rsid w:val="005238E4"/>
    <w:rsid w:val="005256FE"/>
    <w:rsid w:val="00541734"/>
    <w:rsid w:val="00542B4C"/>
    <w:rsid w:val="00561E69"/>
    <w:rsid w:val="00564DA4"/>
    <w:rsid w:val="0056634F"/>
    <w:rsid w:val="0057098A"/>
    <w:rsid w:val="005718AF"/>
    <w:rsid w:val="00571FD4"/>
    <w:rsid w:val="00572879"/>
    <w:rsid w:val="00572ACA"/>
    <w:rsid w:val="00573178"/>
    <w:rsid w:val="00573D68"/>
    <w:rsid w:val="0057471E"/>
    <w:rsid w:val="0057782A"/>
    <w:rsid w:val="00591235"/>
    <w:rsid w:val="005A0799"/>
    <w:rsid w:val="005A3935"/>
    <w:rsid w:val="005A3A64"/>
    <w:rsid w:val="005B5A31"/>
    <w:rsid w:val="005D739E"/>
    <w:rsid w:val="005E23A7"/>
    <w:rsid w:val="005E34E1"/>
    <w:rsid w:val="005E34FF"/>
    <w:rsid w:val="005E3542"/>
    <w:rsid w:val="005E52F9"/>
    <w:rsid w:val="005F1261"/>
    <w:rsid w:val="005F3A70"/>
    <w:rsid w:val="00602315"/>
    <w:rsid w:val="006052EF"/>
    <w:rsid w:val="0060675F"/>
    <w:rsid w:val="00606839"/>
    <w:rsid w:val="00610ACC"/>
    <w:rsid w:val="006127F0"/>
    <w:rsid w:val="00614E46"/>
    <w:rsid w:val="00615462"/>
    <w:rsid w:val="00620D1F"/>
    <w:rsid w:val="00627722"/>
    <w:rsid w:val="006319E6"/>
    <w:rsid w:val="0063373D"/>
    <w:rsid w:val="0065719B"/>
    <w:rsid w:val="0066322F"/>
    <w:rsid w:val="00665C26"/>
    <w:rsid w:val="00677F07"/>
    <w:rsid w:val="00681108"/>
    <w:rsid w:val="00683417"/>
    <w:rsid w:val="00685A46"/>
    <w:rsid w:val="00687088"/>
    <w:rsid w:val="0069559D"/>
    <w:rsid w:val="00696368"/>
    <w:rsid w:val="006A5BB3"/>
    <w:rsid w:val="006A7B8B"/>
    <w:rsid w:val="006C0FD4"/>
    <w:rsid w:val="006C4C25"/>
    <w:rsid w:val="006C58C3"/>
    <w:rsid w:val="006C6D1A"/>
    <w:rsid w:val="006D0100"/>
    <w:rsid w:val="006D2842"/>
    <w:rsid w:val="006D5133"/>
    <w:rsid w:val="006D66C1"/>
    <w:rsid w:val="006E1698"/>
    <w:rsid w:val="006F16D9"/>
    <w:rsid w:val="006F5279"/>
    <w:rsid w:val="006F6496"/>
    <w:rsid w:val="00704126"/>
    <w:rsid w:val="0071604A"/>
    <w:rsid w:val="00752162"/>
    <w:rsid w:val="007816CB"/>
    <w:rsid w:val="00785862"/>
    <w:rsid w:val="007A0537"/>
    <w:rsid w:val="007A06BE"/>
    <w:rsid w:val="007B4C9B"/>
    <w:rsid w:val="007C1DBC"/>
    <w:rsid w:val="007D65B4"/>
    <w:rsid w:val="007E332B"/>
    <w:rsid w:val="007E3846"/>
    <w:rsid w:val="007F0F75"/>
    <w:rsid w:val="007F1352"/>
    <w:rsid w:val="007F3F10"/>
    <w:rsid w:val="007F59EB"/>
    <w:rsid w:val="00806F2A"/>
    <w:rsid w:val="00816330"/>
    <w:rsid w:val="00827937"/>
    <w:rsid w:val="00834368"/>
    <w:rsid w:val="008411A4"/>
    <w:rsid w:val="008418E9"/>
    <w:rsid w:val="00844FF6"/>
    <w:rsid w:val="008457E8"/>
    <w:rsid w:val="00882B66"/>
    <w:rsid w:val="00896D08"/>
    <w:rsid w:val="008A03E3"/>
    <w:rsid w:val="008C6FA3"/>
    <w:rsid w:val="008D587A"/>
    <w:rsid w:val="008E359C"/>
    <w:rsid w:val="008F1DD8"/>
    <w:rsid w:val="00901334"/>
    <w:rsid w:val="009042F6"/>
    <w:rsid w:val="009108BB"/>
    <w:rsid w:val="009124CE"/>
    <w:rsid w:val="00912954"/>
    <w:rsid w:val="00921F34"/>
    <w:rsid w:val="0092304C"/>
    <w:rsid w:val="00923C24"/>
    <w:rsid w:val="00923F06"/>
    <w:rsid w:val="0092562E"/>
    <w:rsid w:val="00932E25"/>
    <w:rsid w:val="00944622"/>
    <w:rsid w:val="00956F2B"/>
    <w:rsid w:val="00960B10"/>
    <w:rsid w:val="009841DA"/>
    <w:rsid w:val="00986627"/>
    <w:rsid w:val="00986E46"/>
    <w:rsid w:val="009905BC"/>
    <w:rsid w:val="00990BD0"/>
    <w:rsid w:val="00994A8E"/>
    <w:rsid w:val="00997637"/>
    <w:rsid w:val="009B3075"/>
    <w:rsid w:val="009B72ED"/>
    <w:rsid w:val="009B78F6"/>
    <w:rsid w:val="009B7BD4"/>
    <w:rsid w:val="009B7F3F"/>
    <w:rsid w:val="009C1BA7"/>
    <w:rsid w:val="009D629A"/>
    <w:rsid w:val="009E1447"/>
    <w:rsid w:val="009E179D"/>
    <w:rsid w:val="009E3C69"/>
    <w:rsid w:val="009E4076"/>
    <w:rsid w:val="009E6FB7"/>
    <w:rsid w:val="009E7A78"/>
    <w:rsid w:val="00A00FCD"/>
    <w:rsid w:val="00A101CD"/>
    <w:rsid w:val="00A172F6"/>
    <w:rsid w:val="00A23FC7"/>
    <w:rsid w:val="00A418A7"/>
    <w:rsid w:val="00A5760C"/>
    <w:rsid w:val="00A60DB3"/>
    <w:rsid w:val="00AD0E39"/>
    <w:rsid w:val="00AD2F56"/>
    <w:rsid w:val="00AE2FAA"/>
    <w:rsid w:val="00B049F2"/>
    <w:rsid w:val="00B127B8"/>
    <w:rsid w:val="00B16149"/>
    <w:rsid w:val="00B26DBD"/>
    <w:rsid w:val="00B32324"/>
    <w:rsid w:val="00B345C9"/>
    <w:rsid w:val="00B41193"/>
    <w:rsid w:val="00B51D9F"/>
    <w:rsid w:val="00B53771"/>
    <w:rsid w:val="00B54B39"/>
    <w:rsid w:val="00B56990"/>
    <w:rsid w:val="00B571EF"/>
    <w:rsid w:val="00B61A59"/>
    <w:rsid w:val="00B70947"/>
    <w:rsid w:val="00B7142C"/>
    <w:rsid w:val="00B82F08"/>
    <w:rsid w:val="00B9027A"/>
    <w:rsid w:val="00BA7E37"/>
    <w:rsid w:val="00BC0524"/>
    <w:rsid w:val="00BC0A2D"/>
    <w:rsid w:val="00BC2702"/>
    <w:rsid w:val="00BD09CD"/>
    <w:rsid w:val="00BD2909"/>
    <w:rsid w:val="00BE6377"/>
    <w:rsid w:val="00BF34D7"/>
    <w:rsid w:val="00C00E8A"/>
    <w:rsid w:val="00C02A53"/>
    <w:rsid w:val="00C11BD0"/>
    <w:rsid w:val="00C13715"/>
    <w:rsid w:val="00C2089A"/>
    <w:rsid w:val="00C274BD"/>
    <w:rsid w:val="00C36797"/>
    <w:rsid w:val="00C40EA6"/>
    <w:rsid w:val="00C44EA8"/>
    <w:rsid w:val="00C57B84"/>
    <w:rsid w:val="00C6534D"/>
    <w:rsid w:val="00C74873"/>
    <w:rsid w:val="00C764F0"/>
    <w:rsid w:val="00C8343C"/>
    <w:rsid w:val="00C857CB"/>
    <w:rsid w:val="00C8740F"/>
    <w:rsid w:val="00C915A8"/>
    <w:rsid w:val="00C97C9B"/>
    <w:rsid w:val="00CB6B5C"/>
    <w:rsid w:val="00CC50AC"/>
    <w:rsid w:val="00CD3F8D"/>
    <w:rsid w:val="00CE21C0"/>
    <w:rsid w:val="00CF3560"/>
    <w:rsid w:val="00D02B48"/>
    <w:rsid w:val="00D10160"/>
    <w:rsid w:val="00D1120A"/>
    <w:rsid w:val="00D125BE"/>
    <w:rsid w:val="00D1410D"/>
    <w:rsid w:val="00D176F3"/>
    <w:rsid w:val="00D22975"/>
    <w:rsid w:val="00D258B9"/>
    <w:rsid w:val="00D34F89"/>
    <w:rsid w:val="00D354A3"/>
    <w:rsid w:val="00D423EB"/>
    <w:rsid w:val="00D555DA"/>
    <w:rsid w:val="00D57190"/>
    <w:rsid w:val="00D61D01"/>
    <w:rsid w:val="00D63E46"/>
    <w:rsid w:val="00DB1128"/>
    <w:rsid w:val="00DB7937"/>
    <w:rsid w:val="00DC7036"/>
    <w:rsid w:val="00DD0F21"/>
    <w:rsid w:val="00DD4669"/>
    <w:rsid w:val="00DE0ED0"/>
    <w:rsid w:val="00DE265F"/>
    <w:rsid w:val="00DE48D2"/>
    <w:rsid w:val="00DF4702"/>
    <w:rsid w:val="00E11244"/>
    <w:rsid w:val="00E15353"/>
    <w:rsid w:val="00E16CAE"/>
    <w:rsid w:val="00E268D2"/>
    <w:rsid w:val="00E3076B"/>
    <w:rsid w:val="00E37402"/>
    <w:rsid w:val="00E45340"/>
    <w:rsid w:val="00E515DB"/>
    <w:rsid w:val="00E5468A"/>
    <w:rsid w:val="00E54F7C"/>
    <w:rsid w:val="00E63648"/>
    <w:rsid w:val="00E674DD"/>
    <w:rsid w:val="00E67B22"/>
    <w:rsid w:val="00E803BC"/>
    <w:rsid w:val="00E81323"/>
    <w:rsid w:val="00E81806"/>
    <w:rsid w:val="00E81E03"/>
    <w:rsid w:val="00E82D29"/>
    <w:rsid w:val="00E85E3D"/>
    <w:rsid w:val="00E87A71"/>
    <w:rsid w:val="00E974ED"/>
    <w:rsid w:val="00EA406E"/>
    <w:rsid w:val="00EA43AC"/>
    <w:rsid w:val="00EA52D3"/>
    <w:rsid w:val="00EA73CE"/>
    <w:rsid w:val="00EB2329"/>
    <w:rsid w:val="00EB32EB"/>
    <w:rsid w:val="00ED043A"/>
    <w:rsid w:val="00ED3727"/>
    <w:rsid w:val="00ED3DDF"/>
    <w:rsid w:val="00ED3FF4"/>
    <w:rsid w:val="00ED50F4"/>
    <w:rsid w:val="00EE1C1A"/>
    <w:rsid w:val="00EE2613"/>
    <w:rsid w:val="00EE550A"/>
    <w:rsid w:val="00EE79FF"/>
    <w:rsid w:val="00EF0417"/>
    <w:rsid w:val="00EF1E98"/>
    <w:rsid w:val="00EF5820"/>
    <w:rsid w:val="00EF631F"/>
    <w:rsid w:val="00F06745"/>
    <w:rsid w:val="00F1025A"/>
    <w:rsid w:val="00F12294"/>
    <w:rsid w:val="00F2297F"/>
    <w:rsid w:val="00F32BBC"/>
    <w:rsid w:val="00F35EDC"/>
    <w:rsid w:val="00F55181"/>
    <w:rsid w:val="00F62916"/>
    <w:rsid w:val="00F6363B"/>
    <w:rsid w:val="00F63D9A"/>
    <w:rsid w:val="00F659A3"/>
    <w:rsid w:val="00F71315"/>
    <w:rsid w:val="00F71BBC"/>
    <w:rsid w:val="00F73A2C"/>
    <w:rsid w:val="00F7417F"/>
    <w:rsid w:val="00F75FBB"/>
    <w:rsid w:val="00FA02D2"/>
    <w:rsid w:val="00FA2A80"/>
    <w:rsid w:val="00FA7628"/>
    <w:rsid w:val="00FA791A"/>
    <w:rsid w:val="00FB02BE"/>
    <w:rsid w:val="00FB23E3"/>
    <w:rsid w:val="00FB743C"/>
    <w:rsid w:val="00FC1280"/>
    <w:rsid w:val="00FC6E8D"/>
    <w:rsid w:val="00FD307B"/>
    <w:rsid w:val="00FE3548"/>
    <w:rsid w:val="00FE68E4"/>
    <w:rsid w:val="00FE6900"/>
    <w:rsid w:val="00FF34A3"/>
    <w:rsid w:val="00FF3A1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A60B5"/>
  <w15:docId w15:val="{A712297C-2C6E-48EC-8634-48A1F66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B43977-5213-48DC-A8AD-5845DE7BB3A4}"/>
</file>

<file path=customXml/itemProps3.xml><?xml version="1.0" encoding="utf-8"?>
<ds:datastoreItem xmlns:ds="http://schemas.openxmlformats.org/officeDocument/2006/customXml" ds:itemID="{BB02E235-7066-4D98-8537-E4F905B68E51}"/>
</file>

<file path=customXml/itemProps4.xml><?xml version="1.0" encoding="utf-8"?>
<ds:datastoreItem xmlns:ds="http://schemas.openxmlformats.org/officeDocument/2006/customXml" ds:itemID="{21089F78-FC0C-4784-84A2-CC7260D379A8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Beeby, Catherine</dc:creator>
  <cp:lastModifiedBy>Baylis, Caroline</cp:lastModifiedBy>
  <cp:revision>2</cp:revision>
  <cp:lastPrinted>2022-12-05T14:30:00Z</cp:lastPrinted>
  <dcterms:created xsi:type="dcterms:W3CDTF">2022-12-05T14:31:00Z</dcterms:created>
  <dcterms:modified xsi:type="dcterms:W3CDTF">2022-12-05T14:31:00Z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