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FF7D" w14:textId="77777777" w:rsidR="00A41396" w:rsidRPr="00EB0FC2" w:rsidRDefault="00A41396" w:rsidP="00DD7117">
      <w:pPr>
        <w:tabs>
          <w:tab w:val="right" w:pos="9072"/>
        </w:tabs>
        <w:spacing w:line="276" w:lineRule="auto"/>
        <w:rPr>
          <w:rFonts w:ascii="Arial" w:hAnsi="Arial" w:cs="Arial"/>
          <w:b/>
          <w:bCs/>
          <w:i/>
          <w:iCs/>
          <w:szCs w:val="24"/>
        </w:rPr>
      </w:pPr>
    </w:p>
    <w:p w14:paraId="60334636" w14:textId="5F50A3F7" w:rsidR="00731C46" w:rsidRPr="00C1087F" w:rsidRDefault="00CE4309" w:rsidP="00DD7117">
      <w:pPr>
        <w:tabs>
          <w:tab w:val="right" w:pos="9072"/>
        </w:tabs>
        <w:spacing w:line="276" w:lineRule="auto"/>
        <w:jc w:val="center"/>
        <w:rPr>
          <w:rFonts w:ascii="Arial" w:hAnsi="Arial" w:cs="Arial"/>
          <w:b/>
          <w:bCs/>
          <w:szCs w:val="24"/>
        </w:rPr>
      </w:pPr>
      <w:r>
        <w:rPr>
          <w:rFonts w:ascii="Arial" w:hAnsi="Arial" w:cs="Arial"/>
          <w:noProof/>
          <w:szCs w:val="24"/>
          <w:lang w:eastAsia="en-GB"/>
        </w:rPr>
        <w:drawing>
          <wp:inline distT="0" distB="0" distL="0" distR="0" wp14:anchorId="250C5627" wp14:editId="378AB50E">
            <wp:extent cx="10477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04875"/>
                    </a:xfrm>
                    <a:prstGeom prst="rect">
                      <a:avLst/>
                    </a:prstGeom>
                    <a:noFill/>
                    <a:ln>
                      <a:noFill/>
                    </a:ln>
                  </pic:spPr>
                </pic:pic>
              </a:graphicData>
            </a:graphic>
          </wp:inline>
        </w:drawing>
      </w:r>
    </w:p>
    <w:p w14:paraId="2F60A446" w14:textId="77777777" w:rsidR="00731C46" w:rsidRPr="00C1087F" w:rsidRDefault="00731C46" w:rsidP="00DD7117">
      <w:pPr>
        <w:tabs>
          <w:tab w:val="right" w:pos="9072"/>
        </w:tabs>
        <w:spacing w:line="276" w:lineRule="auto"/>
        <w:rPr>
          <w:rFonts w:ascii="Arial" w:hAnsi="Arial" w:cs="Arial"/>
          <w:b/>
          <w:bCs/>
          <w:szCs w:val="24"/>
        </w:rPr>
      </w:pPr>
    </w:p>
    <w:p w14:paraId="4FD85A1A" w14:textId="77777777" w:rsidR="00731C46" w:rsidRPr="00C1087F" w:rsidRDefault="00731C46" w:rsidP="00DD7117">
      <w:pPr>
        <w:tabs>
          <w:tab w:val="right" w:pos="9072"/>
        </w:tabs>
        <w:spacing w:line="276" w:lineRule="auto"/>
        <w:rPr>
          <w:rFonts w:ascii="Arial" w:hAnsi="Arial" w:cs="Arial"/>
          <w:b/>
          <w:bCs/>
          <w:szCs w:val="24"/>
        </w:rPr>
      </w:pPr>
    </w:p>
    <w:p w14:paraId="49B94F40" w14:textId="298A09F9" w:rsidR="00FB7CA0" w:rsidRPr="00C1087F" w:rsidRDefault="0049618B" w:rsidP="00DD7117">
      <w:pPr>
        <w:tabs>
          <w:tab w:val="right" w:pos="9072"/>
        </w:tabs>
        <w:spacing w:line="276" w:lineRule="auto"/>
        <w:rPr>
          <w:rFonts w:ascii="Arial" w:hAnsi="Arial" w:cs="Arial"/>
          <w:szCs w:val="24"/>
        </w:rPr>
      </w:pPr>
      <w:r w:rsidRPr="00C1087F">
        <w:rPr>
          <w:rFonts w:ascii="Arial" w:hAnsi="Arial" w:cs="Arial"/>
          <w:b/>
          <w:bCs/>
          <w:szCs w:val="24"/>
        </w:rPr>
        <w:t>IN THE UPPER TRIBUNAL</w:t>
      </w:r>
      <w:r w:rsidRPr="00C1087F">
        <w:rPr>
          <w:rFonts w:ascii="Arial" w:hAnsi="Arial" w:cs="Arial"/>
          <w:b/>
          <w:bCs/>
          <w:szCs w:val="24"/>
        </w:rPr>
        <w:tab/>
        <w:t>Appeal No.</w:t>
      </w:r>
      <w:r w:rsidRPr="00C1087F">
        <w:rPr>
          <w:rFonts w:ascii="Arial" w:hAnsi="Arial" w:cs="Arial"/>
          <w:szCs w:val="24"/>
        </w:rPr>
        <w:t xml:space="preserve"> </w:t>
      </w:r>
      <w:bookmarkStart w:id="0" w:name="ocdCaseNumber"/>
      <w:bookmarkEnd w:id="0"/>
      <w:r w:rsidR="00731C46" w:rsidRPr="00C1087F">
        <w:rPr>
          <w:rFonts w:ascii="Arial" w:hAnsi="Arial" w:cs="Arial"/>
          <w:szCs w:val="24"/>
        </w:rPr>
        <w:t>UA-2021-002107-GIA</w:t>
      </w:r>
    </w:p>
    <w:p w14:paraId="6522395E" w14:textId="77777777" w:rsidR="00FB7CA0" w:rsidRPr="00C1087F" w:rsidRDefault="0049618B" w:rsidP="00DD7117">
      <w:pPr>
        <w:spacing w:line="276" w:lineRule="auto"/>
        <w:rPr>
          <w:rFonts w:ascii="Arial" w:hAnsi="Arial" w:cs="Arial"/>
          <w:b/>
          <w:bCs/>
          <w:szCs w:val="24"/>
        </w:rPr>
      </w:pPr>
      <w:r w:rsidRPr="00C1087F">
        <w:rPr>
          <w:rFonts w:ascii="Arial" w:hAnsi="Arial" w:cs="Arial"/>
          <w:b/>
          <w:bCs/>
          <w:szCs w:val="24"/>
        </w:rPr>
        <w:t>ADMINISTRATIVE APPEALS CHAMBER</w:t>
      </w:r>
      <w:r w:rsidR="00176132" w:rsidRPr="00C1087F">
        <w:rPr>
          <w:rFonts w:ascii="Arial" w:hAnsi="Arial" w:cs="Arial"/>
          <w:b/>
          <w:bCs/>
          <w:szCs w:val="24"/>
        </w:rPr>
        <w:tab/>
      </w:r>
      <w:r w:rsidR="00176132" w:rsidRPr="00C1087F">
        <w:rPr>
          <w:rFonts w:ascii="Arial" w:hAnsi="Arial" w:cs="Arial"/>
          <w:b/>
          <w:bCs/>
          <w:szCs w:val="24"/>
        </w:rPr>
        <w:tab/>
      </w:r>
    </w:p>
    <w:p w14:paraId="6CFFB34C" w14:textId="77777777" w:rsidR="00FB7CA0" w:rsidRPr="00C1087F" w:rsidRDefault="00FB7CA0" w:rsidP="00DD7117">
      <w:pPr>
        <w:spacing w:line="276" w:lineRule="auto"/>
        <w:rPr>
          <w:rFonts w:ascii="Arial" w:hAnsi="Arial" w:cs="Arial"/>
          <w:szCs w:val="24"/>
        </w:rPr>
      </w:pPr>
    </w:p>
    <w:p w14:paraId="288E56E2" w14:textId="77777777" w:rsidR="00296331" w:rsidRPr="00C1087F" w:rsidRDefault="00296331" w:rsidP="00DD7117">
      <w:pPr>
        <w:spacing w:line="276" w:lineRule="auto"/>
        <w:jc w:val="center"/>
        <w:rPr>
          <w:rFonts w:ascii="Arial" w:hAnsi="Arial" w:cs="Arial"/>
          <w:b/>
          <w:szCs w:val="24"/>
        </w:rPr>
      </w:pPr>
    </w:p>
    <w:p w14:paraId="77A7E1B5" w14:textId="77777777" w:rsidR="00296331" w:rsidRPr="00C1087F" w:rsidRDefault="00296331" w:rsidP="00DD7117">
      <w:pPr>
        <w:spacing w:line="276" w:lineRule="auto"/>
        <w:jc w:val="center"/>
        <w:rPr>
          <w:rFonts w:ascii="Arial" w:hAnsi="Arial" w:cs="Arial"/>
          <w:b/>
          <w:szCs w:val="24"/>
        </w:rPr>
      </w:pPr>
    </w:p>
    <w:p w14:paraId="7E8AD323" w14:textId="77777777" w:rsidR="00296331" w:rsidRPr="00C1087F" w:rsidRDefault="00296331" w:rsidP="00DD7117">
      <w:pPr>
        <w:spacing w:line="276" w:lineRule="auto"/>
        <w:jc w:val="center"/>
        <w:rPr>
          <w:rFonts w:ascii="Arial" w:hAnsi="Arial" w:cs="Arial"/>
          <w:b/>
          <w:szCs w:val="24"/>
        </w:rPr>
      </w:pPr>
    </w:p>
    <w:p w14:paraId="2ED2E59E" w14:textId="7FD9BFDD" w:rsidR="00F4385F" w:rsidRPr="00C1087F" w:rsidRDefault="00F4385F" w:rsidP="00A96B48">
      <w:pPr>
        <w:tabs>
          <w:tab w:val="left" w:pos="2268"/>
        </w:tabs>
        <w:ind w:left="2268" w:hanging="2268"/>
        <w:rPr>
          <w:rFonts w:ascii="Arial" w:hAnsi="Arial" w:cs="Arial"/>
          <w:szCs w:val="24"/>
        </w:rPr>
      </w:pPr>
      <w:r w:rsidRPr="00C1087F">
        <w:rPr>
          <w:rFonts w:ascii="Arial" w:hAnsi="Arial" w:cs="Arial"/>
          <w:b/>
          <w:bCs/>
          <w:szCs w:val="24"/>
        </w:rPr>
        <w:t>Appellant:</w:t>
      </w:r>
      <w:r w:rsidRPr="00C1087F">
        <w:rPr>
          <w:rFonts w:ascii="Arial" w:hAnsi="Arial" w:cs="Arial"/>
          <w:szCs w:val="24"/>
        </w:rPr>
        <w:tab/>
      </w:r>
      <w:bookmarkStart w:id="1" w:name="ocdClaimantName"/>
      <w:bookmarkEnd w:id="1"/>
      <w:r w:rsidR="00AF5A38" w:rsidRPr="00C1087F">
        <w:rPr>
          <w:rFonts w:ascii="Arial" w:hAnsi="Arial" w:cs="Arial"/>
          <w:szCs w:val="24"/>
        </w:rPr>
        <w:tab/>
      </w:r>
      <w:r w:rsidR="00731C46" w:rsidRPr="00C1087F">
        <w:rPr>
          <w:rFonts w:ascii="Arial" w:hAnsi="Arial" w:cs="Arial"/>
          <w:szCs w:val="24"/>
        </w:rPr>
        <w:t>Dr Michael Smith</w:t>
      </w:r>
    </w:p>
    <w:p w14:paraId="6BBFBAA2" w14:textId="77777777" w:rsidR="00AF5A38" w:rsidRPr="00C1087F" w:rsidRDefault="00AF5A38" w:rsidP="00A96B48">
      <w:pPr>
        <w:tabs>
          <w:tab w:val="left" w:pos="2268"/>
        </w:tabs>
        <w:ind w:left="2268" w:hanging="2268"/>
        <w:rPr>
          <w:rFonts w:ascii="Arial" w:hAnsi="Arial" w:cs="Arial"/>
          <w:b/>
          <w:bCs/>
          <w:szCs w:val="24"/>
        </w:rPr>
      </w:pPr>
    </w:p>
    <w:p w14:paraId="3567C9B2" w14:textId="77777777" w:rsidR="00F4385F" w:rsidRPr="00C1087F" w:rsidRDefault="0019519B" w:rsidP="00A96B48">
      <w:pPr>
        <w:tabs>
          <w:tab w:val="left" w:pos="2268"/>
        </w:tabs>
        <w:ind w:left="2268" w:hanging="2268"/>
        <w:rPr>
          <w:rFonts w:ascii="Arial" w:hAnsi="Arial" w:cs="Arial"/>
          <w:szCs w:val="24"/>
        </w:rPr>
      </w:pPr>
      <w:r w:rsidRPr="00C1087F">
        <w:rPr>
          <w:rFonts w:ascii="Arial" w:hAnsi="Arial" w:cs="Arial"/>
          <w:b/>
          <w:bCs/>
          <w:szCs w:val="24"/>
        </w:rPr>
        <w:t>First</w:t>
      </w:r>
      <w:r w:rsidR="00F4385F" w:rsidRPr="00C1087F">
        <w:rPr>
          <w:rFonts w:ascii="Arial" w:hAnsi="Arial" w:cs="Arial"/>
          <w:b/>
          <w:bCs/>
          <w:szCs w:val="24"/>
        </w:rPr>
        <w:t xml:space="preserve"> Respondent:</w:t>
      </w:r>
      <w:r w:rsidR="00F4385F" w:rsidRPr="00C1087F">
        <w:rPr>
          <w:rFonts w:ascii="Arial" w:hAnsi="Arial" w:cs="Arial"/>
          <w:b/>
          <w:bCs/>
          <w:szCs w:val="24"/>
        </w:rPr>
        <w:tab/>
      </w:r>
      <w:r w:rsidR="00AF5A38" w:rsidRPr="00C1087F">
        <w:rPr>
          <w:rFonts w:ascii="Arial" w:hAnsi="Arial" w:cs="Arial"/>
          <w:b/>
          <w:bCs/>
          <w:szCs w:val="24"/>
        </w:rPr>
        <w:tab/>
      </w:r>
      <w:r w:rsidR="00F4385F" w:rsidRPr="00C1087F">
        <w:rPr>
          <w:rFonts w:ascii="Arial" w:hAnsi="Arial" w:cs="Arial"/>
          <w:szCs w:val="24"/>
        </w:rPr>
        <w:t>The Information Commissioner</w:t>
      </w:r>
    </w:p>
    <w:p w14:paraId="69B17A6B" w14:textId="77777777" w:rsidR="00AF5A38" w:rsidRPr="00C1087F" w:rsidRDefault="00AF5A38" w:rsidP="00A96B48">
      <w:pPr>
        <w:tabs>
          <w:tab w:val="left" w:pos="2268"/>
        </w:tabs>
        <w:ind w:left="2268" w:hanging="2268"/>
        <w:rPr>
          <w:rFonts w:ascii="Arial" w:hAnsi="Arial" w:cs="Arial"/>
          <w:szCs w:val="24"/>
        </w:rPr>
      </w:pPr>
    </w:p>
    <w:p w14:paraId="49C20316" w14:textId="77777777" w:rsidR="00296331" w:rsidRPr="00C1087F" w:rsidRDefault="00296331" w:rsidP="00A96B48">
      <w:pPr>
        <w:jc w:val="both"/>
        <w:rPr>
          <w:rFonts w:ascii="Arial" w:hAnsi="Arial" w:cs="Arial"/>
          <w:b/>
          <w:szCs w:val="24"/>
        </w:rPr>
      </w:pPr>
    </w:p>
    <w:p w14:paraId="47B6484F" w14:textId="17AC22D6" w:rsidR="00AF5A38" w:rsidRPr="00C1087F" w:rsidRDefault="00DE6A4A" w:rsidP="00A96B48">
      <w:pPr>
        <w:jc w:val="both"/>
        <w:rPr>
          <w:rFonts w:ascii="Arial" w:hAnsi="Arial" w:cs="Arial"/>
          <w:b/>
          <w:bCs/>
          <w:szCs w:val="24"/>
        </w:rPr>
      </w:pPr>
      <w:r w:rsidRPr="00C1087F">
        <w:rPr>
          <w:rFonts w:ascii="Arial" w:hAnsi="Arial" w:cs="Arial"/>
          <w:b/>
          <w:bCs/>
          <w:szCs w:val="24"/>
        </w:rPr>
        <w:t>DECISION OF UPPER TRIBUNAL JUDGE MACMILLAN</w:t>
      </w:r>
    </w:p>
    <w:p w14:paraId="41C12A15" w14:textId="2A784644" w:rsidR="00DE6A4A" w:rsidRPr="00C1087F" w:rsidRDefault="00DE6A4A" w:rsidP="00A96B48">
      <w:pPr>
        <w:jc w:val="both"/>
        <w:rPr>
          <w:rFonts w:ascii="Arial" w:hAnsi="Arial" w:cs="Arial"/>
          <w:b/>
          <w:bCs/>
          <w:szCs w:val="24"/>
        </w:rPr>
      </w:pPr>
    </w:p>
    <w:p w14:paraId="632C61FD" w14:textId="74A0223B" w:rsidR="00DE6A4A" w:rsidRPr="00C1087F" w:rsidRDefault="00DE6A4A" w:rsidP="00A96B48">
      <w:pPr>
        <w:jc w:val="both"/>
        <w:rPr>
          <w:rFonts w:ascii="Arial" w:hAnsi="Arial" w:cs="Arial"/>
          <w:szCs w:val="24"/>
        </w:rPr>
      </w:pPr>
      <w:r w:rsidRPr="00C1087F">
        <w:rPr>
          <w:rFonts w:ascii="Arial" w:hAnsi="Arial" w:cs="Arial"/>
          <w:szCs w:val="24"/>
        </w:rPr>
        <w:t>Decision Date:</w:t>
      </w:r>
      <w:r w:rsidR="009455E0" w:rsidRPr="00C1087F">
        <w:rPr>
          <w:rFonts w:ascii="Arial" w:hAnsi="Arial" w:cs="Arial"/>
          <w:szCs w:val="24"/>
        </w:rPr>
        <w:tab/>
      </w:r>
      <w:r w:rsidR="008E5E84" w:rsidRPr="00C1087F">
        <w:rPr>
          <w:rFonts w:ascii="Arial" w:hAnsi="Arial" w:cs="Arial"/>
          <w:szCs w:val="24"/>
        </w:rPr>
        <w:tab/>
      </w:r>
      <w:r w:rsidR="00B97CF2" w:rsidRPr="00C1087F">
        <w:rPr>
          <w:rFonts w:ascii="Arial" w:hAnsi="Arial" w:cs="Arial"/>
          <w:szCs w:val="24"/>
        </w:rPr>
        <w:t>1</w:t>
      </w:r>
      <w:r w:rsidR="00A96B48">
        <w:rPr>
          <w:rFonts w:ascii="Arial" w:hAnsi="Arial" w:cs="Arial"/>
          <w:szCs w:val="24"/>
        </w:rPr>
        <w:t>5</w:t>
      </w:r>
      <w:r w:rsidR="008E5E84" w:rsidRPr="00C1087F">
        <w:rPr>
          <w:rFonts w:ascii="Arial" w:hAnsi="Arial" w:cs="Arial"/>
          <w:szCs w:val="24"/>
        </w:rPr>
        <w:t xml:space="preserve"> September 2022</w:t>
      </w:r>
    </w:p>
    <w:p w14:paraId="0A1E5A79" w14:textId="49818E8D" w:rsidR="00DE6A4A" w:rsidRPr="00C1087F" w:rsidRDefault="00DE6A4A" w:rsidP="00A96B48">
      <w:pPr>
        <w:jc w:val="both"/>
        <w:rPr>
          <w:rFonts w:ascii="Arial" w:hAnsi="Arial" w:cs="Arial"/>
          <w:szCs w:val="24"/>
        </w:rPr>
      </w:pPr>
    </w:p>
    <w:p w14:paraId="0A4692B7" w14:textId="3F4B864D" w:rsidR="00DE6A4A" w:rsidRPr="00C1087F" w:rsidRDefault="00DE6A4A" w:rsidP="00A96B48">
      <w:pPr>
        <w:jc w:val="both"/>
        <w:rPr>
          <w:rFonts w:ascii="Arial" w:hAnsi="Arial" w:cs="Arial"/>
          <w:szCs w:val="24"/>
        </w:rPr>
      </w:pPr>
      <w:r w:rsidRPr="00C1087F">
        <w:rPr>
          <w:rFonts w:ascii="Arial" w:hAnsi="Arial" w:cs="Arial"/>
          <w:szCs w:val="24"/>
        </w:rPr>
        <w:t>Decided following an oral hearing by CVP on 27 July 2022</w:t>
      </w:r>
    </w:p>
    <w:p w14:paraId="4F6C11D0" w14:textId="7FF42A3B" w:rsidR="00DE6A4A" w:rsidRPr="00C1087F" w:rsidRDefault="00DE6A4A" w:rsidP="00A96B48">
      <w:pPr>
        <w:jc w:val="both"/>
        <w:rPr>
          <w:rFonts w:ascii="Arial" w:hAnsi="Arial" w:cs="Arial"/>
          <w:szCs w:val="24"/>
        </w:rPr>
      </w:pPr>
    </w:p>
    <w:p w14:paraId="453D5756" w14:textId="77777777" w:rsidR="000D0BE5" w:rsidRPr="00C1087F" w:rsidRDefault="00DE6A4A" w:rsidP="00A96B48">
      <w:pPr>
        <w:jc w:val="both"/>
        <w:rPr>
          <w:rFonts w:ascii="Arial" w:hAnsi="Arial" w:cs="Arial"/>
          <w:szCs w:val="24"/>
        </w:rPr>
      </w:pPr>
      <w:r w:rsidRPr="00C1087F">
        <w:rPr>
          <w:rFonts w:ascii="Arial" w:hAnsi="Arial" w:cs="Arial"/>
          <w:b/>
          <w:bCs/>
          <w:szCs w:val="24"/>
        </w:rPr>
        <w:t>Representation:</w:t>
      </w:r>
      <w:r w:rsidRPr="00C1087F">
        <w:rPr>
          <w:rFonts w:ascii="Arial" w:hAnsi="Arial" w:cs="Arial"/>
          <w:szCs w:val="24"/>
        </w:rPr>
        <w:t xml:space="preserve"> </w:t>
      </w:r>
      <w:r w:rsidR="000D0BE5" w:rsidRPr="00C1087F">
        <w:rPr>
          <w:rFonts w:ascii="Arial" w:hAnsi="Arial" w:cs="Arial"/>
          <w:szCs w:val="24"/>
        </w:rPr>
        <w:tab/>
      </w:r>
    </w:p>
    <w:p w14:paraId="5218CF1D" w14:textId="77777777" w:rsidR="000D0BE5" w:rsidRPr="00C1087F" w:rsidRDefault="000D0BE5" w:rsidP="00A96B48">
      <w:pPr>
        <w:jc w:val="both"/>
        <w:rPr>
          <w:rFonts w:ascii="Arial" w:hAnsi="Arial" w:cs="Arial"/>
          <w:szCs w:val="24"/>
        </w:rPr>
      </w:pPr>
    </w:p>
    <w:p w14:paraId="5505192F" w14:textId="66262E2E" w:rsidR="00DE6A4A" w:rsidRPr="00C1087F" w:rsidRDefault="000D0BE5" w:rsidP="00A96B48">
      <w:pPr>
        <w:jc w:val="both"/>
        <w:rPr>
          <w:rFonts w:ascii="Arial" w:hAnsi="Arial" w:cs="Arial"/>
          <w:szCs w:val="24"/>
        </w:rPr>
      </w:pPr>
      <w:r w:rsidRPr="00C1087F">
        <w:rPr>
          <w:rFonts w:ascii="Arial" w:hAnsi="Arial" w:cs="Arial"/>
          <w:szCs w:val="24"/>
        </w:rPr>
        <w:t>Appellant:</w:t>
      </w:r>
      <w:r w:rsidRPr="00C1087F">
        <w:rPr>
          <w:rFonts w:ascii="Arial" w:hAnsi="Arial" w:cs="Arial"/>
          <w:szCs w:val="24"/>
        </w:rPr>
        <w:tab/>
      </w:r>
      <w:r w:rsidRPr="00C1087F">
        <w:rPr>
          <w:rFonts w:ascii="Arial" w:hAnsi="Arial" w:cs="Arial"/>
          <w:szCs w:val="24"/>
        </w:rPr>
        <w:tab/>
      </w:r>
      <w:r w:rsidR="00DE6A4A" w:rsidRPr="00C1087F">
        <w:rPr>
          <w:rFonts w:ascii="Arial" w:hAnsi="Arial" w:cs="Arial"/>
          <w:szCs w:val="24"/>
        </w:rPr>
        <w:t>Dr Michael Smith re</w:t>
      </w:r>
      <w:r w:rsidRPr="00C1087F">
        <w:rPr>
          <w:rFonts w:ascii="Arial" w:hAnsi="Arial" w:cs="Arial"/>
          <w:szCs w:val="24"/>
        </w:rPr>
        <w:t>presented himself</w:t>
      </w:r>
    </w:p>
    <w:p w14:paraId="229528AD" w14:textId="5A566840" w:rsidR="000D0BE5" w:rsidRPr="00C1087F" w:rsidRDefault="000D0BE5" w:rsidP="00A96B48">
      <w:pPr>
        <w:jc w:val="both"/>
        <w:rPr>
          <w:rFonts w:ascii="Arial" w:hAnsi="Arial" w:cs="Arial"/>
          <w:szCs w:val="24"/>
        </w:rPr>
      </w:pPr>
      <w:r w:rsidRPr="00C1087F">
        <w:rPr>
          <w:rFonts w:ascii="Arial" w:hAnsi="Arial" w:cs="Arial"/>
          <w:szCs w:val="24"/>
        </w:rPr>
        <w:t>Respondent:</w:t>
      </w:r>
      <w:r w:rsidRPr="00C1087F">
        <w:rPr>
          <w:rFonts w:ascii="Arial" w:hAnsi="Arial" w:cs="Arial"/>
          <w:szCs w:val="24"/>
        </w:rPr>
        <w:tab/>
      </w:r>
      <w:r w:rsidRPr="00C1087F">
        <w:rPr>
          <w:rFonts w:ascii="Arial" w:hAnsi="Arial" w:cs="Arial"/>
          <w:szCs w:val="24"/>
        </w:rPr>
        <w:tab/>
        <w:t xml:space="preserve">Mr </w:t>
      </w:r>
      <w:r w:rsidR="00A44A4D" w:rsidRPr="00C1087F">
        <w:rPr>
          <w:rFonts w:ascii="Arial" w:hAnsi="Arial" w:cs="Arial"/>
          <w:szCs w:val="24"/>
        </w:rPr>
        <w:t xml:space="preserve">Michael White represented the </w:t>
      </w:r>
      <w:r w:rsidR="009826EB" w:rsidRPr="00C1087F">
        <w:rPr>
          <w:rFonts w:ascii="Arial" w:hAnsi="Arial" w:cs="Arial"/>
          <w:szCs w:val="24"/>
        </w:rPr>
        <w:t>Information Commissioner</w:t>
      </w:r>
    </w:p>
    <w:p w14:paraId="44544539" w14:textId="6FF07C96" w:rsidR="00DE6A4A" w:rsidRPr="00C1087F" w:rsidRDefault="00DE6A4A" w:rsidP="00A96B48">
      <w:pPr>
        <w:jc w:val="both"/>
        <w:rPr>
          <w:rFonts w:ascii="Arial" w:hAnsi="Arial" w:cs="Arial"/>
          <w:b/>
          <w:bCs/>
          <w:szCs w:val="24"/>
        </w:rPr>
      </w:pPr>
    </w:p>
    <w:p w14:paraId="2B4F2E33" w14:textId="5A827547" w:rsidR="00DE6A4A" w:rsidRPr="00C1087F" w:rsidRDefault="00DE6A4A" w:rsidP="00A96B48">
      <w:pPr>
        <w:jc w:val="both"/>
        <w:rPr>
          <w:rFonts w:ascii="Arial" w:hAnsi="Arial" w:cs="Arial"/>
          <w:b/>
          <w:bCs/>
          <w:szCs w:val="24"/>
        </w:rPr>
      </w:pPr>
    </w:p>
    <w:p w14:paraId="672E4487" w14:textId="77777777" w:rsidR="00DD109F" w:rsidRPr="00C1087F" w:rsidRDefault="00DD109F" w:rsidP="00A96B48">
      <w:pPr>
        <w:tabs>
          <w:tab w:val="left" w:pos="454"/>
          <w:tab w:val="left" w:pos="3119"/>
        </w:tabs>
        <w:rPr>
          <w:rFonts w:ascii="Arial" w:hAnsi="Arial" w:cs="Arial"/>
          <w:b/>
          <w:szCs w:val="24"/>
        </w:rPr>
      </w:pPr>
      <w:r w:rsidRPr="00C1087F">
        <w:rPr>
          <w:rFonts w:ascii="Arial" w:hAnsi="Arial" w:cs="Arial"/>
          <w:b/>
          <w:szCs w:val="24"/>
        </w:rPr>
        <w:t>Authorities considered:</w:t>
      </w:r>
    </w:p>
    <w:p w14:paraId="040DDC5B" w14:textId="36549D96" w:rsidR="00DD109F" w:rsidRPr="00C1087F" w:rsidRDefault="00DD109F" w:rsidP="00A96B48">
      <w:pPr>
        <w:tabs>
          <w:tab w:val="left" w:pos="454"/>
          <w:tab w:val="left" w:pos="3119"/>
        </w:tabs>
        <w:rPr>
          <w:rFonts w:ascii="Arial" w:hAnsi="Arial" w:cs="Arial"/>
          <w:b/>
          <w:szCs w:val="24"/>
        </w:rPr>
      </w:pPr>
      <w:r w:rsidRPr="00C1087F">
        <w:rPr>
          <w:rFonts w:ascii="Arial" w:hAnsi="Arial" w:cs="Arial"/>
          <w:b/>
          <w:szCs w:val="24"/>
        </w:rPr>
        <w:t xml:space="preserve"> </w:t>
      </w:r>
    </w:p>
    <w:p w14:paraId="22CB36FF" w14:textId="77777777" w:rsidR="00DD109F" w:rsidRPr="000D2B15" w:rsidRDefault="00DD109F" w:rsidP="00A96B48">
      <w:pPr>
        <w:tabs>
          <w:tab w:val="left" w:pos="454"/>
          <w:tab w:val="left" w:pos="3119"/>
        </w:tabs>
        <w:rPr>
          <w:rFonts w:ascii="Arial" w:hAnsi="Arial" w:cs="Arial"/>
          <w:bCs/>
          <w:szCs w:val="24"/>
        </w:rPr>
      </w:pPr>
      <w:r w:rsidRPr="00C1087F">
        <w:rPr>
          <w:rFonts w:ascii="Arial" w:hAnsi="Arial" w:cs="Arial"/>
          <w:bCs/>
          <w:i/>
          <w:iCs/>
          <w:szCs w:val="24"/>
          <w:u w:val="single"/>
        </w:rPr>
        <w:t xml:space="preserve">Information Commissioner v </w:t>
      </w:r>
      <w:proofErr w:type="spellStart"/>
      <w:r w:rsidRPr="00C1087F">
        <w:rPr>
          <w:rFonts w:ascii="Arial" w:hAnsi="Arial" w:cs="Arial"/>
          <w:bCs/>
          <w:i/>
          <w:iCs/>
          <w:szCs w:val="24"/>
          <w:u w:val="single"/>
        </w:rPr>
        <w:t>Malnick</w:t>
      </w:r>
      <w:proofErr w:type="spellEnd"/>
      <w:r w:rsidRPr="00C1087F">
        <w:rPr>
          <w:rFonts w:ascii="Arial" w:hAnsi="Arial" w:cs="Arial"/>
          <w:bCs/>
          <w:i/>
          <w:iCs/>
          <w:szCs w:val="24"/>
        </w:rPr>
        <w:t xml:space="preserve"> </w:t>
      </w:r>
      <w:r w:rsidRPr="000D2B15">
        <w:rPr>
          <w:rFonts w:ascii="Arial" w:hAnsi="Arial" w:cs="Arial"/>
          <w:bCs/>
          <w:szCs w:val="24"/>
        </w:rPr>
        <w:t>[2018] UKUT 72 (AAC)</w:t>
      </w:r>
    </w:p>
    <w:p w14:paraId="6909A75B" w14:textId="77777777" w:rsidR="00DD109F" w:rsidRPr="00C1087F" w:rsidRDefault="00DD109F" w:rsidP="00A96B48">
      <w:pPr>
        <w:tabs>
          <w:tab w:val="left" w:pos="454"/>
          <w:tab w:val="left" w:pos="3119"/>
        </w:tabs>
        <w:rPr>
          <w:rFonts w:ascii="Arial" w:hAnsi="Arial" w:cs="Arial"/>
          <w:bCs/>
          <w:i/>
          <w:iCs/>
          <w:szCs w:val="24"/>
        </w:rPr>
      </w:pPr>
    </w:p>
    <w:p w14:paraId="32663C47" w14:textId="77777777" w:rsidR="00DD109F" w:rsidRPr="000D2B15" w:rsidRDefault="00DD109F" w:rsidP="00A96B48">
      <w:pPr>
        <w:tabs>
          <w:tab w:val="left" w:pos="454"/>
          <w:tab w:val="left" w:pos="3119"/>
        </w:tabs>
        <w:rPr>
          <w:rFonts w:ascii="Arial" w:hAnsi="Arial" w:cs="Arial"/>
          <w:bCs/>
          <w:szCs w:val="24"/>
        </w:rPr>
      </w:pPr>
      <w:r w:rsidRPr="00C1087F">
        <w:rPr>
          <w:rFonts w:ascii="Arial" w:hAnsi="Arial" w:cs="Arial"/>
          <w:bCs/>
          <w:i/>
          <w:iCs/>
          <w:szCs w:val="24"/>
          <w:u w:val="single"/>
        </w:rPr>
        <w:t>Montague v Information Commissioner and the Department for International Trade</w:t>
      </w:r>
      <w:r w:rsidRPr="00C1087F">
        <w:rPr>
          <w:rFonts w:ascii="Arial" w:hAnsi="Arial" w:cs="Arial"/>
          <w:bCs/>
          <w:i/>
          <w:iCs/>
          <w:szCs w:val="24"/>
        </w:rPr>
        <w:t xml:space="preserve"> </w:t>
      </w:r>
      <w:r w:rsidRPr="000D2B15">
        <w:rPr>
          <w:rFonts w:ascii="Arial" w:hAnsi="Arial" w:cs="Arial"/>
          <w:bCs/>
          <w:szCs w:val="24"/>
        </w:rPr>
        <w:t>[2022] UKUT 104 (AAC</w:t>
      </w:r>
    </w:p>
    <w:p w14:paraId="59DA091F" w14:textId="77777777" w:rsidR="00DD109F" w:rsidRPr="00C1087F" w:rsidRDefault="00DD109F" w:rsidP="00A96B48">
      <w:pPr>
        <w:jc w:val="both"/>
        <w:rPr>
          <w:rFonts w:ascii="Arial" w:hAnsi="Arial" w:cs="Arial"/>
          <w:b/>
          <w:bCs/>
          <w:szCs w:val="24"/>
        </w:rPr>
      </w:pPr>
    </w:p>
    <w:p w14:paraId="3700DC83" w14:textId="77777777" w:rsidR="0019519B" w:rsidRPr="00C1087F" w:rsidRDefault="00991A16" w:rsidP="00A96B48">
      <w:pPr>
        <w:jc w:val="both"/>
        <w:rPr>
          <w:rFonts w:ascii="Arial" w:hAnsi="Arial" w:cs="Arial"/>
          <w:b/>
          <w:bCs/>
          <w:szCs w:val="24"/>
        </w:rPr>
      </w:pPr>
      <w:r w:rsidRPr="00C1087F">
        <w:rPr>
          <w:rFonts w:ascii="Arial" w:hAnsi="Arial" w:cs="Arial"/>
          <w:b/>
          <w:bCs/>
          <w:szCs w:val="24"/>
        </w:rPr>
        <w:t>ON APPEAL FROM:</w:t>
      </w:r>
    </w:p>
    <w:p w14:paraId="371850F4" w14:textId="77777777" w:rsidR="00296331" w:rsidRPr="00C1087F" w:rsidRDefault="00296331" w:rsidP="00A96B48">
      <w:pPr>
        <w:jc w:val="center"/>
        <w:rPr>
          <w:rFonts w:ascii="Arial" w:hAnsi="Arial" w:cs="Arial"/>
          <w:b/>
          <w:szCs w:val="24"/>
        </w:rPr>
      </w:pPr>
    </w:p>
    <w:p w14:paraId="32E7E10B" w14:textId="51777886" w:rsidR="00FB7CA0" w:rsidRPr="00C1087F" w:rsidRDefault="0049618B" w:rsidP="00A96B48">
      <w:pPr>
        <w:tabs>
          <w:tab w:val="left" w:pos="2268"/>
        </w:tabs>
        <w:ind w:left="2268" w:hanging="2268"/>
        <w:rPr>
          <w:rFonts w:ascii="Arial" w:hAnsi="Arial" w:cs="Arial"/>
          <w:szCs w:val="24"/>
        </w:rPr>
      </w:pPr>
      <w:r w:rsidRPr="00C1087F">
        <w:rPr>
          <w:rFonts w:ascii="Arial" w:hAnsi="Arial" w:cs="Arial"/>
          <w:b/>
          <w:bCs/>
          <w:szCs w:val="24"/>
        </w:rPr>
        <w:t>Tribunal:</w:t>
      </w:r>
      <w:r w:rsidRPr="00C1087F">
        <w:rPr>
          <w:rFonts w:ascii="Arial" w:hAnsi="Arial" w:cs="Arial"/>
          <w:szCs w:val="24"/>
        </w:rPr>
        <w:tab/>
      </w:r>
      <w:bookmarkStart w:id="2" w:name="ocdFirstTierTribunal"/>
      <w:bookmarkEnd w:id="2"/>
      <w:r w:rsidRPr="00C1087F">
        <w:rPr>
          <w:rFonts w:ascii="Arial" w:hAnsi="Arial" w:cs="Arial"/>
          <w:szCs w:val="24"/>
        </w:rPr>
        <w:t xml:space="preserve">First-tier Tribunal </w:t>
      </w:r>
      <w:r w:rsidR="00731C46" w:rsidRPr="00C1087F">
        <w:rPr>
          <w:rFonts w:ascii="Arial" w:hAnsi="Arial" w:cs="Arial"/>
          <w:szCs w:val="24"/>
        </w:rPr>
        <w:t xml:space="preserve">(General Regulatory Chamber) </w:t>
      </w:r>
      <w:r w:rsidRPr="00C1087F">
        <w:rPr>
          <w:rFonts w:ascii="Arial" w:hAnsi="Arial" w:cs="Arial"/>
          <w:szCs w:val="24"/>
        </w:rPr>
        <w:t>Information Rights</w:t>
      </w:r>
    </w:p>
    <w:p w14:paraId="04B133EC" w14:textId="77777777" w:rsidR="00835EFC" w:rsidRPr="00C1087F" w:rsidRDefault="00835EFC" w:rsidP="00A96B48">
      <w:pPr>
        <w:tabs>
          <w:tab w:val="left" w:pos="2268"/>
        </w:tabs>
        <w:ind w:left="2268" w:hanging="2268"/>
        <w:rPr>
          <w:rFonts w:ascii="Arial" w:hAnsi="Arial" w:cs="Arial"/>
          <w:b/>
          <w:bCs/>
          <w:szCs w:val="24"/>
        </w:rPr>
      </w:pPr>
    </w:p>
    <w:p w14:paraId="1D219ECE" w14:textId="20652C14" w:rsidR="00FB7CA0" w:rsidRPr="00C1087F" w:rsidRDefault="0049618B" w:rsidP="00A96B48">
      <w:pPr>
        <w:tabs>
          <w:tab w:val="left" w:pos="2268"/>
        </w:tabs>
        <w:ind w:left="2268" w:hanging="2268"/>
        <w:rPr>
          <w:rFonts w:ascii="Arial" w:hAnsi="Arial" w:cs="Arial"/>
          <w:szCs w:val="24"/>
        </w:rPr>
      </w:pPr>
      <w:r w:rsidRPr="00C1087F">
        <w:rPr>
          <w:rFonts w:ascii="Arial" w:hAnsi="Arial" w:cs="Arial"/>
          <w:b/>
          <w:bCs/>
          <w:szCs w:val="24"/>
        </w:rPr>
        <w:t>Tribunal Case No:</w:t>
      </w:r>
      <w:r w:rsidRPr="00C1087F">
        <w:rPr>
          <w:rFonts w:ascii="Arial" w:hAnsi="Arial" w:cs="Arial"/>
          <w:szCs w:val="24"/>
        </w:rPr>
        <w:tab/>
      </w:r>
      <w:bookmarkStart w:id="3" w:name="ocdTribunalReference"/>
      <w:bookmarkEnd w:id="3"/>
      <w:r w:rsidR="00347682" w:rsidRPr="00C1087F">
        <w:rPr>
          <w:rFonts w:ascii="Arial" w:hAnsi="Arial" w:cs="Arial"/>
          <w:szCs w:val="24"/>
        </w:rPr>
        <w:t>EA/201</w:t>
      </w:r>
      <w:r w:rsidR="00DB6398" w:rsidRPr="00C1087F">
        <w:rPr>
          <w:rFonts w:ascii="Arial" w:hAnsi="Arial" w:cs="Arial"/>
          <w:szCs w:val="24"/>
        </w:rPr>
        <w:t>9/0374</w:t>
      </w:r>
    </w:p>
    <w:p w14:paraId="2DD615E9" w14:textId="77777777" w:rsidR="00835EFC" w:rsidRPr="00C1087F" w:rsidRDefault="00835EFC" w:rsidP="00A96B48">
      <w:pPr>
        <w:tabs>
          <w:tab w:val="left" w:pos="2268"/>
        </w:tabs>
        <w:ind w:left="2268" w:hanging="2268"/>
        <w:rPr>
          <w:rFonts w:ascii="Arial" w:hAnsi="Arial" w:cs="Arial"/>
          <w:b/>
          <w:bCs/>
          <w:szCs w:val="24"/>
        </w:rPr>
      </w:pPr>
    </w:p>
    <w:p w14:paraId="091353A8" w14:textId="0A078F05" w:rsidR="00FB7CA0" w:rsidRPr="00C1087F" w:rsidRDefault="00DB6398" w:rsidP="00A96B48">
      <w:pPr>
        <w:tabs>
          <w:tab w:val="left" w:pos="2268"/>
        </w:tabs>
        <w:ind w:left="2268" w:hanging="2268"/>
        <w:rPr>
          <w:rFonts w:ascii="Arial" w:hAnsi="Arial" w:cs="Arial"/>
          <w:szCs w:val="24"/>
        </w:rPr>
      </w:pPr>
      <w:r w:rsidRPr="00C1087F">
        <w:rPr>
          <w:rFonts w:ascii="Arial" w:hAnsi="Arial" w:cs="Arial"/>
          <w:b/>
          <w:bCs/>
          <w:szCs w:val="24"/>
        </w:rPr>
        <w:t>Hearing Date</w:t>
      </w:r>
      <w:r w:rsidR="0049618B" w:rsidRPr="00C1087F">
        <w:rPr>
          <w:rFonts w:ascii="Arial" w:hAnsi="Arial" w:cs="Arial"/>
          <w:b/>
          <w:bCs/>
          <w:szCs w:val="24"/>
        </w:rPr>
        <w:t>:</w:t>
      </w:r>
      <w:r w:rsidR="0049618B" w:rsidRPr="00C1087F">
        <w:rPr>
          <w:rFonts w:ascii="Arial" w:hAnsi="Arial" w:cs="Arial"/>
          <w:szCs w:val="24"/>
        </w:rPr>
        <w:tab/>
      </w:r>
      <w:bookmarkStart w:id="4" w:name="ocdTribunalName"/>
      <w:bookmarkEnd w:id="4"/>
      <w:r w:rsidRPr="00C1087F">
        <w:rPr>
          <w:rFonts w:ascii="Arial" w:hAnsi="Arial" w:cs="Arial"/>
          <w:szCs w:val="24"/>
        </w:rPr>
        <w:t>12 February 2021 (remote</w:t>
      </w:r>
      <w:r w:rsidR="00266067" w:rsidRPr="00C1087F">
        <w:rPr>
          <w:rFonts w:ascii="Arial" w:hAnsi="Arial" w:cs="Arial"/>
          <w:szCs w:val="24"/>
        </w:rPr>
        <w:t xml:space="preserve"> via CVP</w:t>
      </w:r>
      <w:r w:rsidRPr="00C1087F">
        <w:rPr>
          <w:rFonts w:ascii="Arial" w:hAnsi="Arial" w:cs="Arial"/>
          <w:szCs w:val="24"/>
        </w:rPr>
        <w:t>)</w:t>
      </w:r>
    </w:p>
    <w:p w14:paraId="457CF680" w14:textId="77777777" w:rsidR="00835EFC" w:rsidRPr="00C1087F" w:rsidRDefault="00835EFC" w:rsidP="00A96B48">
      <w:pPr>
        <w:tabs>
          <w:tab w:val="left" w:pos="2268"/>
        </w:tabs>
        <w:ind w:left="2268" w:hanging="2268"/>
        <w:rPr>
          <w:rFonts w:ascii="Arial" w:hAnsi="Arial" w:cs="Arial"/>
          <w:b/>
          <w:bCs/>
          <w:szCs w:val="24"/>
        </w:rPr>
      </w:pPr>
    </w:p>
    <w:p w14:paraId="2E046C01" w14:textId="58B9A05B" w:rsidR="00C47D2C" w:rsidRPr="00C1087F" w:rsidRDefault="003F07FA" w:rsidP="00466DE0">
      <w:pPr>
        <w:tabs>
          <w:tab w:val="left" w:pos="2268"/>
        </w:tabs>
        <w:ind w:left="2268" w:hanging="2268"/>
        <w:rPr>
          <w:rFonts w:ascii="Arial" w:hAnsi="Arial" w:cs="Arial"/>
          <w:szCs w:val="24"/>
        </w:rPr>
      </w:pPr>
      <w:r w:rsidRPr="00C1087F">
        <w:rPr>
          <w:rFonts w:ascii="Arial" w:hAnsi="Arial" w:cs="Arial"/>
          <w:b/>
          <w:bCs/>
          <w:szCs w:val="24"/>
        </w:rPr>
        <w:t>Decision</w:t>
      </w:r>
      <w:r w:rsidR="0049618B" w:rsidRPr="00C1087F">
        <w:rPr>
          <w:rFonts w:ascii="Arial" w:hAnsi="Arial" w:cs="Arial"/>
          <w:b/>
          <w:bCs/>
          <w:szCs w:val="24"/>
        </w:rPr>
        <w:t xml:space="preserve"> Date:</w:t>
      </w:r>
      <w:r w:rsidR="0049618B" w:rsidRPr="00C1087F">
        <w:rPr>
          <w:rFonts w:ascii="Arial" w:hAnsi="Arial" w:cs="Arial"/>
          <w:szCs w:val="24"/>
        </w:rPr>
        <w:tab/>
      </w:r>
      <w:bookmarkStart w:id="5" w:name="ocdTribunalDate"/>
      <w:bookmarkEnd w:id="5"/>
      <w:r w:rsidR="00DB6398" w:rsidRPr="00C1087F">
        <w:rPr>
          <w:rFonts w:ascii="Arial" w:hAnsi="Arial" w:cs="Arial"/>
          <w:szCs w:val="24"/>
        </w:rPr>
        <w:t>17 March 2021</w:t>
      </w:r>
    </w:p>
    <w:p w14:paraId="324C792B" w14:textId="2CE2F29F" w:rsidR="00835EFC" w:rsidRPr="00C1087F" w:rsidRDefault="0034710D" w:rsidP="00DD7117">
      <w:pPr>
        <w:tabs>
          <w:tab w:val="left" w:pos="454"/>
          <w:tab w:val="left" w:pos="3119"/>
        </w:tabs>
        <w:spacing w:line="276" w:lineRule="auto"/>
        <w:jc w:val="center"/>
        <w:rPr>
          <w:rFonts w:ascii="Arial" w:hAnsi="Arial" w:cs="Arial"/>
          <w:b/>
          <w:bCs/>
          <w:szCs w:val="24"/>
        </w:rPr>
      </w:pPr>
      <w:r w:rsidRPr="00C1087F">
        <w:rPr>
          <w:rFonts w:ascii="Arial" w:hAnsi="Arial" w:cs="Arial"/>
          <w:b/>
          <w:bCs/>
          <w:szCs w:val="24"/>
        </w:rPr>
        <w:lastRenderedPageBreak/>
        <w:t>DECISION</w:t>
      </w:r>
    </w:p>
    <w:p w14:paraId="19827D14" w14:textId="3E052E66" w:rsidR="0034710D" w:rsidRPr="00C1087F" w:rsidRDefault="0034710D" w:rsidP="00DD7117">
      <w:pPr>
        <w:tabs>
          <w:tab w:val="left" w:pos="454"/>
          <w:tab w:val="left" w:pos="3119"/>
        </w:tabs>
        <w:spacing w:line="276" w:lineRule="auto"/>
        <w:jc w:val="center"/>
        <w:rPr>
          <w:rFonts w:ascii="Arial" w:hAnsi="Arial" w:cs="Arial"/>
          <w:b/>
          <w:bCs/>
          <w:szCs w:val="24"/>
        </w:rPr>
      </w:pPr>
    </w:p>
    <w:p w14:paraId="5E3B6EE7" w14:textId="77777777" w:rsidR="001347A4" w:rsidRDefault="0034710D" w:rsidP="00DD7117">
      <w:pPr>
        <w:tabs>
          <w:tab w:val="left" w:pos="454"/>
          <w:tab w:val="left" w:pos="3119"/>
        </w:tabs>
        <w:spacing w:line="276" w:lineRule="auto"/>
        <w:jc w:val="both"/>
        <w:rPr>
          <w:rFonts w:ascii="Arial" w:hAnsi="Arial" w:cs="Arial"/>
          <w:b/>
          <w:bCs/>
          <w:szCs w:val="24"/>
        </w:rPr>
      </w:pPr>
      <w:r w:rsidRPr="00C1087F">
        <w:rPr>
          <w:rFonts w:ascii="Arial" w:hAnsi="Arial" w:cs="Arial"/>
          <w:b/>
          <w:bCs/>
          <w:szCs w:val="24"/>
        </w:rPr>
        <w:t>The decision of the Upper Tribunal is to</w:t>
      </w:r>
      <w:r w:rsidR="00E00CFE" w:rsidRPr="00C1087F">
        <w:rPr>
          <w:rFonts w:ascii="Arial" w:hAnsi="Arial" w:cs="Arial"/>
          <w:b/>
          <w:bCs/>
          <w:szCs w:val="24"/>
        </w:rPr>
        <w:t xml:space="preserve"> dismiss the appeal. </w:t>
      </w:r>
    </w:p>
    <w:p w14:paraId="41A8F4F9" w14:textId="77777777" w:rsidR="001347A4" w:rsidRDefault="001347A4" w:rsidP="00DD7117">
      <w:pPr>
        <w:tabs>
          <w:tab w:val="left" w:pos="454"/>
          <w:tab w:val="left" w:pos="3119"/>
        </w:tabs>
        <w:spacing w:line="276" w:lineRule="auto"/>
        <w:jc w:val="both"/>
        <w:rPr>
          <w:rFonts w:ascii="Arial" w:hAnsi="Arial" w:cs="Arial"/>
          <w:b/>
          <w:bCs/>
          <w:szCs w:val="24"/>
        </w:rPr>
      </w:pPr>
    </w:p>
    <w:p w14:paraId="0A757AD7" w14:textId="77777777" w:rsidR="007636E6" w:rsidRPr="00C1087F" w:rsidRDefault="007636E6" w:rsidP="00DD7117">
      <w:pPr>
        <w:tabs>
          <w:tab w:val="left" w:pos="454"/>
          <w:tab w:val="left" w:pos="3119"/>
        </w:tabs>
        <w:spacing w:line="276" w:lineRule="auto"/>
        <w:rPr>
          <w:rFonts w:ascii="Arial" w:hAnsi="Arial" w:cs="Arial"/>
          <w:bCs/>
          <w:szCs w:val="24"/>
        </w:rPr>
      </w:pPr>
    </w:p>
    <w:p w14:paraId="5DF09233" w14:textId="77777777" w:rsidR="0059660B" w:rsidRPr="00C1087F" w:rsidRDefault="0059660B" w:rsidP="00DD7117">
      <w:pPr>
        <w:tabs>
          <w:tab w:val="left" w:pos="454"/>
          <w:tab w:val="left" w:pos="3119"/>
        </w:tabs>
        <w:spacing w:line="276" w:lineRule="auto"/>
        <w:rPr>
          <w:rFonts w:ascii="Arial" w:hAnsi="Arial" w:cs="Arial"/>
          <w:bCs/>
          <w:i/>
          <w:iCs/>
          <w:szCs w:val="24"/>
        </w:rPr>
      </w:pPr>
    </w:p>
    <w:p w14:paraId="5BBC221D" w14:textId="240E058E" w:rsidR="0034710D" w:rsidRPr="00C1087F" w:rsidRDefault="0034710D" w:rsidP="00DD7117">
      <w:pPr>
        <w:tabs>
          <w:tab w:val="left" w:pos="454"/>
          <w:tab w:val="left" w:pos="3119"/>
        </w:tabs>
        <w:spacing w:line="276" w:lineRule="auto"/>
        <w:jc w:val="center"/>
        <w:rPr>
          <w:rFonts w:ascii="Arial" w:hAnsi="Arial" w:cs="Arial"/>
          <w:b/>
          <w:szCs w:val="24"/>
        </w:rPr>
      </w:pPr>
      <w:r w:rsidRPr="00C1087F">
        <w:rPr>
          <w:rFonts w:ascii="Arial" w:hAnsi="Arial" w:cs="Arial"/>
          <w:b/>
          <w:szCs w:val="24"/>
        </w:rPr>
        <w:t>REASONS FOR DECISION</w:t>
      </w:r>
    </w:p>
    <w:p w14:paraId="48F7D042" w14:textId="77777777" w:rsidR="0034710D" w:rsidRPr="00C1087F" w:rsidRDefault="0034710D" w:rsidP="00DD7117">
      <w:pPr>
        <w:tabs>
          <w:tab w:val="left" w:pos="454"/>
          <w:tab w:val="left" w:pos="3119"/>
        </w:tabs>
        <w:spacing w:line="276" w:lineRule="auto"/>
        <w:jc w:val="center"/>
        <w:rPr>
          <w:rFonts w:ascii="Arial" w:hAnsi="Arial" w:cs="Arial"/>
          <w:b/>
          <w:szCs w:val="24"/>
        </w:rPr>
      </w:pPr>
    </w:p>
    <w:p w14:paraId="2ABDC181" w14:textId="77777777" w:rsidR="005B5E47" w:rsidRPr="00C1087F" w:rsidRDefault="005B5E47" w:rsidP="00DD7117">
      <w:pPr>
        <w:tabs>
          <w:tab w:val="left" w:pos="454"/>
          <w:tab w:val="left" w:pos="3119"/>
        </w:tabs>
        <w:spacing w:line="276" w:lineRule="auto"/>
        <w:jc w:val="center"/>
        <w:rPr>
          <w:rFonts w:ascii="Arial" w:hAnsi="Arial" w:cs="Arial"/>
          <w:b/>
          <w:szCs w:val="24"/>
        </w:rPr>
      </w:pPr>
    </w:p>
    <w:p w14:paraId="4CB5317A" w14:textId="77777777" w:rsidR="00B164E0" w:rsidRPr="00C1087F" w:rsidRDefault="00B164E0" w:rsidP="00DD7117">
      <w:pPr>
        <w:tabs>
          <w:tab w:val="left" w:pos="567"/>
          <w:tab w:val="left" w:pos="3119"/>
        </w:tabs>
        <w:spacing w:after="120" w:line="276" w:lineRule="auto"/>
        <w:rPr>
          <w:rFonts w:ascii="Arial" w:hAnsi="Arial" w:cs="Arial"/>
          <w:b/>
          <w:szCs w:val="24"/>
        </w:rPr>
      </w:pPr>
      <w:r w:rsidRPr="00C1087F">
        <w:rPr>
          <w:rFonts w:ascii="Arial" w:hAnsi="Arial" w:cs="Arial"/>
          <w:b/>
          <w:szCs w:val="24"/>
        </w:rPr>
        <w:t>Introduction</w:t>
      </w:r>
    </w:p>
    <w:p w14:paraId="5E37F753" w14:textId="252E1108" w:rsidR="007F00D3" w:rsidRPr="00C1087F" w:rsidRDefault="005E6A94" w:rsidP="00DD7117">
      <w:pPr>
        <w:numPr>
          <w:ilvl w:val="0"/>
          <w:numId w:val="21"/>
        </w:numPr>
        <w:tabs>
          <w:tab w:val="left" w:pos="426"/>
          <w:tab w:val="left" w:pos="930"/>
          <w:tab w:val="left" w:pos="5103"/>
        </w:tabs>
        <w:spacing w:after="120" w:line="276" w:lineRule="auto"/>
        <w:ind w:left="426" w:hanging="426"/>
        <w:jc w:val="both"/>
        <w:rPr>
          <w:rFonts w:ascii="Arial" w:hAnsi="Arial" w:cs="Arial"/>
          <w:szCs w:val="24"/>
        </w:rPr>
      </w:pPr>
      <w:r w:rsidRPr="00C1087F">
        <w:rPr>
          <w:rFonts w:ascii="Arial" w:hAnsi="Arial" w:cs="Arial"/>
          <w:szCs w:val="24"/>
        </w:rPr>
        <w:t>Th</w:t>
      </w:r>
      <w:r w:rsidR="00C21179" w:rsidRPr="00C1087F">
        <w:rPr>
          <w:rFonts w:ascii="Arial" w:hAnsi="Arial" w:cs="Arial"/>
          <w:szCs w:val="24"/>
        </w:rPr>
        <w:t xml:space="preserve">is appeal </w:t>
      </w:r>
      <w:r w:rsidR="008D77F7" w:rsidRPr="00C1087F">
        <w:rPr>
          <w:rFonts w:ascii="Arial" w:hAnsi="Arial" w:cs="Arial"/>
          <w:szCs w:val="24"/>
        </w:rPr>
        <w:t xml:space="preserve">concerns </w:t>
      </w:r>
      <w:r w:rsidR="00785ACA" w:rsidRPr="00C1087F">
        <w:rPr>
          <w:rFonts w:ascii="Arial" w:hAnsi="Arial" w:cs="Arial"/>
          <w:szCs w:val="24"/>
        </w:rPr>
        <w:t xml:space="preserve">a </w:t>
      </w:r>
      <w:r w:rsidR="00BD2A84" w:rsidRPr="00C1087F">
        <w:rPr>
          <w:rFonts w:ascii="Arial" w:hAnsi="Arial" w:cs="Arial"/>
          <w:szCs w:val="24"/>
        </w:rPr>
        <w:t xml:space="preserve">decision notice issued by the Information Commissioner </w:t>
      </w:r>
      <w:r w:rsidR="00C22E57" w:rsidRPr="00C1087F">
        <w:rPr>
          <w:rFonts w:ascii="Arial" w:hAnsi="Arial" w:cs="Arial"/>
          <w:szCs w:val="24"/>
        </w:rPr>
        <w:t xml:space="preserve">(‘the Commissioner’) </w:t>
      </w:r>
      <w:r w:rsidR="0089423D" w:rsidRPr="00C1087F">
        <w:rPr>
          <w:rFonts w:ascii="Arial" w:hAnsi="Arial" w:cs="Arial"/>
          <w:szCs w:val="24"/>
        </w:rPr>
        <w:t xml:space="preserve">in relation to </w:t>
      </w:r>
      <w:r w:rsidR="00276014" w:rsidRPr="00C1087F">
        <w:rPr>
          <w:rFonts w:ascii="Arial" w:hAnsi="Arial" w:cs="Arial"/>
          <w:szCs w:val="24"/>
        </w:rPr>
        <w:t xml:space="preserve">information </w:t>
      </w:r>
      <w:r w:rsidR="0043330D" w:rsidRPr="00C1087F">
        <w:rPr>
          <w:rFonts w:ascii="Arial" w:hAnsi="Arial" w:cs="Arial"/>
          <w:szCs w:val="24"/>
        </w:rPr>
        <w:t xml:space="preserve">requests </w:t>
      </w:r>
      <w:r w:rsidR="0089355B" w:rsidRPr="00C1087F">
        <w:rPr>
          <w:rFonts w:ascii="Arial" w:hAnsi="Arial" w:cs="Arial"/>
          <w:szCs w:val="24"/>
        </w:rPr>
        <w:t xml:space="preserve">made under s.1 of the </w:t>
      </w:r>
      <w:r w:rsidR="00F604DF" w:rsidRPr="00C1087F">
        <w:rPr>
          <w:rFonts w:ascii="Arial" w:hAnsi="Arial" w:cs="Arial"/>
          <w:szCs w:val="24"/>
        </w:rPr>
        <w:t xml:space="preserve">Freedom of Information Act </w:t>
      </w:r>
      <w:r w:rsidR="00C21179" w:rsidRPr="00C1087F">
        <w:rPr>
          <w:rFonts w:ascii="Arial" w:hAnsi="Arial" w:cs="Arial"/>
          <w:szCs w:val="24"/>
        </w:rPr>
        <w:t>2000 (‘</w:t>
      </w:r>
      <w:r w:rsidR="00E10597" w:rsidRPr="00C1087F">
        <w:rPr>
          <w:rFonts w:ascii="Arial" w:hAnsi="Arial" w:cs="Arial"/>
          <w:szCs w:val="24"/>
        </w:rPr>
        <w:t>FOIA</w:t>
      </w:r>
      <w:r w:rsidR="00C21179" w:rsidRPr="00C1087F">
        <w:rPr>
          <w:rFonts w:ascii="Arial" w:hAnsi="Arial" w:cs="Arial"/>
          <w:szCs w:val="24"/>
        </w:rPr>
        <w:t>’)</w:t>
      </w:r>
      <w:r w:rsidR="00E10597" w:rsidRPr="00C1087F">
        <w:rPr>
          <w:rFonts w:ascii="Arial" w:hAnsi="Arial" w:cs="Arial"/>
          <w:szCs w:val="24"/>
        </w:rPr>
        <w:t xml:space="preserve"> </w:t>
      </w:r>
      <w:r w:rsidR="00785ACA" w:rsidRPr="00C1087F">
        <w:rPr>
          <w:rFonts w:ascii="Arial" w:hAnsi="Arial" w:cs="Arial"/>
          <w:szCs w:val="24"/>
        </w:rPr>
        <w:t>to the</w:t>
      </w:r>
      <w:r w:rsidR="00E9601D" w:rsidRPr="00C1087F">
        <w:rPr>
          <w:rFonts w:ascii="Arial" w:hAnsi="Arial" w:cs="Arial"/>
          <w:szCs w:val="24"/>
        </w:rPr>
        <w:t xml:space="preserve"> Information Commissioner’s Office as a public authority </w:t>
      </w:r>
      <w:r w:rsidR="002E5DF4" w:rsidRPr="00C1087F">
        <w:rPr>
          <w:rFonts w:ascii="Arial" w:hAnsi="Arial" w:cs="Arial"/>
          <w:szCs w:val="24"/>
        </w:rPr>
        <w:t>(‘the ICO’).</w:t>
      </w:r>
      <w:r w:rsidR="008738E9" w:rsidRPr="00C1087F">
        <w:rPr>
          <w:rFonts w:ascii="Arial" w:hAnsi="Arial" w:cs="Arial"/>
          <w:szCs w:val="24"/>
        </w:rPr>
        <w:t xml:space="preserve"> </w:t>
      </w:r>
    </w:p>
    <w:p w14:paraId="6730B977" w14:textId="27EAFA60" w:rsidR="004773AF" w:rsidRPr="00C1087F" w:rsidRDefault="00082FF3" w:rsidP="00DD7117">
      <w:pPr>
        <w:numPr>
          <w:ilvl w:val="0"/>
          <w:numId w:val="21"/>
        </w:numPr>
        <w:tabs>
          <w:tab w:val="left" w:pos="454"/>
          <w:tab w:val="left" w:pos="567"/>
          <w:tab w:val="left" w:pos="930"/>
          <w:tab w:val="left" w:pos="5103"/>
        </w:tabs>
        <w:spacing w:after="120" w:line="276" w:lineRule="auto"/>
        <w:ind w:left="426" w:hanging="426"/>
        <w:jc w:val="both"/>
        <w:rPr>
          <w:rFonts w:ascii="Arial" w:hAnsi="Arial" w:cs="Arial"/>
          <w:szCs w:val="24"/>
        </w:rPr>
      </w:pPr>
      <w:r w:rsidRPr="00C1087F">
        <w:rPr>
          <w:rFonts w:ascii="Arial" w:hAnsi="Arial" w:cs="Arial"/>
          <w:szCs w:val="24"/>
        </w:rPr>
        <w:t xml:space="preserve">The Appellant </w:t>
      </w:r>
      <w:r w:rsidR="00F35234" w:rsidRPr="00C1087F">
        <w:rPr>
          <w:rFonts w:ascii="Arial" w:hAnsi="Arial" w:cs="Arial"/>
          <w:szCs w:val="24"/>
        </w:rPr>
        <w:t>is a data controller</w:t>
      </w:r>
      <w:r w:rsidR="00A44A4D" w:rsidRPr="00C1087F">
        <w:rPr>
          <w:rFonts w:ascii="Arial" w:hAnsi="Arial" w:cs="Arial"/>
          <w:szCs w:val="24"/>
        </w:rPr>
        <w:t xml:space="preserve">. </w:t>
      </w:r>
      <w:r w:rsidR="00325535" w:rsidRPr="00C1087F">
        <w:rPr>
          <w:rFonts w:ascii="Arial" w:hAnsi="Arial" w:cs="Arial"/>
          <w:szCs w:val="24"/>
        </w:rPr>
        <w:t xml:space="preserve">In May 2018 </w:t>
      </w:r>
      <w:r w:rsidR="005B2F94" w:rsidRPr="00C1087F">
        <w:rPr>
          <w:rFonts w:ascii="Arial" w:hAnsi="Arial" w:cs="Arial"/>
          <w:szCs w:val="24"/>
        </w:rPr>
        <w:t xml:space="preserve">he </w:t>
      </w:r>
      <w:r w:rsidR="00E10597" w:rsidRPr="00C1087F">
        <w:rPr>
          <w:rFonts w:ascii="Arial" w:hAnsi="Arial" w:cs="Arial"/>
          <w:szCs w:val="24"/>
        </w:rPr>
        <w:t xml:space="preserve">wrote to </w:t>
      </w:r>
      <w:r w:rsidR="00BB7267" w:rsidRPr="00C1087F">
        <w:rPr>
          <w:rFonts w:ascii="Arial" w:hAnsi="Arial" w:cs="Arial"/>
          <w:szCs w:val="24"/>
        </w:rPr>
        <w:t xml:space="preserve">the ICO about </w:t>
      </w:r>
      <w:r w:rsidR="0064460C" w:rsidRPr="00C1087F">
        <w:rPr>
          <w:rFonts w:ascii="Arial" w:hAnsi="Arial" w:cs="Arial"/>
          <w:szCs w:val="24"/>
        </w:rPr>
        <w:t xml:space="preserve">changes to </w:t>
      </w:r>
      <w:r w:rsidR="000A4031" w:rsidRPr="00C1087F">
        <w:rPr>
          <w:rFonts w:ascii="Arial" w:hAnsi="Arial" w:cs="Arial"/>
          <w:szCs w:val="24"/>
        </w:rPr>
        <w:t xml:space="preserve">the </w:t>
      </w:r>
      <w:r w:rsidR="002B65C0" w:rsidRPr="00C1087F">
        <w:rPr>
          <w:rFonts w:ascii="Arial" w:hAnsi="Arial" w:cs="Arial"/>
          <w:szCs w:val="24"/>
        </w:rPr>
        <w:t>ICO</w:t>
      </w:r>
      <w:r w:rsidR="000A4031" w:rsidRPr="00C1087F">
        <w:rPr>
          <w:rFonts w:ascii="Arial" w:hAnsi="Arial" w:cs="Arial"/>
          <w:szCs w:val="24"/>
        </w:rPr>
        <w:t>’s</w:t>
      </w:r>
      <w:r w:rsidR="002B65C0" w:rsidRPr="00C1087F">
        <w:rPr>
          <w:rFonts w:ascii="Arial" w:hAnsi="Arial" w:cs="Arial"/>
          <w:szCs w:val="24"/>
        </w:rPr>
        <w:t xml:space="preserve"> </w:t>
      </w:r>
      <w:r w:rsidR="00B81C19" w:rsidRPr="00C1087F">
        <w:rPr>
          <w:rFonts w:ascii="Arial" w:hAnsi="Arial" w:cs="Arial"/>
          <w:szCs w:val="24"/>
        </w:rPr>
        <w:t>practice</w:t>
      </w:r>
      <w:r w:rsidR="005933E8" w:rsidRPr="00C1087F">
        <w:rPr>
          <w:rFonts w:ascii="Arial" w:hAnsi="Arial" w:cs="Arial"/>
          <w:szCs w:val="24"/>
        </w:rPr>
        <w:t>s following</w:t>
      </w:r>
      <w:r w:rsidR="00AE3A39" w:rsidRPr="00C1087F">
        <w:rPr>
          <w:rFonts w:ascii="Arial" w:hAnsi="Arial" w:cs="Arial"/>
          <w:szCs w:val="24"/>
        </w:rPr>
        <w:t xml:space="preserve"> </w:t>
      </w:r>
      <w:r w:rsidR="008F648E" w:rsidRPr="00C1087F">
        <w:rPr>
          <w:rFonts w:ascii="Arial" w:hAnsi="Arial" w:cs="Arial"/>
          <w:szCs w:val="24"/>
        </w:rPr>
        <w:t>the</w:t>
      </w:r>
      <w:r w:rsidR="000211AF" w:rsidRPr="00C1087F">
        <w:rPr>
          <w:rFonts w:ascii="Arial" w:hAnsi="Arial" w:cs="Arial"/>
          <w:szCs w:val="24"/>
        </w:rPr>
        <w:t xml:space="preserve"> </w:t>
      </w:r>
      <w:r w:rsidR="004214B3" w:rsidRPr="00C1087F">
        <w:rPr>
          <w:rFonts w:ascii="Arial" w:hAnsi="Arial" w:cs="Arial"/>
          <w:szCs w:val="24"/>
        </w:rPr>
        <w:t xml:space="preserve">introduction of the </w:t>
      </w:r>
      <w:r w:rsidR="000211AF" w:rsidRPr="00C1087F">
        <w:rPr>
          <w:rFonts w:ascii="Arial" w:hAnsi="Arial" w:cs="Arial"/>
          <w:szCs w:val="24"/>
        </w:rPr>
        <w:t>Data Protection Act 2018</w:t>
      </w:r>
      <w:r w:rsidR="005933E8" w:rsidRPr="00C1087F">
        <w:rPr>
          <w:rFonts w:ascii="Arial" w:hAnsi="Arial" w:cs="Arial"/>
          <w:szCs w:val="24"/>
        </w:rPr>
        <w:t xml:space="preserve"> and </w:t>
      </w:r>
      <w:r w:rsidR="000B4B3A" w:rsidRPr="00C1087F">
        <w:rPr>
          <w:rFonts w:ascii="Arial" w:hAnsi="Arial" w:cs="Arial"/>
          <w:szCs w:val="24"/>
        </w:rPr>
        <w:t xml:space="preserve">of </w:t>
      </w:r>
      <w:r w:rsidR="00B95AA7" w:rsidRPr="00C1087F">
        <w:rPr>
          <w:rFonts w:ascii="Arial" w:hAnsi="Arial" w:cs="Arial"/>
          <w:szCs w:val="24"/>
        </w:rPr>
        <w:t xml:space="preserve">the </w:t>
      </w:r>
      <w:r w:rsidR="005933E8" w:rsidRPr="00C1087F">
        <w:rPr>
          <w:rFonts w:ascii="Arial" w:hAnsi="Arial" w:cs="Arial"/>
          <w:szCs w:val="24"/>
        </w:rPr>
        <w:t>GDPR</w:t>
      </w:r>
      <w:r w:rsidR="000B4B3A" w:rsidRPr="00C1087F">
        <w:rPr>
          <w:rFonts w:ascii="Arial" w:hAnsi="Arial" w:cs="Arial"/>
          <w:szCs w:val="24"/>
        </w:rPr>
        <w:t xml:space="preserve"> into domestic law</w:t>
      </w:r>
      <w:r w:rsidR="008F648E" w:rsidRPr="00C1087F">
        <w:rPr>
          <w:rFonts w:ascii="Arial" w:hAnsi="Arial" w:cs="Arial"/>
          <w:szCs w:val="24"/>
        </w:rPr>
        <w:t>.</w:t>
      </w:r>
      <w:r w:rsidR="006477D6" w:rsidRPr="00C1087F">
        <w:rPr>
          <w:rFonts w:ascii="Arial" w:hAnsi="Arial" w:cs="Arial"/>
          <w:szCs w:val="24"/>
        </w:rPr>
        <w:t xml:space="preserve"> </w:t>
      </w:r>
      <w:r w:rsidR="00854CB7" w:rsidRPr="00C1087F">
        <w:rPr>
          <w:rFonts w:ascii="Arial" w:hAnsi="Arial" w:cs="Arial"/>
          <w:szCs w:val="24"/>
        </w:rPr>
        <w:t>C</w:t>
      </w:r>
      <w:r w:rsidR="00732E1C" w:rsidRPr="00C1087F">
        <w:rPr>
          <w:rFonts w:ascii="Arial" w:hAnsi="Arial" w:cs="Arial"/>
          <w:szCs w:val="24"/>
        </w:rPr>
        <w:t xml:space="preserve">orrespondence continued </w:t>
      </w:r>
      <w:r w:rsidR="00E47AED" w:rsidRPr="00C1087F">
        <w:rPr>
          <w:rFonts w:ascii="Arial" w:hAnsi="Arial" w:cs="Arial"/>
          <w:szCs w:val="24"/>
        </w:rPr>
        <w:t>over several months</w:t>
      </w:r>
      <w:r w:rsidR="00546FBE" w:rsidRPr="00C1087F">
        <w:rPr>
          <w:rFonts w:ascii="Arial" w:hAnsi="Arial" w:cs="Arial"/>
          <w:szCs w:val="24"/>
        </w:rPr>
        <w:t>, in the course of which</w:t>
      </w:r>
      <w:r w:rsidR="00732E1C" w:rsidRPr="00C1087F">
        <w:rPr>
          <w:rFonts w:ascii="Arial" w:hAnsi="Arial" w:cs="Arial"/>
          <w:szCs w:val="24"/>
        </w:rPr>
        <w:t xml:space="preserve"> the Appellant </w:t>
      </w:r>
      <w:r w:rsidR="00546FBE" w:rsidRPr="00C1087F">
        <w:rPr>
          <w:rFonts w:ascii="Arial" w:hAnsi="Arial" w:cs="Arial"/>
          <w:szCs w:val="24"/>
        </w:rPr>
        <w:t xml:space="preserve">made </w:t>
      </w:r>
      <w:r w:rsidR="003A394C" w:rsidRPr="003A394C">
        <w:rPr>
          <w:rFonts w:ascii="Arial" w:hAnsi="Arial" w:cs="Arial"/>
          <w:szCs w:val="24"/>
          <w:u w:val="single"/>
        </w:rPr>
        <w:t>repeated</w:t>
      </w:r>
      <w:r w:rsidR="00C27BC6" w:rsidRPr="00C1087F">
        <w:rPr>
          <w:rFonts w:ascii="Arial" w:hAnsi="Arial" w:cs="Arial"/>
          <w:szCs w:val="24"/>
        </w:rPr>
        <w:t xml:space="preserve"> </w:t>
      </w:r>
      <w:r w:rsidR="000C3E57" w:rsidRPr="00C1087F">
        <w:rPr>
          <w:rFonts w:ascii="Arial" w:hAnsi="Arial" w:cs="Arial"/>
          <w:szCs w:val="24"/>
        </w:rPr>
        <w:t xml:space="preserve">requests for </w:t>
      </w:r>
      <w:r w:rsidR="004773AF" w:rsidRPr="00C1087F">
        <w:rPr>
          <w:rFonts w:ascii="Arial" w:hAnsi="Arial" w:cs="Arial"/>
          <w:szCs w:val="24"/>
        </w:rPr>
        <w:t>information</w:t>
      </w:r>
      <w:r w:rsidR="0043330D" w:rsidRPr="00C1087F">
        <w:rPr>
          <w:rFonts w:ascii="Arial" w:hAnsi="Arial" w:cs="Arial"/>
          <w:szCs w:val="24"/>
        </w:rPr>
        <w:t xml:space="preserve"> under s.1 FOIA</w:t>
      </w:r>
      <w:r w:rsidR="005A2AF2" w:rsidRPr="00C1087F">
        <w:rPr>
          <w:rFonts w:ascii="Arial" w:hAnsi="Arial" w:cs="Arial"/>
          <w:szCs w:val="24"/>
        </w:rPr>
        <w:t xml:space="preserve"> (‘FOIA requests’)</w:t>
      </w:r>
      <w:r w:rsidR="00635560" w:rsidRPr="00C1087F">
        <w:rPr>
          <w:rFonts w:ascii="Arial" w:hAnsi="Arial" w:cs="Arial"/>
          <w:szCs w:val="24"/>
        </w:rPr>
        <w:t>.</w:t>
      </w:r>
      <w:r w:rsidR="00830790" w:rsidRPr="00C1087F">
        <w:rPr>
          <w:rFonts w:ascii="Arial" w:hAnsi="Arial" w:cs="Arial"/>
          <w:szCs w:val="24"/>
        </w:rPr>
        <w:t xml:space="preserve"> </w:t>
      </w:r>
      <w:r w:rsidR="00200337" w:rsidRPr="00C1087F">
        <w:rPr>
          <w:rFonts w:ascii="Arial" w:hAnsi="Arial" w:cs="Arial"/>
          <w:szCs w:val="24"/>
        </w:rPr>
        <w:t xml:space="preserve">These were made in June, July and August 2018 and in January 2019. </w:t>
      </w:r>
    </w:p>
    <w:p w14:paraId="7D167769" w14:textId="4C15939F" w:rsidR="00245266" w:rsidRDefault="00061083" w:rsidP="00245266">
      <w:pPr>
        <w:numPr>
          <w:ilvl w:val="0"/>
          <w:numId w:val="21"/>
        </w:numPr>
        <w:tabs>
          <w:tab w:val="left" w:pos="454"/>
          <w:tab w:val="left" w:pos="567"/>
          <w:tab w:val="left" w:pos="930"/>
          <w:tab w:val="left" w:pos="5103"/>
        </w:tabs>
        <w:spacing w:after="120" w:line="276" w:lineRule="auto"/>
        <w:ind w:left="426" w:hanging="426"/>
        <w:jc w:val="both"/>
        <w:rPr>
          <w:rFonts w:ascii="Arial" w:hAnsi="Arial" w:cs="Arial"/>
          <w:szCs w:val="24"/>
        </w:rPr>
      </w:pPr>
      <w:r w:rsidRPr="00245266">
        <w:rPr>
          <w:rFonts w:ascii="Arial" w:hAnsi="Arial" w:cs="Arial"/>
          <w:szCs w:val="24"/>
        </w:rPr>
        <w:t xml:space="preserve">In </w:t>
      </w:r>
      <w:r w:rsidR="00886B03" w:rsidRPr="00245266">
        <w:rPr>
          <w:rFonts w:ascii="Arial" w:hAnsi="Arial" w:cs="Arial"/>
          <w:szCs w:val="24"/>
        </w:rPr>
        <w:t>November 2018</w:t>
      </w:r>
      <w:r w:rsidR="00200337" w:rsidRPr="00245266">
        <w:rPr>
          <w:rFonts w:ascii="Arial" w:hAnsi="Arial" w:cs="Arial"/>
          <w:szCs w:val="24"/>
        </w:rPr>
        <w:t xml:space="preserve"> </w:t>
      </w:r>
      <w:r w:rsidRPr="00245266">
        <w:rPr>
          <w:rFonts w:ascii="Arial" w:hAnsi="Arial" w:cs="Arial"/>
          <w:szCs w:val="24"/>
        </w:rPr>
        <w:t xml:space="preserve">the Appellant </w:t>
      </w:r>
      <w:r w:rsidR="00694553" w:rsidRPr="00245266">
        <w:rPr>
          <w:rFonts w:ascii="Arial" w:hAnsi="Arial" w:cs="Arial"/>
          <w:szCs w:val="24"/>
        </w:rPr>
        <w:t xml:space="preserve">complained </w:t>
      </w:r>
      <w:r w:rsidR="00536734" w:rsidRPr="00245266">
        <w:rPr>
          <w:rFonts w:ascii="Arial" w:hAnsi="Arial" w:cs="Arial"/>
          <w:szCs w:val="24"/>
        </w:rPr>
        <w:t>to the Commissioner</w:t>
      </w:r>
      <w:r w:rsidR="003C260E" w:rsidRPr="00245266">
        <w:rPr>
          <w:rFonts w:ascii="Arial" w:hAnsi="Arial" w:cs="Arial"/>
          <w:szCs w:val="24"/>
        </w:rPr>
        <w:t xml:space="preserve"> </w:t>
      </w:r>
      <w:r w:rsidR="00536734" w:rsidRPr="00245266">
        <w:rPr>
          <w:rFonts w:ascii="Arial" w:hAnsi="Arial" w:cs="Arial"/>
          <w:szCs w:val="24"/>
        </w:rPr>
        <w:t xml:space="preserve">about the </w:t>
      </w:r>
      <w:r w:rsidR="005A2AF2" w:rsidRPr="00245266">
        <w:rPr>
          <w:rFonts w:ascii="Arial" w:hAnsi="Arial" w:cs="Arial"/>
          <w:szCs w:val="24"/>
        </w:rPr>
        <w:t xml:space="preserve">ICO’s </w:t>
      </w:r>
      <w:r w:rsidR="00BB3A76" w:rsidRPr="00245266">
        <w:rPr>
          <w:rFonts w:ascii="Arial" w:hAnsi="Arial" w:cs="Arial"/>
          <w:szCs w:val="24"/>
        </w:rPr>
        <w:t xml:space="preserve">failure to respond to some of his </w:t>
      </w:r>
      <w:r w:rsidR="005A2AF2" w:rsidRPr="00245266">
        <w:rPr>
          <w:rFonts w:ascii="Arial" w:hAnsi="Arial" w:cs="Arial"/>
          <w:szCs w:val="24"/>
        </w:rPr>
        <w:t>FOIA requests</w:t>
      </w:r>
      <w:r w:rsidR="00BB3A76" w:rsidRPr="00245266">
        <w:rPr>
          <w:rFonts w:ascii="Arial" w:hAnsi="Arial" w:cs="Arial"/>
          <w:szCs w:val="24"/>
        </w:rPr>
        <w:t xml:space="preserve"> and the </w:t>
      </w:r>
      <w:r w:rsidR="00536734" w:rsidRPr="00245266">
        <w:rPr>
          <w:rFonts w:ascii="Arial" w:hAnsi="Arial" w:cs="Arial"/>
          <w:szCs w:val="24"/>
        </w:rPr>
        <w:t xml:space="preserve">adequacy of the </w:t>
      </w:r>
      <w:r w:rsidR="00203599" w:rsidRPr="00245266">
        <w:rPr>
          <w:rFonts w:ascii="Arial" w:hAnsi="Arial" w:cs="Arial"/>
          <w:szCs w:val="24"/>
        </w:rPr>
        <w:t>response to others.</w:t>
      </w:r>
      <w:r w:rsidR="00B02BFA" w:rsidRPr="00245266">
        <w:rPr>
          <w:rFonts w:ascii="Arial" w:hAnsi="Arial" w:cs="Arial"/>
          <w:szCs w:val="24"/>
        </w:rPr>
        <w:t xml:space="preserve"> The Commissioner upheld the Appellant’s </w:t>
      </w:r>
      <w:r w:rsidR="00886B03" w:rsidRPr="00245266">
        <w:rPr>
          <w:rFonts w:ascii="Arial" w:hAnsi="Arial" w:cs="Arial"/>
          <w:szCs w:val="24"/>
        </w:rPr>
        <w:t>complaint.</w:t>
      </w:r>
      <w:r w:rsidR="006624FA" w:rsidRPr="00245266">
        <w:rPr>
          <w:rFonts w:ascii="Arial" w:hAnsi="Arial" w:cs="Arial"/>
          <w:szCs w:val="24"/>
        </w:rPr>
        <w:t xml:space="preserve"> </w:t>
      </w:r>
    </w:p>
    <w:p w14:paraId="72CD24C8" w14:textId="77777777" w:rsidR="00245266" w:rsidRPr="00245266" w:rsidRDefault="00245266" w:rsidP="00245266">
      <w:pPr>
        <w:tabs>
          <w:tab w:val="left" w:pos="454"/>
          <w:tab w:val="left" w:pos="567"/>
          <w:tab w:val="left" w:pos="930"/>
          <w:tab w:val="left" w:pos="5103"/>
        </w:tabs>
        <w:spacing w:after="120" w:line="276" w:lineRule="auto"/>
        <w:ind w:left="426"/>
        <w:jc w:val="both"/>
        <w:rPr>
          <w:rFonts w:ascii="Arial" w:hAnsi="Arial" w:cs="Arial"/>
          <w:szCs w:val="24"/>
        </w:rPr>
      </w:pPr>
    </w:p>
    <w:p w14:paraId="02A3894B" w14:textId="6FE3662F" w:rsidR="008732AD" w:rsidRPr="00C1087F" w:rsidRDefault="008732AD" w:rsidP="00DD7117">
      <w:pPr>
        <w:tabs>
          <w:tab w:val="left" w:pos="454"/>
          <w:tab w:val="left" w:pos="567"/>
          <w:tab w:val="left" w:pos="1134"/>
          <w:tab w:val="left" w:pos="5103"/>
        </w:tabs>
        <w:spacing w:after="120" w:line="276" w:lineRule="auto"/>
        <w:ind w:left="567" w:hanging="567"/>
        <w:jc w:val="both"/>
        <w:rPr>
          <w:rFonts w:ascii="Arial" w:hAnsi="Arial" w:cs="Arial"/>
          <w:b/>
          <w:bCs/>
          <w:szCs w:val="24"/>
        </w:rPr>
      </w:pPr>
      <w:r w:rsidRPr="00C1087F">
        <w:rPr>
          <w:rFonts w:ascii="Arial" w:hAnsi="Arial" w:cs="Arial"/>
          <w:b/>
          <w:bCs/>
          <w:szCs w:val="24"/>
        </w:rPr>
        <w:t>The Information Commissioner’s Decision Notice</w:t>
      </w:r>
    </w:p>
    <w:p w14:paraId="65317457" w14:textId="68662FE2" w:rsidR="001C3889" w:rsidRPr="00C1087F" w:rsidRDefault="00AB718F" w:rsidP="00DD7117">
      <w:pPr>
        <w:numPr>
          <w:ilvl w:val="0"/>
          <w:numId w:val="21"/>
        </w:numPr>
        <w:tabs>
          <w:tab w:val="left" w:pos="454"/>
          <w:tab w:val="left" w:pos="567"/>
          <w:tab w:val="left" w:pos="930"/>
          <w:tab w:val="left" w:pos="5103"/>
        </w:tabs>
        <w:spacing w:after="120" w:line="276" w:lineRule="auto"/>
        <w:ind w:left="426" w:hanging="426"/>
        <w:jc w:val="both"/>
        <w:rPr>
          <w:rFonts w:ascii="Arial" w:hAnsi="Arial" w:cs="Arial"/>
          <w:b/>
          <w:bCs/>
          <w:szCs w:val="24"/>
        </w:rPr>
      </w:pPr>
      <w:r w:rsidRPr="00C1087F">
        <w:rPr>
          <w:rFonts w:ascii="Arial" w:hAnsi="Arial" w:cs="Arial"/>
          <w:szCs w:val="24"/>
        </w:rPr>
        <w:t>In a decision n</w:t>
      </w:r>
      <w:r w:rsidR="00886B03" w:rsidRPr="00C1087F">
        <w:rPr>
          <w:rFonts w:ascii="Arial" w:hAnsi="Arial" w:cs="Arial"/>
          <w:szCs w:val="24"/>
        </w:rPr>
        <w:t>otice</w:t>
      </w:r>
      <w:r w:rsidRPr="00C1087F">
        <w:rPr>
          <w:rFonts w:ascii="Arial" w:hAnsi="Arial" w:cs="Arial"/>
          <w:szCs w:val="24"/>
        </w:rPr>
        <w:t xml:space="preserve"> dated 11 September 2019</w:t>
      </w:r>
      <w:r w:rsidR="00F83416" w:rsidRPr="00C1087F">
        <w:rPr>
          <w:rFonts w:ascii="Arial" w:hAnsi="Arial" w:cs="Arial"/>
          <w:szCs w:val="24"/>
        </w:rPr>
        <w:t>,</w:t>
      </w:r>
      <w:r w:rsidRPr="00C1087F">
        <w:rPr>
          <w:rFonts w:ascii="Arial" w:hAnsi="Arial" w:cs="Arial"/>
          <w:szCs w:val="24"/>
        </w:rPr>
        <w:t xml:space="preserve"> </w:t>
      </w:r>
      <w:r w:rsidR="00886B03" w:rsidRPr="00C1087F">
        <w:rPr>
          <w:rFonts w:ascii="Arial" w:hAnsi="Arial" w:cs="Arial"/>
          <w:szCs w:val="24"/>
        </w:rPr>
        <w:t>t</w:t>
      </w:r>
      <w:r w:rsidR="006624FA" w:rsidRPr="00C1087F">
        <w:rPr>
          <w:rFonts w:ascii="Arial" w:hAnsi="Arial" w:cs="Arial"/>
          <w:szCs w:val="24"/>
        </w:rPr>
        <w:t xml:space="preserve">he </w:t>
      </w:r>
      <w:r w:rsidR="00732A15" w:rsidRPr="00C1087F">
        <w:rPr>
          <w:rFonts w:ascii="Arial" w:hAnsi="Arial" w:cs="Arial"/>
          <w:szCs w:val="24"/>
        </w:rPr>
        <w:t xml:space="preserve">Commissioner </w:t>
      </w:r>
      <w:r w:rsidR="00862EA7" w:rsidRPr="00C1087F">
        <w:rPr>
          <w:rFonts w:ascii="Arial" w:hAnsi="Arial" w:cs="Arial"/>
          <w:szCs w:val="24"/>
        </w:rPr>
        <w:t xml:space="preserve">decided that </w:t>
      </w:r>
      <w:r w:rsidR="000A04E3" w:rsidRPr="00C1087F">
        <w:rPr>
          <w:rFonts w:ascii="Arial" w:hAnsi="Arial" w:cs="Arial"/>
          <w:szCs w:val="24"/>
        </w:rPr>
        <w:t xml:space="preserve">the ICO had </w:t>
      </w:r>
      <w:r w:rsidR="003D4CDC" w:rsidRPr="00C1087F">
        <w:rPr>
          <w:rFonts w:ascii="Arial" w:hAnsi="Arial" w:cs="Arial"/>
          <w:szCs w:val="24"/>
        </w:rPr>
        <w:t xml:space="preserve">breached </w:t>
      </w:r>
      <w:r w:rsidR="00194DE5" w:rsidRPr="00C1087F">
        <w:rPr>
          <w:rFonts w:ascii="Arial" w:hAnsi="Arial" w:cs="Arial"/>
          <w:szCs w:val="24"/>
        </w:rPr>
        <w:t xml:space="preserve">its </w:t>
      </w:r>
      <w:r w:rsidR="003D4CDC" w:rsidRPr="00C1087F">
        <w:rPr>
          <w:rFonts w:ascii="Arial" w:hAnsi="Arial" w:cs="Arial"/>
          <w:szCs w:val="24"/>
        </w:rPr>
        <w:t xml:space="preserve">obligations under Part I FOIA </w:t>
      </w:r>
      <w:r w:rsidR="000A04E3" w:rsidRPr="00C1087F">
        <w:rPr>
          <w:rFonts w:ascii="Arial" w:hAnsi="Arial" w:cs="Arial"/>
          <w:szCs w:val="24"/>
        </w:rPr>
        <w:t>to</w:t>
      </w:r>
      <w:r w:rsidR="00194DE5" w:rsidRPr="00C1087F">
        <w:rPr>
          <w:rFonts w:ascii="Arial" w:hAnsi="Arial" w:cs="Arial"/>
          <w:szCs w:val="24"/>
        </w:rPr>
        <w:t>:</w:t>
      </w:r>
      <w:r w:rsidR="000A04E3" w:rsidRPr="00C1087F">
        <w:rPr>
          <w:rFonts w:ascii="Arial" w:hAnsi="Arial" w:cs="Arial"/>
          <w:szCs w:val="24"/>
        </w:rPr>
        <w:t xml:space="preserve"> </w:t>
      </w:r>
    </w:p>
    <w:p w14:paraId="28242388" w14:textId="77777777" w:rsidR="001C3889" w:rsidRPr="00C1087F" w:rsidRDefault="000A04E3" w:rsidP="00DD7117">
      <w:pPr>
        <w:numPr>
          <w:ilvl w:val="1"/>
          <w:numId w:val="21"/>
        </w:numPr>
        <w:tabs>
          <w:tab w:val="left" w:pos="454"/>
          <w:tab w:val="left" w:pos="567"/>
          <w:tab w:val="left" w:pos="930"/>
          <w:tab w:val="left" w:pos="5103"/>
        </w:tabs>
        <w:spacing w:after="120" w:line="276" w:lineRule="auto"/>
        <w:ind w:left="993" w:hanging="567"/>
        <w:jc w:val="both"/>
        <w:rPr>
          <w:rFonts w:ascii="Arial" w:hAnsi="Arial" w:cs="Arial"/>
          <w:b/>
          <w:bCs/>
          <w:szCs w:val="24"/>
        </w:rPr>
      </w:pPr>
      <w:r w:rsidRPr="00C1087F">
        <w:rPr>
          <w:rFonts w:ascii="Arial" w:hAnsi="Arial" w:cs="Arial"/>
          <w:szCs w:val="24"/>
        </w:rPr>
        <w:t xml:space="preserve">respond to </w:t>
      </w:r>
      <w:r w:rsidR="00956D0B" w:rsidRPr="00C1087F">
        <w:rPr>
          <w:rFonts w:ascii="Arial" w:hAnsi="Arial" w:cs="Arial"/>
          <w:szCs w:val="24"/>
        </w:rPr>
        <w:t xml:space="preserve">the </w:t>
      </w:r>
      <w:r w:rsidR="00B81675" w:rsidRPr="00C1087F">
        <w:rPr>
          <w:rFonts w:ascii="Arial" w:hAnsi="Arial" w:cs="Arial"/>
          <w:szCs w:val="24"/>
        </w:rPr>
        <w:t>Appellant’s</w:t>
      </w:r>
      <w:r w:rsidRPr="00C1087F">
        <w:rPr>
          <w:rFonts w:ascii="Arial" w:hAnsi="Arial" w:cs="Arial"/>
          <w:szCs w:val="24"/>
        </w:rPr>
        <w:t xml:space="preserve"> requests within 20 working days</w:t>
      </w:r>
      <w:r w:rsidR="00C5765A" w:rsidRPr="00C1087F">
        <w:rPr>
          <w:rFonts w:ascii="Arial" w:hAnsi="Arial" w:cs="Arial"/>
          <w:szCs w:val="24"/>
        </w:rPr>
        <w:t xml:space="preserve">; </w:t>
      </w:r>
    </w:p>
    <w:p w14:paraId="32F919E1" w14:textId="77777777" w:rsidR="001C3889" w:rsidRPr="00C1087F" w:rsidRDefault="00C5765A" w:rsidP="00DD7117">
      <w:pPr>
        <w:numPr>
          <w:ilvl w:val="1"/>
          <w:numId w:val="21"/>
        </w:numPr>
        <w:tabs>
          <w:tab w:val="left" w:pos="454"/>
          <w:tab w:val="left" w:pos="567"/>
          <w:tab w:val="left" w:pos="930"/>
          <w:tab w:val="left" w:pos="5103"/>
        </w:tabs>
        <w:spacing w:after="120" w:line="276" w:lineRule="auto"/>
        <w:ind w:left="993" w:hanging="567"/>
        <w:jc w:val="both"/>
        <w:rPr>
          <w:rFonts w:ascii="Arial" w:hAnsi="Arial" w:cs="Arial"/>
          <w:b/>
          <w:bCs/>
          <w:szCs w:val="24"/>
        </w:rPr>
      </w:pPr>
      <w:r w:rsidRPr="00C1087F">
        <w:rPr>
          <w:rFonts w:ascii="Arial" w:hAnsi="Arial" w:cs="Arial"/>
          <w:szCs w:val="24"/>
        </w:rPr>
        <w:t xml:space="preserve">clarify the nature of the information being sought; </w:t>
      </w:r>
      <w:r w:rsidR="00A82274" w:rsidRPr="00C1087F">
        <w:rPr>
          <w:rFonts w:ascii="Arial" w:hAnsi="Arial" w:cs="Arial"/>
          <w:szCs w:val="24"/>
        </w:rPr>
        <w:t xml:space="preserve">and </w:t>
      </w:r>
    </w:p>
    <w:p w14:paraId="3041E5B2" w14:textId="0F7B4474" w:rsidR="00D17B1E" w:rsidRPr="00C1087F" w:rsidRDefault="00CE4638" w:rsidP="00DD7117">
      <w:pPr>
        <w:numPr>
          <w:ilvl w:val="1"/>
          <w:numId w:val="21"/>
        </w:numPr>
        <w:tabs>
          <w:tab w:val="left" w:pos="454"/>
          <w:tab w:val="left" w:pos="567"/>
          <w:tab w:val="left" w:pos="930"/>
          <w:tab w:val="left" w:pos="5103"/>
        </w:tabs>
        <w:spacing w:after="120" w:line="276" w:lineRule="auto"/>
        <w:ind w:left="993" w:hanging="567"/>
        <w:jc w:val="both"/>
        <w:rPr>
          <w:rFonts w:ascii="Arial" w:hAnsi="Arial" w:cs="Arial"/>
          <w:b/>
          <w:bCs/>
          <w:szCs w:val="24"/>
        </w:rPr>
      </w:pPr>
      <w:r w:rsidRPr="00C1087F">
        <w:rPr>
          <w:rFonts w:ascii="Arial" w:hAnsi="Arial" w:cs="Arial"/>
          <w:szCs w:val="24"/>
        </w:rPr>
        <w:t xml:space="preserve">confirm or deny what of the requested information </w:t>
      </w:r>
      <w:r w:rsidR="001C3889" w:rsidRPr="00C1087F">
        <w:rPr>
          <w:rFonts w:ascii="Arial" w:hAnsi="Arial" w:cs="Arial"/>
          <w:szCs w:val="24"/>
        </w:rPr>
        <w:t>the ICO</w:t>
      </w:r>
      <w:r w:rsidRPr="00C1087F">
        <w:rPr>
          <w:rFonts w:ascii="Arial" w:hAnsi="Arial" w:cs="Arial"/>
          <w:szCs w:val="24"/>
        </w:rPr>
        <w:t xml:space="preserve"> held.</w:t>
      </w:r>
      <w:r w:rsidR="00A6279B" w:rsidRPr="00C1087F">
        <w:rPr>
          <w:rFonts w:ascii="Arial" w:hAnsi="Arial" w:cs="Arial"/>
          <w:szCs w:val="24"/>
        </w:rPr>
        <w:t xml:space="preserve"> </w:t>
      </w:r>
    </w:p>
    <w:p w14:paraId="24181B79" w14:textId="149B7F3F" w:rsidR="00604170" w:rsidRPr="00C1087F" w:rsidRDefault="00A6279B" w:rsidP="00DD7117">
      <w:pPr>
        <w:numPr>
          <w:ilvl w:val="0"/>
          <w:numId w:val="21"/>
        </w:numPr>
        <w:tabs>
          <w:tab w:val="left" w:pos="454"/>
          <w:tab w:val="left" w:pos="567"/>
          <w:tab w:val="left" w:pos="930"/>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As a consequence, </w:t>
      </w:r>
      <w:r w:rsidR="00D17B1E" w:rsidRPr="00C1087F">
        <w:rPr>
          <w:rFonts w:ascii="Arial" w:hAnsi="Arial" w:cs="Arial"/>
          <w:szCs w:val="24"/>
        </w:rPr>
        <w:t xml:space="preserve">and </w:t>
      </w:r>
      <w:r w:rsidRPr="00C1087F">
        <w:rPr>
          <w:rFonts w:ascii="Arial" w:hAnsi="Arial" w:cs="Arial"/>
          <w:szCs w:val="24"/>
        </w:rPr>
        <w:t xml:space="preserve">pursuant </w:t>
      </w:r>
      <w:r w:rsidR="00166D2F" w:rsidRPr="00C1087F">
        <w:rPr>
          <w:rFonts w:ascii="Arial" w:hAnsi="Arial" w:cs="Arial"/>
          <w:szCs w:val="24"/>
        </w:rPr>
        <w:t>to s.50(4)</w:t>
      </w:r>
      <w:r w:rsidR="00D17B1E" w:rsidRPr="00C1087F">
        <w:rPr>
          <w:rFonts w:ascii="Arial" w:hAnsi="Arial" w:cs="Arial"/>
          <w:szCs w:val="24"/>
        </w:rPr>
        <w:t>,</w:t>
      </w:r>
      <w:r w:rsidR="00166D2F" w:rsidRPr="00C1087F">
        <w:rPr>
          <w:rFonts w:ascii="Arial" w:hAnsi="Arial" w:cs="Arial"/>
          <w:szCs w:val="24"/>
        </w:rPr>
        <w:t xml:space="preserve"> the</w:t>
      </w:r>
      <w:r w:rsidR="005E009D" w:rsidRPr="00C1087F">
        <w:rPr>
          <w:rFonts w:ascii="Arial" w:hAnsi="Arial" w:cs="Arial"/>
          <w:szCs w:val="24"/>
        </w:rPr>
        <w:t xml:space="preserve"> </w:t>
      </w:r>
      <w:r w:rsidR="00DE7C37" w:rsidRPr="00C1087F">
        <w:rPr>
          <w:rFonts w:ascii="Arial" w:hAnsi="Arial" w:cs="Arial"/>
          <w:szCs w:val="24"/>
        </w:rPr>
        <w:t xml:space="preserve">Commissioner </w:t>
      </w:r>
      <w:r w:rsidR="005E009D" w:rsidRPr="00C1087F">
        <w:rPr>
          <w:rFonts w:ascii="Arial" w:hAnsi="Arial" w:cs="Arial"/>
          <w:szCs w:val="24"/>
        </w:rPr>
        <w:t xml:space="preserve">required the ICO to take </w:t>
      </w:r>
      <w:r w:rsidR="008C6ED3" w:rsidRPr="00C1087F">
        <w:rPr>
          <w:rFonts w:ascii="Arial" w:hAnsi="Arial" w:cs="Arial"/>
          <w:szCs w:val="24"/>
        </w:rPr>
        <w:t>specified steps</w:t>
      </w:r>
      <w:r w:rsidR="004109FC" w:rsidRPr="00C1087F">
        <w:rPr>
          <w:rFonts w:ascii="Arial" w:hAnsi="Arial" w:cs="Arial"/>
          <w:szCs w:val="24"/>
        </w:rPr>
        <w:t xml:space="preserve"> </w:t>
      </w:r>
      <w:r w:rsidR="007D0A62" w:rsidRPr="00C1087F">
        <w:rPr>
          <w:rFonts w:ascii="Arial" w:hAnsi="Arial" w:cs="Arial"/>
          <w:szCs w:val="24"/>
        </w:rPr>
        <w:t xml:space="preserve">in order </w:t>
      </w:r>
      <w:r w:rsidR="00DE7C37" w:rsidRPr="00C1087F">
        <w:rPr>
          <w:rFonts w:ascii="Arial" w:hAnsi="Arial" w:cs="Arial"/>
          <w:szCs w:val="24"/>
        </w:rPr>
        <w:t xml:space="preserve">to </w:t>
      </w:r>
      <w:r w:rsidR="002467D0" w:rsidRPr="00C1087F">
        <w:rPr>
          <w:rFonts w:ascii="Arial" w:hAnsi="Arial" w:cs="Arial"/>
          <w:szCs w:val="24"/>
        </w:rPr>
        <w:t xml:space="preserve">respond </w:t>
      </w:r>
      <w:r w:rsidR="00DE7C37" w:rsidRPr="00C1087F">
        <w:rPr>
          <w:rFonts w:ascii="Arial" w:hAnsi="Arial" w:cs="Arial"/>
          <w:szCs w:val="24"/>
        </w:rPr>
        <w:t xml:space="preserve">to the </w:t>
      </w:r>
      <w:r w:rsidR="007D0A62" w:rsidRPr="00C1087F">
        <w:rPr>
          <w:rFonts w:ascii="Arial" w:hAnsi="Arial" w:cs="Arial"/>
          <w:szCs w:val="24"/>
        </w:rPr>
        <w:t xml:space="preserve">Appellant’s FOIA requests </w:t>
      </w:r>
      <w:r w:rsidR="002467D0" w:rsidRPr="00C1087F">
        <w:rPr>
          <w:rFonts w:ascii="Arial" w:hAnsi="Arial" w:cs="Arial"/>
          <w:szCs w:val="24"/>
        </w:rPr>
        <w:t xml:space="preserve">in accordance with </w:t>
      </w:r>
      <w:r w:rsidR="00D40BB2" w:rsidRPr="00C1087F">
        <w:rPr>
          <w:rFonts w:ascii="Arial" w:hAnsi="Arial" w:cs="Arial"/>
          <w:szCs w:val="24"/>
        </w:rPr>
        <w:t>Part 1 FOIA</w:t>
      </w:r>
      <w:r w:rsidR="00EB0FC2">
        <w:rPr>
          <w:rFonts w:ascii="Arial" w:hAnsi="Arial" w:cs="Arial"/>
          <w:szCs w:val="24"/>
        </w:rPr>
        <w:t>.</w:t>
      </w:r>
      <w:r w:rsidR="005E30D8" w:rsidRPr="00C1087F">
        <w:rPr>
          <w:rFonts w:ascii="Arial" w:hAnsi="Arial" w:cs="Arial"/>
          <w:szCs w:val="24"/>
        </w:rPr>
        <w:t xml:space="preserve"> The</w:t>
      </w:r>
      <w:r w:rsidR="000B64F5" w:rsidRPr="00C1087F">
        <w:rPr>
          <w:rFonts w:ascii="Arial" w:hAnsi="Arial" w:cs="Arial"/>
          <w:szCs w:val="24"/>
        </w:rPr>
        <w:t xml:space="preserve"> </w:t>
      </w:r>
      <w:r w:rsidR="00495BC4" w:rsidRPr="00C1087F">
        <w:rPr>
          <w:rFonts w:ascii="Arial" w:hAnsi="Arial" w:cs="Arial"/>
          <w:szCs w:val="24"/>
        </w:rPr>
        <w:t xml:space="preserve">decision notice </w:t>
      </w:r>
      <w:r w:rsidR="000B64F5" w:rsidRPr="00C1087F">
        <w:rPr>
          <w:rFonts w:ascii="Arial" w:hAnsi="Arial" w:cs="Arial"/>
          <w:szCs w:val="24"/>
        </w:rPr>
        <w:t xml:space="preserve">required </w:t>
      </w:r>
      <w:r w:rsidR="00495BC4" w:rsidRPr="00C1087F">
        <w:rPr>
          <w:rFonts w:ascii="Arial" w:hAnsi="Arial" w:cs="Arial"/>
          <w:szCs w:val="24"/>
        </w:rPr>
        <w:t xml:space="preserve">the ICO </w:t>
      </w:r>
      <w:r w:rsidR="00724CF9" w:rsidRPr="00C1087F">
        <w:rPr>
          <w:rFonts w:ascii="Arial" w:hAnsi="Arial" w:cs="Arial"/>
          <w:szCs w:val="24"/>
        </w:rPr>
        <w:t xml:space="preserve">to </w:t>
      </w:r>
      <w:r w:rsidR="005E30D8" w:rsidRPr="00C1087F">
        <w:rPr>
          <w:rFonts w:ascii="Arial" w:hAnsi="Arial" w:cs="Arial"/>
          <w:szCs w:val="24"/>
        </w:rPr>
        <w:t xml:space="preserve">respond to </w:t>
      </w:r>
      <w:r w:rsidR="00AC0254" w:rsidRPr="00C1087F">
        <w:rPr>
          <w:rFonts w:ascii="Arial" w:hAnsi="Arial" w:cs="Arial"/>
          <w:szCs w:val="24"/>
        </w:rPr>
        <w:t xml:space="preserve">the </w:t>
      </w:r>
      <w:r w:rsidR="006062B4" w:rsidRPr="00C1087F">
        <w:rPr>
          <w:rFonts w:ascii="Arial" w:hAnsi="Arial" w:cs="Arial"/>
          <w:szCs w:val="24"/>
        </w:rPr>
        <w:t xml:space="preserve">outstanding </w:t>
      </w:r>
      <w:r w:rsidR="00CC5EDA" w:rsidRPr="00C1087F">
        <w:rPr>
          <w:rFonts w:ascii="Arial" w:hAnsi="Arial" w:cs="Arial"/>
          <w:szCs w:val="24"/>
        </w:rPr>
        <w:t xml:space="preserve">FOIA </w:t>
      </w:r>
      <w:r w:rsidR="006062B4" w:rsidRPr="00C1087F">
        <w:rPr>
          <w:rFonts w:ascii="Arial" w:hAnsi="Arial" w:cs="Arial"/>
          <w:szCs w:val="24"/>
        </w:rPr>
        <w:t>requests</w:t>
      </w:r>
      <w:r w:rsidR="00C33229" w:rsidRPr="00C1087F">
        <w:rPr>
          <w:rFonts w:ascii="Arial" w:hAnsi="Arial" w:cs="Arial"/>
          <w:szCs w:val="24"/>
        </w:rPr>
        <w:t xml:space="preserve"> listed in </w:t>
      </w:r>
      <w:r w:rsidR="00946C06" w:rsidRPr="00C1087F">
        <w:rPr>
          <w:rFonts w:ascii="Arial" w:hAnsi="Arial" w:cs="Arial"/>
          <w:szCs w:val="24"/>
        </w:rPr>
        <w:t>an appendix</w:t>
      </w:r>
      <w:r w:rsidR="00E3411E" w:rsidRPr="00C1087F">
        <w:rPr>
          <w:rFonts w:ascii="Arial" w:hAnsi="Arial" w:cs="Arial"/>
          <w:szCs w:val="24"/>
        </w:rPr>
        <w:t xml:space="preserve"> within 35 working days</w:t>
      </w:r>
      <w:r w:rsidR="00512AA1" w:rsidRPr="00C1087F">
        <w:rPr>
          <w:rFonts w:ascii="Arial" w:hAnsi="Arial" w:cs="Arial"/>
          <w:szCs w:val="24"/>
        </w:rPr>
        <w:t>.</w:t>
      </w:r>
    </w:p>
    <w:p w14:paraId="602008B2" w14:textId="02DE048D" w:rsidR="00592336" w:rsidRPr="00C1087F" w:rsidRDefault="00592336" w:rsidP="00DD7117">
      <w:pPr>
        <w:tabs>
          <w:tab w:val="left" w:pos="454"/>
          <w:tab w:val="left" w:pos="567"/>
          <w:tab w:val="left" w:pos="1134"/>
          <w:tab w:val="left" w:pos="5103"/>
        </w:tabs>
        <w:spacing w:after="120" w:line="276" w:lineRule="auto"/>
        <w:jc w:val="both"/>
        <w:rPr>
          <w:rFonts w:ascii="Arial" w:hAnsi="Arial" w:cs="Arial"/>
          <w:szCs w:val="24"/>
        </w:rPr>
      </w:pPr>
    </w:p>
    <w:p w14:paraId="1A614C4C" w14:textId="759EBCBA" w:rsidR="00592336" w:rsidRPr="00C1087F" w:rsidRDefault="00592336" w:rsidP="00DD7117">
      <w:pPr>
        <w:tabs>
          <w:tab w:val="left" w:pos="454"/>
          <w:tab w:val="left" w:pos="567"/>
          <w:tab w:val="left" w:pos="1134"/>
          <w:tab w:val="left" w:pos="5103"/>
        </w:tabs>
        <w:spacing w:after="120" w:line="276" w:lineRule="auto"/>
        <w:jc w:val="both"/>
        <w:rPr>
          <w:rFonts w:ascii="Arial" w:hAnsi="Arial" w:cs="Arial"/>
          <w:b/>
          <w:bCs/>
          <w:szCs w:val="24"/>
        </w:rPr>
      </w:pPr>
      <w:r w:rsidRPr="00C1087F">
        <w:rPr>
          <w:rFonts w:ascii="Arial" w:hAnsi="Arial" w:cs="Arial"/>
          <w:b/>
          <w:bCs/>
          <w:szCs w:val="24"/>
        </w:rPr>
        <w:t>The First-tier Tribunal’s Decision</w:t>
      </w:r>
    </w:p>
    <w:p w14:paraId="42E8C766" w14:textId="4BFBF541" w:rsidR="0034710D" w:rsidRPr="00C1087F" w:rsidRDefault="00C33229"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The Appellant </w:t>
      </w:r>
      <w:r w:rsidR="00266067" w:rsidRPr="00C1087F">
        <w:rPr>
          <w:rFonts w:ascii="Arial" w:hAnsi="Arial" w:cs="Arial"/>
          <w:szCs w:val="24"/>
        </w:rPr>
        <w:t xml:space="preserve">appealed to </w:t>
      </w:r>
      <w:r w:rsidRPr="00C1087F">
        <w:rPr>
          <w:rFonts w:ascii="Arial" w:hAnsi="Arial" w:cs="Arial"/>
          <w:szCs w:val="24"/>
        </w:rPr>
        <w:t>the First-tier Tribunal (‘FTT</w:t>
      </w:r>
      <w:r w:rsidR="00245266" w:rsidRPr="00C1087F">
        <w:rPr>
          <w:rFonts w:ascii="Arial" w:hAnsi="Arial" w:cs="Arial"/>
          <w:szCs w:val="24"/>
        </w:rPr>
        <w:t>’) under</w:t>
      </w:r>
      <w:r w:rsidR="009174A8" w:rsidRPr="00C1087F">
        <w:rPr>
          <w:rFonts w:ascii="Arial" w:hAnsi="Arial" w:cs="Arial"/>
          <w:szCs w:val="24"/>
        </w:rPr>
        <w:t xml:space="preserve"> </w:t>
      </w:r>
      <w:r w:rsidR="00266067" w:rsidRPr="00C1087F">
        <w:rPr>
          <w:rFonts w:ascii="Arial" w:hAnsi="Arial" w:cs="Arial"/>
          <w:szCs w:val="24"/>
        </w:rPr>
        <w:t>s. 57</w:t>
      </w:r>
      <w:r w:rsidR="00E3411E" w:rsidRPr="00C1087F">
        <w:rPr>
          <w:rFonts w:ascii="Arial" w:hAnsi="Arial" w:cs="Arial"/>
          <w:szCs w:val="24"/>
        </w:rPr>
        <w:t xml:space="preserve"> FOIA. </w:t>
      </w:r>
      <w:r w:rsidR="000F038A" w:rsidRPr="00C1087F">
        <w:rPr>
          <w:rFonts w:ascii="Arial" w:hAnsi="Arial" w:cs="Arial"/>
          <w:szCs w:val="24"/>
        </w:rPr>
        <w:t xml:space="preserve">His </w:t>
      </w:r>
      <w:r w:rsidR="009174A8" w:rsidRPr="00C1087F">
        <w:rPr>
          <w:rFonts w:ascii="Arial" w:hAnsi="Arial" w:cs="Arial"/>
          <w:szCs w:val="24"/>
        </w:rPr>
        <w:t>grounds</w:t>
      </w:r>
      <w:r w:rsidR="00D93D6E" w:rsidRPr="00C1087F">
        <w:rPr>
          <w:rFonts w:ascii="Arial" w:hAnsi="Arial" w:cs="Arial"/>
          <w:szCs w:val="24"/>
        </w:rPr>
        <w:t>, in broad terms,</w:t>
      </w:r>
      <w:r w:rsidR="009174A8" w:rsidRPr="00C1087F">
        <w:rPr>
          <w:rFonts w:ascii="Arial" w:hAnsi="Arial" w:cs="Arial"/>
          <w:szCs w:val="24"/>
        </w:rPr>
        <w:t xml:space="preserve"> </w:t>
      </w:r>
      <w:r w:rsidR="000F038A" w:rsidRPr="00C1087F">
        <w:rPr>
          <w:rFonts w:ascii="Arial" w:hAnsi="Arial" w:cs="Arial"/>
          <w:szCs w:val="24"/>
        </w:rPr>
        <w:t xml:space="preserve">were </w:t>
      </w:r>
      <w:r w:rsidR="009174A8" w:rsidRPr="00C1087F">
        <w:rPr>
          <w:rFonts w:ascii="Arial" w:hAnsi="Arial" w:cs="Arial"/>
          <w:szCs w:val="24"/>
        </w:rPr>
        <w:t xml:space="preserve">that </w:t>
      </w:r>
      <w:r w:rsidR="007D1303">
        <w:rPr>
          <w:rFonts w:ascii="Arial" w:hAnsi="Arial" w:cs="Arial"/>
          <w:szCs w:val="24"/>
        </w:rPr>
        <w:t xml:space="preserve">the </w:t>
      </w:r>
      <w:r w:rsidR="009174A8" w:rsidRPr="00C1087F">
        <w:rPr>
          <w:rFonts w:ascii="Arial" w:hAnsi="Arial" w:cs="Arial"/>
          <w:szCs w:val="24"/>
        </w:rPr>
        <w:t xml:space="preserve">decision notice </w:t>
      </w:r>
      <w:r w:rsidR="000F038A" w:rsidRPr="00C1087F">
        <w:rPr>
          <w:rFonts w:ascii="Arial" w:hAnsi="Arial" w:cs="Arial"/>
          <w:szCs w:val="24"/>
        </w:rPr>
        <w:t xml:space="preserve">was defective because </w:t>
      </w:r>
      <w:r w:rsidR="00B66BFD" w:rsidRPr="00C1087F">
        <w:rPr>
          <w:rFonts w:ascii="Arial" w:hAnsi="Arial" w:cs="Arial"/>
          <w:szCs w:val="24"/>
        </w:rPr>
        <w:t>it did</w:t>
      </w:r>
      <w:r w:rsidR="00266067" w:rsidRPr="00C1087F">
        <w:rPr>
          <w:rFonts w:ascii="Arial" w:hAnsi="Arial" w:cs="Arial"/>
          <w:szCs w:val="24"/>
        </w:rPr>
        <w:t xml:space="preserve"> </w:t>
      </w:r>
      <w:r w:rsidR="00266067" w:rsidRPr="00C1087F">
        <w:rPr>
          <w:rFonts w:ascii="Arial" w:hAnsi="Arial" w:cs="Arial"/>
          <w:szCs w:val="24"/>
        </w:rPr>
        <w:lastRenderedPageBreak/>
        <w:t xml:space="preserve">not contain all of </w:t>
      </w:r>
      <w:r w:rsidR="000F038A" w:rsidRPr="00C1087F">
        <w:rPr>
          <w:rFonts w:ascii="Arial" w:hAnsi="Arial" w:cs="Arial"/>
          <w:szCs w:val="24"/>
        </w:rPr>
        <w:t>his outstanding FOIA requests</w:t>
      </w:r>
      <w:r w:rsidR="00273667" w:rsidRPr="00C1087F">
        <w:rPr>
          <w:rFonts w:ascii="Arial" w:hAnsi="Arial" w:cs="Arial"/>
          <w:szCs w:val="24"/>
        </w:rPr>
        <w:t>,</w:t>
      </w:r>
      <w:r w:rsidR="000F038A" w:rsidRPr="00C1087F">
        <w:rPr>
          <w:rFonts w:ascii="Arial" w:hAnsi="Arial" w:cs="Arial"/>
          <w:szCs w:val="24"/>
        </w:rPr>
        <w:t xml:space="preserve"> </w:t>
      </w:r>
      <w:r w:rsidR="00273667" w:rsidRPr="00C1087F">
        <w:rPr>
          <w:rFonts w:ascii="Arial" w:hAnsi="Arial" w:cs="Arial"/>
          <w:szCs w:val="24"/>
        </w:rPr>
        <w:t>n</w:t>
      </w:r>
      <w:r w:rsidR="00FA4EE9" w:rsidRPr="00C1087F">
        <w:rPr>
          <w:rFonts w:ascii="Arial" w:hAnsi="Arial" w:cs="Arial"/>
          <w:szCs w:val="24"/>
        </w:rPr>
        <w:t xml:space="preserve">or all of </w:t>
      </w:r>
      <w:r w:rsidR="00E21D27" w:rsidRPr="00C1087F">
        <w:rPr>
          <w:rFonts w:ascii="Arial" w:hAnsi="Arial" w:cs="Arial"/>
          <w:szCs w:val="24"/>
        </w:rPr>
        <w:t xml:space="preserve">the FOIA requests </w:t>
      </w:r>
      <w:r w:rsidR="00FA4EE9" w:rsidRPr="00C1087F">
        <w:rPr>
          <w:rFonts w:ascii="Arial" w:hAnsi="Arial" w:cs="Arial"/>
          <w:szCs w:val="24"/>
        </w:rPr>
        <w:t xml:space="preserve">he had brought to the Commissioner’s attention in </w:t>
      </w:r>
      <w:r w:rsidR="00FF2AF9" w:rsidRPr="00C1087F">
        <w:rPr>
          <w:rFonts w:ascii="Arial" w:hAnsi="Arial" w:cs="Arial"/>
          <w:szCs w:val="24"/>
        </w:rPr>
        <w:t xml:space="preserve">his </w:t>
      </w:r>
      <w:r w:rsidR="00C40E95" w:rsidRPr="00C1087F">
        <w:rPr>
          <w:rFonts w:ascii="Arial" w:hAnsi="Arial" w:cs="Arial"/>
          <w:szCs w:val="24"/>
        </w:rPr>
        <w:t xml:space="preserve">s.50 </w:t>
      </w:r>
      <w:r w:rsidR="00FF2AF9" w:rsidRPr="00C1087F">
        <w:rPr>
          <w:rFonts w:ascii="Arial" w:hAnsi="Arial" w:cs="Arial"/>
          <w:szCs w:val="24"/>
        </w:rPr>
        <w:t xml:space="preserve">complaint. The Commissioner subsequently conceded </w:t>
      </w:r>
      <w:r w:rsidR="00273667" w:rsidRPr="00C1087F">
        <w:rPr>
          <w:rFonts w:ascii="Arial" w:hAnsi="Arial" w:cs="Arial"/>
          <w:szCs w:val="24"/>
        </w:rPr>
        <w:t xml:space="preserve">this point and </w:t>
      </w:r>
      <w:r w:rsidR="00B66BFD">
        <w:rPr>
          <w:rFonts w:ascii="Arial" w:hAnsi="Arial" w:cs="Arial"/>
          <w:szCs w:val="24"/>
        </w:rPr>
        <w:t xml:space="preserve">also </w:t>
      </w:r>
      <w:r w:rsidR="00273667" w:rsidRPr="00C1087F">
        <w:rPr>
          <w:rFonts w:ascii="Arial" w:hAnsi="Arial" w:cs="Arial"/>
          <w:szCs w:val="24"/>
        </w:rPr>
        <w:t>that</w:t>
      </w:r>
      <w:r w:rsidR="00322620" w:rsidRPr="00C1087F">
        <w:rPr>
          <w:rFonts w:ascii="Arial" w:hAnsi="Arial" w:cs="Arial"/>
          <w:szCs w:val="24"/>
        </w:rPr>
        <w:t>,</w:t>
      </w:r>
      <w:r w:rsidR="0096593E" w:rsidRPr="00C1087F">
        <w:rPr>
          <w:rFonts w:ascii="Arial" w:hAnsi="Arial" w:cs="Arial"/>
          <w:szCs w:val="24"/>
        </w:rPr>
        <w:t xml:space="preserve"> as a consequence</w:t>
      </w:r>
      <w:r w:rsidR="00322620" w:rsidRPr="00C1087F">
        <w:rPr>
          <w:rFonts w:ascii="Arial" w:hAnsi="Arial" w:cs="Arial"/>
          <w:szCs w:val="24"/>
        </w:rPr>
        <w:t>,</w:t>
      </w:r>
      <w:r w:rsidR="0096593E" w:rsidRPr="00C1087F">
        <w:rPr>
          <w:rFonts w:ascii="Arial" w:hAnsi="Arial" w:cs="Arial"/>
          <w:szCs w:val="24"/>
        </w:rPr>
        <w:t xml:space="preserve"> </w:t>
      </w:r>
      <w:r w:rsidR="00273667" w:rsidRPr="00C1087F">
        <w:rPr>
          <w:rFonts w:ascii="Arial" w:hAnsi="Arial" w:cs="Arial"/>
          <w:szCs w:val="24"/>
        </w:rPr>
        <w:t xml:space="preserve">the decision notice </w:t>
      </w:r>
      <w:r w:rsidR="0046416E" w:rsidRPr="00C1087F">
        <w:rPr>
          <w:rFonts w:ascii="Arial" w:hAnsi="Arial" w:cs="Arial"/>
          <w:szCs w:val="24"/>
        </w:rPr>
        <w:t xml:space="preserve">was </w:t>
      </w:r>
      <w:r w:rsidR="002672F2" w:rsidRPr="00C1087F">
        <w:rPr>
          <w:rFonts w:ascii="Arial" w:hAnsi="Arial" w:cs="Arial"/>
          <w:szCs w:val="24"/>
        </w:rPr>
        <w:t>not in accordance with the law</w:t>
      </w:r>
      <w:r w:rsidR="0046416E" w:rsidRPr="00C1087F">
        <w:rPr>
          <w:rFonts w:ascii="Arial" w:hAnsi="Arial" w:cs="Arial"/>
          <w:szCs w:val="24"/>
        </w:rPr>
        <w:t>.</w:t>
      </w:r>
    </w:p>
    <w:p w14:paraId="0E7ABDA2" w14:textId="5872F75D" w:rsidR="004667C0" w:rsidRPr="00C1087F" w:rsidRDefault="0079651B"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The </w:t>
      </w:r>
      <w:r w:rsidR="00F0502B" w:rsidRPr="00C1087F">
        <w:rPr>
          <w:rFonts w:ascii="Arial" w:hAnsi="Arial" w:cs="Arial"/>
          <w:szCs w:val="24"/>
        </w:rPr>
        <w:t>Appellant initially relied upon 4 grounds of appeal before the FTT</w:t>
      </w:r>
      <w:r w:rsidR="00D978DD" w:rsidRPr="00C1087F">
        <w:rPr>
          <w:rFonts w:ascii="Arial" w:hAnsi="Arial" w:cs="Arial"/>
          <w:szCs w:val="24"/>
        </w:rPr>
        <w:t xml:space="preserve">, relating to </w:t>
      </w:r>
      <w:r w:rsidR="006B052D" w:rsidRPr="00C1087F">
        <w:rPr>
          <w:rFonts w:ascii="Arial" w:hAnsi="Arial" w:cs="Arial"/>
          <w:szCs w:val="24"/>
        </w:rPr>
        <w:t xml:space="preserve">the deficiency </w:t>
      </w:r>
      <w:r w:rsidR="00D978DD" w:rsidRPr="00C1087F">
        <w:rPr>
          <w:rFonts w:ascii="Arial" w:hAnsi="Arial" w:cs="Arial"/>
          <w:szCs w:val="24"/>
        </w:rPr>
        <w:t xml:space="preserve">of both the decision notice and </w:t>
      </w:r>
      <w:r w:rsidR="00D6613A" w:rsidRPr="00C1087F">
        <w:rPr>
          <w:rFonts w:ascii="Arial" w:hAnsi="Arial" w:cs="Arial"/>
          <w:szCs w:val="24"/>
        </w:rPr>
        <w:t>its</w:t>
      </w:r>
      <w:r w:rsidR="00D978DD" w:rsidRPr="00C1087F">
        <w:rPr>
          <w:rFonts w:ascii="Arial" w:hAnsi="Arial" w:cs="Arial"/>
          <w:szCs w:val="24"/>
        </w:rPr>
        <w:t xml:space="preserve"> annex</w:t>
      </w:r>
      <w:r w:rsidR="00F0502B" w:rsidRPr="00C1087F">
        <w:rPr>
          <w:rFonts w:ascii="Arial" w:hAnsi="Arial" w:cs="Arial"/>
          <w:szCs w:val="24"/>
        </w:rPr>
        <w:t>. The Commissioner</w:t>
      </w:r>
      <w:r w:rsidR="00E41A2E" w:rsidRPr="00C1087F">
        <w:rPr>
          <w:rFonts w:ascii="Arial" w:hAnsi="Arial" w:cs="Arial"/>
          <w:szCs w:val="24"/>
        </w:rPr>
        <w:t xml:space="preserve"> conceded all substantial grounds. </w:t>
      </w:r>
      <w:r w:rsidR="00157BE3" w:rsidRPr="00C1087F">
        <w:rPr>
          <w:rFonts w:ascii="Arial" w:hAnsi="Arial" w:cs="Arial"/>
          <w:szCs w:val="24"/>
        </w:rPr>
        <w:t xml:space="preserve">Separately, and during the course of the FTT </w:t>
      </w:r>
      <w:r w:rsidR="007F58A3" w:rsidRPr="00C1087F">
        <w:rPr>
          <w:rFonts w:ascii="Arial" w:hAnsi="Arial" w:cs="Arial"/>
          <w:szCs w:val="24"/>
        </w:rPr>
        <w:t xml:space="preserve">proceedings, </w:t>
      </w:r>
      <w:r w:rsidR="00157BE3" w:rsidRPr="00C1087F">
        <w:rPr>
          <w:rFonts w:ascii="Arial" w:hAnsi="Arial" w:cs="Arial"/>
          <w:szCs w:val="24"/>
        </w:rPr>
        <w:t xml:space="preserve">the ICO </w:t>
      </w:r>
      <w:r w:rsidR="00D6613A" w:rsidRPr="00C1087F">
        <w:rPr>
          <w:rFonts w:ascii="Arial" w:hAnsi="Arial" w:cs="Arial"/>
          <w:szCs w:val="24"/>
        </w:rPr>
        <w:t xml:space="preserve">sent the Appellant </w:t>
      </w:r>
      <w:r w:rsidR="00470C99" w:rsidRPr="00C1087F">
        <w:rPr>
          <w:rFonts w:ascii="Arial" w:hAnsi="Arial" w:cs="Arial"/>
          <w:szCs w:val="24"/>
        </w:rPr>
        <w:t xml:space="preserve">what it considered to be the substantive response </w:t>
      </w:r>
      <w:r w:rsidR="00157BE3" w:rsidRPr="00C1087F">
        <w:rPr>
          <w:rFonts w:ascii="Arial" w:hAnsi="Arial" w:cs="Arial"/>
          <w:szCs w:val="24"/>
        </w:rPr>
        <w:t xml:space="preserve">to </w:t>
      </w:r>
      <w:r w:rsidR="007F58A3" w:rsidRPr="00C1087F">
        <w:rPr>
          <w:rFonts w:ascii="Arial" w:hAnsi="Arial" w:cs="Arial"/>
          <w:szCs w:val="24"/>
        </w:rPr>
        <w:t xml:space="preserve">all </w:t>
      </w:r>
      <w:r w:rsidR="00281919" w:rsidRPr="00C1087F">
        <w:rPr>
          <w:rFonts w:ascii="Arial" w:hAnsi="Arial" w:cs="Arial"/>
          <w:szCs w:val="24"/>
        </w:rPr>
        <w:t xml:space="preserve">of </w:t>
      </w:r>
      <w:r w:rsidR="00470C99" w:rsidRPr="00C1087F">
        <w:rPr>
          <w:rFonts w:ascii="Arial" w:hAnsi="Arial" w:cs="Arial"/>
          <w:szCs w:val="24"/>
        </w:rPr>
        <w:t xml:space="preserve">his FOIA </w:t>
      </w:r>
      <w:r w:rsidR="007C4E88" w:rsidRPr="00C1087F">
        <w:rPr>
          <w:rFonts w:ascii="Arial" w:hAnsi="Arial" w:cs="Arial"/>
          <w:szCs w:val="24"/>
        </w:rPr>
        <w:t>requests</w:t>
      </w:r>
      <w:r w:rsidR="00281919" w:rsidRPr="00C1087F">
        <w:rPr>
          <w:rFonts w:ascii="Arial" w:hAnsi="Arial" w:cs="Arial"/>
          <w:szCs w:val="24"/>
        </w:rPr>
        <w:t xml:space="preserve">, including those </w:t>
      </w:r>
      <w:r w:rsidR="00EE680F" w:rsidRPr="00C1087F">
        <w:rPr>
          <w:rFonts w:ascii="Arial" w:hAnsi="Arial" w:cs="Arial"/>
          <w:szCs w:val="24"/>
        </w:rPr>
        <w:t xml:space="preserve">that </w:t>
      </w:r>
      <w:r w:rsidR="00FB7018" w:rsidRPr="00C1087F">
        <w:rPr>
          <w:rFonts w:ascii="Arial" w:hAnsi="Arial" w:cs="Arial"/>
          <w:szCs w:val="24"/>
        </w:rPr>
        <w:t xml:space="preserve">had been </w:t>
      </w:r>
      <w:r w:rsidR="004667C0" w:rsidRPr="00C1087F">
        <w:rPr>
          <w:rFonts w:ascii="Arial" w:hAnsi="Arial" w:cs="Arial"/>
          <w:szCs w:val="24"/>
        </w:rPr>
        <w:t>erroneously omitted</w:t>
      </w:r>
      <w:r w:rsidR="00A70190" w:rsidRPr="00C1087F">
        <w:rPr>
          <w:rFonts w:ascii="Arial" w:hAnsi="Arial" w:cs="Arial"/>
          <w:szCs w:val="24"/>
        </w:rPr>
        <w:t xml:space="preserve"> from the 11 September 2019 decision notice.</w:t>
      </w:r>
    </w:p>
    <w:p w14:paraId="5A45836B" w14:textId="60A06FA1" w:rsidR="00C33049" w:rsidRPr="00C1087F" w:rsidRDefault="00D57FBD"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T</w:t>
      </w:r>
      <w:r w:rsidR="00772F37" w:rsidRPr="00C1087F">
        <w:rPr>
          <w:rFonts w:ascii="Arial" w:hAnsi="Arial" w:cs="Arial"/>
          <w:szCs w:val="24"/>
        </w:rPr>
        <w:t>he Appellant</w:t>
      </w:r>
      <w:r w:rsidRPr="00C1087F">
        <w:rPr>
          <w:rFonts w:ascii="Arial" w:hAnsi="Arial" w:cs="Arial"/>
          <w:szCs w:val="24"/>
        </w:rPr>
        <w:t xml:space="preserve"> declined a proposal </w:t>
      </w:r>
      <w:r w:rsidR="00FB7018" w:rsidRPr="00C1087F">
        <w:rPr>
          <w:rFonts w:ascii="Arial" w:hAnsi="Arial" w:cs="Arial"/>
          <w:szCs w:val="24"/>
        </w:rPr>
        <w:t xml:space="preserve">from </w:t>
      </w:r>
      <w:r w:rsidR="00FA019A" w:rsidRPr="00C1087F">
        <w:rPr>
          <w:rFonts w:ascii="Arial" w:hAnsi="Arial" w:cs="Arial"/>
          <w:szCs w:val="24"/>
        </w:rPr>
        <w:t>the Commissioner to dispose of his appeal by way of a Consent Order</w:t>
      </w:r>
      <w:r w:rsidR="001561E8" w:rsidRPr="00C1087F">
        <w:rPr>
          <w:rStyle w:val="FootnoteReference"/>
          <w:rFonts w:ascii="Arial" w:hAnsi="Arial" w:cs="Arial"/>
          <w:szCs w:val="24"/>
        </w:rPr>
        <w:footnoteReference w:id="2"/>
      </w:r>
      <w:r w:rsidR="001561E8" w:rsidRPr="00C1087F">
        <w:rPr>
          <w:rFonts w:ascii="Arial" w:hAnsi="Arial" w:cs="Arial"/>
          <w:szCs w:val="24"/>
        </w:rPr>
        <w:t xml:space="preserve"> </w:t>
      </w:r>
      <w:r w:rsidR="000C4D8A" w:rsidRPr="00C1087F">
        <w:rPr>
          <w:rFonts w:ascii="Arial" w:hAnsi="Arial" w:cs="Arial"/>
          <w:szCs w:val="24"/>
        </w:rPr>
        <w:t>which</w:t>
      </w:r>
      <w:r w:rsidR="009663CA" w:rsidRPr="00C1087F">
        <w:rPr>
          <w:rFonts w:ascii="Arial" w:hAnsi="Arial" w:cs="Arial"/>
          <w:szCs w:val="24"/>
        </w:rPr>
        <w:t xml:space="preserve">, according </w:t>
      </w:r>
      <w:r w:rsidR="00EE501F" w:rsidRPr="00C1087F">
        <w:rPr>
          <w:rFonts w:ascii="Arial" w:hAnsi="Arial" w:cs="Arial"/>
          <w:szCs w:val="24"/>
        </w:rPr>
        <w:t xml:space="preserve">to </w:t>
      </w:r>
      <w:r w:rsidR="00034CCB" w:rsidRPr="00C1087F">
        <w:rPr>
          <w:rFonts w:ascii="Arial" w:hAnsi="Arial" w:cs="Arial"/>
          <w:szCs w:val="24"/>
        </w:rPr>
        <w:t>the FTT</w:t>
      </w:r>
      <w:r w:rsidR="002E4CD8" w:rsidRPr="00C1087F">
        <w:rPr>
          <w:rFonts w:ascii="Arial" w:hAnsi="Arial" w:cs="Arial"/>
          <w:szCs w:val="24"/>
        </w:rPr>
        <w:t>’</w:t>
      </w:r>
      <w:r w:rsidR="00034CCB" w:rsidRPr="00C1087F">
        <w:rPr>
          <w:rFonts w:ascii="Arial" w:hAnsi="Arial" w:cs="Arial"/>
          <w:szCs w:val="24"/>
        </w:rPr>
        <w:t xml:space="preserve">s decision, </w:t>
      </w:r>
      <w:r w:rsidR="00784D63" w:rsidRPr="00C1087F">
        <w:rPr>
          <w:rFonts w:ascii="Arial" w:hAnsi="Arial" w:cs="Arial"/>
          <w:szCs w:val="24"/>
        </w:rPr>
        <w:t>‘</w:t>
      </w:r>
      <w:r w:rsidR="00364253" w:rsidRPr="00C1087F">
        <w:rPr>
          <w:rFonts w:ascii="Arial" w:hAnsi="Arial" w:cs="Arial"/>
          <w:i/>
          <w:iCs/>
          <w:szCs w:val="24"/>
        </w:rPr>
        <w:t>would have allowed the Appellant’s appeal and recorded that the ICO, having issued a substantive response</w:t>
      </w:r>
      <w:r w:rsidR="00784D63" w:rsidRPr="00C1087F">
        <w:rPr>
          <w:rFonts w:ascii="Arial" w:hAnsi="Arial" w:cs="Arial"/>
          <w:i/>
          <w:iCs/>
          <w:szCs w:val="24"/>
        </w:rPr>
        <w:t xml:space="preserve"> to the </w:t>
      </w:r>
      <w:r w:rsidR="00DD626C" w:rsidRPr="00C1087F">
        <w:rPr>
          <w:rFonts w:ascii="Arial" w:hAnsi="Arial" w:cs="Arial"/>
          <w:i/>
          <w:iCs/>
          <w:szCs w:val="24"/>
        </w:rPr>
        <w:t>Appellant’s</w:t>
      </w:r>
      <w:r w:rsidR="00784D63" w:rsidRPr="00C1087F">
        <w:rPr>
          <w:rFonts w:ascii="Arial" w:hAnsi="Arial" w:cs="Arial"/>
          <w:i/>
          <w:iCs/>
          <w:szCs w:val="24"/>
        </w:rPr>
        <w:t xml:space="preserve"> requests, was not required to take further </w:t>
      </w:r>
      <w:r w:rsidR="00DD626C" w:rsidRPr="00C1087F">
        <w:rPr>
          <w:rFonts w:ascii="Arial" w:hAnsi="Arial" w:cs="Arial"/>
          <w:i/>
          <w:iCs/>
          <w:szCs w:val="24"/>
        </w:rPr>
        <w:t>steps’.</w:t>
      </w:r>
      <w:r w:rsidR="009109BA">
        <w:rPr>
          <w:rFonts w:ascii="Arial" w:hAnsi="Arial" w:cs="Arial"/>
          <w:i/>
          <w:iCs/>
          <w:szCs w:val="24"/>
        </w:rPr>
        <w:t xml:space="preserve"> </w:t>
      </w:r>
      <w:r w:rsidR="00360838" w:rsidRPr="00C1087F">
        <w:rPr>
          <w:rFonts w:ascii="Arial" w:hAnsi="Arial" w:cs="Arial"/>
          <w:szCs w:val="24"/>
        </w:rPr>
        <w:t>Th</w:t>
      </w:r>
      <w:r w:rsidR="00FB773D" w:rsidRPr="00C1087F">
        <w:rPr>
          <w:rFonts w:ascii="Arial" w:hAnsi="Arial" w:cs="Arial"/>
          <w:szCs w:val="24"/>
        </w:rPr>
        <w:t xml:space="preserve">is was </w:t>
      </w:r>
      <w:r w:rsidR="00670840" w:rsidRPr="00C1087F">
        <w:rPr>
          <w:rFonts w:ascii="Arial" w:hAnsi="Arial" w:cs="Arial"/>
          <w:szCs w:val="24"/>
        </w:rPr>
        <w:t xml:space="preserve">because, in </w:t>
      </w:r>
      <w:r w:rsidR="00FB773D" w:rsidRPr="00C1087F">
        <w:rPr>
          <w:rFonts w:ascii="Arial" w:hAnsi="Arial" w:cs="Arial"/>
          <w:szCs w:val="24"/>
        </w:rPr>
        <w:t xml:space="preserve">the Appellant’s </w:t>
      </w:r>
      <w:r w:rsidR="00670840" w:rsidRPr="00C1087F">
        <w:rPr>
          <w:rFonts w:ascii="Arial" w:hAnsi="Arial" w:cs="Arial"/>
          <w:szCs w:val="24"/>
        </w:rPr>
        <w:t>view</w:t>
      </w:r>
      <w:r w:rsidR="00B1415C" w:rsidRPr="00C1087F">
        <w:rPr>
          <w:rFonts w:ascii="Arial" w:hAnsi="Arial" w:cs="Arial"/>
          <w:szCs w:val="24"/>
        </w:rPr>
        <w:t xml:space="preserve">, the </w:t>
      </w:r>
      <w:r w:rsidR="009057A3" w:rsidRPr="00C1087F">
        <w:rPr>
          <w:rFonts w:ascii="Arial" w:hAnsi="Arial" w:cs="Arial"/>
          <w:szCs w:val="24"/>
        </w:rPr>
        <w:t>ICO</w:t>
      </w:r>
      <w:r w:rsidR="00F03A65" w:rsidRPr="00C1087F">
        <w:rPr>
          <w:rFonts w:ascii="Arial" w:hAnsi="Arial" w:cs="Arial"/>
          <w:szCs w:val="24"/>
        </w:rPr>
        <w:t xml:space="preserve"> had provided inadequate </w:t>
      </w:r>
      <w:r w:rsidR="00A033B6" w:rsidRPr="00C1087F">
        <w:rPr>
          <w:rFonts w:ascii="Arial" w:hAnsi="Arial" w:cs="Arial"/>
          <w:szCs w:val="24"/>
        </w:rPr>
        <w:t xml:space="preserve">substantive </w:t>
      </w:r>
      <w:r w:rsidR="009057A3" w:rsidRPr="00C1087F">
        <w:rPr>
          <w:rFonts w:ascii="Arial" w:hAnsi="Arial" w:cs="Arial"/>
          <w:szCs w:val="24"/>
        </w:rPr>
        <w:t xml:space="preserve">responses </w:t>
      </w:r>
      <w:r w:rsidR="00670840" w:rsidRPr="00C1087F">
        <w:rPr>
          <w:rFonts w:ascii="Arial" w:hAnsi="Arial" w:cs="Arial"/>
          <w:szCs w:val="24"/>
        </w:rPr>
        <w:t xml:space="preserve">to </w:t>
      </w:r>
      <w:r w:rsidR="00E02AD9" w:rsidRPr="00C1087F">
        <w:rPr>
          <w:rFonts w:ascii="Arial" w:hAnsi="Arial" w:cs="Arial"/>
          <w:szCs w:val="24"/>
        </w:rPr>
        <w:t xml:space="preserve">the </w:t>
      </w:r>
      <w:r w:rsidR="00A13908" w:rsidRPr="00C1087F">
        <w:rPr>
          <w:rFonts w:ascii="Arial" w:hAnsi="Arial" w:cs="Arial"/>
          <w:szCs w:val="24"/>
        </w:rPr>
        <w:t xml:space="preserve">FOIA </w:t>
      </w:r>
      <w:r w:rsidR="00670840" w:rsidRPr="00C1087F">
        <w:rPr>
          <w:rFonts w:ascii="Arial" w:hAnsi="Arial" w:cs="Arial"/>
          <w:szCs w:val="24"/>
        </w:rPr>
        <w:t>requests</w:t>
      </w:r>
      <w:r w:rsidR="00E02AD9" w:rsidRPr="00C1087F">
        <w:rPr>
          <w:rFonts w:ascii="Arial" w:hAnsi="Arial" w:cs="Arial"/>
          <w:szCs w:val="24"/>
        </w:rPr>
        <w:t xml:space="preserve"> that had been omitted from the decision notice</w:t>
      </w:r>
      <w:r w:rsidR="00D43DFE" w:rsidRPr="00C1087F">
        <w:rPr>
          <w:rFonts w:ascii="Arial" w:hAnsi="Arial" w:cs="Arial"/>
          <w:szCs w:val="24"/>
        </w:rPr>
        <w:t>.</w:t>
      </w:r>
      <w:r w:rsidR="007B0EDF" w:rsidRPr="00C1087F">
        <w:rPr>
          <w:rFonts w:ascii="Arial" w:hAnsi="Arial" w:cs="Arial"/>
          <w:szCs w:val="24"/>
        </w:rPr>
        <w:t xml:space="preserve"> </w:t>
      </w:r>
    </w:p>
    <w:p w14:paraId="44E4C050" w14:textId="66EE586E" w:rsidR="00C000E2" w:rsidRPr="00C1087F" w:rsidRDefault="001F789E"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T</w:t>
      </w:r>
      <w:r w:rsidR="007B0EDF" w:rsidRPr="00C1087F">
        <w:rPr>
          <w:rFonts w:ascii="Arial" w:hAnsi="Arial" w:cs="Arial"/>
          <w:szCs w:val="24"/>
        </w:rPr>
        <w:t>he Appellant</w:t>
      </w:r>
      <w:r w:rsidR="00E775E4" w:rsidRPr="00C1087F">
        <w:rPr>
          <w:rFonts w:ascii="Arial" w:hAnsi="Arial" w:cs="Arial"/>
          <w:szCs w:val="24"/>
        </w:rPr>
        <w:t xml:space="preserve"> argued that </w:t>
      </w:r>
      <w:r w:rsidR="007B0EDF" w:rsidRPr="00C1087F">
        <w:rPr>
          <w:rFonts w:ascii="Arial" w:hAnsi="Arial" w:cs="Arial"/>
          <w:szCs w:val="24"/>
        </w:rPr>
        <w:t>the FTT ha</w:t>
      </w:r>
      <w:r w:rsidR="00D43DFE" w:rsidRPr="00C1087F">
        <w:rPr>
          <w:rFonts w:ascii="Arial" w:hAnsi="Arial" w:cs="Arial"/>
          <w:szCs w:val="24"/>
        </w:rPr>
        <w:t>s</w:t>
      </w:r>
      <w:r w:rsidR="007B0EDF" w:rsidRPr="00C1087F">
        <w:rPr>
          <w:rFonts w:ascii="Arial" w:hAnsi="Arial" w:cs="Arial"/>
          <w:szCs w:val="24"/>
        </w:rPr>
        <w:t xml:space="preserve"> jurisdiction to consider </w:t>
      </w:r>
      <w:r w:rsidR="00011FD4" w:rsidRPr="00C1087F">
        <w:rPr>
          <w:rFonts w:ascii="Arial" w:hAnsi="Arial" w:cs="Arial"/>
          <w:szCs w:val="24"/>
        </w:rPr>
        <w:t>responses</w:t>
      </w:r>
      <w:r w:rsidR="00836AE1" w:rsidRPr="00C1087F">
        <w:rPr>
          <w:rFonts w:ascii="Arial" w:hAnsi="Arial" w:cs="Arial"/>
          <w:szCs w:val="24"/>
        </w:rPr>
        <w:t xml:space="preserve"> </w:t>
      </w:r>
      <w:r w:rsidR="00796899" w:rsidRPr="00C1087F">
        <w:rPr>
          <w:rFonts w:ascii="Arial" w:hAnsi="Arial" w:cs="Arial"/>
          <w:szCs w:val="24"/>
        </w:rPr>
        <w:t xml:space="preserve">by the public authority </w:t>
      </w:r>
      <w:r w:rsidR="003D0DA1" w:rsidRPr="00C1087F">
        <w:rPr>
          <w:rFonts w:ascii="Arial" w:hAnsi="Arial" w:cs="Arial"/>
          <w:szCs w:val="24"/>
        </w:rPr>
        <w:t xml:space="preserve">that </w:t>
      </w:r>
      <w:r w:rsidR="00DB26C5" w:rsidRPr="00C1087F">
        <w:rPr>
          <w:rFonts w:ascii="Arial" w:hAnsi="Arial" w:cs="Arial"/>
          <w:szCs w:val="24"/>
        </w:rPr>
        <w:t>post-dat</w:t>
      </w:r>
      <w:r w:rsidR="00796899" w:rsidRPr="00C1087F">
        <w:rPr>
          <w:rFonts w:ascii="Arial" w:hAnsi="Arial" w:cs="Arial"/>
          <w:szCs w:val="24"/>
        </w:rPr>
        <w:t>e</w:t>
      </w:r>
      <w:r w:rsidR="00DB26C5" w:rsidRPr="00C1087F">
        <w:rPr>
          <w:rFonts w:ascii="Arial" w:hAnsi="Arial" w:cs="Arial"/>
          <w:szCs w:val="24"/>
        </w:rPr>
        <w:t xml:space="preserve"> the</w:t>
      </w:r>
      <w:r w:rsidR="003D0DA1" w:rsidRPr="00C1087F">
        <w:rPr>
          <w:rFonts w:ascii="Arial" w:hAnsi="Arial" w:cs="Arial"/>
          <w:szCs w:val="24"/>
        </w:rPr>
        <w:t xml:space="preserve"> </w:t>
      </w:r>
      <w:r w:rsidR="00DB26C5" w:rsidRPr="00C1087F">
        <w:rPr>
          <w:rFonts w:ascii="Arial" w:hAnsi="Arial" w:cs="Arial"/>
          <w:szCs w:val="24"/>
        </w:rPr>
        <w:t>decision notice under appeal</w:t>
      </w:r>
      <w:r w:rsidR="00366BCE" w:rsidRPr="00C1087F">
        <w:rPr>
          <w:rFonts w:ascii="Arial" w:hAnsi="Arial" w:cs="Arial"/>
          <w:szCs w:val="24"/>
        </w:rPr>
        <w:t>. H</w:t>
      </w:r>
      <w:r w:rsidR="008D383D" w:rsidRPr="00C1087F">
        <w:rPr>
          <w:rFonts w:ascii="Arial" w:hAnsi="Arial" w:cs="Arial"/>
          <w:szCs w:val="24"/>
        </w:rPr>
        <w:t xml:space="preserve">e relied on </w:t>
      </w:r>
      <w:r w:rsidR="005D17C6" w:rsidRPr="00C1087F">
        <w:rPr>
          <w:rFonts w:ascii="Arial" w:hAnsi="Arial" w:cs="Arial"/>
          <w:szCs w:val="24"/>
        </w:rPr>
        <w:t>the language of</w:t>
      </w:r>
      <w:r w:rsidR="00141B59" w:rsidRPr="00C1087F">
        <w:rPr>
          <w:rFonts w:ascii="Arial" w:hAnsi="Arial" w:cs="Arial"/>
          <w:szCs w:val="24"/>
        </w:rPr>
        <w:t xml:space="preserve"> </w:t>
      </w:r>
      <w:r w:rsidR="00FC498F" w:rsidRPr="00C1087F">
        <w:rPr>
          <w:rFonts w:ascii="Arial" w:hAnsi="Arial" w:cs="Arial"/>
          <w:szCs w:val="24"/>
        </w:rPr>
        <w:t>s.58</w:t>
      </w:r>
      <w:r w:rsidR="00BC6D0F" w:rsidRPr="00C1087F">
        <w:rPr>
          <w:rFonts w:ascii="Arial" w:hAnsi="Arial" w:cs="Arial"/>
          <w:szCs w:val="24"/>
        </w:rPr>
        <w:t xml:space="preserve"> FOIA</w:t>
      </w:r>
      <w:r w:rsidR="005D17C6" w:rsidRPr="00C1087F">
        <w:rPr>
          <w:rFonts w:ascii="Arial" w:hAnsi="Arial" w:cs="Arial"/>
          <w:szCs w:val="24"/>
        </w:rPr>
        <w:t xml:space="preserve">, read in conjunction with </w:t>
      </w:r>
      <w:r w:rsidR="00165A90" w:rsidRPr="00C1087F">
        <w:rPr>
          <w:rFonts w:ascii="Arial" w:hAnsi="Arial" w:cs="Arial"/>
          <w:szCs w:val="24"/>
        </w:rPr>
        <w:t xml:space="preserve">various </w:t>
      </w:r>
      <w:r w:rsidR="005D17C6" w:rsidRPr="00C1087F">
        <w:rPr>
          <w:rFonts w:ascii="Arial" w:hAnsi="Arial" w:cs="Arial"/>
          <w:szCs w:val="24"/>
        </w:rPr>
        <w:t>Upper Tribunal</w:t>
      </w:r>
      <w:r w:rsidR="00BC6D0F" w:rsidRPr="00C1087F">
        <w:rPr>
          <w:rFonts w:ascii="Arial" w:hAnsi="Arial" w:cs="Arial"/>
          <w:szCs w:val="24"/>
        </w:rPr>
        <w:t xml:space="preserve"> decisions</w:t>
      </w:r>
      <w:r w:rsidR="00165A90" w:rsidRPr="00C1087F">
        <w:rPr>
          <w:rFonts w:ascii="Arial" w:hAnsi="Arial" w:cs="Arial"/>
          <w:szCs w:val="24"/>
        </w:rPr>
        <w:t xml:space="preserve">, </w:t>
      </w:r>
      <w:r w:rsidR="00B15198" w:rsidRPr="00C1087F">
        <w:rPr>
          <w:rFonts w:ascii="Arial" w:hAnsi="Arial" w:cs="Arial"/>
          <w:szCs w:val="24"/>
        </w:rPr>
        <w:t xml:space="preserve">in particular paragraph </w:t>
      </w:r>
      <w:r w:rsidR="00E171C1" w:rsidRPr="00C1087F">
        <w:rPr>
          <w:rFonts w:ascii="Arial" w:hAnsi="Arial" w:cs="Arial"/>
          <w:szCs w:val="24"/>
        </w:rPr>
        <w:t xml:space="preserve">102 of </w:t>
      </w:r>
      <w:bookmarkStart w:id="6" w:name="_Hlk113636621"/>
      <w:r w:rsidR="00E171C1" w:rsidRPr="00C1087F">
        <w:rPr>
          <w:rFonts w:ascii="Arial" w:hAnsi="Arial" w:cs="Arial"/>
          <w:i/>
          <w:iCs/>
          <w:szCs w:val="24"/>
          <w:u w:val="single"/>
        </w:rPr>
        <w:t xml:space="preserve">Information Commissioner v </w:t>
      </w:r>
      <w:proofErr w:type="spellStart"/>
      <w:r w:rsidR="00E171C1" w:rsidRPr="00C1087F">
        <w:rPr>
          <w:rFonts w:ascii="Arial" w:hAnsi="Arial" w:cs="Arial"/>
          <w:i/>
          <w:iCs/>
          <w:szCs w:val="24"/>
          <w:u w:val="single"/>
        </w:rPr>
        <w:t>Malnick</w:t>
      </w:r>
      <w:proofErr w:type="spellEnd"/>
      <w:r w:rsidR="00E171C1" w:rsidRPr="00C1087F">
        <w:rPr>
          <w:rFonts w:ascii="Arial" w:hAnsi="Arial" w:cs="Arial"/>
          <w:i/>
          <w:iCs/>
          <w:szCs w:val="24"/>
        </w:rPr>
        <w:t xml:space="preserve"> </w:t>
      </w:r>
      <w:r w:rsidR="00E171C1" w:rsidRPr="003A394C">
        <w:rPr>
          <w:rFonts w:ascii="Arial" w:hAnsi="Arial" w:cs="Arial"/>
          <w:szCs w:val="24"/>
        </w:rPr>
        <w:t>[</w:t>
      </w:r>
      <w:r w:rsidR="00E171C1" w:rsidRPr="00A37D97">
        <w:rPr>
          <w:rFonts w:ascii="Arial" w:hAnsi="Arial" w:cs="Arial"/>
          <w:szCs w:val="24"/>
        </w:rPr>
        <w:t>2018] UKUT 72 (AAC)</w:t>
      </w:r>
      <w:bookmarkEnd w:id="6"/>
      <w:r w:rsidR="00470DB4" w:rsidRPr="00C1087F">
        <w:rPr>
          <w:rFonts w:ascii="Arial" w:hAnsi="Arial" w:cs="Arial"/>
          <w:szCs w:val="24"/>
        </w:rPr>
        <w:t xml:space="preserve"> </w:t>
      </w:r>
      <w:r w:rsidR="00965F62" w:rsidRPr="00C1087F">
        <w:rPr>
          <w:rFonts w:ascii="Arial" w:hAnsi="Arial" w:cs="Arial"/>
          <w:szCs w:val="24"/>
        </w:rPr>
        <w:t xml:space="preserve">in which a </w:t>
      </w:r>
      <w:r w:rsidR="00973D7B" w:rsidRPr="00C1087F">
        <w:rPr>
          <w:rFonts w:ascii="Arial" w:hAnsi="Arial" w:cs="Arial"/>
          <w:szCs w:val="24"/>
        </w:rPr>
        <w:t>three-judge</w:t>
      </w:r>
      <w:r w:rsidR="00965F62" w:rsidRPr="00C1087F">
        <w:rPr>
          <w:rFonts w:ascii="Arial" w:hAnsi="Arial" w:cs="Arial"/>
          <w:szCs w:val="24"/>
        </w:rPr>
        <w:t xml:space="preserve"> panel</w:t>
      </w:r>
      <w:r w:rsidR="008C37D0" w:rsidRPr="00C1087F">
        <w:rPr>
          <w:rFonts w:ascii="Arial" w:hAnsi="Arial" w:cs="Arial"/>
          <w:szCs w:val="24"/>
        </w:rPr>
        <w:t xml:space="preserve">, </w:t>
      </w:r>
      <w:r w:rsidR="00FC44D9" w:rsidRPr="00C1087F">
        <w:rPr>
          <w:rFonts w:ascii="Arial" w:hAnsi="Arial" w:cs="Arial"/>
          <w:szCs w:val="24"/>
        </w:rPr>
        <w:t>following the Court of Appeal</w:t>
      </w:r>
      <w:r w:rsidR="00D4185F" w:rsidRPr="00C1087F">
        <w:rPr>
          <w:rFonts w:ascii="Arial" w:hAnsi="Arial" w:cs="Arial"/>
          <w:szCs w:val="24"/>
        </w:rPr>
        <w:t xml:space="preserve">’s decision </w:t>
      </w:r>
      <w:r w:rsidR="00FC44D9" w:rsidRPr="00C1087F">
        <w:rPr>
          <w:rFonts w:ascii="Arial" w:hAnsi="Arial" w:cs="Arial"/>
          <w:szCs w:val="24"/>
        </w:rPr>
        <w:t xml:space="preserve"> in </w:t>
      </w:r>
      <w:r w:rsidR="003C6FAF" w:rsidRPr="00C1087F">
        <w:rPr>
          <w:rFonts w:ascii="Arial" w:hAnsi="Arial" w:cs="Arial"/>
          <w:i/>
          <w:iCs/>
          <w:szCs w:val="24"/>
          <w:u w:val="single"/>
        </w:rPr>
        <w:t>Birkett v Department for the Environment, Food and Rural Affairs</w:t>
      </w:r>
      <w:r w:rsidR="003C6FAF" w:rsidRPr="00C1087F">
        <w:rPr>
          <w:rFonts w:ascii="Arial" w:hAnsi="Arial" w:cs="Arial"/>
          <w:i/>
          <w:iCs/>
          <w:szCs w:val="24"/>
        </w:rPr>
        <w:t xml:space="preserve"> </w:t>
      </w:r>
      <w:r w:rsidR="00E17AEA" w:rsidRPr="00A37D97">
        <w:rPr>
          <w:rFonts w:ascii="Arial" w:hAnsi="Arial" w:cs="Arial"/>
          <w:szCs w:val="24"/>
        </w:rPr>
        <w:t>[</w:t>
      </w:r>
      <w:r w:rsidR="00B40A0D" w:rsidRPr="00A37D97">
        <w:rPr>
          <w:rFonts w:ascii="Arial" w:hAnsi="Arial" w:cs="Arial"/>
          <w:szCs w:val="24"/>
        </w:rPr>
        <w:t xml:space="preserve">2011] EWCA Civ 1606, </w:t>
      </w:r>
      <w:r w:rsidR="003C6FAF" w:rsidRPr="00A37D97">
        <w:rPr>
          <w:rFonts w:ascii="Arial" w:hAnsi="Arial" w:cs="Arial"/>
          <w:szCs w:val="24"/>
        </w:rPr>
        <w:t>[2012] AACR 32</w:t>
      </w:r>
      <w:r w:rsidR="00FF6570" w:rsidRPr="00C1087F">
        <w:rPr>
          <w:rFonts w:ascii="Arial" w:hAnsi="Arial" w:cs="Arial"/>
          <w:i/>
          <w:iCs/>
          <w:szCs w:val="24"/>
        </w:rPr>
        <w:t>,</w:t>
      </w:r>
      <w:r w:rsidR="00E171C1" w:rsidRPr="00C1087F">
        <w:rPr>
          <w:rFonts w:ascii="Arial" w:hAnsi="Arial" w:cs="Arial"/>
          <w:i/>
          <w:iCs/>
          <w:szCs w:val="24"/>
        </w:rPr>
        <w:t xml:space="preserve"> </w:t>
      </w:r>
      <w:r w:rsidR="00FC498F" w:rsidRPr="00C1087F">
        <w:rPr>
          <w:rFonts w:ascii="Arial" w:hAnsi="Arial" w:cs="Arial"/>
          <w:szCs w:val="24"/>
        </w:rPr>
        <w:t xml:space="preserve"> </w:t>
      </w:r>
      <w:r w:rsidR="00D4185F" w:rsidRPr="00C1087F">
        <w:rPr>
          <w:rFonts w:ascii="Arial" w:hAnsi="Arial" w:cs="Arial"/>
          <w:szCs w:val="24"/>
        </w:rPr>
        <w:t xml:space="preserve">decided </w:t>
      </w:r>
      <w:r w:rsidR="002424F3" w:rsidRPr="00C1087F">
        <w:rPr>
          <w:rFonts w:ascii="Arial" w:hAnsi="Arial" w:cs="Arial"/>
          <w:szCs w:val="24"/>
        </w:rPr>
        <w:t>that</w:t>
      </w:r>
      <w:r w:rsidR="00470DB4" w:rsidRPr="00C1087F">
        <w:rPr>
          <w:rFonts w:ascii="Arial" w:hAnsi="Arial" w:cs="Arial"/>
          <w:szCs w:val="24"/>
        </w:rPr>
        <w:t>:</w:t>
      </w:r>
    </w:p>
    <w:p w14:paraId="3051A947" w14:textId="78A63E9D" w:rsidR="007C262B" w:rsidRPr="00C1087F" w:rsidRDefault="002424F3" w:rsidP="00DD7117">
      <w:pPr>
        <w:tabs>
          <w:tab w:val="left" w:pos="851"/>
          <w:tab w:val="left" w:pos="5103"/>
        </w:tabs>
        <w:spacing w:after="120" w:line="276" w:lineRule="auto"/>
        <w:ind w:left="851"/>
        <w:jc w:val="both"/>
        <w:rPr>
          <w:rFonts w:ascii="Arial" w:hAnsi="Arial" w:cs="Arial"/>
          <w:b/>
          <w:bCs/>
          <w:szCs w:val="24"/>
        </w:rPr>
      </w:pPr>
      <w:r w:rsidRPr="00C1087F">
        <w:rPr>
          <w:rFonts w:ascii="Arial" w:hAnsi="Arial" w:cs="Arial"/>
          <w:szCs w:val="24"/>
        </w:rPr>
        <w:t>‘</w:t>
      </w:r>
      <w:r w:rsidR="00FE4F97" w:rsidRPr="00C1087F">
        <w:rPr>
          <w:rFonts w:ascii="Arial" w:hAnsi="Arial" w:cs="Arial"/>
          <w:szCs w:val="24"/>
        </w:rPr>
        <w:t>…</w:t>
      </w:r>
      <w:r w:rsidRPr="00C1087F">
        <w:rPr>
          <w:rFonts w:ascii="Arial" w:hAnsi="Arial" w:cs="Arial"/>
          <w:i/>
          <w:iCs/>
          <w:szCs w:val="24"/>
        </w:rPr>
        <w:t xml:space="preserve">there is no limitation on the </w:t>
      </w:r>
      <w:r w:rsidR="00731230" w:rsidRPr="00C1087F">
        <w:rPr>
          <w:rFonts w:ascii="Arial" w:hAnsi="Arial" w:cs="Arial"/>
          <w:i/>
          <w:iCs/>
          <w:szCs w:val="24"/>
        </w:rPr>
        <w:t>issues which the F-</w:t>
      </w:r>
      <w:proofErr w:type="spellStart"/>
      <w:r w:rsidR="00731230" w:rsidRPr="00C1087F">
        <w:rPr>
          <w:rFonts w:ascii="Arial" w:hAnsi="Arial" w:cs="Arial"/>
          <w:i/>
          <w:iCs/>
          <w:szCs w:val="24"/>
        </w:rPr>
        <w:t>tT</w:t>
      </w:r>
      <w:proofErr w:type="spellEnd"/>
      <w:r w:rsidR="00731230" w:rsidRPr="00C1087F">
        <w:rPr>
          <w:rFonts w:ascii="Arial" w:hAnsi="Arial" w:cs="Arial"/>
          <w:i/>
          <w:iCs/>
          <w:szCs w:val="24"/>
        </w:rPr>
        <w:t xml:space="preserve"> can address on appeal, and the focus of its task is the duty of the </w:t>
      </w:r>
      <w:r w:rsidR="00FC44D9" w:rsidRPr="00C1087F">
        <w:rPr>
          <w:rFonts w:ascii="Arial" w:hAnsi="Arial" w:cs="Arial"/>
          <w:i/>
          <w:iCs/>
          <w:szCs w:val="24"/>
        </w:rPr>
        <w:t>public</w:t>
      </w:r>
      <w:r w:rsidR="00731230" w:rsidRPr="00C1087F">
        <w:rPr>
          <w:rFonts w:ascii="Arial" w:hAnsi="Arial" w:cs="Arial"/>
          <w:i/>
          <w:iCs/>
          <w:szCs w:val="24"/>
        </w:rPr>
        <w:t xml:space="preserve"> auth</w:t>
      </w:r>
      <w:r w:rsidR="00C000E2" w:rsidRPr="00C1087F">
        <w:rPr>
          <w:rFonts w:ascii="Arial" w:hAnsi="Arial" w:cs="Arial"/>
          <w:i/>
          <w:iCs/>
          <w:szCs w:val="24"/>
        </w:rPr>
        <w:t xml:space="preserve">ority’. </w:t>
      </w:r>
    </w:p>
    <w:p w14:paraId="20FCA6A6" w14:textId="6FA7A30D" w:rsidR="00EC1F14" w:rsidRPr="00C1087F" w:rsidRDefault="001D63CB"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The Commissioner</w:t>
      </w:r>
      <w:r w:rsidR="00526B91" w:rsidRPr="00C1087F">
        <w:rPr>
          <w:rFonts w:ascii="Arial" w:hAnsi="Arial" w:cs="Arial"/>
          <w:szCs w:val="24"/>
        </w:rPr>
        <w:t xml:space="preserve"> </w:t>
      </w:r>
      <w:r w:rsidR="00A167C2" w:rsidRPr="00C1087F">
        <w:rPr>
          <w:rFonts w:ascii="Arial" w:hAnsi="Arial" w:cs="Arial"/>
          <w:szCs w:val="24"/>
        </w:rPr>
        <w:t>disagreed</w:t>
      </w:r>
      <w:r w:rsidR="00211A02" w:rsidRPr="00C1087F">
        <w:rPr>
          <w:rFonts w:ascii="Arial" w:hAnsi="Arial" w:cs="Arial"/>
          <w:szCs w:val="24"/>
        </w:rPr>
        <w:t xml:space="preserve"> with the Appellant</w:t>
      </w:r>
      <w:r w:rsidR="000E2248" w:rsidRPr="00C1087F">
        <w:rPr>
          <w:rFonts w:ascii="Arial" w:hAnsi="Arial" w:cs="Arial"/>
          <w:szCs w:val="24"/>
        </w:rPr>
        <w:t xml:space="preserve">. </w:t>
      </w:r>
      <w:r w:rsidR="00326EB0" w:rsidRPr="00C1087F">
        <w:rPr>
          <w:rFonts w:ascii="Arial" w:hAnsi="Arial" w:cs="Arial"/>
          <w:szCs w:val="24"/>
        </w:rPr>
        <w:t>H</w:t>
      </w:r>
      <w:r w:rsidR="00211A02" w:rsidRPr="00C1087F">
        <w:rPr>
          <w:rFonts w:ascii="Arial" w:hAnsi="Arial" w:cs="Arial"/>
          <w:szCs w:val="24"/>
        </w:rPr>
        <w:t xml:space="preserve">is case, in essence, was </w:t>
      </w:r>
      <w:r w:rsidR="000E2248" w:rsidRPr="00C1087F">
        <w:rPr>
          <w:rFonts w:ascii="Arial" w:hAnsi="Arial" w:cs="Arial"/>
          <w:szCs w:val="24"/>
        </w:rPr>
        <w:t>that</w:t>
      </w:r>
      <w:r w:rsidR="00EC1F14" w:rsidRPr="00C1087F">
        <w:rPr>
          <w:rFonts w:ascii="Arial" w:hAnsi="Arial" w:cs="Arial"/>
          <w:szCs w:val="24"/>
        </w:rPr>
        <w:t xml:space="preserve"> the FTT </w:t>
      </w:r>
      <w:r w:rsidR="00F20D3F" w:rsidRPr="00C1087F">
        <w:rPr>
          <w:rFonts w:ascii="Arial" w:hAnsi="Arial" w:cs="Arial"/>
          <w:szCs w:val="24"/>
        </w:rPr>
        <w:t xml:space="preserve">does not have jurisdiction to consider new issues that </w:t>
      </w:r>
      <w:r w:rsidR="004F0A4C" w:rsidRPr="00C1087F">
        <w:rPr>
          <w:rFonts w:ascii="Arial" w:hAnsi="Arial" w:cs="Arial"/>
          <w:szCs w:val="24"/>
        </w:rPr>
        <w:t>are different to</w:t>
      </w:r>
      <w:r w:rsidR="00F20D3F" w:rsidRPr="00C1087F">
        <w:rPr>
          <w:rFonts w:ascii="Arial" w:hAnsi="Arial" w:cs="Arial"/>
          <w:szCs w:val="24"/>
        </w:rPr>
        <w:t xml:space="preserve"> </w:t>
      </w:r>
      <w:r w:rsidR="00F465B0" w:rsidRPr="00C1087F">
        <w:rPr>
          <w:rFonts w:ascii="Arial" w:hAnsi="Arial" w:cs="Arial"/>
          <w:szCs w:val="24"/>
        </w:rPr>
        <w:t xml:space="preserve">the issues </w:t>
      </w:r>
      <w:r w:rsidR="00955DBF" w:rsidRPr="00C1087F">
        <w:rPr>
          <w:rFonts w:ascii="Arial" w:hAnsi="Arial" w:cs="Arial"/>
          <w:szCs w:val="24"/>
        </w:rPr>
        <w:t xml:space="preserve">the </w:t>
      </w:r>
      <w:r w:rsidR="00326EB0" w:rsidRPr="00C1087F">
        <w:rPr>
          <w:rFonts w:ascii="Arial" w:hAnsi="Arial" w:cs="Arial"/>
          <w:szCs w:val="24"/>
        </w:rPr>
        <w:t xml:space="preserve">Commissioner </w:t>
      </w:r>
      <w:r w:rsidR="00955DBF" w:rsidRPr="00C1087F">
        <w:rPr>
          <w:rFonts w:ascii="Arial" w:hAnsi="Arial" w:cs="Arial"/>
          <w:szCs w:val="24"/>
        </w:rPr>
        <w:t xml:space="preserve">considered </w:t>
      </w:r>
      <w:r w:rsidR="00326EB0" w:rsidRPr="00C1087F">
        <w:rPr>
          <w:rFonts w:ascii="Arial" w:hAnsi="Arial" w:cs="Arial"/>
          <w:szCs w:val="24"/>
        </w:rPr>
        <w:t xml:space="preserve">in </w:t>
      </w:r>
      <w:r w:rsidR="00F20D3F" w:rsidRPr="00C1087F">
        <w:rPr>
          <w:rFonts w:ascii="Arial" w:hAnsi="Arial" w:cs="Arial"/>
          <w:szCs w:val="24"/>
        </w:rPr>
        <w:t xml:space="preserve">the </w:t>
      </w:r>
      <w:r w:rsidR="00EC1F14" w:rsidRPr="00C1087F">
        <w:rPr>
          <w:rFonts w:ascii="Arial" w:hAnsi="Arial" w:cs="Arial"/>
          <w:szCs w:val="24"/>
        </w:rPr>
        <w:t xml:space="preserve">decision notice </w:t>
      </w:r>
      <w:r w:rsidR="00F465B0" w:rsidRPr="00C1087F">
        <w:rPr>
          <w:rFonts w:ascii="Arial" w:hAnsi="Arial" w:cs="Arial"/>
          <w:szCs w:val="24"/>
        </w:rPr>
        <w:t xml:space="preserve">being </w:t>
      </w:r>
      <w:r w:rsidR="004F0A4C" w:rsidRPr="00C1087F">
        <w:rPr>
          <w:rFonts w:ascii="Arial" w:hAnsi="Arial" w:cs="Arial"/>
          <w:szCs w:val="24"/>
        </w:rPr>
        <w:t>appealed</w:t>
      </w:r>
      <w:r w:rsidR="00EC1F14" w:rsidRPr="00C1087F">
        <w:rPr>
          <w:rFonts w:ascii="Arial" w:hAnsi="Arial" w:cs="Arial"/>
          <w:szCs w:val="24"/>
        </w:rPr>
        <w:t>.</w:t>
      </w:r>
    </w:p>
    <w:p w14:paraId="1CB1E829" w14:textId="00FCA555" w:rsidR="00440914" w:rsidRPr="00C1087F" w:rsidRDefault="001402A5"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The </w:t>
      </w:r>
      <w:r w:rsidR="00070629" w:rsidRPr="00C1087F">
        <w:rPr>
          <w:rFonts w:ascii="Arial" w:hAnsi="Arial" w:cs="Arial"/>
          <w:szCs w:val="24"/>
        </w:rPr>
        <w:t xml:space="preserve">FTT </w:t>
      </w:r>
      <w:r w:rsidR="00440914" w:rsidRPr="00C1087F">
        <w:rPr>
          <w:rFonts w:ascii="Arial" w:hAnsi="Arial" w:cs="Arial"/>
          <w:szCs w:val="24"/>
        </w:rPr>
        <w:t xml:space="preserve">agreed with the Commissioner, having </w:t>
      </w:r>
      <w:r w:rsidR="00786AB3" w:rsidRPr="00C1087F">
        <w:rPr>
          <w:rFonts w:ascii="Arial" w:hAnsi="Arial" w:cs="Arial"/>
          <w:szCs w:val="24"/>
        </w:rPr>
        <w:t xml:space="preserve">reviewed </w:t>
      </w:r>
      <w:r w:rsidR="00440914" w:rsidRPr="00C1087F">
        <w:rPr>
          <w:rFonts w:ascii="Arial" w:hAnsi="Arial" w:cs="Arial"/>
          <w:szCs w:val="24"/>
        </w:rPr>
        <w:t xml:space="preserve">both the language of FOIA </w:t>
      </w:r>
      <w:r w:rsidR="00296D9B" w:rsidRPr="00C1087F">
        <w:rPr>
          <w:rFonts w:ascii="Arial" w:hAnsi="Arial" w:cs="Arial"/>
          <w:szCs w:val="24"/>
        </w:rPr>
        <w:t>and a</w:t>
      </w:r>
      <w:r w:rsidR="0036074E" w:rsidRPr="00C1087F">
        <w:rPr>
          <w:rFonts w:ascii="Arial" w:hAnsi="Arial" w:cs="Arial"/>
          <w:szCs w:val="24"/>
        </w:rPr>
        <w:t xml:space="preserve"> number of </w:t>
      </w:r>
      <w:r w:rsidR="00440914" w:rsidRPr="00C1087F">
        <w:rPr>
          <w:rFonts w:ascii="Arial" w:hAnsi="Arial" w:cs="Arial"/>
          <w:szCs w:val="24"/>
        </w:rPr>
        <w:t>Upper Tribunal decisions</w:t>
      </w:r>
      <w:r w:rsidR="00326EB0" w:rsidRPr="00C1087F">
        <w:rPr>
          <w:rFonts w:ascii="Arial" w:hAnsi="Arial" w:cs="Arial"/>
          <w:szCs w:val="24"/>
        </w:rPr>
        <w:t xml:space="preserve"> to which the Appellant directed</w:t>
      </w:r>
      <w:r w:rsidR="0036074E" w:rsidRPr="00C1087F">
        <w:rPr>
          <w:rFonts w:ascii="Arial" w:hAnsi="Arial" w:cs="Arial"/>
          <w:szCs w:val="24"/>
        </w:rPr>
        <w:t xml:space="preserve"> the </w:t>
      </w:r>
      <w:r w:rsidR="00D93F35">
        <w:rPr>
          <w:rFonts w:ascii="Arial" w:hAnsi="Arial" w:cs="Arial"/>
          <w:szCs w:val="24"/>
        </w:rPr>
        <w:t>tribunal</w:t>
      </w:r>
      <w:r w:rsidR="00440914" w:rsidRPr="00C1087F">
        <w:rPr>
          <w:rFonts w:ascii="Arial" w:hAnsi="Arial" w:cs="Arial"/>
          <w:szCs w:val="24"/>
        </w:rPr>
        <w:t xml:space="preserve">. </w:t>
      </w:r>
      <w:r w:rsidR="002E6B10" w:rsidRPr="00C1087F">
        <w:rPr>
          <w:rFonts w:ascii="Arial" w:hAnsi="Arial" w:cs="Arial"/>
          <w:szCs w:val="24"/>
        </w:rPr>
        <w:t xml:space="preserve">The FTT </w:t>
      </w:r>
      <w:r w:rsidR="00070629" w:rsidRPr="00C1087F">
        <w:rPr>
          <w:rFonts w:ascii="Arial" w:hAnsi="Arial" w:cs="Arial"/>
          <w:szCs w:val="24"/>
        </w:rPr>
        <w:t>decided</w:t>
      </w:r>
      <w:r w:rsidR="00440914" w:rsidRPr="00C1087F">
        <w:rPr>
          <w:rFonts w:ascii="Arial" w:hAnsi="Arial" w:cs="Arial"/>
          <w:szCs w:val="24"/>
        </w:rPr>
        <w:t>:</w:t>
      </w:r>
    </w:p>
    <w:p w14:paraId="526CF0A6" w14:textId="682C212F" w:rsidR="00BF557A" w:rsidRPr="00C1087F" w:rsidRDefault="005A2B09" w:rsidP="00DD7117">
      <w:pPr>
        <w:tabs>
          <w:tab w:val="left" w:pos="1134"/>
          <w:tab w:val="left" w:pos="5103"/>
        </w:tabs>
        <w:spacing w:after="120" w:line="276" w:lineRule="auto"/>
        <w:ind w:left="851"/>
        <w:jc w:val="both"/>
        <w:rPr>
          <w:rFonts w:ascii="Arial" w:hAnsi="Arial" w:cs="Arial"/>
          <w:i/>
          <w:iCs/>
          <w:szCs w:val="24"/>
        </w:rPr>
      </w:pPr>
      <w:r>
        <w:rPr>
          <w:rFonts w:ascii="Arial" w:hAnsi="Arial" w:cs="Arial"/>
          <w:i/>
          <w:iCs/>
          <w:szCs w:val="24"/>
        </w:rPr>
        <w:t>“</w:t>
      </w:r>
      <w:r w:rsidR="0023546B" w:rsidRPr="00C1087F">
        <w:rPr>
          <w:rFonts w:ascii="Arial" w:hAnsi="Arial" w:cs="Arial"/>
          <w:i/>
          <w:iCs/>
          <w:szCs w:val="24"/>
        </w:rPr>
        <w:t>[24] Unhindered by authority, it seems to the Tribunal that the wording o</w:t>
      </w:r>
      <w:r w:rsidR="0054695F" w:rsidRPr="00C1087F">
        <w:rPr>
          <w:rFonts w:ascii="Arial" w:hAnsi="Arial" w:cs="Arial"/>
          <w:i/>
          <w:iCs/>
          <w:szCs w:val="24"/>
        </w:rPr>
        <w:t>f</w:t>
      </w:r>
      <w:r w:rsidR="0023546B" w:rsidRPr="00C1087F">
        <w:rPr>
          <w:rFonts w:ascii="Arial" w:hAnsi="Arial" w:cs="Arial"/>
          <w:i/>
          <w:iCs/>
          <w:szCs w:val="24"/>
        </w:rPr>
        <w:t xml:space="preserve"> sections 57 and 58 FOIA are clear about the extent of the Tribunal’s powers</w:t>
      </w:r>
      <w:r w:rsidR="003043F7" w:rsidRPr="00C1087F">
        <w:rPr>
          <w:rFonts w:ascii="Arial" w:hAnsi="Arial" w:cs="Arial"/>
          <w:i/>
          <w:iCs/>
          <w:szCs w:val="24"/>
        </w:rPr>
        <w:t xml:space="preserve"> in an ‘appeal to the Tribunal against the notice’. It seems clear to us that i</w:t>
      </w:r>
      <w:r w:rsidR="0054695F" w:rsidRPr="00C1087F">
        <w:rPr>
          <w:rFonts w:ascii="Arial" w:hAnsi="Arial" w:cs="Arial"/>
          <w:i/>
          <w:iCs/>
          <w:szCs w:val="24"/>
        </w:rPr>
        <w:t>f</w:t>
      </w:r>
      <w:r w:rsidR="003043F7" w:rsidRPr="00C1087F">
        <w:rPr>
          <w:rFonts w:ascii="Arial" w:hAnsi="Arial" w:cs="Arial"/>
          <w:i/>
          <w:iCs/>
          <w:szCs w:val="24"/>
        </w:rPr>
        <w:t xml:space="preserve"> an issue was not one which could have been considered by the Commissioner in </w:t>
      </w:r>
      <w:r w:rsidR="003043F7" w:rsidRPr="00C1087F">
        <w:rPr>
          <w:rFonts w:ascii="Arial" w:hAnsi="Arial" w:cs="Arial"/>
          <w:i/>
          <w:iCs/>
          <w:szCs w:val="24"/>
        </w:rPr>
        <w:lastRenderedPageBreak/>
        <w:t xml:space="preserve">the </w:t>
      </w:r>
      <w:r w:rsidR="00BF557A" w:rsidRPr="00C1087F">
        <w:rPr>
          <w:rFonts w:ascii="Arial" w:hAnsi="Arial" w:cs="Arial"/>
          <w:i/>
          <w:iCs/>
          <w:szCs w:val="24"/>
        </w:rPr>
        <w:t>decision notice then it is not one which can be appealed against to the Tribunal.</w:t>
      </w:r>
    </w:p>
    <w:p w14:paraId="0EC6C70F" w14:textId="558FD318" w:rsidR="00FF5F4A" w:rsidRPr="00C1087F" w:rsidRDefault="00FF5F4A" w:rsidP="00DD7117">
      <w:pPr>
        <w:tabs>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 xml:space="preserve">[25] Thus, in the context of this case, that would mean that the Appellant </w:t>
      </w:r>
      <w:r w:rsidR="00116403" w:rsidRPr="00C1087F">
        <w:rPr>
          <w:rFonts w:ascii="Arial" w:hAnsi="Arial" w:cs="Arial"/>
          <w:i/>
          <w:iCs/>
          <w:szCs w:val="24"/>
        </w:rPr>
        <w:t>could appeal against the failure of the Comm</w:t>
      </w:r>
      <w:r w:rsidR="00323EA2" w:rsidRPr="00C1087F">
        <w:rPr>
          <w:rFonts w:ascii="Arial" w:hAnsi="Arial" w:cs="Arial"/>
          <w:i/>
          <w:iCs/>
          <w:szCs w:val="24"/>
        </w:rPr>
        <w:t>i</w:t>
      </w:r>
      <w:r w:rsidR="00116403" w:rsidRPr="00C1087F">
        <w:rPr>
          <w:rFonts w:ascii="Arial" w:hAnsi="Arial" w:cs="Arial"/>
          <w:i/>
          <w:iCs/>
          <w:szCs w:val="24"/>
        </w:rPr>
        <w:t>ssioner to consider all th</w:t>
      </w:r>
      <w:r w:rsidR="00323EA2" w:rsidRPr="00C1087F">
        <w:rPr>
          <w:rFonts w:ascii="Arial" w:hAnsi="Arial" w:cs="Arial"/>
          <w:i/>
          <w:iCs/>
          <w:szCs w:val="24"/>
        </w:rPr>
        <w:t>e</w:t>
      </w:r>
      <w:r w:rsidR="00116403" w:rsidRPr="00C1087F">
        <w:rPr>
          <w:rFonts w:ascii="Arial" w:hAnsi="Arial" w:cs="Arial"/>
          <w:i/>
          <w:iCs/>
          <w:szCs w:val="24"/>
        </w:rPr>
        <w:t xml:space="preserve"> requests </w:t>
      </w:r>
      <w:r w:rsidR="00323EA2" w:rsidRPr="00C1087F">
        <w:rPr>
          <w:rFonts w:ascii="Arial" w:hAnsi="Arial" w:cs="Arial"/>
          <w:i/>
          <w:iCs/>
          <w:szCs w:val="24"/>
        </w:rPr>
        <w:t>in</w:t>
      </w:r>
      <w:r w:rsidR="00116403" w:rsidRPr="00C1087F">
        <w:rPr>
          <w:rFonts w:ascii="Arial" w:hAnsi="Arial" w:cs="Arial"/>
          <w:i/>
          <w:iCs/>
          <w:szCs w:val="24"/>
        </w:rPr>
        <w:t xml:space="preserve"> the decision notice. But the Appell</w:t>
      </w:r>
      <w:r w:rsidR="00323EA2" w:rsidRPr="00C1087F">
        <w:rPr>
          <w:rFonts w:ascii="Arial" w:hAnsi="Arial" w:cs="Arial"/>
          <w:i/>
          <w:iCs/>
          <w:szCs w:val="24"/>
        </w:rPr>
        <w:t>a</w:t>
      </w:r>
      <w:r w:rsidR="00116403" w:rsidRPr="00C1087F">
        <w:rPr>
          <w:rFonts w:ascii="Arial" w:hAnsi="Arial" w:cs="Arial"/>
          <w:i/>
          <w:iCs/>
          <w:szCs w:val="24"/>
        </w:rPr>
        <w:t>nt could not appeal against the contents of the responses subsequently made to th</w:t>
      </w:r>
      <w:r w:rsidR="005E6F02" w:rsidRPr="00C1087F">
        <w:rPr>
          <w:rFonts w:ascii="Arial" w:hAnsi="Arial" w:cs="Arial"/>
          <w:i/>
          <w:iCs/>
          <w:szCs w:val="24"/>
        </w:rPr>
        <w:t>ose additional requests, because that was simply not an issue that was or could have been before the Commissioner when she prepared the decision notice.</w:t>
      </w:r>
    </w:p>
    <w:p w14:paraId="09A22CE5" w14:textId="78741040" w:rsidR="00397E49" w:rsidRPr="00C1087F" w:rsidRDefault="00397E49" w:rsidP="00DD7117">
      <w:pPr>
        <w:tabs>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w:t>
      </w:r>
    </w:p>
    <w:p w14:paraId="7CD30F55" w14:textId="57C9EEB7" w:rsidR="00397E49" w:rsidRPr="00C1087F" w:rsidRDefault="007E2FF0" w:rsidP="000614B0">
      <w:pPr>
        <w:tabs>
          <w:tab w:val="left" w:pos="851"/>
        </w:tabs>
        <w:spacing w:after="120" w:line="276" w:lineRule="auto"/>
        <w:ind w:left="851"/>
        <w:jc w:val="both"/>
        <w:rPr>
          <w:rFonts w:ascii="Arial" w:hAnsi="Arial" w:cs="Arial"/>
          <w:i/>
          <w:iCs/>
          <w:szCs w:val="24"/>
        </w:rPr>
      </w:pPr>
      <w:r w:rsidRPr="00C1087F">
        <w:rPr>
          <w:rFonts w:ascii="Arial" w:hAnsi="Arial" w:cs="Arial"/>
          <w:i/>
          <w:iCs/>
          <w:szCs w:val="24"/>
        </w:rPr>
        <w:t>[39]</w:t>
      </w:r>
      <w:r w:rsidR="00FC7553" w:rsidRPr="00C1087F">
        <w:rPr>
          <w:rFonts w:ascii="Arial" w:hAnsi="Arial" w:cs="Arial"/>
          <w:i/>
          <w:iCs/>
          <w:szCs w:val="24"/>
        </w:rPr>
        <w:t xml:space="preserve">… it seems to us that the </w:t>
      </w:r>
      <w:r w:rsidR="00D5484D" w:rsidRPr="00C1087F">
        <w:rPr>
          <w:rFonts w:ascii="Arial" w:hAnsi="Arial" w:cs="Arial"/>
          <w:i/>
          <w:iCs/>
          <w:szCs w:val="24"/>
        </w:rPr>
        <w:t>Appellant</w:t>
      </w:r>
      <w:r w:rsidR="00FC7553" w:rsidRPr="00C1087F">
        <w:rPr>
          <w:rFonts w:ascii="Arial" w:hAnsi="Arial" w:cs="Arial"/>
          <w:i/>
          <w:iCs/>
          <w:szCs w:val="24"/>
        </w:rPr>
        <w:t xml:space="preserve"> has misinterpreted the casela</w:t>
      </w:r>
      <w:r w:rsidR="00D5484D" w:rsidRPr="00C1087F">
        <w:rPr>
          <w:rFonts w:ascii="Arial" w:hAnsi="Arial" w:cs="Arial"/>
          <w:i/>
          <w:iCs/>
          <w:szCs w:val="24"/>
        </w:rPr>
        <w:t>w</w:t>
      </w:r>
      <w:r w:rsidR="00FC7553" w:rsidRPr="00C1087F">
        <w:rPr>
          <w:rFonts w:ascii="Arial" w:hAnsi="Arial" w:cs="Arial"/>
          <w:i/>
          <w:iCs/>
          <w:szCs w:val="24"/>
        </w:rPr>
        <w:t xml:space="preserve"> to m</w:t>
      </w:r>
      <w:r w:rsidR="00D5484D" w:rsidRPr="00C1087F">
        <w:rPr>
          <w:rFonts w:ascii="Arial" w:hAnsi="Arial" w:cs="Arial"/>
          <w:i/>
          <w:iCs/>
          <w:szCs w:val="24"/>
        </w:rPr>
        <w:t>e</w:t>
      </w:r>
      <w:r w:rsidR="00FC7553" w:rsidRPr="00C1087F">
        <w:rPr>
          <w:rFonts w:ascii="Arial" w:hAnsi="Arial" w:cs="Arial"/>
          <w:i/>
          <w:iCs/>
          <w:szCs w:val="24"/>
        </w:rPr>
        <w:t xml:space="preserve">an that there is literally ‘no limitation’ as to what the Tribunal can consider </w:t>
      </w:r>
      <w:r w:rsidR="00A912F3" w:rsidRPr="00C1087F">
        <w:rPr>
          <w:rFonts w:ascii="Arial" w:hAnsi="Arial" w:cs="Arial"/>
          <w:i/>
          <w:iCs/>
          <w:szCs w:val="24"/>
        </w:rPr>
        <w:t xml:space="preserve">on appeal… He has not recognised that the role of </w:t>
      </w:r>
      <w:r w:rsidR="00787E72" w:rsidRPr="00C1087F">
        <w:rPr>
          <w:rFonts w:ascii="Arial" w:hAnsi="Arial" w:cs="Arial"/>
          <w:i/>
          <w:iCs/>
          <w:szCs w:val="24"/>
        </w:rPr>
        <w:t>the</w:t>
      </w:r>
      <w:r w:rsidR="00A912F3" w:rsidRPr="00C1087F">
        <w:rPr>
          <w:rFonts w:ascii="Arial" w:hAnsi="Arial" w:cs="Arial"/>
          <w:i/>
          <w:iCs/>
          <w:szCs w:val="24"/>
        </w:rPr>
        <w:t xml:space="preserve"> </w:t>
      </w:r>
      <w:r w:rsidR="00D5484D" w:rsidRPr="00C1087F">
        <w:rPr>
          <w:rFonts w:ascii="Arial" w:hAnsi="Arial" w:cs="Arial"/>
          <w:i/>
          <w:iCs/>
          <w:szCs w:val="24"/>
        </w:rPr>
        <w:t>Tribunal</w:t>
      </w:r>
      <w:r w:rsidR="00A912F3" w:rsidRPr="00C1087F">
        <w:rPr>
          <w:rFonts w:ascii="Arial" w:hAnsi="Arial" w:cs="Arial"/>
          <w:i/>
          <w:iCs/>
          <w:szCs w:val="24"/>
        </w:rPr>
        <w:t xml:space="preserve"> is to stand in the shoes </w:t>
      </w:r>
      <w:r w:rsidR="00D5484D" w:rsidRPr="00C1087F">
        <w:rPr>
          <w:rFonts w:ascii="Arial" w:hAnsi="Arial" w:cs="Arial"/>
          <w:i/>
          <w:iCs/>
          <w:szCs w:val="24"/>
        </w:rPr>
        <w:t xml:space="preserve">of the </w:t>
      </w:r>
      <w:r w:rsidR="00A912F3" w:rsidRPr="00C1087F">
        <w:rPr>
          <w:rFonts w:ascii="Arial" w:hAnsi="Arial" w:cs="Arial"/>
          <w:i/>
          <w:iCs/>
          <w:szCs w:val="24"/>
        </w:rPr>
        <w:t xml:space="preserve">Commissioner to </w:t>
      </w:r>
      <w:r w:rsidR="00397E49" w:rsidRPr="00C1087F">
        <w:rPr>
          <w:rFonts w:ascii="Arial" w:hAnsi="Arial" w:cs="Arial"/>
          <w:i/>
          <w:iCs/>
          <w:szCs w:val="24"/>
        </w:rPr>
        <w:t>re-</w:t>
      </w:r>
      <w:r w:rsidR="00AA636F" w:rsidRPr="00C1087F">
        <w:rPr>
          <w:rFonts w:ascii="Arial" w:hAnsi="Arial" w:cs="Arial"/>
          <w:i/>
          <w:iCs/>
          <w:szCs w:val="24"/>
        </w:rPr>
        <w:t>consider that decision actually made (and substitute a decision notice that could have been made), but not to make new decisions which were not considered by the Commissioner at all</w:t>
      </w:r>
      <w:r w:rsidR="001825AB" w:rsidRPr="00C1087F">
        <w:rPr>
          <w:rFonts w:ascii="Arial" w:hAnsi="Arial" w:cs="Arial"/>
          <w:i/>
          <w:iCs/>
          <w:szCs w:val="24"/>
        </w:rPr>
        <w:t>. The Appellant does not recognise that the appeal must be ‘against the notice’ issued by the Commissioner</w:t>
      </w:r>
      <w:r w:rsidR="00334420" w:rsidRPr="00C1087F">
        <w:rPr>
          <w:rFonts w:ascii="Arial" w:hAnsi="Arial" w:cs="Arial"/>
          <w:i/>
          <w:iCs/>
          <w:szCs w:val="24"/>
        </w:rPr>
        <w:t>.</w:t>
      </w:r>
    </w:p>
    <w:p w14:paraId="58409364" w14:textId="78D7D485" w:rsidR="00440914" w:rsidRPr="00C1087F" w:rsidRDefault="00334420" w:rsidP="00DD7117">
      <w:pPr>
        <w:tabs>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 xml:space="preserve">[40] As the Commissioner says, it is not possible to appeal against any decision by the </w:t>
      </w:r>
      <w:r w:rsidR="000A0843" w:rsidRPr="00C1087F">
        <w:rPr>
          <w:rFonts w:ascii="Arial" w:hAnsi="Arial" w:cs="Arial"/>
          <w:i/>
          <w:iCs/>
          <w:szCs w:val="24"/>
        </w:rPr>
        <w:t>Commissioner</w:t>
      </w:r>
      <w:r w:rsidRPr="00C1087F">
        <w:rPr>
          <w:rFonts w:ascii="Arial" w:hAnsi="Arial" w:cs="Arial"/>
          <w:i/>
          <w:iCs/>
          <w:szCs w:val="24"/>
        </w:rPr>
        <w:t xml:space="preserve"> as to what information to disclose, </w:t>
      </w:r>
      <w:r w:rsidR="00EB52A9" w:rsidRPr="00C1087F">
        <w:rPr>
          <w:rFonts w:ascii="Arial" w:hAnsi="Arial" w:cs="Arial"/>
          <w:i/>
          <w:iCs/>
          <w:szCs w:val="24"/>
        </w:rPr>
        <w:t xml:space="preserve">because she has never made that decision; only the ICO has, in its capacity as a public body </w:t>
      </w:r>
      <w:r w:rsidR="002570AE" w:rsidRPr="00C1087F">
        <w:rPr>
          <w:rFonts w:ascii="Arial" w:hAnsi="Arial" w:cs="Arial"/>
          <w:i/>
          <w:iCs/>
          <w:szCs w:val="24"/>
        </w:rPr>
        <w:t xml:space="preserve">that is subject to FOIA. The </w:t>
      </w:r>
      <w:r w:rsidR="000A0843" w:rsidRPr="00C1087F">
        <w:rPr>
          <w:rFonts w:ascii="Arial" w:hAnsi="Arial" w:cs="Arial"/>
          <w:i/>
          <w:iCs/>
          <w:szCs w:val="24"/>
        </w:rPr>
        <w:t>Commissioner</w:t>
      </w:r>
      <w:r w:rsidR="002570AE" w:rsidRPr="00C1087F">
        <w:rPr>
          <w:rFonts w:ascii="Arial" w:hAnsi="Arial" w:cs="Arial"/>
          <w:i/>
          <w:iCs/>
          <w:szCs w:val="24"/>
        </w:rPr>
        <w:t xml:space="preserve"> has not </w:t>
      </w:r>
      <w:r w:rsidR="000A0843" w:rsidRPr="00C1087F">
        <w:rPr>
          <w:rFonts w:ascii="Arial" w:hAnsi="Arial" w:cs="Arial"/>
          <w:i/>
          <w:iCs/>
          <w:szCs w:val="24"/>
        </w:rPr>
        <w:t>(</w:t>
      </w:r>
      <w:r w:rsidR="002570AE" w:rsidRPr="00C1087F">
        <w:rPr>
          <w:rFonts w:ascii="Arial" w:hAnsi="Arial" w:cs="Arial"/>
          <w:i/>
          <w:iCs/>
          <w:szCs w:val="24"/>
        </w:rPr>
        <w:t>yet</w:t>
      </w:r>
      <w:r w:rsidR="000A0843" w:rsidRPr="00C1087F">
        <w:rPr>
          <w:rFonts w:ascii="Arial" w:hAnsi="Arial" w:cs="Arial"/>
          <w:i/>
          <w:iCs/>
          <w:szCs w:val="24"/>
        </w:rPr>
        <w:t>)</w:t>
      </w:r>
      <w:r w:rsidR="002570AE" w:rsidRPr="00C1087F">
        <w:rPr>
          <w:rFonts w:ascii="Arial" w:hAnsi="Arial" w:cs="Arial"/>
          <w:i/>
          <w:iCs/>
          <w:szCs w:val="24"/>
        </w:rPr>
        <w:t xml:space="preserve"> reviewed that decision of the ICO, and only after such a review (and such a decision under s.50(4) FOIA)</w:t>
      </w:r>
      <w:r w:rsidR="00D5484D" w:rsidRPr="00C1087F">
        <w:rPr>
          <w:rFonts w:ascii="Arial" w:hAnsi="Arial" w:cs="Arial"/>
          <w:i/>
          <w:iCs/>
          <w:szCs w:val="24"/>
        </w:rPr>
        <w:t xml:space="preserve"> would section 57 FOIA allow for an appeal.</w:t>
      </w:r>
      <w:r w:rsidR="005A2B09">
        <w:rPr>
          <w:rFonts w:ascii="Arial" w:hAnsi="Arial" w:cs="Arial"/>
          <w:i/>
          <w:iCs/>
          <w:szCs w:val="24"/>
        </w:rPr>
        <w:t>”</w:t>
      </w:r>
    </w:p>
    <w:p w14:paraId="074677AD" w14:textId="450BF239" w:rsidR="00D42B39" w:rsidRPr="00C1087F" w:rsidRDefault="006B1E9D"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The FTT </w:t>
      </w:r>
      <w:r w:rsidR="004603EB" w:rsidRPr="00C1087F">
        <w:rPr>
          <w:rFonts w:ascii="Arial" w:hAnsi="Arial" w:cs="Arial"/>
          <w:szCs w:val="24"/>
        </w:rPr>
        <w:t xml:space="preserve">therefore </w:t>
      </w:r>
      <w:r w:rsidR="00944350" w:rsidRPr="00C1087F">
        <w:rPr>
          <w:rFonts w:ascii="Arial" w:hAnsi="Arial" w:cs="Arial"/>
          <w:szCs w:val="24"/>
        </w:rPr>
        <w:t>determined</w:t>
      </w:r>
      <w:r w:rsidR="00143B37" w:rsidRPr="00C1087F">
        <w:rPr>
          <w:rFonts w:ascii="Arial" w:hAnsi="Arial" w:cs="Arial"/>
          <w:szCs w:val="24"/>
        </w:rPr>
        <w:t>,</w:t>
      </w:r>
      <w:r w:rsidR="00944350" w:rsidRPr="00C1087F">
        <w:rPr>
          <w:rFonts w:ascii="Arial" w:hAnsi="Arial" w:cs="Arial"/>
          <w:szCs w:val="24"/>
        </w:rPr>
        <w:t xml:space="preserve"> </w:t>
      </w:r>
      <w:r w:rsidR="00EB542F" w:rsidRPr="00C1087F">
        <w:rPr>
          <w:rFonts w:ascii="Arial" w:hAnsi="Arial" w:cs="Arial"/>
          <w:szCs w:val="24"/>
        </w:rPr>
        <w:t>a</w:t>
      </w:r>
      <w:r w:rsidR="006B1CA4" w:rsidRPr="00C1087F">
        <w:rPr>
          <w:rFonts w:ascii="Arial" w:hAnsi="Arial" w:cs="Arial"/>
          <w:szCs w:val="24"/>
        </w:rPr>
        <w:t>s</w:t>
      </w:r>
      <w:r w:rsidR="00EB542F" w:rsidRPr="00C1087F">
        <w:rPr>
          <w:rFonts w:ascii="Arial" w:hAnsi="Arial" w:cs="Arial"/>
          <w:szCs w:val="24"/>
        </w:rPr>
        <w:t xml:space="preserve"> a preliminary issue</w:t>
      </w:r>
      <w:r w:rsidR="00143B37" w:rsidRPr="00C1087F">
        <w:rPr>
          <w:rFonts w:ascii="Arial" w:hAnsi="Arial" w:cs="Arial"/>
          <w:szCs w:val="24"/>
        </w:rPr>
        <w:t>,</w:t>
      </w:r>
      <w:r w:rsidR="00EB542F" w:rsidRPr="00C1087F">
        <w:rPr>
          <w:rFonts w:ascii="Arial" w:hAnsi="Arial" w:cs="Arial"/>
          <w:szCs w:val="24"/>
        </w:rPr>
        <w:t xml:space="preserve"> that it had </w:t>
      </w:r>
      <w:r w:rsidR="00944350" w:rsidRPr="00C1087F">
        <w:rPr>
          <w:rFonts w:ascii="Arial" w:hAnsi="Arial" w:cs="Arial"/>
          <w:szCs w:val="24"/>
        </w:rPr>
        <w:t xml:space="preserve">no jurisdiction </w:t>
      </w:r>
      <w:r w:rsidR="004603EB" w:rsidRPr="00C1087F">
        <w:rPr>
          <w:rFonts w:ascii="Arial" w:hAnsi="Arial" w:cs="Arial"/>
          <w:szCs w:val="24"/>
        </w:rPr>
        <w:t xml:space="preserve">to consider </w:t>
      </w:r>
      <w:r w:rsidR="006B1CA4" w:rsidRPr="00C1087F">
        <w:rPr>
          <w:rFonts w:ascii="Arial" w:hAnsi="Arial" w:cs="Arial"/>
          <w:szCs w:val="24"/>
        </w:rPr>
        <w:t xml:space="preserve">the Appellant’s </w:t>
      </w:r>
      <w:r w:rsidR="0001240B" w:rsidRPr="00C1087F">
        <w:rPr>
          <w:rFonts w:ascii="Arial" w:hAnsi="Arial" w:cs="Arial"/>
          <w:szCs w:val="24"/>
        </w:rPr>
        <w:t xml:space="preserve">complaint </w:t>
      </w:r>
      <w:r w:rsidR="00E91512" w:rsidRPr="00C1087F">
        <w:rPr>
          <w:rFonts w:ascii="Arial" w:hAnsi="Arial" w:cs="Arial"/>
          <w:szCs w:val="24"/>
        </w:rPr>
        <w:t xml:space="preserve">about the </w:t>
      </w:r>
      <w:r w:rsidR="004603EB" w:rsidRPr="00C1087F">
        <w:rPr>
          <w:rFonts w:ascii="Arial" w:hAnsi="Arial" w:cs="Arial"/>
          <w:szCs w:val="24"/>
        </w:rPr>
        <w:t xml:space="preserve">ICO’s </w:t>
      </w:r>
      <w:r w:rsidR="00FA0B58" w:rsidRPr="00C1087F">
        <w:rPr>
          <w:rFonts w:ascii="Arial" w:hAnsi="Arial" w:cs="Arial"/>
          <w:szCs w:val="24"/>
        </w:rPr>
        <w:t xml:space="preserve">later, </w:t>
      </w:r>
      <w:r w:rsidR="005C4CC1" w:rsidRPr="00C1087F">
        <w:rPr>
          <w:rFonts w:ascii="Arial" w:hAnsi="Arial" w:cs="Arial"/>
          <w:szCs w:val="24"/>
        </w:rPr>
        <w:t xml:space="preserve">substantive </w:t>
      </w:r>
      <w:r w:rsidR="004603EB" w:rsidRPr="00C1087F">
        <w:rPr>
          <w:rFonts w:ascii="Arial" w:hAnsi="Arial" w:cs="Arial"/>
          <w:szCs w:val="24"/>
        </w:rPr>
        <w:t xml:space="preserve">responses </w:t>
      </w:r>
      <w:r w:rsidR="00E91512" w:rsidRPr="00C1087F">
        <w:rPr>
          <w:rFonts w:ascii="Arial" w:hAnsi="Arial" w:cs="Arial"/>
          <w:szCs w:val="24"/>
        </w:rPr>
        <w:t xml:space="preserve">because </w:t>
      </w:r>
      <w:r w:rsidR="009E532A" w:rsidRPr="00C1087F">
        <w:rPr>
          <w:rFonts w:ascii="Arial" w:hAnsi="Arial" w:cs="Arial"/>
          <w:szCs w:val="24"/>
        </w:rPr>
        <w:t xml:space="preserve">the adequacy of these </w:t>
      </w:r>
      <w:r w:rsidR="000E0759" w:rsidRPr="00C1087F">
        <w:rPr>
          <w:rFonts w:ascii="Arial" w:hAnsi="Arial" w:cs="Arial"/>
          <w:szCs w:val="24"/>
        </w:rPr>
        <w:t xml:space="preserve">had not been </w:t>
      </w:r>
      <w:r w:rsidR="00E91512" w:rsidRPr="00C1087F">
        <w:rPr>
          <w:rFonts w:ascii="Arial" w:hAnsi="Arial" w:cs="Arial"/>
          <w:szCs w:val="24"/>
        </w:rPr>
        <w:t>before the Commissioner</w:t>
      </w:r>
      <w:r w:rsidR="00775548" w:rsidRPr="00C1087F">
        <w:rPr>
          <w:rFonts w:ascii="Arial" w:hAnsi="Arial" w:cs="Arial"/>
          <w:szCs w:val="24"/>
        </w:rPr>
        <w:t xml:space="preserve"> when the </w:t>
      </w:r>
      <w:r w:rsidR="003B7894" w:rsidRPr="00C1087F">
        <w:rPr>
          <w:rFonts w:ascii="Arial" w:hAnsi="Arial" w:cs="Arial"/>
          <w:szCs w:val="24"/>
        </w:rPr>
        <w:t>decision notice</w:t>
      </w:r>
      <w:r w:rsidR="00775548" w:rsidRPr="00C1087F">
        <w:rPr>
          <w:rFonts w:ascii="Arial" w:hAnsi="Arial" w:cs="Arial"/>
          <w:szCs w:val="24"/>
        </w:rPr>
        <w:t xml:space="preserve"> was issued.</w:t>
      </w:r>
      <w:r w:rsidR="005F6DD3" w:rsidRPr="00C1087F">
        <w:rPr>
          <w:rFonts w:ascii="Arial" w:hAnsi="Arial" w:cs="Arial"/>
          <w:szCs w:val="24"/>
        </w:rPr>
        <w:t xml:space="preserve"> </w:t>
      </w:r>
    </w:p>
    <w:p w14:paraId="6E9064E7" w14:textId="375D8CA3" w:rsidR="00F46197" w:rsidRPr="00C1087F" w:rsidRDefault="00D42B39"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The FTT </w:t>
      </w:r>
      <w:r w:rsidR="00266067" w:rsidRPr="00C1087F">
        <w:rPr>
          <w:rFonts w:ascii="Arial" w:hAnsi="Arial" w:cs="Arial"/>
          <w:szCs w:val="24"/>
        </w:rPr>
        <w:t xml:space="preserve">allowed </w:t>
      </w:r>
      <w:r w:rsidR="005F6DD3" w:rsidRPr="00C1087F">
        <w:rPr>
          <w:rFonts w:ascii="Arial" w:hAnsi="Arial" w:cs="Arial"/>
          <w:szCs w:val="24"/>
        </w:rPr>
        <w:t>the Appe</w:t>
      </w:r>
      <w:r w:rsidR="00D51D2C" w:rsidRPr="00C1087F">
        <w:rPr>
          <w:rFonts w:ascii="Arial" w:hAnsi="Arial" w:cs="Arial"/>
          <w:szCs w:val="24"/>
        </w:rPr>
        <w:t xml:space="preserve">llant’s appeal </w:t>
      </w:r>
      <w:r w:rsidRPr="00C1087F">
        <w:rPr>
          <w:rFonts w:ascii="Arial" w:hAnsi="Arial" w:cs="Arial"/>
          <w:szCs w:val="24"/>
        </w:rPr>
        <w:t>against the decision notice</w:t>
      </w:r>
      <w:r w:rsidR="00F3410C" w:rsidRPr="00C1087F">
        <w:rPr>
          <w:rFonts w:ascii="Arial" w:hAnsi="Arial" w:cs="Arial"/>
          <w:szCs w:val="24"/>
        </w:rPr>
        <w:t xml:space="preserve"> </w:t>
      </w:r>
      <w:r w:rsidR="007306D8">
        <w:rPr>
          <w:rFonts w:ascii="Arial" w:hAnsi="Arial" w:cs="Arial"/>
          <w:szCs w:val="24"/>
        </w:rPr>
        <w:t xml:space="preserve">and </w:t>
      </w:r>
      <w:r w:rsidR="009E532A" w:rsidRPr="00C1087F">
        <w:rPr>
          <w:rFonts w:ascii="Arial" w:hAnsi="Arial" w:cs="Arial"/>
          <w:szCs w:val="24"/>
        </w:rPr>
        <w:t xml:space="preserve">issued a </w:t>
      </w:r>
      <w:r w:rsidRPr="00C1087F">
        <w:rPr>
          <w:rFonts w:ascii="Arial" w:hAnsi="Arial" w:cs="Arial"/>
          <w:szCs w:val="24"/>
        </w:rPr>
        <w:t xml:space="preserve">substituted </w:t>
      </w:r>
      <w:r w:rsidR="00A300A7" w:rsidRPr="00C1087F">
        <w:rPr>
          <w:rFonts w:ascii="Arial" w:hAnsi="Arial" w:cs="Arial"/>
          <w:szCs w:val="24"/>
        </w:rPr>
        <w:t xml:space="preserve">decision </w:t>
      </w:r>
      <w:r w:rsidRPr="00C1087F">
        <w:rPr>
          <w:rFonts w:ascii="Arial" w:hAnsi="Arial" w:cs="Arial"/>
          <w:szCs w:val="24"/>
        </w:rPr>
        <w:t xml:space="preserve">notice </w:t>
      </w:r>
      <w:r w:rsidR="00F11A28" w:rsidRPr="00C1087F">
        <w:rPr>
          <w:rFonts w:ascii="Arial" w:hAnsi="Arial" w:cs="Arial"/>
          <w:szCs w:val="24"/>
        </w:rPr>
        <w:t xml:space="preserve">that </w:t>
      </w:r>
      <w:r w:rsidRPr="00C1087F">
        <w:rPr>
          <w:rFonts w:ascii="Arial" w:hAnsi="Arial" w:cs="Arial"/>
          <w:szCs w:val="24"/>
        </w:rPr>
        <w:t>requir</w:t>
      </w:r>
      <w:r w:rsidR="00F11A28" w:rsidRPr="00C1087F">
        <w:rPr>
          <w:rFonts w:ascii="Arial" w:hAnsi="Arial" w:cs="Arial"/>
          <w:szCs w:val="24"/>
        </w:rPr>
        <w:t>ed</w:t>
      </w:r>
      <w:r w:rsidRPr="00C1087F">
        <w:rPr>
          <w:rFonts w:ascii="Arial" w:hAnsi="Arial" w:cs="Arial"/>
          <w:szCs w:val="24"/>
        </w:rPr>
        <w:t xml:space="preserve"> the ICO </w:t>
      </w:r>
      <w:r w:rsidR="00F11A28" w:rsidRPr="00C1087F">
        <w:rPr>
          <w:rFonts w:ascii="Arial" w:hAnsi="Arial" w:cs="Arial"/>
          <w:szCs w:val="24"/>
        </w:rPr>
        <w:t xml:space="preserve">provide the Appellant </w:t>
      </w:r>
      <w:r w:rsidR="004053FD" w:rsidRPr="00C1087F">
        <w:rPr>
          <w:rFonts w:ascii="Arial" w:hAnsi="Arial" w:cs="Arial"/>
          <w:szCs w:val="24"/>
        </w:rPr>
        <w:t>with a response to all of the FOIA requests that were outstanding at th</w:t>
      </w:r>
      <w:r w:rsidR="00745FCA" w:rsidRPr="00C1087F">
        <w:rPr>
          <w:rFonts w:ascii="Arial" w:hAnsi="Arial" w:cs="Arial"/>
          <w:szCs w:val="24"/>
        </w:rPr>
        <w:t>e</w:t>
      </w:r>
      <w:r w:rsidR="004053FD" w:rsidRPr="00C1087F">
        <w:rPr>
          <w:rFonts w:ascii="Arial" w:hAnsi="Arial" w:cs="Arial"/>
          <w:szCs w:val="24"/>
        </w:rPr>
        <w:t xml:space="preserve"> date of the decision notice</w:t>
      </w:r>
      <w:r w:rsidR="00745FCA" w:rsidRPr="00C1087F">
        <w:rPr>
          <w:rFonts w:ascii="Arial" w:hAnsi="Arial" w:cs="Arial"/>
          <w:szCs w:val="24"/>
        </w:rPr>
        <w:t xml:space="preserve">, including those that had been previously </w:t>
      </w:r>
      <w:r w:rsidR="007963AD" w:rsidRPr="00C1087F">
        <w:rPr>
          <w:rFonts w:ascii="Arial" w:hAnsi="Arial" w:cs="Arial"/>
          <w:szCs w:val="24"/>
        </w:rPr>
        <w:t>omitted</w:t>
      </w:r>
      <w:r w:rsidR="009907CB" w:rsidRPr="00C1087F">
        <w:rPr>
          <w:rFonts w:ascii="Arial" w:hAnsi="Arial" w:cs="Arial"/>
          <w:szCs w:val="24"/>
        </w:rPr>
        <w:t xml:space="preserve">. </w:t>
      </w:r>
      <w:r w:rsidR="0080426B" w:rsidRPr="00C1087F">
        <w:rPr>
          <w:rFonts w:ascii="Arial" w:hAnsi="Arial" w:cs="Arial"/>
          <w:szCs w:val="24"/>
        </w:rPr>
        <w:t xml:space="preserve">The FTT </w:t>
      </w:r>
      <w:r w:rsidR="00957F4D" w:rsidRPr="00C1087F">
        <w:rPr>
          <w:rFonts w:ascii="Arial" w:hAnsi="Arial" w:cs="Arial"/>
          <w:szCs w:val="24"/>
        </w:rPr>
        <w:t>then</w:t>
      </w:r>
      <w:r w:rsidR="00EF6812" w:rsidRPr="00C1087F">
        <w:rPr>
          <w:rFonts w:ascii="Arial" w:hAnsi="Arial" w:cs="Arial"/>
          <w:szCs w:val="24"/>
        </w:rPr>
        <w:t xml:space="preserve"> </w:t>
      </w:r>
      <w:r w:rsidR="00D60144" w:rsidRPr="00C1087F">
        <w:rPr>
          <w:rFonts w:ascii="Arial" w:hAnsi="Arial" w:cs="Arial"/>
          <w:szCs w:val="24"/>
        </w:rPr>
        <w:t xml:space="preserve">found </w:t>
      </w:r>
      <w:r w:rsidR="007963AD" w:rsidRPr="00C1087F">
        <w:rPr>
          <w:rFonts w:ascii="Arial" w:hAnsi="Arial" w:cs="Arial"/>
          <w:szCs w:val="24"/>
        </w:rPr>
        <w:t xml:space="preserve">as a matter of fact that </w:t>
      </w:r>
      <w:r w:rsidR="00850F29" w:rsidRPr="00C1087F">
        <w:rPr>
          <w:rFonts w:ascii="Arial" w:hAnsi="Arial" w:cs="Arial"/>
          <w:szCs w:val="24"/>
        </w:rPr>
        <w:t xml:space="preserve">the ICO had already </w:t>
      </w:r>
      <w:r w:rsidR="00B92FAD" w:rsidRPr="00C1087F">
        <w:rPr>
          <w:rFonts w:ascii="Arial" w:hAnsi="Arial" w:cs="Arial"/>
          <w:szCs w:val="24"/>
        </w:rPr>
        <w:t>provided substantive responses</w:t>
      </w:r>
      <w:r w:rsidR="00FD0E73" w:rsidRPr="00C1087F">
        <w:rPr>
          <w:rFonts w:ascii="Arial" w:hAnsi="Arial" w:cs="Arial"/>
          <w:szCs w:val="24"/>
        </w:rPr>
        <w:t xml:space="preserve">. The FTT therefore </w:t>
      </w:r>
      <w:r w:rsidR="00D60144" w:rsidRPr="00C1087F">
        <w:rPr>
          <w:rFonts w:ascii="Arial" w:hAnsi="Arial" w:cs="Arial"/>
          <w:szCs w:val="24"/>
        </w:rPr>
        <w:t xml:space="preserve">determined that </w:t>
      </w:r>
      <w:r w:rsidR="00850F29" w:rsidRPr="00C1087F">
        <w:rPr>
          <w:rFonts w:ascii="Arial" w:hAnsi="Arial" w:cs="Arial"/>
          <w:szCs w:val="24"/>
        </w:rPr>
        <w:t xml:space="preserve">no further steps were </w:t>
      </w:r>
      <w:r w:rsidR="00F46197" w:rsidRPr="00C1087F">
        <w:rPr>
          <w:rFonts w:ascii="Arial" w:hAnsi="Arial" w:cs="Arial"/>
          <w:szCs w:val="24"/>
        </w:rPr>
        <w:t>required.</w:t>
      </w:r>
    </w:p>
    <w:p w14:paraId="43B031B8" w14:textId="77777777" w:rsidR="000614B0" w:rsidRDefault="000614B0" w:rsidP="00DD7117">
      <w:pPr>
        <w:tabs>
          <w:tab w:val="left" w:pos="454"/>
          <w:tab w:val="left" w:pos="567"/>
          <w:tab w:val="left" w:pos="1134"/>
          <w:tab w:val="left" w:pos="5103"/>
        </w:tabs>
        <w:spacing w:after="120" w:line="276" w:lineRule="auto"/>
        <w:ind w:left="426"/>
        <w:jc w:val="both"/>
        <w:rPr>
          <w:rFonts w:ascii="Arial" w:hAnsi="Arial" w:cs="Arial"/>
          <w:b/>
          <w:bCs/>
          <w:szCs w:val="24"/>
        </w:rPr>
      </w:pPr>
    </w:p>
    <w:p w14:paraId="7FB57B77" w14:textId="76660A90" w:rsidR="00C01F61" w:rsidRPr="00C1087F" w:rsidRDefault="008D1043" w:rsidP="00DD7117">
      <w:pPr>
        <w:tabs>
          <w:tab w:val="left" w:pos="454"/>
          <w:tab w:val="left" w:pos="567"/>
          <w:tab w:val="left" w:pos="1134"/>
          <w:tab w:val="left" w:pos="5103"/>
        </w:tabs>
        <w:spacing w:after="120" w:line="276" w:lineRule="auto"/>
        <w:ind w:left="426"/>
        <w:jc w:val="both"/>
        <w:rPr>
          <w:rFonts w:ascii="Arial" w:hAnsi="Arial" w:cs="Arial"/>
          <w:szCs w:val="24"/>
        </w:rPr>
      </w:pPr>
      <w:r w:rsidRPr="00C1087F">
        <w:rPr>
          <w:rFonts w:ascii="Arial" w:hAnsi="Arial" w:cs="Arial"/>
          <w:b/>
          <w:bCs/>
          <w:szCs w:val="24"/>
        </w:rPr>
        <w:t>Grounds of appeal</w:t>
      </w:r>
      <w:r w:rsidR="005E0ED3" w:rsidRPr="00C1087F">
        <w:rPr>
          <w:rFonts w:ascii="Arial" w:hAnsi="Arial" w:cs="Arial"/>
          <w:b/>
          <w:bCs/>
          <w:szCs w:val="24"/>
        </w:rPr>
        <w:t xml:space="preserve"> and </w:t>
      </w:r>
      <w:r w:rsidR="00260298" w:rsidRPr="00C1087F">
        <w:rPr>
          <w:rFonts w:ascii="Arial" w:hAnsi="Arial" w:cs="Arial"/>
          <w:b/>
          <w:bCs/>
          <w:szCs w:val="24"/>
        </w:rPr>
        <w:t>subsequent events</w:t>
      </w:r>
    </w:p>
    <w:p w14:paraId="00A56C13" w14:textId="3D4FE610" w:rsidR="00EA64FC" w:rsidRPr="00C1087F" w:rsidRDefault="00AE5C4B" w:rsidP="00DD7117">
      <w:pPr>
        <w:numPr>
          <w:ilvl w:val="0"/>
          <w:numId w:val="21"/>
        </w:numPr>
        <w:tabs>
          <w:tab w:val="left" w:pos="454"/>
          <w:tab w:val="left" w:pos="567"/>
          <w:tab w:val="left" w:pos="930"/>
          <w:tab w:val="left" w:pos="1560"/>
        </w:tabs>
        <w:spacing w:after="120" w:line="276" w:lineRule="auto"/>
        <w:ind w:left="426" w:hanging="426"/>
        <w:jc w:val="both"/>
        <w:rPr>
          <w:rFonts w:ascii="Arial" w:hAnsi="Arial" w:cs="Arial"/>
          <w:szCs w:val="24"/>
        </w:rPr>
      </w:pPr>
      <w:r w:rsidRPr="00C1087F">
        <w:rPr>
          <w:rFonts w:ascii="Arial" w:hAnsi="Arial" w:cs="Arial"/>
          <w:szCs w:val="24"/>
        </w:rPr>
        <w:t xml:space="preserve">The </w:t>
      </w:r>
      <w:r w:rsidR="00EA64FC" w:rsidRPr="00C1087F">
        <w:rPr>
          <w:rFonts w:ascii="Arial" w:hAnsi="Arial" w:cs="Arial"/>
          <w:szCs w:val="24"/>
        </w:rPr>
        <w:t>A</w:t>
      </w:r>
      <w:r w:rsidRPr="00C1087F">
        <w:rPr>
          <w:rFonts w:ascii="Arial" w:hAnsi="Arial" w:cs="Arial"/>
          <w:szCs w:val="24"/>
        </w:rPr>
        <w:t>ppellant</w:t>
      </w:r>
      <w:r w:rsidR="00B92FAD" w:rsidRPr="00C1087F">
        <w:rPr>
          <w:rFonts w:ascii="Arial" w:hAnsi="Arial" w:cs="Arial"/>
          <w:szCs w:val="24"/>
        </w:rPr>
        <w:t xml:space="preserve"> has been granted </w:t>
      </w:r>
      <w:r w:rsidR="00EA64FC" w:rsidRPr="00C1087F">
        <w:rPr>
          <w:rFonts w:ascii="Arial" w:hAnsi="Arial" w:cs="Arial"/>
          <w:szCs w:val="24"/>
        </w:rPr>
        <w:t xml:space="preserve">leave to appeal </w:t>
      </w:r>
      <w:r w:rsidR="00B92FAD" w:rsidRPr="00C1087F">
        <w:rPr>
          <w:rFonts w:ascii="Arial" w:hAnsi="Arial" w:cs="Arial"/>
          <w:szCs w:val="24"/>
        </w:rPr>
        <w:t xml:space="preserve">on the </w:t>
      </w:r>
      <w:r w:rsidR="006771B6" w:rsidRPr="00C1087F">
        <w:rPr>
          <w:rFonts w:ascii="Arial" w:hAnsi="Arial" w:cs="Arial"/>
          <w:szCs w:val="24"/>
        </w:rPr>
        <w:t xml:space="preserve">limited </w:t>
      </w:r>
      <w:r w:rsidR="00F91537" w:rsidRPr="00C1087F">
        <w:rPr>
          <w:rFonts w:ascii="Arial" w:hAnsi="Arial" w:cs="Arial"/>
          <w:szCs w:val="24"/>
        </w:rPr>
        <w:t xml:space="preserve">ground </w:t>
      </w:r>
      <w:r w:rsidR="00FA3AA1" w:rsidRPr="00C1087F">
        <w:rPr>
          <w:rFonts w:ascii="Arial" w:hAnsi="Arial" w:cs="Arial"/>
          <w:szCs w:val="24"/>
        </w:rPr>
        <w:t xml:space="preserve">of whether it </w:t>
      </w:r>
      <w:r w:rsidR="00BB176C" w:rsidRPr="00C1087F">
        <w:rPr>
          <w:rFonts w:ascii="Arial" w:hAnsi="Arial" w:cs="Arial"/>
          <w:szCs w:val="24"/>
        </w:rPr>
        <w:t>is</w:t>
      </w:r>
      <w:r w:rsidR="00FA3AA1" w:rsidRPr="00C1087F">
        <w:rPr>
          <w:rFonts w:ascii="Arial" w:hAnsi="Arial" w:cs="Arial"/>
          <w:szCs w:val="24"/>
        </w:rPr>
        <w:t xml:space="preserve"> an error of law to decide that the FTT has no jurisdiction in a s.57 </w:t>
      </w:r>
      <w:r w:rsidR="00BB176C" w:rsidRPr="00C1087F">
        <w:rPr>
          <w:rFonts w:ascii="Arial" w:hAnsi="Arial" w:cs="Arial"/>
          <w:szCs w:val="24"/>
        </w:rPr>
        <w:t xml:space="preserve">FOIA </w:t>
      </w:r>
      <w:r w:rsidR="00FA3AA1" w:rsidRPr="00C1087F">
        <w:rPr>
          <w:rFonts w:ascii="Arial" w:hAnsi="Arial" w:cs="Arial"/>
          <w:szCs w:val="24"/>
        </w:rPr>
        <w:t xml:space="preserve">appeal </w:t>
      </w:r>
      <w:r w:rsidR="001333A7" w:rsidRPr="00C1087F">
        <w:rPr>
          <w:rFonts w:ascii="Arial" w:hAnsi="Arial" w:cs="Arial"/>
          <w:szCs w:val="24"/>
        </w:rPr>
        <w:t xml:space="preserve">to consider the nature and content of the </w:t>
      </w:r>
      <w:r w:rsidR="003E711D" w:rsidRPr="00C1087F">
        <w:rPr>
          <w:rFonts w:ascii="Arial" w:hAnsi="Arial" w:cs="Arial"/>
          <w:szCs w:val="24"/>
        </w:rPr>
        <w:t>public authorit</w:t>
      </w:r>
      <w:r w:rsidR="0032490B" w:rsidRPr="00C1087F">
        <w:rPr>
          <w:rFonts w:ascii="Arial" w:hAnsi="Arial" w:cs="Arial"/>
          <w:szCs w:val="24"/>
        </w:rPr>
        <w:t xml:space="preserve">y’s </w:t>
      </w:r>
      <w:r w:rsidR="001333A7" w:rsidRPr="00C1087F">
        <w:rPr>
          <w:rFonts w:ascii="Arial" w:hAnsi="Arial" w:cs="Arial"/>
          <w:szCs w:val="24"/>
        </w:rPr>
        <w:t xml:space="preserve">responses to the </w:t>
      </w:r>
      <w:r w:rsidR="004767E2" w:rsidRPr="00C1087F">
        <w:rPr>
          <w:rFonts w:ascii="Arial" w:hAnsi="Arial" w:cs="Arial"/>
          <w:szCs w:val="24"/>
        </w:rPr>
        <w:t>Appellant</w:t>
      </w:r>
      <w:r w:rsidR="001333A7" w:rsidRPr="00C1087F">
        <w:rPr>
          <w:rFonts w:ascii="Arial" w:hAnsi="Arial" w:cs="Arial"/>
          <w:szCs w:val="24"/>
        </w:rPr>
        <w:t xml:space="preserve"> which post-date the Commissioner’s decision not</w:t>
      </w:r>
      <w:r w:rsidR="004767E2" w:rsidRPr="00C1087F">
        <w:rPr>
          <w:rFonts w:ascii="Arial" w:hAnsi="Arial" w:cs="Arial"/>
          <w:szCs w:val="24"/>
        </w:rPr>
        <w:t>ice.</w:t>
      </w:r>
    </w:p>
    <w:p w14:paraId="1A57642E" w14:textId="0DA5F0E6" w:rsidR="009555AD" w:rsidRPr="00C1087F" w:rsidRDefault="005C51CD" w:rsidP="00DD7117">
      <w:pPr>
        <w:numPr>
          <w:ilvl w:val="0"/>
          <w:numId w:val="21"/>
        </w:numPr>
        <w:tabs>
          <w:tab w:val="left" w:pos="454"/>
          <w:tab w:val="left" w:pos="567"/>
          <w:tab w:val="left" w:pos="1134"/>
          <w:tab w:val="left" w:pos="1701"/>
        </w:tabs>
        <w:spacing w:after="120" w:line="276" w:lineRule="auto"/>
        <w:ind w:left="426" w:hanging="426"/>
        <w:jc w:val="both"/>
        <w:rPr>
          <w:rFonts w:ascii="Arial" w:hAnsi="Arial" w:cs="Arial"/>
          <w:b/>
          <w:bCs/>
          <w:szCs w:val="24"/>
        </w:rPr>
      </w:pPr>
      <w:r w:rsidRPr="00C1087F">
        <w:rPr>
          <w:rFonts w:ascii="Arial" w:hAnsi="Arial" w:cs="Arial"/>
          <w:szCs w:val="24"/>
        </w:rPr>
        <w:lastRenderedPageBreak/>
        <w:t xml:space="preserve">Permission was granted following </w:t>
      </w:r>
      <w:r w:rsidR="00B52106" w:rsidRPr="00C1087F">
        <w:rPr>
          <w:rFonts w:ascii="Arial" w:hAnsi="Arial" w:cs="Arial"/>
          <w:szCs w:val="24"/>
        </w:rPr>
        <w:t xml:space="preserve">an oral hearing on 21 November 2021. </w:t>
      </w:r>
      <w:r w:rsidR="00684E3C" w:rsidRPr="00C1087F">
        <w:rPr>
          <w:rFonts w:ascii="Arial" w:hAnsi="Arial" w:cs="Arial"/>
          <w:szCs w:val="24"/>
        </w:rPr>
        <w:t xml:space="preserve">When granting permission Upper Tribunal Judge Jones noted that there was </w:t>
      </w:r>
      <w:r w:rsidR="00AB630C" w:rsidRPr="00C1087F">
        <w:rPr>
          <w:rFonts w:ascii="Arial" w:hAnsi="Arial" w:cs="Arial"/>
          <w:szCs w:val="24"/>
        </w:rPr>
        <w:t xml:space="preserve">potentially some </w:t>
      </w:r>
      <w:r w:rsidR="00684E3C" w:rsidRPr="00C1087F">
        <w:rPr>
          <w:rFonts w:ascii="Arial" w:hAnsi="Arial" w:cs="Arial"/>
          <w:szCs w:val="24"/>
        </w:rPr>
        <w:t>ambiguity in the case law</w:t>
      </w:r>
      <w:r w:rsidR="00EE7EB2" w:rsidRPr="00C1087F">
        <w:rPr>
          <w:rFonts w:ascii="Arial" w:hAnsi="Arial" w:cs="Arial"/>
          <w:szCs w:val="24"/>
        </w:rPr>
        <w:t xml:space="preserve">. </w:t>
      </w:r>
      <w:r w:rsidR="00684E3C" w:rsidRPr="00C1087F">
        <w:rPr>
          <w:rFonts w:ascii="Arial" w:hAnsi="Arial" w:cs="Arial"/>
          <w:szCs w:val="24"/>
        </w:rPr>
        <w:t xml:space="preserve"> </w:t>
      </w:r>
      <w:r w:rsidR="00DE7F65" w:rsidRPr="00C1087F">
        <w:rPr>
          <w:rFonts w:ascii="Arial" w:hAnsi="Arial" w:cs="Arial"/>
          <w:szCs w:val="24"/>
        </w:rPr>
        <w:t>Judge Jones’</w:t>
      </w:r>
      <w:r w:rsidR="00884B84" w:rsidRPr="00C1087F">
        <w:rPr>
          <w:rFonts w:ascii="Arial" w:hAnsi="Arial" w:cs="Arial"/>
          <w:szCs w:val="24"/>
        </w:rPr>
        <w:t xml:space="preserve"> observation</w:t>
      </w:r>
      <w:r w:rsidR="008A1942" w:rsidRPr="00C1087F">
        <w:rPr>
          <w:rFonts w:ascii="Arial" w:hAnsi="Arial" w:cs="Arial"/>
          <w:szCs w:val="24"/>
        </w:rPr>
        <w:t>, and the</w:t>
      </w:r>
      <w:r w:rsidR="00056909" w:rsidRPr="00C1087F">
        <w:rPr>
          <w:rFonts w:ascii="Arial" w:hAnsi="Arial" w:cs="Arial"/>
          <w:szCs w:val="24"/>
        </w:rPr>
        <w:t xml:space="preserve"> pleadings in this appeal, </w:t>
      </w:r>
      <w:r w:rsidR="00C04CFD" w:rsidRPr="00C1087F">
        <w:rPr>
          <w:rFonts w:ascii="Arial" w:hAnsi="Arial" w:cs="Arial"/>
          <w:szCs w:val="24"/>
        </w:rPr>
        <w:t xml:space="preserve">pre-date the decision </w:t>
      </w:r>
      <w:r w:rsidR="00884B84" w:rsidRPr="00C1087F">
        <w:rPr>
          <w:rFonts w:ascii="Arial" w:hAnsi="Arial" w:cs="Arial"/>
          <w:szCs w:val="24"/>
        </w:rPr>
        <w:t xml:space="preserve">of a three-judge panel </w:t>
      </w:r>
      <w:r w:rsidR="00803096" w:rsidRPr="00C1087F">
        <w:rPr>
          <w:rFonts w:ascii="Arial" w:hAnsi="Arial" w:cs="Arial"/>
          <w:szCs w:val="24"/>
        </w:rPr>
        <w:t xml:space="preserve">in </w:t>
      </w:r>
      <w:bookmarkStart w:id="7" w:name="_Hlk113636763"/>
      <w:r w:rsidR="00286DD0" w:rsidRPr="00C1087F">
        <w:rPr>
          <w:rFonts w:ascii="Arial" w:hAnsi="Arial" w:cs="Arial"/>
          <w:i/>
          <w:iCs/>
          <w:szCs w:val="24"/>
          <w:u w:val="single"/>
        </w:rPr>
        <w:t>Montague v Information Commissioner and the Department for International Trade</w:t>
      </w:r>
      <w:r w:rsidR="00286DD0" w:rsidRPr="00C1087F">
        <w:rPr>
          <w:rFonts w:ascii="Arial" w:hAnsi="Arial" w:cs="Arial"/>
          <w:i/>
          <w:iCs/>
          <w:szCs w:val="24"/>
        </w:rPr>
        <w:t xml:space="preserve"> </w:t>
      </w:r>
      <w:r w:rsidR="00286DD0" w:rsidRPr="00A37D97">
        <w:rPr>
          <w:rFonts w:ascii="Arial" w:hAnsi="Arial" w:cs="Arial"/>
          <w:szCs w:val="24"/>
        </w:rPr>
        <w:t>[</w:t>
      </w:r>
      <w:r w:rsidR="00BD61E7" w:rsidRPr="00A37D97">
        <w:rPr>
          <w:rFonts w:ascii="Arial" w:hAnsi="Arial" w:cs="Arial"/>
          <w:szCs w:val="24"/>
        </w:rPr>
        <w:t>2022] UKUT 104 (AAC</w:t>
      </w:r>
      <w:bookmarkEnd w:id="7"/>
      <w:r w:rsidR="00BD61E7" w:rsidRPr="00A37D97">
        <w:rPr>
          <w:rFonts w:ascii="Arial" w:hAnsi="Arial" w:cs="Arial"/>
          <w:szCs w:val="24"/>
        </w:rPr>
        <w:t>)</w:t>
      </w:r>
      <w:r w:rsidR="00F3754F" w:rsidRPr="00C1087F">
        <w:rPr>
          <w:rFonts w:ascii="Arial" w:hAnsi="Arial" w:cs="Arial"/>
          <w:szCs w:val="24"/>
        </w:rPr>
        <w:t xml:space="preserve">, although this </w:t>
      </w:r>
      <w:r w:rsidR="00F16CC8">
        <w:rPr>
          <w:rFonts w:ascii="Arial" w:hAnsi="Arial" w:cs="Arial"/>
          <w:szCs w:val="24"/>
        </w:rPr>
        <w:t xml:space="preserve">was one of the </w:t>
      </w:r>
      <w:r w:rsidR="00B84E19" w:rsidRPr="00C1087F">
        <w:rPr>
          <w:rFonts w:ascii="Arial" w:hAnsi="Arial" w:cs="Arial"/>
          <w:szCs w:val="24"/>
        </w:rPr>
        <w:t>Upper Tribunal decision</w:t>
      </w:r>
      <w:r w:rsidR="00F16CC8">
        <w:rPr>
          <w:rFonts w:ascii="Arial" w:hAnsi="Arial" w:cs="Arial"/>
          <w:szCs w:val="24"/>
        </w:rPr>
        <w:t>s</w:t>
      </w:r>
      <w:r w:rsidR="00F3754F" w:rsidRPr="00C1087F">
        <w:rPr>
          <w:rFonts w:ascii="Arial" w:hAnsi="Arial" w:cs="Arial"/>
          <w:szCs w:val="24"/>
        </w:rPr>
        <w:t xml:space="preserve"> included </w:t>
      </w:r>
      <w:r w:rsidR="00B84E19" w:rsidRPr="00C1087F">
        <w:rPr>
          <w:rFonts w:ascii="Arial" w:hAnsi="Arial" w:cs="Arial"/>
          <w:szCs w:val="24"/>
        </w:rPr>
        <w:t xml:space="preserve">by the parties </w:t>
      </w:r>
      <w:r w:rsidR="00F3754F" w:rsidRPr="00C1087F">
        <w:rPr>
          <w:rFonts w:ascii="Arial" w:hAnsi="Arial" w:cs="Arial"/>
          <w:szCs w:val="24"/>
        </w:rPr>
        <w:t>in the authorities bundle</w:t>
      </w:r>
      <w:r w:rsidR="00BD61E7" w:rsidRPr="00C1087F">
        <w:rPr>
          <w:rFonts w:ascii="Arial" w:hAnsi="Arial" w:cs="Arial"/>
          <w:i/>
          <w:iCs/>
          <w:szCs w:val="24"/>
        </w:rPr>
        <w:t>.</w:t>
      </w:r>
      <w:r w:rsidR="000E0759" w:rsidRPr="00C1087F">
        <w:rPr>
          <w:rFonts w:ascii="Arial" w:hAnsi="Arial" w:cs="Arial"/>
          <w:szCs w:val="24"/>
        </w:rPr>
        <w:t xml:space="preserve"> </w:t>
      </w:r>
    </w:p>
    <w:p w14:paraId="20CC2041" w14:textId="68375229" w:rsidR="006726D8" w:rsidRPr="00C1087F" w:rsidRDefault="00056909" w:rsidP="00DD7117">
      <w:pPr>
        <w:numPr>
          <w:ilvl w:val="0"/>
          <w:numId w:val="21"/>
        </w:numPr>
        <w:tabs>
          <w:tab w:val="left" w:pos="454"/>
          <w:tab w:val="left" w:pos="567"/>
          <w:tab w:val="left" w:pos="1134"/>
          <w:tab w:val="left" w:pos="1701"/>
        </w:tabs>
        <w:spacing w:after="120" w:line="276" w:lineRule="auto"/>
        <w:ind w:left="426" w:hanging="426"/>
        <w:jc w:val="both"/>
        <w:rPr>
          <w:rFonts w:ascii="Arial" w:hAnsi="Arial" w:cs="Arial"/>
          <w:b/>
          <w:bCs/>
          <w:szCs w:val="24"/>
        </w:rPr>
      </w:pPr>
      <w:r w:rsidRPr="00C1087F">
        <w:rPr>
          <w:rFonts w:ascii="Arial" w:hAnsi="Arial" w:cs="Arial"/>
          <w:szCs w:val="24"/>
        </w:rPr>
        <w:t xml:space="preserve">At the oral hearing </w:t>
      </w:r>
      <w:r w:rsidR="005E0ED3" w:rsidRPr="00C1087F">
        <w:rPr>
          <w:rFonts w:ascii="Arial" w:hAnsi="Arial" w:cs="Arial"/>
          <w:szCs w:val="24"/>
        </w:rPr>
        <w:t xml:space="preserve">I drew </w:t>
      </w:r>
      <w:r w:rsidR="00C8326C" w:rsidRPr="00C1087F">
        <w:rPr>
          <w:rFonts w:ascii="Arial" w:hAnsi="Arial" w:cs="Arial"/>
          <w:szCs w:val="24"/>
        </w:rPr>
        <w:t>paragraphs 62</w:t>
      </w:r>
      <w:r w:rsidR="00235552" w:rsidRPr="00C1087F">
        <w:rPr>
          <w:rFonts w:ascii="Arial" w:hAnsi="Arial" w:cs="Arial"/>
          <w:szCs w:val="24"/>
        </w:rPr>
        <w:t xml:space="preserve"> –</w:t>
      </w:r>
      <w:r w:rsidR="006A3775" w:rsidRPr="00C1087F">
        <w:rPr>
          <w:rFonts w:ascii="Arial" w:hAnsi="Arial" w:cs="Arial"/>
          <w:szCs w:val="24"/>
        </w:rPr>
        <w:t xml:space="preserve"> 76 of</w:t>
      </w:r>
      <w:r w:rsidR="00CB330F" w:rsidRPr="00C1087F">
        <w:rPr>
          <w:rFonts w:ascii="Arial" w:hAnsi="Arial" w:cs="Arial"/>
          <w:szCs w:val="24"/>
        </w:rPr>
        <w:t xml:space="preserve"> </w:t>
      </w:r>
      <w:r w:rsidR="005E0ED3" w:rsidRPr="00C1087F">
        <w:rPr>
          <w:rFonts w:ascii="Arial" w:hAnsi="Arial" w:cs="Arial"/>
          <w:i/>
          <w:iCs/>
          <w:szCs w:val="24"/>
          <w:u w:val="single"/>
        </w:rPr>
        <w:t>Montague</w:t>
      </w:r>
      <w:r w:rsidR="00F3754F" w:rsidRPr="00C1087F">
        <w:rPr>
          <w:rFonts w:ascii="Arial" w:hAnsi="Arial" w:cs="Arial"/>
          <w:szCs w:val="24"/>
        </w:rPr>
        <w:t xml:space="preserve"> </w:t>
      </w:r>
      <w:r w:rsidR="00260298" w:rsidRPr="00C1087F">
        <w:rPr>
          <w:rFonts w:ascii="Arial" w:hAnsi="Arial" w:cs="Arial"/>
          <w:szCs w:val="24"/>
        </w:rPr>
        <w:t>to the parties’ attention</w:t>
      </w:r>
      <w:r w:rsidR="00B84E19" w:rsidRPr="00C1087F">
        <w:rPr>
          <w:rFonts w:ascii="Arial" w:hAnsi="Arial" w:cs="Arial"/>
          <w:szCs w:val="24"/>
        </w:rPr>
        <w:t xml:space="preserve"> and observed that th</w:t>
      </w:r>
      <w:r w:rsidR="006240A7" w:rsidRPr="00C1087F">
        <w:rPr>
          <w:rFonts w:ascii="Arial" w:hAnsi="Arial" w:cs="Arial"/>
          <w:szCs w:val="24"/>
        </w:rPr>
        <w:t>ese were</w:t>
      </w:r>
      <w:r w:rsidR="00B84E19" w:rsidRPr="00C1087F">
        <w:rPr>
          <w:rFonts w:ascii="Arial" w:hAnsi="Arial" w:cs="Arial"/>
          <w:szCs w:val="24"/>
        </w:rPr>
        <w:t xml:space="preserve"> </w:t>
      </w:r>
      <w:r w:rsidR="00CB330F" w:rsidRPr="00C1087F">
        <w:rPr>
          <w:rFonts w:ascii="Arial" w:hAnsi="Arial" w:cs="Arial"/>
          <w:szCs w:val="24"/>
        </w:rPr>
        <w:t>potentially r</w:t>
      </w:r>
      <w:r w:rsidR="006072EF" w:rsidRPr="00C1087F">
        <w:rPr>
          <w:rFonts w:ascii="Arial" w:hAnsi="Arial" w:cs="Arial"/>
          <w:szCs w:val="24"/>
        </w:rPr>
        <w:t xml:space="preserve">elevant </w:t>
      </w:r>
      <w:r w:rsidR="00A90FBA" w:rsidRPr="00C1087F">
        <w:rPr>
          <w:rFonts w:ascii="Arial" w:hAnsi="Arial" w:cs="Arial"/>
          <w:szCs w:val="24"/>
        </w:rPr>
        <w:t>to the issue</w:t>
      </w:r>
      <w:r w:rsidR="006A3775" w:rsidRPr="00C1087F">
        <w:rPr>
          <w:rFonts w:ascii="Arial" w:hAnsi="Arial" w:cs="Arial"/>
          <w:szCs w:val="24"/>
        </w:rPr>
        <w:t>s</w:t>
      </w:r>
      <w:r w:rsidR="00A90FBA" w:rsidRPr="00C1087F">
        <w:rPr>
          <w:rFonts w:ascii="Arial" w:hAnsi="Arial" w:cs="Arial"/>
          <w:szCs w:val="24"/>
        </w:rPr>
        <w:t xml:space="preserve"> </w:t>
      </w:r>
      <w:r w:rsidR="00002E6B" w:rsidRPr="00C1087F">
        <w:rPr>
          <w:rFonts w:ascii="Arial" w:hAnsi="Arial" w:cs="Arial"/>
          <w:szCs w:val="24"/>
        </w:rPr>
        <w:t xml:space="preserve">raised by </w:t>
      </w:r>
      <w:r w:rsidR="00A90FBA" w:rsidRPr="00C1087F">
        <w:rPr>
          <w:rFonts w:ascii="Arial" w:hAnsi="Arial" w:cs="Arial"/>
          <w:szCs w:val="24"/>
        </w:rPr>
        <w:t xml:space="preserve">this appeal. </w:t>
      </w:r>
      <w:r w:rsidR="006A3775" w:rsidRPr="00C1087F">
        <w:rPr>
          <w:rFonts w:ascii="Arial" w:hAnsi="Arial" w:cs="Arial"/>
          <w:szCs w:val="24"/>
        </w:rPr>
        <w:t xml:space="preserve">Both parties were </w:t>
      </w:r>
      <w:r w:rsidR="00002E6B" w:rsidRPr="00C1087F">
        <w:rPr>
          <w:rFonts w:ascii="Arial" w:hAnsi="Arial" w:cs="Arial"/>
          <w:szCs w:val="24"/>
        </w:rPr>
        <w:t xml:space="preserve">provided with </w:t>
      </w:r>
      <w:r w:rsidR="00CB085D" w:rsidRPr="00C1087F">
        <w:rPr>
          <w:rFonts w:ascii="Arial" w:hAnsi="Arial" w:cs="Arial"/>
          <w:szCs w:val="24"/>
        </w:rPr>
        <w:t xml:space="preserve">an </w:t>
      </w:r>
      <w:r w:rsidR="00F3754F" w:rsidRPr="00C1087F">
        <w:rPr>
          <w:rFonts w:ascii="Arial" w:hAnsi="Arial" w:cs="Arial"/>
          <w:szCs w:val="24"/>
        </w:rPr>
        <w:t xml:space="preserve">opportunity to </w:t>
      </w:r>
      <w:r w:rsidR="00932D34" w:rsidRPr="00C1087F">
        <w:rPr>
          <w:rFonts w:ascii="Arial" w:hAnsi="Arial" w:cs="Arial"/>
          <w:szCs w:val="24"/>
        </w:rPr>
        <w:t xml:space="preserve">serve additional </w:t>
      </w:r>
      <w:r w:rsidR="00002E6B" w:rsidRPr="00C1087F">
        <w:rPr>
          <w:rFonts w:ascii="Arial" w:hAnsi="Arial" w:cs="Arial"/>
          <w:szCs w:val="24"/>
        </w:rPr>
        <w:t xml:space="preserve">written </w:t>
      </w:r>
      <w:r w:rsidR="00F3754F" w:rsidRPr="00C1087F">
        <w:rPr>
          <w:rFonts w:ascii="Arial" w:hAnsi="Arial" w:cs="Arial"/>
          <w:szCs w:val="24"/>
        </w:rPr>
        <w:t xml:space="preserve">submissions </w:t>
      </w:r>
      <w:r w:rsidR="00CB085D" w:rsidRPr="00C1087F">
        <w:rPr>
          <w:rFonts w:ascii="Arial" w:hAnsi="Arial" w:cs="Arial"/>
          <w:szCs w:val="24"/>
        </w:rPr>
        <w:t xml:space="preserve">on </w:t>
      </w:r>
      <w:r w:rsidR="00002E6B" w:rsidRPr="00C1087F">
        <w:rPr>
          <w:rFonts w:ascii="Arial" w:hAnsi="Arial" w:cs="Arial"/>
          <w:i/>
          <w:iCs/>
          <w:szCs w:val="24"/>
          <w:u w:val="single"/>
        </w:rPr>
        <w:t>Montague</w:t>
      </w:r>
      <w:r w:rsidR="00432E44" w:rsidRPr="00C1087F">
        <w:rPr>
          <w:rFonts w:ascii="Arial" w:hAnsi="Arial" w:cs="Arial"/>
          <w:szCs w:val="24"/>
        </w:rPr>
        <w:t xml:space="preserve"> </w:t>
      </w:r>
      <w:r w:rsidR="00932D34" w:rsidRPr="00C1087F">
        <w:rPr>
          <w:rFonts w:ascii="Arial" w:hAnsi="Arial" w:cs="Arial"/>
          <w:szCs w:val="24"/>
        </w:rPr>
        <w:t xml:space="preserve">after the </w:t>
      </w:r>
      <w:r w:rsidR="00002E6B" w:rsidRPr="00C1087F">
        <w:rPr>
          <w:rFonts w:ascii="Arial" w:hAnsi="Arial" w:cs="Arial"/>
          <w:szCs w:val="24"/>
        </w:rPr>
        <w:t xml:space="preserve">oral </w:t>
      </w:r>
      <w:r w:rsidR="00932D34" w:rsidRPr="00C1087F">
        <w:rPr>
          <w:rFonts w:ascii="Arial" w:hAnsi="Arial" w:cs="Arial"/>
          <w:szCs w:val="24"/>
        </w:rPr>
        <w:t>hearing</w:t>
      </w:r>
      <w:r w:rsidR="00432E44" w:rsidRPr="00C1087F">
        <w:rPr>
          <w:rFonts w:ascii="Arial" w:hAnsi="Arial" w:cs="Arial"/>
          <w:szCs w:val="24"/>
        </w:rPr>
        <w:t xml:space="preserve"> and both </w:t>
      </w:r>
      <w:r w:rsidR="00002E6B" w:rsidRPr="00C1087F">
        <w:rPr>
          <w:rFonts w:ascii="Arial" w:hAnsi="Arial" w:cs="Arial"/>
          <w:szCs w:val="24"/>
        </w:rPr>
        <w:t>did so</w:t>
      </w:r>
      <w:r w:rsidR="00432E44" w:rsidRPr="00C1087F">
        <w:rPr>
          <w:rFonts w:ascii="Arial" w:hAnsi="Arial" w:cs="Arial"/>
          <w:szCs w:val="24"/>
        </w:rPr>
        <w:t xml:space="preserve">. </w:t>
      </w:r>
    </w:p>
    <w:p w14:paraId="42881497" w14:textId="077D338D" w:rsidR="00EA64FC" w:rsidRPr="00C1087F" w:rsidRDefault="00CB085D" w:rsidP="00DD7117">
      <w:pPr>
        <w:numPr>
          <w:ilvl w:val="0"/>
          <w:numId w:val="21"/>
        </w:numPr>
        <w:tabs>
          <w:tab w:val="left" w:pos="454"/>
          <w:tab w:val="left" w:pos="567"/>
          <w:tab w:val="left" w:pos="1134"/>
          <w:tab w:val="left" w:pos="1701"/>
        </w:tabs>
        <w:spacing w:after="120" w:line="276" w:lineRule="auto"/>
        <w:ind w:left="426" w:hanging="426"/>
        <w:jc w:val="both"/>
        <w:rPr>
          <w:rFonts w:ascii="Arial" w:hAnsi="Arial" w:cs="Arial"/>
          <w:b/>
          <w:bCs/>
          <w:szCs w:val="24"/>
        </w:rPr>
      </w:pPr>
      <w:r w:rsidRPr="00C1087F">
        <w:rPr>
          <w:rFonts w:ascii="Arial" w:hAnsi="Arial" w:cs="Arial"/>
          <w:szCs w:val="24"/>
        </w:rPr>
        <w:t>I am grateful</w:t>
      </w:r>
      <w:r w:rsidR="00432E44" w:rsidRPr="00C1087F">
        <w:rPr>
          <w:rFonts w:ascii="Arial" w:hAnsi="Arial" w:cs="Arial"/>
          <w:szCs w:val="24"/>
        </w:rPr>
        <w:t xml:space="preserve"> to the parties for </w:t>
      </w:r>
      <w:r w:rsidR="007D4068" w:rsidRPr="00C1087F">
        <w:rPr>
          <w:rFonts w:ascii="Arial" w:hAnsi="Arial" w:cs="Arial"/>
          <w:szCs w:val="24"/>
        </w:rPr>
        <w:t xml:space="preserve">their </w:t>
      </w:r>
      <w:r w:rsidR="00DD3218" w:rsidRPr="00C1087F">
        <w:rPr>
          <w:rFonts w:ascii="Arial" w:hAnsi="Arial" w:cs="Arial"/>
          <w:szCs w:val="24"/>
        </w:rPr>
        <w:t xml:space="preserve">detailed </w:t>
      </w:r>
      <w:r w:rsidR="005C2198" w:rsidRPr="00C1087F">
        <w:rPr>
          <w:rFonts w:ascii="Arial" w:hAnsi="Arial" w:cs="Arial"/>
          <w:szCs w:val="24"/>
        </w:rPr>
        <w:t xml:space="preserve">oral and written submissions, all of which </w:t>
      </w:r>
      <w:r w:rsidR="00DD3218" w:rsidRPr="00C1087F">
        <w:rPr>
          <w:rFonts w:ascii="Arial" w:hAnsi="Arial" w:cs="Arial"/>
          <w:szCs w:val="24"/>
        </w:rPr>
        <w:t xml:space="preserve">I </w:t>
      </w:r>
      <w:r w:rsidR="005C2198" w:rsidRPr="00C1087F">
        <w:rPr>
          <w:rFonts w:ascii="Arial" w:hAnsi="Arial" w:cs="Arial"/>
          <w:szCs w:val="24"/>
        </w:rPr>
        <w:t>have</w:t>
      </w:r>
      <w:r w:rsidR="006240A7" w:rsidRPr="00C1087F">
        <w:rPr>
          <w:rFonts w:ascii="Arial" w:hAnsi="Arial" w:cs="Arial"/>
          <w:szCs w:val="24"/>
        </w:rPr>
        <w:t xml:space="preserve"> </w:t>
      </w:r>
      <w:r w:rsidR="005C2198" w:rsidRPr="00C1087F">
        <w:rPr>
          <w:rFonts w:ascii="Arial" w:hAnsi="Arial" w:cs="Arial"/>
          <w:szCs w:val="24"/>
        </w:rPr>
        <w:t>considered.</w:t>
      </w:r>
    </w:p>
    <w:p w14:paraId="547ECC73" w14:textId="4D95FD99" w:rsidR="00524FF2" w:rsidRPr="00C1087F" w:rsidRDefault="007A405B" w:rsidP="00DD7117">
      <w:pPr>
        <w:numPr>
          <w:ilvl w:val="0"/>
          <w:numId w:val="21"/>
        </w:numPr>
        <w:tabs>
          <w:tab w:val="left" w:pos="454"/>
          <w:tab w:val="left" w:pos="567"/>
          <w:tab w:val="left" w:pos="1134"/>
          <w:tab w:val="left" w:pos="1701"/>
        </w:tabs>
        <w:spacing w:after="120" w:line="276" w:lineRule="auto"/>
        <w:ind w:left="426" w:hanging="426"/>
        <w:jc w:val="both"/>
        <w:rPr>
          <w:rFonts w:ascii="Arial" w:hAnsi="Arial" w:cs="Arial"/>
          <w:b/>
          <w:bCs/>
          <w:szCs w:val="24"/>
        </w:rPr>
      </w:pPr>
      <w:r w:rsidRPr="003A394C">
        <w:rPr>
          <w:rFonts w:ascii="Arial" w:hAnsi="Arial" w:cs="Arial"/>
          <w:szCs w:val="24"/>
          <w:u w:val="single"/>
        </w:rPr>
        <w:t>S</w:t>
      </w:r>
      <w:r w:rsidR="003A394C" w:rsidRPr="003A394C">
        <w:rPr>
          <w:rFonts w:ascii="Arial" w:hAnsi="Arial" w:cs="Arial"/>
          <w:szCs w:val="24"/>
          <w:u w:val="single"/>
        </w:rPr>
        <w:t>eparately</w:t>
      </w:r>
      <w:r w:rsidRPr="00C1087F">
        <w:rPr>
          <w:rFonts w:ascii="Arial" w:hAnsi="Arial" w:cs="Arial"/>
          <w:szCs w:val="24"/>
        </w:rPr>
        <w:t xml:space="preserve"> to the FTT’s decision</w:t>
      </w:r>
      <w:r w:rsidR="006F0FB9" w:rsidRPr="00C1087F">
        <w:rPr>
          <w:rFonts w:ascii="Arial" w:hAnsi="Arial" w:cs="Arial"/>
          <w:szCs w:val="24"/>
        </w:rPr>
        <w:t xml:space="preserve"> and in order to preserve his position, the Appellant</w:t>
      </w:r>
      <w:r w:rsidRPr="00C1087F">
        <w:rPr>
          <w:rFonts w:ascii="Arial" w:hAnsi="Arial" w:cs="Arial"/>
          <w:szCs w:val="24"/>
        </w:rPr>
        <w:t xml:space="preserve"> made a further </w:t>
      </w:r>
      <w:r w:rsidR="008557B6" w:rsidRPr="00C1087F">
        <w:rPr>
          <w:rFonts w:ascii="Arial" w:hAnsi="Arial" w:cs="Arial"/>
          <w:szCs w:val="24"/>
        </w:rPr>
        <w:t xml:space="preserve">s.50 FOIA </w:t>
      </w:r>
      <w:r w:rsidRPr="00C1087F">
        <w:rPr>
          <w:rFonts w:ascii="Arial" w:hAnsi="Arial" w:cs="Arial"/>
          <w:szCs w:val="24"/>
        </w:rPr>
        <w:t>complaint to the Commissioner</w:t>
      </w:r>
      <w:r w:rsidR="00F1648A" w:rsidRPr="00C1087F">
        <w:rPr>
          <w:rFonts w:ascii="Arial" w:hAnsi="Arial" w:cs="Arial"/>
          <w:szCs w:val="24"/>
        </w:rPr>
        <w:t xml:space="preserve"> concerning the ICO’s substantive response</w:t>
      </w:r>
      <w:r w:rsidR="008557B6" w:rsidRPr="00C1087F">
        <w:rPr>
          <w:rFonts w:ascii="Arial" w:hAnsi="Arial" w:cs="Arial"/>
          <w:szCs w:val="24"/>
        </w:rPr>
        <w:t>s</w:t>
      </w:r>
      <w:r w:rsidR="00F1648A" w:rsidRPr="00C1087F">
        <w:rPr>
          <w:rFonts w:ascii="Arial" w:hAnsi="Arial" w:cs="Arial"/>
          <w:szCs w:val="24"/>
        </w:rPr>
        <w:t xml:space="preserve"> to his </w:t>
      </w:r>
      <w:r w:rsidR="00686C0D" w:rsidRPr="00C1087F">
        <w:rPr>
          <w:rFonts w:ascii="Arial" w:hAnsi="Arial" w:cs="Arial"/>
          <w:szCs w:val="24"/>
        </w:rPr>
        <w:t xml:space="preserve">FOIA </w:t>
      </w:r>
      <w:r w:rsidR="00F1648A" w:rsidRPr="00C1087F">
        <w:rPr>
          <w:rFonts w:ascii="Arial" w:hAnsi="Arial" w:cs="Arial"/>
          <w:szCs w:val="24"/>
        </w:rPr>
        <w:t xml:space="preserve">requests. </w:t>
      </w:r>
      <w:r w:rsidR="008557B6" w:rsidRPr="00C1087F">
        <w:rPr>
          <w:rFonts w:ascii="Arial" w:hAnsi="Arial" w:cs="Arial"/>
          <w:szCs w:val="24"/>
        </w:rPr>
        <w:t xml:space="preserve">The Commissioner issued a further decision notice on </w:t>
      </w:r>
      <w:r w:rsidR="003A394C" w:rsidRPr="003A394C">
        <w:rPr>
          <w:rFonts w:ascii="Arial" w:hAnsi="Arial" w:cs="Arial"/>
          <w:szCs w:val="24"/>
          <w:u w:val="single"/>
        </w:rPr>
        <w:t>21</w:t>
      </w:r>
      <w:r w:rsidR="008557B6" w:rsidRPr="00C1087F">
        <w:rPr>
          <w:rFonts w:ascii="Arial" w:hAnsi="Arial" w:cs="Arial"/>
          <w:szCs w:val="24"/>
        </w:rPr>
        <w:t xml:space="preserve"> March 2022</w:t>
      </w:r>
      <w:r w:rsidR="00686C0D" w:rsidRPr="00C1087F">
        <w:rPr>
          <w:rFonts w:ascii="Arial" w:hAnsi="Arial" w:cs="Arial"/>
          <w:szCs w:val="24"/>
        </w:rPr>
        <w:t xml:space="preserve">. This </w:t>
      </w:r>
      <w:r w:rsidR="00442437" w:rsidRPr="00C1087F">
        <w:rPr>
          <w:rFonts w:ascii="Arial" w:hAnsi="Arial" w:cs="Arial"/>
          <w:szCs w:val="24"/>
        </w:rPr>
        <w:t xml:space="preserve">is the subject of </w:t>
      </w:r>
      <w:r w:rsidR="00C377DD" w:rsidRPr="00C1087F">
        <w:rPr>
          <w:rFonts w:ascii="Arial" w:hAnsi="Arial" w:cs="Arial"/>
          <w:szCs w:val="24"/>
        </w:rPr>
        <w:t xml:space="preserve">a </w:t>
      </w:r>
      <w:r w:rsidR="00442437" w:rsidRPr="00C1087F">
        <w:rPr>
          <w:rFonts w:ascii="Arial" w:hAnsi="Arial" w:cs="Arial"/>
          <w:szCs w:val="24"/>
        </w:rPr>
        <w:t xml:space="preserve">separate appeal </w:t>
      </w:r>
      <w:r w:rsidR="003B513E" w:rsidRPr="00C1087F">
        <w:rPr>
          <w:rFonts w:ascii="Arial" w:hAnsi="Arial" w:cs="Arial"/>
          <w:szCs w:val="24"/>
        </w:rPr>
        <w:t>by the Appellant, currently before the FTT.</w:t>
      </w:r>
    </w:p>
    <w:p w14:paraId="1B49FC21" w14:textId="5E20F4B7" w:rsidR="00592336" w:rsidRPr="00C1087F" w:rsidRDefault="00592336" w:rsidP="00DD7117">
      <w:pPr>
        <w:tabs>
          <w:tab w:val="left" w:pos="454"/>
          <w:tab w:val="left" w:pos="567"/>
          <w:tab w:val="left" w:pos="1134"/>
          <w:tab w:val="left" w:pos="5103"/>
        </w:tabs>
        <w:spacing w:after="120" w:line="276" w:lineRule="auto"/>
        <w:jc w:val="both"/>
        <w:rPr>
          <w:rFonts w:ascii="Arial" w:hAnsi="Arial" w:cs="Arial"/>
          <w:b/>
          <w:bCs/>
          <w:szCs w:val="24"/>
        </w:rPr>
      </w:pPr>
    </w:p>
    <w:p w14:paraId="3158EFA4" w14:textId="582EE1F1" w:rsidR="006505CE" w:rsidRPr="00C1087F" w:rsidRDefault="006505CE" w:rsidP="00DD7117">
      <w:pPr>
        <w:tabs>
          <w:tab w:val="left" w:pos="454"/>
          <w:tab w:val="left" w:pos="567"/>
          <w:tab w:val="left" w:pos="1134"/>
          <w:tab w:val="left" w:pos="5103"/>
        </w:tabs>
        <w:spacing w:after="120" w:line="276" w:lineRule="auto"/>
        <w:jc w:val="both"/>
        <w:rPr>
          <w:rFonts w:ascii="Arial" w:hAnsi="Arial" w:cs="Arial"/>
          <w:b/>
          <w:bCs/>
          <w:szCs w:val="24"/>
        </w:rPr>
      </w:pPr>
      <w:r w:rsidRPr="00C1087F">
        <w:rPr>
          <w:rFonts w:ascii="Arial" w:hAnsi="Arial" w:cs="Arial"/>
          <w:b/>
          <w:bCs/>
          <w:szCs w:val="24"/>
        </w:rPr>
        <w:t>Law</w:t>
      </w:r>
    </w:p>
    <w:p w14:paraId="588AD0AB" w14:textId="019A043E" w:rsidR="00984433" w:rsidRPr="00C1087F" w:rsidRDefault="006D3A7F" w:rsidP="00DD7117">
      <w:pPr>
        <w:numPr>
          <w:ilvl w:val="0"/>
          <w:numId w:val="21"/>
        </w:numPr>
        <w:tabs>
          <w:tab w:val="left" w:pos="142"/>
          <w:tab w:val="left" w:pos="426"/>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The </w:t>
      </w:r>
      <w:r w:rsidR="00683494" w:rsidRPr="00C1087F">
        <w:rPr>
          <w:rFonts w:ascii="Arial" w:hAnsi="Arial" w:cs="Arial"/>
          <w:szCs w:val="24"/>
        </w:rPr>
        <w:t xml:space="preserve">statutory </w:t>
      </w:r>
      <w:r w:rsidR="000D21E9" w:rsidRPr="00C1087F">
        <w:rPr>
          <w:rFonts w:ascii="Arial" w:hAnsi="Arial" w:cs="Arial"/>
          <w:szCs w:val="24"/>
        </w:rPr>
        <w:t xml:space="preserve">framework </w:t>
      </w:r>
      <w:r w:rsidR="00B67C9F" w:rsidRPr="00C1087F">
        <w:rPr>
          <w:rFonts w:ascii="Arial" w:hAnsi="Arial" w:cs="Arial"/>
          <w:szCs w:val="24"/>
        </w:rPr>
        <w:t xml:space="preserve">underpinning a </w:t>
      </w:r>
      <w:r w:rsidR="000D21E9" w:rsidRPr="00C1087F">
        <w:rPr>
          <w:rFonts w:ascii="Arial" w:hAnsi="Arial" w:cs="Arial"/>
          <w:szCs w:val="24"/>
        </w:rPr>
        <w:t xml:space="preserve">s.50 </w:t>
      </w:r>
      <w:r w:rsidRPr="00C1087F">
        <w:rPr>
          <w:rFonts w:ascii="Arial" w:hAnsi="Arial" w:cs="Arial"/>
          <w:szCs w:val="24"/>
        </w:rPr>
        <w:t>decision notice is as follows.</w:t>
      </w:r>
      <w:r w:rsidR="000D21E9" w:rsidRPr="00C1087F">
        <w:rPr>
          <w:rFonts w:ascii="Arial" w:hAnsi="Arial" w:cs="Arial"/>
          <w:szCs w:val="24"/>
        </w:rPr>
        <w:t xml:space="preserve"> </w:t>
      </w:r>
      <w:r w:rsidR="00625DF3" w:rsidRPr="00C1087F">
        <w:rPr>
          <w:rFonts w:ascii="Arial" w:hAnsi="Arial" w:cs="Arial"/>
          <w:szCs w:val="24"/>
        </w:rPr>
        <w:t>S.</w:t>
      </w:r>
      <w:r w:rsidR="0046630B" w:rsidRPr="00C1087F">
        <w:rPr>
          <w:rFonts w:ascii="Arial" w:hAnsi="Arial" w:cs="Arial"/>
          <w:szCs w:val="24"/>
        </w:rPr>
        <w:t>1</w:t>
      </w:r>
      <w:r w:rsidR="00625DF3" w:rsidRPr="00C1087F">
        <w:rPr>
          <w:rFonts w:ascii="Arial" w:hAnsi="Arial" w:cs="Arial"/>
          <w:szCs w:val="24"/>
        </w:rPr>
        <w:t xml:space="preserve"> </w:t>
      </w:r>
      <w:r w:rsidR="000D21E9" w:rsidRPr="00C1087F">
        <w:rPr>
          <w:rFonts w:ascii="Arial" w:hAnsi="Arial" w:cs="Arial"/>
          <w:szCs w:val="24"/>
        </w:rPr>
        <w:t>FOIA</w:t>
      </w:r>
      <w:r w:rsidR="0046630B" w:rsidRPr="00C1087F">
        <w:rPr>
          <w:rFonts w:ascii="Arial" w:hAnsi="Arial" w:cs="Arial"/>
          <w:szCs w:val="24"/>
        </w:rPr>
        <w:t xml:space="preserve"> creates a </w:t>
      </w:r>
      <w:r w:rsidR="00123612" w:rsidRPr="00C1087F">
        <w:rPr>
          <w:rFonts w:ascii="Arial" w:hAnsi="Arial" w:cs="Arial"/>
          <w:szCs w:val="24"/>
        </w:rPr>
        <w:t xml:space="preserve">universal </w:t>
      </w:r>
      <w:r w:rsidR="0046630B" w:rsidRPr="00C1087F">
        <w:rPr>
          <w:rFonts w:ascii="Arial" w:hAnsi="Arial" w:cs="Arial"/>
          <w:szCs w:val="24"/>
        </w:rPr>
        <w:t xml:space="preserve">right of access to information held by public </w:t>
      </w:r>
      <w:r w:rsidR="00984433" w:rsidRPr="00C1087F">
        <w:rPr>
          <w:rFonts w:ascii="Arial" w:hAnsi="Arial" w:cs="Arial"/>
          <w:szCs w:val="24"/>
        </w:rPr>
        <w:t>authorities</w:t>
      </w:r>
      <w:r w:rsidR="0046630B" w:rsidRPr="00C1087F">
        <w:rPr>
          <w:rFonts w:ascii="Arial" w:hAnsi="Arial" w:cs="Arial"/>
          <w:szCs w:val="24"/>
        </w:rPr>
        <w:t xml:space="preserve"> </w:t>
      </w:r>
      <w:r w:rsidR="00A6664F">
        <w:rPr>
          <w:rFonts w:ascii="Arial" w:hAnsi="Arial" w:cs="Arial"/>
          <w:szCs w:val="24"/>
        </w:rPr>
        <w:t xml:space="preserve">and does so </w:t>
      </w:r>
      <w:r w:rsidR="0046630B" w:rsidRPr="00C1087F">
        <w:rPr>
          <w:rFonts w:ascii="Arial" w:hAnsi="Arial" w:cs="Arial"/>
          <w:szCs w:val="24"/>
        </w:rPr>
        <w:t>in the following terms:</w:t>
      </w:r>
    </w:p>
    <w:p w14:paraId="3238D2DB" w14:textId="2A3D82B2" w:rsidR="00464971" w:rsidRPr="00C1087F" w:rsidRDefault="00464971" w:rsidP="00EF4903">
      <w:pPr>
        <w:tabs>
          <w:tab w:val="left" w:pos="454"/>
          <w:tab w:val="left" w:pos="567"/>
          <w:tab w:val="left" w:pos="1134"/>
          <w:tab w:val="left" w:pos="5103"/>
        </w:tabs>
        <w:spacing w:after="120" w:line="276" w:lineRule="auto"/>
        <w:ind w:left="851"/>
        <w:rPr>
          <w:rFonts w:ascii="Arial" w:hAnsi="Arial" w:cs="Arial"/>
          <w:b/>
          <w:bCs/>
          <w:i/>
          <w:iCs/>
          <w:szCs w:val="24"/>
        </w:rPr>
      </w:pPr>
      <w:r w:rsidRPr="00C1087F">
        <w:rPr>
          <w:rFonts w:ascii="Arial" w:hAnsi="Arial" w:cs="Arial"/>
          <w:b/>
          <w:bCs/>
          <w:i/>
          <w:iCs/>
          <w:szCs w:val="24"/>
        </w:rPr>
        <w:t>1.— General right of access to information held by public authorities.</w:t>
      </w:r>
    </w:p>
    <w:p w14:paraId="0280A209" w14:textId="7016B55E"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(1)  Any person making a request for information to a public authority is entitled—</w:t>
      </w:r>
    </w:p>
    <w:p w14:paraId="1BD4E95F"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(a)  to be informed in writing by the public authority whether it holds information of the description specified in the request, and</w:t>
      </w:r>
    </w:p>
    <w:p w14:paraId="52099A89"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(b)  if that is the case, to have that information communicated to him.</w:t>
      </w:r>
    </w:p>
    <w:p w14:paraId="557A4D04"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(2)  Subsection (1) has effect subject to the following provisions of this section and to the provisions of sections 2, 9, 12 and 14.</w:t>
      </w:r>
    </w:p>
    <w:p w14:paraId="4FE964B9"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(3)  Where a public authority—</w:t>
      </w:r>
    </w:p>
    <w:p w14:paraId="47C9F7FB"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(a)  reasonably requires further information in order to identify and locate the information requested, and</w:t>
      </w:r>
    </w:p>
    <w:p w14:paraId="2A3B2BCE"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(b)  has informed the applicant of that requirement,</w:t>
      </w:r>
    </w:p>
    <w:p w14:paraId="3B0C4C96"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 xml:space="preserve"> the authority is not obliged to comply with subsection (1) unless it is supplied with that further information.</w:t>
      </w:r>
    </w:p>
    <w:p w14:paraId="61E2ECA8"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lastRenderedPageBreak/>
        <w:t>(4)  The information—</w:t>
      </w:r>
    </w:p>
    <w:p w14:paraId="599DE4E3"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(a)  in respect of which the applicant is to be informed under subsection (1)(a), or</w:t>
      </w:r>
    </w:p>
    <w:p w14:paraId="1962BBF9"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(b)  which is to be communicated under subsection (1)(b),</w:t>
      </w:r>
    </w:p>
    <w:p w14:paraId="7BD1FB52"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 xml:space="preserve"> is the information in question held at the time when the request is received, except that account may be taken of any amendment or deletion made between that time and the time when the information is to be communicated under subsection (1)(b), being an amendment or deletion that would have been made regardless of the receipt of the </w:t>
      </w:r>
      <w:proofErr w:type="gramStart"/>
      <w:r w:rsidRPr="00C1087F">
        <w:rPr>
          <w:rFonts w:ascii="Arial" w:hAnsi="Arial" w:cs="Arial"/>
          <w:i/>
          <w:iCs/>
          <w:szCs w:val="24"/>
        </w:rPr>
        <w:t>request.</w:t>
      </w:r>
      <w:proofErr w:type="gramEnd"/>
    </w:p>
    <w:p w14:paraId="41A37E03" w14:textId="77777777" w:rsidR="00625DF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(5)  A public authority is to be taken to have complied with subsection (1)(a) in relation to any information if it has communicated the information to the applicant in accordance with subsection (1)(b).</w:t>
      </w:r>
    </w:p>
    <w:p w14:paraId="529567FC" w14:textId="73AAAC22" w:rsidR="00984433" w:rsidRPr="00C1087F" w:rsidRDefault="00625DF3" w:rsidP="00EF4903">
      <w:pPr>
        <w:tabs>
          <w:tab w:val="left" w:pos="454"/>
          <w:tab w:val="left" w:pos="567"/>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(6)  In this Act, the duty of a public authority to comply with subsection (1)(a) is referred to as “the duty to confirm or deny</w:t>
      </w:r>
      <w:r w:rsidR="004D3986" w:rsidRPr="00C1087F">
        <w:rPr>
          <w:rFonts w:ascii="Arial" w:hAnsi="Arial" w:cs="Arial"/>
          <w:i/>
          <w:iCs/>
          <w:szCs w:val="24"/>
        </w:rPr>
        <w:t>”.</w:t>
      </w:r>
    </w:p>
    <w:p w14:paraId="4CFCB6DC" w14:textId="423BB644" w:rsidR="00CA7CD9" w:rsidRDefault="00CC5AA3" w:rsidP="00DD7117">
      <w:pPr>
        <w:numPr>
          <w:ilvl w:val="0"/>
          <w:numId w:val="21"/>
        </w:numPr>
        <w:tabs>
          <w:tab w:val="left" w:pos="426"/>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The</w:t>
      </w:r>
      <w:r w:rsidR="00A85F2D" w:rsidRPr="00C1087F">
        <w:rPr>
          <w:rFonts w:ascii="Arial" w:hAnsi="Arial" w:cs="Arial"/>
          <w:szCs w:val="24"/>
        </w:rPr>
        <w:t xml:space="preserve"> minimal</w:t>
      </w:r>
      <w:r w:rsidR="0060184D" w:rsidRPr="00C1087F">
        <w:rPr>
          <w:rFonts w:ascii="Arial" w:hAnsi="Arial" w:cs="Arial"/>
          <w:szCs w:val="24"/>
        </w:rPr>
        <w:t xml:space="preserve"> requirements</w:t>
      </w:r>
      <w:r w:rsidR="00A85F2D" w:rsidRPr="00C1087F">
        <w:rPr>
          <w:rFonts w:ascii="Arial" w:hAnsi="Arial" w:cs="Arial"/>
          <w:szCs w:val="24"/>
        </w:rPr>
        <w:t xml:space="preserve"> </w:t>
      </w:r>
      <w:r w:rsidR="00F16139" w:rsidRPr="00C1087F">
        <w:rPr>
          <w:rFonts w:ascii="Arial" w:hAnsi="Arial" w:cs="Arial"/>
          <w:szCs w:val="24"/>
        </w:rPr>
        <w:t xml:space="preserve">of a valid </w:t>
      </w:r>
      <w:r w:rsidRPr="00C1087F">
        <w:rPr>
          <w:rFonts w:ascii="Arial" w:hAnsi="Arial" w:cs="Arial"/>
          <w:szCs w:val="24"/>
        </w:rPr>
        <w:t xml:space="preserve">request for information </w:t>
      </w:r>
      <w:r w:rsidR="007C1CB3" w:rsidRPr="00C1087F">
        <w:rPr>
          <w:rFonts w:ascii="Arial" w:hAnsi="Arial" w:cs="Arial"/>
          <w:szCs w:val="24"/>
        </w:rPr>
        <w:t xml:space="preserve">are </w:t>
      </w:r>
      <w:r w:rsidRPr="00C1087F">
        <w:rPr>
          <w:rFonts w:ascii="Arial" w:hAnsi="Arial" w:cs="Arial"/>
          <w:szCs w:val="24"/>
        </w:rPr>
        <w:t>set out in s.8.</w:t>
      </w:r>
      <w:r w:rsidR="00E71932">
        <w:rPr>
          <w:rFonts w:ascii="Arial" w:hAnsi="Arial" w:cs="Arial"/>
          <w:szCs w:val="24"/>
        </w:rPr>
        <w:t xml:space="preserve"> </w:t>
      </w:r>
      <w:r w:rsidR="00934ED9" w:rsidRPr="00C1087F">
        <w:rPr>
          <w:rFonts w:ascii="Arial" w:hAnsi="Arial" w:cs="Arial"/>
          <w:szCs w:val="24"/>
        </w:rPr>
        <w:t>It</w:t>
      </w:r>
      <w:r w:rsidR="00FE0FF4" w:rsidRPr="00C1087F">
        <w:rPr>
          <w:rFonts w:ascii="Arial" w:hAnsi="Arial" w:cs="Arial"/>
          <w:szCs w:val="24"/>
        </w:rPr>
        <w:t xml:space="preserve"> </w:t>
      </w:r>
      <w:r w:rsidR="007C1CB3" w:rsidRPr="00C1087F">
        <w:rPr>
          <w:rFonts w:ascii="Arial" w:hAnsi="Arial" w:cs="Arial"/>
          <w:szCs w:val="24"/>
        </w:rPr>
        <w:t>must</w:t>
      </w:r>
      <w:r w:rsidR="001878F0" w:rsidRPr="00C1087F">
        <w:rPr>
          <w:rFonts w:ascii="Arial" w:hAnsi="Arial" w:cs="Arial"/>
          <w:szCs w:val="24"/>
        </w:rPr>
        <w:t>:</w:t>
      </w:r>
    </w:p>
    <w:p w14:paraId="47E3436A" w14:textId="2CEE4C95" w:rsidR="001E0B9A" w:rsidRPr="00CA7CD9" w:rsidRDefault="007C1CB3" w:rsidP="00EF4903">
      <w:pPr>
        <w:numPr>
          <w:ilvl w:val="1"/>
          <w:numId w:val="21"/>
        </w:numPr>
        <w:tabs>
          <w:tab w:val="left" w:pos="426"/>
          <w:tab w:val="left" w:pos="567"/>
          <w:tab w:val="left" w:pos="1134"/>
          <w:tab w:val="left" w:pos="5103"/>
        </w:tabs>
        <w:spacing w:after="120" w:line="276" w:lineRule="auto"/>
        <w:ind w:hanging="1159"/>
        <w:jc w:val="both"/>
        <w:rPr>
          <w:rFonts w:ascii="Arial" w:hAnsi="Arial" w:cs="Arial"/>
          <w:b/>
          <w:bCs/>
          <w:szCs w:val="24"/>
        </w:rPr>
      </w:pPr>
      <w:r w:rsidRPr="00CA7CD9">
        <w:rPr>
          <w:rFonts w:ascii="Arial" w:hAnsi="Arial" w:cs="Arial"/>
          <w:szCs w:val="24"/>
        </w:rPr>
        <w:t xml:space="preserve">be </w:t>
      </w:r>
      <w:r w:rsidR="00610414" w:rsidRPr="00CA7CD9">
        <w:rPr>
          <w:rFonts w:ascii="Arial" w:hAnsi="Arial" w:cs="Arial"/>
          <w:szCs w:val="24"/>
        </w:rPr>
        <w:t>made in writing</w:t>
      </w:r>
      <w:r w:rsidR="001878F0" w:rsidRPr="00CA7CD9">
        <w:rPr>
          <w:rFonts w:ascii="Arial" w:hAnsi="Arial" w:cs="Arial"/>
          <w:szCs w:val="24"/>
        </w:rPr>
        <w:t>;</w:t>
      </w:r>
    </w:p>
    <w:p w14:paraId="69744C8C" w14:textId="26CE0003" w:rsidR="001E0B9A" w:rsidRPr="00C1087F" w:rsidRDefault="00610414" w:rsidP="00EF4903">
      <w:pPr>
        <w:numPr>
          <w:ilvl w:val="1"/>
          <w:numId w:val="21"/>
        </w:numPr>
        <w:tabs>
          <w:tab w:val="left" w:pos="454"/>
          <w:tab w:val="left" w:pos="567"/>
          <w:tab w:val="left" w:pos="1134"/>
        </w:tabs>
        <w:spacing w:after="120" w:line="276" w:lineRule="auto"/>
        <w:ind w:hanging="1159"/>
        <w:jc w:val="both"/>
        <w:rPr>
          <w:rFonts w:ascii="Arial" w:hAnsi="Arial" w:cs="Arial"/>
          <w:b/>
          <w:bCs/>
          <w:szCs w:val="24"/>
        </w:rPr>
      </w:pPr>
      <w:r w:rsidRPr="00C1087F">
        <w:rPr>
          <w:rFonts w:ascii="Arial" w:hAnsi="Arial" w:cs="Arial"/>
          <w:szCs w:val="24"/>
        </w:rPr>
        <w:t>state the name of the applicant</w:t>
      </w:r>
      <w:r w:rsidR="001E0B9A" w:rsidRPr="00C1087F">
        <w:rPr>
          <w:rFonts w:ascii="Arial" w:hAnsi="Arial" w:cs="Arial"/>
          <w:szCs w:val="24"/>
        </w:rPr>
        <w:t>;</w:t>
      </w:r>
    </w:p>
    <w:p w14:paraId="0C2ED732" w14:textId="5945E523" w:rsidR="001E0B9A" w:rsidRPr="00C1087F" w:rsidRDefault="0088734E" w:rsidP="00EF4903">
      <w:pPr>
        <w:numPr>
          <w:ilvl w:val="1"/>
          <w:numId w:val="21"/>
        </w:numPr>
        <w:tabs>
          <w:tab w:val="left" w:pos="454"/>
          <w:tab w:val="left" w:pos="567"/>
          <w:tab w:val="left" w:pos="1134"/>
        </w:tabs>
        <w:spacing w:after="120" w:line="276" w:lineRule="auto"/>
        <w:ind w:hanging="1159"/>
        <w:jc w:val="both"/>
        <w:rPr>
          <w:rFonts w:ascii="Arial" w:hAnsi="Arial" w:cs="Arial"/>
          <w:b/>
          <w:bCs/>
          <w:szCs w:val="24"/>
        </w:rPr>
      </w:pPr>
      <w:r w:rsidRPr="00C1087F">
        <w:rPr>
          <w:rFonts w:ascii="Arial" w:hAnsi="Arial" w:cs="Arial"/>
          <w:szCs w:val="24"/>
        </w:rPr>
        <w:t>provide an address for correspondence</w:t>
      </w:r>
      <w:r w:rsidR="001E0B9A" w:rsidRPr="00C1087F">
        <w:rPr>
          <w:rFonts w:ascii="Arial" w:hAnsi="Arial" w:cs="Arial"/>
          <w:szCs w:val="24"/>
        </w:rPr>
        <w:t>;</w:t>
      </w:r>
      <w:r w:rsidRPr="00C1087F">
        <w:rPr>
          <w:rFonts w:ascii="Arial" w:hAnsi="Arial" w:cs="Arial"/>
          <w:szCs w:val="24"/>
        </w:rPr>
        <w:t xml:space="preserve"> and</w:t>
      </w:r>
    </w:p>
    <w:p w14:paraId="1B029BA5" w14:textId="1F2889CA" w:rsidR="001E0B9A" w:rsidRPr="00C1087F" w:rsidRDefault="0088734E" w:rsidP="00EF4903">
      <w:pPr>
        <w:numPr>
          <w:ilvl w:val="1"/>
          <w:numId w:val="21"/>
        </w:numPr>
        <w:tabs>
          <w:tab w:val="left" w:pos="454"/>
          <w:tab w:val="left" w:pos="567"/>
          <w:tab w:val="left" w:pos="1134"/>
        </w:tabs>
        <w:spacing w:after="120" w:line="276" w:lineRule="auto"/>
        <w:ind w:hanging="1159"/>
        <w:jc w:val="both"/>
        <w:rPr>
          <w:rFonts w:ascii="Arial" w:hAnsi="Arial" w:cs="Arial"/>
          <w:b/>
          <w:bCs/>
          <w:szCs w:val="24"/>
        </w:rPr>
      </w:pPr>
      <w:r w:rsidRPr="00C1087F">
        <w:rPr>
          <w:rFonts w:ascii="Arial" w:hAnsi="Arial" w:cs="Arial"/>
          <w:szCs w:val="24"/>
        </w:rPr>
        <w:t>describe the information being requested</w:t>
      </w:r>
      <w:r w:rsidR="000A6F1F" w:rsidRPr="00C1087F">
        <w:rPr>
          <w:rFonts w:ascii="Arial" w:hAnsi="Arial" w:cs="Arial"/>
          <w:szCs w:val="24"/>
        </w:rPr>
        <w:t>.</w:t>
      </w:r>
      <w:r w:rsidRPr="00C1087F">
        <w:rPr>
          <w:rFonts w:ascii="Arial" w:hAnsi="Arial" w:cs="Arial"/>
          <w:szCs w:val="24"/>
        </w:rPr>
        <w:t xml:space="preserve"> </w:t>
      </w:r>
    </w:p>
    <w:p w14:paraId="0CEFD9B2" w14:textId="1246C145" w:rsidR="001668AA" w:rsidRPr="00C1087F" w:rsidRDefault="008671E2" w:rsidP="00DD7117">
      <w:pPr>
        <w:numPr>
          <w:ilvl w:val="0"/>
          <w:numId w:val="21"/>
        </w:numPr>
        <w:tabs>
          <w:tab w:val="left" w:pos="454"/>
          <w:tab w:val="left" w:pos="567"/>
          <w:tab w:val="left" w:pos="1134"/>
        </w:tabs>
        <w:spacing w:after="120" w:line="276" w:lineRule="auto"/>
        <w:ind w:left="0" w:firstLine="0"/>
        <w:jc w:val="both"/>
        <w:rPr>
          <w:rFonts w:ascii="Arial" w:hAnsi="Arial" w:cs="Arial"/>
          <w:b/>
          <w:bCs/>
          <w:szCs w:val="24"/>
        </w:rPr>
      </w:pPr>
      <w:r w:rsidRPr="00C1087F">
        <w:rPr>
          <w:rFonts w:ascii="Arial" w:hAnsi="Arial" w:cs="Arial"/>
          <w:szCs w:val="24"/>
        </w:rPr>
        <w:t xml:space="preserve">The public authority is required to respond to the </w:t>
      </w:r>
      <w:r w:rsidR="00674DDB" w:rsidRPr="00C1087F">
        <w:rPr>
          <w:rFonts w:ascii="Arial" w:hAnsi="Arial" w:cs="Arial"/>
          <w:szCs w:val="24"/>
        </w:rPr>
        <w:t xml:space="preserve">applicant </w:t>
      </w:r>
      <w:r w:rsidR="00003A0E" w:rsidRPr="00C1087F">
        <w:rPr>
          <w:rFonts w:ascii="Arial" w:hAnsi="Arial" w:cs="Arial"/>
          <w:szCs w:val="24"/>
        </w:rPr>
        <w:t>promptly, and</w:t>
      </w:r>
      <w:r w:rsidR="00142B4E" w:rsidRPr="00C1087F">
        <w:rPr>
          <w:rFonts w:ascii="Arial" w:hAnsi="Arial" w:cs="Arial"/>
          <w:szCs w:val="24"/>
        </w:rPr>
        <w:t xml:space="preserve"> </w:t>
      </w:r>
      <w:r w:rsidR="00003A0E" w:rsidRPr="00C1087F">
        <w:rPr>
          <w:rFonts w:ascii="Arial" w:hAnsi="Arial" w:cs="Arial"/>
          <w:szCs w:val="24"/>
        </w:rPr>
        <w:t xml:space="preserve">in general must </w:t>
      </w:r>
      <w:r w:rsidR="000251BD" w:rsidRPr="00C1087F">
        <w:rPr>
          <w:rFonts w:ascii="Arial" w:hAnsi="Arial" w:cs="Arial"/>
          <w:szCs w:val="24"/>
        </w:rPr>
        <w:t xml:space="preserve">do so </w:t>
      </w:r>
      <w:r w:rsidR="0095284B" w:rsidRPr="00C1087F">
        <w:rPr>
          <w:rFonts w:ascii="Arial" w:hAnsi="Arial" w:cs="Arial"/>
          <w:szCs w:val="24"/>
        </w:rPr>
        <w:t>no later than 20 working days after the request is received</w:t>
      </w:r>
      <w:r w:rsidR="008D79E1" w:rsidRPr="00C1087F">
        <w:rPr>
          <w:rFonts w:ascii="Arial" w:hAnsi="Arial" w:cs="Arial"/>
          <w:szCs w:val="24"/>
        </w:rPr>
        <w:t xml:space="preserve"> or after </w:t>
      </w:r>
      <w:r w:rsidR="008631D4" w:rsidRPr="00C1087F">
        <w:rPr>
          <w:rFonts w:ascii="Arial" w:hAnsi="Arial" w:cs="Arial"/>
          <w:szCs w:val="24"/>
        </w:rPr>
        <w:t xml:space="preserve">the applicant has provided </w:t>
      </w:r>
      <w:r w:rsidR="008D79E1" w:rsidRPr="00C1087F">
        <w:rPr>
          <w:rFonts w:ascii="Arial" w:hAnsi="Arial" w:cs="Arial"/>
          <w:szCs w:val="24"/>
        </w:rPr>
        <w:t xml:space="preserve">additional information </w:t>
      </w:r>
      <w:r w:rsidR="008631D4" w:rsidRPr="00C1087F">
        <w:rPr>
          <w:rFonts w:ascii="Arial" w:hAnsi="Arial" w:cs="Arial"/>
          <w:szCs w:val="24"/>
        </w:rPr>
        <w:t xml:space="preserve">requested </w:t>
      </w:r>
      <w:r w:rsidR="0023431D" w:rsidRPr="00C1087F">
        <w:rPr>
          <w:rFonts w:ascii="Arial" w:hAnsi="Arial" w:cs="Arial"/>
          <w:szCs w:val="24"/>
        </w:rPr>
        <w:t>by th</w:t>
      </w:r>
      <w:r w:rsidR="00C31C31" w:rsidRPr="00C1087F">
        <w:rPr>
          <w:rFonts w:ascii="Arial" w:hAnsi="Arial" w:cs="Arial"/>
          <w:szCs w:val="24"/>
        </w:rPr>
        <w:t>e</w:t>
      </w:r>
      <w:r w:rsidR="0023431D" w:rsidRPr="00C1087F">
        <w:rPr>
          <w:rFonts w:ascii="Arial" w:hAnsi="Arial" w:cs="Arial"/>
          <w:szCs w:val="24"/>
        </w:rPr>
        <w:t xml:space="preserve"> public authority </w:t>
      </w:r>
      <w:r w:rsidR="00C31C31" w:rsidRPr="00C1087F">
        <w:rPr>
          <w:rFonts w:ascii="Arial" w:hAnsi="Arial" w:cs="Arial"/>
          <w:szCs w:val="24"/>
        </w:rPr>
        <w:t xml:space="preserve">in order </w:t>
      </w:r>
      <w:r w:rsidR="0023431D" w:rsidRPr="00C1087F">
        <w:rPr>
          <w:rFonts w:ascii="Arial" w:hAnsi="Arial" w:cs="Arial"/>
          <w:szCs w:val="24"/>
        </w:rPr>
        <w:t>to clarify the request</w:t>
      </w:r>
      <w:r w:rsidR="00206FC9" w:rsidRPr="00C1087F">
        <w:rPr>
          <w:rFonts w:ascii="Arial" w:hAnsi="Arial" w:cs="Arial"/>
          <w:szCs w:val="24"/>
        </w:rPr>
        <w:t xml:space="preserve"> (s.10)</w:t>
      </w:r>
      <w:r w:rsidR="00FC74A4" w:rsidRPr="00C1087F">
        <w:rPr>
          <w:rFonts w:ascii="Arial" w:hAnsi="Arial" w:cs="Arial"/>
          <w:szCs w:val="24"/>
        </w:rPr>
        <w:t>.</w:t>
      </w:r>
    </w:p>
    <w:p w14:paraId="5A35EF4D" w14:textId="48DECA63" w:rsidR="002C63B8" w:rsidRPr="00C1087F" w:rsidRDefault="00EF55B0" w:rsidP="00DD7117">
      <w:pPr>
        <w:numPr>
          <w:ilvl w:val="0"/>
          <w:numId w:val="21"/>
        </w:numPr>
        <w:tabs>
          <w:tab w:val="left" w:pos="454"/>
          <w:tab w:val="left" w:pos="567"/>
          <w:tab w:val="left" w:pos="1134"/>
        </w:tabs>
        <w:spacing w:after="120" w:line="276" w:lineRule="auto"/>
        <w:ind w:left="0" w:firstLine="0"/>
        <w:jc w:val="both"/>
        <w:rPr>
          <w:rFonts w:ascii="Arial" w:hAnsi="Arial" w:cs="Arial"/>
          <w:b/>
          <w:bCs/>
          <w:szCs w:val="24"/>
        </w:rPr>
      </w:pPr>
      <w:r w:rsidRPr="00C1087F">
        <w:rPr>
          <w:rFonts w:ascii="Arial" w:hAnsi="Arial" w:cs="Arial"/>
          <w:szCs w:val="24"/>
        </w:rPr>
        <w:t xml:space="preserve">The </w:t>
      </w:r>
      <w:r w:rsidR="005F490D" w:rsidRPr="00C1087F">
        <w:rPr>
          <w:rFonts w:ascii="Arial" w:hAnsi="Arial" w:cs="Arial"/>
          <w:szCs w:val="24"/>
        </w:rPr>
        <w:t xml:space="preserve">public authority </w:t>
      </w:r>
      <w:r w:rsidRPr="00C1087F">
        <w:rPr>
          <w:rFonts w:ascii="Arial" w:hAnsi="Arial" w:cs="Arial"/>
          <w:szCs w:val="24"/>
        </w:rPr>
        <w:t xml:space="preserve">is </w:t>
      </w:r>
      <w:r w:rsidR="008A779A">
        <w:rPr>
          <w:rFonts w:ascii="Arial" w:hAnsi="Arial" w:cs="Arial"/>
          <w:szCs w:val="24"/>
        </w:rPr>
        <w:t xml:space="preserve">also </w:t>
      </w:r>
      <w:r w:rsidRPr="00C1087F">
        <w:rPr>
          <w:rFonts w:ascii="Arial" w:hAnsi="Arial" w:cs="Arial"/>
          <w:szCs w:val="24"/>
        </w:rPr>
        <w:t xml:space="preserve">required to </w:t>
      </w:r>
      <w:r w:rsidR="0078228C" w:rsidRPr="00C1087F">
        <w:rPr>
          <w:rFonts w:ascii="Arial" w:hAnsi="Arial" w:cs="Arial"/>
          <w:szCs w:val="24"/>
        </w:rPr>
        <w:t>confirm or deny whether the requested information is held</w:t>
      </w:r>
      <w:r w:rsidR="00A62E7A">
        <w:rPr>
          <w:rFonts w:ascii="Arial" w:hAnsi="Arial" w:cs="Arial"/>
          <w:szCs w:val="24"/>
        </w:rPr>
        <w:t xml:space="preserve"> (s.1(1)(a))</w:t>
      </w:r>
      <w:r w:rsidR="00B27E21" w:rsidRPr="00C1087F">
        <w:rPr>
          <w:rFonts w:ascii="Arial" w:hAnsi="Arial" w:cs="Arial"/>
          <w:szCs w:val="24"/>
        </w:rPr>
        <w:t xml:space="preserve"> </w:t>
      </w:r>
      <w:r w:rsidR="00DB0EC5" w:rsidRPr="00C1087F">
        <w:rPr>
          <w:rFonts w:ascii="Arial" w:hAnsi="Arial" w:cs="Arial"/>
          <w:szCs w:val="24"/>
        </w:rPr>
        <w:t xml:space="preserve">and, if held, </w:t>
      </w:r>
      <w:r w:rsidR="00B27E21" w:rsidRPr="00C1087F">
        <w:rPr>
          <w:rFonts w:ascii="Arial" w:hAnsi="Arial" w:cs="Arial"/>
          <w:szCs w:val="24"/>
        </w:rPr>
        <w:t xml:space="preserve">to </w:t>
      </w:r>
      <w:r w:rsidR="00DB0EC5" w:rsidRPr="00C1087F">
        <w:rPr>
          <w:rFonts w:ascii="Arial" w:hAnsi="Arial" w:cs="Arial"/>
          <w:szCs w:val="24"/>
        </w:rPr>
        <w:t>communicate th</w:t>
      </w:r>
      <w:r w:rsidR="0026161B" w:rsidRPr="00C1087F">
        <w:rPr>
          <w:rFonts w:ascii="Arial" w:hAnsi="Arial" w:cs="Arial"/>
          <w:szCs w:val="24"/>
        </w:rPr>
        <w:t>e</w:t>
      </w:r>
      <w:r w:rsidR="00DB0EC5" w:rsidRPr="00C1087F">
        <w:rPr>
          <w:rFonts w:ascii="Arial" w:hAnsi="Arial" w:cs="Arial"/>
          <w:szCs w:val="24"/>
        </w:rPr>
        <w:t xml:space="preserve"> information to the applicant</w:t>
      </w:r>
      <w:r w:rsidR="00A62E7A">
        <w:rPr>
          <w:rFonts w:ascii="Arial" w:hAnsi="Arial" w:cs="Arial"/>
          <w:szCs w:val="24"/>
        </w:rPr>
        <w:t xml:space="preserve"> (s.1(1)(b))</w:t>
      </w:r>
      <w:r w:rsidR="001668AA" w:rsidRPr="00C1087F">
        <w:rPr>
          <w:rFonts w:ascii="Arial" w:hAnsi="Arial" w:cs="Arial"/>
          <w:szCs w:val="24"/>
        </w:rPr>
        <w:t xml:space="preserve"> </w:t>
      </w:r>
      <w:r w:rsidR="006F2D4E" w:rsidRPr="00C1087F">
        <w:rPr>
          <w:rFonts w:ascii="Arial" w:hAnsi="Arial" w:cs="Arial"/>
          <w:szCs w:val="24"/>
        </w:rPr>
        <w:t>u</w:t>
      </w:r>
      <w:r w:rsidR="00555093" w:rsidRPr="00C1087F">
        <w:rPr>
          <w:rFonts w:ascii="Arial" w:hAnsi="Arial" w:cs="Arial"/>
          <w:szCs w:val="24"/>
        </w:rPr>
        <w:t>nless</w:t>
      </w:r>
      <w:r w:rsidR="001668AA" w:rsidRPr="00C1087F">
        <w:rPr>
          <w:rFonts w:ascii="Arial" w:hAnsi="Arial" w:cs="Arial"/>
          <w:szCs w:val="24"/>
        </w:rPr>
        <w:t>:</w:t>
      </w:r>
      <w:r w:rsidR="00555093" w:rsidRPr="00C1087F">
        <w:rPr>
          <w:rFonts w:ascii="Arial" w:hAnsi="Arial" w:cs="Arial"/>
          <w:szCs w:val="24"/>
        </w:rPr>
        <w:t xml:space="preserve"> </w:t>
      </w:r>
    </w:p>
    <w:p w14:paraId="6E3D9781" w14:textId="6C0F04C3" w:rsidR="00D26318" w:rsidRPr="00C1087F" w:rsidRDefault="002C63B8" w:rsidP="003E3277">
      <w:pPr>
        <w:numPr>
          <w:ilvl w:val="1"/>
          <w:numId w:val="21"/>
        </w:numPr>
        <w:tabs>
          <w:tab w:val="left" w:pos="454"/>
          <w:tab w:val="left" w:pos="567"/>
          <w:tab w:val="left" w:pos="1134"/>
        </w:tabs>
        <w:spacing w:after="120" w:line="276" w:lineRule="auto"/>
        <w:ind w:hanging="1159"/>
        <w:jc w:val="both"/>
        <w:rPr>
          <w:rFonts w:ascii="Arial" w:hAnsi="Arial" w:cs="Arial"/>
          <w:b/>
          <w:bCs/>
          <w:szCs w:val="24"/>
        </w:rPr>
      </w:pPr>
      <w:r w:rsidRPr="00C1087F">
        <w:rPr>
          <w:rFonts w:ascii="Arial" w:hAnsi="Arial" w:cs="Arial"/>
          <w:szCs w:val="24"/>
        </w:rPr>
        <w:t>One of the exemption</w:t>
      </w:r>
      <w:r w:rsidR="00B84426" w:rsidRPr="00C1087F">
        <w:rPr>
          <w:rFonts w:ascii="Arial" w:hAnsi="Arial" w:cs="Arial"/>
          <w:szCs w:val="24"/>
        </w:rPr>
        <w:t xml:space="preserve">s in Part II FOIA applies to </w:t>
      </w:r>
      <w:r w:rsidR="00D26318" w:rsidRPr="00C1087F">
        <w:rPr>
          <w:rFonts w:ascii="Arial" w:hAnsi="Arial" w:cs="Arial"/>
          <w:szCs w:val="24"/>
        </w:rPr>
        <w:t>the information</w:t>
      </w:r>
      <w:r w:rsidR="00CE1350" w:rsidRPr="00C1087F">
        <w:rPr>
          <w:rFonts w:ascii="Arial" w:hAnsi="Arial" w:cs="Arial"/>
          <w:szCs w:val="24"/>
        </w:rPr>
        <w:t xml:space="preserve"> (s.2)</w:t>
      </w:r>
      <w:r w:rsidR="00D26318" w:rsidRPr="00C1087F">
        <w:rPr>
          <w:rFonts w:ascii="Arial" w:hAnsi="Arial" w:cs="Arial"/>
          <w:szCs w:val="24"/>
        </w:rPr>
        <w:t>;</w:t>
      </w:r>
    </w:p>
    <w:p w14:paraId="72C1D47C" w14:textId="6874619D" w:rsidR="00CE1350" w:rsidRPr="00C1087F" w:rsidRDefault="00DF10D2" w:rsidP="003E3277">
      <w:pPr>
        <w:numPr>
          <w:ilvl w:val="1"/>
          <w:numId w:val="21"/>
        </w:numPr>
        <w:tabs>
          <w:tab w:val="left" w:pos="454"/>
          <w:tab w:val="left" w:pos="567"/>
          <w:tab w:val="left" w:pos="1134"/>
        </w:tabs>
        <w:spacing w:after="120" w:line="276" w:lineRule="auto"/>
        <w:ind w:hanging="1159"/>
        <w:jc w:val="both"/>
        <w:rPr>
          <w:rFonts w:ascii="Arial" w:hAnsi="Arial" w:cs="Arial"/>
          <w:b/>
          <w:bCs/>
          <w:szCs w:val="24"/>
        </w:rPr>
      </w:pPr>
      <w:r w:rsidRPr="00C1087F">
        <w:rPr>
          <w:rFonts w:ascii="Arial" w:hAnsi="Arial" w:cs="Arial"/>
          <w:szCs w:val="24"/>
        </w:rPr>
        <w:t xml:space="preserve">The public authority has served a fee notice which </w:t>
      </w:r>
      <w:r w:rsidR="00D66D89" w:rsidRPr="00C1087F">
        <w:rPr>
          <w:rFonts w:ascii="Arial" w:hAnsi="Arial" w:cs="Arial"/>
          <w:szCs w:val="24"/>
        </w:rPr>
        <w:t>remains</w:t>
      </w:r>
      <w:r w:rsidR="00CF5E06" w:rsidRPr="00C1087F">
        <w:rPr>
          <w:rFonts w:ascii="Arial" w:hAnsi="Arial" w:cs="Arial"/>
          <w:szCs w:val="24"/>
        </w:rPr>
        <w:t xml:space="preserve"> un</w:t>
      </w:r>
      <w:r w:rsidR="00CE1350" w:rsidRPr="00C1087F">
        <w:rPr>
          <w:rFonts w:ascii="Arial" w:hAnsi="Arial" w:cs="Arial"/>
          <w:szCs w:val="24"/>
        </w:rPr>
        <w:t>paid (s.9);</w:t>
      </w:r>
    </w:p>
    <w:p w14:paraId="1EE788B2" w14:textId="47672F29" w:rsidR="00697155" w:rsidRPr="00C1087F" w:rsidRDefault="003646EF" w:rsidP="003E3277">
      <w:pPr>
        <w:numPr>
          <w:ilvl w:val="1"/>
          <w:numId w:val="21"/>
        </w:numPr>
        <w:tabs>
          <w:tab w:val="left" w:pos="851"/>
          <w:tab w:val="left" w:pos="1134"/>
        </w:tabs>
        <w:spacing w:after="120" w:line="276" w:lineRule="auto"/>
        <w:ind w:left="1134" w:hanging="283"/>
        <w:jc w:val="both"/>
        <w:rPr>
          <w:rFonts w:ascii="Arial" w:hAnsi="Arial" w:cs="Arial"/>
          <w:b/>
          <w:bCs/>
          <w:szCs w:val="24"/>
        </w:rPr>
      </w:pPr>
      <w:r w:rsidRPr="00C1087F">
        <w:rPr>
          <w:rFonts w:ascii="Arial" w:hAnsi="Arial" w:cs="Arial"/>
          <w:szCs w:val="24"/>
        </w:rPr>
        <w:t>T</w:t>
      </w:r>
      <w:r w:rsidR="00887C55" w:rsidRPr="00C1087F">
        <w:rPr>
          <w:rFonts w:ascii="Arial" w:hAnsi="Arial" w:cs="Arial"/>
          <w:szCs w:val="24"/>
        </w:rPr>
        <w:t xml:space="preserve">he cost of complying with the request would exceed </w:t>
      </w:r>
      <w:r w:rsidR="005F0CE4" w:rsidRPr="00C1087F">
        <w:rPr>
          <w:rFonts w:ascii="Arial" w:hAnsi="Arial" w:cs="Arial"/>
          <w:szCs w:val="24"/>
        </w:rPr>
        <w:t>‘</w:t>
      </w:r>
      <w:r w:rsidR="00887C55" w:rsidRPr="00C1087F">
        <w:rPr>
          <w:rFonts w:ascii="Arial" w:hAnsi="Arial" w:cs="Arial"/>
          <w:szCs w:val="24"/>
        </w:rPr>
        <w:t xml:space="preserve">the appropriate </w:t>
      </w:r>
      <w:r w:rsidR="005F0CE4" w:rsidRPr="00C1087F">
        <w:rPr>
          <w:rFonts w:ascii="Arial" w:hAnsi="Arial" w:cs="Arial"/>
          <w:szCs w:val="24"/>
        </w:rPr>
        <w:t>limit’ set by regulation (s.12)</w:t>
      </w:r>
      <w:r w:rsidR="00697155" w:rsidRPr="00C1087F">
        <w:rPr>
          <w:rFonts w:ascii="Arial" w:hAnsi="Arial" w:cs="Arial"/>
          <w:szCs w:val="24"/>
        </w:rPr>
        <w:t>; or</w:t>
      </w:r>
    </w:p>
    <w:p w14:paraId="6FAB8326" w14:textId="0B0CCEE4" w:rsidR="003646EF" w:rsidRPr="00C1087F" w:rsidRDefault="003646EF" w:rsidP="003E3277">
      <w:pPr>
        <w:numPr>
          <w:ilvl w:val="1"/>
          <w:numId w:val="21"/>
        </w:numPr>
        <w:tabs>
          <w:tab w:val="left" w:pos="454"/>
          <w:tab w:val="left" w:pos="567"/>
          <w:tab w:val="left" w:pos="1134"/>
        </w:tabs>
        <w:spacing w:after="120" w:line="276" w:lineRule="auto"/>
        <w:ind w:hanging="1159"/>
        <w:jc w:val="both"/>
        <w:rPr>
          <w:rFonts w:ascii="Arial" w:hAnsi="Arial" w:cs="Arial"/>
          <w:b/>
          <w:bCs/>
          <w:szCs w:val="24"/>
        </w:rPr>
      </w:pPr>
      <w:r w:rsidRPr="00C1087F">
        <w:rPr>
          <w:rFonts w:ascii="Arial" w:hAnsi="Arial" w:cs="Arial"/>
          <w:szCs w:val="24"/>
        </w:rPr>
        <w:t>The request is vexatious or is a repeated request (s.14).</w:t>
      </w:r>
    </w:p>
    <w:p w14:paraId="51004FF8" w14:textId="2E89734A" w:rsidR="005A4512" w:rsidRPr="00C1087F" w:rsidRDefault="00E5564E" w:rsidP="00DD7117">
      <w:pPr>
        <w:numPr>
          <w:ilvl w:val="0"/>
          <w:numId w:val="21"/>
        </w:numPr>
        <w:tabs>
          <w:tab w:val="left" w:pos="454"/>
          <w:tab w:val="left" w:pos="567"/>
          <w:tab w:val="left" w:pos="1134"/>
        </w:tabs>
        <w:spacing w:after="120" w:line="276" w:lineRule="auto"/>
        <w:ind w:left="0" w:firstLine="0"/>
        <w:jc w:val="both"/>
        <w:rPr>
          <w:rFonts w:ascii="Arial" w:hAnsi="Arial" w:cs="Arial"/>
          <w:b/>
          <w:bCs/>
          <w:szCs w:val="24"/>
        </w:rPr>
      </w:pPr>
      <w:r w:rsidRPr="00C1087F">
        <w:rPr>
          <w:rFonts w:ascii="Arial" w:hAnsi="Arial" w:cs="Arial"/>
          <w:szCs w:val="24"/>
        </w:rPr>
        <w:t xml:space="preserve">Where the public authority </w:t>
      </w:r>
      <w:r w:rsidR="00F93740" w:rsidRPr="00C1087F">
        <w:rPr>
          <w:rFonts w:ascii="Arial" w:hAnsi="Arial" w:cs="Arial"/>
          <w:szCs w:val="24"/>
        </w:rPr>
        <w:t>refuse</w:t>
      </w:r>
      <w:r w:rsidR="00482BD7" w:rsidRPr="00C1087F">
        <w:rPr>
          <w:rFonts w:ascii="Arial" w:hAnsi="Arial" w:cs="Arial"/>
          <w:szCs w:val="24"/>
        </w:rPr>
        <w:t>s</w:t>
      </w:r>
      <w:r w:rsidR="00F93740" w:rsidRPr="00C1087F">
        <w:rPr>
          <w:rFonts w:ascii="Arial" w:hAnsi="Arial" w:cs="Arial"/>
          <w:szCs w:val="24"/>
        </w:rPr>
        <w:t xml:space="preserve"> a request for information, it must </w:t>
      </w:r>
      <w:r w:rsidR="004F5CC1" w:rsidRPr="00C1087F">
        <w:rPr>
          <w:rFonts w:ascii="Arial" w:hAnsi="Arial" w:cs="Arial"/>
          <w:szCs w:val="24"/>
        </w:rPr>
        <w:t xml:space="preserve">give </w:t>
      </w:r>
      <w:r w:rsidR="00CC0962" w:rsidRPr="00C1087F">
        <w:rPr>
          <w:rFonts w:ascii="Arial" w:hAnsi="Arial" w:cs="Arial"/>
          <w:szCs w:val="24"/>
        </w:rPr>
        <w:t xml:space="preserve">the </w:t>
      </w:r>
      <w:r w:rsidR="000F4127" w:rsidRPr="00C1087F">
        <w:rPr>
          <w:rFonts w:ascii="Arial" w:hAnsi="Arial" w:cs="Arial"/>
          <w:szCs w:val="24"/>
        </w:rPr>
        <w:t xml:space="preserve">applicant </w:t>
      </w:r>
      <w:r w:rsidR="000A23E3" w:rsidRPr="00C1087F">
        <w:rPr>
          <w:rFonts w:ascii="Arial" w:hAnsi="Arial" w:cs="Arial"/>
          <w:szCs w:val="24"/>
        </w:rPr>
        <w:t xml:space="preserve">a notice </w:t>
      </w:r>
      <w:r w:rsidR="00D55DCF" w:rsidRPr="00C1087F">
        <w:rPr>
          <w:rFonts w:ascii="Arial" w:hAnsi="Arial" w:cs="Arial"/>
          <w:szCs w:val="24"/>
        </w:rPr>
        <w:t xml:space="preserve">that </w:t>
      </w:r>
      <w:r w:rsidR="00B547B8" w:rsidRPr="00C1087F">
        <w:rPr>
          <w:rFonts w:ascii="Arial" w:hAnsi="Arial" w:cs="Arial"/>
          <w:szCs w:val="24"/>
        </w:rPr>
        <w:t xml:space="preserve">states </w:t>
      </w:r>
      <w:r w:rsidR="00AB3F62" w:rsidRPr="00C1087F">
        <w:rPr>
          <w:rFonts w:ascii="Arial" w:hAnsi="Arial" w:cs="Arial"/>
          <w:szCs w:val="24"/>
        </w:rPr>
        <w:t xml:space="preserve">the exemption or exception </w:t>
      </w:r>
      <w:r w:rsidR="00A668BA" w:rsidRPr="00C1087F">
        <w:rPr>
          <w:rFonts w:ascii="Arial" w:hAnsi="Arial" w:cs="Arial"/>
          <w:szCs w:val="24"/>
        </w:rPr>
        <w:t xml:space="preserve">upon which the </w:t>
      </w:r>
      <w:r w:rsidR="00AE6754" w:rsidRPr="00C1087F">
        <w:rPr>
          <w:rFonts w:ascii="Arial" w:hAnsi="Arial" w:cs="Arial"/>
          <w:szCs w:val="24"/>
        </w:rPr>
        <w:t xml:space="preserve">refusal </w:t>
      </w:r>
      <w:r w:rsidR="00DF7929" w:rsidRPr="00C1087F">
        <w:rPr>
          <w:rFonts w:ascii="Arial" w:hAnsi="Arial" w:cs="Arial"/>
          <w:szCs w:val="24"/>
        </w:rPr>
        <w:t>is based</w:t>
      </w:r>
      <w:r w:rsidR="00AE6754" w:rsidRPr="00C1087F">
        <w:rPr>
          <w:rFonts w:ascii="Arial" w:hAnsi="Arial" w:cs="Arial"/>
          <w:szCs w:val="24"/>
        </w:rPr>
        <w:t xml:space="preserve"> </w:t>
      </w:r>
      <w:r w:rsidR="009B0465" w:rsidRPr="00C1087F">
        <w:rPr>
          <w:rFonts w:ascii="Arial" w:hAnsi="Arial" w:cs="Arial"/>
          <w:szCs w:val="24"/>
        </w:rPr>
        <w:t xml:space="preserve">(s.17). </w:t>
      </w:r>
      <w:r w:rsidR="009B06B8" w:rsidRPr="00C1087F">
        <w:rPr>
          <w:rFonts w:ascii="Arial" w:hAnsi="Arial" w:cs="Arial"/>
          <w:szCs w:val="24"/>
        </w:rPr>
        <w:t>T</w:t>
      </w:r>
      <w:r w:rsidR="008E7EE5" w:rsidRPr="00C1087F">
        <w:rPr>
          <w:rFonts w:ascii="Arial" w:hAnsi="Arial" w:cs="Arial"/>
          <w:szCs w:val="24"/>
        </w:rPr>
        <w:t>he publ</w:t>
      </w:r>
      <w:r w:rsidR="005E0225" w:rsidRPr="00C1087F">
        <w:rPr>
          <w:rFonts w:ascii="Arial" w:hAnsi="Arial" w:cs="Arial"/>
          <w:szCs w:val="24"/>
        </w:rPr>
        <w:t xml:space="preserve">ic authority </w:t>
      </w:r>
      <w:r w:rsidR="00836255" w:rsidRPr="00C1087F">
        <w:rPr>
          <w:rFonts w:ascii="Arial" w:hAnsi="Arial" w:cs="Arial"/>
          <w:szCs w:val="24"/>
        </w:rPr>
        <w:t xml:space="preserve">must also </w:t>
      </w:r>
      <w:r w:rsidR="00B547B8" w:rsidRPr="00C1087F">
        <w:rPr>
          <w:rFonts w:ascii="Arial" w:hAnsi="Arial" w:cs="Arial"/>
          <w:szCs w:val="24"/>
        </w:rPr>
        <w:t>explain why</w:t>
      </w:r>
      <w:r w:rsidR="005E0225" w:rsidRPr="00C1087F">
        <w:rPr>
          <w:rFonts w:ascii="Arial" w:hAnsi="Arial" w:cs="Arial"/>
          <w:szCs w:val="24"/>
        </w:rPr>
        <w:t xml:space="preserve"> </w:t>
      </w:r>
      <w:r w:rsidR="00804A84" w:rsidRPr="00C1087F">
        <w:rPr>
          <w:rFonts w:ascii="Arial" w:hAnsi="Arial" w:cs="Arial"/>
          <w:szCs w:val="24"/>
        </w:rPr>
        <w:t>a</w:t>
      </w:r>
      <w:r w:rsidR="005E0225" w:rsidRPr="00C1087F">
        <w:rPr>
          <w:rFonts w:ascii="Arial" w:hAnsi="Arial" w:cs="Arial"/>
          <w:szCs w:val="24"/>
        </w:rPr>
        <w:t xml:space="preserve"> </w:t>
      </w:r>
      <w:r w:rsidR="00A668BA" w:rsidRPr="00C1087F">
        <w:rPr>
          <w:rFonts w:ascii="Arial" w:hAnsi="Arial" w:cs="Arial"/>
          <w:szCs w:val="24"/>
        </w:rPr>
        <w:t xml:space="preserve">claimed </w:t>
      </w:r>
      <w:r w:rsidR="005E0225" w:rsidRPr="00C1087F">
        <w:rPr>
          <w:rFonts w:ascii="Arial" w:hAnsi="Arial" w:cs="Arial"/>
          <w:szCs w:val="24"/>
        </w:rPr>
        <w:t xml:space="preserve">exemption applies </w:t>
      </w:r>
      <w:r w:rsidR="005E0225" w:rsidRPr="00C1087F">
        <w:rPr>
          <w:rFonts w:ascii="Arial" w:hAnsi="Arial" w:cs="Arial"/>
          <w:szCs w:val="24"/>
        </w:rPr>
        <w:lastRenderedPageBreak/>
        <w:t xml:space="preserve">to the requested information unless </w:t>
      </w:r>
      <w:r w:rsidR="00047B98" w:rsidRPr="00C1087F">
        <w:rPr>
          <w:rFonts w:ascii="Arial" w:hAnsi="Arial" w:cs="Arial"/>
          <w:szCs w:val="24"/>
        </w:rPr>
        <w:t xml:space="preserve">doing </w:t>
      </w:r>
      <w:r w:rsidR="00822457" w:rsidRPr="00C1087F">
        <w:rPr>
          <w:rFonts w:ascii="Arial" w:hAnsi="Arial" w:cs="Arial"/>
          <w:szCs w:val="24"/>
        </w:rPr>
        <w:t xml:space="preserve">so would undermine </w:t>
      </w:r>
      <w:r w:rsidR="00023A91" w:rsidRPr="00C1087F">
        <w:rPr>
          <w:rFonts w:ascii="Arial" w:hAnsi="Arial" w:cs="Arial"/>
          <w:szCs w:val="24"/>
        </w:rPr>
        <w:t xml:space="preserve">any </w:t>
      </w:r>
      <w:r w:rsidR="00822457" w:rsidRPr="00C1087F">
        <w:rPr>
          <w:rFonts w:ascii="Arial" w:hAnsi="Arial" w:cs="Arial"/>
          <w:szCs w:val="24"/>
        </w:rPr>
        <w:t>interests the refusal is designed to protect.</w:t>
      </w:r>
    </w:p>
    <w:p w14:paraId="024BACB2" w14:textId="57B7C791" w:rsidR="00471B31" w:rsidRPr="00C1087F" w:rsidRDefault="009E027F" w:rsidP="00DD7117">
      <w:pPr>
        <w:numPr>
          <w:ilvl w:val="0"/>
          <w:numId w:val="21"/>
        </w:numPr>
        <w:tabs>
          <w:tab w:val="left" w:pos="454"/>
          <w:tab w:val="left" w:pos="567"/>
          <w:tab w:val="left" w:pos="1134"/>
        </w:tabs>
        <w:spacing w:after="120" w:line="276" w:lineRule="auto"/>
        <w:ind w:left="0" w:firstLine="0"/>
        <w:jc w:val="both"/>
        <w:rPr>
          <w:rFonts w:ascii="Arial" w:hAnsi="Arial" w:cs="Arial"/>
          <w:b/>
          <w:bCs/>
          <w:szCs w:val="24"/>
        </w:rPr>
      </w:pPr>
      <w:r w:rsidRPr="00C1087F">
        <w:rPr>
          <w:rFonts w:ascii="Arial" w:hAnsi="Arial" w:cs="Arial"/>
          <w:szCs w:val="24"/>
        </w:rPr>
        <w:t xml:space="preserve">An applicant who is unhappy with the </w:t>
      </w:r>
      <w:r w:rsidR="00820824" w:rsidRPr="00C1087F">
        <w:rPr>
          <w:rFonts w:ascii="Arial" w:hAnsi="Arial" w:cs="Arial"/>
          <w:szCs w:val="24"/>
        </w:rPr>
        <w:t xml:space="preserve">public authority’s </w:t>
      </w:r>
      <w:r w:rsidR="00023A91" w:rsidRPr="00C1087F">
        <w:rPr>
          <w:rFonts w:ascii="Arial" w:hAnsi="Arial" w:cs="Arial"/>
          <w:szCs w:val="24"/>
        </w:rPr>
        <w:t xml:space="preserve">response to </w:t>
      </w:r>
      <w:r w:rsidR="00AA3B15" w:rsidRPr="00C1087F">
        <w:rPr>
          <w:rFonts w:ascii="Arial" w:hAnsi="Arial" w:cs="Arial"/>
          <w:szCs w:val="24"/>
        </w:rPr>
        <w:t xml:space="preserve">their </w:t>
      </w:r>
      <w:r w:rsidR="00AD6F27">
        <w:rPr>
          <w:rFonts w:ascii="Arial" w:hAnsi="Arial" w:cs="Arial"/>
          <w:szCs w:val="24"/>
        </w:rPr>
        <w:t xml:space="preserve">FOIA </w:t>
      </w:r>
      <w:r w:rsidR="00023A91" w:rsidRPr="00C1087F">
        <w:rPr>
          <w:rFonts w:ascii="Arial" w:hAnsi="Arial" w:cs="Arial"/>
          <w:szCs w:val="24"/>
        </w:rPr>
        <w:t>request m</w:t>
      </w:r>
      <w:r w:rsidR="00D47A79" w:rsidRPr="00C1087F">
        <w:rPr>
          <w:rFonts w:ascii="Arial" w:hAnsi="Arial" w:cs="Arial"/>
          <w:szCs w:val="24"/>
        </w:rPr>
        <w:t>a</w:t>
      </w:r>
      <w:r w:rsidR="00023A91" w:rsidRPr="00C1087F">
        <w:rPr>
          <w:rFonts w:ascii="Arial" w:hAnsi="Arial" w:cs="Arial"/>
          <w:szCs w:val="24"/>
        </w:rPr>
        <w:t xml:space="preserve">y make an application (a complaint) </w:t>
      </w:r>
      <w:r w:rsidR="00AA3B15" w:rsidRPr="00C1087F">
        <w:rPr>
          <w:rFonts w:ascii="Arial" w:hAnsi="Arial" w:cs="Arial"/>
          <w:szCs w:val="24"/>
        </w:rPr>
        <w:t>to the Commissioner under s.50:</w:t>
      </w:r>
    </w:p>
    <w:p w14:paraId="684078AF" w14:textId="40A7A189" w:rsidR="005C77EC" w:rsidRPr="00C1087F" w:rsidRDefault="005C77EC" w:rsidP="00B80293">
      <w:pPr>
        <w:pStyle w:val="Heading4"/>
        <w:shd w:val="clear" w:color="auto" w:fill="FFFFFF"/>
        <w:spacing w:line="276" w:lineRule="auto"/>
        <w:ind w:left="851"/>
        <w:jc w:val="both"/>
        <w:textAlignment w:val="baseline"/>
        <w:rPr>
          <w:rFonts w:ascii="Arial" w:hAnsi="Arial" w:cs="Arial"/>
          <w:i/>
          <w:iCs/>
          <w:color w:val="3D3D3D"/>
          <w:sz w:val="24"/>
          <w:szCs w:val="24"/>
          <w:lang w:eastAsia="en-GB"/>
        </w:rPr>
      </w:pPr>
      <w:r w:rsidRPr="00C1087F">
        <w:rPr>
          <w:rFonts w:ascii="Arial" w:hAnsi="Arial" w:cs="Arial"/>
          <w:i/>
          <w:iCs/>
          <w:color w:val="3D3D3D"/>
          <w:sz w:val="24"/>
          <w:szCs w:val="24"/>
        </w:rPr>
        <w:t>50.— Application for decision by Commissioner.</w:t>
      </w:r>
    </w:p>
    <w:p w14:paraId="3351ACD7" w14:textId="2157002D" w:rsidR="00E20494"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(1)  Any person (in this section referred to as </w:t>
      </w:r>
      <w:r w:rsidRPr="00C1087F">
        <w:rPr>
          <w:rFonts w:ascii="Arial" w:hAnsi="Arial" w:cs="Arial"/>
          <w:i/>
          <w:iCs/>
          <w:color w:val="3D3D3D"/>
          <w:szCs w:val="24"/>
          <w:bdr w:val="none" w:sz="0" w:space="0" w:color="auto" w:frame="1"/>
        </w:rPr>
        <w:t>“the complainant</w:t>
      </w:r>
      <w:r w:rsidR="00AD6F27" w:rsidRPr="00C1087F">
        <w:rPr>
          <w:rFonts w:ascii="Arial" w:hAnsi="Arial" w:cs="Arial"/>
          <w:i/>
          <w:iCs/>
          <w:color w:val="3D3D3D"/>
          <w:szCs w:val="24"/>
          <w:bdr w:val="none" w:sz="0" w:space="0" w:color="auto" w:frame="1"/>
        </w:rPr>
        <w:t>”)</w:t>
      </w:r>
      <w:r w:rsidRPr="00C1087F">
        <w:rPr>
          <w:rFonts w:ascii="Arial" w:hAnsi="Arial" w:cs="Arial"/>
          <w:i/>
          <w:iCs/>
          <w:color w:val="3D3D3D"/>
          <w:szCs w:val="24"/>
        </w:rPr>
        <w:t xml:space="preserve"> may apply to the Commissioner for </w:t>
      </w:r>
      <w:bookmarkStart w:id="8" w:name="_Hlk113949451"/>
      <w:r w:rsidRPr="00C1087F">
        <w:rPr>
          <w:rFonts w:ascii="Arial" w:hAnsi="Arial" w:cs="Arial"/>
          <w:i/>
          <w:iCs/>
          <w:color w:val="3D3D3D"/>
          <w:szCs w:val="24"/>
        </w:rPr>
        <w:t>a decision whether, in any specified respect, a request for information made by the complainant to a public authority has been dealt with in accordance with the requirements of </w:t>
      </w:r>
      <w:r w:rsidR="00F83DC7" w:rsidRPr="00C1087F">
        <w:rPr>
          <w:rFonts w:ascii="Arial" w:hAnsi="Arial" w:cs="Arial"/>
          <w:i/>
          <w:iCs/>
          <w:color w:val="3D3D3D"/>
          <w:szCs w:val="24"/>
        </w:rPr>
        <w:t xml:space="preserve">Part </w:t>
      </w:r>
      <w:r w:rsidR="00E20494" w:rsidRPr="00C1087F">
        <w:rPr>
          <w:rFonts w:ascii="Arial" w:hAnsi="Arial" w:cs="Arial"/>
          <w:i/>
          <w:iCs/>
          <w:color w:val="3D3D3D"/>
          <w:szCs w:val="24"/>
        </w:rPr>
        <w:t>I.</w:t>
      </w:r>
      <w:bookmarkEnd w:id="8"/>
    </w:p>
    <w:p w14:paraId="03ADD47D" w14:textId="77777777" w:rsidR="00CB10AE" w:rsidRDefault="00CB10AE" w:rsidP="00B80293">
      <w:pPr>
        <w:shd w:val="clear" w:color="auto" w:fill="FFFFFF"/>
        <w:spacing w:line="276" w:lineRule="auto"/>
        <w:ind w:left="851"/>
        <w:jc w:val="both"/>
        <w:textAlignment w:val="baseline"/>
        <w:rPr>
          <w:rFonts w:ascii="Arial" w:hAnsi="Arial" w:cs="Arial"/>
          <w:i/>
          <w:iCs/>
          <w:color w:val="3D3D3D"/>
          <w:szCs w:val="24"/>
        </w:rPr>
      </w:pPr>
    </w:p>
    <w:p w14:paraId="4624F051" w14:textId="75A2DAB9"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(2)  On receiving an application under this section, the Commissioner shall make a decision unless it appears to him—</w:t>
      </w:r>
    </w:p>
    <w:p w14:paraId="12243E94" w14:textId="5761D5B3"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(a)  that the complainant has not exhausted any complaints procedure which is provided by the public authority in conformity with the code of practice under</w:t>
      </w:r>
      <w:r w:rsidR="00E20494" w:rsidRPr="00C1087F">
        <w:rPr>
          <w:rFonts w:ascii="Arial" w:hAnsi="Arial" w:cs="Arial"/>
          <w:i/>
          <w:iCs/>
          <w:color w:val="3D3D3D"/>
          <w:szCs w:val="24"/>
        </w:rPr>
        <w:t xml:space="preserve"> section 45,</w:t>
      </w:r>
    </w:p>
    <w:p w14:paraId="13815D81" w14:textId="77777777"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(b)  that there has been undue delay in making the application,</w:t>
      </w:r>
    </w:p>
    <w:p w14:paraId="64ECD801" w14:textId="77777777"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(c)  that the application is frivolous or vexatious, or</w:t>
      </w:r>
    </w:p>
    <w:p w14:paraId="6D279CC4" w14:textId="5F502757"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(d)  that the application has been withdrawn or abandoned.</w:t>
      </w:r>
    </w:p>
    <w:p w14:paraId="2102235A" w14:textId="77777777" w:rsidR="00E20494" w:rsidRPr="00C1087F" w:rsidRDefault="00E20494" w:rsidP="00B80293">
      <w:pPr>
        <w:shd w:val="clear" w:color="auto" w:fill="FFFFFF"/>
        <w:spacing w:line="276" w:lineRule="auto"/>
        <w:ind w:left="851"/>
        <w:jc w:val="both"/>
        <w:textAlignment w:val="baseline"/>
        <w:rPr>
          <w:rFonts w:ascii="Arial" w:hAnsi="Arial" w:cs="Arial"/>
          <w:i/>
          <w:iCs/>
          <w:color w:val="3D3D3D"/>
          <w:szCs w:val="24"/>
        </w:rPr>
      </w:pPr>
    </w:p>
    <w:p w14:paraId="23B5F574" w14:textId="77777777"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(3)  Where the Commissioner has received an application under this section, he shall either—</w:t>
      </w:r>
    </w:p>
    <w:p w14:paraId="16962C80" w14:textId="77777777"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(a)  notify the complainant that he has not made any decision under this section as a result of the application and of his grounds for not doing so, or</w:t>
      </w:r>
    </w:p>
    <w:p w14:paraId="1A35D74F" w14:textId="6A12F900"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(b)  serve notice of his decision (in this Act referred to as a </w:t>
      </w:r>
      <w:r w:rsidRPr="00C1087F">
        <w:rPr>
          <w:rFonts w:ascii="Arial" w:hAnsi="Arial" w:cs="Arial"/>
          <w:i/>
          <w:iCs/>
          <w:color w:val="3D3D3D"/>
          <w:szCs w:val="24"/>
          <w:bdr w:val="none" w:sz="0" w:space="0" w:color="auto" w:frame="1"/>
        </w:rPr>
        <w:t>“decision notice” </w:t>
      </w:r>
      <w:r w:rsidRPr="00C1087F">
        <w:rPr>
          <w:rFonts w:ascii="Arial" w:hAnsi="Arial" w:cs="Arial"/>
          <w:i/>
          <w:iCs/>
          <w:color w:val="3D3D3D"/>
          <w:szCs w:val="24"/>
        </w:rPr>
        <w:t>) on the complainant and the public authority.</w:t>
      </w:r>
    </w:p>
    <w:p w14:paraId="74E775E0" w14:textId="77777777" w:rsidR="00E20494" w:rsidRPr="00C1087F" w:rsidRDefault="00E20494" w:rsidP="00B80293">
      <w:pPr>
        <w:shd w:val="clear" w:color="auto" w:fill="FFFFFF"/>
        <w:spacing w:line="276" w:lineRule="auto"/>
        <w:ind w:left="851"/>
        <w:jc w:val="both"/>
        <w:textAlignment w:val="baseline"/>
        <w:rPr>
          <w:rFonts w:ascii="Arial" w:hAnsi="Arial" w:cs="Arial"/>
          <w:i/>
          <w:iCs/>
          <w:color w:val="3D3D3D"/>
          <w:szCs w:val="24"/>
        </w:rPr>
      </w:pPr>
    </w:p>
    <w:p w14:paraId="1E91BD01" w14:textId="77777777"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(4)  Where the Commissioner decides that a public authority—</w:t>
      </w:r>
    </w:p>
    <w:p w14:paraId="580C97E5" w14:textId="2BAFFD69"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(a)  has failed to communicate information, or to provide confirmation or denial, in a case where it is required to do so by</w:t>
      </w:r>
      <w:r w:rsidR="0007413A" w:rsidRPr="00C1087F">
        <w:rPr>
          <w:rFonts w:ascii="Arial" w:hAnsi="Arial" w:cs="Arial"/>
          <w:i/>
          <w:iCs/>
          <w:color w:val="3D3D3D"/>
          <w:szCs w:val="24"/>
        </w:rPr>
        <w:t xml:space="preserve"> section 1(1)</w:t>
      </w:r>
      <w:r w:rsidRPr="00C1087F">
        <w:rPr>
          <w:rFonts w:ascii="Arial" w:hAnsi="Arial" w:cs="Arial"/>
          <w:i/>
          <w:iCs/>
          <w:color w:val="3D3D3D"/>
          <w:szCs w:val="24"/>
        </w:rPr>
        <w:t>, or</w:t>
      </w:r>
    </w:p>
    <w:p w14:paraId="762BFF6F" w14:textId="6975FB7B"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(b)  has failed to comply with any of the requirements of </w:t>
      </w:r>
      <w:r w:rsidR="0007413A" w:rsidRPr="00C1087F">
        <w:rPr>
          <w:rFonts w:ascii="Arial" w:hAnsi="Arial" w:cs="Arial"/>
          <w:i/>
          <w:iCs/>
          <w:color w:val="3D3D3D"/>
          <w:szCs w:val="24"/>
        </w:rPr>
        <w:t>sections 11 and 17</w:t>
      </w:r>
      <w:r w:rsidRPr="00C1087F">
        <w:rPr>
          <w:rFonts w:ascii="Arial" w:hAnsi="Arial" w:cs="Arial"/>
          <w:i/>
          <w:iCs/>
          <w:color w:val="3D3D3D"/>
          <w:szCs w:val="24"/>
        </w:rPr>
        <w:t>,</w:t>
      </w:r>
    </w:p>
    <w:p w14:paraId="10F33DF6" w14:textId="6E3D9DE2"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 the decision notice must specify the steps which must be taken by the authority for complying with that requirement and the period within which they must be taken.</w:t>
      </w:r>
    </w:p>
    <w:p w14:paraId="4CDEDF23" w14:textId="77777777" w:rsidR="0007413A" w:rsidRPr="00C1087F" w:rsidRDefault="0007413A" w:rsidP="00B80293">
      <w:pPr>
        <w:shd w:val="clear" w:color="auto" w:fill="FFFFFF"/>
        <w:spacing w:line="276" w:lineRule="auto"/>
        <w:ind w:left="851"/>
        <w:jc w:val="both"/>
        <w:textAlignment w:val="baseline"/>
        <w:rPr>
          <w:rFonts w:ascii="Arial" w:hAnsi="Arial" w:cs="Arial"/>
          <w:i/>
          <w:iCs/>
          <w:color w:val="3D3D3D"/>
          <w:szCs w:val="24"/>
        </w:rPr>
      </w:pPr>
    </w:p>
    <w:p w14:paraId="5E9CCAED" w14:textId="4B426559"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(5)  A decision notice must contain particulars of the right of appeal conferred by</w:t>
      </w:r>
      <w:r w:rsidR="0007413A" w:rsidRPr="00C1087F">
        <w:rPr>
          <w:rFonts w:ascii="Arial" w:hAnsi="Arial" w:cs="Arial"/>
          <w:i/>
          <w:iCs/>
          <w:color w:val="3D3D3D"/>
          <w:szCs w:val="24"/>
        </w:rPr>
        <w:t xml:space="preserve"> section 57</w:t>
      </w:r>
      <w:r w:rsidRPr="00C1087F">
        <w:rPr>
          <w:rFonts w:ascii="Arial" w:hAnsi="Arial" w:cs="Arial"/>
          <w:i/>
          <w:iCs/>
          <w:color w:val="3D3D3D"/>
          <w:szCs w:val="24"/>
        </w:rPr>
        <w:t>.</w:t>
      </w:r>
    </w:p>
    <w:p w14:paraId="4D36F301" w14:textId="77777777" w:rsidR="0007413A" w:rsidRPr="00C1087F" w:rsidRDefault="0007413A" w:rsidP="00B80293">
      <w:pPr>
        <w:shd w:val="clear" w:color="auto" w:fill="FFFFFF"/>
        <w:spacing w:line="276" w:lineRule="auto"/>
        <w:ind w:left="851"/>
        <w:jc w:val="both"/>
        <w:textAlignment w:val="baseline"/>
        <w:rPr>
          <w:rFonts w:ascii="Arial" w:hAnsi="Arial" w:cs="Arial"/>
          <w:i/>
          <w:iCs/>
          <w:color w:val="3D3D3D"/>
          <w:szCs w:val="24"/>
        </w:rPr>
      </w:pPr>
    </w:p>
    <w:p w14:paraId="4021C7A8" w14:textId="501547E0" w:rsidR="005C77EC" w:rsidRPr="00C1087F" w:rsidRDefault="005C77EC"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 xml:space="preserve">(6)  Where a decision notice requires steps to be taken by the public authority within a specified period, the time specified in the notice must not expire before the end of the period within which an appeal can be brought against the notice </w:t>
      </w:r>
      <w:r w:rsidRPr="00C1087F">
        <w:rPr>
          <w:rFonts w:ascii="Arial" w:hAnsi="Arial" w:cs="Arial"/>
          <w:i/>
          <w:iCs/>
          <w:color w:val="3D3D3D"/>
          <w:szCs w:val="24"/>
        </w:rPr>
        <w:lastRenderedPageBreak/>
        <w:t>and, if such an appeal is brought, no step which is affected by the appeal need be taken pending the determination or withdrawal of the appeal.</w:t>
      </w:r>
    </w:p>
    <w:p w14:paraId="454F9194" w14:textId="00209478" w:rsidR="0007413A" w:rsidRPr="00C1087F" w:rsidRDefault="00135527" w:rsidP="00B80293">
      <w:pPr>
        <w:shd w:val="clear" w:color="auto" w:fill="FFFFFF"/>
        <w:spacing w:line="276" w:lineRule="auto"/>
        <w:ind w:left="851"/>
        <w:jc w:val="both"/>
        <w:textAlignment w:val="baseline"/>
        <w:rPr>
          <w:rFonts w:ascii="Arial" w:hAnsi="Arial" w:cs="Arial"/>
          <w:i/>
          <w:iCs/>
          <w:color w:val="3D3D3D"/>
          <w:szCs w:val="24"/>
        </w:rPr>
      </w:pPr>
      <w:r w:rsidRPr="00C1087F">
        <w:rPr>
          <w:rFonts w:ascii="Arial" w:hAnsi="Arial" w:cs="Arial"/>
          <w:i/>
          <w:iCs/>
          <w:color w:val="3D3D3D"/>
          <w:szCs w:val="24"/>
        </w:rPr>
        <w:t>…</w:t>
      </w:r>
    </w:p>
    <w:p w14:paraId="6AF53E89" w14:textId="4E4EEFBA" w:rsidR="005C77EC" w:rsidRPr="00C1087F" w:rsidRDefault="0007413A" w:rsidP="00DD7117">
      <w:pPr>
        <w:shd w:val="clear" w:color="auto" w:fill="FFFFFF"/>
        <w:spacing w:line="276" w:lineRule="auto"/>
        <w:ind w:left="720"/>
        <w:jc w:val="both"/>
        <w:textAlignment w:val="baseline"/>
        <w:rPr>
          <w:rFonts w:ascii="Arial" w:hAnsi="Arial" w:cs="Arial"/>
          <w:i/>
          <w:iCs/>
          <w:color w:val="3D3D3D"/>
          <w:szCs w:val="24"/>
        </w:rPr>
      </w:pPr>
      <w:r w:rsidRPr="00C1087F">
        <w:rPr>
          <w:rFonts w:ascii="Arial" w:hAnsi="Arial" w:cs="Arial"/>
          <w:i/>
          <w:iCs/>
          <w:color w:val="3D3D3D"/>
          <w:szCs w:val="24"/>
        </w:rPr>
        <w:t xml:space="preserve"> </w:t>
      </w:r>
    </w:p>
    <w:p w14:paraId="268DDD46" w14:textId="497F9833" w:rsidR="00514192" w:rsidRPr="00C1087F" w:rsidRDefault="00E95FCD" w:rsidP="00DD7117">
      <w:pPr>
        <w:numPr>
          <w:ilvl w:val="0"/>
          <w:numId w:val="21"/>
        </w:numPr>
        <w:tabs>
          <w:tab w:val="left" w:pos="454"/>
          <w:tab w:val="left" w:pos="567"/>
          <w:tab w:val="left" w:pos="1134"/>
          <w:tab w:val="left" w:pos="5103"/>
        </w:tabs>
        <w:spacing w:after="120" w:line="276" w:lineRule="auto"/>
        <w:ind w:left="567" w:hanging="567"/>
        <w:jc w:val="both"/>
        <w:rPr>
          <w:rFonts w:ascii="Arial" w:hAnsi="Arial" w:cs="Arial"/>
          <w:b/>
          <w:bCs/>
          <w:szCs w:val="24"/>
        </w:rPr>
      </w:pPr>
      <w:r w:rsidRPr="00C1087F">
        <w:rPr>
          <w:rFonts w:ascii="Arial" w:hAnsi="Arial" w:cs="Arial"/>
          <w:szCs w:val="24"/>
        </w:rPr>
        <w:t>Therefore</w:t>
      </w:r>
      <w:r w:rsidR="001F5C5A" w:rsidRPr="00C1087F">
        <w:rPr>
          <w:rFonts w:ascii="Arial" w:hAnsi="Arial" w:cs="Arial"/>
          <w:szCs w:val="24"/>
        </w:rPr>
        <w:t xml:space="preserve">, s.50(4) </w:t>
      </w:r>
      <w:r w:rsidR="00AE1D84" w:rsidRPr="00C1087F">
        <w:rPr>
          <w:rFonts w:ascii="Arial" w:hAnsi="Arial" w:cs="Arial"/>
          <w:szCs w:val="24"/>
        </w:rPr>
        <w:t xml:space="preserve">permits </w:t>
      </w:r>
      <w:r w:rsidR="004661D5" w:rsidRPr="00C1087F">
        <w:rPr>
          <w:rFonts w:ascii="Arial" w:hAnsi="Arial" w:cs="Arial"/>
          <w:szCs w:val="24"/>
        </w:rPr>
        <w:t>the Commissioner</w:t>
      </w:r>
      <w:r w:rsidR="008F1D3E" w:rsidRPr="00C1087F">
        <w:rPr>
          <w:rFonts w:ascii="Arial" w:hAnsi="Arial" w:cs="Arial"/>
          <w:szCs w:val="24"/>
        </w:rPr>
        <w:t xml:space="preserve"> </w:t>
      </w:r>
      <w:r w:rsidR="00AE1D84" w:rsidRPr="00C1087F">
        <w:rPr>
          <w:rFonts w:ascii="Arial" w:hAnsi="Arial" w:cs="Arial"/>
          <w:szCs w:val="24"/>
        </w:rPr>
        <w:t xml:space="preserve">to </w:t>
      </w:r>
      <w:r w:rsidR="00804A84" w:rsidRPr="00C1087F">
        <w:rPr>
          <w:rFonts w:ascii="Arial" w:hAnsi="Arial" w:cs="Arial"/>
          <w:szCs w:val="24"/>
        </w:rPr>
        <w:t>specify</w:t>
      </w:r>
      <w:r w:rsidR="00313435" w:rsidRPr="00C1087F">
        <w:rPr>
          <w:rFonts w:ascii="Arial" w:hAnsi="Arial" w:cs="Arial"/>
          <w:szCs w:val="24"/>
        </w:rPr>
        <w:t xml:space="preserve"> in a decision </w:t>
      </w:r>
      <w:r w:rsidR="004B1692" w:rsidRPr="00C1087F">
        <w:rPr>
          <w:rFonts w:ascii="Arial" w:hAnsi="Arial" w:cs="Arial"/>
          <w:szCs w:val="24"/>
        </w:rPr>
        <w:t>notice further</w:t>
      </w:r>
      <w:r w:rsidR="00804A84" w:rsidRPr="00C1087F">
        <w:rPr>
          <w:rFonts w:ascii="Arial" w:hAnsi="Arial" w:cs="Arial"/>
          <w:szCs w:val="24"/>
        </w:rPr>
        <w:t xml:space="preserve"> steps to be taken by the public authority</w:t>
      </w:r>
      <w:r w:rsidR="009A0D46" w:rsidRPr="00C1087F">
        <w:rPr>
          <w:rFonts w:ascii="Arial" w:hAnsi="Arial" w:cs="Arial"/>
          <w:szCs w:val="24"/>
        </w:rPr>
        <w:t xml:space="preserve"> </w:t>
      </w:r>
      <w:r w:rsidR="00514192" w:rsidRPr="00C1087F">
        <w:rPr>
          <w:rFonts w:ascii="Arial" w:hAnsi="Arial" w:cs="Arial"/>
          <w:szCs w:val="24"/>
        </w:rPr>
        <w:t>in relation to:</w:t>
      </w:r>
    </w:p>
    <w:p w14:paraId="28764569" w14:textId="1126D69F" w:rsidR="00E95FCD" w:rsidRPr="00C1087F" w:rsidRDefault="00C025CC" w:rsidP="00B80293">
      <w:pPr>
        <w:numPr>
          <w:ilvl w:val="1"/>
          <w:numId w:val="21"/>
        </w:numPr>
        <w:tabs>
          <w:tab w:val="left" w:pos="454"/>
          <w:tab w:val="left" w:pos="567"/>
          <w:tab w:val="left" w:pos="1134"/>
          <w:tab w:val="left" w:pos="5103"/>
        </w:tabs>
        <w:spacing w:after="120" w:line="276" w:lineRule="auto"/>
        <w:ind w:hanging="1159"/>
        <w:jc w:val="both"/>
        <w:rPr>
          <w:rFonts w:ascii="Arial" w:hAnsi="Arial" w:cs="Arial"/>
          <w:b/>
          <w:bCs/>
          <w:szCs w:val="24"/>
        </w:rPr>
      </w:pPr>
      <w:r w:rsidRPr="00C1087F">
        <w:rPr>
          <w:rFonts w:ascii="Arial" w:hAnsi="Arial" w:cs="Arial"/>
          <w:szCs w:val="24"/>
        </w:rPr>
        <w:t xml:space="preserve">The </w:t>
      </w:r>
      <w:r w:rsidR="00E073AE" w:rsidRPr="00C1087F">
        <w:rPr>
          <w:rFonts w:ascii="Arial" w:hAnsi="Arial" w:cs="Arial"/>
          <w:szCs w:val="24"/>
        </w:rPr>
        <w:t>requirement</w:t>
      </w:r>
      <w:r w:rsidRPr="00C1087F">
        <w:rPr>
          <w:rFonts w:ascii="Arial" w:hAnsi="Arial" w:cs="Arial"/>
          <w:szCs w:val="24"/>
        </w:rPr>
        <w:t xml:space="preserve"> to confirm or deny whether requested information is held;</w:t>
      </w:r>
    </w:p>
    <w:p w14:paraId="1794A648" w14:textId="336E73E3" w:rsidR="00514821" w:rsidRPr="00C1087F" w:rsidRDefault="00514821" w:rsidP="00B80293">
      <w:pPr>
        <w:numPr>
          <w:ilvl w:val="1"/>
          <w:numId w:val="21"/>
        </w:numPr>
        <w:tabs>
          <w:tab w:val="left" w:pos="426"/>
          <w:tab w:val="left" w:pos="1134"/>
          <w:tab w:val="left" w:pos="5103"/>
        </w:tabs>
        <w:spacing w:after="120" w:line="276" w:lineRule="auto"/>
        <w:ind w:left="567" w:firstLine="284"/>
        <w:jc w:val="both"/>
        <w:rPr>
          <w:rFonts w:ascii="Arial" w:hAnsi="Arial" w:cs="Arial"/>
          <w:szCs w:val="24"/>
        </w:rPr>
      </w:pPr>
      <w:r w:rsidRPr="00C1087F">
        <w:rPr>
          <w:rFonts w:ascii="Arial" w:hAnsi="Arial" w:cs="Arial"/>
          <w:szCs w:val="24"/>
        </w:rPr>
        <w:t xml:space="preserve">The </w:t>
      </w:r>
      <w:r w:rsidR="00E073AE" w:rsidRPr="00C1087F">
        <w:rPr>
          <w:rFonts w:ascii="Arial" w:hAnsi="Arial" w:cs="Arial"/>
          <w:szCs w:val="24"/>
        </w:rPr>
        <w:t>requirement</w:t>
      </w:r>
      <w:r w:rsidRPr="00C1087F">
        <w:rPr>
          <w:rFonts w:ascii="Arial" w:hAnsi="Arial" w:cs="Arial"/>
          <w:szCs w:val="24"/>
        </w:rPr>
        <w:t xml:space="preserve"> to communicate </w:t>
      </w:r>
      <w:r w:rsidR="00A409B7" w:rsidRPr="00C1087F">
        <w:rPr>
          <w:rFonts w:ascii="Arial" w:hAnsi="Arial" w:cs="Arial"/>
          <w:szCs w:val="24"/>
        </w:rPr>
        <w:t xml:space="preserve">the </w:t>
      </w:r>
      <w:r w:rsidRPr="00C1087F">
        <w:rPr>
          <w:rFonts w:ascii="Arial" w:hAnsi="Arial" w:cs="Arial"/>
          <w:szCs w:val="24"/>
        </w:rPr>
        <w:t>requested information;</w:t>
      </w:r>
    </w:p>
    <w:p w14:paraId="09A8C637" w14:textId="18AA0D6C" w:rsidR="00641C4C" w:rsidRPr="00C1087F" w:rsidRDefault="003C616E" w:rsidP="00B80293">
      <w:pPr>
        <w:numPr>
          <w:ilvl w:val="1"/>
          <w:numId w:val="21"/>
        </w:numPr>
        <w:tabs>
          <w:tab w:val="left" w:pos="454"/>
          <w:tab w:val="left" w:pos="567"/>
          <w:tab w:val="left" w:pos="1134"/>
          <w:tab w:val="left" w:pos="5103"/>
        </w:tabs>
        <w:spacing w:after="120" w:line="276" w:lineRule="auto"/>
        <w:ind w:hanging="1159"/>
        <w:jc w:val="both"/>
        <w:rPr>
          <w:rFonts w:ascii="Arial" w:hAnsi="Arial" w:cs="Arial"/>
          <w:b/>
          <w:bCs/>
          <w:szCs w:val="24"/>
        </w:rPr>
      </w:pPr>
      <w:r w:rsidRPr="00C1087F">
        <w:rPr>
          <w:rFonts w:ascii="Arial" w:hAnsi="Arial" w:cs="Arial"/>
          <w:szCs w:val="24"/>
        </w:rPr>
        <w:t xml:space="preserve">The </w:t>
      </w:r>
      <w:r w:rsidR="00E073AE" w:rsidRPr="00C1087F">
        <w:rPr>
          <w:rFonts w:ascii="Arial" w:hAnsi="Arial" w:cs="Arial"/>
          <w:szCs w:val="24"/>
        </w:rPr>
        <w:t>means by which requested information is to be communicated; and/o</w:t>
      </w:r>
      <w:r w:rsidR="004F14F7" w:rsidRPr="00C1087F">
        <w:rPr>
          <w:rFonts w:ascii="Arial" w:hAnsi="Arial" w:cs="Arial"/>
          <w:szCs w:val="24"/>
        </w:rPr>
        <w:t>r</w:t>
      </w:r>
    </w:p>
    <w:p w14:paraId="6882977F" w14:textId="1315B4AD" w:rsidR="00E073AE" w:rsidRPr="00C1087F" w:rsidRDefault="00AC3697" w:rsidP="00B80293">
      <w:pPr>
        <w:numPr>
          <w:ilvl w:val="1"/>
          <w:numId w:val="21"/>
        </w:numPr>
        <w:tabs>
          <w:tab w:val="left" w:pos="993"/>
          <w:tab w:val="left" w:pos="1134"/>
          <w:tab w:val="left" w:pos="5103"/>
        </w:tabs>
        <w:spacing w:after="120" w:line="276" w:lineRule="auto"/>
        <w:ind w:left="1134" w:hanging="283"/>
        <w:jc w:val="both"/>
        <w:rPr>
          <w:rFonts w:ascii="Arial" w:hAnsi="Arial" w:cs="Arial"/>
          <w:b/>
          <w:bCs/>
          <w:szCs w:val="24"/>
        </w:rPr>
      </w:pPr>
      <w:r w:rsidRPr="00C1087F">
        <w:rPr>
          <w:rFonts w:ascii="Arial" w:hAnsi="Arial" w:cs="Arial"/>
          <w:szCs w:val="24"/>
        </w:rPr>
        <w:t xml:space="preserve">The requirement to </w:t>
      </w:r>
      <w:r w:rsidR="00E55B58">
        <w:rPr>
          <w:rFonts w:ascii="Arial" w:hAnsi="Arial" w:cs="Arial"/>
          <w:szCs w:val="24"/>
        </w:rPr>
        <w:t xml:space="preserve">explain to </w:t>
      </w:r>
      <w:r w:rsidRPr="00C1087F">
        <w:rPr>
          <w:rFonts w:ascii="Arial" w:hAnsi="Arial" w:cs="Arial"/>
          <w:szCs w:val="24"/>
        </w:rPr>
        <w:t xml:space="preserve">the applicant </w:t>
      </w:r>
      <w:r w:rsidR="00E55B58">
        <w:rPr>
          <w:rFonts w:ascii="Arial" w:hAnsi="Arial" w:cs="Arial"/>
          <w:szCs w:val="24"/>
        </w:rPr>
        <w:t xml:space="preserve">why </w:t>
      </w:r>
      <w:r w:rsidR="00641C4C" w:rsidRPr="00C1087F">
        <w:rPr>
          <w:rFonts w:ascii="Arial" w:hAnsi="Arial" w:cs="Arial"/>
          <w:szCs w:val="24"/>
        </w:rPr>
        <w:t>an information</w:t>
      </w:r>
      <w:r w:rsidR="00A67753" w:rsidRPr="00C1087F">
        <w:rPr>
          <w:rFonts w:ascii="Arial" w:hAnsi="Arial" w:cs="Arial"/>
          <w:szCs w:val="24"/>
        </w:rPr>
        <w:t xml:space="preserve"> </w:t>
      </w:r>
      <w:r w:rsidR="00641C4C" w:rsidRPr="00C1087F">
        <w:rPr>
          <w:rFonts w:ascii="Arial" w:hAnsi="Arial" w:cs="Arial"/>
          <w:szCs w:val="24"/>
        </w:rPr>
        <w:t>request has been refused.</w:t>
      </w:r>
    </w:p>
    <w:p w14:paraId="758F5D47" w14:textId="2413011E" w:rsidR="00F20A10" w:rsidRPr="00C1087F" w:rsidRDefault="0057085B" w:rsidP="00DD7117">
      <w:pPr>
        <w:numPr>
          <w:ilvl w:val="0"/>
          <w:numId w:val="21"/>
        </w:numPr>
        <w:tabs>
          <w:tab w:val="left" w:pos="426"/>
          <w:tab w:val="left" w:pos="851"/>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If a public authority </w:t>
      </w:r>
      <w:r w:rsidR="00995B8E" w:rsidRPr="00C1087F">
        <w:rPr>
          <w:rFonts w:ascii="Arial" w:hAnsi="Arial" w:cs="Arial"/>
          <w:szCs w:val="24"/>
        </w:rPr>
        <w:t>fails to comply with steps specified</w:t>
      </w:r>
      <w:r w:rsidR="009428FD" w:rsidRPr="00C1087F">
        <w:rPr>
          <w:rFonts w:ascii="Arial" w:hAnsi="Arial" w:cs="Arial"/>
          <w:szCs w:val="24"/>
        </w:rPr>
        <w:t xml:space="preserve"> in </w:t>
      </w:r>
      <w:r w:rsidR="00E10ED5" w:rsidRPr="00C1087F">
        <w:rPr>
          <w:rFonts w:ascii="Arial" w:hAnsi="Arial" w:cs="Arial"/>
          <w:szCs w:val="24"/>
        </w:rPr>
        <w:t xml:space="preserve">a </w:t>
      </w:r>
      <w:r w:rsidR="009428FD" w:rsidRPr="00C1087F">
        <w:rPr>
          <w:rFonts w:ascii="Arial" w:hAnsi="Arial" w:cs="Arial"/>
          <w:szCs w:val="24"/>
        </w:rPr>
        <w:t>decision notice</w:t>
      </w:r>
      <w:r w:rsidR="00BB363B" w:rsidRPr="00C1087F">
        <w:rPr>
          <w:rFonts w:ascii="Arial" w:hAnsi="Arial" w:cs="Arial"/>
          <w:szCs w:val="24"/>
        </w:rPr>
        <w:t xml:space="preserve"> the Commissioner may, at his discretion, certify the </w:t>
      </w:r>
      <w:r w:rsidR="00B12F93" w:rsidRPr="00C1087F">
        <w:rPr>
          <w:rFonts w:ascii="Arial" w:hAnsi="Arial" w:cs="Arial"/>
          <w:szCs w:val="24"/>
        </w:rPr>
        <w:t xml:space="preserve">public authority’s failure </w:t>
      </w:r>
      <w:r w:rsidR="00970983" w:rsidRPr="00C1087F">
        <w:rPr>
          <w:rFonts w:ascii="Arial" w:hAnsi="Arial" w:cs="Arial"/>
          <w:szCs w:val="24"/>
        </w:rPr>
        <w:t>to the High Court</w:t>
      </w:r>
      <w:r w:rsidR="00AD2620" w:rsidRPr="00C1087F">
        <w:rPr>
          <w:rFonts w:ascii="Arial" w:hAnsi="Arial" w:cs="Arial"/>
          <w:szCs w:val="24"/>
        </w:rPr>
        <w:t xml:space="preserve">, where the </w:t>
      </w:r>
      <w:r w:rsidR="00E10ED5" w:rsidRPr="00C1087F">
        <w:rPr>
          <w:rFonts w:ascii="Arial" w:hAnsi="Arial" w:cs="Arial"/>
          <w:szCs w:val="24"/>
        </w:rPr>
        <w:t xml:space="preserve">public </w:t>
      </w:r>
      <w:r w:rsidR="00AD2620" w:rsidRPr="00C1087F">
        <w:rPr>
          <w:rFonts w:ascii="Arial" w:hAnsi="Arial" w:cs="Arial"/>
          <w:szCs w:val="24"/>
        </w:rPr>
        <w:t xml:space="preserve">authority may be dealt with as if it had committed a contempt of court (s.54(1) &amp; (3)). </w:t>
      </w:r>
    </w:p>
    <w:p w14:paraId="0FAC0F28" w14:textId="6C7592D8" w:rsidR="00F37F91" w:rsidRPr="00C1087F" w:rsidRDefault="005364EB" w:rsidP="00DD7117">
      <w:pPr>
        <w:numPr>
          <w:ilvl w:val="0"/>
          <w:numId w:val="21"/>
        </w:numPr>
        <w:tabs>
          <w:tab w:val="left" w:pos="426"/>
          <w:tab w:val="left" w:pos="851"/>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Ss. 57 &amp; 58 </w:t>
      </w:r>
      <w:r w:rsidR="00CF5537" w:rsidRPr="00C1087F">
        <w:rPr>
          <w:rFonts w:ascii="Arial" w:hAnsi="Arial" w:cs="Arial"/>
          <w:szCs w:val="24"/>
        </w:rPr>
        <w:t xml:space="preserve">provide a </w:t>
      </w:r>
      <w:r w:rsidRPr="00C1087F">
        <w:rPr>
          <w:rFonts w:ascii="Arial" w:hAnsi="Arial" w:cs="Arial"/>
          <w:szCs w:val="24"/>
        </w:rPr>
        <w:t>right of ap</w:t>
      </w:r>
      <w:r w:rsidR="00F37F91" w:rsidRPr="00C1087F">
        <w:rPr>
          <w:rFonts w:ascii="Arial" w:hAnsi="Arial" w:cs="Arial"/>
          <w:szCs w:val="24"/>
        </w:rPr>
        <w:t>peal against a s.50 decision notice</w:t>
      </w:r>
      <w:r w:rsidR="00CF5537" w:rsidRPr="00C1087F">
        <w:rPr>
          <w:rFonts w:ascii="Arial" w:hAnsi="Arial" w:cs="Arial"/>
          <w:szCs w:val="24"/>
        </w:rPr>
        <w:t xml:space="preserve"> and set out the tribunal’s jurisdiction</w:t>
      </w:r>
      <w:r w:rsidR="00F37F91" w:rsidRPr="00C1087F">
        <w:rPr>
          <w:rFonts w:ascii="Arial" w:hAnsi="Arial" w:cs="Arial"/>
          <w:szCs w:val="24"/>
        </w:rPr>
        <w:t>:</w:t>
      </w:r>
    </w:p>
    <w:p w14:paraId="6CB198C3" w14:textId="77777777" w:rsidR="008E1867" w:rsidRPr="00C1087F" w:rsidRDefault="008E1867" w:rsidP="009D65F7">
      <w:pPr>
        <w:tabs>
          <w:tab w:val="left" w:pos="851"/>
          <w:tab w:val="left" w:pos="1134"/>
          <w:tab w:val="left" w:pos="5103"/>
        </w:tabs>
        <w:spacing w:after="120" w:line="276" w:lineRule="auto"/>
        <w:ind w:left="851"/>
        <w:jc w:val="both"/>
        <w:rPr>
          <w:rFonts w:ascii="Arial" w:hAnsi="Arial" w:cs="Arial"/>
          <w:b/>
          <w:bCs/>
          <w:i/>
          <w:iCs/>
          <w:szCs w:val="24"/>
        </w:rPr>
      </w:pPr>
      <w:r w:rsidRPr="00C1087F">
        <w:rPr>
          <w:rFonts w:ascii="Arial" w:hAnsi="Arial" w:cs="Arial"/>
          <w:b/>
          <w:bCs/>
          <w:i/>
          <w:iCs/>
          <w:szCs w:val="24"/>
        </w:rPr>
        <w:t>57.— Appeal against notice served under Part IV.</w:t>
      </w:r>
    </w:p>
    <w:p w14:paraId="75FA7FE3" w14:textId="19920F9C" w:rsidR="006505CE" w:rsidRPr="00C1087F" w:rsidRDefault="008E1867" w:rsidP="009D65F7">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(1)  Where a decision notice has been served, the complainant or the public authority may appeal to the Tribunal against the notice.</w:t>
      </w:r>
    </w:p>
    <w:p w14:paraId="136D8EA5" w14:textId="133F4245" w:rsidR="008E1867" w:rsidRPr="00C1087F" w:rsidRDefault="008E1867" w:rsidP="009D65F7">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w:t>
      </w:r>
    </w:p>
    <w:p w14:paraId="16AAF7EA" w14:textId="77777777" w:rsidR="007A36DD" w:rsidRPr="00C1087F" w:rsidRDefault="007A36DD" w:rsidP="009D65F7">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b/>
          <w:bCs/>
          <w:i/>
          <w:iCs/>
          <w:szCs w:val="24"/>
        </w:rPr>
        <w:t>58.— Determination of appeals</w:t>
      </w:r>
      <w:r w:rsidRPr="00C1087F">
        <w:rPr>
          <w:rFonts w:ascii="Arial" w:hAnsi="Arial" w:cs="Arial"/>
          <w:i/>
          <w:iCs/>
          <w:szCs w:val="24"/>
        </w:rPr>
        <w:t>.</w:t>
      </w:r>
    </w:p>
    <w:p w14:paraId="37F5833B" w14:textId="77777777" w:rsidR="007A36DD" w:rsidRPr="00C1087F" w:rsidRDefault="007A36DD" w:rsidP="009D65F7">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(1)  If on an appeal under section 57 the Tribunal considers—</w:t>
      </w:r>
    </w:p>
    <w:p w14:paraId="60B84340" w14:textId="77777777" w:rsidR="007A36DD" w:rsidRPr="00C1087F" w:rsidRDefault="007A36DD" w:rsidP="009D65F7">
      <w:pPr>
        <w:tabs>
          <w:tab w:val="left" w:pos="567"/>
          <w:tab w:val="left" w:pos="709"/>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(a)  that the notice against which the appeal is brought is not in accordance with the law, or</w:t>
      </w:r>
    </w:p>
    <w:p w14:paraId="17F8DFC5" w14:textId="77777777" w:rsidR="007A36DD" w:rsidRPr="00C1087F" w:rsidRDefault="007A36DD" w:rsidP="009D65F7">
      <w:pPr>
        <w:tabs>
          <w:tab w:val="left" w:pos="567"/>
          <w:tab w:val="left" w:pos="709"/>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(b)  to the extent that the notice involved an exercise of discretion by the Commissioner, that he ought to have exercised his discretion differently,</w:t>
      </w:r>
    </w:p>
    <w:p w14:paraId="41AD4329" w14:textId="77777777" w:rsidR="007A36DD" w:rsidRPr="00C1087F" w:rsidRDefault="007A36DD" w:rsidP="009D65F7">
      <w:pPr>
        <w:tabs>
          <w:tab w:val="left" w:pos="567"/>
          <w:tab w:val="left" w:pos="709"/>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 xml:space="preserve"> the Tribunal shall allow the appeal or substitute such other notice as could have been served by the Commissioner; and in any other case the Tribunal shall dismiss the appeal.</w:t>
      </w:r>
    </w:p>
    <w:p w14:paraId="7CDE1120" w14:textId="21AEA44A" w:rsidR="006A3792" w:rsidRPr="00C1087F" w:rsidRDefault="007A36DD" w:rsidP="009D65F7">
      <w:pPr>
        <w:tabs>
          <w:tab w:val="left" w:pos="567"/>
          <w:tab w:val="left" w:pos="709"/>
          <w:tab w:val="left" w:pos="1134"/>
          <w:tab w:val="left" w:pos="5103"/>
        </w:tabs>
        <w:spacing w:after="120" w:line="276" w:lineRule="auto"/>
        <w:ind w:left="851"/>
        <w:jc w:val="both"/>
        <w:rPr>
          <w:rFonts w:ascii="Arial" w:hAnsi="Arial" w:cs="Arial"/>
          <w:szCs w:val="24"/>
        </w:rPr>
      </w:pPr>
      <w:r w:rsidRPr="00C1087F">
        <w:rPr>
          <w:rFonts w:ascii="Arial" w:hAnsi="Arial" w:cs="Arial"/>
          <w:i/>
          <w:iCs/>
          <w:szCs w:val="24"/>
        </w:rPr>
        <w:t>(2)  On such an appeal, the Tribunal may review any finding of fact on which the notice in question was based.</w:t>
      </w:r>
    </w:p>
    <w:p w14:paraId="2316C8D2" w14:textId="6F1CCFBD" w:rsidR="00CF5537" w:rsidRPr="00C1087F" w:rsidRDefault="00497D24" w:rsidP="00DD7117">
      <w:pPr>
        <w:numPr>
          <w:ilvl w:val="0"/>
          <w:numId w:val="21"/>
        </w:numPr>
        <w:tabs>
          <w:tab w:val="left" w:pos="454"/>
          <w:tab w:val="left" w:pos="567"/>
          <w:tab w:val="left" w:pos="1134"/>
          <w:tab w:val="left" w:pos="5103"/>
        </w:tabs>
        <w:spacing w:after="120" w:line="276" w:lineRule="auto"/>
        <w:ind w:left="426"/>
        <w:jc w:val="both"/>
        <w:rPr>
          <w:rFonts w:ascii="Arial" w:hAnsi="Arial" w:cs="Arial"/>
          <w:szCs w:val="24"/>
        </w:rPr>
      </w:pPr>
      <w:r w:rsidRPr="00C1087F">
        <w:rPr>
          <w:rFonts w:ascii="Arial" w:hAnsi="Arial" w:cs="Arial"/>
          <w:szCs w:val="24"/>
        </w:rPr>
        <w:t>Where a publi</w:t>
      </w:r>
      <w:r w:rsidR="00B85260" w:rsidRPr="00C1087F">
        <w:rPr>
          <w:rFonts w:ascii="Arial" w:hAnsi="Arial" w:cs="Arial"/>
          <w:szCs w:val="24"/>
        </w:rPr>
        <w:t xml:space="preserve">c authority fails to comply with </w:t>
      </w:r>
      <w:r w:rsidR="00DB7EDA" w:rsidRPr="00C1087F">
        <w:rPr>
          <w:rFonts w:ascii="Arial" w:hAnsi="Arial" w:cs="Arial"/>
          <w:szCs w:val="24"/>
        </w:rPr>
        <w:t xml:space="preserve">the terms of </w:t>
      </w:r>
      <w:r w:rsidR="000E23B1" w:rsidRPr="00C1087F">
        <w:rPr>
          <w:rFonts w:ascii="Arial" w:hAnsi="Arial" w:cs="Arial"/>
          <w:szCs w:val="24"/>
        </w:rPr>
        <w:t>a substituted decision notice issued by the FTT under s.58</w:t>
      </w:r>
      <w:r w:rsidR="005008BE" w:rsidRPr="00C1087F">
        <w:rPr>
          <w:rFonts w:ascii="Arial" w:hAnsi="Arial" w:cs="Arial"/>
          <w:szCs w:val="24"/>
        </w:rPr>
        <w:t xml:space="preserve">(1), any application </w:t>
      </w:r>
      <w:r w:rsidR="00910640" w:rsidRPr="00C1087F">
        <w:rPr>
          <w:rFonts w:ascii="Arial" w:hAnsi="Arial" w:cs="Arial"/>
          <w:szCs w:val="24"/>
        </w:rPr>
        <w:t xml:space="preserve">to </w:t>
      </w:r>
      <w:r w:rsidR="005008BE" w:rsidRPr="00C1087F">
        <w:rPr>
          <w:rFonts w:ascii="Arial" w:hAnsi="Arial" w:cs="Arial"/>
          <w:szCs w:val="24"/>
        </w:rPr>
        <w:t xml:space="preserve">certify </w:t>
      </w:r>
      <w:r w:rsidR="00910640" w:rsidRPr="00C1087F">
        <w:rPr>
          <w:rFonts w:ascii="Arial" w:hAnsi="Arial" w:cs="Arial"/>
          <w:szCs w:val="24"/>
        </w:rPr>
        <w:t xml:space="preserve">this failure as </w:t>
      </w:r>
      <w:r w:rsidR="005008BE" w:rsidRPr="00C1087F">
        <w:rPr>
          <w:rFonts w:ascii="Arial" w:hAnsi="Arial" w:cs="Arial"/>
          <w:szCs w:val="24"/>
        </w:rPr>
        <w:t xml:space="preserve">a potential contempt of court </w:t>
      </w:r>
      <w:r w:rsidR="007839FC" w:rsidRPr="00C1087F">
        <w:rPr>
          <w:rFonts w:ascii="Arial" w:hAnsi="Arial" w:cs="Arial"/>
          <w:szCs w:val="24"/>
        </w:rPr>
        <w:t xml:space="preserve">must </w:t>
      </w:r>
      <w:r w:rsidR="00910640" w:rsidRPr="00C1087F">
        <w:rPr>
          <w:rFonts w:ascii="Arial" w:hAnsi="Arial" w:cs="Arial"/>
          <w:szCs w:val="24"/>
        </w:rPr>
        <w:t>be made to the tribunal (s.</w:t>
      </w:r>
      <w:r w:rsidR="007839FC" w:rsidRPr="00C1087F">
        <w:rPr>
          <w:rFonts w:ascii="Arial" w:hAnsi="Arial" w:cs="Arial"/>
          <w:szCs w:val="24"/>
        </w:rPr>
        <w:t>61)</w:t>
      </w:r>
      <w:r w:rsidR="00DB7EDA" w:rsidRPr="00C1087F">
        <w:rPr>
          <w:rFonts w:ascii="Arial" w:hAnsi="Arial" w:cs="Arial"/>
          <w:szCs w:val="24"/>
        </w:rPr>
        <w:t>.</w:t>
      </w:r>
    </w:p>
    <w:p w14:paraId="3F5A74DB" w14:textId="77777777" w:rsidR="00DB7EDA" w:rsidRPr="00C1087F" w:rsidRDefault="00DB7EDA" w:rsidP="00DD7117">
      <w:pPr>
        <w:tabs>
          <w:tab w:val="left" w:pos="454"/>
          <w:tab w:val="left" w:pos="567"/>
          <w:tab w:val="left" w:pos="1134"/>
          <w:tab w:val="left" w:pos="5103"/>
        </w:tabs>
        <w:spacing w:after="120" w:line="276" w:lineRule="auto"/>
        <w:ind w:left="426"/>
        <w:jc w:val="both"/>
        <w:rPr>
          <w:rFonts w:ascii="Arial" w:hAnsi="Arial" w:cs="Arial"/>
          <w:szCs w:val="24"/>
        </w:rPr>
      </w:pPr>
    </w:p>
    <w:p w14:paraId="56628049" w14:textId="2D56FE3C" w:rsidR="006505CE" w:rsidRPr="00C1087F" w:rsidRDefault="001B380A" w:rsidP="00DD7117">
      <w:pPr>
        <w:tabs>
          <w:tab w:val="left" w:pos="454"/>
          <w:tab w:val="left" w:pos="567"/>
          <w:tab w:val="left" w:pos="1134"/>
          <w:tab w:val="left" w:pos="5103"/>
        </w:tabs>
        <w:spacing w:after="120" w:line="276" w:lineRule="auto"/>
        <w:jc w:val="both"/>
        <w:rPr>
          <w:rFonts w:ascii="Arial" w:hAnsi="Arial" w:cs="Arial"/>
          <w:b/>
          <w:bCs/>
          <w:szCs w:val="24"/>
        </w:rPr>
      </w:pPr>
      <w:r w:rsidRPr="00C1087F">
        <w:rPr>
          <w:rFonts w:ascii="Arial" w:hAnsi="Arial" w:cs="Arial"/>
          <w:b/>
          <w:bCs/>
          <w:szCs w:val="24"/>
        </w:rPr>
        <w:lastRenderedPageBreak/>
        <w:t>The parties’ s</w:t>
      </w:r>
      <w:r w:rsidR="006505CE" w:rsidRPr="00C1087F">
        <w:rPr>
          <w:rFonts w:ascii="Arial" w:hAnsi="Arial" w:cs="Arial"/>
          <w:b/>
          <w:bCs/>
          <w:szCs w:val="24"/>
        </w:rPr>
        <w:t>ubmissions</w:t>
      </w:r>
    </w:p>
    <w:p w14:paraId="0512CE98" w14:textId="0E2EB3B9" w:rsidR="006505CE" w:rsidRPr="00C1087F" w:rsidRDefault="00DB7EDA" w:rsidP="00DD7117">
      <w:pPr>
        <w:numPr>
          <w:ilvl w:val="0"/>
          <w:numId w:val="21"/>
        </w:numPr>
        <w:tabs>
          <w:tab w:val="left" w:pos="426"/>
        </w:tabs>
        <w:spacing w:after="120" w:line="276" w:lineRule="auto"/>
        <w:ind w:left="426" w:hanging="426"/>
        <w:jc w:val="both"/>
        <w:rPr>
          <w:rFonts w:ascii="Arial" w:hAnsi="Arial" w:cs="Arial"/>
          <w:b/>
          <w:bCs/>
          <w:szCs w:val="24"/>
        </w:rPr>
      </w:pPr>
      <w:r w:rsidRPr="00C1087F">
        <w:rPr>
          <w:rFonts w:ascii="Arial" w:hAnsi="Arial" w:cs="Arial"/>
          <w:szCs w:val="24"/>
        </w:rPr>
        <w:t>The Appellant</w:t>
      </w:r>
      <w:r w:rsidR="00A746A1" w:rsidRPr="00C1087F">
        <w:rPr>
          <w:rFonts w:ascii="Arial" w:hAnsi="Arial" w:cs="Arial"/>
          <w:szCs w:val="24"/>
        </w:rPr>
        <w:t xml:space="preserve">’s </w:t>
      </w:r>
      <w:r w:rsidR="00400C1F" w:rsidRPr="00C1087F">
        <w:rPr>
          <w:rFonts w:ascii="Arial" w:hAnsi="Arial" w:cs="Arial"/>
          <w:szCs w:val="24"/>
        </w:rPr>
        <w:t>view</w:t>
      </w:r>
      <w:r w:rsidR="00F47184" w:rsidRPr="00C1087F">
        <w:rPr>
          <w:rFonts w:ascii="Arial" w:hAnsi="Arial" w:cs="Arial"/>
          <w:szCs w:val="24"/>
        </w:rPr>
        <w:t>, in essence,</w:t>
      </w:r>
      <w:r w:rsidR="00400C1F" w:rsidRPr="00C1087F">
        <w:rPr>
          <w:rFonts w:ascii="Arial" w:hAnsi="Arial" w:cs="Arial"/>
          <w:szCs w:val="24"/>
        </w:rPr>
        <w:t xml:space="preserve"> </w:t>
      </w:r>
      <w:r w:rsidR="00D35EEA" w:rsidRPr="00C1087F">
        <w:rPr>
          <w:rFonts w:ascii="Arial" w:hAnsi="Arial" w:cs="Arial"/>
          <w:szCs w:val="24"/>
        </w:rPr>
        <w:t xml:space="preserve">is </w:t>
      </w:r>
      <w:r w:rsidR="00400C1F" w:rsidRPr="00C1087F">
        <w:rPr>
          <w:rFonts w:ascii="Arial" w:hAnsi="Arial" w:cs="Arial"/>
          <w:szCs w:val="24"/>
        </w:rPr>
        <w:t>that the</w:t>
      </w:r>
      <w:r w:rsidR="007275A9" w:rsidRPr="00C1087F">
        <w:rPr>
          <w:rFonts w:ascii="Arial" w:hAnsi="Arial" w:cs="Arial"/>
          <w:szCs w:val="24"/>
        </w:rPr>
        <w:t xml:space="preserve"> </w:t>
      </w:r>
      <w:r w:rsidR="00787471" w:rsidRPr="00C1087F">
        <w:rPr>
          <w:rFonts w:ascii="Arial" w:hAnsi="Arial" w:cs="Arial"/>
          <w:szCs w:val="24"/>
        </w:rPr>
        <w:t xml:space="preserve">FTT inherits the </w:t>
      </w:r>
      <w:r w:rsidR="00F47184" w:rsidRPr="00C1087F">
        <w:rPr>
          <w:rFonts w:ascii="Arial" w:hAnsi="Arial" w:cs="Arial"/>
          <w:szCs w:val="24"/>
        </w:rPr>
        <w:t xml:space="preserve">Commissioner’s </w:t>
      </w:r>
      <w:r w:rsidR="007275A9" w:rsidRPr="00C1087F">
        <w:rPr>
          <w:rFonts w:ascii="Arial" w:hAnsi="Arial" w:cs="Arial"/>
          <w:szCs w:val="24"/>
        </w:rPr>
        <w:t>s</w:t>
      </w:r>
      <w:r w:rsidR="004F4381" w:rsidRPr="00C1087F">
        <w:rPr>
          <w:rFonts w:ascii="Arial" w:hAnsi="Arial" w:cs="Arial"/>
          <w:szCs w:val="24"/>
        </w:rPr>
        <w:t xml:space="preserve">.50(1) </w:t>
      </w:r>
      <w:r w:rsidR="00F47184" w:rsidRPr="00C1087F">
        <w:rPr>
          <w:rFonts w:ascii="Arial" w:hAnsi="Arial" w:cs="Arial"/>
          <w:szCs w:val="24"/>
        </w:rPr>
        <w:t xml:space="preserve">obligation to </w:t>
      </w:r>
      <w:r w:rsidR="00827AA4" w:rsidRPr="00C1087F">
        <w:rPr>
          <w:rFonts w:ascii="Arial" w:hAnsi="Arial" w:cs="Arial"/>
          <w:szCs w:val="24"/>
        </w:rPr>
        <w:t xml:space="preserve">decide whether </w:t>
      </w:r>
      <w:r w:rsidR="00E773C7" w:rsidRPr="00C1087F">
        <w:rPr>
          <w:rFonts w:ascii="Arial" w:hAnsi="Arial" w:cs="Arial"/>
          <w:szCs w:val="24"/>
        </w:rPr>
        <w:t xml:space="preserve">a public authority has dealt with a </w:t>
      </w:r>
      <w:r w:rsidR="00A21FD9" w:rsidRPr="00C1087F">
        <w:rPr>
          <w:rFonts w:ascii="Arial" w:hAnsi="Arial" w:cs="Arial"/>
          <w:szCs w:val="24"/>
        </w:rPr>
        <w:t xml:space="preserve">FOIA </w:t>
      </w:r>
      <w:r w:rsidR="00E773C7" w:rsidRPr="00C1087F">
        <w:rPr>
          <w:rFonts w:ascii="Arial" w:hAnsi="Arial" w:cs="Arial"/>
          <w:szCs w:val="24"/>
        </w:rPr>
        <w:t xml:space="preserve">request in accordance </w:t>
      </w:r>
      <w:r w:rsidR="00827AA4" w:rsidRPr="00C1087F">
        <w:rPr>
          <w:rFonts w:ascii="Arial" w:hAnsi="Arial" w:cs="Arial"/>
          <w:szCs w:val="24"/>
        </w:rPr>
        <w:t>Part</w:t>
      </w:r>
      <w:r w:rsidR="00DE1C9C" w:rsidRPr="00C1087F">
        <w:rPr>
          <w:rFonts w:ascii="Arial" w:hAnsi="Arial" w:cs="Arial"/>
          <w:szCs w:val="24"/>
        </w:rPr>
        <w:t xml:space="preserve"> I</w:t>
      </w:r>
      <w:r w:rsidR="00F47184" w:rsidRPr="00C1087F">
        <w:rPr>
          <w:rFonts w:ascii="Arial" w:hAnsi="Arial" w:cs="Arial"/>
          <w:szCs w:val="24"/>
        </w:rPr>
        <w:t xml:space="preserve"> and</w:t>
      </w:r>
      <w:r w:rsidR="00E55A32" w:rsidRPr="00C1087F">
        <w:rPr>
          <w:rFonts w:ascii="Arial" w:hAnsi="Arial" w:cs="Arial"/>
          <w:szCs w:val="24"/>
        </w:rPr>
        <w:t xml:space="preserve">, </w:t>
      </w:r>
      <w:r w:rsidR="00673B4E" w:rsidRPr="00C1087F">
        <w:rPr>
          <w:rFonts w:ascii="Arial" w:hAnsi="Arial" w:cs="Arial"/>
          <w:szCs w:val="24"/>
        </w:rPr>
        <w:t xml:space="preserve">following </w:t>
      </w:r>
      <w:r w:rsidR="00E55A32" w:rsidRPr="00C1087F">
        <w:rPr>
          <w:rFonts w:ascii="Arial" w:hAnsi="Arial" w:cs="Arial"/>
          <w:szCs w:val="24"/>
        </w:rPr>
        <w:t xml:space="preserve">the Upper Tribunal’s decisions in </w:t>
      </w:r>
      <w:r w:rsidR="001A0319" w:rsidRPr="00C1087F">
        <w:rPr>
          <w:rFonts w:ascii="Arial" w:hAnsi="Arial" w:cs="Arial"/>
          <w:i/>
          <w:iCs/>
          <w:szCs w:val="24"/>
          <w:u w:val="single"/>
        </w:rPr>
        <w:t>Birkett</w:t>
      </w:r>
      <w:r w:rsidR="001A0319" w:rsidRPr="00C1087F">
        <w:rPr>
          <w:rFonts w:ascii="Arial" w:hAnsi="Arial" w:cs="Arial"/>
          <w:i/>
          <w:iCs/>
          <w:szCs w:val="24"/>
        </w:rPr>
        <w:t>,</w:t>
      </w:r>
      <w:r w:rsidR="003A394C" w:rsidRPr="003A394C">
        <w:rPr>
          <w:rStyle w:val="FootnoteReference"/>
          <w:rFonts w:ascii="Arial" w:hAnsi="Arial" w:cs="Arial"/>
          <w:i/>
          <w:iCs/>
          <w:szCs w:val="24"/>
          <w:u w:val="single"/>
        </w:rPr>
        <w:footnoteReference w:id="3"/>
      </w:r>
      <w:r w:rsidR="001A0319" w:rsidRPr="00C1087F">
        <w:rPr>
          <w:rFonts w:ascii="Arial" w:hAnsi="Arial" w:cs="Arial"/>
          <w:i/>
          <w:iCs/>
          <w:szCs w:val="24"/>
        </w:rPr>
        <w:t xml:space="preserve"> </w:t>
      </w:r>
      <w:proofErr w:type="spellStart"/>
      <w:r w:rsidR="001A0319" w:rsidRPr="00C1087F">
        <w:rPr>
          <w:rFonts w:ascii="Arial" w:hAnsi="Arial" w:cs="Arial"/>
          <w:i/>
          <w:iCs/>
          <w:szCs w:val="24"/>
          <w:u w:val="single"/>
        </w:rPr>
        <w:t>Malnick</w:t>
      </w:r>
      <w:proofErr w:type="spellEnd"/>
      <w:r w:rsidR="001A0319" w:rsidRPr="00C1087F">
        <w:rPr>
          <w:rFonts w:ascii="Arial" w:hAnsi="Arial" w:cs="Arial"/>
          <w:i/>
          <w:iCs/>
          <w:szCs w:val="24"/>
        </w:rPr>
        <w:t xml:space="preserve"> </w:t>
      </w:r>
      <w:r w:rsidR="00C37ED1" w:rsidRPr="00C1087F">
        <w:rPr>
          <w:rFonts w:ascii="Arial" w:hAnsi="Arial" w:cs="Arial"/>
          <w:szCs w:val="24"/>
        </w:rPr>
        <w:t xml:space="preserve">and </w:t>
      </w:r>
      <w:r w:rsidR="00C37ED1" w:rsidRPr="00C1087F">
        <w:rPr>
          <w:rFonts w:ascii="Arial" w:hAnsi="Arial" w:cs="Arial"/>
          <w:i/>
          <w:iCs/>
          <w:szCs w:val="24"/>
          <w:u w:val="single"/>
        </w:rPr>
        <w:t xml:space="preserve">RS </w:t>
      </w:r>
      <w:r w:rsidR="00096D29" w:rsidRPr="00C1087F">
        <w:rPr>
          <w:rFonts w:ascii="Arial" w:hAnsi="Arial" w:cs="Arial"/>
          <w:i/>
          <w:iCs/>
          <w:szCs w:val="24"/>
          <w:u w:val="single"/>
        </w:rPr>
        <w:t xml:space="preserve">v Information Commissioner and North East </w:t>
      </w:r>
      <w:r w:rsidR="00804A19" w:rsidRPr="00C1087F">
        <w:rPr>
          <w:rFonts w:ascii="Arial" w:hAnsi="Arial" w:cs="Arial"/>
          <w:i/>
          <w:iCs/>
          <w:szCs w:val="24"/>
          <w:u w:val="single"/>
        </w:rPr>
        <w:t>Derbyshire</w:t>
      </w:r>
      <w:r w:rsidR="00096D29" w:rsidRPr="00C1087F">
        <w:rPr>
          <w:rFonts w:ascii="Arial" w:hAnsi="Arial" w:cs="Arial"/>
          <w:i/>
          <w:iCs/>
          <w:szCs w:val="24"/>
          <w:u w:val="single"/>
        </w:rPr>
        <w:t xml:space="preserve"> District Council</w:t>
      </w:r>
      <w:r w:rsidR="003F7B9D">
        <w:rPr>
          <w:rFonts w:ascii="Arial" w:hAnsi="Arial" w:cs="Arial"/>
          <w:i/>
          <w:iCs/>
          <w:szCs w:val="24"/>
        </w:rPr>
        <w:t xml:space="preserve"> </w:t>
      </w:r>
      <w:r w:rsidR="00096D29" w:rsidRPr="003630C3">
        <w:rPr>
          <w:rFonts w:ascii="Arial" w:hAnsi="Arial" w:cs="Arial"/>
          <w:szCs w:val="24"/>
        </w:rPr>
        <w:t xml:space="preserve">[2015] UKUT </w:t>
      </w:r>
      <w:r w:rsidR="00125A2D" w:rsidRPr="003630C3">
        <w:rPr>
          <w:rFonts w:ascii="Arial" w:hAnsi="Arial" w:cs="Arial"/>
          <w:szCs w:val="24"/>
        </w:rPr>
        <w:t>0568 (AAC)</w:t>
      </w:r>
      <w:r w:rsidR="00A115CE" w:rsidRPr="00C1087F">
        <w:rPr>
          <w:rFonts w:ascii="Arial" w:hAnsi="Arial" w:cs="Arial"/>
          <w:szCs w:val="24"/>
        </w:rPr>
        <w:t xml:space="preserve">, </w:t>
      </w:r>
      <w:r w:rsidR="00E55A32" w:rsidRPr="00C1087F">
        <w:rPr>
          <w:rFonts w:ascii="Arial" w:hAnsi="Arial" w:cs="Arial"/>
          <w:szCs w:val="24"/>
        </w:rPr>
        <w:t xml:space="preserve">the FTT </w:t>
      </w:r>
      <w:r w:rsidR="00D47E02" w:rsidRPr="00C1087F">
        <w:rPr>
          <w:rFonts w:ascii="Arial" w:hAnsi="Arial" w:cs="Arial"/>
          <w:szCs w:val="24"/>
        </w:rPr>
        <w:t xml:space="preserve">should </w:t>
      </w:r>
      <w:r w:rsidR="00F66F81" w:rsidRPr="00C1087F">
        <w:rPr>
          <w:rFonts w:ascii="Arial" w:hAnsi="Arial" w:cs="Arial"/>
          <w:szCs w:val="24"/>
        </w:rPr>
        <w:t xml:space="preserve">approach </w:t>
      </w:r>
      <w:r w:rsidR="00D47E02" w:rsidRPr="00C1087F">
        <w:rPr>
          <w:rFonts w:ascii="Arial" w:hAnsi="Arial" w:cs="Arial"/>
          <w:szCs w:val="24"/>
        </w:rPr>
        <w:t xml:space="preserve">this as a holistic question to be determined </w:t>
      </w:r>
      <w:r w:rsidR="002B40B7" w:rsidRPr="00C1087F">
        <w:rPr>
          <w:rFonts w:ascii="Arial" w:hAnsi="Arial" w:cs="Arial"/>
          <w:szCs w:val="24"/>
        </w:rPr>
        <w:t xml:space="preserve">as </w:t>
      </w:r>
      <w:r w:rsidR="00DC5C1E" w:rsidRPr="00C1087F">
        <w:rPr>
          <w:rFonts w:ascii="Arial" w:hAnsi="Arial" w:cs="Arial"/>
          <w:szCs w:val="24"/>
        </w:rPr>
        <w:t>at the date of the FTT’s decision.</w:t>
      </w:r>
    </w:p>
    <w:p w14:paraId="210D4562" w14:textId="5C0C98DE" w:rsidR="00827AA4" w:rsidRPr="00C1087F" w:rsidRDefault="000130E3" w:rsidP="00DD7117">
      <w:pPr>
        <w:numPr>
          <w:ilvl w:val="0"/>
          <w:numId w:val="21"/>
        </w:numPr>
        <w:tabs>
          <w:tab w:val="left" w:pos="426"/>
          <w:tab w:val="left" w:pos="1134"/>
          <w:tab w:val="left" w:pos="5103"/>
        </w:tabs>
        <w:spacing w:after="120" w:line="276" w:lineRule="auto"/>
        <w:ind w:left="426" w:hanging="426"/>
        <w:jc w:val="both"/>
        <w:rPr>
          <w:rFonts w:ascii="Arial" w:hAnsi="Arial" w:cs="Arial"/>
          <w:szCs w:val="24"/>
        </w:rPr>
      </w:pPr>
      <w:r w:rsidRPr="00C1087F">
        <w:rPr>
          <w:rFonts w:ascii="Arial" w:hAnsi="Arial" w:cs="Arial"/>
          <w:szCs w:val="24"/>
        </w:rPr>
        <w:t xml:space="preserve">Without wishing to do </w:t>
      </w:r>
      <w:r w:rsidR="00465E6E" w:rsidRPr="00C1087F">
        <w:rPr>
          <w:rFonts w:ascii="Arial" w:hAnsi="Arial" w:cs="Arial"/>
          <w:szCs w:val="24"/>
        </w:rPr>
        <w:t xml:space="preserve">a </w:t>
      </w:r>
      <w:r w:rsidRPr="00C1087F">
        <w:rPr>
          <w:rFonts w:ascii="Arial" w:hAnsi="Arial" w:cs="Arial"/>
          <w:szCs w:val="24"/>
        </w:rPr>
        <w:t>disservice to the Appellant’s carefully constructed submissions, they may be summarised as follows:</w:t>
      </w:r>
    </w:p>
    <w:p w14:paraId="2C65C02A" w14:textId="6727A98C" w:rsidR="00A86C09" w:rsidRPr="00C1087F" w:rsidRDefault="0038743F" w:rsidP="00D67656">
      <w:pPr>
        <w:numPr>
          <w:ilvl w:val="1"/>
          <w:numId w:val="21"/>
        </w:numPr>
        <w:tabs>
          <w:tab w:val="left" w:pos="426"/>
          <w:tab w:val="left" w:pos="1134"/>
          <w:tab w:val="left" w:pos="5103"/>
        </w:tabs>
        <w:spacing w:after="120" w:line="276" w:lineRule="auto"/>
        <w:ind w:left="1134" w:hanging="283"/>
        <w:jc w:val="both"/>
        <w:rPr>
          <w:rFonts w:ascii="Arial" w:hAnsi="Arial" w:cs="Arial"/>
          <w:szCs w:val="24"/>
        </w:rPr>
      </w:pPr>
      <w:r w:rsidRPr="00C1087F">
        <w:rPr>
          <w:rFonts w:ascii="Arial" w:hAnsi="Arial" w:cs="Arial"/>
          <w:szCs w:val="24"/>
        </w:rPr>
        <w:t>In a</w:t>
      </w:r>
      <w:r w:rsidR="00EF59A0" w:rsidRPr="00C1087F">
        <w:rPr>
          <w:rFonts w:ascii="Arial" w:hAnsi="Arial" w:cs="Arial"/>
          <w:szCs w:val="24"/>
        </w:rPr>
        <w:t xml:space="preserve"> s.57 FOIA </w:t>
      </w:r>
      <w:r w:rsidRPr="00C1087F">
        <w:rPr>
          <w:rFonts w:ascii="Arial" w:hAnsi="Arial" w:cs="Arial"/>
          <w:szCs w:val="24"/>
        </w:rPr>
        <w:t xml:space="preserve">appeal, the FTT </w:t>
      </w:r>
      <w:r w:rsidR="000063F9" w:rsidRPr="00C1087F">
        <w:rPr>
          <w:rFonts w:ascii="Arial" w:hAnsi="Arial" w:cs="Arial"/>
          <w:szCs w:val="24"/>
        </w:rPr>
        <w:t xml:space="preserve">conducts a </w:t>
      </w:r>
      <w:r w:rsidR="000063F9" w:rsidRPr="00C1087F">
        <w:rPr>
          <w:rFonts w:ascii="Arial" w:hAnsi="Arial" w:cs="Arial"/>
          <w:i/>
          <w:iCs/>
          <w:szCs w:val="24"/>
        </w:rPr>
        <w:t xml:space="preserve">de novo </w:t>
      </w:r>
      <w:r w:rsidR="000063F9" w:rsidRPr="00C1087F">
        <w:rPr>
          <w:rFonts w:ascii="Arial" w:hAnsi="Arial" w:cs="Arial"/>
          <w:szCs w:val="24"/>
        </w:rPr>
        <w:t xml:space="preserve">consideration of the </w:t>
      </w:r>
      <w:r w:rsidR="005D2DBB" w:rsidRPr="00C1087F">
        <w:rPr>
          <w:rFonts w:ascii="Arial" w:hAnsi="Arial" w:cs="Arial"/>
          <w:szCs w:val="24"/>
        </w:rPr>
        <w:t>i</w:t>
      </w:r>
      <w:r w:rsidR="000063F9" w:rsidRPr="00C1087F">
        <w:rPr>
          <w:rFonts w:ascii="Arial" w:hAnsi="Arial" w:cs="Arial"/>
          <w:szCs w:val="24"/>
        </w:rPr>
        <w:t>ssues</w:t>
      </w:r>
      <w:r w:rsidR="00547C78" w:rsidRPr="00C1087F">
        <w:rPr>
          <w:rFonts w:ascii="Arial" w:hAnsi="Arial" w:cs="Arial"/>
          <w:szCs w:val="24"/>
        </w:rPr>
        <w:t xml:space="preserve">, standing in the shoes of the Commissioner </w:t>
      </w:r>
      <w:r w:rsidR="004026B0" w:rsidRPr="00C1087F">
        <w:rPr>
          <w:rFonts w:ascii="Arial" w:hAnsi="Arial" w:cs="Arial"/>
          <w:szCs w:val="24"/>
        </w:rPr>
        <w:t>(</w:t>
      </w:r>
      <w:proofErr w:type="spellStart"/>
      <w:r w:rsidR="004026B0" w:rsidRPr="00C1087F">
        <w:rPr>
          <w:rFonts w:ascii="Arial" w:hAnsi="Arial" w:cs="Arial"/>
          <w:i/>
          <w:iCs/>
          <w:szCs w:val="24"/>
          <w:u w:val="single"/>
        </w:rPr>
        <w:t>Malnick</w:t>
      </w:r>
      <w:proofErr w:type="spellEnd"/>
      <w:r w:rsidR="004F5CD6" w:rsidRPr="00C1087F">
        <w:rPr>
          <w:rFonts w:ascii="Arial" w:hAnsi="Arial" w:cs="Arial"/>
          <w:szCs w:val="24"/>
        </w:rPr>
        <w:t xml:space="preserve"> [90]). </w:t>
      </w:r>
      <w:r w:rsidR="00A86C09" w:rsidRPr="00C1087F">
        <w:rPr>
          <w:rFonts w:ascii="Arial" w:hAnsi="Arial" w:cs="Arial"/>
          <w:szCs w:val="24"/>
        </w:rPr>
        <w:t>The</w:t>
      </w:r>
      <w:r w:rsidR="004141B1" w:rsidRPr="00C1087F">
        <w:rPr>
          <w:rFonts w:ascii="Arial" w:hAnsi="Arial" w:cs="Arial"/>
          <w:szCs w:val="24"/>
        </w:rPr>
        <w:t xml:space="preserve"> FTT must decide whether the decision notice </w:t>
      </w:r>
      <w:r w:rsidR="004141B1" w:rsidRPr="00C1087F">
        <w:rPr>
          <w:rFonts w:ascii="Arial" w:hAnsi="Arial" w:cs="Arial"/>
          <w:b/>
          <w:bCs/>
          <w:szCs w:val="24"/>
        </w:rPr>
        <w:t>is</w:t>
      </w:r>
      <w:r w:rsidR="00866067" w:rsidRPr="00C1087F">
        <w:rPr>
          <w:rFonts w:ascii="Arial" w:hAnsi="Arial" w:cs="Arial"/>
          <w:szCs w:val="24"/>
        </w:rPr>
        <w:t xml:space="preserve"> </w:t>
      </w:r>
      <w:r w:rsidR="00866067" w:rsidRPr="00C1087F">
        <w:rPr>
          <w:rFonts w:ascii="Arial" w:hAnsi="Arial" w:cs="Arial"/>
          <w:b/>
          <w:bCs/>
          <w:szCs w:val="24"/>
        </w:rPr>
        <w:t>not</w:t>
      </w:r>
      <w:r w:rsidR="00866067" w:rsidRPr="00C1087F">
        <w:rPr>
          <w:rFonts w:ascii="Arial" w:hAnsi="Arial" w:cs="Arial"/>
          <w:szCs w:val="24"/>
        </w:rPr>
        <w:t xml:space="preserve"> in accordance with the law, not whether it </w:t>
      </w:r>
      <w:r w:rsidR="00866067" w:rsidRPr="00C1087F">
        <w:rPr>
          <w:rFonts w:ascii="Arial" w:hAnsi="Arial" w:cs="Arial"/>
          <w:b/>
          <w:bCs/>
          <w:szCs w:val="24"/>
        </w:rPr>
        <w:t>was not</w:t>
      </w:r>
      <w:r w:rsidR="00866067" w:rsidRPr="00C1087F">
        <w:rPr>
          <w:rFonts w:ascii="Arial" w:hAnsi="Arial" w:cs="Arial"/>
          <w:szCs w:val="24"/>
        </w:rPr>
        <w:t xml:space="preserve"> in accordance with the law</w:t>
      </w:r>
      <w:r w:rsidR="00BF4EBC" w:rsidRPr="00C1087F">
        <w:rPr>
          <w:rFonts w:ascii="Arial" w:hAnsi="Arial" w:cs="Arial"/>
          <w:szCs w:val="24"/>
        </w:rPr>
        <w:t xml:space="preserve"> (</w:t>
      </w:r>
      <w:r w:rsidR="00BF4EBC" w:rsidRPr="00C1087F">
        <w:rPr>
          <w:rFonts w:ascii="Arial" w:hAnsi="Arial" w:cs="Arial"/>
          <w:i/>
          <w:iCs/>
          <w:szCs w:val="24"/>
          <w:u w:val="single"/>
        </w:rPr>
        <w:t>B</w:t>
      </w:r>
      <w:r w:rsidR="00FC3A44" w:rsidRPr="00C1087F">
        <w:rPr>
          <w:rFonts w:ascii="Arial" w:hAnsi="Arial" w:cs="Arial"/>
          <w:i/>
          <w:iCs/>
          <w:szCs w:val="24"/>
          <w:u w:val="single"/>
        </w:rPr>
        <w:t>irkett</w:t>
      </w:r>
      <w:r w:rsidR="00FC3A44" w:rsidRPr="00C1087F">
        <w:rPr>
          <w:rFonts w:ascii="Arial" w:hAnsi="Arial" w:cs="Arial"/>
          <w:szCs w:val="24"/>
        </w:rPr>
        <w:t xml:space="preserve"> [59-60]).</w:t>
      </w:r>
      <w:r w:rsidR="00A86C09" w:rsidRPr="00C1087F">
        <w:rPr>
          <w:rFonts w:ascii="Arial" w:hAnsi="Arial" w:cs="Arial"/>
          <w:szCs w:val="24"/>
        </w:rPr>
        <w:t xml:space="preserve"> </w:t>
      </w:r>
    </w:p>
    <w:p w14:paraId="40F8C248" w14:textId="7222A6B8" w:rsidR="00872879" w:rsidRPr="00C1087F" w:rsidRDefault="00D14474" w:rsidP="00D67656">
      <w:pPr>
        <w:numPr>
          <w:ilvl w:val="1"/>
          <w:numId w:val="21"/>
        </w:numPr>
        <w:tabs>
          <w:tab w:val="left" w:pos="426"/>
          <w:tab w:val="left" w:pos="1134"/>
          <w:tab w:val="left" w:pos="5103"/>
        </w:tabs>
        <w:spacing w:after="120" w:line="276" w:lineRule="auto"/>
        <w:ind w:left="1134" w:hanging="283"/>
        <w:jc w:val="both"/>
        <w:rPr>
          <w:rFonts w:ascii="Arial" w:hAnsi="Arial" w:cs="Arial"/>
          <w:szCs w:val="24"/>
        </w:rPr>
      </w:pPr>
      <w:r w:rsidRPr="00C1087F">
        <w:rPr>
          <w:rFonts w:ascii="Arial" w:hAnsi="Arial" w:cs="Arial"/>
          <w:szCs w:val="24"/>
        </w:rPr>
        <w:t xml:space="preserve">The Upper Tribunal decided in </w:t>
      </w:r>
      <w:proofErr w:type="spellStart"/>
      <w:r w:rsidR="00252BA4" w:rsidRPr="00C1087F">
        <w:rPr>
          <w:rFonts w:ascii="Arial" w:hAnsi="Arial" w:cs="Arial"/>
          <w:i/>
          <w:iCs/>
          <w:szCs w:val="24"/>
          <w:u w:val="single"/>
        </w:rPr>
        <w:t>Malnick</w:t>
      </w:r>
      <w:proofErr w:type="spellEnd"/>
      <w:r w:rsidR="00252BA4" w:rsidRPr="00C1087F">
        <w:rPr>
          <w:rFonts w:ascii="Arial" w:hAnsi="Arial" w:cs="Arial"/>
          <w:szCs w:val="24"/>
        </w:rPr>
        <w:t xml:space="preserve"> </w:t>
      </w:r>
      <w:r w:rsidR="00172F3E" w:rsidRPr="00C1087F">
        <w:rPr>
          <w:rFonts w:ascii="Arial" w:hAnsi="Arial" w:cs="Arial"/>
          <w:szCs w:val="24"/>
        </w:rPr>
        <w:t>that there is no limitation on the issues the FTT may decide on appeal</w:t>
      </w:r>
      <w:r w:rsidR="005551D9" w:rsidRPr="00C1087F">
        <w:rPr>
          <w:rFonts w:ascii="Arial" w:hAnsi="Arial" w:cs="Arial"/>
          <w:szCs w:val="24"/>
        </w:rPr>
        <w:t>.</w:t>
      </w:r>
      <w:r w:rsidR="00445304" w:rsidRPr="00C1087F">
        <w:rPr>
          <w:rFonts w:ascii="Arial" w:hAnsi="Arial" w:cs="Arial"/>
          <w:szCs w:val="24"/>
        </w:rPr>
        <w:t xml:space="preserve"> Having</w:t>
      </w:r>
      <w:r w:rsidR="005551D9" w:rsidRPr="00C1087F">
        <w:rPr>
          <w:rFonts w:ascii="Arial" w:hAnsi="Arial" w:cs="Arial"/>
          <w:szCs w:val="24"/>
        </w:rPr>
        <w:t xml:space="preserve"> </w:t>
      </w:r>
      <w:r w:rsidR="00E23FE3" w:rsidRPr="00C1087F">
        <w:rPr>
          <w:rFonts w:ascii="Arial" w:hAnsi="Arial" w:cs="Arial"/>
          <w:szCs w:val="24"/>
        </w:rPr>
        <w:t xml:space="preserve">identified </w:t>
      </w:r>
      <w:r w:rsidR="009B690F" w:rsidRPr="00C1087F">
        <w:rPr>
          <w:rFonts w:ascii="Arial" w:hAnsi="Arial" w:cs="Arial"/>
          <w:szCs w:val="24"/>
        </w:rPr>
        <w:t xml:space="preserve">circumstances in which </w:t>
      </w:r>
      <w:r w:rsidR="0023722D" w:rsidRPr="00C1087F">
        <w:rPr>
          <w:rFonts w:ascii="Arial" w:hAnsi="Arial" w:cs="Arial"/>
          <w:szCs w:val="24"/>
        </w:rPr>
        <w:t xml:space="preserve">the FTT </w:t>
      </w:r>
      <w:r w:rsidR="00E23FE3" w:rsidRPr="00C1087F">
        <w:rPr>
          <w:rFonts w:ascii="Arial" w:hAnsi="Arial" w:cs="Arial"/>
          <w:szCs w:val="24"/>
        </w:rPr>
        <w:t>is unable</w:t>
      </w:r>
      <w:r w:rsidR="002D0B0C">
        <w:rPr>
          <w:rFonts w:ascii="Arial" w:hAnsi="Arial" w:cs="Arial"/>
          <w:szCs w:val="24"/>
        </w:rPr>
        <w:t xml:space="preserve"> to</w:t>
      </w:r>
      <w:r w:rsidR="00E23FE3" w:rsidRPr="00C1087F">
        <w:rPr>
          <w:rFonts w:ascii="Arial" w:hAnsi="Arial" w:cs="Arial"/>
          <w:szCs w:val="24"/>
        </w:rPr>
        <w:t xml:space="preserve"> </w:t>
      </w:r>
      <w:r w:rsidR="0023722D" w:rsidRPr="00C1087F">
        <w:rPr>
          <w:rFonts w:ascii="Arial" w:hAnsi="Arial" w:cs="Arial"/>
          <w:szCs w:val="24"/>
        </w:rPr>
        <w:t xml:space="preserve">remit a </w:t>
      </w:r>
      <w:r w:rsidR="00E23FE3" w:rsidRPr="00C1087F">
        <w:rPr>
          <w:rFonts w:ascii="Arial" w:hAnsi="Arial" w:cs="Arial"/>
          <w:szCs w:val="24"/>
        </w:rPr>
        <w:t xml:space="preserve">decision notice </w:t>
      </w:r>
      <w:r w:rsidR="009B690F" w:rsidRPr="00C1087F">
        <w:rPr>
          <w:rFonts w:ascii="Arial" w:hAnsi="Arial" w:cs="Arial"/>
          <w:szCs w:val="24"/>
        </w:rPr>
        <w:t>to the Commissioner</w:t>
      </w:r>
      <w:r w:rsidR="0039285A" w:rsidRPr="00C1087F">
        <w:rPr>
          <w:rFonts w:ascii="Arial" w:hAnsi="Arial" w:cs="Arial"/>
          <w:szCs w:val="24"/>
        </w:rPr>
        <w:t xml:space="preserve"> for reconsideration</w:t>
      </w:r>
      <w:r w:rsidR="009B690F" w:rsidRPr="00C1087F">
        <w:rPr>
          <w:rFonts w:ascii="Arial" w:hAnsi="Arial" w:cs="Arial"/>
          <w:szCs w:val="24"/>
        </w:rPr>
        <w:t xml:space="preserve">, </w:t>
      </w:r>
      <w:r w:rsidR="00872879" w:rsidRPr="00C1087F">
        <w:rPr>
          <w:rFonts w:ascii="Arial" w:hAnsi="Arial" w:cs="Arial"/>
          <w:szCs w:val="24"/>
        </w:rPr>
        <w:t xml:space="preserve">the Upper Tribunal </w:t>
      </w:r>
      <w:r w:rsidR="00196861" w:rsidRPr="00C1087F">
        <w:rPr>
          <w:rFonts w:ascii="Arial" w:hAnsi="Arial" w:cs="Arial"/>
          <w:szCs w:val="24"/>
        </w:rPr>
        <w:t xml:space="preserve">concluded </w:t>
      </w:r>
      <w:r w:rsidR="009B690F" w:rsidRPr="00C1087F">
        <w:rPr>
          <w:rFonts w:ascii="Arial" w:hAnsi="Arial" w:cs="Arial"/>
          <w:szCs w:val="24"/>
        </w:rPr>
        <w:t>that</w:t>
      </w:r>
      <w:r w:rsidR="00872879" w:rsidRPr="00C1087F">
        <w:rPr>
          <w:rFonts w:ascii="Arial" w:hAnsi="Arial" w:cs="Arial"/>
          <w:szCs w:val="24"/>
        </w:rPr>
        <w:t>:</w:t>
      </w:r>
    </w:p>
    <w:p w14:paraId="1EEA2D5B" w14:textId="5F7D33A6" w:rsidR="00196861" w:rsidRPr="00C1087F" w:rsidRDefault="00196861" w:rsidP="00D67656">
      <w:pPr>
        <w:tabs>
          <w:tab w:val="left" w:pos="426"/>
          <w:tab w:val="left" w:pos="1985"/>
          <w:tab w:val="left" w:pos="5103"/>
        </w:tabs>
        <w:spacing w:after="120" w:line="276" w:lineRule="auto"/>
        <w:ind w:left="1418"/>
        <w:jc w:val="both"/>
        <w:rPr>
          <w:rFonts w:ascii="Arial" w:hAnsi="Arial" w:cs="Arial"/>
          <w:i/>
          <w:iCs/>
          <w:szCs w:val="24"/>
        </w:rPr>
      </w:pPr>
      <w:r w:rsidRPr="00C1087F">
        <w:rPr>
          <w:rFonts w:ascii="Arial" w:hAnsi="Arial" w:cs="Arial"/>
          <w:i/>
          <w:iCs/>
          <w:szCs w:val="24"/>
        </w:rPr>
        <w:t>“[102] These conclusions are entirely consistent with the wide scope of the tribunal’s duties and powers under section 58. The decision in Birkett means that there is no limitation on the issues which the FTT can address on appeal, and the focus of its task is the duty of the public authority. This means that the tribunal must consider everything necessary to answer the core question whether the authority has complied with the law, and so includes consideration of exemptions not previously relied on but which come into focus because the exemption relied upon has fallen away. It cannot be open to the FTT to remit consideration of new exemptions to the Commissioner, because to do so would be incompatible with the FTT’s obligation under section 58 to consider those matters for itself.”</w:t>
      </w:r>
    </w:p>
    <w:p w14:paraId="2A7ABEAB" w14:textId="68E46880" w:rsidR="000130E3" w:rsidRPr="00C1087F" w:rsidRDefault="00DD3F0B" w:rsidP="0085206C">
      <w:pPr>
        <w:numPr>
          <w:ilvl w:val="1"/>
          <w:numId w:val="21"/>
        </w:numPr>
        <w:tabs>
          <w:tab w:val="left" w:pos="426"/>
          <w:tab w:val="left" w:pos="5103"/>
        </w:tabs>
        <w:spacing w:after="120" w:line="276" w:lineRule="auto"/>
        <w:ind w:left="1134" w:hanging="283"/>
        <w:jc w:val="both"/>
        <w:rPr>
          <w:rFonts w:ascii="Arial" w:hAnsi="Arial" w:cs="Arial"/>
          <w:szCs w:val="24"/>
        </w:rPr>
      </w:pPr>
      <w:r w:rsidRPr="00C1087F">
        <w:rPr>
          <w:rFonts w:ascii="Arial" w:hAnsi="Arial" w:cs="Arial"/>
          <w:szCs w:val="24"/>
        </w:rPr>
        <w:t xml:space="preserve">The principle </w:t>
      </w:r>
      <w:r w:rsidR="0071623C" w:rsidRPr="00C1087F">
        <w:rPr>
          <w:rFonts w:ascii="Arial" w:hAnsi="Arial" w:cs="Arial"/>
          <w:szCs w:val="24"/>
        </w:rPr>
        <w:t xml:space="preserve">of </w:t>
      </w:r>
      <w:r w:rsidRPr="00C1087F">
        <w:rPr>
          <w:rFonts w:ascii="Arial" w:hAnsi="Arial" w:cs="Arial"/>
          <w:szCs w:val="24"/>
        </w:rPr>
        <w:t xml:space="preserve">‘no limitation on the issues’ </w:t>
      </w:r>
      <w:r w:rsidR="00CC215D" w:rsidRPr="00C1087F">
        <w:rPr>
          <w:rFonts w:ascii="Arial" w:hAnsi="Arial" w:cs="Arial"/>
          <w:szCs w:val="24"/>
        </w:rPr>
        <w:t xml:space="preserve">is not limited to </w:t>
      </w:r>
      <w:r w:rsidR="004066C3" w:rsidRPr="00C1087F">
        <w:rPr>
          <w:rFonts w:ascii="Arial" w:hAnsi="Arial" w:cs="Arial"/>
          <w:szCs w:val="24"/>
        </w:rPr>
        <w:t xml:space="preserve">the </w:t>
      </w:r>
      <w:r w:rsidR="00CB61DC" w:rsidRPr="00C1087F">
        <w:rPr>
          <w:rFonts w:ascii="Arial" w:hAnsi="Arial" w:cs="Arial"/>
          <w:szCs w:val="24"/>
        </w:rPr>
        <w:t xml:space="preserve">FTT’s </w:t>
      </w:r>
      <w:r w:rsidR="004066C3" w:rsidRPr="00C1087F">
        <w:rPr>
          <w:rFonts w:ascii="Arial" w:hAnsi="Arial" w:cs="Arial"/>
          <w:szCs w:val="24"/>
        </w:rPr>
        <w:t xml:space="preserve">consideration of </w:t>
      </w:r>
      <w:r w:rsidRPr="00C1087F">
        <w:rPr>
          <w:rFonts w:ascii="Arial" w:hAnsi="Arial" w:cs="Arial"/>
          <w:szCs w:val="24"/>
        </w:rPr>
        <w:t>FOIA exemptions.</w:t>
      </w:r>
      <w:r w:rsidR="00812901" w:rsidRPr="00C1087F">
        <w:rPr>
          <w:rFonts w:ascii="Arial" w:hAnsi="Arial" w:cs="Arial"/>
          <w:szCs w:val="24"/>
        </w:rPr>
        <w:t xml:space="preserve"> </w:t>
      </w:r>
      <w:r w:rsidR="00854287" w:rsidRPr="00C1087F">
        <w:rPr>
          <w:rFonts w:ascii="Arial" w:hAnsi="Arial" w:cs="Arial"/>
          <w:szCs w:val="24"/>
        </w:rPr>
        <w:t>I</w:t>
      </w:r>
      <w:r w:rsidR="004066C3" w:rsidRPr="00C1087F">
        <w:rPr>
          <w:rFonts w:ascii="Arial" w:hAnsi="Arial" w:cs="Arial"/>
          <w:szCs w:val="24"/>
        </w:rPr>
        <w:t xml:space="preserve">n the </w:t>
      </w:r>
      <w:r w:rsidR="00CB61DC" w:rsidRPr="00C1087F">
        <w:rPr>
          <w:rFonts w:ascii="Arial" w:hAnsi="Arial" w:cs="Arial"/>
          <w:szCs w:val="24"/>
        </w:rPr>
        <w:t>Appe</w:t>
      </w:r>
      <w:r w:rsidR="00970DCA" w:rsidRPr="00C1087F">
        <w:rPr>
          <w:rFonts w:ascii="Arial" w:hAnsi="Arial" w:cs="Arial"/>
          <w:szCs w:val="24"/>
        </w:rPr>
        <w:t xml:space="preserve">llant’s view, the </w:t>
      </w:r>
      <w:r w:rsidR="00FC292E" w:rsidRPr="00C1087F">
        <w:rPr>
          <w:rFonts w:ascii="Arial" w:hAnsi="Arial" w:cs="Arial"/>
          <w:szCs w:val="24"/>
        </w:rPr>
        <w:t xml:space="preserve">FTT </w:t>
      </w:r>
      <w:r w:rsidR="00AD024D" w:rsidRPr="00C1087F">
        <w:rPr>
          <w:rFonts w:ascii="Arial" w:hAnsi="Arial" w:cs="Arial"/>
          <w:szCs w:val="24"/>
        </w:rPr>
        <w:t xml:space="preserve">failed to </w:t>
      </w:r>
      <w:r w:rsidR="007F069C" w:rsidRPr="00C1087F">
        <w:rPr>
          <w:rFonts w:ascii="Arial" w:hAnsi="Arial" w:cs="Arial"/>
          <w:szCs w:val="24"/>
        </w:rPr>
        <w:t>focus</w:t>
      </w:r>
      <w:r w:rsidR="002D5235" w:rsidRPr="00C1087F">
        <w:rPr>
          <w:rFonts w:ascii="Arial" w:hAnsi="Arial" w:cs="Arial"/>
          <w:szCs w:val="24"/>
        </w:rPr>
        <w:t xml:space="preserve"> on </w:t>
      </w:r>
      <w:r w:rsidR="007F069C" w:rsidRPr="00C1087F">
        <w:rPr>
          <w:rFonts w:ascii="Arial" w:hAnsi="Arial" w:cs="Arial"/>
          <w:szCs w:val="24"/>
        </w:rPr>
        <w:t xml:space="preserve">the </w:t>
      </w:r>
      <w:r w:rsidR="00AF4164" w:rsidRPr="00C1087F">
        <w:rPr>
          <w:rFonts w:ascii="Arial" w:hAnsi="Arial" w:cs="Arial"/>
          <w:szCs w:val="24"/>
        </w:rPr>
        <w:t>duty of the public authority</w:t>
      </w:r>
      <w:r w:rsidR="00AD024D" w:rsidRPr="00C1087F">
        <w:rPr>
          <w:rFonts w:ascii="Arial" w:hAnsi="Arial" w:cs="Arial"/>
          <w:szCs w:val="24"/>
        </w:rPr>
        <w:t>.</w:t>
      </w:r>
      <w:r w:rsidR="00BE3D9C" w:rsidRPr="00C1087F">
        <w:rPr>
          <w:rFonts w:ascii="Arial" w:hAnsi="Arial" w:cs="Arial"/>
          <w:szCs w:val="24"/>
        </w:rPr>
        <w:t xml:space="preserve"> The FTT </w:t>
      </w:r>
      <w:r w:rsidR="00F36FA0" w:rsidRPr="00C1087F">
        <w:rPr>
          <w:rFonts w:ascii="Arial" w:hAnsi="Arial" w:cs="Arial"/>
          <w:szCs w:val="24"/>
        </w:rPr>
        <w:t xml:space="preserve">should have </w:t>
      </w:r>
      <w:r w:rsidR="00E23A46" w:rsidRPr="00C1087F">
        <w:rPr>
          <w:rFonts w:ascii="Arial" w:hAnsi="Arial" w:cs="Arial"/>
          <w:szCs w:val="24"/>
        </w:rPr>
        <w:t>considered</w:t>
      </w:r>
      <w:r w:rsidR="00AC202D" w:rsidRPr="00C1087F">
        <w:rPr>
          <w:rFonts w:ascii="Arial" w:hAnsi="Arial" w:cs="Arial"/>
          <w:szCs w:val="24"/>
        </w:rPr>
        <w:t xml:space="preserve"> </w:t>
      </w:r>
      <w:r w:rsidR="00AD5209" w:rsidRPr="00C1087F">
        <w:rPr>
          <w:rFonts w:ascii="Arial" w:hAnsi="Arial" w:cs="Arial"/>
          <w:szCs w:val="24"/>
        </w:rPr>
        <w:t xml:space="preserve">whether the </w:t>
      </w:r>
      <w:r w:rsidR="00E23A46" w:rsidRPr="00C1087F">
        <w:rPr>
          <w:rFonts w:ascii="Arial" w:hAnsi="Arial" w:cs="Arial"/>
          <w:szCs w:val="24"/>
        </w:rPr>
        <w:t xml:space="preserve">ICO </w:t>
      </w:r>
      <w:r w:rsidR="00D11BEB" w:rsidRPr="00C1087F">
        <w:rPr>
          <w:rFonts w:ascii="Arial" w:hAnsi="Arial" w:cs="Arial"/>
          <w:szCs w:val="24"/>
        </w:rPr>
        <w:t xml:space="preserve">had complied with </w:t>
      </w:r>
      <w:r w:rsidR="00361F07" w:rsidRPr="00C1087F">
        <w:rPr>
          <w:rFonts w:ascii="Arial" w:hAnsi="Arial" w:cs="Arial"/>
          <w:szCs w:val="24"/>
        </w:rPr>
        <w:t>Part I FOIA</w:t>
      </w:r>
      <w:r w:rsidR="005D4274" w:rsidRPr="00C1087F">
        <w:rPr>
          <w:rFonts w:ascii="Arial" w:hAnsi="Arial" w:cs="Arial"/>
          <w:szCs w:val="24"/>
        </w:rPr>
        <w:t xml:space="preserve"> </w:t>
      </w:r>
      <w:r w:rsidR="00823150" w:rsidRPr="00C1087F">
        <w:rPr>
          <w:rFonts w:ascii="Arial" w:hAnsi="Arial" w:cs="Arial"/>
          <w:szCs w:val="24"/>
        </w:rPr>
        <w:t>in relation to hi</w:t>
      </w:r>
      <w:r w:rsidR="002D0B0C">
        <w:rPr>
          <w:rFonts w:ascii="Arial" w:hAnsi="Arial" w:cs="Arial"/>
          <w:szCs w:val="24"/>
        </w:rPr>
        <w:t>s</w:t>
      </w:r>
      <w:r w:rsidR="00823150" w:rsidRPr="00C1087F">
        <w:rPr>
          <w:rFonts w:ascii="Arial" w:hAnsi="Arial" w:cs="Arial"/>
          <w:szCs w:val="24"/>
        </w:rPr>
        <w:t xml:space="preserve"> requests, including </w:t>
      </w:r>
      <w:r w:rsidR="00F66B9A">
        <w:rPr>
          <w:rFonts w:ascii="Arial" w:hAnsi="Arial" w:cs="Arial"/>
          <w:szCs w:val="24"/>
        </w:rPr>
        <w:t xml:space="preserve">those </w:t>
      </w:r>
      <w:r w:rsidR="00FF3704">
        <w:rPr>
          <w:rFonts w:ascii="Arial" w:hAnsi="Arial" w:cs="Arial"/>
          <w:szCs w:val="24"/>
        </w:rPr>
        <w:t xml:space="preserve">the ICO had </w:t>
      </w:r>
      <w:r w:rsidR="0085206C">
        <w:rPr>
          <w:rFonts w:ascii="Arial" w:hAnsi="Arial" w:cs="Arial"/>
          <w:szCs w:val="24"/>
        </w:rPr>
        <w:t xml:space="preserve">responded </w:t>
      </w:r>
      <w:r w:rsidR="00FF3704">
        <w:rPr>
          <w:rFonts w:ascii="Arial" w:hAnsi="Arial" w:cs="Arial"/>
          <w:szCs w:val="24"/>
        </w:rPr>
        <w:t xml:space="preserve">to </w:t>
      </w:r>
      <w:r w:rsidR="005D4274" w:rsidRPr="00C1087F">
        <w:rPr>
          <w:rFonts w:ascii="Arial" w:hAnsi="Arial" w:cs="Arial"/>
          <w:szCs w:val="24"/>
        </w:rPr>
        <w:t>since the decision notice was issued.</w:t>
      </w:r>
      <w:r w:rsidR="00A254B2" w:rsidRPr="00C1087F">
        <w:rPr>
          <w:rFonts w:ascii="Arial" w:hAnsi="Arial" w:cs="Arial"/>
          <w:szCs w:val="24"/>
        </w:rPr>
        <w:t xml:space="preserve"> </w:t>
      </w:r>
    </w:p>
    <w:p w14:paraId="0B8C09BA" w14:textId="24D5D4F4" w:rsidR="006F5015" w:rsidRPr="00C1087F" w:rsidRDefault="00963F7F" w:rsidP="00FF3704">
      <w:pPr>
        <w:numPr>
          <w:ilvl w:val="1"/>
          <w:numId w:val="21"/>
        </w:numPr>
        <w:tabs>
          <w:tab w:val="left" w:pos="426"/>
          <w:tab w:val="left" w:pos="1134"/>
          <w:tab w:val="left" w:pos="5103"/>
        </w:tabs>
        <w:spacing w:after="120" w:line="276" w:lineRule="auto"/>
        <w:ind w:left="1134" w:hanging="283"/>
        <w:jc w:val="both"/>
        <w:rPr>
          <w:rFonts w:ascii="Arial" w:hAnsi="Arial" w:cs="Arial"/>
          <w:szCs w:val="24"/>
        </w:rPr>
      </w:pPr>
      <w:r w:rsidRPr="00C1087F">
        <w:rPr>
          <w:rFonts w:ascii="Arial" w:hAnsi="Arial" w:cs="Arial"/>
          <w:szCs w:val="24"/>
        </w:rPr>
        <w:t xml:space="preserve">S.58 permits the </w:t>
      </w:r>
      <w:r w:rsidR="00433206" w:rsidRPr="00C1087F">
        <w:rPr>
          <w:rFonts w:ascii="Arial" w:hAnsi="Arial" w:cs="Arial"/>
          <w:szCs w:val="24"/>
        </w:rPr>
        <w:t xml:space="preserve">FTT to substitute </w:t>
      </w:r>
      <w:r w:rsidR="00151F56" w:rsidRPr="00C1087F">
        <w:rPr>
          <w:rFonts w:ascii="Arial" w:hAnsi="Arial" w:cs="Arial"/>
          <w:szCs w:val="24"/>
        </w:rPr>
        <w:t>such other notice as could have been served by the Commissioner</w:t>
      </w:r>
      <w:r w:rsidR="00C422F4" w:rsidRPr="00C1087F">
        <w:rPr>
          <w:rFonts w:ascii="Arial" w:hAnsi="Arial" w:cs="Arial"/>
          <w:szCs w:val="24"/>
        </w:rPr>
        <w:t xml:space="preserve">. </w:t>
      </w:r>
      <w:r w:rsidR="00A42AE1" w:rsidRPr="00C1087F">
        <w:rPr>
          <w:rFonts w:ascii="Arial" w:hAnsi="Arial" w:cs="Arial"/>
          <w:szCs w:val="24"/>
        </w:rPr>
        <w:t>Further</w:t>
      </w:r>
      <w:r w:rsidR="00F66B9A">
        <w:rPr>
          <w:rFonts w:ascii="Arial" w:hAnsi="Arial" w:cs="Arial"/>
          <w:szCs w:val="24"/>
        </w:rPr>
        <w:t>,</w:t>
      </w:r>
      <w:r w:rsidR="00A42AE1" w:rsidRPr="00C1087F">
        <w:rPr>
          <w:rFonts w:ascii="Arial" w:hAnsi="Arial" w:cs="Arial"/>
          <w:szCs w:val="24"/>
        </w:rPr>
        <w:t xml:space="preserve"> t</w:t>
      </w:r>
      <w:r w:rsidR="00C422F4" w:rsidRPr="00C1087F">
        <w:rPr>
          <w:rFonts w:ascii="Arial" w:hAnsi="Arial" w:cs="Arial"/>
          <w:szCs w:val="24"/>
        </w:rPr>
        <w:t xml:space="preserve">he FTT </w:t>
      </w:r>
      <w:r w:rsidR="00AB0E42" w:rsidRPr="00C1087F">
        <w:rPr>
          <w:rFonts w:ascii="Arial" w:hAnsi="Arial" w:cs="Arial"/>
          <w:szCs w:val="24"/>
        </w:rPr>
        <w:t xml:space="preserve">must </w:t>
      </w:r>
      <w:r w:rsidR="00C422F4" w:rsidRPr="00C1087F">
        <w:rPr>
          <w:rFonts w:ascii="Arial" w:hAnsi="Arial" w:cs="Arial"/>
          <w:szCs w:val="24"/>
        </w:rPr>
        <w:t xml:space="preserve">also </w:t>
      </w:r>
      <w:r w:rsidR="00AB0E42" w:rsidRPr="00C1087F">
        <w:rPr>
          <w:rFonts w:ascii="Arial" w:hAnsi="Arial" w:cs="Arial"/>
          <w:szCs w:val="24"/>
        </w:rPr>
        <w:t xml:space="preserve">take </w:t>
      </w:r>
      <w:r w:rsidR="00151F56" w:rsidRPr="00C1087F">
        <w:rPr>
          <w:rFonts w:ascii="Arial" w:hAnsi="Arial" w:cs="Arial"/>
          <w:szCs w:val="24"/>
        </w:rPr>
        <w:t>into account events</w:t>
      </w:r>
      <w:r w:rsidR="003D0367" w:rsidRPr="00C1087F">
        <w:rPr>
          <w:rFonts w:ascii="Arial" w:hAnsi="Arial" w:cs="Arial"/>
          <w:szCs w:val="24"/>
        </w:rPr>
        <w:t xml:space="preserve"> occurring after the date of the decision notice (</w:t>
      </w:r>
      <w:r w:rsidR="003D0367" w:rsidRPr="00C1087F">
        <w:rPr>
          <w:rFonts w:ascii="Arial" w:hAnsi="Arial" w:cs="Arial"/>
          <w:i/>
          <w:iCs/>
          <w:szCs w:val="24"/>
          <w:u w:val="single"/>
        </w:rPr>
        <w:t>RS</w:t>
      </w:r>
      <w:r w:rsidR="003D0367" w:rsidRPr="00C1087F">
        <w:rPr>
          <w:rFonts w:ascii="Arial" w:hAnsi="Arial" w:cs="Arial"/>
          <w:i/>
          <w:iCs/>
          <w:szCs w:val="24"/>
        </w:rPr>
        <w:t xml:space="preserve"> [93])</w:t>
      </w:r>
      <w:r w:rsidR="00A42AE1" w:rsidRPr="00C1087F">
        <w:rPr>
          <w:rFonts w:ascii="Arial" w:hAnsi="Arial" w:cs="Arial"/>
          <w:szCs w:val="24"/>
        </w:rPr>
        <w:t xml:space="preserve">. </w:t>
      </w:r>
      <w:r w:rsidR="00E9336F" w:rsidRPr="00C1087F">
        <w:rPr>
          <w:rFonts w:ascii="Arial" w:hAnsi="Arial" w:cs="Arial"/>
          <w:szCs w:val="24"/>
        </w:rPr>
        <w:t>Therefore,</w:t>
      </w:r>
      <w:r w:rsidR="00A42AE1" w:rsidRPr="00C1087F">
        <w:rPr>
          <w:rFonts w:ascii="Arial" w:hAnsi="Arial" w:cs="Arial"/>
          <w:szCs w:val="24"/>
        </w:rPr>
        <w:t xml:space="preserve"> </w:t>
      </w:r>
      <w:r w:rsidR="00A42AE1" w:rsidRPr="00C1087F">
        <w:rPr>
          <w:rFonts w:ascii="Arial" w:hAnsi="Arial" w:cs="Arial"/>
          <w:szCs w:val="24"/>
        </w:rPr>
        <w:lastRenderedPageBreak/>
        <w:t xml:space="preserve">the </w:t>
      </w:r>
      <w:r w:rsidR="00705142" w:rsidRPr="00C1087F">
        <w:rPr>
          <w:rFonts w:ascii="Arial" w:hAnsi="Arial" w:cs="Arial"/>
          <w:szCs w:val="24"/>
        </w:rPr>
        <w:t xml:space="preserve">FTT </w:t>
      </w:r>
      <w:r w:rsidR="00A42AE1" w:rsidRPr="00C1087F">
        <w:rPr>
          <w:rFonts w:ascii="Arial" w:hAnsi="Arial" w:cs="Arial"/>
          <w:szCs w:val="24"/>
        </w:rPr>
        <w:t>ha</w:t>
      </w:r>
      <w:r w:rsidR="00FF03E3">
        <w:rPr>
          <w:rFonts w:ascii="Arial" w:hAnsi="Arial" w:cs="Arial"/>
          <w:szCs w:val="24"/>
        </w:rPr>
        <w:t>d</w:t>
      </w:r>
      <w:r w:rsidR="00A42AE1" w:rsidRPr="00C1087F">
        <w:rPr>
          <w:rFonts w:ascii="Arial" w:hAnsi="Arial" w:cs="Arial"/>
          <w:szCs w:val="24"/>
        </w:rPr>
        <w:t xml:space="preserve"> </w:t>
      </w:r>
      <w:r w:rsidR="00705142" w:rsidRPr="00C1087F">
        <w:rPr>
          <w:rFonts w:ascii="Arial" w:hAnsi="Arial" w:cs="Arial"/>
          <w:szCs w:val="24"/>
        </w:rPr>
        <w:t xml:space="preserve">wrongly restricted </w:t>
      </w:r>
      <w:r w:rsidR="00D5082B" w:rsidRPr="00C1087F">
        <w:rPr>
          <w:rFonts w:ascii="Arial" w:hAnsi="Arial" w:cs="Arial"/>
          <w:szCs w:val="24"/>
        </w:rPr>
        <w:t xml:space="preserve">its approach by only </w:t>
      </w:r>
      <w:r w:rsidR="00704BD0" w:rsidRPr="00C1087F">
        <w:rPr>
          <w:rFonts w:ascii="Arial" w:hAnsi="Arial" w:cs="Arial"/>
          <w:szCs w:val="24"/>
        </w:rPr>
        <w:t xml:space="preserve">considering </w:t>
      </w:r>
      <w:r w:rsidR="006E6A93" w:rsidRPr="00C1087F">
        <w:rPr>
          <w:rFonts w:ascii="Arial" w:hAnsi="Arial" w:cs="Arial"/>
          <w:szCs w:val="24"/>
        </w:rPr>
        <w:t xml:space="preserve">what </w:t>
      </w:r>
      <w:r w:rsidR="0089352C" w:rsidRPr="00C1087F">
        <w:rPr>
          <w:rFonts w:ascii="Arial" w:hAnsi="Arial" w:cs="Arial"/>
          <w:szCs w:val="24"/>
        </w:rPr>
        <w:t xml:space="preserve">decision </w:t>
      </w:r>
      <w:r w:rsidR="00384A81" w:rsidRPr="00C1087F">
        <w:rPr>
          <w:rFonts w:ascii="Arial" w:hAnsi="Arial" w:cs="Arial"/>
          <w:szCs w:val="24"/>
        </w:rPr>
        <w:t xml:space="preserve">notice </w:t>
      </w:r>
      <w:r w:rsidR="00705142" w:rsidRPr="00C1087F">
        <w:rPr>
          <w:rFonts w:ascii="Arial" w:hAnsi="Arial" w:cs="Arial"/>
          <w:szCs w:val="24"/>
        </w:rPr>
        <w:t xml:space="preserve">could have been </w:t>
      </w:r>
      <w:r w:rsidR="006E6A93" w:rsidRPr="00C1087F">
        <w:rPr>
          <w:rFonts w:ascii="Arial" w:hAnsi="Arial" w:cs="Arial"/>
          <w:szCs w:val="24"/>
        </w:rPr>
        <w:t xml:space="preserve">issued </w:t>
      </w:r>
      <w:r w:rsidR="006E5498" w:rsidRPr="00C1087F">
        <w:rPr>
          <w:rFonts w:ascii="Arial" w:hAnsi="Arial" w:cs="Arial"/>
          <w:szCs w:val="24"/>
        </w:rPr>
        <w:t xml:space="preserve">by the </w:t>
      </w:r>
      <w:r w:rsidR="00705142" w:rsidRPr="00C1087F">
        <w:rPr>
          <w:rFonts w:ascii="Arial" w:hAnsi="Arial" w:cs="Arial"/>
          <w:szCs w:val="24"/>
        </w:rPr>
        <w:t xml:space="preserve">Commissioner </w:t>
      </w:r>
      <w:r w:rsidR="00596F41" w:rsidRPr="00C1087F">
        <w:rPr>
          <w:rFonts w:ascii="Arial" w:hAnsi="Arial" w:cs="Arial"/>
          <w:szCs w:val="24"/>
        </w:rPr>
        <w:t xml:space="preserve">in relation to </w:t>
      </w:r>
      <w:r w:rsidR="001478B6" w:rsidRPr="00C1087F">
        <w:rPr>
          <w:rFonts w:ascii="Arial" w:hAnsi="Arial" w:cs="Arial"/>
          <w:szCs w:val="24"/>
        </w:rPr>
        <w:t xml:space="preserve">matters that were </w:t>
      </w:r>
      <w:r w:rsidR="00B910D8" w:rsidRPr="00C1087F">
        <w:rPr>
          <w:rFonts w:ascii="Arial" w:hAnsi="Arial" w:cs="Arial"/>
          <w:szCs w:val="24"/>
        </w:rPr>
        <w:t xml:space="preserve">before the Commissioner </w:t>
      </w:r>
      <w:r w:rsidR="00596F41" w:rsidRPr="00C1087F">
        <w:rPr>
          <w:rFonts w:ascii="Arial" w:hAnsi="Arial" w:cs="Arial"/>
          <w:szCs w:val="24"/>
        </w:rPr>
        <w:t xml:space="preserve">when the </w:t>
      </w:r>
      <w:r w:rsidR="003F4DE6" w:rsidRPr="00C1087F">
        <w:rPr>
          <w:rFonts w:ascii="Arial" w:hAnsi="Arial" w:cs="Arial"/>
          <w:szCs w:val="24"/>
        </w:rPr>
        <w:t>decision notice</w:t>
      </w:r>
      <w:r w:rsidR="00596F41" w:rsidRPr="00C1087F">
        <w:rPr>
          <w:rFonts w:ascii="Arial" w:hAnsi="Arial" w:cs="Arial"/>
          <w:szCs w:val="24"/>
        </w:rPr>
        <w:t xml:space="preserve"> was issued</w:t>
      </w:r>
      <w:r w:rsidR="003F4DE6" w:rsidRPr="00C1087F">
        <w:rPr>
          <w:rFonts w:ascii="Arial" w:hAnsi="Arial" w:cs="Arial"/>
          <w:szCs w:val="24"/>
        </w:rPr>
        <w:t>.</w:t>
      </w:r>
    </w:p>
    <w:p w14:paraId="6A95F1B2" w14:textId="4D71DA63" w:rsidR="00893D2B" w:rsidRPr="00C1087F" w:rsidRDefault="00DD3F0B"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The Appellant </w:t>
      </w:r>
      <w:r w:rsidR="009C7811" w:rsidRPr="00C1087F">
        <w:rPr>
          <w:rFonts w:ascii="Arial" w:hAnsi="Arial" w:cs="Arial"/>
          <w:szCs w:val="24"/>
        </w:rPr>
        <w:t xml:space="preserve">disagrees with </w:t>
      </w:r>
      <w:r w:rsidR="00754B7D" w:rsidRPr="00C1087F">
        <w:rPr>
          <w:rFonts w:ascii="Arial" w:hAnsi="Arial" w:cs="Arial"/>
          <w:szCs w:val="24"/>
        </w:rPr>
        <w:t>the FTT’s conclusion that</w:t>
      </w:r>
      <w:r w:rsidR="007C5E90" w:rsidRPr="00C1087F">
        <w:rPr>
          <w:rFonts w:ascii="Arial" w:hAnsi="Arial" w:cs="Arial"/>
          <w:szCs w:val="24"/>
        </w:rPr>
        <w:t xml:space="preserve">, </w:t>
      </w:r>
      <w:r w:rsidR="00514B58" w:rsidRPr="00C1087F">
        <w:rPr>
          <w:rFonts w:ascii="Arial" w:hAnsi="Arial" w:cs="Arial"/>
          <w:szCs w:val="24"/>
        </w:rPr>
        <w:t xml:space="preserve">where a s.50 </w:t>
      </w:r>
      <w:r w:rsidR="00754B7D" w:rsidRPr="00C1087F">
        <w:rPr>
          <w:rFonts w:ascii="Arial" w:hAnsi="Arial" w:cs="Arial"/>
          <w:szCs w:val="24"/>
        </w:rPr>
        <w:t xml:space="preserve">decision notice </w:t>
      </w:r>
      <w:r w:rsidR="00514B58" w:rsidRPr="00C1087F">
        <w:rPr>
          <w:rFonts w:ascii="Arial" w:hAnsi="Arial" w:cs="Arial"/>
          <w:szCs w:val="24"/>
        </w:rPr>
        <w:t xml:space="preserve">has been issued </w:t>
      </w:r>
      <w:r w:rsidR="00E73218" w:rsidRPr="00C1087F">
        <w:rPr>
          <w:rFonts w:ascii="Arial" w:hAnsi="Arial" w:cs="Arial"/>
          <w:szCs w:val="24"/>
        </w:rPr>
        <w:t xml:space="preserve">which </w:t>
      </w:r>
      <w:r w:rsidR="00514B58" w:rsidRPr="00C1087F">
        <w:rPr>
          <w:rFonts w:ascii="Arial" w:hAnsi="Arial" w:cs="Arial"/>
          <w:szCs w:val="24"/>
        </w:rPr>
        <w:t xml:space="preserve">specifies steps </w:t>
      </w:r>
      <w:r w:rsidR="00E73218" w:rsidRPr="00C1087F">
        <w:rPr>
          <w:rFonts w:ascii="Arial" w:hAnsi="Arial" w:cs="Arial"/>
          <w:szCs w:val="24"/>
        </w:rPr>
        <w:t xml:space="preserve">to be taken by the public authority </w:t>
      </w:r>
      <w:r w:rsidR="00B85566" w:rsidRPr="00C1087F">
        <w:rPr>
          <w:rFonts w:ascii="Arial" w:hAnsi="Arial" w:cs="Arial"/>
          <w:szCs w:val="24"/>
        </w:rPr>
        <w:t xml:space="preserve">pursuant to </w:t>
      </w:r>
      <w:r w:rsidR="00514B58" w:rsidRPr="00C1087F">
        <w:rPr>
          <w:rFonts w:ascii="Arial" w:hAnsi="Arial" w:cs="Arial"/>
          <w:szCs w:val="24"/>
        </w:rPr>
        <w:t>s.50(4)</w:t>
      </w:r>
      <w:r w:rsidR="00CB10ED" w:rsidRPr="00C1087F">
        <w:rPr>
          <w:rFonts w:ascii="Arial" w:hAnsi="Arial" w:cs="Arial"/>
          <w:szCs w:val="24"/>
        </w:rPr>
        <w:t>, it is open to the</w:t>
      </w:r>
      <w:r w:rsidR="006B1AB0" w:rsidRPr="00C1087F">
        <w:rPr>
          <w:rFonts w:ascii="Arial" w:hAnsi="Arial" w:cs="Arial"/>
          <w:szCs w:val="24"/>
        </w:rPr>
        <w:t xml:space="preserve"> </w:t>
      </w:r>
      <w:r w:rsidR="00582425" w:rsidRPr="00C1087F">
        <w:rPr>
          <w:rFonts w:ascii="Arial" w:hAnsi="Arial" w:cs="Arial"/>
          <w:szCs w:val="24"/>
        </w:rPr>
        <w:t xml:space="preserve">requester </w:t>
      </w:r>
      <w:r w:rsidR="00CB10ED" w:rsidRPr="00C1087F">
        <w:rPr>
          <w:rFonts w:ascii="Arial" w:hAnsi="Arial" w:cs="Arial"/>
          <w:szCs w:val="24"/>
        </w:rPr>
        <w:t xml:space="preserve">to make </w:t>
      </w:r>
      <w:r w:rsidR="006B1AB0" w:rsidRPr="00C1087F">
        <w:rPr>
          <w:rFonts w:ascii="Arial" w:hAnsi="Arial" w:cs="Arial"/>
          <w:szCs w:val="24"/>
        </w:rPr>
        <w:t xml:space="preserve">a further </w:t>
      </w:r>
      <w:r w:rsidR="00846185" w:rsidRPr="00C1087F">
        <w:rPr>
          <w:rFonts w:ascii="Arial" w:hAnsi="Arial" w:cs="Arial"/>
          <w:szCs w:val="24"/>
        </w:rPr>
        <w:t xml:space="preserve">s.50 </w:t>
      </w:r>
      <w:r w:rsidR="006B1AB0" w:rsidRPr="00C1087F">
        <w:rPr>
          <w:rFonts w:ascii="Arial" w:hAnsi="Arial" w:cs="Arial"/>
          <w:szCs w:val="24"/>
        </w:rPr>
        <w:t xml:space="preserve">complaint </w:t>
      </w:r>
      <w:r w:rsidR="007B0B0D" w:rsidRPr="00C1087F">
        <w:rPr>
          <w:rFonts w:ascii="Arial" w:hAnsi="Arial" w:cs="Arial"/>
          <w:szCs w:val="24"/>
        </w:rPr>
        <w:t xml:space="preserve">in respect of the </w:t>
      </w:r>
      <w:r w:rsidR="003D79E5" w:rsidRPr="00C1087F">
        <w:rPr>
          <w:rFonts w:ascii="Arial" w:hAnsi="Arial" w:cs="Arial"/>
          <w:szCs w:val="24"/>
        </w:rPr>
        <w:t xml:space="preserve">public authority’s </w:t>
      </w:r>
      <w:r w:rsidR="007B0B0D" w:rsidRPr="00C1087F">
        <w:rPr>
          <w:rFonts w:ascii="Arial" w:hAnsi="Arial" w:cs="Arial"/>
          <w:szCs w:val="24"/>
        </w:rPr>
        <w:t>execution of those steps</w:t>
      </w:r>
      <w:r w:rsidR="003D79E5" w:rsidRPr="00C1087F">
        <w:rPr>
          <w:rFonts w:ascii="Arial" w:hAnsi="Arial" w:cs="Arial"/>
          <w:szCs w:val="24"/>
        </w:rPr>
        <w:t>.</w:t>
      </w:r>
      <w:r w:rsidR="00FD73A2" w:rsidRPr="00C1087F">
        <w:rPr>
          <w:rFonts w:ascii="Arial" w:hAnsi="Arial" w:cs="Arial"/>
          <w:szCs w:val="24"/>
        </w:rPr>
        <w:t xml:space="preserve"> </w:t>
      </w:r>
      <w:r w:rsidR="00FC03FF" w:rsidRPr="00C1087F">
        <w:rPr>
          <w:rFonts w:ascii="Arial" w:hAnsi="Arial" w:cs="Arial"/>
          <w:szCs w:val="24"/>
        </w:rPr>
        <w:t xml:space="preserve">He submits that </w:t>
      </w:r>
      <w:r w:rsidR="00584F15" w:rsidRPr="00C1087F">
        <w:rPr>
          <w:rFonts w:ascii="Arial" w:hAnsi="Arial" w:cs="Arial"/>
          <w:szCs w:val="24"/>
        </w:rPr>
        <w:t>Parliament</w:t>
      </w:r>
      <w:r w:rsidR="00FC03FF" w:rsidRPr="00C1087F">
        <w:rPr>
          <w:rFonts w:ascii="Arial" w:hAnsi="Arial" w:cs="Arial"/>
          <w:szCs w:val="24"/>
        </w:rPr>
        <w:t xml:space="preserve"> cannot have intended to </w:t>
      </w:r>
      <w:r w:rsidR="007D0EE4" w:rsidRPr="00C1087F">
        <w:rPr>
          <w:rFonts w:ascii="Arial" w:hAnsi="Arial" w:cs="Arial"/>
          <w:szCs w:val="24"/>
        </w:rPr>
        <w:t>introduce such an iterative process which would allow a</w:t>
      </w:r>
      <w:r w:rsidR="004E37E8" w:rsidRPr="00C1087F">
        <w:rPr>
          <w:rFonts w:ascii="Arial" w:hAnsi="Arial" w:cs="Arial"/>
          <w:szCs w:val="24"/>
        </w:rPr>
        <w:t xml:space="preserve"> public authority to engineer </w:t>
      </w:r>
      <w:r w:rsidR="00000FD6" w:rsidRPr="00C1087F">
        <w:rPr>
          <w:rFonts w:ascii="Arial" w:hAnsi="Arial" w:cs="Arial"/>
          <w:szCs w:val="24"/>
        </w:rPr>
        <w:t>excessive delays.</w:t>
      </w:r>
      <w:r w:rsidR="00030197" w:rsidRPr="00C1087F">
        <w:rPr>
          <w:rFonts w:ascii="Arial" w:hAnsi="Arial" w:cs="Arial"/>
          <w:szCs w:val="24"/>
        </w:rPr>
        <w:t xml:space="preserve"> </w:t>
      </w:r>
      <w:r w:rsidR="00480698" w:rsidRPr="00C1087F">
        <w:rPr>
          <w:rFonts w:ascii="Arial" w:hAnsi="Arial" w:cs="Arial"/>
          <w:szCs w:val="24"/>
        </w:rPr>
        <w:t xml:space="preserve">Further, </w:t>
      </w:r>
      <w:r w:rsidR="00A33C79" w:rsidRPr="00C1087F">
        <w:rPr>
          <w:rFonts w:ascii="Arial" w:hAnsi="Arial" w:cs="Arial"/>
          <w:szCs w:val="24"/>
        </w:rPr>
        <w:t>he submits that</w:t>
      </w:r>
      <w:r w:rsidR="00480698" w:rsidRPr="00C1087F">
        <w:rPr>
          <w:rFonts w:ascii="Arial" w:hAnsi="Arial" w:cs="Arial"/>
          <w:szCs w:val="24"/>
        </w:rPr>
        <w:t xml:space="preserve"> </w:t>
      </w:r>
      <w:r w:rsidR="00F122F0" w:rsidRPr="00C1087F">
        <w:rPr>
          <w:rFonts w:ascii="Arial" w:hAnsi="Arial" w:cs="Arial"/>
          <w:szCs w:val="24"/>
        </w:rPr>
        <w:t xml:space="preserve">there is no guarantee that the Commissioner will issue a </w:t>
      </w:r>
      <w:r w:rsidR="00A33C79" w:rsidRPr="00C1087F">
        <w:rPr>
          <w:rFonts w:ascii="Arial" w:hAnsi="Arial" w:cs="Arial"/>
          <w:szCs w:val="24"/>
        </w:rPr>
        <w:t xml:space="preserve">successive </w:t>
      </w:r>
      <w:r w:rsidR="00F122F0" w:rsidRPr="00C1087F">
        <w:rPr>
          <w:rFonts w:ascii="Arial" w:hAnsi="Arial" w:cs="Arial"/>
          <w:szCs w:val="24"/>
        </w:rPr>
        <w:t xml:space="preserve">decision notice in </w:t>
      </w:r>
      <w:r w:rsidR="0032386C" w:rsidRPr="00C1087F">
        <w:rPr>
          <w:rFonts w:ascii="Arial" w:hAnsi="Arial" w:cs="Arial"/>
          <w:szCs w:val="24"/>
        </w:rPr>
        <w:t xml:space="preserve">response to </w:t>
      </w:r>
      <w:r w:rsidR="003F6A57" w:rsidRPr="00C1087F">
        <w:rPr>
          <w:rFonts w:ascii="Arial" w:hAnsi="Arial" w:cs="Arial"/>
          <w:szCs w:val="24"/>
        </w:rPr>
        <w:t>a</w:t>
      </w:r>
      <w:r w:rsidR="004F37A6" w:rsidRPr="00C1087F">
        <w:rPr>
          <w:rFonts w:ascii="Arial" w:hAnsi="Arial" w:cs="Arial"/>
          <w:szCs w:val="24"/>
        </w:rPr>
        <w:t xml:space="preserve"> </w:t>
      </w:r>
      <w:r w:rsidR="005875C1" w:rsidRPr="00C1087F">
        <w:rPr>
          <w:rFonts w:ascii="Arial" w:hAnsi="Arial" w:cs="Arial"/>
          <w:szCs w:val="24"/>
        </w:rPr>
        <w:t xml:space="preserve">second </w:t>
      </w:r>
      <w:r w:rsidR="004F37A6" w:rsidRPr="00C1087F">
        <w:rPr>
          <w:rFonts w:ascii="Arial" w:hAnsi="Arial" w:cs="Arial"/>
          <w:szCs w:val="24"/>
        </w:rPr>
        <w:t>s.50 complaint</w:t>
      </w:r>
      <w:r w:rsidR="00534543" w:rsidRPr="00C1087F">
        <w:rPr>
          <w:rFonts w:ascii="Arial" w:hAnsi="Arial" w:cs="Arial"/>
          <w:szCs w:val="24"/>
        </w:rPr>
        <w:t>, at which point the only available remedy w</w:t>
      </w:r>
      <w:r w:rsidR="008E62A1" w:rsidRPr="00C1087F">
        <w:rPr>
          <w:rFonts w:ascii="Arial" w:hAnsi="Arial" w:cs="Arial"/>
          <w:szCs w:val="24"/>
        </w:rPr>
        <w:t xml:space="preserve">ould be </w:t>
      </w:r>
      <w:r w:rsidR="004F37A6" w:rsidRPr="00C1087F">
        <w:rPr>
          <w:rFonts w:ascii="Arial" w:hAnsi="Arial" w:cs="Arial"/>
          <w:szCs w:val="24"/>
        </w:rPr>
        <w:t>of judicial review</w:t>
      </w:r>
      <w:r w:rsidR="008E62A1" w:rsidRPr="00C1087F">
        <w:rPr>
          <w:rFonts w:ascii="Arial" w:hAnsi="Arial" w:cs="Arial"/>
          <w:szCs w:val="24"/>
        </w:rPr>
        <w:t>, which the Appellant considers</w:t>
      </w:r>
      <w:r w:rsidR="004F37A6" w:rsidRPr="00C1087F">
        <w:rPr>
          <w:rFonts w:ascii="Arial" w:hAnsi="Arial" w:cs="Arial"/>
          <w:szCs w:val="24"/>
        </w:rPr>
        <w:t xml:space="preserve"> </w:t>
      </w:r>
      <w:r w:rsidR="008D6F3C" w:rsidRPr="00C1087F">
        <w:rPr>
          <w:rFonts w:ascii="Arial" w:hAnsi="Arial" w:cs="Arial"/>
          <w:szCs w:val="24"/>
        </w:rPr>
        <w:t>unsatisfactory.</w:t>
      </w:r>
    </w:p>
    <w:p w14:paraId="2A4EF05D" w14:textId="785D6790" w:rsidR="00235C8D" w:rsidRPr="00C1087F" w:rsidRDefault="00C5351D"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b/>
          <w:bCs/>
          <w:szCs w:val="24"/>
        </w:rPr>
      </w:pPr>
      <w:r w:rsidRPr="00C1087F">
        <w:rPr>
          <w:rFonts w:ascii="Arial" w:hAnsi="Arial" w:cs="Arial"/>
          <w:szCs w:val="24"/>
        </w:rPr>
        <w:t xml:space="preserve">Mr White, on behalf of the Commissioner, </w:t>
      </w:r>
      <w:r w:rsidR="008E62A1" w:rsidRPr="00C1087F">
        <w:rPr>
          <w:rFonts w:ascii="Arial" w:hAnsi="Arial" w:cs="Arial"/>
          <w:szCs w:val="24"/>
        </w:rPr>
        <w:t>submits that there was no error of law by the FTT.</w:t>
      </w:r>
      <w:r w:rsidR="008A3E6A" w:rsidRPr="00C1087F">
        <w:rPr>
          <w:rFonts w:ascii="Arial" w:hAnsi="Arial" w:cs="Arial"/>
          <w:szCs w:val="24"/>
        </w:rPr>
        <w:t xml:space="preserve"> </w:t>
      </w:r>
      <w:r w:rsidR="00110225" w:rsidRPr="00C1087F">
        <w:rPr>
          <w:rFonts w:ascii="Arial" w:hAnsi="Arial" w:cs="Arial"/>
          <w:szCs w:val="24"/>
        </w:rPr>
        <w:t>In his view</w:t>
      </w:r>
      <w:r w:rsidR="00235C8D" w:rsidRPr="00C1087F">
        <w:rPr>
          <w:rFonts w:ascii="Arial" w:hAnsi="Arial" w:cs="Arial"/>
          <w:szCs w:val="24"/>
        </w:rPr>
        <w:t>:</w:t>
      </w:r>
    </w:p>
    <w:p w14:paraId="0736634A" w14:textId="77777777" w:rsidR="00632D7E" w:rsidRPr="00C1087F" w:rsidRDefault="00B53844" w:rsidP="00185856">
      <w:pPr>
        <w:numPr>
          <w:ilvl w:val="1"/>
          <w:numId w:val="21"/>
        </w:numPr>
        <w:tabs>
          <w:tab w:val="left" w:pos="454"/>
          <w:tab w:val="left" w:pos="567"/>
          <w:tab w:val="left" w:pos="1134"/>
          <w:tab w:val="left" w:pos="5103"/>
        </w:tabs>
        <w:spacing w:after="120" w:line="276" w:lineRule="auto"/>
        <w:ind w:left="1134" w:hanging="283"/>
        <w:jc w:val="both"/>
        <w:rPr>
          <w:rFonts w:ascii="Arial" w:hAnsi="Arial" w:cs="Arial"/>
          <w:b/>
          <w:bCs/>
          <w:szCs w:val="24"/>
        </w:rPr>
      </w:pPr>
      <w:r w:rsidRPr="00C1087F">
        <w:rPr>
          <w:rFonts w:ascii="Arial" w:hAnsi="Arial" w:cs="Arial"/>
          <w:szCs w:val="24"/>
        </w:rPr>
        <w:t>t</w:t>
      </w:r>
      <w:r w:rsidR="00955E20" w:rsidRPr="00C1087F">
        <w:rPr>
          <w:rFonts w:ascii="Arial" w:hAnsi="Arial" w:cs="Arial"/>
          <w:szCs w:val="24"/>
        </w:rPr>
        <w:t xml:space="preserve">he </w:t>
      </w:r>
      <w:r w:rsidR="00DD2185" w:rsidRPr="00C1087F">
        <w:rPr>
          <w:rFonts w:ascii="Arial" w:hAnsi="Arial" w:cs="Arial"/>
          <w:szCs w:val="24"/>
        </w:rPr>
        <w:t>FTT</w:t>
      </w:r>
      <w:r w:rsidR="00D107B0" w:rsidRPr="00C1087F">
        <w:rPr>
          <w:rFonts w:ascii="Arial" w:hAnsi="Arial" w:cs="Arial"/>
          <w:szCs w:val="24"/>
        </w:rPr>
        <w:t xml:space="preserve"> has a broad, appellate</w:t>
      </w:r>
      <w:r w:rsidR="0005769E" w:rsidRPr="00C1087F">
        <w:rPr>
          <w:rFonts w:ascii="Arial" w:hAnsi="Arial" w:cs="Arial"/>
          <w:szCs w:val="24"/>
        </w:rPr>
        <w:t>,</w:t>
      </w:r>
      <w:r w:rsidR="00D107B0" w:rsidRPr="00C1087F">
        <w:rPr>
          <w:rFonts w:ascii="Arial" w:hAnsi="Arial" w:cs="Arial"/>
          <w:szCs w:val="24"/>
        </w:rPr>
        <w:t xml:space="preserve"> </w:t>
      </w:r>
      <w:r w:rsidR="00D107B0" w:rsidRPr="00C1087F">
        <w:rPr>
          <w:rFonts w:ascii="Arial" w:hAnsi="Arial" w:cs="Arial"/>
          <w:i/>
          <w:iCs/>
          <w:szCs w:val="24"/>
        </w:rPr>
        <w:t>d</w:t>
      </w:r>
      <w:r w:rsidR="00235C8D" w:rsidRPr="00C1087F">
        <w:rPr>
          <w:rFonts w:ascii="Arial" w:hAnsi="Arial" w:cs="Arial"/>
          <w:i/>
          <w:iCs/>
          <w:szCs w:val="24"/>
        </w:rPr>
        <w:t>e</w:t>
      </w:r>
      <w:r w:rsidR="00D107B0" w:rsidRPr="00C1087F">
        <w:rPr>
          <w:rFonts w:ascii="Arial" w:hAnsi="Arial" w:cs="Arial"/>
          <w:i/>
          <w:iCs/>
          <w:szCs w:val="24"/>
        </w:rPr>
        <w:t xml:space="preserve"> novo </w:t>
      </w:r>
      <w:r w:rsidR="00DD2185" w:rsidRPr="00C1087F">
        <w:rPr>
          <w:rFonts w:ascii="Arial" w:hAnsi="Arial" w:cs="Arial"/>
          <w:szCs w:val="24"/>
        </w:rPr>
        <w:t xml:space="preserve">jurisdiction </w:t>
      </w:r>
      <w:r w:rsidR="000B3825" w:rsidRPr="00C1087F">
        <w:rPr>
          <w:rFonts w:ascii="Arial" w:hAnsi="Arial" w:cs="Arial"/>
          <w:szCs w:val="24"/>
        </w:rPr>
        <w:t xml:space="preserve">but </w:t>
      </w:r>
      <w:r w:rsidR="00D71534" w:rsidRPr="00C1087F">
        <w:rPr>
          <w:rFonts w:ascii="Arial" w:hAnsi="Arial" w:cs="Arial"/>
          <w:szCs w:val="24"/>
        </w:rPr>
        <w:t>only in relation to the decision notice issued by the Commissioner</w:t>
      </w:r>
      <w:r w:rsidR="000B3825" w:rsidRPr="00C1087F">
        <w:rPr>
          <w:rFonts w:ascii="Arial" w:hAnsi="Arial" w:cs="Arial"/>
          <w:szCs w:val="24"/>
        </w:rPr>
        <w:t xml:space="preserve">. </w:t>
      </w:r>
    </w:p>
    <w:p w14:paraId="728861D7" w14:textId="144FD3A5" w:rsidR="00632D7E" w:rsidRPr="00C1087F" w:rsidRDefault="00B53844" w:rsidP="00185856">
      <w:pPr>
        <w:numPr>
          <w:ilvl w:val="1"/>
          <w:numId w:val="21"/>
        </w:numPr>
        <w:tabs>
          <w:tab w:val="left" w:pos="454"/>
          <w:tab w:val="left" w:pos="567"/>
          <w:tab w:val="left" w:pos="1134"/>
          <w:tab w:val="left" w:pos="5103"/>
        </w:tabs>
        <w:spacing w:after="120" w:line="276" w:lineRule="auto"/>
        <w:ind w:left="1134" w:hanging="283"/>
        <w:jc w:val="both"/>
        <w:rPr>
          <w:rFonts w:ascii="Arial" w:hAnsi="Arial" w:cs="Arial"/>
          <w:b/>
          <w:bCs/>
          <w:szCs w:val="24"/>
        </w:rPr>
      </w:pPr>
      <w:r w:rsidRPr="00C1087F">
        <w:rPr>
          <w:rFonts w:ascii="Arial" w:hAnsi="Arial" w:cs="Arial"/>
          <w:szCs w:val="24"/>
        </w:rPr>
        <w:t>T</w:t>
      </w:r>
      <w:r w:rsidR="000B3825" w:rsidRPr="00C1087F">
        <w:rPr>
          <w:rFonts w:ascii="Arial" w:hAnsi="Arial" w:cs="Arial"/>
          <w:szCs w:val="24"/>
        </w:rPr>
        <w:t xml:space="preserve">he FTT has no jurisdiction to </w:t>
      </w:r>
      <w:r w:rsidR="00263BF8" w:rsidRPr="00C1087F">
        <w:rPr>
          <w:rFonts w:ascii="Arial" w:hAnsi="Arial" w:cs="Arial"/>
          <w:szCs w:val="24"/>
        </w:rPr>
        <w:t xml:space="preserve">consider a different question </w:t>
      </w:r>
      <w:r w:rsidR="00A859E4" w:rsidRPr="00C1087F">
        <w:rPr>
          <w:rFonts w:ascii="Arial" w:hAnsi="Arial" w:cs="Arial"/>
          <w:szCs w:val="24"/>
        </w:rPr>
        <w:t>to the one that was before the Commissioner.</w:t>
      </w:r>
      <w:r w:rsidRPr="00C1087F">
        <w:rPr>
          <w:rFonts w:ascii="Arial" w:hAnsi="Arial" w:cs="Arial"/>
          <w:szCs w:val="24"/>
        </w:rPr>
        <w:t xml:space="preserve"> </w:t>
      </w:r>
      <w:r w:rsidR="004E558E" w:rsidRPr="00C1087F">
        <w:rPr>
          <w:rFonts w:ascii="Arial" w:hAnsi="Arial" w:cs="Arial"/>
          <w:szCs w:val="24"/>
        </w:rPr>
        <w:t xml:space="preserve">The </w:t>
      </w:r>
      <w:r w:rsidR="00551D9F" w:rsidRPr="00C1087F">
        <w:rPr>
          <w:rFonts w:ascii="Arial" w:hAnsi="Arial" w:cs="Arial"/>
          <w:szCs w:val="24"/>
        </w:rPr>
        <w:t>FTT</w:t>
      </w:r>
      <w:r w:rsidR="004E558E" w:rsidRPr="00C1087F">
        <w:rPr>
          <w:rFonts w:ascii="Arial" w:hAnsi="Arial" w:cs="Arial"/>
          <w:szCs w:val="24"/>
        </w:rPr>
        <w:t xml:space="preserve">’s determination of </w:t>
      </w:r>
      <w:r w:rsidR="00551D9F" w:rsidRPr="00C1087F">
        <w:rPr>
          <w:rFonts w:ascii="Arial" w:hAnsi="Arial" w:cs="Arial"/>
          <w:szCs w:val="24"/>
        </w:rPr>
        <w:t>whether a decision notice is in accordance with the law</w:t>
      </w:r>
      <w:r w:rsidR="00E45522" w:rsidRPr="00C1087F">
        <w:rPr>
          <w:rFonts w:ascii="Arial" w:hAnsi="Arial" w:cs="Arial"/>
          <w:szCs w:val="24"/>
        </w:rPr>
        <w:t xml:space="preserve"> </w:t>
      </w:r>
      <w:r w:rsidR="00954712" w:rsidRPr="00C1087F">
        <w:rPr>
          <w:rFonts w:ascii="Arial" w:hAnsi="Arial" w:cs="Arial"/>
          <w:szCs w:val="24"/>
        </w:rPr>
        <w:t xml:space="preserve">involves </w:t>
      </w:r>
      <w:r w:rsidR="00E45522" w:rsidRPr="00C1087F">
        <w:rPr>
          <w:rFonts w:ascii="Arial" w:hAnsi="Arial" w:cs="Arial"/>
          <w:szCs w:val="24"/>
        </w:rPr>
        <w:t xml:space="preserve">a reconsideration of the </w:t>
      </w:r>
      <w:r w:rsidR="00057F20" w:rsidRPr="00C1087F">
        <w:rPr>
          <w:rFonts w:ascii="Arial" w:hAnsi="Arial" w:cs="Arial"/>
          <w:szCs w:val="24"/>
        </w:rPr>
        <w:t xml:space="preserve">question of </w:t>
      </w:r>
      <w:r w:rsidR="008F56E2" w:rsidRPr="00C1087F">
        <w:rPr>
          <w:rFonts w:ascii="Arial" w:hAnsi="Arial" w:cs="Arial"/>
          <w:szCs w:val="24"/>
        </w:rPr>
        <w:t>which</w:t>
      </w:r>
      <w:r w:rsidR="00057F20" w:rsidRPr="00C1087F">
        <w:rPr>
          <w:rFonts w:ascii="Arial" w:hAnsi="Arial" w:cs="Arial"/>
          <w:szCs w:val="24"/>
        </w:rPr>
        <w:t xml:space="preserve"> the Commissioner was seized. </w:t>
      </w:r>
      <w:r w:rsidR="008F56E2" w:rsidRPr="00C1087F">
        <w:rPr>
          <w:rFonts w:ascii="Arial" w:hAnsi="Arial" w:cs="Arial"/>
          <w:szCs w:val="24"/>
        </w:rPr>
        <w:t>I</w:t>
      </w:r>
      <w:r w:rsidR="00750CB2" w:rsidRPr="00C1087F">
        <w:rPr>
          <w:rFonts w:ascii="Arial" w:hAnsi="Arial" w:cs="Arial"/>
          <w:szCs w:val="24"/>
        </w:rPr>
        <w:t xml:space="preserve">n </w:t>
      </w:r>
      <w:r w:rsidR="00214999" w:rsidRPr="00C1087F">
        <w:rPr>
          <w:rFonts w:ascii="Arial" w:hAnsi="Arial" w:cs="Arial"/>
          <w:szCs w:val="24"/>
        </w:rPr>
        <w:t>this case</w:t>
      </w:r>
      <w:r w:rsidR="00750CB2" w:rsidRPr="00C1087F">
        <w:rPr>
          <w:rFonts w:ascii="Arial" w:hAnsi="Arial" w:cs="Arial"/>
          <w:szCs w:val="24"/>
        </w:rPr>
        <w:t xml:space="preserve">, </w:t>
      </w:r>
      <w:r w:rsidR="00794563" w:rsidRPr="00C1087F">
        <w:rPr>
          <w:rFonts w:ascii="Arial" w:hAnsi="Arial" w:cs="Arial"/>
          <w:szCs w:val="24"/>
        </w:rPr>
        <w:t xml:space="preserve">that </w:t>
      </w:r>
      <w:r w:rsidR="00750CB2" w:rsidRPr="00C1087F">
        <w:rPr>
          <w:rFonts w:ascii="Arial" w:hAnsi="Arial" w:cs="Arial"/>
          <w:szCs w:val="24"/>
        </w:rPr>
        <w:t xml:space="preserve">question </w:t>
      </w:r>
      <w:r w:rsidR="008F56E2" w:rsidRPr="00C1087F">
        <w:rPr>
          <w:rFonts w:ascii="Arial" w:hAnsi="Arial" w:cs="Arial"/>
          <w:szCs w:val="24"/>
        </w:rPr>
        <w:t xml:space="preserve">was </w:t>
      </w:r>
      <w:r w:rsidR="00750CB2" w:rsidRPr="00C1087F">
        <w:rPr>
          <w:rFonts w:ascii="Arial" w:hAnsi="Arial" w:cs="Arial"/>
          <w:szCs w:val="24"/>
        </w:rPr>
        <w:t xml:space="preserve">whether the ICO </w:t>
      </w:r>
      <w:r w:rsidR="002B2BFB" w:rsidRPr="00C1087F">
        <w:rPr>
          <w:rFonts w:ascii="Arial" w:hAnsi="Arial" w:cs="Arial"/>
          <w:szCs w:val="24"/>
        </w:rPr>
        <w:t xml:space="preserve">needed to respond to the </w:t>
      </w:r>
      <w:r w:rsidR="00886CFF" w:rsidRPr="00C1087F">
        <w:rPr>
          <w:rFonts w:ascii="Arial" w:hAnsi="Arial" w:cs="Arial"/>
          <w:szCs w:val="24"/>
        </w:rPr>
        <w:t>Appellant’s</w:t>
      </w:r>
      <w:r w:rsidR="002B2BFB" w:rsidRPr="00C1087F">
        <w:rPr>
          <w:rFonts w:ascii="Arial" w:hAnsi="Arial" w:cs="Arial"/>
          <w:szCs w:val="24"/>
        </w:rPr>
        <w:t xml:space="preserve"> </w:t>
      </w:r>
      <w:r w:rsidR="00886CFF" w:rsidRPr="00C1087F">
        <w:rPr>
          <w:rFonts w:ascii="Arial" w:hAnsi="Arial" w:cs="Arial"/>
          <w:szCs w:val="24"/>
        </w:rPr>
        <w:t xml:space="preserve">FOIA </w:t>
      </w:r>
      <w:r w:rsidR="0066379F" w:rsidRPr="00C1087F">
        <w:rPr>
          <w:rFonts w:ascii="Arial" w:hAnsi="Arial" w:cs="Arial"/>
          <w:szCs w:val="24"/>
        </w:rPr>
        <w:t>requests</w:t>
      </w:r>
      <w:r w:rsidR="00BC4D2A" w:rsidRPr="00C1087F">
        <w:rPr>
          <w:rFonts w:ascii="Arial" w:hAnsi="Arial" w:cs="Arial"/>
          <w:szCs w:val="24"/>
        </w:rPr>
        <w:t xml:space="preserve">. The </w:t>
      </w:r>
      <w:r w:rsidR="00794563" w:rsidRPr="00C1087F">
        <w:rPr>
          <w:rFonts w:ascii="Arial" w:hAnsi="Arial" w:cs="Arial"/>
          <w:szCs w:val="24"/>
        </w:rPr>
        <w:t xml:space="preserve">adequacy of the ICO’s </w:t>
      </w:r>
      <w:r w:rsidR="00EF080A" w:rsidRPr="00C1087F">
        <w:rPr>
          <w:rFonts w:ascii="Arial" w:hAnsi="Arial" w:cs="Arial"/>
          <w:szCs w:val="24"/>
        </w:rPr>
        <w:t xml:space="preserve">subsequent </w:t>
      </w:r>
      <w:r w:rsidR="00BC4D2A" w:rsidRPr="00C1087F">
        <w:rPr>
          <w:rFonts w:ascii="Arial" w:hAnsi="Arial" w:cs="Arial"/>
          <w:szCs w:val="24"/>
        </w:rPr>
        <w:t xml:space="preserve">substantive </w:t>
      </w:r>
      <w:r w:rsidR="00794563" w:rsidRPr="00C1087F">
        <w:rPr>
          <w:rFonts w:ascii="Arial" w:hAnsi="Arial" w:cs="Arial"/>
          <w:szCs w:val="24"/>
        </w:rPr>
        <w:t>response</w:t>
      </w:r>
      <w:r w:rsidR="001108A8" w:rsidRPr="00C1087F">
        <w:rPr>
          <w:rFonts w:ascii="Arial" w:hAnsi="Arial" w:cs="Arial"/>
          <w:szCs w:val="24"/>
        </w:rPr>
        <w:t>s to these requests</w:t>
      </w:r>
      <w:r w:rsidR="00BC4D2A" w:rsidRPr="00C1087F">
        <w:rPr>
          <w:rFonts w:ascii="Arial" w:hAnsi="Arial" w:cs="Arial"/>
          <w:szCs w:val="24"/>
        </w:rPr>
        <w:t xml:space="preserve"> </w:t>
      </w:r>
      <w:r w:rsidR="008642B0" w:rsidRPr="00C1087F">
        <w:rPr>
          <w:rFonts w:ascii="Arial" w:hAnsi="Arial" w:cs="Arial"/>
          <w:szCs w:val="24"/>
        </w:rPr>
        <w:t xml:space="preserve">is a </w:t>
      </w:r>
      <w:r w:rsidR="002E5B86" w:rsidRPr="00C1087F">
        <w:rPr>
          <w:rFonts w:ascii="Arial" w:hAnsi="Arial" w:cs="Arial"/>
          <w:szCs w:val="24"/>
        </w:rPr>
        <w:t xml:space="preserve">different </w:t>
      </w:r>
      <w:r w:rsidR="008642B0" w:rsidRPr="00C1087F">
        <w:rPr>
          <w:rFonts w:ascii="Arial" w:hAnsi="Arial" w:cs="Arial"/>
          <w:szCs w:val="24"/>
        </w:rPr>
        <w:t>question</w:t>
      </w:r>
      <w:r w:rsidR="002E5B86" w:rsidRPr="00C1087F">
        <w:rPr>
          <w:rFonts w:ascii="Arial" w:hAnsi="Arial" w:cs="Arial"/>
          <w:szCs w:val="24"/>
        </w:rPr>
        <w:t>.</w:t>
      </w:r>
    </w:p>
    <w:p w14:paraId="76060F3D" w14:textId="1FF21329" w:rsidR="00292AAB" w:rsidRPr="00C1087F" w:rsidRDefault="000507BB" w:rsidP="00FC5DC6">
      <w:pPr>
        <w:numPr>
          <w:ilvl w:val="1"/>
          <w:numId w:val="21"/>
        </w:numPr>
        <w:tabs>
          <w:tab w:val="left" w:pos="454"/>
          <w:tab w:val="left" w:pos="567"/>
          <w:tab w:val="left" w:pos="1134"/>
          <w:tab w:val="left" w:pos="5103"/>
        </w:tabs>
        <w:spacing w:after="120" w:line="276" w:lineRule="auto"/>
        <w:ind w:left="1134" w:hanging="283"/>
        <w:jc w:val="both"/>
        <w:rPr>
          <w:rFonts w:ascii="Arial" w:hAnsi="Arial" w:cs="Arial"/>
          <w:b/>
          <w:bCs/>
          <w:szCs w:val="24"/>
        </w:rPr>
      </w:pPr>
      <w:r w:rsidRPr="00C1087F">
        <w:rPr>
          <w:rFonts w:ascii="Arial" w:hAnsi="Arial" w:cs="Arial"/>
          <w:szCs w:val="24"/>
        </w:rPr>
        <w:t>Mr White</w:t>
      </w:r>
      <w:r w:rsidR="00106A19" w:rsidRPr="00C1087F">
        <w:rPr>
          <w:rFonts w:ascii="Arial" w:hAnsi="Arial" w:cs="Arial"/>
          <w:szCs w:val="24"/>
        </w:rPr>
        <w:t xml:space="preserve"> d</w:t>
      </w:r>
      <w:r w:rsidRPr="00C1087F">
        <w:rPr>
          <w:rFonts w:ascii="Arial" w:hAnsi="Arial" w:cs="Arial"/>
          <w:szCs w:val="24"/>
        </w:rPr>
        <w:t xml:space="preserve">isagrees </w:t>
      </w:r>
      <w:r w:rsidR="001108A8" w:rsidRPr="00C1087F">
        <w:rPr>
          <w:rFonts w:ascii="Arial" w:hAnsi="Arial" w:cs="Arial"/>
          <w:szCs w:val="24"/>
        </w:rPr>
        <w:t xml:space="preserve">with </w:t>
      </w:r>
      <w:r w:rsidR="00106A19" w:rsidRPr="00C1087F">
        <w:rPr>
          <w:rFonts w:ascii="Arial" w:hAnsi="Arial" w:cs="Arial"/>
          <w:szCs w:val="24"/>
        </w:rPr>
        <w:t>t</w:t>
      </w:r>
      <w:r w:rsidR="00D1000A" w:rsidRPr="00C1087F">
        <w:rPr>
          <w:rFonts w:ascii="Arial" w:hAnsi="Arial" w:cs="Arial"/>
          <w:szCs w:val="24"/>
        </w:rPr>
        <w:t xml:space="preserve">he Appellant’s </w:t>
      </w:r>
      <w:r w:rsidR="00917AD8" w:rsidRPr="00C1087F">
        <w:rPr>
          <w:rFonts w:ascii="Arial" w:hAnsi="Arial" w:cs="Arial"/>
          <w:szCs w:val="24"/>
        </w:rPr>
        <w:t xml:space="preserve">interpretation of </w:t>
      </w:r>
      <w:proofErr w:type="spellStart"/>
      <w:r w:rsidR="00A92085" w:rsidRPr="00C1087F">
        <w:rPr>
          <w:rFonts w:ascii="Arial" w:hAnsi="Arial" w:cs="Arial"/>
          <w:i/>
          <w:iCs/>
          <w:szCs w:val="24"/>
          <w:u w:val="single"/>
        </w:rPr>
        <w:t>Malnick</w:t>
      </w:r>
      <w:proofErr w:type="spellEnd"/>
      <w:r w:rsidR="00FF03E3">
        <w:rPr>
          <w:rFonts w:ascii="Arial" w:hAnsi="Arial" w:cs="Arial"/>
          <w:szCs w:val="24"/>
        </w:rPr>
        <w:t>,</w:t>
      </w:r>
      <w:r w:rsidR="005F2BA0" w:rsidRPr="00C1087F">
        <w:rPr>
          <w:rFonts w:ascii="Arial" w:hAnsi="Arial" w:cs="Arial"/>
          <w:szCs w:val="24"/>
        </w:rPr>
        <w:t xml:space="preserve"> </w:t>
      </w:r>
      <w:r w:rsidR="005F2BA0" w:rsidRPr="00C1087F">
        <w:rPr>
          <w:rFonts w:ascii="Arial" w:hAnsi="Arial" w:cs="Arial"/>
          <w:i/>
          <w:iCs/>
          <w:szCs w:val="24"/>
          <w:u w:val="single"/>
        </w:rPr>
        <w:t>Birkett</w:t>
      </w:r>
      <w:r w:rsidR="005F2BA0" w:rsidRPr="00C1087F">
        <w:rPr>
          <w:rFonts w:ascii="Arial" w:hAnsi="Arial" w:cs="Arial"/>
          <w:szCs w:val="24"/>
        </w:rPr>
        <w:t xml:space="preserve"> and </w:t>
      </w:r>
      <w:r w:rsidR="005F2BA0" w:rsidRPr="00C1087F">
        <w:rPr>
          <w:rFonts w:ascii="Arial" w:hAnsi="Arial" w:cs="Arial"/>
          <w:i/>
          <w:iCs/>
          <w:szCs w:val="24"/>
          <w:u w:val="single"/>
        </w:rPr>
        <w:t>RS</w:t>
      </w:r>
      <w:r w:rsidR="005F2BA0" w:rsidRPr="00C1087F">
        <w:rPr>
          <w:rFonts w:ascii="Arial" w:hAnsi="Arial" w:cs="Arial"/>
          <w:szCs w:val="24"/>
        </w:rPr>
        <w:t>.</w:t>
      </w:r>
      <w:r w:rsidR="00F005A2" w:rsidRPr="00C1087F">
        <w:rPr>
          <w:rFonts w:ascii="Arial" w:hAnsi="Arial" w:cs="Arial"/>
          <w:szCs w:val="24"/>
        </w:rPr>
        <w:t xml:space="preserve"> </w:t>
      </w:r>
      <w:r w:rsidRPr="00C1087F">
        <w:rPr>
          <w:rFonts w:ascii="Arial" w:hAnsi="Arial" w:cs="Arial"/>
          <w:szCs w:val="24"/>
        </w:rPr>
        <w:t xml:space="preserve">In </w:t>
      </w:r>
      <w:r w:rsidR="00255D5F" w:rsidRPr="00C1087F">
        <w:rPr>
          <w:rFonts w:ascii="Arial" w:hAnsi="Arial" w:cs="Arial"/>
          <w:szCs w:val="24"/>
        </w:rPr>
        <w:t xml:space="preserve">particular, </w:t>
      </w:r>
      <w:r w:rsidR="001A4F08" w:rsidRPr="00C1087F">
        <w:rPr>
          <w:rFonts w:ascii="Arial" w:hAnsi="Arial" w:cs="Arial"/>
          <w:szCs w:val="24"/>
        </w:rPr>
        <w:t xml:space="preserve">he submits that </w:t>
      </w:r>
      <w:r w:rsidR="00E91634" w:rsidRPr="00C1087F">
        <w:rPr>
          <w:rFonts w:ascii="Arial" w:hAnsi="Arial" w:cs="Arial"/>
          <w:szCs w:val="24"/>
        </w:rPr>
        <w:t xml:space="preserve">paragraph </w:t>
      </w:r>
      <w:r w:rsidR="00F005A2" w:rsidRPr="00C1087F">
        <w:rPr>
          <w:rFonts w:ascii="Arial" w:hAnsi="Arial" w:cs="Arial"/>
          <w:szCs w:val="24"/>
        </w:rPr>
        <w:t xml:space="preserve">102 of </w:t>
      </w:r>
      <w:proofErr w:type="spellStart"/>
      <w:r w:rsidR="003C057D" w:rsidRPr="00C1087F">
        <w:rPr>
          <w:rFonts w:ascii="Arial" w:hAnsi="Arial" w:cs="Arial"/>
          <w:i/>
          <w:iCs/>
          <w:szCs w:val="24"/>
          <w:u w:val="single"/>
        </w:rPr>
        <w:t>Malnick</w:t>
      </w:r>
      <w:proofErr w:type="spellEnd"/>
      <w:r w:rsidR="00CA0FFE" w:rsidRPr="00C1087F">
        <w:rPr>
          <w:rFonts w:ascii="Arial" w:hAnsi="Arial" w:cs="Arial"/>
          <w:szCs w:val="24"/>
        </w:rPr>
        <w:t xml:space="preserve"> </w:t>
      </w:r>
      <w:r w:rsidR="00DF54CC" w:rsidRPr="00C1087F">
        <w:rPr>
          <w:rFonts w:ascii="Arial" w:hAnsi="Arial" w:cs="Arial"/>
          <w:szCs w:val="24"/>
        </w:rPr>
        <w:t xml:space="preserve">must </w:t>
      </w:r>
      <w:r w:rsidR="00F005A2" w:rsidRPr="00C1087F">
        <w:rPr>
          <w:rFonts w:ascii="Arial" w:hAnsi="Arial" w:cs="Arial"/>
          <w:szCs w:val="24"/>
        </w:rPr>
        <w:t>be understood in context</w:t>
      </w:r>
      <w:r w:rsidR="003C2819" w:rsidRPr="00C1087F">
        <w:rPr>
          <w:rFonts w:ascii="Arial" w:hAnsi="Arial" w:cs="Arial"/>
          <w:szCs w:val="24"/>
        </w:rPr>
        <w:t>.</w:t>
      </w:r>
      <w:r w:rsidR="00DB4748" w:rsidRPr="00C1087F">
        <w:rPr>
          <w:rFonts w:ascii="Arial" w:hAnsi="Arial" w:cs="Arial"/>
          <w:szCs w:val="24"/>
        </w:rPr>
        <w:t xml:space="preserve"> </w:t>
      </w:r>
      <w:r w:rsidR="003C2819" w:rsidRPr="00C1087F">
        <w:rPr>
          <w:rFonts w:ascii="Arial" w:hAnsi="Arial" w:cs="Arial"/>
          <w:szCs w:val="24"/>
        </w:rPr>
        <w:t xml:space="preserve">The Upper Tribunal was </w:t>
      </w:r>
      <w:r w:rsidR="00023B65" w:rsidRPr="00C1087F">
        <w:rPr>
          <w:rFonts w:ascii="Arial" w:hAnsi="Arial" w:cs="Arial"/>
          <w:szCs w:val="24"/>
        </w:rPr>
        <w:t xml:space="preserve">explaining why </w:t>
      </w:r>
      <w:r w:rsidR="003C2819" w:rsidRPr="00C1087F">
        <w:rPr>
          <w:rFonts w:ascii="Arial" w:hAnsi="Arial" w:cs="Arial"/>
          <w:szCs w:val="24"/>
        </w:rPr>
        <w:t xml:space="preserve">the FTT </w:t>
      </w:r>
      <w:r w:rsidR="00023B65" w:rsidRPr="00C1087F">
        <w:rPr>
          <w:rFonts w:ascii="Arial" w:hAnsi="Arial" w:cs="Arial"/>
          <w:szCs w:val="24"/>
        </w:rPr>
        <w:t xml:space="preserve">has jurisdiction to </w:t>
      </w:r>
      <w:r w:rsidR="003C2819" w:rsidRPr="00C1087F">
        <w:rPr>
          <w:rFonts w:ascii="Arial" w:hAnsi="Arial" w:cs="Arial"/>
          <w:szCs w:val="24"/>
        </w:rPr>
        <w:t xml:space="preserve">consider exemptions </w:t>
      </w:r>
      <w:r w:rsidR="000B7E48" w:rsidRPr="00C1087F">
        <w:rPr>
          <w:rFonts w:ascii="Arial" w:hAnsi="Arial" w:cs="Arial"/>
          <w:szCs w:val="24"/>
        </w:rPr>
        <w:t xml:space="preserve">that were </w:t>
      </w:r>
      <w:r w:rsidR="003C2819" w:rsidRPr="00C1087F">
        <w:rPr>
          <w:rFonts w:ascii="Arial" w:hAnsi="Arial" w:cs="Arial"/>
          <w:szCs w:val="24"/>
        </w:rPr>
        <w:t xml:space="preserve">not considered </w:t>
      </w:r>
      <w:r w:rsidR="000B7E48" w:rsidRPr="00C1087F">
        <w:rPr>
          <w:rFonts w:ascii="Arial" w:hAnsi="Arial" w:cs="Arial"/>
          <w:szCs w:val="24"/>
        </w:rPr>
        <w:t xml:space="preserve">in </w:t>
      </w:r>
      <w:r w:rsidR="003C2819" w:rsidRPr="00C1087F">
        <w:rPr>
          <w:rFonts w:ascii="Arial" w:hAnsi="Arial" w:cs="Arial"/>
          <w:szCs w:val="24"/>
        </w:rPr>
        <w:t>the decision notice</w:t>
      </w:r>
      <w:r w:rsidR="00DB4748" w:rsidRPr="00C1087F">
        <w:rPr>
          <w:rFonts w:ascii="Arial" w:hAnsi="Arial" w:cs="Arial"/>
          <w:szCs w:val="24"/>
        </w:rPr>
        <w:t xml:space="preserve">. </w:t>
      </w:r>
      <w:r w:rsidR="00DE0CD5" w:rsidRPr="00C1087F">
        <w:rPr>
          <w:rFonts w:ascii="Arial" w:hAnsi="Arial" w:cs="Arial"/>
          <w:szCs w:val="24"/>
        </w:rPr>
        <w:t xml:space="preserve">Mr </w:t>
      </w:r>
      <w:r w:rsidR="008F48F8" w:rsidRPr="00C1087F">
        <w:rPr>
          <w:rFonts w:ascii="Arial" w:hAnsi="Arial" w:cs="Arial"/>
          <w:szCs w:val="24"/>
        </w:rPr>
        <w:t xml:space="preserve">White </w:t>
      </w:r>
      <w:r w:rsidR="00C22194" w:rsidRPr="00C1087F">
        <w:rPr>
          <w:rFonts w:ascii="Arial" w:hAnsi="Arial" w:cs="Arial"/>
          <w:szCs w:val="24"/>
        </w:rPr>
        <w:t>describes this as the</w:t>
      </w:r>
      <w:r w:rsidR="00C2115F" w:rsidRPr="00C1087F">
        <w:rPr>
          <w:rFonts w:ascii="Arial" w:hAnsi="Arial" w:cs="Arial"/>
          <w:szCs w:val="24"/>
        </w:rPr>
        <w:t xml:space="preserve"> </w:t>
      </w:r>
      <w:r w:rsidR="00A34977" w:rsidRPr="00C1087F">
        <w:rPr>
          <w:rFonts w:ascii="Arial" w:hAnsi="Arial" w:cs="Arial"/>
          <w:szCs w:val="24"/>
        </w:rPr>
        <w:t xml:space="preserve">FTT </w:t>
      </w:r>
      <w:r w:rsidR="001442B8" w:rsidRPr="00C1087F">
        <w:rPr>
          <w:rFonts w:ascii="Arial" w:hAnsi="Arial" w:cs="Arial"/>
          <w:szCs w:val="24"/>
        </w:rPr>
        <w:t xml:space="preserve">considering a </w:t>
      </w:r>
      <w:r w:rsidR="003A78B0" w:rsidRPr="00C1087F">
        <w:rPr>
          <w:rFonts w:ascii="Arial" w:hAnsi="Arial" w:cs="Arial"/>
          <w:szCs w:val="24"/>
        </w:rPr>
        <w:t xml:space="preserve">sub-issue </w:t>
      </w:r>
      <w:r w:rsidR="004A73F2" w:rsidRPr="00C1087F">
        <w:rPr>
          <w:rFonts w:ascii="Arial" w:hAnsi="Arial" w:cs="Arial"/>
          <w:szCs w:val="24"/>
        </w:rPr>
        <w:t xml:space="preserve">of </w:t>
      </w:r>
      <w:r w:rsidR="003A78B0" w:rsidRPr="00C1087F">
        <w:rPr>
          <w:rFonts w:ascii="Arial" w:hAnsi="Arial" w:cs="Arial"/>
          <w:szCs w:val="24"/>
        </w:rPr>
        <w:t xml:space="preserve">the question </w:t>
      </w:r>
      <w:r w:rsidR="00AD7F1A" w:rsidRPr="00C1087F">
        <w:rPr>
          <w:rFonts w:ascii="Arial" w:hAnsi="Arial" w:cs="Arial"/>
          <w:szCs w:val="24"/>
        </w:rPr>
        <w:t>the Commissioner was seized of</w:t>
      </w:r>
      <w:r w:rsidR="00BF613D" w:rsidRPr="00C1087F">
        <w:rPr>
          <w:rFonts w:ascii="Arial" w:hAnsi="Arial" w:cs="Arial"/>
          <w:szCs w:val="24"/>
        </w:rPr>
        <w:t xml:space="preserve"> at the</w:t>
      </w:r>
      <w:r w:rsidR="00325A07" w:rsidRPr="00C1087F">
        <w:rPr>
          <w:rFonts w:ascii="Arial" w:hAnsi="Arial" w:cs="Arial"/>
          <w:szCs w:val="24"/>
        </w:rPr>
        <w:t xml:space="preserve"> relevant</w:t>
      </w:r>
      <w:r w:rsidR="00BF613D" w:rsidRPr="00C1087F">
        <w:rPr>
          <w:rFonts w:ascii="Arial" w:hAnsi="Arial" w:cs="Arial"/>
          <w:szCs w:val="24"/>
        </w:rPr>
        <w:t xml:space="preserve"> time</w:t>
      </w:r>
      <w:r w:rsidR="00AD7F1A" w:rsidRPr="00C1087F">
        <w:rPr>
          <w:rFonts w:ascii="Arial" w:hAnsi="Arial" w:cs="Arial"/>
          <w:szCs w:val="24"/>
        </w:rPr>
        <w:t>, namely ‘should the requested information be disclosed</w:t>
      </w:r>
      <w:r w:rsidR="00E8078C" w:rsidRPr="00C1087F">
        <w:rPr>
          <w:rFonts w:ascii="Arial" w:hAnsi="Arial" w:cs="Arial"/>
          <w:szCs w:val="24"/>
        </w:rPr>
        <w:t>?’</w:t>
      </w:r>
      <w:r w:rsidR="00F0614C" w:rsidRPr="00C1087F">
        <w:rPr>
          <w:rFonts w:ascii="Arial" w:hAnsi="Arial" w:cs="Arial"/>
          <w:szCs w:val="24"/>
        </w:rPr>
        <w:t xml:space="preserve"> </w:t>
      </w:r>
      <w:r w:rsidR="00A77DAD" w:rsidRPr="00C1087F">
        <w:rPr>
          <w:rFonts w:ascii="Arial" w:hAnsi="Arial" w:cs="Arial"/>
          <w:szCs w:val="24"/>
        </w:rPr>
        <w:t>He argues that t</w:t>
      </w:r>
      <w:r w:rsidR="00F0614C" w:rsidRPr="00C1087F">
        <w:rPr>
          <w:rFonts w:ascii="Arial" w:hAnsi="Arial" w:cs="Arial"/>
          <w:szCs w:val="24"/>
        </w:rPr>
        <w:t xml:space="preserve">he prohibition identified </w:t>
      </w:r>
      <w:r w:rsidR="0034000A" w:rsidRPr="00C1087F">
        <w:rPr>
          <w:rFonts w:ascii="Arial" w:hAnsi="Arial" w:cs="Arial"/>
          <w:szCs w:val="24"/>
        </w:rPr>
        <w:t>by the Upper Tribun</w:t>
      </w:r>
      <w:r w:rsidR="005013FC" w:rsidRPr="00C1087F">
        <w:rPr>
          <w:rFonts w:ascii="Arial" w:hAnsi="Arial" w:cs="Arial"/>
          <w:szCs w:val="24"/>
        </w:rPr>
        <w:t xml:space="preserve">al </w:t>
      </w:r>
      <w:r w:rsidR="00F0614C" w:rsidRPr="00C1087F">
        <w:rPr>
          <w:rFonts w:ascii="Arial" w:hAnsi="Arial" w:cs="Arial"/>
          <w:szCs w:val="24"/>
        </w:rPr>
        <w:t xml:space="preserve">in </w:t>
      </w:r>
      <w:proofErr w:type="spellStart"/>
      <w:r w:rsidR="00F0614C" w:rsidRPr="00C1087F">
        <w:rPr>
          <w:rFonts w:ascii="Arial" w:hAnsi="Arial" w:cs="Arial"/>
          <w:i/>
          <w:iCs/>
          <w:szCs w:val="24"/>
          <w:u w:val="single"/>
        </w:rPr>
        <w:t>Malnick</w:t>
      </w:r>
      <w:proofErr w:type="spellEnd"/>
      <w:r w:rsidR="00F0614C" w:rsidRPr="00C1087F">
        <w:rPr>
          <w:rFonts w:ascii="Arial" w:hAnsi="Arial" w:cs="Arial"/>
          <w:szCs w:val="24"/>
        </w:rPr>
        <w:t xml:space="preserve"> </w:t>
      </w:r>
      <w:r w:rsidR="001D7C60" w:rsidRPr="00C1087F">
        <w:rPr>
          <w:rFonts w:ascii="Arial" w:hAnsi="Arial" w:cs="Arial"/>
          <w:szCs w:val="24"/>
        </w:rPr>
        <w:t>is against remitting th</w:t>
      </w:r>
      <w:r w:rsidR="00BF613D" w:rsidRPr="00C1087F">
        <w:rPr>
          <w:rFonts w:ascii="Arial" w:hAnsi="Arial" w:cs="Arial"/>
          <w:szCs w:val="24"/>
        </w:rPr>
        <w:t>at</w:t>
      </w:r>
      <w:r w:rsidR="001D7C60" w:rsidRPr="00C1087F">
        <w:rPr>
          <w:rFonts w:ascii="Arial" w:hAnsi="Arial" w:cs="Arial"/>
          <w:szCs w:val="24"/>
        </w:rPr>
        <w:t xml:space="preserve"> same question back to the Commissioner for reconsideration.</w:t>
      </w:r>
    </w:p>
    <w:p w14:paraId="55F29388" w14:textId="11C5657F" w:rsidR="00292AAB" w:rsidRPr="00466DE0" w:rsidRDefault="00BC79D9" w:rsidP="00466DE0">
      <w:pPr>
        <w:numPr>
          <w:ilvl w:val="1"/>
          <w:numId w:val="21"/>
        </w:numPr>
        <w:spacing w:after="120" w:line="276" w:lineRule="auto"/>
        <w:ind w:left="1134" w:hanging="283"/>
        <w:jc w:val="both"/>
        <w:rPr>
          <w:rFonts w:ascii="Arial" w:hAnsi="Arial" w:cs="Arial"/>
          <w:szCs w:val="24"/>
        </w:rPr>
      </w:pPr>
      <w:r w:rsidRPr="00C1087F">
        <w:rPr>
          <w:rFonts w:ascii="Arial" w:hAnsi="Arial" w:cs="Arial"/>
          <w:szCs w:val="24"/>
        </w:rPr>
        <w:t xml:space="preserve"> </w:t>
      </w:r>
      <w:r w:rsidR="005013FC" w:rsidRPr="00C1087F">
        <w:rPr>
          <w:rFonts w:ascii="Arial" w:hAnsi="Arial" w:cs="Arial"/>
          <w:szCs w:val="24"/>
        </w:rPr>
        <w:t>In Mr White’s view</w:t>
      </w:r>
      <w:r w:rsidR="0092281B" w:rsidRPr="00C1087F">
        <w:rPr>
          <w:rFonts w:ascii="Arial" w:hAnsi="Arial" w:cs="Arial"/>
          <w:szCs w:val="24"/>
        </w:rPr>
        <w:t xml:space="preserve"> there is little assistance to be found in </w:t>
      </w:r>
      <w:r w:rsidR="0006497C" w:rsidRPr="00C1087F">
        <w:rPr>
          <w:rFonts w:ascii="Arial" w:hAnsi="Arial" w:cs="Arial"/>
          <w:szCs w:val="24"/>
        </w:rPr>
        <w:t>p</w:t>
      </w:r>
      <w:r w:rsidR="00174A69" w:rsidRPr="00C1087F">
        <w:rPr>
          <w:rFonts w:ascii="Arial" w:hAnsi="Arial" w:cs="Arial"/>
          <w:szCs w:val="24"/>
        </w:rPr>
        <w:t xml:space="preserve">revious Upper Tribunal </w:t>
      </w:r>
      <w:r w:rsidR="0092281B" w:rsidRPr="00C1087F">
        <w:rPr>
          <w:rFonts w:ascii="Arial" w:hAnsi="Arial" w:cs="Arial"/>
          <w:szCs w:val="24"/>
        </w:rPr>
        <w:t xml:space="preserve">decisions </w:t>
      </w:r>
      <w:r w:rsidR="00174A69" w:rsidRPr="00C1087F">
        <w:rPr>
          <w:rFonts w:ascii="Arial" w:hAnsi="Arial" w:cs="Arial"/>
          <w:szCs w:val="24"/>
        </w:rPr>
        <w:t xml:space="preserve">concerning the FTT’s powers </w:t>
      </w:r>
      <w:r w:rsidR="0006497C" w:rsidRPr="00C1087F">
        <w:rPr>
          <w:rFonts w:ascii="Arial" w:hAnsi="Arial" w:cs="Arial"/>
          <w:szCs w:val="24"/>
        </w:rPr>
        <w:t>in a FOIA appeal</w:t>
      </w:r>
      <w:r w:rsidR="00174A69" w:rsidRPr="00C1087F">
        <w:rPr>
          <w:rFonts w:ascii="Arial" w:hAnsi="Arial" w:cs="Arial"/>
          <w:szCs w:val="24"/>
        </w:rPr>
        <w:t xml:space="preserve">, </w:t>
      </w:r>
      <w:r w:rsidR="00423C0B" w:rsidRPr="00C1087F">
        <w:rPr>
          <w:rFonts w:ascii="Arial" w:hAnsi="Arial" w:cs="Arial"/>
          <w:szCs w:val="24"/>
        </w:rPr>
        <w:t xml:space="preserve">as recognised </w:t>
      </w:r>
      <w:r w:rsidR="00174A69" w:rsidRPr="00C1087F">
        <w:rPr>
          <w:rFonts w:ascii="Arial" w:hAnsi="Arial" w:cs="Arial"/>
          <w:szCs w:val="24"/>
        </w:rPr>
        <w:t xml:space="preserve">by Judge Jones when granting permission. </w:t>
      </w:r>
      <w:r w:rsidR="002626F8" w:rsidRPr="00C1087F">
        <w:rPr>
          <w:rFonts w:ascii="Arial" w:hAnsi="Arial" w:cs="Arial"/>
          <w:szCs w:val="24"/>
        </w:rPr>
        <w:t xml:space="preserve">Mr White </w:t>
      </w:r>
      <w:r w:rsidR="003A2251" w:rsidRPr="00C1087F">
        <w:rPr>
          <w:rFonts w:ascii="Arial" w:hAnsi="Arial" w:cs="Arial"/>
          <w:szCs w:val="24"/>
        </w:rPr>
        <w:t xml:space="preserve">submits </w:t>
      </w:r>
      <w:r w:rsidR="003007E8" w:rsidRPr="00C1087F">
        <w:rPr>
          <w:rFonts w:ascii="Arial" w:hAnsi="Arial" w:cs="Arial"/>
          <w:szCs w:val="24"/>
        </w:rPr>
        <w:t>that t</w:t>
      </w:r>
      <w:r w:rsidR="00174A69" w:rsidRPr="00C1087F">
        <w:rPr>
          <w:rFonts w:ascii="Arial" w:hAnsi="Arial" w:cs="Arial"/>
          <w:szCs w:val="24"/>
        </w:rPr>
        <w:t xml:space="preserve">he issue raised </w:t>
      </w:r>
      <w:r w:rsidR="002626F8" w:rsidRPr="00C1087F">
        <w:rPr>
          <w:rFonts w:ascii="Arial" w:hAnsi="Arial" w:cs="Arial"/>
          <w:szCs w:val="24"/>
        </w:rPr>
        <w:t xml:space="preserve">in </w:t>
      </w:r>
      <w:r w:rsidR="00174A69" w:rsidRPr="00C1087F">
        <w:rPr>
          <w:rFonts w:ascii="Arial" w:hAnsi="Arial" w:cs="Arial"/>
          <w:szCs w:val="24"/>
        </w:rPr>
        <w:t>this appeal is a matter of statutory interpretation.</w:t>
      </w:r>
      <w:r w:rsidR="003A2251" w:rsidRPr="00C1087F">
        <w:rPr>
          <w:rFonts w:ascii="Arial" w:hAnsi="Arial" w:cs="Arial"/>
          <w:szCs w:val="24"/>
        </w:rPr>
        <w:t xml:space="preserve"> </w:t>
      </w:r>
      <w:r w:rsidR="00B36B2D" w:rsidRPr="00C1087F">
        <w:rPr>
          <w:rFonts w:ascii="Arial" w:hAnsi="Arial" w:cs="Arial"/>
          <w:szCs w:val="24"/>
        </w:rPr>
        <w:t>He points out that n</w:t>
      </w:r>
      <w:r w:rsidR="003A2251" w:rsidRPr="00C1087F">
        <w:rPr>
          <w:rFonts w:ascii="Arial" w:hAnsi="Arial" w:cs="Arial"/>
          <w:szCs w:val="24"/>
        </w:rPr>
        <w:t>othin</w:t>
      </w:r>
      <w:r w:rsidR="009E15D5" w:rsidRPr="00C1087F">
        <w:rPr>
          <w:rFonts w:ascii="Arial" w:hAnsi="Arial" w:cs="Arial"/>
          <w:szCs w:val="24"/>
        </w:rPr>
        <w:t>g</w:t>
      </w:r>
      <w:r w:rsidR="003A2251" w:rsidRPr="00C1087F">
        <w:rPr>
          <w:rFonts w:ascii="Arial" w:hAnsi="Arial" w:cs="Arial"/>
          <w:szCs w:val="24"/>
        </w:rPr>
        <w:t xml:space="preserve"> </w:t>
      </w:r>
      <w:r w:rsidR="009E15D5" w:rsidRPr="00C1087F">
        <w:rPr>
          <w:rFonts w:ascii="Arial" w:hAnsi="Arial" w:cs="Arial"/>
          <w:szCs w:val="24"/>
        </w:rPr>
        <w:t xml:space="preserve">in </w:t>
      </w:r>
      <w:r w:rsidR="00367B08" w:rsidRPr="00C1087F">
        <w:rPr>
          <w:rFonts w:ascii="Arial" w:hAnsi="Arial" w:cs="Arial"/>
          <w:szCs w:val="24"/>
        </w:rPr>
        <w:t xml:space="preserve">FOIA </w:t>
      </w:r>
      <w:r w:rsidR="0081580C" w:rsidRPr="00C1087F">
        <w:rPr>
          <w:rFonts w:ascii="Arial" w:hAnsi="Arial" w:cs="Arial"/>
          <w:szCs w:val="24"/>
        </w:rPr>
        <w:t>prevent</w:t>
      </w:r>
      <w:r w:rsidR="009E15D5" w:rsidRPr="00C1087F">
        <w:rPr>
          <w:rFonts w:ascii="Arial" w:hAnsi="Arial" w:cs="Arial"/>
          <w:szCs w:val="24"/>
        </w:rPr>
        <w:t>s</w:t>
      </w:r>
      <w:r w:rsidR="0081580C" w:rsidRPr="00C1087F">
        <w:rPr>
          <w:rFonts w:ascii="Arial" w:hAnsi="Arial" w:cs="Arial"/>
          <w:szCs w:val="24"/>
        </w:rPr>
        <w:t xml:space="preserve"> a successor s.50 </w:t>
      </w:r>
      <w:r w:rsidR="009E15D5" w:rsidRPr="00C1087F">
        <w:rPr>
          <w:rFonts w:ascii="Arial" w:hAnsi="Arial" w:cs="Arial"/>
          <w:szCs w:val="24"/>
        </w:rPr>
        <w:t xml:space="preserve">complaint from </w:t>
      </w:r>
      <w:r w:rsidR="0081580C" w:rsidRPr="00C1087F">
        <w:rPr>
          <w:rFonts w:ascii="Arial" w:hAnsi="Arial" w:cs="Arial"/>
          <w:szCs w:val="24"/>
        </w:rPr>
        <w:t>being made</w:t>
      </w:r>
      <w:r w:rsidR="00D146DF" w:rsidRPr="00C1087F">
        <w:rPr>
          <w:rFonts w:ascii="Arial" w:hAnsi="Arial" w:cs="Arial"/>
          <w:szCs w:val="24"/>
        </w:rPr>
        <w:t xml:space="preserve"> </w:t>
      </w:r>
      <w:r w:rsidR="00914525" w:rsidRPr="00C1087F">
        <w:rPr>
          <w:rFonts w:ascii="Arial" w:hAnsi="Arial" w:cs="Arial"/>
          <w:szCs w:val="24"/>
        </w:rPr>
        <w:t xml:space="preserve">in relation to </w:t>
      </w:r>
      <w:r w:rsidR="00D54CE0" w:rsidRPr="00C1087F">
        <w:rPr>
          <w:rFonts w:ascii="Arial" w:hAnsi="Arial" w:cs="Arial"/>
          <w:szCs w:val="24"/>
        </w:rPr>
        <w:t xml:space="preserve">a single </w:t>
      </w:r>
      <w:r w:rsidR="00D146DF" w:rsidRPr="00C1087F">
        <w:rPr>
          <w:rFonts w:ascii="Arial" w:hAnsi="Arial" w:cs="Arial"/>
          <w:szCs w:val="24"/>
        </w:rPr>
        <w:t>FOIA request</w:t>
      </w:r>
      <w:r w:rsidR="002B5E5C" w:rsidRPr="00C1087F">
        <w:rPr>
          <w:rFonts w:ascii="Arial" w:hAnsi="Arial" w:cs="Arial"/>
          <w:szCs w:val="24"/>
        </w:rPr>
        <w:t xml:space="preserve">, </w:t>
      </w:r>
      <w:r w:rsidR="007F710C" w:rsidRPr="00C1087F">
        <w:rPr>
          <w:rFonts w:ascii="Arial" w:hAnsi="Arial" w:cs="Arial"/>
          <w:szCs w:val="24"/>
        </w:rPr>
        <w:t xml:space="preserve">including </w:t>
      </w:r>
      <w:r w:rsidR="00D263AC" w:rsidRPr="00C1087F">
        <w:rPr>
          <w:rFonts w:ascii="Arial" w:hAnsi="Arial" w:cs="Arial"/>
          <w:szCs w:val="24"/>
        </w:rPr>
        <w:t xml:space="preserve">following a ‘no steps’ </w:t>
      </w:r>
      <w:r w:rsidR="001644CC" w:rsidRPr="00C1087F">
        <w:rPr>
          <w:rFonts w:ascii="Arial" w:hAnsi="Arial" w:cs="Arial"/>
          <w:szCs w:val="24"/>
        </w:rPr>
        <w:t xml:space="preserve">decision </w:t>
      </w:r>
      <w:r w:rsidR="007F710C" w:rsidRPr="00C1087F">
        <w:rPr>
          <w:rFonts w:ascii="Arial" w:hAnsi="Arial" w:cs="Arial"/>
          <w:szCs w:val="24"/>
        </w:rPr>
        <w:t>notice/substituted decision notice</w:t>
      </w:r>
      <w:r w:rsidR="00D263AC" w:rsidRPr="00C1087F">
        <w:rPr>
          <w:rFonts w:ascii="Arial" w:hAnsi="Arial" w:cs="Arial"/>
          <w:szCs w:val="24"/>
        </w:rPr>
        <w:t xml:space="preserve">. </w:t>
      </w:r>
      <w:r w:rsidR="00076650" w:rsidRPr="00C1087F">
        <w:rPr>
          <w:rFonts w:ascii="Arial" w:hAnsi="Arial" w:cs="Arial"/>
          <w:szCs w:val="24"/>
        </w:rPr>
        <w:t xml:space="preserve">The iterative process </w:t>
      </w:r>
      <w:r w:rsidR="002E29E0" w:rsidRPr="00C1087F">
        <w:rPr>
          <w:rFonts w:ascii="Arial" w:hAnsi="Arial" w:cs="Arial"/>
          <w:szCs w:val="24"/>
        </w:rPr>
        <w:t xml:space="preserve">this </w:t>
      </w:r>
      <w:r w:rsidR="002E29E0" w:rsidRPr="00C1087F">
        <w:rPr>
          <w:rFonts w:ascii="Arial" w:hAnsi="Arial" w:cs="Arial"/>
          <w:szCs w:val="24"/>
        </w:rPr>
        <w:lastRenderedPageBreak/>
        <w:t xml:space="preserve">creates, Mr White </w:t>
      </w:r>
      <w:r w:rsidR="00200EFA" w:rsidRPr="00C1087F">
        <w:rPr>
          <w:rFonts w:ascii="Arial" w:hAnsi="Arial" w:cs="Arial"/>
          <w:szCs w:val="24"/>
        </w:rPr>
        <w:t>suggests</w:t>
      </w:r>
      <w:r w:rsidR="002E29E0" w:rsidRPr="00C1087F">
        <w:rPr>
          <w:rFonts w:ascii="Arial" w:hAnsi="Arial" w:cs="Arial"/>
          <w:szCs w:val="24"/>
        </w:rPr>
        <w:t xml:space="preserve">, </w:t>
      </w:r>
      <w:r w:rsidR="004B0267" w:rsidRPr="00C1087F">
        <w:rPr>
          <w:rFonts w:ascii="Arial" w:hAnsi="Arial" w:cs="Arial"/>
          <w:szCs w:val="24"/>
        </w:rPr>
        <w:t xml:space="preserve">ensures </w:t>
      </w:r>
      <w:r w:rsidR="0033069D" w:rsidRPr="00C1087F">
        <w:rPr>
          <w:rFonts w:ascii="Arial" w:hAnsi="Arial" w:cs="Arial"/>
          <w:szCs w:val="24"/>
        </w:rPr>
        <w:t xml:space="preserve">the </w:t>
      </w:r>
      <w:r w:rsidR="004B0267" w:rsidRPr="00C1087F">
        <w:rPr>
          <w:rFonts w:ascii="Arial" w:hAnsi="Arial" w:cs="Arial"/>
          <w:szCs w:val="24"/>
        </w:rPr>
        <w:t xml:space="preserve">proper investigation of </w:t>
      </w:r>
      <w:r w:rsidR="00686B61" w:rsidRPr="00C1087F">
        <w:rPr>
          <w:rFonts w:ascii="Arial" w:hAnsi="Arial" w:cs="Arial"/>
          <w:szCs w:val="24"/>
        </w:rPr>
        <w:t xml:space="preserve">more </w:t>
      </w:r>
      <w:r w:rsidR="008A2690" w:rsidRPr="00C1087F">
        <w:rPr>
          <w:rFonts w:ascii="Arial" w:hAnsi="Arial" w:cs="Arial"/>
          <w:szCs w:val="24"/>
        </w:rPr>
        <w:t xml:space="preserve">complex </w:t>
      </w:r>
      <w:r w:rsidR="00686B61" w:rsidRPr="00C1087F">
        <w:rPr>
          <w:rFonts w:ascii="Arial" w:hAnsi="Arial" w:cs="Arial"/>
          <w:szCs w:val="24"/>
        </w:rPr>
        <w:t xml:space="preserve">FOIA </w:t>
      </w:r>
      <w:r w:rsidR="008A2690" w:rsidRPr="00C1087F">
        <w:rPr>
          <w:rFonts w:ascii="Arial" w:hAnsi="Arial" w:cs="Arial"/>
          <w:szCs w:val="24"/>
        </w:rPr>
        <w:t>complaint</w:t>
      </w:r>
      <w:r w:rsidR="00686B61" w:rsidRPr="00C1087F">
        <w:rPr>
          <w:rFonts w:ascii="Arial" w:hAnsi="Arial" w:cs="Arial"/>
          <w:szCs w:val="24"/>
        </w:rPr>
        <w:t>s</w:t>
      </w:r>
      <w:r w:rsidR="00200EFA" w:rsidRPr="00C1087F">
        <w:rPr>
          <w:rFonts w:ascii="Arial" w:hAnsi="Arial" w:cs="Arial"/>
          <w:szCs w:val="24"/>
        </w:rPr>
        <w:t>.</w:t>
      </w:r>
    </w:p>
    <w:p w14:paraId="56A275F6" w14:textId="60F2EE15" w:rsidR="00BE13D2" w:rsidRPr="00C1087F" w:rsidRDefault="0095671A" w:rsidP="00DD7117">
      <w:pPr>
        <w:tabs>
          <w:tab w:val="left" w:pos="454"/>
          <w:tab w:val="left" w:pos="567"/>
          <w:tab w:val="left" w:pos="1134"/>
          <w:tab w:val="left" w:pos="5103"/>
        </w:tabs>
        <w:spacing w:after="120" w:line="276" w:lineRule="auto"/>
        <w:ind w:left="426"/>
        <w:jc w:val="both"/>
        <w:rPr>
          <w:rFonts w:ascii="Arial" w:hAnsi="Arial" w:cs="Arial"/>
          <w:szCs w:val="24"/>
        </w:rPr>
      </w:pPr>
      <w:r w:rsidRPr="00C1087F">
        <w:rPr>
          <w:rFonts w:ascii="Arial" w:hAnsi="Arial" w:cs="Arial"/>
          <w:b/>
          <w:bCs/>
          <w:szCs w:val="24"/>
        </w:rPr>
        <w:t>Analysis</w:t>
      </w:r>
    </w:p>
    <w:p w14:paraId="29934808" w14:textId="0E48497A" w:rsidR="00A652A0" w:rsidRPr="00C1087F" w:rsidRDefault="00371409"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szCs w:val="24"/>
        </w:rPr>
      </w:pPr>
      <w:r w:rsidRPr="00C1087F">
        <w:rPr>
          <w:rFonts w:ascii="Arial" w:hAnsi="Arial" w:cs="Arial"/>
          <w:szCs w:val="24"/>
        </w:rPr>
        <w:t>One of the unique aspects of an appeal</w:t>
      </w:r>
      <w:r w:rsidR="00B30DC7" w:rsidRPr="00C1087F">
        <w:rPr>
          <w:rFonts w:ascii="Arial" w:hAnsi="Arial" w:cs="Arial"/>
          <w:szCs w:val="24"/>
        </w:rPr>
        <w:t xml:space="preserve"> </w:t>
      </w:r>
      <w:r w:rsidR="005C4D66" w:rsidRPr="00C1087F">
        <w:rPr>
          <w:rFonts w:ascii="Arial" w:hAnsi="Arial" w:cs="Arial"/>
          <w:szCs w:val="24"/>
        </w:rPr>
        <w:t>under s.57 FOI</w:t>
      </w:r>
      <w:r w:rsidR="008D58DE" w:rsidRPr="00C1087F">
        <w:rPr>
          <w:rFonts w:ascii="Arial" w:hAnsi="Arial" w:cs="Arial"/>
          <w:szCs w:val="24"/>
        </w:rPr>
        <w:t>A</w:t>
      </w:r>
      <w:r w:rsidR="005C4D66" w:rsidRPr="00C1087F">
        <w:rPr>
          <w:rFonts w:ascii="Arial" w:hAnsi="Arial" w:cs="Arial"/>
          <w:szCs w:val="24"/>
        </w:rPr>
        <w:t xml:space="preserve"> is that it concerns the rights </w:t>
      </w:r>
      <w:r w:rsidR="008031C1" w:rsidRPr="00C1087F">
        <w:rPr>
          <w:rFonts w:ascii="Arial" w:hAnsi="Arial" w:cs="Arial"/>
          <w:szCs w:val="24"/>
        </w:rPr>
        <w:t xml:space="preserve">of an individual in relation to a </w:t>
      </w:r>
      <w:r w:rsidR="00FF03E3">
        <w:rPr>
          <w:rFonts w:ascii="Arial" w:hAnsi="Arial" w:cs="Arial"/>
          <w:szCs w:val="24"/>
        </w:rPr>
        <w:t>third</w:t>
      </w:r>
      <w:r w:rsidR="008031C1" w:rsidRPr="00C1087F">
        <w:rPr>
          <w:rFonts w:ascii="Arial" w:hAnsi="Arial" w:cs="Arial"/>
          <w:szCs w:val="24"/>
        </w:rPr>
        <w:t xml:space="preserve"> party</w:t>
      </w:r>
      <w:r w:rsidR="0018335F" w:rsidRPr="00C1087F">
        <w:rPr>
          <w:rFonts w:ascii="Arial" w:hAnsi="Arial" w:cs="Arial"/>
          <w:szCs w:val="24"/>
        </w:rPr>
        <w:t xml:space="preserve"> </w:t>
      </w:r>
      <w:r w:rsidR="000C6237" w:rsidRPr="00C1087F">
        <w:rPr>
          <w:rFonts w:ascii="Arial" w:hAnsi="Arial" w:cs="Arial"/>
          <w:szCs w:val="24"/>
        </w:rPr>
        <w:t xml:space="preserve">who </w:t>
      </w:r>
      <w:r w:rsidR="00F579EC" w:rsidRPr="00C1087F">
        <w:rPr>
          <w:rFonts w:ascii="Arial" w:hAnsi="Arial" w:cs="Arial"/>
          <w:szCs w:val="24"/>
        </w:rPr>
        <w:t xml:space="preserve">is </w:t>
      </w:r>
      <w:r w:rsidR="000C6237" w:rsidRPr="00C1087F">
        <w:rPr>
          <w:rFonts w:ascii="Arial" w:hAnsi="Arial" w:cs="Arial"/>
          <w:szCs w:val="24"/>
        </w:rPr>
        <w:t xml:space="preserve">often </w:t>
      </w:r>
      <w:r w:rsidR="004A3B14" w:rsidRPr="00C1087F">
        <w:rPr>
          <w:rFonts w:ascii="Arial" w:hAnsi="Arial" w:cs="Arial"/>
          <w:szCs w:val="24"/>
        </w:rPr>
        <w:t xml:space="preserve">not a party to the </w:t>
      </w:r>
      <w:r w:rsidR="0035131B" w:rsidRPr="00C1087F">
        <w:rPr>
          <w:rFonts w:ascii="Arial" w:hAnsi="Arial" w:cs="Arial"/>
          <w:szCs w:val="24"/>
        </w:rPr>
        <w:t>proceedings</w:t>
      </w:r>
      <w:r w:rsidR="004A3B14" w:rsidRPr="00C1087F">
        <w:rPr>
          <w:rFonts w:ascii="Arial" w:hAnsi="Arial" w:cs="Arial"/>
          <w:szCs w:val="24"/>
        </w:rPr>
        <w:t xml:space="preserve">. </w:t>
      </w:r>
      <w:r w:rsidR="002241BA" w:rsidRPr="00C1087F">
        <w:rPr>
          <w:rFonts w:ascii="Arial" w:hAnsi="Arial" w:cs="Arial"/>
          <w:szCs w:val="24"/>
        </w:rPr>
        <w:t xml:space="preserve">The Commissioner, </w:t>
      </w:r>
      <w:r w:rsidR="00C93549" w:rsidRPr="00C1087F">
        <w:rPr>
          <w:rFonts w:ascii="Arial" w:hAnsi="Arial" w:cs="Arial"/>
          <w:szCs w:val="24"/>
        </w:rPr>
        <w:t>whose decision notice is the subject of the appeal</w:t>
      </w:r>
      <w:r w:rsidR="008D58DE" w:rsidRPr="00C1087F">
        <w:rPr>
          <w:rFonts w:ascii="Arial" w:hAnsi="Arial" w:cs="Arial"/>
          <w:szCs w:val="24"/>
        </w:rPr>
        <w:t xml:space="preserve">, is invariably </w:t>
      </w:r>
      <w:r w:rsidR="00E045EF" w:rsidRPr="00C1087F">
        <w:rPr>
          <w:rFonts w:ascii="Arial" w:hAnsi="Arial" w:cs="Arial"/>
          <w:szCs w:val="24"/>
        </w:rPr>
        <w:t>the respondent</w:t>
      </w:r>
      <w:r w:rsidR="00C93549" w:rsidRPr="00C1087F">
        <w:rPr>
          <w:rFonts w:ascii="Arial" w:hAnsi="Arial" w:cs="Arial"/>
          <w:szCs w:val="24"/>
        </w:rPr>
        <w:t>.</w:t>
      </w:r>
      <w:r w:rsidR="00A652A0" w:rsidRPr="00C1087F">
        <w:rPr>
          <w:rFonts w:ascii="Arial" w:hAnsi="Arial" w:cs="Arial"/>
          <w:szCs w:val="24"/>
        </w:rPr>
        <w:t xml:space="preserve"> </w:t>
      </w:r>
      <w:r w:rsidR="00286E87" w:rsidRPr="00C1087F">
        <w:rPr>
          <w:rFonts w:ascii="Arial" w:hAnsi="Arial" w:cs="Arial"/>
          <w:szCs w:val="24"/>
        </w:rPr>
        <w:t xml:space="preserve">The </w:t>
      </w:r>
      <w:r w:rsidR="00C1791B" w:rsidRPr="00C1087F">
        <w:rPr>
          <w:rFonts w:ascii="Arial" w:hAnsi="Arial" w:cs="Arial"/>
          <w:szCs w:val="24"/>
        </w:rPr>
        <w:t xml:space="preserve">decision </w:t>
      </w:r>
      <w:r w:rsidR="001D5A63" w:rsidRPr="00C1087F">
        <w:rPr>
          <w:rFonts w:ascii="Arial" w:hAnsi="Arial" w:cs="Arial"/>
          <w:szCs w:val="24"/>
        </w:rPr>
        <w:t xml:space="preserve">notice </w:t>
      </w:r>
      <w:r w:rsidR="00957033" w:rsidRPr="00C1087F">
        <w:rPr>
          <w:rFonts w:ascii="Arial" w:hAnsi="Arial" w:cs="Arial"/>
          <w:szCs w:val="24"/>
        </w:rPr>
        <w:t xml:space="preserve">decides </w:t>
      </w:r>
      <w:r w:rsidR="00793D0F" w:rsidRPr="00C1087F">
        <w:rPr>
          <w:rFonts w:ascii="Arial" w:hAnsi="Arial" w:cs="Arial"/>
          <w:szCs w:val="24"/>
        </w:rPr>
        <w:t xml:space="preserve">whether </w:t>
      </w:r>
      <w:r w:rsidR="006D1EE5" w:rsidRPr="00C1087F">
        <w:rPr>
          <w:rFonts w:ascii="Arial" w:hAnsi="Arial" w:cs="Arial"/>
          <w:szCs w:val="24"/>
        </w:rPr>
        <w:t xml:space="preserve">the </w:t>
      </w:r>
      <w:r w:rsidR="00793D0F" w:rsidRPr="00C1087F">
        <w:rPr>
          <w:rFonts w:ascii="Arial" w:hAnsi="Arial" w:cs="Arial"/>
          <w:szCs w:val="24"/>
        </w:rPr>
        <w:t>public authority</w:t>
      </w:r>
      <w:r w:rsidR="005B2F74" w:rsidRPr="00C1087F">
        <w:rPr>
          <w:rFonts w:ascii="Arial" w:hAnsi="Arial" w:cs="Arial"/>
          <w:szCs w:val="24"/>
        </w:rPr>
        <w:t xml:space="preserve">’s response </w:t>
      </w:r>
      <w:r w:rsidR="00382F27" w:rsidRPr="00C1087F">
        <w:rPr>
          <w:rFonts w:ascii="Arial" w:hAnsi="Arial" w:cs="Arial"/>
          <w:szCs w:val="24"/>
        </w:rPr>
        <w:t xml:space="preserve">to </w:t>
      </w:r>
      <w:r w:rsidR="006D1EE5" w:rsidRPr="00C1087F">
        <w:rPr>
          <w:rFonts w:ascii="Arial" w:hAnsi="Arial" w:cs="Arial"/>
          <w:szCs w:val="24"/>
        </w:rPr>
        <w:t xml:space="preserve">a FOIA </w:t>
      </w:r>
      <w:r w:rsidR="00382F27" w:rsidRPr="00C1087F">
        <w:rPr>
          <w:rFonts w:ascii="Arial" w:hAnsi="Arial" w:cs="Arial"/>
          <w:szCs w:val="24"/>
        </w:rPr>
        <w:t>request</w:t>
      </w:r>
      <w:r w:rsidR="00957033" w:rsidRPr="00C1087F">
        <w:rPr>
          <w:rFonts w:ascii="Arial" w:hAnsi="Arial" w:cs="Arial"/>
          <w:szCs w:val="24"/>
        </w:rPr>
        <w:t>, about which a complaint has been made,</w:t>
      </w:r>
      <w:r w:rsidR="00382F27" w:rsidRPr="00C1087F">
        <w:rPr>
          <w:rFonts w:ascii="Arial" w:hAnsi="Arial" w:cs="Arial"/>
          <w:szCs w:val="24"/>
        </w:rPr>
        <w:t xml:space="preserve"> </w:t>
      </w:r>
      <w:r w:rsidR="005B2F74" w:rsidRPr="00C1087F">
        <w:rPr>
          <w:rFonts w:ascii="Arial" w:hAnsi="Arial" w:cs="Arial"/>
          <w:szCs w:val="24"/>
        </w:rPr>
        <w:t xml:space="preserve">is </w:t>
      </w:r>
      <w:r w:rsidR="00382F27" w:rsidRPr="00C1087F">
        <w:rPr>
          <w:rFonts w:ascii="Arial" w:hAnsi="Arial" w:cs="Arial"/>
          <w:szCs w:val="24"/>
        </w:rPr>
        <w:t>in accordance with Part I FOIA</w:t>
      </w:r>
      <w:r w:rsidR="00D373E2" w:rsidRPr="00C1087F">
        <w:rPr>
          <w:rFonts w:ascii="Arial" w:hAnsi="Arial" w:cs="Arial"/>
          <w:szCs w:val="24"/>
        </w:rPr>
        <w:t xml:space="preserve">. The </w:t>
      </w:r>
      <w:r w:rsidR="00390A6D" w:rsidRPr="00C1087F">
        <w:rPr>
          <w:rFonts w:ascii="Arial" w:hAnsi="Arial" w:cs="Arial"/>
          <w:szCs w:val="24"/>
        </w:rPr>
        <w:t xml:space="preserve">FTT must </w:t>
      </w:r>
      <w:r w:rsidR="00D373E2" w:rsidRPr="00C1087F">
        <w:rPr>
          <w:rFonts w:ascii="Arial" w:hAnsi="Arial" w:cs="Arial"/>
          <w:szCs w:val="24"/>
        </w:rPr>
        <w:t xml:space="preserve">determine </w:t>
      </w:r>
      <w:r w:rsidR="00392188" w:rsidRPr="00C1087F">
        <w:rPr>
          <w:rFonts w:ascii="Arial" w:hAnsi="Arial" w:cs="Arial"/>
          <w:szCs w:val="24"/>
        </w:rPr>
        <w:t xml:space="preserve">whether </w:t>
      </w:r>
      <w:r w:rsidR="00837F95" w:rsidRPr="00C1087F">
        <w:rPr>
          <w:rFonts w:ascii="Arial" w:hAnsi="Arial" w:cs="Arial"/>
          <w:szCs w:val="24"/>
        </w:rPr>
        <w:t>“</w:t>
      </w:r>
      <w:r w:rsidR="00837F95" w:rsidRPr="00C1087F">
        <w:rPr>
          <w:rFonts w:ascii="Arial" w:hAnsi="Arial" w:cs="Arial"/>
          <w:i/>
          <w:iCs/>
          <w:szCs w:val="24"/>
        </w:rPr>
        <w:t xml:space="preserve">the </w:t>
      </w:r>
      <w:r w:rsidR="00043E2A" w:rsidRPr="00C1087F">
        <w:rPr>
          <w:rFonts w:ascii="Arial" w:hAnsi="Arial" w:cs="Arial"/>
          <w:szCs w:val="24"/>
        </w:rPr>
        <w:t xml:space="preserve">[decision] </w:t>
      </w:r>
      <w:r w:rsidR="00837F95" w:rsidRPr="00C1087F">
        <w:rPr>
          <w:rFonts w:ascii="Arial" w:hAnsi="Arial" w:cs="Arial"/>
          <w:i/>
          <w:iCs/>
          <w:szCs w:val="24"/>
        </w:rPr>
        <w:t xml:space="preserve">notice against which the appeal is brought is </w:t>
      </w:r>
      <w:r w:rsidR="00E317E8" w:rsidRPr="00C1087F">
        <w:rPr>
          <w:rFonts w:ascii="Arial" w:hAnsi="Arial" w:cs="Arial"/>
          <w:i/>
          <w:iCs/>
          <w:szCs w:val="24"/>
        </w:rPr>
        <w:t xml:space="preserve">[…] </w:t>
      </w:r>
      <w:r w:rsidR="00837F95" w:rsidRPr="00C1087F">
        <w:rPr>
          <w:rFonts w:ascii="Arial" w:hAnsi="Arial" w:cs="Arial"/>
          <w:i/>
          <w:iCs/>
          <w:szCs w:val="24"/>
        </w:rPr>
        <w:t xml:space="preserve">in accordance with the law”. </w:t>
      </w:r>
    </w:p>
    <w:p w14:paraId="313E2885" w14:textId="0EA2E346" w:rsidR="00CE3CC3" w:rsidRPr="00C1087F" w:rsidRDefault="00584645"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szCs w:val="24"/>
        </w:rPr>
      </w:pPr>
      <w:r w:rsidRPr="00C1087F">
        <w:rPr>
          <w:rFonts w:ascii="Arial" w:hAnsi="Arial" w:cs="Arial"/>
          <w:szCs w:val="24"/>
        </w:rPr>
        <w:t>Th</w:t>
      </w:r>
      <w:r w:rsidR="00C32ABE" w:rsidRPr="00C1087F">
        <w:rPr>
          <w:rFonts w:ascii="Arial" w:hAnsi="Arial" w:cs="Arial"/>
          <w:szCs w:val="24"/>
        </w:rPr>
        <w:t xml:space="preserve">e </w:t>
      </w:r>
      <w:r w:rsidR="00FD0462" w:rsidRPr="00C1087F">
        <w:rPr>
          <w:rFonts w:ascii="Arial" w:hAnsi="Arial" w:cs="Arial"/>
          <w:szCs w:val="24"/>
        </w:rPr>
        <w:t xml:space="preserve">FTT’s </w:t>
      </w:r>
      <w:r w:rsidR="009D4CD3" w:rsidRPr="00C1087F">
        <w:rPr>
          <w:rFonts w:ascii="Arial" w:hAnsi="Arial" w:cs="Arial"/>
          <w:szCs w:val="24"/>
        </w:rPr>
        <w:t xml:space="preserve">task was </w:t>
      </w:r>
      <w:r w:rsidR="00CD67E2" w:rsidRPr="00C1087F">
        <w:rPr>
          <w:rFonts w:ascii="Arial" w:hAnsi="Arial" w:cs="Arial"/>
          <w:szCs w:val="24"/>
        </w:rPr>
        <w:t xml:space="preserve">reviewed </w:t>
      </w:r>
      <w:r w:rsidR="009D4CD3" w:rsidRPr="00C1087F">
        <w:rPr>
          <w:rFonts w:ascii="Arial" w:hAnsi="Arial" w:cs="Arial"/>
          <w:szCs w:val="24"/>
        </w:rPr>
        <w:t xml:space="preserve">by </w:t>
      </w:r>
      <w:r w:rsidR="00264548" w:rsidRPr="00C1087F">
        <w:rPr>
          <w:rFonts w:ascii="Arial" w:hAnsi="Arial" w:cs="Arial"/>
          <w:szCs w:val="24"/>
        </w:rPr>
        <w:t xml:space="preserve">a three-judge panel in </w:t>
      </w:r>
      <w:proofErr w:type="spellStart"/>
      <w:r w:rsidR="00CE3CC3" w:rsidRPr="00C1087F">
        <w:rPr>
          <w:rFonts w:ascii="Arial" w:hAnsi="Arial" w:cs="Arial"/>
          <w:i/>
          <w:iCs/>
          <w:szCs w:val="24"/>
          <w:u w:val="single"/>
        </w:rPr>
        <w:t>Malnick</w:t>
      </w:r>
      <w:proofErr w:type="spellEnd"/>
      <w:r w:rsidR="00FD0462" w:rsidRPr="00C1087F">
        <w:rPr>
          <w:rFonts w:ascii="Arial" w:hAnsi="Arial" w:cs="Arial"/>
          <w:szCs w:val="24"/>
        </w:rPr>
        <w:t>:</w:t>
      </w:r>
      <w:r w:rsidR="00CE3CC3" w:rsidRPr="00C1087F">
        <w:rPr>
          <w:rFonts w:ascii="Arial" w:hAnsi="Arial" w:cs="Arial"/>
          <w:szCs w:val="24"/>
        </w:rPr>
        <w:t xml:space="preserve"> </w:t>
      </w:r>
    </w:p>
    <w:p w14:paraId="181B084C" w14:textId="572417C7" w:rsidR="00763E41" w:rsidRPr="00C1087F" w:rsidRDefault="00A67EA0" w:rsidP="00612197">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“[90]…The question to be addressed under section 58(1)(a) is whether the decision notice is “in accordance with the law”. Although the statutory language is less than helpful, this formulation embraces all errors, and is not limited to the traditional taxonomy of errors of law. As is clear from section 58(2) and Birkett (see paragraph 45 above), the FTT exercises a full merits appellate jurisdiction and so stands in the shoes of the IC and decides which (if any) exemptions apply. If it disagrees with the IC’s decision, the IC’s decision was “not in accordance with the law” even though it was not vitiated by public law error.</w:t>
      </w:r>
      <w:r w:rsidR="00AD5B30" w:rsidRPr="00C1087F">
        <w:rPr>
          <w:rFonts w:ascii="Arial" w:hAnsi="Arial" w:cs="Arial"/>
          <w:i/>
          <w:iCs/>
          <w:szCs w:val="24"/>
        </w:rPr>
        <w:t>”</w:t>
      </w:r>
    </w:p>
    <w:p w14:paraId="220AA8F4" w14:textId="00C90769" w:rsidR="00975E46" w:rsidRPr="00C1087F" w:rsidRDefault="00825CB9"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szCs w:val="24"/>
        </w:rPr>
      </w:pPr>
      <w:r w:rsidRPr="00C1087F">
        <w:rPr>
          <w:rFonts w:ascii="Arial" w:hAnsi="Arial" w:cs="Arial"/>
          <w:szCs w:val="24"/>
        </w:rPr>
        <w:t xml:space="preserve">The </w:t>
      </w:r>
      <w:r w:rsidR="00584645" w:rsidRPr="00C1087F">
        <w:rPr>
          <w:rFonts w:ascii="Arial" w:hAnsi="Arial" w:cs="Arial"/>
          <w:szCs w:val="24"/>
        </w:rPr>
        <w:t>Appellant</w:t>
      </w:r>
      <w:r w:rsidR="007F6294" w:rsidRPr="00C1087F">
        <w:rPr>
          <w:rFonts w:ascii="Arial" w:hAnsi="Arial" w:cs="Arial"/>
          <w:szCs w:val="24"/>
        </w:rPr>
        <w:t xml:space="preserve"> </w:t>
      </w:r>
      <w:r w:rsidR="002562A6" w:rsidRPr="00C1087F">
        <w:rPr>
          <w:rFonts w:ascii="Arial" w:hAnsi="Arial" w:cs="Arial"/>
          <w:szCs w:val="24"/>
        </w:rPr>
        <w:t xml:space="preserve">argues </w:t>
      </w:r>
      <w:r w:rsidR="007F6294" w:rsidRPr="00C1087F">
        <w:rPr>
          <w:rFonts w:ascii="Arial" w:hAnsi="Arial" w:cs="Arial"/>
          <w:szCs w:val="24"/>
        </w:rPr>
        <w:t xml:space="preserve">that, </w:t>
      </w:r>
      <w:r w:rsidR="00527B52" w:rsidRPr="00C1087F">
        <w:rPr>
          <w:rFonts w:ascii="Arial" w:hAnsi="Arial" w:cs="Arial"/>
          <w:szCs w:val="24"/>
        </w:rPr>
        <w:t xml:space="preserve">when stepping into the shoes of the </w:t>
      </w:r>
      <w:r w:rsidR="00372978" w:rsidRPr="00C1087F">
        <w:rPr>
          <w:rFonts w:ascii="Arial" w:hAnsi="Arial" w:cs="Arial"/>
          <w:szCs w:val="24"/>
        </w:rPr>
        <w:t>Commissioner</w:t>
      </w:r>
      <w:r w:rsidR="00791FDE" w:rsidRPr="00C1087F">
        <w:rPr>
          <w:rFonts w:ascii="Arial" w:hAnsi="Arial" w:cs="Arial"/>
          <w:szCs w:val="24"/>
        </w:rPr>
        <w:t>,</w:t>
      </w:r>
      <w:r w:rsidR="00372978" w:rsidRPr="00C1087F">
        <w:rPr>
          <w:rFonts w:ascii="Arial" w:hAnsi="Arial" w:cs="Arial"/>
          <w:szCs w:val="24"/>
        </w:rPr>
        <w:t xml:space="preserve"> </w:t>
      </w:r>
      <w:r w:rsidR="00FD3187" w:rsidRPr="00C1087F">
        <w:rPr>
          <w:rFonts w:ascii="Arial" w:hAnsi="Arial" w:cs="Arial"/>
          <w:szCs w:val="24"/>
        </w:rPr>
        <w:t xml:space="preserve">the FTT </w:t>
      </w:r>
      <w:r w:rsidR="00E3140E" w:rsidRPr="00C1087F">
        <w:rPr>
          <w:rFonts w:ascii="Arial" w:hAnsi="Arial" w:cs="Arial"/>
          <w:szCs w:val="24"/>
        </w:rPr>
        <w:t xml:space="preserve">should </w:t>
      </w:r>
      <w:r w:rsidR="006A1C0E" w:rsidRPr="00C1087F">
        <w:rPr>
          <w:rFonts w:ascii="Arial" w:hAnsi="Arial" w:cs="Arial"/>
          <w:szCs w:val="24"/>
        </w:rPr>
        <w:t xml:space="preserve">not only </w:t>
      </w:r>
      <w:r w:rsidR="00FB4FAB" w:rsidRPr="00C1087F">
        <w:rPr>
          <w:rFonts w:ascii="Arial" w:hAnsi="Arial" w:cs="Arial"/>
          <w:szCs w:val="24"/>
        </w:rPr>
        <w:t xml:space="preserve">determine </w:t>
      </w:r>
      <w:r w:rsidR="001908F8" w:rsidRPr="00C1087F">
        <w:rPr>
          <w:rFonts w:ascii="Arial" w:hAnsi="Arial" w:cs="Arial"/>
          <w:i/>
          <w:iCs/>
          <w:szCs w:val="24"/>
        </w:rPr>
        <w:t xml:space="preserve">do novo </w:t>
      </w:r>
      <w:r w:rsidR="00E43B61" w:rsidRPr="00C1087F">
        <w:rPr>
          <w:rFonts w:ascii="Arial" w:hAnsi="Arial" w:cs="Arial"/>
          <w:szCs w:val="24"/>
        </w:rPr>
        <w:t xml:space="preserve">the </w:t>
      </w:r>
      <w:r w:rsidR="00822130" w:rsidRPr="00C1087F">
        <w:rPr>
          <w:rFonts w:ascii="Arial" w:hAnsi="Arial" w:cs="Arial"/>
          <w:szCs w:val="24"/>
        </w:rPr>
        <w:t xml:space="preserve">question that was before the </w:t>
      </w:r>
      <w:r w:rsidR="00777ED0" w:rsidRPr="00C1087F">
        <w:rPr>
          <w:rFonts w:ascii="Arial" w:hAnsi="Arial" w:cs="Arial"/>
          <w:szCs w:val="24"/>
        </w:rPr>
        <w:t>Commissioner</w:t>
      </w:r>
      <w:r w:rsidR="00802954" w:rsidRPr="00C1087F">
        <w:rPr>
          <w:rFonts w:ascii="Arial" w:hAnsi="Arial" w:cs="Arial"/>
          <w:szCs w:val="24"/>
        </w:rPr>
        <w:t xml:space="preserve"> at the date of the </w:t>
      </w:r>
      <w:r w:rsidR="000B59F0" w:rsidRPr="00C1087F">
        <w:rPr>
          <w:rFonts w:ascii="Arial" w:hAnsi="Arial" w:cs="Arial"/>
          <w:szCs w:val="24"/>
        </w:rPr>
        <w:t xml:space="preserve">decision notice </w:t>
      </w:r>
      <w:r w:rsidR="004C3579" w:rsidRPr="00C1087F">
        <w:rPr>
          <w:rFonts w:ascii="Arial" w:hAnsi="Arial" w:cs="Arial"/>
          <w:szCs w:val="24"/>
        </w:rPr>
        <w:t xml:space="preserve">but also </w:t>
      </w:r>
      <w:r w:rsidR="00763E14" w:rsidRPr="00C1087F">
        <w:rPr>
          <w:rFonts w:ascii="Arial" w:hAnsi="Arial" w:cs="Arial"/>
          <w:szCs w:val="24"/>
        </w:rPr>
        <w:t xml:space="preserve">decide </w:t>
      </w:r>
      <w:r w:rsidR="004C3579" w:rsidRPr="00C1087F">
        <w:rPr>
          <w:rFonts w:ascii="Arial" w:hAnsi="Arial" w:cs="Arial"/>
          <w:szCs w:val="24"/>
        </w:rPr>
        <w:t xml:space="preserve">whether </w:t>
      </w:r>
      <w:r w:rsidR="00943C2F" w:rsidRPr="00C1087F">
        <w:rPr>
          <w:rFonts w:ascii="Arial" w:hAnsi="Arial" w:cs="Arial"/>
          <w:szCs w:val="24"/>
        </w:rPr>
        <w:t xml:space="preserve">the </w:t>
      </w:r>
      <w:r w:rsidR="007911C1" w:rsidRPr="00C1087F">
        <w:rPr>
          <w:rFonts w:ascii="Arial" w:hAnsi="Arial" w:cs="Arial"/>
          <w:szCs w:val="24"/>
        </w:rPr>
        <w:t>public authority</w:t>
      </w:r>
      <w:r w:rsidR="000668F4" w:rsidRPr="00C1087F">
        <w:rPr>
          <w:rFonts w:ascii="Arial" w:hAnsi="Arial" w:cs="Arial"/>
          <w:szCs w:val="24"/>
        </w:rPr>
        <w:t xml:space="preserve"> </w:t>
      </w:r>
      <w:r w:rsidR="001B7FC9" w:rsidRPr="00C1087F">
        <w:rPr>
          <w:rFonts w:ascii="Arial" w:hAnsi="Arial" w:cs="Arial"/>
          <w:szCs w:val="24"/>
        </w:rPr>
        <w:t>has</w:t>
      </w:r>
      <w:r w:rsidR="00277788" w:rsidRPr="00C1087F">
        <w:rPr>
          <w:rFonts w:ascii="Arial" w:hAnsi="Arial" w:cs="Arial"/>
          <w:szCs w:val="24"/>
        </w:rPr>
        <w:t>,</w:t>
      </w:r>
      <w:r w:rsidR="001B7FC9" w:rsidRPr="00C1087F">
        <w:rPr>
          <w:rFonts w:ascii="Arial" w:hAnsi="Arial" w:cs="Arial"/>
          <w:szCs w:val="24"/>
        </w:rPr>
        <w:t xml:space="preserve"> since </w:t>
      </w:r>
      <w:r w:rsidR="00277788" w:rsidRPr="00C1087F">
        <w:rPr>
          <w:rFonts w:ascii="Arial" w:hAnsi="Arial" w:cs="Arial"/>
          <w:szCs w:val="24"/>
        </w:rPr>
        <w:t xml:space="preserve">then, dealt with </w:t>
      </w:r>
      <w:r w:rsidR="00B605AD" w:rsidRPr="00C1087F">
        <w:rPr>
          <w:rFonts w:ascii="Arial" w:hAnsi="Arial" w:cs="Arial"/>
          <w:szCs w:val="24"/>
        </w:rPr>
        <w:t xml:space="preserve">the </w:t>
      </w:r>
      <w:r w:rsidR="00B24989" w:rsidRPr="00C1087F">
        <w:rPr>
          <w:rFonts w:ascii="Arial" w:hAnsi="Arial" w:cs="Arial"/>
          <w:szCs w:val="24"/>
        </w:rPr>
        <w:t xml:space="preserve">FOIA </w:t>
      </w:r>
      <w:r w:rsidR="00B605AD" w:rsidRPr="00C1087F">
        <w:rPr>
          <w:rFonts w:ascii="Arial" w:hAnsi="Arial" w:cs="Arial"/>
          <w:szCs w:val="24"/>
        </w:rPr>
        <w:t xml:space="preserve">request </w:t>
      </w:r>
      <w:r w:rsidR="000668F4" w:rsidRPr="00C1087F">
        <w:rPr>
          <w:rFonts w:ascii="Arial" w:hAnsi="Arial" w:cs="Arial"/>
          <w:szCs w:val="24"/>
        </w:rPr>
        <w:t xml:space="preserve">in accordance with </w:t>
      </w:r>
      <w:r w:rsidR="00277788" w:rsidRPr="00C1087F">
        <w:rPr>
          <w:rFonts w:ascii="Arial" w:hAnsi="Arial" w:cs="Arial"/>
          <w:szCs w:val="24"/>
        </w:rPr>
        <w:t xml:space="preserve">its </w:t>
      </w:r>
      <w:r w:rsidR="007911C1" w:rsidRPr="00C1087F">
        <w:rPr>
          <w:rFonts w:ascii="Arial" w:hAnsi="Arial" w:cs="Arial"/>
          <w:szCs w:val="24"/>
        </w:rPr>
        <w:t>Part 1</w:t>
      </w:r>
      <w:r w:rsidR="00277788" w:rsidRPr="00C1087F">
        <w:rPr>
          <w:rFonts w:ascii="Arial" w:hAnsi="Arial" w:cs="Arial"/>
          <w:szCs w:val="24"/>
        </w:rPr>
        <w:t xml:space="preserve"> obligations</w:t>
      </w:r>
      <w:r w:rsidR="00390435" w:rsidRPr="00C1087F">
        <w:rPr>
          <w:rFonts w:ascii="Arial" w:hAnsi="Arial" w:cs="Arial"/>
          <w:szCs w:val="24"/>
        </w:rPr>
        <w:t>.</w:t>
      </w:r>
      <w:r w:rsidR="00804C0D" w:rsidRPr="00C1087F">
        <w:rPr>
          <w:rFonts w:ascii="Arial" w:hAnsi="Arial" w:cs="Arial"/>
          <w:szCs w:val="24"/>
        </w:rPr>
        <w:t xml:space="preserve"> </w:t>
      </w:r>
      <w:r w:rsidR="00763E14" w:rsidRPr="00C1087F">
        <w:rPr>
          <w:rFonts w:ascii="Arial" w:hAnsi="Arial" w:cs="Arial"/>
          <w:szCs w:val="24"/>
        </w:rPr>
        <w:t xml:space="preserve">This suggestion </w:t>
      </w:r>
      <w:r w:rsidR="00D029CB" w:rsidRPr="00C1087F">
        <w:rPr>
          <w:rFonts w:ascii="Arial" w:hAnsi="Arial" w:cs="Arial"/>
          <w:szCs w:val="24"/>
        </w:rPr>
        <w:t xml:space="preserve">is misconceived for </w:t>
      </w:r>
      <w:r w:rsidR="005B4986" w:rsidRPr="00C1087F">
        <w:rPr>
          <w:rFonts w:ascii="Arial" w:hAnsi="Arial" w:cs="Arial"/>
          <w:szCs w:val="24"/>
        </w:rPr>
        <w:t>a number of reasons</w:t>
      </w:r>
      <w:r w:rsidR="00975E46" w:rsidRPr="00C1087F">
        <w:rPr>
          <w:rFonts w:ascii="Arial" w:hAnsi="Arial" w:cs="Arial"/>
          <w:szCs w:val="24"/>
        </w:rPr>
        <w:t>.</w:t>
      </w:r>
    </w:p>
    <w:p w14:paraId="3A7A5DC1" w14:textId="793C2370" w:rsidR="00117B1D" w:rsidRPr="00C1087F" w:rsidRDefault="004135EA"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szCs w:val="24"/>
        </w:rPr>
      </w:pPr>
      <w:r w:rsidRPr="00C1087F">
        <w:rPr>
          <w:rFonts w:ascii="Arial" w:hAnsi="Arial" w:cs="Arial"/>
          <w:szCs w:val="24"/>
        </w:rPr>
        <w:t>Firstly,</w:t>
      </w:r>
      <w:r w:rsidR="006F3723" w:rsidRPr="00C1087F">
        <w:rPr>
          <w:rFonts w:ascii="Arial" w:hAnsi="Arial" w:cs="Arial"/>
          <w:szCs w:val="24"/>
        </w:rPr>
        <w:t xml:space="preserve"> it require</w:t>
      </w:r>
      <w:r w:rsidR="005B4986" w:rsidRPr="00C1087F">
        <w:rPr>
          <w:rFonts w:ascii="Arial" w:hAnsi="Arial" w:cs="Arial"/>
          <w:szCs w:val="24"/>
        </w:rPr>
        <w:t>s</w:t>
      </w:r>
      <w:r w:rsidR="006F3723" w:rsidRPr="00C1087F">
        <w:rPr>
          <w:rFonts w:ascii="Arial" w:hAnsi="Arial" w:cs="Arial"/>
          <w:szCs w:val="24"/>
        </w:rPr>
        <w:t xml:space="preserve"> the FTT to </w:t>
      </w:r>
      <w:r w:rsidR="008D3A6E" w:rsidRPr="00C1087F">
        <w:rPr>
          <w:rFonts w:ascii="Arial" w:hAnsi="Arial" w:cs="Arial"/>
          <w:szCs w:val="24"/>
        </w:rPr>
        <w:t>assume the role of re</w:t>
      </w:r>
      <w:r w:rsidR="00630371" w:rsidRPr="00C1087F">
        <w:rPr>
          <w:rFonts w:ascii="Arial" w:hAnsi="Arial" w:cs="Arial"/>
          <w:szCs w:val="24"/>
        </w:rPr>
        <w:t>gulator.</w:t>
      </w:r>
      <w:r w:rsidR="00394EAE" w:rsidRPr="00C1087F">
        <w:rPr>
          <w:rFonts w:ascii="Arial" w:hAnsi="Arial" w:cs="Arial"/>
          <w:szCs w:val="24"/>
        </w:rPr>
        <w:t xml:space="preserve"> </w:t>
      </w:r>
      <w:r w:rsidR="00007A57" w:rsidRPr="00C1087F">
        <w:rPr>
          <w:rFonts w:ascii="Arial" w:hAnsi="Arial" w:cs="Arial"/>
          <w:szCs w:val="24"/>
        </w:rPr>
        <w:t>I</w:t>
      </w:r>
      <w:r w:rsidR="00394EAE" w:rsidRPr="00C1087F">
        <w:rPr>
          <w:rFonts w:ascii="Arial" w:hAnsi="Arial" w:cs="Arial"/>
          <w:szCs w:val="24"/>
        </w:rPr>
        <w:t xml:space="preserve">n the Appellant’s </w:t>
      </w:r>
      <w:r w:rsidR="00007A57" w:rsidRPr="00C1087F">
        <w:rPr>
          <w:rFonts w:ascii="Arial" w:hAnsi="Arial" w:cs="Arial"/>
          <w:szCs w:val="24"/>
        </w:rPr>
        <w:t>appeal, for example,</w:t>
      </w:r>
      <w:r w:rsidR="00394EAE" w:rsidRPr="00C1087F">
        <w:rPr>
          <w:rFonts w:ascii="Arial" w:hAnsi="Arial" w:cs="Arial"/>
          <w:szCs w:val="24"/>
        </w:rPr>
        <w:t xml:space="preserve"> the</w:t>
      </w:r>
      <w:r w:rsidR="00B17135" w:rsidRPr="00C1087F">
        <w:rPr>
          <w:rFonts w:ascii="Arial" w:hAnsi="Arial" w:cs="Arial"/>
          <w:szCs w:val="24"/>
        </w:rPr>
        <w:t xml:space="preserve"> </w:t>
      </w:r>
      <w:r w:rsidR="0032282D" w:rsidRPr="00C1087F">
        <w:rPr>
          <w:rFonts w:ascii="Arial" w:hAnsi="Arial" w:cs="Arial"/>
          <w:szCs w:val="24"/>
        </w:rPr>
        <w:t>FTT</w:t>
      </w:r>
      <w:r w:rsidR="00394EAE" w:rsidRPr="00C1087F">
        <w:rPr>
          <w:rFonts w:ascii="Arial" w:hAnsi="Arial" w:cs="Arial"/>
          <w:szCs w:val="24"/>
        </w:rPr>
        <w:t xml:space="preserve"> would </w:t>
      </w:r>
      <w:r w:rsidR="00E27FF5" w:rsidRPr="00C1087F">
        <w:rPr>
          <w:rFonts w:ascii="Arial" w:hAnsi="Arial" w:cs="Arial"/>
          <w:szCs w:val="24"/>
        </w:rPr>
        <w:t xml:space="preserve">have </w:t>
      </w:r>
      <w:r w:rsidR="008E5D0A" w:rsidRPr="00C1087F">
        <w:rPr>
          <w:rFonts w:ascii="Arial" w:hAnsi="Arial" w:cs="Arial"/>
          <w:szCs w:val="24"/>
        </w:rPr>
        <w:t xml:space="preserve">to determine both whether the Commissioner’s decision notice is in </w:t>
      </w:r>
      <w:r w:rsidR="00F423B5" w:rsidRPr="00C1087F">
        <w:rPr>
          <w:rFonts w:ascii="Arial" w:hAnsi="Arial" w:cs="Arial"/>
          <w:szCs w:val="24"/>
        </w:rPr>
        <w:t>accordance with the law</w:t>
      </w:r>
      <w:r w:rsidR="008E5D0A" w:rsidRPr="00C1087F">
        <w:rPr>
          <w:rFonts w:ascii="Arial" w:hAnsi="Arial" w:cs="Arial"/>
          <w:szCs w:val="24"/>
        </w:rPr>
        <w:t xml:space="preserve"> and</w:t>
      </w:r>
      <w:r w:rsidR="00CD3E9B" w:rsidRPr="00C1087F">
        <w:rPr>
          <w:rFonts w:ascii="Arial" w:hAnsi="Arial" w:cs="Arial"/>
          <w:szCs w:val="24"/>
        </w:rPr>
        <w:t xml:space="preserve">, without a prior decision against which an appeal has been brought, </w:t>
      </w:r>
      <w:r w:rsidR="00394EAE" w:rsidRPr="00C1087F">
        <w:rPr>
          <w:rFonts w:ascii="Arial" w:hAnsi="Arial" w:cs="Arial"/>
          <w:szCs w:val="24"/>
        </w:rPr>
        <w:t>whether the ICO</w:t>
      </w:r>
      <w:r w:rsidR="00DC3871" w:rsidRPr="00C1087F">
        <w:rPr>
          <w:rFonts w:ascii="Arial" w:hAnsi="Arial" w:cs="Arial"/>
          <w:szCs w:val="24"/>
        </w:rPr>
        <w:t xml:space="preserve">’s </w:t>
      </w:r>
      <w:r w:rsidR="00E27FF5" w:rsidRPr="00C1087F">
        <w:rPr>
          <w:rFonts w:ascii="Arial" w:hAnsi="Arial" w:cs="Arial"/>
          <w:szCs w:val="24"/>
        </w:rPr>
        <w:t xml:space="preserve">subsequent substantive </w:t>
      </w:r>
      <w:r w:rsidR="00DC3871" w:rsidRPr="00C1087F">
        <w:rPr>
          <w:rFonts w:ascii="Arial" w:hAnsi="Arial" w:cs="Arial"/>
          <w:szCs w:val="24"/>
        </w:rPr>
        <w:t>response</w:t>
      </w:r>
      <w:r w:rsidR="00A520FA" w:rsidRPr="00C1087F">
        <w:rPr>
          <w:rFonts w:ascii="Arial" w:hAnsi="Arial" w:cs="Arial"/>
          <w:szCs w:val="24"/>
        </w:rPr>
        <w:t>s</w:t>
      </w:r>
      <w:r w:rsidR="00DC3871" w:rsidRPr="00C1087F">
        <w:rPr>
          <w:rFonts w:ascii="Arial" w:hAnsi="Arial" w:cs="Arial"/>
          <w:szCs w:val="24"/>
        </w:rPr>
        <w:t xml:space="preserve"> to </w:t>
      </w:r>
      <w:r w:rsidR="00AD70AF" w:rsidRPr="00C1087F">
        <w:rPr>
          <w:rFonts w:ascii="Arial" w:hAnsi="Arial" w:cs="Arial"/>
          <w:szCs w:val="24"/>
        </w:rPr>
        <w:t xml:space="preserve">the Appellant’s </w:t>
      </w:r>
      <w:r w:rsidR="00C850B6" w:rsidRPr="00C1087F">
        <w:rPr>
          <w:rFonts w:ascii="Arial" w:hAnsi="Arial" w:cs="Arial"/>
          <w:szCs w:val="24"/>
        </w:rPr>
        <w:t xml:space="preserve">previously unanswered </w:t>
      </w:r>
      <w:r w:rsidR="00DC3871" w:rsidRPr="00C1087F">
        <w:rPr>
          <w:rFonts w:ascii="Arial" w:hAnsi="Arial" w:cs="Arial"/>
          <w:szCs w:val="24"/>
        </w:rPr>
        <w:t xml:space="preserve">requests </w:t>
      </w:r>
      <w:r w:rsidR="00A520FA" w:rsidRPr="00C1087F">
        <w:rPr>
          <w:rFonts w:ascii="Arial" w:hAnsi="Arial" w:cs="Arial"/>
          <w:szCs w:val="24"/>
        </w:rPr>
        <w:t xml:space="preserve">were </w:t>
      </w:r>
      <w:r w:rsidR="00DC3871" w:rsidRPr="00C1087F">
        <w:rPr>
          <w:rFonts w:ascii="Arial" w:hAnsi="Arial" w:cs="Arial"/>
          <w:szCs w:val="24"/>
        </w:rPr>
        <w:t>in accordance with Part</w:t>
      </w:r>
      <w:r w:rsidR="00A401F2" w:rsidRPr="00C1087F">
        <w:rPr>
          <w:rFonts w:ascii="Arial" w:hAnsi="Arial" w:cs="Arial"/>
          <w:szCs w:val="24"/>
        </w:rPr>
        <w:t xml:space="preserve"> I</w:t>
      </w:r>
      <w:r w:rsidR="003C5285" w:rsidRPr="00C1087F">
        <w:rPr>
          <w:rFonts w:ascii="Arial" w:hAnsi="Arial" w:cs="Arial"/>
          <w:szCs w:val="24"/>
        </w:rPr>
        <w:t xml:space="preserve"> FOIA</w:t>
      </w:r>
      <w:r w:rsidR="00A401F2" w:rsidRPr="00C1087F">
        <w:rPr>
          <w:rFonts w:ascii="Arial" w:hAnsi="Arial" w:cs="Arial"/>
          <w:szCs w:val="24"/>
        </w:rPr>
        <w:t>. The</w:t>
      </w:r>
      <w:r w:rsidR="0063512C" w:rsidRPr="00C1087F">
        <w:rPr>
          <w:rFonts w:ascii="Arial" w:hAnsi="Arial" w:cs="Arial"/>
          <w:szCs w:val="24"/>
        </w:rPr>
        <w:t xml:space="preserve">re is no </w:t>
      </w:r>
      <w:r w:rsidR="00B17135" w:rsidRPr="00C1087F">
        <w:rPr>
          <w:rFonts w:ascii="Arial" w:hAnsi="Arial" w:cs="Arial"/>
          <w:szCs w:val="24"/>
        </w:rPr>
        <w:t xml:space="preserve">support </w:t>
      </w:r>
      <w:r w:rsidR="00C1586A" w:rsidRPr="00C1087F">
        <w:rPr>
          <w:rFonts w:ascii="Arial" w:hAnsi="Arial" w:cs="Arial"/>
          <w:szCs w:val="24"/>
        </w:rPr>
        <w:t xml:space="preserve">in </w:t>
      </w:r>
      <w:r w:rsidR="00D74BC8" w:rsidRPr="00C1087F">
        <w:rPr>
          <w:rFonts w:ascii="Arial" w:hAnsi="Arial" w:cs="Arial"/>
          <w:szCs w:val="24"/>
        </w:rPr>
        <w:t xml:space="preserve">the language of </w:t>
      </w:r>
      <w:r w:rsidR="00C1586A" w:rsidRPr="00C1087F">
        <w:rPr>
          <w:rFonts w:ascii="Arial" w:hAnsi="Arial" w:cs="Arial"/>
          <w:szCs w:val="24"/>
        </w:rPr>
        <w:t xml:space="preserve">FOIA or </w:t>
      </w:r>
      <w:r w:rsidR="00C850B6" w:rsidRPr="00C1087F">
        <w:rPr>
          <w:rFonts w:ascii="Arial" w:hAnsi="Arial" w:cs="Arial"/>
          <w:szCs w:val="24"/>
        </w:rPr>
        <w:t xml:space="preserve">in </w:t>
      </w:r>
      <w:r w:rsidR="00C1586A" w:rsidRPr="00C1087F">
        <w:rPr>
          <w:rFonts w:ascii="Arial" w:hAnsi="Arial" w:cs="Arial"/>
          <w:szCs w:val="24"/>
        </w:rPr>
        <w:t>the Tribunal</w:t>
      </w:r>
      <w:r w:rsidR="00934A5F">
        <w:rPr>
          <w:rFonts w:ascii="Arial" w:hAnsi="Arial" w:cs="Arial"/>
          <w:szCs w:val="24"/>
        </w:rPr>
        <w:t>s,</w:t>
      </w:r>
      <w:r w:rsidR="00C1586A" w:rsidRPr="00C1087F">
        <w:rPr>
          <w:rFonts w:ascii="Arial" w:hAnsi="Arial" w:cs="Arial"/>
          <w:szCs w:val="24"/>
        </w:rPr>
        <w:t xml:space="preserve"> Courts and Enforcement Act </w:t>
      </w:r>
      <w:r w:rsidR="00D06233" w:rsidRPr="00C1087F">
        <w:rPr>
          <w:rFonts w:ascii="Arial" w:hAnsi="Arial" w:cs="Arial"/>
          <w:szCs w:val="24"/>
        </w:rPr>
        <w:t xml:space="preserve">2007 </w:t>
      </w:r>
      <w:r w:rsidR="00A77DCD" w:rsidRPr="00C1087F">
        <w:rPr>
          <w:rFonts w:ascii="Arial" w:hAnsi="Arial" w:cs="Arial"/>
          <w:szCs w:val="24"/>
        </w:rPr>
        <w:t xml:space="preserve">for </w:t>
      </w:r>
      <w:r w:rsidR="0087063F" w:rsidRPr="00C1087F">
        <w:rPr>
          <w:rFonts w:ascii="Arial" w:hAnsi="Arial" w:cs="Arial"/>
          <w:szCs w:val="24"/>
        </w:rPr>
        <w:t xml:space="preserve">such </w:t>
      </w:r>
      <w:r w:rsidR="00C4101B" w:rsidRPr="00C1087F">
        <w:rPr>
          <w:rFonts w:ascii="Arial" w:hAnsi="Arial" w:cs="Arial"/>
          <w:szCs w:val="24"/>
        </w:rPr>
        <w:t xml:space="preserve">a </w:t>
      </w:r>
      <w:r w:rsidR="00A77DCD" w:rsidRPr="00C1087F">
        <w:rPr>
          <w:rFonts w:ascii="Arial" w:hAnsi="Arial" w:cs="Arial"/>
          <w:szCs w:val="24"/>
        </w:rPr>
        <w:t>proposition</w:t>
      </w:r>
      <w:r w:rsidR="008F4AA1" w:rsidRPr="00C1087F">
        <w:rPr>
          <w:rFonts w:ascii="Arial" w:hAnsi="Arial" w:cs="Arial"/>
          <w:szCs w:val="24"/>
        </w:rPr>
        <w:t>. The FTT</w:t>
      </w:r>
      <w:r w:rsidR="00631EE4" w:rsidRPr="00C1087F">
        <w:rPr>
          <w:rFonts w:ascii="Arial" w:hAnsi="Arial" w:cs="Arial"/>
          <w:szCs w:val="24"/>
        </w:rPr>
        <w:t>’s</w:t>
      </w:r>
      <w:r w:rsidR="008F4AA1" w:rsidRPr="00C1087F">
        <w:rPr>
          <w:rFonts w:ascii="Arial" w:hAnsi="Arial" w:cs="Arial"/>
          <w:szCs w:val="24"/>
        </w:rPr>
        <w:t xml:space="preserve"> jurisdiction </w:t>
      </w:r>
      <w:r w:rsidR="00A32504" w:rsidRPr="00C1087F">
        <w:rPr>
          <w:rFonts w:ascii="Arial" w:hAnsi="Arial" w:cs="Arial"/>
          <w:szCs w:val="24"/>
        </w:rPr>
        <w:t xml:space="preserve">under </w:t>
      </w:r>
      <w:r w:rsidR="00412AE5" w:rsidRPr="00C1087F">
        <w:rPr>
          <w:rFonts w:ascii="Arial" w:hAnsi="Arial" w:cs="Arial"/>
          <w:szCs w:val="24"/>
        </w:rPr>
        <w:t xml:space="preserve">s.57 </w:t>
      </w:r>
      <w:r w:rsidR="00631EE4" w:rsidRPr="00C1087F">
        <w:rPr>
          <w:rFonts w:ascii="Arial" w:hAnsi="Arial" w:cs="Arial"/>
          <w:szCs w:val="24"/>
        </w:rPr>
        <w:t xml:space="preserve">is </w:t>
      </w:r>
      <w:r w:rsidR="008F4AA1" w:rsidRPr="00C1087F">
        <w:rPr>
          <w:rFonts w:ascii="Arial" w:hAnsi="Arial" w:cs="Arial"/>
          <w:szCs w:val="24"/>
        </w:rPr>
        <w:t xml:space="preserve">to hear appeals against </w:t>
      </w:r>
      <w:r w:rsidR="003A28AA" w:rsidRPr="00C1087F">
        <w:rPr>
          <w:rFonts w:ascii="Arial" w:hAnsi="Arial" w:cs="Arial"/>
          <w:szCs w:val="24"/>
        </w:rPr>
        <w:t>first instance regulatory decision</w:t>
      </w:r>
      <w:r w:rsidR="00A32504" w:rsidRPr="00C1087F">
        <w:rPr>
          <w:rFonts w:ascii="Arial" w:hAnsi="Arial" w:cs="Arial"/>
          <w:szCs w:val="24"/>
        </w:rPr>
        <w:t>s</w:t>
      </w:r>
      <w:r w:rsidR="00254A63" w:rsidRPr="00C1087F">
        <w:rPr>
          <w:rFonts w:ascii="Arial" w:hAnsi="Arial" w:cs="Arial"/>
          <w:szCs w:val="24"/>
        </w:rPr>
        <w:t>.</w:t>
      </w:r>
      <w:r w:rsidR="007E67B3" w:rsidRPr="00C1087F">
        <w:rPr>
          <w:rFonts w:ascii="Arial" w:hAnsi="Arial" w:cs="Arial"/>
          <w:szCs w:val="24"/>
        </w:rPr>
        <w:t xml:space="preserve"> It </w:t>
      </w:r>
      <w:r w:rsidR="00D75E5E" w:rsidRPr="00C1087F">
        <w:rPr>
          <w:rFonts w:ascii="Arial" w:hAnsi="Arial" w:cs="Arial"/>
          <w:szCs w:val="24"/>
        </w:rPr>
        <w:t>considers the</w:t>
      </w:r>
      <w:r w:rsidR="00141CF7" w:rsidRPr="00C1087F">
        <w:rPr>
          <w:rFonts w:ascii="Arial" w:hAnsi="Arial" w:cs="Arial"/>
          <w:szCs w:val="24"/>
        </w:rPr>
        <w:t xml:space="preserve"> regulator’s decision </w:t>
      </w:r>
      <w:r w:rsidR="00D75E5E" w:rsidRPr="00C1087F">
        <w:rPr>
          <w:rFonts w:ascii="Arial" w:hAnsi="Arial" w:cs="Arial"/>
          <w:szCs w:val="24"/>
        </w:rPr>
        <w:t>afresh</w:t>
      </w:r>
      <w:r w:rsidR="00CF1E7B" w:rsidRPr="00C1087F">
        <w:rPr>
          <w:rFonts w:ascii="Arial" w:hAnsi="Arial" w:cs="Arial"/>
          <w:szCs w:val="24"/>
        </w:rPr>
        <w:t xml:space="preserve"> and </w:t>
      </w:r>
      <w:r w:rsidR="008538D9" w:rsidRPr="00C1087F">
        <w:rPr>
          <w:rFonts w:ascii="Arial" w:hAnsi="Arial" w:cs="Arial"/>
          <w:szCs w:val="24"/>
        </w:rPr>
        <w:t xml:space="preserve">is empowered by s.58(1) to </w:t>
      </w:r>
      <w:r w:rsidR="006E5ACF" w:rsidRPr="00C1087F">
        <w:rPr>
          <w:rFonts w:ascii="Arial" w:hAnsi="Arial" w:cs="Arial"/>
          <w:szCs w:val="24"/>
        </w:rPr>
        <w:t xml:space="preserve">serve any notice </w:t>
      </w:r>
      <w:r w:rsidR="00CF1E7B" w:rsidRPr="00C1087F">
        <w:rPr>
          <w:rFonts w:ascii="Arial" w:hAnsi="Arial" w:cs="Arial"/>
          <w:szCs w:val="24"/>
        </w:rPr>
        <w:t xml:space="preserve">that the </w:t>
      </w:r>
      <w:r w:rsidR="006E5ACF" w:rsidRPr="00C1087F">
        <w:rPr>
          <w:rFonts w:ascii="Arial" w:hAnsi="Arial" w:cs="Arial"/>
          <w:szCs w:val="24"/>
        </w:rPr>
        <w:t xml:space="preserve">regulator </w:t>
      </w:r>
      <w:r w:rsidR="006E5ACF" w:rsidRPr="00C1087F">
        <w:rPr>
          <w:rFonts w:ascii="Arial" w:hAnsi="Arial" w:cs="Arial"/>
          <w:b/>
          <w:bCs/>
          <w:szCs w:val="24"/>
        </w:rPr>
        <w:t>could have</w:t>
      </w:r>
      <w:r w:rsidR="006E5ACF" w:rsidRPr="00C1087F">
        <w:rPr>
          <w:rFonts w:ascii="Arial" w:hAnsi="Arial" w:cs="Arial"/>
          <w:szCs w:val="24"/>
        </w:rPr>
        <w:t xml:space="preserve"> served</w:t>
      </w:r>
      <w:r w:rsidR="00D440ED" w:rsidRPr="00C1087F">
        <w:rPr>
          <w:rFonts w:ascii="Arial" w:hAnsi="Arial" w:cs="Arial"/>
          <w:szCs w:val="24"/>
        </w:rPr>
        <w:t xml:space="preserve"> </w:t>
      </w:r>
      <w:r w:rsidR="00257171" w:rsidRPr="00C1087F">
        <w:rPr>
          <w:rFonts w:ascii="Arial" w:hAnsi="Arial" w:cs="Arial"/>
          <w:szCs w:val="24"/>
        </w:rPr>
        <w:t>at the time of the decision notice</w:t>
      </w:r>
      <w:r w:rsidR="00A318D6" w:rsidRPr="00C1087F">
        <w:rPr>
          <w:rFonts w:ascii="Arial" w:hAnsi="Arial" w:cs="Arial"/>
          <w:szCs w:val="24"/>
        </w:rPr>
        <w:t>.</w:t>
      </w:r>
      <w:r w:rsidR="00CF1E7B" w:rsidRPr="00C1087F">
        <w:rPr>
          <w:rFonts w:ascii="Arial" w:hAnsi="Arial" w:cs="Arial"/>
          <w:szCs w:val="24"/>
        </w:rPr>
        <w:t xml:space="preserve"> </w:t>
      </w:r>
    </w:p>
    <w:p w14:paraId="5BD90224" w14:textId="372B9C92" w:rsidR="00B57E1D" w:rsidRPr="00C1087F" w:rsidRDefault="00117B1D"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szCs w:val="24"/>
        </w:rPr>
      </w:pPr>
      <w:r w:rsidRPr="00C1087F">
        <w:rPr>
          <w:rFonts w:ascii="Arial" w:hAnsi="Arial" w:cs="Arial"/>
          <w:szCs w:val="24"/>
        </w:rPr>
        <w:t xml:space="preserve">Put another way, the </w:t>
      </w:r>
      <w:r w:rsidR="00001B37" w:rsidRPr="00C1087F">
        <w:rPr>
          <w:rFonts w:ascii="Arial" w:hAnsi="Arial" w:cs="Arial"/>
          <w:szCs w:val="24"/>
        </w:rPr>
        <w:t>hier</w:t>
      </w:r>
      <w:r w:rsidR="00062ED1" w:rsidRPr="00C1087F">
        <w:rPr>
          <w:rFonts w:ascii="Arial" w:hAnsi="Arial" w:cs="Arial"/>
          <w:szCs w:val="24"/>
        </w:rPr>
        <w:t xml:space="preserve">archy </w:t>
      </w:r>
      <w:r w:rsidR="00B54606" w:rsidRPr="00C1087F">
        <w:rPr>
          <w:rFonts w:ascii="Arial" w:hAnsi="Arial" w:cs="Arial"/>
          <w:szCs w:val="24"/>
        </w:rPr>
        <w:t xml:space="preserve">of decision making </w:t>
      </w:r>
      <w:r w:rsidR="008F58C0" w:rsidRPr="00C1087F">
        <w:rPr>
          <w:rFonts w:ascii="Arial" w:hAnsi="Arial" w:cs="Arial"/>
          <w:szCs w:val="24"/>
        </w:rPr>
        <w:t xml:space="preserve">in the context of </w:t>
      </w:r>
      <w:r w:rsidR="00450285" w:rsidRPr="00C1087F">
        <w:rPr>
          <w:rFonts w:ascii="Arial" w:hAnsi="Arial" w:cs="Arial"/>
          <w:szCs w:val="24"/>
        </w:rPr>
        <w:t xml:space="preserve">FOIA </w:t>
      </w:r>
      <w:r w:rsidR="00236ECF" w:rsidRPr="00C1087F">
        <w:rPr>
          <w:rFonts w:ascii="Arial" w:hAnsi="Arial" w:cs="Arial"/>
          <w:szCs w:val="24"/>
        </w:rPr>
        <w:t xml:space="preserve">requests </w:t>
      </w:r>
      <w:r w:rsidR="00B57E1D" w:rsidRPr="00C1087F">
        <w:rPr>
          <w:rFonts w:ascii="Arial" w:hAnsi="Arial" w:cs="Arial"/>
          <w:szCs w:val="24"/>
        </w:rPr>
        <w:t>is, reduced to simple terms:</w:t>
      </w:r>
    </w:p>
    <w:p w14:paraId="7EB3E66B" w14:textId="39652BD2" w:rsidR="004E5138" w:rsidRPr="00C1087F" w:rsidRDefault="007F6775" w:rsidP="0034757F">
      <w:pPr>
        <w:numPr>
          <w:ilvl w:val="1"/>
          <w:numId w:val="21"/>
        </w:numPr>
        <w:tabs>
          <w:tab w:val="left" w:pos="454"/>
          <w:tab w:val="left" w:pos="567"/>
          <w:tab w:val="left" w:pos="1134"/>
        </w:tabs>
        <w:spacing w:after="120" w:line="276" w:lineRule="auto"/>
        <w:ind w:left="1134" w:hanging="283"/>
        <w:jc w:val="both"/>
        <w:rPr>
          <w:rFonts w:ascii="Arial" w:hAnsi="Arial" w:cs="Arial"/>
          <w:szCs w:val="24"/>
        </w:rPr>
      </w:pPr>
      <w:r w:rsidRPr="00C1087F">
        <w:rPr>
          <w:rFonts w:ascii="Arial" w:hAnsi="Arial" w:cs="Arial"/>
          <w:szCs w:val="24"/>
        </w:rPr>
        <w:lastRenderedPageBreak/>
        <w:t xml:space="preserve">Following a </w:t>
      </w:r>
      <w:r w:rsidR="00E5705D" w:rsidRPr="00C1087F">
        <w:rPr>
          <w:rFonts w:ascii="Arial" w:hAnsi="Arial" w:cs="Arial"/>
          <w:szCs w:val="24"/>
        </w:rPr>
        <w:t xml:space="preserve">FOIA </w:t>
      </w:r>
      <w:r w:rsidRPr="00C1087F">
        <w:rPr>
          <w:rFonts w:ascii="Arial" w:hAnsi="Arial" w:cs="Arial"/>
          <w:szCs w:val="24"/>
        </w:rPr>
        <w:t>request</w:t>
      </w:r>
      <w:r w:rsidR="00E5705D" w:rsidRPr="00C1087F">
        <w:rPr>
          <w:rFonts w:ascii="Arial" w:hAnsi="Arial" w:cs="Arial"/>
          <w:szCs w:val="24"/>
        </w:rPr>
        <w:t xml:space="preserve">, </w:t>
      </w:r>
      <w:r w:rsidR="00E94BB2" w:rsidRPr="00C1087F">
        <w:rPr>
          <w:rFonts w:ascii="Arial" w:hAnsi="Arial" w:cs="Arial"/>
          <w:szCs w:val="24"/>
        </w:rPr>
        <w:t>t</w:t>
      </w:r>
      <w:r w:rsidR="00630489" w:rsidRPr="00C1087F">
        <w:rPr>
          <w:rFonts w:ascii="Arial" w:hAnsi="Arial" w:cs="Arial"/>
          <w:szCs w:val="24"/>
        </w:rPr>
        <w:t xml:space="preserve">he public authority decides </w:t>
      </w:r>
      <w:r w:rsidR="004E5138" w:rsidRPr="00C1087F">
        <w:rPr>
          <w:rFonts w:ascii="Arial" w:hAnsi="Arial" w:cs="Arial"/>
          <w:szCs w:val="24"/>
        </w:rPr>
        <w:t xml:space="preserve">how to respond </w:t>
      </w:r>
      <w:r w:rsidR="00D66BE2" w:rsidRPr="00C1087F">
        <w:rPr>
          <w:rFonts w:ascii="Arial" w:hAnsi="Arial" w:cs="Arial"/>
          <w:szCs w:val="24"/>
        </w:rPr>
        <w:t>in accordance with s.1(1)</w:t>
      </w:r>
      <w:r w:rsidR="004E5138" w:rsidRPr="00C1087F">
        <w:rPr>
          <w:rFonts w:ascii="Arial" w:hAnsi="Arial" w:cs="Arial"/>
          <w:szCs w:val="24"/>
        </w:rPr>
        <w:t>;</w:t>
      </w:r>
    </w:p>
    <w:p w14:paraId="4F8A0208" w14:textId="525B45D3" w:rsidR="003D1B21" w:rsidRPr="00C1087F" w:rsidRDefault="00E5705D" w:rsidP="0034757F">
      <w:pPr>
        <w:numPr>
          <w:ilvl w:val="1"/>
          <w:numId w:val="21"/>
        </w:numPr>
        <w:tabs>
          <w:tab w:val="left" w:pos="454"/>
          <w:tab w:val="left" w:pos="567"/>
          <w:tab w:val="left" w:pos="1134"/>
        </w:tabs>
        <w:spacing w:after="120" w:line="276" w:lineRule="auto"/>
        <w:ind w:left="1134" w:hanging="283"/>
        <w:jc w:val="both"/>
        <w:rPr>
          <w:rFonts w:ascii="Arial" w:hAnsi="Arial" w:cs="Arial"/>
          <w:szCs w:val="24"/>
        </w:rPr>
      </w:pPr>
      <w:r w:rsidRPr="00C1087F">
        <w:rPr>
          <w:rFonts w:ascii="Arial" w:hAnsi="Arial" w:cs="Arial"/>
          <w:szCs w:val="24"/>
        </w:rPr>
        <w:t>Following a complaint</w:t>
      </w:r>
      <w:r w:rsidR="00ED4412" w:rsidRPr="00C1087F">
        <w:rPr>
          <w:rFonts w:ascii="Arial" w:hAnsi="Arial" w:cs="Arial"/>
          <w:szCs w:val="24"/>
        </w:rPr>
        <w:t xml:space="preserve"> about the response</w:t>
      </w:r>
      <w:r w:rsidRPr="00C1087F">
        <w:rPr>
          <w:rFonts w:ascii="Arial" w:hAnsi="Arial" w:cs="Arial"/>
          <w:szCs w:val="24"/>
        </w:rPr>
        <w:t xml:space="preserve">, </w:t>
      </w:r>
      <w:r w:rsidR="00EB373C" w:rsidRPr="00C1087F">
        <w:rPr>
          <w:rFonts w:ascii="Arial" w:hAnsi="Arial" w:cs="Arial"/>
          <w:szCs w:val="24"/>
        </w:rPr>
        <w:t>t</w:t>
      </w:r>
      <w:r w:rsidR="006C033F" w:rsidRPr="00C1087F">
        <w:rPr>
          <w:rFonts w:ascii="Arial" w:hAnsi="Arial" w:cs="Arial"/>
          <w:szCs w:val="24"/>
        </w:rPr>
        <w:t>he Commissioner decides whether the public authority</w:t>
      </w:r>
      <w:r w:rsidR="00ED4412" w:rsidRPr="00C1087F">
        <w:rPr>
          <w:rFonts w:ascii="Arial" w:hAnsi="Arial" w:cs="Arial"/>
          <w:szCs w:val="24"/>
        </w:rPr>
        <w:t xml:space="preserve"> has acted </w:t>
      </w:r>
      <w:r w:rsidR="003D1B21" w:rsidRPr="00C1087F">
        <w:rPr>
          <w:rFonts w:ascii="Arial" w:hAnsi="Arial" w:cs="Arial"/>
          <w:szCs w:val="24"/>
        </w:rPr>
        <w:t xml:space="preserve">in accordance with </w:t>
      </w:r>
      <w:r w:rsidR="00EB2961" w:rsidRPr="00C1087F">
        <w:rPr>
          <w:rFonts w:ascii="Arial" w:hAnsi="Arial" w:cs="Arial"/>
          <w:szCs w:val="24"/>
        </w:rPr>
        <w:t>Part I</w:t>
      </w:r>
      <w:r w:rsidR="00ED4412" w:rsidRPr="00C1087F">
        <w:rPr>
          <w:rFonts w:ascii="Arial" w:hAnsi="Arial" w:cs="Arial"/>
          <w:szCs w:val="24"/>
        </w:rPr>
        <w:t xml:space="preserve"> FOIA</w:t>
      </w:r>
      <w:r w:rsidR="003D1B21" w:rsidRPr="00C1087F">
        <w:rPr>
          <w:rFonts w:ascii="Arial" w:hAnsi="Arial" w:cs="Arial"/>
          <w:szCs w:val="24"/>
        </w:rPr>
        <w:t>; and</w:t>
      </w:r>
    </w:p>
    <w:p w14:paraId="497C7F65" w14:textId="6382E9CD" w:rsidR="00965227" w:rsidRPr="00C1087F" w:rsidRDefault="00E5705D" w:rsidP="0034757F">
      <w:pPr>
        <w:numPr>
          <w:ilvl w:val="1"/>
          <w:numId w:val="21"/>
        </w:numPr>
        <w:tabs>
          <w:tab w:val="left" w:pos="454"/>
          <w:tab w:val="left" w:pos="567"/>
          <w:tab w:val="left" w:pos="1134"/>
          <w:tab w:val="left" w:pos="1276"/>
        </w:tabs>
        <w:spacing w:after="120" w:line="276" w:lineRule="auto"/>
        <w:ind w:left="1134" w:hanging="283"/>
        <w:jc w:val="both"/>
        <w:rPr>
          <w:rFonts w:ascii="Arial" w:hAnsi="Arial" w:cs="Arial"/>
          <w:szCs w:val="24"/>
        </w:rPr>
      </w:pPr>
      <w:r w:rsidRPr="00C1087F">
        <w:rPr>
          <w:rFonts w:ascii="Arial" w:hAnsi="Arial" w:cs="Arial"/>
          <w:szCs w:val="24"/>
        </w:rPr>
        <w:t xml:space="preserve">Following an appeal </w:t>
      </w:r>
      <w:r w:rsidR="00ED4412" w:rsidRPr="00C1087F">
        <w:rPr>
          <w:rFonts w:ascii="Arial" w:hAnsi="Arial" w:cs="Arial"/>
          <w:szCs w:val="24"/>
        </w:rPr>
        <w:t>against the Commissioner’s decision notice,</w:t>
      </w:r>
      <w:r w:rsidR="00122778" w:rsidRPr="00C1087F">
        <w:rPr>
          <w:rFonts w:ascii="Arial" w:hAnsi="Arial" w:cs="Arial"/>
          <w:szCs w:val="24"/>
        </w:rPr>
        <w:t xml:space="preserve"> </w:t>
      </w:r>
      <w:r w:rsidR="00965227" w:rsidRPr="00C1087F">
        <w:rPr>
          <w:rFonts w:ascii="Arial" w:hAnsi="Arial" w:cs="Arial"/>
          <w:szCs w:val="24"/>
        </w:rPr>
        <w:t xml:space="preserve">the </w:t>
      </w:r>
      <w:r w:rsidR="00A87FA7" w:rsidRPr="00C1087F">
        <w:rPr>
          <w:rFonts w:ascii="Arial" w:hAnsi="Arial" w:cs="Arial"/>
          <w:szCs w:val="24"/>
        </w:rPr>
        <w:t xml:space="preserve">FTT decides whether the </w:t>
      </w:r>
      <w:r w:rsidR="004B7F0B" w:rsidRPr="00C1087F">
        <w:rPr>
          <w:rFonts w:ascii="Arial" w:hAnsi="Arial" w:cs="Arial"/>
          <w:szCs w:val="24"/>
        </w:rPr>
        <w:t xml:space="preserve">notice </w:t>
      </w:r>
      <w:r w:rsidR="0037199E" w:rsidRPr="00C1087F">
        <w:rPr>
          <w:rFonts w:ascii="Arial" w:hAnsi="Arial" w:cs="Arial"/>
          <w:szCs w:val="24"/>
        </w:rPr>
        <w:t>is</w:t>
      </w:r>
      <w:r w:rsidR="003A5F9A" w:rsidRPr="00C1087F">
        <w:rPr>
          <w:rFonts w:ascii="Arial" w:hAnsi="Arial" w:cs="Arial"/>
          <w:szCs w:val="24"/>
        </w:rPr>
        <w:t xml:space="preserve"> in</w:t>
      </w:r>
      <w:r w:rsidR="00965227" w:rsidRPr="00C1087F">
        <w:rPr>
          <w:rFonts w:ascii="Arial" w:hAnsi="Arial" w:cs="Arial"/>
          <w:szCs w:val="24"/>
        </w:rPr>
        <w:t xml:space="preserve"> accordance with the law.</w:t>
      </w:r>
    </w:p>
    <w:p w14:paraId="5A872C24" w14:textId="60E79B8C" w:rsidR="006237FD" w:rsidRPr="00C1087F" w:rsidRDefault="008F58C0" w:rsidP="00DD7117">
      <w:pPr>
        <w:numPr>
          <w:ilvl w:val="0"/>
          <w:numId w:val="21"/>
        </w:numPr>
        <w:tabs>
          <w:tab w:val="left" w:pos="454"/>
          <w:tab w:val="left" w:pos="567"/>
          <w:tab w:val="left" w:pos="1134"/>
          <w:tab w:val="left" w:pos="1985"/>
        </w:tabs>
        <w:spacing w:after="120" w:line="276" w:lineRule="auto"/>
        <w:ind w:left="426" w:hanging="426"/>
        <w:jc w:val="both"/>
        <w:rPr>
          <w:rFonts w:ascii="Arial" w:hAnsi="Arial" w:cs="Arial"/>
          <w:szCs w:val="24"/>
        </w:rPr>
      </w:pPr>
      <w:r w:rsidRPr="00C1087F">
        <w:rPr>
          <w:rFonts w:ascii="Arial" w:hAnsi="Arial" w:cs="Arial"/>
          <w:szCs w:val="24"/>
        </w:rPr>
        <w:t xml:space="preserve">The Appellant’s </w:t>
      </w:r>
      <w:r w:rsidR="00EF4F21" w:rsidRPr="00C1087F">
        <w:rPr>
          <w:rFonts w:ascii="Arial" w:hAnsi="Arial" w:cs="Arial"/>
          <w:szCs w:val="24"/>
        </w:rPr>
        <w:t xml:space="preserve">proposition </w:t>
      </w:r>
      <w:r w:rsidR="004C095B" w:rsidRPr="00C1087F">
        <w:rPr>
          <w:rFonts w:ascii="Arial" w:hAnsi="Arial" w:cs="Arial"/>
          <w:szCs w:val="24"/>
        </w:rPr>
        <w:t xml:space="preserve">appears to be </w:t>
      </w:r>
      <w:r w:rsidR="00E87374" w:rsidRPr="00C1087F">
        <w:rPr>
          <w:rFonts w:ascii="Arial" w:hAnsi="Arial" w:cs="Arial"/>
          <w:szCs w:val="24"/>
        </w:rPr>
        <w:t xml:space="preserve">that, </w:t>
      </w:r>
      <w:r w:rsidR="00BD77C1" w:rsidRPr="00C1087F">
        <w:rPr>
          <w:rFonts w:ascii="Arial" w:hAnsi="Arial" w:cs="Arial"/>
          <w:szCs w:val="24"/>
        </w:rPr>
        <w:t xml:space="preserve">during stage (c), </w:t>
      </w:r>
      <w:r w:rsidR="0055300C" w:rsidRPr="00C1087F">
        <w:rPr>
          <w:rFonts w:ascii="Arial" w:hAnsi="Arial" w:cs="Arial"/>
          <w:szCs w:val="24"/>
        </w:rPr>
        <w:t>the FTT can make a</w:t>
      </w:r>
      <w:r w:rsidR="00934A5F">
        <w:rPr>
          <w:rFonts w:ascii="Arial" w:hAnsi="Arial" w:cs="Arial"/>
          <w:szCs w:val="24"/>
        </w:rPr>
        <w:t>n</w:t>
      </w:r>
      <w:r w:rsidR="004C095B" w:rsidRPr="00C1087F">
        <w:rPr>
          <w:rFonts w:ascii="Arial" w:hAnsi="Arial" w:cs="Arial"/>
          <w:szCs w:val="24"/>
        </w:rPr>
        <w:t>y</w:t>
      </w:r>
      <w:r w:rsidR="0055300C" w:rsidRPr="00C1087F">
        <w:rPr>
          <w:rFonts w:ascii="Arial" w:hAnsi="Arial" w:cs="Arial"/>
          <w:szCs w:val="24"/>
        </w:rPr>
        <w:t xml:space="preserve"> decision </w:t>
      </w:r>
      <w:r w:rsidR="004C095B" w:rsidRPr="00C1087F">
        <w:rPr>
          <w:rFonts w:ascii="Arial" w:hAnsi="Arial" w:cs="Arial"/>
          <w:szCs w:val="24"/>
        </w:rPr>
        <w:t xml:space="preserve">that </w:t>
      </w:r>
      <w:r w:rsidR="00224AC2" w:rsidRPr="00C1087F">
        <w:rPr>
          <w:rFonts w:ascii="Arial" w:hAnsi="Arial" w:cs="Arial"/>
          <w:szCs w:val="24"/>
        </w:rPr>
        <w:t xml:space="preserve">the Commissioner could </w:t>
      </w:r>
      <w:r w:rsidR="008310BF" w:rsidRPr="00C1087F">
        <w:rPr>
          <w:rFonts w:ascii="Arial" w:hAnsi="Arial" w:cs="Arial"/>
          <w:szCs w:val="24"/>
        </w:rPr>
        <w:t xml:space="preserve">at stage (b) – or, alternatively, </w:t>
      </w:r>
      <w:r w:rsidR="000410FA" w:rsidRPr="00C1087F">
        <w:rPr>
          <w:rFonts w:ascii="Arial" w:hAnsi="Arial" w:cs="Arial"/>
          <w:szCs w:val="24"/>
        </w:rPr>
        <w:t xml:space="preserve">that </w:t>
      </w:r>
      <w:r w:rsidR="008310BF" w:rsidRPr="00C1087F">
        <w:rPr>
          <w:rFonts w:ascii="Arial" w:hAnsi="Arial" w:cs="Arial"/>
          <w:szCs w:val="24"/>
        </w:rPr>
        <w:t xml:space="preserve">stage (b) can be bypassed </w:t>
      </w:r>
      <w:r w:rsidR="000C5A8B" w:rsidRPr="00C1087F">
        <w:rPr>
          <w:rFonts w:ascii="Arial" w:hAnsi="Arial" w:cs="Arial"/>
          <w:szCs w:val="24"/>
        </w:rPr>
        <w:t>–</w:t>
      </w:r>
      <w:r w:rsidR="008310BF" w:rsidRPr="00C1087F">
        <w:rPr>
          <w:rFonts w:ascii="Arial" w:hAnsi="Arial" w:cs="Arial"/>
          <w:szCs w:val="24"/>
        </w:rPr>
        <w:t xml:space="preserve"> </w:t>
      </w:r>
      <w:r w:rsidR="000C5A8B" w:rsidRPr="00C1087F">
        <w:rPr>
          <w:rFonts w:ascii="Arial" w:hAnsi="Arial" w:cs="Arial"/>
          <w:szCs w:val="24"/>
        </w:rPr>
        <w:t xml:space="preserve">in relation to </w:t>
      </w:r>
      <w:r w:rsidR="00C63EA1" w:rsidRPr="00C1087F">
        <w:rPr>
          <w:rFonts w:ascii="Arial" w:hAnsi="Arial" w:cs="Arial"/>
          <w:szCs w:val="24"/>
        </w:rPr>
        <w:t xml:space="preserve">any subsequent </w:t>
      </w:r>
      <w:r w:rsidR="000C5A8B" w:rsidRPr="00C1087F">
        <w:rPr>
          <w:rFonts w:ascii="Arial" w:hAnsi="Arial" w:cs="Arial"/>
          <w:szCs w:val="24"/>
        </w:rPr>
        <w:t xml:space="preserve">responses </w:t>
      </w:r>
      <w:r w:rsidR="00AD46CC" w:rsidRPr="00C1087F">
        <w:rPr>
          <w:rFonts w:ascii="Arial" w:hAnsi="Arial" w:cs="Arial"/>
          <w:szCs w:val="24"/>
        </w:rPr>
        <w:t>given at stage (a)</w:t>
      </w:r>
      <w:r w:rsidR="004C095B" w:rsidRPr="00C1087F">
        <w:rPr>
          <w:rFonts w:ascii="Arial" w:hAnsi="Arial" w:cs="Arial"/>
          <w:szCs w:val="24"/>
        </w:rPr>
        <w:t xml:space="preserve"> </w:t>
      </w:r>
      <w:r w:rsidR="00C63EA1" w:rsidRPr="00C1087F">
        <w:rPr>
          <w:rFonts w:ascii="Arial" w:hAnsi="Arial" w:cs="Arial"/>
          <w:szCs w:val="24"/>
        </w:rPr>
        <w:t xml:space="preserve">by the public authority </w:t>
      </w:r>
      <w:r w:rsidR="00A818A5">
        <w:rPr>
          <w:rFonts w:ascii="Arial" w:hAnsi="Arial" w:cs="Arial"/>
          <w:szCs w:val="24"/>
        </w:rPr>
        <w:t xml:space="preserve">generated by the same FOIA </w:t>
      </w:r>
      <w:r w:rsidR="006F6609" w:rsidRPr="00C1087F">
        <w:rPr>
          <w:rFonts w:ascii="Arial" w:hAnsi="Arial" w:cs="Arial"/>
          <w:szCs w:val="24"/>
        </w:rPr>
        <w:t>request. There is no support in</w:t>
      </w:r>
      <w:r w:rsidR="00EA779D" w:rsidRPr="00C1087F">
        <w:rPr>
          <w:rFonts w:ascii="Arial" w:hAnsi="Arial" w:cs="Arial"/>
          <w:szCs w:val="24"/>
        </w:rPr>
        <w:t xml:space="preserve"> </w:t>
      </w:r>
      <w:r w:rsidR="00A61248" w:rsidRPr="00C1087F">
        <w:rPr>
          <w:rFonts w:ascii="Arial" w:hAnsi="Arial" w:cs="Arial"/>
          <w:szCs w:val="24"/>
        </w:rPr>
        <w:t xml:space="preserve">either </w:t>
      </w:r>
      <w:r w:rsidR="00EA779D" w:rsidRPr="00C1087F">
        <w:rPr>
          <w:rFonts w:ascii="Arial" w:hAnsi="Arial" w:cs="Arial"/>
          <w:szCs w:val="24"/>
        </w:rPr>
        <w:t>FOIA or in case</w:t>
      </w:r>
      <w:r w:rsidR="00934A5F">
        <w:rPr>
          <w:rFonts w:ascii="Arial" w:hAnsi="Arial" w:cs="Arial"/>
          <w:szCs w:val="24"/>
        </w:rPr>
        <w:t xml:space="preserve"> </w:t>
      </w:r>
      <w:r w:rsidR="00EA779D" w:rsidRPr="00C1087F">
        <w:rPr>
          <w:rFonts w:ascii="Arial" w:hAnsi="Arial" w:cs="Arial"/>
          <w:szCs w:val="24"/>
        </w:rPr>
        <w:t>law</w:t>
      </w:r>
      <w:r w:rsidR="00A61248" w:rsidRPr="00C1087F">
        <w:rPr>
          <w:rFonts w:ascii="Arial" w:hAnsi="Arial" w:cs="Arial"/>
          <w:szCs w:val="24"/>
        </w:rPr>
        <w:t xml:space="preserve"> for such a view</w:t>
      </w:r>
      <w:r w:rsidR="006F6609" w:rsidRPr="00C1087F">
        <w:rPr>
          <w:rFonts w:ascii="Arial" w:hAnsi="Arial" w:cs="Arial"/>
          <w:szCs w:val="24"/>
        </w:rPr>
        <w:t>.</w:t>
      </w:r>
    </w:p>
    <w:p w14:paraId="372A5C17" w14:textId="6AB9A72F" w:rsidR="00DE71E3" w:rsidRPr="00C1087F" w:rsidRDefault="00802BC0" w:rsidP="00DD7117">
      <w:pPr>
        <w:numPr>
          <w:ilvl w:val="0"/>
          <w:numId w:val="21"/>
        </w:numPr>
        <w:tabs>
          <w:tab w:val="left" w:pos="454"/>
          <w:tab w:val="left" w:pos="567"/>
          <w:tab w:val="left" w:pos="1134"/>
          <w:tab w:val="left" w:pos="1985"/>
        </w:tabs>
        <w:spacing w:after="120" w:line="276" w:lineRule="auto"/>
        <w:ind w:left="426" w:hanging="426"/>
        <w:jc w:val="both"/>
        <w:rPr>
          <w:rFonts w:ascii="Arial" w:hAnsi="Arial" w:cs="Arial"/>
          <w:szCs w:val="24"/>
        </w:rPr>
      </w:pPr>
      <w:r w:rsidRPr="00C1087F">
        <w:rPr>
          <w:rFonts w:ascii="Arial" w:hAnsi="Arial" w:cs="Arial"/>
          <w:szCs w:val="24"/>
        </w:rPr>
        <w:t xml:space="preserve">Secondly, the FTT would have to </w:t>
      </w:r>
      <w:r w:rsidR="00EA779D" w:rsidRPr="00C1087F">
        <w:rPr>
          <w:rFonts w:ascii="Arial" w:hAnsi="Arial" w:cs="Arial"/>
          <w:szCs w:val="24"/>
        </w:rPr>
        <w:t xml:space="preserve">reach </w:t>
      </w:r>
      <w:r w:rsidR="0047039B" w:rsidRPr="00C1087F">
        <w:rPr>
          <w:rFonts w:ascii="Arial" w:hAnsi="Arial" w:cs="Arial"/>
          <w:szCs w:val="24"/>
        </w:rPr>
        <w:t xml:space="preserve">a </w:t>
      </w:r>
      <w:r w:rsidR="009015A9" w:rsidRPr="00C1087F">
        <w:rPr>
          <w:rFonts w:ascii="Arial" w:hAnsi="Arial" w:cs="Arial"/>
          <w:szCs w:val="24"/>
        </w:rPr>
        <w:t xml:space="preserve">decision about the </w:t>
      </w:r>
      <w:r w:rsidR="00E30895" w:rsidRPr="00C1087F">
        <w:rPr>
          <w:rFonts w:ascii="Arial" w:hAnsi="Arial" w:cs="Arial"/>
          <w:szCs w:val="24"/>
        </w:rPr>
        <w:t xml:space="preserve">public authority’s </w:t>
      </w:r>
      <w:r w:rsidR="0001321D" w:rsidRPr="00C1087F">
        <w:rPr>
          <w:rFonts w:ascii="Arial" w:hAnsi="Arial" w:cs="Arial"/>
          <w:szCs w:val="24"/>
        </w:rPr>
        <w:t>subsequent response</w:t>
      </w:r>
      <w:r w:rsidR="008724F2" w:rsidRPr="00C1087F">
        <w:rPr>
          <w:rFonts w:ascii="Arial" w:hAnsi="Arial" w:cs="Arial"/>
          <w:szCs w:val="24"/>
        </w:rPr>
        <w:t>s</w:t>
      </w:r>
      <w:r w:rsidR="0001321D" w:rsidRPr="00C1087F">
        <w:rPr>
          <w:rFonts w:ascii="Arial" w:hAnsi="Arial" w:cs="Arial"/>
          <w:szCs w:val="24"/>
        </w:rPr>
        <w:t xml:space="preserve"> </w:t>
      </w:r>
      <w:r w:rsidR="009015A9" w:rsidRPr="00C1087F">
        <w:rPr>
          <w:rFonts w:ascii="Arial" w:hAnsi="Arial" w:cs="Arial"/>
          <w:szCs w:val="24"/>
        </w:rPr>
        <w:t xml:space="preserve">without </w:t>
      </w:r>
      <w:r w:rsidR="00EF58F8" w:rsidRPr="00C1087F">
        <w:rPr>
          <w:rFonts w:ascii="Arial" w:hAnsi="Arial" w:cs="Arial"/>
          <w:szCs w:val="24"/>
        </w:rPr>
        <w:t xml:space="preserve">necessarily hearing </w:t>
      </w:r>
      <w:r w:rsidR="00AA760F" w:rsidRPr="00C1087F">
        <w:rPr>
          <w:rFonts w:ascii="Arial" w:hAnsi="Arial" w:cs="Arial"/>
          <w:szCs w:val="24"/>
        </w:rPr>
        <w:t xml:space="preserve">the </w:t>
      </w:r>
      <w:r w:rsidR="0037719B" w:rsidRPr="00C1087F">
        <w:rPr>
          <w:rFonts w:ascii="Arial" w:hAnsi="Arial" w:cs="Arial"/>
          <w:szCs w:val="24"/>
        </w:rPr>
        <w:t>public authority</w:t>
      </w:r>
      <w:r w:rsidR="00AA760F" w:rsidRPr="00C1087F">
        <w:rPr>
          <w:rFonts w:ascii="Arial" w:hAnsi="Arial" w:cs="Arial"/>
          <w:szCs w:val="24"/>
        </w:rPr>
        <w:t xml:space="preserve">’s </w:t>
      </w:r>
      <w:r w:rsidR="005F030E" w:rsidRPr="00C1087F">
        <w:rPr>
          <w:rFonts w:ascii="Arial" w:hAnsi="Arial" w:cs="Arial"/>
          <w:szCs w:val="24"/>
        </w:rPr>
        <w:t>explanation of events</w:t>
      </w:r>
      <w:r w:rsidR="00686583" w:rsidRPr="00C1087F">
        <w:rPr>
          <w:rFonts w:ascii="Arial" w:hAnsi="Arial" w:cs="Arial"/>
          <w:szCs w:val="24"/>
        </w:rPr>
        <w:t xml:space="preserve">. </w:t>
      </w:r>
      <w:r w:rsidR="008724F2" w:rsidRPr="00C1087F">
        <w:rPr>
          <w:rFonts w:ascii="Arial" w:hAnsi="Arial" w:cs="Arial"/>
          <w:szCs w:val="24"/>
        </w:rPr>
        <w:t xml:space="preserve">In addition to </w:t>
      </w:r>
      <w:r w:rsidR="00732CE4" w:rsidRPr="00C1087F">
        <w:rPr>
          <w:rFonts w:ascii="Arial" w:hAnsi="Arial" w:cs="Arial"/>
          <w:szCs w:val="24"/>
        </w:rPr>
        <w:t>the unfairness of such a process</w:t>
      </w:r>
      <w:r w:rsidR="008724F2" w:rsidRPr="00C1087F">
        <w:rPr>
          <w:rFonts w:ascii="Arial" w:hAnsi="Arial" w:cs="Arial"/>
          <w:szCs w:val="24"/>
        </w:rPr>
        <w:t xml:space="preserve">, </w:t>
      </w:r>
      <w:r w:rsidR="00732CE4" w:rsidRPr="00C1087F">
        <w:rPr>
          <w:rFonts w:ascii="Arial" w:hAnsi="Arial" w:cs="Arial"/>
          <w:szCs w:val="24"/>
        </w:rPr>
        <w:t xml:space="preserve">it would </w:t>
      </w:r>
      <w:r w:rsidR="003164CB" w:rsidRPr="00C1087F">
        <w:rPr>
          <w:rFonts w:ascii="Arial" w:hAnsi="Arial" w:cs="Arial"/>
          <w:szCs w:val="24"/>
        </w:rPr>
        <w:t xml:space="preserve">be in stark contrast to </w:t>
      </w:r>
      <w:r w:rsidR="00E27E36" w:rsidRPr="00C1087F">
        <w:rPr>
          <w:rFonts w:ascii="Arial" w:hAnsi="Arial" w:cs="Arial"/>
          <w:szCs w:val="24"/>
        </w:rPr>
        <w:t xml:space="preserve">the </w:t>
      </w:r>
      <w:r w:rsidR="004F627F" w:rsidRPr="00C1087F">
        <w:rPr>
          <w:rFonts w:ascii="Arial" w:hAnsi="Arial" w:cs="Arial"/>
          <w:szCs w:val="24"/>
        </w:rPr>
        <w:t>Commissioner</w:t>
      </w:r>
      <w:r w:rsidR="003164CB" w:rsidRPr="00C1087F">
        <w:rPr>
          <w:rFonts w:ascii="Arial" w:hAnsi="Arial" w:cs="Arial"/>
          <w:szCs w:val="24"/>
        </w:rPr>
        <w:t xml:space="preserve">’s investigation of a complaint, </w:t>
      </w:r>
      <w:r w:rsidR="0084348A" w:rsidRPr="00C1087F">
        <w:rPr>
          <w:rFonts w:ascii="Arial" w:hAnsi="Arial" w:cs="Arial"/>
          <w:szCs w:val="24"/>
        </w:rPr>
        <w:t>during which there is</w:t>
      </w:r>
      <w:r w:rsidR="00C874C3" w:rsidRPr="00C1087F">
        <w:rPr>
          <w:rFonts w:ascii="Arial" w:hAnsi="Arial" w:cs="Arial"/>
          <w:szCs w:val="24"/>
        </w:rPr>
        <w:t xml:space="preserve"> </w:t>
      </w:r>
      <w:r w:rsidR="006D502F" w:rsidRPr="00C1087F">
        <w:rPr>
          <w:rFonts w:ascii="Arial" w:hAnsi="Arial" w:cs="Arial"/>
          <w:szCs w:val="24"/>
        </w:rPr>
        <w:t xml:space="preserve">invariably </w:t>
      </w:r>
      <w:r w:rsidR="009E75D5" w:rsidRPr="00C1087F">
        <w:rPr>
          <w:rFonts w:ascii="Arial" w:hAnsi="Arial" w:cs="Arial"/>
          <w:szCs w:val="24"/>
        </w:rPr>
        <w:t xml:space="preserve">direct </w:t>
      </w:r>
      <w:r w:rsidR="00C64062" w:rsidRPr="00C1087F">
        <w:rPr>
          <w:rFonts w:ascii="Arial" w:hAnsi="Arial" w:cs="Arial"/>
          <w:szCs w:val="24"/>
        </w:rPr>
        <w:t>co</w:t>
      </w:r>
      <w:r w:rsidR="00F94DB9" w:rsidRPr="00C1087F">
        <w:rPr>
          <w:rFonts w:ascii="Arial" w:hAnsi="Arial" w:cs="Arial"/>
          <w:szCs w:val="24"/>
        </w:rPr>
        <w:t xml:space="preserve">rrespondence </w:t>
      </w:r>
      <w:r w:rsidR="009E75D5" w:rsidRPr="00C1087F">
        <w:rPr>
          <w:rFonts w:ascii="Arial" w:hAnsi="Arial" w:cs="Arial"/>
          <w:szCs w:val="24"/>
        </w:rPr>
        <w:t xml:space="preserve">between the Commissioner and </w:t>
      </w:r>
      <w:r w:rsidR="00090D4B" w:rsidRPr="00C1087F">
        <w:rPr>
          <w:rFonts w:ascii="Arial" w:hAnsi="Arial" w:cs="Arial"/>
          <w:szCs w:val="24"/>
        </w:rPr>
        <w:t>the public authority</w:t>
      </w:r>
      <w:r w:rsidR="00F94DB9" w:rsidRPr="00C1087F">
        <w:rPr>
          <w:rFonts w:ascii="Arial" w:hAnsi="Arial" w:cs="Arial"/>
          <w:szCs w:val="24"/>
        </w:rPr>
        <w:t xml:space="preserve"> before a decision notice is issued</w:t>
      </w:r>
      <w:r w:rsidR="007A00BE" w:rsidRPr="00C1087F">
        <w:rPr>
          <w:rFonts w:ascii="Arial" w:hAnsi="Arial" w:cs="Arial"/>
          <w:szCs w:val="24"/>
        </w:rPr>
        <w:t xml:space="preserve">. </w:t>
      </w:r>
      <w:r w:rsidR="004200C8" w:rsidRPr="00C1087F">
        <w:rPr>
          <w:rFonts w:ascii="Arial" w:hAnsi="Arial" w:cs="Arial"/>
          <w:szCs w:val="24"/>
        </w:rPr>
        <w:t xml:space="preserve">Moreover, the Commissioner </w:t>
      </w:r>
      <w:r w:rsidR="00A01CAA" w:rsidRPr="00C1087F">
        <w:rPr>
          <w:rFonts w:ascii="Arial" w:hAnsi="Arial" w:cs="Arial"/>
          <w:szCs w:val="24"/>
        </w:rPr>
        <w:t>is empowered t</w:t>
      </w:r>
      <w:r w:rsidR="001D5A96" w:rsidRPr="00C1087F">
        <w:rPr>
          <w:rFonts w:ascii="Arial" w:hAnsi="Arial" w:cs="Arial"/>
          <w:szCs w:val="24"/>
        </w:rPr>
        <w:t>o compel the public authority’s co-operation</w:t>
      </w:r>
      <w:r w:rsidR="0084348A" w:rsidRPr="00C1087F">
        <w:rPr>
          <w:rFonts w:ascii="Arial" w:hAnsi="Arial" w:cs="Arial"/>
          <w:szCs w:val="24"/>
        </w:rPr>
        <w:t xml:space="preserve"> with his investigation</w:t>
      </w:r>
      <w:r w:rsidR="00A01CAA" w:rsidRPr="00C1087F">
        <w:rPr>
          <w:rFonts w:ascii="Arial" w:hAnsi="Arial" w:cs="Arial"/>
          <w:szCs w:val="24"/>
        </w:rPr>
        <w:t xml:space="preserve">, </w:t>
      </w:r>
      <w:r w:rsidR="0084348A" w:rsidRPr="00C1087F">
        <w:rPr>
          <w:rFonts w:ascii="Arial" w:hAnsi="Arial" w:cs="Arial"/>
          <w:szCs w:val="24"/>
        </w:rPr>
        <w:t>if</w:t>
      </w:r>
      <w:r w:rsidR="00A01CAA" w:rsidRPr="00C1087F">
        <w:rPr>
          <w:rFonts w:ascii="Arial" w:hAnsi="Arial" w:cs="Arial"/>
          <w:szCs w:val="24"/>
        </w:rPr>
        <w:t xml:space="preserve"> required</w:t>
      </w:r>
      <w:r w:rsidR="006D502F" w:rsidRPr="00C1087F">
        <w:rPr>
          <w:rFonts w:ascii="Arial" w:hAnsi="Arial" w:cs="Arial"/>
          <w:szCs w:val="24"/>
        </w:rPr>
        <w:t xml:space="preserve">. </w:t>
      </w:r>
    </w:p>
    <w:p w14:paraId="5E34E7F7" w14:textId="7AA1B978" w:rsidR="00355112" w:rsidRPr="00C1087F" w:rsidRDefault="00DB2F2B" w:rsidP="00DD7117">
      <w:pPr>
        <w:numPr>
          <w:ilvl w:val="0"/>
          <w:numId w:val="21"/>
        </w:numPr>
        <w:tabs>
          <w:tab w:val="left" w:pos="454"/>
          <w:tab w:val="left" w:pos="567"/>
          <w:tab w:val="left" w:pos="1134"/>
          <w:tab w:val="left" w:pos="1985"/>
        </w:tabs>
        <w:spacing w:after="120" w:line="276" w:lineRule="auto"/>
        <w:ind w:left="426" w:hanging="426"/>
        <w:jc w:val="both"/>
        <w:rPr>
          <w:rFonts w:ascii="Arial" w:hAnsi="Arial" w:cs="Arial"/>
          <w:szCs w:val="24"/>
        </w:rPr>
      </w:pPr>
      <w:r w:rsidRPr="00C1087F">
        <w:rPr>
          <w:rFonts w:ascii="Arial" w:hAnsi="Arial" w:cs="Arial"/>
          <w:szCs w:val="24"/>
        </w:rPr>
        <w:t>By contrast</w:t>
      </w:r>
      <w:r w:rsidR="00B70702" w:rsidRPr="00C1087F">
        <w:rPr>
          <w:rFonts w:ascii="Arial" w:hAnsi="Arial" w:cs="Arial"/>
          <w:szCs w:val="24"/>
        </w:rPr>
        <w:t xml:space="preserve"> </w:t>
      </w:r>
      <w:r w:rsidRPr="00C1087F">
        <w:rPr>
          <w:rFonts w:ascii="Arial" w:hAnsi="Arial" w:cs="Arial"/>
          <w:szCs w:val="24"/>
        </w:rPr>
        <w:t>t</w:t>
      </w:r>
      <w:r w:rsidR="007A00BE" w:rsidRPr="00C1087F">
        <w:rPr>
          <w:rFonts w:ascii="Arial" w:hAnsi="Arial" w:cs="Arial"/>
          <w:szCs w:val="24"/>
        </w:rPr>
        <w:t xml:space="preserve">he </w:t>
      </w:r>
      <w:r w:rsidR="00763664" w:rsidRPr="00C1087F">
        <w:rPr>
          <w:rFonts w:ascii="Arial" w:hAnsi="Arial" w:cs="Arial"/>
          <w:szCs w:val="24"/>
        </w:rPr>
        <w:t>FTT</w:t>
      </w:r>
      <w:r w:rsidR="00BD109B" w:rsidRPr="00C1087F">
        <w:rPr>
          <w:rFonts w:ascii="Arial" w:hAnsi="Arial" w:cs="Arial"/>
          <w:szCs w:val="24"/>
        </w:rPr>
        <w:t xml:space="preserve">’s </w:t>
      </w:r>
      <w:r w:rsidR="00B70702" w:rsidRPr="00C1087F">
        <w:rPr>
          <w:rFonts w:ascii="Arial" w:hAnsi="Arial" w:cs="Arial"/>
          <w:szCs w:val="24"/>
        </w:rPr>
        <w:t xml:space="preserve">powers </w:t>
      </w:r>
      <w:r w:rsidR="00530312" w:rsidRPr="00C1087F">
        <w:rPr>
          <w:rFonts w:ascii="Arial" w:hAnsi="Arial" w:cs="Arial"/>
          <w:szCs w:val="24"/>
        </w:rPr>
        <w:t xml:space="preserve">are limited. The </w:t>
      </w:r>
      <w:r w:rsidR="00B04CC1" w:rsidRPr="00C1087F">
        <w:rPr>
          <w:rFonts w:ascii="Arial" w:hAnsi="Arial" w:cs="Arial"/>
          <w:szCs w:val="24"/>
        </w:rPr>
        <w:t xml:space="preserve">Tribunal’s Procedure Rules allows the </w:t>
      </w:r>
      <w:r w:rsidR="00530312" w:rsidRPr="00C1087F">
        <w:rPr>
          <w:rFonts w:ascii="Arial" w:hAnsi="Arial" w:cs="Arial"/>
          <w:szCs w:val="24"/>
        </w:rPr>
        <w:t xml:space="preserve">FTT </w:t>
      </w:r>
      <w:r w:rsidR="00B04CC1" w:rsidRPr="00C1087F">
        <w:rPr>
          <w:rFonts w:ascii="Arial" w:hAnsi="Arial" w:cs="Arial"/>
          <w:szCs w:val="24"/>
        </w:rPr>
        <w:t xml:space="preserve">to </w:t>
      </w:r>
      <w:r w:rsidR="00530312" w:rsidRPr="00C1087F">
        <w:rPr>
          <w:rFonts w:ascii="Arial" w:hAnsi="Arial" w:cs="Arial"/>
          <w:szCs w:val="24"/>
        </w:rPr>
        <w:t xml:space="preserve">join </w:t>
      </w:r>
      <w:r w:rsidR="007E6B66" w:rsidRPr="00C1087F">
        <w:rPr>
          <w:rFonts w:ascii="Arial" w:hAnsi="Arial" w:cs="Arial"/>
          <w:szCs w:val="24"/>
        </w:rPr>
        <w:t xml:space="preserve">the public authority </w:t>
      </w:r>
      <w:r w:rsidR="00530312" w:rsidRPr="00C1087F">
        <w:rPr>
          <w:rFonts w:ascii="Arial" w:hAnsi="Arial" w:cs="Arial"/>
          <w:szCs w:val="24"/>
        </w:rPr>
        <w:t xml:space="preserve">as a </w:t>
      </w:r>
      <w:r w:rsidR="007E6B66" w:rsidRPr="00C1087F">
        <w:rPr>
          <w:rFonts w:ascii="Arial" w:hAnsi="Arial" w:cs="Arial"/>
          <w:szCs w:val="24"/>
        </w:rPr>
        <w:t xml:space="preserve">party </w:t>
      </w:r>
      <w:r w:rsidR="00530312" w:rsidRPr="00C1087F">
        <w:rPr>
          <w:rFonts w:ascii="Arial" w:hAnsi="Arial" w:cs="Arial"/>
          <w:szCs w:val="24"/>
        </w:rPr>
        <w:t>to the appeal</w:t>
      </w:r>
      <w:r w:rsidR="003527D6" w:rsidRPr="00C1087F">
        <w:rPr>
          <w:rFonts w:ascii="Arial" w:hAnsi="Arial" w:cs="Arial"/>
          <w:szCs w:val="24"/>
        </w:rPr>
        <w:t xml:space="preserve"> but</w:t>
      </w:r>
      <w:r w:rsidR="003A556D" w:rsidRPr="00C1087F">
        <w:rPr>
          <w:rFonts w:ascii="Arial" w:hAnsi="Arial" w:cs="Arial"/>
          <w:szCs w:val="24"/>
        </w:rPr>
        <w:t xml:space="preserve"> </w:t>
      </w:r>
      <w:r w:rsidR="00937115">
        <w:rPr>
          <w:rFonts w:ascii="Arial" w:hAnsi="Arial" w:cs="Arial"/>
          <w:szCs w:val="24"/>
        </w:rPr>
        <w:t xml:space="preserve">the FTT </w:t>
      </w:r>
      <w:r w:rsidR="003A556D" w:rsidRPr="00C1087F">
        <w:rPr>
          <w:rFonts w:ascii="Arial" w:hAnsi="Arial" w:cs="Arial"/>
          <w:szCs w:val="24"/>
        </w:rPr>
        <w:t xml:space="preserve">generally only </w:t>
      </w:r>
      <w:r w:rsidR="006A04F0" w:rsidRPr="00C1087F">
        <w:rPr>
          <w:rFonts w:ascii="Arial" w:hAnsi="Arial" w:cs="Arial"/>
          <w:szCs w:val="24"/>
        </w:rPr>
        <w:t xml:space="preserve">does so at </w:t>
      </w:r>
      <w:r w:rsidR="003A556D" w:rsidRPr="00C1087F">
        <w:rPr>
          <w:rFonts w:ascii="Arial" w:hAnsi="Arial" w:cs="Arial"/>
          <w:szCs w:val="24"/>
        </w:rPr>
        <w:t xml:space="preserve">the public authority’s request. </w:t>
      </w:r>
      <w:r w:rsidR="00A451E6" w:rsidRPr="00C1087F">
        <w:rPr>
          <w:rFonts w:ascii="Arial" w:hAnsi="Arial" w:cs="Arial"/>
          <w:szCs w:val="24"/>
        </w:rPr>
        <w:t xml:space="preserve">For the FTT to compel </w:t>
      </w:r>
      <w:r w:rsidR="00041666" w:rsidRPr="00C1087F">
        <w:rPr>
          <w:rFonts w:ascii="Arial" w:hAnsi="Arial" w:cs="Arial"/>
          <w:szCs w:val="24"/>
        </w:rPr>
        <w:t xml:space="preserve">joinder and active participation </w:t>
      </w:r>
      <w:r w:rsidR="00A451E6" w:rsidRPr="00C1087F">
        <w:rPr>
          <w:rFonts w:ascii="Arial" w:hAnsi="Arial" w:cs="Arial"/>
          <w:szCs w:val="24"/>
        </w:rPr>
        <w:t xml:space="preserve">under the Procedure Rules </w:t>
      </w:r>
      <w:r w:rsidR="00041666" w:rsidRPr="00C1087F">
        <w:rPr>
          <w:rFonts w:ascii="Arial" w:hAnsi="Arial" w:cs="Arial"/>
          <w:szCs w:val="24"/>
        </w:rPr>
        <w:t>would be</w:t>
      </w:r>
      <w:r w:rsidR="00A451E6" w:rsidRPr="00C1087F">
        <w:rPr>
          <w:rFonts w:ascii="Arial" w:hAnsi="Arial" w:cs="Arial"/>
          <w:szCs w:val="24"/>
        </w:rPr>
        <w:t xml:space="preserve"> a significant </w:t>
      </w:r>
      <w:r w:rsidR="005A5051" w:rsidRPr="00C1087F">
        <w:rPr>
          <w:rFonts w:ascii="Arial" w:hAnsi="Arial" w:cs="Arial"/>
          <w:szCs w:val="24"/>
        </w:rPr>
        <w:t>procedural development</w:t>
      </w:r>
      <w:r w:rsidR="004203A6" w:rsidRPr="00C1087F">
        <w:rPr>
          <w:rFonts w:ascii="Arial" w:hAnsi="Arial" w:cs="Arial"/>
          <w:szCs w:val="24"/>
        </w:rPr>
        <w:t>.</w:t>
      </w:r>
      <w:r w:rsidR="00BF2027" w:rsidRPr="00C1087F">
        <w:rPr>
          <w:rFonts w:ascii="Arial" w:hAnsi="Arial" w:cs="Arial"/>
          <w:szCs w:val="24"/>
        </w:rPr>
        <w:t xml:space="preserve"> </w:t>
      </w:r>
      <w:r w:rsidR="00A040AE" w:rsidRPr="00C1087F">
        <w:rPr>
          <w:rFonts w:ascii="Arial" w:hAnsi="Arial" w:cs="Arial"/>
          <w:szCs w:val="24"/>
        </w:rPr>
        <w:t xml:space="preserve">Whilst that by itself should not act as a bar, </w:t>
      </w:r>
      <w:r w:rsidR="00F83DCA" w:rsidRPr="00C1087F">
        <w:rPr>
          <w:rFonts w:ascii="Arial" w:hAnsi="Arial" w:cs="Arial"/>
          <w:szCs w:val="24"/>
        </w:rPr>
        <w:t>nothing in</w:t>
      </w:r>
      <w:r w:rsidR="00D464FD" w:rsidRPr="00C1087F">
        <w:rPr>
          <w:rFonts w:ascii="Arial" w:hAnsi="Arial" w:cs="Arial"/>
          <w:szCs w:val="24"/>
        </w:rPr>
        <w:t xml:space="preserve"> </w:t>
      </w:r>
      <w:r w:rsidR="001B4E6D" w:rsidRPr="00C1087F">
        <w:rPr>
          <w:rFonts w:ascii="Arial" w:hAnsi="Arial" w:cs="Arial"/>
          <w:szCs w:val="24"/>
        </w:rPr>
        <w:t xml:space="preserve">the applicable legislation or </w:t>
      </w:r>
      <w:r w:rsidR="0070436A" w:rsidRPr="00C1087F">
        <w:rPr>
          <w:rFonts w:ascii="Arial" w:hAnsi="Arial" w:cs="Arial"/>
          <w:szCs w:val="24"/>
        </w:rPr>
        <w:t>case</w:t>
      </w:r>
      <w:r w:rsidR="002C23E8">
        <w:rPr>
          <w:rFonts w:ascii="Arial" w:hAnsi="Arial" w:cs="Arial"/>
          <w:szCs w:val="24"/>
        </w:rPr>
        <w:t xml:space="preserve"> </w:t>
      </w:r>
      <w:r w:rsidR="0070436A" w:rsidRPr="00C1087F">
        <w:rPr>
          <w:rFonts w:ascii="Arial" w:hAnsi="Arial" w:cs="Arial"/>
          <w:szCs w:val="24"/>
        </w:rPr>
        <w:t xml:space="preserve">law </w:t>
      </w:r>
      <w:r w:rsidR="00F83DCA" w:rsidRPr="00C1087F">
        <w:rPr>
          <w:rFonts w:ascii="Arial" w:hAnsi="Arial" w:cs="Arial"/>
          <w:szCs w:val="24"/>
        </w:rPr>
        <w:t>suggest</w:t>
      </w:r>
      <w:r w:rsidR="00C554FF" w:rsidRPr="00C1087F">
        <w:rPr>
          <w:rFonts w:ascii="Arial" w:hAnsi="Arial" w:cs="Arial"/>
          <w:szCs w:val="24"/>
        </w:rPr>
        <w:t>s</w:t>
      </w:r>
      <w:r w:rsidR="00F83DCA" w:rsidRPr="00C1087F">
        <w:rPr>
          <w:rFonts w:ascii="Arial" w:hAnsi="Arial" w:cs="Arial"/>
          <w:szCs w:val="24"/>
        </w:rPr>
        <w:t xml:space="preserve"> </w:t>
      </w:r>
      <w:r w:rsidR="00F12CA7" w:rsidRPr="00C1087F">
        <w:rPr>
          <w:rFonts w:ascii="Arial" w:hAnsi="Arial" w:cs="Arial"/>
          <w:szCs w:val="24"/>
        </w:rPr>
        <w:t xml:space="preserve">that </w:t>
      </w:r>
      <w:r w:rsidR="00B157F8" w:rsidRPr="00C1087F">
        <w:rPr>
          <w:rFonts w:ascii="Arial" w:hAnsi="Arial" w:cs="Arial"/>
          <w:szCs w:val="24"/>
        </w:rPr>
        <w:t xml:space="preserve">a </w:t>
      </w:r>
      <w:r w:rsidR="00DB1D53" w:rsidRPr="00C1087F">
        <w:rPr>
          <w:rFonts w:ascii="Arial" w:hAnsi="Arial" w:cs="Arial"/>
          <w:szCs w:val="24"/>
        </w:rPr>
        <w:t>public authorit</w:t>
      </w:r>
      <w:r w:rsidR="00F21FB5" w:rsidRPr="00C1087F">
        <w:rPr>
          <w:rFonts w:ascii="Arial" w:hAnsi="Arial" w:cs="Arial"/>
          <w:szCs w:val="24"/>
        </w:rPr>
        <w:t>y</w:t>
      </w:r>
      <w:r w:rsidR="00DB1D53" w:rsidRPr="00C1087F">
        <w:rPr>
          <w:rFonts w:ascii="Arial" w:hAnsi="Arial" w:cs="Arial"/>
          <w:szCs w:val="24"/>
        </w:rPr>
        <w:t xml:space="preserve"> </w:t>
      </w:r>
      <w:r w:rsidR="001B4E6D" w:rsidRPr="00C1087F">
        <w:rPr>
          <w:rFonts w:ascii="Arial" w:hAnsi="Arial" w:cs="Arial"/>
          <w:szCs w:val="24"/>
        </w:rPr>
        <w:t xml:space="preserve">should be </w:t>
      </w:r>
      <w:r w:rsidR="00F12CA7" w:rsidRPr="00C1087F">
        <w:rPr>
          <w:rFonts w:ascii="Arial" w:hAnsi="Arial" w:cs="Arial"/>
          <w:szCs w:val="24"/>
        </w:rPr>
        <w:t xml:space="preserve">required to </w:t>
      </w:r>
      <w:r w:rsidR="00A933D5" w:rsidRPr="00C1087F">
        <w:rPr>
          <w:rFonts w:ascii="Arial" w:hAnsi="Arial" w:cs="Arial"/>
          <w:szCs w:val="24"/>
        </w:rPr>
        <w:t xml:space="preserve">participate </w:t>
      </w:r>
      <w:r w:rsidR="00FB47A8" w:rsidRPr="00C1087F">
        <w:rPr>
          <w:rFonts w:ascii="Arial" w:hAnsi="Arial" w:cs="Arial"/>
          <w:szCs w:val="24"/>
        </w:rPr>
        <w:t>in</w:t>
      </w:r>
      <w:r w:rsidR="00987C6C" w:rsidRPr="00C1087F">
        <w:rPr>
          <w:rFonts w:ascii="Arial" w:hAnsi="Arial" w:cs="Arial"/>
          <w:szCs w:val="24"/>
        </w:rPr>
        <w:t xml:space="preserve"> </w:t>
      </w:r>
      <w:r w:rsidR="00DC27E4" w:rsidRPr="00C1087F">
        <w:rPr>
          <w:rFonts w:ascii="Arial" w:hAnsi="Arial" w:cs="Arial"/>
          <w:szCs w:val="24"/>
        </w:rPr>
        <w:t xml:space="preserve">a s.57 </w:t>
      </w:r>
      <w:r w:rsidR="001B4E6D" w:rsidRPr="00C1087F">
        <w:rPr>
          <w:rFonts w:ascii="Arial" w:hAnsi="Arial" w:cs="Arial"/>
          <w:szCs w:val="24"/>
        </w:rPr>
        <w:t xml:space="preserve">FOIA </w:t>
      </w:r>
      <w:r w:rsidR="00DC27E4" w:rsidRPr="00C1087F">
        <w:rPr>
          <w:rFonts w:ascii="Arial" w:hAnsi="Arial" w:cs="Arial"/>
          <w:szCs w:val="24"/>
        </w:rPr>
        <w:t>appeal</w:t>
      </w:r>
      <w:r w:rsidR="00F83DCA" w:rsidRPr="00C1087F">
        <w:rPr>
          <w:rFonts w:ascii="Arial" w:hAnsi="Arial" w:cs="Arial"/>
          <w:szCs w:val="24"/>
        </w:rPr>
        <w:t>.</w:t>
      </w:r>
    </w:p>
    <w:p w14:paraId="47B3F6ED" w14:textId="108C53D9" w:rsidR="00223D58" w:rsidRPr="00C1087F" w:rsidRDefault="00355112" w:rsidP="00DD7117">
      <w:pPr>
        <w:numPr>
          <w:ilvl w:val="0"/>
          <w:numId w:val="21"/>
        </w:numPr>
        <w:tabs>
          <w:tab w:val="left" w:pos="454"/>
          <w:tab w:val="left" w:pos="567"/>
          <w:tab w:val="left" w:pos="1134"/>
          <w:tab w:val="left" w:pos="1985"/>
        </w:tabs>
        <w:spacing w:after="120" w:line="276" w:lineRule="auto"/>
        <w:ind w:left="426" w:hanging="426"/>
        <w:jc w:val="both"/>
        <w:rPr>
          <w:rFonts w:ascii="Arial" w:hAnsi="Arial" w:cs="Arial"/>
          <w:szCs w:val="24"/>
        </w:rPr>
      </w:pPr>
      <w:r w:rsidRPr="00C1087F">
        <w:rPr>
          <w:rFonts w:ascii="Arial" w:hAnsi="Arial" w:cs="Arial"/>
          <w:szCs w:val="24"/>
        </w:rPr>
        <w:t xml:space="preserve">Thirdly, the Appellant’s </w:t>
      </w:r>
      <w:r w:rsidR="004B2EB9" w:rsidRPr="00C1087F">
        <w:rPr>
          <w:rFonts w:ascii="Arial" w:hAnsi="Arial" w:cs="Arial"/>
          <w:szCs w:val="24"/>
        </w:rPr>
        <w:t xml:space="preserve">approach </w:t>
      </w:r>
      <w:r w:rsidR="00BC27A0" w:rsidRPr="00C1087F">
        <w:rPr>
          <w:rFonts w:ascii="Arial" w:hAnsi="Arial" w:cs="Arial"/>
          <w:szCs w:val="24"/>
        </w:rPr>
        <w:t xml:space="preserve">would </w:t>
      </w:r>
      <w:r w:rsidR="00E85E55" w:rsidRPr="00C1087F">
        <w:rPr>
          <w:rFonts w:ascii="Arial" w:hAnsi="Arial" w:cs="Arial"/>
          <w:szCs w:val="24"/>
        </w:rPr>
        <w:t xml:space="preserve">allow a complaint </w:t>
      </w:r>
      <w:r w:rsidR="00BC27A0" w:rsidRPr="00C1087F">
        <w:rPr>
          <w:rFonts w:ascii="Arial" w:hAnsi="Arial" w:cs="Arial"/>
          <w:szCs w:val="24"/>
        </w:rPr>
        <w:t xml:space="preserve">made </w:t>
      </w:r>
      <w:r w:rsidR="00E85E55" w:rsidRPr="00C1087F">
        <w:rPr>
          <w:rFonts w:ascii="Arial" w:hAnsi="Arial" w:cs="Arial"/>
          <w:szCs w:val="24"/>
        </w:rPr>
        <w:t xml:space="preserve">under s.50 </w:t>
      </w:r>
      <w:r w:rsidR="00CB4B47" w:rsidRPr="00C1087F">
        <w:rPr>
          <w:rFonts w:ascii="Arial" w:hAnsi="Arial" w:cs="Arial"/>
          <w:szCs w:val="24"/>
        </w:rPr>
        <w:t xml:space="preserve">FOIA </w:t>
      </w:r>
      <w:r w:rsidR="00E85E55" w:rsidRPr="00C1087F">
        <w:rPr>
          <w:rFonts w:ascii="Arial" w:hAnsi="Arial" w:cs="Arial"/>
          <w:szCs w:val="24"/>
        </w:rPr>
        <w:t xml:space="preserve">to become </w:t>
      </w:r>
      <w:r w:rsidR="00323C80" w:rsidRPr="00C1087F">
        <w:rPr>
          <w:rFonts w:ascii="Arial" w:hAnsi="Arial" w:cs="Arial"/>
          <w:szCs w:val="24"/>
        </w:rPr>
        <w:t xml:space="preserve">something of </w:t>
      </w:r>
      <w:r w:rsidR="00E85E55" w:rsidRPr="00C1087F">
        <w:rPr>
          <w:rFonts w:ascii="Arial" w:hAnsi="Arial" w:cs="Arial"/>
          <w:szCs w:val="24"/>
        </w:rPr>
        <w:t xml:space="preserve">a moveable feast. </w:t>
      </w:r>
      <w:r w:rsidR="00DF446E" w:rsidRPr="00C1087F">
        <w:rPr>
          <w:rFonts w:ascii="Arial" w:hAnsi="Arial" w:cs="Arial"/>
          <w:szCs w:val="24"/>
        </w:rPr>
        <w:t xml:space="preserve">As confirmed in </w:t>
      </w:r>
      <w:r w:rsidR="00DF446E" w:rsidRPr="00C1087F">
        <w:rPr>
          <w:rFonts w:ascii="Arial" w:hAnsi="Arial" w:cs="Arial"/>
          <w:i/>
          <w:iCs/>
          <w:szCs w:val="24"/>
          <w:u w:val="single"/>
        </w:rPr>
        <w:t>Birkett</w:t>
      </w:r>
      <w:r w:rsidR="00BC27A0" w:rsidRPr="00C1087F">
        <w:rPr>
          <w:rFonts w:ascii="Arial" w:hAnsi="Arial" w:cs="Arial"/>
          <w:i/>
          <w:iCs/>
          <w:szCs w:val="24"/>
        </w:rPr>
        <w:t xml:space="preserve"> ([46])</w:t>
      </w:r>
      <w:r w:rsidR="003A27A7" w:rsidRPr="00C1087F">
        <w:rPr>
          <w:rFonts w:ascii="Arial" w:hAnsi="Arial" w:cs="Arial"/>
          <w:i/>
          <w:iCs/>
          <w:szCs w:val="24"/>
        </w:rPr>
        <w:t xml:space="preserve">, </w:t>
      </w:r>
      <w:r w:rsidR="005710A2" w:rsidRPr="00C1087F">
        <w:rPr>
          <w:rFonts w:ascii="Arial" w:hAnsi="Arial" w:cs="Arial"/>
          <w:szCs w:val="24"/>
        </w:rPr>
        <w:t xml:space="preserve">the complainant in a s.50 application </w:t>
      </w:r>
      <w:r w:rsidR="00F3645C" w:rsidRPr="00C1087F">
        <w:rPr>
          <w:rFonts w:ascii="Arial" w:hAnsi="Arial" w:cs="Arial"/>
          <w:szCs w:val="24"/>
        </w:rPr>
        <w:t xml:space="preserve">is not </w:t>
      </w:r>
      <w:r w:rsidR="005710A2" w:rsidRPr="00C1087F">
        <w:rPr>
          <w:rFonts w:ascii="Arial" w:hAnsi="Arial" w:cs="Arial"/>
          <w:szCs w:val="24"/>
        </w:rPr>
        <w:t xml:space="preserve">expected to </w:t>
      </w:r>
      <w:r w:rsidR="00E61223" w:rsidRPr="00C1087F">
        <w:rPr>
          <w:rFonts w:ascii="Arial" w:hAnsi="Arial" w:cs="Arial"/>
          <w:szCs w:val="24"/>
        </w:rPr>
        <w:t xml:space="preserve">identify </w:t>
      </w:r>
      <w:r w:rsidR="009E777C" w:rsidRPr="00C1087F">
        <w:rPr>
          <w:rFonts w:ascii="Arial" w:hAnsi="Arial" w:cs="Arial"/>
          <w:szCs w:val="24"/>
        </w:rPr>
        <w:t xml:space="preserve">all </w:t>
      </w:r>
      <w:r w:rsidR="007D4677" w:rsidRPr="00C1087F">
        <w:rPr>
          <w:rFonts w:ascii="Arial" w:hAnsi="Arial" w:cs="Arial"/>
          <w:szCs w:val="24"/>
        </w:rPr>
        <w:t xml:space="preserve">potential respects </w:t>
      </w:r>
      <w:r w:rsidR="009E777C" w:rsidRPr="00C1087F">
        <w:rPr>
          <w:rFonts w:ascii="Arial" w:hAnsi="Arial" w:cs="Arial"/>
          <w:szCs w:val="24"/>
        </w:rPr>
        <w:t xml:space="preserve">in which </w:t>
      </w:r>
      <w:r w:rsidR="001A54D3" w:rsidRPr="00C1087F">
        <w:rPr>
          <w:rFonts w:ascii="Arial" w:hAnsi="Arial" w:cs="Arial"/>
          <w:szCs w:val="24"/>
        </w:rPr>
        <w:t xml:space="preserve">a </w:t>
      </w:r>
      <w:r w:rsidR="00E83286" w:rsidRPr="00C1087F">
        <w:rPr>
          <w:rFonts w:ascii="Arial" w:hAnsi="Arial" w:cs="Arial"/>
          <w:szCs w:val="24"/>
        </w:rPr>
        <w:t>public authority</w:t>
      </w:r>
      <w:r w:rsidR="00547035" w:rsidRPr="00C1087F">
        <w:rPr>
          <w:rFonts w:ascii="Arial" w:hAnsi="Arial" w:cs="Arial"/>
          <w:szCs w:val="24"/>
        </w:rPr>
        <w:t xml:space="preserve"> </w:t>
      </w:r>
      <w:r w:rsidR="00F3645C" w:rsidRPr="00C1087F">
        <w:rPr>
          <w:rFonts w:ascii="Arial" w:hAnsi="Arial" w:cs="Arial"/>
          <w:szCs w:val="24"/>
        </w:rPr>
        <w:t xml:space="preserve">may have </w:t>
      </w:r>
      <w:r w:rsidR="00547035" w:rsidRPr="00C1087F">
        <w:rPr>
          <w:rFonts w:ascii="Arial" w:hAnsi="Arial" w:cs="Arial"/>
          <w:szCs w:val="24"/>
        </w:rPr>
        <w:t xml:space="preserve">failed to </w:t>
      </w:r>
      <w:r w:rsidR="00E61223" w:rsidRPr="00C1087F">
        <w:rPr>
          <w:rFonts w:ascii="Arial" w:hAnsi="Arial" w:cs="Arial"/>
          <w:szCs w:val="24"/>
        </w:rPr>
        <w:t>comply with Part I FOIA</w:t>
      </w:r>
      <w:r w:rsidR="00F83D07" w:rsidRPr="00C1087F">
        <w:rPr>
          <w:rFonts w:ascii="Arial" w:hAnsi="Arial" w:cs="Arial"/>
          <w:szCs w:val="24"/>
        </w:rPr>
        <w:t xml:space="preserve"> obligations.</w:t>
      </w:r>
      <w:r w:rsidR="00E43679" w:rsidRPr="00C1087F">
        <w:rPr>
          <w:rFonts w:ascii="Arial" w:hAnsi="Arial" w:cs="Arial"/>
          <w:szCs w:val="24"/>
        </w:rPr>
        <w:t xml:space="preserve"> The </w:t>
      </w:r>
      <w:r w:rsidR="00BB02F3" w:rsidRPr="00C1087F">
        <w:rPr>
          <w:rFonts w:ascii="Arial" w:hAnsi="Arial" w:cs="Arial"/>
          <w:szCs w:val="24"/>
        </w:rPr>
        <w:t xml:space="preserve">Commissioner’s investigation </w:t>
      </w:r>
      <w:r w:rsidR="00FF6DC5" w:rsidRPr="00C1087F">
        <w:rPr>
          <w:rFonts w:ascii="Arial" w:hAnsi="Arial" w:cs="Arial"/>
          <w:szCs w:val="24"/>
        </w:rPr>
        <w:t xml:space="preserve">of the complaint </w:t>
      </w:r>
      <w:r w:rsidR="00E43679" w:rsidRPr="00C1087F">
        <w:rPr>
          <w:rFonts w:ascii="Arial" w:hAnsi="Arial" w:cs="Arial"/>
          <w:szCs w:val="24"/>
        </w:rPr>
        <w:t xml:space="preserve">must </w:t>
      </w:r>
      <w:r w:rsidR="00FF6DC5" w:rsidRPr="00C1087F">
        <w:rPr>
          <w:rFonts w:ascii="Arial" w:hAnsi="Arial" w:cs="Arial"/>
          <w:szCs w:val="24"/>
        </w:rPr>
        <w:t xml:space="preserve">not </w:t>
      </w:r>
      <w:r w:rsidR="00E43679" w:rsidRPr="00C1087F">
        <w:rPr>
          <w:rFonts w:ascii="Arial" w:hAnsi="Arial" w:cs="Arial"/>
          <w:szCs w:val="24"/>
        </w:rPr>
        <w:t xml:space="preserve">therefore </w:t>
      </w:r>
      <w:r w:rsidR="00FF6DC5" w:rsidRPr="00C1087F">
        <w:rPr>
          <w:rFonts w:ascii="Arial" w:hAnsi="Arial" w:cs="Arial"/>
          <w:szCs w:val="24"/>
        </w:rPr>
        <w:t xml:space="preserve">be limited to </w:t>
      </w:r>
      <w:r w:rsidR="00FE2BDB" w:rsidRPr="00C1087F">
        <w:rPr>
          <w:rFonts w:ascii="Arial" w:hAnsi="Arial" w:cs="Arial"/>
          <w:szCs w:val="24"/>
        </w:rPr>
        <w:t xml:space="preserve">the </w:t>
      </w:r>
      <w:r w:rsidR="00C64B69" w:rsidRPr="00C1087F">
        <w:rPr>
          <w:rFonts w:ascii="Arial" w:hAnsi="Arial" w:cs="Arial"/>
          <w:szCs w:val="24"/>
        </w:rPr>
        <w:t xml:space="preserve">potential </w:t>
      </w:r>
      <w:r w:rsidR="001A54D3" w:rsidRPr="00C1087F">
        <w:rPr>
          <w:rFonts w:ascii="Arial" w:hAnsi="Arial" w:cs="Arial"/>
          <w:szCs w:val="24"/>
        </w:rPr>
        <w:t xml:space="preserve">failings identified </w:t>
      </w:r>
      <w:r w:rsidR="00FE2BDB" w:rsidRPr="00C1087F">
        <w:rPr>
          <w:rFonts w:ascii="Arial" w:hAnsi="Arial" w:cs="Arial"/>
          <w:szCs w:val="24"/>
        </w:rPr>
        <w:t>by the complainant</w:t>
      </w:r>
      <w:r w:rsidR="007E0916" w:rsidRPr="00C1087F">
        <w:rPr>
          <w:rFonts w:ascii="Arial" w:hAnsi="Arial" w:cs="Arial"/>
          <w:szCs w:val="24"/>
        </w:rPr>
        <w:t>.</w:t>
      </w:r>
      <w:r w:rsidR="00F406E4" w:rsidRPr="00C1087F">
        <w:rPr>
          <w:rFonts w:ascii="Arial" w:hAnsi="Arial" w:cs="Arial"/>
          <w:szCs w:val="24"/>
        </w:rPr>
        <w:t xml:space="preserve"> </w:t>
      </w:r>
      <w:r w:rsidR="00FE2BDB" w:rsidRPr="00C1087F">
        <w:rPr>
          <w:rFonts w:ascii="Arial" w:hAnsi="Arial" w:cs="Arial"/>
          <w:szCs w:val="24"/>
        </w:rPr>
        <w:t xml:space="preserve">However, having investigated the complaint, </w:t>
      </w:r>
      <w:r w:rsidR="00FF056F" w:rsidRPr="00C1087F">
        <w:rPr>
          <w:rFonts w:ascii="Arial" w:hAnsi="Arial" w:cs="Arial"/>
          <w:szCs w:val="24"/>
        </w:rPr>
        <w:t xml:space="preserve">the </w:t>
      </w:r>
      <w:r w:rsidR="00642C1C" w:rsidRPr="00C1087F">
        <w:rPr>
          <w:rFonts w:ascii="Arial" w:hAnsi="Arial" w:cs="Arial"/>
          <w:szCs w:val="24"/>
        </w:rPr>
        <w:t xml:space="preserve">Commissioner </w:t>
      </w:r>
      <w:r w:rsidR="00FF056F" w:rsidRPr="00C1087F">
        <w:rPr>
          <w:rFonts w:ascii="Arial" w:hAnsi="Arial" w:cs="Arial"/>
          <w:szCs w:val="24"/>
        </w:rPr>
        <w:t xml:space="preserve">has a duty to </w:t>
      </w:r>
      <w:r w:rsidR="00D60D33" w:rsidRPr="00C1087F">
        <w:rPr>
          <w:rFonts w:ascii="Arial" w:hAnsi="Arial" w:cs="Arial"/>
          <w:szCs w:val="24"/>
        </w:rPr>
        <w:t>s</w:t>
      </w:r>
      <w:r w:rsidR="00843D68" w:rsidRPr="00C1087F">
        <w:rPr>
          <w:rFonts w:ascii="Arial" w:hAnsi="Arial" w:cs="Arial"/>
          <w:szCs w:val="24"/>
        </w:rPr>
        <w:t>tate</w:t>
      </w:r>
      <w:r w:rsidR="00D60D33" w:rsidRPr="00C1087F">
        <w:rPr>
          <w:rFonts w:ascii="Arial" w:hAnsi="Arial" w:cs="Arial"/>
          <w:szCs w:val="24"/>
        </w:rPr>
        <w:t xml:space="preserve"> whether “</w:t>
      </w:r>
      <w:r w:rsidR="00D60D33" w:rsidRPr="00C1087F">
        <w:rPr>
          <w:rFonts w:ascii="Arial" w:hAnsi="Arial" w:cs="Arial"/>
          <w:i/>
          <w:iCs/>
          <w:szCs w:val="24"/>
        </w:rPr>
        <w:t xml:space="preserve">in any specified respect” </w:t>
      </w:r>
      <w:r w:rsidR="00FC5166" w:rsidRPr="00C1087F">
        <w:rPr>
          <w:rFonts w:ascii="Arial" w:hAnsi="Arial" w:cs="Arial"/>
          <w:szCs w:val="24"/>
        </w:rPr>
        <w:t>the public authority has failed to respond as required</w:t>
      </w:r>
      <w:r w:rsidR="00352E4D" w:rsidRPr="00C1087F">
        <w:rPr>
          <w:rFonts w:ascii="Arial" w:hAnsi="Arial" w:cs="Arial"/>
          <w:szCs w:val="24"/>
        </w:rPr>
        <w:t xml:space="preserve"> by Part I</w:t>
      </w:r>
      <w:r w:rsidR="00843D68" w:rsidRPr="00C1087F">
        <w:rPr>
          <w:rFonts w:ascii="Arial" w:hAnsi="Arial" w:cs="Arial"/>
          <w:szCs w:val="24"/>
        </w:rPr>
        <w:t xml:space="preserve"> FOIA</w:t>
      </w:r>
      <w:r w:rsidR="00FC5166" w:rsidRPr="00C1087F">
        <w:rPr>
          <w:rFonts w:ascii="Arial" w:hAnsi="Arial" w:cs="Arial"/>
          <w:szCs w:val="24"/>
        </w:rPr>
        <w:t xml:space="preserve"> </w:t>
      </w:r>
      <w:r w:rsidR="00C65393" w:rsidRPr="00C1087F">
        <w:rPr>
          <w:rFonts w:ascii="Arial" w:hAnsi="Arial" w:cs="Arial"/>
          <w:szCs w:val="24"/>
        </w:rPr>
        <w:t>(</w:t>
      </w:r>
      <w:proofErr w:type="spellStart"/>
      <w:r w:rsidR="00C65393" w:rsidRPr="00C1087F">
        <w:rPr>
          <w:rFonts w:ascii="Arial" w:hAnsi="Arial" w:cs="Arial"/>
          <w:i/>
          <w:iCs/>
          <w:szCs w:val="24"/>
          <w:u w:val="single"/>
        </w:rPr>
        <w:t>Malnick</w:t>
      </w:r>
      <w:proofErr w:type="spellEnd"/>
      <w:r w:rsidR="00577005" w:rsidRPr="00C1087F">
        <w:rPr>
          <w:rFonts w:ascii="Arial" w:hAnsi="Arial" w:cs="Arial"/>
          <w:i/>
          <w:iCs/>
          <w:szCs w:val="24"/>
        </w:rPr>
        <w:t xml:space="preserve"> </w:t>
      </w:r>
      <w:r w:rsidR="005B7920">
        <w:rPr>
          <w:rFonts w:ascii="Arial" w:hAnsi="Arial" w:cs="Arial"/>
          <w:i/>
          <w:iCs/>
          <w:szCs w:val="24"/>
        </w:rPr>
        <w:t>[</w:t>
      </w:r>
      <w:r w:rsidR="00577005" w:rsidRPr="00C1087F">
        <w:rPr>
          <w:rFonts w:ascii="Arial" w:hAnsi="Arial" w:cs="Arial"/>
          <w:i/>
          <w:iCs/>
          <w:szCs w:val="24"/>
        </w:rPr>
        <w:t xml:space="preserve">78]). </w:t>
      </w:r>
      <w:r w:rsidR="001C4BCF" w:rsidRPr="00C1087F">
        <w:rPr>
          <w:rFonts w:ascii="Arial" w:hAnsi="Arial" w:cs="Arial"/>
          <w:szCs w:val="24"/>
        </w:rPr>
        <w:t xml:space="preserve">The Commissioner </w:t>
      </w:r>
      <w:r w:rsidR="003A2C4F" w:rsidRPr="00C1087F">
        <w:rPr>
          <w:rFonts w:ascii="Arial" w:hAnsi="Arial" w:cs="Arial"/>
          <w:szCs w:val="24"/>
        </w:rPr>
        <w:t xml:space="preserve">states </w:t>
      </w:r>
      <w:r w:rsidR="0081057D" w:rsidRPr="00C1087F">
        <w:rPr>
          <w:rFonts w:ascii="Arial" w:hAnsi="Arial" w:cs="Arial"/>
          <w:szCs w:val="24"/>
        </w:rPr>
        <w:t xml:space="preserve">his findings in relation to </w:t>
      </w:r>
      <w:r w:rsidR="005504B5" w:rsidRPr="00C1087F">
        <w:rPr>
          <w:rFonts w:ascii="Arial" w:hAnsi="Arial" w:cs="Arial"/>
          <w:szCs w:val="24"/>
        </w:rPr>
        <w:t xml:space="preserve">any failure by the public authority </w:t>
      </w:r>
      <w:r w:rsidR="001C4BCF" w:rsidRPr="00C1087F">
        <w:rPr>
          <w:rFonts w:ascii="Arial" w:hAnsi="Arial" w:cs="Arial"/>
          <w:szCs w:val="24"/>
        </w:rPr>
        <w:t xml:space="preserve">in </w:t>
      </w:r>
      <w:r w:rsidR="005504B5" w:rsidRPr="00C1087F">
        <w:rPr>
          <w:rFonts w:ascii="Arial" w:hAnsi="Arial" w:cs="Arial"/>
          <w:szCs w:val="24"/>
        </w:rPr>
        <w:t>the</w:t>
      </w:r>
      <w:r w:rsidR="001C4BCF" w:rsidRPr="00C1087F">
        <w:rPr>
          <w:rFonts w:ascii="Arial" w:hAnsi="Arial" w:cs="Arial"/>
          <w:szCs w:val="24"/>
        </w:rPr>
        <w:t xml:space="preserve"> decision notice</w:t>
      </w:r>
      <w:r w:rsidR="005504B5" w:rsidRPr="00C1087F">
        <w:rPr>
          <w:rFonts w:ascii="Arial" w:hAnsi="Arial" w:cs="Arial"/>
          <w:szCs w:val="24"/>
        </w:rPr>
        <w:t xml:space="preserve">. </w:t>
      </w:r>
      <w:r w:rsidR="005C2806" w:rsidRPr="00C1087F">
        <w:rPr>
          <w:rFonts w:ascii="Arial" w:hAnsi="Arial" w:cs="Arial"/>
          <w:szCs w:val="24"/>
        </w:rPr>
        <w:t xml:space="preserve">This also </w:t>
      </w:r>
      <w:r w:rsidR="00222BC7" w:rsidRPr="00C1087F">
        <w:rPr>
          <w:rFonts w:ascii="Arial" w:hAnsi="Arial" w:cs="Arial"/>
          <w:szCs w:val="24"/>
        </w:rPr>
        <w:t>informs the complainant of the outcome of their complaint.</w:t>
      </w:r>
    </w:p>
    <w:p w14:paraId="2AF59DD6" w14:textId="7414DAC4" w:rsidR="00FC59B1" w:rsidRPr="00C1087F" w:rsidRDefault="001C18FD" w:rsidP="00DD7117">
      <w:pPr>
        <w:numPr>
          <w:ilvl w:val="0"/>
          <w:numId w:val="21"/>
        </w:numPr>
        <w:tabs>
          <w:tab w:val="left" w:pos="454"/>
          <w:tab w:val="left" w:pos="567"/>
          <w:tab w:val="left" w:pos="1134"/>
          <w:tab w:val="left" w:pos="1985"/>
        </w:tabs>
        <w:spacing w:after="120" w:line="276" w:lineRule="auto"/>
        <w:ind w:left="426" w:hanging="426"/>
        <w:jc w:val="both"/>
        <w:rPr>
          <w:rFonts w:ascii="Arial" w:hAnsi="Arial" w:cs="Arial"/>
          <w:szCs w:val="24"/>
        </w:rPr>
      </w:pPr>
      <w:r w:rsidRPr="00C1087F">
        <w:rPr>
          <w:rFonts w:ascii="Arial" w:hAnsi="Arial" w:cs="Arial"/>
          <w:szCs w:val="24"/>
        </w:rPr>
        <w:t>An appeal under s.57</w:t>
      </w:r>
      <w:r w:rsidR="001821E8" w:rsidRPr="00C1087F">
        <w:rPr>
          <w:rFonts w:ascii="Arial" w:hAnsi="Arial" w:cs="Arial"/>
          <w:szCs w:val="24"/>
        </w:rPr>
        <w:t>(1)</w:t>
      </w:r>
      <w:r w:rsidRPr="00C1087F">
        <w:rPr>
          <w:rFonts w:ascii="Arial" w:hAnsi="Arial" w:cs="Arial"/>
          <w:szCs w:val="24"/>
        </w:rPr>
        <w:t xml:space="preserve"> is essentially an appeal against th</w:t>
      </w:r>
      <w:r w:rsidR="00E16C0C" w:rsidRPr="00C1087F">
        <w:rPr>
          <w:rFonts w:ascii="Arial" w:hAnsi="Arial" w:cs="Arial"/>
          <w:szCs w:val="24"/>
        </w:rPr>
        <w:t>e</w:t>
      </w:r>
      <w:r w:rsidRPr="00C1087F">
        <w:rPr>
          <w:rFonts w:ascii="Arial" w:hAnsi="Arial" w:cs="Arial"/>
          <w:szCs w:val="24"/>
        </w:rPr>
        <w:t xml:space="preserve"> outcome</w:t>
      </w:r>
      <w:r w:rsidR="00E16C0C" w:rsidRPr="00C1087F">
        <w:rPr>
          <w:rFonts w:ascii="Arial" w:hAnsi="Arial" w:cs="Arial"/>
          <w:szCs w:val="24"/>
        </w:rPr>
        <w:t xml:space="preserve"> of </w:t>
      </w:r>
      <w:r w:rsidR="001E0C88" w:rsidRPr="00C1087F">
        <w:rPr>
          <w:rFonts w:ascii="Arial" w:hAnsi="Arial" w:cs="Arial"/>
          <w:szCs w:val="24"/>
        </w:rPr>
        <w:t xml:space="preserve">a </w:t>
      </w:r>
      <w:r w:rsidR="00E16C0C" w:rsidRPr="00C1087F">
        <w:rPr>
          <w:rFonts w:ascii="Arial" w:hAnsi="Arial" w:cs="Arial"/>
          <w:szCs w:val="24"/>
        </w:rPr>
        <w:t>complaint</w:t>
      </w:r>
      <w:r w:rsidR="00E369B0" w:rsidRPr="00C1087F">
        <w:rPr>
          <w:rFonts w:ascii="Arial" w:hAnsi="Arial" w:cs="Arial"/>
          <w:szCs w:val="24"/>
        </w:rPr>
        <w:t>.</w:t>
      </w:r>
      <w:r w:rsidR="00AF3D8F" w:rsidRPr="00C1087F">
        <w:rPr>
          <w:rFonts w:ascii="Arial" w:hAnsi="Arial" w:cs="Arial"/>
          <w:szCs w:val="24"/>
        </w:rPr>
        <w:t xml:space="preserve"> N</w:t>
      </w:r>
      <w:r w:rsidR="00F31F10" w:rsidRPr="00C1087F">
        <w:rPr>
          <w:rFonts w:ascii="Arial" w:hAnsi="Arial" w:cs="Arial"/>
          <w:szCs w:val="24"/>
        </w:rPr>
        <w:t xml:space="preserve">othing in the language of </w:t>
      </w:r>
      <w:r w:rsidR="00AF3D8F" w:rsidRPr="00C1087F">
        <w:rPr>
          <w:rFonts w:ascii="Arial" w:hAnsi="Arial" w:cs="Arial"/>
          <w:szCs w:val="24"/>
        </w:rPr>
        <w:t>s</w:t>
      </w:r>
      <w:r w:rsidR="006B40A9" w:rsidRPr="00C1087F">
        <w:rPr>
          <w:rFonts w:ascii="Arial" w:hAnsi="Arial" w:cs="Arial"/>
          <w:szCs w:val="24"/>
        </w:rPr>
        <w:t>.</w:t>
      </w:r>
      <w:r w:rsidR="00AF3D8F" w:rsidRPr="00C1087F">
        <w:rPr>
          <w:rFonts w:ascii="Arial" w:hAnsi="Arial" w:cs="Arial"/>
          <w:szCs w:val="24"/>
        </w:rPr>
        <w:t xml:space="preserve">57, which refers </w:t>
      </w:r>
      <w:r w:rsidR="0017622F" w:rsidRPr="00C1087F">
        <w:rPr>
          <w:rFonts w:ascii="Arial" w:hAnsi="Arial" w:cs="Arial"/>
          <w:szCs w:val="24"/>
        </w:rPr>
        <w:t xml:space="preserve">simply </w:t>
      </w:r>
      <w:r w:rsidR="00AF3D8F" w:rsidRPr="00C1087F">
        <w:rPr>
          <w:rFonts w:ascii="Arial" w:hAnsi="Arial" w:cs="Arial"/>
          <w:szCs w:val="24"/>
        </w:rPr>
        <w:t xml:space="preserve">to </w:t>
      </w:r>
      <w:r w:rsidR="002A0C1D" w:rsidRPr="00C1087F">
        <w:rPr>
          <w:rFonts w:ascii="Arial" w:hAnsi="Arial" w:cs="Arial"/>
          <w:i/>
          <w:iCs/>
          <w:szCs w:val="24"/>
        </w:rPr>
        <w:t>‘</w:t>
      </w:r>
      <w:r w:rsidR="00861E1F" w:rsidRPr="00C1087F">
        <w:rPr>
          <w:rFonts w:ascii="Arial" w:hAnsi="Arial" w:cs="Arial"/>
          <w:i/>
          <w:iCs/>
          <w:szCs w:val="24"/>
        </w:rPr>
        <w:t xml:space="preserve">an appeal </w:t>
      </w:r>
      <w:r w:rsidR="009321CF" w:rsidRPr="00C1087F">
        <w:rPr>
          <w:rFonts w:ascii="Arial" w:hAnsi="Arial" w:cs="Arial"/>
          <w:i/>
          <w:iCs/>
          <w:szCs w:val="24"/>
        </w:rPr>
        <w:t xml:space="preserve">to the Tribunal </w:t>
      </w:r>
      <w:r w:rsidR="00861E1F" w:rsidRPr="00C1087F">
        <w:rPr>
          <w:rFonts w:ascii="Arial" w:hAnsi="Arial" w:cs="Arial"/>
          <w:i/>
          <w:iCs/>
          <w:szCs w:val="24"/>
        </w:rPr>
        <w:t>against the notice</w:t>
      </w:r>
      <w:r w:rsidR="00C27FE3" w:rsidRPr="00C1087F">
        <w:rPr>
          <w:rFonts w:ascii="Arial" w:hAnsi="Arial" w:cs="Arial"/>
          <w:i/>
          <w:iCs/>
          <w:szCs w:val="24"/>
        </w:rPr>
        <w:t xml:space="preserve"> </w:t>
      </w:r>
      <w:r w:rsidR="002A0C1D" w:rsidRPr="00C1087F">
        <w:rPr>
          <w:rFonts w:ascii="Arial" w:hAnsi="Arial" w:cs="Arial"/>
          <w:szCs w:val="24"/>
        </w:rPr>
        <w:t>[</w:t>
      </w:r>
      <w:r w:rsidR="009321CF" w:rsidRPr="00C1087F">
        <w:rPr>
          <w:rFonts w:ascii="Arial" w:hAnsi="Arial" w:cs="Arial"/>
          <w:szCs w:val="24"/>
        </w:rPr>
        <w:t>served</w:t>
      </w:r>
      <w:r w:rsidR="002A0C1D" w:rsidRPr="00C1087F">
        <w:rPr>
          <w:rFonts w:ascii="Arial" w:hAnsi="Arial" w:cs="Arial"/>
          <w:szCs w:val="24"/>
        </w:rPr>
        <w:t>]’</w:t>
      </w:r>
      <w:r w:rsidR="006B40A9" w:rsidRPr="00C1087F">
        <w:rPr>
          <w:rFonts w:ascii="Arial" w:hAnsi="Arial" w:cs="Arial"/>
          <w:szCs w:val="24"/>
        </w:rPr>
        <w:t>,</w:t>
      </w:r>
      <w:r w:rsidR="009321CF" w:rsidRPr="00C1087F">
        <w:rPr>
          <w:rFonts w:ascii="Arial" w:hAnsi="Arial" w:cs="Arial"/>
          <w:szCs w:val="24"/>
        </w:rPr>
        <w:t xml:space="preserve"> </w:t>
      </w:r>
      <w:r w:rsidR="00AF3D8F" w:rsidRPr="00C1087F">
        <w:rPr>
          <w:rFonts w:ascii="Arial" w:hAnsi="Arial" w:cs="Arial"/>
          <w:szCs w:val="24"/>
        </w:rPr>
        <w:t xml:space="preserve">suggests that </w:t>
      </w:r>
      <w:r w:rsidR="007E188E" w:rsidRPr="00C1087F">
        <w:rPr>
          <w:rFonts w:ascii="Arial" w:hAnsi="Arial" w:cs="Arial"/>
          <w:szCs w:val="24"/>
        </w:rPr>
        <w:t xml:space="preserve">the complainant </w:t>
      </w:r>
      <w:r w:rsidR="00BC1537" w:rsidRPr="00C1087F">
        <w:rPr>
          <w:rFonts w:ascii="Arial" w:hAnsi="Arial" w:cs="Arial"/>
          <w:szCs w:val="24"/>
        </w:rPr>
        <w:t xml:space="preserve">is </w:t>
      </w:r>
      <w:r w:rsidR="00921F5B" w:rsidRPr="00C1087F">
        <w:rPr>
          <w:rFonts w:ascii="Arial" w:hAnsi="Arial" w:cs="Arial"/>
          <w:szCs w:val="24"/>
        </w:rPr>
        <w:t xml:space="preserve">permitted </w:t>
      </w:r>
      <w:r w:rsidR="00305806" w:rsidRPr="00C1087F">
        <w:rPr>
          <w:rFonts w:ascii="Arial" w:hAnsi="Arial" w:cs="Arial"/>
          <w:szCs w:val="24"/>
        </w:rPr>
        <w:t xml:space="preserve">to </w:t>
      </w:r>
      <w:r w:rsidR="00103FF0" w:rsidRPr="00C1087F">
        <w:rPr>
          <w:rFonts w:ascii="Arial" w:hAnsi="Arial" w:cs="Arial"/>
          <w:szCs w:val="24"/>
        </w:rPr>
        <w:lastRenderedPageBreak/>
        <w:t>in</w:t>
      </w:r>
      <w:r w:rsidR="00C20639" w:rsidRPr="00C1087F">
        <w:rPr>
          <w:rFonts w:ascii="Arial" w:hAnsi="Arial" w:cs="Arial"/>
          <w:szCs w:val="24"/>
        </w:rPr>
        <w:t>troduce a wholly new complaint</w:t>
      </w:r>
      <w:r w:rsidR="001D2A41" w:rsidRPr="00C1087F">
        <w:rPr>
          <w:rFonts w:ascii="Arial" w:hAnsi="Arial" w:cs="Arial"/>
          <w:szCs w:val="24"/>
        </w:rPr>
        <w:t>,</w:t>
      </w:r>
      <w:r w:rsidR="00E140E6" w:rsidRPr="00C1087F">
        <w:rPr>
          <w:rFonts w:ascii="Arial" w:hAnsi="Arial" w:cs="Arial"/>
          <w:szCs w:val="24"/>
        </w:rPr>
        <w:t xml:space="preserve"> </w:t>
      </w:r>
      <w:r w:rsidR="00BC54FA" w:rsidRPr="00C1087F">
        <w:rPr>
          <w:rFonts w:ascii="Arial" w:hAnsi="Arial" w:cs="Arial"/>
          <w:szCs w:val="24"/>
        </w:rPr>
        <w:t xml:space="preserve">either in addition </w:t>
      </w:r>
      <w:r w:rsidR="00390AF7" w:rsidRPr="00C1087F">
        <w:rPr>
          <w:rFonts w:ascii="Arial" w:hAnsi="Arial" w:cs="Arial"/>
          <w:szCs w:val="24"/>
        </w:rPr>
        <w:t xml:space="preserve">or in substitution, </w:t>
      </w:r>
      <w:r w:rsidR="00E140E6" w:rsidRPr="00C1087F">
        <w:rPr>
          <w:rFonts w:ascii="Arial" w:hAnsi="Arial" w:cs="Arial"/>
          <w:szCs w:val="24"/>
        </w:rPr>
        <w:t xml:space="preserve">the </w:t>
      </w:r>
      <w:r w:rsidR="00395CDF" w:rsidRPr="00C1087F">
        <w:rPr>
          <w:rFonts w:ascii="Arial" w:hAnsi="Arial" w:cs="Arial"/>
          <w:szCs w:val="24"/>
        </w:rPr>
        <w:t xml:space="preserve">subject matter of </w:t>
      </w:r>
      <w:r w:rsidR="00921F5B" w:rsidRPr="00C1087F">
        <w:rPr>
          <w:rFonts w:ascii="Arial" w:hAnsi="Arial" w:cs="Arial"/>
          <w:szCs w:val="24"/>
        </w:rPr>
        <w:t xml:space="preserve">which is </w:t>
      </w:r>
      <w:r w:rsidR="00BB6E06" w:rsidRPr="00C1087F">
        <w:rPr>
          <w:rFonts w:ascii="Arial" w:hAnsi="Arial" w:cs="Arial"/>
          <w:szCs w:val="24"/>
        </w:rPr>
        <w:t xml:space="preserve">incapable of having been </w:t>
      </w:r>
      <w:r w:rsidR="001965B4" w:rsidRPr="00C1087F">
        <w:rPr>
          <w:rFonts w:ascii="Arial" w:hAnsi="Arial" w:cs="Arial"/>
          <w:szCs w:val="24"/>
        </w:rPr>
        <w:t xml:space="preserve">the subject matter of the </w:t>
      </w:r>
      <w:r w:rsidR="00390AF7" w:rsidRPr="00C1087F">
        <w:rPr>
          <w:rFonts w:ascii="Arial" w:hAnsi="Arial" w:cs="Arial"/>
          <w:szCs w:val="24"/>
        </w:rPr>
        <w:t xml:space="preserve">Commissioner’s </w:t>
      </w:r>
      <w:r w:rsidR="001965B4" w:rsidRPr="00C1087F">
        <w:rPr>
          <w:rFonts w:ascii="Arial" w:hAnsi="Arial" w:cs="Arial"/>
          <w:szCs w:val="24"/>
        </w:rPr>
        <w:t>decision notice.</w:t>
      </w:r>
      <w:r w:rsidR="006E19AB" w:rsidRPr="00C1087F">
        <w:rPr>
          <w:rFonts w:ascii="Arial" w:hAnsi="Arial" w:cs="Arial"/>
          <w:szCs w:val="24"/>
        </w:rPr>
        <w:t xml:space="preserve"> </w:t>
      </w:r>
      <w:r w:rsidR="004D5363" w:rsidRPr="00C1087F">
        <w:rPr>
          <w:rFonts w:ascii="Arial" w:hAnsi="Arial" w:cs="Arial"/>
          <w:szCs w:val="24"/>
        </w:rPr>
        <w:t xml:space="preserve">Although </w:t>
      </w:r>
      <w:r w:rsidR="00EC39CB" w:rsidRPr="00C1087F">
        <w:rPr>
          <w:rFonts w:ascii="Arial" w:hAnsi="Arial" w:cs="Arial"/>
          <w:szCs w:val="24"/>
        </w:rPr>
        <w:t xml:space="preserve">there may be good reasons why appeals </w:t>
      </w:r>
      <w:r w:rsidR="0010261E" w:rsidRPr="00C1087F">
        <w:rPr>
          <w:rFonts w:ascii="Arial" w:hAnsi="Arial" w:cs="Arial"/>
          <w:szCs w:val="24"/>
        </w:rPr>
        <w:t xml:space="preserve">linked to the same FOIA request should be heard together, that is a matter </w:t>
      </w:r>
      <w:r w:rsidR="002526C3" w:rsidRPr="00C1087F">
        <w:rPr>
          <w:rFonts w:ascii="Arial" w:hAnsi="Arial" w:cs="Arial"/>
          <w:szCs w:val="24"/>
        </w:rPr>
        <w:t xml:space="preserve">of </w:t>
      </w:r>
      <w:r w:rsidR="0010261E" w:rsidRPr="00C1087F">
        <w:rPr>
          <w:rFonts w:ascii="Arial" w:hAnsi="Arial" w:cs="Arial"/>
          <w:szCs w:val="24"/>
        </w:rPr>
        <w:t xml:space="preserve">case management </w:t>
      </w:r>
      <w:r w:rsidR="000E2ABD" w:rsidRPr="00C1087F">
        <w:rPr>
          <w:rFonts w:ascii="Arial" w:hAnsi="Arial" w:cs="Arial"/>
          <w:szCs w:val="24"/>
        </w:rPr>
        <w:t xml:space="preserve">rather than </w:t>
      </w:r>
      <w:r w:rsidR="002526C3" w:rsidRPr="00C1087F">
        <w:rPr>
          <w:rFonts w:ascii="Arial" w:hAnsi="Arial" w:cs="Arial"/>
          <w:szCs w:val="24"/>
        </w:rPr>
        <w:t xml:space="preserve">extension of </w:t>
      </w:r>
      <w:r w:rsidR="000E2ABD" w:rsidRPr="00C1087F">
        <w:rPr>
          <w:rFonts w:ascii="Arial" w:hAnsi="Arial" w:cs="Arial"/>
          <w:szCs w:val="24"/>
        </w:rPr>
        <w:t>jurisdiction.</w:t>
      </w:r>
    </w:p>
    <w:p w14:paraId="1E04CF17" w14:textId="44AD416B" w:rsidR="003050F1" w:rsidRPr="00C1087F" w:rsidRDefault="00AB47E9" w:rsidP="00DD7117">
      <w:pPr>
        <w:numPr>
          <w:ilvl w:val="0"/>
          <w:numId w:val="21"/>
        </w:numPr>
        <w:tabs>
          <w:tab w:val="left" w:pos="454"/>
          <w:tab w:val="left" w:pos="567"/>
          <w:tab w:val="left" w:pos="1134"/>
          <w:tab w:val="left" w:pos="1985"/>
        </w:tabs>
        <w:spacing w:after="120" w:line="276" w:lineRule="auto"/>
        <w:ind w:left="426" w:hanging="426"/>
        <w:jc w:val="both"/>
        <w:rPr>
          <w:rFonts w:ascii="Arial" w:hAnsi="Arial" w:cs="Arial"/>
          <w:szCs w:val="24"/>
        </w:rPr>
      </w:pPr>
      <w:r w:rsidRPr="00C1087F">
        <w:rPr>
          <w:rFonts w:ascii="Arial" w:hAnsi="Arial" w:cs="Arial"/>
          <w:szCs w:val="24"/>
        </w:rPr>
        <w:t xml:space="preserve">Fourthly, </w:t>
      </w:r>
      <w:r w:rsidR="006F3240" w:rsidRPr="00C1087F">
        <w:rPr>
          <w:rFonts w:ascii="Arial" w:hAnsi="Arial" w:cs="Arial"/>
          <w:szCs w:val="24"/>
        </w:rPr>
        <w:t xml:space="preserve">whilst </w:t>
      </w:r>
      <w:r w:rsidR="00F35744" w:rsidRPr="00C1087F">
        <w:rPr>
          <w:rFonts w:ascii="Arial" w:hAnsi="Arial" w:cs="Arial"/>
          <w:szCs w:val="24"/>
        </w:rPr>
        <w:t>I am not persuaded that</w:t>
      </w:r>
      <w:r w:rsidR="00CF7685" w:rsidRPr="00C1087F">
        <w:rPr>
          <w:rFonts w:ascii="Arial" w:hAnsi="Arial" w:cs="Arial"/>
          <w:szCs w:val="24"/>
        </w:rPr>
        <w:t xml:space="preserve"> </w:t>
      </w:r>
      <w:r w:rsidR="00015A2A" w:rsidRPr="00C1087F">
        <w:rPr>
          <w:rFonts w:ascii="Arial" w:hAnsi="Arial" w:cs="Arial"/>
          <w:szCs w:val="24"/>
        </w:rPr>
        <w:t xml:space="preserve">the </w:t>
      </w:r>
      <w:r w:rsidR="006F3240" w:rsidRPr="00C1087F">
        <w:rPr>
          <w:rFonts w:ascii="Arial" w:hAnsi="Arial" w:cs="Arial"/>
          <w:szCs w:val="24"/>
        </w:rPr>
        <w:t xml:space="preserve">‘no limitation’ </w:t>
      </w:r>
      <w:r w:rsidR="00015A2A" w:rsidRPr="00C1087F">
        <w:rPr>
          <w:rFonts w:ascii="Arial" w:hAnsi="Arial" w:cs="Arial"/>
          <w:szCs w:val="24"/>
        </w:rPr>
        <w:t xml:space="preserve">principle identified </w:t>
      </w:r>
      <w:r w:rsidR="00F67C94" w:rsidRPr="00C1087F">
        <w:rPr>
          <w:rFonts w:ascii="Arial" w:hAnsi="Arial" w:cs="Arial"/>
          <w:szCs w:val="24"/>
        </w:rPr>
        <w:t xml:space="preserve">at </w:t>
      </w:r>
      <w:r w:rsidR="00015A2A" w:rsidRPr="00C1087F">
        <w:rPr>
          <w:rFonts w:ascii="Arial" w:hAnsi="Arial" w:cs="Arial"/>
          <w:szCs w:val="24"/>
        </w:rPr>
        <w:t xml:space="preserve">paragraph 102 of </w:t>
      </w:r>
      <w:proofErr w:type="spellStart"/>
      <w:r w:rsidR="00D349DE" w:rsidRPr="00C1087F">
        <w:rPr>
          <w:rFonts w:ascii="Arial" w:hAnsi="Arial" w:cs="Arial"/>
          <w:i/>
          <w:iCs/>
          <w:szCs w:val="24"/>
          <w:u w:val="single"/>
        </w:rPr>
        <w:t>Malnick</w:t>
      </w:r>
      <w:proofErr w:type="spellEnd"/>
      <w:r w:rsidR="002D1CE8" w:rsidRPr="00C1087F">
        <w:rPr>
          <w:rFonts w:ascii="Arial" w:hAnsi="Arial" w:cs="Arial"/>
          <w:szCs w:val="24"/>
        </w:rPr>
        <w:t xml:space="preserve"> </w:t>
      </w:r>
      <w:r w:rsidR="00F67C94" w:rsidRPr="00C1087F">
        <w:rPr>
          <w:rFonts w:ascii="Arial" w:hAnsi="Arial" w:cs="Arial"/>
          <w:szCs w:val="24"/>
        </w:rPr>
        <w:t xml:space="preserve">should be understood </w:t>
      </w:r>
      <w:r w:rsidR="008572D5" w:rsidRPr="00C1087F">
        <w:rPr>
          <w:rFonts w:ascii="Arial" w:hAnsi="Arial" w:cs="Arial"/>
          <w:szCs w:val="24"/>
        </w:rPr>
        <w:t xml:space="preserve">as applying </w:t>
      </w:r>
      <w:r w:rsidR="00F67C94" w:rsidRPr="00C1087F">
        <w:rPr>
          <w:rFonts w:ascii="Arial" w:hAnsi="Arial" w:cs="Arial"/>
          <w:szCs w:val="24"/>
        </w:rPr>
        <w:t>only to exemption</w:t>
      </w:r>
      <w:r w:rsidR="004D5D81" w:rsidRPr="00C1087F">
        <w:rPr>
          <w:rFonts w:ascii="Arial" w:hAnsi="Arial" w:cs="Arial"/>
          <w:szCs w:val="24"/>
        </w:rPr>
        <w:t>s</w:t>
      </w:r>
      <w:r w:rsidR="005836C0" w:rsidRPr="00C1087F">
        <w:rPr>
          <w:rFonts w:ascii="Arial" w:hAnsi="Arial" w:cs="Arial"/>
          <w:szCs w:val="24"/>
        </w:rPr>
        <w:t xml:space="preserve"> – mainly because not every decision notice concerns exemption</w:t>
      </w:r>
      <w:r w:rsidR="0029691C" w:rsidRPr="00C1087F">
        <w:rPr>
          <w:rFonts w:ascii="Arial" w:hAnsi="Arial" w:cs="Arial"/>
          <w:szCs w:val="24"/>
        </w:rPr>
        <w:t>s</w:t>
      </w:r>
      <w:r w:rsidR="005836C0" w:rsidRPr="00C1087F">
        <w:rPr>
          <w:rFonts w:ascii="Arial" w:hAnsi="Arial" w:cs="Arial"/>
          <w:szCs w:val="24"/>
        </w:rPr>
        <w:t xml:space="preserve"> </w:t>
      </w:r>
      <w:r w:rsidR="0029691C" w:rsidRPr="00C1087F">
        <w:rPr>
          <w:rFonts w:ascii="Arial" w:hAnsi="Arial" w:cs="Arial"/>
          <w:szCs w:val="24"/>
        </w:rPr>
        <w:t>–</w:t>
      </w:r>
      <w:r w:rsidR="005836C0" w:rsidRPr="00C1087F">
        <w:rPr>
          <w:rFonts w:ascii="Arial" w:hAnsi="Arial" w:cs="Arial"/>
          <w:szCs w:val="24"/>
        </w:rPr>
        <w:t xml:space="preserve"> </w:t>
      </w:r>
      <w:r w:rsidR="0029691C" w:rsidRPr="00C1087F">
        <w:rPr>
          <w:rFonts w:ascii="Arial" w:hAnsi="Arial" w:cs="Arial"/>
          <w:szCs w:val="24"/>
        </w:rPr>
        <w:t xml:space="preserve">s.57(1) imposes </w:t>
      </w:r>
      <w:r w:rsidR="00C5286C" w:rsidRPr="00C1087F">
        <w:rPr>
          <w:rFonts w:ascii="Arial" w:hAnsi="Arial" w:cs="Arial"/>
          <w:szCs w:val="24"/>
        </w:rPr>
        <w:t xml:space="preserve">a statutory limitation on </w:t>
      </w:r>
      <w:r w:rsidR="00601854" w:rsidRPr="00C1087F">
        <w:rPr>
          <w:rFonts w:ascii="Arial" w:hAnsi="Arial" w:cs="Arial"/>
          <w:szCs w:val="24"/>
        </w:rPr>
        <w:t xml:space="preserve">the </w:t>
      </w:r>
      <w:r w:rsidR="00C5286C" w:rsidRPr="00C1087F">
        <w:rPr>
          <w:rFonts w:ascii="Arial" w:hAnsi="Arial" w:cs="Arial"/>
          <w:szCs w:val="24"/>
        </w:rPr>
        <w:t xml:space="preserve">issues </w:t>
      </w:r>
      <w:r w:rsidR="00817165" w:rsidRPr="00C1087F">
        <w:rPr>
          <w:rFonts w:ascii="Arial" w:hAnsi="Arial" w:cs="Arial"/>
          <w:szCs w:val="24"/>
        </w:rPr>
        <w:t>that may be considered</w:t>
      </w:r>
      <w:r w:rsidR="009E5145" w:rsidRPr="00C1087F">
        <w:rPr>
          <w:rFonts w:ascii="Arial" w:hAnsi="Arial" w:cs="Arial"/>
          <w:szCs w:val="24"/>
        </w:rPr>
        <w:t xml:space="preserve"> by the FTT</w:t>
      </w:r>
      <w:r w:rsidR="00817165" w:rsidRPr="00C1087F">
        <w:rPr>
          <w:rFonts w:ascii="Arial" w:hAnsi="Arial" w:cs="Arial"/>
          <w:szCs w:val="24"/>
        </w:rPr>
        <w:t>.</w:t>
      </w:r>
      <w:r w:rsidR="00C65CB2" w:rsidRPr="00C1087F">
        <w:rPr>
          <w:rFonts w:ascii="Arial" w:hAnsi="Arial" w:cs="Arial"/>
          <w:szCs w:val="24"/>
        </w:rPr>
        <w:t xml:space="preserve"> The</w:t>
      </w:r>
      <w:r w:rsidR="000423DC" w:rsidRPr="00C1087F">
        <w:rPr>
          <w:rFonts w:ascii="Arial" w:hAnsi="Arial" w:cs="Arial"/>
          <w:szCs w:val="24"/>
        </w:rPr>
        <w:t xml:space="preserve"> right of appeal </w:t>
      </w:r>
      <w:r w:rsidR="00C65CB2" w:rsidRPr="00C1087F">
        <w:rPr>
          <w:rFonts w:ascii="Arial" w:hAnsi="Arial" w:cs="Arial"/>
          <w:szCs w:val="24"/>
        </w:rPr>
        <w:t xml:space="preserve">to the </w:t>
      </w:r>
      <w:r w:rsidR="009E5145" w:rsidRPr="00C1087F">
        <w:rPr>
          <w:rFonts w:ascii="Arial" w:hAnsi="Arial" w:cs="Arial"/>
          <w:szCs w:val="24"/>
        </w:rPr>
        <w:t xml:space="preserve">tribunal </w:t>
      </w:r>
      <w:r w:rsidR="00C65CB2" w:rsidRPr="00C1087F">
        <w:rPr>
          <w:rFonts w:ascii="Arial" w:hAnsi="Arial" w:cs="Arial"/>
          <w:szCs w:val="24"/>
        </w:rPr>
        <w:t xml:space="preserve">arises solely </w:t>
      </w:r>
      <w:r w:rsidR="000423DC" w:rsidRPr="00C1087F">
        <w:rPr>
          <w:rFonts w:ascii="Arial" w:hAnsi="Arial" w:cs="Arial"/>
          <w:szCs w:val="24"/>
        </w:rPr>
        <w:t xml:space="preserve">in relation to </w:t>
      </w:r>
      <w:r w:rsidR="00BC4955" w:rsidRPr="00C1087F">
        <w:rPr>
          <w:rFonts w:ascii="Arial" w:hAnsi="Arial" w:cs="Arial"/>
          <w:szCs w:val="24"/>
        </w:rPr>
        <w:t xml:space="preserve">the </w:t>
      </w:r>
      <w:r w:rsidR="000423DC" w:rsidRPr="00C1087F">
        <w:rPr>
          <w:rFonts w:ascii="Arial" w:hAnsi="Arial" w:cs="Arial"/>
          <w:szCs w:val="24"/>
        </w:rPr>
        <w:t xml:space="preserve">Commissioner’s </w:t>
      </w:r>
      <w:r w:rsidR="00BC4955" w:rsidRPr="00C1087F">
        <w:rPr>
          <w:rFonts w:ascii="Arial" w:hAnsi="Arial" w:cs="Arial"/>
          <w:szCs w:val="24"/>
        </w:rPr>
        <w:t>decision notice</w:t>
      </w:r>
      <w:r w:rsidR="002B6786" w:rsidRPr="00C1087F">
        <w:rPr>
          <w:rFonts w:ascii="Arial" w:hAnsi="Arial" w:cs="Arial"/>
          <w:szCs w:val="24"/>
        </w:rPr>
        <w:t xml:space="preserve">. </w:t>
      </w:r>
      <w:r w:rsidR="008F7FB9" w:rsidRPr="00C1087F">
        <w:rPr>
          <w:rFonts w:ascii="Arial" w:hAnsi="Arial" w:cs="Arial"/>
          <w:szCs w:val="24"/>
        </w:rPr>
        <w:t>The FTT considers</w:t>
      </w:r>
      <w:r w:rsidR="006D58A5" w:rsidRPr="00C1087F">
        <w:rPr>
          <w:rFonts w:ascii="Arial" w:hAnsi="Arial" w:cs="Arial"/>
          <w:szCs w:val="24"/>
        </w:rPr>
        <w:t>,</w:t>
      </w:r>
      <w:r w:rsidR="008F7FB9" w:rsidRPr="00C1087F">
        <w:rPr>
          <w:rFonts w:ascii="Arial" w:hAnsi="Arial" w:cs="Arial"/>
          <w:szCs w:val="24"/>
        </w:rPr>
        <w:t xml:space="preserve"> </w:t>
      </w:r>
      <w:r w:rsidR="005E2D88" w:rsidRPr="00C1087F">
        <w:rPr>
          <w:rFonts w:ascii="Arial" w:hAnsi="Arial" w:cs="Arial"/>
          <w:i/>
          <w:iCs/>
          <w:szCs w:val="24"/>
        </w:rPr>
        <w:t>de novo</w:t>
      </w:r>
      <w:r w:rsidR="006D58A5" w:rsidRPr="00C1087F">
        <w:rPr>
          <w:rFonts w:ascii="Arial" w:hAnsi="Arial" w:cs="Arial"/>
          <w:i/>
          <w:iCs/>
          <w:szCs w:val="24"/>
        </w:rPr>
        <w:t>,</w:t>
      </w:r>
      <w:r w:rsidR="005E2D88" w:rsidRPr="00C1087F">
        <w:rPr>
          <w:rFonts w:ascii="Arial" w:hAnsi="Arial" w:cs="Arial"/>
          <w:i/>
          <w:iCs/>
          <w:szCs w:val="24"/>
        </w:rPr>
        <w:t xml:space="preserve"> </w:t>
      </w:r>
      <w:r w:rsidR="008F7FB9" w:rsidRPr="00C1087F">
        <w:rPr>
          <w:rFonts w:ascii="Arial" w:hAnsi="Arial" w:cs="Arial"/>
          <w:szCs w:val="24"/>
        </w:rPr>
        <w:t xml:space="preserve">the </w:t>
      </w:r>
      <w:r w:rsidR="00E267AF" w:rsidRPr="00C1087F">
        <w:rPr>
          <w:rFonts w:ascii="Arial" w:hAnsi="Arial" w:cs="Arial"/>
          <w:szCs w:val="24"/>
        </w:rPr>
        <w:t>decision taken by the Commissioner</w:t>
      </w:r>
      <w:r w:rsidR="004D0657" w:rsidRPr="00C1087F">
        <w:rPr>
          <w:rFonts w:ascii="Arial" w:hAnsi="Arial" w:cs="Arial"/>
          <w:szCs w:val="24"/>
        </w:rPr>
        <w:t xml:space="preserve"> and</w:t>
      </w:r>
      <w:r w:rsidR="00D955D3" w:rsidRPr="00C1087F">
        <w:rPr>
          <w:rFonts w:ascii="Arial" w:hAnsi="Arial" w:cs="Arial"/>
          <w:szCs w:val="24"/>
        </w:rPr>
        <w:t>,</w:t>
      </w:r>
      <w:r w:rsidR="00DE71F9" w:rsidRPr="00C1087F">
        <w:rPr>
          <w:rFonts w:ascii="Arial" w:hAnsi="Arial" w:cs="Arial"/>
          <w:szCs w:val="24"/>
        </w:rPr>
        <w:t xml:space="preserve"> </w:t>
      </w:r>
      <w:r w:rsidR="00C6629A" w:rsidRPr="00C1087F">
        <w:rPr>
          <w:rFonts w:ascii="Arial" w:hAnsi="Arial" w:cs="Arial"/>
          <w:szCs w:val="24"/>
        </w:rPr>
        <w:t xml:space="preserve">applying </w:t>
      </w:r>
      <w:r w:rsidR="00D955D3" w:rsidRPr="00C1087F">
        <w:rPr>
          <w:rFonts w:ascii="Arial" w:hAnsi="Arial" w:cs="Arial"/>
          <w:i/>
          <w:iCs/>
          <w:szCs w:val="24"/>
          <w:u w:val="single"/>
        </w:rPr>
        <w:t>Birkett</w:t>
      </w:r>
      <w:r w:rsidR="00D955D3" w:rsidRPr="00C1087F">
        <w:rPr>
          <w:rFonts w:ascii="Arial" w:hAnsi="Arial" w:cs="Arial"/>
          <w:szCs w:val="24"/>
        </w:rPr>
        <w:t xml:space="preserve"> and </w:t>
      </w:r>
      <w:proofErr w:type="spellStart"/>
      <w:r w:rsidR="00C33560" w:rsidRPr="00C1087F">
        <w:rPr>
          <w:rFonts w:ascii="Arial" w:hAnsi="Arial" w:cs="Arial"/>
          <w:i/>
          <w:iCs/>
          <w:szCs w:val="24"/>
          <w:u w:val="single"/>
        </w:rPr>
        <w:t>Malnick</w:t>
      </w:r>
      <w:proofErr w:type="spellEnd"/>
      <w:r w:rsidR="00C33560" w:rsidRPr="00C1087F">
        <w:rPr>
          <w:rFonts w:ascii="Arial" w:hAnsi="Arial" w:cs="Arial"/>
          <w:i/>
          <w:iCs/>
          <w:szCs w:val="24"/>
          <w:u w:val="single"/>
        </w:rPr>
        <w:t>,</w:t>
      </w:r>
      <w:r w:rsidR="00C33560" w:rsidRPr="00C1087F">
        <w:rPr>
          <w:rFonts w:ascii="Arial" w:hAnsi="Arial" w:cs="Arial"/>
          <w:szCs w:val="24"/>
        </w:rPr>
        <w:t xml:space="preserve"> </w:t>
      </w:r>
      <w:r w:rsidR="00DE71F9" w:rsidRPr="00C1087F">
        <w:rPr>
          <w:rFonts w:ascii="Arial" w:hAnsi="Arial" w:cs="Arial"/>
          <w:szCs w:val="24"/>
        </w:rPr>
        <w:t xml:space="preserve">the FTT </w:t>
      </w:r>
      <w:r w:rsidR="00392418" w:rsidRPr="00C1087F">
        <w:rPr>
          <w:rFonts w:ascii="Arial" w:hAnsi="Arial" w:cs="Arial"/>
          <w:szCs w:val="24"/>
        </w:rPr>
        <w:t xml:space="preserve">must not </w:t>
      </w:r>
      <w:r w:rsidR="00BD3226" w:rsidRPr="00C1087F">
        <w:rPr>
          <w:rFonts w:ascii="Arial" w:hAnsi="Arial" w:cs="Arial"/>
          <w:szCs w:val="24"/>
        </w:rPr>
        <w:t>restrict</w:t>
      </w:r>
      <w:r w:rsidR="0044588B" w:rsidRPr="00C1087F">
        <w:rPr>
          <w:rFonts w:ascii="Arial" w:hAnsi="Arial" w:cs="Arial"/>
          <w:szCs w:val="24"/>
        </w:rPr>
        <w:t xml:space="preserve"> its consideration</w:t>
      </w:r>
      <w:r w:rsidR="004E4ECD" w:rsidRPr="00C1087F">
        <w:rPr>
          <w:rFonts w:ascii="Arial" w:hAnsi="Arial" w:cs="Arial"/>
          <w:szCs w:val="24"/>
        </w:rPr>
        <w:t>s</w:t>
      </w:r>
      <w:r w:rsidR="00BD3226" w:rsidRPr="00C1087F">
        <w:rPr>
          <w:rFonts w:ascii="Arial" w:hAnsi="Arial" w:cs="Arial"/>
          <w:szCs w:val="24"/>
        </w:rPr>
        <w:t xml:space="preserve"> to </w:t>
      </w:r>
      <w:r w:rsidR="003B5094" w:rsidRPr="00C1087F">
        <w:rPr>
          <w:rFonts w:ascii="Arial" w:hAnsi="Arial" w:cs="Arial"/>
          <w:szCs w:val="24"/>
        </w:rPr>
        <w:t xml:space="preserve">the </w:t>
      </w:r>
      <w:r w:rsidR="003C2CCA" w:rsidRPr="00C1087F">
        <w:rPr>
          <w:rFonts w:ascii="Arial" w:hAnsi="Arial" w:cs="Arial"/>
          <w:szCs w:val="24"/>
        </w:rPr>
        <w:t xml:space="preserve">matters </w:t>
      </w:r>
      <w:r w:rsidR="003B5094" w:rsidRPr="00C1087F">
        <w:rPr>
          <w:rFonts w:ascii="Arial" w:hAnsi="Arial" w:cs="Arial"/>
          <w:szCs w:val="24"/>
        </w:rPr>
        <w:t xml:space="preserve">the Commissioner has </w:t>
      </w:r>
      <w:r w:rsidR="00201004" w:rsidRPr="00C1087F">
        <w:rPr>
          <w:rFonts w:ascii="Arial" w:hAnsi="Arial" w:cs="Arial"/>
          <w:szCs w:val="24"/>
        </w:rPr>
        <w:t>considered</w:t>
      </w:r>
      <w:r w:rsidR="00204B64">
        <w:rPr>
          <w:rFonts w:ascii="Arial" w:hAnsi="Arial" w:cs="Arial"/>
          <w:szCs w:val="24"/>
        </w:rPr>
        <w:t xml:space="preserve"> </w:t>
      </w:r>
      <w:r w:rsidR="00984E5A">
        <w:rPr>
          <w:rFonts w:ascii="Arial" w:hAnsi="Arial" w:cs="Arial"/>
          <w:szCs w:val="24"/>
        </w:rPr>
        <w:t xml:space="preserve">when making that </w:t>
      </w:r>
      <w:r w:rsidR="00E260C3" w:rsidRPr="00C1087F">
        <w:rPr>
          <w:rFonts w:ascii="Arial" w:hAnsi="Arial" w:cs="Arial"/>
          <w:szCs w:val="24"/>
        </w:rPr>
        <w:t>decision</w:t>
      </w:r>
      <w:r w:rsidR="006C0B8B" w:rsidRPr="00C1087F">
        <w:rPr>
          <w:rFonts w:ascii="Arial" w:hAnsi="Arial" w:cs="Arial"/>
          <w:szCs w:val="24"/>
        </w:rPr>
        <w:t>,</w:t>
      </w:r>
      <w:r w:rsidR="007105BC" w:rsidRPr="00C1087F">
        <w:rPr>
          <w:rFonts w:ascii="Arial" w:hAnsi="Arial" w:cs="Arial"/>
          <w:szCs w:val="24"/>
        </w:rPr>
        <w:t xml:space="preserve"> or indeed to the subject matter of the </w:t>
      </w:r>
      <w:r w:rsidR="00A46193" w:rsidRPr="00C1087F">
        <w:rPr>
          <w:rFonts w:ascii="Arial" w:hAnsi="Arial" w:cs="Arial"/>
          <w:szCs w:val="24"/>
        </w:rPr>
        <w:t xml:space="preserve">s.50 </w:t>
      </w:r>
      <w:r w:rsidR="007105BC" w:rsidRPr="00C1087F">
        <w:rPr>
          <w:rFonts w:ascii="Arial" w:hAnsi="Arial" w:cs="Arial"/>
          <w:szCs w:val="24"/>
        </w:rPr>
        <w:t>complaint</w:t>
      </w:r>
      <w:r w:rsidR="00B434D3" w:rsidRPr="00C1087F">
        <w:rPr>
          <w:rFonts w:ascii="Arial" w:hAnsi="Arial" w:cs="Arial"/>
          <w:szCs w:val="24"/>
        </w:rPr>
        <w:t>.</w:t>
      </w:r>
      <w:r w:rsidR="00B7242B" w:rsidRPr="00C1087F">
        <w:rPr>
          <w:rFonts w:ascii="Arial" w:hAnsi="Arial" w:cs="Arial"/>
          <w:szCs w:val="24"/>
        </w:rPr>
        <w:t xml:space="preserve"> </w:t>
      </w:r>
      <w:r w:rsidR="007F07FE" w:rsidRPr="00C1087F">
        <w:rPr>
          <w:rFonts w:ascii="Arial" w:hAnsi="Arial" w:cs="Arial"/>
          <w:szCs w:val="24"/>
        </w:rPr>
        <w:t xml:space="preserve">Within that context </w:t>
      </w:r>
      <w:r w:rsidR="00B7242B" w:rsidRPr="00C1087F">
        <w:rPr>
          <w:rFonts w:ascii="Arial" w:hAnsi="Arial" w:cs="Arial"/>
          <w:szCs w:val="24"/>
        </w:rPr>
        <w:t xml:space="preserve">there is no limit on the issues the FTT can address, provided they </w:t>
      </w:r>
      <w:r w:rsidR="00635494" w:rsidRPr="00C1087F">
        <w:rPr>
          <w:rFonts w:ascii="Arial" w:hAnsi="Arial" w:cs="Arial"/>
          <w:szCs w:val="24"/>
        </w:rPr>
        <w:t xml:space="preserve">concern </w:t>
      </w:r>
      <w:r w:rsidR="001C2ADB" w:rsidRPr="00C1087F">
        <w:rPr>
          <w:rFonts w:ascii="Arial" w:hAnsi="Arial" w:cs="Arial"/>
          <w:szCs w:val="24"/>
        </w:rPr>
        <w:t xml:space="preserve">the decision notice </w:t>
      </w:r>
      <w:r w:rsidR="00635494" w:rsidRPr="00C1087F">
        <w:rPr>
          <w:rFonts w:ascii="Arial" w:hAnsi="Arial" w:cs="Arial"/>
          <w:szCs w:val="24"/>
        </w:rPr>
        <w:t xml:space="preserve">that is </w:t>
      </w:r>
      <w:r w:rsidR="00CB7528" w:rsidRPr="00C1087F">
        <w:rPr>
          <w:rFonts w:ascii="Arial" w:hAnsi="Arial" w:cs="Arial"/>
          <w:szCs w:val="24"/>
        </w:rPr>
        <w:t>being appealed</w:t>
      </w:r>
      <w:r w:rsidR="001C2ADB" w:rsidRPr="00C1087F">
        <w:rPr>
          <w:rFonts w:ascii="Arial" w:hAnsi="Arial" w:cs="Arial"/>
          <w:szCs w:val="24"/>
        </w:rPr>
        <w:t>.</w:t>
      </w:r>
      <w:r w:rsidR="00B434D3" w:rsidRPr="00C1087F">
        <w:rPr>
          <w:rFonts w:ascii="Arial" w:hAnsi="Arial" w:cs="Arial"/>
          <w:szCs w:val="24"/>
        </w:rPr>
        <w:t xml:space="preserve"> </w:t>
      </w:r>
    </w:p>
    <w:p w14:paraId="38EC9BEF" w14:textId="02B50A0C" w:rsidR="0009495E" w:rsidRPr="00C1087F" w:rsidRDefault="009F4409" w:rsidP="00DD7117">
      <w:pPr>
        <w:numPr>
          <w:ilvl w:val="0"/>
          <w:numId w:val="21"/>
        </w:numPr>
        <w:tabs>
          <w:tab w:val="left" w:pos="454"/>
          <w:tab w:val="left" w:pos="567"/>
          <w:tab w:val="left" w:pos="1134"/>
          <w:tab w:val="left" w:pos="1985"/>
        </w:tabs>
        <w:spacing w:after="120" w:line="276" w:lineRule="auto"/>
        <w:ind w:left="426" w:hanging="426"/>
        <w:jc w:val="both"/>
        <w:rPr>
          <w:rFonts w:ascii="Arial" w:hAnsi="Arial" w:cs="Arial"/>
          <w:szCs w:val="24"/>
        </w:rPr>
      </w:pPr>
      <w:r w:rsidRPr="00C1087F">
        <w:rPr>
          <w:rFonts w:ascii="Arial" w:hAnsi="Arial" w:cs="Arial"/>
          <w:szCs w:val="24"/>
        </w:rPr>
        <w:t>F</w:t>
      </w:r>
      <w:r w:rsidR="00067EBB" w:rsidRPr="00C1087F">
        <w:rPr>
          <w:rFonts w:ascii="Arial" w:hAnsi="Arial" w:cs="Arial"/>
          <w:szCs w:val="24"/>
        </w:rPr>
        <w:t>inally</w:t>
      </w:r>
      <w:r w:rsidRPr="00C1087F">
        <w:rPr>
          <w:rFonts w:ascii="Arial" w:hAnsi="Arial" w:cs="Arial"/>
          <w:szCs w:val="24"/>
        </w:rPr>
        <w:t xml:space="preserve">, </w:t>
      </w:r>
      <w:r w:rsidR="00A55303" w:rsidRPr="00C1087F">
        <w:rPr>
          <w:rFonts w:ascii="Arial" w:hAnsi="Arial" w:cs="Arial"/>
          <w:szCs w:val="24"/>
        </w:rPr>
        <w:t xml:space="preserve">and </w:t>
      </w:r>
      <w:r w:rsidRPr="00C1087F">
        <w:rPr>
          <w:rFonts w:ascii="Arial" w:hAnsi="Arial" w:cs="Arial"/>
          <w:szCs w:val="24"/>
        </w:rPr>
        <w:t xml:space="preserve">as previewed at the oral hearing, </w:t>
      </w:r>
      <w:r w:rsidR="008417CF" w:rsidRPr="00C1087F">
        <w:rPr>
          <w:rFonts w:ascii="Arial" w:hAnsi="Arial" w:cs="Arial"/>
          <w:szCs w:val="24"/>
        </w:rPr>
        <w:t xml:space="preserve">it seems to me </w:t>
      </w:r>
      <w:r w:rsidRPr="00C1087F">
        <w:rPr>
          <w:rFonts w:ascii="Arial" w:hAnsi="Arial" w:cs="Arial"/>
          <w:szCs w:val="24"/>
        </w:rPr>
        <w:t xml:space="preserve">that the </w:t>
      </w:r>
      <w:r w:rsidR="00A55303" w:rsidRPr="00C1087F">
        <w:rPr>
          <w:rFonts w:ascii="Arial" w:hAnsi="Arial" w:cs="Arial"/>
          <w:szCs w:val="24"/>
        </w:rPr>
        <w:t xml:space="preserve">more recent </w:t>
      </w:r>
      <w:r w:rsidR="00EE2D81" w:rsidRPr="00C1087F">
        <w:rPr>
          <w:rFonts w:ascii="Arial" w:hAnsi="Arial" w:cs="Arial"/>
          <w:szCs w:val="24"/>
        </w:rPr>
        <w:t xml:space="preserve">decision of the Upper Tribunal in </w:t>
      </w:r>
      <w:r w:rsidR="00EE2D81" w:rsidRPr="00C1087F">
        <w:rPr>
          <w:rFonts w:ascii="Arial" w:hAnsi="Arial" w:cs="Arial"/>
          <w:i/>
          <w:iCs/>
          <w:szCs w:val="24"/>
          <w:u w:val="single"/>
        </w:rPr>
        <w:t>Montague</w:t>
      </w:r>
      <w:r w:rsidR="00744B1A" w:rsidRPr="00C1087F">
        <w:rPr>
          <w:rFonts w:ascii="Arial" w:hAnsi="Arial" w:cs="Arial"/>
          <w:szCs w:val="24"/>
        </w:rPr>
        <w:t xml:space="preserve"> provides the remaining piece of th</w:t>
      </w:r>
      <w:r w:rsidR="008417CF" w:rsidRPr="00C1087F">
        <w:rPr>
          <w:rFonts w:ascii="Arial" w:hAnsi="Arial" w:cs="Arial"/>
          <w:szCs w:val="24"/>
        </w:rPr>
        <w:t xml:space="preserve">is particular </w:t>
      </w:r>
      <w:r w:rsidR="00744B1A" w:rsidRPr="00C1087F">
        <w:rPr>
          <w:rFonts w:ascii="Arial" w:hAnsi="Arial" w:cs="Arial"/>
          <w:szCs w:val="24"/>
        </w:rPr>
        <w:t xml:space="preserve">puzzle. </w:t>
      </w:r>
      <w:r w:rsidR="008C661D" w:rsidRPr="00C1087F">
        <w:rPr>
          <w:rFonts w:ascii="Arial" w:hAnsi="Arial" w:cs="Arial"/>
          <w:szCs w:val="24"/>
        </w:rPr>
        <w:t>Th</w:t>
      </w:r>
      <w:r w:rsidR="00C819DC" w:rsidRPr="00C1087F">
        <w:rPr>
          <w:rFonts w:ascii="Arial" w:hAnsi="Arial" w:cs="Arial"/>
          <w:szCs w:val="24"/>
        </w:rPr>
        <w:t>at case</w:t>
      </w:r>
      <w:r w:rsidR="00976DCA" w:rsidRPr="00C1087F">
        <w:rPr>
          <w:rFonts w:ascii="Arial" w:hAnsi="Arial" w:cs="Arial"/>
          <w:szCs w:val="24"/>
        </w:rPr>
        <w:t xml:space="preserve"> </w:t>
      </w:r>
      <w:r w:rsidR="008C661D" w:rsidRPr="00C1087F">
        <w:rPr>
          <w:rFonts w:ascii="Arial" w:hAnsi="Arial" w:cs="Arial"/>
          <w:szCs w:val="24"/>
        </w:rPr>
        <w:t xml:space="preserve">was primarily </w:t>
      </w:r>
      <w:r w:rsidR="008053C3" w:rsidRPr="00C1087F">
        <w:rPr>
          <w:rFonts w:ascii="Arial" w:hAnsi="Arial" w:cs="Arial"/>
          <w:szCs w:val="24"/>
        </w:rPr>
        <w:t xml:space="preserve">concerned with </w:t>
      </w:r>
      <w:r w:rsidR="005F767C" w:rsidRPr="00C1087F">
        <w:rPr>
          <w:rFonts w:ascii="Arial" w:hAnsi="Arial" w:cs="Arial"/>
          <w:szCs w:val="24"/>
        </w:rPr>
        <w:t xml:space="preserve">the question of </w:t>
      </w:r>
      <w:r w:rsidR="008053C3" w:rsidRPr="00C1087F">
        <w:rPr>
          <w:rFonts w:ascii="Arial" w:hAnsi="Arial" w:cs="Arial"/>
          <w:szCs w:val="24"/>
        </w:rPr>
        <w:t>whether the applicable date</w:t>
      </w:r>
      <w:r w:rsidR="005232A5" w:rsidRPr="00C1087F">
        <w:rPr>
          <w:rFonts w:ascii="Arial" w:hAnsi="Arial" w:cs="Arial"/>
          <w:szCs w:val="24"/>
        </w:rPr>
        <w:t xml:space="preserve"> at which </w:t>
      </w:r>
      <w:r w:rsidR="00FA497A" w:rsidRPr="00C1087F">
        <w:rPr>
          <w:rFonts w:ascii="Arial" w:hAnsi="Arial" w:cs="Arial"/>
          <w:szCs w:val="24"/>
        </w:rPr>
        <w:t>the Commissioner (at stage (b)) and th</w:t>
      </w:r>
      <w:r w:rsidR="004E4ECD" w:rsidRPr="00C1087F">
        <w:rPr>
          <w:rFonts w:ascii="Arial" w:hAnsi="Arial" w:cs="Arial"/>
          <w:szCs w:val="24"/>
        </w:rPr>
        <w:t>e FTT</w:t>
      </w:r>
      <w:r w:rsidR="009A35BF" w:rsidRPr="00C1087F">
        <w:rPr>
          <w:rFonts w:ascii="Arial" w:hAnsi="Arial" w:cs="Arial"/>
          <w:szCs w:val="24"/>
        </w:rPr>
        <w:t xml:space="preserve"> </w:t>
      </w:r>
      <w:r w:rsidR="00FA497A" w:rsidRPr="00C1087F">
        <w:rPr>
          <w:rFonts w:ascii="Arial" w:hAnsi="Arial" w:cs="Arial"/>
          <w:szCs w:val="24"/>
        </w:rPr>
        <w:t xml:space="preserve">(at stage (c)) </w:t>
      </w:r>
      <w:r w:rsidR="009A35BF" w:rsidRPr="00C1087F">
        <w:rPr>
          <w:rFonts w:ascii="Arial" w:hAnsi="Arial" w:cs="Arial"/>
          <w:szCs w:val="24"/>
        </w:rPr>
        <w:t xml:space="preserve">must </w:t>
      </w:r>
      <w:r w:rsidR="00E11D35" w:rsidRPr="00C1087F">
        <w:rPr>
          <w:rFonts w:ascii="Arial" w:hAnsi="Arial" w:cs="Arial"/>
          <w:szCs w:val="24"/>
        </w:rPr>
        <w:t>“</w:t>
      </w:r>
      <w:r w:rsidR="00D349DE" w:rsidRPr="00C1087F">
        <w:rPr>
          <w:rFonts w:ascii="Arial" w:hAnsi="Arial" w:cs="Arial"/>
          <w:i/>
          <w:iCs/>
          <w:szCs w:val="24"/>
        </w:rPr>
        <w:t xml:space="preserve">consider </w:t>
      </w:r>
      <w:r w:rsidR="005C54C5" w:rsidRPr="00C1087F">
        <w:rPr>
          <w:rFonts w:ascii="Arial" w:hAnsi="Arial" w:cs="Arial"/>
          <w:i/>
          <w:iCs/>
          <w:szCs w:val="24"/>
        </w:rPr>
        <w:t>…</w:t>
      </w:r>
      <w:r w:rsidR="00D349DE" w:rsidRPr="00C1087F">
        <w:rPr>
          <w:rFonts w:ascii="Arial" w:hAnsi="Arial" w:cs="Arial"/>
          <w:i/>
          <w:iCs/>
          <w:szCs w:val="24"/>
        </w:rPr>
        <w:t xml:space="preserve"> </w:t>
      </w:r>
      <w:r w:rsidR="00D41162" w:rsidRPr="00C1087F">
        <w:rPr>
          <w:rFonts w:ascii="Arial" w:hAnsi="Arial" w:cs="Arial"/>
          <w:i/>
          <w:iCs/>
          <w:szCs w:val="24"/>
        </w:rPr>
        <w:t xml:space="preserve">whether </w:t>
      </w:r>
      <w:r w:rsidR="00D349DE" w:rsidRPr="00C1087F">
        <w:rPr>
          <w:rFonts w:ascii="Arial" w:hAnsi="Arial" w:cs="Arial"/>
          <w:i/>
          <w:iCs/>
          <w:szCs w:val="24"/>
        </w:rPr>
        <w:t>the authority has complied with the law</w:t>
      </w:r>
      <w:r w:rsidR="00E11D35" w:rsidRPr="00C1087F">
        <w:rPr>
          <w:rFonts w:ascii="Arial" w:hAnsi="Arial" w:cs="Arial"/>
          <w:szCs w:val="24"/>
        </w:rPr>
        <w:t>”</w:t>
      </w:r>
      <w:r w:rsidR="00D349DE" w:rsidRPr="00C1087F">
        <w:rPr>
          <w:rFonts w:ascii="Arial" w:hAnsi="Arial" w:cs="Arial"/>
          <w:szCs w:val="24"/>
        </w:rPr>
        <w:t>,</w:t>
      </w:r>
      <w:r w:rsidR="005349DA" w:rsidRPr="00C1087F">
        <w:rPr>
          <w:rFonts w:ascii="Arial" w:hAnsi="Arial" w:cs="Arial"/>
          <w:szCs w:val="24"/>
        </w:rPr>
        <w:t xml:space="preserve"> </w:t>
      </w:r>
      <w:r w:rsidR="00862EF9" w:rsidRPr="00C1087F">
        <w:rPr>
          <w:rFonts w:ascii="Arial" w:hAnsi="Arial" w:cs="Arial"/>
          <w:szCs w:val="24"/>
        </w:rPr>
        <w:t xml:space="preserve">was the </w:t>
      </w:r>
      <w:r w:rsidR="009873EF" w:rsidRPr="00C1087F">
        <w:rPr>
          <w:rFonts w:ascii="Arial" w:hAnsi="Arial" w:cs="Arial"/>
          <w:szCs w:val="24"/>
        </w:rPr>
        <w:t xml:space="preserve">point at which </w:t>
      </w:r>
      <w:r w:rsidR="00971CF7" w:rsidRPr="00C1087F">
        <w:rPr>
          <w:rFonts w:ascii="Arial" w:hAnsi="Arial" w:cs="Arial"/>
          <w:szCs w:val="24"/>
        </w:rPr>
        <w:t xml:space="preserve">the public authority </w:t>
      </w:r>
      <w:r w:rsidR="00862EF9" w:rsidRPr="00C1087F">
        <w:rPr>
          <w:rFonts w:ascii="Arial" w:hAnsi="Arial" w:cs="Arial"/>
          <w:szCs w:val="24"/>
        </w:rPr>
        <w:t xml:space="preserve">responded </w:t>
      </w:r>
      <w:r w:rsidR="009B4F58" w:rsidRPr="00C1087F">
        <w:rPr>
          <w:rFonts w:ascii="Arial" w:hAnsi="Arial" w:cs="Arial"/>
          <w:szCs w:val="24"/>
        </w:rPr>
        <w:t xml:space="preserve">to the FOIA request </w:t>
      </w:r>
      <w:r w:rsidR="00205762" w:rsidRPr="00C1087F">
        <w:rPr>
          <w:rFonts w:ascii="Arial" w:hAnsi="Arial" w:cs="Arial"/>
          <w:szCs w:val="24"/>
        </w:rPr>
        <w:t xml:space="preserve">(or by which it had failed to respond) </w:t>
      </w:r>
      <w:r w:rsidR="009B4F58" w:rsidRPr="00C1087F">
        <w:rPr>
          <w:rFonts w:ascii="Arial" w:hAnsi="Arial" w:cs="Arial"/>
          <w:szCs w:val="24"/>
        </w:rPr>
        <w:t xml:space="preserve">or the point at which </w:t>
      </w:r>
      <w:r w:rsidR="0009495E" w:rsidRPr="00C1087F">
        <w:rPr>
          <w:rFonts w:ascii="Arial" w:hAnsi="Arial" w:cs="Arial"/>
          <w:szCs w:val="24"/>
        </w:rPr>
        <w:t>it</w:t>
      </w:r>
      <w:r w:rsidR="009B4F58" w:rsidRPr="00C1087F">
        <w:rPr>
          <w:rFonts w:ascii="Arial" w:hAnsi="Arial" w:cs="Arial"/>
          <w:szCs w:val="24"/>
        </w:rPr>
        <w:t xml:space="preserve"> carried out any internal review of the </w:t>
      </w:r>
      <w:r w:rsidR="0009495E" w:rsidRPr="00C1087F">
        <w:rPr>
          <w:rFonts w:ascii="Arial" w:hAnsi="Arial" w:cs="Arial"/>
          <w:szCs w:val="24"/>
        </w:rPr>
        <w:t xml:space="preserve">Part I FOIA </w:t>
      </w:r>
      <w:r w:rsidR="009B4F58" w:rsidRPr="00C1087F">
        <w:rPr>
          <w:rFonts w:ascii="Arial" w:hAnsi="Arial" w:cs="Arial"/>
          <w:szCs w:val="24"/>
        </w:rPr>
        <w:t>response</w:t>
      </w:r>
      <w:r w:rsidR="00E91F00">
        <w:rPr>
          <w:rFonts w:ascii="Arial" w:hAnsi="Arial" w:cs="Arial"/>
          <w:szCs w:val="24"/>
        </w:rPr>
        <w:t>.</w:t>
      </w:r>
    </w:p>
    <w:p w14:paraId="01F4DDD2" w14:textId="47AC25CA" w:rsidR="00832945" w:rsidRPr="00C1087F" w:rsidRDefault="007A0754" w:rsidP="00DD7117">
      <w:pPr>
        <w:numPr>
          <w:ilvl w:val="0"/>
          <w:numId w:val="21"/>
        </w:numPr>
        <w:tabs>
          <w:tab w:val="left" w:pos="454"/>
          <w:tab w:val="left" w:pos="567"/>
          <w:tab w:val="left" w:pos="1134"/>
          <w:tab w:val="left" w:pos="1985"/>
        </w:tabs>
        <w:spacing w:after="120" w:line="276" w:lineRule="auto"/>
        <w:ind w:left="426" w:hanging="426"/>
        <w:jc w:val="both"/>
        <w:rPr>
          <w:rFonts w:ascii="Arial" w:hAnsi="Arial" w:cs="Arial"/>
          <w:szCs w:val="24"/>
        </w:rPr>
      </w:pPr>
      <w:r w:rsidRPr="00C1087F">
        <w:rPr>
          <w:rFonts w:ascii="Arial" w:hAnsi="Arial" w:cs="Arial"/>
          <w:szCs w:val="24"/>
        </w:rPr>
        <w:t xml:space="preserve">The </w:t>
      </w:r>
      <w:r w:rsidR="00976DCA" w:rsidRPr="00C1087F">
        <w:rPr>
          <w:rFonts w:ascii="Arial" w:hAnsi="Arial" w:cs="Arial"/>
          <w:szCs w:val="24"/>
        </w:rPr>
        <w:t xml:space="preserve">three-judge panel in </w:t>
      </w:r>
      <w:r w:rsidR="00976DCA" w:rsidRPr="00C1087F">
        <w:rPr>
          <w:rFonts w:ascii="Arial" w:hAnsi="Arial" w:cs="Arial"/>
          <w:i/>
          <w:iCs/>
          <w:szCs w:val="24"/>
          <w:u w:val="single"/>
        </w:rPr>
        <w:t>Montagu</w:t>
      </w:r>
      <w:r w:rsidR="00976DCA" w:rsidRPr="00C1087F">
        <w:rPr>
          <w:rFonts w:ascii="Arial" w:hAnsi="Arial" w:cs="Arial"/>
          <w:szCs w:val="24"/>
        </w:rPr>
        <w:t xml:space="preserve">e </w:t>
      </w:r>
      <w:r w:rsidRPr="00C1087F">
        <w:rPr>
          <w:rFonts w:ascii="Arial" w:hAnsi="Arial" w:cs="Arial"/>
          <w:szCs w:val="24"/>
        </w:rPr>
        <w:t xml:space="preserve">decided </w:t>
      </w:r>
      <w:r w:rsidR="005027F6" w:rsidRPr="00C1087F">
        <w:rPr>
          <w:rFonts w:ascii="Arial" w:hAnsi="Arial" w:cs="Arial"/>
          <w:szCs w:val="24"/>
        </w:rPr>
        <w:t>that the</w:t>
      </w:r>
      <w:r w:rsidR="00D002F0" w:rsidRPr="00C1087F">
        <w:rPr>
          <w:rFonts w:ascii="Arial" w:hAnsi="Arial" w:cs="Arial"/>
          <w:szCs w:val="24"/>
        </w:rPr>
        <w:t xml:space="preserve"> </w:t>
      </w:r>
      <w:r w:rsidR="002A13F2" w:rsidRPr="00C1087F">
        <w:rPr>
          <w:rFonts w:ascii="Arial" w:hAnsi="Arial" w:cs="Arial"/>
          <w:szCs w:val="24"/>
        </w:rPr>
        <w:t>relevant point in tim</w:t>
      </w:r>
      <w:r w:rsidR="0056202F" w:rsidRPr="00C1087F">
        <w:rPr>
          <w:rFonts w:ascii="Arial" w:hAnsi="Arial" w:cs="Arial"/>
          <w:szCs w:val="24"/>
        </w:rPr>
        <w:t>e</w:t>
      </w:r>
      <w:r w:rsidR="002A13F2" w:rsidRPr="00C1087F">
        <w:rPr>
          <w:rFonts w:ascii="Arial" w:hAnsi="Arial" w:cs="Arial"/>
          <w:szCs w:val="24"/>
        </w:rPr>
        <w:t xml:space="preserve"> for the purpose of the decision notice was the date of the</w:t>
      </w:r>
      <w:r w:rsidR="005027F6" w:rsidRPr="00C1087F">
        <w:rPr>
          <w:rFonts w:ascii="Arial" w:hAnsi="Arial" w:cs="Arial"/>
          <w:szCs w:val="24"/>
        </w:rPr>
        <w:t xml:space="preserve"> public authority’s response</w:t>
      </w:r>
      <w:r w:rsidR="0056202F" w:rsidRPr="00C1087F">
        <w:rPr>
          <w:rFonts w:ascii="Arial" w:hAnsi="Arial" w:cs="Arial"/>
          <w:szCs w:val="24"/>
        </w:rPr>
        <w:t xml:space="preserve"> about which the complaint had been made, </w:t>
      </w:r>
      <w:r w:rsidR="000F4583" w:rsidRPr="00C1087F">
        <w:rPr>
          <w:rFonts w:ascii="Arial" w:hAnsi="Arial" w:cs="Arial"/>
          <w:szCs w:val="24"/>
        </w:rPr>
        <w:t xml:space="preserve">and </w:t>
      </w:r>
      <w:r w:rsidR="0056202F" w:rsidRPr="00C1087F">
        <w:rPr>
          <w:rFonts w:ascii="Arial" w:hAnsi="Arial" w:cs="Arial"/>
          <w:szCs w:val="24"/>
        </w:rPr>
        <w:t xml:space="preserve">that </w:t>
      </w:r>
      <w:r w:rsidR="000F4583" w:rsidRPr="00C1087F">
        <w:rPr>
          <w:rFonts w:ascii="Arial" w:hAnsi="Arial" w:cs="Arial"/>
          <w:szCs w:val="24"/>
        </w:rPr>
        <w:t>the proper way in which to reflect a</w:t>
      </w:r>
      <w:r w:rsidR="006835A9" w:rsidRPr="00C1087F">
        <w:rPr>
          <w:rFonts w:ascii="Arial" w:hAnsi="Arial" w:cs="Arial"/>
          <w:szCs w:val="24"/>
        </w:rPr>
        <w:t>ny</w:t>
      </w:r>
      <w:r w:rsidR="0022179D" w:rsidRPr="00C1087F">
        <w:rPr>
          <w:rFonts w:ascii="Arial" w:hAnsi="Arial" w:cs="Arial"/>
          <w:szCs w:val="24"/>
        </w:rPr>
        <w:t xml:space="preserve"> </w:t>
      </w:r>
      <w:r w:rsidR="00372345" w:rsidRPr="00C1087F">
        <w:rPr>
          <w:rFonts w:ascii="Arial" w:hAnsi="Arial" w:cs="Arial"/>
          <w:szCs w:val="24"/>
        </w:rPr>
        <w:t xml:space="preserve">subsequent </w:t>
      </w:r>
      <w:r w:rsidR="0022179D" w:rsidRPr="00C1087F">
        <w:rPr>
          <w:rFonts w:ascii="Arial" w:hAnsi="Arial" w:cs="Arial"/>
          <w:szCs w:val="24"/>
        </w:rPr>
        <w:t xml:space="preserve">response </w:t>
      </w:r>
      <w:r w:rsidR="00372345" w:rsidRPr="00C1087F">
        <w:rPr>
          <w:rFonts w:ascii="Arial" w:hAnsi="Arial" w:cs="Arial"/>
          <w:szCs w:val="24"/>
        </w:rPr>
        <w:t xml:space="preserve">was </w:t>
      </w:r>
      <w:r w:rsidR="00F866CE" w:rsidRPr="00C1087F">
        <w:rPr>
          <w:rFonts w:ascii="Arial" w:hAnsi="Arial" w:cs="Arial"/>
          <w:szCs w:val="24"/>
        </w:rPr>
        <w:t xml:space="preserve">when specifying steps </w:t>
      </w:r>
      <w:r w:rsidR="006835A9" w:rsidRPr="00C1087F">
        <w:rPr>
          <w:rFonts w:ascii="Arial" w:hAnsi="Arial" w:cs="Arial"/>
          <w:szCs w:val="24"/>
        </w:rPr>
        <w:t>under s.50</w:t>
      </w:r>
      <w:r w:rsidR="00A56E1F" w:rsidRPr="00C1087F">
        <w:rPr>
          <w:rFonts w:ascii="Arial" w:hAnsi="Arial" w:cs="Arial"/>
          <w:szCs w:val="24"/>
        </w:rPr>
        <w:t>(4)</w:t>
      </w:r>
      <w:r w:rsidR="006609DA">
        <w:rPr>
          <w:rFonts w:ascii="Arial" w:hAnsi="Arial" w:cs="Arial"/>
          <w:szCs w:val="24"/>
        </w:rPr>
        <w:t xml:space="preserve"> </w:t>
      </w:r>
      <w:r w:rsidR="00C879DF" w:rsidRPr="00C1087F">
        <w:rPr>
          <w:rFonts w:ascii="Arial" w:hAnsi="Arial" w:cs="Arial"/>
          <w:szCs w:val="24"/>
        </w:rPr>
        <w:t>(emphasis added):</w:t>
      </w:r>
    </w:p>
    <w:p w14:paraId="2D60178C" w14:textId="77777777" w:rsidR="00AC3789" w:rsidRPr="00C1087F" w:rsidRDefault="00F80853" w:rsidP="006609DA">
      <w:pPr>
        <w:tabs>
          <w:tab w:val="left" w:pos="851"/>
          <w:tab w:val="left" w:pos="1134"/>
          <w:tab w:val="left" w:pos="5103"/>
        </w:tabs>
        <w:spacing w:after="120" w:line="276" w:lineRule="auto"/>
        <w:ind w:left="851"/>
        <w:jc w:val="both"/>
        <w:rPr>
          <w:rFonts w:ascii="Arial" w:hAnsi="Arial" w:cs="Arial"/>
          <w:b/>
          <w:bCs/>
          <w:i/>
          <w:iCs/>
          <w:szCs w:val="24"/>
        </w:rPr>
      </w:pPr>
      <w:r w:rsidRPr="00C1087F">
        <w:rPr>
          <w:rFonts w:ascii="Arial" w:hAnsi="Arial" w:cs="Arial"/>
          <w:i/>
          <w:iCs/>
          <w:szCs w:val="24"/>
        </w:rPr>
        <w:t xml:space="preserve">[62] </w:t>
      </w:r>
      <w:r w:rsidR="003B1C73" w:rsidRPr="00C1087F">
        <w:rPr>
          <w:rFonts w:ascii="Arial" w:hAnsi="Arial" w:cs="Arial"/>
          <w:i/>
          <w:iCs/>
          <w:szCs w:val="24"/>
        </w:rPr>
        <w:t xml:space="preserve">The Information Commissioner’s function under section 50(1) of FOIA is to decide “whether…a request for information made by the complainant to a public authority has been dealt with in accordance with the requirements of Part I [of FOIA]”. We will return shortly to address what the ‘requirements’ of Part I include. The short point, however, is that they involve no requirement for a public authority to review its decision refusing the request. Moreover, </w:t>
      </w:r>
      <w:r w:rsidR="003B1C73" w:rsidRPr="00C1087F">
        <w:rPr>
          <w:rFonts w:ascii="Arial" w:hAnsi="Arial" w:cs="Arial"/>
          <w:b/>
          <w:bCs/>
          <w:i/>
          <w:iCs/>
          <w:szCs w:val="24"/>
        </w:rPr>
        <w:t xml:space="preserve">if the Information Commissioner finds that a public authority has failed to communicate information under section 1(1) when it ought to have done so, has failed to communicate the information by an appropriate means (per section 11 of FOIA), or has not given the requestor an appropriate notice of its refusal decision (per section 17 of FOIA), by section 50(4) he is required to serve a decision notice on the public authority specifying </w:t>
      </w:r>
      <w:r w:rsidR="003B1C73" w:rsidRPr="00C1087F">
        <w:rPr>
          <w:rFonts w:ascii="Arial" w:hAnsi="Arial" w:cs="Arial"/>
          <w:b/>
          <w:bCs/>
          <w:i/>
          <w:iCs/>
          <w:szCs w:val="24"/>
        </w:rPr>
        <w:lastRenderedPageBreak/>
        <w:t>the steps the public authority must take to remedy the failure. As a matter of statutory language, the Information Commissioner is not himself charged with redeciding the request.</w:t>
      </w:r>
      <w:r w:rsidR="003B1C73" w:rsidRPr="00C1087F">
        <w:rPr>
          <w:rFonts w:ascii="Arial" w:hAnsi="Arial" w:cs="Arial"/>
          <w:i/>
          <w:iCs/>
          <w:szCs w:val="24"/>
        </w:rPr>
        <w:t xml:space="preserve"> Even the enforcement notice provisions in section 52 of FOIA are about the Information Commissioner requiring the public authority to remedy a mistake it has made under Part I. The Information Commissioner is still provided with no statutory basis for deciding the request. </w:t>
      </w:r>
      <w:r w:rsidR="003B1C73" w:rsidRPr="00C1087F">
        <w:rPr>
          <w:rFonts w:ascii="Arial" w:hAnsi="Arial" w:cs="Arial"/>
          <w:b/>
          <w:bCs/>
          <w:i/>
          <w:iCs/>
          <w:szCs w:val="24"/>
        </w:rPr>
        <w:t xml:space="preserve">He is to decide whether the public authority dealt properly with the request. Likewise, the FTT’s role under section 58 is focused on the correctness of the Information Commissioner’s notice under appeal. Again as a matter of the statutory language, the FTT’s function is not to redecide the request. </w:t>
      </w:r>
    </w:p>
    <w:p w14:paraId="71991AD1" w14:textId="0E4CB58F" w:rsidR="003B1C73" w:rsidRPr="00C1087F" w:rsidRDefault="00AC3789" w:rsidP="006609DA">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w:t>
      </w:r>
      <w:r w:rsidR="003B1C73" w:rsidRPr="00C1087F">
        <w:rPr>
          <w:rFonts w:ascii="Arial" w:hAnsi="Arial" w:cs="Arial"/>
          <w:i/>
          <w:iCs/>
          <w:szCs w:val="24"/>
        </w:rPr>
        <w:t>63</w:t>
      </w:r>
      <w:r w:rsidR="002147DB" w:rsidRPr="00C1087F">
        <w:rPr>
          <w:rFonts w:ascii="Arial" w:hAnsi="Arial" w:cs="Arial"/>
          <w:i/>
          <w:iCs/>
          <w:szCs w:val="24"/>
        </w:rPr>
        <w:t>]</w:t>
      </w:r>
      <w:r w:rsidR="003B1C73" w:rsidRPr="00C1087F">
        <w:rPr>
          <w:rFonts w:ascii="Arial" w:hAnsi="Arial" w:cs="Arial"/>
          <w:i/>
          <w:iCs/>
          <w:szCs w:val="24"/>
        </w:rPr>
        <w:t xml:space="preserve">. When read in context the language of ‘original decision’ in Evans therefore supports a conclusion </w:t>
      </w:r>
      <w:r w:rsidR="003B1C73" w:rsidRPr="00C1087F">
        <w:rPr>
          <w:rFonts w:ascii="Arial" w:hAnsi="Arial" w:cs="Arial"/>
          <w:b/>
          <w:bCs/>
          <w:i/>
          <w:iCs/>
          <w:szCs w:val="24"/>
        </w:rPr>
        <w:t>that the competing public interests have to be judged at the date of the public authority’s decision on the request under Part I of FOIA</w:t>
      </w:r>
      <w:r w:rsidR="003B1C73" w:rsidRPr="00C1087F">
        <w:rPr>
          <w:rFonts w:ascii="Arial" w:hAnsi="Arial" w:cs="Arial"/>
          <w:i/>
          <w:iCs/>
          <w:szCs w:val="24"/>
        </w:rPr>
        <w:t xml:space="preserve"> and prior to any internal review of that initial decision. And Evans certainly lends no support to the DIT’s argument about the appropriate date here being the ‘final’ decision of the public authority whenever so made</w:t>
      </w:r>
      <w:r w:rsidR="000020DE" w:rsidRPr="00C1087F">
        <w:rPr>
          <w:rFonts w:ascii="Arial" w:hAnsi="Arial" w:cs="Arial"/>
          <w:i/>
          <w:iCs/>
          <w:szCs w:val="24"/>
        </w:rPr>
        <w:t>…</w:t>
      </w:r>
    </w:p>
    <w:p w14:paraId="2FDDEC18" w14:textId="2B252939" w:rsidR="00670E9F" w:rsidRPr="00C1087F" w:rsidRDefault="00670E9F" w:rsidP="006609DA">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w:t>
      </w:r>
    </w:p>
    <w:p w14:paraId="2B0FD083" w14:textId="77777777" w:rsidR="00670E9F" w:rsidRPr="00C1087F" w:rsidRDefault="00670E9F" w:rsidP="006609DA">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 xml:space="preserve">[75] </w:t>
      </w:r>
      <w:r w:rsidRPr="00C1087F">
        <w:rPr>
          <w:rFonts w:ascii="Arial" w:hAnsi="Arial" w:cs="Arial"/>
          <w:b/>
          <w:bCs/>
          <w:i/>
          <w:iCs/>
          <w:szCs w:val="24"/>
        </w:rPr>
        <w:t>The Information Commissioner, with whom the DIT agrees, argues further that section 50(2)(a) of FOIA shows that when making his decision under section 50 of FOIA he must take account of the outcome of any complaints procedure.</w:t>
      </w:r>
      <w:r w:rsidRPr="00C1087F">
        <w:rPr>
          <w:rFonts w:ascii="Arial" w:hAnsi="Arial" w:cs="Arial"/>
          <w:i/>
          <w:iCs/>
          <w:szCs w:val="24"/>
        </w:rPr>
        <w:t xml:space="preserve"> </w:t>
      </w:r>
      <w:r w:rsidRPr="00C1087F">
        <w:rPr>
          <w:rFonts w:ascii="Arial" w:hAnsi="Arial" w:cs="Arial"/>
          <w:b/>
          <w:bCs/>
          <w:i/>
          <w:iCs/>
          <w:szCs w:val="24"/>
        </w:rPr>
        <w:t xml:space="preserve">We do not necessarily disagree with this forensic observation. However, it does not follow from this that that outcome necessarily falls to be taken into account as part of whether the public authority dealt with the request for information in accordance with the requirements of Part I of FOIA. </w:t>
      </w:r>
      <w:r w:rsidRPr="00C1087F">
        <w:rPr>
          <w:rFonts w:ascii="Arial" w:hAnsi="Arial" w:cs="Arial"/>
          <w:i/>
          <w:iCs/>
          <w:szCs w:val="24"/>
        </w:rPr>
        <w:t xml:space="preserve">This begs the very question in issue, namely what is the legal basis for that outcome being part of a requirement of Part I of FOIA when it manifestly is not required by anything in Part I? </w:t>
      </w:r>
    </w:p>
    <w:p w14:paraId="1F610CCC" w14:textId="6AECB214" w:rsidR="005471B4" w:rsidRPr="00C1087F" w:rsidRDefault="00670E9F" w:rsidP="006609DA">
      <w:pPr>
        <w:tabs>
          <w:tab w:val="left" w:pos="851"/>
          <w:tab w:val="left" w:pos="1134"/>
          <w:tab w:val="left" w:pos="5103"/>
        </w:tabs>
        <w:spacing w:after="120" w:line="276" w:lineRule="auto"/>
        <w:ind w:left="851"/>
        <w:jc w:val="both"/>
        <w:rPr>
          <w:rFonts w:ascii="Arial" w:hAnsi="Arial" w:cs="Arial"/>
          <w:i/>
          <w:iCs/>
          <w:szCs w:val="24"/>
        </w:rPr>
      </w:pPr>
      <w:r w:rsidRPr="00C1087F">
        <w:rPr>
          <w:rFonts w:ascii="Arial" w:hAnsi="Arial" w:cs="Arial"/>
          <w:i/>
          <w:iCs/>
          <w:szCs w:val="24"/>
        </w:rPr>
        <w:t xml:space="preserve">[76]. Furthermore, this argument ignores that </w:t>
      </w:r>
      <w:r w:rsidRPr="00C1087F">
        <w:rPr>
          <w:rFonts w:ascii="Arial" w:hAnsi="Arial" w:cs="Arial"/>
          <w:b/>
          <w:bCs/>
          <w:i/>
          <w:iCs/>
          <w:szCs w:val="24"/>
        </w:rPr>
        <w:t xml:space="preserve">the Information Commissioner may legitimately take account of the outcome of the review decision under section 50 of FOIA otherwise than in determining whether the request for information was dealt with in accordance with the requirements of Part I of FOIA. Take the example where no information is provided in response to a request but the information is then provided in full under the public authority’s complaints procedure. It would in our judgement be open to the Information Commissioner to decide on any section 50 complaint made by the requestor that the public authority had not acted in accordance with requirements of Part I of FOIA in refusing the request, and issue a Decision Notice to that effect under section 50(3)(b) and (4)(a), but, because the information had since been provided </w:t>
      </w:r>
      <w:r w:rsidRPr="00C1087F">
        <w:rPr>
          <w:rFonts w:ascii="Arial" w:hAnsi="Arial" w:cs="Arial"/>
          <w:b/>
          <w:bCs/>
          <w:i/>
          <w:iCs/>
          <w:szCs w:val="24"/>
        </w:rPr>
        <w:lastRenderedPageBreak/>
        <w:t>in full, specify in that Notice that no further steps need be taken by the public authority:</w:t>
      </w:r>
      <w:r w:rsidRPr="00C1087F">
        <w:rPr>
          <w:rFonts w:ascii="Arial" w:hAnsi="Arial" w:cs="Arial"/>
          <w:i/>
          <w:iCs/>
          <w:szCs w:val="24"/>
        </w:rPr>
        <w:t xml:space="preserve"> see to like effect Information Commissioner v HMRC and Gaskell [2011] UKUT 296 (AAC) (at paragraphs [24]-[31]), Home Office v ICO and Cobain [2015] UKUT</w:t>
      </w:r>
      <w:r w:rsidR="005471B4" w:rsidRPr="00C1087F">
        <w:rPr>
          <w:rFonts w:ascii="Arial" w:hAnsi="Arial" w:cs="Arial"/>
          <w:szCs w:val="24"/>
        </w:rPr>
        <w:t xml:space="preserve"> </w:t>
      </w:r>
      <w:r w:rsidR="005471B4" w:rsidRPr="00C1087F">
        <w:rPr>
          <w:rFonts w:ascii="Arial" w:hAnsi="Arial" w:cs="Arial"/>
          <w:i/>
          <w:iCs/>
          <w:szCs w:val="24"/>
        </w:rPr>
        <w:t xml:space="preserve">27 (AAC) and </w:t>
      </w:r>
      <w:proofErr w:type="spellStart"/>
      <w:r w:rsidR="005471B4" w:rsidRPr="00C1087F">
        <w:rPr>
          <w:rFonts w:ascii="Arial" w:hAnsi="Arial" w:cs="Arial"/>
          <w:i/>
          <w:iCs/>
          <w:szCs w:val="24"/>
        </w:rPr>
        <w:t>Sturmer</w:t>
      </w:r>
      <w:proofErr w:type="spellEnd"/>
      <w:r w:rsidR="005471B4" w:rsidRPr="00C1087F">
        <w:rPr>
          <w:rFonts w:ascii="Arial" w:hAnsi="Arial" w:cs="Arial"/>
          <w:i/>
          <w:iCs/>
          <w:szCs w:val="24"/>
        </w:rPr>
        <w:t xml:space="preserve"> v ICO and North East Derbyshire District Council [2015] UKUT 568 (AAC) (at [para. [92]).</w:t>
      </w:r>
      <w:r w:rsidR="00215AE7" w:rsidRPr="00C1087F">
        <w:rPr>
          <w:rFonts w:ascii="Arial" w:hAnsi="Arial" w:cs="Arial"/>
          <w:i/>
          <w:iCs/>
          <w:szCs w:val="24"/>
        </w:rPr>
        <w:t>”</w:t>
      </w:r>
    </w:p>
    <w:p w14:paraId="62FF48D5" w14:textId="77777777" w:rsidR="00A20C89" w:rsidRDefault="00A20C89" w:rsidP="00DD7117">
      <w:pPr>
        <w:tabs>
          <w:tab w:val="left" w:pos="426"/>
          <w:tab w:val="left" w:pos="454"/>
          <w:tab w:val="left" w:pos="567"/>
          <w:tab w:val="left" w:pos="1134"/>
          <w:tab w:val="left" w:pos="5103"/>
        </w:tabs>
        <w:spacing w:after="120" w:line="276" w:lineRule="auto"/>
        <w:ind w:left="502"/>
        <w:jc w:val="both"/>
        <w:rPr>
          <w:rFonts w:ascii="Arial" w:hAnsi="Arial" w:cs="Arial"/>
          <w:b/>
          <w:bCs/>
          <w:szCs w:val="24"/>
        </w:rPr>
      </w:pPr>
    </w:p>
    <w:p w14:paraId="5936E000" w14:textId="1E3E9C4F" w:rsidR="00E30A5E" w:rsidRPr="00C1087F" w:rsidRDefault="00215AE7" w:rsidP="00DD7117">
      <w:pPr>
        <w:tabs>
          <w:tab w:val="left" w:pos="426"/>
          <w:tab w:val="left" w:pos="454"/>
          <w:tab w:val="left" w:pos="567"/>
          <w:tab w:val="left" w:pos="1134"/>
          <w:tab w:val="left" w:pos="5103"/>
        </w:tabs>
        <w:spacing w:after="120" w:line="276" w:lineRule="auto"/>
        <w:ind w:left="502"/>
        <w:jc w:val="both"/>
        <w:rPr>
          <w:rFonts w:ascii="Arial" w:hAnsi="Arial" w:cs="Arial"/>
          <w:b/>
          <w:bCs/>
          <w:szCs w:val="24"/>
        </w:rPr>
      </w:pPr>
      <w:r w:rsidRPr="00C1087F">
        <w:rPr>
          <w:rFonts w:ascii="Arial" w:hAnsi="Arial" w:cs="Arial"/>
          <w:b/>
          <w:bCs/>
          <w:szCs w:val="24"/>
        </w:rPr>
        <w:t>Conclusions</w:t>
      </w:r>
    </w:p>
    <w:p w14:paraId="59919878" w14:textId="6E348BA9" w:rsidR="0051565B" w:rsidRDefault="00A24226" w:rsidP="00DD7117">
      <w:pPr>
        <w:numPr>
          <w:ilvl w:val="0"/>
          <w:numId w:val="21"/>
        </w:numPr>
        <w:tabs>
          <w:tab w:val="left" w:pos="567"/>
          <w:tab w:val="left" w:pos="1134"/>
          <w:tab w:val="left" w:pos="5103"/>
        </w:tabs>
        <w:spacing w:after="120" w:line="276" w:lineRule="auto"/>
        <w:jc w:val="both"/>
        <w:rPr>
          <w:rFonts w:ascii="Arial" w:hAnsi="Arial" w:cs="Arial"/>
          <w:szCs w:val="24"/>
        </w:rPr>
      </w:pPr>
      <w:r w:rsidRPr="00C1087F">
        <w:rPr>
          <w:rFonts w:ascii="Arial" w:hAnsi="Arial" w:cs="Arial"/>
          <w:szCs w:val="24"/>
        </w:rPr>
        <w:t xml:space="preserve">The circumstances of </w:t>
      </w:r>
      <w:r w:rsidR="002B086E">
        <w:rPr>
          <w:rFonts w:ascii="Arial" w:hAnsi="Arial" w:cs="Arial"/>
          <w:szCs w:val="24"/>
        </w:rPr>
        <w:t xml:space="preserve">this appeal </w:t>
      </w:r>
      <w:r w:rsidRPr="00C1087F">
        <w:rPr>
          <w:rFonts w:ascii="Arial" w:hAnsi="Arial" w:cs="Arial"/>
          <w:szCs w:val="24"/>
        </w:rPr>
        <w:t xml:space="preserve">are similar to those outlined </w:t>
      </w:r>
      <w:r w:rsidR="008835E2" w:rsidRPr="00C1087F">
        <w:rPr>
          <w:rFonts w:ascii="Arial" w:hAnsi="Arial" w:cs="Arial"/>
          <w:szCs w:val="24"/>
        </w:rPr>
        <w:t xml:space="preserve">as a </w:t>
      </w:r>
      <w:r w:rsidRPr="00C1087F">
        <w:rPr>
          <w:rFonts w:ascii="Arial" w:hAnsi="Arial" w:cs="Arial"/>
          <w:szCs w:val="24"/>
        </w:rPr>
        <w:t xml:space="preserve">hypothetical </w:t>
      </w:r>
      <w:r w:rsidR="00062570" w:rsidRPr="00C1087F">
        <w:rPr>
          <w:rFonts w:ascii="Arial" w:hAnsi="Arial" w:cs="Arial"/>
          <w:szCs w:val="24"/>
        </w:rPr>
        <w:t xml:space="preserve">case </w:t>
      </w:r>
      <w:r w:rsidR="00B2399B" w:rsidRPr="00C1087F">
        <w:rPr>
          <w:rFonts w:ascii="Arial" w:hAnsi="Arial" w:cs="Arial"/>
          <w:szCs w:val="24"/>
        </w:rPr>
        <w:t xml:space="preserve">at paragraph 76 of </w:t>
      </w:r>
      <w:r w:rsidR="00B2399B" w:rsidRPr="00C1087F">
        <w:rPr>
          <w:rFonts w:ascii="Arial" w:hAnsi="Arial" w:cs="Arial"/>
          <w:i/>
          <w:iCs/>
          <w:szCs w:val="24"/>
          <w:u w:val="single"/>
        </w:rPr>
        <w:t>Montague</w:t>
      </w:r>
      <w:r w:rsidR="00B2399B" w:rsidRPr="00C1087F">
        <w:rPr>
          <w:rFonts w:ascii="Arial" w:hAnsi="Arial" w:cs="Arial"/>
          <w:szCs w:val="24"/>
        </w:rPr>
        <w:t xml:space="preserve">. </w:t>
      </w:r>
      <w:r w:rsidR="00227156">
        <w:rPr>
          <w:rFonts w:ascii="Arial" w:hAnsi="Arial" w:cs="Arial"/>
          <w:szCs w:val="24"/>
        </w:rPr>
        <w:t xml:space="preserve">In November 2018 </w:t>
      </w:r>
      <w:r w:rsidR="007A06F7">
        <w:rPr>
          <w:rFonts w:ascii="Arial" w:hAnsi="Arial" w:cs="Arial"/>
          <w:szCs w:val="24"/>
        </w:rPr>
        <w:t>the Appellant made a s.50 complaint to the Commissioner about</w:t>
      </w:r>
      <w:r w:rsidR="001E3549">
        <w:rPr>
          <w:rFonts w:ascii="Arial" w:hAnsi="Arial" w:cs="Arial"/>
          <w:szCs w:val="24"/>
        </w:rPr>
        <w:t xml:space="preserve">, in broad </w:t>
      </w:r>
      <w:r w:rsidR="00492271">
        <w:rPr>
          <w:rFonts w:ascii="Arial" w:hAnsi="Arial" w:cs="Arial"/>
          <w:szCs w:val="24"/>
        </w:rPr>
        <w:t>terms, the</w:t>
      </w:r>
      <w:r w:rsidR="007A06F7">
        <w:rPr>
          <w:rFonts w:ascii="Arial" w:hAnsi="Arial" w:cs="Arial"/>
          <w:szCs w:val="24"/>
        </w:rPr>
        <w:t xml:space="preserve"> ICO’s failure to respond to his FOIA requests. </w:t>
      </w:r>
      <w:r w:rsidR="007B4A9C">
        <w:rPr>
          <w:rFonts w:ascii="Arial" w:hAnsi="Arial" w:cs="Arial"/>
          <w:szCs w:val="24"/>
        </w:rPr>
        <w:t>Th</w:t>
      </w:r>
      <w:r w:rsidR="002D46EB">
        <w:rPr>
          <w:rFonts w:ascii="Arial" w:hAnsi="Arial" w:cs="Arial"/>
          <w:szCs w:val="24"/>
        </w:rPr>
        <w:t xml:space="preserve">e </w:t>
      </w:r>
      <w:r w:rsidR="00FD1948">
        <w:rPr>
          <w:rFonts w:ascii="Arial" w:hAnsi="Arial" w:cs="Arial"/>
          <w:szCs w:val="24"/>
        </w:rPr>
        <w:t xml:space="preserve">extent to which </w:t>
      </w:r>
      <w:r w:rsidR="002D46EB">
        <w:rPr>
          <w:rFonts w:ascii="Arial" w:hAnsi="Arial" w:cs="Arial"/>
          <w:szCs w:val="24"/>
        </w:rPr>
        <w:t>the ICO</w:t>
      </w:r>
      <w:r w:rsidR="00CF3C5F">
        <w:rPr>
          <w:rFonts w:ascii="Arial" w:hAnsi="Arial" w:cs="Arial"/>
          <w:szCs w:val="24"/>
        </w:rPr>
        <w:t xml:space="preserve"> had </w:t>
      </w:r>
      <w:r w:rsidR="002D46EB">
        <w:rPr>
          <w:rFonts w:ascii="Arial" w:hAnsi="Arial" w:cs="Arial"/>
          <w:szCs w:val="24"/>
        </w:rPr>
        <w:t>respon</w:t>
      </w:r>
      <w:r w:rsidR="00CF3C5F">
        <w:rPr>
          <w:rFonts w:ascii="Arial" w:hAnsi="Arial" w:cs="Arial"/>
          <w:szCs w:val="24"/>
        </w:rPr>
        <w:t xml:space="preserve">ded as </w:t>
      </w:r>
      <w:r w:rsidR="007C621F">
        <w:rPr>
          <w:rFonts w:ascii="Arial" w:hAnsi="Arial" w:cs="Arial"/>
          <w:szCs w:val="24"/>
        </w:rPr>
        <w:t>required</w:t>
      </w:r>
      <w:r w:rsidR="004536D1">
        <w:rPr>
          <w:rFonts w:ascii="Arial" w:hAnsi="Arial" w:cs="Arial"/>
          <w:szCs w:val="24"/>
        </w:rPr>
        <w:t xml:space="preserve">, as at the </w:t>
      </w:r>
      <w:r w:rsidR="007C621F">
        <w:rPr>
          <w:rFonts w:ascii="Arial" w:hAnsi="Arial" w:cs="Arial"/>
          <w:szCs w:val="24"/>
        </w:rPr>
        <w:t xml:space="preserve">date of the </w:t>
      </w:r>
      <w:r w:rsidR="004536D1">
        <w:rPr>
          <w:rFonts w:ascii="Arial" w:hAnsi="Arial" w:cs="Arial"/>
          <w:szCs w:val="24"/>
        </w:rPr>
        <w:t xml:space="preserve">Appellant’s </w:t>
      </w:r>
      <w:r w:rsidR="007C621F">
        <w:rPr>
          <w:rFonts w:ascii="Arial" w:hAnsi="Arial" w:cs="Arial"/>
          <w:szCs w:val="24"/>
        </w:rPr>
        <w:t>complaint</w:t>
      </w:r>
      <w:r w:rsidR="004536D1">
        <w:rPr>
          <w:rFonts w:ascii="Arial" w:hAnsi="Arial" w:cs="Arial"/>
          <w:szCs w:val="24"/>
        </w:rPr>
        <w:t>,</w:t>
      </w:r>
      <w:r w:rsidR="007C621F">
        <w:rPr>
          <w:rFonts w:ascii="Arial" w:hAnsi="Arial" w:cs="Arial"/>
          <w:szCs w:val="24"/>
        </w:rPr>
        <w:t xml:space="preserve"> </w:t>
      </w:r>
      <w:r w:rsidR="00D951AD">
        <w:rPr>
          <w:rFonts w:ascii="Arial" w:hAnsi="Arial" w:cs="Arial"/>
          <w:szCs w:val="24"/>
        </w:rPr>
        <w:t xml:space="preserve">was the issue about which </w:t>
      </w:r>
      <w:r w:rsidR="000E55A2">
        <w:rPr>
          <w:rFonts w:ascii="Arial" w:hAnsi="Arial" w:cs="Arial"/>
          <w:szCs w:val="24"/>
        </w:rPr>
        <w:t xml:space="preserve">the Commissioner </w:t>
      </w:r>
      <w:r w:rsidR="008B21EE">
        <w:rPr>
          <w:rFonts w:ascii="Arial" w:hAnsi="Arial" w:cs="Arial"/>
          <w:szCs w:val="24"/>
        </w:rPr>
        <w:t xml:space="preserve">made a </w:t>
      </w:r>
      <w:r w:rsidR="000E55A2">
        <w:rPr>
          <w:rFonts w:ascii="Arial" w:hAnsi="Arial" w:cs="Arial"/>
          <w:szCs w:val="24"/>
        </w:rPr>
        <w:t>decision</w:t>
      </w:r>
      <w:r w:rsidR="00004EF3">
        <w:rPr>
          <w:rFonts w:ascii="Arial" w:hAnsi="Arial" w:cs="Arial"/>
          <w:szCs w:val="24"/>
        </w:rPr>
        <w:t xml:space="preserve">. </w:t>
      </w:r>
      <w:r w:rsidR="003741E2">
        <w:rPr>
          <w:rFonts w:ascii="Arial" w:hAnsi="Arial" w:cs="Arial"/>
          <w:szCs w:val="24"/>
        </w:rPr>
        <w:t xml:space="preserve">This </w:t>
      </w:r>
      <w:r w:rsidR="00C044BA">
        <w:rPr>
          <w:rFonts w:ascii="Arial" w:hAnsi="Arial" w:cs="Arial"/>
          <w:szCs w:val="24"/>
        </w:rPr>
        <w:t>was</w:t>
      </w:r>
      <w:r w:rsidR="00A8572F">
        <w:rPr>
          <w:rFonts w:ascii="Arial" w:hAnsi="Arial" w:cs="Arial"/>
          <w:szCs w:val="24"/>
        </w:rPr>
        <w:t xml:space="preserve"> </w:t>
      </w:r>
      <w:r w:rsidR="008E3DD7">
        <w:rPr>
          <w:rFonts w:ascii="Arial" w:hAnsi="Arial" w:cs="Arial"/>
          <w:szCs w:val="24"/>
        </w:rPr>
        <w:t xml:space="preserve">also </w:t>
      </w:r>
      <w:r w:rsidR="00A8572F">
        <w:rPr>
          <w:rFonts w:ascii="Arial" w:hAnsi="Arial" w:cs="Arial"/>
          <w:szCs w:val="24"/>
        </w:rPr>
        <w:t xml:space="preserve">the </w:t>
      </w:r>
      <w:r w:rsidR="00174A76">
        <w:rPr>
          <w:rFonts w:ascii="Arial" w:hAnsi="Arial" w:cs="Arial"/>
          <w:szCs w:val="24"/>
        </w:rPr>
        <w:t xml:space="preserve">subject </w:t>
      </w:r>
      <w:r w:rsidR="007215EB">
        <w:rPr>
          <w:rFonts w:ascii="Arial" w:hAnsi="Arial" w:cs="Arial"/>
          <w:szCs w:val="24"/>
        </w:rPr>
        <w:t xml:space="preserve">matter </w:t>
      </w:r>
      <w:r w:rsidR="00C70804">
        <w:rPr>
          <w:rFonts w:ascii="Arial" w:hAnsi="Arial" w:cs="Arial"/>
          <w:szCs w:val="24"/>
        </w:rPr>
        <w:t xml:space="preserve">of the </w:t>
      </w:r>
      <w:r w:rsidR="00D449F1">
        <w:rPr>
          <w:rFonts w:ascii="Arial" w:hAnsi="Arial" w:cs="Arial"/>
          <w:szCs w:val="24"/>
        </w:rPr>
        <w:t xml:space="preserve">11 September 2019 </w:t>
      </w:r>
      <w:r w:rsidR="003741E2">
        <w:rPr>
          <w:rFonts w:ascii="Arial" w:hAnsi="Arial" w:cs="Arial"/>
          <w:szCs w:val="24"/>
        </w:rPr>
        <w:t xml:space="preserve">decision notice </w:t>
      </w:r>
      <w:r w:rsidR="00A8572F">
        <w:rPr>
          <w:rFonts w:ascii="Arial" w:hAnsi="Arial" w:cs="Arial"/>
          <w:szCs w:val="24"/>
        </w:rPr>
        <w:t>with which the FTT was concerned</w:t>
      </w:r>
      <w:r w:rsidR="002B5976">
        <w:rPr>
          <w:rFonts w:ascii="Arial" w:hAnsi="Arial" w:cs="Arial"/>
          <w:szCs w:val="24"/>
        </w:rPr>
        <w:t xml:space="preserve"> on appeal</w:t>
      </w:r>
      <w:r w:rsidR="00A8572F">
        <w:rPr>
          <w:rFonts w:ascii="Arial" w:hAnsi="Arial" w:cs="Arial"/>
          <w:szCs w:val="24"/>
        </w:rPr>
        <w:t>.</w:t>
      </w:r>
    </w:p>
    <w:p w14:paraId="3EE2940D" w14:textId="2B17C287" w:rsidR="003D4DCF" w:rsidRDefault="00883F3F" w:rsidP="00DD7117">
      <w:pPr>
        <w:numPr>
          <w:ilvl w:val="0"/>
          <w:numId w:val="21"/>
        </w:numPr>
        <w:tabs>
          <w:tab w:val="left" w:pos="567"/>
          <w:tab w:val="left" w:pos="1134"/>
          <w:tab w:val="left" w:pos="5103"/>
        </w:tabs>
        <w:spacing w:after="120" w:line="276" w:lineRule="auto"/>
        <w:jc w:val="both"/>
        <w:rPr>
          <w:rFonts w:ascii="Arial" w:hAnsi="Arial" w:cs="Arial"/>
          <w:szCs w:val="24"/>
        </w:rPr>
      </w:pPr>
      <w:r>
        <w:rPr>
          <w:rFonts w:ascii="Arial" w:hAnsi="Arial" w:cs="Arial"/>
          <w:szCs w:val="24"/>
        </w:rPr>
        <w:t xml:space="preserve">The task of the FTT </w:t>
      </w:r>
      <w:r w:rsidR="00A329CA" w:rsidRPr="00A329CA">
        <w:rPr>
          <w:rFonts w:ascii="Arial" w:hAnsi="Arial" w:cs="Arial"/>
          <w:szCs w:val="24"/>
        </w:rPr>
        <w:t>was to decide whether the decision notice was in accordance with the law</w:t>
      </w:r>
      <w:r w:rsidR="008E3DD7">
        <w:rPr>
          <w:rFonts w:ascii="Arial" w:hAnsi="Arial" w:cs="Arial"/>
          <w:szCs w:val="24"/>
        </w:rPr>
        <w:t xml:space="preserve">. It did so by </w:t>
      </w:r>
      <w:r w:rsidR="00E774D2">
        <w:rPr>
          <w:rFonts w:ascii="Arial" w:hAnsi="Arial" w:cs="Arial"/>
          <w:szCs w:val="24"/>
        </w:rPr>
        <w:t xml:space="preserve">determining </w:t>
      </w:r>
      <w:r w:rsidR="008E7ADC">
        <w:rPr>
          <w:rFonts w:ascii="Arial" w:hAnsi="Arial" w:cs="Arial"/>
          <w:szCs w:val="24"/>
        </w:rPr>
        <w:t xml:space="preserve">afresh </w:t>
      </w:r>
      <w:r w:rsidR="00E774D2">
        <w:rPr>
          <w:rFonts w:ascii="Arial" w:hAnsi="Arial" w:cs="Arial"/>
          <w:szCs w:val="24"/>
        </w:rPr>
        <w:t xml:space="preserve">the issue about which the ICO had made decision. </w:t>
      </w:r>
      <w:r w:rsidR="005A5751">
        <w:rPr>
          <w:rFonts w:ascii="Arial" w:hAnsi="Arial" w:cs="Arial"/>
          <w:szCs w:val="24"/>
        </w:rPr>
        <w:t xml:space="preserve">The parties </w:t>
      </w:r>
      <w:r w:rsidR="006B6BBC">
        <w:rPr>
          <w:rFonts w:ascii="Arial" w:hAnsi="Arial" w:cs="Arial"/>
          <w:szCs w:val="24"/>
        </w:rPr>
        <w:t>agreed</w:t>
      </w:r>
      <w:r w:rsidR="008C19F5">
        <w:rPr>
          <w:rFonts w:ascii="Arial" w:hAnsi="Arial" w:cs="Arial"/>
          <w:szCs w:val="24"/>
        </w:rPr>
        <w:t xml:space="preserve"> </w:t>
      </w:r>
      <w:r w:rsidR="005A5751">
        <w:rPr>
          <w:rFonts w:ascii="Arial" w:hAnsi="Arial" w:cs="Arial"/>
          <w:szCs w:val="24"/>
        </w:rPr>
        <w:t xml:space="preserve">that a substituted decision notice was required because </w:t>
      </w:r>
      <w:r w:rsidR="00C775A4">
        <w:rPr>
          <w:rFonts w:ascii="Arial" w:hAnsi="Arial" w:cs="Arial"/>
          <w:szCs w:val="24"/>
        </w:rPr>
        <w:t>the Commissioner’s decision notice was incomplete.</w:t>
      </w:r>
      <w:r w:rsidR="007D128B">
        <w:rPr>
          <w:rFonts w:ascii="Arial" w:hAnsi="Arial" w:cs="Arial"/>
          <w:szCs w:val="24"/>
        </w:rPr>
        <w:t xml:space="preserve"> The FTT reached the same conclusion.</w:t>
      </w:r>
      <w:r w:rsidR="0030061D">
        <w:rPr>
          <w:rFonts w:ascii="Arial" w:hAnsi="Arial" w:cs="Arial"/>
          <w:szCs w:val="24"/>
        </w:rPr>
        <w:t xml:space="preserve"> </w:t>
      </w:r>
    </w:p>
    <w:p w14:paraId="435590A2" w14:textId="367E9AE2" w:rsidR="00723747" w:rsidRDefault="003D4DCF" w:rsidP="00DD7117">
      <w:pPr>
        <w:numPr>
          <w:ilvl w:val="0"/>
          <w:numId w:val="21"/>
        </w:numPr>
        <w:tabs>
          <w:tab w:val="left" w:pos="567"/>
          <w:tab w:val="left" w:pos="1134"/>
          <w:tab w:val="left" w:pos="5103"/>
        </w:tabs>
        <w:spacing w:after="120" w:line="276" w:lineRule="auto"/>
        <w:jc w:val="both"/>
        <w:rPr>
          <w:rFonts w:ascii="Arial" w:hAnsi="Arial" w:cs="Arial"/>
          <w:szCs w:val="24"/>
        </w:rPr>
      </w:pPr>
      <w:r>
        <w:rPr>
          <w:rFonts w:ascii="Arial" w:hAnsi="Arial" w:cs="Arial"/>
          <w:szCs w:val="24"/>
        </w:rPr>
        <w:t xml:space="preserve">The adequacy </w:t>
      </w:r>
      <w:r w:rsidR="0037398A">
        <w:rPr>
          <w:rFonts w:ascii="Arial" w:hAnsi="Arial" w:cs="Arial"/>
          <w:szCs w:val="24"/>
        </w:rPr>
        <w:t xml:space="preserve">or otherwise of the </w:t>
      </w:r>
      <w:r>
        <w:rPr>
          <w:rFonts w:ascii="Arial" w:hAnsi="Arial" w:cs="Arial"/>
          <w:szCs w:val="24"/>
        </w:rPr>
        <w:t xml:space="preserve">ICO’s </w:t>
      </w:r>
      <w:r w:rsidR="0037398A">
        <w:rPr>
          <w:rFonts w:ascii="Arial" w:hAnsi="Arial" w:cs="Arial"/>
          <w:szCs w:val="24"/>
        </w:rPr>
        <w:t>subs</w:t>
      </w:r>
      <w:r w:rsidR="00A21585">
        <w:rPr>
          <w:rFonts w:ascii="Arial" w:hAnsi="Arial" w:cs="Arial"/>
          <w:szCs w:val="24"/>
        </w:rPr>
        <w:t>tantive</w:t>
      </w:r>
      <w:r w:rsidR="0037398A">
        <w:rPr>
          <w:rFonts w:ascii="Arial" w:hAnsi="Arial" w:cs="Arial"/>
          <w:szCs w:val="24"/>
        </w:rPr>
        <w:t xml:space="preserve"> </w:t>
      </w:r>
      <w:r>
        <w:rPr>
          <w:rFonts w:ascii="Arial" w:hAnsi="Arial" w:cs="Arial"/>
          <w:szCs w:val="24"/>
        </w:rPr>
        <w:t>response</w:t>
      </w:r>
      <w:r w:rsidR="0037398A">
        <w:rPr>
          <w:rFonts w:ascii="Arial" w:hAnsi="Arial" w:cs="Arial"/>
          <w:szCs w:val="24"/>
        </w:rPr>
        <w:t>s</w:t>
      </w:r>
      <w:r w:rsidR="00790ACF">
        <w:rPr>
          <w:rFonts w:ascii="Arial" w:hAnsi="Arial" w:cs="Arial"/>
          <w:szCs w:val="24"/>
        </w:rPr>
        <w:t xml:space="preserve">, issued following the decision notice, </w:t>
      </w:r>
      <w:r w:rsidR="00813D3F">
        <w:rPr>
          <w:rFonts w:ascii="Arial" w:hAnsi="Arial" w:cs="Arial"/>
          <w:szCs w:val="24"/>
        </w:rPr>
        <w:t xml:space="preserve">is not </w:t>
      </w:r>
      <w:r w:rsidR="0049741D">
        <w:rPr>
          <w:rFonts w:ascii="Arial" w:hAnsi="Arial" w:cs="Arial"/>
          <w:szCs w:val="24"/>
        </w:rPr>
        <w:t xml:space="preserve">the </w:t>
      </w:r>
      <w:r w:rsidR="00EE69D4">
        <w:rPr>
          <w:rFonts w:ascii="Arial" w:hAnsi="Arial" w:cs="Arial"/>
          <w:szCs w:val="24"/>
        </w:rPr>
        <w:t xml:space="preserve">subject matter of the </w:t>
      </w:r>
      <w:r w:rsidR="00F653E4">
        <w:rPr>
          <w:rFonts w:ascii="Arial" w:hAnsi="Arial" w:cs="Arial"/>
          <w:szCs w:val="24"/>
        </w:rPr>
        <w:t>11 September 2019 decision notice</w:t>
      </w:r>
      <w:r w:rsidR="0049741D">
        <w:rPr>
          <w:rFonts w:ascii="Arial" w:hAnsi="Arial" w:cs="Arial"/>
          <w:szCs w:val="24"/>
        </w:rPr>
        <w:t xml:space="preserve">. Neither </w:t>
      </w:r>
      <w:r w:rsidR="001111F1">
        <w:rPr>
          <w:rFonts w:ascii="Arial" w:hAnsi="Arial" w:cs="Arial"/>
          <w:szCs w:val="24"/>
        </w:rPr>
        <w:t xml:space="preserve">was it </w:t>
      </w:r>
      <w:r w:rsidR="00EE0BB5">
        <w:rPr>
          <w:rFonts w:ascii="Arial" w:hAnsi="Arial" w:cs="Arial"/>
          <w:szCs w:val="24"/>
        </w:rPr>
        <w:t xml:space="preserve">the subject </w:t>
      </w:r>
      <w:r w:rsidR="0049741D">
        <w:rPr>
          <w:rFonts w:ascii="Arial" w:hAnsi="Arial" w:cs="Arial"/>
          <w:szCs w:val="24"/>
        </w:rPr>
        <w:t xml:space="preserve">of the </w:t>
      </w:r>
      <w:r w:rsidR="006F3414">
        <w:rPr>
          <w:rFonts w:ascii="Arial" w:hAnsi="Arial" w:cs="Arial"/>
          <w:szCs w:val="24"/>
        </w:rPr>
        <w:t xml:space="preserve">Appellant’s November 2018 complaint. </w:t>
      </w:r>
      <w:r w:rsidR="004A3EAA">
        <w:rPr>
          <w:rFonts w:ascii="Arial" w:hAnsi="Arial" w:cs="Arial"/>
          <w:szCs w:val="24"/>
        </w:rPr>
        <w:t xml:space="preserve">The </w:t>
      </w:r>
      <w:r w:rsidR="006E6686">
        <w:rPr>
          <w:rFonts w:ascii="Arial" w:hAnsi="Arial" w:cs="Arial"/>
          <w:szCs w:val="24"/>
        </w:rPr>
        <w:t xml:space="preserve">notice </w:t>
      </w:r>
      <w:r w:rsidR="003F06C8">
        <w:rPr>
          <w:rFonts w:ascii="Arial" w:hAnsi="Arial" w:cs="Arial"/>
          <w:szCs w:val="24"/>
        </w:rPr>
        <w:t>sets out</w:t>
      </w:r>
      <w:r w:rsidR="006E6686">
        <w:rPr>
          <w:rFonts w:ascii="Arial" w:hAnsi="Arial" w:cs="Arial"/>
          <w:szCs w:val="24"/>
        </w:rPr>
        <w:t xml:space="preserve"> the Commissioner’s decision about </w:t>
      </w:r>
      <w:r w:rsidR="00E33E3E" w:rsidRPr="00E33E3E">
        <w:rPr>
          <w:rFonts w:ascii="Arial" w:hAnsi="Arial" w:cs="Arial"/>
          <w:szCs w:val="24"/>
        </w:rPr>
        <w:t xml:space="preserve">whether, in any specified respect, </w:t>
      </w:r>
      <w:r w:rsidR="007C1230">
        <w:rPr>
          <w:rFonts w:ascii="Arial" w:hAnsi="Arial" w:cs="Arial"/>
          <w:szCs w:val="24"/>
        </w:rPr>
        <w:t xml:space="preserve">the ICO had </w:t>
      </w:r>
      <w:r w:rsidR="00183834">
        <w:rPr>
          <w:rFonts w:ascii="Arial" w:hAnsi="Arial" w:cs="Arial"/>
          <w:szCs w:val="24"/>
        </w:rPr>
        <w:t xml:space="preserve">failed to </w:t>
      </w:r>
      <w:r w:rsidR="007C1230">
        <w:rPr>
          <w:rFonts w:ascii="Arial" w:hAnsi="Arial" w:cs="Arial"/>
          <w:szCs w:val="24"/>
        </w:rPr>
        <w:t>deal with the Appellant’s FOIA request</w:t>
      </w:r>
      <w:r w:rsidR="00D226D1">
        <w:rPr>
          <w:rFonts w:ascii="Arial" w:hAnsi="Arial" w:cs="Arial"/>
          <w:szCs w:val="24"/>
        </w:rPr>
        <w:t>s</w:t>
      </w:r>
      <w:r w:rsidR="007C1230">
        <w:rPr>
          <w:rFonts w:ascii="Arial" w:hAnsi="Arial" w:cs="Arial"/>
          <w:szCs w:val="24"/>
        </w:rPr>
        <w:t xml:space="preserve"> </w:t>
      </w:r>
      <w:r w:rsidR="00E33E3E" w:rsidRPr="00E33E3E">
        <w:rPr>
          <w:rFonts w:ascii="Arial" w:hAnsi="Arial" w:cs="Arial"/>
          <w:szCs w:val="24"/>
        </w:rPr>
        <w:t>in accordance with the requirements of Part I.</w:t>
      </w:r>
      <w:r w:rsidR="00D5451C">
        <w:rPr>
          <w:rFonts w:ascii="Arial" w:hAnsi="Arial" w:cs="Arial"/>
          <w:szCs w:val="24"/>
        </w:rPr>
        <w:t xml:space="preserve"> The Commissioner</w:t>
      </w:r>
      <w:r w:rsidR="00C60EA1">
        <w:rPr>
          <w:rFonts w:ascii="Arial" w:hAnsi="Arial" w:cs="Arial"/>
          <w:szCs w:val="24"/>
        </w:rPr>
        <w:t xml:space="preserve">’s </w:t>
      </w:r>
      <w:r w:rsidR="003167F5">
        <w:rPr>
          <w:rFonts w:ascii="Arial" w:hAnsi="Arial" w:cs="Arial"/>
          <w:szCs w:val="24"/>
        </w:rPr>
        <w:t xml:space="preserve">decision </w:t>
      </w:r>
      <w:r w:rsidR="00C60EA1">
        <w:rPr>
          <w:rFonts w:ascii="Arial" w:hAnsi="Arial" w:cs="Arial"/>
          <w:szCs w:val="24"/>
        </w:rPr>
        <w:t xml:space="preserve">in relation to that broad question was </w:t>
      </w:r>
      <w:r w:rsidR="00B10813">
        <w:rPr>
          <w:rFonts w:ascii="Arial" w:hAnsi="Arial" w:cs="Arial"/>
          <w:szCs w:val="24"/>
        </w:rPr>
        <w:t>that</w:t>
      </w:r>
      <w:r w:rsidR="00A42583">
        <w:rPr>
          <w:rFonts w:ascii="Arial" w:hAnsi="Arial" w:cs="Arial"/>
          <w:szCs w:val="24"/>
        </w:rPr>
        <w:t xml:space="preserve">, </w:t>
      </w:r>
      <w:r w:rsidR="00CF5944">
        <w:rPr>
          <w:rFonts w:ascii="Arial" w:hAnsi="Arial" w:cs="Arial"/>
          <w:szCs w:val="24"/>
        </w:rPr>
        <w:t xml:space="preserve">in the responses provided </w:t>
      </w:r>
      <w:r w:rsidR="00BA6CA9">
        <w:rPr>
          <w:rFonts w:ascii="Arial" w:hAnsi="Arial" w:cs="Arial"/>
          <w:szCs w:val="24"/>
        </w:rPr>
        <w:t xml:space="preserve">to the Appellant </w:t>
      </w:r>
      <w:r w:rsidR="00CF5944">
        <w:rPr>
          <w:rFonts w:ascii="Arial" w:hAnsi="Arial" w:cs="Arial"/>
          <w:szCs w:val="24"/>
        </w:rPr>
        <w:t xml:space="preserve">at the date of complaint, </w:t>
      </w:r>
      <w:r w:rsidR="00B10813">
        <w:rPr>
          <w:rFonts w:ascii="Arial" w:hAnsi="Arial" w:cs="Arial"/>
          <w:szCs w:val="24"/>
        </w:rPr>
        <w:t xml:space="preserve">the ICO </w:t>
      </w:r>
      <w:r w:rsidR="00C66212">
        <w:rPr>
          <w:rFonts w:ascii="Arial" w:hAnsi="Arial" w:cs="Arial"/>
          <w:szCs w:val="24"/>
        </w:rPr>
        <w:t xml:space="preserve">had failed to </w:t>
      </w:r>
      <w:r w:rsidR="006642F9">
        <w:rPr>
          <w:rFonts w:ascii="Arial" w:hAnsi="Arial" w:cs="Arial"/>
          <w:szCs w:val="24"/>
        </w:rPr>
        <w:t xml:space="preserve">comply with </w:t>
      </w:r>
      <w:r w:rsidR="00371B68">
        <w:rPr>
          <w:rFonts w:ascii="Arial" w:hAnsi="Arial" w:cs="Arial"/>
          <w:szCs w:val="24"/>
        </w:rPr>
        <w:t xml:space="preserve">its </w:t>
      </w:r>
      <w:r w:rsidR="006642F9">
        <w:rPr>
          <w:rFonts w:ascii="Arial" w:hAnsi="Arial" w:cs="Arial"/>
          <w:szCs w:val="24"/>
        </w:rPr>
        <w:t>s.1</w:t>
      </w:r>
      <w:r w:rsidR="002A7303">
        <w:rPr>
          <w:rFonts w:ascii="Arial" w:hAnsi="Arial" w:cs="Arial"/>
          <w:szCs w:val="24"/>
        </w:rPr>
        <w:t xml:space="preserve"> FOIA</w:t>
      </w:r>
      <w:r w:rsidR="006642F9">
        <w:rPr>
          <w:rFonts w:ascii="Arial" w:hAnsi="Arial" w:cs="Arial"/>
          <w:szCs w:val="24"/>
        </w:rPr>
        <w:t xml:space="preserve"> </w:t>
      </w:r>
      <w:r w:rsidR="002A7303">
        <w:rPr>
          <w:rFonts w:ascii="Arial" w:hAnsi="Arial" w:cs="Arial"/>
          <w:szCs w:val="24"/>
        </w:rPr>
        <w:t>obligations.</w:t>
      </w:r>
      <w:r w:rsidR="00C72A34">
        <w:rPr>
          <w:rFonts w:ascii="Arial" w:hAnsi="Arial" w:cs="Arial"/>
          <w:szCs w:val="24"/>
        </w:rPr>
        <w:t xml:space="preserve"> The decision notice </w:t>
      </w:r>
      <w:r w:rsidR="00723747">
        <w:rPr>
          <w:rFonts w:ascii="Arial" w:hAnsi="Arial" w:cs="Arial"/>
          <w:szCs w:val="24"/>
        </w:rPr>
        <w:t xml:space="preserve">specified steps </w:t>
      </w:r>
      <w:r w:rsidR="00C72A34">
        <w:rPr>
          <w:rFonts w:ascii="Arial" w:hAnsi="Arial" w:cs="Arial"/>
          <w:szCs w:val="24"/>
        </w:rPr>
        <w:t xml:space="preserve">the ICO </w:t>
      </w:r>
      <w:r w:rsidR="00371B68">
        <w:rPr>
          <w:rFonts w:ascii="Arial" w:hAnsi="Arial" w:cs="Arial"/>
          <w:szCs w:val="24"/>
        </w:rPr>
        <w:t xml:space="preserve">still had to take </w:t>
      </w:r>
      <w:r w:rsidR="004B5C09">
        <w:rPr>
          <w:rFonts w:ascii="Arial" w:hAnsi="Arial" w:cs="Arial"/>
          <w:szCs w:val="24"/>
        </w:rPr>
        <w:t>as at the date of the notic</w:t>
      </w:r>
      <w:r w:rsidR="008E177C">
        <w:rPr>
          <w:rFonts w:ascii="Arial" w:hAnsi="Arial" w:cs="Arial"/>
          <w:szCs w:val="24"/>
        </w:rPr>
        <w:t>e.</w:t>
      </w:r>
    </w:p>
    <w:p w14:paraId="068DAE73" w14:textId="7BE25427" w:rsidR="008B73FC" w:rsidRDefault="008E177C" w:rsidP="00DD7117">
      <w:pPr>
        <w:numPr>
          <w:ilvl w:val="0"/>
          <w:numId w:val="21"/>
        </w:numPr>
        <w:tabs>
          <w:tab w:val="left" w:pos="567"/>
          <w:tab w:val="left" w:pos="1134"/>
          <w:tab w:val="left" w:pos="5103"/>
        </w:tabs>
        <w:spacing w:after="120" w:line="276" w:lineRule="auto"/>
        <w:jc w:val="both"/>
        <w:rPr>
          <w:rFonts w:ascii="Arial" w:hAnsi="Arial" w:cs="Arial"/>
          <w:szCs w:val="24"/>
        </w:rPr>
      </w:pPr>
      <w:r>
        <w:rPr>
          <w:rFonts w:ascii="Arial" w:hAnsi="Arial" w:cs="Arial"/>
          <w:szCs w:val="24"/>
        </w:rPr>
        <w:t xml:space="preserve">By the date of the FTT’s decision the picture had changed because the ICO </w:t>
      </w:r>
      <w:r w:rsidR="00B56038">
        <w:rPr>
          <w:rFonts w:ascii="Arial" w:hAnsi="Arial" w:cs="Arial"/>
          <w:szCs w:val="24"/>
        </w:rPr>
        <w:t>purported to have taken the specified steps</w:t>
      </w:r>
      <w:r w:rsidR="0098479C">
        <w:rPr>
          <w:rFonts w:ascii="Arial" w:hAnsi="Arial" w:cs="Arial"/>
          <w:szCs w:val="24"/>
        </w:rPr>
        <w:t xml:space="preserve">. It had issued </w:t>
      </w:r>
      <w:r w:rsidR="00826619">
        <w:rPr>
          <w:rFonts w:ascii="Arial" w:hAnsi="Arial" w:cs="Arial"/>
          <w:szCs w:val="24"/>
        </w:rPr>
        <w:t xml:space="preserve">a substantive response to </w:t>
      </w:r>
      <w:r w:rsidR="007340C6">
        <w:rPr>
          <w:rFonts w:ascii="Arial" w:hAnsi="Arial" w:cs="Arial"/>
          <w:szCs w:val="24"/>
        </w:rPr>
        <w:t xml:space="preserve">all of </w:t>
      </w:r>
      <w:r w:rsidR="00826619">
        <w:rPr>
          <w:rFonts w:ascii="Arial" w:hAnsi="Arial" w:cs="Arial"/>
          <w:szCs w:val="24"/>
        </w:rPr>
        <w:t xml:space="preserve">the Appellant’s FOIA requests, including to those </w:t>
      </w:r>
      <w:r w:rsidR="008B73FC">
        <w:rPr>
          <w:rFonts w:ascii="Arial" w:hAnsi="Arial" w:cs="Arial"/>
          <w:szCs w:val="24"/>
        </w:rPr>
        <w:t xml:space="preserve">that </w:t>
      </w:r>
      <w:r w:rsidR="007340C6">
        <w:rPr>
          <w:rFonts w:ascii="Arial" w:hAnsi="Arial" w:cs="Arial"/>
          <w:szCs w:val="24"/>
        </w:rPr>
        <w:t xml:space="preserve">had been </w:t>
      </w:r>
      <w:r w:rsidR="008B73FC">
        <w:rPr>
          <w:rFonts w:ascii="Arial" w:hAnsi="Arial" w:cs="Arial"/>
          <w:szCs w:val="24"/>
        </w:rPr>
        <w:t>erroneously omitted</w:t>
      </w:r>
      <w:r w:rsidR="007340C6">
        <w:rPr>
          <w:rFonts w:ascii="Arial" w:hAnsi="Arial" w:cs="Arial"/>
          <w:szCs w:val="24"/>
        </w:rPr>
        <w:t xml:space="preserve"> from the Commissioner’s decision notice</w:t>
      </w:r>
      <w:r w:rsidR="008B73FC">
        <w:rPr>
          <w:rFonts w:ascii="Arial" w:hAnsi="Arial" w:cs="Arial"/>
          <w:szCs w:val="24"/>
        </w:rPr>
        <w:t>.</w:t>
      </w:r>
      <w:r w:rsidR="007509E8">
        <w:rPr>
          <w:rFonts w:ascii="Arial" w:hAnsi="Arial" w:cs="Arial"/>
          <w:szCs w:val="24"/>
        </w:rPr>
        <w:t xml:space="preserve"> </w:t>
      </w:r>
    </w:p>
    <w:p w14:paraId="39B586F6" w14:textId="2B35EF07" w:rsidR="009F0210" w:rsidRDefault="00EE465C" w:rsidP="00DD7117">
      <w:pPr>
        <w:numPr>
          <w:ilvl w:val="0"/>
          <w:numId w:val="21"/>
        </w:numPr>
        <w:tabs>
          <w:tab w:val="left" w:pos="567"/>
          <w:tab w:val="left" w:pos="1134"/>
          <w:tab w:val="left" w:pos="5103"/>
        </w:tabs>
        <w:spacing w:after="120" w:line="276" w:lineRule="auto"/>
        <w:jc w:val="both"/>
        <w:rPr>
          <w:rFonts w:ascii="Arial" w:hAnsi="Arial" w:cs="Arial"/>
          <w:szCs w:val="24"/>
        </w:rPr>
      </w:pPr>
      <w:r>
        <w:rPr>
          <w:rFonts w:ascii="Arial" w:hAnsi="Arial" w:cs="Arial"/>
          <w:szCs w:val="24"/>
        </w:rPr>
        <w:t>T</w:t>
      </w:r>
      <w:r w:rsidR="00DB2256">
        <w:rPr>
          <w:rFonts w:ascii="Arial" w:hAnsi="Arial" w:cs="Arial"/>
          <w:szCs w:val="24"/>
        </w:rPr>
        <w:t xml:space="preserve">here was no material error </w:t>
      </w:r>
      <w:r w:rsidR="009E2765">
        <w:rPr>
          <w:rFonts w:ascii="Arial" w:hAnsi="Arial" w:cs="Arial"/>
          <w:szCs w:val="24"/>
        </w:rPr>
        <w:t xml:space="preserve">by </w:t>
      </w:r>
      <w:r w:rsidR="00DB2256">
        <w:rPr>
          <w:rFonts w:ascii="Arial" w:hAnsi="Arial" w:cs="Arial"/>
          <w:szCs w:val="24"/>
        </w:rPr>
        <w:t xml:space="preserve">the </w:t>
      </w:r>
      <w:r w:rsidR="00E65659">
        <w:rPr>
          <w:rFonts w:ascii="Arial" w:hAnsi="Arial" w:cs="Arial"/>
          <w:szCs w:val="24"/>
        </w:rPr>
        <w:t>FTT</w:t>
      </w:r>
      <w:r w:rsidR="009E2765">
        <w:rPr>
          <w:rFonts w:ascii="Arial" w:hAnsi="Arial" w:cs="Arial"/>
          <w:szCs w:val="24"/>
        </w:rPr>
        <w:t xml:space="preserve"> in </w:t>
      </w:r>
      <w:r w:rsidR="0083629A">
        <w:rPr>
          <w:rFonts w:ascii="Arial" w:hAnsi="Arial" w:cs="Arial"/>
          <w:szCs w:val="24"/>
        </w:rPr>
        <w:t>it</w:t>
      </w:r>
      <w:r w:rsidR="00E65659">
        <w:rPr>
          <w:rFonts w:ascii="Arial" w:hAnsi="Arial" w:cs="Arial"/>
          <w:szCs w:val="24"/>
        </w:rPr>
        <w:t xml:space="preserve">s approach </w:t>
      </w:r>
      <w:r w:rsidR="004267C2">
        <w:rPr>
          <w:rFonts w:ascii="Arial" w:hAnsi="Arial" w:cs="Arial"/>
          <w:szCs w:val="24"/>
        </w:rPr>
        <w:t xml:space="preserve">to </w:t>
      </w:r>
      <w:r w:rsidR="00E65659">
        <w:rPr>
          <w:rFonts w:ascii="Arial" w:hAnsi="Arial" w:cs="Arial"/>
          <w:szCs w:val="24"/>
        </w:rPr>
        <w:t xml:space="preserve">the ICO’s </w:t>
      </w:r>
      <w:r w:rsidR="008715AE">
        <w:rPr>
          <w:rFonts w:ascii="Arial" w:hAnsi="Arial" w:cs="Arial"/>
          <w:szCs w:val="24"/>
        </w:rPr>
        <w:t xml:space="preserve">substantive </w:t>
      </w:r>
      <w:r w:rsidR="007B063F">
        <w:rPr>
          <w:rFonts w:ascii="Arial" w:hAnsi="Arial" w:cs="Arial"/>
          <w:szCs w:val="24"/>
        </w:rPr>
        <w:t>FOIA responses</w:t>
      </w:r>
      <w:r w:rsidR="00B431DC">
        <w:rPr>
          <w:rFonts w:ascii="Arial" w:hAnsi="Arial" w:cs="Arial"/>
          <w:szCs w:val="24"/>
        </w:rPr>
        <w:t xml:space="preserve">. </w:t>
      </w:r>
      <w:r w:rsidR="00960089">
        <w:rPr>
          <w:rFonts w:ascii="Arial" w:hAnsi="Arial" w:cs="Arial"/>
          <w:szCs w:val="24"/>
        </w:rPr>
        <w:t xml:space="preserve">The FTT decided </w:t>
      </w:r>
      <w:r w:rsidR="00960089">
        <w:rPr>
          <w:rFonts w:ascii="Arial" w:hAnsi="Arial" w:cs="Arial"/>
          <w:i/>
          <w:iCs/>
          <w:szCs w:val="24"/>
        </w:rPr>
        <w:t xml:space="preserve">de </w:t>
      </w:r>
      <w:r w:rsidR="00960089" w:rsidRPr="00AD3E43">
        <w:rPr>
          <w:rFonts w:ascii="Arial" w:hAnsi="Arial" w:cs="Arial"/>
          <w:i/>
          <w:iCs/>
          <w:szCs w:val="24"/>
        </w:rPr>
        <w:t>novo</w:t>
      </w:r>
      <w:r w:rsidR="00960089">
        <w:rPr>
          <w:rFonts w:ascii="Arial" w:hAnsi="Arial" w:cs="Arial"/>
          <w:szCs w:val="24"/>
        </w:rPr>
        <w:t xml:space="preserve"> </w:t>
      </w:r>
      <w:r w:rsidR="00AD3E43">
        <w:rPr>
          <w:rFonts w:ascii="Arial" w:hAnsi="Arial" w:cs="Arial"/>
          <w:szCs w:val="24"/>
        </w:rPr>
        <w:t xml:space="preserve">that the ICO had not acted in accordance with Part 1 FOIA at the date of </w:t>
      </w:r>
      <w:r w:rsidR="008007AF">
        <w:rPr>
          <w:rFonts w:ascii="Arial" w:hAnsi="Arial" w:cs="Arial"/>
          <w:szCs w:val="24"/>
        </w:rPr>
        <w:t xml:space="preserve">the Appellant’s </w:t>
      </w:r>
      <w:r w:rsidR="00AD3E43">
        <w:rPr>
          <w:rFonts w:ascii="Arial" w:hAnsi="Arial" w:cs="Arial"/>
          <w:szCs w:val="24"/>
        </w:rPr>
        <w:t>complaint</w:t>
      </w:r>
      <w:r w:rsidR="00DA7DA7">
        <w:rPr>
          <w:rFonts w:ascii="Arial" w:hAnsi="Arial" w:cs="Arial"/>
          <w:szCs w:val="24"/>
        </w:rPr>
        <w:t xml:space="preserve">, issued a substituted decision notice </w:t>
      </w:r>
      <w:r w:rsidR="00D20828">
        <w:rPr>
          <w:rFonts w:ascii="Arial" w:hAnsi="Arial" w:cs="Arial"/>
          <w:szCs w:val="24"/>
        </w:rPr>
        <w:t xml:space="preserve">that </w:t>
      </w:r>
      <w:r w:rsidR="00C80276">
        <w:rPr>
          <w:rFonts w:ascii="Arial" w:hAnsi="Arial" w:cs="Arial"/>
          <w:szCs w:val="24"/>
        </w:rPr>
        <w:t xml:space="preserve">included the previously omitted </w:t>
      </w:r>
      <w:r w:rsidR="008007AF">
        <w:rPr>
          <w:rFonts w:ascii="Arial" w:hAnsi="Arial" w:cs="Arial"/>
          <w:szCs w:val="24"/>
        </w:rPr>
        <w:t xml:space="preserve">FOIA </w:t>
      </w:r>
      <w:r w:rsidR="00D20828">
        <w:rPr>
          <w:rFonts w:ascii="Arial" w:hAnsi="Arial" w:cs="Arial"/>
          <w:szCs w:val="24"/>
        </w:rPr>
        <w:t>requests</w:t>
      </w:r>
      <w:r w:rsidR="00AD3E43">
        <w:rPr>
          <w:rFonts w:ascii="Arial" w:hAnsi="Arial" w:cs="Arial"/>
          <w:szCs w:val="24"/>
        </w:rPr>
        <w:t xml:space="preserve"> and </w:t>
      </w:r>
      <w:r w:rsidR="00B50698">
        <w:rPr>
          <w:rFonts w:ascii="Arial" w:hAnsi="Arial" w:cs="Arial"/>
          <w:szCs w:val="24"/>
        </w:rPr>
        <w:t xml:space="preserve">specified that no further steps were required </w:t>
      </w:r>
      <w:r w:rsidR="000A2710">
        <w:rPr>
          <w:rFonts w:ascii="Arial" w:hAnsi="Arial" w:cs="Arial"/>
          <w:szCs w:val="24"/>
        </w:rPr>
        <w:t>of the ICO</w:t>
      </w:r>
      <w:r w:rsidR="00A77170">
        <w:rPr>
          <w:rFonts w:ascii="Arial" w:hAnsi="Arial" w:cs="Arial"/>
          <w:szCs w:val="24"/>
        </w:rPr>
        <w:t xml:space="preserve">, as at </w:t>
      </w:r>
      <w:r w:rsidR="007C7B95">
        <w:rPr>
          <w:rFonts w:ascii="Arial" w:hAnsi="Arial" w:cs="Arial"/>
          <w:szCs w:val="24"/>
        </w:rPr>
        <w:t>the date of the FTT’s decision</w:t>
      </w:r>
      <w:r w:rsidR="00B5653D">
        <w:rPr>
          <w:rFonts w:ascii="Arial" w:hAnsi="Arial" w:cs="Arial"/>
          <w:szCs w:val="24"/>
        </w:rPr>
        <w:t>. The</w:t>
      </w:r>
      <w:r w:rsidR="00BA483D">
        <w:rPr>
          <w:rFonts w:ascii="Arial" w:hAnsi="Arial" w:cs="Arial"/>
          <w:szCs w:val="24"/>
        </w:rPr>
        <w:t xml:space="preserve"> FTT’s jurisdiction was </w:t>
      </w:r>
      <w:r w:rsidR="00EE2269">
        <w:rPr>
          <w:rFonts w:ascii="Arial" w:hAnsi="Arial" w:cs="Arial"/>
          <w:szCs w:val="24"/>
        </w:rPr>
        <w:t xml:space="preserve">limited to </w:t>
      </w:r>
      <w:r w:rsidR="001275BB">
        <w:rPr>
          <w:rFonts w:ascii="Arial" w:hAnsi="Arial" w:cs="Arial"/>
          <w:szCs w:val="24"/>
        </w:rPr>
        <w:t>the subject matter of the 11 September 2019 decision notice</w:t>
      </w:r>
      <w:r w:rsidR="00EE2269">
        <w:rPr>
          <w:rFonts w:ascii="Arial" w:hAnsi="Arial" w:cs="Arial"/>
          <w:szCs w:val="24"/>
        </w:rPr>
        <w:t>, in relation to which an appeal had been brought</w:t>
      </w:r>
      <w:r w:rsidR="001275BB">
        <w:rPr>
          <w:rFonts w:ascii="Arial" w:hAnsi="Arial" w:cs="Arial"/>
          <w:szCs w:val="24"/>
        </w:rPr>
        <w:t>.</w:t>
      </w:r>
    </w:p>
    <w:p w14:paraId="4F1FB602" w14:textId="43BB9DF1" w:rsidR="003F6847" w:rsidRPr="00072F67" w:rsidRDefault="003F6847" w:rsidP="00DD7117">
      <w:pPr>
        <w:numPr>
          <w:ilvl w:val="0"/>
          <w:numId w:val="21"/>
        </w:numPr>
        <w:spacing w:after="120" w:line="276" w:lineRule="auto"/>
        <w:jc w:val="both"/>
        <w:rPr>
          <w:rFonts w:ascii="Arial" w:hAnsi="Arial" w:cs="Arial"/>
          <w:szCs w:val="24"/>
        </w:rPr>
      </w:pPr>
      <w:r w:rsidRPr="00072F67">
        <w:rPr>
          <w:rFonts w:ascii="Arial" w:hAnsi="Arial" w:cs="Arial"/>
          <w:szCs w:val="24"/>
        </w:rPr>
        <w:lastRenderedPageBreak/>
        <w:t xml:space="preserve">The </w:t>
      </w:r>
      <w:r w:rsidR="004F1DD3" w:rsidRPr="00072F67">
        <w:rPr>
          <w:rFonts w:ascii="Arial" w:hAnsi="Arial" w:cs="Arial"/>
          <w:szCs w:val="24"/>
        </w:rPr>
        <w:t xml:space="preserve">Appellant is correct in his observation that </w:t>
      </w:r>
      <w:r w:rsidR="00065C5D" w:rsidRPr="00072F67">
        <w:rPr>
          <w:rFonts w:ascii="Arial" w:hAnsi="Arial" w:cs="Arial"/>
          <w:szCs w:val="24"/>
        </w:rPr>
        <w:t xml:space="preserve">the FTT can </w:t>
      </w:r>
      <w:r w:rsidR="00E403AC" w:rsidRPr="00072F67">
        <w:rPr>
          <w:rFonts w:ascii="Arial" w:hAnsi="Arial" w:cs="Arial"/>
          <w:szCs w:val="24"/>
        </w:rPr>
        <w:t>“</w:t>
      </w:r>
      <w:r w:rsidR="00065C5D" w:rsidRPr="00072F67">
        <w:rPr>
          <w:rFonts w:ascii="Arial" w:hAnsi="Arial" w:cs="Arial"/>
          <w:i/>
          <w:iCs/>
          <w:szCs w:val="24"/>
        </w:rPr>
        <w:t>substitute other such notices as could have been served by the Commissione</w:t>
      </w:r>
      <w:r w:rsidR="00065C5D" w:rsidRPr="00072F67">
        <w:rPr>
          <w:rFonts w:ascii="Arial" w:hAnsi="Arial" w:cs="Arial"/>
          <w:szCs w:val="24"/>
        </w:rPr>
        <w:t>r” up to the date of the FTT’s decision</w:t>
      </w:r>
      <w:r w:rsidR="00BB443A" w:rsidRPr="00072F67">
        <w:rPr>
          <w:rFonts w:ascii="Arial" w:hAnsi="Arial" w:cs="Arial"/>
          <w:szCs w:val="24"/>
        </w:rPr>
        <w:t xml:space="preserve">, </w:t>
      </w:r>
      <w:r w:rsidR="00A13A25" w:rsidRPr="00072F67">
        <w:rPr>
          <w:rFonts w:ascii="Arial" w:hAnsi="Arial" w:cs="Arial"/>
          <w:szCs w:val="24"/>
        </w:rPr>
        <w:t xml:space="preserve">but </w:t>
      </w:r>
      <w:r w:rsidR="00E619C0">
        <w:rPr>
          <w:rFonts w:ascii="Arial" w:hAnsi="Arial" w:cs="Arial"/>
          <w:szCs w:val="24"/>
        </w:rPr>
        <w:t xml:space="preserve">this </w:t>
      </w:r>
      <w:r w:rsidR="00A13A25" w:rsidRPr="00072F67">
        <w:rPr>
          <w:rFonts w:ascii="Arial" w:hAnsi="Arial" w:cs="Arial"/>
          <w:szCs w:val="24"/>
        </w:rPr>
        <w:t xml:space="preserve">only </w:t>
      </w:r>
      <w:r w:rsidR="005D79E5">
        <w:rPr>
          <w:rFonts w:ascii="Arial" w:hAnsi="Arial" w:cs="Arial"/>
          <w:szCs w:val="24"/>
        </w:rPr>
        <w:t xml:space="preserve">applies </w:t>
      </w:r>
      <w:r w:rsidR="00A13A25" w:rsidRPr="00072F67">
        <w:rPr>
          <w:rFonts w:ascii="Arial" w:hAnsi="Arial" w:cs="Arial"/>
          <w:szCs w:val="24"/>
        </w:rPr>
        <w:t xml:space="preserve">to </w:t>
      </w:r>
      <w:r w:rsidR="00376E6A" w:rsidRPr="00072F67">
        <w:rPr>
          <w:rFonts w:ascii="Arial" w:hAnsi="Arial" w:cs="Arial"/>
          <w:szCs w:val="24"/>
        </w:rPr>
        <w:t xml:space="preserve">the </w:t>
      </w:r>
      <w:r w:rsidR="00C8267E" w:rsidRPr="00072F67">
        <w:rPr>
          <w:rFonts w:ascii="Arial" w:hAnsi="Arial" w:cs="Arial"/>
          <w:szCs w:val="24"/>
        </w:rPr>
        <w:t>subject matter of the original decision notice</w:t>
      </w:r>
      <w:r w:rsidR="00F654C7">
        <w:rPr>
          <w:rFonts w:ascii="Arial" w:hAnsi="Arial" w:cs="Arial"/>
          <w:szCs w:val="24"/>
        </w:rPr>
        <w:t xml:space="preserve">. The subject matter of a decision notice </w:t>
      </w:r>
      <w:r w:rsidR="00895439" w:rsidRPr="00072F67">
        <w:rPr>
          <w:rFonts w:ascii="Arial" w:hAnsi="Arial" w:cs="Arial"/>
          <w:szCs w:val="24"/>
        </w:rPr>
        <w:t xml:space="preserve">will generally be </w:t>
      </w:r>
      <w:r w:rsidR="006C37E0" w:rsidRPr="00072F67">
        <w:rPr>
          <w:rFonts w:ascii="Arial" w:hAnsi="Arial" w:cs="Arial"/>
          <w:szCs w:val="24"/>
        </w:rPr>
        <w:t xml:space="preserve">a specified </w:t>
      </w:r>
      <w:r w:rsidR="005A5E45" w:rsidRPr="00072F67">
        <w:rPr>
          <w:rFonts w:ascii="Arial" w:hAnsi="Arial" w:cs="Arial"/>
          <w:szCs w:val="24"/>
        </w:rPr>
        <w:t xml:space="preserve">response </w:t>
      </w:r>
      <w:r w:rsidR="00FF7F68">
        <w:rPr>
          <w:rFonts w:ascii="Arial" w:hAnsi="Arial" w:cs="Arial"/>
          <w:szCs w:val="24"/>
        </w:rPr>
        <w:t xml:space="preserve">(or lack of response) </w:t>
      </w:r>
      <w:r w:rsidR="005A5E45" w:rsidRPr="00072F67">
        <w:rPr>
          <w:rFonts w:ascii="Arial" w:hAnsi="Arial" w:cs="Arial"/>
          <w:szCs w:val="24"/>
        </w:rPr>
        <w:t xml:space="preserve">by a </w:t>
      </w:r>
      <w:r w:rsidR="00954389" w:rsidRPr="00072F67">
        <w:rPr>
          <w:rFonts w:ascii="Arial" w:hAnsi="Arial" w:cs="Arial"/>
          <w:szCs w:val="24"/>
        </w:rPr>
        <w:t xml:space="preserve">public authority </w:t>
      </w:r>
      <w:r w:rsidR="00FA2F21" w:rsidRPr="00072F67">
        <w:rPr>
          <w:rFonts w:ascii="Arial" w:hAnsi="Arial" w:cs="Arial"/>
          <w:szCs w:val="24"/>
        </w:rPr>
        <w:t xml:space="preserve">to </w:t>
      </w:r>
      <w:r w:rsidR="005A5E45" w:rsidRPr="00072F67">
        <w:rPr>
          <w:rFonts w:ascii="Arial" w:hAnsi="Arial" w:cs="Arial"/>
          <w:szCs w:val="24"/>
        </w:rPr>
        <w:t>a FOIA request.</w:t>
      </w:r>
      <w:r w:rsidR="005D743F" w:rsidRPr="00072F67">
        <w:rPr>
          <w:rFonts w:ascii="Arial" w:hAnsi="Arial" w:cs="Arial"/>
          <w:szCs w:val="24"/>
        </w:rPr>
        <w:t xml:space="preserve"> The </w:t>
      </w:r>
      <w:r w:rsidR="00072F67" w:rsidRPr="00072F67">
        <w:rPr>
          <w:rFonts w:ascii="Arial" w:hAnsi="Arial" w:cs="Arial"/>
          <w:szCs w:val="24"/>
        </w:rPr>
        <w:t>correct</w:t>
      </w:r>
      <w:r w:rsidR="005D743F" w:rsidRPr="00072F67">
        <w:rPr>
          <w:rFonts w:ascii="Arial" w:hAnsi="Arial" w:cs="Arial"/>
          <w:szCs w:val="24"/>
        </w:rPr>
        <w:t xml:space="preserve"> </w:t>
      </w:r>
      <w:r w:rsidR="00F507E5">
        <w:rPr>
          <w:rFonts w:ascii="Arial" w:hAnsi="Arial" w:cs="Arial"/>
          <w:szCs w:val="24"/>
        </w:rPr>
        <w:t xml:space="preserve">way to reflect the effect of </w:t>
      </w:r>
      <w:r w:rsidR="005D743F" w:rsidRPr="00072F67">
        <w:rPr>
          <w:rFonts w:ascii="Arial" w:hAnsi="Arial" w:cs="Arial"/>
          <w:szCs w:val="24"/>
        </w:rPr>
        <w:t xml:space="preserve">any subsequent response by the public authority </w:t>
      </w:r>
      <w:r w:rsidR="00A760BC">
        <w:rPr>
          <w:rFonts w:ascii="Arial" w:hAnsi="Arial" w:cs="Arial"/>
          <w:szCs w:val="24"/>
        </w:rPr>
        <w:t xml:space="preserve">in the decision notice </w:t>
      </w:r>
      <w:r w:rsidR="00E619C0">
        <w:rPr>
          <w:rFonts w:ascii="Arial" w:hAnsi="Arial" w:cs="Arial"/>
          <w:szCs w:val="24"/>
        </w:rPr>
        <w:t xml:space="preserve">is </w:t>
      </w:r>
      <w:r w:rsidR="000700B3">
        <w:rPr>
          <w:rFonts w:ascii="Arial" w:hAnsi="Arial" w:cs="Arial"/>
          <w:szCs w:val="24"/>
        </w:rPr>
        <w:t xml:space="preserve">the approach taken by </w:t>
      </w:r>
      <w:r w:rsidR="00072F67" w:rsidRPr="00072F67">
        <w:rPr>
          <w:rFonts w:ascii="Arial" w:hAnsi="Arial" w:cs="Arial"/>
          <w:szCs w:val="24"/>
        </w:rPr>
        <w:t>the FTT in the Appellant’s case.</w:t>
      </w:r>
    </w:p>
    <w:p w14:paraId="144B3C47" w14:textId="508C94B8" w:rsidR="006C68B3" w:rsidRPr="006C2184" w:rsidRDefault="0029142B" w:rsidP="00DD7117">
      <w:pPr>
        <w:numPr>
          <w:ilvl w:val="0"/>
          <w:numId w:val="21"/>
        </w:numPr>
        <w:tabs>
          <w:tab w:val="left" w:pos="567"/>
          <w:tab w:val="left" w:pos="1134"/>
          <w:tab w:val="left" w:pos="5103"/>
        </w:tabs>
        <w:spacing w:after="120" w:line="276" w:lineRule="auto"/>
        <w:jc w:val="both"/>
        <w:rPr>
          <w:rFonts w:ascii="Arial" w:hAnsi="Arial" w:cs="Arial"/>
          <w:szCs w:val="24"/>
        </w:rPr>
      </w:pPr>
      <w:r>
        <w:rPr>
          <w:rFonts w:ascii="Arial" w:hAnsi="Arial" w:cs="Arial"/>
          <w:szCs w:val="24"/>
        </w:rPr>
        <w:t>The ICO</w:t>
      </w:r>
      <w:r w:rsidR="00B57DBA">
        <w:rPr>
          <w:rFonts w:ascii="Arial" w:hAnsi="Arial" w:cs="Arial"/>
          <w:szCs w:val="24"/>
        </w:rPr>
        <w:t>’s substantive response</w:t>
      </w:r>
      <w:r w:rsidR="00CF311D">
        <w:rPr>
          <w:rFonts w:ascii="Arial" w:hAnsi="Arial" w:cs="Arial"/>
          <w:szCs w:val="24"/>
        </w:rPr>
        <w:t>s</w:t>
      </w:r>
      <w:r w:rsidR="008A2BB1">
        <w:rPr>
          <w:rFonts w:ascii="Arial" w:hAnsi="Arial" w:cs="Arial"/>
          <w:szCs w:val="24"/>
        </w:rPr>
        <w:t xml:space="preserve"> to the Appellant’s FOIA request</w:t>
      </w:r>
      <w:r w:rsidR="00C736C2">
        <w:rPr>
          <w:rFonts w:ascii="Arial" w:hAnsi="Arial" w:cs="Arial"/>
          <w:szCs w:val="24"/>
        </w:rPr>
        <w:t>s</w:t>
      </w:r>
      <w:r w:rsidR="008A2BB1">
        <w:rPr>
          <w:rFonts w:ascii="Arial" w:hAnsi="Arial" w:cs="Arial"/>
          <w:szCs w:val="24"/>
        </w:rPr>
        <w:t xml:space="preserve"> </w:t>
      </w:r>
      <w:r w:rsidR="00803FC0">
        <w:rPr>
          <w:rFonts w:ascii="Arial" w:hAnsi="Arial" w:cs="Arial"/>
          <w:szCs w:val="24"/>
        </w:rPr>
        <w:t xml:space="preserve">are </w:t>
      </w:r>
      <w:r w:rsidR="0091669A">
        <w:rPr>
          <w:rFonts w:ascii="Arial" w:hAnsi="Arial" w:cs="Arial"/>
          <w:szCs w:val="24"/>
        </w:rPr>
        <w:t xml:space="preserve">not the </w:t>
      </w:r>
      <w:r w:rsidR="002E65D0">
        <w:rPr>
          <w:rFonts w:ascii="Arial" w:hAnsi="Arial" w:cs="Arial"/>
          <w:szCs w:val="24"/>
        </w:rPr>
        <w:t>subject matter of the 11 September 2019 decision notice.</w:t>
      </w:r>
      <w:r w:rsidR="00A03AD3">
        <w:rPr>
          <w:rFonts w:ascii="Arial" w:hAnsi="Arial" w:cs="Arial"/>
          <w:szCs w:val="24"/>
        </w:rPr>
        <w:t xml:space="preserve"> </w:t>
      </w:r>
      <w:r w:rsidR="00371101">
        <w:rPr>
          <w:rFonts w:ascii="Arial" w:hAnsi="Arial" w:cs="Arial"/>
          <w:szCs w:val="24"/>
        </w:rPr>
        <w:t>The adequacy of the</w:t>
      </w:r>
      <w:r w:rsidR="00CF311D">
        <w:rPr>
          <w:rFonts w:ascii="Arial" w:hAnsi="Arial" w:cs="Arial"/>
          <w:szCs w:val="24"/>
        </w:rPr>
        <w:t xml:space="preserve">se </w:t>
      </w:r>
      <w:r w:rsidR="00803FC0">
        <w:rPr>
          <w:rFonts w:ascii="Arial" w:hAnsi="Arial" w:cs="Arial"/>
          <w:szCs w:val="24"/>
        </w:rPr>
        <w:t xml:space="preserve">later </w:t>
      </w:r>
      <w:r w:rsidR="00C736C2">
        <w:rPr>
          <w:rFonts w:ascii="Arial" w:hAnsi="Arial" w:cs="Arial"/>
          <w:szCs w:val="24"/>
        </w:rPr>
        <w:t>response</w:t>
      </w:r>
      <w:r w:rsidR="00803FC0">
        <w:rPr>
          <w:rFonts w:ascii="Arial" w:hAnsi="Arial" w:cs="Arial"/>
          <w:szCs w:val="24"/>
        </w:rPr>
        <w:t>s</w:t>
      </w:r>
      <w:r w:rsidR="00C736C2">
        <w:rPr>
          <w:rFonts w:ascii="Arial" w:hAnsi="Arial" w:cs="Arial"/>
          <w:szCs w:val="24"/>
        </w:rPr>
        <w:t xml:space="preserve"> </w:t>
      </w:r>
      <w:r w:rsidR="00A95746">
        <w:rPr>
          <w:rFonts w:ascii="Arial" w:hAnsi="Arial" w:cs="Arial"/>
          <w:szCs w:val="24"/>
        </w:rPr>
        <w:t xml:space="preserve">was not an issue the </w:t>
      </w:r>
      <w:r w:rsidR="00871454">
        <w:rPr>
          <w:rFonts w:ascii="Arial" w:hAnsi="Arial" w:cs="Arial"/>
          <w:szCs w:val="24"/>
        </w:rPr>
        <w:t xml:space="preserve">Commissioner </w:t>
      </w:r>
      <w:r w:rsidR="00A95746">
        <w:rPr>
          <w:rFonts w:ascii="Arial" w:hAnsi="Arial" w:cs="Arial"/>
          <w:szCs w:val="24"/>
        </w:rPr>
        <w:t xml:space="preserve">could </w:t>
      </w:r>
      <w:r w:rsidR="004532DA">
        <w:rPr>
          <w:rFonts w:ascii="Arial" w:hAnsi="Arial" w:cs="Arial"/>
          <w:szCs w:val="24"/>
        </w:rPr>
        <w:t xml:space="preserve">have considered </w:t>
      </w:r>
      <w:r w:rsidR="00871454">
        <w:rPr>
          <w:rFonts w:ascii="Arial" w:hAnsi="Arial" w:cs="Arial"/>
          <w:szCs w:val="24"/>
        </w:rPr>
        <w:t>at th</w:t>
      </w:r>
      <w:r w:rsidR="004E036E">
        <w:rPr>
          <w:rFonts w:ascii="Arial" w:hAnsi="Arial" w:cs="Arial"/>
          <w:szCs w:val="24"/>
        </w:rPr>
        <w:t>at</w:t>
      </w:r>
      <w:r w:rsidR="00871454">
        <w:rPr>
          <w:rFonts w:ascii="Arial" w:hAnsi="Arial" w:cs="Arial"/>
          <w:szCs w:val="24"/>
        </w:rPr>
        <w:t xml:space="preserve"> time</w:t>
      </w:r>
      <w:r w:rsidR="000E15D7">
        <w:rPr>
          <w:rFonts w:ascii="Arial" w:hAnsi="Arial" w:cs="Arial"/>
          <w:szCs w:val="24"/>
        </w:rPr>
        <w:t>.</w:t>
      </w:r>
      <w:r w:rsidR="00133886">
        <w:rPr>
          <w:rFonts w:ascii="Arial" w:hAnsi="Arial" w:cs="Arial"/>
          <w:szCs w:val="24"/>
        </w:rPr>
        <w:t xml:space="preserve"> </w:t>
      </w:r>
      <w:r w:rsidR="003B4A7C">
        <w:rPr>
          <w:rFonts w:ascii="Arial" w:hAnsi="Arial" w:cs="Arial"/>
          <w:szCs w:val="24"/>
        </w:rPr>
        <w:t>A decision about whether the</w:t>
      </w:r>
      <w:r w:rsidR="007F0DEF">
        <w:rPr>
          <w:rFonts w:ascii="Arial" w:hAnsi="Arial" w:cs="Arial"/>
          <w:szCs w:val="24"/>
        </w:rPr>
        <w:t xml:space="preserve"> ICO’s </w:t>
      </w:r>
      <w:r w:rsidR="00B64274">
        <w:rPr>
          <w:rFonts w:ascii="Arial" w:hAnsi="Arial" w:cs="Arial"/>
          <w:szCs w:val="24"/>
        </w:rPr>
        <w:t xml:space="preserve">substantive responses </w:t>
      </w:r>
      <w:r w:rsidR="007F0DEF">
        <w:rPr>
          <w:rFonts w:ascii="Arial" w:hAnsi="Arial" w:cs="Arial"/>
          <w:szCs w:val="24"/>
        </w:rPr>
        <w:t xml:space="preserve">are </w:t>
      </w:r>
      <w:r w:rsidR="003B4A7C">
        <w:rPr>
          <w:rFonts w:ascii="Arial" w:hAnsi="Arial" w:cs="Arial"/>
          <w:szCs w:val="24"/>
        </w:rPr>
        <w:t>in accordance</w:t>
      </w:r>
      <w:r w:rsidR="007F0DEF">
        <w:rPr>
          <w:rFonts w:ascii="Arial" w:hAnsi="Arial" w:cs="Arial"/>
          <w:szCs w:val="24"/>
        </w:rPr>
        <w:t xml:space="preserve"> with Part 1 FOIA</w:t>
      </w:r>
      <w:r w:rsidR="00962F10">
        <w:rPr>
          <w:rFonts w:ascii="Arial" w:hAnsi="Arial" w:cs="Arial"/>
          <w:szCs w:val="24"/>
        </w:rPr>
        <w:t xml:space="preserve"> </w:t>
      </w:r>
      <w:r w:rsidR="00E850BF">
        <w:rPr>
          <w:rFonts w:ascii="Arial" w:hAnsi="Arial" w:cs="Arial"/>
          <w:szCs w:val="24"/>
        </w:rPr>
        <w:t>requires the Commissioner to consider a substantially different question</w:t>
      </w:r>
      <w:r w:rsidR="00E41785">
        <w:rPr>
          <w:rFonts w:ascii="Arial" w:hAnsi="Arial" w:cs="Arial"/>
          <w:szCs w:val="24"/>
        </w:rPr>
        <w:t xml:space="preserve">. </w:t>
      </w:r>
      <w:r w:rsidR="00104C2B" w:rsidRPr="002A61DB">
        <w:rPr>
          <w:rFonts w:ascii="Arial" w:hAnsi="Arial" w:cs="Arial"/>
          <w:szCs w:val="24"/>
        </w:rPr>
        <w:t>The</w:t>
      </w:r>
      <w:r w:rsidR="00104C2B">
        <w:rPr>
          <w:rFonts w:ascii="Arial" w:hAnsi="Arial" w:cs="Arial"/>
          <w:szCs w:val="24"/>
        </w:rPr>
        <w:t xml:space="preserve"> FTT ha</w:t>
      </w:r>
      <w:r w:rsidR="006215FD">
        <w:rPr>
          <w:rFonts w:ascii="Arial" w:hAnsi="Arial" w:cs="Arial"/>
          <w:szCs w:val="24"/>
        </w:rPr>
        <w:t>s</w:t>
      </w:r>
      <w:r w:rsidR="00104C2B">
        <w:rPr>
          <w:rFonts w:ascii="Arial" w:hAnsi="Arial" w:cs="Arial"/>
          <w:szCs w:val="24"/>
        </w:rPr>
        <w:t xml:space="preserve"> </w:t>
      </w:r>
      <w:r w:rsidR="00AE584A">
        <w:rPr>
          <w:rFonts w:ascii="Arial" w:hAnsi="Arial" w:cs="Arial"/>
          <w:szCs w:val="24"/>
        </w:rPr>
        <w:t xml:space="preserve">no jurisdiction </w:t>
      </w:r>
      <w:r w:rsidR="001F28B2">
        <w:rPr>
          <w:rFonts w:ascii="Arial" w:hAnsi="Arial" w:cs="Arial"/>
          <w:szCs w:val="24"/>
        </w:rPr>
        <w:t xml:space="preserve">to consider </w:t>
      </w:r>
      <w:r w:rsidR="00A63556">
        <w:rPr>
          <w:rFonts w:ascii="Arial" w:hAnsi="Arial" w:cs="Arial"/>
          <w:szCs w:val="24"/>
        </w:rPr>
        <w:t xml:space="preserve">a new question </w:t>
      </w:r>
      <w:r w:rsidR="00C40E41">
        <w:rPr>
          <w:rFonts w:ascii="Arial" w:hAnsi="Arial" w:cs="Arial"/>
          <w:szCs w:val="24"/>
        </w:rPr>
        <w:t xml:space="preserve">of this nature </w:t>
      </w:r>
      <w:r w:rsidR="008F1945">
        <w:rPr>
          <w:rFonts w:ascii="Arial" w:hAnsi="Arial" w:cs="Arial"/>
          <w:szCs w:val="24"/>
        </w:rPr>
        <w:t xml:space="preserve">unless </w:t>
      </w:r>
      <w:r w:rsidR="002C7185">
        <w:rPr>
          <w:rFonts w:ascii="Arial" w:hAnsi="Arial" w:cs="Arial"/>
          <w:szCs w:val="24"/>
        </w:rPr>
        <w:t xml:space="preserve">and until </w:t>
      </w:r>
      <w:r w:rsidR="00AE584A">
        <w:rPr>
          <w:rFonts w:ascii="Arial" w:hAnsi="Arial" w:cs="Arial"/>
          <w:szCs w:val="24"/>
        </w:rPr>
        <w:t>the Commissioner ha</w:t>
      </w:r>
      <w:r w:rsidR="008F1945">
        <w:rPr>
          <w:rFonts w:ascii="Arial" w:hAnsi="Arial" w:cs="Arial"/>
          <w:szCs w:val="24"/>
        </w:rPr>
        <w:t>s</w:t>
      </w:r>
      <w:r w:rsidR="00AE584A">
        <w:rPr>
          <w:rFonts w:ascii="Arial" w:hAnsi="Arial" w:cs="Arial"/>
          <w:szCs w:val="24"/>
        </w:rPr>
        <w:t xml:space="preserve"> </w:t>
      </w:r>
      <w:r w:rsidR="00AB3BDC">
        <w:rPr>
          <w:rFonts w:ascii="Arial" w:hAnsi="Arial" w:cs="Arial"/>
          <w:szCs w:val="24"/>
        </w:rPr>
        <w:t xml:space="preserve">issued a decision notice concerning </w:t>
      </w:r>
      <w:r w:rsidR="00141007">
        <w:rPr>
          <w:rFonts w:ascii="Arial" w:hAnsi="Arial" w:cs="Arial"/>
          <w:szCs w:val="24"/>
        </w:rPr>
        <w:t xml:space="preserve">whether, in any specified respect, </w:t>
      </w:r>
      <w:r w:rsidR="00C40E41">
        <w:rPr>
          <w:rFonts w:ascii="Arial" w:hAnsi="Arial" w:cs="Arial"/>
          <w:szCs w:val="24"/>
        </w:rPr>
        <w:t xml:space="preserve">the ICO’s substantive responses </w:t>
      </w:r>
      <w:r w:rsidR="001F28B2">
        <w:rPr>
          <w:rFonts w:ascii="Arial" w:hAnsi="Arial" w:cs="Arial"/>
          <w:szCs w:val="24"/>
        </w:rPr>
        <w:t xml:space="preserve">are </w:t>
      </w:r>
      <w:r w:rsidR="0099504A">
        <w:rPr>
          <w:rFonts w:ascii="Arial" w:hAnsi="Arial" w:cs="Arial"/>
          <w:szCs w:val="24"/>
        </w:rPr>
        <w:t xml:space="preserve">in </w:t>
      </w:r>
      <w:r w:rsidR="00361448">
        <w:rPr>
          <w:rFonts w:ascii="Arial" w:hAnsi="Arial" w:cs="Arial"/>
          <w:szCs w:val="24"/>
        </w:rPr>
        <w:t xml:space="preserve">accordance with </w:t>
      </w:r>
      <w:r w:rsidR="00A92004">
        <w:rPr>
          <w:rFonts w:ascii="Arial" w:hAnsi="Arial" w:cs="Arial"/>
          <w:szCs w:val="24"/>
        </w:rPr>
        <w:t>Part 1 FOIA</w:t>
      </w:r>
      <w:r w:rsidR="001F28B2">
        <w:rPr>
          <w:rFonts w:ascii="Arial" w:hAnsi="Arial" w:cs="Arial"/>
          <w:szCs w:val="24"/>
        </w:rPr>
        <w:t xml:space="preserve">, </w:t>
      </w:r>
      <w:r w:rsidR="002B5CC7">
        <w:rPr>
          <w:rFonts w:ascii="Arial" w:hAnsi="Arial" w:cs="Arial"/>
          <w:szCs w:val="24"/>
        </w:rPr>
        <w:t xml:space="preserve">and </w:t>
      </w:r>
      <w:r w:rsidR="00AD5689">
        <w:rPr>
          <w:rFonts w:ascii="Arial" w:hAnsi="Arial" w:cs="Arial"/>
          <w:szCs w:val="24"/>
        </w:rPr>
        <w:t xml:space="preserve">then </w:t>
      </w:r>
      <w:r w:rsidR="001F28B2">
        <w:rPr>
          <w:rFonts w:ascii="Arial" w:hAnsi="Arial" w:cs="Arial"/>
          <w:szCs w:val="24"/>
        </w:rPr>
        <w:t xml:space="preserve">following an appeal </w:t>
      </w:r>
      <w:r w:rsidR="009F5919">
        <w:rPr>
          <w:rFonts w:ascii="Arial" w:hAnsi="Arial" w:cs="Arial"/>
          <w:szCs w:val="24"/>
        </w:rPr>
        <w:t>under s.57.</w:t>
      </w:r>
      <w:r w:rsidR="00A92004">
        <w:rPr>
          <w:rFonts w:ascii="Arial" w:hAnsi="Arial" w:cs="Arial"/>
          <w:szCs w:val="24"/>
        </w:rPr>
        <w:t xml:space="preserve"> </w:t>
      </w:r>
    </w:p>
    <w:p w14:paraId="213D9D05" w14:textId="5EE19AF9" w:rsidR="00F946C6" w:rsidRPr="00C1087F" w:rsidRDefault="009F5919" w:rsidP="00DD7117">
      <w:pPr>
        <w:numPr>
          <w:ilvl w:val="0"/>
          <w:numId w:val="21"/>
        </w:numPr>
        <w:tabs>
          <w:tab w:val="left" w:pos="567"/>
          <w:tab w:val="left" w:pos="1134"/>
          <w:tab w:val="left" w:pos="5103"/>
        </w:tabs>
        <w:spacing w:after="120" w:line="276" w:lineRule="auto"/>
        <w:jc w:val="both"/>
        <w:rPr>
          <w:rFonts w:ascii="Arial" w:hAnsi="Arial" w:cs="Arial"/>
          <w:szCs w:val="24"/>
        </w:rPr>
      </w:pPr>
      <w:r>
        <w:rPr>
          <w:rFonts w:ascii="Arial" w:hAnsi="Arial" w:cs="Arial"/>
          <w:szCs w:val="24"/>
        </w:rPr>
        <w:t xml:space="preserve">I agree with Mr White that there is nothing in the language of FOIA that prohibits a </w:t>
      </w:r>
      <w:r w:rsidR="00B375A3">
        <w:rPr>
          <w:rFonts w:ascii="Arial" w:hAnsi="Arial" w:cs="Arial"/>
          <w:szCs w:val="24"/>
        </w:rPr>
        <w:t>second complaint being made under s.50</w:t>
      </w:r>
      <w:r w:rsidR="00471D7C">
        <w:rPr>
          <w:rFonts w:ascii="Arial" w:hAnsi="Arial" w:cs="Arial"/>
          <w:szCs w:val="24"/>
        </w:rPr>
        <w:t xml:space="preserve">, </w:t>
      </w:r>
      <w:r w:rsidR="00022710">
        <w:rPr>
          <w:rFonts w:ascii="Arial" w:hAnsi="Arial" w:cs="Arial"/>
          <w:szCs w:val="24"/>
        </w:rPr>
        <w:t>n</w:t>
      </w:r>
      <w:r w:rsidR="00471D7C">
        <w:rPr>
          <w:rFonts w:ascii="Arial" w:hAnsi="Arial" w:cs="Arial"/>
          <w:szCs w:val="24"/>
        </w:rPr>
        <w:t>or a successive decision notice being issued,</w:t>
      </w:r>
      <w:r w:rsidR="00327471">
        <w:rPr>
          <w:rFonts w:ascii="Arial" w:hAnsi="Arial" w:cs="Arial"/>
          <w:szCs w:val="24"/>
        </w:rPr>
        <w:t xml:space="preserve"> in relation to a </w:t>
      </w:r>
      <w:r w:rsidR="0029748F">
        <w:rPr>
          <w:rFonts w:ascii="Arial" w:hAnsi="Arial" w:cs="Arial"/>
          <w:szCs w:val="24"/>
        </w:rPr>
        <w:t>subsequent</w:t>
      </w:r>
      <w:r w:rsidR="000A2BA5">
        <w:rPr>
          <w:rFonts w:ascii="Arial" w:hAnsi="Arial" w:cs="Arial"/>
          <w:szCs w:val="24"/>
        </w:rPr>
        <w:t xml:space="preserve">, substantially different </w:t>
      </w:r>
      <w:r w:rsidR="00327471">
        <w:rPr>
          <w:rFonts w:ascii="Arial" w:hAnsi="Arial" w:cs="Arial"/>
          <w:szCs w:val="24"/>
        </w:rPr>
        <w:t>response by a</w:t>
      </w:r>
      <w:r w:rsidR="0029748F">
        <w:rPr>
          <w:rFonts w:ascii="Arial" w:hAnsi="Arial" w:cs="Arial"/>
          <w:szCs w:val="24"/>
        </w:rPr>
        <w:t xml:space="preserve"> public authority</w:t>
      </w:r>
      <w:r w:rsidR="00022710">
        <w:rPr>
          <w:rFonts w:ascii="Arial" w:hAnsi="Arial" w:cs="Arial"/>
          <w:szCs w:val="24"/>
        </w:rPr>
        <w:t xml:space="preserve"> to a FOIA request</w:t>
      </w:r>
      <w:r w:rsidR="003946AF">
        <w:rPr>
          <w:rFonts w:ascii="Arial" w:hAnsi="Arial" w:cs="Arial"/>
          <w:szCs w:val="24"/>
        </w:rPr>
        <w:t>. Neither is it prohibited by case</w:t>
      </w:r>
      <w:r w:rsidR="00E91F00">
        <w:rPr>
          <w:rFonts w:ascii="Arial" w:hAnsi="Arial" w:cs="Arial"/>
          <w:szCs w:val="24"/>
        </w:rPr>
        <w:t xml:space="preserve"> </w:t>
      </w:r>
      <w:r w:rsidR="003946AF">
        <w:rPr>
          <w:rFonts w:ascii="Arial" w:hAnsi="Arial" w:cs="Arial"/>
          <w:szCs w:val="24"/>
        </w:rPr>
        <w:t xml:space="preserve">law. </w:t>
      </w:r>
    </w:p>
    <w:p w14:paraId="3D61E105" w14:textId="514F5A5B" w:rsidR="00DA1CF5" w:rsidRPr="00B60DEF" w:rsidRDefault="00F946C6" w:rsidP="00DD7117">
      <w:pPr>
        <w:numPr>
          <w:ilvl w:val="0"/>
          <w:numId w:val="21"/>
        </w:numPr>
        <w:tabs>
          <w:tab w:val="left" w:pos="454"/>
          <w:tab w:val="left" w:pos="567"/>
          <w:tab w:val="left" w:pos="1134"/>
          <w:tab w:val="left" w:pos="5103"/>
        </w:tabs>
        <w:spacing w:after="120" w:line="276" w:lineRule="auto"/>
        <w:ind w:left="426" w:hanging="426"/>
        <w:jc w:val="both"/>
        <w:rPr>
          <w:rFonts w:ascii="Arial" w:hAnsi="Arial" w:cs="Arial"/>
          <w:szCs w:val="24"/>
        </w:rPr>
      </w:pPr>
      <w:r w:rsidRPr="00B60DEF">
        <w:rPr>
          <w:rFonts w:ascii="Arial" w:hAnsi="Arial" w:cs="Arial"/>
          <w:szCs w:val="24"/>
        </w:rPr>
        <w:t>Para</w:t>
      </w:r>
      <w:r w:rsidR="002F2B9C" w:rsidRPr="00B60DEF">
        <w:rPr>
          <w:rFonts w:ascii="Arial" w:hAnsi="Arial" w:cs="Arial"/>
          <w:szCs w:val="24"/>
        </w:rPr>
        <w:t>graph</w:t>
      </w:r>
      <w:r w:rsidRPr="00B60DEF">
        <w:rPr>
          <w:rFonts w:ascii="Arial" w:hAnsi="Arial" w:cs="Arial"/>
          <w:szCs w:val="24"/>
        </w:rPr>
        <w:t xml:space="preserve"> 85 </w:t>
      </w:r>
      <w:r w:rsidR="002F2B9C" w:rsidRPr="00B60DEF">
        <w:rPr>
          <w:rFonts w:ascii="Arial" w:hAnsi="Arial" w:cs="Arial"/>
          <w:szCs w:val="24"/>
        </w:rPr>
        <w:t xml:space="preserve">of </w:t>
      </w:r>
      <w:proofErr w:type="spellStart"/>
      <w:r w:rsidR="002F2B9C" w:rsidRPr="00B60DEF">
        <w:rPr>
          <w:rFonts w:ascii="Arial" w:hAnsi="Arial" w:cs="Arial"/>
          <w:i/>
          <w:iCs/>
          <w:szCs w:val="24"/>
          <w:u w:val="single"/>
        </w:rPr>
        <w:t>Malnick</w:t>
      </w:r>
      <w:proofErr w:type="spellEnd"/>
      <w:r w:rsidRPr="00B60DEF">
        <w:rPr>
          <w:rFonts w:ascii="Arial" w:hAnsi="Arial" w:cs="Arial"/>
          <w:szCs w:val="24"/>
        </w:rPr>
        <w:t xml:space="preserve"> confirms that s.50 should be construed as only allowing one </w:t>
      </w:r>
      <w:r w:rsidR="00A41AD6" w:rsidRPr="00B60DEF">
        <w:rPr>
          <w:rFonts w:ascii="Arial" w:hAnsi="Arial" w:cs="Arial"/>
          <w:szCs w:val="24"/>
        </w:rPr>
        <w:t xml:space="preserve">decision notice </w:t>
      </w:r>
      <w:r w:rsidRPr="00B60DEF">
        <w:rPr>
          <w:rFonts w:ascii="Arial" w:hAnsi="Arial" w:cs="Arial"/>
          <w:szCs w:val="24"/>
        </w:rPr>
        <w:t xml:space="preserve">to be issued </w:t>
      </w:r>
      <w:r w:rsidR="00EA47D0">
        <w:rPr>
          <w:rFonts w:ascii="Arial" w:hAnsi="Arial" w:cs="Arial"/>
          <w:szCs w:val="24"/>
        </w:rPr>
        <w:t xml:space="preserve">by the Commissioner </w:t>
      </w:r>
      <w:r w:rsidRPr="00B60DEF">
        <w:rPr>
          <w:rFonts w:ascii="Arial" w:hAnsi="Arial" w:cs="Arial"/>
          <w:szCs w:val="24"/>
        </w:rPr>
        <w:t xml:space="preserve">in relation to the same </w:t>
      </w:r>
      <w:r w:rsidRPr="00B60DEF">
        <w:rPr>
          <w:rFonts w:ascii="Arial" w:hAnsi="Arial" w:cs="Arial"/>
          <w:b/>
          <w:bCs/>
          <w:szCs w:val="24"/>
        </w:rPr>
        <w:t>complaint</w:t>
      </w:r>
      <w:r w:rsidRPr="00B60DEF">
        <w:rPr>
          <w:rFonts w:ascii="Arial" w:hAnsi="Arial" w:cs="Arial"/>
          <w:szCs w:val="24"/>
        </w:rPr>
        <w:t xml:space="preserve">. </w:t>
      </w:r>
      <w:r w:rsidR="00592237" w:rsidRPr="00B60DEF">
        <w:rPr>
          <w:rFonts w:ascii="Arial" w:hAnsi="Arial" w:cs="Arial"/>
          <w:szCs w:val="24"/>
        </w:rPr>
        <w:t xml:space="preserve">This prohibition exists in order to preserve </w:t>
      </w:r>
      <w:r w:rsidR="00111883" w:rsidRPr="00B60DEF">
        <w:rPr>
          <w:rFonts w:ascii="Arial" w:hAnsi="Arial" w:cs="Arial"/>
          <w:szCs w:val="24"/>
        </w:rPr>
        <w:t xml:space="preserve">finality in decision-making. However, there is no </w:t>
      </w:r>
      <w:r w:rsidR="00BB6D20" w:rsidRPr="00B60DEF">
        <w:rPr>
          <w:rFonts w:ascii="Arial" w:hAnsi="Arial" w:cs="Arial"/>
          <w:szCs w:val="24"/>
        </w:rPr>
        <w:t>prohibition against a</w:t>
      </w:r>
      <w:r w:rsidR="00CB24B0">
        <w:rPr>
          <w:rFonts w:ascii="Arial" w:hAnsi="Arial" w:cs="Arial"/>
          <w:szCs w:val="24"/>
        </w:rPr>
        <w:t xml:space="preserve"> </w:t>
      </w:r>
      <w:r w:rsidR="007A7587">
        <w:rPr>
          <w:rFonts w:ascii="Arial" w:hAnsi="Arial" w:cs="Arial"/>
          <w:szCs w:val="24"/>
        </w:rPr>
        <w:t xml:space="preserve">different </w:t>
      </w:r>
      <w:r w:rsidR="00BB6D20" w:rsidRPr="00B60DEF">
        <w:rPr>
          <w:rFonts w:ascii="Arial" w:hAnsi="Arial" w:cs="Arial"/>
          <w:szCs w:val="24"/>
        </w:rPr>
        <w:t xml:space="preserve">complaint being made, </w:t>
      </w:r>
      <w:r w:rsidR="008727AB">
        <w:rPr>
          <w:rFonts w:ascii="Arial" w:hAnsi="Arial" w:cs="Arial"/>
          <w:szCs w:val="24"/>
        </w:rPr>
        <w:t>and</w:t>
      </w:r>
      <w:r w:rsidR="00BB6D20" w:rsidRPr="00B60DEF">
        <w:rPr>
          <w:rFonts w:ascii="Arial" w:hAnsi="Arial" w:cs="Arial"/>
          <w:szCs w:val="24"/>
        </w:rPr>
        <w:t xml:space="preserve"> a </w:t>
      </w:r>
      <w:r w:rsidR="007A7587">
        <w:rPr>
          <w:rFonts w:ascii="Arial" w:hAnsi="Arial" w:cs="Arial"/>
          <w:szCs w:val="24"/>
        </w:rPr>
        <w:t xml:space="preserve">successive </w:t>
      </w:r>
      <w:r w:rsidR="00BB6D20" w:rsidRPr="00B60DEF">
        <w:rPr>
          <w:rFonts w:ascii="Arial" w:hAnsi="Arial" w:cs="Arial"/>
          <w:szCs w:val="24"/>
        </w:rPr>
        <w:t xml:space="preserve">decision notice being issued, in relation to a </w:t>
      </w:r>
      <w:r w:rsidR="00860D7E">
        <w:rPr>
          <w:rFonts w:ascii="Arial" w:hAnsi="Arial" w:cs="Arial"/>
          <w:szCs w:val="24"/>
        </w:rPr>
        <w:t>response by a public authority</w:t>
      </w:r>
      <w:r w:rsidR="000D11EA">
        <w:rPr>
          <w:rFonts w:ascii="Arial" w:hAnsi="Arial" w:cs="Arial"/>
          <w:szCs w:val="24"/>
        </w:rPr>
        <w:t xml:space="preserve"> </w:t>
      </w:r>
      <w:r w:rsidR="00335431">
        <w:rPr>
          <w:rFonts w:ascii="Arial" w:hAnsi="Arial" w:cs="Arial"/>
          <w:szCs w:val="24"/>
        </w:rPr>
        <w:t>under Part 1 FOI</w:t>
      </w:r>
      <w:r w:rsidR="000D11EA">
        <w:rPr>
          <w:rFonts w:ascii="Arial" w:hAnsi="Arial" w:cs="Arial"/>
          <w:szCs w:val="24"/>
        </w:rPr>
        <w:t>A</w:t>
      </w:r>
      <w:r w:rsidR="00860D7E">
        <w:rPr>
          <w:rFonts w:ascii="Arial" w:hAnsi="Arial" w:cs="Arial"/>
          <w:szCs w:val="24"/>
        </w:rPr>
        <w:t xml:space="preserve"> in relation to which the Commissioner has not previously made a decision.</w:t>
      </w:r>
      <w:r w:rsidR="005E5C0A" w:rsidRPr="00B60DEF">
        <w:rPr>
          <w:rFonts w:ascii="Arial" w:hAnsi="Arial" w:cs="Arial"/>
          <w:szCs w:val="24"/>
        </w:rPr>
        <w:t xml:space="preserve"> </w:t>
      </w:r>
    </w:p>
    <w:p w14:paraId="09388194" w14:textId="6DD7563C" w:rsidR="00BE385A" w:rsidRDefault="000D11EA" w:rsidP="00412876">
      <w:pPr>
        <w:numPr>
          <w:ilvl w:val="0"/>
          <w:numId w:val="21"/>
        </w:numPr>
        <w:tabs>
          <w:tab w:val="left" w:pos="454"/>
          <w:tab w:val="left" w:pos="567"/>
          <w:tab w:val="left" w:pos="1134"/>
          <w:tab w:val="left" w:pos="5103"/>
        </w:tabs>
        <w:spacing w:after="120" w:line="276" w:lineRule="auto"/>
        <w:jc w:val="both"/>
        <w:rPr>
          <w:rFonts w:ascii="Arial" w:hAnsi="Arial" w:cs="Arial"/>
          <w:szCs w:val="24"/>
        </w:rPr>
      </w:pPr>
      <w:r w:rsidRPr="00BE385A">
        <w:rPr>
          <w:rFonts w:ascii="Arial" w:hAnsi="Arial" w:cs="Arial"/>
          <w:szCs w:val="24"/>
        </w:rPr>
        <w:t xml:space="preserve">It was open to the Appellant to make a </w:t>
      </w:r>
      <w:r w:rsidR="008A283D" w:rsidRPr="00BE385A">
        <w:rPr>
          <w:rFonts w:ascii="Arial" w:hAnsi="Arial" w:cs="Arial"/>
          <w:szCs w:val="24"/>
        </w:rPr>
        <w:t xml:space="preserve">further </w:t>
      </w:r>
      <w:r w:rsidR="00A732A9" w:rsidRPr="00BE385A">
        <w:rPr>
          <w:rFonts w:ascii="Arial" w:hAnsi="Arial" w:cs="Arial"/>
          <w:szCs w:val="24"/>
        </w:rPr>
        <w:t xml:space="preserve">s.50 </w:t>
      </w:r>
      <w:r w:rsidR="008A283D" w:rsidRPr="00BE385A">
        <w:rPr>
          <w:rFonts w:ascii="Arial" w:hAnsi="Arial" w:cs="Arial"/>
          <w:szCs w:val="24"/>
        </w:rPr>
        <w:t xml:space="preserve">complaint to the Commissioner in relation to the ICO’s </w:t>
      </w:r>
      <w:r w:rsidR="00A732A9" w:rsidRPr="00BE385A">
        <w:rPr>
          <w:rFonts w:ascii="Arial" w:hAnsi="Arial" w:cs="Arial"/>
          <w:szCs w:val="24"/>
        </w:rPr>
        <w:t>substantive</w:t>
      </w:r>
      <w:r w:rsidR="008A283D" w:rsidRPr="00BE385A">
        <w:rPr>
          <w:rFonts w:ascii="Arial" w:hAnsi="Arial" w:cs="Arial"/>
          <w:szCs w:val="24"/>
        </w:rPr>
        <w:t xml:space="preserve"> responses to his </w:t>
      </w:r>
      <w:r w:rsidR="00A732A9" w:rsidRPr="00BE385A">
        <w:rPr>
          <w:rFonts w:ascii="Arial" w:hAnsi="Arial" w:cs="Arial"/>
          <w:szCs w:val="24"/>
        </w:rPr>
        <w:t>FOIA requests</w:t>
      </w:r>
      <w:r w:rsidR="00E24654" w:rsidRPr="00BE385A">
        <w:rPr>
          <w:rFonts w:ascii="Arial" w:hAnsi="Arial" w:cs="Arial"/>
          <w:szCs w:val="24"/>
        </w:rPr>
        <w:t xml:space="preserve">. He </w:t>
      </w:r>
      <w:r w:rsidR="00A732A9" w:rsidRPr="00BE385A">
        <w:rPr>
          <w:rFonts w:ascii="Arial" w:hAnsi="Arial" w:cs="Arial"/>
          <w:szCs w:val="24"/>
        </w:rPr>
        <w:t xml:space="preserve">has in fact done so. </w:t>
      </w:r>
    </w:p>
    <w:p w14:paraId="27577EE9" w14:textId="77777777" w:rsidR="0035218A" w:rsidRDefault="0035218A" w:rsidP="007B24AF">
      <w:pPr>
        <w:tabs>
          <w:tab w:val="left" w:pos="454"/>
          <w:tab w:val="left" w:pos="567"/>
          <w:tab w:val="left" w:pos="1134"/>
          <w:tab w:val="left" w:pos="5103"/>
        </w:tabs>
        <w:spacing w:after="120" w:line="276" w:lineRule="auto"/>
        <w:ind w:left="142"/>
        <w:jc w:val="both"/>
        <w:rPr>
          <w:rFonts w:ascii="Arial" w:hAnsi="Arial" w:cs="Arial"/>
          <w:b/>
          <w:bCs/>
          <w:szCs w:val="24"/>
        </w:rPr>
      </w:pPr>
    </w:p>
    <w:p w14:paraId="2F429487" w14:textId="5B24A194" w:rsidR="007B24AF" w:rsidRPr="007B24AF" w:rsidRDefault="007B24AF" w:rsidP="007B24AF">
      <w:pPr>
        <w:tabs>
          <w:tab w:val="left" w:pos="454"/>
          <w:tab w:val="left" w:pos="567"/>
          <w:tab w:val="left" w:pos="1134"/>
          <w:tab w:val="left" w:pos="5103"/>
        </w:tabs>
        <w:spacing w:after="120" w:line="276" w:lineRule="auto"/>
        <w:ind w:left="142"/>
        <w:jc w:val="both"/>
        <w:rPr>
          <w:rFonts w:ascii="Arial" w:hAnsi="Arial" w:cs="Arial"/>
          <w:b/>
          <w:bCs/>
          <w:szCs w:val="24"/>
        </w:rPr>
      </w:pPr>
      <w:r>
        <w:rPr>
          <w:rFonts w:ascii="Arial" w:hAnsi="Arial" w:cs="Arial"/>
          <w:b/>
          <w:bCs/>
          <w:szCs w:val="24"/>
        </w:rPr>
        <w:t xml:space="preserve">Summary </w:t>
      </w:r>
      <w:r w:rsidR="00E801D8">
        <w:rPr>
          <w:rFonts w:ascii="Arial" w:hAnsi="Arial" w:cs="Arial"/>
          <w:b/>
          <w:bCs/>
          <w:szCs w:val="24"/>
        </w:rPr>
        <w:t>conclusions</w:t>
      </w:r>
    </w:p>
    <w:p w14:paraId="7101D1B7" w14:textId="77777777" w:rsidR="007B24AF" w:rsidRDefault="000835CD" w:rsidP="007B24AF">
      <w:pPr>
        <w:numPr>
          <w:ilvl w:val="0"/>
          <w:numId w:val="21"/>
        </w:numPr>
        <w:tabs>
          <w:tab w:val="left" w:pos="454"/>
          <w:tab w:val="left" w:pos="567"/>
          <w:tab w:val="left" w:pos="1134"/>
          <w:tab w:val="left" w:pos="5103"/>
        </w:tabs>
        <w:spacing w:after="120" w:line="276" w:lineRule="auto"/>
        <w:jc w:val="both"/>
        <w:rPr>
          <w:rFonts w:ascii="Arial" w:hAnsi="Arial" w:cs="Arial"/>
          <w:szCs w:val="24"/>
        </w:rPr>
      </w:pPr>
      <w:r w:rsidRPr="00BE385A">
        <w:rPr>
          <w:rFonts w:ascii="Arial" w:hAnsi="Arial" w:cs="Arial"/>
          <w:szCs w:val="24"/>
        </w:rPr>
        <w:t xml:space="preserve">It was not an </w:t>
      </w:r>
      <w:r w:rsidR="00A56E3A" w:rsidRPr="00BE385A">
        <w:rPr>
          <w:rFonts w:ascii="Arial" w:hAnsi="Arial" w:cs="Arial"/>
          <w:szCs w:val="24"/>
        </w:rPr>
        <w:t xml:space="preserve">error of law </w:t>
      </w:r>
      <w:r w:rsidRPr="00BE385A">
        <w:rPr>
          <w:rFonts w:ascii="Arial" w:hAnsi="Arial" w:cs="Arial"/>
          <w:szCs w:val="24"/>
        </w:rPr>
        <w:t xml:space="preserve">for the </w:t>
      </w:r>
      <w:r w:rsidR="00A56E3A" w:rsidRPr="00BE385A">
        <w:rPr>
          <w:rFonts w:ascii="Arial" w:hAnsi="Arial" w:cs="Arial"/>
          <w:szCs w:val="24"/>
        </w:rPr>
        <w:t xml:space="preserve">FTT </w:t>
      </w:r>
      <w:r w:rsidRPr="00BE385A">
        <w:rPr>
          <w:rFonts w:ascii="Arial" w:hAnsi="Arial" w:cs="Arial"/>
          <w:szCs w:val="24"/>
        </w:rPr>
        <w:t>to decide</w:t>
      </w:r>
      <w:r w:rsidR="00A20C89" w:rsidRPr="00BE385A">
        <w:rPr>
          <w:rFonts w:ascii="Arial" w:hAnsi="Arial" w:cs="Arial"/>
          <w:szCs w:val="24"/>
        </w:rPr>
        <w:t xml:space="preserve">, in an appeal against a decision notice issued under s.50 </w:t>
      </w:r>
      <w:r w:rsidR="00E46EA4">
        <w:rPr>
          <w:rFonts w:ascii="Arial" w:hAnsi="Arial" w:cs="Arial"/>
          <w:szCs w:val="24"/>
        </w:rPr>
        <w:t>FOIA</w:t>
      </w:r>
      <w:r w:rsidR="00A20C89" w:rsidRPr="00BE385A">
        <w:rPr>
          <w:rFonts w:ascii="Arial" w:hAnsi="Arial" w:cs="Arial"/>
          <w:szCs w:val="24"/>
        </w:rPr>
        <w:t xml:space="preserve">, that the tribunal has no jurisdiction to consider a subsequent response by the public authority under Part I of the Act which post-dates the decision notice and which was not the subject of the s.50 complaint with which the decision notice is concerned. However, it is open to the tribunal to reflect the effect of the public authority’s subsequent response in any substituted decision </w:t>
      </w:r>
      <w:r w:rsidR="00A20C89" w:rsidRPr="00BE385A">
        <w:rPr>
          <w:rFonts w:ascii="Arial" w:hAnsi="Arial" w:cs="Arial"/>
          <w:szCs w:val="24"/>
        </w:rPr>
        <w:lastRenderedPageBreak/>
        <w:t xml:space="preserve">notice issued, when specifying whether the public authority is required to take specified steps pursuant to s.50(4). </w:t>
      </w:r>
    </w:p>
    <w:p w14:paraId="01BE2FC6" w14:textId="3481C225" w:rsidR="00107E5A" w:rsidRPr="007B24AF" w:rsidRDefault="00A20C89" w:rsidP="007B24AF">
      <w:pPr>
        <w:numPr>
          <w:ilvl w:val="0"/>
          <w:numId w:val="21"/>
        </w:numPr>
        <w:tabs>
          <w:tab w:val="left" w:pos="454"/>
          <w:tab w:val="left" w:pos="567"/>
          <w:tab w:val="left" w:pos="1134"/>
          <w:tab w:val="left" w:pos="5103"/>
        </w:tabs>
        <w:spacing w:after="120" w:line="276" w:lineRule="auto"/>
        <w:jc w:val="both"/>
        <w:rPr>
          <w:rFonts w:ascii="Arial" w:hAnsi="Arial" w:cs="Arial"/>
          <w:szCs w:val="24"/>
        </w:rPr>
      </w:pPr>
      <w:r w:rsidRPr="007B24AF">
        <w:rPr>
          <w:rFonts w:ascii="Arial" w:hAnsi="Arial" w:cs="Arial"/>
          <w:szCs w:val="24"/>
        </w:rPr>
        <w:t>Where, following a s.50 decision notice or s.58 substituted decision notice, a public authority provides a subsequent response to the information request, nothing in the Act prohibits the information requester from making a further s.50 complaint, or the Commissioner from issuing a successive decision notice.</w:t>
      </w:r>
    </w:p>
    <w:p w14:paraId="10AA954D" w14:textId="07D7ED7B" w:rsidR="00CD516A" w:rsidRPr="00013D47" w:rsidRDefault="000835CD" w:rsidP="00DD7117">
      <w:pPr>
        <w:numPr>
          <w:ilvl w:val="0"/>
          <w:numId w:val="21"/>
        </w:numPr>
        <w:tabs>
          <w:tab w:val="left" w:pos="454"/>
          <w:tab w:val="left" w:pos="567"/>
          <w:tab w:val="left" w:pos="1134"/>
          <w:tab w:val="left" w:pos="5103"/>
        </w:tabs>
        <w:spacing w:after="120" w:line="276" w:lineRule="auto"/>
        <w:ind w:hanging="502"/>
        <w:jc w:val="both"/>
        <w:rPr>
          <w:rFonts w:ascii="Arial" w:hAnsi="Arial" w:cs="Arial"/>
          <w:b/>
          <w:bCs/>
          <w:szCs w:val="24"/>
        </w:rPr>
      </w:pPr>
      <w:r w:rsidRPr="00013D47">
        <w:rPr>
          <w:rFonts w:ascii="Arial" w:hAnsi="Arial" w:cs="Arial"/>
          <w:szCs w:val="24"/>
        </w:rPr>
        <w:t xml:space="preserve">I therefore dismiss this appeal. </w:t>
      </w:r>
    </w:p>
    <w:p w14:paraId="7B2E5B13" w14:textId="77777777" w:rsidR="0030438F" w:rsidRPr="00C1087F" w:rsidRDefault="00BF412B" w:rsidP="00DD7117">
      <w:pPr>
        <w:tabs>
          <w:tab w:val="left" w:pos="1134"/>
          <w:tab w:val="left" w:pos="5103"/>
        </w:tabs>
        <w:spacing w:line="276" w:lineRule="auto"/>
        <w:ind w:left="567" w:hanging="567"/>
        <w:jc w:val="both"/>
        <w:rPr>
          <w:rFonts w:ascii="Arial" w:hAnsi="Arial" w:cs="Arial"/>
          <w:b/>
          <w:bCs/>
          <w:szCs w:val="24"/>
        </w:rPr>
      </w:pPr>
      <w:r w:rsidRPr="00C1087F">
        <w:rPr>
          <w:rFonts w:ascii="Arial" w:hAnsi="Arial" w:cs="Arial"/>
          <w:b/>
          <w:bCs/>
          <w:szCs w:val="24"/>
        </w:rPr>
        <w:tab/>
      </w:r>
      <w:r w:rsidR="00153530" w:rsidRPr="00C1087F">
        <w:rPr>
          <w:rFonts w:ascii="Arial" w:hAnsi="Arial" w:cs="Arial"/>
          <w:b/>
          <w:bCs/>
          <w:szCs w:val="24"/>
        </w:rPr>
        <w:tab/>
      </w:r>
      <w:r w:rsidR="00153530" w:rsidRPr="00C1087F">
        <w:rPr>
          <w:rFonts w:ascii="Arial" w:hAnsi="Arial" w:cs="Arial"/>
          <w:b/>
          <w:bCs/>
          <w:szCs w:val="24"/>
        </w:rPr>
        <w:tab/>
      </w:r>
    </w:p>
    <w:p w14:paraId="3C68D945" w14:textId="77777777" w:rsidR="0030438F" w:rsidRPr="00C1087F" w:rsidRDefault="0030438F" w:rsidP="00DD7117">
      <w:pPr>
        <w:tabs>
          <w:tab w:val="left" w:pos="1134"/>
          <w:tab w:val="left" w:pos="5103"/>
        </w:tabs>
        <w:spacing w:line="276" w:lineRule="auto"/>
        <w:ind w:left="567" w:hanging="567"/>
        <w:jc w:val="both"/>
        <w:rPr>
          <w:rFonts w:ascii="Arial" w:hAnsi="Arial" w:cs="Arial"/>
          <w:b/>
          <w:bCs/>
          <w:szCs w:val="24"/>
        </w:rPr>
      </w:pPr>
    </w:p>
    <w:p w14:paraId="1D63FF2A" w14:textId="77777777" w:rsidR="0030438F" w:rsidRPr="00C1087F" w:rsidRDefault="0030438F" w:rsidP="00DD7117">
      <w:pPr>
        <w:tabs>
          <w:tab w:val="left" w:pos="1134"/>
          <w:tab w:val="left" w:pos="5103"/>
        </w:tabs>
        <w:spacing w:line="276" w:lineRule="auto"/>
        <w:ind w:left="567" w:hanging="567"/>
        <w:jc w:val="both"/>
        <w:rPr>
          <w:rFonts w:ascii="Arial" w:hAnsi="Arial" w:cs="Arial"/>
          <w:b/>
          <w:bCs/>
          <w:szCs w:val="24"/>
        </w:rPr>
      </w:pPr>
    </w:p>
    <w:p w14:paraId="2040B298" w14:textId="27C7F056" w:rsidR="00FB7CA0" w:rsidRPr="00C1087F" w:rsidRDefault="0030438F" w:rsidP="00DD7117">
      <w:pPr>
        <w:tabs>
          <w:tab w:val="left" w:pos="1134"/>
          <w:tab w:val="left" w:pos="5103"/>
        </w:tabs>
        <w:spacing w:line="276" w:lineRule="auto"/>
        <w:ind w:left="567" w:hanging="567"/>
        <w:jc w:val="both"/>
        <w:rPr>
          <w:rFonts w:ascii="Arial" w:hAnsi="Arial" w:cs="Arial"/>
          <w:b/>
          <w:bCs/>
          <w:szCs w:val="24"/>
        </w:rPr>
      </w:pPr>
      <w:r w:rsidRPr="00C1087F">
        <w:rPr>
          <w:rFonts w:ascii="Arial" w:hAnsi="Arial" w:cs="Arial"/>
          <w:b/>
          <w:bCs/>
          <w:szCs w:val="24"/>
        </w:rPr>
        <w:tab/>
      </w:r>
      <w:r w:rsidRPr="00C1087F">
        <w:rPr>
          <w:rFonts w:ascii="Arial" w:hAnsi="Arial" w:cs="Arial"/>
          <w:b/>
          <w:bCs/>
          <w:szCs w:val="24"/>
        </w:rPr>
        <w:tab/>
      </w:r>
      <w:r w:rsidRPr="00C1087F">
        <w:rPr>
          <w:rFonts w:ascii="Arial" w:hAnsi="Arial" w:cs="Arial"/>
          <w:b/>
          <w:bCs/>
          <w:szCs w:val="24"/>
        </w:rPr>
        <w:tab/>
      </w:r>
      <w:r w:rsidR="001B380A" w:rsidRPr="00C1087F">
        <w:rPr>
          <w:rFonts w:ascii="Arial" w:hAnsi="Arial" w:cs="Arial"/>
          <w:b/>
          <w:bCs/>
          <w:szCs w:val="24"/>
        </w:rPr>
        <w:t>Moira Macmillan</w:t>
      </w:r>
      <w:r w:rsidR="0049618B" w:rsidRPr="00C1087F">
        <w:rPr>
          <w:rFonts w:ascii="Arial" w:hAnsi="Arial" w:cs="Arial"/>
          <w:b/>
          <w:bCs/>
          <w:szCs w:val="24"/>
        </w:rPr>
        <w:tab/>
      </w:r>
      <w:r w:rsidR="0049618B" w:rsidRPr="00C1087F">
        <w:rPr>
          <w:rFonts w:ascii="Arial" w:hAnsi="Arial" w:cs="Arial"/>
          <w:b/>
          <w:bCs/>
          <w:szCs w:val="24"/>
        </w:rPr>
        <w:tab/>
      </w:r>
    </w:p>
    <w:p w14:paraId="6D103DDE" w14:textId="77777777" w:rsidR="00FB7CA0" w:rsidRPr="00C1087F" w:rsidRDefault="0049618B" w:rsidP="00DD7117">
      <w:pPr>
        <w:tabs>
          <w:tab w:val="left" w:pos="2268"/>
          <w:tab w:val="left" w:pos="5103"/>
        </w:tabs>
        <w:spacing w:line="276" w:lineRule="auto"/>
        <w:jc w:val="both"/>
        <w:rPr>
          <w:rFonts w:ascii="Arial" w:hAnsi="Arial" w:cs="Arial"/>
          <w:b/>
          <w:bCs/>
          <w:szCs w:val="24"/>
        </w:rPr>
      </w:pPr>
      <w:r w:rsidRPr="00C1087F">
        <w:rPr>
          <w:rFonts w:ascii="Arial" w:hAnsi="Arial" w:cs="Arial"/>
          <w:b/>
          <w:bCs/>
          <w:szCs w:val="24"/>
        </w:rPr>
        <w:tab/>
      </w:r>
      <w:r w:rsidRPr="00C1087F">
        <w:rPr>
          <w:rFonts w:ascii="Arial" w:hAnsi="Arial" w:cs="Arial"/>
          <w:b/>
          <w:bCs/>
          <w:szCs w:val="24"/>
        </w:rPr>
        <w:tab/>
        <w:t>Judge of the Upper Tribunal</w:t>
      </w:r>
    </w:p>
    <w:p w14:paraId="232266E2" w14:textId="77777777" w:rsidR="004C4C87" w:rsidRPr="00C1087F" w:rsidRDefault="00176132" w:rsidP="00DD7117">
      <w:pPr>
        <w:tabs>
          <w:tab w:val="left" w:pos="1134"/>
          <w:tab w:val="left" w:pos="5103"/>
        </w:tabs>
        <w:spacing w:line="276" w:lineRule="auto"/>
        <w:jc w:val="both"/>
        <w:rPr>
          <w:rFonts w:ascii="Arial" w:hAnsi="Arial" w:cs="Arial"/>
          <w:b/>
          <w:bCs/>
          <w:szCs w:val="24"/>
        </w:rPr>
      </w:pPr>
      <w:r w:rsidRPr="00C1087F">
        <w:rPr>
          <w:rFonts w:ascii="Arial" w:hAnsi="Arial" w:cs="Arial"/>
          <w:b/>
          <w:bCs/>
          <w:szCs w:val="24"/>
        </w:rPr>
        <w:tab/>
      </w:r>
    </w:p>
    <w:p w14:paraId="79D1C20B" w14:textId="61252F7D" w:rsidR="00FB7CA0" w:rsidRPr="00C1087F" w:rsidRDefault="004C4C87" w:rsidP="00DD7117">
      <w:pPr>
        <w:tabs>
          <w:tab w:val="left" w:pos="1134"/>
          <w:tab w:val="left" w:pos="5103"/>
        </w:tabs>
        <w:spacing w:line="276" w:lineRule="auto"/>
        <w:jc w:val="both"/>
        <w:rPr>
          <w:rFonts w:ascii="Arial" w:hAnsi="Arial" w:cs="Arial"/>
          <w:b/>
          <w:bCs/>
          <w:szCs w:val="24"/>
        </w:rPr>
      </w:pPr>
      <w:r w:rsidRPr="00C1087F">
        <w:rPr>
          <w:rFonts w:ascii="Arial" w:hAnsi="Arial" w:cs="Arial"/>
          <w:b/>
          <w:bCs/>
          <w:szCs w:val="24"/>
        </w:rPr>
        <w:tab/>
      </w:r>
      <w:r w:rsidR="00190C13" w:rsidRPr="00C1087F">
        <w:rPr>
          <w:rFonts w:ascii="Arial" w:hAnsi="Arial" w:cs="Arial"/>
          <w:b/>
          <w:bCs/>
          <w:szCs w:val="24"/>
        </w:rPr>
        <w:t xml:space="preserve">                     </w:t>
      </w:r>
      <w:r w:rsidR="00A96B48">
        <w:rPr>
          <w:rFonts w:ascii="Arial" w:hAnsi="Arial" w:cs="Arial"/>
          <w:b/>
          <w:bCs/>
          <w:szCs w:val="24"/>
        </w:rPr>
        <w:t xml:space="preserve"> </w:t>
      </w:r>
      <w:r w:rsidR="00561050" w:rsidRPr="00C1087F">
        <w:rPr>
          <w:rFonts w:ascii="Arial" w:hAnsi="Arial" w:cs="Arial"/>
          <w:b/>
          <w:bCs/>
          <w:szCs w:val="24"/>
        </w:rPr>
        <w:t xml:space="preserve">Authorised for issue: </w:t>
      </w:r>
      <w:r w:rsidR="008F7FDC">
        <w:rPr>
          <w:rFonts w:ascii="Arial" w:hAnsi="Arial" w:cs="Arial"/>
          <w:b/>
          <w:bCs/>
          <w:szCs w:val="24"/>
        </w:rPr>
        <w:t>15 September 2022</w:t>
      </w:r>
    </w:p>
    <w:p w14:paraId="2D99FF0B" w14:textId="77777777" w:rsidR="003A394C" w:rsidRDefault="00B51E7E" w:rsidP="00DD7117">
      <w:pPr>
        <w:tabs>
          <w:tab w:val="left" w:pos="1134"/>
          <w:tab w:val="left" w:pos="5103"/>
        </w:tabs>
        <w:spacing w:line="276" w:lineRule="auto"/>
        <w:jc w:val="both"/>
        <w:rPr>
          <w:rFonts w:ascii="Arial" w:hAnsi="Arial" w:cs="Arial"/>
          <w:b/>
          <w:bCs/>
          <w:szCs w:val="24"/>
        </w:rPr>
      </w:pPr>
      <w:r w:rsidRPr="00C1087F">
        <w:rPr>
          <w:rFonts w:ascii="Arial" w:hAnsi="Arial" w:cs="Arial"/>
          <w:b/>
          <w:bCs/>
          <w:szCs w:val="24"/>
        </w:rPr>
        <w:tab/>
        <w:t xml:space="preserve">       </w:t>
      </w:r>
    </w:p>
    <w:p w14:paraId="7F0E06F2" w14:textId="0BE9AD5E" w:rsidR="00B51E7E" w:rsidRPr="00C1087F" w:rsidRDefault="003A394C" w:rsidP="00DD7117">
      <w:pPr>
        <w:tabs>
          <w:tab w:val="left" w:pos="1134"/>
          <w:tab w:val="left" w:pos="5103"/>
        </w:tabs>
        <w:spacing w:line="276" w:lineRule="auto"/>
        <w:jc w:val="both"/>
        <w:rPr>
          <w:rFonts w:ascii="Arial" w:hAnsi="Arial" w:cs="Arial"/>
          <w:b/>
          <w:bCs/>
          <w:szCs w:val="24"/>
        </w:rPr>
      </w:pPr>
      <w:r>
        <w:rPr>
          <w:rFonts w:ascii="Arial" w:hAnsi="Arial" w:cs="Arial"/>
          <w:b/>
          <w:bCs/>
          <w:szCs w:val="24"/>
        </w:rPr>
        <w:t>Paragraphs [2], [18] (in two places) and [29] (addition of footnote) amended (where underlined) under the slip rule (Tribunal Procedure (Upper Tribunal) Rules 2008, rule 42) on 22 November 2022.</w:t>
      </w:r>
      <w:r w:rsidR="00B51E7E" w:rsidRPr="00C1087F">
        <w:rPr>
          <w:rFonts w:ascii="Arial" w:hAnsi="Arial" w:cs="Arial"/>
          <w:b/>
          <w:bCs/>
          <w:szCs w:val="24"/>
        </w:rPr>
        <w:t xml:space="preserve">                     </w:t>
      </w:r>
    </w:p>
    <w:sectPr w:rsidR="00B51E7E" w:rsidRPr="00C1087F" w:rsidSect="006D1E06">
      <w:headerReference w:type="default" r:id="rId12"/>
      <w:footerReference w:type="default" r:id="rId13"/>
      <w:headerReference w:type="first" r:id="rId14"/>
      <w:pgSz w:w="11907" w:h="16840" w:code="9"/>
      <w:pgMar w:top="1418" w:right="1418" w:bottom="1418" w:left="1418"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7E94" w14:textId="77777777" w:rsidR="002210AD" w:rsidRDefault="002210AD">
      <w:r>
        <w:separator/>
      </w:r>
    </w:p>
  </w:endnote>
  <w:endnote w:type="continuationSeparator" w:id="0">
    <w:p w14:paraId="1D168B31" w14:textId="77777777" w:rsidR="002210AD" w:rsidRDefault="002210AD">
      <w:r>
        <w:continuationSeparator/>
      </w:r>
    </w:p>
  </w:endnote>
  <w:endnote w:type="continuationNotice" w:id="1">
    <w:p w14:paraId="1C284DE6" w14:textId="77777777" w:rsidR="002210AD" w:rsidRDefault="002210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8C47" w14:textId="77777777" w:rsidR="00E9336F" w:rsidRDefault="00E9336F">
    <w:pPr>
      <w:pStyle w:val="Footer"/>
      <w:jc w:val="right"/>
    </w:pPr>
    <w:r>
      <w:fldChar w:fldCharType="begin"/>
    </w:r>
    <w:r>
      <w:instrText xml:space="preserve"> PAGE   \* MERGEFORMAT </w:instrText>
    </w:r>
    <w:r>
      <w:fldChar w:fldCharType="separate"/>
    </w:r>
    <w:r>
      <w:rPr>
        <w:noProof/>
      </w:rPr>
      <w:t>2</w:t>
    </w:r>
    <w:r>
      <w:rPr>
        <w:noProof/>
      </w:rPr>
      <w:fldChar w:fldCharType="end"/>
    </w:r>
  </w:p>
  <w:p w14:paraId="5A609ACB" w14:textId="77777777" w:rsidR="00E9336F" w:rsidRDefault="00E9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F23F" w14:textId="77777777" w:rsidR="002210AD" w:rsidRDefault="002210AD">
      <w:r>
        <w:separator/>
      </w:r>
    </w:p>
  </w:footnote>
  <w:footnote w:type="continuationSeparator" w:id="0">
    <w:p w14:paraId="34F030D4" w14:textId="77777777" w:rsidR="002210AD" w:rsidRDefault="002210AD">
      <w:r>
        <w:continuationSeparator/>
      </w:r>
    </w:p>
  </w:footnote>
  <w:footnote w:type="continuationNotice" w:id="1">
    <w:p w14:paraId="4ECB4E7F" w14:textId="77777777" w:rsidR="002210AD" w:rsidRDefault="002210AD"/>
  </w:footnote>
  <w:footnote w:id="2">
    <w:p w14:paraId="01CA29F2" w14:textId="02CB3F3E" w:rsidR="001561E8" w:rsidRPr="003A394C" w:rsidRDefault="001561E8">
      <w:pPr>
        <w:pStyle w:val="FootnoteText"/>
        <w:rPr>
          <w:rFonts w:ascii="Arial" w:hAnsi="Arial" w:cs="Arial"/>
        </w:rPr>
      </w:pPr>
      <w:r w:rsidRPr="003A394C">
        <w:rPr>
          <w:rStyle w:val="FootnoteReference"/>
          <w:rFonts w:ascii="Arial" w:hAnsi="Arial" w:cs="Arial"/>
        </w:rPr>
        <w:footnoteRef/>
      </w:r>
      <w:r w:rsidRPr="003A394C">
        <w:rPr>
          <w:rFonts w:ascii="Arial" w:hAnsi="Arial" w:cs="Arial"/>
        </w:rPr>
        <w:t xml:space="preserve"> Pursuant to rule </w:t>
      </w:r>
      <w:r w:rsidR="005B7021" w:rsidRPr="003A394C">
        <w:rPr>
          <w:rFonts w:ascii="Arial" w:hAnsi="Arial" w:cs="Arial"/>
        </w:rPr>
        <w:t>37 of the Tribunal Procedure (First-tier Tribunal) (</w:t>
      </w:r>
      <w:r w:rsidR="00FF2A0A" w:rsidRPr="003A394C">
        <w:rPr>
          <w:rFonts w:ascii="Arial" w:hAnsi="Arial" w:cs="Arial"/>
        </w:rPr>
        <w:t>G</w:t>
      </w:r>
      <w:r w:rsidR="005B7021" w:rsidRPr="003A394C">
        <w:rPr>
          <w:rFonts w:ascii="Arial" w:hAnsi="Arial" w:cs="Arial"/>
        </w:rPr>
        <w:t>eneral Regulatory Chamber</w:t>
      </w:r>
      <w:r w:rsidR="00FF2A0A" w:rsidRPr="003A394C">
        <w:rPr>
          <w:rFonts w:ascii="Arial" w:hAnsi="Arial" w:cs="Arial"/>
        </w:rPr>
        <w:t>) Rules 2009</w:t>
      </w:r>
      <w:r w:rsidR="00910739" w:rsidRPr="003A394C">
        <w:rPr>
          <w:rFonts w:ascii="Arial" w:hAnsi="Arial" w:cs="Arial"/>
        </w:rPr>
        <w:t xml:space="preserve"> </w:t>
      </w:r>
      <w:r w:rsidR="004537F3" w:rsidRPr="003A394C">
        <w:rPr>
          <w:rFonts w:ascii="Arial" w:hAnsi="Arial" w:cs="Arial"/>
        </w:rPr>
        <w:t>SI 2009/1976</w:t>
      </w:r>
      <w:r w:rsidR="00FF2A0A" w:rsidRPr="003A394C">
        <w:rPr>
          <w:rFonts w:ascii="Arial" w:hAnsi="Arial" w:cs="Arial"/>
        </w:rPr>
        <w:t>, as amended</w:t>
      </w:r>
      <w:r w:rsidR="003A394C" w:rsidRPr="003A394C">
        <w:rPr>
          <w:rFonts w:ascii="Arial" w:hAnsi="Arial" w:cs="Arial"/>
        </w:rPr>
        <w:t>.</w:t>
      </w:r>
    </w:p>
  </w:footnote>
  <w:footnote w:id="3">
    <w:p w14:paraId="30B16B38" w14:textId="46BB56E2" w:rsidR="003A394C" w:rsidRPr="003A394C" w:rsidRDefault="003A394C">
      <w:pPr>
        <w:pStyle w:val="FootnoteText"/>
        <w:rPr>
          <w:rFonts w:ascii="Arial" w:hAnsi="Arial" w:cs="Arial"/>
          <w:u w:val="single"/>
        </w:rPr>
      </w:pPr>
      <w:r>
        <w:rPr>
          <w:rStyle w:val="FootnoteReference"/>
        </w:rPr>
        <w:footnoteRef/>
      </w:r>
      <w:r>
        <w:t xml:space="preserve"> </w:t>
      </w:r>
      <w:r w:rsidRPr="003A394C">
        <w:rPr>
          <w:rFonts w:ascii="Arial" w:hAnsi="Arial" w:cs="Arial"/>
          <w:i/>
          <w:iCs/>
          <w:u w:val="single"/>
        </w:rPr>
        <w:t>DEFRA v Information Commissioner and SB</w:t>
      </w:r>
      <w:r w:rsidRPr="003A394C">
        <w:rPr>
          <w:rFonts w:ascii="Arial" w:hAnsi="Arial" w:cs="Arial"/>
          <w:u w:val="single"/>
        </w:rPr>
        <w:t xml:space="preserve"> [2011] UKUT 39 (AAC).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48B6" w14:textId="36A69616" w:rsidR="00173902" w:rsidRDefault="00173902" w:rsidP="00173902">
    <w:pPr>
      <w:rPr>
        <w:rFonts w:ascii="Arial" w:hAnsi="Arial" w:cs="Arial"/>
      </w:rPr>
    </w:pPr>
    <w:r>
      <w:tab/>
    </w:r>
  </w:p>
  <w:p w14:paraId="0C2CEFD0" w14:textId="6DF13962" w:rsidR="00173902" w:rsidRPr="00173902" w:rsidRDefault="00173902" w:rsidP="00173902">
    <w:pPr>
      <w:jc w:val="right"/>
      <w:rPr>
        <w:rFonts w:ascii="Arial" w:hAnsi="Arial" w:cs="Arial"/>
        <w:szCs w:val="24"/>
      </w:rPr>
    </w:pPr>
    <w:r w:rsidRPr="00173902">
      <w:rPr>
        <w:rFonts w:ascii="Arial" w:hAnsi="Arial" w:cs="Arial"/>
        <w:szCs w:val="24"/>
      </w:rPr>
      <w:t>Dr Michael Smith v Information Commissioner</w:t>
    </w:r>
    <w:r w:rsidRPr="00173902">
      <w:rPr>
        <w:szCs w:val="24"/>
      </w:rPr>
      <w:t xml:space="preserve"> </w:t>
    </w:r>
    <w:r w:rsidRPr="00173902">
      <w:rPr>
        <w:rFonts w:ascii="Arial" w:hAnsi="Arial" w:cs="Arial"/>
        <w:szCs w:val="24"/>
      </w:rPr>
      <w:t>[2022] UKUT 261 (AAC)</w:t>
    </w:r>
  </w:p>
  <w:p w14:paraId="11976C00" w14:textId="402408F2" w:rsidR="00173902" w:rsidRDefault="00173902" w:rsidP="00173902">
    <w:pPr>
      <w:rPr>
        <w:rFonts w:ascii="Arial" w:hAnsi="Arial" w:cs="Arial"/>
      </w:rPr>
    </w:pPr>
  </w:p>
  <w:p w14:paraId="3F0F9EDC" w14:textId="7916F578" w:rsidR="00173902" w:rsidRDefault="00173902" w:rsidP="00173902">
    <w:pPr>
      <w:pStyle w:val="Header"/>
      <w:tabs>
        <w:tab w:val="clear" w:pos="4153"/>
        <w:tab w:val="clear" w:pos="8306"/>
        <w:tab w:val="left" w:pos="513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F0AC" w14:textId="0AF85A54" w:rsidR="00173902" w:rsidRPr="00173902" w:rsidRDefault="00173902" w:rsidP="00173902">
    <w:pPr>
      <w:jc w:val="right"/>
      <w:rPr>
        <w:rFonts w:ascii="Arial" w:hAnsi="Arial" w:cs="Arial"/>
        <w:szCs w:val="24"/>
      </w:rPr>
    </w:pPr>
    <w:r w:rsidRPr="00173902">
      <w:rPr>
        <w:rFonts w:ascii="Arial" w:hAnsi="Arial" w:cs="Arial"/>
        <w:szCs w:val="24"/>
      </w:rPr>
      <w:t>Dr Michael Smith v Information Commissioner</w:t>
    </w:r>
  </w:p>
  <w:p w14:paraId="04F1D041" w14:textId="693A8316" w:rsidR="00173902" w:rsidRPr="00173902" w:rsidRDefault="00173902" w:rsidP="00173902">
    <w:pPr>
      <w:jc w:val="right"/>
      <w:rPr>
        <w:rFonts w:ascii="Arial" w:hAnsi="Arial" w:cs="Arial"/>
        <w:szCs w:val="24"/>
      </w:rPr>
    </w:pPr>
    <w:r w:rsidRPr="00173902">
      <w:rPr>
        <w:szCs w:val="24"/>
      </w:rPr>
      <w:t xml:space="preserve"> </w:t>
    </w:r>
    <w:r w:rsidRPr="00173902">
      <w:rPr>
        <w:rFonts w:ascii="Arial" w:hAnsi="Arial" w:cs="Arial"/>
        <w:szCs w:val="24"/>
      </w:rPr>
      <w:t>[2022] UKUT 261 (AAC)</w:t>
    </w:r>
  </w:p>
  <w:p w14:paraId="510063F0" w14:textId="1B94BF30" w:rsidR="00173902" w:rsidRPr="00173902" w:rsidRDefault="00173902" w:rsidP="00173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0CF7"/>
    <w:multiLevelType w:val="hybridMultilevel"/>
    <w:tmpl w:val="0970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B619C"/>
    <w:multiLevelType w:val="multilevel"/>
    <w:tmpl w:val="C5BE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37DB1"/>
    <w:multiLevelType w:val="multilevel"/>
    <w:tmpl w:val="82F4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55550"/>
    <w:multiLevelType w:val="multilevel"/>
    <w:tmpl w:val="C5BE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A11FE"/>
    <w:multiLevelType w:val="multilevel"/>
    <w:tmpl w:val="C5BE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D5A05"/>
    <w:multiLevelType w:val="hybridMultilevel"/>
    <w:tmpl w:val="71DEBE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37608"/>
    <w:multiLevelType w:val="hybridMultilevel"/>
    <w:tmpl w:val="CD4EC2D6"/>
    <w:lvl w:ilvl="0" w:tplc="FFFFFFFF">
      <w:start w:val="1"/>
      <w:numFmt w:val="decimal"/>
      <w:lvlText w:val="%1."/>
      <w:lvlJc w:val="left"/>
      <w:pPr>
        <w:ind w:left="1290" w:hanging="360"/>
      </w:pPr>
    </w:lvl>
    <w:lvl w:ilvl="1" w:tplc="FFFFFFFF" w:tentative="1">
      <w:start w:val="1"/>
      <w:numFmt w:val="lowerLetter"/>
      <w:lvlText w:val="%2."/>
      <w:lvlJc w:val="left"/>
      <w:pPr>
        <w:ind w:left="2010" w:hanging="360"/>
      </w:pPr>
    </w:lvl>
    <w:lvl w:ilvl="2" w:tplc="FFFFFFFF" w:tentative="1">
      <w:start w:val="1"/>
      <w:numFmt w:val="lowerRoman"/>
      <w:lvlText w:val="%3."/>
      <w:lvlJc w:val="right"/>
      <w:pPr>
        <w:ind w:left="2730" w:hanging="180"/>
      </w:pPr>
    </w:lvl>
    <w:lvl w:ilvl="3" w:tplc="FFFFFFFF" w:tentative="1">
      <w:start w:val="1"/>
      <w:numFmt w:val="decimal"/>
      <w:lvlText w:val="%4."/>
      <w:lvlJc w:val="left"/>
      <w:pPr>
        <w:ind w:left="3450" w:hanging="360"/>
      </w:pPr>
    </w:lvl>
    <w:lvl w:ilvl="4" w:tplc="FFFFFFFF" w:tentative="1">
      <w:start w:val="1"/>
      <w:numFmt w:val="lowerLetter"/>
      <w:lvlText w:val="%5."/>
      <w:lvlJc w:val="left"/>
      <w:pPr>
        <w:ind w:left="4170" w:hanging="360"/>
      </w:pPr>
    </w:lvl>
    <w:lvl w:ilvl="5" w:tplc="FFFFFFFF" w:tentative="1">
      <w:start w:val="1"/>
      <w:numFmt w:val="lowerRoman"/>
      <w:lvlText w:val="%6."/>
      <w:lvlJc w:val="right"/>
      <w:pPr>
        <w:ind w:left="4890" w:hanging="180"/>
      </w:pPr>
    </w:lvl>
    <w:lvl w:ilvl="6" w:tplc="FFFFFFFF" w:tentative="1">
      <w:start w:val="1"/>
      <w:numFmt w:val="decimal"/>
      <w:lvlText w:val="%7."/>
      <w:lvlJc w:val="left"/>
      <w:pPr>
        <w:ind w:left="5610" w:hanging="360"/>
      </w:pPr>
    </w:lvl>
    <w:lvl w:ilvl="7" w:tplc="FFFFFFFF" w:tentative="1">
      <w:start w:val="1"/>
      <w:numFmt w:val="lowerLetter"/>
      <w:lvlText w:val="%8."/>
      <w:lvlJc w:val="left"/>
      <w:pPr>
        <w:ind w:left="6330" w:hanging="360"/>
      </w:pPr>
    </w:lvl>
    <w:lvl w:ilvl="8" w:tplc="FFFFFFFF" w:tentative="1">
      <w:start w:val="1"/>
      <w:numFmt w:val="lowerRoman"/>
      <w:lvlText w:val="%9."/>
      <w:lvlJc w:val="right"/>
      <w:pPr>
        <w:ind w:left="7050" w:hanging="180"/>
      </w:pPr>
    </w:lvl>
  </w:abstractNum>
  <w:abstractNum w:abstractNumId="7" w15:restartNumberingAfterBreak="0">
    <w:nsid w:val="1E1542DC"/>
    <w:multiLevelType w:val="hybridMultilevel"/>
    <w:tmpl w:val="557AC256"/>
    <w:lvl w:ilvl="0" w:tplc="04406C04">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21A86404"/>
    <w:multiLevelType w:val="hybridMultilevel"/>
    <w:tmpl w:val="1598C08A"/>
    <w:lvl w:ilvl="0" w:tplc="7A14B186">
      <w:start w:val="1"/>
      <w:numFmt w:val="none"/>
      <w:pStyle w:val="Heading3"/>
      <w:lvlText w:val="%1"/>
      <w:lvlJc w:val="left"/>
      <w:pPr>
        <w:tabs>
          <w:tab w:val="num" w:pos="0"/>
        </w:tabs>
        <w:ind w:left="0" w:firstLine="0"/>
      </w:pPr>
      <w:rPr>
        <w:b w:val="0"/>
        <w:i/>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5625B18"/>
    <w:multiLevelType w:val="hybridMultilevel"/>
    <w:tmpl w:val="CA585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422D1"/>
    <w:multiLevelType w:val="multilevel"/>
    <w:tmpl w:val="C5BE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11126A"/>
    <w:multiLevelType w:val="multilevel"/>
    <w:tmpl w:val="0D387DA2"/>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542D0F"/>
    <w:multiLevelType w:val="hybridMultilevel"/>
    <w:tmpl w:val="FD94CE78"/>
    <w:lvl w:ilvl="0" w:tplc="1C425392">
      <w:start w:val="1"/>
      <w:numFmt w:val="decimal"/>
      <w:lvlText w:val="%1."/>
      <w:lvlJc w:val="left"/>
      <w:pPr>
        <w:ind w:left="502" w:hanging="360"/>
      </w:pPr>
      <w:rPr>
        <w:b w:val="0"/>
        <w:bCs w:val="0"/>
      </w:rPr>
    </w:lvl>
    <w:lvl w:ilvl="1" w:tplc="0EF04EE6">
      <w:start w:val="1"/>
      <w:numFmt w:val="lowerLetter"/>
      <w:lvlText w:val="%2."/>
      <w:lvlJc w:val="left"/>
      <w:pPr>
        <w:ind w:left="2010" w:hanging="360"/>
      </w:pPr>
      <w:rPr>
        <w:b w:val="0"/>
        <w:bCs w:val="0"/>
      </w:rPr>
    </w:lvl>
    <w:lvl w:ilvl="2" w:tplc="0809001B">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3" w15:restartNumberingAfterBreak="0">
    <w:nsid w:val="53634CA0"/>
    <w:multiLevelType w:val="multilevel"/>
    <w:tmpl w:val="9BDCD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36362F"/>
    <w:multiLevelType w:val="multilevel"/>
    <w:tmpl w:val="C5BE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9A7343"/>
    <w:multiLevelType w:val="hybridMultilevel"/>
    <w:tmpl w:val="53427514"/>
    <w:lvl w:ilvl="0" w:tplc="FFFFFFFF">
      <w:start w:val="1"/>
      <w:numFmt w:val="decimal"/>
      <w:pStyle w:val="Numbered"/>
      <w:lvlText w:val="%1."/>
      <w:lvlJc w:val="left"/>
      <w:pPr>
        <w:tabs>
          <w:tab w:val="num" w:pos="567"/>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60AD067F"/>
    <w:multiLevelType w:val="multilevel"/>
    <w:tmpl w:val="C5BE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C7C76"/>
    <w:multiLevelType w:val="multilevel"/>
    <w:tmpl w:val="293A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D97DA5"/>
    <w:multiLevelType w:val="multilevel"/>
    <w:tmpl w:val="EB907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C1A3C"/>
    <w:multiLevelType w:val="multilevel"/>
    <w:tmpl w:val="495CE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45"/>
    </w:lvlOverride>
  </w:num>
  <w:num w:numId="4">
    <w:abstractNumId w:val="11"/>
  </w:num>
  <w:num w:numId="5">
    <w:abstractNumId w:val="15"/>
  </w:num>
  <w:num w:numId="6">
    <w:abstractNumId w:val="5"/>
  </w:num>
  <w:num w:numId="7">
    <w:abstractNumId w:val="17"/>
  </w:num>
  <w:num w:numId="8">
    <w:abstractNumId w:val="13"/>
  </w:num>
  <w:num w:numId="9">
    <w:abstractNumId w:val="18"/>
  </w:num>
  <w:num w:numId="10">
    <w:abstractNumId w:val="19"/>
  </w:num>
  <w:num w:numId="11">
    <w:abstractNumId w:val="2"/>
  </w:num>
  <w:num w:numId="12">
    <w:abstractNumId w:val="10"/>
    <w:lvlOverride w:ilvl="0">
      <w:startOverride w:val="55"/>
    </w:lvlOverride>
  </w:num>
  <w:num w:numId="13">
    <w:abstractNumId w:val="10"/>
    <w:lvlOverride w:ilvl="0">
      <w:startOverride w:val="56"/>
    </w:lvlOverride>
  </w:num>
  <w:num w:numId="14">
    <w:abstractNumId w:val="14"/>
  </w:num>
  <w:num w:numId="15">
    <w:abstractNumId w:val="3"/>
    <w:lvlOverride w:ilvl="0">
      <w:startOverride w:val="23"/>
    </w:lvlOverride>
  </w:num>
  <w:num w:numId="16">
    <w:abstractNumId w:val="4"/>
  </w:num>
  <w:num w:numId="17">
    <w:abstractNumId w:val="1"/>
    <w:lvlOverride w:ilvl="0">
      <w:startOverride w:val="28"/>
    </w:lvlOverride>
  </w:num>
  <w:num w:numId="18">
    <w:abstractNumId w:val="16"/>
  </w:num>
  <w:num w:numId="19">
    <w:abstractNumId w:val="7"/>
  </w:num>
  <w:num w:numId="20">
    <w:abstractNumId w:val="9"/>
  </w:num>
  <w:num w:numId="21">
    <w:abstractNumId w:val="12"/>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87"/>
    <w:rsid w:val="000003AE"/>
    <w:rsid w:val="00000FD6"/>
    <w:rsid w:val="000019BF"/>
    <w:rsid w:val="00001B37"/>
    <w:rsid w:val="000020DE"/>
    <w:rsid w:val="00002E6B"/>
    <w:rsid w:val="00003A0E"/>
    <w:rsid w:val="00004EF3"/>
    <w:rsid w:val="00006206"/>
    <w:rsid w:val="000063F9"/>
    <w:rsid w:val="00007A57"/>
    <w:rsid w:val="00007F3B"/>
    <w:rsid w:val="00007FA2"/>
    <w:rsid w:val="00010116"/>
    <w:rsid w:val="000102CF"/>
    <w:rsid w:val="00010CCD"/>
    <w:rsid w:val="00011DD8"/>
    <w:rsid w:val="00011FD4"/>
    <w:rsid w:val="000122FF"/>
    <w:rsid w:val="0001240B"/>
    <w:rsid w:val="00012503"/>
    <w:rsid w:val="00012A6E"/>
    <w:rsid w:val="000130E3"/>
    <w:rsid w:val="0001321D"/>
    <w:rsid w:val="000138C1"/>
    <w:rsid w:val="00013D47"/>
    <w:rsid w:val="00014956"/>
    <w:rsid w:val="00014BFA"/>
    <w:rsid w:val="00014F5E"/>
    <w:rsid w:val="00015A2A"/>
    <w:rsid w:val="00016C4E"/>
    <w:rsid w:val="00020205"/>
    <w:rsid w:val="0002053A"/>
    <w:rsid w:val="00020F09"/>
    <w:rsid w:val="000211AF"/>
    <w:rsid w:val="00021517"/>
    <w:rsid w:val="00022435"/>
    <w:rsid w:val="000225A9"/>
    <w:rsid w:val="00022710"/>
    <w:rsid w:val="00022B45"/>
    <w:rsid w:val="00022E7B"/>
    <w:rsid w:val="00023707"/>
    <w:rsid w:val="00023A91"/>
    <w:rsid w:val="00023B65"/>
    <w:rsid w:val="000251BD"/>
    <w:rsid w:val="00025711"/>
    <w:rsid w:val="00026619"/>
    <w:rsid w:val="000268B0"/>
    <w:rsid w:val="000278E8"/>
    <w:rsid w:val="00030197"/>
    <w:rsid w:val="00030C3E"/>
    <w:rsid w:val="000315F5"/>
    <w:rsid w:val="00034CCB"/>
    <w:rsid w:val="00035994"/>
    <w:rsid w:val="00035B2E"/>
    <w:rsid w:val="00035DCE"/>
    <w:rsid w:val="00036583"/>
    <w:rsid w:val="0003700E"/>
    <w:rsid w:val="0003707A"/>
    <w:rsid w:val="00037724"/>
    <w:rsid w:val="000400FB"/>
    <w:rsid w:val="00040540"/>
    <w:rsid w:val="000410FA"/>
    <w:rsid w:val="00041666"/>
    <w:rsid w:val="00041716"/>
    <w:rsid w:val="000422AA"/>
    <w:rsid w:val="000423DC"/>
    <w:rsid w:val="00042451"/>
    <w:rsid w:val="0004257A"/>
    <w:rsid w:val="00043E2A"/>
    <w:rsid w:val="00043EA7"/>
    <w:rsid w:val="00044607"/>
    <w:rsid w:val="00044833"/>
    <w:rsid w:val="00046D36"/>
    <w:rsid w:val="000475B0"/>
    <w:rsid w:val="000479E1"/>
    <w:rsid w:val="00047B98"/>
    <w:rsid w:val="00047F12"/>
    <w:rsid w:val="000507BB"/>
    <w:rsid w:val="00050AAF"/>
    <w:rsid w:val="00050E88"/>
    <w:rsid w:val="0005173D"/>
    <w:rsid w:val="000522DE"/>
    <w:rsid w:val="00052D33"/>
    <w:rsid w:val="00054FA1"/>
    <w:rsid w:val="00055057"/>
    <w:rsid w:val="000555C3"/>
    <w:rsid w:val="0005594C"/>
    <w:rsid w:val="00055DAE"/>
    <w:rsid w:val="0005619C"/>
    <w:rsid w:val="000566CF"/>
    <w:rsid w:val="00056909"/>
    <w:rsid w:val="00056A08"/>
    <w:rsid w:val="0005769E"/>
    <w:rsid w:val="00057F20"/>
    <w:rsid w:val="000609AF"/>
    <w:rsid w:val="00060F51"/>
    <w:rsid w:val="00061083"/>
    <w:rsid w:val="000614B0"/>
    <w:rsid w:val="00061D6F"/>
    <w:rsid w:val="00061DF4"/>
    <w:rsid w:val="00062570"/>
    <w:rsid w:val="00062ED1"/>
    <w:rsid w:val="000640E4"/>
    <w:rsid w:val="0006497C"/>
    <w:rsid w:val="00064A77"/>
    <w:rsid w:val="00065C5D"/>
    <w:rsid w:val="000668F4"/>
    <w:rsid w:val="000678CA"/>
    <w:rsid w:val="00067EBB"/>
    <w:rsid w:val="000700B3"/>
    <w:rsid w:val="00070629"/>
    <w:rsid w:val="00070839"/>
    <w:rsid w:val="0007118A"/>
    <w:rsid w:val="00071479"/>
    <w:rsid w:val="00072791"/>
    <w:rsid w:val="00072BB7"/>
    <w:rsid w:val="00072CE4"/>
    <w:rsid w:val="00072F67"/>
    <w:rsid w:val="0007413A"/>
    <w:rsid w:val="0007444C"/>
    <w:rsid w:val="00074DDB"/>
    <w:rsid w:val="000755B5"/>
    <w:rsid w:val="00076601"/>
    <w:rsid w:val="00076650"/>
    <w:rsid w:val="000774C1"/>
    <w:rsid w:val="00077679"/>
    <w:rsid w:val="000811A5"/>
    <w:rsid w:val="000815C2"/>
    <w:rsid w:val="00081DE7"/>
    <w:rsid w:val="00082706"/>
    <w:rsid w:val="00082F5C"/>
    <w:rsid w:val="00082FF3"/>
    <w:rsid w:val="000835CD"/>
    <w:rsid w:val="00083CA9"/>
    <w:rsid w:val="00084CB1"/>
    <w:rsid w:val="00085809"/>
    <w:rsid w:val="00085F7A"/>
    <w:rsid w:val="00087C15"/>
    <w:rsid w:val="00090685"/>
    <w:rsid w:val="00090A70"/>
    <w:rsid w:val="00090D4B"/>
    <w:rsid w:val="00091A3F"/>
    <w:rsid w:val="00093AF0"/>
    <w:rsid w:val="0009495E"/>
    <w:rsid w:val="00094DEC"/>
    <w:rsid w:val="000951F5"/>
    <w:rsid w:val="00096D29"/>
    <w:rsid w:val="00096D49"/>
    <w:rsid w:val="00097787"/>
    <w:rsid w:val="00097B53"/>
    <w:rsid w:val="000A027E"/>
    <w:rsid w:val="000A04E3"/>
    <w:rsid w:val="000A0843"/>
    <w:rsid w:val="000A1B77"/>
    <w:rsid w:val="000A1BFE"/>
    <w:rsid w:val="000A23E3"/>
    <w:rsid w:val="000A25E4"/>
    <w:rsid w:val="000A2710"/>
    <w:rsid w:val="000A2BA5"/>
    <w:rsid w:val="000A3CCB"/>
    <w:rsid w:val="000A4031"/>
    <w:rsid w:val="000A4496"/>
    <w:rsid w:val="000A4CDE"/>
    <w:rsid w:val="000A4FC2"/>
    <w:rsid w:val="000A5A50"/>
    <w:rsid w:val="000A6259"/>
    <w:rsid w:val="000A6733"/>
    <w:rsid w:val="000A6F1F"/>
    <w:rsid w:val="000A78E0"/>
    <w:rsid w:val="000B3825"/>
    <w:rsid w:val="000B41AA"/>
    <w:rsid w:val="000B4B3A"/>
    <w:rsid w:val="000B4F82"/>
    <w:rsid w:val="000B5295"/>
    <w:rsid w:val="000B561D"/>
    <w:rsid w:val="000B5959"/>
    <w:rsid w:val="000B59F0"/>
    <w:rsid w:val="000B5D06"/>
    <w:rsid w:val="000B64F5"/>
    <w:rsid w:val="000B7468"/>
    <w:rsid w:val="000B773B"/>
    <w:rsid w:val="000B7B43"/>
    <w:rsid w:val="000B7E48"/>
    <w:rsid w:val="000C0138"/>
    <w:rsid w:val="000C0476"/>
    <w:rsid w:val="000C0A6D"/>
    <w:rsid w:val="000C1EC4"/>
    <w:rsid w:val="000C2E52"/>
    <w:rsid w:val="000C3E57"/>
    <w:rsid w:val="000C440D"/>
    <w:rsid w:val="000C4AA0"/>
    <w:rsid w:val="000C4D8A"/>
    <w:rsid w:val="000C592D"/>
    <w:rsid w:val="000C5A8B"/>
    <w:rsid w:val="000C6237"/>
    <w:rsid w:val="000C6A16"/>
    <w:rsid w:val="000C6DA9"/>
    <w:rsid w:val="000D0808"/>
    <w:rsid w:val="000D0BE5"/>
    <w:rsid w:val="000D11EA"/>
    <w:rsid w:val="000D21E9"/>
    <w:rsid w:val="000D28E0"/>
    <w:rsid w:val="000D2B15"/>
    <w:rsid w:val="000D3DE0"/>
    <w:rsid w:val="000D3F88"/>
    <w:rsid w:val="000D5199"/>
    <w:rsid w:val="000D6417"/>
    <w:rsid w:val="000E0759"/>
    <w:rsid w:val="000E0B1D"/>
    <w:rsid w:val="000E0FA7"/>
    <w:rsid w:val="000E15D7"/>
    <w:rsid w:val="000E2248"/>
    <w:rsid w:val="000E23B1"/>
    <w:rsid w:val="000E2ABD"/>
    <w:rsid w:val="000E3D90"/>
    <w:rsid w:val="000E4C91"/>
    <w:rsid w:val="000E55A2"/>
    <w:rsid w:val="000F017A"/>
    <w:rsid w:val="000F038A"/>
    <w:rsid w:val="000F04E1"/>
    <w:rsid w:val="000F0D52"/>
    <w:rsid w:val="000F3A9E"/>
    <w:rsid w:val="000F4040"/>
    <w:rsid w:val="000F4127"/>
    <w:rsid w:val="000F4583"/>
    <w:rsid w:val="000F4A61"/>
    <w:rsid w:val="000F4B90"/>
    <w:rsid w:val="000F5438"/>
    <w:rsid w:val="000F6DB8"/>
    <w:rsid w:val="000F7B63"/>
    <w:rsid w:val="001017E7"/>
    <w:rsid w:val="0010261E"/>
    <w:rsid w:val="00103FF0"/>
    <w:rsid w:val="001044CE"/>
    <w:rsid w:val="00104C2B"/>
    <w:rsid w:val="00105233"/>
    <w:rsid w:val="00106A19"/>
    <w:rsid w:val="00106D24"/>
    <w:rsid w:val="001075BB"/>
    <w:rsid w:val="00107E5A"/>
    <w:rsid w:val="00107F0D"/>
    <w:rsid w:val="00110225"/>
    <w:rsid w:val="001108A8"/>
    <w:rsid w:val="001111F1"/>
    <w:rsid w:val="00111883"/>
    <w:rsid w:val="001133C9"/>
    <w:rsid w:val="00113480"/>
    <w:rsid w:val="00116403"/>
    <w:rsid w:val="00116801"/>
    <w:rsid w:val="00116DA0"/>
    <w:rsid w:val="0011742C"/>
    <w:rsid w:val="00117B1D"/>
    <w:rsid w:val="00120490"/>
    <w:rsid w:val="00122778"/>
    <w:rsid w:val="0012298F"/>
    <w:rsid w:val="00123612"/>
    <w:rsid w:val="00123B3B"/>
    <w:rsid w:val="00123B9B"/>
    <w:rsid w:val="00123DBD"/>
    <w:rsid w:val="00124545"/>
    <w:rsid w:val="00125A2D"/>
    <w:rsid w:val="0012685B"/>
    <w:rsid w:val="001275BB"/>
    <w:rsid w:val="001279C3"/>
    <w:rsid w:val="0013043C"/>
    <w:rsid w:val="001333A7"/>
    <w:rsid w:val="00133886"/>
    <w:rsid w:val="0013398A"/>
    <w:rsid w:val="001347A4"/>
    <w:rsid w:val="00135527"/>
    <w:rsid w:val="0013558B"/>
    <w:rsid w:val="00136093"/>
    <w:rsid w:val="00136DB4"/>
    <w:rsid w:val="0013708E"/>
    <w:rsid w:val="001379BD"/>
    <w:rsid w:val="00137B6C"/>
    <w:rsid w:val="00137E80"/>
    <w:rsid w:val="00140073"/>
    <w:rsid w:val="001400FF"/>
    <w:rsid w:val="001402A5"/>
    <w:rsid w:val="00141007"/>
    <w:rsid w:val="00141B59"/>
    <w:rsid w:val="00141CF7"/>
    <w:rsid w:val="00141EAE"/>
    <w:rsid w:val="00141F0B"/>
    <w:rsid w:val="00142B4E"/>
    <w:rsid w:val="00143B37"/>
    <w:rsid w:val="001442B8"/>
    <w:rsid w:val="001445D0"/>
    <w:rsid w:val="001445E9"/>
    <w:rsid w:val="00144A86"/>
    <w:rsid w:val="001454DA"/>
    <w:rsid w:val="00146D0E"/>
    <w:rsid w:val="001471FA"/>
    <w:rsid w:val="00147267"/>
    <w:rsid w:val="001478B6"/>
    <w:rsid w:val="00147B95"/>
    <w:rsid w:val="00147ED3"/>
    <w:rsid w:val="00150132"/>
    <w:rsid w:val="00151F56"/>
    <w:rsid w:val="0015228A"/>
    <w:rsid w:val="001522D5"/>
    <w:rsid w:val="001530B3"/>
    <w:rsid w:val="00153376"/>
    <w:rsid w:val="00153530"/>
    <w:rsid w:val="001561E8"/>
    <w:rsid w:val="00156B9E"/>
    <w:rsid w:val="00157103"/>
    <w:rsid w:val="00157206"/>
    <w:rsid w:val="00157BE3"/>
    <w:rsid w:val="00160146"/>
    <w:rsid w:val="00160551"/>
    <w:rsid w:val="00161568"/>
    <w:rsid w:val="00161A73"/>
    <w:rsid w:val="00162B5C"/>
    <w:rsid w:val="00162D28"/>
    <w:rsid w:val="00162D88"/>
    <w:rsid w:val="001644CC"/>
    <w:rsid w:val="001651DD"/>
    <w:rsid w:val="0016536D"/>
    <w:rsid w:val="001657CA"/>
    <w:rsid w:val="00165857"/>
    <w:rsid w:val="00165A90"/>
    <w:rsid w:val="00165DFC"/>
    <w:rsid w:val="001668AA"/>
    <w:rsid w:val="00166D2F"/>
    <w:rsid w:val="00167133"/>
    <w:rsid w:val="0017034E"/>
    <w:rsid w:val="00171726"/>
    <w:rsid w:val="00172F3E"/>
    <w:rsid w:val="00173902"/>
    <w:rsid w:val="001740C9"/>
    <w:rsid w:val="001744D1"/>
    <w:rsid w:val="00174517"/>
    <w:rsid w:val="00174A69"/>
    <w:rsid w:val="00174A76"/>
    <w:rsid w:val="00174B92"/>
    <w:rsid w:val="00176132"/>
    <w:rsid w:val="0017622F"/>
    <w:rsid w:val="0017747B"/>
    <w:rsid w:val="00181E0E"/>
    <w:rsid w:val="001821E8"/>
    <w:rsid w:val="001825AB"/>
    <w:rsid w:val="0018335F"/>
    <w:rsid w:val="00183834"/>
    <w:rsid w:val="00184F4C"/>
    <w:rsid w:val="00185856"/>
    <w:rsid w:val="00187748"/>
    <w:rsid w:val="001878F0"/>
    <w:rsid w:val="00187A5A"/>
    <w:rsid w:val="00190039"/>
    <w:rsid w:val="001908F8"/>
    <w:rsid w:val="00190B87"/>
    <w:rsid w:val="00190C13"/>
    <w:rsid w:val="00191088"/>
    <w:rsid w:val="00191720"/>
    <w:rsid w:val="00192EE1"/>
    <w:rsid w:val="00194571"/>
    <w:rsid w:val="00194DE5"/>
    <w:rsid w:val="00194FFC"/>
    <w:rsid w:val="0019519B"/>
    <w:rsid w:val="00196367"/>
    <w:rsid w:val="001965B4"/>
    <w:rsid w:val="00196861"/>
    <w:rsid w:val="00196880"/>
    <w:rsid w:val="001A0218"/>
    <w:rsid w:val="001A0319"/>
    <w:rsid w:val="001A1F77"/>
    <w:rsid w:val="001A32B0"/>
    <w:rsid w:val="001A32DA"/>
    <w:rsid w:val="001A3356"/>
    <w:rsid w:val="001A46A2"/>
    <w:rsid w:val="001A4F08"/>
    <w:rsid w:val="001A54D3"/>
    <w:rsid w:val="001A5DB3"/>
    <w:rsid w:val="001A5FE3"/>
    <w:rsid w:val="001A62A6"/>
    <w:rsid w:val="001A6642"/>
    <w:rsid w:val="001A7288"/>
    <w:rsid w:val="001A74B9"/>
    <w:rsid w:val="001A7C77"/>
    <w:rsid w:val="001B1B90"/>
    <w:rsid w:val="001B23BB"/>
    <w:rsid w:val="001B380A"/>
    <w:rsid w:val="001B3C54"/>
    <w:rsid w:val="001B4E6D"/>
    <w:rsid w:val="001B62B1"/>
    <w:rsid w:val="001B7692"/>
    <w:rsid w:val="001B7B72"/>
    <w:rsid w:val="001B7FC9"/>
    <w:rsid w:val="001C00A1"/>
    <w:rsid w:val="001C01E6"/>
    <w:rsid w:val="001C13A4"/>
    <w:rsid w:val="001C18FD"/>
    <w:rsid w:val="001C2ADB"/>
    <w:rsid w:val="001C2D5C"/>
    <w:rsid w:val="001C32AA"/>
    <w:rsid w:val="001C3889"/>
    <w:rsid w:val="001C3C53"/>
    <w:rsid w:val="001C42C3"/>
    <w:rsid w:val="001C4BCF"/>
    <w:rsid w:val="001C53D4"/>
    <w:rsid w:val="001C5482"/>
    <w:rsid w:val="001C7233"/>
    <w:rsid w:val="001C7690"/>
    <w:rsid w:val="001D0371"/>
    <w:rsid w:val="001D0836"/>
    <w:rsid w:val="001D0E95"/>
    <w:rsid w:val="001D2511"/>
    <w:rsid w:val="001D2775"/>
    <w:rsid w:val="001D2A41"/>
    <w:rsid w:val="001D2F89"/>
    <w:rsid w:val="001D3701"/>
    <w:rsid w:val="001D4303"/>
    <w:rsid w:val="001D5002"/>
    <w:rsid w:val="001D5A63"/>
    <w:rsid w:val="001D5A96"/>
    <w:rsid w:val="001D63CB"/>
    <w:rsid w:val="001D6845"/>
    <w:rsid w:val="001D7272"/>
    <w:rsid w:val="001D7C60"/>
    <w:rsid w:val="001D7F8F"/>
    <w:rsid w:val="001E0B9A"/>
    <w:rsid w:val="001E0C88"/>
    <w:rsid w:val="001E120E"/>
    <w:rsid w:val="001E1E00"/>
    <w:rsid w:val="001E231E"/>
    <w:rsid w:val="001E260D"/>
    <w:rsid w:val="001E2849"/>
    <w:rsid w:val="001E3471"/>
    <w:rsid w:val="001E3549"/>
    <w:rsid w:val="001E35D7"/>
    <w:rsid w:val="001E38A2"/>
    <w:rsid w:val="001E5AE1"/>
    <w:rsid w:val="001E5BC5"/>
    <w:rsid w:val="001E5CA1"/>
    <w:rsid w:val="001E7885"/>
    <w:rsid w:val="001F105A"/>
    <w:rsid w:val="001F28B2"/>
    <w:rsid w:val="001F2DAB"/>
    <w:rsid w:val="001F4527"/>
    <w:rsid w:val="001F5BE8"/>
    <w:rsid w:val="001F5C5A"/>
    <w:rsid w:val="001F789E"/>
    <w:rsid w:val="001F7B9C"/>
    <w:rsid w:val="00200337"/>
    <w:rsid w:val="00200EFA"/>
    <w:rsid w:val="00201004"/>
    <w:rsid w:val="00201837"/>
    <w:rsid w:val="00202BC6"/>
    <w:rsid w:val="00203599"/>
    <w:rsid w:val="002040F6"/>
    <w:rsid w:val="00204B64"/>
    <w:rsid w:val="00205762"/>
    <w:rsid w:val="00205E57"/>
    <w:rsid w:val="00206204"/>
    <w:rsid w:val="00206FC9"/>
    <w:rsid w:val="00207216"/>
    <w:rsid w:val="002109AD"/>
    <w:rsid w:val="00210D17"/>
    <w:rsid w:val="00210E5B"/>
    <w:rsid w:val="00211A02"/>
    <w:rsid w:val="002137F1"/>
    <w:rsid w:val="002147DB"/>
    <w:rsid w:val="00214999"/>
    <w:rsid w:val="00214A29"/>
    <w:rsid w:val="00214BCA"/>
    <w:rsid w:val="002151C3"/>
    <w:rsid w:val="00215AE7"/>
    <w:rsid w:val="00216665"/>
    <w:rsid w:val="00216F7F"/>
    <w:rsid w:val="00217821"/>
    <w:rsid w:val="002210AD"/>
    <w:rsid w:val="0022179D"/>
    <w:rsid w:val="002222AE"/>
    <w:rsid w:val="00222332"/>
    <w:rsid w:val="00222BC7"/>
    <w:rsid w:val="00222DC0"/>
    <w:rsid w:val="0022353C"/>
    <w:rsid w:val="0022392F"/>
    <w:rsid w:val="00223D58"/>
    <w:rsid w:val="002241BA"/>
    <w:rsid w:val="00224AC2"/>
    <w:rsid w:val="00224DFD"/>
    <w:rsid w:val="00224EFF"/>
    <w:rsid w:val="0022550F"/>
    <w:rsid w:val="00225753"/>
    <w:rsid w:val="002257E6"/>
    <w:rsid w:val="00225A82"/>
    <w:rsid w:val="00227156"/>
    <w:rsid w:val="00227F7F"/>
    <w:rsid w:val="00232F0E"/>
    <w:rsid w:val="0023431D"/>
    <w:rsid w:val="00234510"/>
    <w:rsid w:val="0023546B"/>
    <w:rsid w:val="00235552"/>
    <w:rsid w:val="0023573D"/>
    <w:rsid w:val="00235BB3"/>
    <w:rsid w:val="00235C8D"/>
    <w:rsid w:val="00236892"/>
    <w:rsid w:val="002368C3"/>
    <w:rsid w:val="00236ECF"/>
    <w:rsid w:val="0023722D"/>
    <w:rsid w:val="00237543"/>
    <w:rsid w:val="002413F1"/>
    <w:rsid w:val="0024239D"/>
    <w:rsid w:val="00242488"/>
    <w:rsid w:val="002424F3"/>
    <w:rsid w:val="00243391"/>
    <w:rsid w:val="002440EA"/>
    <w:rsid w:val="00244934"/>
    <w:rsid w:val="00244AD4"/>
    <w:rsid w:val="00245266"/>
    <w:rsid w:val="00245393"/>
    <w:rsid w:val="00245AB8"/>
    <w:rsid w:val="002467D0"/>
    <w:rsid w:val="002467E4"/>
    <w:rsid w:val="0024797C"/>
    <w:rsid w:val="00247CC9"/>
    <w:rsid w:val="00247DC9"/>
    <w:rsid w:val="00247E68"/>
    <w:rsid w:val="0025035F"/>
    <w:rsid w:val="00250735"/>
    <w:rsid w:val="0025246A"/>
    <w:rsid w:val="002526C3"/>
    <w:rsid w:val="00252798"/>
    <w:rsid w:val="00252B41"/>
    <w:rsid w:val="00252BA4"/>
    <w:rsid w:val="0025351D"/>
    <w:rsid w:val="00254106"/>
    <w:rsid w:val="002541AB"/>
    <w:rsid w:val="00254A63"/>
    <w:rsid w:val="00254D3D"/>
    <w:rsid w:val="00254E6A"/>
    <w:rsid w:val="00255D5F"/>
    <w:rsid w:val="002562A6"/>
    <w:rsid w:val="0025654A"/>
    <w:rsid w:val="0025674F"/>
    <w:rsid w:val="00256F09"/>
    <w:rsid w:val="002570AE"/>
    <w:rsid w:val="00257171"/>
    <w:rsid w:val="00257940"/>
    <w:rsid w:val="00257E63"/>
    <w:rsid w:val="00260298"/>
    <w:rsid w:val="00261143"/>
    <w:rsid w:val="0026161B"/>
    <w:rsid w:val="002617C2"/>
    <w:rsid w:val="00261F13"/>
    <w:rsid w:val="00262462"/>
    <w:rsid w:val="002626F8"/>
    <w:rsid w:val="0026284B"/>
    <w:rsid w:val="00262F18"/>
    <w:rsid w:val="00263313"/>
    <w:rsid w:val="00263528"/>
    <w:rsid w:val="002638EB"/>
    <w:rsid w:val="00263BF8"/>
    <w:rsid w:val="00263C22"/>
    <w:rsid w:val="00263F57"/>
    <w:rsid w:val="0026444A"/>
    <w:rsid w:val="00264548"/>
    <w:rsid w:val="00264B41"/>
    <w:rsid w:val="00265CC8"/>
    <w:rsid w:val="00265EF2"/>
    <w:rsid w:val="00266067"/>
    <w:rsid w:val="0026670F"/>
    <w:rsid w:val="002672F2"/>
    <w:rsid w:val="00267F5F"/>
    <w:rsid w:val="002700CD"/>
    <w:rsid w:val="00270402"/>
    <w:rsid w:val="002707F9"/>
    <w:rsid w:val="00271DD1"/>
    <w:rsid w:val="00273667"/>
    <w:rsid w:val="00274145"/>
    <w:rsid w:val="002754F2"/>
    <w:rsid w:val="002755CD"/>
    <w:rsid w:val="00275D25"/>
    <w:rsid w:val="00276014"/>
    <w:rsid w:val="00276FC3"/>
    <w:rsid w:val="0027756A"/>
    <w:rsid w:val="00277788"/>
    <w:rsid w:val="00277952"/>
    <w:rsid w:val="00280731"/>
    <w:rsid w:val="00280BA4"/>
    <w:rsid w:val="00281011"/>
    <w:rsid w:val="00281253"/>
    <w:rsid w:val="00281919"/>
    <w:rsid w:val="00284094"/>
    <w:rsid w:val="0028543F"/>
    <w:rsid w:val="00286D30"/>
    <w:rsid w:val="00286DD0"/>
    <w:rsid w:val="00286E87"/>
    <w:rsid w:val="0029142B"/>
    <w:rsid w:val="002929BC"/>
    <w:rsid w:val="00292AAB"/>
    <w:rsid w:val="00293178"/>
    <w:rsid w:val="00294612"/>
    <w:rsid w:val="002957D0"/>
    <w:rsid w:val="00295940"/>
    <w:rsid w:val="00296235"/>
    <w:rsid w:val="00296331"/>
    <w:rsid w:val="0029691C"/>
    <w:rsid w:val="00296C85"/>
    <w:rsid w:val="00296D9B"/>
    <w:rsid w:val="0029748F"/>
    <w:rsid w:val="002A0C1D"/>
    <w:rsid w:val="002A13F2"/>
    <w:rsid w:val="002A1683"/>
    <w:rsid w:val="002A178D"/>
    <w:rsid w:val="002A3FC9"/>
    <w:rsid w:val="002A41FC"/>
    <w:rsid w:val="002A5E09"/>
    <w:rsid w:val="002A61DB"/>
    <w:rsid w:val="002A698B"/>
    <w:rsid w:val="002A7303"/>
    <w:rsid w:val="002A73D3"/>
    <w:rsid w:val="002A76D4"/>
    <w:rsid w:val="002B0210"/>
    <w:rsid w:val="002B086E"/>
    <w:rsid w:val="002B22A3"/>
    <w:rsid w:val="002B2BFB"/>
    <w:rsid w:val="002B339C"/>
    <w:rsid w:val="002B3701"/>
    <w:rsid w:val="002B40B7"/>
    <w:rsid w:val="002B5976"/>
    <w:rsid w:val="002B5A9C"/>
    <w:rsid w:val="002B5CC7"/>
    <w:rsid w:val="002B5E5C"/>
    <w:rsid w:val="002B65C0"/>
    <w:rsid w:val="002B6786"/>
    <w:rsid w:val="002B7B4D"/>
    <w:rsid w:val="002C0464"/>
    <w:rsid w:val="002C0B64"/>
    <w:rsid w:val="002C1CAE"/>
    <w:rsid w:val="002C1D80"/>
    <w:rsid w:val="002C23E8"/>
    <w:rsid w:val="002C2FA4"/>
    <w:rsid w:val="002C396B"/>
    <w:rsid w:val="002C4E8F"/>
    <w:rsid w:val="002C52B3"/>
    <w:rsid w:val="002C63B8"/>
    <w:rsid w:val="002C6744"/>
    <w:rsid w:val="002C7185"/>
    <w:rsid w:val="002C7485"/>
    <w:rsid w:val="002D04A0"/>
    <w:rsid w:val="002D0B0C"/>
    <w:rsid w:val="002D1CE8"/>
    <w:rsid w:val="002D24E9"/>
    <w:rsid w:val="002D2C91"/>
    <w:rsid w:val="002D2F09"/>
    <w:rsid w:val="002D3206"/>
    <w:rsid w:val="002D3877"/>
    <w:rsid w:val="002D3F15"/>
    <w:rsid w:val="002D404C"/>
    <w:rsid w:val="002D40C0"/>
    <w:rsid w:val="002D46EB"/>
    <w:rsid w:val="002D4A70"/>
    <w:rsid w:val="002D4EA2"/>
    <w:rsid w:val="002D505F"/>
    <w:rsid w:val="002D51F2"/>
    <w:rsid w:val="002D5235"/>
    <w:rsid w:val="002D54C2"/>
    <w:rsid w:val="002D6B53"/>
    <w:rsid w:val="002D7DB2"/>
    <w:rsid w:val="002D7E5B"/>
    <w:rsid w:val="002E01A5"/>
    <w:rsid w:val="002E16FD"/>
    <w:rsid w:val="002E2954"/>
    <w:rsid w:val="002E29E0"/>
    <w:rsid w:val="002E33FF"/>
    <w:rsid w:val="002E3516"/>
    <w:rsid w:val="002E49FE"/>
    <w:rsid w:val="002E4BBE"/>
    <w:rsid w:val="002E4CD8"/>
    <w:rsid w:val="002E5B86"/>
    <w:rsid w:val="002E5DF4"/>
    <w:rsid w:val="002E65D0"/>
    <w:rsid w:val="002E696D"/>
    <w:rsid w:val="002E6B10"/>
    <w:rsid w:val="002E6B77"/>
    <w:rsid w:val="002F042F"/>
    <w:rsid w:val="002F05E4"/>
    <w:rsid w:val="002F1662"/>
    <w:rsid w:val="002F2AFD"/>
    <w:rsid w:val="002F2B9C"/>
    <w:rsid w:val="002F2BAE"/>
    <w:rsid w:val="002F2FE5"/>
    <w:rsid w:val="002F31B1"/>
    <w:rsid w:val="002F3A59"/>
    <w:rsid w:val="002F3F3D"/>
    <w:rsid w:val="002F4E00"/>
    <w:rsid w:val="002F5948"/>
    <w:rsid w:val="002F6A6C"/>
    <w:rsid w:val="002F6BBB"/>
    <w:rsid w:val="002F7304"/>
    <w:rsid w:val="0030061D"/>
    <w:rsid w:val="003007E8"/>
    <w:rsid w:val="00300E52"/>
    <w:rsid w:val="00301162"/>
    <w:rsid w:val="003015E8"/>
    <w:rsid w:val="003018F0"/>
    <w:rsid w:val="00303005"/>
    <w:rsid w:val="00304223"/>
    <w:rsid w:val="0030438F"/>
    <w:rsid w:val="003043F7"/>
    <w:rsid w:val="003050F1"/>
    <w:rsid w:val="00305806"/>
    <w:rsid w:val="00305989"/>
    <w:rsid w:val="00312133"/>
    <w:rsid w:val="00313435"/>
    <w:rsid w:val="003134F5"/>
    <w:rsid w:val="003136A4"/>
    <w:rsid w:val="00313956"/>
    <w:rsid w:val="00313DCA"/>
    <w:rsid w:val="003164CB"/>
    <w:rsid w:val="003167F5"/>
    <w:rsid w:val="00317051"/>
    <w:rsid w:val="003171CD"/>
    <w:rsid w:val="00317673"/>
    <w:rsid w:val="00320369"/>
    <w:rsid w:val="00321A54"/>
    <w:rsid w:val="00322029"/>
    <w:rsid w:val="00322620"/>
    <w:rsid w:val="0032282D"/>
    <w:rsid w:val="00322A2E"/>
    <w:rsid w:val="0032386C"/>
    <w:rsid w:val="00323C80"/>
    <w:rsid w:val="00323D73"/>
    <w:rsid w:val="00323EA2"/>
    <w:rsid w:val="0032490B"/>
    <w:rsid w:val="00325082"/>
    <w:rsid w:val="003252A6"/>
    <w:rsid w:val="00325531"/>
    <w:rsid w:val="00325535"/>
    <w:rsid w:val="00325A07"/>
    <w:rsid w:val="003269E0"/>
    <w:rsid w:val="00326C09"/>
    <w:rsid w:val="00326EB0"/>
    <w:rsid w:val="00327471"/>
    <w:rsid w:val="0033069D"/>
    <w:rsid w:val="00330F1E"/>
    <w:rsid w:val="003315F7"/>
    <w:rsid w:val="00331E33"/>
    <w:rsid w:val="00334420"/>
    <w:rsid w:val="00335111"/>
    <w:rsid w:val="0033528E"/>
    <w:rsid w:val="00335291"/>
    <w:rsid w:val="00335431"/>
    <w:rsid w:val="00336ECB"/>
    <w:rsid w:val="00336F5E"/>
    <w:rsid w:val="0033749E"/>
    <w:rsid w:val="0034000A"/>
    <w:rsid w:val="00340C58"/>
    <w:rsid w:val="003414CA"/>
    <w:rsid w:val="00341D12"/>
    <w:rsid w:val="00342560"/>
    <w:rsid w:val="0034376A"/>
    <w:rsid w:val="003442F1"/>
    <w:rsid w:val="0034710D"/>
    <w:rsid w:val="0034757F"/>
    <w:rsid w:val="00347682"/>
    <w:rsid w:val="00347A67"/>
    <w:rsid w:val="00350FC6"/>
    <w:rsid w:val="0035131B"/>
    <w:rsid w:val="0035218A"/>
    <w:rsid w:val="003527D6"/>
    <w:rsid w:val="00352E4D"/>
    <w:rsid w:val="00353A0E"/>
    <w:rsid w:val="0035400B"/>
    <w:rsid w:val="003543DF"/>
    <w:rsid w:val="00354C37"/>
    <w:rsid w:val="00355112"/>
    <w:rsid w:val="00355A37"/>
    <w:rsid w:val="0035623A"/>
    <w:rsid w:val="00356746"/>
    <w:rsid w:val="00356CD9"/>
    <w:rsid w:val="00356D59"/>
    <w:rsid w:val="0036074E"/>
    <w:rsid w:val="00360838"/>
    <w:rsid w:val="00360BE3"/>
    <w:rsid w:val="00361448"/>
    <w:rsid w:val="00361F07"/>
    <w:rsid w:val="003625E9"/>
    <w:rsid w:val="003630C3"/>
    <w:rsid w:val="00364253"/>
    <w:rsid w:val="003646EF"/>
    <w:rsid w:val="00364802"/>
    <w:rsid w:val="00366BCE"/>
    <w:rsid w:val="0036730D"/>
    <w:rsid w:val="00367B08"/>
    <w:rsid w:val="00371101"/>
    <w:rsid w:val="00371142"/>
    <w:rsid w:val="003711D5"/>
    <w:rsid w:val="00371409"/>
    <w:rsid w:val="0037176B"/>
    <w:rsid w:val="00371835"/>
    <w:rsid w:val="0037199E"/>
    <w:rsid w:val="00371B68"/>
    <w:rsid w:val="00372345"/>
    <w:rsid w:val="00372978"/>
    <w:rsid w:val="0037398A"/>
    <w:rsid w:val="003741E2"/>
    <w:rsid w:val="00374498"/>
    <w:rsid w:val="00374B00"/>
    <w:rsid w:val="00374E7F"/>
    <w:rsid w:val="003752C3"/>
    <w:rsid w:val="003769E5"/>
    <w:rsid w:val="00376E6A"/>
    <w:rsid w:val="0037719B"/>
    <w:rsid w:val="003800B9"/>
    <w:rsid w:val="003807F5"/>
    <w:rsid w:val="003814E0"/>
    <w:rsid w:val="00382D5F"/>
    <w:rsid w:val="00382F27"/>
    <w:rsid w:val="00383BFD"/>
    <w:rsid w:val="003846E1"/>
    <w:rsid w:val="00384A81"/>
    <w:rsid w:val="003866FC"/>
    <w:rsid w:val="00386A9C"/>
    <w:rsid w:val="0038743F"/>
    <w:rsid w:val="00387C6C"/>
    <w:rsid w:val="00390435"/>
    <w:rsid w:val="00390999"/>
    <w:rsid w:val="00390A6D"/>
    <w:rsid w:val="00390AF7"/>
    <w:rsid w:val="00392188"/>
    <w:rsid w:val="00392418"/>
    <w:rsid w:val="0039285A"/>
    <w:rsid w:val="00392ECA"/>
    <w:rsid w:val="0039317E"/>
    <w:rsid w:val="0039320C"/>
    <w:rsid w:val="003944B3"/>
    <w:rsid w:val="003946AF"/>
    <w:rsid w:val="00394EAE"/>
    <w:rsid w:val="0039536B"/>
    <w:rsid w:val="003959AD"/>
    <w:rsid w:val="00395CDF"/>
    <w:rsid w:val="00397E49"/>
    <w:rsid w:val="00397F42"/>
    <w:rsid w:val="003A044C"/>
    <w:rsid w:val="003A12D3"/>
    <w:rsid w:val="003A139F"/>
    <w:rsid w:val="003A1EDF"/>
    <w:rsid w:val="003A1F90"/>
    <w:rsid w:val="003A2251"/>
    <w:rsid w:val="003A27A7"/>
    <w:rsid w:val="003A28AA"/>
    <w:rsid w:val="003A2C4F"/>
    <w:rsid w:val="003A34A5"/>
    <w:rsid w:val="003A394C"/>
    <w:rsid w:val="003A4418"/>
    <w:rsid w:val="003A4B7C"/>
    <w:rsid w:val="003A4F0B"/>
    <w:rsid w:val="003A556D"/>
    <w:rsid w:val="003A5F9A"/>
    <w:rsid w:val="003A651A"/>
    <w:rsid w:val="003A670F"/>
    <w:rsid w:val="003A6AFD"/>
    <w:rsid w:val="003A6BA3"/>
    <w:rsid w:val="003A719E"/>
    <w:rsid w:val="003A78B0"/>
    <w:rsid w:val="003B06B7"/>
    <w:rsid w:val="003B1C73"/>
    <w:rsid w:val="003B28C6"/>
    <w:rsid w:val="003B30DE"/>
    <w:rsid w:val="003B388C"/>
    <w:rsid w:val="003B3EDE"/>
    <w:rsid w:val="003B4668"/>
    <w:rsid w:val="003B49C0"/>
    <w:rsid w:val="003B4A7C"/>
    <w:rsid w:val="003B5094"/>
    <w:rsid w:val="003B513E"/>
    <w:rsid w:val="003B554F"/>
    <w:rsid w:val="003B66E6"/>
    <w:rsid w:val="003B7894"/>
    <w:rsid w:val="003C02E6"/>
    <w:rsid w:val="003C057D"/>
    <w:rsid w:val="003C08B6"/>
    <w:rsid w:val="003C117B"/>
    <w:rsid w:val="003C2307"/>
    <w:rsid w:val="003C260E"/>
    <w:rsid w:val="003C2819"/>
    <w:rsid w:val="003C2942"/>
    <w:rsid w:val="003C2CCA"/>
    <w:rsid w:val="003C3425"/>
    <w:rsid w:val="003C430F"/>
    <w:rsid w:val="003C474C"/>
    <w:rsid w:val="003C5064"/>
    <w:rsid w:val="003C5285"/>
    <w:rsid w:val="003C5C64"/>
    <w:rsid w:val="003C616E"/>
    <w:rsid w:val="003C66EF"/>
    <w:rsid w:val="003C6858"/>
    <w:rsid w:val="003C6FAF"/>
    <w:rsid w:val="003C7181"/>
    <w:rsid w:val="003C7371"/>
    <w:rsid w:val="003C7A07"/>
    <w:rsid w:val="003D0367"/>
    <w:rsid w:val="003D0AFD"/>
    <w:rsid w:val="003D0DA1"/>
    <w:rsid w:val="003D1B21"/>
    <w:rsid w:val="003D1BD0"/>
    <w:rsid w:val="003D2285"/>
    <w:rsid w:val="003D284D"/>
    <w:rsid w:val="003D3F70"/>
    <w:rsid w:val="003D4955"/>
    <w:rsid w:val="003D4CDC"/>
    <w:rsid w:val="003D4DCF"/>
    <w:rsid w:val="003D570A"/>
    <w:rsid w:val="003D6BED"/>
    <w:rsid w:val="003D6C00"/>
    <w:rsid w:val="003D789C"/>
    <w:rsid w:val="003D79E5"/>
    <w:rsid w:val="003D7E59"/>
    <w:rsid w:val="003E0874"/>
    <w:rsid w:val="003E1A79"/>
    <w:rsid w:val="003E2030"/>
    <w:rsid w:val="003E28AA"/>
    <w:rsid w:val="003E323B"/>
    <w:rsid w:val="003E3277"/>
    <w:rsid w:val="003E37C8"/>
    <w:rsid w:val="003E3B55"/>
    <w:rsid w:val="003E4331"/>
    <w:rsid w:val="003E493A"/>
    <w:rsid w:val="003E56E8"/>
    <w:rsid w:val="003E5B86"/>
    <w:rsid w:val="003E67D0"/>
    <w:rsid w:val="003E6A79"/>
    <w:rsid w:val="003E6CC4"/>
    <w:rsid w:val="003E702D"/>
    <w:rsid w:val="003E711D"/>
    <w:rsid w:val="003E7FA4"/>
    <w:rsid w:val="003F06C8"/>
    <w:rsid w:val="003F07FA"/>
    <w:rsid w:val="003F0B74"/>
    <w:rsid w:val="003F2097"/>
    <w:rsid w:val="003F26E8"/>
    <w:rsid w:val="003F2724"/>
    <w:rsid w:val="003F2EB5"/>
    <w:rsid w:val="003F3580"/>
    <w:rsid w:val="003F3DAF"/>
    <w:rsid w:val="003F4DE6"/>
    <w:rsid w:val="003F53FC"/>
    <w:rsid w:val="003F54E8"/>
    <w:rsid w:val="003F625B"/>
    <w:rsid w:val="003F6847"/>
    <w:rsid w:val="003F6A57"/>
    <w:rsid w:val="003F7644"/>
    <w:rsid w:val="003F7B9D"/>
    <w:rsid w:val="0040064F"/>
    <w:rsid w:val="00400C1F"/>
    <w:rsid w:val="00400EC7"/>
    <w:rsid w:val="004026B0"/>
    <w:rsid w:val="0040293D"/>
    <w:rsid w:val="00403FAA"/>
    <w:rsid w:val="00404239"/>
    <w:rsid w:val="004053FD"/>
    <w:rsid w:val="004066C3"/>
    <w:rsid w:val="00407323"/>
    <w:rsid w:val="0040762F"/>
    <w:rsid w:val="00407E2B"/>
    <w:rsid w:val="004109FC"/>
    <w:rsid w:val="00412877"/>
    <w:rsid w:val="00412AE5"/>
    <w:rsid w:val="004135EA"/>
    <w:rsid w:val="004141B1"/>
    <w:rsid w:val="00415702"/>
    <w:rsid w:val="00415A51"/>
    <w:rsid w:val="0041614C"/>
    <w:rsid w:val="00416325"/>
    <w:rsid w:val="004200C8"/>
    <w:rsid w:val="004200ED"/>
    <w:rsid w:val="004203A6"/>
    <w:rsid w:val="004209AC"/>
    <w:rsid w:val="004214B3"/>
    <w:rsid w:val="00423C0B"/>
    <w:rsid w:val="004267C2"/>
    <w:rsid w:val="00426A5D"/>
    <w:rsid w:val="00427BBA"/>
    <w:rsid w:val="00427D7D"/>
    <w:rsid w:val="00430153"/>
    <w:rsid w:val="004307A3"/>
    <w:rsid w:val="00432915"/>
    <w:rsid w:val="00432E44"/>
    <w:rsid w:val="00433206"/>
    <w:rsid w:val="0043330D"/>
    <w:rsid w:val="00433E81"/>
    <w:rsid w:val="004341DA"/>
    <w:rsid w:val="004342D2"/>
    <w:rsid w:val="00435138"/>
    <w:rsid w:val="00437165"/>
    <w:rsid w:val="00437385"/>
    <w:rsid w:val="00440914"/>
    <w:rsid w:val="00440BBC"/>
    <w:rsid w:val="004415D5"/>
    <w:rsid w:val="00441ACE"/>
    <w:rsid w:val="00442437"/>
    <w:rsid w:val="00444939"/>
    <w:rsid w:val="00444A9E"/>
    <w:rsid w:val="00444C5F"/>
    <w:rsid w:val="00445304"/>
    <w:rsid w:val="0044588B"/>
    <w:rsid w:val="00445F8F"/>
    <w:rsid w:val="00446019"/>
    <w:rsid w:val="00450285"/>
    <w:rsid w:val="0045167A"/>
    <w:rsid w:val="00452AB6"/>
    <w:rsid w:val="00452AB7"/>
    <w:rsid w:val="004532DA"/>
    <w:rsid w:val="004533C4"/>
    <w:rsid w:val="004536D1"/>
    <w:rsid w:val="004537F3"/>
    <w:rsid w:val="00454F82"/>
    <w:rsid w:val="0045570F"/>
    <w:rsid w:val="004560D0"/>
    <w:rsid w:val="004562F6"/>
    <w:rsid w:val="0045695B"/>
    <w:rsid w:val="0045764C"/>
    <w:rsid w:val="004603EB"/>
    <w:rsid w:val="0046186E"/>
    <w:rsid w:val="00462546"/>
    <w:rsid w:val="0046416E"/>
    <w:rsid w:val="00464971"/>
    <w:rsid w:val="004655A1"/>
    <w:rsid w:val="00465E6E"/>
    <w:rsid w:val="004661D5"/>
    <w:rsid w:val="00466270"/>
    <w:rsid w:val="0046630B"/>
    <w:rsid w:val="00466571"/>
    <w:rsid w:val="004667C0"/>
    <w:rsid w:val="00466DE0"/>
    <w:rsid w:val="0047039B"/>
    <w:rsid w:val="00470420"/>
    <w:rsid w:val="00470C99"/>
    <w:rsid w:val="00470DB4"/>
    <w:rsid w:val="00471B31"/>
    <w:rsid w:val="00471D7C"/>
    <w:rsid w:val="0047471B"/>
    <w:rsid w:val="00474B7C"/>
    <w:rsid w:val="00474DAB"/>
    <w:rsid w:val="00475813"/>
    <w:rsid w:val="00475E9C"/>
    <w:rsid w:val="004767E2"/>
    <w:rsid w:val="00476E6A"/>
    <w:rsid w:val="004773AF"/>
    <w:rsid w:val="004778A3"/>
    <w:rsid w:val="004800ED"/>
    <w:rsid w:val="00480698"/>
    <w:rsid w:val="00480E4A"/>
    <w:rsid w:val="0048109E"/>
    <w:rsid w:val="00481681"/>
    <w:rsid w:val="004817D2"/>
    <w:rsid w:val="00482BD7"/>
    <w:rsid w:val="0048337D"/>
    <w:rsid w:val="00483E9D"/>
    <w:rsid w:val="0048610A"/>
    <w:rsid w:val="00486545"/>
    <w:rsid w:val="004872EC"/>
    <w:rsid w:val="004873D5"/>
    <w:rsid w:val="004902FD"/>
    <w:rsid w:val="00491951"/>
    <w:rsid w:val="00492046"/>
    <w:rsid w:val="00492271"/>
    <w:rsid w:val="00492DC4"/>
    <w:rsid w:val="004940E6"/>
    <w:rsid w:val="00494508"/>
    <w:rsid w:val="00495280"/>
    <w:rsid w:val="00495BC4"/>
    <w:rsid w:val="0049618B"/>
    <w:rsid w:val="0049741D"/>
    <w:rsid w:val="004974E8"/>
    <w:rsid w:val="00497D24"/>
    <w:rsid w:val="004A0961"/>
    <w:rsid w:val="004A137D"/>
    <w:rsid w:val="004A1B3A"/>
    <w:rsid w:val="004A259D"/>
    <w:rsid w:val="004A316A"/>
    <w:rsid w:val="004A3B14"/>
    <w:rsid w:val="004A3EAA"/>
    <w:rsid w:val="004A4066"/>
    <w:rsid w:val="004A427D"/>
    <w:rsid w:val="004A4304"/>
    <w:rsid w:val="004A55C0"/>
    <w:rsid w:val="004A6559"/>
    <w:rsid w:val="004A6E1B"/>
    <w:rsid w:val="004A71E0"/>
    <w:rsid w:val="004A73F2"/>
    <w:rsid w:val="004B0267"/>
    <w:rsid w:val="004B1692"/>
    <w:rsid w:val="004B242E"/>
    <w:rsid w:val="004B2EB9"/>
    <w:rsid w:val="004B44D3"/>
    <w:rsid w:val="004B5C09"/>
    <w:rsid w:val="004B61E6"/>
    <w:rsid w:val="004B77C8"/>
    <w:rsid w:val="004B77ED"/>
    <w:rsid w:val="004B7B61"/>
    <w:rsid w:val="004B7F0B"/>
    <w:rsid w:val="004C095B"/>
    <w:rsid w:val="004C0CF2"/>
    <w:rsid w:val="004C1AEC"/>
    <w:rsid w:val="004C2401"/>
    <w:rsid w:val="004C2F2C"/>
    <w:rsid w:val="004C3579"/>
    <w:rsid w:val="004C3D50"/>
    <w:rsid w:val="004C4C87"/>
    <w:rsid w:val="004C540F"/>
    <w:rsid w:val="004C6847"/>
    <w:rsid w:val="004C73C9"/>
    <w:rsid w:val="004D0657"/>
    <w:rsid w:val="004D0D53"/>
    <w:rsid w:val="004D0E15"/>
    <w:rsid w:val="004D3986"/>
    <w:rsid w:val="004D43C8"/>
    <w:rsid w:val="004D5363"/>
    <w:rsid w:val="004D5D81"/>
    <w:rsid w:val="004D6995"/>
    <w:rsid w:val="004D6C2D"/>
    <w:rsid w:val="004D706C"/>
    <w:rsid w:val="004E036E"/>
    <w:rsid w:val="004E0B6E"/>
    <w:rsid w:val="004E220A"/>
    <w:rsid w:val="004E2F55"/>
    <w:rsid w:val="004E37E8"/>
    <w:rsid w:val="004E3B85"/>
    <w:rsid w:val="004E469D"/>
    <w:rsid w:val="004E4ECD"/>
    <w:rsid w:val="004E4FC5"/>
    <w:rsid w:val="004E5138"/>
    <w:rsid w:val="004E54B6"/>
    <w:rsid w:val="004E558E"/>
    <w:rsid w:val="004E7747"/>
    <w:rsid w:val="004F0A4C"/>
    <w:rsid w:val="004F13E1"/>
    <w:rsid w:val="004F14F7"/>
    <w:rsid w:val="004F1836"/>
    <w:rsid w:val="004F1DD3"/>
    <w:rsid w:val="004F279B"/>
    <w:rsid w:val="004F2B47"/>
    <w:rsid w:val="004F2BB8"/>
    <w:rsid w:val="004F3108"/>
    <w:rsid w:val="004F37A6"/>
    <w:rsid w:val="004F40B9"/>
    <w:rsid w:val="004F41DC"/>
    <w:rsid w:val="004F4381"/>
    <w:rsid w:val="004F52BC"/>
    <w:rsid w:val="004F5382"/>
    <w:rsid w:val="004F5CC1"/>
    <w:rsid w:val="004F5CD6"/>
    <w:rsid w:val="004F5F07"/>
    <w:rsid w:val="004F616E"/>
    <w:rsid w:val="004F6241"/>
    <w:rsid w:val="004F627F"/>
    <w:rsid w:val="004F6CE3"/>
    <w:rsid w:val="005008BE"/>
    <w:rsid w:val="005013FC"/>
    <w:rsid w:val="005027F6"/>
    <w:rsid w:val="00504C8C"/>
    <w:rsid w:val="00505084"/>
    <w:rsid w:val="0050557A"/>
    <w:rsid w:val="005059E2"/>
    <w:rsid w:val="00505EA7"/>
    <w:rsid w:val="005062A1"/>
    <w:rsid w:val="0051199F"/>
    <w:rsid w:val="005121E6"/>
    <w:rsid w:val="0051245A"/>
    <w:rsid w:val="00512750"/>
    <w:rsid w:val="00512AA1"/>
    <w:rsid w:val="005130D6"/>
    <w:rsid w:val="005136F7"/>
    <w:rsid w:val="00513CEE"/>
    <w:rsid w:val="00514192"/>
    <w:rsid w:val="00514821"/>
    <w:rsid w:val="00514B58"/>
    <w:rsid w:val="005154F3"/>
    <w:rsid w:val="0051565B"/>
    <w:rsid w:val="005156CB"/>
    <w:rsid w:val="00515F56"/>
    <w:rsid w:val="00520D78"/>
    <w:rsid w:val="00522488"/>
    <w:rsid w:val="00522B7E"/>
    <w:rsid w:val="005232A5"/>
    <w:rsid w:val="005235F1"/>
    <w:rsid w:val="00524955"/>
    <w:rsid w:val="00524ABC"/>
    <w:rsid w:val="00524FF2"/>
    <w:rsid w:val="00525616"/>
    <w:rsid w:val="005256F9"/>
    <w:rsid w:val="00525E31"/>
    <w:rsid w:val="00526B91"/>
    <w:rsid w:val="00527B52"/>
    <w:rsid w:val="00530312"/>
    <w:rsid w:val="00530604"/>
    <w:rsid w:val="0053088C"/>
    <w:rsid w:val="00533C4B"/>
    <w:rsid w:val="00533C9F"/>
    <w:rsid w:val="00534543"/>
    <w:rsid w:val="005349DA"/>
    <w:rsid w:val="00534A69"/>
    <w:rsid w:val="005364EB"/>
    <w:rsid w:val="00536734"/>
    <w:rsid w:val="00536B40"/>
    <w:rsid w:val="0054003A"/>
    <w:rsid w:val="0054004C"/>
    <w:rsid w:val="00540ACB"/>
    <w:rsid w:val="0054221D"/>
    <w:rsid w:val="00542BCA"/>
    <w:rsid w:val="00542C4E"/>
    <w:rsid w:val="00542E27"/>
    <w:rsid w:val="00542E65"/>
    <w:rsid w:val="005445D2"/>
    <w:rsid w:val="00545512"/>
    <w:rsid w:val="0054695F"/>
    <w:rsid w:val="00546FBE"/>
    <w:rsid w:val="00547035"/>
    <w:rsid w:val="005471B4"/>
    <w:rsid w:val="005473ED"/>
    <w:rsid w:val="00547C78"/>
    <w:rsid w:val="005504B5"/>
    <w:rsid w:val="005511E8"/>
    <w:rsid w:val="00551D9F"/>
    <w:rsid w:val="00552D63"/>
    <w:rsid w:val="0055300C"/>
    <w:rsid w:val="00554759"/>
    <w:rsid w:val="00554A95"/>
    <w:rsid w:val="00555093"/>
    <w:rsid w:val="00555155"/>
    <w:rsid w:val="005551D9"/>
    <w:rsid w:val="00556665"/>
    <w:rsid w:val="00556CC5"/>
    <w:rsid w:val="0056038A"/>
    <w:rsid w:val="00561050"/>
    <w:rsid w:val="0056161C"/>
    <w:rsid w:val="0056202F"/>
    <w:rsid w:val="0056213C"/>
    <w:rsid w:val="0056280A"/>
    <w:rsid w:val="00563C60"/>
    <w:rsid w:val="00565218"/>
    <w:rsid w:val="00566268"/>
    <w:rsid w:val="005668D5"/>
    <w:rsid w:val="005703C5"/>
    <w:rsid w:val="005703D6"/>
    <w:rsid w:val="005704D6"/>
    <w:rsid w:val="005705FC"/>
    <w:rsid w:val="00570632"/>
    <w:rsid w:val="0057085B"/>
    <w:rsid w:val="005710A2"/>
    <w:rsid w:val="00572DB1"/>
    <w:rsid w:val="00572F39"/>
    <w:rsid w:val="00574322"/>
    <w:rsid w:val="0057647A"/>
    <w:rsid w:val="0057658F"/>
    <w:rsid w:val="00577005"/>
    <w:rsid w:val="00582038"/>
    <w:rsid w:val="00582425"/>
    <w:rsid w:val="00582D54"/>
    <w:rsid w:val="005836C0"/>
    <w:rsid w:val="00583EFF"/>
    <w:rsid w:val="00584645"/>
    <w:rsid w:val="00584F15"/>
    <w:rsid w:val="00584FF1"/>
    <w:rsid w:val="005875C1"/>
    <w:rsid w:val="005876AB"/>
    <w:rsid w:val="00587CC1"/>
    <w:rsid w:val="0059067B"/>
    <w:rsid w:val="0059145C"/>
    <w:rsid w:val="00592237"/>
    <w:rsid w:val="00592336"/>
    <w:rsid w:val="005933E8"/>
    <w:rsid w:val="00594496"/>
    <w:rsid w:val="005955A0"/>
    <w:rsid w:val="0059597C"/>
    <w:rsid w:val="00595E0B"/>
    <w:rsid w:val="0059660B"/>
    <w:rsid w:val="00596C91"/>
    <w:rsid w:val="00596F41"/>
    <w:rsid w:val="00597544"/>
    <w:rsid w:val="005A01ED"/>
    <w:rsid w:val="005A089D"/>
    <w:rsid w:val="005A10F5"/>
    <w:rsid w:val="005A15A6"/>
    <w:rsid w:val="005A1DFD"/>
    <w:rsid w:val="005A25D4"/>
    <w:rsid w:val="005A2AF2"/>
    <w:rsid w:val="005A2B09"/>
    <w:rsid w:val="005A3504"/>
    <w:rsid w:val="005A4512"/>
    <w:rsid w:val="005A4764"/>
    <w:rsid w:val="005A5051"/>
    <w:rsid w:val="005A5751"/>
    <w:rsid w:val="005A5928"/>
    <w:rsid w:val="005A5E45"/>
    <w:rsid w:val="005A75C4"/>
    <w:rsid w:val="005B05CC"/>
    <w:rsid w:val="005B19D8"/>
    <w:rsid w:val="005B1A82"/>
    <w:rsid w:val="005B22CA"/>
    <w:rsid w:val="005B2A98"/>
    <w:rsid w:val="005B2F74"/>
    <w:rsid w:val="005B2F94"/>
    <w:rsid w:val="005B386B"/>
    <w:rsid w:val="005B3DA9"/>
    <w:rsid w:val="005B42B9"/>
    <w:rsid w:val="005B4986"/>
    <w:rsid w:val="005B5E47"/>
    <w:rsid w:val="005B63DD"/>
    <w:rsid w:val="005B7021"/>
    <w:rsid w:val="005B705B"/>
    <w:rsid w:val="005B78F0"/>
    <w:rsid w:val="005B7920"/>
    <w:rsid w:val="005B7C67"/>
    <w:rsid w:val="005C10D2"/>
    <w:rsid w:val="005C1413"/>
    <w:rsid w:val="005C1969"/>
    <w:rsid w:val="005C2198"/>
    <w:rsid w:val="005C2806"/>
    <w:rsid w:val="005C41BB"/>
    <w:rsid w:val="005C4CC1"/>
    <w:rsid w:val="005C4D66"/>
    <w:rsid w:val="005C51CD"/>
    <w:rsid w:val="005C54C5"/>
    <w:rsid w:val="005C61A1"/>
    <w:rsid w:val="005C62F5"/>
    <w:rsid w:val="005C77EC"/>
    <w:rsid w:val="005C7D91"/>
    <w:rsid w:val="005D17C6"/>
    <w:rsid w:val="005D1983"/>
    <w:rsid w:val="005D20AB"/>
    <w:rsid w:val="005D20FF"/>
    <w:rsid w:val="005D255E"/>
    <w:rsid w:val="005D2DBB"/>
    <w:rsid w:val="005D4274"/>
    <w:rsid w:val="005D4D3F"/>
    <w:rsid w:val="005D743F"/>
    <w:rsid w:val="005D79E5"/>
    <w:rsid w:val="005E009D"/>
    <w:rsid w:val="005E0225"/>
    <w:rsid w:val="005E0ED3"/>
    <w:rsid w:val="005E1D1F"/>
    <w:rsid w:val="005E289D"/>
    <w:rsid w:val="005E2D88"/>
    <w:rsid w:val="005E30D8"/>
    <w:rsid w:val="005E34CA"/>
    <w:rsid w:val="005E36A7"/>
    <w:rsid w:val="005E5005"/>
    <w:rsid w:val="005E5AC0"/>
    <w:rsid w:val="005E5C0A"/>
    <w:rsid w:val="005E5DEC"/>
    <w:rsid w:val="005E6A94"/>
    <w:rsid w:val="005E6E6A"/>
    <w:rsid w:val="005E6F02"/>
    <w:rsid w:val="005E6FB4"/>
    <w:rsid w:val="005E7940"/>
    <w:rsid w:val="005E7A08"/>
    <w:rsid w:val="005F030E"/>
    <w:rsid w:val="005F065E"/>
    <w:rsid w:val="005F0946"/>
    <w:rsid w:val="005F0CE4"/>
    <w:rsid w:val="005F0F42"/>
    <w:rsid w:val="005F1068"/>
    <w:rsid w:val="005F1449"/>
    <w:rsid w:val="005F1770"/>
    <w:rsid w:val="005F1A60"/>
    <w:rsid w:val="005F2B99"/>
    <w:rsid w:val="005F2BA0"/>
    <w:rsid w:val="005F36AC"/>
    <w:rsid w:val="005F41B1"/>
    <w:rsid w:val="005F490D"/>
    <w:rsid w:val="005F4A12"/>
    <w:rsid w:val="005F4DBA"/>
    <w:rsid w:val="005F5F41"/>
    <w:rsid w:val="005F6DD3"/>
    <w:rsid w:val="005F767C"/>
    <w:rsid w:val="005F78B5"/>
    <w:rsid w:val="005F798F"/>
    <w:rsid w:val="005F7B74"/>
    <w:rsid w:val="0060016A"/>
    <w:rsid w:val="00600A7F"/>
    <w:rsid w:val="0060145F"/>
    <w:rsid w:val="0060184D"/>
    <w:rsid w:val="00601854"/>
    <w:rsid w:val="00602487"/>
    <w:rsid w:val="00604170"/>
    <w:rsid w:val="00605813"/>
    <w:rsid w:val="006062B4"/>
    <w:rsid w:val="006072EF"/>
    <w:rsid w:val="00607EB4"/>
    <w:rsid w:val="006102F9"/>
    <w:rsid w:val="00610414"/>
    <w:rsid w:val="006120B9"/>
    <w:rsid w:val="00612197"/>
    <w:rsid w:val="006129AE"/>
    <w:rsid w:val="00612F4A"/>
    <w:rsid w:val="0061310A"/>
    <w:rsid w:val="00613271"/>
    <w:rsid w:val="00613F20"/>
    <w:rsid w:val="006148FA"/>
    <w:rsid w:val="0061528C"/>
    <w:rsid w:val="006155C5"/>
    <w:rsid w:val="00615707"/>
    <w:rsid w:val="0061611F"/>
    <w:rsid w:val="00617A41"/>
    <w:rsid w:val="0062060B"/>
    <w:rsid w:val="006213E7"/>
    <w:rsid w:val="0062147F"/>
    <w:rsid w:val="006215FD"/>
    <w:rsid w:val="0062164D"/>
    <w:rsid w:val="006218F4"/>
    <w:rsid w:val="00622677"/>
    <w:rsid w:val="00622831"/>
    <w:rsid w:val="0062354E"/>
    <w:rsid w:val="006237FD"/>
    <w:rsid w:val="006240A7"/>
    <w:rsid w:val="00625DF3"/>
    <w:rsid w:val="006279AB"/>
    <w:rsid w:val="00627B95"/>
    <w:rsid w:val="00630041"/>
    <w:rsid w:val="00630371"/>
    <w:rsid w:val="00630489"/>
    <w:rsid w:val="0063072E"/>
    <w:rsid w:val="00630CE5"/>
    <w:rsid w:val="00630D07"/>
    <w:rsid w:val="00630D22"/>
    <w:rsid w:val="00631EE4"/>
    <w:rsid w:val="0063216E"/>
    <w:rsid w:val="00632268"/>
    <w:rsid w:val="00632D7E"/>
    <w:rsid w:val="0063478D"/>
    <w:rsid w:val="0063512C"/>
    <w:rsid w:val="00635265"/>
    <w:rsid w:val="00635494"/>
    <w:rsid w:val="00635560"/>
    <w:rsid w:val="006375A3"/>
    <w:rsid w:val="00640F34"/>
    <w:rsid w:val="00641973"/>
    <w:rsid w:val="00641AD5"/>
    <w:rsid w:val="00641C4C"/>
    <w:rsid w:val="00641EAB"/>
    <w:rsid w:val="00642519"/>
    <w:rsid w:val="00642C1C"/>
    <w:rsid w:val="0064460C"/>
    <w:rsid w:val="00645821"/>
    <w:rsid w:val="0064600B"/>
    <w:rsid w:val="00647207"/>
    <w:rsid w:val="006476C9"/>
    <w:rsid w:val="006477D6"/>
    <w:rsid w:val="006505CE"/>
    <w:rsid w:val="00650C88"/>
    <w:rsid w:val="00652A00"/>
    <w:rsid w:val="00652D6F"/>
    <w:rsid w:val="00653F25"/>
    <w:rsid w:val="006548C6"/>
    <w:rsid w:val="006552F5"/>
    <w:rsid w:val="0065607E"/>
    <w:rsid w:val="006566AD"/>
    <w:rsid w:val="006573F0"/>
    <w:rsid w:val="006579D6"/>
    <w:rsid w:val="00660227"/>
    <w:rsid w:val="0066066E"/>
    <w:rsid w:val="006609DA"/>
    <w:rsid w:val="006624FA"/>
    <w:rsid w:val="0066379F"/>
    <w:rsid w:val="00663A28"/>
    <w:rsid w:val="006642F9"/>
    <w:rsid w:val="0066449C"/>
    <w:rsid w:val="006649EA"/>
    <w:rsid w:val="006651FE"/>
    <w:rsid w:val="00665C68"/>
    <w:rsid w:val="006667B6"/>
    <w:rsid w:val="00667472"/>
    <w:rsid w:val="00670645"/>
    <w:rsid w:val="00670840"/>
    <w:rsid w:val="00670D4D"/>
    <w:rsid w:val="00670E9F"/>
    <w:rsid w:val="006722C6"/>
    <w:rsid w:val="006726D8"/>
    <w:rsid w:val="0067284E"/>
    <w:rsid w:val="00673B4E"/>
    <w:rsid w:val="0067419A"/>
    <w:rsid w:val="0067437F"/>
    <w:rsid w:val="00674881"/>
    <w:rsid w:val="00674DDB"/>
    <w:rsid w:val="006771B6"/>
    <w:rsid w:val="0068087A"/>
    <w:rsid w:val="0068137A"/>
    <w:rsid w:val="0068176E"/>
    <w:rsid w:val="00681C65"/>
    <w:rsid w:val="006823E4"/>
    <w:rsid w:val="0068258F"/>
    <w:rsid w:val="00682E81"/>
    <w:rsid w:val="00683490"/>
    <w:rsid w:val="00683494"/>
    <w:rsid w:val="006835A9"/>
    <w:rsid w:val="00683BF9"/>
    <w:rsid w:val="00683E7C"/>
    <w:rsid w:val="00684E3C"/>
    <w:rsid w:val="00685494"/>
    <w:rsid w:val="0068590C"/>
    <w:rsid w:val="0068607F"/>
    <w:rsid w:val="00686583"/>
    <w:rsid w:val="00686B61"/>
    <w:rsid w:val="00686C0D"/>
    <w:rsid w:val="0068719A"/>
    <w:rsid w:val="00687375"/>
    <w:rsid w:val="006879A7"/>
    <w:rsid w:val="006879F3"/>
    <w:rsid w:val="0069052B"/>
    <w:rsid w:val="00690DF9"/>
    <w:rsid w:val="006913BB"/>
    <w:rsid w:val="006916FC"/>
    <w:rsid w:val="00691F60"/>
    <w:rsid w:val="0069322E"/>
    <w:rsid w:val="00693367"/>
    <w:rsid w:val="00693880"/>
    <w:rsid w:val="00693CE6"/>
    <w:rsid w:val="00694168"/>
    <w:rsid w:val="006943C9"/>
    <w:rsid w:val="00694553"/>
    <w:rsid w:val="00694566"/>
    <w:rsid w:val="00694829"/>
    <w:rsid w:val="00694C1D"/>
    <w:rsid w:val="00695180"/>
    <w:rsid w:val="00697155"/>
    <w:rsid w:val="00697552"/>
    <w:rsid w:val="00697902"/>
    <w:rsid w:val="006A0059"/>
    <w:rsid w:val="006A01DF"/>
    <w:rsid w:val="006A04F0"/>
    <w:rsid w:val="006A0B2F"/>
    <w:rsid w:val="006A1C0E"/>
    <w:rsid w:val="006A2BFD"/>
    <w:rsid w:val="006A316E"/>
    <w:rsid w:val="006A3775"/>
    <w:rsid w:val="006A3792"/>
    <w:rsid w:val="006A53AE"/>
    <w:rsid w:val="006A5CF9"/>
    <w:rsid w:val="006A5F81"/>
    <w:rsid w:val="006A6B7E"/>
    <w:rsid w:val="006A7821"/>
    <w:rsid w:val="006B04B6"/>
    <w:rsid w:val="006B052D"/>
    <w:rsid w:val="006B1AB0"/>
    <w:rsid w:val="006B1CA4"/>
    <w:rsid w:val="006B1E9D"/>
    <w:rsid w:val="006B2276"/>
    <w:rsid w:val="006B28A5"/>
    <w:rsid w:val="006B2ACE"/>
    <w:rsid w:val="006B30FC"/>
    <w:rsid w:val="006B32E3"/>
    <w:rsid w:val="006B3418"/>
    <w:rsid w:val="006B40A9"/>
    <w:rsid w:val="006B43F2"/>
    <w:rsid w:val="006B53C4"/>
    <w:rsid w:val="006B5703"/>
    <w:rsid w:val="006B63B5"/>
    <w:rsid w:val="006B6673"/>
    <w:rsid w:val="006B687A"/>
    <w:rsid w:val="006B6BBC"/>
    <w:rsid w:val="006B771A"/>
    <w:rsid w:val="006B77E3"/>
    <w:rsid w:val="006C01A0"/>
    <w:rsid w:val="006C033F"/>
    <w:rsid w:val="006C0B8B"/>
    <w:rsid w:val="006C1025"/>
    <w:rsid w:val="006C2184"/>
    <w:rsid w:val="006C29B5"/>
    <w:rsid w:val="006C2C33"/>
    <w:rsid w:val="006C30DC"/>
    <w:rsid w:val="006C31C7"/>
    <w:rsid w:val="006C33FD"/>
    <w:rsid w:val="006C37E0"/>
    <w:rsid w:val="006C3D08"/>
    <w:rsid w:val="006C50BE"/>
    <w:rsid w:val="006C61D1"/>
    <w:rsid w:val="006C68B3"/>
    <w:rsid w:val="006C6B55"/>
    <w:rsid w:val="006C7D40"/>
    <w:rsid w:val="006D166E"/>
    <w:rsid w:val="006D1A35"/>
    <w:rsid w:val="006D1E06"/>
    <w:rsid w:val="006D1EE5"/>
    <w:rsid w:val="006D210B"/>
    <w:rsid w:val="006D3A7F"/>
    <w:rsid w:val="006D476E"/>
    <w:rsid w:val="006D502F"/>
    <w:rsid w:val="006D58A5"/>
    <w:rsid w:val="006D5BDB"/>
    <w:rsid w:val="006D6016"/>
    <w:rsid w:val="006E076B"/>
    <w:rsid w:val="006E0D24"/>
    <w:rsid w:val="006E12F9"/>
    <w:rsid w:val="006E19AB"/>
    <w:rsid w:val="006E1EE3"/>
    <w:rsid w:val="006E2CB4"/>
    <w:rsid w:val="006E5498"/>
    <w:rsid w:val="006E5ACF"/>
    <w:rsid w:val="006E5C34"/>
    <w:rsid w:val="006E5EDB"/>
    <w:rsid w:val="006E6651"/>
    <w:rsid w:val="006E6686"/>
    <w:rsid w:val="006E6A93"/>
    <w:rsid w:val="006E7386"/>
    <w:rsid w:val="006E7554"/>
    <w:rsid w:val="006F0858"/>
    <w:rsid w:val="006F0FB9"/>
    <w:rsid w:val="006F20DC"/>
    <w:rsid w:val="006F2D4E"/>
    <w:rsid w:val="006F3240"/>
    <w:rsid w:val="006F3414"/>
    <w:rsid w:val="006F3723"/>
    <w:rsid w:val="006F3CD9"/>
    <w:rsid w:val="006F450C"/>
    <w:rsid w:val="006F4AFC"/>
    <w:rsid w:val="006F4CB0"/>
    <w:rsid w:val="006F4F98"/>
    <w:rsid w:val="006F5015"/>
    <w:rsid w:val="006F6609"/>
    <w:rsid w:val="006F6F5D"/>
    <w:rsid w:val="006F7745"/>
    <w:rsid w:val="00700A32"/>
    <w:rsid w:val="00700C2A"/>
    <w:rsid w:val="00701CE2"/>
    <w:rsid w:val="0070274E"/>
    <w:rsid w:val="00703342"/>
    <w:rsid w:val="00704141"/>
    <w:rsid w:val="0070436A"/>
    <w:rsid w:val="00704BD0"/>
    <w:rsid w:val="00705142"/>
    <w:rsid w:val="007054D7"/>
    <w:rsid w:val="00707E91"/>
    <w:rsid w:val="00707FAD"/>
    <w:rsid w:val="007105BC"/>
    <w:rsid w:val="00711B68"/>
    <w:rsid w:val="00713014"/>
    <w:rsid w:val="0071349B"/>
    <w:rsid w:val="007142BB"/>
    <w:rsid w:val="007156B5"/>
    <w:rsid w:val="0071623C"/>
    <w:rsid w:val="007201C4"/>
    <w:rsid w:val="00720510"/>
    <w:rsid w:val="00720E71"/>
    <w:rsid w:val="007215EB"/>
    <w:rsid w:val="007216C7"/>
    <w:rsid w:val="00721F65"/>
    <w:rsid w:val="00722DCE"/>
    <w:rsid w:val="0072320B"/>
    <w:rsid w:val="00723747"/>
    <w:rsid w:val="00724CF9"/>
    <w:rsid w:val="00724EBB"/>
    <w:rsid w:val="00725E96"/>
    <w:rsid w:val="00726668"/>
    <w:rsid w:val="0072702F"/>
    <w:rsid w:val="00727033"/>
    <w:rsid w:val="007272BB"/>
    <w:rsid w:val="007275A9"/>
    <w:rsid w:val="00727A84"/>
    <w:rsid w:val="007306D8"/>
    <w:rsid w:val="00731046"/>
    <w:rsid w:val="00731230"/>
    <w:rsid w:val="00731C46"/>
    <w:rsid w:val="007324AB"/>
    <w:rsid w:val="00732A15"/>
    <w:rsid w:val="00732CE4"/>
    <w:rsid w:val="00732E1C"/>
    <w:rsid w:val="00732F4C"/>
    <w:rsid w:val="007336B6"/>
    <w:rsid w:val="007337CE"/>
    <w:rsid w:val="007340C6"/>
    <w:rsid w:val="00734DD4"/>
    <w:rsid w:val="00736FA5"/>
    <w:rsid w:val="00736FCC"/>
    <w:rsid w:val="0074033D"/>
    <w:rsid w:val="0074251C"/>
    <w:rsid w:val="00742BFD"/>
    <w:rsid w:val="00742DEE"/>
    <w:rsid w:val="00743A87"/>
    <w:rsid w:val="00744704"/>
    <w:rsid w:val="00744728"/>
    <w:rsid w:val="00744B1A"/>
    <w:rsid w:val="00745D16"/>
    <w:rsid w:val="00745FCA"/>
    <w:rsid w:val="00747B64"/>
    <w:rsid w:val="007509E8"/>
    <w:rsid w:val="00750CB2"/>
    <w:rsid w:val="00751465"/>
    <w:rsid w:val="007522F5"/>
    <w:rsid w:val="00752474"/>
    <w:rsid w:val="00752A3D"/>
    <w:rsid w:val="00753A83"/>
    <w:rsid w:val="00754B7D"/>
    <w:rsid w:val="00754D31"/>
    <w:rsid w:val="00754E71"/>
    <w:rsid w:val="00755841"/>
    <w:rsid w:val="00756075"/>
    <w:rsid w:val="00756082"/>
    <w:rsid w:val="00756531"/>
    <w:rsid w:val="00757237"/>
    <w:rsid w:val="00757564"/>
    <w:rsid w:val="007619DC"/>
    <w:rsid w:val="00763664"/>
    <w:rsid w:val="007636E6"/>
    <w:rsid w:val="00763AFA"/>
    <w:rsid w:val="00763D5C"/>
    <w:rsid w:val="00763E14"/>
    <w:rsid w:val="00763E41"/>
    <w:rsid w:val="007642CE"/>
    <w:rsid w:val="00764F0E"/>
    <w:rsid w:val="007668A9"/>
    <w:rsid w:val="00767F6E"/>
    <w:rsid w:val="00770384"/>
    <w:rsid w:val="00771175"/>
    <w:rsid w:val="00771A2C"/>
    <w:rsid w:val="007724EA"/>
    <w:rsid w:val="00772F37"/>
    <w:rsid w:val="00773705"/>
    <w:rsid w:val="00773909"/>
    <w:rsid w:val="00773AA0"/>
    <w:rsid w:val="00774563"/>
    <w:rsid w:val="00774ABE"/>
    <w:rsid w:val="00774D97"/>
    <w:rsid w:val="00775548"/>
    <w:rsid w:val="00776DBD"/>
    <w:rsid w:val="00776F42"/>
    <w:rsid w:val="0077746A"/>
    <w:rsid w:val="00777EC1"/>
    <w:rsid w:val="00777ED0"/>
    <w:rsid w:val="00780CF7"/>
    <w:rsid w:val="0078228C"/>
    <w:rsid w:val="00783123"/>
    <w:rsid w:val="007839FC"/>
    <w:rsid w:val="00784594"/>
    <w:rsid w:val="00784D63"/>
    <w:rsid w:val="00785ACA"/>
    <w:rsid w:val="007864BE"/>
    <w:rsid w:val="00786AB3"/>
    <w:rsid w:val="00787471"/>
    <w:rsid w:val="00787E72"/>
    <w:rsid w:val="00787F0E"/>
    <w:rsid w:val="00790ACF"/>
    <w:rsid w:val="007911C1"/>
    <w:rsid w:val="00791254"/>
    <w:rsid w:val="00791FDE"/>
    <w:rsid w:val="007925AD"/>
    <w:rsid w:val="00792AF5"/>
    <w:rsid w:val="00792FF2"/>
    <w:rsid w:val="00793A5D"/>
    <w:rsid w:val="00793D0F"/>
    <w:rsid w:val="0079455C"/>
    <w:rsid w:val="00794563"/>
    <w:rsid w:val="00794D26"/>
    <w:rsid w:val="007963AD"/>
    <w:rsid w:val="0079651B"/>
    <w:rsid w:val="00796899"/>
    <w:rsid w:val="00797453"/>
    <w:rsid w:val="007A00BE"/>
    <w:rsid w:val="007A06F7"/>
    <w:rsid w:val="007A0754"/>
    <w:rsid w:val="007A0DBB"/>
    <w:rsid w:val="007A1560"/>
    <w:rsid w:val="007A2152"/>
    <w:rsid w:val="007A2B7F"/>
    <w:rsid w:val="007A2D74"/>
    <w:rsid w:val="007A36DD"/>
    <w:rsid w:val="007A405B"/>
    <w:rsid w:val="007A4B68"/>
    <w:rsid w:val="007A5004"/>
    <w:rsid w:val="007A520B"/>
    <w:rsid w:val="007A7587"/>
    <w:rsid w:val="007A75BC"/>
    <w:rsid w:val="007B063F"/>
    <w:rsid w:val="007B0B0D"/>
    <w:rsid w:val="007B0C43"/>
    <w:rsid w:val="007B0EDF"/>
    <w:rsid w:val="007B24AF"/>
    <w:rsid w:val="007B2BC9"/>
    <w:rsid w:val="007B2C2F"/>
    <w:rsid w:val="007B2CD3"/>
    <w:rsid w:val="007B3479"/>
    <w:rsid w:val="007B35E6"/>
    <w:rsid w:val="007B3C1D"/>
    <w:rsid w:val="007B42D5"/>
    <w:rsid w:val="007B4A9C"/>
    <w:rsid w:val="007B50FB"/>
    <w:rsid w:val="007B660D"/>
    <w:rsid w:val="007C1230"/>
    <w:rsid w:val="007C1CB3"/>
    <w:rsid w:val="007C1F10"/>
    <w:rsid w:val="007C262B"/>
    <w:rsid w:val="007C2CAA"/>
    <w:rsid w:val="007C396A"/>
    <w:rsid w:val="007C406F"/>
    <w:rsid w:val="007C4E88"/>
    <w:rsid w:val="007C5E90"/>
    <w:rsid w:val="007C621F"/>
    <w:rsid w:val="007C6D79"/>
    <w:rsid w:val="007C714A"/>
    <w:rsid w:val="007C7B95"/>
    <w:rsid w:val="007D0A62"/>
    <w:rsid w:val="007D0EE4"/>
    <w:rsid w:val="007D128B"/>
    <w:rsid w:val="007D1303"/>
    <w:rsid w:val="007D1408"/>
    <w:rsid w:val="007D160B"/>
    <w:rsid w:val="007D20C3"/>
    <w:rsid w:val="007D2282"/>
    <w:rsid w:val="007D23DC"/>
    <w:rsid w:val="007D2C25"/>
    <w:rsid w:val="007D2F04"/>
    <w:rsid w:val="007D3462"/>
    <w:rsid w:val="007D4068"/>
    <w:rsid w:val="007D42F8"/>
    <w:rsid w:val="007D4677"/>
    <w:rsid w:val="007D54E7"/>
    <w:rsid w:val="007D5ACD"/>
    <w:rsid w:val="007D5D57"/>
    <w:rsid w:val="007D68B0"/>
    <w:rsid w:val="007D6CA7"/>
    <w:rsid w:val="007E0916"/>
    <w:rsid w:val="007E188E"/>
    <w:rsid w:val="007E26F5"/>
    <w:rsid w:val="007E2FF0"/>
    <w:rsid w:val="007E4628"/>
    <w:rsid w:val="007E4750"/>
    <w:rsid w:val="007E540F"/>
    <w:rsid w:val="007E5884"/>
    <w:rsid w:val="007E5C5A"/>
    <w:rsid w:val="007E5E5F"/>
    <w:rsid w:val="007E65AF"/>
    <w:rsid w:val="007E67B3"/>
    <w:rsid w:val="007E6B66"/>
    <w:rsid w:val="007E6FB5"/>
    <w:rsid w:val="007F00D3"/>
    <w:rsid w:val="007F069C"/>
    <w:rsid w:val="007F07FE"/>
    <w:rsid w:val="007F091C"/>
    <w:rsid w:val="007F0D06"/>
    <w:rsid w:val="007F0DEF"/>
    <w:rsid w:val="007F0F80"/>
    <w:rsid w:val="007F11D0"/>
    <w:rsid w:val="007F1E23"/>
    <w:rsid w:val="007F233A"/>
    <w:rsid w:val="007F2D09"/>
    <w:rsid w:val="007F2E84"/>
    <w:rsid w:val="007F5071"/>
    <w:rsid w:val="007F58A3"/>
    <w:rsid w:val="007F6294"/>
    <w:rsid w:val="007F6641"/>
    <w:rsid w:val="007F6775"/>
    <w:rsid w:val="007F6913"/>
    <w:rsid w:val="007F6BD6"/>
    <w:rsid w:val="007F710C"/>
    <w:rsid w:val="007F76C3"/>
    <w:rsid w:val="007F7B77"/>
    <w:rsid w:val="008007AF"/>
    <w:rsid w:val="00800B1A"/>
    <w:rsid w:val="00801CB5"/>
    <w:rsid w:val="00802954"/>
    <w:rsid w:val="00802BC0"/>
    <w:rsid w:val="00803096"/>
    <w:rsid w:val="008031C1"/>
    <w:rsid w:val="008034C4"/>
    <w:rsid w:val="00803FC0"/>
    <w:rsid w:val="0080403B"/>
    <w:rsid w:val="0080426B"/>
    <w:rsid w:val="00804A19"/>
    <w:rsid w:val="00804A84"/>
    <w:rsid w:val="00804C0D"/>
    <w:rsid w:val="00804E69"/>
    <w:rsid w:val="008053C3"/>
    <w:rsid w:val="008054D7"/>
    <w:rsid w:val="008055F1"/>
    <w:rsid w:val="008066A4"/>
    <w:rsid w:val="00807969"/>
    <w:rsid w:val="0081057D"/>
    <w:rsid w:val="00811D92"/>
    <w:rsid w:val="00812378"/>
    <w:rsid w:val="00812901"/>
    <w:rsid w:val="00813D3F"/>
    <w:rsid w:val="00814C48"/>
    <w:rsid w:val="00814D28"/>
    <w:rsid w:val="0081580C"/>
    <w:rsid w:val="0081698F"/>
    <w:rsid w:val="00817165"/>
    <w:rsid w:val="0081748B"/>
    <w:rsid w:val="00817745"/>
    <w:rsid w:val="00820824"/>
    <w:rsid w:val="008209C9"/>
    <w:rsid w:val="00820F6D"/>
    <w:rsid w:val="00821976"/>
    <w:rsid w:val="00822130"/>
    <w:rsid w:val="00822457"/>
    <w:rsid w:val="00823150"/>
    <w:rsid w:val="00823668"/>
    <w:rsid w:val="00824684"/>
    <w:rsid w:val="00825CAD"/>
    <w:rsid w:val="00825CB9"/>
    <w:rsid w:val="00826619"/>
    <w:rsid w:val="0082676D"/>
    <w:rsid w:val="00827316"/>
    <w:rsid w:val="00827572"/>
    <w:rsid w:val="00827676"/>
    <w:rsid w:val="00827AA4"/>
    <w:rsid w:val="00830790"/>
    <w:rsid w:val="008310BF"/>
    <w:rsid w:val="00832945"/>
    <w:rsid w:val="0083323B"/>
    <w:rsid w:val="00834677"/>
    <w:rsid w:val="008352D4"/>
    <w:rsid w:val="00835BD6"/>
    <w:rsid w:val="00835EFC"/>
    <w:rsid w:val="00836255"/>
    <w:rsid w:val="0083629A"/>
    <w:rsid w:val="00836AE1"/>
    <w:rsid w:val="00836F89"/>
    <w:rsid w:val="008371D3"/>
    <w:rsid w:val="00837B97"/>
    <w:rsid w:val="00837C2B"/>
    <w:rsid w:val="00837F57"/>
    <w:rsid w:val="00837F95"/>
    <w:rsid w:val="008417CF"/>
    <w:rsid w:val="00842058"/>
    <w:rsid w:val="0084228D"/>
    <w:rsid w:val="008425FA"/>
    <w:rsid w:val="00843382"/>
    <w:rsid w:val="0084348A"/>
    <w:rsid w:val="00843564"/>
    <w:rsid w:val="00843D68"/>
    <w:rsid w:val="00845626"/>
    <w:rsid w:val="00846185"/>
    <w:rsid w:val="0084622F"/>
    <w:rsid w:val="00846303"/>
    <w:rsid w:val="00847160"/>
    <w:rsid w:val="00850165"/>
    <w:rsid w:val="0085074F"/>
    <w:rsid w:val="00850E55"/>
    <w:rsid w:val="00850F29"/>
    <w:rsid w:val="00851B14"/>
    <w:rsid w:val="0085206C"/>
    <w:rsid w:val="008538D9"/>
    <w:rsid w:val="008539DB"/>
    <w:rsid w:val="00854287"/>
    <w:rsid w:val="0085476E"/>
    <w:rsid w:val="00854CB7"/>
    <w:rsid w:val="00855134"/>
    <w:rsid w:val="008557B6"/>
    <w:rsid w:val="00856FB0"/>
    <w:rsid w:val="008572D5"/>
    <w:rsid w:val="00860016"/>
    <w:rsid w:val="00860D7E"/>
    <w:rsid w:val="00861032"/>
    <w:rsid w:val="008612E1"/>
    <w:rsid w:val="00861E1F"/>
    <w:rsid w:val="00862068"/>
    <w:rsid w:val="00862EA7"/>
    <w:rsid w:val="00862EF9"/>
    <w:rsid w:val="008631D4"/>
    <w:rsid w:val="008642B0"/>
    <w:rsid w:val="00864F31"/>
    <w:rsid w:val="00866067"/>
    <w:rsid w:val="008671E2"/>
    <w:rsid w:val="0087063F"/>
    <w:rsid w:val="0087124A"/>
    <w:rsid w:val="008713A5"/>
    <w:rsid w:val="00871454"/>
    <w:rsid w:val="008715AE"/>
    <w:rsid w:val="008722E7"/>
    <w:rsid w:val="008724F2"/>
    <w:rsid w:val="008727AB"/>
    <w:rsid w:val="00872879"/>
    <w:rsid w:val="00872952"/>
    <w:rsid w:val="00872F60"/>
    <w:rsid w:val="008732AD"/>
    <w:rsid w:val="008738E9"/>
    <w:rsid w:val="0087547A"/>
    <w:rsid w:val="00877295"/>
    <w:rsid w:val="00881B22"/>
    <w:rsid w:val="0088289A"/>
    <w:rsid w:val="00882B33"/>
    <w:rsid w:val="0088357C"/>
    <w:rsid w:val="008835E2"/>
    <w:rsid w:val="00883F3F"/>
    <w:rsid w:val="00883FE5"/>
    <w:rsid w:val="00884A71"/>
    <w:rsid w:val="00884B84"/>
    <w:rsid w:val="00885F72"/>
    <w:rsid w:val="00886B03"/>
    <w:rsid w:val="00886CFF"/>
    <w:rsid w:val="00887237"/>
    <w:rsid w:val="0088734E"/>
    <w:rsid w:val="00887C55"/>
    <w:rsid w:val="008905C3"/>
    <w:rsid w:val="008907C7"/>
    <w:rsid w:val="00891699"/>
    <w:rsid w:val="0089352C"/>
    <w:rsid w:val="0089355B"/>
    <w:rsid w:val="00893D2B"/>
    <w:rsid w:val="0089423D"/>
    <w:rsid w:val="00895439"/>
    <w:rsid w:val="00897C30"/>
    <w:rsid w:val="008A05E1"/>
    <w:rsid w:val="008A120F"/>
    <w:rsid w:val="008A1277"/>
    <w:rsid w:val="008A1942"/>
    <w:rsid w:val="008A2690"/>
    <w:rsid w:val="008A283D"/>
    <w:rsid w:val="008A2A6B"/>
    <w:rsid w:val="008A2BB1"/>
    <w:rsid w:val="008A3256"/>
    <w:rsid w:val="008A3E6A"/>
    <w:rsid w:val="008A4151"/>
    <w:rsid w:val="008A59A5"/>
    <w:rsid w:val="008A5EC6"/>
    <w:rsid w:val="008A6094"/>
    <w:rsid w:val="008A779A"/>
    <w:rsid w:val="008B1AC2"/>
    <w:rsid w:val="008B21EE"/>
    <w:rsid w:val="008B2365"/>
    <w:rsid w:val="008B3E5E"/>
    <w:rsid w:val="008B44DF"/>
    <w:rsid w:val="008B5127"/>
    <w:rsid w:val="008B5F4F"/>
    <w:rsid w:val="008B73FC"/>
    <w:rsid w:val="008C0037"/>
    <w:rsid w:val="008C10CD"/>
    <w:rsid w:val="008C19F5"/>
    <w:rsid w:val="008C2EBF"/>
    <w:rsid w:val="008C359E"/>
    <w:rsid w:val="008C37D0"/>
    <w:rsid w:val="008C5120"/>
    <w:rsid w:val="008C661D"/>
    <w:rsid w:val="008C66F6"/>
    <w:rsid w:val="008C6ED3"/>
    <w:rsid w:val="008C70F5"/>
    <w:rsid w:val="008C757A"/>
    <w:rsid w:val="008C76C1"/>
    <w:rsid w:val="008C787B"/>
    <w:rsid w:val="008D07C0"/>
    <w:rsid w:val="008D0F33"/>
    <w:rsid w:val="008D0F4A"/>
    <w:rsid w:val="008D1043"/>
    <w:rsid w:val="008D16E7"/>
    <w:rsid w:val="008D1732"/>
    <w:rsid w:val="008D383D"/>
    <w:rsid w:val="008D3A6E"/>
    <w:rsid w:val="008D4D81"/>
    <w:rsid w:val="008D5028"/>
    <w:rsid w:val="008D58DE"/>
    <w:rsid w:val="008D5E9A"/>
    <w:rsid w:val="008D623E"/>
    <w:rsid w:val="008D6F3C"/>
    <w:rsid w:val="008D77F7"/>
    <w:rsid w:val="008D79E1"/>
    <w:rsid w:val="008E0917"/>
    <w:rsid w:val="008E0A1A"/>
    <w:rsid w:val="008E0B4B"/>
    <w:rsid w:val="008E177C"/>
    <w:rsid w:val="008E1867"/>
    <w:rsid w:val="008E3075"/>
    <w:rsid w:val="008E3B57"/>
    <w:rsid w:val="008E3DD7"/>
    <w:rsid w:val="008E4985"/>
    <w:rsid w:val="008E5D0A"/>
    <w:rsid w:val="008E5E84"/>
    <w:rsid w:val="008E62A1"/>
    <w:rsid w:val="008E6525"/>
    <w:rsid w:val="008E73AD"/>
    <w:rsid w:val="008E7ADC"/>
    <w:rsid w:val="008E7D1A"/>
    <w:rsid w:val="008E7EE5"/>
    <w:rsid w:val="008F1945"/>
    <w:rsid w:val="008F1D3E"/>
    <w:rsid w:val="008F27B1"/>
    <w:rsid w:val="008F3A98"/>
    <w:rsid w:val="008F48F8"/>
    <w:rsid w:val="008F4AA1"/>
    <w:rsid w:val="008F56E2"/>
    <w:rsid w:val="008F5830"/>
    <w:rsid w:val="008F5891"/>
    <w:rsid w:val="008F58C0"/>
    <w:rsid w:val="008F62FF"/>
    <w:rsid w:val="008F648E"/>
    <w:rsid w:val="008F6D17"/>
    <w:rsid w:val="008F6DAE"/>
    <w:rsid w:val="008F7FB9"/>
    <w:rsid w:val="008F7FDC"/>
    <w:rsid w:val="00900C2B"/>
    <w:rsid w:val="009015A9"/>
    <w:rsid w:val="009017B7"/>
    <w:rsid w:val="00903726"/>
    <w:rsid w:val="00903BCD"/>
    <w:rsid w:val="00903C7B"/>
    <w:rsid w:val="009057A3"/>
    <w:rsid w:val="009058A3"/>
    <w:rsid w:val="00905C56"/>
    <w:rsid w:val="009064A8"/>
    <w:rsid w:val="00906FC1"/>
    <w:rsid w:val="0090744C"/>
    <w:rsid w:val="009104F3"/>
    <w:rsid w:val="00910640"/>
    <w:rsid w:val="00910739"/>
    <w:rsid w:val="009109BA"/>
    <w:rsid w:val="00910FD6"/>
    <w:rsid w:val="009112E1"/>
    <w:rsid w:val="00911436"/>
    <w:rsid w:val="0091187F"/>
    <w:rsid w:val="00911AEA"/>
    <w:rsid w:val="009129F7"/>
    <w:rsid w:val="00912B76"/>
    <w:rsid w:val="00912CBC"/>
    <w:rsid w:val="00914525"/>
    <w:rsid w:val="00915DEB"/>
    <w:rsid w:val="00916558"/>
    <w:rsid w:val="0091669A"/>
    <w:rsid w:val="009174A8"/>
    <w:rsid w:val="00917AD8"/>
    <w:rsid w:val="00920B2C"/>
    <w:rsid w:val="00920BAB"/>
    <w:rsid w:val="00921A1E"/>
    <w:rsid w:val="00921F5B"/>
    <w:rsid w:val="009223A8"/>
    <w:rsid w:val="0092281B"/>
    <w:rsid w:val="00922AE7"/>
    <w:rsid w:val="00924F7D"/>
    <w:rsid w:val="00925B17"/>
    <w:rsid w:val="0093009E"/>
    <w:rsid w:val="0093031C"/>
    <w:rsid w:val="009310A9"/>
    <w:rsid w:val="009321CF"/>
    <w:rsid w:val="00932D34"/>
    <w:rsid w:val="00933774"/>
    <w:rsid w:val="009338A0"/>
    <w:rsid w:val="009342C8"/>
    <w:rsid w:val="00934A5F"/>
    <w:rsid w:val="00934B25"/>
    <w:rsid w:val="00934ED9"/>
    <w:rsid w:val="009351E2"/>
    <w:rsid w:val="00935862"/>
    <w:rsid w:val="009359BD"/>
    <w:rsid w:val="00936498"/>
    <w:rsid w:val="00937115"/>
    <w:rsid w:val="0093714B"/>
    <w:rsid w:val="0093732F"/>
    <w:rsid w:val="00941013"/>
    <w:rsid w:val="009416A9"/>
    <w:rsid w:val="009417A3"/>
    <w:rsid w:val="0094281D"/>
    <w:rsid w:val="009428FD"/>
    <w:rsid w:val="00943408"/>
    <w:rsid w:val="00943C2F"/>
    <w:rsid w:val="009440CD"/>
    <w:rsid w:val="009441E7"/>
    <w:rsid w:val="00944350"/>
    <w:rsid w:val="00944B17"/>
    <w:rsid w:val="00945599"/>
    <w:rsid w:val="009455E0"/>
    <w:rsid w:val="00945759"/>
    <w:rsid w:val="009464FE"/>
    <w:rsid w:val="00946C06"/>
    <w:rsid w:val="009472DC"/>
    <w:rsid w:val="00950583"/>
    <w:rsid w:val="009510C2"/>
    <w:rsid w:val="00951366"/>
    <w:rsid w:val="00951B80"/>
    <w:rsid w:val="0095284B"/>
    <w:rsid w:val="009533C6"/>
    <w:rsid w:val="00953976"/>
    <w:rsid w:val="00953D2B"/>
    <w:rsid w:val="00954389"/>
    <w:rsid w:val="00954712"/>
    <w:rsid w:val="009555AD"/>
    <w:rsid w:val="00955DBF"/>
    <w:rsid w:val="00955E20"/>
    <w:rsid w:val="009566CF"/>
    <w:rsid w:val="0095671A"/>
    <w:rsid w:val="0095686B"/>
    <w:rsid w:val="00956D0B"/>
    <w:rsid w:val="00957033"/>
    <w:rsid w:val="00957596"/>
    <w:rsid w:val="00957F4D"/>
    <w:rsid w:val="00960089"/>
    <w:rsid w:val="009609C0"/>
    <w:rsid w:val="009612C3"/>
    <w:rsid w:val="0096193A"/>
    <w:rsid w:val="00961BDC"/>
    <w:rsid w:val="00961DFB"/>
    <w:rsid w:val="0096235F"/>
    <w:rsid w:val="00962F10"/>
    <w:rsid w:val="009630FF"/>
    <w:rsid w:val="00963F7F"/>
    <w:rsid w:val="00965227"/>
    <w:rsid w:val="0096593E"/>
    <w:rsid w:val="00965B42"/>
    <w:rsid w:val="00965F62"/>
    <w:rsid w:val="009660E2"/>
    <w:rsid w:val="0096622B"/>
    <w:rsid w:val="009663CA"/>
    <w:rsid w:val="00966734"/>
    <w:rsid w:val="009675DE"/>
    <w:rsid w:val="0096766F"/>
    <w:rsid w:val="00970581"/>
    <w:rsid w:val="00970983"/>
    <w:rsid w:val="00970AC6"/>
    <w:rsid w:val="00970DCA"/>
    <w:rsid w:val="00970EEF"/>
    <w:rsid w:val="00971CF7"/>
    <w:rsid w:val="00972A7A"/>
    <w:rsid w:val="00973D7B"/>
    <w:rsid w:val="00975E46"/>
    <w:rsid w:val="00976DCA"/>
    <w:rsid w:val="00977E5B"/>
    <w:rsid w:val="0098149A"/>
    <w:rsid w:val="009818AC"/>
    <w:rsid w:val="00982251"/>
    <w:rsid w:val="00982417"/>
    <w:rsid w:val="00982605"/>
    <w:rsid w:val="009826EB"/>
    <w:rsid w:val="009827E4"/>
    <w:rsid w:val="00982EA5"/>
    <w:rsid w:val="00983204"/>
    <w:rsid w:val="00984433"/>
    <w:rsid w:val="0098479C"/>
    <w:rsid w:val="00984E5A"/>
    <w:rsid w:val="0098503D"/>
    <w:rsid w:val="00985384"/>
    <w:rsid w:val="00985A17"/>
    <w:rsid w:val="00985BE0"/>
    <w:rsid w:val="00986413"/>
    <w:rsid w:val="00986F67"/>
    <w:rsid w:val="009873EF"/>
    <w:rsid w:val="00987A02"/>
    <w:rsid w:val="00987C6C"/>
    <w:rsid w:val="00987E3F"/>
    <w:rsid w:val="009907CB"/>
    <w:rsid w:val="00990961"/>
    <w:rsid w:val="00991A16"/>
    <w:rsid w:val="00991A4B"/>
    <w:rsid w:val="00993E40"/>
    <w:rsid w:val="0099504A"/>
    <w:rsid w:val="0099513C"/>
    <w:rsid w:val="009954AE"/>
    <w:rsid w:val="00995B8E"/>
    <w:rsid w:val="00996458"/>
    <w:rsid w:val="009965CA"/>
    <w:rsid w:val="00996CDD"/>
    <w:rsid w:val="00997378"/>
    <w:rsid w:val="009976D3"/>
    <w:rsid w:val="009A0D46"/>
    <w:rsid w:val="009A12A5"/>
    <w:rsid w:val="009A35BF"/>
    <w:rsid w:val="009A35C0"/>
    <w:rsid w:val="009A3D97"/>
    <w:rsid w:val="009A404C"/>
    <w:rsid w:val="009A4268"/>
    <w:rsid w:val="009B0465"/>
    <w:rsid w:val="009B06B8"/>
    <w:rsid w:val="009B0F10"/>
    <w:rsid w:val="009B14F0"/>
    <w:rsid w:val="009B1A71"/>
    <w:rsid w:val="009B246D"/>
    <w:rsid w:val="009B26D7"/>
    <w:rsid w:val="009B2C88"/>
    <w:rsid w:val="009B3990"/>
    <w:rsid w:val="009B47CC"/>
    <w:rsid w:val="009B4CC6"/>
    <w:rsid w:val="009B4F58"/>
    <w:rsid w:val="009B52BB"/>
    <w:rsid w:val="009B5906"/>
    <w:rsid w:val="009B690F"/>
    <w:rsid w:val="009B744D"/>
    <w:rsid w:val="009C0530"/>
    <w:rsid w:val="009C06EF"/>
    <w:rsid w:val="009C104D"/>
    <w:rsid w:val="009C2CD2"/>
    <w:rsid w:val="009C2E56"/>
    <w:rsid w:val="009C32FF"/>
    <w:rsid w:val="009C3467"/>
    <w:rsid w:val="009C4CBA"/>
    <w:rsid w:val="009C6FE4"/>
    <w:rsid w:val="009C7811"/>
    <w:rsid w:val="009D1C9F"/>
    <w:rsid w:val="009D1E37"/>
    <w:rsid w:val="009D1FE8"/>
    <w:rsid w:val="009D20BB"/>
    <w:rsid w:val="009D2E33"/>
    <w:rsid w:val="009D4CD3"/>
    <w:rsid w:val="009D57B1"/>
    <w:rsid w:val="009D65F7"/>
    <w:rsid w:val="009D6F36"/>
    <w:rsid w:val="009D781B"/>
    <w:rsid w:val="009E027F"/>
    <w:rsid w:val="009E0C13"/>
    <w:rsid w:val="009E15D5"/>
    <w:rsid w:val="009E2765"/>
    <w:rsid w:val="009E5145"/>
    <w:rsid w:val="009E532A"/>
    <w:rsid w:val="009E5AEC"/>
    <w:rsid w:val="009E75D5"/>
    <w:rsid w:val="009E777C"/>
    <w:rsid w:val="009E7D4D"/>
    <w:rsid w:val="009F0210"/>
    <w:rsid w:val="009F1663"/>
    <w:rsid w:val="009F2970"/>
    <w:rsid w:val="009F37F3"/>
    <w:rsid w:val="009F4409"/>
    <w:rsid w:val="009F5372"/>
    <w:rsid w:val="009F5919"/>
    <w:rsid w:val="00A01CAA"/>
    <w:rsid w:val="00A01E6E"/>
    <w:rsid w:val="00A01F84"/>
    <w:rsid w:val="00A025A9"/>
    <w:rsid w:val="00A02609"/>
    <w:rsid w:val="00A02C2A"/>
    <w:rsid w:val="00A033B6"/>
    <w:rsid w:val="00A0386F"/>
    <w:rsid w:val="00A03AD3"/>
    <w:rsid w:val="00A040AE"/>
    <w:rsid w:val="00A04A04"/>
    <w:rsid w:val="00A04AE5"/>
    <w:rsid w:val="00A06369"/>
    <w:rsid w:val="00A112BF"/>
    <w:rsid w:val="00A115CE"/>
    <w:rsid w:val="00A11BCC"/>
    <w:rsid w:val="00A12ABA"/>
    <w:rsid w:val="00A13908"/>
    <w:rsid w:val="00A13A25"/>
    <w:rsid w:val="00A13D3C"/>
    <w:rsid w:val="00A13D8B"/>
    <w:rsid w:val="00A1490D"/>
    <w:rsid w:val="00A16113"/>
    <w:rsid w:val="00A16582"/>
    <w:rsid w:val="00A16796"/>
    <w:rsid w:val="00A167C2"/>
    <w:rsid w:val="00A16AD1"/>
    <w:rsid w:val="00A20C89"/>
    <w:rsid w:val="00A21585"/>
    <w:rsid w:val="00A21FD9"/>
    <w:rsid w:val="00A22F85"/>
    <w:rsid w:val="00A24226"/>
    <w:rsid w:val="00A249F5"/>
    <w:rsid w:val="00A254B2"/>
    <w:rsid w:val="00A278CD"/>
    <w:rsid w:val="00A27A5D"/>
    <w:rsid w:val="00A300A7"/>
    <w:rsid w:val="00A30B12"/>
    <w:rsid w:val="00A318D6"/>
    <w:rsid w:val="00A32504"/>
    <w:rsid w:val="00A3291C"/>
    <w:rsid w:val="00A329CA"/>
    <w:rsid w:val="00A33C79"/>
    <w:rsid w:val="00A34977"/>
    <w:rsid w:val="00A36B3C"/>
    <w:rsid w:val="00A37D97"/>
    <w:rsid w:val="00A401F2"/>
    <w:rsid w:val="00A40508"/>
    <w:rsid w:val="00A409B7"/>
    <w:rsid w:val="00A40E15"/>
    <w:rsid w:val="00A41396"/>
    <w:rsid w:val="00A414AF"/>
    <w:rsid w:val="00A41AD6"/>
    <w:rsid w:val="00A41CF7"/>
    <w:rsid w:val="00A42583"/>
    <w:rsid w:val="00A42AE1"/>
    <w:rsid w:val="00A4411A"/>
    <w:rsid w:val="00A44A4D"/>
    <w:rsid w:val="00A451E6"/>
    <w:rsid w:val="00A45725"/>
    <w:rsid w:val="00A46193"/>
    <w:rsid w:val="00A47CDE"/>
    <w:rsid w:val="00A520FA"/>
    <w:rsid w:val="00A52CD8"/>
    <w:rsid w:val="00A53533"/>
    <w:rsid w:val="00A55303"/>
    <w:rsid w:val="00A56E1F"/>
    <w:rsid w:val="00A56E3A"/>
    <w:rsid w:val="00A61248"/>
    <w:rsid w:val="00A62051"/>
    <w:rsid w:val="00A620BD"/>
    <w:rsid w:val="00A6222F"/>
    <w:rsid w:val="00A6279B"/>
    <w:rsid w:val="00A62E7A"/>
    <w:rsid w:val="00A63556"/>
    <w:rsid w:val="00A63714"/>
    <w:rsid w:val="00A63D18"/>
    <w:rsid w:val="00A64B18"/>
    <w:rsid w:val="00A64C82"/>
    <w:rsid w:val="00A64FFC"/>
    <w:rsid w:val="00A652A0"/>
    <w:rsid w:val="00A65418"/>
    <w:rsid w:val="00A6664F"/>
    <w:rsid w:val="00A668BA"/>
    <w:rsid w:val="00A67753"/>
    <w:rsid w:val="00A67EA0"/>
    <w:rsid w:val="00A70034"/>
    <w:rsid w:val="00A70190"/>
    <w:rsid w:val="00A7043F"/>
    <w:rsid w:val="00A70929"/>
    <w:rsid w:val="00A70D04"/>
    <w:rsid w:val="00A72272"/>
    <w:rsid w:val="00A732A9"/>
    <w:rsid w:val="00A746A1"/>
    <w:rsid w:val="00A75A74"/>
    <w:rsid w:val="00A760BC"/>
    <w:rsid w:val="00A76827"/>
    <w:rsid w:val="00A76D27"/>
    <w:rsid w:val="00A76E47"/>
    <w:rsid w:val="00A77170"/>
    <w:rsid w:val="00A7740D"/>
    <w:rsid w:val="00A77543"/>
    <w:rsid w:val="00A77DAD"/>
    <w:rsid w:val="00A77DCD"/>
    <w:rsid w:val="00A818A5"/>
    <w:rsid w:val="00A82274"/>
    <w:rsid w:val="00A83772"/>
    <w:rsid w:val="00A84826"/>
    <w:rsid w:val="00A8572F"/>
    <w:rsid w:val="00A859E4"/>
    <w:rsid w:val="00A85F2D"/>
    <w:rsid w:val="00A86498"/>
    <w:rsid w:val="00A86C09"/>
    <w:rsid w:val="00A873A2"/>
    <w:rsid w:val="00A87C4B"/>
    <w:rsid w:val="00A87FA7"/>
    <w:rsid w:val="00A902F3"/>
    <w:rsid w:val="00A90FBA"/>
    <w:rsid w:val="00A912F3"/>
    <w:rsid w:val="00A91713"/>
    <w:rsid w:val="00A92004"/>
    <w:rsid w:val="00A92085"/>
    <w:rsid w:val="00A92CAA"/>
    <w:rsid w:val="00A92EE1"/>
    <w:rsid w:val="00A933D5"/>
    <w:rsid w:val="00A9416C"/>
    <w:rsid w:val="00A94642"/>
    <w:rsid w:val="00A94F79"/>
    <w:rsid w:val="00A95691"/>
    <w:rsid w:val="00A95746"/>
    <w:rsid w:val="00A95C90"/>
    <w:rsid w:val="00A96B48"/>
    <w:rsid w:val="00A96C3F"/>
    <w:rsid w:val="00A97E19"/>
    <w:rsid w:val="00AA03CD"/>
    <w:rsid w:val="00AA0CAB"/>
    <w:rsid w:val="00AA0EE1"/>
    <w:rsid w:val="00AA1F30"/>
    <w:rsid w:val="00AA30CA"/>
    <w:rsid w:val="00AA3B15"/>
    <w:rsid w:val="00AA4605"/>
    <w:rsid w:val="00AA4FC5"/>
    <w:rsid w:val="00AA5EB6"/>
    <w:rsid w:val="00AA625B"/>
    <w:rsid w:val="00AA636F"/>
    <w:rsid w:val="00AA6A8E"/>
    <w:rsid w:val="00AA6BEA"/>
    <w:rsid w:val="00AA760F"/>
    <w:rsid w:val="00AA78B4"/>
    <w:rsid w:val="00AB0E42"/>
    <w:rsid w:val="00AB13CC"/>
    <w:rsid w:val="00AB1E35"/>
    <w:rsid w:val="00AB3BDC"/>
    <w:rsid w:val="00AB3F62"/>
    <w:rsid w:val="00AB47E9"/>
    <w:rsid w:val="00AB611F"/>
    <w:rsid w:val="00AB630C"/>
    <w:rsid w:val="00AB718F"/>
    <w:rsid w:val="00AC0254"/>
    <w:rsid w:val="00AC0C7F"/>
    <w:rsid w:val="00AC104A"/>
    <w:rsid w:val="00AC1A03"/>
    <w:rsid w:val="00AC202D"/>
    <w:rsid w:val="00AC3697"/>
    <w:rsid w:val="00AC3789"/>
    <w:rsid w:val="00AC3EDB"/>
    <w:rsid w:val="00AC3F1F"/>
    <w:rsid w:val="00AC4385"/>
    <w:rsid w:val="00AC4440"/>
    <w:rsid w:val="00AC47C5"/>
    <w:rsid w:val="00AC4D4F"/>
    <w:rsid w:val="00AD024D"/>
    <w:rsid w:val="00AD1A31"/>
    <w:rsid w:val="00AD2620"/>
    <w:rsid w:val="00AD386D"/>
    <w:rsid w:val="00AD3E43"/>
    <w:rsid w:val="00AD46CC"/>
    <w:rsid w:val="00AD5191"/>
    <w:rsid w:val="00AD5209"/>
    <w:rsid w:val="00AD5689"/>
    <w:rsid w:val="00AD5B30"/>
    <w:rsid w:val="00AD5F71"/>
    <w:rsid w:val="00AD60DB"/>
    <w:rsid w:val="00AD6F27"/>
    <w:rsid w:val="00AD70AF"/>
    <w:rsid w:val="00AD7F1A"/>
    <w:rsid w:val="00AE1D84"/>
    <w:rsid w:val="00AE2386"/>
    <w:rsid w:val="00AE23DB"/>
    <w:rsid w:val="00AE2660"/>
    <w:rsid w:val="00AE2C33"/>
    <w:rsid w:val="00AE3A39"/>
    <w:rsid w:val="00AE4B0F"/>
    <w:rsid w:val="00AE4E24"/>
    <w:rsid w:val="00AE5075"/>
    <w:rsid w:val="00AE584A"/>
    <w:rsid w:val="00AE5C4B"/>
    <w:rsid w:val="00AE6754"/>
    <w:rsid w:val="00AE6DBA"/>
    <w:rsid w:val="00AE7083"/>
    <w:rsid w:val="00AE7701"/>
    <w:rsid w:val="00AE7704"/>
    <w:rsid w:val="00AE7B2F"/>
    <w:rsid w:val="00AE7E15"/>
    <w:rsid w:val="00AF0E28"/>
    <w:rsid w:val="00AF10A0"/>
    <w:rsid w:val="00AF141F"/>
    <w:rsid w:val="00AF1FA6"/>
    <w:rsid w:val="00AF295E"/>
    <w:rsid w:val="00AF3D8F"/>
    <w:rsid w:val="00AF4120"/>
    <w:rsid w:val="00AF4164"/>
    <w:rsid w:val="00AF4A89"/>
    <w:rsid w:val="00AF537F"/>
    <w:rsid w:val="00AF5A38"/>
    <w:rsid w:val="00AF65CC"/>
    <w:rsid w:val="00AF77F0"/>
    <w:rsid w:val="00B009EF"/>
    <w:rsid w:val="00B00A17"/>
    <w:rsid w:val="00B00D59"/>
    <w:rsid w:val="00B016C0"/>
    <w:rsid w:val="00B01E0E"/>
    <w:rsid w:val="00B02666"/>
    <w:rsid w:val="00B02BFA"/>
    <w:rsid w:val="00B034D6"/>
    <w:rsid w:val="00B03578"/>
    <w:rsid w:val="00B04CC1"/>
    <w:rsid w:val="00B05BB2"/>
    <w:rsid w:val="00B068E4"/>
    <w:rsid w:val="00B1006F"/>
    <w:rsid w:val="00B100AB"/>
    <w:rsid w:val="00B10813"/>
    <w:rsid w:val="00B1149E"/>
    <w:rsid w:val="00B1187A"/>
    <w:rsid w:val="00B12141"/>
    <w:rsid w:val="00B12788"/>
    <w:rsid w:val="00B12A9C"/>
    <w:rsid w:val="00B12B14"/>
    <w:rsid w:val="00B12F93"/>
    <w:rsid w:val="00B1415C"/>
    <w:rsid w:val="00B143DD"/>
    <w:rsid w:val="00B146DD"/>
    <w:rsid w:val="00B14735"/>
    <w:rsid w:val="00B148D0"/>
    <w:rsid w:val="00B14A35"/>
    <w:rsid w:val="00B15198"/>
    <w:rsid w:val="00B157F8"/>
    <w:rsid w:val="00B161EE"/>
    <w:rsid w:val="00B16462"/>
    <w:rsid w:val="00B164E0"/>
    <w:rsid w:val="00B17135"/>
    <w:rsid w:val="00B175D6"/>
    <w:rsid w:val="00B17D89"/>
    <w:rsid w:val="00B202AB"/>
    <w:rsid w:val="00B21C7A"/>
    <w:rsid w:val="00B21FFA"/>
    <w:rsid w:val="00B220C1"/>
    <w:rsid w:val="00B22265"/>
    <w:rsid w:val="00B228CA"/>
    <w:rsid w:val="00B22BDA"/>
    <w:rsid w:val="00B2399B"/>
    <w:rsid w:val="00B24989"/>
    <w:rsid w:val="00B24D30"/>
    <w:rsid w:val="00B263D7"/>
    <w:rsid w:val="00B27E21"/>
    <w:rsid w:val="00B30DC7"/>
    <w:rsid w:val="00B33B2D"/>
    <w:rsid w:val="00B34B36"/>
    <w:rsid w:val="00B356CE"/>
    <w:rsid w:val="00B3608C"/>
    <w:rsid w:val="00B363C5"/>
    <w:rsid w:val="00B364DA"/>
    <w:rsid w:val="00B36B2D"/>
    <w:rsid w:val="00B3747F"/>
    <w:rsid w:val="00B375A3"/>
    <w:rsid w:val="00B376F3"/>
    <w:rsid w:val="00B40967"/>
    <w:rsid w:val="00B40A0D"/>
    <w:rsid w:val="00B418F3"/>
    <w:rsid w:val="00B43122"/>
    <w:rsid w:val="00B431DC"/>
    <w:rsid w:val="00B434D3"/>
    <w:rsid w:val="00B44E9F"/>
    <w:rsid w:val="00B46EDE"/>
    <w:rsid w:val="00B47FEC"/>
    <w:rsid w:val="00B50698"/>
    <w:rsid w:val="00B51E7E"/>
    <w:rsid w:val="00B52106"/>
    <w:rsid w:val="00B532FC"/>
    <w:rsid w:val="00B53844"/>
    <w:rsid w:val="00B5407E"/>
    <w:rsid w:val="00B54110"/>
    <w:rsid w:val="00B54606"/>
    <w:rsid w:val="00B547B8"/>
    <w:rsid w:val="00B54AAA"/>
    <w:rsid w:val="00B56038"/>
    <w:rsid w:val="00B5653D"/>
    <w:rsid w:val="00B56FF2"/>
    <w:rsid w:val="00B57995"/>
    <w:rsid w:val="00B57D1A"/>
    <w:rsid w:val="00B57DBA"/>
    <w:rsid w:val="00B57E1D"/>
    <w:rsid w:val="00B605AD"/>
    <w:rsid w:val="00B60DEF"/>
    <w:rsid w:val="00B640CE"/>
    <w:rsid w:val="00B64274"/>
    <w:rsid w:val="00B64915"/>
    <w:rsid w:val="00B64CEA"/>
    <w:rsid w:val="00B64EFD"/>
    <w:rsid w:val="00B65F69"/>
    <w:rsid w:val="00B66BFD"/>
    <w:rsid w:val="00B66D7A"/>
    <w:rsid w:val="00B67C9F"/>
    <w:rsid w:val="00B67E92"/>
    <w:rsid w:val="00B70702"/>
    <w:rsid w:val="00B72105"/>
    <w:rsid w:val="00B7242B"/>
    <w:rsid w:val="00B72A78"/>
    <w:rsid w:val="00B74D10"/>
    <w:rsid w:val="00B756D7"/>
    <w:rsid w:val="00B758AB"/>
    <w:rsid w:val="00B7594B"/>
    <w:rsid w:val="00B75C6A"/>
    <w:rsid w:val="00B76A80"/>
    <w:rsid w:val="00B773CF"/>
    <w:rsid w:val="00B80293"/>
    <w:rsid w:val="00B80A70"/>
    <w:rsid w:val="00B80A82"/>
    <w:rsid w:val="00B812A5"/>
    <w:rsid w:val="00B8130D"/>
    <w:rsid w:val="00B81675"/>
    <w:rsid w:val="00B81A35"/>
    <w:rsid w:val="00B81C19"/>
    <w:rsid w:val="00B826F1"/>
    <w:rsid w:val="00B84426"/>
    <w:rsid w:val="00B84E19"/>
    <w:rsid w:val="00B85260"/>
    <w:rsid w:val="00B853AB"/>
    <w:rsid w:val="00B85566"/>
    <w:rsid w:val="00B860F7"/>
    <w:rsid w:val="00B86904"/>
    <w:rsid w:val="00B8788C"/>
    <w:rsid w:val="00B90408"/>
    <w:rsid w:val="00B9058D"/>
    <w:rsid w:val="00B910D8"/>
    <w:rsid w:val="00B911B4"/>
    <w:rsid w:val="00B91630"/>
    <w:rsid w:val="00B91D14"/>
    <w:rsid w:val="00B9213F"/>
    <w:rsid w:val="00B92498"/>
    <w:rsid w:val="00B9266F"/>
    <w:rsid w:val="00B92E04"/>
    <w:rsid w:val="00B92FAD"/>
    <w:rsid w:val="00B93C27"/>
    <w:rsid w:val="00B957C8"/>
    <w:rsid w:val="00B95AA7"/>
    <w:rsid w:val="00B95FAB"/>
    <w:rsid w:val="00B97275"/>
    <w:rsid w:val="00B976CF"/>
    <w:rsid w:val="00B97CF2"/>
    <w:rsid w:val="00BA1465"/>
    <w:rsid w:val="00BA283D"/>
    <w:rsid w:val="00BA31EF"/>
    <w:rsid w:val="00BA390C"/>
    <w:rsid w:val="00BA483D"/>
    <w:rsid w:val="00BA4E22"/>
    <w:rsid w:val="00BA6CA9"/>
    <w:rsid w:val="00BA76BA"/>
    <w:rsid w:val="00BB02F3"/>
    <w:rsid w:val="00BB04D4"/>
    <w:rsid w:val="00BB05C0"/>
    <w:rsid w:val="00BB176C"/>
    <w:rsid w:val="00BB302D"/>
    <w:rsid w:val="00BB363B"/>
    <w:rsid w:val="00BB36CB"/>
    <w:rsid w:val="00BB380F"/>
    <w:rsid w:val="00BB3A76"/>
    <w:rsid w:val="00BB443A"/>
    <w:rsid w:val="00BB4CC5"/>
    <w:rsid w:val="00BB560D"/>
    <w:rsid w:val="00BB579E"/>
    <w:rsid w:val="00BB6218"/>
    <w:rsid w:val="00BB6D20"/>
    <w:rsid w:val="00BB6E06"/>
    <w:rsid w:val="00BB7267"/>
    <w:rsid w:val="00BB7D30"/>
    <w:rsid w:val="00BC00FE"/>
    <w:rsid w:val="00BC0E2E"/>
    <w:rsid w:val="00BC1537"/>
    <w:rsid w:val="00BC1EA8"/>
    <w:rsid w:val="00BC27A0"/>
    <w:rsid w:val="00BC2888"/>
    <w:rsid w:val="00BC2C01"/>
    <w:rsid w:val="00BC35F6"/>
    <w:rsid w:val="00BC3675"/>
    <w:rsid w:val="00BC44C1"/>
    <w:rsid w:val="00BC4955"/>
    <w:rsid w:val="00BC49B1"/>
    <w:rsid w:val="00BC4D2A"/>
    <w:rsid w:val="00BC54FA"/>
    <w:rsid w:val="00BC6479"/>
    <w:rsid w:val="00BC6D0F"/>
    <w:rsid w:val="00BC6F6F"/>
    <w:rsid w:val="00BC72CE"/>
    <w:rsid w:val="00BC75A3"/>
    <w:rsid w:val="00BC79D9"/>
    <w:rsid w:val="00BD0AB9"/>
    <w:rsid w:val="00BD109B"/>
    <w:rsid w:val="00BD1B77"/>
    <w:rsid w:val="00BD1BA7"/>
    <w:rsid w:val="00BD2A84"/>
    <w:rsid w:val="00BD3089"/>
    <w:rsid w:val="00BD3226"/>
    <w:rsid w:val="00BD401D"/>
    <w:rsid w:val="00BD42D6"/>
    <w:rsid w:val="00BD44EA"/>
    <w:rsid w:val="00BD5469"/>
    <w:rsid w:val="00BD562B"/>
    <w:rsid w:val="00BD5AAE"/>
    <w:rsid w:val="00BD61E7"/>
    <w:rsid w:val="00BD6344"/>
    <w:rsid w:val="00BD6E73"/>
    <w:rsid w:val="00BD71A0"/>
    <w:rsid w:val="00BD77C1"/>
    <w:rsid w:val="00BE0ACB"/>
    <w:rsid w:val="00BE13D2"/>
    <w:rsid w:val="00BE14DF"/>
    <w:rsid w:val="00BE2CEE"/>
    <w:rsid w:val="00BE2D17"/>
    <w:rsid w:val="00BE34F6"/>
    <w:rsid w:val="00BE385A"/>
    <w:rsid w:val="00BE3D9C"/>
    <w:rsid w:val="00BE523E"/>
    <w:rsid w:val="00BE58F5"/>
    <w:rsid w:val="00BE6367"/>
    <w:rsid w:val="00BE69C3"/>
    <w:rsid w:val="00BE6B3B"/>
    <w:rsid w:val="00BE7915"/>
    <w:rsid w:val="00BF0027"/>
    <w:rsid w:val="00BF00DE"/>
    <w:rsid w:val="00BF11CB"/>
    <w:rsid w:val="00BF2027"/>
    <w:rsid w:val="00BF3F02"/>
    <w:rsid w:val="00BF412B"/>
    <w:rsid w:val="00BF4EBC"/>
    <w:rsid w:val="00BF557A"/>
    <w:rsid w:val="00BF613D"/>
    <w:rsid w:val="00BF7B42"/>
    <w:rsid w:val="00BF7D87"/>
    <w:rsid w:val="00C000E2"/>
    <w:rsid w:val="00C00A2A"/>
    <w:rsid w:val="00C00BA4"/>
    <w:rsid w:val="00C017BC"/>
    <w:rsid w:val="00C01BF6"/>
    <w:rsid w:val="00C01F61"/>
    <w:rsid w:val="00C025CC"/>
    <w:rsid w:val="00C03F0A"/>
    <w:rsid w:val="00C04047"/>
    <w:rsid w:val="00C044BA"/>
    <w:rsid w:val="00C04CFD"/>
    <w:rsid w:val="00C05252"/>
    <w:rsid w:val="00C06039"/>
    <w:rsid w:val="00C06EDD"/>
    <w:rsid w:val="00C073B0"/>
    <w:rsid w:val="00C07651"/>
    <w:rsid w:val="00C10630"/>
    <w:rsid w:val="00C10704"/>
    <w:rsid w:val="00C1087F"/>
    <w:rsid w:val="00C11161"/>
    <w:rsid w:val="00C11AB6"/>
    <w:rsid w:val="00C12D0A"/>
    <w:rsid w:val="00C13ADF"/>
    <w:rsid w:val="00C1429C"/>
    <w:rsid w:val="00C1586A"/>
    <w:rsid w:val="00C1791B"/>
    <w:rsid w:val="00C17A40"/>
    <w:rsid w:val="00C17B25"/>
    <w:rsid w:val="00C17DEC"/>
    <w:rsid w:val="00C20639"/>
    <w:rsid w:val="00C2115F"/>
    <w:rsid w:val="00C21179"/>
    <w:rsid w:val="00C215D8"/>
    <w:rsid w:val="00C2166F"/>
    <w:rsid w:val="00C22194"/>
    <w:rsid w:val="00C22E57"/>
    <w:rsid w:val="00C2307A"/>
    <w:rsid w:val="00C23467"/>
    <w:rsid w:val="00C237D3"/>
    <w:rsid w:val="00C24158"/>
    <w:rsid w:val="00C2551F"/>
    <w:rsid w:val="00C25A9B"/>
    <w:rsid w:val="00C25C8F"/>
    <w:rsid w:val="00C25F1E"/>
    <w:rsid w:val="00C25FAC"/>
    <w:rsid w:val="00C26FEA"/>
    <w:rsid w:val="00C2766B"/>
    <w:rsid w:val="00C27BC6"/>
    <w:rsid w:val="00C27FE3"/>
    <w:rsid w:val="00C30C81"/>
    <w:rsid w:val="00C31C31"/>
    <w:rsid w:val="00C32ABE"/>
    <w:rsid w:val="00C33049"/>
    <w:rsid w:val="00C33229"/>
    <w:rsid w:val="00C33560"/>
    <w:rsid w:val="00C336F2"/>
    <w:rsid w:val="00C33BF0"/>
    <w:rsid w:val="00C33C56"/>
    <w:rsid w:val="00C35ECC"/>
    <w:rsid w:val="00C36D67"/>
    <w:rsid w:val="00C37309"/>
    <w:rsid w:val="00C37763"/>
    <w:rsid w:val="00C377DD"/>
    <w:rsid w:val="00C37ED1"/>
    <w:rsid w:val="00C40E41"/>
    <w:rsid w:val="00C40E95"/>
    <w:rsid w:val="00C4101B"/>
    <w:rsid w:val="00C41366"/>
    <w:rsid w:val="00C41452"/>
    <w:rsid w:val="00C41708"/>
    <w:rsid w:val="00C41AC1"/>
    <w:rsid w:val="00C41D49"/>
    <w:rsid w:val="00C422F4"/>
    <w:rsid w:val="00C43F5F"/>
    <w:rsid w:val="00C44560"/>
    <w:rsid w:val="00C44C9D"/>
    <w:rsid w:val="00C452BE"/>
    <w:rsid w:val="00C45408"/>
    <w:rsid w:val="00C45B7B"/>
    <w:rsid w:val="00C46895"/>
    <w:rsid w:val="00C473BA"/>
    <w:rsid w:val="00C479C4"/>
    <w:rsid w:val="00C47D2C"/>
    <w:rsid w:val="00C5166F"/>
    <w:rsid w:val="00C5286C"/>
    <w:rsid w:val="00C52978"/>
    <w:rsid w:val="00C53033"/>
    <w:rsid w:val="00C5351D"/>
    <w:rsid w:val="00C53D2C"/>
    <w:rsid w:val="00C53ED0"/>
    <w:rsid w:val="00C553AB"/>
    <w:rsid w:val="00C554FF"/>
    <w:rsid w:val="00C56041"/>
    <w:rsid w:val="00C56985"/>
    <w:rsid w:val="00C5765A"/>
    <w:rsid w:val="00C57B9B"/>
    <w:rsid w:val="00C60146"/>
    <w:rsid w:val="00C60765"/>
    <w:rsid w:val="00C60EA1"/>
    <w:rsid w:val="00C6184D"/>
    <w:rsid w:val="00C61C7A"/>
    <w:rsid w:val="00C639DB"/>
    <w:rsid w:val="00C63EA1"/>
    <w:rsid w:val="00C64062"/>
    <w:rsid w:val="00C64B69"/>
    <w:rsid w:val="00C64D93"/>
    <w:rsid w:val="00C651FD"/>
    <w:rsid w:val="00C65393"/>
    <w:rsid w:val="00C6594B"/>
    <w:rsid w:val="00C65CB2"/>
    <w:rsid w:val="00C66212"/>
    <w:rsid w:val="00C6629A"/>
    <w:rsid w:val="00C66F26"/>
    <w:rsid w:val="00C67246"/>
    <w:rsid w:val="00C70804"/>
    <w:rsid w:val="00C710A2"/>
    <w:rsid w:val="00C72A34"/>
    <w:rsid w:val="00C72C35"/>
    <w:rsid w:val="00C736C2"/>
    <w:rsid w:val="00C75501"/>
    <w:rsid w:val="00C75842"/>
    <w:rsid w:val="00C76100"/>
    <w:rsid w:val="00C76969"/>
    <w:rsid w:val="00C775A4"/>
    <w:rsid w:val="00C80276"/>
    <w:rsid w:val="00C80F9D"/>
    <w:rsid w:val="00C81690"/>
    <w:rsid w:val="00C8188D"/>
    <w:rsid w:val="00C819DC"/>
    <w:rsid w:val="00C81E50"/>
    <w:rsid w:val="00C81E78"/>
    <w:rsid w:val="00C8267E"/>
    <w:rsid w:val="00C82CE6"/>
    <w:rsid w:val="00C82F69"/>
    <w:rsid w:val="00C831A8"/>
    <w:rsid w:val="00C8326C"/>
    <w:rsid w:val="00C844E7"/>
    <w:rsid w:val="00C850B6"/>
    <w:rsid w:val="00C856BA"/>
    <w:rsid w:val="00C856D8"/>
    <w:rsid w:val="00C85D11"/>
    <w:rsid w:val="00C85FBF"/>
    <w:rsid w:val="00C874C3"/>
    <w:rsid w:val="00C8761F"/>
    <w:rsid w:val="00C879DF"/>
    <w:rsid w:val="00C90659"/>
    <w:rsid w:val="00C90932"/>
    <w:rsid w:val="00C90AB0"/>
    <w:rsid w:val="00C9316F"/>
    <w:rsid w:val="00C93549"/>
    <w:rsid w:val="00C94AAE"/>
    <w:rsid w:val="00C94FB5"/>
    <w:rsid w:val="00C96FD4"/>
    <w:rsid w:val="00C97228"/>
    <w:rsid w:val="00C97706"/>
    <w:rsid w:val="00CA0FFE"/>
    <w:rsid w:val="00CA1389"/>
    <w:rsid w:val="00CA17D7"/>
    <w:rsid w:val="00CA1897"/>
    <w:rsid w:val="00CA4E98"/>
    <w:rsid w:val="00CA58AC"/>
    <w:rsid w:val="00CA6A7B"/>
    <w:rsid w:val="00CA6AA8"/>
    <w:rsid w:val="00CA7CD9"/>
    <w:rsid w:val="00CA7D26"/>
    <w:rsid w:val="00CB085D"/>
    <w:rsid w:val="00CB10AE"/>
    <w:rsid w:val="00CB10ED"/>
    <w:rsid w:val="00CB14FA"/>
    <w:rsid w:val="00CB15B3"/>
    <w:rsid w:val="00CB24B0"/>
    <w:rsid w:val="00CB26DC"/>
    <w:rsid w:val="00CB2811"/>
    <w:rsid w:val="00CB330F"/>
    <w:rsid w:val="00CB4B47"/>
    <w:rsid w:val="00CB5852"/>
    <w:rsid w:val="00CB5C4B"/>
    <w:rsid w:val="00CB61DC"/>
    <w:rsid w:val="00CB6BA0"/>
    <w:rsid w:val="00CB6FDB"/>
    <w:rsid w:val="00CB7528"/>
    <w:rsid w:val="00CC0962"/>
    <w:rsid w:val="00CC1C1E"/>
    <w:rsid w:val="00CC215D"/>
    <w:rsid w:val="00CC2388"/>
    <w:rsid w:val="00CC2AD0"/>
    <w:rsid w:val="00CC3520"/>
    <w:rsid w:val="00CC44E8"/>
    <w:rsid w:val="00CC505F"/>
    <w:rsid w:val="00CC540B"/>
    <w:rsid w:val="00CC59C2"/>
    <w:rsid w:val="00CC5A64"/>
    <w:rsid w:val="00CC5AA3"/>
    <w:rsid w:val="00CC5EDA"/>
    <w:rsid w:val="00CC6EB1"/>
    <w:rsid w:val="00CC72A3"/>
    <w:rsid w:val="00CC7655"/>
    <w:rsid w:val="00CD0976"/>
    <w:rsid w:val="00CD177B"/>
    <w:rsid w:val="00CD2606"/>
    <w:rsid w:val="00CD354A"/>
    <w:rsid w:val="00CD3E9B"/>
    <w:rsid w:val="00CD4287"/>
    <w:rsid w:val="00CD4A23"/>
    <w:rsid w:val="00CD516A"/>
    <w:rsid w:val="00CD5366"/>
    <w:rsid w:val="00CD6059"/>
    <w:rsid w:val="00CD6438"/>
    <w:rsid w:val="00CD66E6"/>
    <w:rsid w:val="00CD67E2"/>
    <w:rsid w:val="00CE1350"/>
    <w:rsid w:val="00CE3CC3"/>
    <w:rsid w:val="00CE3FED"/>
    <w:rsid w:val="00CE4309"/>
    <w:rsid w:val="00CE4638"/>
    <w:rsid w:val="00CE4E7D"/>
    <w:rsid w:val="00CE63F1"/>
    <w:rsid w:val="00CE69DD"/>
    <w:rsid w:val="00CE7DBD"/>
    <w:rsid w:val="00CF014C"/>
    <w:rsid w:val="00CF0932"/>
    <w:rsid w:val="00CF1A99"/>
    <w:rsid w:val="00CF1E7B"/>
    <w:rsid w:val="00CF311D"/>
    <w:rsid w:val="00CF3C5F"/>
    <w:rsid w:val="00CF3FEA"/>
    <w:rsid w:val="00CF5537"/>
    <w:rsid w:val="00CF56FF"/>
    <w:rsid w:val="00CF5944"/>
    <w:rsid w:val="00CF5A37"/>
    <w:rsid w:val="00CF5E06"/>
    <w:rsid w:val="00CF6C7C"/>
    <w:rsid w:val="00CF7685"/>
    <w:rsid w:val="00CF788A"/>
    <w:rsid w:val="00D002F0"/>
    <w:rsid w:val="00D004FD"/>
    <w:rsid w:val="00D01BC1"/>
    <w:rsid w:val="00D029CB"/>
    <w:rsid w:val="00D02A2B"/>
    <w:rsid w:val="00D033F8"/>
    <w:rsid w:val="00D03558"/>
    <w:rsid w:val="00D04561"/>
    <w:rsid w:val="00D04EBE"/>
    <w:rsid w:val="00D061F9"/>
    <w:rsid w:val="00D06233"/>
    <w:rsid w:val="00D06763"/>
    <w:rsid w:val="00D07377"/>
    <w:rsid w:val="00D1000A"/>
    <w:rsid w:val="00D107B0"/>
    <w:rsid w:val="00D10CB2"/>
    <w:rsid w:val="00D10D2A"/>
    <w:rsid w:val="00D1144A"/>
    <w:rsid w:val="00D1147A"/>
    <w:rsid w:val="00D11894"/>
    <w:rsid w:val="00D11BEB"/>
    <w:rsid w:val="00D12550"/>
    <w:rsid w:val="00D128D3"/>
    <w:rsid w:val="00D1325A"/>
    <w:rsid w:val="00D138DE"/>
    <w:rsid w:val="00D14474"/>
    <w:rsid w:val="00D146DF"/>
    <w:rsid w:val="00D16054"/>
    <w:rsid w:val="00D167D2"/>
    <w:rsid w:val="00D168FD"/>
    <w:rsid w:val="00D16DB2"/>
    <w:rsid w:val="00D17B1E"/>
    <w:rsid w:val="00D17B4D"/>
    <w:rsid w:val="00D20828"/>
    <w:rsid w:val="00D20D23"/>
    <w:rsid w:val="00D21CD7"/>
    <w:rsid w:val="00D21E4B"/>
    <w:rsid w:val="00D226D1"/>
    <w:rsid w:val="00D22B26"/>
    <w:rsid w:val="00D2321F"/>
    <w:rsid w:val="00D23372"/>
    <w:rsid w:val="00D23B46"/>
    <w:rsid w:val="00D246C0"/>
    <w:rsid w:val="00D2538E"/>
    <w:rsid w:val="00D255AB"/>
    <w:rsid w:val="00D26318"/>
    <w:rsid w:val="00D263AC"/>
    <w:rsid w:val="00D27DF7"/>
    <w:rsid w:val="00D27F67"/>
    <w:rsid w:val="00D30D3D"/>
    <w:rsid w:val="00D3128D"/>
    <w:rsid w:val="00D330C8"/>
    <w:rsid w:val="00D3358E"/>
    <w:rsid w:val="00D349DE"/>
    <w:rsid w:val="00D35EEA"/>
    <w:rsid w:val="00D36E73"/>
    <w:rsid w:val="00D36F65"/>
    <w:rsid w:val="00D371D5"/>
    <w:rsid w:val="00D373E2"/>
    <w:rsid w:val="00D374E6"/>
    <w:rsid w:val="00D37CED"/>
    <w:rsid w:val="00D40BB2"/>
    <w:rsid w:val="00D41162"/>
    <w:rsid w:val="00D4185F"/>
    <w:rsid w:val="00D42389"/>
    <w:rsid w:val="00D42785"/>
    <w:rsid w:val="00D42B39"/>
    <w:rsid w:val="00D43717"/>
    <w:rsid w:val="00D439A0"/>
    <w:rsid w:val="00D43DFE"/>
    <w:rsid w:val="00D440ED"/>
    <w:rsid w:val="00D441AA"/>
    <w:rsid w:val="00D44742"/>
    <w:rsid w:val="00D44937"/>
    <w:rsid w:val="00D449F1"/>
    <w:rsid w:val="00D464FD"/>
    <w:rsid w:val="00D46915"/>
    <w:rsid w:val="00D469A3"/>
    <w:rsid w:val="00D47A79"/>
    <w:rsid w:val="00D47E02"/>
    <w:rsid w:val="00D5082B"/>
    <w:rsid w:val="00D50C15"/>
    <w:rsid w:val="00D51556"/>
    <w:rsid w:val="00D51D2C"/>
    <w:rsid w:val="00D520E9"/>
    <w:rsid w:val="00D527D2"/>
    <w:rsid w:val="00D52E4D"/>
    <w:rsid w:val="00D53255"/>
    <w:rsid w:val="00D534D5"/>
    <w:rsid w:val="00D5451C"/>
    <w:rsid w:val="00D5484D"/>
    <w:rsid w:val="00D5498C"/>
    <w:rsid w:val="00D54A45"/>
    <w:rsid w:val="00D54CE0"/>
    <w:rsid w:val="00D55003"/>
    <w:rsid w:val="00D55DCF"/>
    <w:rsid w:val="00D57E17"/>
    <w:rsid w:val="00D57FBD"/>
    <w:rsid w:val="00D60144"/>
    <w:rsid w:val="00D60D33"/>
    <w:rsid w:val="00D61F12"/>
    <w:rsid w:val="00D635A9"/>
    <w:rsid w:val="00D63A24"/>
    <w:rsid w:val="00D64FEB"/>
    <w:rsid w:val="00D65B07"/>
    <w:rsid w:val="00D6613A"/>
    <w:rsid w:val="00D66BE2"/>
    <w:rsid w:val="00D66D70"/>
    <w:rsid w:val="00D66D89"/>
    <w:rsid w:val="00D6716B"/>
    <w:rsid w:val="00D67656"/>
    <w:rsid w:val="00D701D5"/>
    <w:rsid w:val="00D70F22"/>
    <w:rsid w:val="00D7138B"/>
    <w:rsid w:val="00D71534"/>
    <w:rsid w:val="00D7273B"/>
    <w:rsid w:val="00D73985"/>
    <w:rsid w:val="00D741E6"/>
    <w:rsid w:val="00D74BC8"/>
    <w:rsid w:val="00D7517F"/>
    <w:rsid w:val="00D75E5E"/>
    <w:rsid w:val="00D75FDF"/>
    <w:rsid w:val="00D7608E"/>
    <w:rsid w:val="00D763D0"/>
    <w:rsid w:val="00D76DB3"/>
    <w:rsid w:val="00D770D3"/>
    <w:rsid w:val="00D77A93"/>
    <w:rsid w:val="00D8059C"/>
    <w:rsid w:val="00D8087B"/>
    <w:rsid w:val="00D81C0B"/>
    <w:rsid w:val="00D82307"/>
    <w:rsid w:val="00D837DD"/>
    <w:rsid w:val="00D8398D"/>
    <w:rsid w:val="00D84711"/>
    <w:rsid w:val="00D84748"/>
    <w:rsid w:val="00D86D95"/>
    <w:rsid w:val="00D8762F"/>
    <w:rsid w:val="00D90B07"/>
    <w:rsid w:val="00D927BE"/>
    <w:rsid w:val="00D93D6E"/>
    <w:rsid w:val="00D93F35"/>
    <w:rsid w:val="00D940BC"/>
    <w:rsid w:val="00D94985"/>
    <w:rsid w:val="00D94A62"/>
    <w:rsid w:val="00D951AD"/>
    <w:rsid w:val="00D9547F"/>
    <w:rsid w:val="00D955D3"/>
    <w:rsid w:val="00D95CFB"/>
    <w:rsid w:val="00D978DD"/>
    <w:rsid w:val="00DA02F8"/>
    <w:rsid w:val="00DA07CD"/>
    <w:rsid w:val="00DA0BE0"/>
    <w:rsid w:val="00DA1CF5"/>
    <w:rsid w:val="00DA250E"/>
    <w:rsid w:val="00DA3750"/>
    <w:rsid w:val="00DA3956"/>
    <w:rsid w:val="00DA4792"/>
    <w:rsid w:val="00DA4E49"/>
    <w:rsid w:val="00DA50F8"/>
    <w:rsid w:val="00DA64DF"/>
    <w:rsid w:val="00DA7DA7"/>
    <w:rsid w:val="00DB08B9"/>
    <w:rsid w:val="00DB0CB9"/>
    <w:rsid w:val="00DB0EC5"/>
    <w:rsid w:val="00DB1055"/>
    <w:rsid w:val="00DB1D53"/>
    <w:rsid w:val="00DB2035"/>
    <w:rsid w:val="00DB2256"/>
    <w:rsid w:val="00DB2663"/>
    <w:rsid w:val="00DB26C5"/>
    <w:rsid w:val="00DB2822"/>
    <w:rsid w:val="00DB2E00"/>
    <w:rsid w:val="00DB2F2B"/>
    <w:rsid w:val="00DB314D"/>
    <w:rsid w:val="00DB4748"/>
    <w:rsid w:val="00DB492D"/>
    <w:rsid w:val="00DB4FB3"/>
    <w:rsid w:val="00DB6398"/>
    <w:rsid w:val="00DB79D7"/>
    <w:rsid w:val="00DB79ED"/>
    <w:rsid w:val="00DB7EDA"/>
    <w:rsid w:val="00DC08D5"/>
    <w:rsid w:val="00DC0BA9"/>
    <w:rsid w:val="00DC18B2"/>
    <w:rsid w:val="00DC1D75"/>
    <w:rsid w:val="00DC27E4"/>
    <w:rsid w:val="00DC2A03"/>
    <w:rsid w:val="00DC2F58"/>
    <w:rsid w:val="00DC2F7E"/>
    <w:rsid w:val="00DC3871"/>
    <w:rsid w:val="00DC3CBF"/>
    <w:rsid w:val="00DC400C"/>
    <w:rsid w:val="00DC4233"/>
    <w:rsid w:val="00DC5C1E"/>
    <w:rsid w:val="00DC6853"/>
    <w:rsid w:val="00DC6C93"/>
    <w:rsid w:val="00DC73D7"/>
    <w:rsid w:val="00DD109F"/>
    <w:rsid w:val="00DD12D0"/>
    <w:rsid w:val="00DD2185"/>
    <w:rsid w:val="00DD3218"/>
    <w:rsid w:val="00DD3F0B"/>
    <w:rsid w:val="00DD46AF"/>
    <w:rsid w:val="00DD4983"/>
    <w:rsid w:val="00DD5D5D"/>
    <w:rsid w:val="00DD626C"/>
    <w:rsid w:val="00DD6AC7"/>
    <w:rsid w:val="00DD7117"/>
    <w:rsid w:val="00DD7D0E"/>
    <w:rsid w:val="00DE0CD5"/>
    <w:rsid w:val="00DE1C9C"/>
    <w:rsid w:val="00DE24EB"/>
    <w:rsid w:val="00DE2F7D"/>
    <w:rsid w:val="00DE3662"/>
    <w:rsid w:val="00DE5C30"/>
    <w:rsid w:val="00DE6A4A"/>
    <w:rsid w:val="00DE71E3"/>
    <w:rsid w:val="00DE71F9"/>
    <w:rsid w:val="00DE7C37"/>
    <w:rsid w:val="00DE7E20"/>
    <w:rsid w:val="00DE7EB3"/>
    <w:rsid w:val="00DE7F65"/>
    <w:rsid w:val="00DF0048"/>
    <w:rsid w:val="00DF09DC"/>
    <w:rsid w:val="00DF10D2"/>
    <w:rsid w:val="00DF1D9C"/>
    <w:rsid w:val="00DF1FC7"/>
    <w:rsid w:val="00DF3277"/>
    <w:rsid w:val="00DF3F5E"/>
    <w:rsid w:val="00DF446E"/>
    <w:rsid w:val="00DF54CC"/>
    <w:rsid w:val="00DF54F9"/>
    <w:rsid w:val="00DF6191"/>
    <w:rsid w:val="00DF6A25"/>
    <w:rsid w:val="00DF7394"/>
    <w:rsid w:val="00DF7929"/>
    <w:rsid w:val="00E0012C"/>
    <w:rsid w:val="00E003F3"/>
    <w:rsid w:val="00E00CFE"/>
    <w:rsid w:val="00E016C0"/>
    <w:rsid w:val="00E02185"/>
    <w:rsid w:val="00E0253A"/>
    <w:rsid w:val="00E02AC6"/>
    <w:rsid w:val="00E02AD9"/>
    <w:rsid w:val="00E0312F"/>
    <w:rsid w:val="00E03B7D"/>
    <w:rsid w:val="00E045EF"/>
    <w:rsid w:val="00E04937"/>
    <w:rsid w:val="00E063B4"/>
    <w:rsid w:val="00E0661A"/>
    <w:rsid w:val="00E07211"/>
    <w:rsid w:val="00E073AE"/>
    <w:rsid w:val="00E10597"/>
    <w:rsid w:val="00E10946"/>
    <w:rsid w:val="00E10ED5"/>
    <w:rsid w:val="00E114E0"/>
    <w:rsid w:val="00E11726"/>
    <w:rsid w:val="00E11A1D"/>
    <w:rsid w:val="00E11A8F"/>
    <w:rsid w:val="00E11D35"/>
    <w:rsid w:val="00E120A9"/>
    <w:rsid w:val="00E12DFA"/>
    <w:rsid w:val="00E13C88"/>
    <w:rsid w:val="00E140E6"/>
    <w:rsid w:val="00E14306"/>
    <w:rsid w:val="00E1444A"/>
    <w:rsid w:val="00E14964"/>
    <w:rsid w:val="00E14D27"/>
    <w:rsid w:val="00E16A8C"/>
    <w:rsid w:val="00E16C0C"/>
    <w:rsid w:val="00E171C1"/>
    <w:rsid w:val="00E17AEA"/>
    <w:rsid w:val="00E20494"/>
    <w:rsid w:val="00E21D27"/>
    <w:rsid w:val="00E23A46"/>
    <w:rsid w:val="00E23F4F"/>
    <w:rsid w:val="00E23FE3"/>
    <w:rsid w:val="00E24654"/>
    <w:rsid w:val="00E258F0"/>
    <w:rsid w:val="00E25CD3"/>
    <w:rsid w:val="00E25D57"/>
    <w:rsid w:val="00E260C3"/>
    <w:rsid w:val="00E267AF"/>
    <w:rsid w:val="00E2764B"/>
    <w:rsid w:val="00E27E36"/>
    <w:rsid w:val="00E27FF5"/>
    <w:rsid w:val="00E30503"/>
    <w:rsid w:val="00E3087D"/>
    <w:rsid w:val="00E30895"/>
    <w:rsid w:val="00E30A5E"/>
    <w:rsid w:val="00E30D6D"/>
    <w:rsid w:val="00E3140E"/>
    <w:rsid w:val="00E317E8"/>
    <w:rsid w:val="00E3248F"/>
    <w:rsid w:val="00E32ECE"/>
    <w:rsid w:val="00E3348D"/>
    <w:rsid w:val="00E33E3E"/>
    <w:rsid w:val="00E3411E"/>
    <w:rsid w:val="00E3438F"/>
    <w:rsid w:val="00E3636A"/>
    <w:rsid w:val="00E369B0"/>
    <w:rsid w:val="00E36B12"/>
    <w:rsid w:val="00E403AC"/>
    <w:rsid w:val="00E405CD"/>
    <w:rsid w:val="00E41785"/>
    <w:rsid w:val="00E41A2E"/>
    <w:rsid w:val="00E43679"/>
    <w:rsid w:val="00E43B61"/>
    <w:rsid w:val="00E45522"/>
    <w:rsid w:val="00E46146"/>
    <w:rsid w:val="00E46689"/>
    <w:rsid w:val="00E46B22"/>
    <w:rsid w:val="00E46EA4"/>
    <w:rsid w:val="00E47AED"/>
    <w:rsid w:val="00E50E83"/>
    <w:rsid w:val="00E5174D"/>
    <w:rsid w:val="00E53581"/>
    <w:rsid w:val="00E54047"/>
    <w:rsid w:val="00E5564E"/>
    <w:rsid w:val="00E55A32"/>
    <w:rsid w:val="00E55AF3"/>
    <w:rsid w:val="00E55B58"/>
    <w:rsid w:val="00E5705D"/>
    <w:rsid w:val="00E5783F"/>
    <w:rsid w:val="00E60AA3"/>
    <w:rsid w:val="00E61223"/>
    <w:rsid w:val="00E614EC"/>
    <w:rsid w:val="00E619C0"/>
    <w:rsid w:val="00E62AA9"/>
    <w:rsid w:val="00E63C41"/>
    <w:rsid w:val="00E65278"/>
    <w:rsid w:val="00E65659"/>
    <w:rsid w:val="00E70CEE"/>
    <w:rsid w:val="00E71932"/>
    <w:rsid w:val="00E71CEF"/>
    <w:rsid w:val="00E728CA"/>
    <w:rsid w:val="00E72C86"/>
    <w:rsid w:val="00E73069"/>
    <w:rsid w:val="00E73218"/>
    <w:rsid w:val="00E733D0"/>
    <w:rsid w:val="00E74CE2"/>
    <w:rsid w:val="00E771F3"/>
    <w:rsid w:val="00E773C7"/>
    <w:rsid w:val="00E774D2"/>
    <w:rsid w:val="00E775E4"/>
    <w:rsid w:val="00E77A02"/>
    <w:rsid w:val="00E801D8"/>
    <w:rsid w:val="00E8078C"/>
    <w:rsid w:val="00E815D0"/>
    <w:rsid w:val="00E822D9"/>
    <w:rsid w:val="00E83286"/>
    <w:rsid w:val="00E844C7"/>
    <w:rsid w:val="00E850BF"/>
    <w:rsid w:val="00E85E55"/>
    <w:rsid w:val="00E862E1"/>
    <w:rsid w:val="00E86701"/>
    <w:rsid w:val="00E87374"/>
    <w:rsid w:val="00E873FF"/>
    <w:rsid w:val="00E879A1"/>
    <w:rsid w:val="00E87F80"/>
    <w:rsid w:val="00E9139D"/>
    <w:rsid w:val="00E91512"/>
    <w:rsid w:val="00E91634"/>
    <w:rsid w:val="00E91F00"/>
    <w:rsid w:val="00E924ED"/>
    <w:rsid w:val="00E9336F"/>
    <w:rsid w:val="00E949BA"/>
    <w:rsid w:val="00E94B43"/>
    <w:rsid w:val="00E94BB2"/>
    <w:rsid w:val="00E9522E"/>
    <w:rsid w:val="00E95FCD"/>
    <w:rsid w:val="00E9601D"/>
    <w:rsid w:val="00EA1710"/>
    <w:rsid w:val="00EA2BF2"/>
    <w:rsid w:val="00EA2E8B"/>
    <w:rsid w:val="00EA47D0"/>
    <w:rsid w:val="00EA49A7"/>
    <w:rsid w:val="00EA49AB"/>
    <w:rsid w:val="00EA64FC"/>
    <w:rsid w:val="00EA772C"/>
    <w:rsid w:val="00EA779D"/>
    <w:rsid w:val="00EB0FC2"/>
    <w:rsid w:val="00EB1753"/>
    <w:rsid w:val="00EB2961"/>
    <w:rsid w:val="00EB35B7"/>
    <w:rsid w:val="00EB373C"/>
    <w:rsid w:val="00EB3D06"/>
    <w:rsid w:val="00EB4404"/>
    <w:rsid w:val="00EB4734"/>
    <w:rsid w:val="00EB52A9"/>
    <w:rsid w:val="00EB542F"/>
    <w:rsid w:val="00EB5F66"/>
    <w:rsid w:val="00EB79AF"/>
    <w:rsid w:val="00EC1F14"/>
    <w:rsid w:val="00EC34A6"/>
    <w:rsid w:val="00EC37EF"/>
    <w:rsid w:val="00EC39CB"/>
    <w:rsid w:val="00EC421F"/>
    <w:rsid w:val="00EC42FF"/>
    <w:rsid w:val="00EC558E"/>
    <w:rsid w:val="00EC5699"/>
    <w:rsid w:val="00EC5E5F"/>
    <w:rsid w:val="00EC6839"/>
    <w:rsid w:val="00ED154D"/>
    <w:rsid w:val="00ED170E"/>
    <w:rsid w:val="00ED1BCC"/>
    <w:rsid w:val="00ED4412"/>
    <w:rsid w:val="00ED5056"/>
    <w:rsid w:val="00ED573E"/>
    <w:rsid w:val="00ED598C"/>
    <w:rsid w:val="00ED6107"/>
    <w:rsid w:val="00ED679B"/>
    <w:rsid w:val="00ED7444"/>
    <w:rsid w:val="00EE0BB5"/>
    <w:rsid w:val="00EE2269"/>
    <w:rsid w:val="00EE28AE"/>
    <w:rsid w:val="00EE2970"/>
    <w:rsid w:val="00EE2D81"/>
    <w:rsid w:val="00EE3502"/>
    <w:rsid w:val="00EE3EBF"/>
    <w:rsid w:val="00EE3FDB"/>
    <w:rsid w:val="00EE465C"/>
    <w:rsid w:val="00EE4B97"/>
    <w:rsid w:val="00EE4FF6"/>
    <w:rsid w:val="00EE501F"/>
    <w:rsid w:val="00EE629E"/>
    <w:rsid w:val="00EE680F"/>
    <w:rsid w:val="00EE69D4"/>
    <w:rsid w:val="00EE7EB2"/>
    <w:rsid w:val="00EF080A"/>
    <w:rsid w:val="00EF1433"/>
    <w:rsid w:val="00EF1875"/>
    <w:rsid w:val="00EF22D8"/>
    <w:rsid w:val="00EF2F53"/>
    <w:rsid w:val="00EF4903"/>
    <w:rsid w:val="00EF4F21"/>
    <w:rsid w:val="00EF5261"/>
    <w:rsid w:val="00EF55B0"/>
    <w:rsid w:val="00EF58F8"/>
    <w:rsid w:val="00EF59A0"/>
    <w:rsid w:val="00EF6812"/>
    <w:rsid w:val="00F005A2"/>
    <w:rsid w:val="00F0105F"/>
    <w:rsid w:val="00F01801"/>
    <w:rsid w:val="00F01E3D"/>
    <w:rsid w:val="00F027EC"/>
    <w:rsid w:val="00F02A9D"/>
    <w:rsid w:val="00F03736"/>
    <w:rsid w:val="00F03A65"/>
    <w:rsid w:val="00F03A80"/>
    <w:rsid w:val="00F03ED5"/>
    <w:rsid w:val="00F0502B"/>
    <w:rsid w:val="00F052C6"/>
    <w:rsid w:val="00F0614C"/>
    <w:rsid w:val="00F11875"/>
    <w:rsid w:val="00F11A28"/>
    <w:rsid w:val="00F11D5B"/>
    <w:rsid w:val="00F122F0"/>
    <w:rsid w:val="00F12CA7"/>
    <w:rsid w:val="00F130F5"/>
    <w:rsid w:val="00F15239"/>
    <w:rsid w:val="00F16139"/>
    <w:rsid w:val="00F1648A"/>
    <w:rsid w:val="00F16CC8"/>
    <w:rsid w:val="00F16D00"/>
    <w:rsid w:val="00F175D8"/>
    <w:rsid w:val="00F20249"/>
    <w:rsid w:val="00F20A10"/>
    <w:rsid w:val="00F20D3F"/>
    <w:rsid w:val="00F215CB"/>
    <w:rsid w:val="00F21FB5"/>
    <w:rsid w:val="00F22494"/>
    <w:rsid w:val="00F22F11"/>
    <w:rsid w:val="00F23837"/>
    <w:rsid w:val="00F23F87"/>
    <w:rsid w:val="00F25A0F"/>
    <w:rsid w:val="00F25E04"/>
    <w:rsid w:val="00F30FA6"/>
    <w:rsid w:val="00F31F10"/>
    <w:rsid w:val="00F33AB6"/>
    <w:rsid w:val="00F3410C"/>
    <w:rsid w:val="00F34BE9"/>
    <w:rsid w:val="00F34E9D"/>
    <w:rsid w:val="00F35234"/>
    <w:rsid w:val="00F35744"/>
    <w:rsid w:val="00F35DA4"/>
    <w:rsid w:val="00F3645C"/>
    <w:rsid w:val="00F3689F"/>
    <w:rsid w:val="00F36FA0"/>
    <w:rsid w:val="00F3754F"/>
    <w:rsid w:val="00F37960"/>
    <w:rsid w:val="00F37F91"/>
    <w:rsid w:val="00F406E4"/>
    <w:rsid w:val="00F423B5"/>
    <w:rsid w:val="00F4260E"/>
    <w:rsid w:val="00F426CE"/>
    <w:rsid w:val="00F4385F"/>
    <w:rsid w:val="00F440BB"/>
    <w:rsid w:val="00F45260"/>
    <w:rsid w:val="00F46197"/>
    <w:rsid w:val="00F46372"/>
    <w:rsid w:val="00F465B0"/>
    <w:rsid w:val="00F4691E"/>
    <w:rsid w:val="00F47184"/>
    <w:rsid w:val="00F47BC5"/>
    <w:rsid w:val="00F507E5"/>
    <w:rsid w:val="00F50E64"/>
    <w:rsid w:val="00F51E91"/>
    <w:rsid w:val="00F52FE5"/>
    <w:rsid w:val="00F53EBA"/>
    <w:rsid w:val="00F544D0"/>
    <w:rsid w:val="00F55C63"/>
    <w:rsid w:val="00F564C5"/>
    <w:rsid w:val="00F579EC"/>
    <w:rsid w:val="00F6041C"/>
    <w:rsid w:val="00F604DF"/>
    <w:rsid w:val="00F615DE"/>
    <w:rsid w:val="00F61685"/>
    <w:rsid w:val="00F61769"/>
    <w:rsid w:val="00F62498"/>
    <w:rsid w:val="00F64931"/>
    <w:rsid w:val="00F64D14"/>
    <w:rsid w:val="00F653E4"/>
    <w:rsid w:val="00F654C7"/>
    <w:rsid w:val="00F65F4D"/>
    <w:rsid w:val="00F65FAF"/>
    <w:rsid w:val="00F66B9A"/>
    <w:rsid w:val="00F66F81"/>
    <w:rsid w:val="00F67AE6"/>
    <w:rsid w:val="00F67C94"/>
    <w:rsid w:val="00F70396"/>
    <w:rsid w:val="00F70A11"/>
    <w:rsid w:val="00F71155"/>
    <w:rsid w:val="00F72888"/>
    <w:rsid w:val="00F73BA2"/>
    <w:rsid w:val="00F73E67"/>
    <w:rsid w:val="00F748B8"/>
    <w:rsid w:val="00F754EA"/>
    <w:rsid w:val="00F76B61"/>
    <w:rsid w:val="00F80336"/>
    <w:rsid w:val="00F80853"/>
    <w:rsid w:val="00F80D14"/>
    <w:rsid w:val="00F81B95"/>
    <w:rsid w:val="00F82C64"/>
    <w:rsid w:val="00F83416"/>
    <w:rsid w:val="00F83D07"/>
    <w:rsid w:val="00F83DC7"/>
    <w:rsid w:val="00F83DCA"/>
    <w:rsid w:val="00F84C11"/>
    <w:rsid w:val="00F8500B"/>
    <w:rsid w:val="00F866CE"/>
    <w:rsid w:val="00F91537"/>
    <w:rsid w:val="00F92CD1"/>
    <w:rsid w:val="00F93690"/>
    <w:rsid w:val="00F93740"/>
    <w:rsid w:val="00F946C6"/>
    <w:rsid w:val="00F94DB9"/>
    <w:rsid w:val="00F965A4"/>
    <w:rsid w:val="00F96E65"/>
    <w:rsid w:val="00F976C1"/>
    <w:rsid w:val="00FA019A"/>
    <w:rsid w:val="00FA0B58"/>
    <w:rsid w:val="00FA2A6B"/>
    <w:rsid w:val="00FA2D4F"/>
    <w:rsid w:val="00FA2F21"/>
    <w:rsid w:val="00FA39B3"/>
    <w:rsid w:val="00FA3A01"/>
    <w:rsid w:val="00FA3AA1"/>
    <w:rsid w:val="00FA4188"/>
    <w:rsid w:val="00FA479C"/>
    <w:rsid w:val="00FA497A"/>
    <w:rsid w:val="00FA4EE9"/>
    <w:rsid w:val="00FA6405"/>
    <w:rsid w:val="00FA66A2"/>
    <w:rsid w:val="00FB0C32"/>
    <w:rsid w:val="00FB33DB"/>
    <w:rsid w:val="00FB4247"/>
    <w:rsid w:val="00FB4635"/>
    <w:rsid w:val="00FB47A8"/>
    <w:rsid w:val="00FB4E08"/>
    <w:rsid w:val="00FB4FAB"/>
    <w:rsid w:val="00FB51C2"/>
    <w:rsid w:val="00FB7018"/>
    <w:rsid w:val="00FB773D"/>
    <w:rsid w:val="00FB799E"/>
    <w:rsid w:val="00FB7A08"/>
    <w:rsid w:val="00FB7CA0"/>
    <w:rsid w:val="00FC033E"/>
    <w:rsid w:val="00FC03FF"/>
    <w:rsid w:val="00FC12E3"/>
    <w:rsid w:val="00FC187C"/>
    <w:rsid w:val="00FC18AB"/>
    <w:rsid w:val="00FC1A15"/>
    <w:rsid w:val="00FC292E"/>
    <w:rsid w:val="00FC3A44"/>
    <w:rsid w:val="00FC3BDC"/>
    <w:rsid w:val="00FC3D9E"/>
    <w:rsid w:val="00FC44D9"/>
    <w:rsid w:val="00FC45D6"/>
    <w:rsid w:val="00FC474A"/>
    <w:rsid w:val="00FC498F"/>
    <w:rsid w:val="00FC5166"/>
    <w:rsid w:val="00FC51D3"/>
    <w:rsid w:val="00FC59B1"/>
    <w:rsid w:val="00FC5DC6"/>
    <w:rsid w:val="00FC608B"/>
    <w:rsid w:val="00FC6F63"/>
    <w:rsid w:val="00FC74A4"/>
    <w:rsid w:val="00FC7553"/>
    <w:rsid w:val="00FC7F5C"/>
    <w:rsid w:val="00FD0462"/>
    <w:rsid w:val="00FD0E73"/>
    <w:rsid w:val="00FD0EB2"/>
    <w:rsid w:val="00FD1193"/>
    <w:rsid w:val="00FD1948"/>
    <w:rsid w:val="00FD221B"/>
    <w:rsid w:val="00FD3187"/>
    <w:rsid w:val="00FD3395"/>
    <w:rsid w:val="00FD4C91"/>
    <w:rsid w:val="00FD4D58"/>
    <w:rsid w:val="00FD5458"/>
    <w:rsid w:val="00FD635A"/>
    <w:rsid w:val="00FD7324"/>
    <w:rsid w:val="00FD73A2"/>
    <w:rsid w:val="00FE03CE"/>
    <w:rsid w:val="00FE0FF4"/>
    <w:rsid w:val="00FE1597"/>
    <w:rsid w:val="00FE20AE"/>
    <w:rsid w:val="00FE2BDB"/>
    <w:rsid w:val="00FE37BC"/>
    <w:rsid w:val="00FE3A0D"/>
    <w:rsid w:val="00FE4F97"/>
    <w:rsid w:val="00FE5520"/>
    <w:rsid w:val="00FE671E"/>
    <w:rsid w:val="00FE69EB"/>
    <w:rsid w:val="00FE70AE"/>
    <w:rsid w:val="00FE7301"/>
    <w:rsid w:val="00FE7FE3"/>
    <w:rsid w:val="00FF03E3"/>
    <w:rsid w:val="00FF056F"/>
    <w:rsid w:val="00FF1B24"/>
    <w:rsid w:val="00FF1B8A"/>
    <w:rsid w:val="00FF2A0A"/>
    <w:rsid w:val="00FF2AF9"/>
    <w:rsid w:val="00FF2B54"/>
    <w:rsid w:val="00FF3704"/>
    <w:rsid w:val="00FF4F3A"/>
    <w:rsid w:val="00FF5521"/>
    <w:rsid w:val="00FF58BF"/>
    <w:rsid w:val="00FF5F4A"/>
    <w:rsid w:val="00FF6410"/>
    <w:rsid w:val="00FF6570"/>
    <w:rsid w:val="00FF6DC5"/>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46E742"/>
  <w15:chartTrackingRefBased/>
  <w15:docId w15:val="{CCBC3160-AC4A-4AA9-AC71-9C7D9C97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6237"/>
      </w:tabs>
      <w:outlineLvl w:val="0"/>
    </w:pPr>
    <w:rPr>
      <w:b/>
      <w:bCs/>
    </w:rPr>
  </w:style>
  <w:style w:type="paragraph" w:styleId="Heading2">
    <w:name w:val="heading 2"/>
    <w:basedOn w:val="Normal"/>
    <w:next w:val="Normal"/>
    <w:qFormat/>
    <w:pPr>
      <w:keepNext/>
      <w:jc w:val="center"/>
      <w:outlineLvl w:val="1"/>
    </w:pPr>
    <w:rPr>
      <w:rFonts w:ascii="Univers" w:hAnsi="Univers"/>
      <w:b/>
      <w:sz w:val="22"/>
    </w:rPr>
  </w:style>
  <w:style w:type="paragraph" w:styleId="Heading3">
    <w:name w:val="heading 3"/>
    <w:basedOn w:val="Normal"/>
    <w:next w:val="Numbered"/>
    <w:link w:val="Heading3Char"/>
    <w:semiHidden/>
    <w:unhideWhenUsed/>
    <w:qFormat/>
    <w:rsid w:val="00703342"/>
    <w:pPr>
      <w:keepNext/>
      <w:numPr>
        <w:numId w:val="2"/>
      </w:numPr>
      <w:tabs>
        <w:tab w:val="left" w:pos="1134"/>
        <w:tab w:val="left" w:pos="1701"/>
        <w:tab w:val="left" w:pos="2268"/>
        <w:tab w:val="left" w:pos="2835"/>
      </w:tabs>
      <w:spacing w:before="240" w:after="120"/>
      <w:outlineLvl w:val="2"/>
    </w:pPr>
    <w:rPr>
      <w:rFonts w:ascii="Century Schoolbook" w:hAnsi="Century Schoolbook" w:cs="Arial"/>
      <w:bCs/>
      <w:i/>
      <w:szCs w:val="26"/>
    </w:rPr>
  </w:style>
  <w:style w:type="paragraph" w:styleId="Heading4">
    <w:name w:val="heading 4"/>
    <w:basedOn w:val="Normal"/>
    <w:next w:val="Normal"/>
    <w:link w:val="Heading4Char"/>
    <w:semiHidden/>
    <w:unhideWhenUsed/>
    <w:qFormat/>
    <w:rsid w:val="005C77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ServiceBanner">
    <w:name w:val="Court Service Banner"/>
    <w:next w:val="Division"/>
    <w:pPr>
      <w:spacing w:after="57"/>
    </w:pPr>
    <w:rPr>
      <w:rFonts w:ascii="Arial" w:hAnsi="Arial"/>
      <w:b/>
      <w:sz w:val="18"/>
      <w:lang w:eastAsia="en-US"/>
    </w:rPr>
  </w:style>
  <w:style w:type="paragraph" w:customStyle="1" w:styleId="Division">
    <w:name w:val="Division"/>
    <w:next w:val="Telephone"/>
    <w:pPr>
      <w:spacing w:after="57"/>
      <w:ind w:left="-2"/>
    </w:pPr>
    <w:rPr>
      <w:rFonts w:ascii="Arial" w:hAnsi="Arial"/>
      <w:sz w:val="18"/>
      <w:lang w:eastAsia="en-US"/>
    </w:rPr>
  </w:style>
  <w:style w:type="paragraph" w:customStyle="1" w:styleId="Telephone">
    <w:name w:val="Telephone"/>
    <w:pPr>
      <w:spacing w:before="57"/>
      <w:ind w:left="-2"/>
    </w:pPr>
    <w:rPr>
      <w:sz w:val="18"/>
      <w:lang w:eastAsia="en-US"/>
    </w:rPr>
  </w:style>
  <w:style w:type="paragraph" w:customStyle="1" w:styleId="Address">
    <w:name w:val="Address"/>
    <w:basedOn w:val="Telephone"/>
    <w:pPr>
      <w:spacing w:before="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Subtitle">
    <w:name w:val="Subtitle"/>
    <w:basedOn w:val="Normal"/>
    <w:qFormat/>
    <w:rPr>
      <w:rFonts w:ascii="Univers" w:hAnsi="Univers"/>
      <w:b/>
    </w:rPr>
  </w:style>
  <w:style w:type="paragraph" w:styleId="BalloonText">
    <w:name w:val="Balloon Text"/>
    <w:basedOn w:val="Normal"/>
    <w:link w:val="BalloonTextChar"/>
    <w:rsid w:val="00B80A82"/>
    <w:rPr>
      <w:rFonts w:ascii="Segoe UI" w:hAnsi="Segoe UI" w:cs="Segoe UI"/>
      <w:sz w:val="18"/>
      <w:szCs w:val="18"/>
    </w:rPr>
  </w:style>
  <w:style w:type="character" w:customStyle="1" w:styleId="BalloonTextChar">
    <w:name w:val="Balloon Text Char"/>
    <w:link w:val="BalloonText"/>
    <w:rsid w:val="00B80A82"/>
    <w:rPr>
      <w:rFonts w:ascii="Segoe UI" w:hAnsi="Segoe UI" w:cs="Segoe UI"/>
      <w:sz w:val="18"/>
      <w:szCs w:val="18"/>
      <w:lang w:eastAsia="en-US"/>
    </w:rPr>
  </w:style>
  <w:style w:type="paragraph" w:styleId="ListParagraph">
    <w:name w:val="List Paragraph"/>
    <w:basedOn w:val="Normal"/>
    <w:uiPriority w:val="34"/>
    <w:qFormat/>
    <w:rsid w:val="00176132"/>
    <w:pPr>
      <w:ind w:left="720"/>
      <w:contextualSpacing/>
    </w:pPr>
  </w:style>
  <w:style w:type="paragraph" w:customStyle="1" w:styleId="Numbered">
    <w:name w:val="Numbered"/>
    <w:basedOn w:val="Normal"/>
    <w:rsid w:val="00703342"/>
    <w:pPr>
      <w:numPr>
        <w:numId w:val="1"/>
      </w:numPr>
      <w:tabs>
        <w:tab w:val="left" w:pos="1134"/>
        <w:tab w:val="left" w:pos="1701"/>
        <w:tab w:val="left" w:pos="2268"/>
        <w:tab w:val="left" w:pos="2835"/>
      </w:tabs>
      <w:spacing w:after="120"/>
      <w:jc w:val="both"/>
    </w:pPr>
    <w:rPr>
      <w:rFonts w:ascii="Century Schoolbook" w:hAnsi="Century Schoolbook"/>
      <w:szCs w:val="24"/>
    </w:rPr>
  </w:style>
  <w:style w:type="character" w:customStyle="1" w:styleId="Heading3Char">
    <w:name w:val="Heading 3 Char"/>
    <w:link w:val="Heading3"/>
    <w:semiHidden/>
    <w:rsid w:val="00703342"/>
    <w:rPr>
      <w:rFonts w:ascii="Century Schoolbook" w:hAnsi="Century Schoolbook" w:cs="Arial"/>
      <w:bCs/>
      <w:i/>
      <w:sz w:val="24"/>
      <w:szCs w:val="26"/>
      <w:lang w:eastAsia="en-US"/>
    </w:rPr>
  </w:style>
  <w:style w:type="paragraph" w:styleId="BodyText">
    <w:name w:val="Body Text"/>
    <w:basedOn w:val="Normal"/>
    <w:link w:val="BodyTextChar"/>
    <w:rsid w:val="002E49FE"/>
    <w:pPr>
      <w:spacing w:after="120"/>
    </w:pPr>
  </w:style>
  <w:style w:type="character" w:customStyle="1" w:styleId="BodyTextChar">
    <w:name w:val="Body Text Char"/>
    <w:link w:val="BodyText"/>
    <w:rsid w:val="002E49FE"/>
    <w:rPr>
      <w:sz w:val="24"/>
      <w:lang w:eastAsia="en-US"/>
    </w:rPr>
  </w:style>
  <w:style w:type="character" w:customStyle="1" w:styleId="FooterChar">
    <w:name w:val="Footer Char"/>
    <w:link w:val="Footer"/>
    <w:uiPriority w:val="99"/>
    <w:rsid w:val="00025711"/>
    <w:rPr>
      <w:sz w:val="24"/>
      <w:lang w:eastAsia="en-US"/>
    </w:rPr>
  </w:style>
  <w:style w:type="character" w:customStyle="1" w:styleId="legdslegrhslegp2text">
    <w:name w:val="legds legrhs legp2text"/>
    <w:rsid w:val="00171726"/>
    <w:rPr>
      <w:rFonts w:ascii="Times New Roman" w:hAnsi="Times New Roman" w:cs="Times New Roman" w:hint="default"/>
    </w:rPr>
  </w:style>
  <w:style w:type="paragraph" w:customStyle="1" w:styleId="paragraph">
    <w:name w:val="paragraph"/>
    <w:basedOn w:val="Normal"/>
    <w:rsid w:val="005B05CC"/>
    <w:pPr>
      <w:spacing w:before="100" w:beforeAutospacing="1" w:after="100" w:afterAutospacing="1"/>
    </w:pPr>
    <w:rPr>
      <w:szCs w:val="24"/>
      <w:lang w:eastAsia="en-GB"/>
    </w:rPr>
  </w:style>
  <w:style w:type="character" w:customStyle="1" w:styleId="normaltextrun">
    <w:name w:val="normaltextrun"/>
    <w:basedOn w:val="DefaultParagraphFont"/>
    <w:rsid w:val="005B05CC"/>
  </w:style>
  <w:style w:type="character" w:customStyle="1" w:styleId="eop">
    <w:name w:val="eop"/>
    <w:basedOn w:val="DefaultParagraphFont"/>
    <w:rsid w:val="005B05CC"/>
  </w:style>
  <w:style w:type="paragraph" w:customStyle="1" w:styleId="xmsonormal">
    <w:name w:val="x_msonormal"/>
    <w:basedOn w:val="Normal"/>
    <w:rsid w:val="00D01BC1"/>
    <w:pPr>
      <w:spacing w:before="100" w:beforeAutospacing="1" w:after="100" w:afterAutospacing="1"/>
    </w:pPr>
    <w:rPr>
      <w:szCs w:val="24"/>
      <w:lang w:eastAsia="en-GB"/>
    </w:rPr>
  </w:style>
  <w:style w:type="paragraph" w:styleId="FootnoteText">
    <w:name w:val="footnote text"/>
    <w:basedOn w:val="Normal"/>
    <w:link w:val="FootnoteTextChar"/>
    <w:rsid w:val="00AE7B2F"/>
    <w:rPr>
      <w:sz w:val="20"/>
    </w:rPr>
  </w:style>
  <w:style w:type="character" w:customStyle="1" w:styleId="FootnoteTextChar">
    <w:name w:val="Footnote Text Char"/>
    <w:link w:val="FootnoteText"/>
    <w:rsid w:val="00AE7B2F"/>
    <w:rPr>
      <w:lang w:eastAsia="en-US"/>
    </w:rPr>
  </w:style>
  <w:style w:type="character" w:styleId="FootnoteReference">
    <w:name w:val="footnote reference"/>
    <w:rsid w:val="00AE7B2F"/>
    <w:rPr>
      <w:vertAlign w:val="superscript"/>
    </w:rPr>
  </w:style>
  <w:style w:type="character" w:customStyle="1" w:styleId="Heading4Char">
    <w:name w:val="Heading 4 Char"/>
    <w:link w:val="Heading4"/>
    <w:semiHidden/>
    <w:rsid w:val="005C77EC"/>
    <w:rPr>
      <w:rFonts w:ascii="Calibri" w:eastAsia="Times New Roman" w:hAnsi="Calibri" w:cs="Times New Roman"/>
      <w:b/>
      <w:bCs/>
      <w:sz w:val="28"/>
      <w:szCs w:val="28"/>
      <w:lang w:eastAsia="en-US"/>
    </w:rPr>
  </w:style>
  <w:style w:type="paragraph" w:styleId="Revision">
    <w:name w:val="Revision"/>
    <w:hidden/>
    <w:uiPriority w:val="99"/>
    <w:semiHidden/>
    <w:rsid w:val="00C25C8F"/>
    <w:rPr>
      <w:sz w:val="24"/>
      <w:lang w:eastAsia="en-US"/>
    </w:rPr>
  </w:style>
  <w:style w:type="character" w:styleId="CommentReference">
    <w:name w:val="annotation reference"/>
    <w:rsid w:val="0070274E"/>
    <w:rPr>
      <w:sz w:val="16"/>
      <w:szCs w:val="16"/>
    </w:rPr>
  </w:style>
  <w:style w:type="paragraph" w:styleId="CommentText">
    <w:name w:val="annotation text"/>
    <w:basedOn w:val="Normal"/>
    <w:link w:val="CommentTextChar"/>
    <w:rsid w:val="0070274E"/>
    <w:rPr>
      <w:sz w:val="20"/>
    </w:rPr>
  </w:style>
  <w:style w:type="character" w:customStyle="1" w:styleId="CommentTextChar">
    <w:name w:val="Comment Text Char"/>
    <w:link w:val="CommentText"/>
    <w:rsid w:val="0070274E"/>
    <w:rPr>
      <w:lang w:eastAsia="en-US"/>
    </w:rPr>
  </w:style>
  <w:style w:type="paragraph" w:styleId="CommentSubject">
    <w:name w:val="annotation subject"/>
    <w:basedOn w:val="CommentText"/>
    <w:next w:val="CommentText"/>
    <w:link w:val="CommentSubjectChar"/>
    <w:rsid w:val="0070274E"/>
    <w:rPr>
      <w:b/>
      <w:bCs/>
    </w:rPr>
  </w:style>
  <w:style w:type="character" w:customStyle="1" w:styleId="CommentSubjectChar">
    <w:name w:val="Comment Subject Char"/>
    <w:link w:val="CommentSubject"/>
    <w:rsid w:val="007027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474">
      <w:bodyDiv w:val="1"/>
      <w:marLeft w:val="0"/>
      <w:marRight w:val="0"/>
      <w:marTop w:val="0"/>
      <w:marBottom w:val="0"/>
      <w:divBdr>
        <w:top w:val="none" w:sz="0" w:space="0" w:color="auto"/>
        <w:left w:val="none" w:sz="0" w:space="0" w:color="auto"/>
        <w:bottom w:val="none" w:sz="0" w:space="0" w:color="auto"/>
        <w:right w:val="none" w:sz="0" w:space="0" w:color="auto"/>
      </w:divBdr>
    </w:div>
    <w:div w:id="20710441">
      <w:bodyDiv w:val="1"/>
      <w:marLeft w:val="0"/>
      <w:marRight w:val="0"/>
      <w:marTop w:val="0"/>
      <w:marBottom w:val="0"/>
      <w:divBdr>
        <w:top w:val="none" w:sz="0" w:space="0" w:color="auto"/>
        <w:left w:val="none" w:sz="0" w:space="0" w:color="auto"/>
        <w:bottom w:val="none" w:sz="0" w:space="0" w:color="auto"/>
        <w:right w:val="none" w:sz="0" w:space="0" w:color="auto"/>
      </w:divBdr>
    </w:div>
    <w:div w:id="116024297">
      <w:bodyDiv w:val="1"/>
      <w:marLeft w:val="0"/>
      <w:marRight w:val="0"/>
      <w:marTop w:val="0"/>
      <w:marBottom w:val="0"/>
      <w:divBdr>
        <w:top w:val="none" w:sz="0" w:space="0" w:color="auto"/>
        <w:left w:val="none" w:sz="0" w:space="0" w:color="auto"/>
        <w:bottom w:val="none" w:sz="0" w:space="0" w:color="auto"/>
        <w:right w:val="none" w:sz="0" w:space="0" w:color="auto"/>
      </w:divBdr>
    </w:div>
    <w:div w:id="452407877">
      <w:bodyDiv w:val="1"/>
      <w:marLeft w:val="0"/>
      <w:marRight w:val="0"/>
      <w:marTop w:val="0"/>
      <w:marBottom w:val="0"/>
      <w:divBdr>
        <w:top w:val="none" w:sz="0" w:space="0" w:color="auto"/>
        <w:left w:val="none" w:sz="0" w:space="0" w:color="auto"/>
        <w:bottom w:val="none" w:sz="0" w:space="0" w:color="auto"/>
        <w:right w:val="none" w:sz="0" w:space="0" w:color="auto"/>
      </w:divBdr>
      <w:divsChild>
        <w:div w:id="394546595">
          <w:marLeft w:val="0"/>
          <w:marRight w:val="0"/>
          <w:marTop w:val="0"/>
          <w:marBottom w:val="0"/>
          <w:divBdr>
            <w:top w:val="none" w:sz="0" w:space="0" w:color="auto"/>
            <w:left w:val="none" w:sz="0" w:space="0" w:color="auto"/>
            <w:bottom w:val="none" w:sz="0" w:space="0" w:color="auto"/>
            <w:right w:val="none" w:sz="0" w:space="0" w:color="auto"/>
          </w:divBdr>
        </w:div>
        <w:div w:id="987904084">
          <w:marLeft w:val="0"/>
          <w:marRight w:val="0"/>
          <w:marTop w:val="0"/>
          <w:marBottom w:val="0"/>
          <w:divBdr>
            <w:top w:val="none" w:sz="0" w:space="0" w:color="auto"/>
            <w:left w:val="none" w:sz="0" w:space="0" w:color="auto"/>
            <w:bottom w:val="none" w:sz="0" w:space="0" w:color="auto"/>
            <w:right w:val="none" w:sz="0" w:space="0" w:color="auto"/>
          </w:divBdr>
        </w:div>
        <w:div w:id="1129477077">
          <w:marLeft w:val="0"/>
          <w:marRight w:val="0"/>
          <w:marTop w:val="0"/>
          <w:marBottom w:val="0"/>
          <w:divBdr>
            <w:top w:val="none" w:sz="0" w:space="0" w:color="auto"/>
            <w:left w:val="none" w:sz="0" w:space="0" w:color="auto"/>
            <w:bottom w:val="none" w:sz="0" w:space="0" w:color="auto"/>
            <w:right w:val="none" w:sz="0" w:space="0" w:color="auto"/>
          </w:divBdr>
        </w:div>
        <w:div w:id="1163354496">
          <w:marLeft w:val="0"/>
          <w:marRight w:val="0"/>
          <w:marTop w:val="0"/>
          <w:marBottom w:val="0"/>
          <w:divBdr>
            <w:top w:val="none" w:sz="0" w:space="0" w:color="auto"/>
            <w:left w:val="none" w:sz="0" w:space="0" w:color="auto"/>
            <w:bottom w:val="none" w:sz="0" w:space="0" w:color="auto"/>
            <w:right w:val="none" w:sz="0" w:space="0" w:color="auto"/>
          </w:divBdr>
        </w:div>
        <w:div w:id="1329675558">
          <w:marLeft w:val="0"/>
          <w:marRight w:val="0"/>
          <w:marTop w:val="0"/>
          <w:marBottom w:val="0"/>
          <w:divBdr>
            <w:top w:val="none" w:sz="0" w:space="0" w:color="auto"/>
            <w:left w:val="none" w:sz="0" w:space="0" w:color="auto"/>
            <w:bottom w:val="none" w:sz="0" w:space="0" w:color="auto"/>
            <w:right w:val="none" w:sz="0" w:space="0" w:color="auto"/>
          </w:divBdr>
        </w:div>
        <w:div w:id="1582058106">
          <w:marLeft w:val="0"/>
          <w:marRight w:val="0"/>
          <w:marTop w:val="0"/>
          <w:marBottom w:val="0"/>
          <w:divBdr>
            <w:top w:val="none" w:sz="0" w:space="0" w:color="auto"/>
            <w:left w:val="none" w:sz="0" w:space="0" w:color="auto"/>
            <w:bottom w:val="none" w:sz="0" w:space="0" w:color="auto"/>
            <w:right w:val="none" w:sz="0" w:space="0" w:color="auto"/>
          </w:divBdr>
        </w:div>
        <w:div w:id="1659112494">
          <w:marLeft w:val="0"/>
          <w:marRight w:val="0"/>
          <w:marTop w:val="0"/>
          <w:marBottom w:val="0"/>
          <w:divBdr>
            <w:top w:val="none" w:sz="0" w:space="0" w:color="auto"/>
            <w:left w:val="none" w:sz="0" w:space="0" w:color="auto"/>
            <w:bottom w:val="none" w:sz="0" w:space="0" w:color="auto"/>
            <w:right w:val="none" w:sz="0" w:space="0" w:color="auto"/>
          </w:divBdr>
        </w:div>
        <w:div w:id="1819374464">
          <w:marLeft w:val="0"/>
          <w:marRight w:val="0"/>
          <w:marTop w:val="0"/>
          <w:marBottom w:val="0"/>
          <w:divBdr>
            <w:top w:val="none" w:sz="0" w:space="0" w:color="auto"/>
            <w:left w:val="none" w:sz="0" w:space="0" w:color="auto"/>
            <w:bottom w:val="none" w:sz="0" w:space="0" w:color="auto"/>
            <w:right w:val="none" w:sz="0" w:space="0" w:color="auto"/>
          </w:divBdr>
        </w:div>
        <w:div w:id="1855462887">
          <w:marLeft w:val="0"/>
          <w:marRight w:val="0"/>
          <w:marTop w:val="0"/>
          <w:marBottom w:val="0"/>
          <w:divBdr>
            <w:top w:val="none" w:sz="0" w:space="0" w:color="auto"/>
            <w:left w:val="none" w:sz="0" w:space="0" w:color="auto"/>
            <w:bottom w:val="none" w:sz="0" w:space="0" w:color="auto"/>
            <w:right w:val="none" w:sz="0" w:space="0" w:color="auto"/>
          </w:divBdr>
        </w:div>
        <w:div w:id="1955940879">
          <w:marLeft w:val="0"/>
          <w:marRight w:val="0"/>
          <w:marTop w:val="0"/>
          <w:marBottom w:val="0"/>
          <w:divBdr>
            <w:top w:val="none" w:sz="0" w:space="0" w:color="auto"/>
            <w:left w:val="none" w:sz="0" w:space="0" w:color="auto"/>
            <w:bottom w:val="none" w:sz="0" w:space="0" w:color="auto"/>
            <w:right w:val="none" w:sz="0" w:space="0" w:color="auto"/>
          </w:divBdr>
        </w:div>
        <w:div w:id="2138720848">
          <w:marLeft w:val="0"/>
          <w:marRight w:val="0"/>
          <w:marTop w:val="0"/>
          <w:marBottom w:val="0"/>
          <w:divBdr>
            <w:top w:val="none" w:sz="0" w:space="0" w:color="auto"/>
            <w:left w:val="none" w:sz="0" w:space="0" w:color="auto"/>
            <w:bottom w:val="none" w:sz="0" w:space="0" w:color="auto"/>
            <w:right w:val="none" w:sz="0" w:space="0" w:color="auto"/>
          </w:divBdr>
        </w:div>
      </w:divsChild>
    </w:div>
    <w:div w:id="488667638">
      <w:bodyDiv w:val="1"/>
      <w:marLeft w:val="0"/>
      <w:marRight w:val="0"/>
      <w:marTop w:val="0"/>
      <w:marBottom w:val="0"/>
      <w:divBdr>
        <w:top w:val="none" w:sz="0" w:space="0" w:color="auto"/>
        <w:left w:val="none" w:sz="0" w:space="0" w:color="auto"/>
        <w:bottom w:val="none" w:sz="0" w:space="0" w:color="auto"/>
        <w:right w:val="none" w:sz="0" w:space="0" w:color="auto"/>
      </w:divBdr>
      <w:divsChild>
        <w:div w:id="528883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31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33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832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9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7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282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132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368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0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331828">
      <w:bodyDiv w:val="1"/>
      <w:marLeft w:val="0"/>
      <w:marRight w:val="0"/>
      <w:marTop w:val="0"/>
      <w:marBottom w:val="0"/>
      <w:divBdr>
        <w:top w:val="none" w:sz="0" w:space="0" w:color="auto"/>
        <w:left w:val="none" w:sz="0" w:space="0" w:color="auto"/>
        <w:bottom w:val="none" w:sz="0" w:space="0" w:color="auto"/>
        <w:right w:val="none" w:sz="0" w:space="0" w:color="auto"/>
      </w:divBdr>
      <w:divsChild>
        <w:div w:id="592517406">
          <w:marLeft w:val="0"/>
          <w:marRight w:val="0"/>
          <w:marTop w:val="0"/>
          <w:marBottom w:val="0"/>
          <w:divBdr>
            <w:top w:val="none" w:sz="0" w:space="0" w:color="auto"/>
            <w:left w:val="none" w:sz="0" w:space="0" w:color="auto"/>
            <w:bottom w:val="none" w:sz="0" w:space="0" w:color="auto"/>
            <w:right w:val="none" w:sz="0" w:space="0" w:color="auto"/>
          </w:divBdr>
        </w:div>
        <w:div w:id="895552735">
          <w:marLeft w:val="0"/>
          <w:marRight w:val="0"/>
          <w:marTop w:val="0"/>
          <w:marBottom w:val="0"/>
          <w:divBdr>
            <w:top w:val="none" w:sz="0" w:space="0" w:color="auto"/>
            <w:left w:val="none" w:sz="0" w:space="0" w:color="auto"/>
            <w:bottom w:val="none" w:sz="0" w:space="0" w:color="auto"/>
            <w:right w:val="none" w:sz="0" w:space="0" w:color="auto"/>
          </w:divBdr>
        </w:div>
        <w:div w:id="941646545">
          <w:marLeft w:val="0"/>
          <w:marRight w:val="0"/>
          <w:marTop w:val="0"/>
          <w:marBottom w:val="0"/>
          <w:divBdr>
            <w:top w:val="none" w:sz="0" w:space="0" w:color="auto"/>
            <w:left w:val="none" w:sz="0" w:space="0" w:color="auto"/>
            <w:bottom w:val="none" w:sz="0" w:space="0" w:color="auto"/>
            <w:right w:val="none" w:sz="0" w:space="0" w:color="auto"/>
          </w:divBdr>
        </w:div>
        <w:div w:id="1307277031">
          <w:marLeft w:val="0"/>
          <w:marRight w:val="0"/>
          <w:marTop w:val="0"/>
          <w:marBottom w:val="0"/>
          <w:divBdr>
            <w:top w:val="none" w:sz="0" w:space="0" w:color="auto"/>
            <w:left w:val="none" w:sz="0" w:space="0" w:color="auto"/>
            <w:bottom w:val="none" w:sz="0" w:space="0" w:color="auto"/>
            <w:right w:val="none" w:sz="0" w:space="0" w:color="auto"/>
          </w:divBdr>
        </w:div>
        <w:div w:id="1630939157">
          <w:marLeft w:val="0"/>
          <w:marRight w:val="0"/>
          <w:marTop w:val="0"/>
          <w:marBottom w:val="0"/>
          <w:divBdr>
            <w:top w:val="none" w:sz="0" w:space="0" w:color="auto"/>
            <w:left w:val="none" w:sz="0" w:space="0" w:color="auto"/>
            <w:bottom w:val="none" w:sz="0" w:space="0" w:color="auto"/>
            <w:right w:val="none" w:sz="0" w:space="0" w:color="auto"/>
          </w:divBdr>
        </w:div>
      </w:divsChild>
    </w:div>
    <w:div w:id="964040846">
      <w:bodyDiv w:val="1"/>
      <w:marLeft w:val="0"/>
      <w:marRight w:val="0"/>
      <w:marTop w:val="0"/>
      <w:marBottom w:val="0"/>
      <w:divBdr>
        <w:top w:val="none" w:sz="0" w:space="0" w:color="auto"/>
        <w:left w:val="none" w:sz="0" w:space="0" w:color="auto"/>
        <w:bottom w:val="none" w:sz="0" w:space="0" w:color="auto"/>
        <w:right w:val="none" w:sz="0" w:space="0" w:color="auto"/>
      </w:divBdr>
    </w:div>
    <w:div w:id="996305628">
      <w:bodyDiv w:val="1"/>
      <w:marLeft w:val="0"/>
      <w:marRight w:val="0"/>
      <w:marTop w:val="0"/>
      <w:marBottom w:val="0"/>
      <w:divBdr>
        <w:top w:val="none" w:sz="0" w:space="0" w:color="auto"/>
        <w:left w:val="none" w:sz="0" w:space="0" w:color="auto"/>
        <w:bottom w:val="none" w:sz="0" w:space="0" w:color="auto"/>
        <w:right w:val="none" w:sz="0" w:space="0" w:color="auto"/>
      </w:divBdr>
      <w:divsChild>
        <w:div w:id="1611355650">
          <w:marLeft w:val="0"/>
          <w:marRight w:val="0"/>
          <w:marTop w:val="0"/>
          <w:marBottom w:val="0"/>
          <w:divBdr>
            <w:top w:val="none" w:sz="0" w:space="0" w:color="auto"/>
            <w:left w:val="none" w:sz="0" w:space="0" w:color="auto"/>
            <w:bottom w:val="none" w:sz="0" w:space="0" w:color="auto"/>
            <w:right w:val="none" w:sz="0" w:space="0" w:color="auto"/>
          </w:divBdr>
        </w:div>
        <w:div w:id="1011638962">
          <w:marLeft w:val="0"/>
          <w:marRight w:val="0"/>
          <w:marTop w:val="0"/>
          <w:marBottom w:val="0"/>
          <w:divBdr>
            <w:top w:val="none" w:sz="0" w:space="0" w:color="auto"/>
            <w:left w:val="none" w:sz="0" w:space="0" w:color="auto"/>
            <w:bottom w:val="none" w:sz="0" w:space="0" w:color="auto"/>
            <w:right w:val="none" w:sz="0" w:space="0" w:color="auto"/>
          </w:divBdr>
          <w:divsChild>
            <w:div w:id="1047871467">
              <w:marLeft w:val="0"/>
              <w:marRight w:val="0"/>
              <w:marTop w:val="0"/>
              <w:marBottom w:val="0"/>
              <w:divBdr>
                <w:top w:val="none" w:sz="0" w:space="0" w:color="auto"/>
                <w:left w:val="none" w:sz="0" w:space="0" w:color="auto"/>
                <w:bottom w:val="none" w:sz="0" w:space="0" w:color="auto"/>
                <w:right w:val="none" w:sz="0" w:space="0" w:color="auto"/>
              </w:divBdr>
            </w:div>
            <w:div w:id="908003784">
              <w:marLeft w:val="0"/>
              <w:marRight w:val="0"/>
              <w:marTop w:val="0"/>
              <w:marBottom w:val="0"/>
              <w:divBdr>
                <w:top w:val="none" w:sz="0" w:space="0" w:color="auto"/>
                <w:left w:val="none" w:sz="0" w:space="0" w:color="auto"/>
                <w:bottom w:val="none" w:sz="0" w:space="0" w:color="auto"/>
                <w:right w:val="none" w:sz="0" w:space="0" w:color="auto"/>
              </w:divBdr>
            </w:div>
            <w:div w:id="1297756730">
              <w:marLeft w:val="0"/>
              <w:marRight w:val="0"/>
              <w:marTop w:val="0"/>
              <w:marBottom w:val="0"/>
              <w:divBdr>
                <w:top w:val="none" w:sz="0" w:space="0" w:color="auto"/>
                <w:left w:val="none" w:sz="0" w:space="0" w:color="auto"/>
                <w:bottom w:val="none" w:sz="0" w:space="0" w:color="auto"/>
                <w:right w:val="none" w:sz="0" w:space="0" w:color="auto"/>
              </w:divBdr>
            </w:div>
            <w:div w:id="43338885">
              <w:marLeft w:val="0"/>
              <w:marRight w:val="0"/>
              <w:marTop w:val="0"/>
              <w:marBottom w:val="0"/>
              <w:divBdr>
                <w:top w:val="none" w:sz="0" w:space="0" w:color="auto"/>
                <w:left w:val="none" w:sz="0" w:space="0" w:color="auto"/>
                <w:bottom w:val="none" w:sz="0" w:space="0" w:color="auto"/>
                <w:right w:val="none" w:sz="0" w:space="0" w:color="auto"/>
              </w:divBdr>
            </w:div>
          </w:divsChild>
        </w:div>
        <w:div w:id="677854904">
          <w:marLeft w:val="0"/>
          <w:marRight w:val="0"/>
          <w:marTop w:val="0"/>
          <w:marBottom w:val="0"/>
          <w:divBdr>
            <w:top w:val="none" w:sz="0" w:space="0" w:color="auto"/>
            <w:left w:val="none" w:sz="0" w:space="0" w:color="auto"/>
            <w:bottom w:val="none" w:sz="0" w:space="0" w:color="auto"/>
            <w:right w:val="none" w:sz="0" w:space="0" w:color="auto"/>
          </w:divBdr>
          <w:divsChild>
            <w:div w:id="1818765706">
              <w:marLeft w:val="0"/>
              <w:marRight w:val="0"/>
              <w:marTop w:val="0"/>
              <w:marBottom w:val="0"/>
              <w:divBdr>
                <w:top w:val="none" w:sz="0" w:space="0" w:color="auto"/>
                <w:left w:val="none" w:sz="0" w:space="0" w:color="auto"/>
                <w:bottom w:val="none" w:sz="0" w:space="0" w:color="auto"/>
                <w:right w:val="none" w:sz="0" w:space="0" w:color="auto"/>
              </w:divBdr>
            </w:div>
            <w:div w:id="747389340">
              <w:marLeft w:val="0"/>
              <w:marRight w:val="0"/>
              <w:marTop w:val="0"/>
              <w:marBottom w:val="0"/>
              <w:divBdr>
                <w:top w:val="none" w:sz="0" w:space="0" w:color="auto"/>
                <w:left w:val="none" w:sz="0" w:space="0" w:color="auto"/>
                <w:bottom w:val="none" w:sz="0" w:space="0" w:color="auto"/>
                <w:right w:val="none" w:sz="0" w:space="0" w:color="auto"/>
              </w:divBdr>
            </w:div>
          </w:divsChild>
        </w:div>
        <w:div w:id="2005620236">
          <w:marLeft w:val="0"/>
          <w:marRight w:val="0"/>
          <w:marTop w:val="0"/>
          <w:marBottom w:val="0"/>
          <w:divBdr>
            <w:top w:val="none" w:sz="0" w:space="0" w:color="auto"/>
            <w:left w:val="none" w:sz="0" w:space="0" w:color="auto"/>
            <w:bottom w:val="none" w:sz="0" w:space="0" w:color="auto"/>
            <w:right w:val="none" w:sz="0" w:space="0" w:color="auto"/>
          </w:divBdr>
          <w:divsChild>
            <w:div w:id="855728993">
              <w:marLeft w:val="0"/>
              <w:marRight w:val="0"/>
              <w:marTop w:val="0"/>
              <w:marBottom w:val="0"/>
              <w:divBdr>
                <w:top w:val="none" w:sz="0" w:space="0" w:color="auto"/>
                <w:left w:val="none" w:sz="0" w:space="0" w:color="auto"/>
                <w:bottom w:val="none" w:sz="0" w:space="0" w:color="auto"/>
                <w:right w:val="none" w:sz="0" w:space="0" w:color="auto"/>
              </w:divBdr>
            </w:div>
            <w:div w:id="571503440">
              <w:marLeft w:val="0"/>
              <w:marRight w:val="0"/>
              <w:marTop w:val="0"/>
              <w:marBottom w:val="0"/>
              <w:divBdr>
                <w:top w:val="none" w:sz="0" w:space="0" w:color="auto"/>
                <w:left w:val="none" w:sz="0" w:space="0" w:color="auto"/>
                <w:bottom w:val="none" w:sz="0" w:space="0" w:color="auto"/>
                <w:right w:val="none" w:sz="0" w:space="0" w:color="auto"/>
              </w:divBdr>
            </w:div>
          </w:divsChild>
        </w:div>
        <w:div w:id="647787747">
          <w:marLeft w:val="0"/>
          <w:marRight w:val="0"/>
          <w:marTop w:val="0"/>
          <w:marBottom w:val="0"/>
          <w:divBdr>
            <w:top w:val="none" w:sz="0" w:space="0" w:color="auto"/>
            <w:left w:val="none" w:sz="0" w:space="0" w:color="auto"/>
            <w:bottom w:val="none" w:sz="0" w:space="0" w:color="auto"/>
            <w:right w:val="none" w:sz="0" w:space="0" w:color="auto"/>
          </w:divBdr>
        </w:div>
        <w:div w:id="1480414765">
          <w:marLeft w:val="0"/>
          <w:marRight w:val="0"/>
          <w:marTop w:val="0"/>
          <w:marBottom w:val="0"/>
          <w:divBdr>
            <w:top w:val="none" w:sz="0" w:space="0" w:color="auto"/>
            <w:left w:val="none" w:sz="0" w:space="0" w:color="auto"/>
            <w:bottom w:val="none" w:sz="0" w:space="0" w:color="auto"/>
            <w:right w:val="none" w:sz="0" w:space="0" w:color="auto"/>
          </w:divBdr>
        </w:div>
        <w:div w:id="595140195">
          <w:marLeft w:val="0"/>
          <w:marRight w:val="0"/>
          <w:marTop w:val="0"/>
          <w:marBottom w:val="0"/>
          <w:divBdr>
            <w:top w:val="none" w:sz="0" w:space="0" w:color="auto"/>
            <w:left w:val="none" w:sz="0" w:space="0" w:color="auto"/>
            <w:bottom w:val="none" w:sz="0" w:space="0" w:color="auto"/>
            <w:right w:val="none" w:sz="0" w:space="0" w:color="auto"/>
          </w:divBdr>
        </w:div>
      </w:divsChild>
    </w:div>
    <w:div w:id="1078744390">
      <w:bodyDiv w:val="1"/>
      <w:marLeft w:val="0"/>
      <w:marRight w:val="0"/>
      <w:marTop w:val="0"/>
      <w:marBottom w:val="0"/>
      <w:divBdr>
        <w:top w:val="none" w:sz="0" w:space="0" w:color="auto"/>
        <w:left w:val="none" w:sz="0" w:space="0" w:color="auto"/>
        <w:bottom w:val="none" w:sz="0" w:space="0" w:color="auto"/>
        <w:right w:val="none" w:sz="0" w:space="0" w:color="auto"/>
      </w:divBdr>
    </w:div>
    <w:div w:id="1254047216">
      <w:bodyDiv w:val="1"/>
      <w:marLeft w:val="0"/>
      <w:marRight w:val="0"/>
      <w:marTop w:val="0"/>
      <w:marBottom w:val="0"/>
      <w:divBdr>
        <w:top w:val="none" w:sz="0" w:space="0" w:color="auto"/>
        <w:left w:val="none" w:sz="0" w:space="0" w:color="auto"/>
        <w:bottom w:val="none" w:sz="0" w:space="0" w:color="auto"/>
        <w:right w:val="none" w:sz="0" w:space="0" w:color="auto"/>
      </w:divBdr>
    </w:div>
    <w:div w:id="1268274582">
      <w:bodyDiv w:val="1"/>
      <w:marLeft w:val="0"/>
      <w:marRight w:val="0"/>
      <w:marTop w:val="0"/>
      <w:marBottom w:val="0"/>
      <w:divBdr>
        <w:top w:val="none" w:sz="0" w:space="0" w:color="auto"/>
        <w:left w:val="none" w:sz="0" w:space="0" w:color="auto"/>
        <w:bottom w:val="none" w:sz="0" w:space="0" w:color="auto"/>
        <w:right w:val="none" w:sz="0" w:space="0" w:color="auto"/>
      </w:divBdr>
      <w:divsChild>
        <w:div w:id="1947958206">
          <w:marLeft w:val="0"/>
          <w:marRight w:val="0"/>
          <w:marTop w:val="0"/>
          <w:marBottom w:val="0"/>
          <w:divBdr>
            <w:top w:val="none" w:sz="0" w:space="0" w:color="auto"/>
            <w:left w:val="none" w:sz="0" w:space="0" w:color="auto"/>
            <w:bottom w:val="none" w:sz="0" w:space="0" w:color="auto"/>
            <w:right w:val="none" w:sz="0" w:space="0" w:color="auto"/>
          </w:divBdr>
        </w:div>
        <w:div w:id="1703747671">
          <w:marLeft w:val="0"/>
          <w:marRight w:val="0"/>
          <w:marTop w:val="0"/>
          <w:marBottom w:val="0"/>
          <w:divBdr>
            <w:top w:val="none" w:sz="0" w:space="0" w:color="auto"/>
            <w:left w:val="none" w:sz="0" w:space="0" w:color="auto"/>
            <w:bottom w:val="none" w:sz="0" w:space="0" w:color="auto"/>
            <w:right w:val="none" w:sz="0" w:space="0" w:color="auto"/>
          </w:divBdr>
        </w:div>
      </w:divsChild>
    </w:div>
    <w:div w:id="1409889345">
      <w:bodyDiv w:val="1"/>
      <w:marLeft w:val="0"/>
      <w:marRight w:val="0"/>
      <w:marTop w:val="0"/>
      <w:marBottom w:val="0"/>
      <w:divBdr>
        <w:top w:val="none" w:sz="0" w:space="0" w:color="auto"/>
        <w:left w:val="none" w:sz="0" w:space="0" w:color="auto"/>
        <w:bottom w:val="none" w:sz="0" w:space="0" w:color="auto"/>
        <w:right w:val="none" w:sz="0" w:space="0" w:color="auto"/>
      </w:divBdr>
      <w:divsChild>
        <w:div w:id="38013322">
          <w:marLeft w:val="0"/>
          <w:marRight w:val="0"/>
          <w:marTop w:val="0"/>
          <w:marBottom w:val="0"/>
          <w:divBdr>
            <w:top w:val="none" w:sz="0" w:space="0" w:color="auto"/>
            <w:left w:val="none" w:sz="0" w:space="0" w:color="auto"/>
            <w:bottom w:val="none" w:sz="0" w:space="0" w:color="auto"/>
            <w:right w:val="none" w:sz="0" w:space="0" w:color="auto"/>
          </w:divBdr>
        </w:div>
        <w:div w:id="115871806">
          <w:marLeft w:val="0"/>
          <w:marRight w:val="0"/>
          <w:marTop w:val="0"/>
          <w:marBottom w:val="0"/>
          <w:divBdr>
            <w:top w:val="none" w:sz="0" w:space="0" w:color="auto"/>
            <w:left w:val="none" w:sz="0" w:space="0" w:color="auto"/>
            <w:bottom w:val="none" w:sz="0" w:space="0" w:color="auto"/>
            <w:right w:val="none" w:sz="0" w:space="0" w:color="auto"/>
          </w:divBdr>
        </w:div>
        <w:div w:id="770975065">
          <w:marLeft w:val="0"/>
          <w:marRight w:val="0"/>
          <w:marTop w:val="0"/>
          <w:marBottom w:val="0"/>
          <w:divBdr>
            <w:top w:val="none" w:sz="0" w:space="0" w:color="auto"/>
            <w:left w:val="none" w:sz="0" w:space="0" w:color="auto"/>
            <w:bottom w:val="none" w:sz="0" w:space="0" w:color="auto"/>
            <w:right w:val="none" w:sz="0" w:space="0" w:color="auto"/>
          </w:divBdr>
        </w:div>
        <w:div w:id="802963118">
          <w:marLeft w:val="0"/>
          <w:marRight w:val="0"/>
          <w:marTop w:val="0"/>
          <w:marBottom w:val="0"/>
          <w:divBdr>
            <w:top w:val="none" w:sz="0" w:space="0" w:color="auto"/>
            <w:left w:val="none" w:sz="0" w:space="0" w:color="auto"/>
            <w:bottom w:val="none" w:sz="0" w:space="0" w:color="auto"/>
            <w:right w:val="none" w:sz="0" w:space="0" w:color="auto"/>
          </w:divBdr>
        </w:div>
        <w:div w:id="1088238118">
          <w:marLeft w:val="0"/>
          <w:marRight w:val="0"/>
          <w:marTop w:val="0"/>
          <w:marBottom w:val="0"/>
          <w:divBdr>
            <w:top w:val="none" w:sz="0" w:space="0" w:color="auto"/>
            <w:left w:val="none" w:sz="0" w:space="0" w:color="auto"/>
            <w:bottom w:val="none" w:sz="0" w:space="0" w:color="auto"/>
            <w:right w:val="none" w:sz="0" w:space="0" w:color="auto"/>
          </w:divBdr>
        </w:div>
        <w:div w:id="1106005560">
          <w:marLeft w:val="0"/>
          <w:marRight w:val="0"/>
          <w:marTop w:val="0"/>
          <w:marBottom w:val="0"/>
          <w:divBdr>
            <w:top w:val="none" w:sz="0" w:space="0" w:color="auto"/>
            <w:left w:val="none" w:sz="0" w:space="0" w:color="auto"/>
            <w:bottom w:val="none" w:sz="0" w:space="0" w:color="auto"/>
            <w:right w:val="none" w:sz="0" w:space="0" w:color="auto"/>
          </w:divBdr>
        </w:div>
        <w:div w:id="1659916208">
          <w:marLeft w:val="0"/>
          <w:marRight w:val="0"/>
          <w:marTop w:val="0"/>
          <w:marBottom w:val="0"/>
          <w:divBdr>
            <w:top w:val="none" w:sz="0" w:space="0" w:color="auto"/>
            <w:left w:val="none" w:sz="0" w:space="0" w:color="auto"/>
            <w:bottom w:val="none" w:sz="0" w:space="0" w:color="auto"/>
            <w:right w:val="none" w:sz="0" w:space="0" w:color="auto"/>
          </w:divBdr>
        </w:div>
      </w:divsChild>
    </w:div>
    <w:div w:id="1597638492">
      <w:bodyDiv w:val="1"/>
      <w:marLeft w:val="0"/>
      <w:marRight w:val="0"/>
      <w:marTop w:val="0"/>
      <w:marBottom w:val="0"/>
      <w:divBdr>
        <w:top w:val="none" w:sz="0" w:space="0" w:color="auto"/>
        <w:left w:val="none" w:sz="0" w:space="0" w:color="auto"/>
        <w:bottom w:val="none" w:sz="0" w:space="0" w:color="auto"/>
        <w:right w:val="none" w:sz="0" w:space="0" w:color="auto"/>
      </w:divBdr>
      <w:divsChild>
        <w:div w:id="97678495">
          <w:marLeft w:val="0"/>
          <w:marRight w:val="0"/>
          <w:marTop w:val="0"/>
          <w:marBottom w:val="0"/>
          <w:divBdr>
            <w:top w:val="none" w:sz="0" w:space="0" w:color="auto"/>
            <w:left w:val="none" w:sz="0" w:space="0" w:color="auto"/>
            <w:bottom w:val="none" w:sz="0" w:space="0" w:color="auto"/>
            <w:right w:val="none" w:sz="0" w:space="0" w:color="auto"/>
          </w:divBdr>
        </w:div>
        <w:div w:id="925727595">
          <w:marLeft w:val="0"/>
          <w:marRight w:val="0"/>
          <w:marTop w:val="0"/>
          <w:marBottom w:val="0"/>
          <w:divBdr>
            <w:top w:val="none" w:sz="0" w:space="0" w:color="auto"/>
            <w:left w:val="none" w:sz="0" w:space="0" w:color="auto"/>
            <w:bottom w:val="none" w:sz="0" w:space="0" w:color="auto"/>
            <w:right w:val="none" w:sz="0" w:space="0" w:color="auto"/>
          </w:divBdr>
          <w:divsChild>
            <w:div w:id="425659881">
              <w:marLeft w:val="0"/>
              <w:marRight w:val="0"/>
              <w:marTop w:val="0"/>
              <w:marBottom w:val="0"/>
              <w:divBdr>
                <w:top w:val="none" w:sz="0" w:space="0" w:color="auto"/>
                <w:left w:val="none" w:sz="0" w:space="0" w:color="auto"/>
                <w:bottom w:val="none" w:sz="0" w:space="0" w:color="auto"/>
                <w:right w:val="none" w:sz="0" w:space="0" w:color="auto"/>
              </w:divBdr>
            </w:div>
            <w:div w:id="596181164">
              <w:marLeft w:val="0"/>
              <w:marRight w:val="0"/>
              <w:marTop w:val="0"/>
              <w:marBottom w:val="0"/>
              <w:divBdr>
                <w:top w:val="none" w:sz="0" w:space="0" w:color="auto"/>
                <w:left w:val="none" w:sz="0" w:space="0" w:color="auto"/>
                <w:bottom w:val="none" w:sz="0" w:space="0" w:color="auto"/>
                <w:right w:val="none" w:sz="0" w:space="0" w:color="auto"/>
              </w:divBdr>
            </w:div>
            <w:div w:id="1208639451">
              <w:marLeft w:val="0"/>
              <w:marRight w:val="0"/>
              <w:marTop w:val="0"/>
              <w:marBottom w:val="0"/>
              <w:divBdr>
                <w:top w:val="none" w:sz="0" w:space="0" w:color="auto"/>
                <w:left w:val="none" w:sz="0" w:space="0" w:color="auto"/>
                <w:bottom w:val="none" w:sz="0" w:space="0" w:color="auto"/>
                <w:right w:val="none" w:sz="0" w:space="0" w:color="auto"/>
              </w:divBdr>
            </w:div>
            <w:div w:id="2031292228">
              <w:marLeft w:val="0"/>
              <w:marRight w:val="0"/>
              <w:marTop w:val="0"/>
              <w:marBottom w:val="0"/>
              <w:divBdr>
                <w:top w:val="none" w:sz="0" w:space="0" w:color="auto"/>
                <w:left w:val="none" w:sz="0" w:space="0" w:color="auto"/>
                <w:bottom w:val="none" w:sz="0" w:space="0" w:color="auto"/>
                <w:right w:val="none" w:sz="0" w:space="0" w:color="auto"/>
              </w:divBdr>
            </w:div>
          </w:divsChild>
        </w:div>
        <w:div w:id="1345979103">
          <w:marLeft w:val="0"/>
          <w:marRight w:val="0"/>
          <w:marTop w:val="0"/>
          <w:marBottom w:val="0"/>
          <w:divBdr>
            <w:top w:val="none" w:sz="0" w:space="0" w:color="auto"/>
            <w:left w:val="none" w:sz="0" w:space="0" w:color="auto"/>
            <w:bottom w:val="none" w:sz="0" w:space="0" w:color="auto"/>
            <w:right w:val="none" w:sz="0" w:space="0" w:color="auto"/>
          </w:divBdr>
          <w:divsChild>
            <w:div w:id="1898395219">
              <w:marLeft w:val="0"/>
              <w:marRight w:val="0"/>
              <w:marTop w:val="0"/>
              <w:marBottom w:val="0"/>
              <w:divBdr>
                <w:top w:val="none" w:sz="0" w:space="0" w:color="auto"/>
                <w:left w:val="none" w:sz="0" w:space="0" w:color="auto"/>
                <w:bottom w:val="none" w:sz="0" w:space="0" w:color="auto"/>
                <w:right w:val="none" w:sz="0" w:space="0" w:color="auto"/>
              </w:divBdr>
            </w:div>
            <w:div w:id="659846885">
              <w:marLeft w:val="0"/>
              <w:marRight w:val="0"/>
              <w:marTop w:val="0"/>
              <w:marBottom w:val="0"/>
              <w:divBdr>
                <w:top w:val="none" w:sz="0" w:space="0" w:color="auto"/>
                <w:left w:val="none" w:sz="0" w:space="0" w:color="auto"/>
                <w:bottom w:val="none" w:sz="0" w:space="0" w:color="auto"/>
                <w:right w:val="none" w:sz="0" w:space="0" w:color="auto"/>
              </w:divBdr>
            </w:div>
          </w:divsChild>
        </w:div>
        <w:div w:id="1422019616">
          <w:marLeft w:val="0"/>
          <w:marRight w:val="0"/>
          <w:marTop w:val="0"/>
          <w:marBottom w:val="0"/>
          <w:divBdr>
            <w:top w:val="none" w:sz="0" w:space="0" w:color="auto"/>
            <w:left w:val="none" w:sz="0" w:space="0" w:color="auto"/>
            <w:bottom w:val="none" w:sz="0" w:space="0" w:color="auto"/>
            <w:right w:val="none" w:sz="0" w:space="0" w:color="auto"/>
          </w:divBdr>
          <w:divsChild>
            <w:div w:id="846288074">
              <w:marLeft w:val="0"/>
              <w:marRight w:val="0"/>
              <w:marTop w:val="0"/>
              <w:marBottom w:val="0"/>
              <w:divBdr>
                <w:top w:val="none" w:sz="0" w:space="0" w:color="auto"/>
                <w:left w:val="none" w:sz="0" w:space="0" w:color="auto"/>
                <w:bottom w:val="none" w:sz="0" w:space="0" w:color="auto"/>
                <w:right w:val="none" w:sz="0" w:space="0" w:color="auto"/>
              </w:divBdr>
            </w:div>
            <w:div w:id="1564560808">
              <w:marLeft w:val="0"/>
              <w:marRight w:val="0"/>
              <w:marTop w:val="0"/>
              <w:marBottom w:val="0"/>
              <w:divBdr>
                <w:top w:val="none" w:sz="0" w:space="0" w:color="auto"/>
                <w:left w:val="none" w:sz="0" w:space="0" w:color="auto"/>
                <w:bottom w:val="none" w:sz="0" w:space="0" w:color="auto"/>
                <w:right w:val="none" w:sz="0" w:space="0" w:color="auto"/>
              </w:divBdr>
            </w:div>
          </w:divsChild>
        </w:div>
        <w:div w:id="2081516573">
          <w:marLeft w:val="0"/>
          <w:marRight w:val="0"/>
          <w:marTop w:val="0"/>
          <w:marBottom w:val="0"/>
          <w:divBdr>
            <w:top w:val="none" w:sz="0" w:space="0" w:color="auto"/>
            <w:left w:val="none" w:sz="0" w:space="0" w:color="auto"/>
            <w:bottom w:val="none" w:sz="0" w:space="0" w:color="auto"/>
            <w:right w:val="none" w:sz="0" w:space="0" w:color="auto"/>
          </w:divBdr>
        </w:div>
        <w:div w:id="1079906409">
          <w:marLeft w:val="0"/>
          <w:marRight w:val="0"/>
          <w:marTop w:val="0"/>
          <w:marBottom w:val="0"/>
          <w:divBdr>
            <w:top w:val="none" w:sz="0" w:space="0" w:color="auto"/>
            <w:left w:val="none" w:sz="0" w:space="0" w:color="auto"/>
            <w:bottom w:val="none" w:sz="0" w:space="0" w:color="auto"/>
            <w:right w:val="none" w:sz="0" w:space="0" w:color="auto"/>
          </w:divBdr>
        </w:div>
        <w:div w:id="550121064">
          <w:marLeft w:val="0"/>
          <w:marRight w:val="0"/>
          <w:marTop w:val="0"/>
          <w:marBottom w:val="0"/>
          <w:divBdr>
            <w:top w:val="none" w:sz="0" w:space="0" w:color="auto"/>
            <w:left w:val="none" w:sz="0" w:space="0" w:color="auto"/>
            <w:bottom w:val="none" w:sz="0" w:space="0" w:color="auto"/>
            <w:right w:val="none" w:sz="0" w:space="0" w:color="auto"/>
          </w:divBdr>
        </w:div>
      </w:divsChild>
    </w:div>
    <w:div w:id="1633827539">
      <w:bodyDiv w:val="1"/>
      <w:marLeft w:val="0"/>
      <w:marRight w:val="0"/>
      <w:marTop w:val="0"/>
      <w:marBottom w:val="0"/>
      <w:divBdr>
        <w:top w:val="none" w:sz="0" w:space="0" w:color="auto"/>
        <w:left w:val="none" w:sz="0" w:space="0" w:color="auto"/>
        <w:bottom w:val="none" w:sz="0" w:space="0" w:color="auto"/>
        <w:right w:val="none" w:sz="0" w:space="0" w:color="auto"/>
      </w:divBdr>
      <w:divsChild>
        <w:div w:id="437994476">
          <w:marLeft w:val="0"/>
          <w:marRight w:val="0"/>
          <w:marTop w:val="0"/>
          <w:marBottom w:val="0"/>
          <w:divBdr>
            <w:top w:val="none" w:sz="0" w:space="0" w:color="auto"/>
            <w:left w:val="none" w:sz="0" w:space="0" w:color="auto"/>
            <w:bottom w:val="none" w:sz="0" w:space="0" w:color="auto"/>
            <w:right w:val="none" w:sz="0" w:space="0" w:color="auto"/>
          </w:divBdr>
        </w:div>
        <w:div w:id="1886287955">
          <w:marLeft w:val="0"/>
          <w:marRight w:val="0"/>
          <w:marTop w:val="0"/>
          <w:marBottom w:val="0"/>
          <w:divBdr>
            <w:top w:val="none" w:sz="0" w:space="0" w:color="auto"/>
            <w:left w:val="none" w:sz="0" w:space="0" w:color="auto"/>
            <w:bottom w:val="none" w:sz="0" w:space="0" w:color="auto"/>
            <w:right w:val="none" w:sz="0" w:space="0" w:color="auto"/>
          </w:divBdr>
          <w:divsChild>
            <w:div w:id="1629772479">
              <w:marLeft w:val="0"/>
              <w:marRight w:val="0"/>
              <w:marTop w:val="0"/>
              <w:marBottom w:val="0"/>
              <w:divBdr>
                <w:top w:val="none" w:sz="0" w:space="0" w:color="auto"/>
                <w:left w:val="none" w:sz="0" w:space="0" w:color="auto"/>
                <w:bottom w:val="none" w:sz="0" w:space="0" w:color="auto"/>
                <w:right w:val="none" w:sz="0" w:space="0" w:color="auto"/>
              </w:divBdr>
            </w:div>
            <w:div w:id="2057659506">
              <w:marLeft w:val="0"/>
              <w:marRight w:val="0"/>
              <w:marTop w:val="0"/>
              <w:marBottom w:val="0"/>
              <w:divBdr>
                <w:top w:val="none" w:sz="0" w:space="0" w:color="auto"/>
                <w:left w:val="none" w:sz="0" w:space="0" w:color="auto"/>
                <w:bottom w:val="none" w:sz="0" w:space="0" w:color="auto"/>
                <w:right w:val="none" w:sz="0" w:space="0" w:color="auto"/>
              </w:divBdr>
            </w:div>
            <w:div w:id="495152153">
              <w:marLeft w:val="0"/>
              <w:marRight w:val="0"/>
              <w:marTop w:val="0"/>
              <w:marBottom w:val="0"/>
              <w:divBdr>
                <w:top w:val="none" w:sz="0" w:space="0" w:color="auto"/>
                <w:left w:val="none" w:sz="0" w:space="0" w:color="auto"/>
                <w:bottom w:val="none" w:sz="0" w:space="0" w:color="auto"/>
                <w:right w:val="none" w:sz="0" w:space="0" w:color="auto"/>
              </w:divBdr>
            </w:div>
            <w:div w:id="886599193">
              <w:marLeft w:val="0"/>
              <w:marRight w:val="0"/>
              <w:marTop w:val="0"/>
              <w:marBottom w:val="0"/>
              <w:divBdr>
                <w:top w:val="none" w:sz="0" w:space="0" w:color="auto"/>
                <w:left w:val="none" w:sz="0" w:space="0" w:color="auto"/>
                <w:bottom w:val="none" w:sz="0" w:space="0" w:color="auto"/>
                <w:right w:val="none" w:sz="0" w:space="0" w:color="auto"/>
              </w:divBdr>
            </w:div>
          </w:divsChild>
        </w:div>
        <w:div w:id="319385241">
          <w:marLeft w:val="0"/>
          <w:marRight w:val="0"/>
          <w:marTop w:val="0"/>
          <w:marBottom w:val="0"/>
          <w:divBdr>
            <w:top w:val="none" w:sz="0" w:space="0" w:color="auto"/>
            <w:left w:val="none" w:sz="0" w:space="0" w:color="auto"/>
            <w:bottom w:val="none" w:sz="0" w:space="0" w:color="auto"/>
            <w:right w:val="none" w:sz="0" w:space="0" w:color="auto"/>
          </w:divBdr>
          <w:divsChild>
            <w:div w:id="1066731210">
              <w:marLeft w:val="0"/>
              <w:marRight w:val="0"/>
              <w:marTop w:val="0"/>
              <w:marBottom w:val="0"/>
              <w:divBdr>
                <w:top w:val="none" w:sz="0" w:space="0" w:color="auto"/>
                <w:left w:val="none" w:sz="0" w:space="0" w:color="auto"/>
                <w:bottom w:val="none" w:sz="0" w:space="0" w:color="auto"/>
                <w:right w:val="none" w:sz="0" w:space="0" w:color="auto"/>
              </w:divBdr>
            </w:div>
            <w:div w:id="1997218018">
              <w:marLeft w:val="0"/>
              <w:marRight w:val="0"/>
              <w:marTop w:val="0"/>
              <w:marBottom w:val="0"/>
              <w:divBdr>
                <w:top w:val="none" w:sz="0" w:space="0" w:color="auto"/>
                <w:left w:val="none" w:sz="0" w:space="0" w:color="auto"/>
                <w:bottom w:val="none" w:sz="0" w:space="0" w:color="auto"/>
                <w:right w:val="none" w:sz="0" w:space="0" w:color="auto"/>
              </w:divBdr>
            </w:div>
          </w:divsChild>
        </w:div>
        <w:div w:id="856188102">
          <w:marLeft w:val="0"/>
          <w:marRight w:val="0"/>
          <w:marTop w:val="0"/>
          <w:marBottom w:val="0"/>
          <w:divBdr>
            <w:top w:val="none" w:sz="0" w:space="0" w:color="auto"/>
            <w:left w:val="none" w:sz="0" w:space="0" w:color="auto"/>
            <w:bottom w:val="none" w:sz="0" w:space="0" w:color="auto"/>
            <w:right w:val="none" w:sz="0" w:space="0" w:color="auto"/>
          </w:divBdr>
          <w:divsChild>
            <w:div w:id="2062828873">
              <w:marLeft w:val="0"/>
              <w:marRight w:val="0"/>
              <w:marTop w:val="0"/>
              <w:marBottom w:val="0"/>
              <w:divBdr>
                <w:top w:val="none" w:sz="0" w:space="0" w:color="auto"/>
                <w:left w:val="none" w:sz="0" w:space="0" w:color="auto"/>
                <w:bottom w:val="none" w:sz="0" w:space="0" w:color="auto"/>
                <w:right w:val="none" w:sz="0" w:space="0" w:color="auto"/>
              </w:divBdr>
            </w:div>
            <w:div w:id="659308603">
              <w:marLeft w:val="0"/>
              <w:marRight w:val="0"/>
              <w:marTop w:val="0"/>
              <w:marBottom w:val="0"/>
              <w:divBdr>
                <w:top w:val="none" w:sz="0" w:space="0" w:color="auto"/>
                <w:left w:val="none" w:sz="0" w:space="0" w:color="auto"/>
                <w:bottom w:val="none" w:sz="0" w:space="0" w:color="auto"/>
                <w:right w:val="none" w:sz="0" w:space="0" w:color="auto"/>
              </w:divBdr>
            </w:div>
          </w:divsChild>
        </w:div>
        <w:div w:id="460341901">
          <w:marLeft w:val="0"/>
          <w:marRight w:val="0"/>
          <w:marTop w:val="0"/>
          <w:marBottom w:val="0"/>
          <w:divBdr>
            <w:top w:val="none" w:sz="0" w:space="0" w:color="auto"/>
            <w:left w:val="none" w:sz="0" w:space="0" w:color="auto"/>
            <w:bottom w:val="none" w:sz="0" w:space="0" w:color="auto"/>
            <w:right w:val="none" w:sz="0" w:space="0" w:color="auto"/>
          </w:divBdr>
        </w:div>
        <w:div w:id="1206526422">
          <w:marLeft w:val="0"/>
          <w:marRight w:val="0"/>
          <w:marTop w:val="0"/>
          <w:marBottom w:val="0"/>
          <w:divBdr>
            <w:top w:val="none" w:sz="0" w:space="0" w:color="auto"/>
            <w:left w:val="none" w:sz="0" w:space="0" w:color="auto"/>
            <w:bottom w:val="none" w:sz="0" w:space="0" w:color="auto"/>
            <w:right w:val="none" w:sz="0" w:space="0" w:color="auto"/>
          </w:divBdr>
        </w:div>
        <w:div w:id="278680875">
          <w:marLeft w:val="0"/>
          <w:marRight w:val="0"/>
          <w:marTop w:val="0"/>
          <w:marBottom w:val="0"/>
          <w:divBdr>
            <w:top w:val="none" w:sz="0" w:space="0" w:color="auto"/>
            <w:left w:val="none" w:sz="0" w:space="0" w:color="auto"/>
            <w:bottom w:val="none" w:sz="0" w:space="0" w:color="auto"/>
            <w:right w:val="none" w:sz="0" w:space="0" w:color="auto"/>
          </w:divBdr>
        </w:div>
      </w:divsChild>
    </w:div>
    <w:div w:id="1642928139">
      <w:bodyDiv w:val="1"/>
      <w:marLeft w:val="0"/>
      <w:marRight w:val="0"/>
      <w:marTop w:val="0"/>
      <w:marBottom w:val="0"/>
      <w:divBdr>
        <w:top w:val="none" w:sz="0" w:space="0" w:color="auto"/>
        <w:left w:val="none" w:sz="0" w:space="0" w:color="auto"/>
        <w:bottom w:val="none" w:sz="0" w:space="0" w:color="auto"/>
        <w:right w:val="none" w:sz="0" w:space="0" w:color="auto"/>
      </w:divBdr>
    </w:div>
    <w:div w:id="1745057603">
      <w:bodyDiv w:val="1"/>
      <w:marLeft w:val="0"/>
      <w:marRight w:val="0"/>
      <w:marTop w:val="0"/>
      <w:marBottom w:val="0"/>
      <w:divBdr>
        <w:top w:val="none" w:sz="0" w:space="0" w:color="auto"/>
        <w:left w:val="none" w:sz="0" w:space="0" w:color="auto"/>
        <w:bottom w:val="none" w:sz="0" w:space="0" w:color="auto"/>
        <w:right w:val="none" w:sz="0" w:space="0" w:color="auto"/>
      </w:divBdr>
      <w:divsChild>
        <w:div w:id="238906852">
          <w:marLeft w:val="0"/>
          <w:marRight w:val="0"/>
          <w:marTop w:val="0"/>
          <w:marBottom w:val="0"/>
          <w:divBdr>
            <w:top w:val="none" w:sz="0" w:space="0" w:color="auto"/>
            <w:left w:val="none" w:sz="0" w:space="0" w:color="auto"/>
            <w:bottom w:val="none" w:sz="0" w:space="0" w:color="auto"/>
            <w:right w:val="none" w:sz="0" w:space="0" w:color="auto"/>
          </w:divBdr>
        </w:div>
        <w:div w:id="247232815">
          <w:marLeft w:val="0"/>
          <w:marRight w:val="0"/>
          <w:marTop w:val="0"/>
          <w:marBottom w:val="0"/>
          <w:divBdr>
            <w:top w:val="none" w:sz="0" w:space="0" w:color="auto"/>
            <w:left w:val="none" w:sz="0" w:space="0" w:color="auto"/>
            <w:bottom w:val="none" w:sz="0" w:space="0" w:color="auto"/>
            <w:right w:val="none" w:sz="0" w:space="0" w:color="auto"/>
          </w:divBdr>
        </w:div>
        <w:div w:id="1050806134">
          <w:marLeft w:val="0"/>
          <w:marRight w:val="0"/>
          <w:marTop w:val="0"/>
          <w:marBottom w:val="0"/>
          <w:divBdr>
            <w:top w:val="none" w:sz="0" w:space="0" w:color="auto"/>
            <w:left w:val="none" w:sz="0" w:space="0" w:color="auto"/>
            <w:bottom w:val="none" w:sz="0" w:space="0" w:color="auto"/>
            <w:right w:val="none" w:sz="0" w:space="0" w:color="auto"/>
          </w:divBdr>
        </w:div>
        <w:div w:id="1277055109">
          <w:marLeft w:val="0"/>
          <w:marRight w:val="0"/>
          <w:marTop w:val="0"/>
          <w:marBottom w:val="0"/>
          <w:divBdr>
            <w:top w:val="none" w:sz="0" w:space="0" w:color="auto"/>
            <w:left w:val="none" w:sz="0" w:space="0" w:color="auto"/>
            <w:bottom w:val="none" w:sz="0" w:space="0" w:color="auto"/>
            <w:right w:val="none" w:sz="0" w:space="0" w:color="auto"/>
          </w:divBdr>
        </w:div>
        <w:div w:id="1631981768">
          <w:marLeft w:val="0"/>
          <w:marRight w:val="0"/>
          <w:marTop w:val="0"/>
          <w:marBottom w:val="0"/>
          <w:divBdr>
            <w:top w:val="none" w:sz="0" w:space="0" w:color="auto"/>
            <w:left w:val="none" w:sz="0" w:space="0" w:color="auto"/>
            <w:bottom w:val="none" w:sz="0" w:space="0" w:color="auto"/>
            <w:right w:val="none" w:sz="0" w:space="0" w:color="auto"/>
          </w:divBdr>
        </w:div>
        <w:div w:id="1632590418">
          <w:marLeft w:val="0"/>
          <w:marRight w:val="0"/>
          <w:marTop w:val="0"/>
          <w:marBottom w:val="0"/>
          <w:divBdr>
            <w:top w:val="none" w:sz="0" w:space="0" w:color="auto"/>
            <w:left w:val="none" w:sz="0" w:space="0" w:color="auto"/>
            <w:bottom w:val="none" w:sz="0" w:space="0" w:color="auto"/>
            <w:right w:val="none" w:sz="0" w:space="0" w:color="auto"/>
          </w:divBdr>
        </w:div>
        <w:div w:id="1755936942">
          <w:marLeft w:val="0"/>
          <w:marRight w:val="0"/>
          <w:marTop w:val="0"/>
          <w:marBottom w:val="0"/>
          <w:divBdr>
            <w:top w:val="none" w:sz="0" w:space="0" w:color="auto"/>
            <w:left w:val="none" w:sz="0" w:space="0" w:color="auto"/>
            <w:bottom w:val="none" w:sz="0" w:space="0" w:color="auto"/>
            <w:right w:val="none" w:sz="0" w:space="0" w:color="auto"/>
          </w:divBdr>
        </w:div>
      </w:divsChild>
    </w:div>
    <w:div w:id="1752695253">
      <w:bodyDiv w:val="1"/>
      <w:marLeft w:val="0"/>
      <w:marRight w:val="0"/>
      <w:marTop w:val="0"/>
      <w:marBottom w:val="0"/>
      <w:divBdr>
        <w:top w:val="none" w:sz="0" w:space="0" w:color="auto"/>
        <w:left w:val="none" w:sz="0" w:space="0" w:color="auto"/>
        <w:bottom w:val="none" w:sz="0" w:space="0" w:color="auto"/>
        <w:right w:val="none" w:sz="0" w:space="0" w:color="auto"/>
      </w:divBdr>
    </w:div>
    <w:div w:id="1808430612">
      <w:bodyDiv w:val="1"/>
      <w:marLeft w:val="0"/>
      <w:marRight w:val="0"/>
      <w:marTop w:val="0"/>
      <w:marBottom w:val="0"/>
      <w:divBdr>
        <w:top w:val="none" w:sz="0" w:space="0" w:color="auto"/>
        <w:left w:val="none" w:sz="0" w:space="0" w:color="auto"/>
        <w:bottom w:val="none" w:sz="0" w:space="0" w:color="auto"/>
        <w:right w:val="none" w:sz="0" w:space="0" w:color="auto"/>
      </w:divBdr>
      <w:divsChild>
        <w:div w:id="903494849">
          <w:marLeft w:val="0"/>
          <w:marRight w:val="0"/>
          <w:marTop w:val="0"/>
          <w:marBottom w:val="0"/>
          <w:divBdr>
            <w:top w:val="none" w:sz="0" w:space="0" w:color="auto"/>
            <w:left w:val="none" w:sz="0" w:space="0" w:color="auto"/>
            <w:bottom w:val="none" w:sz="0" w:space="0" w:color="auto"/>
            <w:right w:val="none" w:sz="0" w:space="0" w:color="auto"/>
          </w:divBdr>
        </w:div>
        <w:div w:id="1466044516">
          <w:marLeft w:val="0"/>
          <w:marRight w:val="0"/>
          <w:marTop w:val="0"/>
          <w:marBottom w:val="0"/>
          <w:divBdr>
            <w:top w:val="none" w:sz="0" w:space="0" w:color="auto"/>
            <w:left w:val="none" w:sz="0" w:space="0" w:color="auto"/>
            <w:bottom w:val="none" w:sz="0" w:space="0" w:color="auto"/>
            <w:right w:val="none" w:sz="0" w:space="0" w:color="auto"/>
          </w:divBdr>
        </w:div>
        <w:div w:id="1920210176">
          <w:marLeft w:val="0"/>
          <w:marRight w:val="0"/>
          <w:marTop w:val="0"/>
          <w:marBottom w:val="0"/>
          <w:divBdr>
            <w:top w:val="none" w:sz="0" w:space="0" w:color="auto"/>
            <w:left w:val="none" w:sz="0" w:space="0" w:color="auto"/>
            <w:bottom w:val="none" w:sz="0" w:space="0" w:color="auto"/>
            <w:right w:val="none" w:sz="0" w:space="0" w:color="auto"/>
          </w:divBdr>
        </w:div>
      </w:divsChild>
    </w:div>
    <w:div w:id="1961912355">
      <w:bodyDiv w:val="1"/>
      <w:marLeft w:val="0"/>
      <w:marRight w:val="0"/>
      <w:marTop w:val="0"/>
      <w:marBottom w:val="0"/>
      <w:divBdr>
        <w:top w:val="none" w:sz="0" w:space="0" w:color="auto"/>
        <w:left w:val="none" w:sz="0" w:space="0" w:color="auto"/>
        <w:bottom w:val="none" w:sz="0" w:space="0" w:color="auto"/>
        <w:right w:val="none" w:sz="0" w:space="0" w:color="auto"/>
      </w:divBdr>
    </w:div>
    <w:div w:id="1972664482">
      <w:bodyDiv w:val="1"/>
      <w:marLeft w:val="0"/>
      <w:marRight w:val="0"/>
      <w:marTop w:val="0"/>
      <w:marBottom w:val="0"/>
      <w:divBdr>
        <w:top w:val="none" w:sz="0" w:space="0" w:color="auto"/>
        <w:left w:val="none" w:sz="0" w:space="0" w:color="auto"/>
        <w:bottom w:val="none" w:sz="0" w:space="0" w:color="auto"/>
        <w:right w:val="none" w:sz="0" w:space="0" w:color="auto"/>
      </w:divBdr>
      <w:divsChild>
        <w:div w:id="800534164">
          <w:marLeft w:val="0"/>
          <w:marRight w:val="0"/>
          <w:marTop w:val="0"/>
          <w:marBottom w:val="0"/>
          <w:divBdr>
            <w:top w:val="none" w:sz="0" w:space="0" w:color="auto"/>
            <w:left w:val="none" w:sz="0" w:space="0" w:color="auto"/>
            <w:bottom w:val="none" w:sz="0" w:space="0" w:color="auto"/>
            <w:right w:val="none" w:sz="0" w:space="0" w:color="auto"/>
          </w:divBdr>
          <w:divsChild>
            <w:div w:id="23050382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3621529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82909874">
                      <w:marLeft w:val="0"/>
                      <w:marRight w:val="0"/>
                      <w:marTop w:val="0"/>
                      <w:marBottom w:val="0"/>
                      <w:divBdr>
                        <w:top w:val="none" w:sz="0" w:space="0" w:color="auto"/>
                        <w:left w:val="none" w:sz="0" w:space="0" w:color="auto"/>
                        <w:bottom w:val="none" w:sz="0" w:space="0" w:color="auto"/>
                        <w:right w:val="none" w:sz="0" w:space="0" w:color="auto"/>
                      </w:divBdr>
                      <w:divsChild>
                        <w:div w:id="13758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462">
              <w:marLeft w:val="0"/>
              <w:marRight w:val="0"/>
              <w:marTop w:val="0"/>
              <w:marBottom w:val="0"/>
              <w:divBdr>
                <w:top w:val="none" w:sz="0" w:space="0" w:color="auto"/>
                <w:left w:val="none" w:sz="0" w:space="0" w:color="auto"/>
                <w:bottom w:val="none" w:sz="0" w:space="0" w:color="auto"/>
                <w:right w:val="none" w:sz="0" w:space="0" w:color="auto"/>
              </w:divBdr>
              <w:divsChild>
                <w:div w:id="787965840">
                  <w:marLeft w:val="0"/>
                  <w:marRight w:val="0"/>
                  <w:marTop w:val="0"/>
                  <w:marBottom w:val="0"/>
                  <w:divBdr>
                    <w:top w:val="none" w:sz="0" w:space="0" w:color="auto"/>
                    <w:left w:val="none" w:sz="0" w:space="0" w:color="auto"/>
                    <w:bottom w:val="none" w:sz="0" w:space="0" w:color="auto"/>
                    <w:right w:val="none" w:sz="0" w:space="0" w:color="auto"/>
                  </w:divBdr>
                  <w:divsChild>
                    <w:div w:id="5498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700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09277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14742603">
                  <w:marLeft w:val="0"/>
                  <w:marRight w:val="0"/>
                  <w:marTop w:val="0"/>
                  <w:marBottom w:val="0"/>
                  <w:divBdr>
                    <w:top w:val="none" w:sz="0" w:space="0" w:color="auto"/>
                    <w:left w:val="none" w:sz="0" w:space="0" w:color="auto"/>
                    <w:bottom w:val="none" w:sz="0" w:space="0" w:color="auto"/>
                    <w:right w:val="none" w:sz="0" w:space="0" w:color="auto"/>
                  </w:divBdr>
                  <w:divsChild>
                    <w:div w:id="150196322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2158600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6772410">
                              <w:marLeft w:val="0"/>
                              <w:marRight w:val="0"/>
                              <w:marTop w:val="0"/>
                              <w:marBottom w:val="0"/>
                              <w:divBdr>
                                <w:top w:val="none" w:sz="0" w:space="0" w:color="auto"/>
                                <w:left w:val="none" w:sz="0" w:space="0" w:color="auto"/>
                                <w:bottom w:val="none" w:sz="0" w:space="0" w:color="auto"/>
                                <w:right w:val="none" w:sz="0" w:space="0" w:color="auto"/>
                              </w:divBdr>
                              <w:divsChild>
                                <w:div w:id="1209417689">
                                  <w:marLeft w:val="0"/>
                                  <w:marRight w:val="0"/>
                                  <w:marTop w:val="0"/>
                                  <w:marBottom w:val="0"/>
                                  <w:divBdr>
                                    <w:top w:val="none" w:sz="0" w:space="0" w:color="auto"/>
                                    <w:left w:val="none" w:sz="0" w:space="0" w:color="auto"/>
                                    <w:bottom w:val="none" w:sz="0" w:space="0" w:color="auto"/>
                                    <w:right w:val="none" w:sz="0" w:space="0" w:color="auto"/>
                                  </w:divBdr>
                                  <w:divsChild>
                                    <w:div w:id="411707283">
                                      <w:marLeft w:val="0"/>
                                      <w:marRight w:val="0"/>
                                      <w:marTop w:val="0"/>
                                      <w:marBottom w:val="0"/>
                                      <w:divBdr>
                                        <w:top w:val="none" w:sz="0" w:space="0" w:color="auto"/>
                                        <w:left w:val="none" w:sz="0" w:space="0" w:color="auto"/>
                                        <w:bottom w:val="none" w:sz="0" w:space="0" w:color="auto"/>
                                        <w:right w:val="none" w:sz="0" w:space="0" w:color="auto"/>
                                      </w:divBdr>
                                      <w:divsChild>
                                        <w:div w:id="2805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04183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2396676">
                  <w:marLeft w:val="0"/>
                  <w:marRight w:val="0"/>
                  <w:marTop w:val="0"/>
                  <w:marBottom w:val="0"/>
                  <w:divBdr>
                    <w:top w:val="none" w:sz="0" w:space="0" w:color="auto"/>
                    <w:left w:val="none" w:sz="0" w:space="0" w:color="auto"/>
                    <w:bottom w:val="none" w:sz="0" w:space="0" w:color="auto"/>
                    <w:right w:val="none" w:sz="0" w:space="0" w:color="auto"/>
                  </w:divBdr>
                  <w:divsChild>
                    <w:div w:id="1486360299">
                      <w:marLeft w:val="0"/>
                      <w:marRight w:val="0"/>
                      <w:marTop w:val="0"/>
                      <w:marBottom w:val="0"/>
                      <w:divBdr>
                        <w:top w:val="none" w:sz="0" w:space="0" w:color="auto"/>
                        <w:left w:val="none" w:sz="0" w:space="0" w:color="auto"/>
                        <w:bottom w:val="none" w:sz="0" w:space="0" w:color="auto"/>
                        <w:right w:val="none" w:sz="0" w:space="0" w:color="auto"/>
                      </w:divBdr>
                      <w:divsChild>
                        <w:div w:id="114858885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6763798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53078649">
                                  <w:marLeft w:val="0"/>
                                  <w:marRight w:val="0"/>
                                  <w:marTop w:val="0"/>
                                  <w:marBottom w:val="0"/>
                                  <w:divBdr>
                                    <w:top w:val="none" w:sz="0" w:space="0" w:color="auto"/>
                                    <w:left w:val="none" w:sz="0" w:space="0" w:color="auto"/>
                                    <w:bottom w:val="none" w:sz="0" w:space="0" w:color="auto"/>
                                    <w:right w:val="none" w:sz="0" w:space="0" w:color="auto"/>
                                  </w:divBdr>
                                  <w:divsChild>
                                    <w:div w:id="4776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542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38626547">
                  <w:marLeft w:val="0"/>
                  <w:marRight w:val="0"/>
                  <w:marTop w:val="0"/>
                  <w:marBottom w:val="0"/>
                  <w:divBdr>
                    <w:top w:val="none" w:sz="0" w:space="0" w:color="auto"/>
                    <w:left w:val="none" w:sz="0" w:space="0" w:color="auto"/>
                    <w:bottom w:val="none" w:sz="0" w:space="0" w:color="auto"/>
                    <w:right w:val="none" w:sz="0" w:space="0" w:color="auto"/>
                  </w:divBdr>
                  <w:divsChild>
                    <w:div w:id="146184760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8432978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71455790">
                              <w:marLeft w:val="0"/>
                              <w:marRight w:val="0"/>
                              <w:marTop w:val="0"/>
                              <w:marBottom w:val="0"/>
                              <w:divBdr>
                                <w:top w:val="none" w:sz="0" w:space="0" w:color="auto"/>
                                <w:left w:val="none" w:sz="0" w:space="0" w:color="auto"/>
                                <w:bottom w:val="none" w:sz="0" w:space="0" w:color="auto"/>
                                <w:right w:val="none" w:sz="0" w:space="0" w:color="auto"/>
                              </w:divBdr>
                              <w:divsChild>
                                <w:div w:id="561404655">
                                  <w:marLeft w:val="0"/>
                                  <w:marRight w:val="0"/>
                                  <w:marTop w:val="0"/>
                                  <w:marBottom w:val="0"/>
                                  <w:divBdr>
                                    <w:top w:val="none" w:sz="0" w:space="0" w:color="auto"/>
                                    <w:left w:val="none" w:sz="0" w:space="0" w:color="auto"/>
                                    <w:bottom w:val="none" w:sz="0" w:space="0" w:color="auto"/>
                                    <w:right w:val="none" w:sz="0" w:space="0" w:color="auto"/>
                                  </w:divBdr>
                                  <w:divsChild>
                                    <w:div w:id="2025134756">
                                      <w:marLeft w:val="0"/>
                                      <w:marRight w:val="0"/>
                                      <w:marTop w:val="0"/>
                                      <w:marBottom w:val="0"/>
                                      <w:divBdr>
                                        <w:top w:val="none" w:sz="0" w:space="0" w:color="auto"/>
                                        <w:left w:val="none" w:sz="0" w:space="0" w:color="auto"/>
                                        <w:bottom w:val="none" w:sz="0" w:space="0" w:color="auto"/>
                                        <w:right w:val="none" w:sz="0" w:space="0" w:color="auto"/>
                                      </w:divBdr>
                                      <w:divsChild>
                                        <w:div w:id="20437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17987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953827468">
                  <w:marLeft w:val="0"/>
                  <w:marRight w:val="0"/>
                  <w:marTop w:val="0"/>
                  <w:marBottom w:val="0"/>
                  <w:divBdr>
                    <w:top w:val="none" w:sz="0" w:space="0" w:color="auto"/>
                    <w:left w:val="none" w:sz="0" w:space="0" w:color="auto"/>
                    <w:bottom w:val="none" w:sz="0" w:space="0" w:color="auto"/>
                    <w:right w:val="none" w:sz="0" w:space="0" w:color="auto"/>
                  </w:divBdr>
                  <w:divsChild>
                    <w:div w:id="196650255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1965497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139177495">
                              <w:marLeft w:val="0"/>
                              <w:marRight w:val="0"/>
                              <w:marTop w:val="0"/>
                              <w:marBottom w:val="0"/>
                              <w:divBdr>
                                <w:top w:val="none" w:sz="0" w:space="0" w:color="auto"/>
                                <w:left w:val="none" w:sz="0" w:space="0" w:color="auto"/>
                                <w:bottom w:val="none" w:sz="0" w:space="0" w:color="auto"/>
                                <w:right w:val="none" w:sz="0" w:space="0" w:color="auto"/>
                              </w:divBdr>
                              <w:divsChild>
                                <w:div w:id="477184878">
                                  <w:marLeft w:val="0"/>
                                  <w:marRight w:val="0"/>
                                  <w:marTop w:val="0"/>
                                  <w:marBottom w:val="0"/>
                                  <w:divBdr>
                                    <w:top w:val="none" w:sz="0" w:space="0" w:color="auto"/>
                                    <w:left w:val="none" w:sz="0" w:space="0" w:color="auto"/>
                                    <w:bottom w:val="none" w:sz="0" w:space="0" w:color="auto"/>
                                    <w:right w:val="none" w:sz="0" w:space="0" w:color="auto"/>
                                  </w:divBdr>
                                  <w:divsChild>
                                    <w:div w:id="78212328">
                                      <w:marLeft w:val="0"/>
                                      <w:marRight w:val="0"/>
                                      <w:marTop w:val="0"/>
                                      <w:marBottom w:val="0"/>
                                      <w:divBdr>
                                        <w:top w:val="none" w:sz="0" w:space="0" w:color="auto"/>
                                        <w:left w:val="none" w:sz="0" w:space="0" w:color="auto"/>
                                        <w:bottom w:val="none" w:sz="0" w:space="0" w:color="auto"/>
                                        <w:right w:val="none" w:sz="0" w:space="0" w:color="auto"/>
                                      </w:divBdr>
                                      <w:divsChild>
                                        <w:div w:id="4551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00136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01353251">
                  <w:marLeft w:val="0"/>
                  <w:marRight w:val="0"/>
                  <w:marTop w:val="0"/>
                  <w:marBottom w:val="0"/>
                  <w:divBdr>
                    <w:top w:val="none" w:sz="0" w:space="0" w:color="auto"/>
                    <w:left w:val="none" w:sz="0" w:space="0" w:color="auto"/>
                    <w:bottom w:val="none" w:sz="0" w:space="0" w:color="auto"/>
                    <w:right w:val="none" w:sz="0" w:space="0" w:color="auto"/>
                  </w:divBdr>
                  <w:divsChild>
                    <w:div w:id="67268694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9846141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31045414">
                              <w:marLeft w:val="0"/>
                              <w:marRight w:val="0"/>
                              <w:marTop w:val="0"/>
                              <w:marBottom w:val="0"/>
                              <w:divBdr>
                                <w:top w:val="none" w:sz="0" w:space="0" w:color="auto"/>
                                <w:left w:val="none" w:sz="0" w:space="0" w:color="auto"/>
                                <w:bottom w:val="none" w:sz="0" w:space="0" w:color="auto"/>
                                <w:right w:val="none" w:sz="0" w:space="0" w:color="auto"/>
                              </w:divBdr>
                              <w:divsChild>
                                <w:div w:id="20058469">
                                  <w:marLeft w:val="0"/>
                                  <w:marRight w:val="0"/>
                                  <w:marTop w:val="0"/>
                                  <w:marBottom w:val="0"/>
                                  <w:divBdr>
                                    <w:top w:val="none" w:sz="0" w:space="0" w:color="auto"/>
                                    <w:left w:val="none" w:sz="0" w:space="0" w:color="auto"/>
                                    <w:bottom w:val="none" w:sz="0" w:space="0" w:color="auto"/>
                                    <w:right w:val="none" w:sz="0" w:space="0" w:color="auto"/>
                                  </w:divBdr>
                                  <w:divsChild>
                                    <w:div w:id="728379182">
                                      <w:marLeft w:val="0"/>
                                      <w:marRight w:val="0"/>
                                      <w:marTop w:val="0"/>
                                      <w:marBottom w:val="0"/>
                                      <w:divBdr>
                                        <w:top w:val="none" w:sz="0" w:space="0" w:color="auto"/>
                                        <w:left w:val="none" w:sz="0" w:space="0" w:color="auto"/>
                                        <w:bottom w:val="none" w:sz="0" w:space="0" w:color="auto"/>
                                        <w:right w:val="none" w:sz="0" w:space="0" w:color="auto"/>
                                      </w:divBdr>
                                      <w:divsChild>
                                        <w:div w:id="13376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109421">
          <w:marLeft w:val="0"/>
          <w:marRight w:val="0"/>
          <w:marTop w:val="0"/>
          <w:marBottom w:val="0"/>
          <w:divBdr>
            <w:top w:val="none" w:sz="0" w:space="0" w:color="auto"/>
            <w:left w:val="none" w:sz="0" w:space="0" w:color="auto"/>
            <w:bottom w:val="none" w:sz="0" w:space="0" w:color="auto"/>
            <w:right w:val="none" w:sz="0" w:space="0" w:color="auto"/>
          </w:divBdr>
          <w:divsChild>
            <w:div w:id="688524926">
              <w:marLeft w:val="0"/>
              <w:marRight w:val="0"/>
              <w:marTop w:val="0"/>
              <w:marBottom w:val="0"/>
              <w:divBdr>
                <w:top w:val="none" w:sz="0" w:space="0" w:color="auto"/>
                <w:left w:val="none" w:sz="0" w:space="0" w:color="auto"/>
                <w:bottom w:val="none" w:sz="0" w:space="0" w:color="auto"/>
                <w:right w:val="none" w:sz="0" w:space="0" w:color="auto"/>
              </w:divBdr>
              <w:divsChild>
                <w:div w:id="1081609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310874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57203287">
                          <w:marLeft w:val="0"/>
                          <w:marRight w:val="0"/>
                          <w:marTop w:val="0"/>
                          <w:marBottom w:val="0"/>
                          <w:divBdr>
                            <w:top w:val="none" w:sz="0" w:space="0" w:color="auto"/>
                            <w:left w:val="none" w:sz="0" w:space="0" w:color="auto"/>
                            <w:bottom w:val="none" w:sz="0" w:space="0" w:color="auto"/>
                            <w:right w:val="none" w:sz="0" w:space="0" w:color="auto"/>
                          </w:divBdr>
                          <w:divsChild>
                            <w:div w:id="1333727768">
                              <w:marLeft w:val="0"/>
                              <w:marRight w:val="0"/>
                              <w:marTop w:val="0"/>
                              <w:marBottom w:val="0"/>
                              <w:divBdr>
                                <w:top w:val="none" w:sz="0" w:space="0" w:color="auto"/>
                                <w:left w:val="none" w:sz="0" w:space="0" w:color="auto"/>
                                <w:bottom w:val="none" w:sz="0" w:space="0" w:color="auto"/>
                                <w:right w:val="none" w:sz="0" w:space="0" w:color="auto"/>
                              </w:divBdr>
                              <w:divsChild>
                                <w:div w:id="3828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40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930280">
                          <w:marLeft w:val="0"/>
                          <w:marRight w:val="0"/>
                          <w:marTop w:val="0"/>
                          <w:marBottom w:val="0"/>
                          <w:divBdr>
                            <w:top w:val="none" w:sz="0" w:space="0" w:color="auto"/>
                            <w:left w:val="none" w:sz="0" w:space="0" w:color="auto"/>
                            <w:bottom w:val="none" w:sz="0" w:space="0" w:color="auto"/>
                            <w:right w:val="none" w:sz="0" w:space="0" w:color="auto"/>
                          </w:divBdr>
                          <w:divsChild>
                            <w:div w:id="181432261">
                              <w:marLeft w:val="0"/>
                              <w:marRight w:val="0"/>
                              <w:marTop w:val="0"/>
                              <w:marBottom w:val="0"/>
                              <w:divBdr>
                                <w:top w:val="none" w:sz="0" w:space="0" w:color="auto"/>
                                <w:left w:val="none" w:sz="0" w:space="0" w:color="auto"/>
                                <w:bottom w:val="none" w:sz="0" w:space="0" w:color="auto"/>
                                <w:right w:val="none" w:sz="0" w:space="0" w:color="auto"/>
                              </w:divBdr>
                              <w:divsChild>
                                <w:div w:id="10013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67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47457762">
                          <w:marLeft w:val="0"/>
                          <w:marRight w:val="0"/>
                          <w:marTop w:val="0"/>
                          <w:marBottom w:val="0"/>
                          <w:divBdr>
                            <w:top w:val="none" w:sz="0" w:space="0" w:color="auto"/>
                            <w:left w:val="none" w:sz="0" w:space="0" w:color="auto"/>
                            <w:bottom w:val="none" w:sz="0" w:space="0" w:color="auto"/>
                            <w:right w:val="none" w:sz="0" w:space="0" w:color="auto"/>
                          </w:divBdr>
                          <w:divsChild>
                            <w:div w:id="189489420">
                              <w:marLeft w:val="0"/>
                              <w:marRight w:val="0"/>
                              <w:marTop w:val="0"/>
                              <w:marBottom w:val="0"/>
                              <w:divBdr>
                                <w:top w:val="none" w:sz="0" w:space="0" w:color="auto"/>
                                <w:left w:val="none" w:sz="0" w:space="0" w:color="auto"/>
                                <w:bottom w:val="none" w:sz="0" w:space="0" w:color="auto"/>
                                <w:right w:val="none" w:sz="0" w:space="0" w:color="auto"/>
                              </w:divBdr>
                              <w:divsChild>
                                <w:div w:id="5008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3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88440477">
                          <w:marLeft w:val="0"/>
                          <w:marRight w:val="0"/>
                          <w:marTop w:val="0"/>
                          <w:marBottom w:val="0"/>
                          <w:divBdr>
                            <w:top w:val="none" w:sz="0" w:space="0" w:color="auto"/>
                            <w:left w:val="none" w:sz="0" w:space="0" w:color="auto"/>
                            <w:bottom w:val="none" w:sz="0" w:space="0" w:color="auto"/>
                            <w:right w:val="none" w:sz="0" w:space="0" w:color="auto"/>
                          </w:divBdr>
                          <w:divsChild>
                            <w:div w:id="769086795">
                              <w:marLeft w:val="0"/>
                              <w:marRight w:val="0"/>
                              <w:marTop w:val="0"/>
                              <w:marBottom w:val="0"/>
                              <w:divBdr>
                                <w:top w:val="none" w:sz="0" w:space="0" w:color="auto"/>
                                <w:left w:val="none" w:sz="0" w:space="0" w:color="auto"/>
                                <w:bottom w:val="none" w:sz="0" w:space="0" w:color="auto"/>
                                <w:right w:val="none" w:sz="0" w:space="0" w:color="auto"/>
                              </w:divBdr>
                              <w:divsChild>
                                <w:div w:id="10852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452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63911789">
                          <w:marLeft w:val="0"/>
                          <w:marRight w:val="0"/>
                          <w:marTop w:val="0"/>
                          <w:marBottom w:val="0"/>
                          <w:divBdr>
                            <w:top w:val="none" w:sz="0" w:space="0" w:color="auto"/>
                            <w:left w:val="none" w:sz="0" w:space="0" w:color="auto"/>
                            <w:bottom w:val="none" w:sz="0" w:space="0" w:color="auto"/>
                            <w:right w:val="none" w:sz="0" w:space="0" w:color="auto"/>
                          </w:divBdr>
                          <w:divsChild>
                            <w:div w:id="356010855">
                              <w:marLeft w:val="0"/>
                              <w:marRight w:val="0"/>
                              <w:marTop w:val="0"/>
                              <w:marBottom w:val="0"/>
                              <w:divBdr>
                                <w:top w:val="none" w:sz="0" w:space="0" w:color="auto"/>
                                <w:left w:val="none" w:sz="0" w:space="0" w:color="auto"/>
                                <w:bottom w:val="none" w:sz="0" w:space="0" w:color="auto"/>
                                <w:right w:val="none" w:sz="0" w:space="0" w:color="auto"/>
                              </w:divBdr>
                              <w:divsChild>
                                <w:div w:id="92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977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11135988">
                          <w:marLeft w:val="0"/>
                          <w:marRight w:val="0"/>
                          <w:marTop w:val="0"/>
                          <w:marBottom w:val="0"/>
                          <w:divBdr>
                            <w:top w:val="none" w:sz="0" w:space="0" w:color="auto"/>
                            <w:left w:val="none" w:sz="0" w:space="0" w:color="auto"/>
                            <w:bottom w:val="none" w:sz="0" w:space="0" w:color="auto"/>
                            <w:right w:val="none" w:sz="0" w:space="0" w:color="auto"/>
                          </w:divBdr>
                          <w:divsChild>
                            <w:div w:id="1709918068">
                              <w:marLeft w:val="0"/>
                              <w:marRight w:val="0"/>
                              <w:marTop w:val="0"/>
                              <w:marBottom w:val="0"/>
                              <w:divBdr>
                                <w:top w:val="none" w:sz="0" w:space="0" w:color="auto"/>
                                <w:left w:val="none" w:sz="0" w:space="0" w:color="auto"/>
                                <w:bottom w:val="none" w:sz="0" w:space="0" w:color="auto"/>
                                <w:right w:val="none" w:sz="0" w:space="0" w:color="auto"/>
                              </w:divBdr>
                              <w:divsChild>
                                <w:div w:id="16608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362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1367322">
                          <w:marLeft w:val="0"/>
                          <w:marRight w:val="0"/>
                          <w:marTop w:val="0"/>
                          <w:marBottom w:val="0"/>
                          <w:divBdr>
                            <w:top w:val="none" w:sz="0" w:space="0" w:color="auto"/>
                            <w:left w:val="none" w:sz="0" w:space="0" w:color="auto"/>
                            <w:bottom w:val="none" w:sz="0" w:space="0" w:color="auto"/>
                            <w:right w:val="none" w:sz="0" w:space="0" w:color="auto"/>
                          </w:divBdr>
                          <w:divsChild>
                            <w:div w:id="378479070">
                              <w:marLeft w:val="0"/>
                              <w:marRight w:val="0"/>
                              <w:marTop w:val="0"/>
                              <w:marBottom w:val="0"/>
                              <w:divBdr>
                                <w:top w:val="none" w:sz="0" w:space="0" w:color="auto"/>
                                <w:left w:val="none" w:sz="0" w:space="0" w:color="auto"/>
                                <w:bottom w:val="none" w:sz="0" w:space="0" w:color="auto"/>
                                <w:right w:val="none" w:sz="0" w:space="0" w:color="auto"/>
                              </w:divBdr>
                            </w:div>
                            <w:div w:id="121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42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54546069">
                          <w:marLeft w:val="0"/>
                          <w:marRight w:val="0"/>
                          <w:marTop w:val="0"/>
                          <w:marBottom w:val="0"/>
                          <w:divBdr>
                            <w:top w:val="none" w:sz="0" w:space="0" w:color="auto"/>
                            <w:left w:val="none" w:sz="0" w:space="0" w:color="auto"/>
                            <w:bottom w:val="none" w:sz="0" w:space="0" w:color="auto"/>
                            <w:right w:val="none" w:sz="0" w:space="0" w:color="auto"/>
                          </w:divBdr>
                          <w:divsChild>
                            <w:div w:id="756440230">
                              <w:marLeft w:val="0"/>
                              <w:marRight w:val="0"/>
                              <w:marTop w:val="0"/>
                              <w:marBottom w:val="0"/>
                              <w:divBdr>
                                <w:top w:val="none" w:sz="0" w:space="0" w:color="auto"/>
                                <w:left w:val="none" w:sz="0" w:space="0" w:color="auto"/>
                                <w:bottom w:val="none" w:sz="0" w:space="0" w:color="auto"/>
                                <w:right w:val="none" w:sz="0" w:space="0" w:color="auto"/>
                              </w:divBdr>
                              <w:divsChild>
                                <w:div w:id="18970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7899">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74254673">
                          <w:marLeft w:val="0"/>
                          <w:marRight w:val="0"/>
                          <w:marTop w:val="0"/>
                          <w:marBottom w:val="0"/>
                          <w:divBdr>
                            <w:top w:val="none" w:sz="0" w:space="0" w:color="auto"/>
                            <w:left w:val="none" w:sz="0" w:space="0" w:color="auto"/>
                            <w:bottom w:val="none" w:sz="0" w:space="0" w:color="auto"/>
                            <w:right w:val="none" w:sz="0" w:space="0" w:color="auto"/>
                          </w:divBdr>
                          <w:divsChild>
                            <w:div w:id="543098559">
                              <w:marLeft w:val="0"/>
                              <w:marRight w:val="0"/>
                              <w:marTop w:val="0"/>
                              <w:marBottom w:val="0"/>
                              <w:divBdr>
                                <w:top w:val="none" w:sz="0" w:space="0" w:color="auto"/>
                                <w:left w:val="none" w:sz="0" w:space="0" w:color="auto"/>
                                <w:bottom w:val="none" w:sz="0" w:space="0" w:color="auto"/>
                                <w:right w:val="none" w:sz="0" w:space="0" w:color="auto"/>
                              </w:divBdr>
                              <w:divsChild>
                                <w:div w:id="10163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77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6221459">
                          <w:marLeft w:val="0"/>
                          <w:marRight w:val="0"/>
                          <w:marTop w:val="0"/>
                          <w:marBottom w:val="0"/>
                          <w:divBdr>
                            <w:top w:val="none" w:sz="0" w:space="0" w:color="auto"/>
                            <w:left w:val="none" w:sz="0" w:space="0" w:color="auto"/>
                            <w:bottom w:val="none" w:sz="0" w:space="0" w:color="auto"/>
                            <w:right w:val="none" w:sz="0" w:space="0" w:color="auto"/>
                          </w:divBdr>
                          <w:divsChild>
                            <w:div w:id="1347975213">
                              <w:marLeft w:val="0"/>
                              <w:marRight w:val="0"/>
                              <w:marTop w:val="0"/>
                              <w:marBottom w:val="0"/>
                              <w:divBdr>
                                <w:top w:val="none" w:sz="0" w:space="0" w:color="auto"/>
                                <w:left w:val="none" w:sz="0" w:space="0" w:color="auto"/>
                                <w:bottom w:val="none" w:sz="0" w:space="0" w:color="auto"/>
                                <w:right w:val="none" w:sz="0" w:space="0" w:color="auto"/>
                              </w:divBdr>
                              <w:divsChild>
                                <w:div w:id="13048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279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46746687">
                          <w:marLeft w:val="0"/>
                          <w:marRight w:val="0"/>
                          <w:marTop w:val="0"/>
                          <w:marBottom w:val="0"/>
                          <w:divBdr>
                            <w:top w:val="none" w:sz="0" w:space="0" w:color="auto"/>
                            <w:left w:val="none" w:sz="0" w:space="0" w:color="auto"/>
                            <w:bottom w:val="none" w:sz="0" w:space="0" w:color="auto"/>
                            <w:right w:val="none" w:sz="0" w:space="0" w:color="auto"/>
                          </w:divBdr>
                          <w:divsChild>
                            <w:div w:id="63722011">
                              <w:marLeft w:val="0"/>
                              <w:marRight w:val="0"/>
                              <w:marTop w:val="0"/>
                              <w:marBottom w:val="0"/>
                              <w:divBdr>
                                <w:top w:val="none" w:sz="0" w:space="0" w:color="auto"/>
                                <w:left w:val="none" w:sz="0" w:space="0" w:color="auto"/>
                                <w:bottom w:val="none" w:sz="0" w:space="0" w:color="auto"/>
                                <w:right w:val="none" w:sz="0" w:space="0" w:color="auto"/>
                              </w:divBdr>
                              <w:divsChild>
                                <w:div w:id="13763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00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90809939">
                          <w:marLeft w:val="0"/>
                          <w:marRight w:val="0"/>
                          <w:marTop w:val="0"/>
                          <w:marBottom w:val="0"/>
                          <w:divBdr>
                            <w:top w:val="none" w:sz="0" w:space="0" w:color="auto"/>
                            <w:left w:val="none" w:sz="0" w:space="0" w:color="auto"/>
                            <w:bottom w:val="none" w:sz="0" w:space="0" w:color="auto"/>
                            <w:right w:val="none" w:sz="0" w:space="0" w:color="auto"/>
                          </w:divBdr>
                          <w:divsChild>
                            <w:div w:id="1898737196">
                              <w:marLeft w:val="0"/>
                              <w:marRight w:val="0"/>
                              <w:marTop w:val="0"/>
                              <w:marBottom w:val="0"/>
                              <w:divBdr>
                                <w:top w:val="none" w:sz="0" w:space="0" w:color="auto"/>
                                <w:left w:val="none" w:sz="0" w:space="0" w:color="auto"/>
                                <w:bottom w:val="none" w:sz="0" w:space="0" w:color="auto"/>
                                <w:right w:val="none" w:sz="0" w:space="0" w:color="auto"/>
                              </w:divBdr>
                              <w:divsChild>
                                <w:div w:id="17334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4032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39958363">
                          <w:marLeft w:val="0"/>
                          <w:marRight w:val="0"/>
                          <w:marTop w:val="0"/>
                          <w:marBottom w:val="0"/>
                          <w:divBdr>
                            <w:top w:val="none" w:sz="0" w:space="0" w:color="auto"/>
                            <w:left w:val="none" w:sz="0" w:space="0" w:color="auto"/>
                            <w:bottom w:val="none" w:sz="0" w:space="0" w:color="auto"/>
                            <w:right w:val="none" w:sz="0" w:space="0" w:color="auto"/>
                          </w:divBdr>
                          <w:divsChild>
                            <w:div w:id="1734162541">
                              <w:marLeft w:val="0"/>
                              <w:marRight w:val="0"/>
                              <w:marTop w:val="0"/>
                              <w:marBottom w:val="0"/>
                              <w:divBdr>
                                <w:top w:val="none" w:sz="0" w:space="0" w:color="auto"/>
                                <w:left w:val="none" w:sz="0" w:space="0" w:color="auto"/>
                                <w:bottom w:val="none" w:sz="0" w:space="0" w:color="auto"/>
                                <w:right w:val="none" w:sz="0" w:space="0" w:color="auto"/>
                              </w:divBdr>
                              <w:divsChild>
                                <w:div w:id="3544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586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31836028">
                          <w:marLeft w:val="0"/>
                          <w:marRight w:val="0"/>
                          <w:marTop w:val="0"/>
                          <w:marBottom w:val="0"/>
                          <w:divBdr>
                            <w:top w:val="none" w:sz="0" w:space="0" w:color="auto"/>
                            <w:left w:val="none" w:sz="0" w:space="0" w:color="auto"/>
                            <w:bottom w:val="none" w:sz="0" w:space="0" w:color="auto"/>
                            <w:right w:val="none" w:sz="0" w:space="0" w:color="auto"/>
                          </w:divBdr>
                          <w:divsChild>
                            <w:div w:id="1696926008">
                              <w:marLeft w:val="0"/>
                              <w:marRight w:val="0"/>
                              <w:marTop w:val="0"/>
                              <w:marBottom w:val="0"/>
                              <w:divBdr>
                                <w:top w:val="none" w:sz="0" w:space="0" w:color="auto"/>
                                <w:left w:val="none" w:sz="0" w:space="0" w:color="auto"/>
                                <w:bottom w:val="none" w:sz="0" w:space="0" w:color="auto"/>
                                <w:right w:val="none" w:sz="0" w:space="0" w:color="auto"/>
                              </w:divBdr>
                              <w:divsChild>
                                <w:div w:id="5318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120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791589831">
                          <w:marLeft w:val="0"/>
                          <w:marRight w:val="0"/>
                          <w:marTop w:val="0"/>
                          <w:marBottom w:val="0"/>
                          <w:divBdr>
                            <w:top w:val="none" w:sz="0" w:space="0" w:color="auto"/>
                            <w:left w:val="none" w:sz="0" w:space="0" w:color="auto"/>
                            <w:bottom w:val="none" w:sz="0" w:space="0" w:color="auto"/>
                            <w:right w:val="none" w:sz="0" w:space="0" w:color="auto"/>
                          </w:divBdr>
                          <w:divsChild>
                            <w:div w:id="1012142577">
                              <w:marLeft w:val="0"/>
                              <w:marRight w:val="0"/>
                              <w:marTop w:val="0"/>
                              <w:marBottom w:val="0"/>
                              <w:divBdr>
                                <w:top w:val="none" w:sz="0" w:space="0" w:color="auto"/>
                                <w:left w:val="none" w:sz="0" w:space="0" w:color="auto"/>
                                <w:bottom w:val="none" w:sz="0" w:space="0" w:color="auto"/>
                                <w:right w:val="none" w:sz="0" w:space="0" w:color="auto"/>
                              </w:divBdr>
                              <w:divsChild>
                                <w:div w:id="1760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326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23758708">
                          <w:marLeft w:val="0"/>
                          <w:marRight w:val="0"/>
                          <w:marTop w:val="0"/>
                          <w:marBottom w:val="0"/>
                          <w:divBdr>
                            <w:top w:val="none" w:sz="0" w:space="0" w:color="auto"/>
                            <w:left w:val="none" w:sz="0" w:space="0" w:color="auto"/>
                            <w:bottom w:val="none" w:sz="0" w:space="0" w:color="auto"/>
                            <w:right w:val="none" w:sz="0" w:space="0" w:color="auto"/>
                          </w:divBdr>
                          <w:divsChild>
                            <w:div w:id="1340351164">
                              <w:marLeft w:val="0"/>
                              <w:marRight w:val="0"/>
                              <w:marTop w:val="0"/>
                              <w:marBottom w:val="0"/>
                              <w:divBdr>
                                <w:top w:val="none" w:sz="0" w:space="0" w:color="auto"/>
                                <w:left w:val="none" w:sz="0" w:space="0" w:color="auto"/>
                                <w:bottom w:val="none" w:sz="0" w:space="0" w:color="auto"/>
                                <w:right w:val="none" w:sz="0" w:space="0" w:color="auto"/>
                              </w:divBdr>
                              <w:divsChild>
                                <w:div w:id="4885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412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13395285">
                          <w:marLeft w:val="0"/>
                          <w:marRight w:val="0"/>
                          <w:marTop w:val="0"/>
                          <w:marBottom w:val="0"/>
                          <w:divBdr>
                            <w:top w:val="none" w:sz="0" w:space="0" w:color="auto"/>
                            <w:left w:val="none" w:sz="0" w:space="0" w:color="auto"/>
                            <w:bottom w:val="none" w:sz="0" w:space="0" w:color="auto"/>
                            <w:right w:val="none" w:sz="0" w:space="0" w:color="auto"/>
                          </w:divBdr>
                          <w:divsChild>
                            <w:div w:id="1638297036">
                              <w:marLeft w:val="0"/>
                              <w:marRight w:val="0"/>
                              <w:marTop w:val="0"/>
                              <w:marBottom w:val="0"/>
                              <w:divBdr>
                                <w:top w:val="none" w:sz="0" w:space="0" w:color="auto"/>
                                <w:left w:val="none" w:sz="0" w:space="0" w:color="auto"/>
                                <w:bottom w:val="none" w:sz="0" w:space="0" w:color="auto"/>
                                <w:right w:val="none" w:sz="0" w:space="0" w:color="auto"/>
                              </w:divBdr>
                              <w:divsChild>
                                <w:div w:id="20529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5761">
                  <w:marLeft w:val="0"/>
                  <w:marRight w:val="0"/>
                  <w:marTop w:val="0"/>
                  <w:marBottom w:val="0"/>
                  <w:divBdr>
                    <w:top w:val="none" w:sz="0" w:space="0" w:color="auto"/>
                    <w:left w:val="none" w:sz="0" w:space="0" w:color="auto"/>
                    <w:bottom w:val="none" w:sz="0" w:space="0" w:color="auto"/>
                    <w:right w:val="none" w:sz="0" w:space="0" w:color="auto"/>
                  </w:divBdr>
                  <w:divsChild>
                    <w:div w:id="253369342">
                      <w:marLeft w:val="0"/>
                      <w:marRight w:val="0"/>
                      <w:marTop w:val="0"/>
                      <w:marBottom w:val="0"/>
                      <w:divBdr>
                        <w:top w:val="none" w:sz="0" w:space="0" w:color="auto"/>
                        <w:left w:val="none" w:sz="0" w:space="0" w:color="auto"/>
                        <w:bottom w:val="none" w:sz="0" w:space="0" w:color="auto"/>
                        <w:right w:val="none" w:sz="0" w:space="0" w:color="auto"/>
                      </w:divBdr>
                      <w:divsChild>
                        <w:div w:id="5506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06504">
      <w:bodyDiv w:val="1"/>
      <w:marLeft w:val="0"/>
      <w:marRight w:val="0"/>
      <w:marTop w:val="0"/>
      <w:marBottom w:val="0"/>
      <w:divBdr>
        <w:top w:val="none" w:sz="0" w:space="0" w:color="auto"/>
        <w:left w:val="none" w:sz="0" w:space="0" w:color="auto"/>
        <w:bottom w:val="none" w:sz="0" w:space="0" w:color="auto"/>
        <w:right w:val="none" w:sz="0" w:space="0" w:color="auto"/>
      </w:divBdr>
    </w:div>
    <w:div w:id="2013755940">
      <w:bodyDiv w:val="1"/>
      <w:marLeft w:val="0"/>
      <w:marRight w:val="0"/>
      <w:marTop w:val="0"/>
      <w:marBottom w:val="0"/>
      <w:divBdr>
        <w:top w:val="none" w:sz="0" w:space="0" w:color="auto"/>
        <w:left w:val="none" w:sz="0" w:space="0" w:color="auto"/>
        <w:bottom w:val="none" w:sz="0" w:space="0" w:color="auto"/>
        <w:right w:val="none" w:sz="0" w:space="0" w:color="auto"/>
      </w:divBdr>
    </w:div>
    <w:div w:id="21084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8B976B6E0FED40AE4595D2D415371E" ma:contentTypeVersion="14" ma:contentTypeDescription="Create a new document." ma:contentTypeScope="" ma:versionID="6109fb5e7ffe4b771d35b8378bf3fc4d">
  <xsd:schema xmlns:xsd="http://www.w3.org/2001/XMLSchema" xmlns:xs="http://www.w3.org/2001/XMLSchema" xmlns:p="http://schemas.microsoft.com/office/2006/metadata/properties" xmlns:ns3="9584949f-143b-4263-a10f-a8f1b74bb921" xmlns:ns4="14a266ed-3207-46c6-a07d-f81477979f14" targetNamespace="http://schemas.microsoft.com/office/2006/metadata/properties" ma:root="true" ma:fieldsID="1c2f3038d0f44abdc5d75285e2305ef9" ns3:_="" ns4:_="">
    <xsd:import namespace="9584949f-143b-4263-a10f-a8f1b74bb921"/>
    <xsd:import namespace="14a266ed-3207-46c6-a07d-f81477979f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949f-143b-4263-a10f-a8f1b74bb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66ed-3207-46c6-a07d-f81477979f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0A7E-D3BE-4101-93BF-F673CE090967}">
  <ds:schemaRefs>
    <ds:schemaRef ds:uri="http://schemas.microsoft.com/sharepoint/v3/contenttype/forms"/>
  </ds:schemaRefs>
</ds:datastoreItem>
</file>

<file path=customXml/itemProps2.xml><?xml version="1.0" encoding="utf-8"?>
<ds:datastoreItem xmlns:ds="http://schemas.openxmlformats.org/officeDocument/2006/customXml" ds:itemID="{AEB86928-632D-435D-B294-DB7E4CCC9117}">
  <ds:schemaRefs>
    <ds:schemaRef ds:uri="http://schemas.openxmlformats.org/package/2006/metadata/core-properties"/>
    <ds:schemaRef ds:uri="9584949f-143b-4263-a10f-a8f1b74bb921"/>
    <ds:schemaRef ds:uri="http://schemas.microsoft.com/office/2006/documentManagement/types"/>
    <ds:schemaRef ds:uri="14a266ed-3207-46c6-a07d-f81477979f1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F7B699-4A50-4040-AEC0-7037DF890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949f-143b-4263-a10f-a8f1b74bb921"/>
    <ds:schemaRef ds:uri="14a266ed-3207-46c6-a07d-f81477979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EE71C-CE3E-49CB-AD8A-6DD38313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6590</Words>
  <Characters>33256</Characters>
  <Application>Microsoft Office Word</Application>
  <DocSecurity>4</DocSecurity>
  <Lines>277</Lines>
  <Paragraphs>79</Paragraphs>
  <ScaleCrop>false</ScaleCrop>
  <HeadingPairs>
    <vt:vector size="2" baseType="variant">
      <vt:variant>
        <vt:lpstr>Title</vt:lpstr>
      </vt:variant>
      <vt:variant>
        <vt:i4>1</vt:i4>
      </vt:variant>
    </vt:vector>
  </HeadingPairs>
  <TitlesOfParts>
    <vt:vector size="1" baseType="lpstr">
      <vt:lpstr/>
    </vt:vector>
  </TitlesOfParts>
  <Company>OSSCSC</Company>
  <LinksUpToDate>false</LinksUpToDate>
  <CharactersWithSpaces>39767</CharactersWithSpaces>
  <SharedDoc>false</SharedDoc>
  <HLinks>
    <vt:vector size="36" baseType="variant">
      <vt:variant>
        <vt:i4>1703954</vt:i4>
      </vt:variant>
      <vt:variant>
        <vt:i4>15</vt:i4>
      </vt:variant>
      <vt:variant>
        <vt:i4>0</vt:i4>
      </vt:variant>
      <vt:variant>
        <vt:i4>5</vt:i4>
      </vt:variant>
      <vt:variant>
        <vt:lpwstr>https://www.bailii.org/cgi-bin/redirect.cgi?path=http://www.commonlii.org/uk/cases/UKLawRpAC/1913/19.html</vt:lpwstr>
      </vt:variant>
      <vt:variant>
        <vt:lpwstr/>
      </vt:variant>
      <vt:variant>
        <vt:i4>5505043</vt:i4>
      </vt:variant>
      <vt:variant>
        <vt:i4>12</vt:i4>
      </vt:variant>
      <vt:variant>
        <vt:i4>0</vt:i4>
      </vt:variant>
      <vt:variant>
        <vt:i4>5</vt:i4>
      </vt:variant>
      <vt:variant>
        <vt:lpwstr>https://www.bailii.org/cgi-bin/redirect.cgi?path=/uk/cases/UKSC/2014/20.html</vt:lpwstr>
      </vt:variant>
      <vt:variant>
        <vt:lpwstr/>
      </vt:variant>
      <vt:variant>
        <vt:i4>5505046</vt:i4>
      </vt:variant>
      <vt:variant>
        <vt:i4>9</vt:i4>
      </vt:variant>
      <vt:variant>
        <vt:i4>0</vt:i4>
      </vt:variant>
      <vt:variant>
        <vt:i4>5</vt:i4>
      </vt:variant>
      <vt:variant>
        <vt:lpwstr>https://www.bailii.org/cgi-bin/redirect.cgi?path=/uk/cases/UKSC/2014/25.html</vt:lpwstr>
      </vt:variant>
      <vt:variant>
        <vt:lpwstr/>
      </vt:variant>
      <vt:variant>
        <vt:i4>4259868</vt:i4>
      </vt:variant>
      <vt:variant>
        <vt:i4>6</vt:i4>
      </vt:variant>
      <vt:variant>
        <vt:i4>0</vt:i4>
      </vt:variant>
      <vt:variant>
        <vt:i4>5</vt:i4>
      </vt:variant>
      <vt:variant>
        <vt:lpwstr>https://www.bailii.org/uk/cases/UKSC/2014/25.html</vt:lpwstr>
      </vt:variant>
      <vt:variant>
        <vt:lpwstr/>
      </vt:variant>
      <vt:variant>
        <vt:i4>852053</vt:i4>
      </vt:variant>
      <vt:variant>
        <vt:i4>3</vt:i4>
      </vt:variant>
      <vt:variant>
        <vt:i4>0</vt:i4>
      </vt:variant>
      <vt:variant>
        <vt:i4>5</vt:i4>
      </vt:variant>
      <vt:variant>
        <vt:lpwstr>https://www.bailii.org/cgi-bin/redirect.cgi?path=/ew/cases/EWCA/Civ/2012/420.html</vt:lpwstr>
      </vt:variant>
      <vt:variant>
        <vt:lpwstr/>
      </vt:variant>
      <vt:variant>
        <vt:i4>7209001</vt:i4>
      </vt:variant>
      <vt:variant>
        <vt:i4>0</vt:i4>
      </vt:variant>
      <vt:variant>
        <vt:i4>0</vt:i4>
      </vt:variant>
      <vt:variant>
        <vt:i4>5</vt:i4>
      </vt:variant>
      <vt:variant>
        <vt:lpwstr>https://www.bailii.org/ew/cases/EWCA/Civ/2012/420.html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Upper Tribunal Judge</dc:creator>
  <cp:keywords/>
  <cp:lastModifiedBy>Self, Robyn</cp:lastModifiedBy>
  <cp:revision>2</cp:revision>
  <cp:lastPrinted>2019-10-07T11:17:00Z</cp:lastPrinted>
  <dcterms:created xsi:type="dcterms:W3CDTF">2022-11-22T15:52:00Z</dcterms:created>
  <dcterms:modified xsi:type="dcterms:W3CDTF">2022-11-22T15:52:00Z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0x010100DF8B976B6E0FED40AE4595D2D415371E</vt:lpwstr>
  </property>
</Properties>
</file>