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5961A" w14:textId="0BD39118" w:rsidR="004E6FBF" w:rsidRDefault="002D0355" w:rsidP="002D0355">
      <w:pPr>
        <w:jc w:val="right"/>
        <w:rPr>
          <w:rFonts w:cs="Arial"/>
          <w:b/>
          <w:bCs/>
          <w:sz w:val="44"/>
          <w:szCs w:val="44"/>
        </w:rPr>
      </w:pPr>
      <w:r>
        <w:rPr>
          <w:rFonts w:cs="Arial"/>
          <w:b/>
          <w:bCs/>
          <w:noProof/>
          <w:sz w:val="36"/>
          <w:szCs w:val="36"/>
          <w:lang w:val="it-IT"/>
        </w:rPr>
        <w:drawing>
          <wp:anchor distT="0" distB="0" distL="114300" distR="114300" simplePos="0" relativeHeight="251658241" behindDoc="0" locked="0" layoutInCell="1" allowOverlap="1" wp14:anchorId="1A3D036A" wp14:editId="531320D7">
            <wp:simplePos x="0" y="0"/>
            <wp:positionH relativeFrom="margin">
              <wp:posOffset>3866303</wp:posOffset>
            </wp:positionH>
            <wp:positionV relativeFrom="paragraph">
              <wp:posOffset>287231</wp:posOffset>
            </wp:positionV>
            <wp:extent cx="2070735" cy="736600"/>
            <wp:effectExtent l="0" t="0" r="5715" b="6350"/>
            <wp:wrapSquare wrapText="bothSides"/>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70735" cy="736600"/>
                    </a:xfrm>
                    <a:prstGeom prst="rect">
                      <a:avLst/>
                    </a:prstGeom>
                  </pic:spPr>
                </pic:pic>
              </a:graphicData>
            </a:graphic>
          </wp:anchor>
        </w:drawing>
      </w:r>
      <w:r w:rsidR="004E6FBF">
        <w:rPr>
          <w:rFonts w:cs="Arial"/>
          <w:b/>
          <w:bCs/>
          <w:noProof/>
          <w:sz w:val="36"/>
          <w:szCs w:val="36"/>
          <w:lang w:val="it-IT"/>
        </w:rPr>
        <w:drawing>
          <wp:anchor distT="0" distB="0" distL="114300" distR="114300" simplePos="0" relativeHeight="251658240" behindDoc="0" locked="0" layoutInCell="1" allowOverlap="1" wp14:anchorId="3CE99C09" wp14:editId="1CA081C6">
            <wp:simplePos x="0" y="0"/>
            <wp:positionH relativeFrom="column">
              <wp:posOffset>0</wp:posOffset>
            </wp:positionH>
            <wp:positionV relativeFrom="paragraph">
              <wp:posOffset>0</wp:posOffset>
            </wp:positionV>
            <wp:extent cx="1858787" cy="1049867"/>
            <wp:effectExtent l="0" t="0" r="8255" b="0"/>
            <wp:wrapSquare wrapText="bothSides"/>
            <wp:docPr id="11" name="Picture 1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58787" cy="1049867"/>
                    </a:xfrm>
                    <a:prstGeom prst="rect">
                      <a:avLst/>
                    </a:prstGeom>
                  </pic:spPr>
                </pic:pic>
              </a:graphicData>
            </a:graphic>
          </wp:anchor>
        </w:drawing>
      </w:r>
    </w:p>
    <w:p w14:paraId="07AE6DC8" w14:textId="6667A859" w:rsidR="004E6FBF" w:rsidRDefault="004E6FBF" w:rsidP="002D0355">
      <w:pPr>
        <w:jc w:val="right"/>
        <w:rPr>
          <w:rFonts w:cs="Arial"/>
          <w:b/>
          <w:bCs/>
          <w:sz w:val="44"/>
          <w:szCs w:val="44"/>
        </w:rPr>
      </w:pPr>
    </w:p>
    <w:p w14:paraId="6A65FA3C" w14:textId="77777777" w:rsidR="002D0355" w:rsidRDefault="002D0355" w:rsidP="00F034DD">
      <w:pPr>
        <w:jc w:val="center"/>
        <w:rPr>
          <w:rFonts w:cs="Arial"/>
          <w:b/>
          <w:bCs/>
          <w:sz w:val="44"/>
          <w:szCs w:val="44"/>
        </w:rPr>
      </w:pPr>
    </w:p>
    <w:p w14:paraId="11BB5CF3" w14:textId="4CD38A1B" w:rsidR="00F034DD" w:rsidRPr="00F034DD" w:rsidRDefault="009B6784" w:rsidP="00632538">
      <w:pPr>
        <w:rPr>
          <w:rFonts w:cs="Arial"/>
          <w:b/>
          <w:bCs/>
          <w:sz w:val="44"/>
          <w:szCs w:val="44"/>
        </w:rPr>
      </w:pPr>
      <w:r w:rsidRPr="009B6784">
        <w:rPr>
          <w:rFonts w:cs="Arial"/>
          <w:b/>
          <w:bCs/>
          <w:sz w:val="44"/>
          <w:szCs w:val="44"/>
        </w:rPr>
        <w:t>Economic Research into the Circumvention of Trade Remedies</w:t>
      </w:r>
    </w:p>
    <w:p w14:paraId="72231972" w14:textId="66BC6141" w:rsidR="009B6784" w:rsidRPr="009B6784" w:rsidRDefault="009B6784" w:rsidP="00F034DD">
      <w:pPr>
        <w:jc w:val="center"/>
        <w:rPr>
          <w:rFonts w:cs="Arial"/>
          <w:b/>
          <w:bCs/>
          <w:sz w:val="36"/>
          <w:szCs w:val="36"/>
        </w:rPr>
      </w:pPr>
    </w:p>
    <w:p w14:paraId="47942107" w14:textId="5AE4BDF0" w:rsidR="009B6784" w:rsidRPr="009B6784" w:rsidRDefault="009B6784" w:rsidP="009B6784">
      <w:pPr>
        <w:rPr>
          <w:rFonts w:cs="Arial"/>
          <w:b/>
          <w:bCs/>
          <w:sz w:val="36"/>
          <w:szCs w:val="36"/>
        </w:rPr>
      </w:pPr>
    </w:p>
    <w:p w14:paraId="18C3D1B4" w14:textId="402F18ED" w:rsidR="009B6784" w:rsidRPr="009B6784" w:rsidRDefault="00F034DD" w:rsidP="009B6784">
      <w:pPr>
        <w:rPr>
          <w:rFonts w:cs="Arial"/>
          <w:b/>
          <w:bCs/>
          <w:sz w:val="32"/>
          <w:szCs w:val="32"/>
        </w:rPr>
      </w:pPr>
      <w:r w:rsidRPr="00F034DD">
        <w:rPr>
          <w:rFonts w:cs="Arial"/>
          <w:b/>
          <w:bCs/>
          <w:sz w:val="32"/>
          <w:szCs w:val="32"/>
        </w:rPr>
        <w:t>Prepared by Frontier Economics for the</w:t>
      </w:r>
      <w:r w:rsidR="009B6784" w:rsidRPr="009B6784">
        <w:rPr>
          <w:rFonts w:cs="Arial"/>
          <w:b/>
          <w:bCs/>
          <w:sz w:val="32"/>
          <w:szCs w:val="32"/>
        </w:rPr>
        <w:t xml:space="preserve"> UK </w:t>
      </w:r>
      <w:r w:rsidRPr="00F034DD">
        <w:rPr>
          <w:rFonts w:cs="Arial"/>
          <w:b/>
          <w:bCs/>
          <w:sz w:val="32"/>
          <w:szCs w:val="32"/>
        </w:rPr>
        <w:t>Trade Remedies Authority</w:t>
      </w:r>
    </w:p>
    <w:p w14:paraId="546D8A00" w14:textId="77777777" w:rsidR="00632538" w:rsidRDefault="00632538" w:rsidP="00F034DD">
      <w:pPr>
        <w:rPr>
          <w:rFonts w:cs="Arial"/>
          <w:b/>
          <w:bCs/>
          <w:sz w:val="32"/>
          <w:szCs w:val="32"/>
        </w:rPr>
      </w:pPr>
    </w:p>
    <w:p w14:paraId="29D6D89F" w14:textId="590CA046" w:rsidR="00F034DD" w:rsidRDefault="009B6784" w:rsidP="00F034DD">
      <w:pPr>
        <w:rPr>
          <w:rFonts w:cs="Arial"/>
          <w:b/>
          <w:bCs/>
          <w:sz w:val="32"/>
          <w:szCs w:val="32"/>
        </w:rPr>
      </w:pPr>
      <w:r w:rsidRPr="00F034DD">
        <w:rPr>
          <w:rFonts w:cs="Arial"/>
          <w:b/>
          <w:bCs/>
          <w:sz w:val="32"/>
          <w:szCs w:val="32"/>
        </w:rPr>
        <w:t>November</w:t>
      </w:r>
      <w:r w:rsidRPr="009B6784">
        <w:rPr>
          <w:rFonts w:cs="Arial"/>
          <w:b/>
          <w:bCs/>
          <w:sz w:val="32"/>
          <w:szCs w:val="32"/>
        </w:rPr>
        <w:t xml:space="preserve"> 2022</w:t>
      </w:r>
    </w:p>
    <w:p w14:paraId="2B0F9118" w14:textId="77777777" w:rsidR="00632538" w:rsidRDefault="00632538">
      <w:pPr>
        <w:spacing w:after="160" w:line="259" w:lineRule="auto"/>
      </w:pPr>
      <w:r>
        <w:rPr>
          <w:b/>
        </w:rPr>
        <w:br w:type="page"/>
      </w:r>
    </w:p>
    <w:sdt>
      <w:sdtPr>
        <w:rPr>
          <w:rFonts w:eastAsiaTheme="minorHAnsi" w:cstheme="minorBidi"/>
          <w:b w:val="0"/>
          <w:sz w:val="24"/>
          <w:szCs w:val="22"/>
          <w:lang w:val="en-GB"/>
        </w:rPr>
        <w:id w:val="928332911"/>
        <w:docPartObj>
          <w:docPartGallery w:val="Table of Contents"/>
          <w:docPartUnique/>
        </w:docPartObj>
      </w:sdtPr>
      <w:sdtEndPr/>
      <w:sdtContent>
        <w:sdt>
          <w:sdtPr>
            <w:rPr>
              <w:rFonts w:eastAsiaTheme="minorHAnsi" w:cs="Arial"/>
              <w:b w:val="0"/>
              <w:sz w:val="24"/>
              <w:szCs w:val="24"/>
              <w:lang w:val="en-GB"/>
            </w:rPr>
            <w:id w:val="-648898237"/>
            <w:docPartObj>
              <w:docPartGallery w:val="Table of Contents"/>
              <w:docPartUnique/>
            </w:docPartObj>
          </w:sdtPr>
          <w:sdtEndPr>
            <w:rPr>
              <w:bCs/>
              <w:noProof/>
            </w:rPr>
          </w:sdtEndPr>
          <w:sdtContent>
            <w:p w14:paraId="0D317BE7" w14:textId="065EE4A6" w:rsidR="00735C58" w:rsidRPr="00F61FFD" w:rsidRDefault="00735C58" w:rsidP="00735C58">
              <w:pPr>
                <w:pStyle w:val="TOCHeading"/>
                <w:rPr>
                  <w:rFonts w:cs="Arial"/>
                  <w:b w:val="0"/>
                </w:rPr>
              </w:pPr>
              <w:r w:rsidRPr="0E8DBD4E">
                <w:rPr>
                  <w:rFonts w:cs="Arial"/>
                </w:rPr>
                <w:t>Table of Contents</w:t>
              </w:r>
              <w:r w:rsidR="00797F00">
                <w:rPr>
                  <w:rFonts w:cs="Arial"/>
                </w:rPr>
                <w:br/>
              </w:r>
            </w:p>
            <w:p w14:paraId="37CF61AD" w14:textId="0EBCE872" w:rsidR="00DB2E9B" w:rsidRDefault="00735C58">
              <w:pPr>
                <w:pStyle w:val="TOC1"/>
                <w:tabs>
                  <w:tab w:val="left" w:pos="440"/>
                </w:tabs>
                <w:rPr>
                  <w:rFonts w:asciiTheme="minorHAnsi" w:eastAsiaTheme="minorEastAsia" w:hAnsiTheme="minorHAnsi"/>
                  <w:noProof/>
                  <w:sz w:val="22"/>
                  <w:lang w:eastAsia="en-GB"/>
                </w:rPr>
              </w:pPr>
              <w:r w:rsidRPr="00F61FFD">
                <w:rPr>
                  <w:rFonts w:cs="Arial"/>
                  <w:szCs w:val="24"/>
                </w:rPr>
                <w:fldChar w:fldCharType="begin"/>
              </w:r>
              <w:r w:rsidRPr="00F61FFD">
                <w:rPr>
                  <w:rFonts w:cs="Arial"/>
                  <w:szCs w:val="24"/>
                </w:rPr>
                <w:instrText xml:space="preserve"> TOC \o "1-3" \h \z \u </w:instrText>
              </w:r>
              <w:r w:rsidRPr="00F61FFD">
                <w:rPr>
                  <w:rFonts w:cs="Arial"/>
                  <w:szCs w:val="24"/>
                </w:rPr>
                <w:fldChar w:fldCharType="separate"/>
              </w:r>
              <w:hyperlink w:anchor="_Toc118465264" w:history="1">
                <w:r w:rsidR="00DB2E9B" w:rsidRPr="008A619A">
                  <w:rPr>
                    <w:rStyle w:val="Hyperlink"/>
                    <w:noProof/>
                  </w:rPr>
                  <w:t>1</w:t>
                </w:r>
                <w:r w:rsidR="00DB2E9B">
                  <w:rPr>
                    <w:rFonts w:asciiTheme="minorHAnsi" w:eastAsiaTheme="minorEastAsia" w:hAnsiTheme="minorHAnsi"/>
                    <w:noProof/>
                    <w:sz w:val="22"/>
                    <w:lang w:eastAsia="en-GB"/>
                  </w:rPr>
                  <w:tab/>
                </w:r>
                <w:r w:rsidR="00DB2E9B" w:rsidRPr="008A619A">
                  <w:rPr>
                    <w:rStyle w:val="Hyperlink"/>
                    <w:noProof/>
                  </w:rPr>
                  <w:t>Executive summary</w:t>
                </w:r>
                <w:r w:rsidR="00DB2E9B">
                  <w:rPr>
                    <w:noProof/>
                    <w:webHidden/>
                  </w:rPr>
                  <w:tab/>
                </w:r>
                <w:r w:rsidR="00DB2E9B">
                  <w:rPr>
                    <w:noProof/>
                    <w:webHidden/>
                  </w:rPr>
                  <w:fldChar w:fldCharType="begin"/>
                </w:r>
                <w:r w:rsidR="00DB2E9B">
                  <w:rPr>
                    <w:noProof/>
                    <w:webHidden/>
                  </w:rPr>
                  <w:instrText xml:space="preserve"> PAGEREF _Toc118465264 \h </w:instrText>
                </w:r>
                <w:r w:rsidR="00DB2E9B">
                  <w:rPr>
                    <w:noProof/>
                    <w:webHidden/>
                  </w:rPr>
                </w:r>
                <w:r w:rsidR="00DB2E9B">
                  <w:rPr>
                    <w:noProof/>
                    <w:webHidden/>
                  </w:rPr>
                  <w:fldChar w:fldCharType="separate"/>
                </w:r>
                <w:r w:rsidR="00DB2E9B">
                  <w:rPr>
                    <w:noProof/>
                    <w:webHidden/>
                  </w:rPr>
                  <w:t>1</w:t>
                </w:r>
                <w:r w:rsidR="00DB2E9B">
                  <w:rPr>
                    <w:noProof/>
                    <w:webHidden/>
                  </w:rPr>
                  <w:fldChar w:fldCharType="end"/>
                </w:r>
              </w:hyperlink>
            </w:p>
            <w:p w14:paraId="29E2FE98" w14:textId="0D4E28D6" w:rsidR="00DB2E9B" w:rsidRDefault="00205E8C">
              <w:pPr>
                <w:pStyle w:val="TOC1"/>
                <w:tabs>
                  <w:tab w:val="left" w:pos="440"/>
                </w:tabs>
                <w:rPr>
                  <w:rFonts w:asciiTheme="minorHAnsi" w:eastAsiaTheme="minorEastAsia" w:hAnsiTheme="minorHAnsi"/>
                  <w:noProof/>
                  <w:sz w:val="22"/>
                  <w:lang w:eastAsia="en-GB"/>
                </w:rPr>
              </w:pPr>
              <w:hyperlink w:anchor="_Toc118465265" w:history="1">
                <w:r w:rsidR="00DB2E9B" w:rsidRPr="008A619A">
                  <w:rPr>
                    <w:rStyle w:val="Hyperlink"/>
                    <w:rFonts w:cs="Arial"/>
                    <w:noProof/>
                  </w:rPr>
                  <w:t>2</w:t>
                </w:r>
                <w:r w:rsidR="00DB2E9B">
                  <w:rPr>
                    <w:rFonts w:asciiTheme="minorHAnsi" w:eastAsiaTheme="minorEastAsia" w:hAnsiTheme="minorHAnsi"/>
                    <w:noProof/>
                    <w:sz w:val="22"/>
                    <w:lang w:eastAsia="en-GB"/>
                  </w:rPr>
                  <w:tab/>
                </w:r>
                <w:r w:rsidR="00DB2E9B" w:rsidRPr="008A619A">
                  <w:rPr>
                    <w:rStyle w:val="Hyperlink"/>
                    <w:rFonts w:cs="Arial"/>
                    <w:noProof/>
                  </w:rPr>
                  <w:t>Introduction</w:t>
                </w:r>
                <w:r w:rsidR="00DB2E9B">
                  <w:rPr>
                    <w:noProof/>
                    <w:webHidden/>
                  </w:rPr>
                  <w:tab/>
                </w:r>
                <w:r w:rsidR="00DB2E9B">
                  <w:rPr>
                    <w:noProof/>
                    <w:webHidden/>
                  </w:rPr>
                  <w:fldChar w:fldCharType="begin"/>
                </w:r>
                <w:r w:rsidR="00DB2E9B">
                  <w:rPr>
                    <w:noProof/>
                    <w:webHidden/>
                  </w:rPr>
                  <w:instrText xml:space="preserve"> PAGEREF _Toc118465265 \h </w:instrText>
                </w:r>
                <w:r w:rsidR="00DB2E9B">
                  <w:rPr>
                    <w:noProof/>
                    <w:webHidden/>
                  </w:rPr>
                </w:r>
                <w:r w:rsidR="00DB2E9B">
                  <w:rPr>
                    <w:noProof/>
                    <w:webHidden/>
                  </w:rPr>
                  <w:fldChar w:fldCharType="separate"/>
                </w:r>
                <w:r w:rsidR="00DB2E9B">
                  <w:rPr>
                    <w:noProof/>
                    <w:webHidden/>
                  </w:rPr>
                  <w:t>10</w:t>
                </w:r>
                <w:r w:rsidR="00DB2E9B">
                  <w:rPr>
                    <w:noProof/>
                    <w:webHidden/>
                  </w:rPr>
                  <w:fldChar w:fldCharType="end"/>
                </w:r>
              </w:hyperlink>
            </w:p>
            <w:p w14:paraId="044DD168" w14:textId="713EFA95" w:rsidR="00DB2E9B" w:rsidRDefault="00205E8C">
              <w:pPr>
                <w:pStyle w:val="TOC2"/>
                <w:rPr>
                  <w:rFonts w:asciiTheme="minorHAnsi" w:eastAsiaTheme="minorEastAsia" w:hAnsiTheme="minorHAnsi"/>
                  <w:noProof/>
                  <w:sz w:val="22"/>
                  <w:lang w:eastAsia="en-GB"/>
                </w:rPr>
              </w:pPr>
              <w:hyperlink w:anchor="_Toc118465266" w:history="1">
                <w:r w:rsidR="00DB2E9B" w:rsidRPr="008A619A">
                  <w:rPr>
                    <w:rStyle w:val="Hyperlink"/>
                    <w:noProof/>
                  </w:rPr>
                  <w:t>2.1</w:t>
                </w:r>
                <w:r w:rsidR="00DB2E9B">
                  <w:rPr>
                    <w:rFonts w:asciiTheme="minorHAnsi" w:eastAsiaTheme="minorEastAsia" w:hAnsiTheme="minorHAnsi"/>
                    <w:noProof/>
                    <w:sz w:val="22"/>
                    <w:lang w:eastAsia="en-GB"/>
                  </w:rPr>
                  <w:tab/>
                </w:r>
                <w:r w:rsidR="00DB2E9B" w:rsidRPr="008A619A">
                  <w:rPr>
                    <w:rStyle w:val="Hyperlink"/>
                    <w:noProof/>
                  </w:rPr>
                  <w:t>Context and approach</w:t>
                </w:r>
                <w:r w:rsidR="00DB2E9B">
                  <w:rPr>
                    <w:noProof/>
                    <w:webHidden/>
                  </w:rPr>
                  <w:tab/>
                </w:r>
                <w:r w:rsidR="00DB2E9B">
                  <w:rPr>
                    <w:noProof/>
                    <w:webHidden/>
                  </w:rPr>
                  <w:fldChar w:fldCharType="begin"/>
                </w:r>
                <w:r w:rsidR="00DB2E9B">
                  <w:rPr>
                    <w:noProof/>
                    <w:webHidden/>
                  </w:rPr>
                  <w:instrText xml:space="preserve"> PAGEREF _Toc118465266 \h </w:instrText>
                </w:r>
                <w:r w:rsidR="00DB2E9B">
                  <w:rPr>
                    <w:noProof/>
                    <w:webHidden/>
                  </w:rPr>
                </w:r>
                <w:r w:rsidR="00DB2E9B">
                  <w:rPr>
                    <w:noProof/>
                    <w:webHidden/>
                  </w:rPr>
                  <w:fldChar w:fldCharType="separate"/>
                </w:r>
                <w:r w:rsidR="00DB2E9B">
                  <w:rPr>
                    <w:noProof/>
                    <w:webHidden/>
                  </w:rPr>
                  <w:t>10</w:t>
                </w:r>
                <w:r w:rsidR="00DB2E9B">
                  <w:rPr>
                    <w:noProof/>
                    <w:webHidden/>
                  </w:rPr>
                  <w:fldChar w:fldCharType="end"/>
                </w:r>
              </w:hyperlink>
            </w:p>
            <w:p w14:paraId="3867417F" w14:textId="736224C7" w:rsidR="00DB2E9B" w:rsidRDefault="00205E8C">
              <w:pPr>
                <w:pStyle w:val="TOC2"/>
                <w:rPr>
                  <w:rFonts w:asciiTheme="minorHAnsi" w:eastAsiaTheme="minorEastAsia" w:hAnsiTheme="minorHAnsi"/>
                  <w:noProof/>
                  <w:sz w:val="22"/>
                  <w:lang w:eastAsia="en-GB"/>
                </w:rPr>
              </w:pPr>
              <w:hyperlink w:anchor="_Toc118465267" w:history="1">
                <w:r w:rsidR="00DB2E9B" w:rsidRPr="008A619A">
                  <w:rPr>
                    <w:rStyle w:val="Hyperlink"/>
                    <w:rFonts w:cs="Arial"/>
                    <w:noProof/>
                  </w:rPr>
                  <w:t>2.2</w:t>
                </w:r>
                <w:r w:rsidR="00DB2E9B">
                  <w:rPr>
                    <w:rFonts w:asciiTheme="minorHAnsi" w:eastAsiaTheme="minorEastAsia" w:hAnsiTheme="minorHAnsi"/>
                    <w:noProof/>
                    <w:sz w:val="22"/>
                    <w:lang w:eastAsia="en-GB"/>
                  </w:rPr>
                  <w:tab/>
                </w:r>
                <w:r w:rsidR="00DB2E9B" w:rsidRPr="008A619A">
                  <w:rPr>
                    <w:rStyle w:val="Hyperlink"/>
                    <w:rFonts w:cs="Arial"/>
                    <w:noProof/>
                  </w:rPr>
                  <w:t>Focus and structure of this research</w:t>
                </w:r>
                <w:r w:rsidR="00DB2E9B">
                  <w:rPr>
                    <w:noProof/>
                    <w:webHidden/>
                  </w:rPr>
                  <w:tab/>
                </w:r>
                <w:r w:rsidR="00DB2E9B">
                  <w:rPr>
                    <w:noProof/>
                    <w:webHidden/>
                  </w:rPr>
                  <w:fldChar w:fldCharType="begin"/>
                </w:r>
                <w:r w:rsidR="00DB2E9B">
                  <w:rPr>
                    <w:noProof/>
                    <w:webHidden/>
                  </w:rPr>
                  <w:instrText xml:space="preserve"> PAGEREF _Toc118465267 \h </w:instrText>
                </w:r>
                <w:r w:rsidR="00DB2E9B">
                  <w:rPr>
                    <w:noProof/>
                    <w:webHidden/>
                  </w:rPr>
                </w:r>
                <w:r w:rsidR="00DB2E9B">
                  <w:rPr>
                    <w:noProof/>
                    <w:webHidden/>
                  </w:rPr>
                  <w:fldChar w:fldCharType="separate"/>
                </w:r>
                <w:r w:rsidR="00DB2E9B">
                  <w:rPr>
                    <w:noProof/>
                    <w:webHidden/>
                  </w:rPr>
                  <w:t>15</w:t>
                </w:r>
                <w:r w:rsidR="00DB2E9B">
                  <w:rPr>
                    <w:noProof/>
                    <w:webHidden/>
                  </w:rPr>
                  <w:fldChar w:fldCharType="end"/>
                </w:r>
              </w:hyperlink>
            </w:p>
            <w:p w14:paraId="6C48803F" w14:textId="01D4BC4B" w:rsidR="00DB2E9B" w:rsidRDefault="00205E8C">
              <w:pPr>
                <w:pStyle w:val="TOC1"/>
                <w:tabs>
                  <w:tab w:val="left" w:pos="440"/>
                </w:tabs>
                <w:rPr>
                  <w:rFonts w:asciiTheme="minorHAnsi" w:eastAsiaTheme="minorEastAsia" w:hAnsiTheme="minorHAnsi"/>
                  <w:noProof/>
                  <w:sz w:val="22"/>
                  <w:lang w:eastAsia="en-GB"/>
                </w:rPr>
              </w:pPr>
              <w:hyperlink w:anchor="_Toc118465268" w:history="1">
                <w:r w:rsidR="00DB2E9B" w:rsidRPr="008A619A">
                  <w:rPr>
                    <w:rStyle w:val="Hyperlink"/>
                    <w:rFonts w:cs="Arial"/>
                    <w:noProof/>
                  </w:rPr>
                  <w:t>3</w:t>
                </w:r>
                <w:r w:rsidR="00DB2E9B">
                  <w:rPr>
                    <w:rFonts w:asciiTheme="minorHAnsi" w:eastAsiaTheme="minorEastAsia" w:hAnsiTheme="minorHAnsi"/>
                    <w:noProof/>
                    <w:sz w:val="22"/>
                    <w:lang w:eastAsia="en-GB"/>
                  </w:rPr>
                  <w:tab/>
                </w:r>
                <w:r w:rsidR="00DB2E9B" w:rsidRPr="008A619A">
                  <w:rPr>
                    <w:rStyle w:val="Hyperlink"/>
                    <w:rFonts w:cs="Arial"/>
                    <w:noProof/>
                  </w:rPr>
                  <w:t>A comparative international analysis of anti-circumvention</w:t>
                </w:r>
                <w:r w:rsidR="00DB2E9B">
                  <w:rPr>
                    <w:noProof/>
                    <w:webHidden/>
                  </w:rPr>
                  <w:tab/>
                </w:r>
                <w:r w:rsidR="00DB2E9B">
                  <w:rPr>
                    <w:noProof/>
                    <w:webHidden/>
                  </w:rPr>
                  <w:fldChar w:fldCharType="begin"/>
                </w:r>
                <w:r w:rsidR="00DB2E9B">
                  <w:rPr>
                    <w:noProof/>
                    <w:webHidden/>
                  </w:rPr>
                  <w:instrText xml:space="preserve"> PAGEREF _Toc118465268 \h </w:instrText>
                </w:r>
                <w:r w:rsidR="00DB2E9B">
                  <w:rPr>
                    <w:noProof/>
                    <w:webHidden/>
                  </w:rPr>
                </w:r>
                <w:r w:rsidR="00DB2E9B">
                  <w:rPr>
                    <w:noProof/>
                    <w:webHidden/>
                  </w:rPr>
                  <w:fldChar w:fldCharType="separate"/>
                </w:r>
                <w:r w:rsidR="00DB2E9B">
                  <w:rPr>
                    <w:noProof/>
                    <w:webHidden/>
                  </w:rPr>
                  <w:t>17</w:t>
                </w:r>
                <w:r w:rsidR="00DB2E9B">
                  <w:rPr>
                    <w:noProof/>
                    <w:webHidden/>
                  </w:rPr>
                  <w:fldChar w:fldCharType="end"/>
                </w:r>
              </w:hyperlink>
            </w:p>
            <w:p w14:paraId="346CEC4B" w14:textId="3C8F1BD1" w:rsidR="00DB2E9B" w:rsidRDefault="00205E8C">
              <w:pPr>
                <w:pStyle w:val="TOC2"/>
                <w:rPr>
                  <w:rFonts w:asciiTheme="minorHAnsi" w:eastAsiaTheme="minorEastAsia" w:hAnsiTheme="minorHAnsi"/>
                  <w:noProof/>
                  <w:sz w:val="22"/>
                  <w:lang w:eastAsia="en-GB"/>
                </w:rPr>
              </w:pPr>
              <w:hyperlink w:anchor="_Toc118465269" w:history="1">
                <w:r w:rsidR="00DB2E9B" w:rsidRPr="008A619A">
                  <w:rPr>
                    <w:rStyle w:val="Hyperlink"/>
                    <w:rFonts w:cs="Arial"/>
                    <w:noProof/>
                  </w:rPr>
                  <w:t>3.1</w:t>
                </w:r>
                <w:r w:rsidR="00DB2E9B">
                  <w:rPr>
                    <w:rFonts w:asciiTheme="minorHAnsi" w:eastAsiaTheme="minorEastAsia" w:hAnsiTheme="minorHAnsi"/>
                    <w:noProof/>
                    <w:sz w:val="22"/>
                    <w:lang w:eastAsia="en-GB"/>
                  </w:rPr>
                  <w:tab/>
                </w:r>
                <w:r w:rsidR="00DB2E9B" w:rsidRPr="008A619A">
                  <w:rPr>
                    <w:rStyle w:val="Hyperlink"/>
                    <w:rFonts w:cs="Arial"/>
                    <w:noProof/>
                  </w:rPr>
                  <w:t>Circumvention in the broader context of trade remedies and international disciplines on trade remedies</w:t>
                </w:r>
                <w:r w:rsidR="00DB2E9B">
                  <w:rPr>
                    <w:noProof/>
                    <w:webHidden/>
                  </w:rPr>
                  <w:tab/>
                </w:r>
                <w:r w:rsidR="00DB2E9B">
                  <w:rPr>
                    <w:noProof/>
                    <w:webHidden/>
                  </w:rPr>
                  <w:fldChar w:fldCharType="begin"/>
                </w:r>
                <w:r w:rsidR="00DB2E9B">
                  <w:rPr>
                    <w:noProof/>
                    <w:webHidden/>
                  </w:rPr>
                  <w:instrText xml:space="preserve"> PAGEREF _Toc118465269 \h </w:instrText>
                </w:r>
                <w:r w:rsidR="00DB2E9B">
                  <w:rPr>
                    <w:noProof/>
                    <w:webHidden/>
                  </w:rPr>
                </w:r>
                <w:r w:rsidR="00DB2E9B">
                  <w:rPr>
                    <w:noProof/>
                    <w:webHidden/>
                  </w:rPr>
                  <w:fldChar w:fldCharType="separate"/>
                </w:r>
                <w:r w:rsidR="00DB2E9B">
                  <w:rPr>
                    <w:noProof/>
                    <w:webHidden/>
                  </w:rPr>
                  <w:t>17</w:t>
                </w:r>
                <w:r w:rsidR="00DB2E9B">
                  <w:rPr>
                    <w:noProof/>
                    <w:webHidden/>
                  </w:rPr>
                  <w:fldChar w:fldCharType="end"/>
                </w:r>
              </w:hyperlink>
            </w:p>
            <w:p w14:paraId="51B1D961" w14:textId="03276318" w:rsidR="00DB2E9B" w:rsidRDefault="00205E8C" w:rsidP="0099638A">
              <w:pPr>
                <w:pStyle w:val="TOC3"/>
                <w:rPr>
                  <w:rFonts w:asciiTheme="minorHAnsi" w:eastAsiaTheme="minorEastAsia" w:hAnsiTheme="minorHAnsi"/>
                  <w:noProof/>
                  <w:sz w:val="22"/>
                  <w:lang w:eastAsia="en-GB"/>
                </w:rPr>
              </w:pPr>
              <w:hyperlink w:anchor="_Toc118465270" w:history="1">
                <w:r w:rsidR="00DB2E9B" w:rsidRPr="008A619A">
                  <w:rPr>
                    <w:rStyle w:val="Hyperlink"/>
                    <w:rFonts w:cs="Arial"/>
                    <w:noProof/>
                  </w:rPr>
                  <w:t>3.1.1</w:t>
                </w:r>
                <w:r w:rsidR="00DB2E9B">
                  <w:rPr>
                    <w:rFonts w:asciiTheme="minorHAnsi" w:eastAsiaTheme="minorEastAsia" w:hAnsiTheme="minorHAnsi"/>
                    <w:noProof/>
                    <w:sz w:val="22"/>
                    <w:lang w:eastAsia="en-GB"/>
                  </w:rPr>
                  <w:tab/>
                </w:r>
                <w:r w:rsidR="00DB2E9B" w:rsidRPr="008A619A">
                  <w:rPr>
                    <w:rStyle w:val="Hyperlink"/>
                    <w:rFonts w:cs="Arial"/>
                    <w:noProof/>
                  </w:rPr>
                  <w:t>Discussions on multilateral rules</w:t>
                </w:r>
                <w:r w:rsidR="00DB2E9B">
                  <w:rPr>
                    <w:noProof/>
                    <w:webHidden/>
                  </w:rPr>
                  <w:tab/>
                </w:r>
                <w:r w:rsidR="00DB2E9B">
                  <w:rPr>
                    <w:noProof/>
                    <w:webHidden/>
                  </w:rPr>
                  <w:fldChar w:fldCharType="begin"/>
                </w:r>
                <w:r w:rsidR="00DB2E9B">
                  <w:rPr>
                    <w:noProof/>
                    <w:webHidden/>
                  </w:rPr>
                  <w:instrText xml:space="preserve"> PAGEREF _Toc118465270 \h </w:instrText>
                </w:r>
                <w:r w:rsidR="00DB2E9B">
                  <w:rPr>
                    <w:noProof/>
                    <w:webHidden/>
                  </w:rPr>
                </w:r>
                <w:r w:rsidR="00DB2E9B">
                  <w:rPr>
                    <w:noProof/>
                    <w:webHidden/>
                  </w:rPr>
                  <w:fldChar w:fldCharType="separate"/>
                </w:r>
                <w:r w:rsidR="00DB2E9B">
                  <w:rPr>
                    <w:noProof/>
                    <w:webHidden/>
                  </w:rPr>
                  <w:t>17</w:t>
                </w:r>
                <w:r w:rsidR="00DB2E9B">
                  <w:rPr>
                    <w:noProof/>
                    <w:webHidden/>
                  </w:rPr>
                  <w:fldChar w:fldCharType="end"/>
                </w:r>
              </w:hyperlink>
            </w:p>
            <w:p w14:paraId="2EED39CD" w14:textId="0A273442" w:rsidR="00DB2E9B" w:rsidRDefault="00205E8C" w:rsidP="0099638A">
              <w:pPr>
                <w:pStyle w:val="TOC3"/>
                <w:rPr>
                  <w:rFonts w:asciiTheme="minorHAnsi" w:eastAsiaTheme="minorEastAsia" w:hAnsiTheme="minorHAnsi"/>
                  <w:noProof/>
                  <w:sz w:val="22"/>
                  <w:lang w:eastAsia="en-GB"/>
                </w:rPr>
              </w:pPr>
              <w:hyperlink w:anchor="_Toc118465271" w:history="1">
                <w:r w:rsidR="00DB2E9B" w:rsidRPr="008A619A">
                  <w:rPr>
                    <w:rStyle w:val="Hyperlink"/>
                    <w:rFonts w:cs="Arial"/>
                    <w:noProof/>
                  </w:rPr>
                  <w:t>3.1.2</w:t>
                </w:r>
                <w:r w:rsidR="00DB2E9B">
                  <w:rPr>
                    <w:rFonts w:asciiTheme="minorHAnsi" w:eastAsiaTheme="minorEastAsia" w:hAnsiTheme="minorHAnsi"/>
                    <w:noProof/>
                    <w:sz w:val="22"/>
                    <w:lang w:eastAsia="en-GB"/>
                  </w:rPr>
                  <w:tab/>
                </w:r>
                <w:r w:rsidR="00DB2E9B" w:rsidRPr="008A619A">
                  <w:rPr>
                    <w:rStyle w:val="Hyperlink"/>
                    <w:rFonts w:cs="Arial"/>
                    <w:noProof/>
                  </w:rPr>
                  <w:t>Differences in perspective on what constitutes circumvention, and responses to it</w:t>
                </w:r>
                <w:r w:rsidR="00DB2E9B">
                  <w:rPr>
                    <w:noProof/>
                    <w:webHidden/>
                  </w:rPr>
                  <w:tab/>
                </w:r>
                <w:r w:rsidR="00DB2E9B">
                  <w:rPr>
                    <w:noProof/>
                    <w:webHidden/>
                  </w:rPr>
                  <w:fldChar w:fldCharType="begin"/>
                </w:r>
                <w:r w:rsidR="00DB2E9B">
                  <w:rPr>
                    <w:noProof/>
                    <w:webHidden/>
                  </w:rPr>
                  <w:instrText xml:space="preserve"> PAGEREF _Toc118465271 \h </w:instrText>
                </w:r>
                <w:r w:rsidR="00DB2E9B">
                  <w:rPr>
                    <w:noProof/>
                    <w:webHidden/>
                  </w:rPr>
                </w:r>
                <w:r w:rsidR="00DB2E9B">
                  <w:rPr>
                    <w:noProof/>
                    <w:webHidden/>
                  </w:rPr>
                  <w:fldChar w:fldCharType="separate"/>
                </w:r>
                <w:r w:rsidR="00DB2E9B">
                  <w:rPr>
                    <w:noProof/>
                    <w:webHidden/>
                  </w:rPr>
                  <w:t>18</w:t>
                </w:r>
                <w:r w:rsidR="00DB2E9B">
                  <w:rPr>
                    <w:noProof/>
                    <w:webHidden/>
                  </w:rPr>
                  <w:fldChar w:fldCharType="end"/>
                </w:r>
              </w:hyperlink>
            </w:p>
            <w:p w14:paraId="5DCF45F6" w14:textId="45DEF1C3" w:rsidR="00DB2E9B" w:rsidRDefault="00205E8C">
              <w:pPr>
                <w:pStyle w:val="TOC2"/>
                <w:rPr>
                  <w:rFonts w:asciiTheme="minorHAnsi" w:eastAsiaTheme="minorEastAsia" w:hAnsiTheme="minorHAnsi"/>
                  <w:noProof/>
                  <w:sz w:val="22"/>
                  <w:lang w:eastAsia="en-GB"/>
                </w:rPr>
              </w:pPr>
              <w:hyperlink w:anchor="_Toc118465272" w:history="1">
                <w:r w:rsidR="00DB2E9B" w:rsidRPr="008A619A">
                  <w:rPr>
                    <w:rStyle w:val="Hyperlink"/>
                    <w:noProof/>
                  </w:rPr>
                  <w:t>3.2</w:t>
                </w:r>
                <w:r w:rsidR="00DB2E9B">
                  <w:rPr>
                    <w:rFonts w:asciiTheme="minorHAnsi" w:eastAsiaTheme="minorEastAsia" w:hAnsiTheme="minorHAnsi"/>
                    <w:noProof/>
                    <w:sz w:val="22"/>
                    <w:lang w:eastAsia="en-GB"/>
                  </w:rPr>
                  <w:tab/>
                </w:r>
                <w:r w:rsidR="00DB2E9B" w:rsidRPr="008A619A">
                  <w:rPr>
                    <w:rStyle w:val="Hyperlink"/>
                    <w:noProof/>
                  </w:rPr>
                  <w:t>Comparative assessment of the deep-dive countries</w:t>
                </w:r>
                <w:r w:rsidR="00DB2E9B">
                  <w:rPr>
                    <w:noProof/>
                    <w:webHidden/>
                  </w:rPr>
                  <w:tab/>
                </w:r>
                <w:r w:rsidR="00DB2E9B">
                  <w:rPr>
                    <w:noProof/>
                    <w:webHidden/>
                  </w:rPr>
                  <w:fldChar w:fldCharType="begin"/>
                </w:r>
                <w:r w:rsidR="00DB2E9B">
                  <w:rPr>
                    <w:noProof/>
                    <w:webHidden/>
                  </w:rPr>
                  <w:instrText xml:space="preserve"> PAGEREF _Toc118465272 \h </w:instrText>
                </w:r>
                <w:r w:rsidR="00DB2E9B">
                  <w:rPr>
                    <w:noProof/>
                    <w:webHidden/>
                  </w:rPr>
                </w:r>
                <w:r w:rsidR="00DB2E9B">
                  <w:rPr>
                    <w:noProof/>
                    <w:webHidden/>
                  </w:rPr>
                  <w:fldChar w:fldCharType="separate"/>
                </w:r>
                <w:r w:rsidR="00DB2E9B">
                  <w:rPr>
                    <w:noProof/>
                    <w:webHidden/>
                  </w:rPr>
                  <w:t>20</w:t>
                </w:r>
                <w:r w:rsidR="00DB2E9B">
                  <w:rPr>
                    <w:noProof/>
                    <w:webHidden/>
                  </w:rPr>
                  <w:fldChar w:fldCharType="end"/>
                </w:r>
              </w:hyperlink>
            </w:p>
            <w:p w14:paraId="73BBDC0F" w14:textId="302A7E7B" w:rsidR="00DB2E9B" w:rsidRDefault="00205E8C" w:rsidP="0099638A">
              <w:pPr>
                <w:pStyle w:val="TOC3"/>
                <w:rPr>
                  <w:rFonts w:asciiTheme="minorHAnsi" w:eastAsiaTheme="minorEastAsia" w:hAnsiTheme="minorHAnsi"/>
                  <w:noProof/>
                  <w:sz w:val="22"/>
                  <w:lang w:eastAsia="en-GB"/>
                </w:rPr>
              </w:pPr>
              <w:hyperlink w:anchor="_Toc118465273" w:history="1">
                <w:r w:rsidR="00DB2E9B" w:rsidRPr="008A619A">
                  <w:rPr>
                    <w:rStyle w:val="Hyperlink"/>
                    <w:noProof/>
                  </w:rPr>
                  <w:t>3.2.1</w:t>
                </w:r>
                <w:r w:rsidR="006F10F9">
                  <w:rPr>
                    <w:rStyle w:val="Hyperlink"/>
                    <w:noProof/>
                  </w:rPr>
                  <w:tab/>
                </w:r>
                <w:r w:rsidR="00DB2E9B" w:rsidRPr="008A619A">
                  <w:rPr>
                    <w:rStyle w:val="Hyperlink"/>
                    <w:noProof/>
                  </w:rPr>
                  <w:t>Circumventors and modes of circumvention</w:t>
                </w:r>
                <w:r w:rsidR="00DB2E9B">
                  <w:rPr>
                    <w:noProof/>
                    <w:webHidden/>
                  </w:rPr>
                  <w:tab/>
                </w:r>
                <w:r w:rsidR="00DB2E9B">
                  <w:rPr>
                    <w:noProof/>
                    <w:webHidden/>
                  </w:rPr>
                  <w:fldChar w:fldCharType="begin"/>
                </w:r>
                <w:r w:rsidR="00DB2E9B">
                  <w:rPr>
                    <w:noProof/>
                    <w:webHidden/>
                  </w:rPr>
                  <w:instrText xml:space="preserve"> PAGEREF _Toc118465273 \h </w:instrText>
                </w:r>
                <w:r w:rsidR="00DB2E9B">
                  <w:rPr>
                    <w:noProof/>
                    <w:webHidden/>
                  </w:rPr>
                </w:r>
                <w:r w:rsidR="00DB2E9B">
                  <w:rPr>
                    <w:noProof/>
                    <w:webHidden/>
                  </w:rPr>
                  <w:fldChar w:fldCharType="separate"/>
                </w:r>
                <w:r w:rsidR="00DB2E9B">
                  <w:rPr>
                    <w:noProof/>
                    <w:webHidden/>
                  </w:rPr>
                  <w:t>20</w:t>
                </w:r>
                <w:r w:rsidR="00DB2E9B">
                  <w:rPr>
                    <w:noProof/>
                    <w:webHidden/>
                  </w:rPr>
                  <w:fldChar w:fldCharType="end"/>
                </w:r>
              </w:hyperlink>
            </w:p>
            <w:p w14:paraId="08F628A8" w14:textId="17074F5F" w:rsidR="00DB2E9B" w:rsidRDefault="00205E8C" w:rsidP="0099638A">
              <w:pPr>
                <w:pStyle w:val="TOC3"/>
                <w:rPr>
                  <w:rFonts w:asciiTheme="minorHAnsi" w:eastAsiaTheme="minorEastAsia" w:hAnsiTheme="minorHAnsi"/>
                  <w:noProof/>
                  <w:sz w:val="22"/>
                  <w:lang w:eastAsia="en-GB"/>
                </w:rPr>
              </w:pPr>
              <w:hyperlink w:anchor="_Toc118465274" w:history="1">
                <w:r w:rsidR="00DB2E9B" w:rsidRPr="008A619A">
                  <w:rPr>
                    <w:rStyle w:val="Hyperlink"/>
                    <w:noProof/>
                  </w:rPr>
                  <w:t>3.2.2</w:t>
                </w:r>
                <w:r w:rsidR="00DB2E9B">
                  <w:rPr>
                    <w:rFonts w:asciiTheme="minorHAnsi" w:eastAsiaTheme="minorEastAsia" w:hAnsiTheme="minorHAnsi"/>
                    <w:noProof/>
                    <w:sz w:val="22"/>
                    <w:lang w:eastAsia="en-GB"/>
                  </w:rPr>
                  <w:tab/>
                </w:r>
                <w:r w:rsidR="00DB2E9B" w:rsidRPr="008A619A">
                  <w:rPr>
                    <w:rStyle w:val="Hyperlink"/>
                    <w:noProof/>
                  </w:rPr>
                  <w:t>Other points of comparison</w:t>
                </w:r>
                <w:r w:rsidR="00DB2E9B">
                  <w:rPr>
                    <w:noProof/>
                    <w:webHidden/>
                  </w:rPr>
                  <w:tab/>
                </w:r>
                <w:r w:rsidR="00DB2E9B">
                  <w:rPr>
                    <w:noProof/>
                    <w:webHidden/>
                  </w:rPr>
                  <w:fldChar w:fldCharType="begin"/>
                </w:r>
                <w:r w:rsidR="00DB2E9B">
                  <w:rPr>
                    <w:noProof/>
                    <w:webHidden/>
                  </w:rPr>
                  <w:instrText xml:space="preserve"> PAGEREF _Toc118465274 \h </w:instrText>
                </w:r>
                <w:r w:rsidR="00DB2E9B">
                  <w:rPr>
                    <w:noProof/>
                    <w:webHidden/>
                  </w:rPr>
                </w:r>
                <w:r w:rsidR="00DB2E9B">
                  <w:rPr>
                    <w:noProof/>
                    <w:webHidden/>
                  </w:rPr>
                  <w:fldChar w:fldCharType="separate"/>
                </w:r>
                <w:r w:rsidR="00DB2E9B">
                  <w:rPr>
                    <w:noProof/>
                    <w:webHidden/>
                  </w:rPr>
                  <w:t>25</w:t>
                </w:r>
                <w:r w:rsidR="00DB2E9B">
                  <w:rPr>
                    <w:noProof/>
                    <w:webHidden/>
                  </w:rPr>
                  <w:fldChar w:fldCharType="end"/>
                </w:r>
              </w:hyperlink>
            </w:p>
            <w:p w14:paraId="66827C96" w14:textId="7A7631FE" w:rsidR="00DB2E9B" w:rsidRDefault="00205E8C">
              <w:pPr>
                <w:pStyle w:val="TOC2"/>
                <w:rPr>
                  <w:rFonts w:asciiTheme="minorHAnsi" w:eastAsiaTheme="minorEastAsia" w:hAnsiTheme="minorHAnsi"/>
                  <w:noProof/>
                  <w:sz w:val="22"/>
                  <w:lang w:eastAsia="en-GB"/>
                </w:rPr>
              </w:pPr>
              <w:hyperlink w:anchor="_Toc118465275" w:history="1">
                <w:r w:rsidR="00DB2E9B" w:rsidRPr="008A619A">
                  <w:rPr>
                    <w:rStyle w:val="Hyperlink"/>
                    <w:rFonts w:cs="Arial"/>
                    <w:noProof/>
                  </w:rPr>
                  <w:t>3.3</w:t>
                </w:r>
                <w:r w:rsidR="00DB2E9B">
                  <w:rPr>
                    <w:rFonts w:asciiTheme="minorHAnsi" w:eastAsiaTheme="minorEastAsia" w:hAnsiTheme="minorHAnsi"/>
                    <w:noProof/>
                    <w:sz w:val="22"/>
                    <w:lang w:eastAsia="en-GB"/>
                  </w:rPr>
                  <w:tab/>
                </w:r>
                <w:r w:rsidR="00DB2E9B" w:rsidRPr="008A619A">
                  <w:rPr>
                    <w:rStyle w:val="Hyperlink"/>
                    <w:rFonts w:cs="Arial"/>
                    <w:noProof/>
                  </w:rPr>
                  <w:t>Conclusions on comparative analysis of anti-circumvention frameworks and cases</w:t>
                </w:r>
                <w:r w:rsidR="00DB2E9B">
                  <w:rPr>
                    <w:noProof/>
                    <w:webHidden/>
                  </w:rPr>
                  <w:tab/>
                </w:r>
                <w:r w:rsidR="006F10F9" w:rsidRPr="006F10F9">
                  <w:rPr>
                    <w:noProof/>
                    <w:webHidden/>
                  </w:rPr>
                  <w:tab/>
                </w:r>
                <w:r w:rsidR="00DB2E9B">
                  <w:rPr>
                    <w:noProof/>
                    <w:webHidden/>
                  </w:rPr>
                  <w:fldChar w:fldCharType="begin"/>
                </w:r>
                <w:r w:rsidR="00DB2E9B">
                  <w:rPr>
                    <w:noProof/>
                    <w:webHidden/>
                  </w:rPr>
                  <w:instrText xml:space="preserve"> PAGEREF _Toc118465275 \h </w:instrText>
                </w:r>
                <w:r w:rsidR="00DB2E9B">
                  <w:rPr>
                    <w:noProof/>
                    <w:webHidden/>
                  </w:rPr>
                </w:r>
                <w:r w:rsidR="00DB2E9B">
                  <w:rPr>
                    <w:noProof/>
                    <w:webHidden/>
                  </w:rPr>
                  <w:fldChar w:fldCharType="separate"/>
                </w:r>
                <w:r w:rsidR="00DB2E9B">
                  <w:rPr>
                    <w:noProof/>
                    <w:webHidden/>
                  </w:rPr>
                  <w:t>29</w:t>
                </w:r>
                <w:r w:rsidR="00DB2E9B">
                  <w:rPr>
                    <w:noProof/>
                    <w:webHidden/>
                  </w:rPr>
                  <w:fldChar w:fldCharType="end"/>
                </w:r>
              </w:hyperlink>
            </w:p>
            <w:p w14:paraId="36F2723D" w14:textId="0DD3E422" w:rsidR="00DB2E9B" w:rsidRDefault="00205E8C">
              <w:pPr>
                <w:pStyle w:val="TOC1"/>
                <w:tabs>
                  <w:tab w:val="left" w:pos="440"/>
                </w:tabs>
                <w:rPr>
                  <w:rFonts w:asciiTheme="minorHAnsi" w:eastAsiaTheme="minorEastAsia" w:hAnsiTheme="minorHAnsi"/>
                  <w:noProof/>
                  <w:sz w:val="22"/>
                  <w:lang w:eastAsia="en-GB"/>
                </w:rPr>
              </w:pPr>
              <w:hyperlink w:anchor="_Toc118465276" w:history="1">
                <w:r w:rsidR="00DB2E9B" w:rsidRPr="008A619A">
                  <w:rPr>
                    <w:rStyle w:val="Hyperlink"/>
                    <w:rFonts w:cs="Arial"/>
                    <w:noProof/>
                  </w:rPr>
                  <w:t>4</w:t>
                </w:r>
                <w:r w:rsidR="00DB2E9B">
                  <w:rPr>
                    <w:rFonts w:asciiTheme="minorHAnsi" w:eastAsiaTheme="minorEastAsia" w:hAnsiTheme="minorHAnsi"/>
                    <w:noProof/>
                    <w:sz w:val="22"/>
                    <w:lang w:eastAsia="en-GB"/>
                  </w:rPr>
                  <w:tab/>
                </w:r>
                <w:r w:rsidR="00DB2E9B" w:rsidRPr="008A619A">
                  <w:rPr>
                    <w:rStyle w:val="Hyperlink"/>
                    <w:rFonts w:cs="Arial"/>
                    <w:noProof/>
                  </w:rPr>
                  <w:t>Data resources and methodologies for assessing circumvention</w:t>
                </w:r>
                <w:r w:rsidR="00DB2E9B">
                  <w:rPr>
                    <w:noProof/>
                    <w:webHidden/>
                  </w:rPr>
                  <w:tab/>
                </w:r>
                <w:r w:rsidR="00DB2E9B">
                  <w:rPr>
                    <w:noProof/>
                    <w:webHidden/>
                  </w:rPr>
                  <w:fldChar w:fldCharType="begin"/>
                </w:r>
                <w:r w:rsidR="00DB2E9B">
                  <w:rPr>
                    <w:noProof/>
                    <w:webHidden/>
                  </w:rPr>
                  <w:instrText xml:space="preserve"> PAGEREF _Toc118465276 \h </w:instrText>
                </w:r>
                <w:r w:rsidR="00DB2E9B">
                  <w:rPr>
                    <w:noProof/>
                    <w:webHidden/>
                  </w:rPr>
                </w:r>
                <w:r w:rsidR="00DB2E9B">
                  <w:rPr>
                    <w:noProof/>
                    <w:webHidden/>
                  </w:rPr>
                  <w:fldChar w:fldCharType="separate"/>
                </w:r>
                <w:r w:rsidR="00DB2E9B">
                  <w:rPr>
                    <w:noProof/>
                    <w:webHidden/>
                  </w:rPr>
                  <w:t>32</w:t>
                </w:r>
                <w:r w:rsidR="00DB2E9B">
                  <w:rPr>
                    <w:noProof/>
                    <w:webHidden/>
                  </w:rPr>
                  <w:fldChar w:fldCharType="end"/>
                </w:r>
              </w:hyperlink>
            </w:p>
            <w:p w14:paraId="0E156FA5" w14:textId="64063C28" w:rsidR="00DB2E9B" w:rsidRDefault="00205E8C">
              <w:pPr>
                <w:pStyle w:val="TOC2"/>
                <w:rPr>
                  <w:rFonts w:asciiTheme="minorHAnsi" w:eastAsiaTheme="minorEastAsia" w:hAnsiTheme="minorHAnsi"/>
                  <w:noProof/>
                  <w:sz w:val="22"/>
                  <w:lang w:eastAsia="en-GB"/>
                </w:rPr>
              </w:pPr>
              <w:hyperlink w:anchor="_Toc118465277" w:history="1">
                <w:r w:rsidR="00DB2E9B" w:rsidRPr="008A619A">
                  <w:rPr>
                    <w:rStyle w:val="Hyperlink"/>
                    <w:rFonts w:cs="Arial"/>
                    <w:noProof/>
                  </w:rPr>
                  <w:t>4.1</w:t>
                </w:r>
                <w:r w:rsidR="00DB2E9B">
                  <w:rPr>
                    <w:rFonts w:asciiTheme="minorHAnsi" w:eastAsiaTheme="minorEastAsia" w:hAnsiTheme="minorHAnsi"/>
                    <w:noProof/>
                    <w:sz w:val="22"/>
                    <w:lang w:eastAsia="en-GB"/>
                  </w:rPr>
                  <w:tab/>
                </w:r>
                <w:r w:rsidR="00DB2E9B" w:rsidRPr="008A619A">
                  <w:rPr>
                    <w:rStyle w:val="Hyperlink"/>
                    <w:rFonts w:cs="Arial"/>
                    <w:noProof/>
                  </w:rPr>
                  <w:t>Introduction</w:t>
                </w:r>
                <w:r w:rsidR="00DB2E9B">
                  <w:rPr>
                    <w:noProof/>
                    <w:webHidden/>
                  </w:rPr>
                  <w:tab/>
                </w:r>
                <w:r w:rsidR="00DB2E9B">
                  <w:rPr>
                    <w:noProof/>
                    <w:webHidden/>
                  </w:rPr>
                  <w:fldChar w:fldCharType="begin"/>
                </w:r>
                <w:r w:rsidR="00DB2E9B">
                  <w:rPr>
                    <w:noProof/>
                    <w:webHidden/>
                  </w:rPr>
                  <w:instrText xml:space="preserve"> PAGEREF _Toc118465277 \h </w:instrText>
                </w:r>
                <w:r w:rsidR="00DB2E9B">
                  <w:rPr>
                    <w:noProof/>
                    <w:webHidden/>
                  </w:rPr>
                </w:r>
                <w:r w:rsidR="00DB2E9B">
                  <w:rPr>
                    <w:noProof/>
                    <w:webHidden/>
                  </w:rPr>
                  <w:fldChar w:fldCharType="separate"/>
                </w:r>
                <w:r w:rsidR="00DB2E9B">
                  <w:rPr>
                    <w:noProof/>
                    <w:webHidden/>
                  </w:rPr>
                  <w:t>32</w:t>
                </w:r>
                <w:r w:rsidR="00DB2E9B">
                  <w:rPr>
                    <w:noProof/>
                    <w:webHidden/>
                  </w:rPr>
                  <w:fldChar w:fldCharType="end"/>
                </w:r>
              </w:hyperlink>
            </w:p>
            <w:p w14:paraId="6768CC7B" w14:textId="77FF9599" w:rsidR="00DB2E9B" w:rsidRDefault="00205E8C">
              <w:pPr>
                <w:pStyle w:val="TOC2"/>
                <w:rPr>
                  <w:rFonts w:asciiTheme="minorHAnsi" w:eastAsiaTheme="minorEastAsia" w:hAnsiTheme="minorHAnsi"/>
                  <w:noProof/>
                  <w:sz w:val="22"/>
                  <w:lang w:eastAsia="en-GB"/>
                </w:rPr>
              </w:pPr>
              <w:hyperlink w:anchor="_Toc118465278" w:history="1">
                <w:r w:rsidR="00DB2E9B" w:rsidRPr="008A619A">
                  <w:rPr>
                    <w:rStyle w:val="Hyperlink"/>
                    <w:rFonts w:cs="Arial"/>
                    <w:noProof/>
                  </w:rPr>
                  <w:t>4.2</w:t>
                </w:r>
                <w:r w:rsidR="00DB2E9B">
                  <w:rPr>
                    <w:rFonts w:asciiTheme="minorHAnsi" w:eastAsiaTheme="minorEastAsia" w:hAnsiTheme="minorHAnsi"/>
                    <w:noProof/>
                    <w:sz w:val="22"/>
                    <w:lang w:eastAsia="en-GB"/>
                  </w:rPr>
                  <w:tab/>
                </w:r>
                <w:r w:rsidR="00DB2E9B" w:rsidRPr="008A619A">
                  <w:rPr>
                    <w:rStyle w:val="Hyperlink"/>
                    <w:rFonts w:cs="Arial"/>
                    <w:noProof/>
                  </w:rPr>
                  <w:t>Review of trade data sources</w:t>
                </w:r>
                <w:r w:rsidR="00DB2E9B">
                  <w:rPr>
                    <w:noProof/>
                    <w:webHidden/>
                  </w:rPr>
                  <w:tab/>
                </w:r>
                <w:r w:rsidR="00DB2E9B">
                  <w:rPr>
                    <w:noProof/>
                    <w:webHidden/>
                  </w:rPr>
                  <w:fldChar w:fldCharType="begin"/>
                </w:r>
                <w:r w:rsidR="00DB2E9B">
                  <w:rPr>
                    <w:noProof/>
                    <w:webHidden/>
                  </w:rPr>
                  <w:instrText xml:space="preserve"> PAGEREF _Toc118465278 \h </w:instrText>
                </w:r>
                <w:r w:rsidR="00DB2E9B">
                  <w:rPr>
                    <w:noProof/>
                    <w:webHidden/>
                  </w:rPr>
                </w:r>
                <w:r w:rsidR="00DB2E9B">
                  <w:rPr>
                    <w:noProof/>
                    <w:webHidden/>
                  </w:rPr>
                  <w:fldChar w:fldCharType="separate"/>
                </w:r>
                <w:r w:rsidR="00DB2E9B">
                  <w:rPr>
                    <w:noProof/>
                    <w:webHidden/>
                  </w:rPr>
                  <w:t>33</w:t>
                </w:r>
                <w:r w:rsidR="00DB2E9B">
                  <w:rPr>
                    <w:noProof/>
                    <w:webHidden/>
                  </w:rPr>
                  <w:fldChar w:fldCharType="end"/>
                </w:r>
              </w:hyperlink>
            </w:p>
            <w:p w14:paraId="3A7965B9" w14:textId="298AE663" w:rsidR="00DB2E9B" w:rsidRDefault="00205E8C" w:rsidP="0099638A">
              <w:pPr>
                <w:pStyle w:val="TOC3"/>
                <w:rPr>
                  <w:rFonts w:asciiTheme="minorHAnsi" w:eastAsiaTheme="minorEastAsia" w:hAnsiTheme="minorHAnsi"/>
                  <w:noProof/>
                  <w:sz w:val="22"/>
                  <w:lang w:eastAsia="en-GB"/>
                </w:rPr>
              </w:pPr>
              <w:hyperlink w:anchor="_Toc118465279" w:history="1">
                <w:r w:rsidR="00DB2E9B" w:rsidRPr="008A619A">
                  <w:rPr>
                    <w:rStyle w:val="Hyperlink"/>
                    <w:rFonts w:cs="Arial"/>
                    <w:noProof/>
                  </w:rPr>
                  <w:t>4.2.1</w:t>
                </w:r>
                <w:r w:rsidR="00DB2E9B">
                  <w:rPr>
                    <w:rFonts w:asciiTheme="minorHAnsi" w:eastAsiaTheme="minorEastAsia" w:hAnsiTheme="minorHAnsi"/>
                    <w:noProof/>
                    <w:sz w:val="22"/>
                    <w:lang w:eastAsia="en-GB"/>
                  </w:rPr>
                  <w:tab/>
                </w:r>
                <w:r w:rsidR="00DB2E9B" w:rsidRPr="008A619A">
                  <w:rPr>
                    <w:rStyle w:val="Hyperlink"/>
                    <w:rFonts w:cs="Arial"/>
                    <w:noProof/>
                  </w:rPr>
                  <w:t>Context</w:t>
                </w:r>
                <w:r w:rsidR="00DB2E9B">
                  <w:rPr>
                    <w:noProof/>
                    <w:webHidden/>
                  </w:rPr>
                  <w:tab/>
                </w:r>
                <w:r w:rsidR="00DB2E9B">
                  <w:rPr>
                    <w:noProof/>
                    <w:webHidden/>
                  </w:rPr>
                  <w:fldChar w:fldCharType="begin"/>
                </w:r>
                <w:r w:rsidR="00DB2E9B">
                  <w:rPr>
                    <w:noProof/>
                    <w:webHidden/>
                  </w:rPr>
                  <w:instrText xml:space="preserve"> PAGEREF _Toc118465279 \h </w:instrText>
                </w:r>
                <w:r w:rsidR="00DB2E9B">
                  <w:rPr>
                    <w:noProof/>
                    <w:webHidden/>
                  </w:rPr>
                </w:r>
                <w:r w:rsidR="00DB2E9B">
                  <w:rPr>
                    <w:noProof/>
                    <w:webHidden/>
                  </w:rPr>
                  <w:fldChar w:fldCharType="separate"/>
                </w:r>
                <w:r w:rsidR="00DB2E9B">
                  <w:rPr>
                    <w:noProof/>
                    <w:webHidden/>
                  </w:rPr>
                  <w:t>33</w:t>
                </w:r>
                <w:r w:rsidR="00DB2E9B">
                  <w:rPr>
                    <w:noProof/>
                    <w:webHidden/>
                  </w:rPr>
                  <w:fldChar w:fldCharType="end"/>
                </w:r>
              </w:hyperlink>
            </w:p>
            <w:p w14:paraId="5E403848" w14:textId="73C6A029" w:rsidR="00DB2E9B" w:rsidRDefault="00205E8C" w:rsidP="0099638A">
              <w:pPr>
                <w:pStyle w:val="TOC3"/>
                <w:rPr>
                  <w:rFonts w:asciiTheme="minorHAnsi" w:eastAsiaTheme="minorEastAsia" w:hAnsiTheme="minorHAnsi"/>
                  <w:noProof/>
                  <w:sz w:val="22"/>
                  <w:lang w:eastAsia="en-GB"/>
                </w:rPr>
              </w:pPr>
              <w:hyperlink w:anchor="_Toc118465280" w:history="1">
                <w:r w:rsidR="00DB2E9B" w:rsidRPr="008A619A">
                  <w:rPr>
                    <w:rStyle w:val="Hyperlink"/>
                    <w:rFonts w:cs="Arial"/>
                    <w:noProof/>
                  </w:rPr>
                  <w:t>4.2.2</w:t>
                </w:r>
                <w:r w:rsidR="00DB2E9B">
                  <w:rPr>
                    <w:rFonts w:asciiTheme="minorHAnsi" w:eastAsiaTheme="minorEastAsia" w:hAnsiTheme="minorHAnsi"/>
                    <w:noProof/>
                    <w:sz w:val="22"/>
                    <w:lang w:eastAsia="en-GB"/>
                  </w:rPr>
                  <w:tab/>
                </w:r>
                <w:r w:rsidR="00DB2E9B" w:rsidRPr="008A619A">
                  <w:rPr>
                    <w:rStyle w:val="Hyperlink"/>
                    <w:rFonts w:cs="Arial"/>
                    <w:noProof/>
                  </w:rPr>
                  <w:t>International sources of trade data</w:t>
                </w:r>
                <w:r w:rsidR="00DB2E9B">
                  <w:rPr>
                    <w:noProof/>
                    <w:webHidden/>
                  </w:rPr>
                  <w:tab/>
                </w:r>
                <w:r w:rsidR="00DB2E9B">
                  <w:rPr>
                    <w:noProof/>
                    <w:webHidden/>
                  </w:rPr>
                  <w:fldChar w:fldCharType="begin"/>
                </w:r>
                <w:r w:rsidR="00DB2E9B">
                  <w:rPr>
                    <w:noProof/>
                    <w:webHidden/>
                  </w:rPr>
                  <w:instrText xml:space="preserve"> PAGEREF _Toc118465280 \h </w:instrText>
                </w:r>
                <w:r w:rsidR="00DB2E9B">
                  <w:rPr>
                    <w:noProof/>
                    <w:webHidden/>
                  </w:rPr>
                </w:r>
                <w:r w:rsidR="00DB2E9B">
                  <w:rPr>
                    <w:noProof/>
                    <w:webHidden/>
                  </w:rPr>
                  <w:fldChar w:fldCharType="separate"/>
                </w:r>
                <w:r w:rsidR="00DB2E9B">
                  <w:rPr>
                    <w:noProof/>
                    <w:webHidden/>
                  </w:rPr>
                  <w:t>34</w:t>
                </w:r>
                <w:r w:rsidR="00DB2E9B">
                  <w:rPr>
                    <w:noProof/>
                    <w:webHidden/>
                  </w:rPr>
                  <w:fldChar w:fldCharType="end"/>
                </w:r>
              </w:hyperlink>
            </w:p>
            <w:p w14:paraId="60BC0655" w14:textId="7756C1A3" w:rsidR="00DB2E9B" w:rsidRDefault="00205E8C" w:rsidP="0099638A">
              <w:pPr>
                <w:pStyle w:val="TOC3"/>
                <w:rPr>
                  <w:rFonts w:asciiTheme="minorHAnsi" w:eastAsiaTheme="minorEastAsia" w:hAnsiTheme="minorHAnsi"/>
                  <w:noProof/>
                  <w:sz w:val="22"/>
                  <w:lang w:eastAsia="en-GB"/>
                </w:rPr>
              </w:pPr>
              <w:hyperlink w:anchor="_Toc118465281" w:history="1">
                <w:r w:rsidR="00DB2E9B" w:rsidRPr="008A619A">
                  <w:rPr>
                    <w:rStyle w:val="Hyperlink"/>
                    <w:rFonts w:cs="Arial"/>
                    <w:noProof/>
                  </w:rPr>
                  <w:t>4.2.3</w:t>
                </w:r>
                <w:r w:rsidR="00DB2E9B">
                  <w:rPr>
                    <w:rFonts w:asciiTheme="minorHAnsi" w:eastAsiaTheme="minorEastAsia" w:hAnsiTheme="minorHAnsi"/>
                    <w:noProof/>
                    <w:sz w:val="22"/>
                    <w:lang w:eastAsia="en-GB"/>
                  </w:rPr>
                  <w:tab/>
                </w:r>
                <w:r w:rsidR="00DB2E9B" w:rsidRPr="008A619A">
                  <w:rPr>
                    <w:rStyle w:val="Hyperlink"/>
                    <w:rFonts w:cs="Arial"/>
                    <w:noProof/>
                  </w:rPr>
                  <w:t>National sources of trade data</w:t>
                </w:r>
                <w:r w:rsidR="00DB2E9B">
                  <w:rPr>
                    <w:noProof/>
                    <w:webHidden/>
                  </w:rPr>
                  <w:tab/>
                </w:r>
                <w:r w:rsidR="00DB2E9B">
                  <w:rPr>
                    <w:noProof/>
                    <w:webHidden/>
                  </w:rPr>
                  <w:fldChar w:fldCharType="begin"/>
                </w:r>
                <w:r w:rsidR="00DB2E9B">
                  <w:rPr>
                    <w:noProof/>
                    <w:webHidden/>
                  </w:rPr>
                  <w:instrText xml:space="preserve"> PAGEREF _Toc118465281 \h </w:instrText>
                </w:r>
                <w:r w:rsidR="00DB2E9B">
                  <w:rPr>
                    <w:noProof/>
                    <w:webHidden/>
                  </w:rPr>
                </w:r>
                <w:r w:rsidR="00DB2E9B">
                  <w:rPr>
                    <w:noProof/>
                    <w:webHidden/>
                  </w:rPr>
                  <w:fldChar w:fldCharType="separate"/>
                </w:r>
                <w:r w:rsidR="00DB2E9B">
                  <w:rPr>
                    <w:noProof/>
                    <w:webHidden/>
                  </w:rPr>
                  <w:t>35</w:t>
                </w:r>
                <w:r w:rsidR="00DB2E9B">
                  <w:rPr>
                    <w:noProof/>
                    <w:webHidden/>
                  </w:rPr>
                  <w:fldChar w:fldCharType="end"/>
                </w:r>
              </w:hyperlink>
            </w:p>
            <w:p w14:paraId="284BE577" w14:textId="00B97B6B" w:rsidR="00DB2E9B" w:rsidRDefault="00205E8C">
              <w:pPr>
                <w:pStyle w:val="TOC2"/>
                <w:rPr>
                  <w:rFonts w:asciiTheme="minorHAnsi" w:eastAsiaTheme="minorEastAsia" w:hAnsiTheme="minorHAnsi"/>
                  <w:noProof/>
                  <w:sz w:val="22"/>
                  <w:lang w:eastAsia="en-GB"/>
                </w:rPr>
              </w:pPr>
              <w:hyperlink w:anchor="_Toc118465282" w:history="1">
                <w:r w:rsidR="00DB2E9B" w:rsidRPr="008A619A">
                  <w:rPr>
                    <w:rStyle w:val="Hyperlink"/>
                    <w:rFonts w:cs="Arial"/>
                    <w:noProof/>
                  </w:rPr>
                  <w:t>4.3</w:t>
                </w:r>
                <w:r w:rsidR="00DB2E9B">
                  <w:rPr>
                    <w:rFonts w:asciiTheme="minorHAnsi" w:eastAsiaTheme="minorEastAsia" w:hAnsiTheme="minorHAnsi"/>
                    <w:noProof/>
                    <w:sz w:val="22"/>
                    <w:lang w:eastAsia="en-GB"/>
                  </w:rPr>
                  <w:tab/>
                </w:r>
                <w:r w:rsidR="00DB2E9B" w:rsidRPr="008A619A">
                  <w:rPr>
                    <w:rStyle w:val="Hyperlink"/>
                    <w:rFonts w:cs="Arial"/>
                    <w:noProof/>
                  </w:rPr>
                  <w:t>Review of production data sources</w:t>
                </w:r>
                <w:r w:rsidR="00DB2E9B">
                  <w:rPr>
                    <w:noProof/>
                    <w:webHidden/>
                  </w:rPr>
                  <w:tab/>
                </w:r>
                <w:r w:rsidR="00DB2E9B">
                  <w:rPr>
                    <w:noProof/>
                    <w:webHidden/>
                  </w:rPr>
                  <w:fldChar w:fldCharType="begin"/>
                </w:r>
                <w:r w:rsidR="00DB2E9B">
                  <w:rPr>
                    <w:noProof/>
                    <w:webHidden/>
                  </w:rPr>
                  <w:instrText xml:space="preserve"> PAGEREF _Toc118465282 \h </w:instrText>
                </w:r>
                <w:r w:rsidR="00DB2E9B">
                  <w:rPr>
                    <w:noProof/>
                    <w:webHidden/>
                  </w:rPr>
                </w:r>
                <w:r w:rsidR="00DB2E9B">
                  <w:rPr>
                    <w:noProof/>
                    <w:webHidden/>
                  </w:rPr>
                  <w:fldChar w:fldCharType="separate"/>
                </w:r>
                <w:r w:rsidR="00DB2E9B">
                  <w:rPr>
                    <w:noProof/>
                    <w:webHidden/>
                  </w:rPr>
                  <w:t>36</w:t>
                </w:r>
                <w:r w:rsidR="00DB2E9B">
                  <w:rPr>
                    <w:noProof/>
                    <w:webHidden/>
                  </w:rPr>
                  <w:fldChar w:fldCharType="end"/>
                </w:r>
              </w:hyperlink>
            </w:p>
            <w:p w14:paraId="02AEC001" w14:textId="7A7CEE84" w:rsidR="00DB2E9B" w:rsidRDefault="00205E8C" w:rsidP="0099638A">
              <w:pPr>
                <w:pStyle w:val="TOC3"/>
                <w:rPr>
                  <w:rFonts w:asciiTheme="minorHAnsi" w:eastAsiaTheme="minorEastAsia" w:hAnsiTheme="minorHAnsi"/>
                  <w:noProof/>
                  <w:sz w:val="22"/>
                  <w:lang w:eastAsia="en-GB"/>
                </w:rPr>
              </w:pPr>
              <w:hyperlink w:anchor="_Toc118465283" w:history="1">
                <w:r w:rsidR="00DB2E9B" w:rsidRPr="008A619A">
                  <w:rPr>
                    <w:rStyle w:val="Hyperlink"/>
                    <w:rFonts w:cs="Arial"/>
                    <w:noProof/>
                  </w:rPr>
                  <w:t>4.3.1</w:t>
                </w:r>
                <w:r w:rsidR="00DB2E9B">
                  <w:rPr>
                    <w:rFonts w:asciiTheme="minorHAnsi" w:eastAsiaTheme="minorEastAsia" w:hAnsiTheme="minorHAnsi"/>
                    <w:noProof/>
                    <w:sz w:val="22"/>
                    <w:lang w:eastAsia="en-GB"/>
                  </w:rPr>
                  <w:tab/>
                </w:r>
                <w:r w:rsidR="00DB2E9B" w:rsidRPr="008A619A">
                  <w:rPr>
                    <w:rStyle w:val="Hyperlink"/>
                    <w:rFonts w:cs="Arial"/>
                    <w:noProof/>
                  </w:rPr>
                  <w:t>Context</w:t>
                </w:r>
                <w:r w:rsidR="00DB2E9B">
                  <w:rPr>
                    <w:noProof/>
                    <w:webHidden/>
                  </w:rPr>
                  <w:tab/>
                </w:r>
                <w:r w:rsidR="00DB2E9B">
                  <w:rPr>
                    <w:noProof/>
                    <w:webHidden/>
                  </w:rPr>
                  <w:fldChar w:fldCharType="begin"/>
                </w:r>
                <w:r w:rsidR="00DB2E9B">
                  <w:rPr>
                    <w:noProof/>
                    <w:webHidden/>
                  </w:rPr>
                  <w:instrText xml:space="preserve"> PAGEREF _Toc118465283 \h </w:instrText>
                </w:r>
                <w:r w:rsidR="00DB2E9B">
                  <w:rPr>
                    <w:noProof/>
                    <w:webHidden/>
                  </w:rPr>
                </w:r>
                <w:r w:rsidR="00DB2E9B">
                  <w:rPr>
                    <w:noProof/>
                    <w:webHidden/>
                  </w:rPr>
                  <w:fldChar w:fldCharType="separate"/>
                </w:r>
                <w:r w:rsidR="00DB2E9B">
                  <w:rPr>
                    <w:noProof/>
                    <w:webHidden/>
                  </w:rPr>
                  <w:t>36</w:t>
                </w:r>
                <w:r w:rsidR="00DB2E9B">
                  <w:rPr>
                    <w:noProof/>
                    <w:webHidden/>
                  </w:rPr>
                  <w:fldChar w:fldCharType="end"/>
                </w:r>
              </w:hyperlink>
            </w:p>
            <w:p w14:paraId="05089B91" w14:textId="4CBE2C46" w:rsidR="00DB2E9B" w:rsidRDefault="00205E8C" w:rsidP="0099638A">
              <w:pPr>
                <w:pStyle w:val="TOC3"/>
                <w:rPr>
                  <w:rFonts w:asciiTheme="minorHAnsi" w:eastAsiaTheme="minorEastAsia" w:hAnsiTheme="minorHAnsi"/>
                  <w:noProof/>
                  <w:sz w:val="22"/>
                  <w:lang w:eastAsia="en-GB"/>
                </w:rPr>
              </w:pPr>
              <w:hyperlink w:anchor="_Toc118465284" w:history="1">
                <w:r w:rsidR="00DB2E9B" w:rsidRPr="008A619A">
                  <w:rPr>
                    <w:rStyle w:val="Hyperlink"/>
                    <w:rFonts w:cs="Arial"/>
                    <w:noProof/>
                  </w:rPr>
                  <w:t>4.3.2</w:t>
                </w:r>
                <w:r w:rsidR="00DB2E9B">
                  <w:rPr>
                    <w:rFonts w:asciiTheme="minorHAnsi" w:eastAsiaTheme="minorEastAsia" w:hAnsiTheme="minorHAnsi"/>
                    <w:noProof/>
                    <w:sz w:val="22"/>
                    <w:lang w:eastAsia="en-GB"/>
                  </w:rPr>
                  <w:tab/>
                </w:r>
                <w:r w:rsidR="00DB2E9B" w:rsidRPr="008A619A">
                  <w:rPr>
                    <w:rStyle w:val="Hyperlink"/>
                    <w:rFonts w:cs="Arial"/>
                    <w:noProof/>
                  </w:rPr>
                  <w:t>International sources of production data</w:t>
                </w:r>
                <w:r w:rsidR="00DB2E9B">
                  <w:rPr>
                    <w:noProof/>
                    <w:webHidden/>
                  </w:rPr>
                  <w:tab/>
                </w:r>
                <w:r w:rsidR="00DB2E9B">
                  <w:rPr>
                    <w:noProof/>
                    <w:webHidden/>
                  </w:rPr>
                  <w:fldChar w:fldCharType="begin"/>
                </w:r>
                <w:r w:rsidR="00DB2E9B">
                  <w:rPr>
                    <w:noProof/>
                    <w:webHidden/>
                  </w:rPr>
                  <w:instrText xml:space="preserve"> PAGEREF _Toc118465284 \h </w:instrText>
                </w:r>
                <w:r w:rsidR="00DB2E9B">
                  <w:rPr>
                    <w:noProof/>
                    <w:webHidden/>
                  </w:rPr>
                </w:r>
                <w:r w:rsidR="00DB2E9B">
                  <w:rPr>
                    <w:noProof/>
                    <w:webHidden/>
                  </w:rPr>
                  <w:fldChar w:fldCharType="separate"/>
                </w:r>
                <w:r w:rsidR="00DB2E9B">
                  <w:rPr>
                    <w:noProof/>
                    <w:webHidden/>
                  </w:rPr>
                  <w:t>36</w:t>
                </w:r>
                <w:r w:rsidR="00DB2E9B">
                  <w:rPr>
                    <w:noProof/>
                    <w:webHidden/>
                  </w:rPr>
                  <w:fldChar w:fldCharType="end"/>
                </w:r>
              </w:hyperlink>
            </w:p>
            <w:p w14:paraId="3644BBCE" w14:textId="344B92E4" w:rsidR="00DB2E9B" w:rsidRDefault="00205E8C" w:rsidP="0099638A">
              <w:pPr>
                <w:pStyle w:val="TOC3"/>
                <w:rPr>
                  <w:rFonts w:asciiTheme="minorHAnsi" w:eastAsiaTheme="minorEastAsia" w:hAnsiTheme="minorHAnsi"/>
                  <w:noProof/>
                  <w:sz w:val="22"/>
                  <w:lang w:eastAsia="en-GB"/>
                </w:rPr>
              </w:pPr>
              <w:hyperlink w:anchor="_Toc118465285" w:history="1">
                <w:r w:rsidR="00DB2E9B" w:rsidRPr="008A619A">
                  <w:rPr>
                    <w:rStyle w:val="Hyperlink"/>
                    <w:rFonts w:cs="Arial"/>
                    <w:noProof/>
                  </w:rPr>
                  <w:t>4.3.3</w:t>
                </w:r>
                <w:r w:rsidR="00DB2E9B">
                  <w:rPr>
                    <w:rFonts w:asciiTheme="minorHAnsi" w:eastAsiaTheme="minorEastAsia" w:hAnsiTheme="minorHAnsi"/>
                    <w:noProof/>
                    <w:sz w:val="22"/>
                    <w:lang w:eastAsia="en-GB"/>
                  </w:rPr>
                  <w:tab/>
                </w:r>
                <w:r w:rsidR="00DB2E9B" w:rsidRPr="008A619A">
                  <w:rPr>
                    <w:rStyle w:val="Hyperlink"/>
                    <w:rFonts w:cs="Arial"/>
                    <w:noProof/>
                  </w:rPr>
                  <w:t>National sources of production data</w:t>
                </w:r>
                <w:r w:rsidR="00DB2E9B">
                  <w:rPr>
                    <w:noProof/>
                    <w:webHidden/>
                  </w:rPr>
                  <w:tab/>
                </w:r>
                <w:r w:rsidR="00DB2E9B">
                  <w:rPr>
                    <w:noProof/>
                    <w:webHidden/>
                  </w:rPr>
                  <w:fldChar w:fldCharType="begin"/>
                </w:r>
                <w:r w:rsidR="00DB2E9B">
                  <w:rPr>
                    <w:noProof/>
                    <w:webHidden/>
                  </w:rPr>
                  <w:instrText xml:space="preserve"> PAGEREF _Toc118465285 \h </w:instrText>
                </w:r>
                <w:r w:rsidR="00DB2E9B">
                  <w:rPr>
                    <w:noProof/>
                    <w:webHidden/>
                  </w:rPr>
                </w:r>
                <w:r w:rsidR="00DB2E9B">
                  <w:rPr>
                    <w:noProof/>
                    <w:webHidden/>
                  </w:rPr>
                  <w:fldChar w:fldCharType="separate"/>
                </w:r>
                <w:r w:rsidR="00DB2E9B">
                  <w:rPr>
                    <w:noProof/>
                    <w:webHidden/>
                  </w:rPr>
                  <w:t>38</w:t>
                </w:r>
                <w:r w:rsidR="00DB2E9B">
                  <w:rPr>
                    <w:noProof/>
                    <w:webHidden/>
                  </w:rPr>
                  <w:fldChar w:fldCharType="end"/>
                </w:r>
              </w:hyperlink>
            </w:p>
            <w:p w14:paraId="05E5AC2A" w14:textId="0B4C08D9" w:rsidR="00DB2E9B" w:rsidRDefault="00205E8C" w:rsidP="0099638A">
              <w:pPr>
                <w:pStyle w:val="TOC3"/>
                <w:rPr>
                  <w:rFonts w:asciiTheme="minorHAnsi" w:eastAsiaTheme="minorEastAsia" w:hAnsiTheme="minorHAnsi"/>
                  <w:noProof/>
                  <w:sz w:val="22"/>
                  <w:lang w:eastAsia="en-GB"/>
                </w:rPr>
              </w:pPr>
              <w:hyperlink w:anchor="_Toc118465286" w:history="1">
                <w:r w:rsidR="00DB2E9B" w:rsidRPr="008A619A">
                  <w:rPr>
                    <w:rStyle w:val="Hyperlink"/>
                    <w:rFonts w:cs="Arial"/>
                    <w:noProof/>
                  </w:rPr>
                  <w:t>4.3.4</w:t>
                </w:r>
                <w:r w:rsidR="00DB2E9B">
                  <w:rPr>
                    <w:rFonts w:asciiTheme="minorHAnsi" w:eastAsiaTheme="minorEastAsia" w:hAnsiTheme="minorHAnsi"/>
                    <w:noProof/>
                    <w:sz w:val="22"/>
                    <w:lang w:eastAsia="en-GB"/>
                  </w:rPr>
                  <w:tab/>
                </w:r>
                <w:r w:rsidR="00DB2E9B" w:rsidRPr="008A619A">
                  <w:rPr>
                    <w:rStyle w:val="Hyperlink"/>
                    <w:rFonts w:cs="Arial"/>
                    <w:noProof/>
                  </w:rPr>
                  <w:t>Dealing with limitations to official production data</w:t>
                </w:r>
                <w:r w:rsidR="00DB2E9B">
                  <w:rPr>
                    <w:noProof/>
                    <w:webHidden/>
                  </w:rPr>
                  <w:tab/>
                </w:r>
                <w:r w:rsidR="00DB2E9B">
                  <w:rPr>
                    <w:noProof/>
                    <w:webHidden/>
                  </w:rPr>
                  <w:fldChar w:fldCharType="begin"/>
                </w:r>
                <w:r w:rsidR="00DB2E9B">
                  <w:rPr>
                    <w:noProof/>
                    <w:webHidden/>
                  </w:rPr>
                  <w:instrText xml:space="preserve"> PAGEREF _Toc118465286 \h </w:instrText>
                </w:r>
                <w:r w:rsidR="00DB2E9B">
                  <w:rPr>
                    <w:noProof/>
                    <w:webHidden/>
                  </w:rPr>
                </w:r>
                <w:r w:rsidR="00DB2E9B">
                  <w:rPr>
                    <w:noProof/>
                    <w:webHidden/>
                  </w:rPr>
                  <w:fldChar w:fldCharType="separate"/>
                </w:r>
                <w:r w:rsidR="00DB2E9B">
                  <w:rPr>
                    <w:noProof/>
                    <w:webHidden/>
                  </w:rPr>
                  <w:t>41</w:t>
                </w:r>
                <w:r w:rsidR="00DB2E9B">
                  <w:rPr>
                    <w:noProof/>
                    <w:webHidden/>
                  </w:rPr>
                  <w:fldChar w:fldCharType="end"/>
                </w:r>
              </w:hyperlink>
            </w:p>
            <w:p w14:paraId="570A85BF" w14:textId="43976BE3" w:rsidR="00DB2E9B" w:rsidRDefault="00205E8C">
              <w:pPr>
                <w:pStyle w:val="TOC1"/>
                <w:tabs>
                  <w:tab w:val="left" w:pos="440"/>
                </w:tabs>
                <w:rPr>
                  <w:rFonts w:asciiTheme="minorHAnsi" w:eastAsiaTheme="minorEastAsia" w:hAnsiTheme="minorHAnsi"/>
                  <w:noProof/>
                  <w:sz w:val="22"/>
                  <w:lang w:eastAsia="en-GB"/>
                </w:rPr>
              </w:pPr>
              <w:hyperlink w:anchor="_Toc118465287" w:history="1">
                <w:r w:rsidR="00DB2E9B" w:rsidRPr="008A619A">
                  <w:rPr>
                    <w:rStyle w:val="Hyperlink"/>
                    <w:rFonts w:cs="Arial"/>
                    <w:noProof/>
                  </w:rPr>
                  <w:t>5</w:t>
                </w:r>
                <w:r w:rsidR="00DB2E9B">
                  <w:rPr>
                    <w:rFonts w:asciiTheme="minorHAnsi" w:eastAsiaTheme="minorEastAsia" w:hAnsiTheme="minorHAnsi"/>
                    <w:noProof/>
                    <w:sz w:val="22"/>
                    <w:lang w:eastAsia="en-GB"/>
                  </w:rPr>
                  <w:tab/>
                </w:r>
                <w:r w:rsidR="00DB2E9B" w:rsidRPr="008A619A">
                  <w:rPr>
                    <w:rStyle w:val="Hyperlink"/>
                    <w:rFonts w:cs="Arial"/>
                    <w:noProof/>
                  </w:rPr>
                  <w:t>Proof of concept and toolkit for circumvention investigations</w:t>
                </w:r>
                <w:r w:rsidR="00DB2E9B">
                  <w:rPr>
                    <w:noProof/>
                    <w:webHidden/>
                  </w:rPr>
                  <w:tab/>
                </w:r>
                <w:r w:rsidR="00DB2E9B">
                  <w:rPr>
                    <w:noProof/>
                    <w:webHidden/>
                  </w:rPr>
                  <w:fldChar w:fldCharType="begin"/>
                </w:r>
                <w:r w:rsidR="00DB2E9B">
                  <w:rPr>
                    <w:noProof/>
                    <w:webHidden/>
                  </w:rPr>
                  <w:instrText xml:space="preserve"> PAGEREF _Toc118465287 \h </w:instrText>
                </w:r>
                <w:r w:rsidR="00DB2E9B">
                  <w:rPr>
                    <w:noProof/>
                    <w:webHidden/>
                  </w:rPr>
                </w:r>
                <w:r w:rsidR="00DB2E9B">
                  <w:rPr>
                    <w:noProof/>
                    <w:webHidden/>
                  </w:rPr>
                  <w:fldChar w:fldCharType="separate"/>
                </w:r>
                <w:r w:rsidR="00DB2E9B">
                  <w:rPr>
                    <w:noProof/>
                    <w:webHidden/>
                  </w:rPr>
                  <w:t>43</w:t>
                </w:r>
                <w:r w:rsidR="00DB2E9B">
                  <w:rPr>
                    <w:noProof/>
                    <w:webHidden/>
                  </w:rPr>
                  <w:fldChar w:fldCharType="end"/>
                </w:r>
              </w:hyperlink>
            </w:p>
            <w:p w14:paraId="49B9DCF5" w14:textId="4183986E" w:rsidR="00DB2E9B" w:rsidRDefault="00205E8C">
              <w:pPr>
                <w:pStyle w:val="TOC2"/>
                <w:rPr>
                  <w:rFonts w:asciiTheme="minorHAnsi" w:eastAsiaTheme="minorEastAsia" w:hAnsiTheme="minorHAnsi"/>
                  <w:noProof/>
                  <w:sz w:val="22"/>
                  <w:lang w:eastAsia="en-GB"/>
                </w:rPr>
              </w:pPr>
              <w:hyperlink w:anchor="_Toc118465288" w:history="1">
                <w:r w:rsidR="00DB2E9B" w:rsidRPr="008A619A">
                  <w:rPr>
                    <w:rStyle w:val="Hyperlink"/>
                    <w:rFonts w:cs="Arial"/>
                    <w:noProof/>
                  </w:rPr>
                  <w:t>5.1</w:t>
                </w:r>
                <w:r w:rsidR="00DB2E9B">
                  <w:rPr>
                    <w:rFonts w:asciiTheme="minorHAnsi" w:eastAsiaTheme="minorEastAsia" w:hAnsiTheme="minorHAnsi"/>
                    <w:noProof/>
                    <w:sz w:val="22"/>
                    <w:lang w:eastAsia="en-GB"/>
                  </w:rPr>
                  <w:tab/>
                </w:r>
                <w:r w:rsidR="00DB2E9B" w:rsidRPr="008A619A">
                  <w:rPr>
                    <w:rStyle w:val="Hyperlink"/>
                    <w:rFonts w:cs="Arial"/>
                    <w:noProof/>
                  </w:rPr>
                  <w:t>Example 1: Application of UN Comtrade data to a past EU transhipment case</w:t>
                </w:r>
                <w:r w:rsidR="00DB2E9B">
                  <w:rPr>
                    <w:noProof/>
                    <w:webHidden/>
                  </w:rPr>
                  <w:tab/>
                </w:r>
                <w:r w:rsidR="00DB2E9B" w:rsidRPr="00DB2E9B">
                  <w:rPr>
                    <w:noProof/>
                    <w:webHidden/>
                  </w:rPr>
                  <w:tab/>
                </w:r>
                <w:r w:rsidR="00DB2E9B">
                  <w:rPr>
                    <w:noProof/>
                    <w:webHidden/>
                  </w:rPr>
                  <w:fldChar w:fldCharType="begin"/>
                </w:r>
                <w:r w:rsidR="00DB2E9B">
                  <w:rPr>
                    <w:noProof/>
                    <w:webHidden/>
                  </w:rPr>
                  <w:instrText xml:space="preserve"> PAGEREF _Toc118465288 \h </w:instrText>
                </w:r>
                <w:r w:rsidR="00DB2E9B">
                  <w:rPr>
                    <w:noProof/>
                    <w:webHidden/>
                  </w:rPr>
                </w:r>
                <w:r w:rsidR="00DB2E9B">
                  <w:rPr>
                    <w:noProof/>
                    <w:webHidden/>
                  </w:rPr>
                  <w:fldChar w:fldCharType="separate"/>
                </w:r>
                <w:r w:rsidR="00DB2E9B">
                  <w:rPr>
                    <w:noProof/>
                    <w:webHidden/>
                  </w:rPr>
                  <w:t>44</w:t>
                </w:r>
                <w:r w:rsidR="00DB2E9B">
                  <w:rPr>
                    <w:noProof/>
                    <w:webHidden/>
                  </w:rPr>
                  <w:fldChar w:fldCharType="end"/>
                </w:r>
              </w:hyperlink>
            </w:p>
            <w:p w14:paraId="7A5E8468" w14:textId="57E24880" w:rsidR="00DB2E9B" w:rsidRDefault="00205E8C">
              <w:pPr>
                <w:pStyle w:val="TOC2"/>
                <w:rPr>
                  <w:rFonts w:asciiTheme="minorHAnsi" w:eastAsiaTheme="minorEastAsia" w:hAnsiTheme="minorHAnsi"/>
                  <w:noProof/>
                  <w:sz w:val="22"/>
                  <w:lang w:eastAsia="en-GB"/>
                </w:rPr>
              </w:pPr>
              <w:hyperlink w:anchor="_Toc118465289" w:history="1">
                <w:r w:rsidR="00DB2E9B" w:rsidRPr="008A619A">
                  <w:rPr>
                    <w:rStyle w:val="Hyperlink"/>
                    <w:rFonts w:cs="Arial"/>
                    <w:noProof/>
                  </w:rPr>
                  <w:t>5.2</w:t>
                </w:r>
                <w:r w:rsidR="00DB2E9B">
                  <w:rPr>
                    <w:rFonts w:asciiTheme="minorHAnsi" w:eastAsiaTheme="minorEastAsia" w:hAnsiTheme="minorHAnsi"/>
                    <w:noProof/>
                    <w:sz w:val="22"/>
                    <w:lang w:eastAsia="en-GB"/>
                  </w:rPr>
                  <w:tab/>
                </w:r>
                <w:r w:rsidR="00DB2E9B" w:rsidRPr="008A619A">
                  <w:rPr>
                    <w:rStyle w:val="Hyperlink"/>
                    <w:rFonts w:cs="Arial"/>
                    <w:noProof/>
                  </w:rPr>
                  <w:t>Example 2: Potential extension of trade remedy duties to continuous filament glass fibre products from PRC</w:t>
                </w:r>
                <w:r w:rsidR="00DB2E9B">
                  <w:rPr>
                    <w:noProof/>
                    <w:webHidden/>
                  </w:rPr>
                  <w:tab/>
                </w:r>
                <w:r w:rsidR="00DB2E9B">
                  <w:rPr>
                    <w:noProof/>
                    <w:webHidden/>
                  </w:rPr>
                  <w:fldChar w:fldCharType="begin"/>
                </w:r>
                <w:r w:rsidR="00DB2E9B">
                  <w:rPr>
                    <w:noProof/>
                    <w:webHidden/>
                  </w:rPr>
                  <w:instrText xml:space="preserve"> PAGEREF _Toc118465289 \h </w:instrText>
                </w:r>
                <w:r w:rsidR="00DB2E9B">
                  <w:rPr>
                    <w:noProof/>
                    <w:webHidden/>
                  </w:rPr>
                </w:r>
                <w:r w:rsidR="00DB2E9B">
                  <w:rPr>
                    <w:noProof/>
                    <w:webHidden/>
                  </w:rPr>
                  <w:fldChar w:fldCharType="separate"/>
                </w:r>
                <w:r w:rsidR="00DB2E9B">
                  <w:rPr>
                    <w:noProof/>
                    <w:webHidden/>
                  </w:rPr>
                  <w:t>54</w:t>
                </w:r>
                <w:r w:rsidR="00DB2E9B">
                  <w:rPr>
                    <w:noProof/>
                    <w:webHidden/>
                  </w:rPr>
                  <w:fldChar w:fldCharType="end"/>
                </w:r>
              </w:hyperlink>
            </w:p>
            <w:p w14:paraId="170A8F15" w14:textId="6C3F7537" w:rsidR="00DB2E9B" w:rsidRDefault="00205E8C" w:rsidP="0099638A">
              <w:pPr>
                <w:pStyle w:val="TOC3"/>
                <w:rPr>
                  <w:rFonts w:asciiTheme="minorHAnsi" w:eastAsiaTheme="minorEastAsia" w:hAnsiTheme="minorHAnsi"/>
                  <w:noProof/>
                  <w:sz w:val="22"/>
                  <w:lang w:eastAsia="en-GB"/>
                </w:rPr>
              </w:pPr>
              <w:hyperlink w:anchor="_Toc118465290" w:history="1">
                <w:r w:rsidR="00DB2E9B" w:rsidRPr="008A619A">
                  <w:rPr>
                    <w:rStyle w:val="Hyperlink"/>
                    <w:rFonts w:cs="Arial"/>
                    <w:noProof/>
                  </w:rPr>
                  <w:t>5.2.1</w:t>
                </w:r>
                <w:r w:rsidR="00DB2E9B">
                  <w:rPr>
                    <w:rFonts w:asciiTheme="minorHAnsi" w:eastAsiaTheme="minorEastAsia" w:hAnsiTheme="minorHAnsi"/>
                    <w:noProof/>
                    <w:sz w:val="22"/>
                    <w:lang w:eastAsia="en-GB"/>
                  </w:rPr>
                  <w:tab/>
                </w:r>
                <w:r w:rsidR="00DB2E9B" w:rsidRPr="008A619A">
                  <w:rPr>
                    <w:rStyle w:val="Hyperlink"/>
                    <w:rFonts w:cs="Arial"/>
                    <w:noProof/>
                  </w:rPr>
                  <w:t>Changes in the pattern of trade</w:t>
                </w:r>
                <w:r w:rsidR="00DB2E9B">
                  <w:rPr>
                    <w:noProof/>
                    <w:webHidden/>
                  </w:rPr>
                  <w:tab/>
                </w:r>
                <w:r w:rsidR="00DB2E9B">
                  <w:rPr>
                    <w:noProof/>
                    <w:webHidden/>
                  </w:rPr>
                  <w:fldChar w:fldCharType="begin"/>
                </w:r>
                <w:r w:rsidR="00DB2E9B">
                  <w:rPr>
                    <w:noProof/>
                    <w:webHidden/>
                  </w:rPr>
                  <w:instrText xml:space="preserve"> PAGEREF _Toc118465290 \h </w:instrText>
                </w:r>
                <w:r w:rsidR="00DB2E9B">
                  <w:rPr>
                    <w:noProof/>
                    <w:webHidden/>
                  </w:rPr>
                </w:r>
                <w:r w:rsidR="00DB2E9B">
                  <w:rPr>
                    <w:noProof/>
                    <w:webHidden/>
                  </w:rPr>
                  <w:fldChar w:fldCharType="separate"/>
                </w:r>
                <w:r w:rsidR="00DB2E9B">
                  <w:rPr>
                    <w:noProof/>
                    <w:webHidden/>
                  </w:rPr>
                  <w:t>54</w:t>
                </w:r>
                <w:r w:rsidR="00DB2E9B">
                  <w:rPr>
                    <w:noProof/>
                    <w:webHidden/>
                  </w:rPr>
                  <w:fldChar w:fldCharType="end"/>
                </w:r>
              </w:hyperlink>
            </w:p>
            <w:p w14:paraId="0B1FD181" w14:textId="7BC72E5B" w:rsidR="00DB2E9B" w:rsidRDefault="00205E8C" w:rsidP="0099638A">
              <w:pPr>
                <w:pStyle w:val="TOC3"/>
                <w:rPr>
                  <w:rFonts w:asciiTheme="minorHAnsi" w:eastAsiaTheme="minorEastAsia" w:hAnsiTheme="minorHAnsi"/>
                  <w:noProof/>
                  <w:sz w:val="22"/>
                  <w:lang w:eastAsia="en-GB"/>
                </w:rPr>
              </w:pPr>
              <w:hyperlink w:anchor="_Toc118465291" w:history="1">
                <w:r w:rsidR="00DB2E9B" w:rsidRPr="008A619A">
                  <w:rPr>
                    <w:rStyle w:val="Hyperlink"/>
                    <w:rFonts w:cs="Arial"/>
                    <w:noProof/>
                  </w:rPr>
                  <w:t>5.2.2</w:t>
                </w:r>
                <w:r w:rsidR="00DB2E9B">
                  <w:rPr>
                    <w:rFonts w:asciiTheme="minorHAnsi" w:eastAsiaTheme="minorEastAsia" w:hAnsiTheme="minorHAnsi"/>
                    <w:noProof/>
                    <w:sz w:val="22"/>
                    <w:lang w:eastAsia="en-GB"/>
                  </w:rPr>
                  <w:tab/>
                </w:r>
                <w:r w:rsidR="00DB2E9B" w:rsidRPr="008A619A">
                  <w:rPr>
                    <w:rStyle w:val="Hyperlink"/>
                    <w:rFonts w:cs="Arial"/>
                    <w:noProof/>
                  </w:rPr>
                  <w:t>Data and information on industrial organisation</w:t>
                </w:r>
                <w:r w:rsidR="00DB2E9B">
                  <w:rPr>
                    <w:noProof/>
                    <w:webHidden/>
                  </w:rPr>
                  <w:tab/>
                </w:r>
                <w:r w:rsidR="00DB2E9B">
                  <w:rPr>
                    <w:noProof/>
                    <w:webHidden/>
                  </w:rPr>
                  <w:fldChar w:fldCharType="begin"/>
                </w:r>
                <w:r w:rsidR="00DB2E9B">
                  <w:rPr>
                    <w:noProof/>
                    <w:webHidden/>
                  </w:rPr>
                  <w:instrText xml:space="preserve"> PAGEREF _Toc118465291 \h </w:instrText>
                </w:r>
                <w:r w:rsidR="00DB2E9B">
                  <w:rPr>
                    <w:noProof/>
                    <w:webHidden/>
                  </w:rPr>
                </w:r>
                <w:r w:rsidR="00DB2E9B">
                  <w:rPr>
                    <w:noProof/>
                    <w:webHidden/>
                  </w:rPr>
                  <w:fldChar w:fldCharType="separate"/>
                </w:r>
                <w:r w:rsidR="00DB2E9B">
                  <w:rPr>
                    <w:noProof/>
                    <w:webHidden/>
                  </w:rPr>
                  <w:t>62</w:t>
                </w:r>
                <w:r w:rsidR="00DB2E9B">
                  <w:rPr>
                    <w:noProof/>
                    <w:webHidden/>
                  </w:rPr>
                  <w:fldChar w:fldCharType="end"/>
                </w:r>
              </w:hyperlink>
            </w:p>
            <w:p w14:paraId="5EB4F02B" w14:textId="30FAD1A1" w:rsidR="00DB2E9B" w:rsidRDefault="00205E8C" w:rsidP="0099638A">
              <w:pPr>
                <w:pStyle w:val="TOC3"/>
                <w:rPr>
                  <w:rFonts w:asciiTheme="minorHAnsi" w:eastAsiaTheme="minorEastAsia" w:hAnsiTheme="minorHAnsi"/>
                  <w:noProof/>
                  <w:sz w:val="22"/>
                  <w:lang w:eastAsia="en-GB"/>
                </w:rPr>
              </w:pPr>
              <w:hyperlink w:anchor="_Toc118465292" w:history="1">
                <w:r w:rsidR="00DB2E9B" w:rsidRPr="008A619A">
                  <w:rPr>
                    <w:rStyle w:val="Hyperlink"/>
                    <w:rFonts w:cs="Arial"/>
                    <w:noProof/>
                  </w:rPr>
                  <w:t>5.2.3</w:t>
                </w:r>
                <w:r w:rsidR="00DB2E9B">
                  <w:rPr>
                    <w:rFonts w:asciiTheme="minorHAnsi" w:eastAsiaTheme="minorEastAsia" w:hAnsiTheme="minorHAnsi"/>
                    <w:noProof/>
                    <w:sz w:val="22"/>
                    <w:lang w:eastAsia="en-GB"/>
                  </w:rPr>
                  <w:tab/>
                </w:r>
                <w:r w:rsidR="00DB2E9B" w:rsidRPr="008A619A">
                  <w:rPr>
                    <w:rStyle w:val="Hyperlink"/>
                    <w:rFonts w:cs="Arial"/>
                    <w:noProof/>
                  </w:rPr>
                  <w:t>Conclusions</w:t>
                </w:r>
                <w:r w:rsidR="00DB2E9B">
                  <w:rPr>
                    <w:noProof/>
                    <w:webHidden/>
                  </w:rPr>
                  <w:tab/>
                </w:r>
                <w:r w:rsidR="00DB2E9B">
                  <w:rPr>
                    <w:noProof/>
                    <w:webHidden/>
                  </w:rPr>
                  <w:fldChar w:fldCharType="begin"/>
                </w:r>
                <w:r w:rsidR="00DB2E9B">
                  <w:rPr>
                    <w:noProof/>
                    <w:webHidden/>
                  </w:rPr>
                  <w:instrText xml:space="preserve"> PAGEREF _Toc118465292 \h </w:instrText>
                </w:r>
                <w:r w:rsidR="00DB2E9B">
                  <w:rPr>
                    <w:noProof/>
                    <w:webHidden/>
                  </w:rPr>
                </w:r>
                <w:r w:rsidR="00DB2E9B">
                  <w:rPr>
                    <w:noProof/>
                    <w:webHidden/>
                  </w:rPr>
                  <w:fldChar w:fldCharType="separate"/>
                </w:r>
                <w:r w:rsidR="00DB2E9B">
                  <w:rPr>
                    <w:noProof/>
                    <w:webHidden/>
                  </w:rPr>
                  <w:t>63</w:t>
                </w:r>
                <w:r w:rsidR="00DB2E9B">
                  <w:rPr>
                    <w:noProof/>
                    <w:webHidden/>
                  </w:rPr>
                  <w:fldChar w:fldCharType="end"/>
                </w:r>
              </w:hyperlink>
            </w:p>
            <w:p w14:paraId="5E6E8533" w14:textId="16DCC1AF" w:rsidR="00DB2E9B" w:rsidRDefault="00205E8C">
              <w:pPr>
                <w:pStyle w:val="TOC2"/>
                <w:rPr>
                  <w:rFonts w:asciiTheme="minorHAnsi" w:eastAsiaTheme="minorEastAsia" w:hAnsiTheme="minorHAnsi"/>
                  <w:noProof/>
                  <w:sz w:val="22"/>
                  <w:lang w:eastAsia="en-GB"/>
                </w:rPr>
              </w:pPr>
              <w:hyperlink w:anchor="_Toc118465293" w:history="1">
                <w:r w:rsidR="00DB2E9B" w:rsidRPr="008A619A">
                  <w:rPr>
                    <w:rStyle w:val="Hyperlink"/>
                    <w:rFonts w:cs="Arial"/>
                    <w:noProof/>
                  </w:rPr>
                  <w:t>5.3</w:t>
                </w:r>
                <w:r w:rsidR="00DB2E9B">
                  <w:rPr>
                    <w:rFonts w:asciiTheme="minorHAnsi" w:eastAsiaTheme="minorEastAsia" w:hAnsiTheme="minorHAnsi"/>
                    <w:noProof/>
                    <w:sz w:val="22"/>
                    <w:lang w:eastAsia="en-GB"/>
                  </w:rPr>
                  <w:tab/>
                </w:r>
                <w:r w:rsidR="00DB2E9B" w:rsidRPr="008A619A">
                  <w:rPr>
                    <w:rStyle w:val="Hyperlink"/>
                    <w:rFonts w:cs="Arial"/>
                    <w:noProof/>
                  </w:rPr>
                  <w:t>Example 3: Potential extension of trade remedy duties to biodiesel from the United States and Canada</w:t>
                </w:r>
                <w:r w:rsidR="00DB2E9B">
                  <w:rPr>
                    <w:noProof/>
                    <w:webHidden/>
                  </w:rPr>
                  <w:tab/>
                </w:r>
                <w:r w:rsidR="00DB2E9B">
                  <w:rPr>
                    <w:noProof/>
                    <w:webHidden/>
                  </w:rPr>
                  <w:fldChar w:fldCharType="begin"/>
                </w:r>
                <w:r w:rsidR="00DB2E9B">
                  <w:rPr>
                    <w:noProof/>
                    <w:webHidden/>
                  </w:rPr>
                  <w:instrText xml:space="preserve"> PAGEREF _Toc118465293 \h </w:instrText>
                </w:r>
                <w:r w:rsidR="00DB2E9B">
                  <w:rPr>
                    <w:noProof/>
                    <w:webHidden/>
                  </w:rPr>
                </w:r>
                <w:r w:rsidR="00DB2E9B">
                  <w:rPr>
                    <w:noProof/>
                    <w:webHidden/>
                  </w:rPr>
                  <w:fldChar w:fldCharType="separate"/>
                </w:r>
                <w:r w:rsidR="00DB2E9B">
                  <w:rPr>
                    <w:noProof/>
                    <w:webHidden/>
                  </w:rPr>
                  <w:t>63</w:t>
                </w:r>
                <w:r w:rsidR="00DB2E9B">
                  <w:rPr>
                    <w:noProof/>
                    <w:webHidden/>
                  </w:rPr>
                  <w:fldChar w:fldCharType="end"/>
                </w:r>
              </w:hyperlink>
            </w:p>
            <w:p w14:paraId="50F8DEBA" w14:textId="6E5BC28B" w:rsidR="00DB2E9B" w:rsidRDefault="00205E8C" w:rsidP="0099638A">
              <w:pPr>
                <w:pStyle w:val="TOC3"/>
                <w:rPr>
                  <w:rFonts w:asciiTheme="minorHAnsi" w:eastAsiaTheme="minorEastAsia" w:hAnsiTheme="minorHAnsi"/>
                  <w:noProof/>
                  <w:sz w:val="22"/>
                  <w:lang w:eastAsia="en-GB"/>
                </w:rPr>
              </w:pPr>
              <w:hyperlink w:anchor="_Toc118465294" w:history="1">
                <w:r w:rsidR="00DB2E9B" w:rsidRPr="008A619A">
                  <w:rPr>
                    <w:rStyle w:val="Hyperlink"/>
                    <w:rFonts w:cs="Arial"/>
                    <w:noProof/>
                  </w:rPr>
                  <w:t>5.3.1</w:t>
                </w:r>
                <w:r w:rsidR="00DB2E9B">
                  <w:rPr>
                    <w:rFonts w:asciiTheme="minorHAnsi" w:eastAsiaTheme="minorEastAsia" w:hAnsiTheme="minorHAnsi"/>
                    <w:noProof/>
                    <w:sz w:val="22"/>
                    <w:lang w:eastAsia="en-GB"/>
                  </w:rPr>
                  <w:tab/>
                </w:r>
                <w:r w:rsidR="00DB2E9B" w:rsidRPr="008A619A">
                  <w:rPr>
                    <w:rStyle w:val="Hyperlink"/>
                    <w:rFonts w:cs="Arial"/>
                    <w:noProof/>
                  </w:rPr>
                  <w:t>Changes in the pattern of trade</w:t>
                </w:r>
                <w:r w:rsidR="00DB2E9B">
                  <w:rPr>
                    <w:noProof/>
                    <w:webHidden/>
                  </w:rPr>
                  <w:tab/>
                </w:r>
                <w:r w:rsidR="00DB2E9B">
                  <w:rPr>
                    <w:noProof/>
                    <w:webHidden/>
                  </w:rPr>
                  <w:fldChar w:fldCharType="begin"/>
                </w:r>
                <w:r w:rsidR="00DB2E9B">
                  <w:rPr>
                    <w:noProof/>
                    <w:webHidden/>
                  </w:rPr>
                  <w:instrText xml:space="preserve"> PAGEREF _Toc118465294 \h </w:instrText>
                </w:r>
                <w:r w:rsidR="00DB2E9B">
                  <w:rPr>
                    <w:noProof/>
                    <w:webHidden/>
                  </w:rPr>
                </w:r>
                <w:r w:rsidR="00DB2E9B">
                  <w:rPr>
                    <w:noProof/>
                    <w:webHidden/>
                  </w:rPr>
                  <w:fldChar w:fldCharType="separate"/>
                </w:r>
                <w:r w:rsidR="00DB2E9B">
                  <w:rPr>
                    <w:noProof/>
                    <w:webHidden/>
                  </w:rPr>
                  <w:t>63</w:t>
                </w:r>
                <w:r w:rsidR="00DB2E9B">
                  <w:rPr>
                    <w:noProof/>
                    <w:webHidden/>
                  </w:rPr>
                  <w:fldChar w:fldCharType="end"/>
                </w:r>
              </w:hyperlink>
            </w:p>
            <w:p w14:paraId="7685604E" w14:textId="22A14184" w:rsidR="00DB2E9B" w:rsidRDefault="00205E8C" w:rsidP="0099638A">
              <w:pPr>
                <w:pStyle w:val="TOC3"/>
                <w:rPr>
                  <w:rFonts w:asciiTheme="minorHAnsi" w:eastAsiaTheme="minorEastAsia" w:hAnsiTheme="minorHAnsi"/>
                  <w:noProof/>
                  <w:sz w:val="22"/>
                  <w:lang w:eastAsia="en-GB"/>
                </w:rPr>
              </w:pPr>
              <w:hyperlink w:anchor="_Toc118465295" w:history="1">
                <w:r w:rsidR="00DB2E9B" w:rsidRPr="008A619A">
                  <w:rPr>
                    <w:rStyle w:val="Hyperlink"/>
                    <w:rFonts w:cs="Arial"/>
                    <w:noProof/>
                  </w:rPr>
                  <w:t>5.3.2</w:t>
                </w:r>
                <w:r w:rsidR="00DB2E9B">
                  <w:rPr>
                    <w:rFonts w:asciiTheme="minorHAnsi" w:eastAsiaTheme="minorEastAsia" w:hAnsiTheme="minorHAnsi"/>
                    <w:noProof/>
                    <w:sz w:val="22"/>
                    <w:lang w:eastAsia="en-GB"/>
                  </w:rPr>
                  <w:tab/>
                </w:r>
                <w:r w:rsidR="00DB2E9B" w:rsidRPr="008A619A">
                  <w:rPr>
                    <w:rStyle w:val="Hyperlink"/>
                    <w:rFonts w:cs="Arial"/>
                    <w:noProof/>
                  </w:rPr>
                  <w:t>Data and information on industrial organisation</w:t>
                </w:r>
                <w:r w:rsidR="00DB2E9B">
                  <w:rPr>
                    <w:noProof/>
                    <w:webHidden/>
                  </w:rPr>
                  <w:tab/>
                </w:r>
                <w:r w:rsidR="00DB2E9B">
                  <w:rPr>
                    <w:noProof/>
                    <w:webHidden/>
                  </w:rPr>
                  <w:fldChar w:fldCharType="begin"/>
                </w:r>
                <w:r w:rsidR="00DB2E9B">
                  <w:rPr>
                    <w:noProof/>
                    <w:webHidden/>
                  </w:rPr>
                  <w:instrText xml:space="preserve"> PAGEREF _Toc118465295 \h </w:instrText>
                </w:r>
                <w:r w:rsidR="00DB2E9B">
                  <w:rPr>
                    <w:noProof/>
                    <w:webHidden/>
                  </w:rPr>
                </w:r>
                <w:r w:rsidR="00DB2E9B">
                  <w:rPr>
                    <w:noProof/>
                    <w:webHidden/>
                  </w:rPr>
                  <w:fldChar w:fldCharType="separate"/>
                </w:r>
                <w:r w:rsidR="00DB2E9B">
                  <w:rPr>
                    <w:noProof/>
                    <w:webHidden/>
                  </w:rPr>
                  <w:t>73</w:t>
                </w:r>
                <w:r w:rsidR="00DB2E9B">
                  <w:rPr>
                    <w:noProof/>
                    <w:webHidden/>
                  </w:rPr>
                  <w:fldChar w:fldCharType="end"/>
                </w:r>
              </w:hyperlink>
            </w:p>
            <w:p w14:paraId="75CC8F43" w14:textId="3D7321C7" w:rsidR="00DB2E9B" w:rsidRDefault="00205E8C" w:rsidP="0099638A">
              <w:pPr>
                <w:pStyle w:val="TOC3"/>
                <w:rPr>
                  <w:rFonts w:asciiTheme="minorHAnsi" w:eastAsiaTheme="minorEastAsia" w:hAnsiTheme="minorHAnsi"/>
                  <w:noProof/>
                  <w:sz w:val="22"/>
                  <w:lang w:eastAsia="en-GB"/>
                </w:rPr>
              </w:pPr>
              <w:hyperlink w:anchor="_Toc118465296" w:history="1">
                <w:r w:rsidR="00DB2E9B" w:rsidRPr="008A619A">
                  <w:rPr>
                    <w:rStyle w:val="Hyperlink"/>
                    <w:rFonts w:cs="Arial"/>
                    <w:noProof/>
                  </w:rPr>
                  <w:t>5.3.3</w:t>
                </w:r>
                <w:r w:rsidR="00DB2E9B">
                  <w:rPr>
                    <w:rFonts w:asciiTheme="minorHAnsi" w:eastAsiaTheme="minorEastAsia" w:hAnsiTheme="minorHAnsi"/>
                    <w:noProof/>
                    <w:sz w:val="22"/>
                    <w:lang w:eastAsia="en-GB"/>
                  </w:rPr>
                  <w:tab/>
                </w:r>
                <w:r w:rsidR="00DB2E9B" w:rsidRPr="008A619A">
                  <w:rPr>
                    <w:rStyle w:val="Hyperlink"/>
                    <w:rFonts w:cs="Arial"/>
                    <w:noProof/>
                  </w:rPr>
                  <w:t>Conclusions</w:t>
                </w:r>
                <w:r w:rsidR="00DB2E9B">
                  <w:rPr>
                    <w:noProof/>
                    <w:webHidden/>
                  </w:rPr>
                  <w:tab/>
                </w:r>
                <w:r w:rsidR="00DB2E9B">
                  <w:rPr>
                    <w:noProof/>
                    <w:webHidden/>
                  </w:rPr>
                  <w:fldChar w:fldCharType="begin"/>
                </w:r>
                <w:r w:rsidR="00DB2E9B">
                  <w:rPr>
                    <w:noProof/>
                    <w:webHidden/>
                  </w:rPr>
                  <w:instrText xml:space="preserve"> PAGEREF _Toc118465296 \h </w:instrText>
                </w:r>
                <w:r w:rsidR="00DB2E9B">
                  <w:rPr>
                    <w:noProof/>
                    <w:webHidden/>
                  </w:rPr>
                </w:r>
                <w:r w:rsidR="00DB2E9B">
                  <w:rPr>
                    <w:noProof/>
                    <w:webHidden/>
                  </w:rPr>
                  <w:fldChar w:fldCharType="separate"/>
                </w:r>
                <w:r w:rsidR="00DB2E9B">
                  <w:rPr>
                    <w:noProof/>
                    <w:webHidden/>
                  </w:rPr>
                  <w:t>76</w:t>
                </w:r>
                <w:r w:rsidR="00DB2E9B">
                  <w:rPr>
                    <w:noProof/>
                    <w:webHidden/>
                  </w:rPr>
                  <w:fldChar w:fldCharType="end"/>
                </w:r>
              </w:hyperlink>
            </w:p>
            <w:p w14:paraId="43A0F227" w14:textId="047B8360" w:rsidR="00DB2E9B" w:rsidRDefault="00205E8C">
              <w:pPr>
                <w:pStyle w:val="TOC2"/>
                <w:rPr>
                  <w:rFonts w:asciiTheme="minorHAnsi" w:eastAsiaTheme="minorEastAsia" w:hAnsiTheme="minorHAnsi"/>
                  <w:noProof/>
                  <w:sz w:val="22"/>
                  <w:lang w:eastAsia="en-GB"/>
                </w:rPr>
              </w:pPr>
              <w:hyperlink w:anchor="_Toc118465297" w:history="1">
                <w:r w:rsidR="00DB2E9B" w:rsidRPr="008A619A">
                  <w:rPr>
                    <w:rStyle w:val="Hyperlink"/>
                    <w:rFonts w:cs="Arial"/>
                    <w:noProof/>
                  </w:rPr>
                  <w:t>5.4</w:t>
                </w:r>
                <w:r w:rsidR="00DB2E9B">
                  <w:rPr>
                    <w:rFonts w:asciiTheme="minorHAnsi" w:eastAsiaTheme="minorEastAsia" w:hAnsiTheme="minorHAnsi"/>
                    <w:noProof/>
                    <w:sz w:val="22"/>
                    <w:lang w:eastAsia="en-GB"/>
                  </w:rPr>
                  <w:tab/>
                </w:r>
                <w:r w:rsidR="00DB2E9B" w:rsidRPr="008A619A">
                  <w:rPr>
                    <w:rStyle w:val="Hyperlink"/>
                    <w:rFonts w:cs="Arial"/>
                    <w:noProof/>
                  </w:rPr>
                  <w:t>A toolkit for handling anti-circumvention cases</w:t>
                </w:r>
                <w:r w:rsidR="00DB2E9B">
                  <w:rPr>
                    <w:noProof/>
                    <w:webHidden/>
                  </w:rPr>
                  <w:tab/>
                </w:r>
                <w:r w:rsidR="00DB2E9B">
                  <w:rPr>
                    <w:noProof/>
                    <w:webHidden/>
                  </w:rPr>
                  <w:fldChar w:fldCharType="begin"/>
                </w:r>
                <w:r w:rsidR="00DB2E9B">
                  <w:rPr>
                    <w:noProof/>
                    <w:webHidden/>
                  </w:rPr>
                  <w:instrText xml:space="preserve"> PAGEREF _Toc118465297 \h </w:instrText>
                </w:r>
                <w:r w:rsidR="00DB2E9B">
                  <w:rPr>
                    <w:noProof/>
                    <w:webHidden/>
                  </w:rPr>
                </w:r>
                <w:r w:rsidR="00DB2E9B">
                  <w:rPr>
                    <w:noProof/>
                    <w:webHidden/>
                  </w:rPr>
                  <w:fldChar w:fldCharType="separate"/>
                </w:r>
                <w:r w:rsidR="00DB2E9B">
                  <w:rPr>
                    <w:noProof/>
                    <w:webHidden/>
                  </w:rPr>
                  <w:t>78</w:t>
                </w:r>
                <w:r w:rsidR="00DB2E9B">
                  <w:rPr>
                    <w:noProof/>
                    <w:webHidden/>
                  </w:rPr>
                  <w:fldChar w:fldCharType="end"/>
                </w:r>
              </w:hyperlink>
            </w:p>
            <w:p w14:paraId="1076A2E7" w14:textId="54B70EEA" w:rsidR="00DB2E9B" w:rsidRDefault="00205E8C" w:rsidP="0099638A">
              <w:pPr>
                <w:pStyle w:val="TOC3"/>
                <w:rPr>
                  <w:rFonts w:asciiTheme="minorHAnsi" w:eastAsiaTheme="minorEastAsia" w:hAnsiTheme="minorHAnsi"/>
                  <w:noProof/>
                  <w:sz w:val="22"/>
                  <w:lang w:eastAsia="en-GB"/>
                </w:rPr>
              </w:pPr>
              <w:hyperlink w:anchor="_Toc118465298" w:history="1">
                <w:r w:rsidR="00DB2E9B" w:rsidRPr="008A619A">
                  <w:rPr>
                    <w:rStyle w:val="Hyperlink"/>
                    <w:rFonts w:cs="Arial"/>
                    <w:noProof/>
                  </w:rPr>
                  <w:t>5.4.1</w:t>
                </w:r>
                <w:r w:rsidR="00DB2E9B">
                  <w:rPr>
                    <w:rFonts w:asciiTheme="minorHAnsi" w:eastAsiaTheme="minorEastAsia" w:hAnsiTheme="minorHAnsi"/>
                    <w:noProof/>
                    <w:sz w:val="22"/>
                    <w:lang w:eastAsia="en-GB"/>
                  </w:rPr>
                  <w:tab/>
                </w:r>
                <w:r w:rsidR="00DB2E9B" w:rsidRPr="008A619A">
                  <w:rPr>
                    <w:rStyle w:val="Hyperlink"/>
                    <w:rFonts w:cs="Arial"/>
                    <w:noProof/>
                  </w:rPr>
                  <w:t>General framework</w:t>
                </w:r>
                <w:r w:rsidR="00DB2E9B">
                  <w:rPr>
                    <w:noProof/>
                    <w:webHidden/>
                  </w:rPr>
                  <w:tab/>
                </w:r>
                <w:r w:rsidR="00DB2E9B">
                  <w:rPr>
                    <w:noProof/>
                    <w:webHidden/>
                  </w:rPr>
                  <w:fldChar w:fldCharType="begin"/>
                </w:r>
                <w:r w:rsidR="00DB2E9B">
                  <w:rPr>
                    <w:noProof/>
                    <w:webHidden/>
                  </w:rPr>
                  <w:instrText xml:space="preserve"> PAGEREF _Toc118465298 \h </w:instrText>
                </w:r>
                <w:r w:rsidR="00DB2E9B">
                  <w:rPr>
                    <w:noProof/>
                    <w:webHidden/>
                  </w:rPr>
                </w:r>
                <w:r w:rsidR="00DB2E9B">
                  <w:rPr>
                    <w:noProof/>
                    <w:webHidden/>
                  </w:rPr>
                  <w:fldChar w:fldCharType="separate"/>
                </w:r>
                <w:r w:rsidR="00DB2E9B">
                  <w:rPr>
                    <w:noProof/>
                    <w:webHidden/>
                  </w:rPr>
                  <w:t>78</w:t>
                </w:r>
                <w:r w:rsidR="00DB2E9B">
                  <w:rPr>
                    <w:noProof/>
                    <w:webHidden/>
                  </w:rPr>
                  <w:fldChar w:fldCharType="end"/>
                </w:r>
              </w:hyperlink>
            </w:p>
            <w:p w14:paraId="32543E80" w14:textId="770C674D" w:rsidR="00DB2E9B" w:rsidRDefault="00205E8C" w:rsidP="0099638A">
              <w:pPr>
                <w:pStyle w:val="TOC3"/>
                <w:rPr>
                  <w:rFonts w:asciiTheme="minorHAnsi" w:eastAsiaTheme="minorEastAsia" w:hAnsiTheme="minorHAnsi"/>
                  <w:noProof/>
                  <w:sz w:val="22"/>
                  <w:lang w:eastAsia="en-GB"/>
                </w:rPr>
              </w:pPr>
              <w:hyperlink w:anchor="_Toc118465299" w:history="1">
                <w:r w:rsidR="00DB2E9B" w:rsidRPr="008A619A">
                  <w:rPr>
                    <w:rStyle w:val="Hyperlink"/>
                    <w:rFonts w:cs="Arial"/>
                    <w:noProof/>
                  </w:rPr>
                  <w:t>5.4.2</w:t>
                </w:r>
                <w:r w:rsidR="00DB2E9B">
                  <w:rPr>
                    <w:rFonts w:asciiTheme="minorHAnsi" w:eastAsiaTheme="minorEastAsia" w:hAnsiTheme="minorHAnsi"/>
                    <w:noProof/>
                    <w:sz w:val="22"/>
                    <w:lang w:eastAsia="en-GB"/>
                  </w:rPr>
                  <w:tab/>
                </w:r>
                <w:r w:rsidR="00DB2E9B" w:rsidRPr="008A619A">
                  <w:rPr>
                    <w:rStyle w:val="Hyperlink"/>
                    <w:rFonts w:cs="Arial"/>
                    <w:noProof/>
                  </w:rPr>
                  <w:t>Implementing the framework through data sources and methodologies</w:t>
                </w:r>
                <w:r w:rsidR="00DB2E9B">
                  <w:rPr>
                    <w:noProof/>
                    <w:webHidden/>
                  </w:rPr>
                  <w:tab/>
                </w:r>
                <w:r w:rsidR="00BD7BA8" w:rsidRPr="00BD7BA8">
                  <w:rPr>
                    <w:noProof/>
                    <w:webHidden/>
                  </w:rPr>
                  <w:tab/>
                </w:r>
                <w:r w:rsidR="00BD7BA8" w:rsidRPr="00BD7BA8">
                  <w:rPr>
                    <w:noProof/>
                    <w:webHidden/>
                  </w:rPr>
                  <w:tab/>
                </w:r>
                <w:r w:rsidR="00DB2E9B">
                  <w:rPr>
                    <w:noProof/>
                    <w:webHidden/>
                  </w:rPr>
                  <w:fldChar w:fldCharType="begin"/>
                </w:r>
                <w:r w:rsidR="00DB2E9B">
                  <w:rPr>
                    <w:noProof/>
                    <w:webHidden/>
                  </w:rPr>
                  <w:instrText xml:space="preserve"> PAGEREF _Toc118465299 \h </w:instrText>
                </w:r>
                <w:r w:rsidR="00DB2E9B">
                  <w:rPr>
                    <w:noProof/>
                    <w:webHidden/>
                  </w:rPr>
                </w:r>
                <w:r w:rsidR="00DB2E9B">
                  <w:rPr>
                    <w:noProof/>
                    <w:webHidden/>
                  </w:rPr>
                  <w:fldChar w:fldCharType="separate"/>
                </w:r>
                <w:r w:rsidR="00DB2E9B">
                  <w:rPr>
                    <w:noProof/>
                    <w:webHidden/>
                  </w:rPr>
                  <w:t>79</w:t>
                </w:r>
                <w:r w:rsidR="00DB2E9B">
                  <w:rPr>
                    <w:noProof/>
                    <w:webHidden/>
                  </w:rPr>
                  <w:fldChar w:fldCharType="end"/>
                </w:r>
              </w:hyperlink>
            </w:p>
            <w:p w14:paraId="64EE9262" w14:textId="039C0C48" w:rsidR="00DB2E9B" w:rsidRDefault="00205E8C">
              <w:pPr>
                <w:pStyle w:val="TOC2"/>
                <w:rPr>
                  <w:rFonts w:asciiTheme="minorHAnsi" w:eastAsiaTheme="minorEastAsia" w:hAnsiTheme="minorHAnsi"/>
                  <w:noProof/>
                  <w:sz w:val="22"/>
                  <w:lang w:eastAsia="en-GB"/>
                </w:rPr>
              </w:pPr>
              <w:hyperlink w:anchor="_Toc118465300" w:history="1">
                <w:r w:rsidR="00DB2E9B" w:rsidRPr="008A619A">
                  <w:rPr>
                    <w:rStyle w:val="Hyperlink"/>
                    <w:rFonts w:cs="Arial"/>
                    <w:noProof/>
                  </w:rPr>
                  <w:t>5.5</w:t>
                </w:r>
                <w:r w:rsidR="00DB2E9B">
                  <w:rPr>
                    <w:rFonts w:asciiTheme="minorHAnsi" w:eastAsiaTheme="minorEastAsia" w:hAnsiTheme="minorHAnsi"/>
                    <w:noProof/>
                    <w:sz w:val="22"/>
                    <w:lang w:eastAsia="en-GB"/>
                  </w:rPr>
                  <w:tab/>
                </w:r>
                <w:r w:rsidR="00DB2E9B" w:rsidRPr="008A619A">
                  <w:rPr>
                    <w:rStyle w:val="Hyperlink"/>
                    <w:rFonts w:cs="Arial"/>
                    <w:noProof/>
                  </w:rPr>
                  <w:t>Steps to implement the toolkit</w:t>
                </w:r>
                <w:r w:rsidR="00DB2E9B">
                  <w:rPr>
                    <w:noProof/>
                    <w:webHidden/>
                  </w:rPr>
                  <w:tab/>
                </w:r>
                <w:r w:rsidR="00DB2E9B">
                  <w:rPr>
                    <w:noProof/>
                    <w:webHidden/>
                  </w:rPr>
                  <w:fldChar w:fldCharType="begin"/>
                </w:r>
                <w:r w:rsidR="00DB2E9B">
                  <w:rPr>
                    <w:noProof/>
                    <w:webHidden/>
                  </w:rPr>
                  <w:instrText xml:space="preserve"> PAGEREF _Toc118465300 \h </w:instrText>
                </w:r>
                <w:r w:rsidR="00DB2E9B">
                  <w:rPr>
                    <w:noProof/>
                    <w:webHidden/>
                  </w:rPr>
                </w:r>
                <w:r w:rsidR="00DB2E9B">
                  <w:rPr>
                    <w:noProof/>
                    <w:webHidden/>
                  </w:rPr>
                  <w:fldChar w:fldCharType="separate"/>
                </w:r>
                <w:r w:rsidR="00DB2E9B">
                  <w:rPr>
                    <w:noProof/>
                    <w:webHidden/>
                  </w:rPr>
                  <w:t>84</w:t>
                </w:r>
                <w:r w:rsidR="00DB2E9B">
                  <w:rPr>
                    <w:noProof/>
                    <w:webHidden/>
                  </w:rPr>
                  <w:fldChar w:fldCharType="end"/>
                </w:r>
              </w:hyperlink>
            </w:p>
            <w:p w14:paraId="2F72AA4C" w14:textId="403E5B0F" w:rsidR="00DB2E9B" w:rsidRDefault="00205E8C">
              <w:pPr>
                <w:pStyle w:val="TOC2"/>
                <w:rPr>
                  <w:rFonts w:asciiTheme="minorHAnsi" w:eastAsiaTheme="minorEastAsia" w:hAnsiTheme="minorHAnsi"/>
                  <w:noProof/>
                  <w:sz w:val="22"/>
                  <w:lang w:eastAsia="en-GB"/>
                </w:rPr>
              </w:pPr>
              <w:hyperlink w:anchor="_Toc118465301" w:history="1">
                <w:r w:rsidR="00DB2E9B" w:rsidRPr="008A619A">
                  <w:rPr>
                    <w:rStyle w:val="Hyperlink"/>
                    <w:rFonts w:cs="Arial"/>
                    <w:noProof/>
                  </w:rPr>
                  <w:t>5.6</w:t>
                </w:r>
                <w:r w:rsidR="00DB2E9B">
                  <w:rPr>
                    <w:rFonts w:asciiTheme="minorHAnsi" w:eastAsiaTheme="minorEastAsia" w:hAnsiTheme="minorHAnsi"/>
                    <w:noProof/>
                    <w:sz w:val="22"/>
                    <w:lang w:eastAsia="en-GB"/>
                  </w:rPr>
                  <w:tab/>
                </w:r>
                <w:r w:rsidR="00DB2E9B" w:rsidRPr="008A619A">
                  <w:rPr>
                    <w:rStyle w:val="Hyperlink"/>
                    <w:rFonts w:cs="Arial"/>
                    <w:noProof/>
                  </w:rPr>
                  <w:t>Summing up</w:t>
                </w:r>
                <w:r w:rsidR="00DB2E9B">
                  <w:rPr>
                    <w:noProof/>
                    <w:webHidden/>
                  </w:rPr>
                  <w:tab/>
                </w:r>
                <w:r w:rsidR="00DB2E9B">
                  <w:rPr>
                    <w:noProof/>
                    <w:webHidden/>
                  </w:rPr>
                  <w:fldChar w:fldCharType="begin"/>
                </w:r>
                <w:r w:rsidR="00DB2E9B">
                  <w:rPr>
                    <w:noProof/>
                    <w:webHidden/>
                  </w:rPr>
                  <w:instrText xml:space="preserve"> PAGEREF _Toc118465301 \h </w:instrText>
                </w:r>
                <w:r w:rsidR="00DB2E9B">
                  <w:rPr>
                    <w:noProof/>
                    <w:webHidden/>
                  </w:rPr>
                </w:r>
                <w:r w:rsidR="00DB2E9B">
                  <w:rPr>
                    <w:noProof/>
                    <w:webHidden/>
                  </w:rPr>
                  <w:fldChar w:fldCharType="separate"/>
                </w:r>
                <w:r w:rsidR="00DB2E9B">
                  <w:rPr>
                    <w:noProof/>
                    <w:webHidden/>
                  </w:rPr>
                  <w:t>88</w:t>
                </w:r>
                <w:r w:rsidR="00DB2E9B">
                  <w:rPr>
                    <w:noProof/>
                    <w:webHidden/>
                  </w:rPr>
                  <w:fldChar w:fldCharType="end"/>
                </w:r>
              </w:hyperlink>
            </w:p>
            <w:p w14:paraId="5CFBE047" w14:textId="76BC4623" w:rsidR="00DB2E9B" w:rsidRDefault="00205E8C">
              <w:pPr>
                <w:pStyle w:val="TOC1"/>
                <w:rPr>
                  <w:rFonts w:asciiTheme="minorHAnsi" w:eastAsiaTheme="minorEastAsia" w:hAnsiTheme="minorHAnsi"/>
                  <w:noProof/>
                  <w:sz w:val="22"/>
                  <w:lang w:eastAsia="en-GB"/>
                </w:rPr>
              </w:pPr>
              <w:hyperlink w:anchor="_Toc118465302" w:history="1">
                <w:r w:rsidR="00DB2E9B" w:rsidRPr="008A619A">
                  <w:rPr>
                    <w:rStyle w:val="Hyperlink"/>
                    <w:rFonts w:cs="Arial"/>
                    <w:noProof/>
                  </w:rPr>
                  <w:t>Annex 1 – Further information on deep dive jurisdictions</w:t>
                </w:r>
                <w:r w:rsidR="00DB2E9B">
                  <w:rPr>
                    <w:noProof/>
                    <w:webHidden/>
                  </w:rPr>
                  <w:tab/>
                </w:r>
                <w:r w:rsidR="00DB2E9B">
                  <w:rPr>
                    <w:noProof/>
                    <w:webHidden/>
                  </w:rPr>
                  <w:fldChar w:fldCharType="begin"/>
                </w:r>
                <w:r w:rsidR="00DB2E9B">
                  <w:rPr>
                    <w:noProof/>
                    <w:webHidden/>
                  </w:rPr>
                  <w:instrText xml:space="preserve"> PAGEREF _Toc118465302 \h </w:instrText>
                </w:r>
                <w:r w:rsidR="00DB2E9B">
                  <w:rPr>
                    <w:noProof/>
                    <w:webHidden/>
                  </w:rPr>
                </w:r>
                <w:r w:rsidR="00DB2E9B">
                  <w:rPr>
                    <w:noProof/>
                    <w:webHidden/>
                  </w:rPr>
                  <w:fldChar w:fldCharType="separate"/>
                </w:r>
                <w:r w:rsidR="00DB2E9B">
                  <w:rPr>
                    <w:noProof/>
                    <w:webHidden/>
                  </w:rPr>
                  <w:t>89</w:t>
                </w:r>
                <w:r w:rsidR="00DB2E9B">
                  <w:rPr>
                    <w:noProof/>
                    <w:webHidden/>
                  </w:rPr>
                  <w:fldChar w:fldCharType="end"/>
                </w:r>
              </w:hyperlink>
            </w:p>
            <w:p w14:paraId="45D7E640" w14:textId="03A532F2" w:rsidR="00DB2E9B" w:rsidRDefault="00205E8C">
              <w:pPr>
                <w:pStyle w:val="TOC2"/>
                <w:rPr>
                  <w:rFonts w:asciiTheme="minorHAnsi" w:eastAsiaTheme="minorEastAsia" w:hAnsiTheme="minorHAnsi"/>
                  <w:noProof/>
                  <w:sz w:val="22"/>
                  <w:lang w:eastAsia="en-GB"/>
                </w:rPr>
              </w:pPr>
              <w:hyperlink w:anchor="_Toc118465303" w:history="1">
                <w:r w:rsidR="00DB2E9B" w:rsidRPr="008A619A">
                  <w:rPr>
                    <w:rStyle w:val="Hyperlink"/>
                    <w:noProof/>
                  </w:rPr>
                  <w:t>Deep-dive study of the European Union</w:t>
                </w:r>
                <w:r w:rsidR="00DB2E9B">
                  <w:rPr>
                    <w:noProof/>
                    <w:webHidden/>
                  </w:rPr>
                  <w:tab/>
                </w:r>
                <w:r w:rsidR="00DB2E9B">
                  <w:rPr>
                    <w:noProof/>
                    <w:webHidden/>
                  </w:rPr>
                  <w:fldChar w:fldCharType="begin"/>
                </w:r>
                <w:r w:rsidR="00DB2E9B">
                  <w:rPr>
                    <w:noProof/>
                    <w:webHidden/>
                  </w:rPr>
                  <w:instrText xml:space="preserve"> PAGEREF _Toc118465303 \h </w:instrText>
                </w:r>
                <w:r w:rsidR="00DB2E9B">
                  <w:rPr>
                    <w:noProof/>
                    <w:webHidden/>
                  </w:rPr>
                </w:r>
                <w:r w:rsidR="00DB2E9B">
                  <w:rPr>
                    <w:noProof/>
                    <w:webHidden/>
                  </w:rPr>
                  <w:fldChar w:fldCharType="separate"/>
                </w:r>
                <w:r w:rsidR="00DB2E9B">
                  <w:rPr>
                    <w:noProof/>
                    <w:webHidden/>
                  </w:rPr>
                  <w:t>89</w:t>
                </w:r>
                <w:r w:rsidR="00DB2E9B">
                  <w:rPr>
                    <w:noProof/>
                    <w:webHidden/>
                  </w:rPr>
                  <w:fldChar w:fldCharType="end"/>
                </w:r>
              </w:hyperlink>
            </w:p>
            <w:p w14:paraId="06A8F2A8" w14:textId="5C528C17" w:rsidR="00DB2E9B" w:rsidRDefault="00205E8C" w:rsidP="0099638A">
              <w:pPr>
                <w:pStyle w:val="TOC3"/>
                <w:rPr>
                  <w:rFonts w:asciiTheme="minorHAnsi" w:eastAsiaTheme="minorEastAsia" w:hAnsiTheme="minorHAnsi"/>
                  <w:noProof/>
                  <w:sz w:val="22"/>
                  <w:lang w:eastAsia="en-GB"/>
                </w:rPr>
              </w:pPr>
              <w:hyperlink w:anchor="_Toc118465304" w:history="1">
                <w:r w:rsidR="00DB2E9B" w:rsidRPr="008A619A">
                  <w:rPr>
                    <w:rStyle w:val="Hyperlink"/>
                    <w:rFonts w:cs="Arial"/>
                    <w:noProof/>
                  </w:rPr>
                  <w:t>Legal framework and processes</w:t>
                </w:r>
                <w:r w:rsidR="00DB2E9B">
                  <w:rPr>
                    <w:noProof/>
                    <w:webHidden/>
                  </w:rPr>
                  <w:tab/>
                </w:r>
                <w:r w:rsidR="00DB2E9B">
                  <w:rPr>
                    <w:noProof/>
                    <w:webHidden/>
                  </w:rPr>
                  <w:fldChar w:fldCharType="begin"/>
                </w:r>
                <w:r w:rsidR="00DB2E9B">
                  <w:rPr>
                    <w:noProof/>
                    <w:webHidden/>
                  </w:rPr>
                  <w:instrText xml:space="preserve"> PAGEREF _Toc118465304 \h </w:instrText>
                </w:r>
                <w:r w:rsidR="00DB2E9B">
                  <w:rPr>
                    <w:noProof/>
                    <w:webHidden/>
                  </w:rPr>
                </w:r>
                <w:r w:rsidR="00DB2E9B">
                  <w:rPr>
                    <w:noProof/>
                    <w:webHidden/>
                  </w:rPr>
                  <w:fldChar w:fldCharType="separate"/>
                </w:r>
                <w:r w:rsidR="00DB2E9B">
                  <w:rPr>
                    <w:noProof/>
                    <w:webHidden/>
                  </w:rPr>
                  <w:t>89</w:t>
                </w:r>
                <w:r w:rsidR="00DB2E9B">
                  <w:rPr>
                    <w:noProof/>
                    <w:webHidden/>
                  </w:rPr>
                  <w:fldChar w:fldCharType="end"/>
                </w:r>
              </w:hyperlink>
            </w:p>
            <w:p w14:paraId="1A71BC7F" w14:textId="4B762993" w:rsidR="00DB2E9B" w:rsidRDefault="00205E8C" w:rsidP="0099638A">
              <w:pPr>
                <w:pStyle w:val="TOC3"/>
                <w:rPr>
                  <w:rFonts w:asciiTheme="minorHAnsi" w:eastAsiaTheme="minorEastAsia" w:hAnsiTheme="minorHAnsi"/>
                  <w:noProof/>
                  <w:sz w:val="22"/>
                  <w:lang w:eastAsia="en-GB"/>
                </w:rPr>
              </w:pPr>
              <w:hyperlink w:anchor="_Toc118465305" w:history="1">
                <w:r w:rsidR="00DB2E9B" w:rsidRPr="008A619A">
                  <w:rPr>
                    <w:rStyle w:val="Hyperlink"/>
                    <w:rFonts w:cs="Arial"/>
                    <w:noProof/>
                  </w:rPr>
                  <w:t>Examples of cases highlighting data and information gathered to meet the tests of the legal framework</w:t>
                </w:r>
                <w:r w:rsidR="00DB2E9B">
                  <w:rPr>
                    <w:noProof/>
                    <w:webHidden/>
                  </w:rPr>
                  <w:tab/>
                </w:r>
                <w:r w:rsidR="00DB2E9B">
                  <w:rPr>
                    <w:noProof/>
                    <w:webHidden/>
                  </w:rPr>
                  <w:fldChar w:fldCharType="begin"/>
                </w:r>
                <w:r w:rsidR="00DB2E9B">
                  <w:rPr>
                    <w:noProof/>
                    <w:webHidden/>
                  </w:rPr>
                  <w:instrText xml:space="preserve"> PAGEREF _Toc118465305 \h </w:instrText>
                </w:r>
                <w:r w:rsidR="00DB2E9B">
                  <w:rPr>
                    <w:noProof/>
                    <w:webHidden/>
                  </w:rPr>
                </w:r>
                <w:r w:rsidR="00DB2E9B">
                  <w:rPr>
                    <w:noProof/>
                    <w:webHidden/>
                  </w:rPr>
                  <w:fldChar w:fldCharType="separate"/>
                </w:r>
                <w:r w:rsidR="00DB2E9B">
                  <w:rPr>
                    <w:noProof/>
                    <w:webHidden/>
                  </w:rPr>
                  <w:t>94</w:t>
                </w:r>
                <w:r w:rsidR="00DB2E9B">
                  <w:rPr>
                    <w:noProof/>
                    <w:webHidden/>
                  </w:rPr>
                  <w:fldChar w:fldCharType="end"/>
                </w:r>
              </w:hyperlink>
            </w:p>
            <w:p w14:paraId="18592716" w14:textId="47478667" w:rsidR="00DB2E9B" w:rsidRDefault="00205E8C" w:rsidP="0099638A">
              <w:pPr>
                <w:pStyle w:val="TOC3"/>
                <w:rPr>
                  <w:rFonts w:asciiTheme="minorHAnsi" w:eastAsiaTheme="minorEastAsia" w:hAnsiTheme="minorHAnsi"/>
                  <w:noProof/>
                  <w:sz w:val="22"/>
                  <w:lang w:eastAsia="en-GB"/>
                </w:rPr>
              </w:pPr>
              <w:hyperlink w:anchor="_Toc118465306" w:history="1">
                <w:r w:rsidR="00DB2E9B" w:rsidRPr="008A619A">
                  <w:rPr>
                    <w:rStyle w:val="Hyperlink"/>
                    <w:rFonts w:cs="Arial"/>
                    <w:noProof/>
                  </w:rPr>
                  <w:t>Key descriptive statistics concerning EU anti-circumvention cases</w:t>
                </w:r>
                <w:r w:rsidR="00DB2E9B">
                  <w:rPr>
                    <w:noProof/>
                    <w:webHidden/>
                  </w:rPr>
                  <w:tab/>
                </w:r>
                <w:r w:rsidR="00DB2E9B">
                  <w:rPr>
                    <w:noProof/>
                    <w:webHidden/>
                  </w:rPr>
                  <w:fldChar w:fldCharType="begin"/>
                </w:r>
                <w:r w:rsidR="00DB2E9B">
                  <w:rPr>
                    <w:noProof/>
                    <w:webHidden/>
                  </w:rPr>
                  <w:instrText xml:space="preserve"> PAGEREF _Toc118465306 \h </w:instrText>
                </w:r>
                <w:r w:rsidR="00DB2E9B">
                  <w:rPr>
                    <w:noProof/>
                    <w:webHidden/>
                  </w:rPr>
                </w:r>
                <w:r w:rsidR="00DB2E9B">
                  <w:rPr>
                    <w:noProof/>
                    <w:webHidden/>
                  </w:rPr>
                  <w:fldChar w:fldCharType="separate"/>
                </w:r>
                <w:r w:rsidR="00DB2E9B">
                  <w:rPr>
                    <w:noProof/>
                    <w:webHidden/>
                  </w:rPr>
                  <w:t>97</w:t>
                </w:r>
                <w:r w:rsidR="00DB2E9B">
                  <w:rPr>
                    <w:noProof/>
                    <w:webHidden/>
                  </w:rPr>
                  <w:fldChar w:fldCharType="end"/>
                </w:r>
              </w:hyperlink>
            </w:p>
            <w:p w14:paraId="2F3D2D64" w14:textId="573B50A1" w:rsidR="00DB2E9B" w:rsidRDefault="00205E8C" w:rsidP="0099638A">
              <w:pPr>
                <w:pStyle w:val="TOC3"/>
                <w:rPr>
                  <w:rFonts w:asciiTheme="minorHAnsi" w:eastAsiaTheme="minorEastAsia" w:hAnsiTheme="minorHAnsi"/>
                  <w:noProof/>
                  <w:sz w:val="22"/>
                  <w:lang w:eastAsia="en-GB"/>
                </w:rPr>
              </w:pPr>
              <w:hyperlink w:anchor="_Toc118465307" w:history="1">
                <w:r w:rsidR="00DB2E9B" w:rsidRPr="008A619A">
                  <w:rPr>
                    <w:rStyle w:val="Hyperlink"/>
                    <w:rFonts w:cs="Arial"/>
                    <w:noProof/>
                  </w:rPr>
                  <w:t>Geographic patterns of circumvention cases in the EU</w:t>
                </w:r>
                <w:r w:rsidR="00DB2E9B">
                  <w:rPr>
                    <w:noProof/>
                    <w:webHidden/>
                  </w:rPr>
                  <w:tab/>
                </w:r>
                <w:r w:rsidR="00DB2E9B">
                  <w:rPr>
                    <w:noProof/>
                    <w:webHidden/>
                  </w:rPr>
                  <w:fldChar w:fldCharType="begin"/>
                </w:r>
                <w:r w:rsidR="00DB2E9B">
                  <w:rPr>
                    <w:noProof/>
                    <w:webHidden/>
                  </w:rPr>
                  <w:instrText xml:space="preserve"> PAGEREF _Toc118465307 \h </w:instrText>
                </w:r>
                <w:r w:rsidR="00DB2E9B">
                  <w:rPr>
                    <w:noProof/>
                    <w:webHidden/>
                  </w:rPr>
                </w:r>
                <w:r w:rsidR="00DB2E9B">
                  <w:rPr>
                    <w:noProof/>
                    <w:webHidden/>
                  </w:rPr>
                  <w:fldChar w:fldCharType="separate"/>
                </w:r>
                <w:r w:rsidR="00DB2E9B">
                  <w:rPr>
                    <w:noProof/>
                    <w:webHidden/>
                  </w:rPr>
                  <w:t>103</w:t>
                </w:r>
                <w:r w:rsidR="00DB2E9B">
                  <w:rPr>
                    <w:noProof/>
                    <w:webHidden/>
                  </w:rPr>
                  <w:fldChar w:fldCharType="end"/>
                </w:r>
              </w:hyperlink>
            </w:p>
            <w:p w14:paraId="59032A38" w14:textId="503FC79C" w:rsidR="00DB2E9B" w:rsidRDefault="00205E8C" w:rsidP="0099638A">
              <w:pPr>
                <w:pStyle w:val="TOC3"/>
                <w:rPr>
                  <w:rFonts w:asciiTheme="minorHAnsi" w:eastAsiaTheme="minorEastAsia" w:hAnsiTheme="minorHAnsi"/>
                  <w:noProof/>
                  <w:sz w:val="22"/>
                  <w:lang w:eastAsia="en-GB"/>
                </w:rPr>
              </w:pPr>
              <w:hyperlink w:anchor="_Toc118465308" w:history="1">
                <w:r w:rsidR="00DB2E9B" w:rsidRPr="008A619A">
                  <w:rPr>
                    <w:rStyle w:val="Hyperlink"/>
                    <w:rFonts w:cs="Arial"/>
                    <w:noProof/>
                  </w:rPr>
                  <w:t>Summary observations relating to the EU</w:t>
                </w:r>
                <w:r w:rsidR="00DB2E9B">
                  <w:rPr>
                    <w:noProof/>
                    <w:webHidden/>
                  </w:rPr>
                  <w:tab/>
                </w:r>
                <w:r w:rsidR="00DB2E9B">
                  <w:rPr>
                    <w:noProof/>
                    <w:webHidden/>
                  </w:rPr>
                  <w:fldChar w:fldCharType="begin"/>
                </w:r>
                <w:r w:rsidR="00DB2E9B">
                  <w:rPr>
                    <w:noProof/>
                    <w:webHidden/>
                  </w:rPr>
                  <w:instrText xml:space="preserve"> PAGEREF _Toc118465308 \h </w:instrText>
                </w:r>
                <w:r w:rsidR="00DB2E9B">
                  <w:rPr>
                    <w:noProof/>
                    <w:webHidden/>
                  </w:rPr>
                </w:r>
                <w:r w:rsidR="00DB2E9B">
                  <w:rPr>
                    <w:noProof/>
                    <w:webHidden/>
                  </w:rPr>
                  <w:fldChar w:fldCharType="separate"/>
                </w:r>
                <w:r w:rsidR="00DB2E9B">
                  <w:rPr>
                    <w:noProof/>
                    <w:webHidden/>
                  </w:rPr>
                  <w:t>104</w:t>
                </w:r>
                <w:r w:rsidR="00DB2E9B">
                  <w:rPr>
                    <w:noProof/>
                    <w:webHidden/>
                  </w:rPr>
                  <w:fldChar w:fldCharType="end"/>
                </w:r>
              </w:hyperlink>
            </w:p>
            <w:p w14:paraId="69779ED4" w14:textId="038F798E" w:rsidR="00DB2E9B" w:rsidRDefault="00205E8C">
              <w:pPr>
                <w:pStyle w:val="TOC2"/>
                <w:rPr>
                  <w:rFonts w:asciiTheme="minorHAnsi" w:eastAsiaTheme="minorEastAsia" w:hAnsiTheme="minorHAnsi"/>
                  <w:noProof/>
                  <w:sz w:val="22"/>
                  <w:lang w:eastAsia="en-GB"/>
                </w:rPr>
              </w:pPr>
              <w:hyperlink w:anchor="_Toc118465309" w:history="1">
                <w:r w:rsidR="00DB2E9B" w:rsidRPr="008A619A">
                  <w:rPr>
                    <w:rStyle w:val="Hyperlink"/>
                    <w:rFonts w:cs="Arial"/>
                    <w:noProof/>
                  </w:rPr>
                  <w:t>Deep-dive study of the United States</w:t>
                </w:r>
                <w:r w:rsidR="00DB2E9B">
                  <w:rPr>
                    <w:noProof/>
                    <w:webHidden/>
                  </w:rPr>
                  <w:tab/>
                </w:r>
                <w:r w:rsidR="00DB2E9B">
                  <w:rPr>
                    <w:noProof/>
                    <w:webHidden/>
                  </w:rPr>
                  <w:fldChar w:fldCharType="begin"/>
                </w:r>
                <w:r w:rsidR="00DB2E9B">
                  <w:rPr>
                    <w:noProof/>
                    <w:webHidden/>
                  </w:rPr>
                  <w:instrText xml:space="preserve"> PAGEREF _Toc118465309 \h </w:instrText>
                </w:r>
                <w:r w:rsidR="00DB2E9B">
                  <w:rPr>
                    <w:noProof/>
                    <w:webHidden/>
                  </w:rPr>
                </w:r>
                <w:r w:rsidR="00DB2E9B">
                  <w:rPr>
                    <w:noProof/>
                    <w:webHidden/>
                  </w:rPr>
                  <w:fldChar w:fldCharType="separate"/>
                </w:r>
                <w:r w:rsidR="00DB2E9B">
                  <w:rPr>
                    <w:noProof/>
                    <w:webHidden/>
                  </w:rPr>
                  <w:t>105</w:t>
                </w:r>
                <w:r w:rsidR="00DB2E9B">
                  <w:rPr>
                    <w:noProof/>
                    <w:webHidden/>
                  </w:rPr>
                  <w:fldChar w:fldCharType="end"/>
                </w:r>
              </w:hyperlink>
            </w:p>
            <w:p w14:paraId="2D1507DA" w14:textId="5C3820BF" w:rsidR="00DB2E9B" w:rsidRDefault="00205E8C" w:rsidP="0099638A">
              <w:pPr>
                <w:pStyle w:val="TOC3"/>
                <w:rPr>
                  <w:rFonts w:asciiTheme="minorHAnsi" w:eastAsiaTheme="minorEastAsia" w:hAnsiTheme="minorHAnsi"/>
                  <w:noProof/>
                  <w:sz w:val="22"/>
                  <w:lang w:eastAsia="en-GB"/>
                </w:rPr>
              </w:pPr>
              <w:hyperlink w:anchor="_Toc118465310" w:history="1">
                <w:r w:rsidR="00DB2E9B" w:rsidRPr="008A619A">
                  <w:rPr>
                    <w:rStyle w:val="Hyperlink"/>
                    <w:rFonts w:cs="Arial"/>
                    <w:noProof/>
                  </w:rPr>
                  <w:t>Legal framework and processes</w:t>
                </w:r>
                <w:r w:rsidR="00DB2E9B">
                  <w:rPr>
                    <w:noProof/>
                    <w:webHidden/>
                  </w:rPr>
                  <w:tab/>
                </w:r>
                <w:r w:rsidR="00DB2E9B">
                  <w:rPr>
                    <w:noProof/>
                    <w:webHidden/>
                  </w:rPr>
                  <w:fldChar w:fldCharType="begin"/>
                </w:r>
                <w:r w:rsidR="00DB2E9B">
                  <w:rPr>
                    <w:noProof/>
                    <w:webHidden/>
                  </w:rPr>
                  <w:instrText xml:space="preserve"> PAGEREF _Toc118465310 \h </w:instrText>
                </w:r>
                <w:r w:rsidR="00DB2E9B">
                  <w:rPr>
                    <w:noProof/>
                    <w:webHidden/>
                  </w:rPr>
                </w:r>
                <w:r w:rsidR="00DB2E9B">
                  <w:rPr>
                    <w:noProof/>
                    <w:webHidden/>
                  </w:rPr>
                  <w:fldChar w:fldCharType="separate"/>
                </w:r>
                <w:r w:rsidR="00DB2E9B">
                  <w:rPr>
                    <w:noProof/>
                    <w:webHidden/>
                  </w:rPr>
                  <w:t>105</w:t>
                </w:r>
                <w:r w:rsidR="00DB2E9B">
                  <w:rPr>
                    <w:noProof/>
                    <w:webHidden/>
                  </w:rPr>
                  <w:fldChar w:fldCharType="end"/>
                </w:r>
              </w:hyperlink>
            </w:p>
            <w:p w14:paraId="1ADB120F" w14:textId="7E6E8597" w:rsidR="00DB2E9B" w:rsidRDefault="00205E8C" w:rsidP="0099638A">
              <w:pPr>
                <w:pStyle w:val="TOC3"/>
                <w:rPr>
                  <w:rFonts w:asciiTheme="minorHAnsi" w:eastAsiaTheme="minorEastAsia" w:hAnsiTheme="minorHAnsi"/>
                  <w:noProof/>
                  <w:sz w:val="22"/>
                  <w:lang w:eastAsia="en-GB"/>
                </w:rPr>
              </w:pPr>
              <w:hyperlink w:anchor="_Toc118465311" w:history="1">
                <w:r w:rsidR="00DB2E9B" w:rsidRPr="008A619A">
                  <w:rPr>
                    <w:rStyle w:val="Hyperlink"/>
                    <w:noProof/>
                  </w:rPr>
                  <w:t>Examples of cases which highlight data and information gathered to meet the tests of the legal framework</w:t>
                </w:r>
                <w:r w:rsidR="00DB2E9B">
                  <w:rPr>
                    <w:noProof/>
                    <w:webHidden/>
                  </w:rPr>
                  <w:tab/>
                </w:r>
                <w:r w:rsidR="00DB2E9B">
                  <w:rPr>
                    <w:noProof/>
                    <w:webHidden/>
                  </w:rPr>
                  <w:fldChar w:fldCharType="begin"/>
                </w:r>
                <w:r w:rsidR="00DB2E9B">
                  <w:rPr>
                    <w:noProof/>
                    <w:webHidden/>
                  </w:rPr>
                  <w:instrText xml:space="preserve"> PAGEREF _Toc118465311 \h </w:instrText>
                </w:r>
                <w:r w:rsidR="00DB2E9B">
                  <w:rPr>
                    <w:noProof/>
                    <w:webHidden/>
                  </w:rPr>
                </w:r>
                <w:r w:rsidR="00DB2E9B">
                  <w:rPr>
                    <w:noProof/>
                    <w:webHidden/>
                  </w:rPr>
                  <w:fldChar w:fldCharType="separate"/>
                </w:r>
                <w:r w:rsidR="00DB2E9B">
                  <w:rPr>
                    <w:noProof/>
                    <w:webHidden/>
                  </w:rPr>
                  <w:t>110</w:t>
                </w:r>
                <w:r w:rsidR="00DB2E9B">
                  <w:rPr>
                    <w:noProof/>
                    <w:webHidden/>
                  </w:rPr>
                  <w:fldChar w:fldCharType="end"/>
                </w:r>
              </w:hyperlink>
            </w:p>
            <w:p w14:paraId="61509773" w14:textId="736AB75A" w:rsidR="00DB2E9B" w:rsidRDefault="00205E8C" w:rsidP="0099638A">
              <w:pPr>
                <w:pStyle w:val="TOC3"/>
                <w:rPr>
                  <w:rFonts w:asciiTheme="minorHAnsi" w:eastAsiaTheme="minorEastAsia" w:hAnsiTheme="minorHAnsi"/>
                  <w:noProof/>
                  <w:sz w:val="22"/>
                  <w:lang w:eastAsia="en-GB"/>
                </w:rPr>
              </w:pPr>
              <w:hyperlink w:anchor="_Toc118465312" w:history="1">
                <w:r w:rsidR="00DB2E9B" w:rsidRPr="008A619A">
                  <w:rPr>
                    <w:rStyle w:val="Hyperlink"/>
                    <w:rFonts w:cs="Arial"/>
                    <w:noProof/>
                  </w:rPr>
                  <w:t>Key descriptive statistics concerning United States anti-circumvention cases</w:t>
                </w:r>
                <w:r w:rsidR="00DB2E9B">
                  <w:rPr>
                    <w:noProof/>
                    <w:webHidden/>
                  </w:rPr>
                  <w:tab/>
                </w:r>
                <w:r w:rsidR="00DB2E9B">
                  <w:rPr>
                    <w:noProof/>
                    <w:webHidden/>
                  </w:rPr>
                  <w:fldChar w:fldCharType="begin"/>
                </w:r>
                <w:r w:rsidR="00DB2E9B">
                  <w:rPr>
                    <w:noProof/>
                    <w:webHidden/>
                  </w:rPr>
                  <w:instrText xml:space="preserve"> PAGEREF _Toc118465312 \h </w:instrText>
                </w:r>
                <w:r w:rsidR="00DB2E9B">
                  <w:rPr>
                    <w:noProof/>
                    <w:webHidden/>
                  </w:rPr>
                </w:r>
                <w:r w:rsidR="00DB2E9B">
                  <w:rPr>
                    <w:noProof/>
                    <w:webHidden/>
                  </w:rPr>
                  <w:fldChar w:fldCharType="separate"/>
                </w:r>
                <w:r w:rsidR="00DB2E9B">
                  <w:rPr>
                    <w:noProof/>
                    <w:webHidden/>
                  </w:rPr>
                  <w:t>112</w:t>
                </w:r>
                <w:r w:rsidR="00DB2E9B">
                  <w:rPr>
                    <w:noProof/>
                    <w:webHidden/>
                  </w:rPr>
                  <w:fldChar w:fldCharType="end"/>
                </w:r>
              </w:hyperlink>
            </w:p>
            <w:p w14:paraId="6BCEF3FC" w14:textId="3AFA9D93" w:rsidR="00DB2E9B" w:rsidRDefault="00205E8C" w:rsidP="0099638A">
              <w:pPr>
                <w:pStyle w:val="TOC3"/>
                <w:rPr>
                  <w:rFonts w:asciiTheme="minorHAnsi" w:eastAsiaTheme="minorEastAsia" w:hAnsiTheme="minorHAnsi"/>
                  <w:noProof/>
                  <w:sz w:val="22"/>
                  <w:lang w:eastAsia="en-GB"/>
                </w:rPr>
              </w:pPr>
              <w:hyperlink w:anchor="_Toc118465313" w:history="1">
                <w:r w:rsidR="00DB2E9B" w:rsidRPr="008A619A">
                  <w:rPr>
                    <w:rStyle w:val="Hyperlink"/>
                    <w:rFonts w:cs="Arial"/>
                    <w:noProof/>
                  </w:rPr>
                  <w:t>Geographic patterns of circumvention cases</w:t>
                </w:r>
                <w:r w:rsidR="00DB2E9B">
                  <w:rPr>
                    <w:noProof/>
                    <w:webHidden/>
                  </w:rPr>
                  <w:tab/>
                </w:r>
                <w:r w:rsidR="00DB2E9B">
                  <w:rPr>
                    <w:noProof/>
                    <w:webHidden/>
                  </w:rPr>
                  <w:fldChar w:fldCharType="begin"/>
                </w:r>
                <w:r w:rsidR="00DB2E9B">
                  <w:rPr>
                    <w:noProof/>
                    <w:webHidden/>
                  </w:rPr>
                  <w:instrText xml:space="preserve"> PAGEREF _Toc118465313 \h </w:instrText>
                </w:r>
                <w:r w:rsidR="00DB2E9B">
                  <w:rPr>
                    <w:noProof/>
                    <w:webHidden/>
                  </w:rPr>
                </w:r>
                <w:r w:rsidR="00DB2E9B">
                  <w:rPr>
                    <w:noProof/>
                    <w:webHidden/>
                  </w:rPr>
                  <w:fldChar w:fldCharType="separate"/>
                </w:r>
                <w:r w:rsidR="00DB2E9B">
                  <w:rPr>
                    <w:noProof/>
                    <w:webHidden/>
                  </w:rPr>
                  <w:t>118</w:t>
                </w:r>
                <w:r w:rsidR="00DB2E9B">
                  <w:rPr>
                    <w:noProof/>
                    <w:webHidden/>
                  </w:rPr>
                  <w:fldChar w:fldCharType="end"/>
                </w:r>
              </w:hyperlink>
            </w:p>
            <w:p w14:paraId="7D73093F" w14:textId="0C952B90" w:rsidR="00DB2E9B" w:rsidRDefault="00205E8C" w:rsidP="0099638A">
              <w:pPr>
                <w:pStyle w:val="TOC3"/>
                <w:rPr>
                  <w:rFonts w:asciiTheme="minorHAnsi" w:eastAsiaTheme="minorEastAsia" w:hAnsiTheme="minorHAnsi"/>
                  <w:noProof/>
                  <w:sz w:val="22"/>
                  <w:lang w:eastAsia="en-GB"/>
                </w:rPr>
              </w:pPr>
              <w:hyperlink w:anchor="_Toc118465314" w:history="1">
                <w:r w:rsidR="00DB2E9B" w:rsidRPr="008A619A">
                  <w:rPr>
                    <w:rStyle w:val="Hyperlink"/>
                    <w:rFonts w:cs="Arial"/>
                    <w:noProof/>
                  </w:rPr>
                  <w:t>Summary observations relating to the United States</w:t>
                </w:r>
                <w:r w:rsidR="00DB2E9B">
                  <w:rPr>
                    <w:noProof/>
                    <w:webHidden/>
                  </w:rPr>
                  <w:tab/>
                </w:r>
                <w:r w:rsidR="00DB2E9B">
                  <w:rPr>
                    <w:noProof/>
                    <w:webHidden/>
                  </w:rPr>
                  <w:fldChar w:fldCharType="begin"/>
                </w:r>
                <w:r w:rsidR="00DB2E9B">
                  <w:rPr>
                    <w:noProof/>
                    <w:webHidden/>
                  </w:rPr>
                  <w:instrText xml:space="preserve"> PAGEREF _Toc118465314 \h </w:instrText>
                </w:r>
                <w:r w:rsidR="00DB2E9B">
                  <w:rPr>
                    <w:noProof/>
                    <w:webHidden/>
                  </w:rPr>
                </w:r>
                <w:r w:rsidR="00DB2E9B">
                  <w:rPr>
                    <w:noProof/>
                    <w:webHidden/>
                  </w:rPr>
                  <w:fldChar w:fldCharType="separate"/>
                </w:r>
                <w:r w:rsidR="00DB2E9B">
                  <w:rPr>
                    <w:noProof/>
                    <w:webHidden/>
                  </w:rPr>
                  <w:t>119</w:t>
                </w:r>
                <w:r w:rsidR="00DB2E9B">
                  <w:rPr>
                    <w:noProof/>
                    <w:webHidden/>
                  </w:rPr>
                  <w:fldChar w:fldCharType="end"/>
                </w:r>
              </w:hyperlink>
            </w:p>
            <w:p w14:paraId="4136BC15" w14:textId="7B6779FF" w:rsidR="00DB2E9B" w:rsidRDefault="00205E8C">
              <w:pPr>
                <w:pStyle w:val="TOC2"/>
                <w:rPr>
                  <w:rFonts w:asciiTheme="minorHAnsi" w:eastAsiaTheme="minorEastAsia" w:hAnsiTheme="minorHAnsi"/>
                  <w:noProof/>
                  <w:sz w:val="22"/>
                  <w:lang w:eastAsia="en-GB"/>
                </w:rPr>
              </w:pPr>
              <w:hyperlink w:anchor="_Toc118465315" w:history="1">
                <w:r w:rsidR="00DB2E9B" w:rsidRPr="008A619A">
                  <w:rPr>
                    <w:rStyle w:val="Hyperlink"/>
                    <w:rFonts w:cs="Arial"/>
                    <w:noProof/>
                  </w:rPr>
                  <w:t>Deep-dive study of Australia</w:t>
                </w:r>
                <w:r w:rsidR="00DB2E9B">
                  <w:rPr>
                    <w:noProof/>
                    <w:webHidden/>
                  </w:rPr>
                  <w:tab/>
                </w:r>
                <w:r w:rsidR="00DB2E9B">
                  <w:rPr>
                    <w:noProof/>
                    <w:webHidden/>
                  </w:rPr>
                  <w:fldChar w:fldCharType="begin"/>
                </w:r>
                <w:r w:rsidR="00DB2E9B">
                  <w:rPr>
                    <w:noProof/>
                    <w:webHidden/>
                  </w:rPr>
                  <w:instrText xml:space="preserve"> PAGEREF _Toc118465315 \h </w:instrText>
                </w:r>
                <w:r w:rsidR="00DB2E9B">
                  <w:rPr>
                    <w:noProof/>
                    <w:webHidden/>
                  </w:rPr>
                </w:r>
                <w:r w:rsidR="00DB2E9B">
                  <w:rPr>
                    <w:noProof/>
                    <w:webHidden/>
                  </w:rPr>
                  <w:fldChar w:fldCharType="separate"/>
                </w:r>
                <w:r w:rsidR="00DB2E9B">
                  <w:rPr>
                    <w:noProof/>
                    <w:webHidden/>
                  </w:rPr>
                  <w:t>120</w:t>
                </w:r>
                <w:r w:rsidR="00DB2E9B">
                  <w:rPr>
                    <w:noProof/>
                    <w:webHidden/>
                  </w:rPr>
                  <w:fldChar w:fldCharType="end"/>
                </w:r>
              </w:hyperlink>
            </w:p>
            <w:p w14:paraId="6BDA57C1" w14:textId="369083FD" w:rsidR="00DB2E9B" w:rsidRDefault="00205E8C" w:rsidP="0099638A">
              <w:pPr>
                <w:pStyle w:val="TOC3"/>
                <w:rPr>
                  <w:rFonts w:asciiTheme="minorHAnsi" w:eastAsiaTheme="minorEastAsia" w:hAnsiTheme="minorHAnsi"/>
                  <w:noProof/>
                  <w:sz w:val="22"/>
                  <w:lang w:eastAsia="en-GB"/>
                </w:rPr>
              </w:pPr>
              <w:hyperlink w:anchor="_Toc118465316" w:history="1">
                <w:r w:rsidR="00DB2E9B" w:rsidRPr="008A619A">
                  <w:rPr>
                    <w:rStyle w:val="Hyperlink"/>
                    <w:rFonts w:cs="Arial"/>
                    <w:noProof/>
                  </w:rPr>
                  <w:t>Legal framework and processes</w:t>
                </w:r>
                <w:r w:rsidR="00DB2E9B">
                  <w:rPr>
                    <w:noProof/>
                    <w:webHidden/>
                  </w:rPr>
                  <w:tab/>
                </w:r>
                <w:r w:rsidR="00DB2E9B">
                  <w:rPr>
                    <w:noProof/>
                    <w:webHidden/>
                  </w:rPr>
                  <w:fldChar w:fldCharType="begin"/>
                </w:r>
                <w:r w:rsidR="00DB2E9B">
                  <w:rPr>
                    <w:noProof/>
                    <w:webHidden/>
                  </w:rPr>
                  <w:instrText xml:space="preserve"> PAGEREF _Toc118465316 \h </w:instrText>
                </w:r>
                <w:r w:rsidR="00DB2E9B">
                  <w:rPr>
                    <w:noProof/>
                    <w:webHidden/>
                  </w:rPr>
                </w:r>
                <w:r w:rsidR="00DB2E9B">
                  <w:rPr>
                    <w:noProof/>
                    <w:webHidden/>
                  </w:rPr>
                  <w:fldChar w:fldCharType="separate"/>
                </w:r>
                <w:r w:rsidR="00DB2E9B">
                  <w:rPr>
                    <w:noProof/>
                    <w:webHidden/>
                  </w:rPr>
                  <w:t>120</w:t>
                </w:r>
                <w:r w:rsidR="00DB2E9B">
                  <w:rPr>
                    <w:noProof/>
                    <w:webHidden/>
                  </w:rPr>
                  <w:fldChar w:fldCharType="end"/>
                </w:r>
              </w:hyperlink>
            </w:p>
            <w:p w14:paraId="3265770F" w14:textId="76A92AD0" w:rsidR="00DB2E9B" w:rsidRDefault="00205E8C" w:rsidP="0099638A">
              <w:pPr>
                <w:pStyle w:val="TOC3"/>
                <w:rPr>
                  <w:rFonts w:asciiTheme="minorHAnsi" w:eastAsiaTheme="minorEastAsia" w:hAnsiTheme="minorHAnsi"/>
                  <w:noProof/>
                  <w:sz w:val="22"/>
                  <w:lang w:eastAsia="en-GB"/>
                </w:rPr>
              </w:pPr>
              <w:hyperlink w:anchor="_Toc118465317" w:history="1">
                <w:r w:rsidR="00DB2E9B" w:rsidRPr="008A619A">
                  <w:rPr>
                    <w:rStyle w:val="Hyperlink"/>
                    <w:rFonts w:cs="Arial"/>
                    <w:noProof/>
                  </w:rPr>
                  <w:t>Examples of cases highlighting data and information gathered to meet the tests of the legal framework</w:t>
                </w:r>
                <w:r w:rsidR="00DB2E9B">
                  <w:rPr>
                    <w:noProof/>
                    <w:webHidden/>
                  </w:rPr>
                  <w:tab/>
                </w:r>
                <w:r w:rsidR="00DB2E9B">
                  <w:rPr>
                    <w:noProof/>
                    <w:webHidden/>
                  </w:rPr>
                  <w:fldChar w:fldCharType="begin"/>
                </w:r>
                <w:r w:rsidR="00DB2E9B">
                  <w:rPr>
                    <w:noProof/>
                    <w:webHidden/>
                  </w:rPr>
                  <w:instrText xml:space="preserve"> PAGEREF _Toc118465317 \h </w:instrText>
                </w:r>
                <w:r w:rsidR="00DB2E9B">
                  <w:rPr>
                    <w:noProof/>
                    <w:webHidden/>
                  </w:rPr>
                </w:r>
                <w:r w:rsidR="00DB2E9B">
                  <w:rPr>
                    <w:noProof/>
                    <w:webHidden/>
                  </w:rPr>
                  <w:fldChar w:fldCharType="separate"/>
                </w:r>
                <w:r w:rsidR="00DB2E9B">
                  <w:rPr>
                    <w:noProof/>
                    <w:webHidden/>
                  </w:rPr>
                  <w:t>121</w:t>
                </w:r>
                <w:r w:rsidR="00DB2E9B">
                  <w:rPr>
                    <w:noProof/>
                    <w:webHidden/>
                  </w:rPr>
                  <w:fldChar w:fldCharType="end"/>
                </w:r>
              </w:hyperlink>
            </w:p>
            <w:p w14:paraId="79953C4F" w14:textId="5B53D3BD" w:rsidR="00DB2E9B" w:rsidRDefault="00205E8C" w:rsidP="0099638A">
              <w:pPr>
                <w:pStyle w:val="TOC3"/>
                <w:rPr>
                  <w:rFonts w:asciiTheme="minorHAnsi" w:eastAsiaTheme="minorEastAsia" w:hAnsiTheme="minorHAnsi"/>
                  <w:noProof/>
                  <w:sz w:val="22"/>
                  <w:lang w:eastAsia="en-GB"/>
                </w:rPr>
              </w:pPr>
              <w:hyperlink w:anchor="_Toc118465318" w:history="1">
                <w:r w:rsidR="00DB2E9B" w:rsidRPr="008A619A">
                  <w:rPr>
                    <w:rStyle w:val="Hyperlink"/>
                    <w:rFonts w:cs="Arial"/>
                    <w:noProof/>
                  </w:rPr>
                  <w:t>Key descriptive statistics concerning Australian anti-circumvention cases</w:t>
                </w:r>
                <w:r w:rsidR="00DB2E9B">
                  <w:rPr>
                    <w:noProof/>
                    <w:webHidden/>
                  </w:rPr>
                  <w:tab/>
                </w:r>
                <w:r w:rsidR="00DB2E9B">
                  <w:rPr>
                    <w:noProof/>
                    <w:webHidden/>
                  </w:rPr>
                  <w:fldChar w:fldCharType="begin"/>
                </w:r>
                <w:r w:rsidR="00DB2E9B">
                  <w:rPr>
                    <w:noProof/>
                    <w:webHidden/>
                  </w:rPr>
                  <w:instrText xml:space="preserve"> PAGEREF _Toc118465318 \h </w:instrText>
                </w:r>
                <w:r w:rsidR="00DB2E9B">
                  <w:rPr>
                    <w:noProof/>
                    <w:webHidden/>
                  </w:rPr>
                </w:r>
                <w:r w:rsidR="00DB2E9B">
                  <w:rPr>
                    <w:noProof/>
                    <w:webHidden/>
                  </w:rPr>
                  <w:fldChar w:fldCharType="separate"/>
                </w:r>
                <w:r w:rsidR="00DB2E9B">
                  <w:rPr>
                    <w:noProof/>
                    <w:webHidden/>
                  </w:rPr>
                  <w:t>124</w:t>
                </w:r>
                <w:r w:rsidR="00DB2E9B">
                  <w:rPr>
                    <w:noProof/>
                    <w:webHidden/>
                  </w:rPr>
                  <w:fldChar w:fldCharType="end"/>
                </w:r>
              </w:hyperlink>
            </w:p>
            <w:p w14:paraId="6D3795F0" w14:textId="3EBD19F7" w:rsidR="00DB2E9B" w:rsidRDefault="00205E8C" w:rsidP="0099638A">
              <w:pPr>
                <w:pStyle w:val="TOC3"/>
                <w:rPr>
                  <w:rFonts w:asciiTheme="minorHAnsi" w:eastAsiaTheme="minorEastAsia" w:hAnsiTheme="minorHAnsi"/>
                  <w:noProof/>
                  <w:sz w:val="22"/>
                  <w:lang w:eastAsia="en-GB"/>
                </w:rPr>
              </w:pPr>
              <w:hyperlink w:anchor="_Toc118465319" w:history="1">
                <w:r w:rsidR="00DB2E9B" w:rsidRPr="008A619A">
                  <w:rPr>
                    <w:rStyle w:val="Hyperlink"/>
                    <w:rFonts w:cs="Arial"/>
                    <w:noProof/>
                  </w:rPr>
                  <w:t>Summary observations regarding Australian anti-circumvention cases</w:t>
                </w:r>
                <w:r w:rsidR="00DB2E9B">
                  <w:rPr>
                    <w:noProof/>
                    <w:webHidden/>
                  </w:rPr>
                  <w:tab/>
                </w:r>
                <w:r w:rsidR="00DB2E9B">
                  <w:rPr>
                    <w:noProof/>
                    <w:webHidden/>
                  </w:rPr>
                  <w:fldChar w:fldCharType="begin"/>
                </w:r>
                <w:r w:rsidR="00DB2E9B">
                  <w:rPr>
                    <w:noProof/>
                    <w:webHidden/>
                  </w:rPr>
                  <w:instrText xml:space="preserve"> PAGEREF _Toc118465319 \h </w:instrText>
                </w:r>
                <w:r w:rsidR="00DB2E9B">
                  <w:rPr>
                    <w:noProof/>
                    <w:webHidden/>
                  </w:rPr>
                </w:r>
                <w:r w:rsidR="00DB2E9B">
                  <w:rPr>
                    <w:noProof/>
                    <w:webHidden/>
                  </w:rPr>
                  <w:fldChar w:fldCharType="separate"/>
                </w:r>
                <w:r w:rsidR="00DB2E9B">
                  <w:rPr>
                    <w:noProof/>
                    <w:webHidden/>
                  </w:rPr>
                  <w:t>127</w:t>
                </w:r>
                <w:r w:rsidR="00DB2E9B">
                  <w:rPr>
                    <w:noProof/>
                    <w:webHidden/>
                  </w:rPr>
                  <w:fldChar w:fldCharType="end"/>
                </w:r>
              </w:hyperlink>
            </w:p>
            <w:p w14:paraId="0880001E" w14:textId="236B98F4" w:rsidR="00DB2E9B" w:rsidRDefault="00205E8C">
              <w:pPr>
                <w:pStyle w:val="TOC2"/>
                <w:rPr>
                  <w:rFonts w:asciiTheme="minorHAnsi" w:eastAsiaTheme="minorEastAsia" w:hAnsiTheme="minorHAnsi"/>
                  <w:noProof/>
                  <w:sz w:val="22"/>
                  <w:lang w:eastAsia="en-GB"/>
                </w:rPr>
              </w:pPr>
              <w:hyperlink w:anchor="_Toc118465320" w:history="1">
                <w:r w:rsidR="00DB2E9B" w:rsidRPr="008A619A">
                  <w:rPr>
                    <w:rStyle w:val="Hyperlink"/>
                    <w:rFonts w:cs="Arial"/>
                    <w:noProof/>
                  </w:rPr>
                  <w:t>Deep-dive study of Canada</w:t>
                </w:r>
                <w:r w:rsidR="00DB2E9B">
                  <w:rPr>
                    <w:noProof/>
                    <w:webHidden/>
                  </w:rPr>
                  <w:tab/>
                </w:r>
                <w:r w:rsidR="00DB2E9B">
                  <w:rPr>
                    <w:noProof/>
                    <w:webHidden/>
                  </w:rPr>
                  <w:fldChar w:fldCharType="begin"/>
                </w:r>
                <w:r w:rsidR="00DB2E9B">
                  <w:rPr>
                    <w:noProof/>
                    <w:webHidden/>
                  </w:rPr>
                  <w:instrText xml:space="preserve"> PAGEREF _Toc118465320 \h </w:instrText>
                </w:r>
                <w:r w:rsidR="00DB2E9B">
                  <w:rPr>
                    <w:noProof/>
                    <w:webHidden/>
                  </w:rPr>
                </w:r>
                <w:r w:rsidR="00DB2E9B">
                  <w:rPr>
                    <w:noProof/>
                    <w:webHidden/>
                  </w:rPr>
                  <w:fldChar w:fldCharType="separate"/>
                </w:r>
                <w:r w:rsidR="00DB2E9B">
                  <w:rPr>
                    <w:noProof/>
                    <w:webHidden/>
                  </w:rPr>
                  <w:t>128</w:t>
                </w:r>
                <w:r w:rsidR="00DB2E9B">
                  <w:rPr>
                    <w:noProof/>
                    <w:webHidden/>
                  </w:rPr>
                  <w:fldChar w:fldCharType="end"/>
                </w:r>
              </w:hyperlink>
            </w:p>
            <w:p w14:paraId="31912FFA" w14:textId="3902F835" w:rsidR="00DB2E9B" w:rsidRDefault="00205E8C" w:rsidP="0099638A">
              <w:pPr>
                <w:pStyle w:val="TOC3"/>
                <w:rPr>
                  <w:rFonts w:asciiTheme="minorHAnsi" w:eastAsiaTheme="minorEastAsia" w:hAnsiTheme="minorHAnsi"/>
                  <w:noProof/>
                  <w:sz w:val="22"/>
                  <w:lang w:eastAsia="en-GB"/>
                </w:rPr>
              </w:pPr>
              <w:hyperlink w:anchor="_Toc118465321" w:history="1">
                <w:r w:rsidR="00DB2E9B" w:rsidRPr="008A619A">
                  <w:rPr>
                    <w:rStyle w:val="Hyperlink"/>
                    <w:rFonts w:cs="Arial"/>
                    <w:noProof/>
                  </w:rPr>
                  <w:t>Legal framework and processes</w:t>
                </w:r>
                <w:r w:rsidR="00DB2E9B">
                  <w:rPr>
                    <w:noProof/>
                    <w:webHidden/>
                  </w:rPr>
                  <w:tab/>
                </w:r>
                <w:r w:rsidR="00DB2E9B">
                  <w:rPr>
                    <w:noProof/>
                    <w:webHidden/>
                  </w:rPr>
                  <w:fldChar w:fldCharType="begin"/>
                </w:r>
                <w:r w:rsidR="00DB2E9B">
                  <w:rPr>
                    <w:noProof/>
                    <w:webHidden/>
                  </w:rPr>
                  <w:instrText xml:space="preserve"> PAGEREF _Toc118465321 \h </w:instrText>
                </w:r>
                <w:r w:rsidR="00DB2E9B">
                  <w:rPr>
                    <w:noProof/>
                    <w:webHidden/>
                  </w:rPr>
                </w:r>
                <w:r w:rsidR="00DB2E9B">
                  <w:rPr>
                    <w:noProof/>
                    <w:webHidden/>
                  </w:rPr>
                  <w:fldChar w:fldCharType="separate"/>
                </w:r>
                <w:r w:rsidR="00DB2E9B">
                  <w:rPr>
                    <w:noProof/>
                    <w:webHidden/>
                  </w:rPr>
                  <w:t>128</w:t>
                </w:r>
                <w:r w:rsidR="00DB2E9B">
                  <w:rPr>
                    <w:noProof/>
                    <w:webHidden/>
                  </w:rPr>
                  <w:fldChar w:fldCharType="end"/>
                </w:r>
              </w:hyperlink>
            </w:p>
            <w:p w14:paraId="29EA62B0" w14:textId="080B203A" w:rsidR="00DB2E9B" w:rsidRDefault="00205E8C" w:rsidP="0099638A">
              <w:pPr>
                <w:pStyle w:val="TOC3"/>
                <w:rPr>
                  <w:rFonts w:asciiTheme="minorHAnsi" w:eastAsiaTheme="minorEastAsia" w:hAnsiTheme="minorHAnsi"/>
                  <w:noProof/>
                  <w:sz w:val="22"/>
                  <w:lang w:eastAsia="en-GB"/>
                </w:rPr>
              </w:pPr>
              <w:hyperlink w:anchor="_Toc118465322" w:history="1">
                <w:r w:rsidR="00DB2E9B" w:rsidRPr="008A619A">
                  <w:rPr>
                    <w:rStyle w:val="Hyperlink"/>
                    <w:rFonts w:cs="Arial"/>
                    <w:noProof/>
                  </w:rPr>
                  <w:t>Further observations based on past scope reviews</w:t>
                </w:r>
                <w:r w:rsidR="00DB2E9B">
                  <w:rPr>
                    <w:noProof/>
                    <w:webHidden/>
                  </w:rPr>
                  <w:tab/>
                </w:r>
                <w:r w:rsidR="00DB2E9B">
                  <w:rPr>
                    <w:noProof/>
                    <w:webHidden/>
                  </w:rPr>
                  <w:fldChar w:fldCharType="begin"/>
                </w:r>
                <w:r w:rsidR="00DB2E9B">
                  <w:rPr>
                    <w:noProof/>
                    <w:webHidden/>
                  </w:rPr>
                  <w:instrText xml:space="preserve"> PAGEREF _Toc118465322 \h </w:instrText>
                </w:r>
                <w:r w:rsidR="00DB2E9B">
                  <w:rPr>
                    <w:noProof/>
                    <w:webHidden/>
                  </w:rPr>
                </w:r>
                <w:r w:rsidR="00DB2E9B">
                  <w:rPr>
                    <w:noProof/>
                    <w:webHidden/>
                  </w:rPr>
                  <w:fldChar w:fldCharType="separate"/>
                </w:r>
                <w:r w:rsidR="00DB2E9B">
                  <w:rPr>
                    <w:noProof/>
                    <w:webHidden/>
                  </w:rPr>
                  <w:t>130</w:t>
                </w:r>
                <w:r w:rsidR="00DB2E9B">
                  <w:rPr>
                    <w:noProof/>
                    <w:webHidden/>
                  </w:rPr>
                  <w:fldChar w:fldCharType="end"/>
                </w:r>
              </w:hyperlink>
            </w:p>
            <w:p w14:paraId="1FD8BDC0" w14:textId="6A625880" w:rsidR="00DB2E9B" w:rsidRDefault="00205E8C">
              <w:pPr>
                <w:pStyle w:val="TOC1"/>
                <w:rPr>
                  <w:rFonts w:asciiTheme="minorHAnsi" w:eastAsiaTheme="minorEastAsia" w:hAnsiTheme="minorHAnsi"/>
                  <w:noProof/>
                  <w:sz w:val="22"/>
                  <w:lang w:eastAsia="en-GB"/>
                </w:rPr>
              </w:pPr>
              <w:hyperlink w:anchor="_Toc118465323" w:history="1">
                <w:r w:rsidR="00DB2E9B" w:rsidRPr="008A619A">
                  <w:rPr>
                    <w:rStyle w:val="Hyperlink"/>
                    <w:rFonts w:cs="Arial"/>
                    <w:noProof/>
                  </w:rPr>
                  <w:t>Annex 2 – Data on anti-circumvention actions in other jurisdictions</w:t>
                </w:r>
                <w:r w:rsidR="00DB2E9B">
                  <w:rPr>
                    <w:noProof/>
                    <w:webHidden/>
                  </w:rPr>
                  <w:tab/>
                </w:r>
                <w:r w:rsidR="00DB2E9B">
                  <w:rPr>
                    <w:noProof/>
                    <w:webHidden/>
                  </w:rPr>
                  <w:fldChar w:fldCharType="begin"/>
                </w:r>
                <w:r w:rsidR="00DB2E9B">
                  <w:rPr>
                    <w:noProof/>
                    <w:webHidden/>
                  </w:rPr>
                  <w:instrText xml:space="preserve"> PAGEREF _Toc118465323 \h </w:instrText>
                </w:r>
                <w:r w:rsidR="00DB2E9B">
                  <w:rPr>
                    <w:noProof/>
                    <w:webHidden/>
                  </w:rPr>
                </w:r>
                <w:r w:rsidR="00DB2E9B">
                  <w:rPr>
                    <w:noProof/>
                    <w:webHidden/>
                  </w:rPr>
                  <w:fldChar w:fldCharType="separate"/>
                </w:r>
                <w:r w:rsidR="00DB2E9B">
                  <w:rPr>
                    <w:noProof/>
                    <w:webHidden/>
                  </w:rPr>
                  <w:t>132</w:t>
                </w:r>
                <w:r w:rsidR="00DB2E9B">
                  <w:rPr>
                    <w:noProof/>
                    <w:webHidden/>
                  </w:rPr>
                  <w:fldChar w:fldCharType="end"/>
                </w:r>
              </w:hyperlink>
            </w:p>
            <w:p w14:paraId="58F430FC" w14:textId="3EA9F795" w:rsidR="00DB2E9B" w:rsidRDefault="00205E8C">
              <w:pPr>
                <w:pStyle w:val="TOC1"/>
                <w:rPr>
                  <w:rFonts w:asciiTheme="minorHAnsi" w:eastAsiaTheme="minorEastAsia" w:hAnsiTheme="minorHAnsi"/>
                  <w:noProof/>
                  <w:sz w:val="22"/>
                  <w:lang w:eastAsia="en-GB"/>
                </w:rPr>
              </w:pPr>
              <w:hyperlink w:anchor="_Toc118465324" w:history="1">
                <w:r w:rsidR="00DB2E9B" w:rsidRPr="008A619A">
                  <w:rPr>
                    <w:rStyle w:val="Hyperlink"/>
                    <w:rFonts w:cs="Arial"/>
                    <w:noProof/>
                  </w:rPr>
                  <w:t>Annex 3 – Quantity analysis from Example 1: The application of UN Comtrade data to a past EU transhipment case</w:t>
                </w:r>
                <w:r w:rsidR="00DB2E9B">
                  <w:rPr>
                    <w:noProof/>
                    <w:webHidden/>
                  </w:rPr>
                  <w:tab/>
                </w:r>
                <w:r w:rsidR="00DB2E9B">
                  <w:rPr>
                    <w:noProof/>
                    <w:webHidden/>
                  </w:rPr>
                  <w:fldChar w:fldCharType="begin"/>
                </w:r>
                <w:r w:rsidR="00DB2E9B">
                  <w:rPr>
                    <w:noProof/>
                    <w:webHidden/>
                  </w:rPr>
                  <w:instrText xml:space="preserve"> PAGEREF _Toc118465324 \h </w:instrText>
                </w:r>
                <w:r w:rsidR="00DB2E9B">
                  <w:rPr>
                    <w:noProof/>
                    <w:webHidden/>
                  </w:rPr>
                </w:r>
                <w:r w:rsidR="00DB2E9B">
                  <w:rPr>
                    <w:noProof/>
                    <w:webHidden/>
                  </w:rPr>
                  <w:fldChar w:fldCharType="separate"/>
                </w:r>
                <w:r w:rsidR="00DB2E9B">
                  <w:rPr>
                    <w:noProof/>
                    <w:webHidden/>
                  </w:rPr>
                  <w:t>140</w:t>
                </w:r>
                <w:r w:rsidR="00DB2E9B">
                  <w:rPr>
                    <w:noProof/>
                    <w:webHidden/>
                  </w:rPr>
                  <w:fldChar w:fldCharType="end"/>
                </w:r>
              </w:hyperlink>
            </w:p>
            <w:p w14:paraId="2B082344" w14:textId="75B10B5B" w:rsidR="00DB2E9B" w:rsidRDefault="00205E8C">
              <w:pPr>
                <w:pStyle w:val="TOC1"/>
                <w:rPr>
                  <w:rFonts w:asciiTheme="minorHAnsi" w:eastAsiaTheme="minorEastAsia" w:hAnsiTheme="minorHAnsi"/>
                  <w:noProof/>
                  <w:sz w:val="22"/>
                  <w:lang w:eastAsia="en-GB"/>
                </w:rPr>
              </w:pPr>
              <w:hyperlink w:anchor="_Toc118465325" w:history="1">
                <w:r w:rsidR="00DB2E9B" w:rsidRPr="008A619A">
                  <w:rPr>
                    <w:rStyle w:val="Hyperlink"/>
                    <w:rFonts w:cs="Arial"/>
                    <w:noProof/>
                  </w:rPr>
                  <w:t>Annex 4 – Supplementary charts from Example 2: Potential extension of trade remedy duties to continuous glass fibre from PRC</w:t>
                </w:r>
                <w:r w:rsidR="00DB2E9B">
                  <w:rPr>
                    <w:noProof/>
                    <w:webHidden/>
                  </w:rPr>
                  <w:tab/>
                </w:r>
                <w:r w:rsidR="00DB2E9B">
                  <w:rPr>
                    <w:noProof/>
                    <w:webHidden/>
                  </w:rPr>
                  <w:fldChar w:fldCharType="begin"/>
                </w:r>
                <w:r w:rsidR="00DB2E9B">
                  <w:rPr>
                    <w:noProof/>
                    <w:webHidden/>
                  </w:rPr>
                  <w:instrText xml:space="preserve"> PAGEREF _Toc118465325 \h </w:instrText>
                </w:r>
                <w:r w:rsidR="00DB2E9B">
                  <w:rPr>
                    <w:noProof/>
                    <w:webHidden/>
                  </w:rPr>
                </w:r>
                <w:r w:rsidR="00DB2E9B">
                  <w:rPr>
                    <w:noProof/>
                    <w:webHidden/>
                  </w:rPr>
                  <w:fldChar w:fldCharType="separate"/>
                </w:r>
                <w:r w:rsidR="00DB2E9B">
                  <w:rPr>
                    <w:noProof/>
                    <w:webHidden/>
                  </w:rPr>
                  <w:t>143</w:t>
                </w:r>
                <w:r w:rsidR="00DB2E9B">
                  <w:rPr>
                    <w:noProof/>
                    <w:webHidden/>
                  </w:rPr>
                  <w:fldChar w:fldCharType="end"/>
                </w:r>
              </w:hyperlink>
            </w:p>
            <w:p w14:paraId="723DBADF" w14:textId="7E31D781" w:rsidR="00DB2E9B" w:rsidRDefault="00205E8C">
              <w:pPr>
                <w:pStyle w:val="TOC1"/>
                <w:rPr>
                  <w:rFonts w:asciiTheme="minorHAnsi" w:eastAsiaTheme="minorEastAsia" w:hAnsiTheme="minorHAnsi"/>
                  <w:noProof/>
                  <w:sz w:val="22"/>
                  <w:lang w:eastAsia="en-GB"/>
                </w:rPr>
              </w:pPr>
              <w:hyperlink w:anchor="_Toc118465326" w:history="1">
                <w:r w:rsidR="00DB2E9B" w:rsidRPr="008A619A">
                  <w:rPr>
                    <w:rStyle w:val="Hyperlink"/>
                    <w:rFonts w:cs="Arial"/>
                    <w:noProof/>
                  </w:rPr>
                  <w:t>Annex 5 – Supplementary charts and discussion from Example 3: Potential extension of trade remedy duties to biodiesel from the United States and Canada</w:t>
                </w:r>
                <w:r w:rsidR="00DB2E9B">
                  <w:rPr>
                    <w:noProof/>
                    <w:webHidden/>
                  </w:rPr>
                  <w:tab/>
                </w:r>
                <w:r w:rsidR="00DB2E9B">
                  <w:rPr>
                    <w:noProof/>
                    <w:webHidden/>
                  </w:rPr>
                  <w:fldChar w:fldCharType="begin"/>
                </w:r>
                <w:r w:rsidR="00DB2E9B">
                  <w:rPr>
                    <w:noProof/>
                    <w:webHidden/>
                  </w:rPr>
                  <w:instrText xml:space="preserve"> PAGEREF _Toc118465326 \h </w:instrText>
                </w:r>
                <w:r w:rsidR="00DB2E9B">
                  <w:rPr>
                    <w:noProof/>
                    <w:webHidden/>
                  </w:rPr>
                </w:r>
                <w:r w:rsidR="00DB2E9B">
                  <w:rPr>
                    <w:noProof/>
                    <w:webHidden/>
                  </w:rPr>
                  <w:fldChar w:fldCharType="separate"/>
                </w:r>
                <w:r w:rsidR="00DB2E9B">
                  <w:rPr>
                    <w:noProof/>
                    <w:webHidden/>
                  </w:rPr>
                  <w:t>147</w:t>
                </w:r>
                <w:r w:rsidR="00DB2E9B">
                  <w:rPr>
                    <w:noProof/>
                    <w:webHidden/>
                  </w:rPr>
                  <w:fldChar w:fldCharType="end"/>
                </w:r>
              </w:hyperlink>
            </w:p>
            <w:p w14:paraId="62F8BF00" w14:textId="77777777" w:rsidR="00D63026" w:rsidRDefault="00735C58" w:rsidP="00BD7BA8">
              <w:r w:rsidRPr="00F61FFD">
                <w:rPr>
                  <w:rFonts w:cs="Arial"/>
                  <w:b/>
                  <w:bCs/>
                  <w:noProof/>
                  <w:szCs w:val="24"/>
                </w:rPr>
                <w:fldChar w:fldCharType="end"/>
              </w:r>
            </w:p>
          </w:sdtContent>
        </w:sdt>
        <w:p w14:paraId="39FE49DA" w14:textId="4ECB724A" w:rsidR="00A375E2" w:rsidRPr="00BD7BA8" w:rsidRDefault="00205E8C" w:rsidP="00BD7BA8">
          <w:pPr>
            <w:rPr>
              <w:rStyle w:val="Hyperlink"/>
              <w:rFonts w:cs="Arial"/>
              <w:color w:val="auto"/>
              <w:szCs w:val="24"/>
              <w:u w:val="none"/>
            </w:rPr>
          </w:pPr>
        </w:p>
      </w:sdtContent>
    </w:sdt>
    <w:p w14:paraId="5C19DAA6" w14:textId="6B64114D" w:rsidR="00FE4C7A" w:rsidRPr="00F7615F" w:rsidRDefault="00FE4C7A" w:rsidP="0B87AE61">
      <w:pPr>
        <w:rPr>
          <w:rFonts w:cs="Arial"/>
        </w:rPr>
      </w:pPr>
    </w:p>
    <w:p w14:paraId="6D6942B7" w14:textId="7A314B1B" w:rsidR="008904F9" w:rsidRDefault="008904F9" w:rsidP="00F7615F">
      <w:pPr>
        <w:rPr>
          <w:rFonts w:cs="Arial"/>
          <w:szCs w:val="24"/>
        </w:rPr>
      </w:pPr>
    </w:p>
    <w:p w14:paraId="501B48EA" w14:textId="38150B59" w:rsidR="008904F9" w:rsidRPr="00F7615F" w:rsidRDefault="00000008" w:rsidP="00F7615F">
      <w:pPr>
        <w:rPr>
          <w:rFonts w:cs="Arial"/>
        </w:rPr>
      </w:pPr>
      <w:r w:rsidRPr="0E8DBD4E">
        <w:rPr>
          <w:rFonts w:cs="Arial"/>
        </w:rPr>
        <w:t xml:space="preserve">Disclaimer: This report has been prepared by Frontier Economics. All views and analysis are the sole responsibility of Frontier Economics and should not necessarily be attributed to the UK Trade Remedies Authority </w:t>
      </w:r>
      <w:r w:rsidR="69AC60EE" w:rsidRPr="0E8DBD4E">
        <w:rPr>
          <w:rFonts w:cs="Arial"/>
        </w:rPr>
        <w:t xml:space="preserve">(TRA) </w:t>
      </w:r>
      <w:r w:rsidRPr="0E8DBD4E">
        <w:rPr>
          <w:rFonts w:cs="Arial"/>
        </w:rPr>
        <w:t xml:space="preserve">or </w:t>
      </w:r>
      <w:r w:rsidR="00BB39D8">
        <w:rPr>
          <w:rFonts w:cs="Arial"/>
        </w:rPr>
        <w:t xml:space="preserve">to </w:t>
      </w:r>
      <w:r w:rsidRPr="0E8DBD4E">
        <w:rPr>
          <w:rFonts w:cs="Arial"/>
        </w:rPr>
        <w:t xml:space="preserve">any of the authorities in the countries reviewed. </w:t>
      </w:r>
    </w:p>
    <w:p w14:paraId="7D1AE02E" w14:textId="77777777" w:rsidR="008904F9" w:rsidRPr="00F7615F" w:rsidRDefault="008904F9" w:rsidP="00F7615F">
      <w:pPr>
        <w:rPr>
          <w:rFonts w:cs="Arial"/>
          <w:szCs w:val="24"/>
        </w:rPr>
        <w:sectPr w:rsidR="008904F9" w:rsidRPr="00F7615F" w:rsidSect="00D72AAE">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pgNumType w:fmt="lowerRoman" w:start="1"/>
          <w:cols w:space="708"/>
          <w:docGrid w:linePitch="360"/>
        </w:sectPr>
      </w:pPr>
    </w:p>
    <w:p w14:paraId="2EF3F1CF" w14:textId="532193AC" w:rsidR="003A5EBC" w:rsidRDefault="000400B9" w:rsidP="00376B7E">
      <w:pPr>
        <w:pStyle w:val="Heading1"/>
        <w:rPr>
          <w:b w:val="0"/>
        </w:rPr>
      </w:pPr>
      <w:bookmarkStart w:id="0" w:name="_Toc1573792161"/>
      <w:bookmarkStart w:id="1" w:name="_Toc118465264"/>
      <w:r>
        <w:t>1</w:t>
      </w:r>
      <w:r>
        <w:tab/>
      </w:r>
      <w:r w:rsidR="003A5EBC">
        <w:t>Executive summary</w:t>
      </w:r>
      <w:bookmarkEnd w:id="0"/>
      <w:bookmarkEnd w:id="1"/>
    </w:p>
    <w:p w14:paraId="30D661EA" w14:textId="3849617F" w:rsidR="003A5EBC" w:rsidRPr="002D3A29" w:rsidRDefault="002D3A29" w:rsidP="003A5EBC">
      <w:pPr>
        <w:rPr>
          <w:rFonts w:cs="Arial"/>
          <w:b/>
          <w:bCs/>
          <w:szCs w:val="24"/>
        </w:rPr>
      </w:pPr>
      <w:r w:rsidRPr="002D3A29">
        <w:rPr>
          <w:rFonts w:cs="Arial"/>
          <w:b/>
          <w:bCs/>
          <w:szCs w:val="24"/>
        </w:rPr>
        <w:t xml:space="preserve">What </w:t>
      </w:r>
      <w:r>
        <w:rPr>
          <w:rFonts w:cs="Arial"/>
          <w:b/>
          <w:bCs/>
          <w:szCs w:val="24"/>
        </w:rPr>
        <w:t>do we mean by the</w:t>
      </w:r>
      <w:r w:rsidRPr="002D3A29">
        <w:rPr>
          <w:rFonts w:cs="Arial"/>
          <w:b/>
          <w:bCs/>
          <w:szCs w:val="24"/>
        </w:rPr>
        <w:t xml:space="preserve"> circumvention</w:t>
      </w:r>
      <w:r>
        <w:rPr>
          <w:rFonts w:cs="Arial"/>
          <w:b/>
          <w:bCs/>
          <w:szCs w:val="24"/>
        </w:rPr>
        <w:t xml:space="preserve"> of trade remedies?</w:t>
      </w:r>
    </w:p>
    <w:p w14:paraId="24544ABD" w14:textId="1D4DBC3A" w:rsidR="008051BC" w:rsidRDefault="0018450B" w:rsidP="00E9039B">
      <w:pPr>
        <w:rPr>
          <w:rFonts w:cs="Arial"/>
          <w:szCs w:val="24"/>
        </w:rPr>
      </w:pPr>
      <w:r>
        <w:rPr>
          <w:rFonts w:cs="Arial"/>
          <w:szCs w:val="24"/>
        </w:rPr>
        <w:t>Global trade rules permit, but do not require, countries to undertake trade remedy measures</w:t>
      </w:r>
      <w:r w:rsidR="00607595">
        <w:rPr>
          <w:rFonts w:cs="Arial"/>
          <w:szCs w:val="24"/>
        </w:rPr>
        <w:t>.</w:t>
      </w:r>
      <w:r w:rsidR="008051BC">
        <w:rPr>
          <w:rFonts w:cs="Arial"/>
          <w:szCs w:val="24"/>
        </w:rPr>
        <w:t xml:space="preserve"> These include</w:t>
      </w:r>
      <w:r>
        <w:rPr>
          <w:rFonts w:cs="Arial"/>
          <w:szCs w:val="24"/>
        </w:rPr>
        <w:t xml:space="preserve"> the imposition of temporary duties through anti-dumping or countervailing action. Because such duties are product</w:t>
      </w:r>
      <w:r w:rsidR="00DA3F5A">
        <w:rPr>
          <w:rFonts w:cs="Arial"/>
          <w:szCs w:val="24"/>
        </w:rPr>
        <w:t>-</w:t>
      </w:r>
      <w:r>
        <w:rPr>
          <w:rFonts w:cs="Arial"/>
          <w:szCs w:val="24"/>
        </w:rPr>
        <w:t xml:space="preserve"> and firm-specific, they create incentives for businesses to exploit the “wedge” between world and protected prices by circumventing the duties.</w:t>
      </w:r>
    </w:p>
    <w:p w14:paraId="531200C2" w14:textId="39F07FBA" w:rsidR="00E9039B" w:rsidRDefault="002D3A29" w:rsidP="00E9039B">
      <w:pPr>
        <w:rPr>
          <w:rFonts w:cs="Arial"/>
          <w:szCs w:val="24"/>
        </w:rPr>
      </w:pPr>
      <w:r w:rsidRPr="00E9039B">
        <w:rPr>
          <w:rFonts w:cs="Arial"/>
          <w:szCs w:val="24"/>
        </w:rPr>
        <w:t xml:space="preserve">There is no internationally settled definition of circumvention in the context of trade remedies. The </w:t>
      </w:r>
      <w:r w:rsidR="00D61E2C">
        <w:rPr>
          <w:rFonts w:cs="Arial"/>
          <w:szCs w:val="24"/>
        </w:rPr>
        <w:t xml:space="preserve">United Kingdom </w:t>
      </w:r>
      <w:r w:rsidR="00D61E2C" w:rsidRPr="00D61E2C">
        <w:rPr>
          <w:rFonts w:cs="Arial"/>
          <w:szCs w:val="24"/>
        </w:rPr>
        <w:t>(</w:t>
      </w:r>
      <w:r w:rsidRPr="00EF1908">
        <w:rPr>
          <w:rFonts w:cs="Arial"/>
          <w:szCs w:val="24"/>
        </w:rPr>
        <w:t>UK</w:t>
      </w:r>
      <w:r w:rsidR="00D61E2C" w:rsidRPr="00D61E2C">
        <w:rPr>
          <w:rFonts w:cs="Arial"/>
          <w:szCs w:val="24"/>
        </w:rPr>
        <w:t>)</w:t>
      </w:r>
      <w:r w:rsidRPr="00E9039B">
        <w:rPr>
          <w:rFonts w:cs="Arial"/>
          <w:szCs w:val="24"/>
        </w:rPr>
        <w:t xml:space="preserve"> follows the </w:t>
      </w:r>
      <w:r w:rsidR="00D61E2C">
        <w:rPr>
          <w:rFonts w:cs="Arial"/>
          <w:szCs w:val="24"/>
        </w:rPr>
        <w:t xml:space="preserve">approach of the </w:t>
      </w:r>
      <w:r w:rsidRPr="00E9039B">
        <w:rPr>
          <w:rFonts w:cs="Arial"/>
          <w:szCs w:val="24"/>
        </w:rPr>
        <w:t>European Union</w:t>
      </w:r>
      <w:r w:rsidR="00D61E2C">
        <w:rPr>
          <w:rFonts w:cs="Arial"/>
          <w:szCs w:val="24"/>
        </w:rPr>
        <w:t xml:space="preserve"> (EU)</w:t>
      </w:r>
      <w:r w:rsidRPr="00E9039B">
        <w:rPr>
          <w:rFonts w:cs="Arial"/>
          <w:szCs w:val="24"/>
        </w:rPr>
        <w:t xml:space="preserve"> </w:t>
      </w:r>
      <w:r w:rsidR="008051BC">
        <w:rPr>
          <w:rFonts w:cs="Arial"/>
          <w:szCs w:val="24"/>
        </w:rPr>
        <w:t>and</w:t>
      </w:r>
      <w:r w:rsidRPr="00E9039B">
        <w:rPr>
          <w:rFonts w:cs="Arial"/>
          <w:szCs w:val="24"/>
        </w:rPr>
        <w:t xml:space="preserve"> define</w:t>
      </w:r>
      <w:r w:rsidR="008051BC">
        <w:rPr>
          <w:rFonts w:cs="Arial"/>
          <w:szCs w:val="24"/>
        </w:rPr>
        <w:t>s</w:t>
      </w:r>
      <w:r w:rsidRPr="00E9039B">
        <w:rPr>
          <w:rFonts w:cs="Arial"/>
          <w:szCs w:val="24"/>
        </w:rPr>
        <w:t xml:space="preserve"> circumvention as arising when there is a change in the pattern of trade</w:t>
      </w:r>
      <w:r w:rsidR="00E038E2" w:rsidRPr="00E9039B">
        <w:rPr>
          <w:rFonts w:cs="Arial"/>
          <w:szCs w:val="24"/>
        </w:rPr>
        <w:t xml:space="preserve"> that results from specific activities undertaken by businesses for the specific purpose of avoiding the payment of duties</w:t>
      </w:r>
      <w:r w:rsidR="00DB6318">
        <w:rPr>
          <w:rFonts w:cs="Arial"/>
          <w:szCs w:val="24"/>
        </w:rPr>
        <w:t xml:space="preserve"> resulting from the imposition of duties</w:t>
      </w:r>
      <w:r w:rsidR="00E038E2" w:rsidRPr="00E9039B">
        <w:rPr>
          <w:rFonts w:cs="Arial"/>
          <w:szCs w:val="24"/>
        </w:rPr>
        <w:t>. Most other jurisdictions that recognise the concept of circumvention in their legislation follow a similar approach</w:t>
      </w:r>
      <w:r w:rsidR="00D61E2C">
        <w:rPr>
          <w:rFonts w:cs="Arial"/>
          <w:szCs w:val="24"/>
        </w:rPr>
        <w:t>,</w:t>
      </w:r>
      <w:r w:rsidR="00E038E2" w:rsidRPr="00E9039B">
        <w:rPr>
          <w:rFonts w:cs="Arial"/>
          <w:szCs w:val="24"/>
        </w:rPr>
        <w:t xml:space="preserve"> i.e. </w:t>
      </w:r>
      <w:r w:rsidR="00D61E2C">
        <w:rPr>
          <w:rFonts w:cs="Arial"/>
          <w:szCs w:val="24"/>
        </w:rPr>
        <w:t>they</w:t>
      </w:r>
      <w:r w:rsidR="00AC66F2">
        <w:rPr>
          <w:rFonts w:cs="Arial"/>
          <w:szCs w:val="24"/>
        </w:rPr>
        <w:t xml:space="preserve"> </w:t>
      </w:r>
      <w:r w:rsidR="001F4ADA">
        <w:rPr>
          <w:rFonts w:cs="Arial"/>
          <w:szCs w:val="24"/>
        </w:rPr>
        <w:t>attempt to link a change in the pattern of trade to certain identified activities</w:t>
      </w:r>
      <w:r w:rsidR="00E038E2" w:rsidRPr="00E9039B">
        <w:rPr>
          <w:rFonts w:cs="Arial"/>
          <w:szCs w:val="24"/>
        </w:rPr>
        <w:t xml:space="preserve">. </w:t>
      </w:r>
      <w:r w:rsidR="00E9039B" w:rsidRPr="00E9039B">
        <w:rPr>
          <w:rFonts w:cs="Arial"/>
          <w:szCs w:val="24"/>
        </w:rPr>
        <w:t xml:space="preserve">Jurisdictions vary in terms of the activities that are considered, </w:t>
      </w:r>
      <w:r w:rsidR="00D61E2C">
        <w:rPr>
          <w:rFonts w:cs="Arial"/>
          <w:szCs w:val="24"/>
        </w:rPr>
        <w:t xml:space="preserve">the </w:t>
      </w:r>
      <w:r w:rsidR="00E9039B" w:rsidRPr="00E9039B">
        <w:rPr>
          <w:rFonts w:cs="Arial"/>
          <w:szCs w:val="24"/>
        </w:rPr>
        <w:t xml:space="preserve">methodologies for assessing that these activities are </w:t>
      </w:r>
      <w:r w:rsidR="00E9039B" w:rsidRPr="00AC66F2">
        <w:rPr>
          <w:rFonts w:cs="Arial"/>
          <w:szCs w:val="24"/>
        </w:rPr>
        <w:t>taking place and evidentiary</w:t>
      </w:r>
      <w:r w:rsidR="00E9039B" w:rsidRPr="00E9039B">
        <w:rPr>
          <w:rFonts w:cs="Arial"/>
          <w:szCs w:val="24"/>
        </w:rPr>
        <w:t xml:space="preserve"> requirements.</w:t>
      </w:r>
      <w:r w:rsidR="00E9039B">
        <w:rPr>
          <w:rFonts w:cs="Arial"/>
          <w:szCs w:val="24"/>
        </w:rPr>
        <w:t xml:space="preserve"> Various attempts at developing multilateral </w:t>
      </w:r>
      <w:r w:rsidR="00DB6318">
        <w:rPr>
          <w:rFonts w:cs="Arial"/>
          <w:szCs w:val="24"/>
        </w:rPr>
        <w:t xml:space="preserve">rules </w:t>
      </w:r>
      <w:r w:rsidR="00E9039B">
        <w:rPr>
          <w:rFonts w:cs="Arial"/>
          <w:szCs w:val="24"/>
        </w:rPr>
        <w:t>on anti-circumvention action have thus far failed because of divergences in views regarding the definition and indeed materiality of circumvention.</w:t>
      </w:r>
    </w:p>
    <w:p w14:paraId="5D3120B8" w14:textId="2606B75A" w:rsidR="0018450B" w:rsidRPr="002D3A29" w:rsidRDefault="0018450B" w:rsidP="0018450B">
      <w:pPr>
        <w:rPr>
          <w:rFonts w:cs="Arial"/>
          <w:b/>
          <w:bCs/>
          <w:szCs w:val="24"/>
        </w:rPr>
      </w:pPr>
      <w:r>
        <w:rPr>
          <w:rFonts w:cs="Arial"/>
          <w:b/>
          <w:bCs/>
          <w:szCs w:val="24"/>
        </w:rPr>
        <w:t>Why do we need an economic analysis of approaches to circumvention?</w:t>
      </w:r>
    </w:p>
    <w:p w14:paraId="492EB364" w14:textId="044E8F48" w:rsidR="00693129" w:rsidRDefault="0018450B" w:rsidP="00E9039B">
      <w:pPr>
        <w:rPr>
          <w:rFonts w:cs="Arial"/>
          <w:szCs w:val="24"/>
        </w:rPr>
      </w:pPr>
      <w:r>
        <w:rPr>
          <w:rFonts w:cs="Arial"/>
          <w:szCs w:val="24"/>
        </w:rPr>
        <w:t xml:space="preserve">Most jurisdictions require an analysis of changes to trade patterns as a starting point of circumvention investigations. This is </w:t>
      </w:r>
      <w:r w:rsidR="00693129">
        <w:rPr>
          <w:rFonts w:cs="Arial"/>
          <w:szCs w:val="24"/>
        </w:rPr>
        <w:t xml:space="preserve">a legal stipulation that requires </w:t>
      </w:r>
      <w:r w:rsidR="001F4ADA">
        <w:rPr>
          <w:rFonts w:cs="Arial"/>
          <w:szCs w:val="24"/>
        </w:rPr>
        <w:t xml:space="preserve">empirical </w:t>
      </w:r>
      <w:r w:rsidR="00693129">
        <w:rPr>
          <w:rFonts w:cs="Arial"/>
          <w:szCs w:val="24"/>
        </w:rPr>
        <w:t>analysis</w:t>
      </w:r>
      <w:r>
        <w:rPr>
          <w:rFonts w:cs="Arial"/>
          <w:szCs w:val="24"/>
        </w:rPr>
        <w:t>.</w:t>
      </w:r>
      <w:r w:rsidR="00693129">
        <w:rPr>
          <w:rFonts w:cs="Arial"/>
          <w:szCs w:val="24"/>
        </w:rPr>
        <w:t xml:space="preserve"> </w:t>
      </w:r>
      <w:r w:rsidR="0053307D">
        <w:rPr>
          <w:rFonts w:cs="Arial"/>
          <w:szCs w:val="24"/>
        </w:rPr>
        <w:t>The analysis will need to take into account the fact that a range of economic factors can drive changes in trade patterns</w:t>
      </w:r>
      <w:r>
        <w:rPr>
          <w:rFonts w:cs="Arial"/>
          <w:szCs w:val="24"/>
        </w:rPr>
        <w:t xml:space="preserve">. </w:t>
      </w:r>
      <w:r w:rsidR="0053307D">
        <w:rPr>
          <w:rFonts w:cs="Arial"/>
          <w:szCs w:val="24"/>
        </w:rPr>
        <w:t>In particular</w:t>
      </w:r>
      <w:r>
        <w:rPr>
          <w:rFonts w:cs="Arial"/>
          <w:szCs w:val="24"/>
        </w:rPr>
        <w:t xml:space="preserve">, duties, including trade remedy duties, can lead businesses to relocate investment and production </w:t>
      </w:r>
      <w:r w:rsidR="00EC64CF">
        <w:rPr>
          <w:rFonts w:cs="Arial"/>
          <w:szCs w:val="24"/>
        </w:rPr>
        <w:t xml:space="preserve">for reasons </w:t>
      </w:r>
      <w:r w:rsidR="008051BC">
        <w:rPr>
          <w:rFonts w:cs="Arial"/>
          <w:szCs w:val="24"/>
        </w:rPr>
        <w:t>that are consistent with economic</w:t>
      </w:r>
      <w:r w:rsidR="00EC64CF">
        <w:rPr>
          <w:rFonts w:cs="Arial"/>
          <w:szCs w:val="24"/>
        </w:rPr>
        <w:t xml:space="preserve"> efficiency. Indeed, empirical analysis shows that trade remedy duties are associated with trade diversion and trade deflection in a manner analogous to the effects of tariff preferences. </w:t>
      </w:r>
    </w:p>
    <w:p w14:paraId="0BEEA4B3" w14:textId="08C6D342" w:rsidR="0018450B" w:rsidRDefault="00EC64CF" w:rsidP="00E9039B">
      <w:pPr>
        <w:rPr>
          <w:rFonts w:cs="Arial"/>
          <w:szCs w:val="24"/>
        </w:rPr>
      </w:pPr>
      <w:r>
        <w:rPr>
          <w:rFonts w:cs="Arial"/>
          <w:szCs w:val="24"/>
        </w:rPr>
        <w:t xml:space="preserve">Such changes are not a form of circumvention. Mistakenly extending trade remedy duties on the imports of new </w:t>
      </w:r>
      <w:r w:rsidRPr="00AC66F2">
        <w:rPr>
          <w:rFonts w:cs="Arial"/>
          <w:szCs w:val="24"/>
        </w:rPr>
        <w:t>products and/or count</w:t>
      </w:r>
      <w:r>
        <w:rPr>
          <w:rFonts w:cs="Arial"/>
          <w:szCs w:val="24"/>
        </w:rPr>
        <w:t xml:space="preserve">ries could lead jurisdictions to violate their </w:t>
      </w:r>
      <w:r w:rsidR="00D90626">
        <w:rPr>
          <w:rFonts w:cs="Arial"/>
          <w:szCs w:val="24"/>
        </w:rPr>
        <w:t xml:space="preserve">World Trade Organization </w:t>
      </w:r>
      <w:r w:rsidR="00290CBD">
        <w:rPr>
          <w:rFonts w:cs="Arial"/>
          <w:szCs w:val="24"/>
        </w:rPr>
        <w:t>commitments and</w:t>
      </w:r>
      <w:r>
        <w:rPr>
          <w:rFonts w:cs="Arial"/>
          <w:szCs w:val="24"/>
        </w:rPr>
        <w:t xml:space="preserve"> is likely to amplify the economic harms generally attributed to trade remedies and other forms of contingent protection. It is therefore in the UK’s interest to develop a methodological toolkit that allows it to ascertain when genuine circumstances of circumvention arise.</w:t>
      </w:r>
      <w:r w:rsidR="00693129">
        <w:rPr>
          <w:rFonts w:cs="Arial"/>
          <w:szCs w:val="24"/>
        </w:rPr>
        <w:t xml:space="preserve"> Moreover, this concern dovetails with the </w:t>
      </w:r>
      <w:r w:rsidR="003425C4">
        <w:rPr>
          <w:rFonts w:cs="Arial"/>
          <w:szCs w:val="24"/>
        </w:rPr>
        <w:t xml:space="preserve">rationale underpinning </w:t>
      </w:r>
      <w:r w:rsidR="00693129">
        <w:rPr>
          <w:rFonts w:cs="Arial"/>
          <w:szCs w:val="24"/>
        </w:rPr>
        <w:t xml:space="preserve">the </w:t>
      </w:r>
      <w:r w:rsidR="00994F26">
        <w:rPr>
          <w:rFonts w:cs="Arial"/>
          <w:szCs w:val="24"/>
        </w:rPr>
        <w:t>e</w:t>
      </w:r>
      <w:r w:rsidR="00693129">
        <w:rPr>
          <w:rFonts w:cs="Arial"/>
          <w:szCs w:val="24"/>
        </w:rPr>
        <w:t xml:space="preserve">conomic </w:t>
      </w:r>
      <w:r w:rsidR="00994F26">
        <w:rPr>
          <w:rFonts w:cs="Arial"/>
          <w:szCs w:val="24"/>
        </w:rPr>
        <w:t>i</w:t>
      </w:r>
      <w:r w:rsidR="00693129">
        <w:rPr>
          <w:rFonts w:cs="Arial"/>
          <w:szCs w:val="24"/>
        </w:rPr>
        <w:t xml:space="preserve">nterest </w:t>
      </w:r>
      <w:r w:rsidR="00994F26">
        <w:rPr>
          <w:rFonts w:cs="Arial"/>
          <w:szCs w:val="24"/>
        </w:rPr>
        <w:t>t</w:t>
      </w:r>
      <w:r w:rsidR="00693129">
        <w:rPr>
          <w:rFonts w:cs="Arial"/>
          <w:szCs w:val="24"/>
        </w:rPr>
        <w:t xml:space="preserve">est that the </w:t>
      </w:r>
      <w:r w:rsidR="00994F26">
        <w:rPr>
          <w:rFonts w:cs="Arial"/>
          <w:szCs w:val="24"/>
        </w:rPr>
        <w:t>Trade Remedies Authority</w:t>
      </w:r>
      <w:r w:rsidR="00693129">
        <w:rPr>
          <w:rFonts w:cs="Arial"/>
          <w:szCs w:val="24"/>
        </w:rPr>
        <w:t xml:space="preserve"> is required to follow. A flawed decision on circumvention may undermine the calculus of interests underpinning the original duty. </w:t>
      </w:r>
    </w:p>
    <w:p w14:paraId="740E3F9A" w14:textId="501E60D1" w:rsidR="00EC64CF" w:rsidRDefault="2E4CF6C9" w:rsidP="08F36871">
      <w:pPr>
        <w:rPr>
          <w:rFonts w:cs="Arial"/>
          <w:b/>
          <w:bCs/>
        </w:rPr>
      </w:pPr>
      <w:r w:rsidRPr="08F36871">
        <w:rPr>
          <w:rFonts w:cs="Arial"/>
          <w:b/>
          <w:bCs/>
        </w:rPr>
        <w:t xml:space="preserve">What we know about </w:t>
      </w:r>
      <w:r w:rsidR="00062693" w:rsidRPr="08F36871">
        <w:rPr>
          <w:rFonts w:cs="Arial"/>
          <w:b/>
        </w:rPr>
        <w:t>products</w:t>
      </w:r>
      <w:r w:rsidR="669E305E" w:rsidRPr="08F36871">
        <w:rPr>
          <w:rFonts w:cs="Arial"/>
          <w:b/>
          <w:bCs/>
        </w:rPr>
        <w:t xml:space="preserve"> that are subject to anti-circumvention duties</w:t>
      </w:r>
    </w:p>
    <w:p w14:paraId="5E206F29" w14:textId="6D55B469" w:rsidR="002D3A29" w:rsidRDefault="00EC64CF" w:rsidP="003A5EBC">
      <w:r w:rsidRPr="3C75AB64">
        <w:rPr>
          <w:rFonts w:cs="Arial"/>
          <w:szCs w:val="24"/>
        </w:rPr>
        <w:t xml:space="preserve">We considered anti-circumvention action in a range of </w:t>
      </w:r>
      <w:r w:rsidR="00693129">
        <w:rPr>
          <w:rFonts w:cs="Arial"/>
          <w:szCs w:val="24"/>
        </w:rPr>
        <w:t>jurisdictions</w:t>
      </w:r>
      <w:r w:rsidRPr="3C75AB64">
        <w:rPr>
          <w:rFonts w:cs="Arial"/>
          <w:szCs w:val="24"/>
        </w:rPr>
        <w:t xml:space="preserve">, with a particular focus on </w:t>
      </w:r>
      <w:r w:rsidRPr="00994F26">
        <w:rPr>
          <w:rFonts w:cs="Arial"/>
          <w:szCs w:val="24"/>
        </w:rPr>
        <w:t xml:space="preserve">the </w:t>
      </w:r>
      <w:r w:rsidR="00F52018" w:rsidRPr="004F52AE">
        <w:rPr>
          <w:rFonts w:cs="Arial"/>
          <w:szCs w:val="24"/>
        </w:rPr>
        <w:t>EU</w:t>
      </w:r>
      <w:r w:rsidRPr="00994F26">
        <w:rPr>
          <w:rFonts w:cs="Arial"/>
          <w:szCs w:val="24"/>
        </w:rPr>
        <w:t>, the United</w:t>
      </w:r>
      <w:r w:rsidRPr="3C75AB64">
        <w:rPr>
          <w:rFonts w:cs="Arial"/>
          <w:szCs w:val="24"/>
        </w:rPr>
        <w:t xml:space="preserve"> States, Canada and Australia. Each of these jurisdictions </w:t>
      </w:r>
      <w:r w:rsidR="00994F26">
        <w:rPr>
          <w:rFonts w:cs="Arial"/>
          <w:szCs w:val="24"/>
        </w:rPr>
        <w:t>has</w:t>
      </w:r>
      <w:r w:rsidR="00994F26" w:rsidRPr="3C75AB64">
        <w:rPr>
          <w:rFonts w:cs="Arial"/>
          <w:szCs w:val="24"/>
        </w:rPr>
        <w:t xml:space="preserve"> </w:t>
      </w:r>
      <w:r w:rsidRPr="3C75AB64">
        <w:rPr>
          <w:rFonts w:cs="Arial"/>
          <w:szCs w:val="24"/>
        </w:rPr>
        <w:t>specific frameworks for circumvention.</w:t>
      </w:r>
      <w:r w:rsidRPr="3C75AB64" w:rsidDel="00062693">
        <w:rPr>
          <w:rFonts w:cs="Arial"/>
          <w:szCs w:val="24"/>
        </w:rPr>
        <w:t xml:space="preserve"> </w:t>
      </w:r>
      <w:r w:rsidRPr="3C75AB64">
        <w:rPr>
          <w:rFonts w:cs="Arial"/>
          <w:szCs w:val="24"/>
        </w:rPr>
        <w:t>One common feature that emerges is the relative degree of concentration of product categories that f</w:t>
      </w:r>
      <w:r w:rsidR="00062693">
        <w:rPr>
          <w:rFonts w:cs="Arial"/>
          <w:szCs w:val="24"/>
        </w:rPr>
        <w:t>are subject to anti-circumvention duties</w:t>
      </w:r>
      <w:r w:rsidRPr="3C75AB64">
        <w:rPr>
          <w:rFonts w:cs="Arial"/>
          <w:szCs w:val="24"/>
        </w:rPr>
        <w:t xml:space="preserve">. Figure </w:t>
      </w:r>
      <w:r w:rsidR="00BA3C0E">
        <w:rPr>
          <w:rFonts w:cs="Arial"/>
          <w:szCs w:val="24"/>
        </w:rPr>
        <w:t xml:space="preserve">1 </w:t>
      </w:r>
      <w:r w:rsidRPr="3C75AB64">
        <w:rPr>
          <w:rFonts w:cs="Arial"/>
          <w:szCs w:val="24"/>
        </w:rPr>
        <w:t xml:space="preserve">below </w:t>
      </w:r>
      <w:r w:rsidR="00096BBB">
        <w:rPr>
          <w:rFonts w:cs="Arial"/>
          <w:szCs w:val="24"/>
        </w:rPr>
        <w:t>uses the</w:t>
      </w:r>
      <w:r w:rsidR="00096BBB" w:rsidRPr="3C75AB64">
        <w:rPr>
          <w:rFonts w:cs="Arial"/>
          <w:szCs w:val="24"/>
        </w:rPr>
        <w:t xml:space="preserve"> </w:t>
      </w:r>
      <w:r w:rsidRPr="3C75AB64">
        <w:rPr>
          <w:rFonts w:cs="Arial"/>
          <w:szCs w:val="24"/>
        </w:rPr>
        <w:t xml:space="preserve">data for the period </w:t>
      </w:r>
      <w:r w:rsidR="00994F26">
        <w:rPr>
          <w:rFonts w:cs="Arial"/>
          <w:szCs w:val="24"/>
        </w:rPr>
        <w:t xml:space="preserve">from </w:t>
      </w:r>
      <w:r w:rsidRPr="3C75AB64">
        <w:rPr>
          <w:rFonts w:cs="Arial"/>
          <w:szCs w:val="24"/>
        </w:rPr>
        <w:t xml:space="preserve">2009 to </w:t>
      </w:r>
      <w:r w:rsidR="00693129">
        <w:rPr>
          <w:rFonts w:cs="Arial"/>
          <w:szCs w:val="24"/>
        </w:rPr>
        <w:t xml:space="preserve">2021 </w:t>
      </w:r>
      <w:r w:rsidR="00096BBB">
        <w:rPr>
          <w:rFonts w:cs="Arial"/>
          <w:szCs w:val="24"/>
        </w:rPr>
        <w:t xml:space="preserve">to report the number of products within </w:t>
      </w:r>
      <w:r w:rsidRPr="3C75AB64">
        <w:rPr>
          <w:rFonts w:cs="Arial"/>
          <w:szCs w:val="24"/>
        </w:rPr>
        <w:t xml:space="preserve">product </w:t>
      </w:r>
      <w:r w:rsidR="00096BBB">
        <w:rPr>
          <w:rFonts w:cs="Arial"/>
          <w:szCs w:val="24"/>
        </w:rPr>
        <w:t>cha</w:t>
      </w:r>
      <w:r w:rsidR="00BA3C0E">
        <w:rPr>
          <w:rFonts w:cs="Arial"/>
          <w:szCs w:val="24"/>
        </w:rPr>
        <w:t>p</w:t>
      </w:r>
      <w:r w:rsidR="00096BBB">
        <w:rPr>
          <w:rFonts w:cs="Arial"/>
          <w:szCs w:val="24"/>
        </w:rPr>
        <w:t>ters</w:t>
      </w:r>
      <w:r w:rsidR="00096BBB" w:rsidRPr="3C75AB64">
        <w:rPr>
          <w:rFonts w:cs="Arial"/>
          <w:szCs w:val="24"/>
        </w:rPr>
        <w:t xml:space="preserve"> </w:t>
      </w:r>
      <w:r w:rsidRPr="3C75AB64">
        <w:rPr>
          <w:rFonts w:cs="Arial"/>
          <w:szCs w:val="24"/>
        </w:rPr>
        <w:t xml:space="preserve">at </w:t>
      </w:r>
      <w:r w:rsidRPr="00994F26">
        <w:rPr>
          <w:rFonts w:cs="Arial"/>
          <w:szCs w:val="24"/>
        </w:rPr>
        <w:t xml:space="preserve">the </w:t>
      </w:r>
      <w:r w:rsidR="00774B23">
        <w:rPr>
          <w:rFonts w:cs="Arial"/>
          <w:szCs w:val="24"/>
        </w:rPr>
        <w:t>Harmonised System (</w:t>
      </w:r>
      <w:r w:rsidRPr="00EA71C7">
        <w:rPr>
          <w:rFonts w:cs="Arial"/>
          <w:szCs w:val="24"/>
        </w:rPr>
        <w:t>HS</w:t>
      </w:r>
      <w:r w:rsidR="00774B23">
        <w:rPr>
          <w:rFonts w:cs="Arial"/>
          <w:szCs w:val="24"/>
        </w:rPr>
        <w:t>)</w:t>
      </w:r>
      <w:r w:rsidRPr="00994F26">
        <w:rPr>
          <w:rFonts w:cs="Arial"/>
          <w:szCs w:val="24"/>
        </w:rPr>
        <w:t xml:space="preserve"> </w:t>
      </w:r>
      <w:r w:rsidR="00584638" w:rsidRPr="00994F26">
        <w:rPr>
          <w:rFonts w:cs="Arial"/>
          <w:szCs w:val="24"/>
        </w:rPr>
        <w:t>2</w:t>
      </w:r>
      <w:r w:rsidR="00584638" w:rsidRPr="3C75AB64">
        <w:rPr>
          <w:rFonts w:cs="Arial"/>
          <w:szCs w:val="24"/>
        </w:rPr>
        <w:t>-digit</w:t>
      </w:r>
      <w:r w:rsidRPr="3C75AB64">
        <w:rPr>
          <w:rFonts w:cs="Arial"/>
          <w:szCs w:val="24"/>
        </w:rPr>
        <w:t xml:space="preserve"> level that have bee</w:t>
      </w:r>
      <w:r w:rsidR="00A66985" w:rsidRPr="3C75AB64">
        <w:rPr>
          <w:rFonts w:cs="Arial"/>
          <w:szCs w:val="24"/>
        </w:rPr>
        <w:t>n</w:t>
      </w:r>
      <w:r w:rsidRPr="3C75AB64">
        <w:rPr>
          <w:rFonts w:cs="Arial"/>
          <w:szCs w:val="24"/>
        </w:rPr>
        <w:t xml:space="preserve"> the object of circumvention duties.</w:t>
      </w:r>
    </w:p>
    <w:tbl>
      <w:tblPr>
        <w:tblStyle w:val="TableGrid"/>
        <w:tblpPr w:leftFromText="181" w:rightFromText="181" w:topFromText="142" w:bottomFromText="142" w:vertAnchor="text" w:tblpY="1"/>
        <w:tblOverlap w:val="never"/>
        <w:tblW w:w="0" w:type="auto"/>
        <w:tblLook w:val="04A0" w:firstRow="1" w:lastRow="0" w:firstColumn="1" w:lastColumn="0" w:noHBand="0" w:noVBand="1"/>
      </w:tblPr>
      <w:tblGrid>
        <w:gridCol w:w="9016"/>
      </w:tblGrid>
      <w:tr w:rsidR="00D74797" w:rsidRPr="00C57E0F" w14:paraId="786113D5" w14:textId="77777777" w:rsidTr="005C6D0B">
        <w:tc>
          <w:tcPr>
            <w:tcW w:w="9016" w:type="dxa"/>
            <w:tcBorders>
              <w:bottom w:val="single" w:sz="4" w:space="0" w:color="auto"/>
            </w:tcBorders>
            <w:shd w:val="clear" w:color="auto" w:fill="24135F"/>
          </w:tcPr>
          <w:p w14:paraId="56A7A490" w14:textId="158A7EED" w:rsidR="00D74797" w:rsidRPr="00C57E0F" w:rsidRDefault="00D74797" w:rsidP="00B25A27">
            <w:pPr>
              <w:pStyle w:val="Caption"/>
            </w:pPr>
            <w:r w:rsidRPr="0027029E">
              <w:rPr>
                <w:i w:val="0"/>
                <w:iCs w:val="0"/>
              </w:rPr>
              <w:t xml:space="preserve">Figure </w:t>
            </w:r>
            <w:r w:rsidRPr="0027029E">
              <w:rPr>
                <w:i w:val="0"/>
                <w:iCs w:val="0"/>
              </w:rPr>
              <w:fldChar w:fldCharType="begin"/>
            </w:r>
            <w:r w:rsidRPr="0027029E">
              <w:rPr>
                <w:i w:val="0"/>
                <w:iCs w:val="0"/>
              </w:rPr>
              <w:instrText>SEQ Figure \* ARABIC</w:instrText>
            </w:r>
            <w:r w:rsidRPr="0027029E">
              <w:rPr>
                <w:i w:val="0"/>
                <w:iCs w:val="0"/>
              </w:rPr>
              <w:fldChar w:fldCharType="separate"/>
            </w:r>
            <w:r w:rsidR="00625A64">
              <w:rPr>
                <w:i w:val="0"/>
                <w:iCs w:val="0"/>
                <w:noProof/>
              </w:rPr>
              <w:t>1</w:t>
            </w:r>
            <w:r w:rsidRPr="0027029E">
              <w:rPr>
                <w:i w:val="0"/>
                <w:iCs w:val="0"/>
              </w:rPr>
              <w:fldChar w:fldCharType="end"/>
            </w:r>
            <w:r w:rsidRPr="009C20F5">
              <w:t>:</w:t>
            </w:r>
            <w:r w:rsidR="00E06B6C" w:rsidRPr="009C20F5">
              <w:t xml:space="preserve"> </w:t>
            </w:r>
            <w:r w:rsidR="00096BBB" w:rsidRPr="009C20F5">
              <w:t xml:space="preserve">Number of times </w:t>
            </w:r>
            <w:r w:rsidR="001761B7" w:rsidRPr="009C20F5">
              <w:t>product groups</w:t>
            </w:r>
            <w:r w:rsidR="00CF1608" w:rsidRPr="009C20F5">
              <w:t xml:space="preserve"> have</w:t>
            </w:r>
            <w:r w:rsidR="00096BBB" w:rsidRPr="009C20F5">
              <w:t xml:space="preserve"> been subject to duties</w:t>
            </w:r>
            <w:r w:rsidR="00AC4C59" w:rsidRPr="009C20F5">
              <w:t>, 2009-2021</w:t>
            </w:r>
          </w:p>
        </w:tc>
      </w:tr>
      <w:tr w:rsidR="00D74797" w:rsidRPr="00F7615F" w14:paraId="1E456DF5" w14:textId="77777777" w:rsidTr="00D83E4C">
        <w:trPr>
          <w:trHeight w:val="5525"/>
        </w:trPr>
        <w:tc>
          <w:tcPr>
            <w:tcW w:w="9016" w:type="dxa"/>
            <w:tcBorders>
              <w:bottom w:val="single" w:sz="4" w:space="0" w:color="auto"/>
            </w:tcBorders>
          </w:tcPr>
          <w:p w14:paraId="3F42C552" w14:textId="41AC65F0" w:rsidR="00D74797" w:rsidRPr="00AD25FF" w:rsidRDefault="00D83E4C" w:rsidP="005C6D0B">
            <w:pPr>
              <w:tabs>
                <w:tab w:val="center" w:pos="4400"/>
              </w:tabs>
              <w:jc w:val="center"/>
              <w:rPr>
                <w:rFonts w:cs="Arial"/>
                <w:noProof/>
                <w:sz w:val="10"/>
                <w:szCs w:val="10"/>
              </w:rPr>
            </w:pPr>
            <w:r>
              <w:rPr>
                <w:noProof/>
              </w:rPr>
              <w:drawing>
                <wp:inline distT="0" distB="0" distL="0" distR="0" wp14:anchorId="0DCF8AA6" wp14:editId="16E96448">
                  <wp:extent cx="5739130" cy="4405313"/>
                  <wp:effectExtent l="0" t="0" r="13970" b="14605"/>
                  <wp:docPr id="15" name="Chart 15">
                    <a:extLst xmlns:a="http://schemas.openxmlformats.org/drawingml/2006/main">
                      <a:ext uri="{FF2B5EF4-FFF2-40B4-BE49-F238E27FC236}">
                        <a16:creationId xmlns:a16="http://schemas.microsoft.com/office/drawing/2014/main" id="{8590BEB7-6C53-4BAD-AF55-835517090A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F98A6D6" w14:textId="35D32672" w:rsidR="00D74797" w:rsidRPr="00F7615F" w:rsidRDefault="00D74797" w:rsidP="005C6D0B">
            <w:pPr>
              <w:tabs>
                <w:tab w:val="center" w:pos="4400"/>
              </w:tabs>
              <w:jc w:val="center"/>
              <w:rPr>
                <w:rFonts w:cs="Arial"/>
                <w:szCs w:val="24"/>
              </w:rPr>
            </w:pPr>
          </w:p>
        </w:tc>
      </w:tr>
      <w:tr w:rsidR="00D74797" w:rsidRPr="00BC5820" w14:paraId="2F25A52E" w14:textId="77777777" w:rsidTr="005C6D0B">
        <w:tc>
          <w:tcPr>
            <w:tcW w:w="9016" w:type="dxa"/>
            <w:tcBorders>
              <w:top w:val="single" w:sz="4" w:space="0" w:color="auto"/>
              <w:left w:val="nil"/>
              <w:bottom w:val="nil"/>
              <w:right w:val="nil"/>
            </w:tcBorders>
          </w:tcPr>
          <w:p w14:paraId="6898208D" w14:textId="45612EC6" w:rsidR="00D74797" w:rsidRPr="00BC5820" w:rsidRDefault="00D74797" w:rsidP="00EA71C7">
            <w:pPr>
              <w:pStyle w:val="Tablesource"/>
              <w:rPr>
                <w:iCs/>
                <w:color w:val="005EA5"/>
                <w:u w:val="single"/>
              </w:rPr>
            </w:pPr>
            <w:r>
              <w:t>Source: Frontier Economic analysis based on information retrieved from the jurisdictions, Global Trade Alert and secondary research</w:t>
            </w:r>
            <w:r w:rsidR="00774B23">
              <w:t>. Product groupings based on HS chapters as follows: Food and foodstuffs</w:t>
            </w:r>
            <w:r w:rsidR="005A00EF">
              <w:t xml:space="preserve"> (HS chapters 15,17,21); Minerals and chemicals (27,28,29,38); Plastics (39); Paper (48); Textiles (63); Glassware (70); Iron and steel (72); Articles of Iron and Steel (73); Other base metals and articles thereof (76,81); Nuclear and electrical machinery (84, 85); Vehicles (87); Furniture (94); Miscellaneous Manufactured Articles (95,96) </w:t>
            </w:r>
          </w:p>
        </w:tc>
      </w:tr>
    </w:tbl>
    <w:p w14:paraId="21EFA706" w14:textId="67A8606D" w:rsidR="008D56B5" w:rsidRDefault="00A66985" w:rsidP="00A66985">
      <w:pPr>
        <w:rPr>
          <w:rFonts w:cs="Arial"/>
          <w:szCs w:val="24"/>
        </w:rPr>
      </w:pPr>
      <w:r>
        <w:rPr>
          <w:rFonts w:cs="Arial"/>
          <w:szCs w:val="24"/>
        </w:rPr>
        <w:t xml:space="preserve">The distribution can already help to identify risks in relation to particular products. </w:t>
      </w:r>
      <w:r w:rsidR="00CC1852">
        <w:rPr>
          <w:rFonts w:cs="Arial"/>
          <w:szCs w:val="24"/>
        </w:rPr>
        <w:t>The experience of the EU is particularly relevant f</w:t>
      </w:r>
      <w:r>
        <w:rPr>
          <w:rFonts w:cs="Arial"/>
          <w:szCs w:val="24"/>
        </w:rPr>
        <w:t>or the UK given commonalities in trade structure and routes with the EU,</w:t>
      </w:r>
      <w:r w:rsidR="008051BC">
        <w:rPr>
          <w:rFonts w:cs="Arial"/>
          <w:szCs w:val="24"/>
        </w:rPr>
        <w:t xml:space="preserve"> and that it has adopted </w:t>
      </w:r>
      <w:r w:rsidR="005B6795">
        <w:rPr>
          <w:rFonts w:cs="Arial"/>
          <w:szCs w:val="24"/>
        </w:rPr>
        <w:t>a similar</w:t>
      </w:r>
      <w:r w:rsidR="008051BC">
        <w:rPr>
          <w:rFonts w:cs="Arial"/>
          <w:szCs w:val="24"/>
        </w:rPr>
        <w:t xml:space="preserve"> trade remed</w:t>
      </w:r>
      <w:r w:rsidR="00CC1852">
        <w:rPr>
          <w:rFonts w:cs="Arial"/>
          <w:szCs w:val="24"/>
        </w:rPr>
        <w:t>y</w:t>
      </w:r>
      <w:r w:rsidR="008051BC">
        <w:rPr>
          <w:rFonts w:cs="Arial"/>
          <w:szCs w:val="24"/>
        </w:rPr>
        <w:t xml:space="preserve"> regime</w:t>
      </w:r>
      <w:r>
        <w:rPr>
          <w:rFonts w:cs="Arial"/>
          <w:szCs w:val="24"/>
        </w:rPr>
        <w:t xml:space="preserve">. This experience also suggests that the most common form of circumvention the UK </w:t>
      </w:r>
      <w:r w:rsidR="003138EE">
        <w:rPr>
          <w:rFonts w:cs="Arial"/>
          <w:szCs w:val="24"/>
        </w:rPr>
        <w:t>will</w:t>
      </w:r>
      <w:r>
        <w:rPr>
          <w:rFonts w:cs="Arial"/>
          <w:szCs w:val="24"/>
        </w:rPr>
        <w:t xml:space="preserve"> likely</w:t>
      </w:r>
      <w:r w:rsidR="00776A58">
        <w:rPr>
          <w:rFonts w:cs="Arial"/>
          <w:szCs w:val="24"/>
        </w:rPr>
        <w:t xml:space="preserve"> </w:t>
      </w:r>
      <w:r>
        <w:rPr>
          <w:rFonts w:cs="Arial"/>
          <w:szCs w:val="24"/>
        </w:rPr>
        <w:t xml:space="preserve">encounter is </w:t>
      </w:r>
      <w:r w:rsidRPr="00CC1852">
        <w:rPr>
          <w:rFonts w:cs="Arial"/>
          <w:szCs w:val="24"/>
        </w:rPr>
        <w:t xml:space="preserve">through </w:t>
      </w:r>
      <w:r w:rsidRPr="00EA71C7">
        <w:rPr>
          <w:rFonts w:cs="Arial"/>
          <w:szCs w:val="24"/>
        </w:rPr>
        <w:t>third</w:t>
      </w:r>
      <w:r w:rsidR="00CC1852">
        <w:rPr>
          <w:rFonts w:cs="Arial"/>
          <w:szCs w:val="24"/>
        </w:rPr>
        <w:t>-</w:t>
      </w:r>
      <w:r w:rsidRPr="001C38B4">
        <w:rPr>
          <w:rFonts w:cs="Arial"/>
          <w:szCs w:val="24"/>
        </w:rPr>
        <w:t>party</w:t>
      </w:r>
      <w:r>
        <w:rPr>
          <w:rFonts w:cs="Arial"/>
          <w:szCs w:val="24"/>
        </w:rPr>
        <w:t xml:space="preserve"> assembly operations and transhipment.</w:t>
      </w:r>
    </w:p>
    <w:p w14:paraId="4F490861" w14:textId="116CB11A" w:rsidR="00FE36AB" w:rsidRDefault="00FE36AB" w:rsidP="00C57982">
      <w:pPr>
        <w:rPr>
          <w:rFonts w:cs="Arial"/>
          <w:b/>
          <w:bCs/>
          <w:szCs w:val="24"/>
        </w:rPr>
      </w:pPr>
      <w:r>
        <w:rPr>
          <w:rFonts w:cs="Arial"/>
          <w:b/>
          <w:bCs/>
          <w:szCs w:val="24"/>
        </w:rPr>
        <w:t>What countries are involved in circumvention?</w:t>
      </w:r>
    </w:p>
    <w:p w14:paraId="4B6D2D4B" w14:textId="65D48F21" w:rsidR="00FE36AB" w:rsidRDefault="00FE36AB" w:rsidP="00C57982">
      <w:pPr>
        <w:rPr>
          <w:rFonts w:cs="Arial"/>
          <w:szCs w:val="24"/>
        </w:rPr>
      </w:pPr>
      <w:r w:rsidRPr="00FE36AB">
        <w:rPr>
          <w:rFonts w:cs="Arial"/>
          <w:szCs w:val="24"/>
        </w:rPr>
        <w:t>The</w:t>
      </w:r>
      <w:r>
        <w:rPr>
          <w:rFonts w:cs="Arial"/>
          <w:szCs w:val="24"/>
        </w:rPr>
        <w:t xml:space="preserve"> country most frequently engaged in circumvention in the United States, EU, and Australia is</w:t>
      </w:r>
      <w:r w:rsidR="00192BF6">
        <w:rPr>
          <w:rFonts w:cs="Arial"/>
          <w:szCs w:val="24"/>
        </w:rPr>
        <w:t xml:space="preserve"> the People’s Republic of</w:t>
      </w:r>
      <w:r>
        <w:rPr>
          <w:rFonts w:cs="Arial"/>
          <w:szCs w:val="24"/>
        </w:rPr>
        <w:t xml:space="preserve"> </w:t>
      </w:r>
      <w:r w:rsidR="00192BF6">
        <w:rPr>
          <w:rFonts w:cs="Arial"/>
          <w:szCs w:val="24"/>
        </w:rPr>
        <w:t xml:space="preserve">China </w:t>
      </w:r>
      <w:r w:rsidR="00192BF6" w:rsidRPr="00192BF6">
        <w:rPr>
          <w:rFonts w:cs="Arial"/>
          <w:szCs w:val="24"/>
        </w:rPr>
        <w:t>(</w:t>
      </w:r>
      <w:r w:rsidR="001935D9">
        <w:rPr>
          <w:rFonts w:cs="Arial"/>
          <w:szCs w:val="24"/>
        </w:rPr>
        <w:t>hereafter</w:t>
      </w:r>
      <w:r w:rsidR="00917103">
        <w:rPr>
          <w:rFonts w:cs="Arial"/>
          <w:szCs w:val="24"/>
        </w:rPr>
        <w:t>,</w:t>
      </w:r>
      <w:r w:rsidR="001935D9">
        <w:rPr>
          <w:rFonts w:cs="Arial"/>
          <w:szCs w:val="24"/>
        </w:rPr>
        <w:t xml:space="preserve"> “</w:t>
      </w:r>
      <w:r w:rsidR="00192BF6">
        <w:rPr>
          <w:rFonts w:cs="Arial"/>
          <w:szCs w:val="24"/>
        </w:rPr>
        <w:t>PRC</w:t>
      </w:r>
      <w:r w:rsidR="001935D9">
        <w:rPr>
          <w:rFonts w:cs="Arial"/>
          <w:szCs w:val="24"/>
        </w:rPr>
        <w:t>”</w:t>
      </w:r>
      <w:r w:rsidR="00192BF6">
        <w:rPr>
          <w:rFonts w:cs="Arial"/>
          <w:szCs w:val="24"/>
        </w:rPr>
        <w:t>)</w:t>
      </w:r>
      <w:r>
        <w:rPr>
          <w:rFonts w:cs="Arial"/>
          <w:szCs w:val="24"/>
        </w:rPr>
        <w:t xml:space="preserve">. In the EU, </w:t>
      </w:r>
      <w:r w:rsidR="002406F0">
        <w:rPr>
          <w:rFonts w:cs="Arial"/>
          <w:szCs w:val="24"/>
        </w:rPr>
        <w:t>PRC</w:t>
      </w:r>
      <w:r>
        <w:rPr>
          <w:rFonts w:cs="Arial"/>
          <w:szCs w:val="24"/>
        </w:rPr>
        <w:t xml:space="preserve"> was involved in 29 of the 32 cases in the period 2009-2021 in which the EU imposed duties, while for the United States the figure is 22 out of 32 and Australia it is 5 out of 8.</w:t>
      </w:r>
      <w:r w:rsidR="00405A88">
        <w:rPr>
          <w:rFonts w:cs="Arial"/>
          <w:szCs w:val="24"/>
        </w:rPr>
        <w:t xml:space="preserve"> The result is unsurprising since </w:t>
      </w:r>
      <w:r w:rsidR="002406F0">
        <w:rPr>
          <w:rFonts w:cs="Arial"/>
          <w:szCs w:val="24"/>
        </w:rPr>
        <w:t>PRC</w:t>
      </w:r>
      <w:r w:rsidR="00405A88">
        <w:rPr>
          <w:rFonts w:cs="Arial"/>
          <w:szCs w:val="24"/>
        </w:rPr>
        <w:t xml:space="preserve"> is also the most frequent target of circumvention inquir</w:t>
      </w:r>
      <w:r w:rsidR="003914BA">
        <w:rPr>
          <w:rFonts w:cs="Arial"/>
          <w:szCs w:val="24"/>
        </w:rPr>
        <w:t>i</w:t>
      </w:r>
      <w:r w:rsidR="00405A88">
        <w:rPr>
          <w:rFonts w:cs="Arial"/>
          <w:szCs w:val="24"/>
        </w:rPr>
        <w:t xml:space="preserve">es. Its non-market economy status also means that it is usually exposed to higher anti-dumping duties. Empirical evidence based on existing cases suggests that circumvention is positively related to duties.  </w:t>
      </w:r>
    </w:p>
    <w:p w14:paraId="61EB2A7E" w14:textId="0A079225" w:rsidR="00FE36AB" w:rsidRPr="00FE36AB" w:rsidRDefault="00FE36AB" w:rsidP="00C57982">
      <w:pPr>
        <w:rPr>
          <w:rFonts w:cs="Arial"/>
          <w:szCs w:val="24"/>
        </w:rPr>
      </w:pPr>
      <w:r>
        <w:rPr>
          <w:rFonts w:cs="Arial"/>
          <w:szCs w:val="24"/>
        </w:rPr>
        <w:t xml:space="preserve">A number of cases in which </w:t>
      </w:r>
      <w:r w:rsidR="002406F0">
        <w:rPr>
          <w:rFonts w:cs="Arial"/>
          <w:szCs w:val="24"/>
        </w:rPr>
        <w:t>PRC</w:t>
      </w:r>
      <w:r>
        <w:rPr>
          <w:rFonts w:cs="Arial"/>
          <w:szCs w:val="24"/>
        </w:rPr>
        <w:t xml:space="preserve"> was the circumventor involved third countries as points of assembly operations, or (in the case of the EU) transhipment. For such cases in the United States and the EU, countries from the ASEAN region were the preferred location for third party</w:t>
      </w:r>
      <w:r w:rsidR="007E7512">
        <w:rPr>
          <w:rFonts w:cs="Arial"/>
          <w:szCs w:val="24"/>
        </w:rPr>
        <w:t xml:space="preserve"> assembly</w:t>
      </w:r>
      <w:r>
        <w:rPr>
          <w:rFonts w:cs="Arial"/>
          <w:szCs w:val="24"/>
        </w:rPr>
        <w:t xml:space="preserve"> operations or transhipment. In cases in the United States, Vietnam featured in around a third of the cases. In EU cases, Malaysia featured in a third of the cases and other ASEAN countries (notably Cambodia and Vietnam) were involved in around 40%. These trends point to the existence of a regional circumvention “hub” for cases involving </w:t>
      </w:r>
      <w:r w:rsidR="002406F0">
        <w:rPr>
          <w:rFonts w:cs="Arial"/>
          <w:szCs w:val="24"/>
        </w:rPr>
        <w:t>PRC</w:t>
      </w:r>
      <w:r>
        <w:rPr>
          <w:rFonts w:cs="Arial"/>
          <w:szCs w:val="24"/>
        </w:rPr>
        <w:t xml:space="preserve"> as the circumventor.  </w:t>
      </w:r>
    </w:p>
    <w:p w14:paraId="38F0DDF8" w14:textId="11D2E014" w:rsidR="00C57982" w:rsidRDefault="00C57982" w:rsidP="00C57982">
      <w:pPr>
        <w:rPr>
          <w:rFonts w:cs="Arial"/>
          <w:b/>
          <w:bCs/>
          <w:szCs w:val="24"/>
        </w:rPr>
      </w:pPr>
      <w:r>
        <w:rPr>
          <w:rFonts w:cs="Arial"/>
          <w:b/>
          <w:bCs/>
          <w:szCs w:val="24"/>
        </w:rPr>
        <w:t>How can findings regarding circumvention be made more robust</w:t>
      </w:r>
      <w:r w:rsidR="00477D5A">
        <w:rPr>
          <w:rFonts w:cs="Arial"/>
          <w:b/>
          <w:bCs/>
          <w:szCs w:val="24"/>
        </w:rPr>
        <w:t>?</w:t>
      </w:r>
    </w:p>
    <w:p w14:paraId="57126E13" w14:textId="65A5EAEB" w:rsidR="0005605B" w:rsidRDefault="0005605B" w:rsidP="00A66985">
      <w:pPr>
        <w:rPr>
          <w:rFonts w:cs="Arial"/>
          <w:szCs w:val="24"/>
        </w:rPr>
      </w:pPr>
      <w:r>
        <w:rPr>
          <w:rFonts w:cs="Arial"/>
          <w:szCs w:val="24"/>
        </w:rPr>
        <w:t>Authorities in the jurisdictions studie</w:t>
      </w:r>
      <w:r w:rsidR="00734BDB">
        <w:rPr>
          <w:rFonts w:cs="Arial"/>
          <w:szCs w:val="24"/>
        </w:rPr>
        <w:t>d</w:t>
      </w:r>
      <w:r>
        <w:rPr>
          <w:rFonts w:cs="Arial"/>
          <w:szCs w:val="24"/>
        </w:rPr>
        <w:t xml:space="preserve"> in this report t</w:t>
      </w:r>
      <w:r w:rsidRPr="00573DDB">
        <w:rPr>
          <w:rFonts w:cs="Arial"/>
          <w:szCs w:val="24"/>
        </w:rPr>
        <w:t>y</w:t>
      </w:r>
      <w:r>
        <w:rPr>
          <w:rFonts w:cs="Arial"/>
          <w:szCs w:val="24"/>
        </w:rPr>
        <w:t>pically base their decisions on a range of evidence. This includes trade data, data retrieved from written question-response processes and site visits, and different types of qualitative information</w:t>
      </w:r>
      <w:r w:rsidR="008C72AA">
        <w:rPr>
          <w:rFonts w:cs="Arial"/>
          <w:szCs w:val="24"/>
        </w:rPr>
        <w:t>,</w:t>
      </w:r>
      <w:r>
        <w:rPr>
          <w:rFonts w:cs="Arial"/>
          <w:szCs w:val="24"/>
        </w:rPr>
        <w:t xml:space="preserve"> e.g. on market demand and end-use patterns or the organisation of production. The types of information and methodologies are dependent on the specifics of the case. This points to the value of a toolkit approach.</w:t>
      </w:r>
    </w:p>
    <w:p w14:paraId="6222C5CF" w14:textId="2B5C05E0" w:rsidR="0005605B" w:rsidRDefault="0005605B" w:rsidP="00A66985">
      <w:pPr>
        <w:rPr>
          <w:rFonts w:cs="Arial"/>
          <w:szCs w:val="24"/>
        </w:rPr>
      </w:pPr>
      <w:r>
        <w:rPr>
          <w:rFonts w:cs="Arial"/>
          <w:szCs w:val="24"/>
        </w:rPr>
        <w:t>The key challenge is to ensure that the implementation of such an approach is robust. The use of trade data is a necessary starting point, given legal requirements to attribute changes in the pattern of trade to circumvention activities. Several steps can be taken to increase the robustness of analyses based on trade data.</w:t>
      </w:r>
      <w:r w:rsidRPr="0005605B">
        <w:rPr>
          <w:rFonts w:cs="Arial"/>
          <w:szCs w:val="24"/>
        </w:rPr>
        <w:t xml:space="preserve"> </w:t>
      </w:r>
      <w:r>
        <w:rPr>
          <w:rFonts w:cs="Arial"/>
          <w:szCs w:val="24"/>
        </w:rPr>
        <w:t xml:space="preserve">These include the analysis of trade between countries that are the object of investigations as well as trade with other countries that might serve as comparators. This enables us to establish whether there are broader trends associated with observed changes </w:t>
      </w:r>
      <w:r w:rsidR="008C72AA">
        <w:rPr>
          <w:rFonts w:cs="Arial"/>
          <w:szCs w:val="24"/>
        </w:rPr>
        <w:t xml:space="preserve">which are </w:t>
      </w:r>
      <w:r>
        <w:rPr>
          <w:rFonts w:cs="Arial"/>
          <w:szCs w:val="24"/>
        </w:rPr>
        <w:t xml:space="preserve">supposedly attributable to trade remedies, and </w:t>
      </w:r>
      <w:r w:rsidR="008C72AA">
        <w:rPr>
          <w:rFonts w:cs="Arial"/>
          <w:szCs w:val="24"/>
        </w:rPr>
        <w:t xml:space="preserve">it </w:t>
      </w:r>
      <w:r>
        <w:rPr>
          <w:rFonts w:cs="Arial"/>
          <w:szCs w:val="24"/>
        </w:rPr>
        <w:t>may provide alternative sources of explanation</w:t>
      </w:r>
      <w:r w:rsidR="0038725D">
        <w:rPr>
          <w:rFonts w:cs="Arial"/>
          <w:szCs w:val="24"/>
        </w:rPr>
        <w:t xml:space="preserve"> for observed changes to the pattern of trade</w:t>
      </w:r>
      <w:r>
        <w:rPr>
          <w:rFonts w:cs="Arial"/>
          <w:szCs w:val="24"/>
        </w:rPr>
        <w:t>.</w:t>
      </w:r>
    </w:p>
    <w:p w14:paraId="170BD02A" w14:textId="786A3490" w:rsidR="0038725D" w:rsidRDefault="00FE36AB" w:rsidP="00A66985">
      <w:pPr>
        <w:rPr>
          <w:rFonts w:cs="Arial"/>
          <w:szCs w:val="24"/>
        </w:rPr>
      </w:pPr>
      <w:r>
        <w:rPr>
          <w:rFonts w:cs="Arial"/>
          <w:szCs w:val="24"/>
        </w:rPr>
        <w:t>Widening the use of trade data in the manner suggested above increases the robustness of the analysis. That in turn can provide a richer context for subsequent stages of the inquiry, notably the question- response process. For example, in a third</w:t>
      </w:r>
      <w:r w:rsidR="001A165F">
        <w:rPr>
          <w:rFonts w:cs="Arial"/>
          <w:szCs w:val="24"/>
        </w:rPr>
        <w:t>-</w:t>
      </w:r>
      <w:r>
        <w:rPr>
          <w:rFonts w:cs="Arial"/>
          <w:szCs w:val="24"/>
        </w:rPr>
        <w:t xml:space="preserve">party assembly or transhipment case, if trade patterns between the country under investigation and a range of countries are considered, producers in the country under investigation can be asked to describe the export pathway to these markets and how these relate to production and investment decisions. These responses can then be assessed against wider trade trends to see if normal commercial drivers explain observed trade patterns.     </w:t>
      </w:r>
    </w:p>
    <w:p w14:paraId="5C142030" w14:textId="65AE44DA" w:rsidR="00885245" w:rsidRDefault="0058698C" w:rsidP="00A66985">
      <w:pPr>
        <w:rPr>
          <w:rFonts w:cs="Arial"/>
          <w:szCs w:val="24"/>
        </w:rPr>
      </w:pPr>
      <w:r>
        <w:rPr>
          <w:rFonts w:cs="Arial"/>
          <w:szCs w:val="24"/>
        </w:rPr>
        <w:t xml:space="preserve">Given constraints surrounding the availability of official data on these matters, the bulk of evidence </w:t>
      </w:r>
      <w:r w:rsidR="00096BBB">
        <w:rPr>
          <w:rFonts w:cs="Arial"/>
          <w:szCs w:val="24"/>
        </w:rPr>
        <w:t xml:space="preserve">on industrial organisation and production is derived </w:t>
      </w:r>
      <w:r>
        <w:rPr>
          <w:rFonts w:cs="Arial"/>
          <w:szCs w:val="24"/>
        </w:rPr>
        <w:t>from commercial information, specifically financial accounts</w:t>
      </w:r>
      <w:r w:rsidR="0038725D">
        <w:rPr>
          <w:rFonts w:cs="Arial"/>
          <w:szCs w:val="24"/>
        </w:rPr>
        <w:t xml:space="preserve"> </w:t>
      </w:r>
      <w:r>
        <w:rPr>
          <w:rFonts w:cs="Arial"/>
          <w:szCs w:val="24"/>
        </w:rPr>
        <w:t xml:space="preserve">of the businesses under investigation. </w:t>
      </w:r>
      <w:r w:rsidR="00885245">
        <w:rPr>
          <w:rFonts w:cs="Arial"/>
          <w:szCs w:val="24"/>
        </w:rPr>
        <w:t>This information is retrieved through requests for information, typically accompanied by site visits.</w:t>
      </w:r>
    </w:p>
    <w:p w14:paraId="5A1BF910" w14:textId="3AEC3107" w:rsidR="0038725D" w:rsidRDefault="0058698C" w:rsidP="0038725D">
      <w:pPr>
        <w:rPr>
          <w:rFonts w:cs="Arial"/>
          <w:szCs w:val="24"/>
        </w:rPr>
      </w:pPr>
      <w:r>
        <w:rPr>
          <w:rFonts w:cs="Arial"/>
          <w:szCs w:val="24"/>
        </w:rPr>
        <w:t>The analysis of</w:t>
      </w:r>
      <w:r w:rsidR="0038725D">
        <w:rPr>
          <w:rFonts w:cs="Arial"/>
          <w:szCs w:val="24"/>
        </w:rPr>
        <w:t xml:space="preserve"> financial </w:t>
      </w:r>
      <w:r>
        <w:rPr>
          <w:rFonts w:cs="Arial"/>
          <w:szCs w:val="24"/>
        </w:rPr>
        <w:t xml:space="preserve">information requires significant capacity, notably in forensic accounting and auditing. </w:t>
      </w:r>
      <w:r w:rsidR="0038725D">
        <w:rPr>
          <w:rFonts w:cs="Arial"/>
          <w:szCs w:val="24"/>
        </w:rPr>
        <w:t>For the UK and EU, there are also specific requirements in relation to assembly operations, namely the requirement to establish that the value of parts from the circumventing jurisdiction exceeds 60% of the total value of parts, and that the cost of parts is not greater than 25% of manufacturing costs. Increasing the robustness of findings is partly a question of capacity building, and partly a question of access to external data sources that can help to verify th</w:t>
      </w:r>
      <w:r w:rsidR="008012A6">
        <w:rPr>
          <w:rFonts w:cs="Arial"/>
          <w:szCs w:val="24"/>
        </w:rPr>
        <w:t>e</w:t>
      </w:r>
      <w:r w:rsidR="0038725D">
        <w:rPr>
          <w:rFonts w:cs="Arial"/>
          <w:szCs w:val="24"/>
        </w:rPr>
        <w:t xml:space="preserve"> reliability of data, particularly cost data, that are presented to the authorities.  </w:t>
      </w:r>
    </w:p>
    <w:p w14:paraId="44DD4A13" w14:textId="20DE12A6" w:rsidR="00A66985" w:rsidRDefault="0058698C" w:rsidP="00A66985">
      <w:pPr>
        <w:rPr>
          <w:rFonts w:cs="Arial"/>
          <w:szCs w:val="24"/>
        </w:rPr>
      </w:pPr>
      <w:r>
        <w:rPr>
          <w:rFonts w:cs="Arial"/>
          <w:szCs w:val="24"/>
        </w:rPr>
        <w:t xml:space="preserve">There are substantial challenges that need to be met, most notably in making judgements </w:t>
      </w:r>
      <w:r w:rsidRPr="008C72AA">
        <w:rPr>
          <w:rFonts w:cs="Arial"/>
          <w:szCs w:val="24"/>
        </w:rPr>
        <w:t xml:space="preserve">on </w:t>
      </w:r>
      <w:r w:rsidRPr="00EA71C7">
        <w:rPr>
          <w:rFonts w:cs="Arial"/>
          <w:szCs w:val="24"/>
        </w:rPr>
        <w:t>cost</w:t>
      </w:r>
      <w:r w:rsidR="008C72AA" w:rsidRPr="00EA71C7">
        <w:rPr>
          <w:rFonts w:cs="Arial"/>
          <w:szCs w:val="24"/>
        </w:rPr>
        <w:t>-</w:t>
      </w:r>
      <w:r w:rsidRPr="00EA71C7">
        <w:rPr>
          <w:rFonts w:cs="Arial"/>
          <w:szCs w:val="24"/>
        </w:rPr>
        <w:t>allocation</w:t>
      </w:r>
      <w:r w:rsidRPr="008C72AA">
        <w:rPr>
          <w:rFonts w:cs="Arial"/>
          <w:szCs w:val="24"/>
        </w:rPr>
        <w:t xml:space="preserve"> pract</w:t>
      </w:r>
      <w:r>
        <w:rPr>
          <w:rFonts w:cs="Arial"/>
          <w:szCs w:val="24"/>
        </w:rPr>
        <w:t>ices in multi-product operations</w:t>
      </w:r>
      <w:r w:rsidR="005100B7">
        <w:rPr>
          <w:rFonts w:cs="Arial"/>
          <w:szCs w:val="24"/>
        </w:rPr>
        <w:t>;</w:t>
      </w:r>
      <w:r>
        <w:rPr>
          <w:rFonts w:cs="Arial"/>
          <w:szCs w:val="24"/>
        </w:rPr>
        <w:t xml:space="preserve"> a challenge not unique to trade remedies and that has indeed been widely documented in the context of regulated industries.</w:t>
      </w:r>
      <w:r w:rsidR="00535979">
        <w:rPr>
          <w:rFonts w:cs="Arial"/>
          <w:szCs w:val="24"/>
        </w:rPr>
        <w:t xml:space="preserve"> </w:t>
      </w:r>
      <w:r w:rsidR="00D2186E">
        <w:rPr>
          <w:rFonts w:cs="Arial"/>
          <w:szCs w:val="24"/>
        </w:rPr>
        <w:t xml:space="preserve"> </w:t>
      </w:r>
    </w:p>
    <w:p w14:paraId="28F740C9" w14:textId="77777777" w:rsidR="00E20E7A" w:rsidRDefault="00E20E7A">
      <w:pPr>
        <w:spacing w:after="160" w:line="259" w:lineRule="auto"/>
        <w:rPr>
          <w:rFonts w:cs="Arial"/>
          <w:b/>
          <w:bCs/>
        </w:rPr>
      </w:pPr>
      <w:r>
        <w:rPr>
          <w:rFonts w:cs="Arial"/>
          <w:b/>
          <w:bCs/>
        </w:rPr>
        <w:br w:type="page"/>
      </w:r>
    </w:p>
    <w:p w14:paraId="32F618D2" w14:textId="095F52C7" w:rsidR="0058698C" w:rsidRPr="00E563B2" w:rsidDel="00E563B2" w:rsidRDefault="00E563B2" w:rsidP="24A0456C">
      <w:pPr>
        <w:rPr>
          <w:rFonts w:cs="Arial"/>
          <w:b/>
          <w:bCs/>
        </w:rPr>
      </w:pPr>
      <w:r w:rsidRPr="24A0456C">
        <w:rPr>
          <w:rFonts w:cs="Arial"/>
          <w:b/>
          <w:bCs/>
        </w:rPr>
        <w:t>Possible elements of a toolkit for circumvention cases</w:t>
      </w:r>
    </w:p>
    <w:p w14:paraId="6FF3842F" w14:textId="0A5436D2" w:rsidR="00E563B2" w:rsidRDefault="001C580B" w:rsidP="00A66985">
      <w:pPr>
        <w:rPr>
          <w:rFonts w:cs="Arial"/>
          <w:szCs w:val="24"/>
        </w:rPr>
      </w:pPr>
      <w:r>
        <w:rPr>
          <w:rFonts w:cs="Arial"/>
          <w:szCs w:val="24"/>
        </w:rPr>
        <w:t xml:space="preserve">The two steps that are specific to a circumvention inquiry and that place the heaviest demands on analytical capacity are, respectively, ascertaining that there has been a change in the pattern of trade as a result of trade remedies, and to attribute these to particular circumvention activities. </w:t>
      </w:r>
    </w:p>
    <w:p w14:paraId="19CAFEEE" w14:textId="051C923E" w:rsidR="001C580B" w:rsidRDefault="001C580B" w:rsidP="001C580B">
      <w:pPr>
        <w:pStyle w:val="NoSpacing"/>
        <w:spacing w:line="360" w:lineRule="auto"/>
      </w:pPr>
      <w:r>
        <w:t>We propose a toolkit describing the evidence needed to generate robust conclusions under each of these steps, and assess the overall strength of evidence through a “traffic light” (Red, Amber, Green, or RAG</w:t>
      </w:r>
      <w:r w:rsidRPr="001C580B">
        <w:t>)</w:t>
      </w:r>
      <w:r>
        <w:t>. Green in this case means that the evidence is sufficiently robust to make a determination, either negative or positive, regarding a change in the pattern of trade.</w:t>
      </w:r>
    </w:p>
    <w:p w14:paraId="3422F6FE" w14:textId="77777777" w:rsidR="001C580B" w:rsidRPr="001C580B" w:rsidRDefault="001C580B" w:rsidP="001C580B">
      <w:pPr>
        <w:pStyle w:val="NoSpacing"/>
        <w:spacing w:line="360" w:lineRule="auto"/>
      </w:pPr>
    </w:p>
    <w:p w14:paraId="4C635E3C" w14:textId="1D6F69C2" w:rsidR="001C580B" w:rsidRDefault="001C580B" w:rsidP="001C580B">
      <w:r>
        <w:t xml:space="preserve">An illustrative way in which this could work for the first step – changes in the pattern of trade - is outlined in </w:t>
      </w:r>
      <w:r>
        <w:fldChar w:fldCharType="begin"/>
      </w:r>
      <w:r>
        <w:instrText xml:space="preserve"> REF _Ref109733312 \h </w:instrText>
      </w:r>
      <w:r>
        <w:fldChar w:fldCharType="separate"/>
      </w:r>
      <w:r>
        <w:t xml:space="preserve">Table </w:t>
      </w:r>
      <w:r>
        <w:rPr>
          <w:noProof/>
        </w:rPr>
        <w:t>1</w:t>
      </w:r>
      <w:r>
        <w:fldChar w:fldCharType="end"/>
      </w:r>
      <w:r>
        <w:t>.</w:t>
      </w:r>
    </w:p>
    <w:p w14:paraId="1B22FFE3" w14:textId="04675D27" w:rsidR="001C580B" w:rsidRDefault="001C580B" w:rsidP="001C580B">
      <w:pPr>
        <w:pStyle w:val="Caption"/>
      </w:pPr>
      <w:bookmarkStart w:id="2" w:name="_Ref109733312"/>
      <w:r>
        <w:t xml:space="preserve">Table </w:t>
      </w:r>
      <w:r>
        <w:fldChar w:fldCharType="begin"/>
      </w:r>
      <w:r>
        <w:instrText>SEQ Table \* ARABIC</w:instrText>
      </w:r>
      <w:r>
        <w:fldChar w:fldCharType="separate"/>
      </w:r>
      <w:r w:rsidR="004412CB">
        <w:rPr>
          <w:noProof/>
        </w:rPr>
        <w:t>1</w:t>
      </w:r>
      <w:r>
        <w:fldChar w:fldCharType="end"/>
      </w:r>
      <w:bookmarkEnd w:id="2"/>
      <w:r>
        <w:t>: RAG rating of strength of evidence in a circumvention case – step 1</w:t>
      </w:r>
    </w:p>
    <w:tbl>
      <w:tblPr>
        <w:tblStyle w:val="TableGrid"/>
        <w:tblW w:w="9351" w:type="dxa"/>
        <w:tblLook w:val="04A0" w:firstRow="1" w:lastRow="0" w:firstColumn="1" w:lastColumn="0" w:noHBand="0" w:noVBand="1"/>
      </w:tblPr>
      <w:tblGrid>
        <w:gridCol w:w="3964"/>
        <w:gridCol w:w="2835"/>
        <w:gridCol w:w="2552"/>
      </w:tblGrid>
      <w:tr w:rsidR="001C580B" w14:paraId="516C7193" w14:textId="77777777">
        <w:tc>
          <w:tcPr>
            <w:tcW w:w="9351" w:type="dxa"/>
            <w:gridSpan w:val="3"/>
          </w:tcPr>
          <w:p w14:paraId="28BF6402" w14:textId="77777777" w:rsidR="001C580B" w:rsidRPr="0019165A" w:rsidRDefault="001C580B">
            <w:pPr>
              <w:pStyle w:val="NoSpacing"/>
              <w:spacing w:line="276" w:lineRule="auto"/>
              <w:rPr>
                <w:sz w:val="22"/>
                <w:szCs w:val="22"/>
              </w:rPr>
            </w:pPr>
            <w:r w:rsidRPr="0019165A">
              <w:rPr>
                <w:sz w:val="22"/>
                <w:szCs w:val="22"/>
              </w:rPr>
              <w:t>Step 1: Change in the pattern of trade (regulation 73(2)(a) )</w:t>
            </w:r>
          </w:p>
        </w:tc>
      </w:tr>
      <w:tr w:rsidR="001C580B" w14:paraId="566FC1CC" w14:textId="77777777">
        <w:tc>
          <w:tcPr>
            <w:tcW w:w="3964" w:type="dxa"/>
          </w:tcPr>
          <w:p w14:paraId="484DEDDE" w14:textId="77777777" w:rsidR="001C580B" w:rsidRPr="0019165A" w:rsidRDefault="001C580B">
            <w:pPr>
              <w:pStyle w:val="NoSpacing"/>
              <w:spacing w:line="276" w:lineRule="auto"/>
              <w:rPr>
                <w:sz w:val="22"/>
                <w:szCs w:val="22"/>
              </w:rPr>
            </w:pPr>
            <w:r w:rsidRPr="0019165A">
              <w:rPr>
                <w:sz w:val="22"/>
                <w:szCs w:val="22"/>
              </w:rPr>
              <w:t>Quantitative evidence</w:t>
            </w:r>
          </w:p>
        </w:tc>
        <w:tc>
          <w:tcPr>
            <w:tcW w:w="2835" w:type="dxa"/>
          </w:tcPr>
          <w:p w14:paraId="70AB32D7" w14:textId="77777777" w:rsidR="001C580B" w:rsidRDefault="001C580B">
            <w:pPr>
              <w:pStyle w:val="NoSpacing"/>
              <w:spacing w:line="276" w:lineRule="auto"/>
            </w:pPr>
            <w:r>
              <w:t>Qualitative evidence</w:t>
            </w:r>
          </w:p>
        </w:tc>
        <w:tc>
          <w:tcPr>
            <w:tcW w:w="2552" w:type="dxa"/>
          </w:tcPr>
          <w:p w14:paraId="72CA5019" w14:textId="77777777" w:rsidR="001C580B" w:rsidRDefault="001C580B">
            <w:pPr>
              <w:pStyle w:val="NoSpacing"/>
              <w:spacing w:line="276" w:lineRule="auto"/>
            </w:pPr>
            <w:r>
              <w:t>RAG rating</w:t>
            </w:r>
          </w:p>
        </w:tc>
      </w:tr>
      <w:tr w:rsidR="001C580B" w14:paraId="4ACA53D2" w14:textId="77777777">
        <w:tc>
          <w:tcPr>
            <w:tcW w:w="3964" w:type="dxa"/>
          </w:tcPr>
          <w:p w14:paraId="186A8C8C" w14:textId="77777777" w:rsidR="001C580B" w:rsidRPr="0019165A" w:rsidRDefault="001C580B">
            <w:pPr>
              <w:pStyle w:val="NoSpacing"/>
              <w:spacing w:line="276" w:lineRule="auto"/>
              <w:rPr>
                <w:sz w:val="22"/>
                <w:szCs w:val="22"/>
              </w:rPr>
            </w:pPr>
            <w:r w:rsidRPr="0019165A">
              <w:rPr>
                <w:sz w:val="22"/>
                <w:szCs w:val="22"/>
              </w:rPr>
              <w:t xml:space="preserve">Cases involving third countries: </w:t>
            </w:r>
          </w:p>
          <w:p w14:paraId="4A9E9DBE" w14:textId="77777777" w:rsidR="001C580B" w:rsidRPr="0019165A" w:rsidRDefault="001C580B">
            <w:pPr>
              <w:pStyle w:val="NoSpacing"/>
              <w:spacing w:line="276" w:lineRule="auto"/>
              <w:rPr>
                <w:sz w:val="22"/>
                <w:szCs w:val="22"/>
              </w:rPr>
            </w:pPr>
            <w:r w:rsidRPr="0019165A">
              <w:rPr>
                <w:sz w:val="22"/>
                <w:szCs w:val="22"/>
              </w:rPr>
              <w:t>(i) Data on UK imports from third country</w:t>
            </w:r>
          </w:p>
          <w:p w14:paraId="4216556B" w14:textId="77777777" w:rsidR="001C580B" w:rsidRPr="0019165A" w:rsidRDefault="001C580B">
            <w:pPr>
              <w:pStyle w:val="NoSpacing"/>
              <w:spacing w:line="276" w:lineRule="auto"/>
              <w:rPr>
                <w:sz w:val="22"/>
                <w:szCs w:val="22"/>
              </w:rPr>
            </w:pPr>
            <w:r w:rsidRPr="0019165A">
              <w:rPr>
                <w:sz w:val="22"/>
                <w:szCs w:val="22"/>
              </w:rPr>
              <w:t>(ii) Data on exports of products between the target country</w:t>
            </w:r>
            <w:r w:rsidRPr="0019165A">
              <w:rPr>
                <w:rStyle w:val="FootnoteReference"/>
                <w:sz w:val="22"/>
                <w:szCs w:val="22"/>
              </w:rPr>
              <w:footnoteReference w:id="2"/>
            </w:r>
            <w:r w:rsidRPr="0019165A">
              <w:rPr>
                <w:sz w:val="22"/>
                <w:szCs w:val="22"/>
              </w:rPr>
              <w:t xml:space="preserve"> and third country</w:t>
            </w:r>
          </w:p>
          <w:p w14:paraId="0A7043CD" w14:textId="659E360D" w:rsidR="001C580B" w:rsidRPr="0019165A" w:rsidRDefault="001C580B" w:rsidP="001C580B">
            <w:pPr>
              <w:pStyle w:val="NoSpacing"/>
              <w:spacing w:line="276" w:lineRule="auto"/>
              <w:rPr>
                <w:sz w:val="22"/>
                <w:szCs w:val="22"/>
              </w:rPr>
            </w:pPr>
            <w:r w:rsidRPr="0019165A">
              <w:rPr>
                <w:sz w:val="22"/>
                <w:szCs w:val="22"/>
              </w:rPr>
              <w:t>(iii) Data on exports between target country/third country and comparator countries</w:t>
            </w:r>
          </w:p>
        </w:tc>
        <w:tc>
          <w:tcPr>
            <w:tcW w:w="2835" w:type="dxa"/>
          </w:tcPr>
          <w:p w14:paraId="0FE5BD8F" w14:textId="77777777" w:rsidR="001C580B" w:rsidRDefault="001C580B">
            <w:pPr>
              <w:pStyle w:val="NoSpacing"/>
              <w:spacing w:line="276" w:lineRule="auto"/>
            </w:pPr>
            <w:r>
              <w:t>Reports by market participants e.g. based on observations of imports into the UK or trade trends overseas</w:t>
            </w:r>
          </w:p>
        </w:tc>
        <w:tc>
          <w:tcPr>
            <w:tcW w:w="2552" w:type="dxa"/>
          </w:tcPr>
          <w:p w14:paraId="7BA5BF42" w14:textId="77777777" w:rsidR="001C580B" w:rsidRDefault="001C580B">
            <w:pPr>
              <w:pStyle w:val="NoSpacing"/>
              <w:spacing w:line="276" w:lineRule="auto"/>
            </w:pPr>
            <w:r>
              <w:t>Green if all three quantitative elements present, or (i) and (ii) plus verifiable qualitative evidence; Amber if only (i) and (ii);</w:t>
            </w:r>
          </w:p>
          <w:p w14:paraId="20A73C8B" w14:textId="77777777" w:rsidR="001C580B" w:rsidRDefault="001C580B">
            <w:pPr>
              <w:pStyle w:val="NoSpacing"/>
              <w:spacing w:line="276" w:lineRule="auto"/>
            </w:pPr>
            <w:r>
              <w:t>Red if only (i)</w:t>
            </w:r>
          </w:p>
        </w:tc>
      </w:tr>
      <w:tr w:rsidR="001C580B" w14:paraId="5DAA5D3E" w14:textId="77777777">
        <w:tc>
          <w:tcPr>
            <w:tcW w:w="3964" w:type="dxa"/>
          </w:tcPr>
          <w:p w14:paraId="4EFE8963" w14:textId="77777777" w:rsidR="001C580B" w:rsidRPr="0019165A" w:rsidRDefault="001C580B">
            <w:pPr>
              <w:pStyle w:val="NoSpacing"/>
              <w:spacing w:line="276" w:lineRule="auto"/>
              <w:rPr>
                <w:sz w:val="22"/>
                <w:szCs w:val="22"/>
              </w:rPr>
            </w:pPr>
            <w:r w:rsidRPr="0019165A">
              <w:rPr>
                <w:sz w:val="22"/>
                <w:szCs w:val="22"/>
              </w:rPr>
              <w:t xml:space="preserve">Channelling: As above but target country and third country with target firms and third party </w:t>
            </w:r>
          </w:p>
        </w:tc>
        <w:tc>
          <w:tcPr>
            <w:tcW w:w="2835" w:type="dxa"/>
          </w:tcPr>
          <w:p w14:paraId="15E97C99" w14:textId="77777777" w:rsidR="001C580B" w:rsidRDefault="001C580B">
            <w:pPr>
              <w:pStyle w:val="NoSpacing"/>
              <w:spacing w:line="276" w:lineRule="auto"/>
            </w:pPr>
            <w:r>
              <w:t xml:space="preserve">As above. </w:t>
            </w:r>
            <w:r w:rsidRPr="004F753C">
              <w:t xml:space="preserve">Field </w:t>
            </w:r>
            <w:r w:rsidRPr="00B25A27">
              <w:t>visits.</w:t>
            </w:r>
          </w:p>
        </w:tc>
        <w:tc>
          <w:tcPr>
            <w:tcW w:w="2552" w:type="dxa"/>
          </w:tcPr>
          <w:p w14:paraId="395DC70F" w14:textId="77777777" w:rsidR="001C580B" w:rsidRDefault="001C580B">
            <w:pPr>
              <w:pStyle w:val="NoSpacing"/>
              <w:spacing w:line="276" w:lineRule="auto"/>
            </w:pPr>
            <w:r>
              <w:t>As above</w:t>
            </w:r>
          </w:p>
        </w:tc>
      </w:tr>
      <w:tr w:rsidR="001C580B" w14:paraId="4B77173F" w14:textId="77777777">
        <w:tc>
          <w:tcPr>
            <w:tcW w:w="3964" w:type="dxa"/>
          </w:tcPr>
          <w:p w14:paraId="6BC808B5" w14:textId="77777777" w:rsidR="001C580B" w:rsidRPr="0019165A" w:rsidRDefault="001C580B">
            <w:pPr>
              <w:pStyle w:val="NoSpacing"/>
              <w:spacing w:line="276" w:lineRule="auto"/>
              <w:rPr>
                <w:sz w:val="22"/>
                <w:szCs w:val="22"/>
              </w:rPr>
            </w:pPr>
            <w:r w:rsidRPr="0019165A">
              <w:rPr>
                <w:sz w:val="22"/>
                <w:szCs w:val="22"/>
              </w:rPr>
              <w:t>Slight modification cases:</w:t>
            </w:r>
          </w:p>
          <w:p w14:paraId="74030B40" w14:textId="77777777" w:rsidR="001C580B" w:rsidRPr="0019165A" w:rsidRDefault="001C580B">
            <w:pPr>
              <w:pStyle w:val="NoSpacing"/>
              <w:spacing w:line="276" w:lineRule="auto"/>
              <w:rPr>
                <w:sz w:val="22"/>
                <w:szCs w:val="22"/>
              </w:rPr>
            </w:pPr>
            <w:r w:rsidRPr="0019165A">
              <w:rPr>
                <w:sz w:val="22"/>
                <w:szCs w:val="22"/>
              </w:rPr>
              <w:t>(i) Imports into the UK of modified products</w:t>
            </w:r>
          </w:p>
          <w:p w14:paraId="33D38E10" w14:textId="77777777" w:rsidR="001C580B" w:rsidRPr="0019165A" w:rsidRDefault="001C580B">
            <w:pPr>
              <w:pStyle w:val="NoSpacing"/>
              <w:spacing w:line="276" w:lineRule="auto"/>
              <w:rPr>
                <w:sz w:val="22"/>
                <w:szCs w:val="22"/>
              </w:rPr>
            </w:pPr>
            <w:r w:rsidRPr="0019165A">
              <w:rPr>
                <w:sz w:val="22"/>
                <w:szCs w:val="22"/>
              </w:rPr>
              <w:t>(ii) Imports into the UK of like products from other countries</w:t>
            </w:r>
          </w:p>
          <w:p w14:paraId="02C9DE13" w14:textId="018C7978" w:rsidR="001C580B" w:rsidRPr="0019165A" w:rsidRDefault="001C580B" w:rsidP="001C580B">
            <w:pPr>
              <w:pStyle w:val="NoSpacing"/>
              <w:spacing w:line="276" w:lineRule="auto"/>
              <w:rPr>
                <w:sz w:val="22"/>
                <w:szCs w:val="22"/>
              </w:rPr>
            </w:pPr>
            <w:r w:rsidRPr="0019165A">
              <w:rPr>
                <w:sz w:val="22"/>
                <w:szCs w:val="22"/>
              </w:rPr>
              <w:t>(iii) Exports from target country to other jurisdictions of product and comparators</w:t>
            </w:r>
          </w:p>
        </w:tc>
        <w:tc>
          <w:tcPr>
            <w:tcW w:w="2835" w:type="dxa"/>
          </w:tcPr>
          <w:p w14:paraId="15591F0D" w14:textId="77777777" w:rsidR="001C580B" w:rsidRDefault="001C580B">
            <w:pPr>
              <w:pStyle w:val="NoSpacing"/>
              <w:spacing w:line="276" w:lineRule="auto"/>
            </w:pPr>
            <w:r>
              <w:t>As above</w:t>
            </w:r>
          </w:p>
        </w:tc>
        <w:tc>
          <w:tcPr>
            <w:tcW w:w="2552" w:type="dxa"/>
          </w:tcPr>
          <w:p w14:paraId="1708E648" w14:textId="77777777" w:rsidR="001C580B" w:rsidRDefault="001C580B">
            <w:pPr>
              <w:pStyle w:val="NoSpacing"/>
              <w:spacing w:line="276" w:lineRule="auto"/>
            </w:pPr>
            <w:r>
              <w:t>As above</w:t>
            </w:r>
          </w:p>
        </w:tc>
      </w:tr>
    </w:tbl>
    <w:p w14:paraId="1AD56227" w14:textId="5638EB40" w:rsidR="001C580B" w:rsidRDefault="001C580B" w:rsidP="004A2BB1">
      <w:pPr>
        <w:spacing w:before="240"/>
      </w:pPr>
      <w:r>
        <w:fldChar w:fldCharType="begin"/>
      </w:r>
      <w:r>
        <w:instrText xml:space="preserve"> REF _Ref109733662 \h </w:instrText>
      </w:r>
      <w:r>
        <w:fldChar w:fldCharType="separate"/>
      </w:r>
      <w:r>
        <w:t xml:space="preserve">Table </w:t>
      </w:r>
      <w:r>
        <w:rPr>
          <w:noProof/>
        </w:rPr>
        <w:t>2</w:t>
      </w:r>
      <w:r>
        <w:fldChar w:fldCharType="end"/>
      </w:r>
      <w:r>
        <w:t xml:space="preserve"> provides an overview of the different types of quantitative and qualitative information </w:t>
      </w:r>
      <w:r w:rsidR="0094511D">
        <w:t xml:space="preserve">that could support analysis under step 2 – establishing the circumvention activity in question and its role in producing the change in the pattern of trade. </w:t>
      </w:r>
    </w:p>
    <w:p w14:paraId="5955A68E" w14:textId="2FE87DDE" w:rsidR="001C580B" w:rsidRDefault="001C580B" w:rsidP="001C580B">
      <w:pPr>
        <w:pStyle w:val="Caption"/>
        <w:keepNext/>
      </w:pPr>
      <w:bookmarkStart w:id="3" w:name="_Ref109733662"/>
      <w:r>
        <w:t xml:space="preserve">Table </w:t>
      </w:r>
      <w:r>
        <w:fldChar w:fldCharType="begin"/>
      </w:r>
      <w:r>
        <w:instrText>SEQ Table \* ARABIC</w:instrText>
      </w:r>
      <w:r>
        <w:fldChar w:fldCharType="separate"/>
      </w:r>
      <w:r w:rsidR="004412CB">
        <w:rPr>
          <w:noProof/>
        </w:rPr>
        <w:t>2</w:t>
      </w:r>
      <w:r>
        <w:fldChar w:fldCharType="end"/>
      </w:r>
      <w:bookmarkEnd w:id="3"/>
      <w:r>
        <w:t>: RAG rating of strength of evidence in a circumvention case – step 2</w:t>
      </w:r>
    </w:p>
    <w:tbl>
      <w:tblPr>
        <w:tblStyle w:val="TableGrid"/>
        <w:tblW w:w="9351" w:type="dxa"/>
        <w:tblLook w:val="04A0" w:firstRow="1" w:lastRow="0" w:firstColumn="1" w:lastColumn="0" w:noHBand="0" w:noVBand="1"/>
      </w:tblPr>
      <w:tblGrid>
        <w:gridCol w:w="3964"/>
        <w:gridCol w:w="2835"/>
        <w:gridCol w:w="2552"/>
      </w:tblGrid>
      <w:tr w:rsidR="001C580B" w14:paraId="44F68F13" w14:textId="77777777">
        <w:tc>
          <w:tcPr>
            <w:tcW w:w="9351" w:type="dxa"/>
            <w:gridSpan w:val="3"/>
          </w:tcPr>
          <w:p w14:paraId="45E38873" w14:textId="77777777" w:rsidR="001C580B" w:rsidRPr="0019165A" w:rsidRDefault="001C580B">
            <w:pPr>
              <w:pStyle w:val="NoSpacing"/>
              <w:spacing w:line="276" w:lineRule="auto"/>
              <w:rPr>
                <w:sz w:val="22"/>
                <w:szCs w:val="22"/>
              </w:rPr>
            </w:pPr>
            <w:r w:rsidRPr="0019165A">
              <w:rPr>
                <w:sz w:val="22"/>
                <w:szCs w:val="22"/>
              </w:rPr>
              <w:t>Step 2: Circumvention activity responsible for the change in pattern of trade (regulation 73(2)(b))</w:t>
            </w:r>
          </w:p>
        </w:tc>
      </w:tr>
      <w:tr w:rsidR="001C580B" w14:paraId="753F73AA" w14:textId="77777777">
        <w:tc>
          <w:tcPr>
            <w:tcW w:w="3964" w:type="dxa"/>
          </w:tcPr>
          <w:p w14:paraId="41DBA9F0" w14:textId="77777777" w:rsidR="001C580B" w:rsidRPr="0019165A" w:rsidRDefault="001C580B">
            <w:pPr>
              <w:pStyle w:val="NoSpacing"/>
              <w:spacing w:line="276" w:lineRule="auto"/>
              <w:rPr>
                <w:sz w:val="22"/>
                <w:szCs w:val="22"/>
              </w:rPr>
            </w:pPr>
            <w:r w:rsidRPr="0019165A">
              <w:rPr>
                <w:sz w:val="22"/>
                <w:szCs w:val="22"/>
              </w:rPr>
              <w:t>Quantitative evidence</w:t>
            </w:r>
          </w:p>
        </w:tc>
        <w:tc>
          <w:tcPr>
            <w:tcW w:w="2835" w:type="dxa"/>
          </w:tcPr>
          <w:p w14:paraId="23133475" w14:textId="77777777" w:rsidR="001C580B" w:rsidRPr="0019165A" w:rsidRDefault="001C580B">
            <w:pPr>
              <w:pStyle w:val="NoSpacing"/>
              <w:spacing w:line="276" w:lineRule="auto"/>
              <w:rPr>
                <w:sz w:val="22"/>
                <w:szCs w:val="22"/>
              </w:rPr>
            </w:pPr>
            <w:r w:rsidRPr="0019165A">
              <w:rPr>
                <w:sz w:val="22"/>
                <w:szCs w:val="22"/>
              </w:rPr>
              <w:t>Qualitative evidence</w:t>
            </w:r>
          </w:p>
        </w:tc>
        <w:tc>
          <w:tcPr>
            <w:tcW w:w="2552" w:type="dxa"/>
          </w:tcPr>
          <w:p w14:paraId="32D01EEF" w14:textId="77777777" w:rsidR="001C580B" w:rsidRPr="0019165A" w:rsidRDefault="001C580B">
            <w:pPr>
              <w:pStyle w:val="NoSpacing"/>
              <w:spacing w:line="276" w:lineRule="auto"/>
              <w:rPr>
                <w:sz w:val="22"/>
                <w:szCs w:val="22"/>
              </w:rPr>
            </w:pPr>
            <w:r w:rsidRPr="0019165A">
              <w:rPr>
                <w:sz w:val="22"/>
                <w:szCs w:val="22"/>
              </w:rPr>
              <w:t>RAG rating</w:t>
            </w:r>
          </w:p>
        </w:tc>
      </w:tr>
      <w:tr w:rsidR="001C580B" w14:paraId="4D0804FF" w14:textId="77777777">
        <w:tc>
          <w:tcPr>
            <w:tcW w:w="3964" w:type="dxa"/>
          </w:tcPr>
          <w:p w14:paraId="1E452D7B" w14:textId="77777777" w:rsidR="001C580B" w:rsidRPr="0019165A" w:rsidRDefault="001C580B">
            <w:pPr>
              <w:pStyle w:val="NoSpacing"/>
              <w:spacing w:line="276" w:lineRule="auto"/>
              <w:rPr>
                <w:sz w:val="22"/>
                <w:szCs w:val="22"/>
              </w:rPr>
            </w:pPr>
            <w:r w:rsidRPr="0019165A">
              <w:rPr>
                <w:sz w:val="22"/>
                <w:szCs w:val="22"/>
              </w:rPr>
              <w:t xml:space="preserve">Cases involving third countries: </w:t>
            </w:r>
          </w:p>
          <w:p w14:paraId="5EEE90BD" w14:textId="77777777" w:rsidR="001C580B" w:rsidRPr="0019165A" w:rsidRDefault="001C580B">
            <w:pPr>
              <w:pStyle w:val="NoSpacing"/>
              <w:spacing w:line="276" w:lineRule="auto"/>
              <w:rPr>
                <w:sz w:val="22"/>
                <w:szCs w:val="22"/>
              </w:rPr>
            </w:pPr>
            <w:r w:rsidRPr="0019165A">
              <w:rPr>
                <w:sz w:val="22"/>
                <w:szCs w:val="22"/>
              </w:rPr>
              <w:t>Production and cost data retrieved from written requests and site visits</w:t>
            </w:r>
          </w:p>
          <w:p w14:paraId="01338053" w14:textId="77777777" w:rsidR="001C580B" w:rsidRPr="0019165A" w:rsidRDefault="001C580B">
            <w:pPr>
              <w:pStyle w:val="NoSpacing"/>
              <w:spacing w:line="276" w:lineRule="auto"/>
              <w:rPr>
                <w:sz w:val="22"/>
                <w:szCs w:val="22"/>
              </w:rPr>
            </w:pPr>
          </w:p>
        </w:tc>
        <w:tc>
          <w:tcPr>
            <w:tcW w:w="2835" w:type="dxa"/>
          </w:tcPr>
          <w:p w14:paraId="2FCEA594" w14:textId="77777777" w:rsidR="001C580B" w:rsidRPr="0019165A" w:rsidRDefault="001C580B">
            <w:pPr>
              <w:pStyle w:val="NoSpacing"/>
              <w:spacing w:line="276" w:lineRule="auto"/>
              <w:rPr>
                <w:sz w:val="22"/>
                <w:szCs w:val="22"/>
              </w:rPr>
            </w:pPr>
            <w:r w:rsidRPr="0019165A">
              <w:rPr>
                <w:sz w:val="22"/>
                <w:szCs w:val="22"/>
              </w:rPr>
              <w:t>Investment plans for businesses under investigation;</w:t>
            </w:r>
          </w:p>
          <w:p w14:paraId="25B2E5CD" w14:textId="77777777" w:rsidR="001C580B" w:rsidRPr="0019165A" w:rsidRDefault="001C580B">
            <w:pPr>
              <w:pStyle w:val="NoSpacing"/>
              <w:spacing w:line="276" w:lineRule="auto"/>
              <w:rPr>
                <w:sz w:val="22"/>
                <w:szCs w:val="22"/>
              </w:rPr>
            </w:pPr>
            <w:r w:rsidRPr="0019165A">
              <w:rPr>
                <w:sz w:val="22"/>
                <w:szCs w:val="22"/>
              </w:rPr>
              <w:t>Industry studies and reports documenting investment and production patterns;</w:t>
            </w:r>
          </w:p>
          <w:p w14:paraId="5B26AFF1" w14:textId="77777777" w:rsidR="001C580B" w:rsidRPr="0019165A" w:rsidRDefault="001C580B">
            <w:pPr>
              <w:pStyle w:val="NoSpacing"/>
              <w:spacing w:line="276" w:lineRule="auto"/>
              <w:rPr>
                <w:sz w:val="22"/>
                <w:szCs w:val="22"/>
              </w:rPr>
            </w:pPr>
            <w:r w:rsidRPr="0019165A">
              <w:rPr>
                <w:sz w:val="22"/>
                <w:szCs w:val="22"/>
              </w:rPr>
              <w:t>Interviews with businesses and experts</w:t>
            </w:r>
          </w:p>
        </w:tc>
        <w:tc>
          <w:tcPr>
            <w:tcW w:w="2552" w:type="dxa"/>
          </w:tcPr>
          <w:p w14:paraId="76389729" w14:textId="77777777" w:rsidR="001C580B" w:rsidRPr="0019165A" w:rsidRDefault="001C580B">
            <w:pPr>
              <w:pStyle w:val="NoSpacing"/>
              <w:spacing w:line="276" w:lineRule="auto"/>
              <w:rPr>
                <w:sz w:val="22"/>
                <w:szCs w:val="22"/>
              </w:rPr>
            </w:pPr>
            <w:r w:rsidRPr="0019165A">
              <w:rPr>
                <w:sz w:val="22"/>
                <w:szCs w:val="22"/>
              </w:rPr>
              <w:t xml:space="preserve">Green if production and cost data of reliable quality; </w:t>
            </w:r>
          </w:p>
          <w:p w14:paraId="740C09E9" w14:textId="77777777" w:rsidR="001C580B" w:rsidRPr="0019165A" w:rsidRDefault="001C580B">
            <w:pPr>
              <w:pStyle w:val="NoSpacing"/>
              <w:spacing w:line="276" w:lineRule="auto"/>
              <w:rPr>
                <w:sz w:val="22"/>
                <w:szCs w:val="22"/>
              </w:rPr>
            </w:pPr>
            <w:r w:rsidRPr="0019165A">
              <w:rPr>
                <w:sz w:val="22"/>
                <w:szCs w:val="22"/>
              </w:rPr>
              <w:t>Amber if data deficiencies can be remedied by on-site interviews;</w:t>
            </w:r>
          </w:p>
          <w:p w14:paraId="0CE51FF7" w14:textId="77777777" w:rsidR="001C580B" w:rsidRPr="0019165A" w:rsidRDefault="001C580B">
            <w:pPr>
              <w:pStyle w:val="NoSpacing"/>
              <w:spacing w:line="276" w:lineRule="auto"/>
              <w:rPr>
                <w:sz w:val="22"/>
                <w:szCs w:val="22"/>
              </w:rPr>
            </w:pPr>
            <w:r w:rsidRPr="0019165A">
              <w:rPr>
                <w:sz w:val="22"/>
                <w:szCs w:val="22"/>
              </w:rPr>
              <w:t>Red if no production or cost data</w:t>
            </w:r>
          </w:p>
        </w:tc>
      </w:tr>
      <w:tr w:rsidR="001C580B" w14:paraId="221A9DAA" w14:textId="77777777">
        <w:tc>
          <w:tcPr>
            <w:tcW w:w="3964" w:type="dxa"/>
          </w:tcPr>
          <w:p w14:paraId="47B4824D" w14:textId="77777777" w:rsidR="001C580B" w:rsidRPr="0019165A" w:rsidRDefault="001C580B">
            <w:pPr>
              <w:pStyle w:val="NoSpacing"/>
              <w:spacing w:line="276" w:lineRule="auto"/>
              <w:rPr>
                <w:sz w:val="22"/>
                <w:szCs w:val="22"/>
              </w:rPr>
            </w:pPr>
            <w:r w:rsidRPr="0019165A">
              <w:rPr>
                <w:sz w:val="22"/>
                <w:szCs w:val="22"/>
              </w:rPr>
              <w:t>Channelling: Production and cost data from written requests and site visits</w:t>
            </w:r>
          </w:p>
        </w:tc>
        <w:tc>
          <w:tcPr>
            <w:tcW w:w="2835" w:type="dxa"/>
          </w:tcPr>
          <w:p w14:paraId="72F7B1BD" w14:textId="77777777" w:rsidR="001C580B" w:rsidRPr="0019165A" w:rsidRDefault="001C580B">
            <w:pPr>
              <w:pStyle w:val="NoSpacing"/>
              <w:spacing w:line="276" w:lineRule="auto"/>
              <w:rPr>
                <w:sz w:val="22"/>
                <w:szCs w:val="22"/>
              </w:rPr>
            </w:pPr>
            <w:r w:rsidRPr="0019165A">
              <w:rPr>
                <w:sz w:val="22"/>
                <w:szCs w:val="22"/>
              </w:rPr>
              <w:t xml:space="preserve">As above </w:t>
            </w:r>
          </w:p>
        </w:tc>
        <w:tc>
          <w:tcPr>
            <w:tcW w:w="2552" w:type="dxa"/>
          </w:tcPr>
          <w:p w14:paraId="236AA3D6" w14:textId="77777777" w:rsidR="001C580B" w:rsidRPr="0019165A" w:rsidRDefault="001C580B">
            <w:pPr>
              <w:pStyle w:val="NoSpacing"/>
              <w:spacing w:line="276" w:lineRule="auto"/>
              <w:rPr>
                <w:sz w:val="22"/>
                <w:szCs w:val="22"/>
              </w:rPr>
            </w:pPr>
            <w:r w:rsidRPr="0019165A">
              <w:rPr>
                <w:sz w:val="22"/>
                <w:szCs w:val="22"/>
              </w:rPr>
              <w:t>Green if production and cost data, or if reliable evidence from field visit interviews and information on business plans;</w:t>
            </w:r>
          </w:p>
          <w:p w14:paraId="4D1C0C1A" w14:textId="77777777" w:rsidR="001C580B" w:rsidRPr="0019165A" w:rsidRDefault="001C580B">
            <w:pPr>
              <w:pStyle w:val="NoSpacing"/>
              <w:spacing w:line="276" w:lineRule="auto"/>
              <w:rPr>
                <w:sz w:val="22"/>
                <w:szCs w:val="22"/>
              </w:rPr>
            </w:pPr>
            <w:r w:rsidRPr="0019165A">
              <w:rPr>
                <w:sz w:val="22"/>
                <w:szCs w:val="22"/>
              </w:rPr>
              <w:t>Amber if relying on only interviews;</w:t>
            </w:r>
          </w:p>
          <w:p w14:paraId="48092699" w14:textId="77777777" w:rsidR="001C580B" w:rsidRPr="0019165A" w:rsidRDefault="001C580B">
            <w:pPr>
              <w:pStyle w:val="NoSpacing"/>
              <w:spacing w:line="276" w:lineRule="auto"/>
              <w:rPr>
                <w:sz w:val="22"/>
                <w:szCs w:val="22"/>
              </w:rPr>
            </w:pPr>
            <w:r w:rsidRPr="0019165A">
              <w:rPr>
                <w:sz w:val="22"/>
                <w:szCs w:val="22"/>
              </w:rPr>
              <w:t>Red if no field visits or production and cost data</w:t>
            </w:r>
          </w:p>
        </w:tc>
      </w:tr>
      <w:tr w:rsidR="001C580B" w14:paraId="29BC06A9" w14:textId="77777777">
        <w:tc>
          <w:tcPr>
            <w:tcW w:w="3964" w:type="dxa"/>
          </w:tcPr>
          <w:p w14:paraId="721F53AD" w14:textId="77777777" w:rsidR="001C580B" w:rsidRPr="0019165A" w:rsidRDefault="001C580B">
            <w:pPr>
              <w:pStyle w:val="NoSpacing"/>
              <w:spacing w:line="276" w:lineRule="auto"/>
              <w:rPr>
                <w:sz w:val="22"/>
                <w:szCs w:val="22"/>
              </w:rPr>
            </w:pPr>
            <w:r w:rsidRPr="0019165A">
              <w:rPr>
                <w:sz w:val="22"/>
                <w:szCs w:val="22"/>
              </w:rPr>
              <w:t>Slight modification cases:</w:t>
            </w:r>
          </w:p>
          <w:p w14:paraId="36DA1AA5" w14:textId="77777777" w:rsidR="001C580B" w:rsidRPr="0019165A" w:rsidRDefault="001C580B">
            <w:pPr>
              <w:pStyle w:val="NoSpacing"/>
              <w:spacing w:line="276" w:lineRule="auto"/>
              <w:rPr>
                <w:sz w:val="22"/>
                <w:szCs w:val="22"/>
              </w:rPr>
            </w:pPr>
            <w:r w:rsidRPr="0019165A">
              <w:rPr>
                <w:sz w:val="22"/>
                <w:szCs w:val="22"/>
              </w:rPr>
              <w:t>(i) Data on market demand (e.g. quantities by end-users)</w:t>
            </w:r>
          </w:p>
          <w:p w14:paraId="683CFD16" w14:textId="77777777" w:rsidR="001C580B" w:rsidRPr="0019165A" w:rsidRDefault="001C580B">
            <w:pPr>
              <w:pStyle w:val="NoSpacing"/>
              <w:spacing w:line="276" w:lineRule="auto"/>
              <w:rPr>
                <w:sz w:val="22"/>
                <w:szCs w:val="22"/>
              </w:rPr>
            </w:pPr>
            <w:r w:rsidRPr="0019165A">
              <w:rPr>
                <w:sz w:val="22"/>
                <w:szCs w:val="22"/>
              </w:rPr>
              <w:t>(ii) Cost and production data from written requests and site visits</w:t>
            </w:r>
          </w:p>
        </w:tc>
        <w:tc>
          <w:tcPr>
            <w:tcW w:w="2835" w:type="dxa"/>
          </w:tcPr>
          <w:p w14:paraId="06C62A55" w14:textId="77777777" w:rsidR="001C580B" w:rsidRPr="0019165A" w:rsidRDefault="001C580B">
            <w:pPr>
              <w:pStyle w:val="NoSpacing"/>
              <w:spacing w:line="276" w:lineRule="auto"/>
              <w:rPr>
                <w:sz w:val="22"/>
                <w:szCs w:val="22"/>
              </w:rPr>
            </w:pPr>
            <w:r w:rsidRPr="0019165A">
              <w:rPr>
                <w:sz w:val="22"/>
                <w:szCs w:val="22"/>
              </w:rPr>
              <w:t xml:space="preserve">Industry analysis of end-use and substitutability; </w:t>
            </w:r>
          </w:p>
          <w:p w14:paraId="7B52C396" w14:textId="77777777" w:rsidR="001C580B" w:rsidRPr="0019165A" w:rsidRDefault="001C580B">
            <w:pPr>
              <w:pStyle w:val="NoSpacing"/>
              <w:spacing w:line="276" w:lineRule="auto"/>
              <w:rPr>
                <w:sz w:val="22"/>
                <w:szCs w:val="22"/>
              </w:rPr>
            </w:pPr>
            <w:r w:rsidRPr="0019165A">
              <w:rPr>
                <w:sz w:val="22"/>
                <w:szCs w:val="22"/>
              </w:rPr>
              <w:t>Expert inputs;</w:t>
            </w:r>
          </w:p>
          <w:p w14:paraId="312640FD" w14:textId="77777777" w:rsidR="001C580B" w:rsidRPr="0019165A" w:rsidRDefault="001C580B">
            <w:pPr>
              <w:pStyle w:val="NoSpacing"/>
              <w:spacing w:line="276" w:lineRule="auto"/>
              <w:rPr>
                <w:sz w:val="22"/>
                <w:szCs w:val="22"/>
              </w:rPr>
            </w:pPr>
            <w:r w:rsidRPr="0019165A">
              <w:rPr>
                <w:sz w:val="22"/>
                <w:szCs w:val="22"/>
              </w:rPr>
              <w:t>Field visit interviews</w:t>
            </w:r>
          </w:p>
        </w:tc>
        <w:tc>
          <w:tcPr>
            <w:tcW w:w="2552" w:type="dxa"/>
          </w:tcPr>
          <w:p w14:paraId="2397E82D" w14:textId="77777777" w:rsidR="001C580B" w:rsidRPr="0019165A" w:rsidRDefault="001C580B">
            <w:pPr>
              <w:pStyle w:val="NoSpacing"/>
              <w:spacing w:line="276" w:lineRule="auto"/>
              <w:rPr>
                <w:sz w:val="22"/>
                <w:szCs w:val="22"/>
              </w:rPr>
            </w:pPr>
            <w:r w:rsidRPr="0019165A">
              <w:rPr>
                <w:sz w:val="22"/>
                <w:szCs w:val="22"/>
              </w:rPr>
              <w:t>Green if both types of quantitative data, or one type and full range of qualitative inputs;</w:t>
            </w:r>
          </w:p>
          <w:p w14:paraId="15B2DE04" w14:textId="77777777" w:rsidR="001C580B" w:rsidRPr="0019165A" w:rsidRDefault="001C580B">
            <w:pPr>
              <w:pStyle w:val="NoSpacing"/>
              <w:spacing w:line="276" w:lineRule="auto"/>
              <w:rPr>
                <w:sz w:val="22"/>
                <w:szCs w:val="22"/>
              </w:rPr>
            </w:pPr>
            <w:r w:rsidRPr="0019165A">
              <w:rPr>
                <w:sz w:val="22"/>
                <w:szCs w:val="22"/>
              </w:rPr>
              <w:t>Amber if only qualitative inputs;</w:t>
            </w:r>
          </w:p>
          <w:p w14:paraId="24A003BC" w14:textId="7FC04DE8" w:rsidR="001C580B" w:rsidRPr="0019165A" w:rsidRDefault="001C580B" w:rsidP="001C580B">
            <w:pPr>
              <w:pStyle w:val="NoSpacing"/>
              <w:spacing w:line="276" w:lineRule="auto"/>
              <w:rPr>
                <w:sz w:val="22"/>
                <w:szCs w:val="22"/>
              </w:rPr>
            </w:pPr>
            <w:r w:rsidRPr="0019165A">
              <w:rPr>
                <w:sz w:val="22"/>
                <w:szCs w:val="22"/>
              </w:rPr>
              <w:t>Red if only limited types of qualitative inputs and no field visits.</w:t>
            </w:r>
          </w:p>
        </w:tc>
      </w:tr>
    </w:tbl>
    <w:p w14:paraId="2DBA3161" w14:textId="77777777" w:rsidR="0094511D" w:rsidRDefault="0094511D" w:rsidP="004A2BB1">
      <w:pPr>
        <w:spacing w:before="240"/>
      </w:pPr>
      <w:r>
        <w:t>We note that for third-party assembly cases, production and cost data is non-optional given the threshold set by the legislation. Information retrieved from written requests or site visits is clearly of fundamental importance in these cases and cannot be substituted for by qualitative evidence. Written responses and site visits are likely to be important in channelling cases as it is difficult to see how findings under this category can be established in the absence of firm-level data.</w:t>
      </w:r>
    </w:p>
    <w:p w14:paraId="6999D28D" w14:textId="5BC22F62" w:rsidR="00020A49" w:rsidRDefault="00BA28BB" w:rsidP="00020A49">
      <w:pPr>
        <w:rPr>
          <w:rFonts w:cs="Arial"/>
          <w:b/>
          <w:bCs/>
          <w:szCs w:val="24"/>
        </w:rPr>
      </w:pPr>
      <w:r>
        <w:rPr>
          <w:rFonts w:cs="Arial"/>
          <w:b/>
          <w:bCs/>
          <w:szCs w:val="24"/>
        </w:rPr>
        <w:t>Considerations for</w:t>
      </w:r>
      <w:r w:rsidR="00020A49">
        <w:rPr>
          <w:rFonts w:cs="Arial"/>
          <w:b/>
          <w:bCs/>
          <w:szCs w:val="24"/>
        </w:rPr>
        <w:t xml:space="preserve"> the UK TRA</w:t>
      </w:r>
    </w:p>
    <w:p w14:paraId="68286023" w14:textId="43A0A5E2" w:rsidR="00020A49" w:rsidRDefault="00885245">
      <w:pPr>
        <w:rPr>
          <w:rFonts w:cs="Arial"/>
          <w:szCs w:val="24"/>
        </w:rPr>
      </w:pPr>
      <w:r>
        <w:rPr>
          <w:rFonts w:cs="Arial"/>
          <w:szCs w:val="24"/>
        </w:rPr>
        <w:t xml:space="preserve">A review of practices and approaches to anti-circumvention suggests that </w:t>
      </w:r>
      <w:r w:rsidR="00997794">
        <w:rPr>
          <w:rFonts w:cs="Arial"/>
          <w:szCs w:val="24"/>
        </w:rPr>
        <w:t xml:space="preserve">decision-making </w:t>
      </w:r>
      <w:r w:rsidR="00096BBB">
        <w:rPr>
          <w:rFonts w:cs="Arial"/>
          <w:szCs w:val="24"/>
        </w:rPr>
        <w:t xml:space="preserve">requires considerable </w:t>
      </w:r>
      <w:r w:rsidR="00997794">
        <w:rPr>
          <w:rFonts w:cs="Arial"/>
          <w:szCs w:val="24"/>
        </w:rPr>
        <w:t>judgement in weighing multiple types of evidence</w:t>
      </w:r>
      <w:r>
        <w:rPr>
          <w:rFonts w:cs="Arial"/>
          <w:szCs w:val="24"/>
        </w:rPr>
        <w:t>.</w:t>
      </w:r>
      <w:r w:rsidR="00997794">
        <w:rPr>
          <w:rFonts w:cs="Arial"/>
          <w:szCs w:val="24"/>
        </w:rPr>
        <w:t xml:space="preserve"> The capacity to do this develops over time th</w:t>
      </w:r>
      <w:r w:rsidR="00F22CBF">
        <w:rPr>
          <w:rFonts w:cs="Arial"/>
          <w:szCs w:val="24"/>
        </w:rPr>
        <w:t>r</w:t>
      </w:r>
      <w:r w:rsidR="00997794">
        <w:rPr>
          <w:rFonts w:cs="Arial"/>
          <w:szCs w:val="24"/>
        </w:rPr>
        <w:t>ough experience.</w:t>
      </w:r>
      <w:r>
        <w:rPr>
          <w:rFonts w:cs="Arial"/>
          <w:szCs w:val="24"/>
        </w:rPr>
        <w:t xml:space="preserve"> </w:t>
      </w:r>
      <w:r w:rsidR="00C908BB">
        <w:rPr>
          <w:rFonts w:cs="Arial"/>
          <w:szCs w:val="24"/>
        </w:rPr>
        <w:t>The main challenge</w:t>
      </w:r>
      <w:r w:rsidR="00997794">
        <w:rPr>
          <w:rFonts w:cs="Arial"/>
          <w:szCs w:val="24"/>
        </w:rPr>
        <w:t xml:space="preserve"> for a newly established institution such as the TRA</w:t>
      </w:r>
      <w:r w:rsidR="00C908BB">
        <w:rPr>
          <w:rFonts w:cs="Arial"/>
          <w:szCs w:val="24"/>
        </w:rPr>
        <w:t xml:space="preserve"> is therefore to </w:t>
      </w:r>
      <w:r w:rsidR="00997794">
        <w:rPr>
          <w:rFonts w:cs="Arial"/>
          <w:szCs w:val="24"/>
        </w:rPr>
        <w:t xml:space="preserve">rapidly put in place </w:t>
      </w:r>
      <w:r w:rsidR="00C908BB">
        <w:rPr>
          <w:rFonts w:cs="Arial"/>
          <w:szCs w:val="24"/>
        </w:rPr>
        <w:t>a process that ensures judgements are made on a robust basis.</w:t>
      </w:r>
      <w:r w:rsidR="00CA4C7A">
        <w:rPr>
          <w:rFonts w:cs="Arial"/>
          <w:szCs w:val="24"/>
        </w:rPr>
        <w:t xml:space="preserve"> Several steps can be taken</w:t>
      </w:r>
      <w:r w:rsidR="005D36B0">
        <w:rPr>
          <w:rFonts w:cs="Arial"/>
          <w:szCs w:val="24"/>
        </w:rPr>
        <w:t xml:space="preserve"> to supplement </w:t>
      </w:r>
      <w:r w:rsidR="00C7082D">
        <w:rPr>
          <w:rFonts w:cs="Arial"/>
          <w:szCs w:val="24"/>
        </w:rPr>
        <w:t>what the TRA</w:t>
      </w:r>
      <w:r w:rsidR="006D6E39">
        <w:rPr>
          <w:rFonts w:cs="Arial"/>
          <w:szCs w:val="24"/>
        </w:rPr>
        <w:t xml:space="preserve"> may be </w:t>
      </w:r>
      <w:r w:rsidR="00191EC7">
        <w:rPr>
          <w:rFonts w:cs="Arial"/>
          <w:szCs w:val="24"/>
        </w:rPr>
        <w:t xml:space="preserve">already </w:t>
      </w:r>
      <w:r w:rsidR="006D6E39">
        <w:rPr>
          <w:rFonts w:cs="Arial"/>
          <w:szCs w:val="24"/>
        </w:rPr>
        <w:t>doing</w:t>
      </w:r>
      <w:r w:rsidR="00791D2F">
        <w:rPr>
          <w:rFonts w:cs="Arial"/>
          <w:szCs w:val="24"/>
        </w:rPr>
        <w:t xml:space="preserve"> in this space</w:t>
      </w:r>
      <w:r w:rsidR="00CA4C7A">
        <w:rPr>
          <w:rFonts w:cs="Arial"/>
          <w:szCs w:val="24"/>
        </w:rPr>
        <w:t>:</w:t>
      </w:r>
    </w:p>
    <w:p w14:paraId="53155492" w14:textId="03439806" w:rsidR="00020A49" w:rsidRDefault="00020A49" w:rsidP="00020A49">
      <w:pPr>
        <w:pStyle w:val="ListParagraph"/>
        <w:numPr>
          <w:ilvl w:val="0"/>
          <w:numId w:val="28"/>
        </w:numPr>
        <w:spacing w:line="360" w:lineRule="auto"/>
        <w:rPr>
          <w:rFonts w:cs="Arial"/>
          <w:sz w:val="24"/>
          <w:szCs w:val="24"/>
        </w:rPr>
      </w:pPr>
      <w:r>
        <w:rPr>
          <w:rFonts w:cs="Arial"/>
          <w:sz w:val="24"/>
          <w:szCs w:val="24"/>
        </w:rPr>
        <w:t>Actively monitor trade patterns in products and jurisdictions that are known areas of risk.</w:t>
      </w:r>
      <w:r w:rsidR="00CA4C7A">
        <w:rPr>
          <w:rFonts w:cs="Arial"/>
          <w:sz w:val="24"/>
          <w:szCs w:val="24"/>
        </w:rPr>
        <w:t xml:space="preserve"> The distribution in Figure 1</w:t>
      </w:r>
      <w:r w:rsidR="00763F12">
        <w:rPr>
          <w:rFonts w:cs="Arial"/>
          <w:sz w:val="24"/>
          <w:szCs w:val="24"/>
        </w:rPr>
        <w:t xml:space="preserve"> provides some guidance as to the products that feature frequently in circumvention cases. An anal</w:t>
      </w:r>
      <w:r w:rsidR="00763F12" w:rsidRPr="00573DDB">
        <w:rPr>
          <w:rFonts w:cs="Arial"/>
          <w:sz w:val="24"/>
          <w:szCs w:val="24"/>
        </w:rPr>
        <w:t>ysis of the</w:t>
      </w:r>
      <w:r w:rsidR="00705737">
        <w:rPr>
          <w:rFonts w:cs="Arial"/>
          <w:sz w:val="24"/>
          <w:szCs w:val="24"/>
        </w:rPr>
        <w:t xml:space="preserve"> three deep dive countries suggests</w:t>
      </w:r>
      <w:r w:rsidR="00763F12">
        <w:rPr>
          <w:rFonts w:cs="Arial"/>
          <w:sz w:val="24"/>
          <w:szCs w:val="24"/>
        </w:rPr>
        <w:t xml:space="preserve"> </w:t>
      </w:r>
      <w:r w:rsidR="001935D9">
        <w:rPr>
          <w:rFonts w:cs="Arial"/>
          <w:sz w:val="24"/>
          <w:szCs w:val="24"/>
        </w:rPr>
        <w:t>PRC</w:t>
      </w:r>
      <w:r w:rsidR="00705737">
        <w:rPr>
          <w:rFonts w:cs="Arial"/>
          <w:sz w:val="24"/>
          <w:szCs w:val="24"/>
        </w:rPr>
        <w:t xml:space="preserve"> dominates anti-circumvention cases that lead to the imposition of measures. </w:t>
      </w:r>
      <w:r w:rsidR="002406F0">
        <w:rPr>
          <w:rFonts w:cs="Arial"/>
          <w:sz w:val="24"/>
          <w:szCs w:val="24"/>
        </w:rPr>
        <w:t>PRC</w:t>
      </w:r>
      <w:r w:rsidR="00705737">
        <w:rPr>
          <w:rFonts w:cs="Arial"/>
          <w:sz w:val="24"/>
          <w:szCs w:val="24"/>
        </w:rPr>
        <w:t xml:space="preserve"> is the also the most frequent target of trade remedies, in these countries and globally (it accounted for a third of all anti-dumping measures imposed globally in the period 2009-21</w:t>
      </w:r>
      <w:r w:rsidR="008F0B37">
        <w:rPr>
          <w:rFonts w:cs="Arial"/>
          <w:sz w:val="24"/>
          <w:szCs w:val="24"/>
        </w:rPr>
        <w:t>, according to the WTO’s anti-dumping database</w:t>
      </w:r>
      <w:r w:rsidR="00705737">
        <w:rPr>
          <w:rFonts w:cs="Arial"/>
          <w:sz w:val="24"/>
          <w:szCs w:val="24"/>
        </w:rPr>
        <w:t xml:space="preserve">). That in part explains why it features prominently in anti-circumvention cases. But the numbers suggest that </w:t>
      </w:r>
      <w:r w:rsidR="002406F0">
        <w:rPr>
          <w:rFonts w:cs="Arial"/>
          <w:sz w:val="24"/>
          <w:szCs w:val="24"/>
        </w:rPr>
        <w:t>PRC</w:t>
      </w:r>
      <w:r w:rsidR="00705737">
        <w:rPr>
          <w:rFonts w:cs="Arial"/>
          <w:sz w:val="24"/>
          <w:szCs w:val="24"/>
        </w:rPr>
        <w:t xml:space="preserve">’s share of circumvention cases is higher than its share of anti-dumping cases in all of the three deep dive jurisdictions, suggesting that businesses in </w:t>
      </w:r>
      <w:r w:rsidR="002406F0">
        <w:rPr>
          <w:rFonts w:cs="Arial"/>
          <w:sz w:val="24"/>
          <w:szCs w:val="24"/>
        </w:rPr>
        <w:t>PRC</w:t>
      </w:r>
      <w:r w:rsidR="00705737">
        <w:rPr>
          <w:rFonts w:cs="Arial"/>
          <w:sz w:val="24"/>
          <w:szCs w:val="24"/>
        </w:rPr>
        <w:t xml:space="preserve"> targeted by trade remedies have a greater propensity to engaged in circumvention. The analysis of EU anti-circumvention cases involving </w:t>
      </w:r>
      <w:r w:rsidR="002406F0">
        <w:rPr>
          <w:rFonts w:cs="Arial"/>
          <w:sz w:val="24"/>
          <w:szCs w:val="24"/>
        </w:rPr>
        <w:t>PRC</w:t>
      </w:r>
      <w:r w:rsidR="00705737">
        <w:rPr>
          <w:rFonts w:cs="Arial"/>
          <w:sz w:val="24"/>
          <w:szCs w:val="24"/>
        </w:rPr>
        <w:t xml:space="preserve"> highlights the role played by </w:t>
      </w:r>
      <w:r w:rsidR="00862504">
        <w:rPr>
          <w:rFonts w:cs="Arial"/>
          <w:sz w:val="24"/>
          <w:szCs w:val="24"/>
        </w:rPr>
        <w:t>S</w:t>
      </w:r>
      <w:r w:rsidR="00763F12">
        <w:rPr>
          <w:rFonts w:cs="Arial"/>
          <w:sz w:val="24"/>
          <w:szCs w:val="24"/>
        </w:rPr>
        <w:t xml:space="preserve">outh and </w:t>
      </w:r>
      <w:r w:rsidR="00862504">
        <w:rPr>
          <w:rFonts w:cs="Arial"/>
          <w:sz w:val="24"/>
          <w:szCs w:val="24"/>
        </w:rPr>
        <w:t>S</w:t>
      </w:r>
      <w:r w:rsidR="00763F12">
        <w:rPr>
          <w:rFonts w:cs="Arial"/>
          <w:sz w:val="24"/>
          <w:szCs w:val="24"/>
        </w:rPr>
        <w:t>outh</w:t>
      </w:r>
      <w:r w:rsidR="00975591">
        <w:rPr>
          <w:rFonts w:cs="Arial"/>
          <w:sz w:val="24"/>
          <w:szCs w:val="24"/>
        </w:rPr>
        <w:t>-</w:t>
      </w:r>
      <w:r w:rsidR="00763F12">
        <w:rPr>
          <w:rFonts w:cs="Arial"/>
          <w:sz w:val="24"/>
          <w:szCs w:val="24"/>
        </w:rPr>
        <w:t>East Asia</w:t>
      </w:r>
      <w:r w:rsidR="00567561">
        <w:rPr>
          <w:rFonts w:cs="Arial"/>
          <w:sz w:val="24"/>
          <w:szCs w:val="24"/>
        </w:rPr>
        <w:t xml:space="preserve"> as a “hub” for circumvention</w:t>
      </w:r>
      <w:r w:rsidR="00763F12">
        <w:rPr>
          <w:rFonts w:cs="Arial"/>
          <w:sz w:val="24"/>
          <w:szCs w:val="24"/>
        </w:rPr>
        <w:t>. Recognising products and jurisdictions that present a more material risk of circumvention can help to increase preparedness and can inform engagement with industry.</w:t>
      </w:r>
    </w:p>
    <w:p w14:paraId="73E22314" w14:textId="64D8DCD7" w:rsidR="00020A49" w:rsidRDefault="00567561" w:rsidP="00020A49">
      <w:pPr>
        <w:pStyle w:val="ListParagraph"/>
        <w:numPr>
          <w:ilvl w:val="0"/>
          <w:numId w:val="28"/>
        </w:numPr>
        <w:spacing w:line="360" w:lineRule="auto"/>
        <w:rPr>
          <w:rFonts w:cs="Arial"/>
          <w:sz w:val="24"/>
          <w:szCs w:val="24"/>
        </w:rPr>
      </w:pPr>
      <w:r>
        <w:rPr>
          <w:rFonts w:cs="Arial"/>
          <w:sz w:val="24"/>
          <w:szCs w:val="24"/>
        </w:rPr>
        <w:t>Recognise that b</w:t>
      </w:r>
      <w:r w:rsidR="00096BBB">
        <w:rPr>
          <w:rFonts w:cs="Arial"/>
          <w:sz w:val="24"/>
          <w:szCs w:val="24"/>
        </w:rPr>
        <w:t>uild</w:t>
      </w:r>
      <w:r>
        <w:rPr>
          <w:rFonts w:cs="Arial"/>
          <w:sz w:val="24"/>
          <w:szCs w:val="24"/>
        </w:rPr>
        <w:t>ing</w:t>
      </w:r>
      <w:r w:rsidR="00096BBB">
        <w:rPr>
          <w:rFonts w:cs="Arial"/>
          <w:sz w:val="24"/>
          <w:szCs w:val="24"/>
        </w:rPr>
        <w:t xml:space="preserve"> expertise in circumvention process</w:t>
      </w:r>
      <w:r w:rsidR="00F50E56">
        <w:rPr>
          <w:rFonts w:cs="Arial"/>
          <w:sz w:val="24"/>
          <w:szCs w:val="24"/>
        </w:rPr>
        <w:t>es</w:t>
      </w:r>
      <w:r>
        <w:rPr>
          <w:rFonts w:cs="Arial"/>
          <w:sz w:val="24"/>
          <w:szCs w:val="24"/>
        </w:rPr>
        <w:t xml:space="preserve"> is a complex task. I</w:t>
      </w:r>
      <w:r w:rsidR="00096BBB">
        <w:rPr>
          <w:rFonts w:cs="Arial"/>
          <w:sz w:val="24"/>
          <w:szCs w:val="24"/>
        </w:rPr>
        <w:t>t is necessary to i</w:t>
      </w:r>
      <w:r w:rsidR="00020A49">
        <w:rPr>
          <w:rFonts w:cs="Arial"/>
          <w:sz w:val="24"/>
          <w:szCs w:val="24"/>
        </w:rPr>
        <w:t xml:space="preserve">nvest in developing in-house expertise regarding </w:t>
      </w:r>
      <w:r w:rsidR="00763F12">
        <w:rPr>
          <w:rFonts w:cs="Arial"/>
          <w:sz w:val="24"/>
          <w:szCs w:val="24"/>
        </w:rPr>
        <w:t>products and jurisdictions</w:t>
      </w:r>
      <w:r w:rsidR="00020A49">
        <w:rPr>
          <w:rFonts w:cs="Arial"/>
          <w:sz w:val="24"/>
          <w:szCs w:val="24"/>
        </w:rPr>
        <w:t xml:space="preserve"> or</w:t>
      </w:r>
      <w:r w:rsidR="00763F12">
        <w:rPr>
          <w:rFonts w:cs="Arial"/>
          <w:sz w:val="24"/>
          <w:szCs w:val="24"/>
        </w:rPr>
        <w:t xml:space="preserve"> </w:t>
      </w:r>
      <w:r w:rsidR="00F50E56">
        <w:rPr>
          <w:rFonts w:cs="Arial"/>
          <w:sz w:val="24"/>
          <w:szCs w:val="24"/>
        </w:rPr>
        <w:t xml:space="preserve">to </w:t>
      </w:r>
      <w:r w:rsidR="00763F12">
        <w:rPr>
          <w:rFonts w:cs="Arial"/>
          <w:sz w:val="24"/>
          <w:szCs w:val="24"/>
        </w:rPr>
        <w:t>identify</w:t>
      </w:r>
      <w:r w:rsidR="00020A49">
        <w:rPr>
          <w:rFonts w:cs="Arial"/>
          <w:sz w:val="24"/>
          <w:szCs w:val="24"/>
        </w:rPr>
        <w:t xml:space="preserve"> ways of accessing such expertise</w:t>
      </w:r>
      <w:r w:rsidR="00723F96">
        <w:rPr>
          <w:rFonts w:cs="Arial"/>
          <w:sz w:val="24"/>
          <w:szCs w:val="24"/>
        </w:rPr>
        <w:t>, but</w:t>
      </w:r>
      <w:r>
        <w:rPr>
          <w:rFonts w:cs="Arial"/>
          <w:sz w:val="24"/>
          <w:szCs w:val="24"/>
        </w:rPr>
        <w:t xml:space="preserve"> capacity building also involves learning-by-doing. In addition to </w:t>
      </w:r>
      <w:r w:rsidR="00763F12">
        <w:rPr>
          <w:rFonts w:cs="Arial"/>
          <w:sz w:val="24"/>
          <w:szCs w:val="24"/>
        </w:rPr>
        <w:t>reviewing relevant cases involving the products and jurisdictions</w:t>
      </w:r>
      <w:r>
        <w:rPr>
          <w:rFonts w:cs="Arial"/>
          <w:sz w:val="24"/>
          <w:szCs w:val="24"/>
        </w:rPr>
        <w:t>, it is useful to complete ex-post reviews of cases (as had been done in this report) to consider the robustness of conclusions reached as further data, notably on trade patterns, emerge</w:t>
      </w:r>
      <w:r w:rsidR="00763F12">
        <w:rPr>
          <w:rFonts w:cs="Arial"/>
          <w:sz w:val="24"/>
          <w:szCs w:val="24"/>
        </w:rPr>
        <w:t xml:space="preserve">. </w:t>
      </w:r>
    </w:p>
    <w:p w14:paraId="5F82DD5E" w14:textId="35A7B56E" w:rsidR="00020A49" w:rsidRDefault="00020A49" w:rsidP="00020A49">
      <w:pPr>
        <w:pStyle w:val="ListParagraph"/>
        <w:numPr>
          <w:ilvl w:val="0"/>
          <w:numId w:val="28"/>
        </w:numPr>
        <w:spacing w:line="360" w:lineRule="auto"/>
        <w:rPr>
          <w:rFonts w:cs="Arial"/>
          <w:sz w:val="24"/>
          <w:szCs w:val="24"/>
        </w:rPr>
      </w:pPr>
      <w:r>
        <w:rPr>
          <w:rFonts w:cs="Arial"/>
          <w:sz w:val="24"/>
          <w:szCs w:val="24"/>
        </w:rPr>
        <w:t>Ensur</w:t>
      </w:r>
      <w:r w:rsidR="00F50E56">
        <w:rPr>
          <w:rFonts w:cs="Arial"/>
          <w:sz w:val="24"/>
          <w:szCs w:val="24"/>
        </w:rPr>
        <w:t>e</w:t>
      </w:r>
      <w:r>
        <w:rPr>
          <w:rFonts w:cs="Arial"/>
          <w:sz w:val="24"/>
          <w:szCs w:val="24"/>
        </w:rPr>
        <w:t xml:space="preserve"> that there is </w:t>
      </w:r>
      <w:r w:rsidR="006A028A">
        <w:rPr>
          <w:rFonts w:cs="Arial"/>
          <w:sz w:val="24"/>
          <w:szCs w:val="24"/>
        </w:rPr>
        <w:t xml:space="preserve">sufficient and </w:t>
      </w:r>
      <w:r>
        <w:rPr>
          <w:rFonts w:cs="Arial"/>
          <w:sz w:val="24"/>
          <w:szCs w:val="24"/>
        </w:rPr>
        <w:t>substantial expertise in the forensic analysis of company accounts, and processe</w:t>
      </w:r>
      <w:r w:rsidR="005A3C15">
        <w:rPr>
          <w:rFonts w:cs="Arial"/>
          <w:sz w:val="24"/>
          <w:szCs w:val="24"/>
        </w:rPr>
        <w:t>s</w:t>
      </w:r>
      <w:r>
        <w:rPr>
          <w:rFonts w:cs="Arial"/>
          <w:sz w:val="24"/>
          <w:szCs w:val="24"/>
        </w:rPr>
        <w:t xml:space="preserve"> for making judgements on matters such as cost allocation</w:t>
      </w:r>
      <w:r w:rsidR="00405A88">
        <w:rPr>
          <w:rFonts w:cs="Arial"/>
          <w:sz w:val="24"/>
          <w:szCs w:val="24"/>
        </w:rPr>
        <w:t>, that can be deployed in the context of a circumvention inquiry</w:t>
      </w:r>
      <w:r>
        <w:rPr>
          <w:rFonts w:cs="Arial"/>
          <w:sz w:val="24"/>
          <w:szCs w:val="24"/>
        </w:rPr>
        <w:t>.</w:t>
      </w:r>
    </w:p>
    <w:p w14:paraId="47D67130" w14:textId="724F9545" w:rsidR="00020A49" w:rsidRDefault="00020A49" w:rsidP="00020A49">
      <w:pPr>
        <w:pStyle w:val="ListParagraph"/>
        <w:numPr>
          <w:ilvl w:val="0"/>
          <w:numId w:val="28"/>
        </w:numPr>
        <w:spacing w:line="360" w:lineRule="auto"/>
        <w:rPr>
          <w:rFonts w:cs="Arial"/>
          <w:sz w:val="24"/>
          <w:szCs w:val="24"/>
        </w:rPr>
      </w:pPr>
      <w:r>
        <w:rPr>
          <w:rFonts w:cs="Arial"/>
          <w:sz w:val="24"/>
          <w:szCs w:val="24"/>
        </w:rPr>
        <w:t xml:space="preserve">Liaise with authorities in other jurisdictions to understand approaches, share “best practice” and </w:t>
      </w:r>
      <w:r w:rsidR="00C802FA">
        <w:rPr>
          <w:rFonts w:cs="Arial"/>
          <w:sz w:val="24"/>
          <w:szCs w:val="24"/>
        </w:rPr>
        <w:t>build capacity.</w:t>
      </w:r>
      <w:r w:rsidR="00763F12">
        <w:rPr>
          <w:rFonts w:cs="Arial"/>
          <w:sz w:val="24"/>
          <w:szCs w:val="24"/>
        </w:rPr>
        <w:t xml:space="preserve"> Authorities interviewed in the four jurisdictions of interest – Australia, Canada, the EU and the United States – all expressed a willingness to collaborate with other authorities on circumvention matters. </w:t>
      </w:r>
      <w:r w:rsidR="00F50E56">
        <w:rPr>
          <w:rFonts w:cs="Arial"/>
          <w:sz w:val="24"/>
          <w:szCs w:val="24"/>
        </w:rPr>
        <w:t>Specifically e</w:t>
      </w:r>
      <w:r w:rsidR="00C802FA">
        <w:rPr>
          <w:rFonts w:cs="Arial"/>
          <w:sz w:val="24"/>
          <w:szCs w:val="24"/>
        </w:rPr>
        <w:t>xplore</w:t>
      </w:r>
      <w:r w:rsidR="00763F12">
        <w:rPr>
          <w:rFonts w:cs="Arial"/>
          <w:sz w:val="24"/>
          <w:szCs w:val="24"/>
        </w:rPr>
        <w:t xml:space="preserve"> </w:t>
      </w:r>
      <w:r w:rsidR="00C802FA">
        <w:rPr>
          <w:rFonts w:cs="Arial"/>
          <w:sz w:val="24"/>
          <w:szCs w:val="24"/>
        </w:rPr>
        <w:t>collaboration with the European Commission given overlaps in trade remedy concerns and commonalities in legislation.</w:t>
      </w:r>
      <w:r>
        <w:rPr>
          <w:rFonts w:cs="Arial"/>
          <w:sz w:val="24"/>
          <w:szCs w:val="24"/>
        </w:rPr>
        <w:t xml:space="preserve"> </w:t>
      </w:r>
    </w:p>
    <w:p w14:paraId="2875DC80" w14:textId="77777777" w:rsidR="00020A49" w:rsidRPr="00885245" w:rsidRDefault="00020A49" w:rsidP="00885245">
      <w:pPr>
        <w:ind w:left="360"/>
        <w:rPr>
          <w:rFonts w:cs="Arial"/>
          <w:szCs w:val="24"/>
        </w:rPr>
      </w:pPr>
    </w:p>
    <w:p w14:paraId="664794A9" w14:textId="77777777" w:rsidR="00DC271F" w:rsidRDefault="00DC271F" w:rsidP="00A66985">
      <w:pPr>
        <w:rPr>
          <w:rFonts w:cs="Arial"/>
          <w:szCs w:val="24"/>
        </w:rPr>
        <w:sectPr w:rsidR="00DC271F" w:rsidSect="00D72AAE">
          <w:footerReference w:type="default" r:id="rId21"/>
          <w:pgSz w:w="11906" w:h="16838"/>
          <w:pgMar w:top="1440" w:right="1440" w:bottom="1440" w:left="1440" w:header="708" w:footer="708" w:gutter="0"/>
          <w:pgNumType w:start="1"/>
          <w:cols w:space="708"/>
          <w:docGrid w:linePitch="360"/>
        </w:sectPr>
      </w:pPr>
    </w:p>
    <w:p w14:paraId="15658613" w14:textId="2238430A" w:rsidR="008904F9" w:rsidRPr="00F7615F" w:rsidRDefault="000400B9" w:rsidP="0B87AE61">
      <w:pPr>
        <w:pStyle w:val="Heading1"/>
        <w:rPr>
          <w:rFonts w:cs="Arial"/>
          <w:b w:val="0"/>
        </w:rPr>
      </w:pPr>
      <w:bookmarkStart w:id="4" w:name="_Toc2059352074"/>
      <w:bookmarkStart w:id="5" w:name="_Toc118465265"/>
      <w:r w:rsidRPr="0B87AE61">
        <w:rPr>
          <w:rFonts w:cs="Arial"/>
        </w:rPr>
        <w:t>2</w:t>
      </w:r>
      <w:r>
        <w:tab/>
      </w:r>
      <w:r w:rsidR="006E3AF9" w:rsidRPr="0B87AE61">
        <w:rPr>
          <w:rFonts w:cs="Arial"/>
        </w:rPr>
        <w:t>Introduction</w:t>
      </w:r>
      <w:bookmarkEnd w:id="4"/>
      <w:bookmarkEnd w:id="5"/>
    </w:p>
    <w:p w14:paraId="15A6759B" w14:textId="108C9391" w:rsidR="0023327E" w:rsidRPr="00F7615F" w:rsidRDefault="000400B9" w:rsidP="00376B7E">
      <w:pPr>
        <w:pStyle w:val="Heading2"/>
        <w:rPr>
          <w:b w:val="0"/>
        </w:rPr>
      </w:pPr>
      <w:bookmarkStart w:id="6" w:name="_Toc2086053165"/>
      <w:bookmarkStart w:id="7" w:name="_Toc118465266"/>
      <w:r>
        <w:t>2.1</w:t>
      </w:r>
      <w:r>
        <w:tab/>
      </w:r>
      <w:r w:rsidR="006E3AF9">
        <w:t>Context and approach</w:t>
      </w:r>
      <w:bookmarkEnd w:id="6"/>
      <w:bookmarkEnd w:id="7"/>
    </w:p>
    <w:p w14:paraId="4DE7ADE1" w14:textId="5A249E94" w:rsidR="00F7615F" w:rsidRDefault="006E3AF9" w:rsidP="00F7615F">
      <w:pPr>
        <w:rPr>
          <w:rFonts w:cs="Arial"/>
          <w:szCs w:val="24"/>
        </w:rPr>
      </w:pPr>
      <w:r>
        <w:rPr>
          <w:rFonts w:cs="Arial"/>
          <w:szCs w:val="24"/>
        </w:rPr>
        <w:t xml:space="preserve">The </w:t>
      </w:r>
      <w:r w:rsidRPr="00EA71C7">
        <w:rPr>
          <w:rFonts w:cs="Arial"/>
          <w:szCs w:val="24"/>
        </w:rPr>
        <w:t xml:space="preserve">Trade Remedies Authority </w:t>
      </w:r>
      <w:r w:rsidR="003E5BFD" w:rsidRPr="00EA71C7">
        <w:rPr>
          <w:rFonts w:cs="Arial"/>
          <w:szCs w:val="24"/>
        </w:rPr>
        <w:t>(</w:t>
      </w:r>
      <w:r w:rsidRPr="00EA71C7">
        <w:rPr>
          <w:rFonts w:cs="Arial"/>
          <w:szCs w:val="24"/>
        </w:rPr>
        <w:t>TRA)</w:t>
      </w:r>
      <w:r w:rsidRPr="00F50E56">
        <w:rPr>
          <w:rFonts w:cs="Arial"/>
          <w:szCs w:val="24"/>
        </w:rPr>
        <w:t xml:space="preserve"> commissioned</w:t>
      </w:r>
      <w:r>
        <w:rPr>
          <w:rFonts w:cs="Arial"/>
          <w:szCs w:val="24"/>
        </w:rPr>
        <w:t xml:space="preserve"> Frontier Economics to undertake research into the circumvention of trade remedies and</w:t>
      </w:r>
      <w:r w:rsidR="00DE395D">
        <w:rPr>
          <w:rFonts w:cs="Arial"/>
          <w:szCs w:val="24"/>
        </w:rPr>
        <w:t>,</w:t>
      </w:r>
      <w:r>
        <w:rPr>
          <w:rFonts w:cs="Arial"/>
          <w:szCs w:val="24"/>
        </w:rPr>
        <w:t xml:space="preserve"> specifically, methods that are used to determine the existence</w:t>
      </w:r>
      <w:r w:rsidRPr="00F50E56">
        <w:rPr>
          <w:rFonts w:cs="Arial"/>
          <w:szCs w:val="24"/>
        </w:rPr>
        <w:t xml:space="preserve">, </w:t>
      </w:r>
      <w:r w:rsidR="00780A84" w:rsidRPr="00EA71C7">
        <w:rPr>
          <w:rFonts w:cs="Arial"/>
          <w:szCs w:val="24"/>
        </w:rPr>
        <w:t>form and</w:t>
      </w:r>
      <w:r w:rsidR="00780A84">
        <w:rPr>
          <w:rFonts w:cs="Arial"/>
          <w:szCs w:val="24"/>
        </w:rPr>
        <w:t xml:space="preserve"> </w:t>
      </w:r>
      <w:r>
        <w:rPr>
          <w:rFonts w:cs="Arial"/>
          <w:szCs w:val="24"/>
        </w:rPr>
        <w:t xml:space="preserve">extent </w:t>
      </w:r>
      <w:r w:rsidR="004B0925">
        <w:rPr>
          <w:rFonts w:cs="Arial"/>
          <w:szCs w:val="24"/>
        </w:rPr>
        <w:t xml:space="preserve">of </w:t>
      </w:r>
      <w:r>
        <w:rPr>
          <w:rFonts w:cs="Arial"/>
          <w:szCs w:val="24"/>
        </w:rPr>
        <w:t xml:space="preserve">circumvention. </w:t>
      </w:r>
      <w:r w:rsidRPr="006E3AF9">
        <w:rPr>
          <w:rFonts w:cs="Arial"/>
          <w:szCs w:val="24"/>
        </w:rPr>
        <w:t xml:space="preserve">Circumvention </w:t>
      </w:r>
      <w:r w:rsidRPr="00462D0C">
        <w:rPr>
          <w:rFonts w:cs="Arial"/>
          <w:szCs w:val="24"/>
        </w:rPr>
        <w:t xml:space="preserve">refers to actions taken to avoid duties imposed as a consequence of </w:t>
      </w:r>
      <w:r w:rsidRPr="00EA71C7">
        <w:rPr>
          <w:rFonts w:cs="Arial"/>
          <w:szCs w:val="24"/>
        </w:rPr>
        <w:t xml:space="preserve">anti-dumping </w:t>
      </w:r>
      <w:r w:rsidRPr="006E3AF9">
        <w:rPr>
          <w:rFonts w:cs="Arial"/>
          <w:szCs w:val="24"/>
        </w:rPr>
        <w:t xml:space="preserve">or countervailing measures. </w:t>
      </w:r>
      <w:r>
        <w:rPr>
          <w:rFonts w:cs="Arial"/>
          <w:szCs w:val="24"/>
        </w:rPr>
        <w:t xml:space="preserve">There is no common </w:t>
      </w:r>
      <w:r w:rsidR="00DE395D">
        <w:rPr>
          <w:rFonts w:cs="Arial"/>
          <w:szCs w:val="24"/>
        </w:rPr>
        <w:t xml:space="preserve">international </w:t>
      </w:r>
      <w:r>
        <w:rPr>
          <w:rFonts w:cs="Arial"/>
          <w:szCs w:val="24"/>
        </w:rPr>
        <w:t xml:space="preserve">definition </w:t>
      </w:r>
      <w:r w:rsidR="002B7DFC">
        <w:rPr>
          <w:rFonts w:cs="Arial"/>
          <w:szCs w:val="24"/>
        </w:rPr>
        <w:t>of what actions</w:t>
      </w:r>
      <w:r w:rsidR="00096BBB">
        <w:rPr>
          <w:rFonts w:cs="Arial"/>
          <w:szCs w:val="24"/>
        </w:rPr>
        <w:t xml:space="preserve"> </w:t>
      </w:r>
      <w:r w:rsidR="002B7DFC">
        <w:rPr>
          <w:rFonts w:cs="Arial"/>
          <w:szCs w:val="24"/>
        </w:rPr>
        <w:t>count as circumvention</w:t>
      </w:r>
      <w:r w:rsidR="00096BBB">
        <w:rPr>
          <w:rFonts w:cs="Arial"/>
          <w:szCs w:val="24"/>
        </w:rPr>
        <w:t>.</w:t>
      </w:r>
      <w:r>
        <w:rPr>
          <w:rFonts w:cs="Arial"/>
          <w:szCs w:val="24"/>
        </w:rPr>
        <w:t xml:space="preserve"> </w:t>
      </w:r>
      <w:r w:rsidR="00096BBB">
        <w:rPr>
          <w:rFonts w:cs="Arial"/>
          <w:szCs w:val="24"/>
        </w:rPr>
        <w:t>I</w:t>
      </w:r>
      <w:r>
        <w:rPr>
          <w:rFonts w:cs="Arial"/>
          <w:szCs w:val="24"/>
        </w:rPr>
        <w:t>ndeed</w:t>
      </w:r>
      <w:r w:rsidR="008C1C8D">
        <w:rPr>
          <w:rFonts w:cs="Arial"/>
          <w:szCs w:val="24"/>
        </w:rPr>
        <w:t>,</w:t>
      </w:r>
      <w:r>
        <w:rPr>
          <w:rFonts w:cs="Arial"/>
          <w:szCs w:val="24"/>
        </w:rPr>
        <w:t xml:space="preserve"> many jurisdictions do not identify circumvention specifically within their legal frameworks</w:t>
      </w:r>
      <w:r w:rsidR="002D4F82">
        <w:rPr>
          <w:rFonts w:cs="Arial"/>
          <w:szCs w:val="24"/>
        </w:rPr>
        <w:t xml:space="preserve"> for trade remedies</w:t>
      </w:r>
      <w:r>
        <w:rPr>
          <w:rFonts w:cs="Arial"/>
          <w:szCs w:val="24"/>
        </w:rPr>
        <w:t xml:space="preserve">. Those that do tend to identify circumvention in terms of </w:t>
      </w:r>
      <w:r w:rsidR="005C5631">
        <w:rPr>
          <w:rFonts w:cs="Arial"/>
          <w:szCs w:val="24"/>
        </w:rPr>
        <w:t>activities</w:t>
      </w:r>
      <w:r w:rsidRPr="006E3AF9">
        <w:rPr>
          <w:rFonts w:cs="Arial"/>
          <w:szCs w:val="24"/>
        </w:rPr>
        <w:t xml:space="preserve"> by parties to modify product, </w:t>
      </w:r>
      <w:r w:rsidRPr="00C966B0">
        <w:rPr>
          <w:rFonts w:cs="Arial"/>
          <w:szCs w:val="24"/>
        </w:rPr>
        <w:t>producer</w:t>
      </w:r>
      <w:r w:rsidRPr="006E3AF9">
        <w:rPr>
          <w:rFonts w:cs="Arial"/>
          <w:szCs w:val="24"/>
        </w:rPr>
        <w:t xml:space="preserve"> or origin characteristics in a bid to avoid duties</w:t>
      </w:r>
      <w:r>
        <w:rPr>
          <w:rFonts w:cs="Arial"/>
          <w:szCs w:val="24"/>
        </w:rPr>
        <w:t>.</w:t>
      </w:r>
    </w:p>
    <w:p w14:paraId="17CF89A2" w14:textId="26296DBE" w:rsidR="00B47B97" w:rsidRDefault="006E3AF9" w:rsidP="00F7615F">
      <w:pPr>
        <w:rPr>
          <w:rFonts w:cs="Arial"/>
          <w:szCs w:val="24"/>
        </w:rPr>
      </w:pPr>
      <w:r>
        <w:rPr>
          <w:rFonts w:cs="Arial"/>
          <w:szCs w:val="24"/>
        </w:rPr>
        <w:t xml:space="preserve">The </w:t>
      </w:r>
      <w:r w:rsidR="00C966B0">
        <w:rPr>
          <w:rFonts w:cs="Arial"/>
          <w:szCs w:val="24"/>
        </w:rPr>
        <w:t xml:space="preserve">approach of </w:t>
      </w:r>
      <w:r w:rsidR="00C966B0" w:rsidRPr="00C966B0">
        <w:rPr>
          <w:rFonts w:cs="Arial"/>
          <w:szCs w:val="24"/>
        </w:rPr>
        <w:t xml:space="preserve">the </w:t>
      </w:r>
      <w:r w:rsidRPr="00EA71C7">
        <w:rPr>
          <w:rFonts w:cs="Arial"/>
          <w:szCs w:val="24"/>
        </w:rPr>
        <w:t>U</w:t>
      </w:r>
      <w:r w:rsidR="004B0925" w:rsidRPr="00EA71C7">
        <w:rPr>
          <w:rFonts w:cs="Arial"/>
          <w:szCs w:val="24"/>
        </w:rPr>
        <w:t xml:space="preserve">nited </w:t>
      </w:r>
      <w:r w:rsidRPr="00EA71C7">
        <w:rPr>
          <w:rFonts w:cs="Arial"/>
          <w:szCs w:val="24"/>
        </w:rPr>
        <w:t>K</w:t>
      </w:r>
      <w:r w:rsidR="004B0925" w:rsidRPr="00EA71C7">
        <w:rPr>
          <w:rFonts w:cs="Arial"/>
          <w:szCs w:val="24"/>
        </w:rPr>
        <w:t>ingdom</w:t>
      </w:r>
      <w:r w:rsidRPr="00EA71C7">
        <w:rPr>
          <w:rFonts w:cs="Arial"/>
          <w:szCs w:val="24"/>
        </w:rPr>
        <w:t xml:space="preserve"> </w:t>
      </w:r>
      <w:r w:rsidR="003F5921" w:rsidRPr="00EA71C7">
        <w:rPr>
          <w:rFonts w:cs="Arial"/>
          <w:szCs w:val="24"/>
        </w:rPr>
        <w:t>(UK)</w:t>
      </w:r>
      <w:r w:rsidR="003F5921" w:rsidRPr="00C966B0">
        <w:rPr>
          <w:rFonts w:cs="Arial"/>
          <w:szCs w:val="24"/>
        </w:rPr>
        <w:t xml:space="preserve"> </w:t>
      </w:r>
      <w:r>
        <w:rPr>
          <w:rFonts w:cs="Arial"/>
          <w:szCs w:val="24"/>
        </w:rPr>
        <w:t xml:space="preserve">to circumvention is </w:t>
      </w:r>
      <w:r w:rsidR="005C5631">
        <w:rPr>
          <w:rFonts w:cs="Arial"/>
          <w:szCs w:val="24"/>
        </w:rPr>
        <w:t>established th</w:t>
      </w:r>
      <w:r w:rsidR="00DE395D">
        <w:rPr>
          <w:rFonts w:cs="Arial"/>
          <w:szCs w:val="24"/>
        </w:rPr>
        <w:t>r</w:t>
      </w:r>
      <w:r w:rsidR="005C5631">
        <w:rPr>
          <w:rFonts w:cs="Arial"/>
          <w:szCs w:val="24"/>
        </w:rPr>
        <w:t xml:space="preserve">ough part 7 of </w:t>
      </w:r>
      <w:r w:rsidR="005C5631" w:rsidRPr="005C5631">
        <w:rPr>
          <w:rFonts w:cs="Arial"/>
          <w:szCs w:val="24"/>
        </w:rPr>
        <w:t>The Trade Remedies (Dumping and Subsidisation) (EU Exit) Regulations 2019</w:t>
      </w:r>
      <w:r w:rsidR="005C5631">
        <w:rPr>
          <w:rFonts w:cs="Arial"/>
          <w:szCs w:val="24"/>
        </w:rPr>
        <w:t xml:space="preserve">, specifically </w:t>
      </w:r>
      <w:r w:rsidR="00C168C7">
        <w:rPr>
          <w:rFonts w:cs="Arial"/>
          <w:szCs w:val="24"/>
        </w:rPr>
        <w:t xml:space="preserve">Regulation </w:t>
      </w:r>
      <w:r w:rsidR="005C5631">
        <w:rPr>
          <w:rFonts w:cs="Arial"/>
          <w:szCs w:val="24"/>
        </w:rPr>
        <w:t>73</w:t>
      </w:r>
      <w:r w:rsidR="007E7512">
        <w:rPr>
          <w:rFonts w:cs="Arial"/>
          <w:szCs w:val="24"/>
        </w:rPr>
        <w:t>, and 96E-96</w:t>
      </w:r>
      <w:r w:rsidR="005C5631">
        <w:rPr>
          <w:rFonts w:cs="Arial"/>
          <w:szCs w:val="24"/>
        </w:rPr>
        <w:t xml:space="preserve">. This essentially reproduces the legal framework for anti-circumvention implemented by the </w:t>
      </w:r>
      <w:r w:rsidR="00C966B0">
        <w:rPr>
          <w:rFonts w:cs="Arial"/>
          <w:szCs w:val="24"/>
        </w:rPr>
        <w:t>European Union (</w:t>
      </w:r>
      <w:r w:rsidR="004B0925">
        <w:rPr>
          <w:rFonts w:cs="Arial"/>
          <w:szCs w:val="24"/>
        </w:rPr>
        <w:t>EU</w:t>
      </w:r>
      <w:r w:rsidR="00C966B0">
        <w:rPr>
          <w:rFonts w:cs="Arial"/>
          <w:szCs w:val="24"/>
        </w:rPr>
        <w:t>)</w:t>
      </w:r>
      <w:r>
        <w:rPr>
          <w:rFonts w:cs="Arial"/>
          <w:szCs w:val="24"/>
        </w:rPr>
        <w:t xml:space="preserve"> </w:t>
      </w:r>
      <w:r w:rsidR="005C5631">
        <w:rPr>
          <w:rFonts w:cs="Arial"/>
          <w:szCs w:val="24"/>
        </w:rPr>
        <w:t xml:space="preserve">in Article 13 </w:t>
      </w:r>
      <w:r w:rsidR="005C5631" w:rsidRPr="005C5631">
        <w:rPr>
          <w:rFonts w:cs="Arial"/>
          <w:szCs w:val="24"/>
        </w:rPr>
        <w:t>of the EU Basic Antidumping Regulations and Article 23 of the Basic Anti-Subsidy Regulation</w:t>
      </w:r>
      <w:r w:rsidR="005C5631">
        <w:rPr>
          <w:rFonts w:cs="Arial"/>
          <w:szCs w:val="24"/>
        </w:rPr>
        <w:t xml:space="preserve">. </w:t>
      </w:r>
      <w:r w:rsidR="00B47B97">
        <w:rPr>
          <w:rFonts w:cs="Arial"/>
          <w:szCs w:val="24"/>
        </w:rPr>
        <w:t>Regulation 73</w:t>
      </w:r>
      <w:r w:rsidR="005C5631">
        <w:rPr>
          <w:rFonts w:cs="Arial"/>
          <w:szCs w:val="24"/>
        </w:rPr>
        <w:t>(</w:t>
      </w:r>
      <w:r w:rsidR="00884704">
        <w:rPr>
          <w:rFonts w:cs="Arial"/>
          <w:szCs w:val="24"/>
        </w:rPr>
        <w:t>2</w:t>
      </w:r>
      <w:r w:rsidR="005C5631">
        <w:rPr>
          <w:rFonts w:cs="Arial"/>
          <w:szCs w:val="24"/>
        </w:rPr>
        <w:t>)</w:t>
      </w:r>
      <w:r w:rsidR="00B47B97">
        <w:rPr>
          <w:rFonts w:cs="Arial"/>
          <w:szCs w:val="24"/>
        </w:rPr>
        <w:t xml:space="preserve"> sets out a series of steps to define when </w:t>
      </w:r>
      <w:r w:rsidR="00884704">
        <w:rPr>
          <w:rFonts w:cs="Arial"/>
          <w:szCs w:val="24"/>
        </w:rPr>
        <w:t>circumvention</w:t>
      </w:r>
      <w:r w:rsidR="0023596F">
        <w:rPr>
          <w:rFonts w:cs="Arial"/>
          <w:szCs w:val="24"/>
        </w:rPr>
        <w:t xml:space="preserve"> </w:t>
      </w:r>
      <w:r w:rsidR="00B47B97">
        <w:rPr>
          <w:rFonts w:cs="Arial"/>
          <w:szCs w:val="24"/>
        </w:rPr>
        <w:t>exists. All of th</w:t>
      </w:r>
      <w:r w:rsidR="003F5921">
        <w:rPr>
          <w:rFonts w:cs="Arial"/>
          <w:szCs w:val="24"/>
        </w:rPr>
        <w:t>e</w:t>
      </w:r>
      <w:r w:rsidR="00C966B0">
        <w:rPr>
          <w:rFonts w:cs="Arial"/>
          <w:szCs w:val="24"/>
        </w:rPr>
        <w:t xml:space="preserve"> </w:t>
      </w:r>
      <w:r w:rsidR="00D9481A">
        <w:rPr>
          <w:rFonts w:cs="Arial"/>
          <w:szCs w:val="24"/>
        </w:rPr>
        <w:t xml:space="preserve">requirements in these steps </w:t>
      </w:r>
      <w:r w:rsidR="003F5921">
        <w:rPr>
          <w:rFonts w:cs="Arial"/>
          <w:szCs w:val="24"/>
        </w:rPr>
        <w:t>must</w:t>
      </w:r>
      <w:r w:rsidR="00D9481A">
        <w:rPr>
          <w:rFonts w:cs="Arial"/>
          <w:szCs w:val="24"/>
        </w:rPr>
        <w:t xml:space="preserve"> be met for a finding of </w:t>
      </w:r>
      <w:r w:rsidR="00B47B97">
        <w:rPr>
          <w:rFonts w:cs="Arial"/>
          <w:szCs w:val="24"/>
        </w:rPr>
        <w:t xml:space="preserve">circumvention to be </w:t>
      </w:r>
      <w:r w:rsidR="00D9481A">
        <w:rPr>
          <w:rFonts w:cs="Arial"/>
          <w:szCs w:val="24"/>
        </w:rPr>
        <w:t>made</w:t>
      </w:r>
      <w:r w:rsidR="00B47B97">
        <w:rPr>
          <w:rFonts w:cs="Arial"/>
          <w:szCs w:val="24"/>
        </w:rPr>
        <w:t>.</w:t>
      </w:r>
    </w:p>
    <w:p w14:paraId="5A3A4265" w14:textId="162B4F8A" w:rsidR="00096BBB" w:rsidRDefault="00B47B97" w:rsidP="00F7615F">
      <w:pPr>
        <w:rPr>
          <w:rFonts w:cs="Arial"/>
          <w:szCs w:val="24"/>
        </w:rPr>
      </w:pPr>
      <w:r>
        <w:rPr>
          <w:rFonts w:cs="Arial"/>
          <w:szCs w:val="24"/>
        </w:rPr>
        <w:t>The starting point</w:t>
      </w:r>
      <w:r w:rsidR="00096BBB">
        <w:rPr>
          <w:rFonts w:cs="Arial"/>
          <w:szCs w:val="24"/>
        </w:rPr>
        <w:t xml:space="preserve">, Regulation </w:t>
      </w:r>
      <w:r>
        <w:rPr>
          <w:rFonts w:cs="Arial"/>
          <w:szCs w:val="24"/>
        </w:rPr>
        <w:t>73(2)(a)</w:t>
      </w:r>
      <w:r w:rsidR="003F5921">
        <w:rPr>
          <w:rFonts w:cs="Arial"/>
          <w:szCs w:val="24"/>
        </w:rPr>
        <w:t>,</w:t>
      </w:r>
      <w:r>
        <w:rPr>
          <w:rFonts w:cs="Arial"/>
          <w:szCs w:val="24"/>
        </w:rPr>
        <w:t xml:space="preserve"> is that there must be an observed </w:t>
      </w:r>
      <w:r w:rsidR="00884704">
        <w:rPr>
          <w:rFonts w:cs="Arial"/>
          <w:szCs w:val="24"/>
        </w:rPr>
        <w:t>change in the pattern of trade between the UK and a country not part of the original trade remedy investigation, or a change in the pattern of trade between the UK and companies not covered by the original investigation</w:t>
      </w:r>
      <w:r>
        <w:rPr>
          <w:rFonts w:cs="Arial"/>
          <w:szCs w:val="24"/>
        </w:rPr>
        <w:t xml:space="preserve">. </w:t>
      </w:r>
      <w:r w:rsidR="00D9481A">
        <w:rPr>
          <w:rFonts w:cs="Arial"/>
          <w:szCs w:val="24"/>
        </w:rPr>
        <w:t>However, a</w:t>
      </w:r>
      <w:r>
        <w:rPr>
          <w:rFonts w:cs="Arial"/>
          <w:szCs w:val="24"/>
        </w:rPr>
        <w:t xml:space="preserve"> mere observation of a change in the pattern of trade is not enough. The change must</w:t>
      </w:r>
      <w:r w:rsidR="004A44D9">
        <w:rPr>
          <w:rFonts w:cs="Arial"/>
          <w:szCs w:val="24"/>
        </w:rPr>
        <w:t xml:space="preserve"> be</w:t>
      </w:r>
      <w:r>
        <w:rPr>
          <w:rFonts w:cs="Arial"/>
          <w:szCs w:val="24"/>
        </w:rPr>
        <w:t xml:space="preserve"> </w:t>
      </w:r>
      <w:r w:rsidR="00096BBB">
        <w:rPr>
          <w:rFonts w:cs="Arial"/>
          <w:szCs w:val="24"/>
        </w:rPr>
        <w:t xml:space="preserve">in accordance with Regulation </w:t>
      </w:r>
      <w:r>
        <w:rPr>
          <w:rFonts w:cs="Arial"/>
          <w:szCs w:val="24"/>
        </w:rPr>
        <w:t>73(2)(b)</w:t>
      </w:r>
      <w:r w:rsidR="00096BBB">
        <w:rPr>
          <w:rFonts w:cs="Arial"/>
          <w:szCs w:val="24"/>
        </w:rPr>
        <w:t>,</w:t>
      </w:r>
      <w:r w:rsidR="00D9481A">
        <w:rPr>
          <w:rFonts w:cs="Arial"/>
          <w:szCs w:val="24"/>
        </w:rPr>
        <w:t xml:space="preserve"> which states that the change must result from</w:t>
      </w:r>
      <w:r w:rsidR="003F5921">
        <w:rPr>
          <w:rFonts w:cs="Arial"/>
          <w:szCs w:val="24"/>
        </w:rPr>
        <w:t xml:space="preserve"> </w:t>
      </w:r>
      <w:r>
        <w:rPr>
          <w:rFonts w:cs="Arial"/>
          <w:szCs w:val="24"/>
        </w:rPr>
        <w:t>“</w:t>
      </w:r>
      <w:r w:rsidRPr="00B47B97">
        <w:rPr>
          <w:rFonts w:cs="Arial"/>
          <w:szCs w:val="24"/>
        </w:rPr>
        <w:t>a practice, process or work which has insufficient economic justification other than the avoidance of the anti-dumping amount or countervailing amount</w:t>
      </w:r>
      <w:r>
        <w:rPr>
          <w:rFonts w:cs="Arial"/>
          <w:szCs w:val="24"/>
        </w:rPr>
        <w:t>”</w:t>
      </w:r>
      <w:r w:rsidR="00096BBB">
        <w:rPr>
          <w:rFonts w:cs="Arial"/>
          <w:szCs w:val="24"/>
        </w:rPr>
        <w:t>.</w:t>
      </w:r>
    </w:p>
    <w:p w14:paraId="13A22F0B" w14:textId="16972F37" w:rsidR="006E3AF9" w:rsidRDefault="00B47B97" w:rsidP="00F7615F">
      <w:pPr>
        <w:rPr>
          <w:rFonts w:cs="Arial"/>
          <w:szCs w:val="24"/>
        </w:rPr>
      </w:pPr>
      <w:r>
        <w:rPr>
          <w:rFonts w:cs="Arial"/>
          <w:szCs w:val="24"/>
        </w:rPr>
        <w:t xml:space="preserve">What counts as a “practice, process or work” is defined separately under Regulation 73(3), which sets out a non-exhaustive list including the following: </w:t>
      </w:r>
    </w:p>
    <w:p w14:paraId="7B80E080" w14:textId="40FAFF70" w:rsidR="005C5631" w:rsidRPr="005C5631" w:rsidRDefault="005C5631" w:rsidP="005C5631">
      <w:pPr>
        <w:ind w:left="720"/>
        <w:rPr>
          <w:rFonts w:cs="Arial"/>
          <w:szCs w:val="24"/>
        </w:rPr>
      </w:pPr>
      <w:r w:rsidRPr="005C5631">
        <w:rPr>
          <w:rFonts w:cs="Arial"/>
          <w:szCs w:val="24"/>
        </w:rPr>
        <w:t>(a)</w:t>
      </w:r>
      <w:r w:rsidR="00467C30">
        <w:rPr>
          <w:rFonts w:cs="Arial"/>
          <w:szCs w:val="24"/>
        </w:rPr>
        <w:t xml:space="preserve"> </w:t>
      </w:r>
      <w:r w:rsidR="00CC608F">
        <w:rPr>
          <w:rFonts w:cs="Arial"/>
          <w:szCs w:val="24"/>
        </w:rPr>
        <w:t>T</w:t>
      </w:r>
      <w:r w:rsidRPr="005C5631">
        <w:rPr>
          <w:rFonts w:cs="Arial"/>
          <w:szCs w:val="24"/>
        </w:rPr>
        <w:t>he minor modification of the dumped goods or subsidised imports to make them subject to a different customs code and so not subject to the anti-dumping amount or countervailing amount, provided that the modification does not alter the essential characteristics of the good;</w:t>
      </w:r>
    </w:p>
    <w:p w14:paraId="1A3179BA" w14:textId="782636D6" w:rsidR="005C5631" w:rsidRPr="005C5631" w:rsidRDefault="005C5631" w:rsidP="005C5631">
      <w:pPr>
        <w:ind w:left="720"/>
        <w:rPr>
          <w:rFonts w:cs="Arial"/>
          <w:szCs w:val="24"/>
        </w:rPr>
      </w:pPr>
      <w:r w:rsidRPr="005C5631">
        <w:rPr>
          <w:rFonts w:cs="Arial"/>
          <w:szCs w:val="24"/>
        </w:rPr>
        <w:t>(b)</w:t>
      </w:r>
      <w:r w:rsidR="00467C30">
        <w:rPr>
          <w:rFonts w:cs="Arial"/>
          <w:szCs w:val="24"/>
        </w:rPr>
        <w:t xml:space="preserve"> </w:t>
      </w:r>
      <w:r w:rsidR="00CC608F">
        <w:rPr>
          <w:rFonts w:cs="Arial"/>
          <w:szCs w:val="24"/>
        </w:rPr>
        <w:t>C</w:t>
      </w:r>
      <w:r w:rsidRPr="005C5631">
        <w:rPr>
          <w:rFonts w:cs="Arial"/>
          <w:szCs w:val="24"/>
        </w:rPr>
        <w:t>hannelling the consignment of dumped goods or subsidised imports via third countries;</w:t>
      </w:r>
    </w:p>
    <w:p w14:paraId="77178558" w14:textId="0205BC74" w:rsidR="005C5631" w:rsidRPr="005C5631" w:rsidRDefault="005C5631" w:rsidP="005C5631">
      <w:pPr>
        <w:ind w:left="720"/>
        <w:rPr>
          <w:rFonts w:cs="Arial"/>
          <w:szCs w:val="24"/>
        </w:rPr>
      </w:pPr>
      <w:r w:rsidRPr="005C5631">
        <w:rPr>
          <w:rFonts w:cs="Arial"/>
          <w:szCs w:val="24"/>
        </w:rPr>
        <w:t>(c)</w:t>
      </w:r>
      <w:r w:rsidR="00467C30">
        <w:rPr>
          <w:rFonts w:cs="Arial"/>
          <w:szCs w:val="24"/>
        </w:rPr>
        <w:t xml:space="preserve"> </w:t>
      </w:r>
      <w:r w:rsidR="00CC608F">
        <w:rPr>
          <w:rFonts w:cs="Arial"/>
          <w:szCs w:val="24"/>
        </w:rPr>
        <w:t>T</w:t>
      </w:r>
      <w:r w:rsidRPr="005C5631">
        <w:rPr>
          <w:rFonts w:cs="Arial"/>
          <w:szCs w:val="24"/>
        </w:rPr>
        <w:t xml:space="preserve">he reorganisation by overseas exporters of their patterns and channels of sales in the relevant exporting country or territory in order to export dumped goods or subsidised imports to the </w:t>
      </w:r>
      <w:r w:rsidR="00F46DEE">
        <w:rPr>
          <w:rFonts w:cs="Arial"/>
          <w:szCs w:val="24"/>
        </w:rPr>
        <w:t>UK</w:t>
      </w:r>
      <w:r w:rsidRPr="00F46DEE">
        <w:rPr>
          <w:rFonts w:cs="Arial"/>
          <w:szCs w:val="24"/>
        </w:rPr>
        <w:t xml:space="preserve"> through</w:t>
      </w:r>
      <w:r w:rsidRPr="005C5631">
        <w:rPr>
          <w:rFonts w:cs="Arial"/>
          <w:szCs w:val="24"/>
        </w:rPr>
        <w:t xml:space="preserve"> exporters of goods which are subject to a lower anti-dumping amount or countervailing amount;</w:t>
      </w:r>
      <w:r w:rsidR="00F46DEE">
        <w:rPr>
          <w:rFonts w:cs="Arial"/>
          <w:szCs w:val="24"/>
        </w:rPr>
        <w:t xml:space="preserve"> and</w:t>
      </w:r>
    </w:p>
    <w:p w14:paraId="6C443DF9" w14:textId="0357323F" w:rsidR="006E3AF9" w:rsidRPr="006E3AF9" w:rsidRDefault="005C5631" w:rsidP="005C5631">
      <w:pPr>
        <w:ind w:left="720"/>
        <w:rPr>
          <w:rFonts w:cs="Arial"/>
          <w:szCs w:val="24"/>
        </w:rPr>
      </w:pPr>
      <w:r w:rsidRPr="005C5631">
        <w:rPr>
          <w:rFonts w:cs="Arial"/>
          <w:szCs w:val="24"/>
        </w:rPr>
        <w:t>(d)</w:t>
      </w:r>
      <w:r w:rsidR="00467C30">
        <w:rPr>
          <w:rFonts w:cs="Arial"/>
          <w:szCs w:val="24"/>
        </w:rPr>
        <w:t xml:space="preserve"> </w:t>
      </w:r>
      <w:r w:rsidR="00CC608F">
        <w:rPr>
          <w:rFonts w:cs="Arial"/>
          <w:szCs w:val="24"/>
        </w:rPr>
        <w:t>T</w:t>
      </w:r>
      <w:r w:rsidRPr="005C5631">
        <w:rPr>
          <w:rFonts w:cs="Arial"/>
          <w:szCs w:val="24"/>
        </w:rPr>
        <w:t xml:space="preserve">he assembly of parts by an assembly operation in the </w:t>
      </w:r>
      <w:r w:rsidR="00F46DEE">
        <w:rPr>
          <w:rFonts w:cs="Arial"/>
          <w:szCs w:val="24"/>
        </w:rPr>
        <w:t>UK</w:t>
      </w:r>
      <w:r w:rsidRPr="005C5631">
        <w:rPr>
          <w:rFonts w:cs="Arial"/>
          <w:szCs w:val="24"/>
        </w:rPr>
        <w:t xml:space="preserve"> or a third country.</w:t>
      </w:r>
    </w:p>
    <w:p w14:paraId="43707163" w14:textId="39FEF7C9" w:rsidR="00780A84" w:rsidRDefault="00E674E2" w:rsidP="00F7615F">
      <w:pPr>
        <w:rPr>
          <w:rFonts w:cs="Arial"/>
          <w:szCs w:val="24"/>
        </w:rPr>
      </w:pPr>
      <w:r>
        <w:rPr>
          <w:rFonts w:cs="Arial"/>
          <w:szCs w:val="24"/>
        </w:rPr>
        <w:t>In relation to</w:t>
      </w:r>
      <w:r w:rsidR="00096BBB">
        <w:rPr>
          <w:rFonts w:cs="Arial"/>
          <w:szCs w:val="24"/>
        </w:rPr>
        <w:t xml:space="preserve"> Regulation</w:t>
      </w:r>
      <w:r>
        <w:rPr>
          <w:rFonts w:cs="Arial"/>
          <w:szCs w:val="24"/>
        </w:rPr>
        <w:t xml:space="preserve"> 73(3)(d), </w:t>
      </w:r>
      <w:r w:rsidR="00F46DEE">
        <w:rPr>
          <w:rFonts w:cs="Arial"/>
          <w:szCs w:val="24"/>
        </w:rPr>
        <w:t xml:space="preserve">which </w:t>
      </w:r>
      <w:r>
        <w:rPr>
          <w:rFonts w:cs="Arial"/>
          <w:szCs w:val="24"/>
        </w:rPr>
        <w:t>deal</w:t>
      </w:r>
      <w:r w:rsidR="00F46DEE">
        <w:rPr>
          <w:rFonts w:cs="Arial"/>
          <w:szCs w:val="24"/>
        </w:rPr>
        <w:t>s</w:t>
      </w:r>
      <w:r>
        <w:rPr>
          <w:rFonts w:cs="Arial"/>
          <w:szCs w:val="24"/>
        </w:rPr>
        <w:t xml:space="preserve"> with the assembly of parts, Regulation 73(4) stipulates other conditions that need to be met. In particular, Regulation 73(4)(c) requires that at least 60% of the value of the parts of the assembled goods comes from the jurisdiction under investigation AND </w:t>
      </w:r>
      <w:r w:rsidR="003F5921">
        <w:rPr>
          <w:rFonts w:cs="Arial"/>
          <w:szCs w:val="24"/>
        </w:rPr>
        <w:t xml:space="preserve">that </w:t>
      </w:r>
      <w:r>
        <w:rPr>
          <w:rFonts w:cs="Arial"/>
          <w:szCs w:val="24"/>
        </w:rPr>
        <w:t xml:space="preserve">the said parts account for 25% or less of manufacturing costs. The two conditions need to be satisfied jointly for circumvention </w:t>
      </w:r>
      <w:r w:rsidRPr="00F46DEE">
        <w:rPr>
          <w:rFonts w:cs="Arial"/>
          <w:szCs w:val="24"/>
        </w:rPr>
        <w:t xml:space="preserve">via </w:t>
      </w:r>
      <w:r w:rsidRPr="00EA71C7">
        <w:rPr>
          <w:rFonts w:cs="Arial"/>
          <w:szCs w:val="24"/>
        </w:rPr>
        <w:t>third</w:t>
      </w:r>
      <w:r w:rsidR="00F46DEE">
        <w:rPr>
          <w:rFonts w:cs="Arial"/>
          <w:szCs w:val="24"/>
        </w:rPr>
        <w:t>-</w:t>
      </w:r>
      <w:r w:rsidRPr="00E01FF2">
        <w:rPr>
          <w:rFonts w:cs="Arial"/>
          <w:szCs w:val="24"/>
        </w:rPr>
        <w:t>party</w:t>
      </w:r>
      <w:r w:rsidRPr="00F46DEE">
        <w:rPr>
          <w:rFonts w:cs="Arial"/>
          <w:szCs w:val="24"/>
        </w:rPr>
        <w:t xml:space="preserve"> assembly</w:t>
      </w:r>
      <w:r>
        <w:rPr>
          <w:rFonts w:cs="Arial"/>
          <w:szCs w:val="24"/>
        </w:rPr>
        <w:t xml:space="preserve"> to be found.  </w:t>
      </w:r>
    </w:p>
    <w:p w14:paraId="4F5EF5DF" w14:textId="762CA087" w:rsidR="00884704" w:rsidRDefault="00D558FA" w:rsidP="00F7615F">
      <w:pPr>
        <w:rPr>
          <w:rFonts w:cs="Arial"/>
          <w:szCs w:val="24"/>
        </w:rPr>
      </w:pPr>
      <w:r>
        <w:rPr>
          <w:rFonts w:cs="Arial"/>
          <w:szCs w:val="24"/>
        </w:rPr>
        <w:t xml:space="preserve">Regulation </w:t>
      </w:r>
      <w:r w:rsidR="00780A84">
        <w:rPr>
          <w:rFonts w:cs="Arial"/>
          <w:szCs w:val="24"/>
        </w:rPr>
        <w:t>73</w:t>
      </w:r>
      <w:r w:rsidR="0082197A">
        <w:rPr>
          <w:rFonts w:cs="Arial"/>
          <w:szCs w:val="24"/>
        </w:rPr>
        <w:t>(</w:t>
      </w:r>
      <w:r w:rsidR="00780A84">
        <w:rPr>
          <w:rFonts w:cs="Arial"/>
          <w:szCs w:val="24"/>
        </w:rPr>
        <w:t>2</w:t>
      </w:r>
      <w:r w:rsidR="0082197A">
        <w:rPr>
          <w:rFonts w:cs="Arial"/>
          <w:szCs w:val="24"/>
        </w:rPr>
        <w:t>)</w:t>
      </w:r>
      <w:r w:rsidR="00780A84">
        <w:rPr>
          <w:rFonts w:cs="Arial"/>
          <w:szCs w:val="24"/>
        </w:rPr>
        <w:t xml:space="preserve">(b) </w:t>
      </w:r>
      <w:r w:rsidR="00D9481A">
        <w:rPr>
          <w:rFonts w:cs="Arial"/>
          <w:szCs w:val="24"/>
        </w:rPr>
        <w:t>contains an “insufficient economic justification” requirement</w:t>
      </w:r>
      <w:r w:rsidR="00F46DEE">
        <w:rPr>
          <w:rFonts w:cs="Arial"/>
          <w:szCs w:val="24"/>
        </w:rPr>
        <w:t>.</w:t>
      </w:r>
      <w:r w:rsidR="00D9481A">
        <w:rPr>
          <w:rFonts w:cs="Arial"/>
          <w:szCs w:val="24"/>
        </w:rPr>
        <w:t xml:space="preserve"> This states that</w:t>
      </w:r>
      <w:r w:rsidR="00CC695F">
        <w:rPr>
          <w:rFonts w:cs="Arial"/>
          <w:szCs w:val="24"/>
        </w:rPr>
        <w:t>,</w:t>
      </w:r>
      <w:r w:rsidR="00D9481A">
        <w:rPr>
          <w:rFonts w:cs="Arial"/>
          <w:szCs w:val="24"/>
        </w:rPr>
        <w:t xml:space="preserve"> </w:t>
      </w:r>
      <w:r w:rsidR="00B47B97">
        <w:rPr>
          <w:rFonts w:cs="Arial"/>
          <w:szCs w:val="24"/>
        </w:rPr>
        <w:t>in addition to ascertaining the existence of a change in the pattern of trade and the existence of one or more of the practices identified in Regulation 73(3), the TRA need</w:t>
      </w:r>
      <w:r w:rsidR="00CC695F">
        <w:rPr>
          <w:rFonts w:cs="Arial"/>
          <w:szCs w:val="24"/>
        </w:rPr>
        <w:t>s</w:t>
      </w:r>
      <w:r w:rsidR="00B47B97">
        <w:rPr>
          <w:rFonts w:cs="Arial"/>
          <w:szCs w:val="24"/>
        </w:rPr>
        <w:t xml:space="preserve"> to be satisfied that the principal reason for that activity is the avoidance of duties. In essence, as discussed below, this amounts to a causal test: the change in the pattern of trade would not have occurred but for one or more of the identified practices undertaken for the purposes of duty avoidance. </w:t>
      </w:r>
    </w:p>
    <w:p w14:paraId="7A0CCA07" w14:textId="214A4845" w:rsidR="00B47B97" w:rsidRDefault="00B47B97" w:rsidP="00F7615F">
      <w:pPr>
        <w:rPr>
          <w:rFonts w:cs="Arial"/>
          <w:szCs w:val="24"/>
        </w:rPr>
      </w:pPr>
      <w:r>
        <w:rPr>
          <w:rFonts w:cs="Arial"/>
          <w:szCs w:val="24"/>
        </w:rPr>
        <w:t>Regulation 73(2) sets out two further conditions for a determination of circumvention: there is injury or an observed undermining of the remedial effects of the initial duties (73(2)(c)) and there is dumping, o</w:t>
      </w:r>
      <w:r w:rsidR="00D20603">
        <w:rPr>
          <w:rFonts w:cs="Arial"/>
          <w:szCs w:val="24"/>
        </w:rPr>
        <w:t>r</w:t>
      </w:r>
      <w:r>
        <w:rPr>
          <w:rFonts w:cs="Arial"/>
          <w:szCs w:val="24"/>
        </w:rPr>
        <w:t xml:space="preserve"> the countervailed subsidy still confers a benefit. The injury test does not require a</w:t>
      </w:r>
      <w:r w:rsidR="007E7512">
        <w:rPr>
          <w:rFonts w:cs="Arial"/>
          <w:szCs w:val="24"/>
        </w:rPr>
        <w:t xml:space="preserve"> </w:t>
      </w:r>
      <w:r w:rsidR="007E7512" w:rsidRPr="007E7512">
        <w:rPr>
          <w:rFonts w:cs="Arial"/>
          <w:i/>
          <w:iCs/>
          <w:szCs w:val="24"/>
        </w:rPr>
        <w:t>de novo</w:t>
      </w:r>
      <w:r>
        <w:rPr>
          <w:rFonts w:cs="Arial"/>
          <w:szCs w:val="24"/>
        </w:rPr>
        <w:t xml:space="preserve"> </w:t>
      </w:r>
      <w:r w:rsidR="007E7512">
        <w:rPr>
          <w:rFonts w:cs="Arial"/>
          <w:szCs w:val="24"/>
        </w:rPr>
        <w:t>(</w:t>
      </w:r>
      <w:r w:rsidR="00D9481A">
        <w:rPr>
          <w:rFonts w:cs="Arial"/>
          <w:szCs w:val="24"/>
        </w:rPr>
        <w:t>new</w:t>
      </w:r>
      <w:r w:rsidR="007E7512">
        <w:rPr>
          <w:rFonts w:cs="Arial"/>
          <w:szCs w:val="24"/>
        </w:rPr>
        <w:t>)</w:t>
      </w:r>
      <w:r w:rsidR="00D9481A">
        <w:rPr>
          <w:rFonts w:cs="Arial"/>
          <w:szCs w:val="24"/>
        </w:rPr>
        <w:t xml:space="preserve"> </w:t>
      </w:r>
      <w:r>
        <w:rPr>
          <w:rFonts w:cs="Arial"/>
          <w:szCs w:val="24"/>
        </w:rPr>
        <w:t>causal analysis:</w:t>
      </w:r>
      <w:r w:rsidR="00987100">
        <w:rPr>
          <w:rFonts w:cs="Arial"/>
          <w:szCs w:val="24"/>
        </w:rPr>
        <w:t xml:space="preserve"> it can be satisfied by comparing weighted</w:t>
      </w:r>
      <w:r w:rsidR="00D9481A">
        <w:rPr>
          <w:rFonts w:cs="Arial"/>
          <w:szCs w:val="24"/>
        </w:rPr>
        <w:t xml:space="preserve"> export</w:t>
      </w:r>
      <w:r w:rsidR="00987100">
        <w:rPr>
          <w:rFonts w:cs="Arial"/>
          <w:szCs w:val="24"/>
        </w:rPr>
        <w:t xml:space="preserve"> prices of the circumvented product with those observed in the original inquiry. </w:t>
      </w:r>
      <w:r w:rsidR="00D9481A">
        <w:rPr>
          <w:rFonts w:cs="Arial"/>
          <w:szCs w:val="24"/>
        </w:rPr>
        <w:t xml:space="preserve">If the prices are comparable, then the fact that the original inquiry established injury is sufficient to establish that the prices of the circumventing exports also cause injury. </w:t>
      </w:r>
    </w:p>
    <w:p w14:paraId="39B65EF4" w14:textId="14734243" w:rsidR="00987100" w:rsidRDefault="00987100" w:rsidP="00F7615F">
      <w:pPr>
        <w:rPr>
          <w:rFonts w:cs="Arial"/>
          <w:szCs w:val="24"/>
        </w:rPr>
      </w:pPr>
      <w:r>
        <w:rPr>
          <w:rFonts w:cs="Arial"/>
          <w:szCs w:val="24"/>
        </w:rPr>
        <w:t xml:space="preserve">The focus of this research </w:t>
      </w:r>
      <w:r w:rsidR="00834F9A">
        <w:rPr>
          <w:rFonts w:cs="Arial"/>
          <w:szCs w:val="24"/>
        </w:rPr>
        <w:t xml:space="preserve">is </w:t>
      </w:r>
      <w:r>
        <w:rPr>
          <w:rFonts w:cs="Arial"/>
          <w:szCs w:val="24"/>
        </w:rPr>
        <w:t>on the first two limbs of the circumvention test</w:t>
      </w:r>
      <w:r w:rsidR="0001637F">
        <w:rPr>
          <w:rFonts w:cs="Arial"/>
          <w:szCs w:val="24"/>
        </w:rPr>
        <w:t>,</w:t>
      </w:r>
      <w:r>
        <w:rPr>
          <w:rFonts w:cs="Arial"/>
          <w:szCs w:val="24"/>
        </w:rPr>
        <w:t xml:space="preserve"> i.e.</w:t>
      </w:r>
      <w:r w:rsidR="00CC695F">
        <w:rPr>
          <w:rFonts w:cs="Arial"/>
          <w:szCs w:val="24"/>
        </w:rPr>
        <w:t> </w:t>
      </w:r>
      <w:r>
        <w:rPr>
          <w:rFonts w:cs="Arial"/>
          <w:szCs w:val="24"/>
        </w:rPr>
        <w:t>changes in the pattern of trade and its attribution to a particular circumvention activity. That is because these are the questions that</w:t>
      </w:r>
      <w:r w:rsidR="00CC695F">
        <w:rPr>
          <w:rFonts w:cs="Arial"/>
          <w:szCs w:val="24"/>
        </w:rPr>
        <w:t>,</w:t>
      </w:r>
      <w:r>
        <w:rPr>
          <w:rFonts w:cs="Arial"/>
          <w:szCs w:val="24"/>
        </w:rPr>
        <w:t xml:space="preserve"> in practice</w:t>
      </w:r>
      <w:r w:rsidR="00CC695F">
        <w:rPr>
          <w:rFonts w:cs="Arial"/>
          <w:szCs w:val="24"/>
        </w:rPr>
        <w:t>,</w:t>
      </w:r>
      <w:r>
        <w:rPr>
          <w:rFonts w:cs="Arial"/>
          <w:szCs w:val="24"/>
        </w:rPr>
        <w:t xml:space="preserve"> require the greatest investment in resources from investigating authorities, as the</w:t>
      </w:r>
      <w:r w:rsidR="00D20603">
        <w:rPr>
          <w:rFonts w:cs="Arial"/>
          <w:szCs w:val="24"/>
        </w:rPr>
        <w:t>y</w:t>
      </w:r>
      <w:r>
        <w:rPr>
          <w:rFonts w:cs="Arial"/>
          <w:szCs w:val="24"/>
        </w:rPr>
        <w:t xml:space="preserve"> pose more significant analytical challenges.</w:t>
      </w:r>
      <w:r w:rsidR="00D20603">
        <w:rPr>
          <w:rFonts w:cs="Arial"/>
          <w:szCs w:val="24"/>
        </w:rPr>
        <w:t xml:space="preserve"> In relation to the original investigation, they are also the focus of </w:t>
      </w:r>
      <w:r w:rsidR="00D20603" w:rsidRPr="008F0B37">
        <w:rPr>
          <w:rFonts w:cs="Arial"/>
          <w:i/>
          <w:iCs/>
          <w:szCs w:val="24"/>
        </w:rPr>
        <w:t>de novo</w:t>
      </w:r>
      <w:r w:rsidR="00D20603">
        <w:rPr>
          <w:rFonts w:cs="Arial"/>
          <w:szCs w:val="24"/>
        </w:rPr>
        <w:t xml:space="preserve"> analysis, whereas the other two limbs, relating to injury and to the existence of dumping or the continued benefit delivered by a countervailed subsidy,</w:t>
      </w:r>
      <w:r w:rsidR="00096BBB">
        <w:rPr>
          <w:rFonts w:cs="Arial"/>
          <w:szCs w:val="24"/>
        </w:rPr>
        <w:t xml:space="preserve"> can</w:t>
      </w:r>
      <w:r w:rsidR="00D20603">
        <w:rPr>
          <w:rFonts w:cs="Arial"/>
          <w:szCs w:val="24"/>
        </w:rPr>
        <w:t xml:space="preserve"> draw on the original investigation.</w:t>
      </w:r>
    </w:p>
    <w:p w14:paraId="1BD9B55B" w14:textId="507F18AC" w:rsidR="00884704" w:rsidRDefault="00884704" w:rsidP="00F7615F">
      <w:pPr>
        <w:rPr>
          <w:rFonts w:cs="Arial"/>
          <w:szCs w:val="24"/>
        </w:rPr>
      </w:pPr>
      <w:r>
        <w:rPr>
          <w:rFonts w:cs="Arial"/>
          <w:szCs w:val="24"/>
        </w:rPr>
        <w:t>As observed above, t</w:t>
      </w:r>
      <w:r w:rsidR="005C5631">
        <w:rPr>
          <w:rFonts w:cs="Arial"/>
          <w:szCs w:val="24"/>
        </w:rPr>
        <w:t xml:space="preserve">he </w:t>
      </w:r>
      <w:r>
        <w:rPr>
          <w:rFonts w:cs="Arial"/>
          <w:szCs w:val="24"/>
        </w:rPr>
        <w:t xml:space="preserve">first </w:t>
      </w:r>
      <w:r w:rsidR="005C5631">
        <w:rPr>
          <w:rFonts w:cs="Arial"/>
          <w:szCs w:val="24"/>
        </w:rPr>
        <w:t xml:space="preserve">threshold test for circumvention is that there should be a </w:t>
      </w:r>
      <w:r w:rsidR="005C5631" w:rsidRPr="005C5631">
        <w:rPr>
          <w:rFonts w:cs="Arial"/>
          <w:i/>
          <w:iCs/>
          <w:szCs w:val="24"/>
        </w:rPr>
        <w:t xml:space="preserve">change in the pattern of trade </w:t>
      </w:r>
      <w:r w:rsidR="005C5631">
        <w:rPr>
          <w:rFonts w:cs="Arial"/>
          <w:szCs w:val="24"/>
        </w:rPr>
        <w:t>as a result of these ac</w:t>
      </w:r>
      <w:r>
        <w:rPr>
          <w:rFonts w:cs="Arial"/>
          <w:szCs w:val="24"/>
        </w:rPr>
        <w:t>t</w:t>
      </w:r>
      <w:r w:rsidR="005C5631">
        <w:rPr>
          <w:rFonts w:cs="Arial"/>
          <w:szCs w:val="24"/>
        </w:rPr>
        <w:t>ivities</w:t>
      </w:r>
      <w:r>
        <w:rPr>
          <w:rFonts w:cs="Arial"/>
          <w:szCs w:val="24"/>
        </w:rPr>
        <w:t xml:space="preserve">. From an economic point of view, a change in the pattern of trade </w:t>
      </w:r>
      <w:r w:rsidR="00D50609">
        <w:rPr>
          <w:rFonts w:cs="Arial"/>
          <w:szCs w:val="24"/>
        </w:rPr>
        <w:t xml:space="preserve">could reflect circumvention because the imposition of trade remedies </w:t>
      </w:r>
      <w:r w:rsidR="00445E8E">
        <w:rPr>
          <w:rFonts w:cs="Arial"/>
          <w:szCs w:val="24"/>
        </w:rPr>
        <w:t>creates incentives</w:t>
      </w:r>
      <w:r w:rsidR="00D50609">
        <w:rPr>
          <w:rFonts w:cs="Arial"/>
          <w:szCs w:val="24"/>
        </w:rPr>
        <w:t xml:space="preserve"> for businesses to</w:t>
      </w:r>
      <w:r w:rsidR="00AE0FBF">
        <w:rPr>
          <w:rFonts w:cs="Arial"/>
          <w:szCs w:val="24"/>
        </w:rPr>
        <w:t xml:space="preserve"> </w:t>
      </w:r>
      <w:r w:rsidR="0001637F">
        <w:rPr>
          <w:rFonts w:cs="Arial"/>
          <w:szCs w:val="24"/>
        </w:rPr>
        <w:t>attempt</w:t>
      </w:r>
      <w:r w:rsidR="00AE0FBF">
        <w:rPr>
          <w:rFonts w:cs="Arial"/>
          <w:szCs w:val="24"/>
        </w:rPr>
        <w:t xml:space="preserve"> to</w:t>
      </w:r>
      <w:r w:rsidR="00D50609">
        <w:rPr>
          <w:rFonts w:cs="Arial"/>
          <w:szCs w:val="24"/>
        </w:rPr>
        <w:t xml:space="preserve"> avoid duties by investing in circumvention actions of the sort described above. </w:t>
      </w:r>
      <w:r w:rsidR="002D4F82">
        <w:rPr>
          <w:rFonts w:cs="Arial"/>
          <w:szCs w:val="24"/>
        </w:rPr>
        <w:t xml:space="preserve">In theory at least, it would be profitable for businesses to invest resources in circumvention until the </w:t>
      </w:r>
      <w:r w:rsidR="00096BBB">
        <w:rPr>
          <w:rFonts w:cs="Arial"/>
          <w:szCs w:val="24"/>
        </w:rPr>
        <w:t xml:space="preserve">marginal </w:t>
      </w:r>
      <w:r w:rsidR="002D4F82">
        <w:rPr>
          <w:rFonts w:cs="Arial"/>
          <w:szCs w:val="24"/>
        </w:rPr>
        <w:t xml:space="preserve">benefits of circumvention just offset the </w:t>
      </w:r>
      <w:r w:rsidR="00096BBB">
        <w:rPr>
          <w:rFonts w:cs="Arial"/>
          <w:szCs w:val="24"/>
        </w:rPr>
        <w:t xml:space="preserve">marginal </w:t>
      </w:r>
      <w:r w:rsidR="002D4F82">
        <w:rPr>
          <w:rFonts w:cs="Arial"/>
          <w:szCs w:val="24"/>
        </w:rPr>
        <w:t xml:space="preserve">resource costs of circumvention. </w:t>
      </w:r>
      <w:r w:rsidR="00D50609">
        <w:rPr>
          <w:rFonts w:cs="Arial"/>
          <w:szCs w:val="24"/>
        </w:rPr>
        <w:t xml:space="preserve">There is some evidence to suggest that </w:t>
      </w:r>
      <w:r w:rsidR="002976FE">
        <w:rPr>
          <w:rFonts w:cs="Arial"/>
          <w:szCs w:val="24"/>
        </w:rPr>
        <w:t xml:space="preserve">the </w:t>
      </w:r>
      <w:r w:rsidR="00445E8E">
        <w:rPr>
          <w:rFonts w:cs="Arial"/>
          <w:szCs w:val="24"/>
        </w:rPr>
        <w:t>larger</w:t>
      </w:r>
      <w:r w:rsidR="00780A84">
        <w:rPr>
          <w:rFonts w:cs="Arial"/>
          <w:szCs w:val="24"/>
        </w:rPr>
        <w:t xml:space="preserve"> </w:t>
      </w:r>
      <w:r w:rsidR="00D50609">
        <w:rPr>
          <w:rFonts w:cs="Arial"/>
          <w:szCs w:val="24"/>
        </w:rPr>
        <w:t>the price “wedge” created by the duties, the stronger the incentives for circumvention.</w:t>
      </w:r>
      <w:r w:rsidR="00D50609">
        <w:rPr>
          <w:rStyle w:val="FootnoteReference"/>
          <w:rFonts w:cs="Arial"/>
          <w:szCs w:val="24"/>
        </w:rPr>
        <w:footnoteReference w:id="3"/>
      </w:r>
      <w:r w:rsidR="002D4F82">
        <w:rPr>
          <w:rFonts w:cs="Arial"/>
          <w:szCs w:val="24"/>
        </w:rPr>
        <w:t xml:space="preserve"> In sum, circumvention can be the result of self-interested profit-maximising behaviour by firms</w:t>
      </w:r>
      <w:r w:rsidR="00445E8E">
        <w:rPr>
          <w:rFonts w:cs="Arial"/>
          <w:szCs w:val="24"/>
        </w:rPr>
        <w:t>.</w:t>
      </w:r>
      <w:r w:rsidR="002D4F82">
        <w:rPr>
          <w:rFonts w:cs="Arial"/>
          <w:szCs w:val="24"/>
        </w:rPr>
        <w:t xml:space="preserve"> </w:t>
      </w:r>
    </w:p>
    <w:p w14:paraId="2E854EF8" w14:textId="09D0F753" w:rsidR="00AE0FBF" w:rsidRDefault="00D50609" w:rsidP="00F7615F">
      <w:pPr>
        <w:rPr>
          <w:rFonts w:cs="Arial"/>
          <w:szCs w:val="24"/>
        </w:rPr>
      </w:pPr>
      <w:r>
        <w:rPr>
          <w:rFonts w:cs="Arial"/>
          <w:szCs w:val="24"/>
        </w:rPr>
        <w:t>At the same time, changes in the pattern of trade</w:t>
      </w:r>
      <w:r w:rsidRPr="00D50609">
        <w:rPr>
          <w:rFonts w:cs="Arial"/>
          <w:szCs w:val="24"/>
        </w:rPr>
        <w:t xml:space="preserve"> </w:t>
      </w:r>
      <w:r>
        <w:rPr>
          <w:rFonts w:cs="Arial"/>
          <w:szCs w:val="24"/>
        </w:rPr>
        <w:t>could be the result of legitimate economic responses,</w:t>
      </w:r>
      <w:r w:rsidR="002D4F82">
        <w:rPr>
          <w:rFonts w:cs="Arial"/>
          <w:szCs w:val="24"/>
        </w:rPr>
        <w:t xml:space="preserve"> </w:t>
      </w:r>
      <w:r w:rsidR="00005717">
        <w:rPr>
          <w:rFonts w:cs="Arial"/>
          <w:szCs w:val="24"/>
        </w:rPr>
        <w:t>i.e.</w:t>
      </w:r>
      <w:r w:rsidR="002D4F82">
        <w:rPr>
          <w:rFonts w:cs="Arial"/>
          <w:szCs w:val="24"/>
        </w:rPr>
        <w:t xml:space="preserve"> profit</w:t>
      </w:r>
      <w:r w:rsidR="00CC695F">
        <w:rPr>
          <w:rFonts w:cs="Arial"/>
          <w:szCs w:val="24"/>
        </w:rPr>
        <w:t>-</w:t>
      </w:r>
      <w:r w:rsidR="002D4F82">
        <w:rPr>
          <w:rFonts w:cs="Arial"/>
          <w:szCs w:val="24"/>
        </w:rPr>
        <w:t>maximising behaviour that leads to changes in the choices regarding the location of investment and production</w:t>
      </w:r>
      <w:r>
        <w:rPr>
          <w:rFonts w:cs="Arial"/>
          <w:szCs w:val="24"/>
        </w:rPr>
        <w:t>.</w:t>
      </w:r>
      <w:r w:rsidR="002D4F82">
        <w:rPr>
          <w:rFonts w:cs="Arial"/>
          <w:szCs w:val="24"/>
        </w:rPr>
        <w:t xml:space="preserve"> As duties make commercial activity less profitable in a location targeted by duties, businesses may shift their activities (or parts thereof) elsewhere</w:t>
      </w:r>
      <w:r w:rsidR="009F6E94">
        <w:rPr>
          <w:rFonts w:cs="Arial"/>
          <w:szCs w:val="24"/>
        </w:rPr>
        <w:t xml:space="preserve"> through </w:t>
      </w:r>
      <w:r w:rsidR="00CC695F">
        <w:rPr>
          <w:rFonts w:cs="Arial"/>
          <w:szCs w:val="24"/>
        </w:rPr>
        <w:t>f</w:t>
      </w:r>
      <w:r w:rsidR="009F6E94">
        <w:rPr>
          <w:rFonts w:cs="Arial"/>
          <w:szCs w:val="24"/>
        </w:rPr>
        <w:t xml:space="preserve">oreign </w:t>
      </w:r>
      <w:r w:rsidR="00CC695F">
        <w:rPr>
          <w:rFonts w:cs="Arial"/>
          <w:szCs w:val="24"/>
        </w:rPr>
        <w:t>d</w:t>
      </w:r>
      <w:r w:rsidR="009F6E94">
        <w:rPr>
          <w:rFonts w:cs="Arial"/>
          <w:szCs w:val="24"/>
        </w:rPr>
        <w:t xml:space="preserve">irect </w:t>
      </w:r>
      <w:r w:rsidR="00CC695F">
        <w:rPr>
          <w:rFonts w:cs="Arial"/>
          <w:szCs w:val="24"/>
        </w:rPr>
        <w:t>i</w:t>
      </w:r>
      <w:r w:rsidR="009F6E94">
        <w:rPr>
          <w:rFonts w:cs="Arial"/>
          <w:szCs w:val="24"/>
        </w:rPr>
        <w:t>nvestment (FDI). They</w:t>
      </w:r>
      <w:r w:rsidR="002D4F82">
        <w:rPr>
          <w:rFonts w:cs="Arial"/>
          <w:szCs w:val="24"/>
        </w:rPr>
        <w:t xml:space="preserve"> may cease operations</w:t>
      </w:r>
      <w:r w:rsidR="004B0925">
        <w:rPr>
          <w:rFonts w:cs="Arial"/>
          <w:szCs w:val="24"/>
        </w:rPr>
        <w:t>,</w:t>
      </w:r>
      <w:r w:rsidR="002D4F82">
        <w:rPr>
          <w:rFonts w:cs="Arial"/>
          <w:szCs w:val="24"/>
        </w:rPr>
        <w:t xml:space="preserve"> while businesses in other locations start operations. </w:t>
      </w:r>
    </w:p>
    <w:p w14:paraId="5F272F84" w14:textId="4C2F4867" w:rsidR="00D50609" w:rsidRDefault="00D50609" w:rsidP="36FAB9AE">
      <w:pPr>
        <w:rPr>
          <w:rFonts w:cs="Arial"/>
        </w:rPr>
      </w:pPr>
      <w:r w:rsidRPr="36FAB9AE">
        <w:rPr>
          <w:rFonts w:cs="Arial"/>
        </w:rPr>
        <w:t xml:space="preserve">Indeed, </w:t>
      </w:r>
      <w:r w:rsidR="00AE0FBF" w:rsidRPr="36FAB9AE">
        <w:rPr>
          <w:rFonts w:cs="Arial"/>
        </w:rPr>
        <w:t xml:space="preserve">empirical research confirms that a common consequence of </w:t>
      </w:r>
      <w:r w:rsidRPr="36FAB9AE">
        <w:rPr>
          <w:rFonts w:cs="Arial"/>
        </w:rPr>
        <w:t xml:space="preserve">the imposition of trade remedies is a “diversion” </w:t>
      </w:r>
      <w:r w:rsidR="004B0925" w:rsidRPr="36FAB9AE">
        <w:rPr>
          <w:rFonts w:cs="Arial"/>
        </w:rPr>
        <w:t xml:space="preserve">of </w:t>
      </w:r>
      <w:r w:rsidRPr="36FAB9AE">
        <w:rPr>
          <w:rFonts w:cs="Arial"/>
        </w:rPr>
        <w:t>trade from jurisdictions targeted by the trade remedies in question</w:t>
      </w:r>
      <w:r w:rsidR="00AE0FBF" w:rsidRPr="36FAB9AE">
        <w:rPr>
          <w:rFonts w:cs="Arial"/>
        </w:rPr>
        <w:t xml:space="preserve"> to ones that are not</w:t>
      </w:r>
      <w:r w:rsidRPr="36FAB9AE">
        <w:rPr>
          <w:rFonts w:cs="Arial"/>
        </w:rPr>
        <w:t xml:space="preserve">. </w:t>
      </w:r>
      <w:r w:rsidR="00005717" w:rsidRPr="36FAB9AE">
        <w:rPr>
          <w:rFonts w:cs="Arial"/>
        </w:rPr>
        <w:t>I</w:t>
      </w:r>
      <w:r w:rsidRPr="36FAB9AE">
        <w:rPr>
          <w:rFonts w:cs="Arial"/>
        </w:rPr>
        <w:t>n a sense</w:t>
      </w:r>
      <w:r w:rsidR="00005717" w:rsidRPr="36FAB9AE">
        <w:rPr>
          <w:rFonts w:cs="Arial"/>
        </w:rPr>
        <w:t>, this effect is</w:t>
      </w:r>
      <w:r w:rsidRPr="36FAB9AE">
        <w:rPr>
          <w:rFonts w:cs="Arial"/>
        </w:rPr>
        <w:t xml:space="preserve"> the mirror image of trade diversion that results from the granting of preferential tariff treatment.</w:t>
      </w:r>
      <w:r w:rsidR="00780A84" w:rsidRPr="36FAB9AE">
        <w:rPr>
          <w:rStyle w:val="FootnoteReference"/>
          <w:rFonts w:cs="Arial"/>
        </w:rPr>
        <w:footnoteReference w:id="4"/>
      </w:r>
      <w:r w:rsidRPr="36FAB9AE">
        <w:rPr>
          <w:rFonts w:cs="Arial"/>
        </w:rPr>
        <w:t xml:space="preserve"> More broadly, changes in the pattern of trade may reflect other policy factors </w:t>
      </w:r>
      <w:r w:rsidR="003C3656" w:rsidRPr="36FAB9AE">
        <w:rPr>
          <w:rFonts w:cs="Arial"/>
        </w:rPr>
        <w:t>(</w:t>
      </w:r>
      <w:r w:rsidRPr="36FAB9AE">
        <w:rPr>
          <w:rFonts w:cs="Arial"/>
        </w:rPr>
        <w:t xml:space="preserve">such as the effects of </w:t>
      </w:r>
      <w:r w:rsidR="000C0B47" w:rsidRPr="36FAB9AE">
        <w:rPr>
          <w:rFonts w:cs="Arial"/>
        </w:rPr>
        <w:t>f</w:t>
      </w:r>
      <w:r w:rsidRPr="36FAB9AE">
        <w:rPr>
          <w:rFonts w:cs="Arial"/>
        </w:rPr>
        <w:t xml:space="preserve">ree </w:t>
      </w:r>
      <w:r w:rsidR="000C0B47" w:rsidRPr="36FAB9AE">
        <w:rPr>
          <w:rFonts w:cs="Arial"/>
        </w:rPr>
        <w:t>t</w:t>
      </w:r>
      <w:r w:rsidRPr="36FAB9AE">
        <w:rPr>
          <w:rFonts w:cs="Arial"/>
        </w:rPr>
        <w:t xml:space="preserve">rade </w:t>
      </w:r>
      <w:r w:rsidR="000C0B47" w:rsidRPr="36FAB9AE">
        <w:rPr>
          <w:rFonts w:cs="Arial"/>
        </w:rPr>
        <w:t>a</w:t>
      </w:r>
      <w:r w:rsidRPr="36FAB9AE">
        <w:rPr>
          <w:rFonts w:cs="Arial"/>
        </w:rPr>
        <w:t>greements</w:t>
      </w:r>
      <w:r w:rsidR="000F64D7" w:rsidRPr="36FAB9AE">
        <w:rPr>
          <w:rFonts w:cs="Arial"/>
        </w:rPr>
        <w:t xml:space="preserve"> (FTAs)</w:t>
      </w:r>
      <w:r w:rsidR="003C3656" w:rsidRPr="36FAB9AE">
        <w:rPr>
          <w:rFonts w:cs="Arial"/>
        </w:rPr>
        <w:t>)</w:t>
      </w:r>
      <w:r w:rsidR="00D20603" w:rsidRPr="36FAB9AE">
        <w:rPr>
          <w:rFonts w:cs="Arial"/>
        </w:rPr>
        <w:t xml:space="preserve"> </w:t>
      </w:r>
      <w:r w:rsidRPr="36FAB9AE">
        <w:rPr>
          <w:rFonts w:cs="Arial"/>
        </w:rPr>
        <w:t xml:space="preserve">or exogenous factors (e.g. </w:t>
      </w:r>
      <w:r w:rsidR="002D4F82" w:rsidRPr="36FAB9AE">
        <w:rPr>
          <w:rFonts w:cs="Arial"/>
        </w:rPr>
        <w:t>changes in costs due to technological innovation or improved ease of doing business</w:t>
      </w:r>
      <w:r w:rsidRPr="36FAB9AE">
        <w:rPr>
          <w:rFonts w:cs="Arial"/>
        </w:rPr>
        <w:t>) that may be contemporaneous with trade remedies</w:t>
      </w:r>
      <w:r w:rsidR="002D4F82" w:rsidRPr="36FAB9AE">
        <w:rPr>
          <w:rFonts w:cs="Arial"/>
        </w:rPr>
        <w:t xml:space="preserve"> but not necessarily a consequence of these. </w:t>
      </w:r>
      <w:r w:rsidR="00780A84" w:rsidRPr="36FAB9AE">
        <w:rPr>
          <w:rFonts w:cs="Arial"/>
        </w:rPr>
        <w:t xml:space="preserve">The possibility of these intervening factors is reflected in the language of </w:t>
      </w:r>
      <w:r w:rsidR="00F67754" w:rsidRPr="36FAB9AE">
        <w:rPr>
          <w:rFonts w:cs="Arial"/>
        </w:rPr>
        <w:t xml:space="preserve">Regulation </w:t>
      </w:r>
      <w:r w:rsidR="00780A84" w:rsidRPr="36FAB9AE">
        <w:rPr>
          <w:rFonts w:cs="Arial"/>
        </w:rPr>
        <w:t>73(2)(b) which in essence requires that these other factors are not the determinative factors behind the change in patterns of trade.</w:t>
      </w:r>
      <w:r w:rsidR="004B0925" w:rsidRPr="36FAB9AE">
        <w:rPr>
          <w:rFonts w:cs="Arial"/>
        </w:rPr>
        <w:t xml:space="preserve"> Moreover, just as firms subject to duties have incentives to circumvent, import</w:t>
      </w:r>
      <w:r w:rsidR="000C0B47" w:rsidRPr="36FAB9AE">
        <w:rPr>
          <w:rFonts w:cs="Arial"/>
        </w:rPr>
        <w:t>-</w:t>
      </w:r>
      <w:r w:rsidR="004B0925" w:rsidRPr="36FAB9AE">
        <w:rPr>
          <w:rFonts w:cs="Arial"/>
        </w:rPr>
        <w:t xml:space="preserve">competing firms have incentives to lobby for trade remedies to be imposed and to be extended. </w:t>
      </w:r>
    </w:p>
    <w:p w14:paraId="2B503079" w14:textId="1A1263C9" w:rsidR="007A7FDC" w:rsidRDefault="004B0925" w:rsidP="00F7615F">
      <w:pPr>
        <w:rPr>
          <w:rFonts w:cs="Arial"/>
          <w:szCs w:val="24"/>
        </w:rPr>
      </w:pPr>
      <w:r>
        <w:rPr>
          <w:rFonts w:cs="Arial"/>
          <w:szCs w:val="24"/>
        </w:rPr>
        <w:t>Based on the above, we see that</w:t>
      </w:r>
      <w:r w:rsidR="00780A84">
        <w:rPr>
          <w:rFonts w:cs="Arial"/>
          <w:szCs w:val="24"/>
        </w:rPr>
        <w:t xml:space="preserve"> the analysis </w:t>
      </w:r>
      <w:r w:rsidR="000C0B47">
        <w:rPr>
          <w:rFonts w:cs="Arial"/>
          <w:szCs w:val="24"/>
        </w:rPr>
        <w:t xml:space="preserve">which </w:t>
      </w:r>
      <w:r w:rsidR="00780A84">
        <w:rPr>
          <w:rFonts w:cs="Arial"/>
          <w:szCs w:val="24"/>
        </w:rPr>
        <w:t>needs to be undertaken is a counterfactual one:</w:t>
      </w:r>
      <w:r w:rsidR="0047381D">
        <w:rPr>
          <w:rFonts w:cs="Arial"/>
          <w:szCs w:val="24"/>
        </w:rPr>
        <w:t xml:space="preserve"> (i)</w:t>
      </w:r>
      <w:r w:rsidR="00780A84">
        <w:rPr>
          <w:rFonts w:cs="Arial"/>
          <w:szCs w:val="24"/>
        </w:rPr>
        <w:t xml:space="preserve"> what would </w:t>
      </w:r>
      <w:r w:rsidR="000C0B47">
        <w:rPr>
          <w:rFonts w:cs="Arial"/>
          <w:szCs w:val="24"/>
        </w:rPr>
        <w:t xml:space="preserve">the </w:t>
      </w:r>
      <w:r w:rsidR="00780A84">
        <w:rPr>
          <w:rFonts w:cs="Arial"/>
          <w:szCs w:val="24"/>
        </w:rPr>
        <w:t>patterns of trade have been</w:t>
      </w:r>
      <w:r w:rsidR="00780A84" w:rsidRPr="00780A84">
        <w:rPr>
          <w:rFonts w:cs="Arial"/>
          <w:i/>
          <w:iCs/>
          <w:szCs w:val="24"/>
        </w:rPr>
        <w:t xml:space="preserve"> but for</w:t>
      </w:r>
      <w:r w:rsidR="00780A84">
        <w:rPr>
          <w:rFonts w:cs="Arial"/>
          <w:szCs w:val="24"/>
        </w:rPr>
        <w:t xml:space="preserve"> the imposition of duties, and how does that differ from what we observe?</w:t>
      </w:r>
      <w:r w:rsidR="0047381D">
        <w:rPr>
          <w:rFonts w:cs="Arial"/>
          <w:szCs w:val="24"/>
        </w:rPr>
        <w:t>; and (ii) how much of this difference would be observable but for the specific types of circumvention activities identified in the legislation.</w:t>
      </w:r>
      <w:r w:rsidR="00780A84">
        <w:rPr>
          <w:rFonts w:cs="Arial"/>
          <w:szCs w:val="24"/>
        </w:rPr>
        <w:t xml:space="preserve"> Th</w:t>
      </w:r>
      <w:r w:rsidR="0047381D">
        <w:rPr>
          <w:rFonts w:cs="Arial"/>
          <w:szCs w:val="24"/>
        </w:rPr>
        <w:t>e counterfactual analysis</w:t>
      </w:r>
      <w:r w:rsidR="00780A84">
        <w:rPr>
          <w:rFonts w:cs="Arial"/>
          <w:szCs w:val="24"/>
        </w:rPr>
        <w:t xml:space="preserve"> is needed to distinguish</w:t>
      </w:r>
      <w:r w:rsidR="00780A84" w:rsidRPr="00780A84">
        <w:rPr>
          <w:rFonts w:cs="Arial"/>
          <w:szCs w:val="24"/>
        </w:rPr>
        <w:t xml:space="preserve"> </w:t>
      </w:r>
      <w:r w:rsidR="00780A84">
        <w:rPr>
          <w:rFonts w:cs="Arial"/>
          <w:szCs w:val="24"/>
        </w:rPr>
        <w:t xml:space="preserve">cases of circumvention </w:t>
      </w:r>
      <w:r w:rsidR="000C0B47">
        <w:rPr>
          <w:rFonts w:cs="Arial"/>
          <w:szCs w:val="24"/>
        </w:rPr>
        <w:t xml:space="preserve">which </w:t>
      </w:r>
      <w:r w:rsidR="00780A84">
        <w:rPr>
          <w:rFonts w:cs="Arial"/>
          <w:szCs w:val="24"/>
        </w:rPr>
        <w:t xml:space="preserve">justify the extension of trade remedies from cases in which observed changes to trade patterns stem from other economic forces. </w:t>
      </w:r>
      <w:r w:rsidR="00D50609">
        <w:rPr>
          <w:rFonts w:cs="Arial"/>
          <w:szCs w:val="24"/>
        </w:rPr>
        <w:t xml:space="preserve">From a </w:t>
      </w:r>
      <w:r>
        <w:rPr>
          <w:rFonts w:cs="Arial"/>
          <w:szCs w:val="24"/>
        </w:rPr>
        <w:t>purely</w:t>
      </w:r>
      <w:r w:rsidR="00D50609">
        <w:rPr>
          <w:rFonts w:cs="Arial"/>
          <w:szCs w:val="24"/>
        </w:rPr>
        <w:t xml:space="preserve"> legal point of view, establishing this distinction</w:t>
      </w:r>
      <w:r>
        <w:rPr>
          <w:rFonts w:cs="Arial"/>
          <w:szCs w:val="24"/>
        </w:rPr>
        <w:t xml:space="preserve"> in a robust manner</w:t>
      </w:r>
      <w:r w:rsidR="00D50609">
        <w:rPr>
          <w:rFonts w:cs="Arial"/>
          <w:szCs w:val="24"/>
        </w:rPr>
        <w:t xml:space="preserve"> is important to ensure that measures are insulated from legal challenge, including judicial review.</w:t>
      </w:r>
      <w:r w:rsidR="0047381D">
        <w:rPr>
          <w:rFonts w:cs="Arial"/>
          <w:szCs w:val="24"/>
        </w:rPr>
        <w:t xml:space="preserve"> In particular</w:t>
      </w:r>
      <w:r w:rsidR="007870BC">
        <w:rPr>
          <w:rFonts w:cs="Arial"/>
          <w:szCs w:val="24"/>
        </w:rPr>
        <w:t>,</w:t>
      </w:r>
      <w:r w:rsidR="0047381D">
        <w:rPr>
          <w:rFonts w:cs="Arial"/>
          <w:szCs w:val="24"/>
        </w:rPr>
        <w:t xml:space="preserve"> it helps to meet the standard for positive evidence required to take action under trade remed</w:t>
      </w:r>
      <w:r w:rsidR="007870BC">
        <w:rPr>
          <w:rFonts w:cs="Arial"/>
          <w:szCs w:val="24"/>
        </w:rPr>
        <w:t>y</w:t>
      </w:r>
      <w:r w:rsidR="0047381D">
        <w:rPr>
          <w:rFonts w:cs="Arial"/>
          <w:szCs w:val="24"/>
        </w:rPr>
        <w:t xml:space="preserve"> legislation. That is to say, the counterfactual analysis helps to demonstrate</w:t>
      </w:r>
      <w:r w:rsidR="000C0B47">
        <w:rPr>
          <w:rFonts w:cs="Arial"/>
          <w:szCs w:val="24"/>
        </w:rPr>
        <w:t xml:space="preserve"> that</w:t>
      </w:r>
      <w:r w:rsidR="0047381D">
        <w:rPr>
          <w:rFonts w:cs="Arial"/>
          <w:szCs w:val="24"/>
        </w:rPr>
        <w:t xml:space="preserve"> </w:t>
      </w:r>
      <w:r w:rsidR="005B5EBC">
        <w:rPr>
          <w:rFonts w:cs="Arial"/>
          <w:szCs w:val="24"/>
        </w:rPr>
        <w:t xml:space="preserve">circumvention is </w:t>
      </w:r>
      <w:r w:rsidR="0047381D">
        <w:rPr>
          <w:rFonts w:cs="Arial"/>
          <w:szCs w:val="24"/>
        </w:rPr>
        <w:t>the most plausible explanation for a change in the pattern of trade observed.</w:t>
      </w:r>
    </w:p>
    <w:p w14:paraId="0AE4EFC5" w14:textId="782E7223" w:rsidR="00D50609" w:rsidRDefault="007A7FDC" w:rsidP="694EFD0E">
      <w:pPr>
        <w:rPr>
          <w:rFonts w:cs="Arial"/>
        </w:rPr>
      </w:pPr>
      <w:r w:rsidRPr="694EFD0E">
        <w:rPr>
          <w:rFonts w:cs="Arial"/>
        </w:rPr>
        <w:t>But there is a more fundamental economic objective:</w:t>
      </w:r>
      <w:r w:rsidR="00D50609" w:rsidRPr="694EFD0E">
        <w:rPr>
          <w:rFonts w:cs="Arial"/>
        </w:rPr>
        <w:t xml:space="preserve"> establishing this distinction </w:t>
      </w:r>
      <w:r w:rsidR="004B0925" w:rsidRPr="694EFD0E">
        <w:rPr>
          <w:rFonts w:cs="Arial"/>
        </w:rPr>
        <w:t xml:space="preserve">in a robust manner </w:t>
      </w:r>
      <w:r w:rsidR="00D50609" w:rsidRPr="694EFD0E">
        <w:rPr>
          <w:rFonts w:cs="Arial"/>
        </w:rPr>
        <w:t xml:space="preserve">is important </w:t>
      </w:r>
      <w:r w:rsidR="005B5EBC" w:rsidRPr="694EFD0E">
        <w:rPr>
          <w:rFonts w:cs="Arial"/>
        </w:rPr>
        <w:t xml:space="preserve">as </w:t>
      </w:r>
      <w:r w:rsidR="00D50609" w:rsidRPr="694EFD0E">
        <w:rPr>
          <w:rFonts w:cs="Arial"/>
        </w:rPr>
        <w:t>an unjustified extension of trade remedies can cause economic harm</w:t>
      </w:r>
      <w:r w:rsidR="007F144B" w:rsidRPr="694EFD0E">
        <w:rPr>
          <w:rFonts w:cs="Arial"/>
        </w:rPr>
        <w:t>, potentially adding to any damages caused by the initial trade remedies themselves.</w:t>
      </w:r>
      <w:r w:rsidR="004B0925" w:rsidRPr="694EFD0E">
        <w:rPr>
          <w:rStyle w:val="FootnoteReference"/>
          <w:rFonts w:cs="Arial"/>
        </w:rPr>
        <w:footnoteReference w:id="5"/>
      </w:r>
      <w:r w:rsidR="00EC5D72" w:rsidRPr="694EFD0E">
        <w:rPr>
          <w:rFonts w:cs="Arial"/>
        </w:rPr>
        <w:t xml:space="preserve"> Th</w:t>
      </w:r>
      <w:r w:rsidRPr="694EFD0E">
        <w:rPr>
          <w:rFonts w:cs="Arial"/>
        </w:rPr>
        <w:t>is is because the</w:t>
      </w:r>
      <w:r w:rsidR="00EC5D72" w:rsidRPr="694EFD0E">
        <w:rPr>
          <w:rFonts w:cs="Arial"/>
        </w:rPr>
        <w:t xml:space="preserve"> economic costs of contingent protection, and anti-dumping specifically, are considered to be greater than those of comparable traditional tariff protection.</w:t>
      </w:r>
      <w:r w:rsidRPr="694EFD0E">
        <w:rPr>
          <w:rStyle w:val="FootnoteReference"/>
          <w:rFonts w:cs="Arial"/>
        </w:rPr>
        <w:footnoteReference w:id="6"/>
      </w:r>
      <w:r w:rsidRPr="694EFD0E">
        <w:rPr>
          <w:rStyle w:val="FootnoteReference"/>
          <w:rFonts w:cs="Arial"/>
        </w:rPr>
        <w:t xml:space="preserve"> </w:t>
      </w:r>
      <w:r w:rsidRPr="694EFD0E">
        <w:rPr>
          <w:rFonts w:cs="Arial"/>
        </w:rPr>
        <w:t>This is particularly true in a world of interconnected value chains, and in which trade remedies primarily fall on inputs and intermediates.</w:t>
      </w:r>
      <w:r w:rsidRPr="694EFD0E">
        <w:rPr>
          <w:rStyle w:val="FootnoteReference"/>
          <w:rFonts w:cs="Arial"/>
        </w:rPr>
        <w:footnoteReference w:id="7"/>
      </w:r>
      <w:r w:rsidRPr="694EFD0E">
        <w:rPr>
          <w:rFonts w:cs="Arial"/>
        </w:rPr>
        <w:t xml:space="preserve"> </w:t>
      </w:r>
      <w:r w:rsidR="00EC5D72" w:rsidRPr="694EFD0E">
        <w:rPr>
          <w:rFonts w:cs="Arial"/>
        </w:rPr>
        <w:t>Hence, increasing the scope of duties on erroneous grounds could considerably augment damages.</w:t>
      </w:r>
      <w:r w:rsidR="002D4F82" w:rsidRPr="694EFD0E">
        <w:rPr>
          <w:rFonts w:cs="Arial"/>
        </w:rPr>
        <w:t xml:space="preserve"> How to meet this challenge of correctly identifying circumvention is thus the key overarching theme of this research</w:t>
      </w:r>
      <w:r w:rsidR="00445E8E" w:rsidRPr="694EFD0E">
        <w:rPr>
          <w:rFonts w:cs="Arial"/>
        </w:rPr>
        <w:t>.</w:t>
      </w:r>
      <w:r w:rsidRPr="694EFD0E">
        <w:rPr>
          <w:rFonts w:cs="Arial"/>
        </w:rPr>
        <w:t xml:space="preserve"> </w:t>
      </w:r>
    </w:p>
    <w:p w14:paraId="0CB00DA3" w14:textId="4EC8A080" w:rsidR="00D50609" w:rsidRDefault="000F64D7" w:rsidP="00F7615F">
      <w:pPr>
        <w:rPr>
          <w:rFonts w:cs="Arial"/>
          <w:szCs w:val="24"/>
        </w:rPr>
      </w:pPr>
      <w:r>
        <w:rPr>
          <w:rFonts w:cs="Arial"/>
          <w:szCs w:val="24"/>
        </w:rPr>
        <w:t xml:space="preserve">From a UK perspective, several factors make economic research </w:t>
      </w:r>
      <w:r w:rsidR="007A7FDC">
        <w:rPr>
          <w:rFonts w:cs="Arial"/>
          <w:szCs w:val="24"/>
        </w:rPr>
        <w:t>into</w:t>
      </w:r>
      <w:r>
        <w:rPr>
          <w:rFonts w:cs="Arial"/>
          <w:szCs w:val="24"/>
        </w:rPr>
        <w:t xml:space="preserve"> circumvention</w:t>
      </w:r>
      <w:r w:rsidR="007A7FDC">
        <w:rPr>
          <w:rFonts w:cs="Arial"/>
          <w:szCs w:val="24"/>
        </w:rPr>
        <w:t xml:space="preserve"> and anti-circumvention practices</w:t>
      </w:r>
      <w:r>
        <w:rPr>
          <w:rFonts w:cs="Arial"/>
          <w:szCs w:val="24"/>
        </w:rPr>
        <w:t xml:space="preserve"> particularly relevant. Firstly, the UK’s trade remedy mechanisms</w:t>
      </w:r>
      <w:r w:rsidR="00D20603">
        <w:rPr>
          <w:rFonts w:cs="Arial"/>
          <w:szCs w:val="24"/>
        </w:rPr>
        <w:t xml:space="preserve"> and anti-circumvention practices </w:t>
      </w:r>
      <w:r>
        <w:rPr>
          <w:rFonts w:cs="Arial"/>
          <w:szCs w:val="24"/>
        </w:rPr>
        <w:t xml:space="preserve">are at an early stage of implementation, with a number of demands placed on institutional capacity. Developing an understanding of when circumvention </w:t>
      </w:r>
      <w:r w:rsidR="009B37BD">
        <w:rPr>
          <w:rFonts w:cs="Arial"/>
          <w:szCs w:val="24"/>
        </w:rPr>
        <w:t xml:space="preserve">is </w:t>
      </w:r>
      <w:r w:rsidR="007A7FDC">
        <w:rPr>
          <w:rFonts w:cs="Arial"/>
          <w:szCs w:val="24"/>
        </w:rPr>
        <w:t>a material concern</w:t>
      </w:r>
      <w:r>
        <w:rPr>
          <w:rFonts w:cs="Arial"/>
          <w:szCs w:val="24"/>
        </w:rPr>
        <w:t xml:space="preserve"> can help </w:t>
      </w:r>
      <w:r w:rsidR="005B5EBC">
        <w:rPr>
          <w:rFonts w:cs="Arial"/>
          <w:szCs w:val="24"/>
        </w:rPr>
        <w:t>with</w:t>
      </w:r>
      <w:r w:rsidR="00F41160">
        <w:rPr>
          <w:rFonts w:cs="Arial"/>
          <w:szCs w:val="24"/>
        </w:rPr>
        <w:t xml:space="preserve"> anticipat</w:t>
      </w:r>
      <w:r w:rsidR="005B5EBC">
        <w:rPr>
          <w:rFonts w:cs="Arial"/>
          <w:szCs w:val="24"/>
        </w:rPr>
        <w:t>ing</w:t>
      </w:r>
      <w:r w:rsidR="00F41160">
        <w:rPr>
          <w:rFonts w:cs="Arial"/>
          <w:szCs w:val="24"/>
        </w:rPr>
        <w:t xml:space="preserve"> circumstances in which the TRA might be called to respond, either by monitoring trends on its own initiative or in response to industry demands, and thus </w:t>
      </w:r>
      <w:r w:rsidR="007870BC">
        <w:rPr>
          <w:rFonts w:cs="Arial"/>
          <w:szCs w:val="24"/>
        </w:rPr>
        <w:t>with</w:t>
      </w:r>
      <w:r w:rsidR="00F41160">
        <w:rPr>
          <w:rFonts w:cs="Arial"/>
          <w:szCs w:val="24"/>
        </w:rPr>
        <w:t xml:space="preserve"> </w:t>
      </w:r>
      <w:r>
        <w:rPr>
          <w:rFonts w:cs="Arial"/>
          <w:szCs w:val="24"/>
        </w:rPr>
        <w:t>allocat</w:t>
      </w:r>
      <w:r w:rsidR="007870BC">
        <w:rPr>
          <w:rFonts w:cs="Arial"/>
          <w:szCs w:val="24"/>
        </w:rPr>
        <w:t>ing</w:t>
      </w:r>
      <w:r>
        <w:rPr>
          <w:rFonts w:cs="Arial"/>
          <w:szCs w:val="24"/>
        </w:rPr>
        <w:t xml:space="preserve"> internal capacity appropriately. Secondly, key aspects of the UK</w:t>
      </w:r>
      <w:r w:rsidR="00445E8E">
        <w:rPr>
          <w:rFonts w:cs="Arial"/>
          <w:szCs w:val="24"/>
        </w:rPr>
        <w:t>’</w:t>
      </w:r>
      <w:r>
        <w:rPr>
          <w:rFonts w:cs="Arial"/>
          <w:szCs w:val="24"/>
        </w:rPr>
        <w:t>s trade policy are changing rapidly, notably th</w:t>
      </w:r>
      <w:r w:rsidR="009B37BD">
        <w:rPr>
          <w:rFonts w:cs="Arial"/>
          <w:szCs w:val="24"/>
        </w:rPr>
        <w:t>r</w:t>
      </w:r>
      <w:r>
        <w:rPr>
          <w:rFonts w:cs="Arial"/>
          <w:szCs w:val="24"/>
        </w:rPr>
        <w:t xml:space="preserve">ough the negotiation </w:t>
      </w:r>
      <w:r w:rsidR="005B5EBC">
        <w:rPr>
          <w:rFonts w:cs="Arial"/>
          <w:szCs w:val="24"/>
        </w:rPr>
        <w:t xml:space="preserve">of </w:t>
      </w:r>
      <w:r>
        <w:rPr>
          <w:rFonts w:cs="Arial"/>
          <w:szCs w:val="24"/>
        </w:rPr>
        <w:t xml:space="preserve">FTAs, and these may create changes to the pattern of trade. The status of border arrangements between Northern Ireland and the Republic of Ireland could also create issues around circumvention. </w:t>
      </w:r>
      <w:r w:rsidR="00EC5D72">
        <w:rPr>
          <w:rFonts w:cs="Arial"/>
          <w:szCs w:val="24"/>
        </w:rPr>
        <w:t>Thirdly, the UK has an interest in promoting stability in global trade, given its ambition of being a hub for global value chains. It therefore has an interest in avoiding cascading protection</w:t>
      </w:r>
      <w:r w:rsidR="00CC4763">
        <w:rPr>
          <w:rFonts w:cs="Arial"/>
          <w:szCs w:val="24"/>
        </w:rPr>
        <w:t>. It has already demonstrated a revealed preference</w:t>
      </w:r>
      <w:r w:rsidR="00305947">
        <w:rPr>
          <w:rFonts w:cs="Arial"/>
          <w:szCs w:val="24"/>
        </w:rPr>
        <w:t xml:space="preserve"> in mitigating the costs traditionally associated with trade remedies</w:t>
      </w:r>
      <w:r w:rsidR="00CC4763">
        <w:rPr>
          <w:rFonts w:cs="Arial"/>
          <w:szCs w:val="24"/>
        </w:rPr>
        <w:t xml:space="preserve"> by enshrining </w:t>
      </w:r>
      <w:r w:rsidR="00CC4763" w:rsidRPr="007870BC">
        <w:rPr>
          <w:rFonts w:cs="Arial"/>
          <w:szCs w:val="24"/>
        </w:rPr>
        <w:t xml:space="preserve">an </w:t>
      </w:r>
      <w:r w:rsidR="005B5EBC" w:rsidRPr="00EA71C7">
        <w:rPr>
          <w:rFonts w:cs="Arial"/>
          <w:szCs w:val="24"/>
        </w:rPr>
        <w:t>EIT</w:t>
      </w:r>
      <w:r w:rsidR="00CC4763" w:rsidRPr="007870BC">
        <w:rPr>
          <w:rFonts w:cs="Arial"/>
          <w:szCs w:val="24"/>
        </w:rPr>
        <w:t xml:space="preserve"> in its</w:t>
      </w:r>
      <w:r w:rsidR="00CC4763">
        <w:rPr>
          <w:rFonts w:cs="Arial"/>
          <w:szCs w:val="24"/>
        </w:rPr>
        <w:t xml:space="preserve"> legislation.</w:t>
      </w:r>
      <w:r w:rsidR="00D20603">
        <w:rPr>
          <w:rStyle w:val="FootnoteReference"/>
          <w:rFonts w:cs="Arial"/>
          <w:szCs w:val="24"/>
        </w:rPr>
        <w:footnoteReference w:id="8"/>
      </w:r>
      <w:r w:rsidR="00CC4763">
        <w:rPr>
          <w:rFonts w:cs="Arial"/>
          <w:szCs w:val="24"/>
        </w:rPr>
        <w:t xml:space="preserve"> Finally, the UK has </w:t>
      </w:r>
      <w:r w:rsidR="00F41160">
        <w:rPr>
          <w:rFonts w:cs="Arial"/>
          <w:szCs w:val="24"/>
        </w:rPr>
        <w:t xml:space="preserve">a </w:t>
      </w:r>
      <w:r w:rsidR="00CC4763">
        <w:rPr>
          <w:rFonts w:cs="Arial"/>
          <w:szCs w:val="24"/>
        </w:rPr>
        <w:t xml:space="preserve">more </w:t>
      </w:r>
      <w:r w:rsidR="00EC5D72">
        <w:rPr>
          <w:rFonts w:cs="Arial"/>
          <w:szCs w:val="24"/>
        </w:rPr>
        <w:t>general</w:t>
      </w:r>
      <w:r w:rsidR="00CC4763">
        <w:rPr>
          <w:rFonts w:cs="Arial"/>
          <w:szCs w:val="24"/>
        </w:rPr>
        <w:t xml:space="preserve"> interest </w:t>
      </w:r>
      <w:r w:rsidR="00EC5D72">
        <w:rPr>
          <w:rFonts w:cs="Arial"/>
          <w:szCs w:val="24"/>
        </w:rPr>
        <w:t>in promoting transparency in global trade.</w:t>
      </w:r>
      <w:r w:rsidR="007A7FDC">
        <w:rPr>
          <w:rFonts w:cs="Arial"/>
          <w:szCs w:val="24"/>
        </w:rPr>
        <w:t xml:space="preserve"> Given a fraught international political economy context, with concerns about level playing fields and concerns about distortions stemming from a myriad of factors, it is in the UK’s interest to promote a disciplined approach to anti-circumvention and trade remedies generally.</w:t>
      </w:r>
    </w:p>
    <w:p w14:paraId="1FDCCA13" w14:textId="4DCAD147" w:rsidR="000F64D7" w:rsidRPr="000F64D7" w:rsidRDefault="000400B9" w:rsidP="0B87AE61">
      <w:pPr>
        <w:pStyle w:val="Heading2"/>
        <w:rPr>
          <w:rFonts w:cs="Arial"/>
          <w:b w:val="0"/>
        </w:rPr>
      </w:pPr>
      <w:bookmarkStart w:id="16" w:name="_Toc1745376362"/>
      <w:bookmarkStart w:id="17" w:name="_Toc118465267"/>
      <w:r w:rsidRPr="0B87AE61">
        <w:rPr>
          <w:rFonts w:cs="Arial"/>
        </w:rPr>
        <w:t>2.2</w:t>
      </w:r>
      <w:r>
        <w:tab/>
      </w:r>
      <w:r w:rsidR="000F64D7" w:rsidRPr="0B87AE61">
        <w:rPr>
          <w:rFonts w:cs="Arial"/>
        </w:rPr>
        <w:t>Focus and structure of this research</w:t>
      </w:r>
      <w:bookmarkEnd w:id="16"/>
      <w:bookmarkEnd w:id="17"/>
    </w:p>
    <w:p w14:paraId="62B9D888" w14:textId="5ECC2E4D" w:rsidR="005C5631" w:rsidRDefault="000F64D7" w:rsidP="00F7615F">
      <w:pPr>
        <w:rPr>
          <w:rFonts w:cs="Arial"/>
          <w:szCs w:val="24"/>
        </w:rPr>
      </w:pPr>
      <w:r>
        <w:rPr>
          <w:rFonts w:cs="Arial"/>
          <w:szCs w:val="24"/>
        </w:rPr>
        <w:t>The research is structured as follows:</w:t>
      </w:r>
    </w:p>
    <w:p w14:paraId="39AECD59" w14:textId="77D7A0A5" w:rsidR="000F64D7" w:rsidRDefault="000F64D7" w:rsidP="002D4F82">
      <w:pPr>
        <w:pStyle w:val="ListParagraph"/>
        <w:numPr>
          <w:ilvl w:val="0"/>
          <w:numId w:val="12"/>
        </w:numPr>
        <w:spacing w:line="360" w:lineRule="auto"/>
        <w:rPr>
          <w:rFonts w:cs="Arial"/>
          <w:sz w:val="24"/>
          <w:szCs w:val="24"/>
        </w:rPr>
      </w:pPr>
      <w:r w:rsidRPr="000F64D7">
        <w:rPr>
          <w:rFonts w:cs="Arial"/>
          <w:sz w:val="24"/>
          <w:szCs w:val="24"/>
        </w:rPr>
        <w:t>We take stock of</w:t>
      </w:r>
      <w:r w:rsidR="003E0A7C">
        <w:rPr>
          <w:rFonts w:cs="Arial"/>
          <w:sz w:val="24"/>
          <w:szCs w:val="24"/>
        </w:rPr>
        <w:t xml:space="preserve"> anti-</w:t>
      </w:r>
      <w:r w:rsidRPr="000F64D7">
        <w:rPr>
          <w:rFonts w:cs="Arial"/>
          <w:sz w:val="24"/>
          <w:szCs w:val="24"/>
        </w:rPr>
        <w:t>circumvention cases internationally. In particular, we present</w:t>
      </w:r>
      <w:r>
        <w:rPr>
          <w:rFonts w:cs="Arial"/>
          <w:sz w:val="24"/>
          <w:szCs w:val="24"/>
        </w:rPr>
        <w:t>:</w:t>
      </w:r>
    </w:p>
    <w:p w14:paraId="5F3AA117" w14:textId="01C22F9C" w:rsidR="00235731" w:rsidRDefault="00235731" w:rsidP="009B37BD">
      <w:pPr>
        <w:pStyle w:val="ListParagraph"/>
        <w:numPr>
          <w:ilvl w:val="1"/>
          <w:numId w:val="12"/>
        </w:numPr>
        <w:spacing w:line="360" w:lineRule="auto"/>
        <w:ind w:left="709"/>
        <w:rPr>
          <w:rFonts w:cs="Arial"/>
          <w:sz w:val="24"/>
          <w:szCs w:val="24"/>
        </w:rPr>
      </w:pPr>
      <w:r>
        <w:rPr>
          <w:rFonts w:cs="Arial"/>
          <w:sz w:val="24"/>
          <w:szCs w:val="24"/>
        </w:rPr>
        <w:t>An overview of discussions internationally on circumvention to establish the broader context for the analysis</w:t>
      </w:r>
      <w:r w:rsidR="008C39AD">
        <w:rPr>
          <w:rFonts w:cs="Arial"/>
          <w:sz w:val="24"/>
          <w:szCs w:val="24"/>
        </w:rPr>
        <w:t>;</w:t>
      </w:r>
    </w:p>
    <w:p w14:paraId="5632DBC9" w14:textId="23A59395" w:rsidR="000F64D7" w:rsidRDefault="002D4F82" w:rsidP="009B37BD">
      <w:pPr>
        <w:pStyle w:val="ListParagraph"/>
        <w:numPr>
          <w:ilvl w:val="1"/>
          <w:numId w:val="12"/>
        </w:numPr>
        <w:spacing w:line="360" w:lineRule="auto"/>
        <w:ind w:left="709"/>
        <w:rPr>
          <w:rFonts w:cs="Arial"/>
          <w:sz w:val="24"/>
          <w:szCs w:val="24"/>
        </w:rPr>
      </w:pPr>
      <w:r>
        <w:rPr>
          <w:rFonts w:cs="Arial"/>
          <w:sz w:val="24"/>
          <w:szCs w:val="24"/>
        </w:rPr>
        <w:t>A</w:t>
      </w:r>
      <w:r w:rsidR="000F64D7" w:rsidRPr="000F64D7">
        <w:rPr>
          <w:rFonts w:cs="Arial"/>
          <w:sz w:val="24"/>
          <w:szCs w:val="24"/>
        </w:rPr>
        <w:t xml:space="preserve"> panorama of </w:t>
      </w:r>
      <w:r w:rsidR="003E0A7C">
        <w:rPr>
          <w:rFonts w:cs="Arial"/>
          <w:sz w:val="24"/>
          <w:szCs w:val="24"/>
        </w:rPr>
        <w:t>anti-</w:t>
      </w:r>
      <w:r w:rsidR="000F64D7" w:rsidRPr="000F64D7">
        <w:rPr>
          <w:rFonts w:cs="Arial"/>
          <w:sz w:val="24"/>
          <w:szCs w:val="24"/>
        </w:rPr>
        <w:t>circumvention actions undertaken since 2009 in the following</w:t>
      </w:r>
      <w:r w:rsidR="00D20603">
        <w:rPr>
          <w:rFonts w:cs="Arial"/>
          <w:sz w:val="24"/>
          <w:szCs w:val="24"/>
        </w:rPr>
        <w:t xml:space="preserve"> jurisdictions</w:t>
      </w:r>
      <w:r w:rsidR="000F64D7" w:rsidRPr="000F64D7">
        <w:rPr>
          <w:rFonts w:cs="Arial"/>
          <w:sz w:val="24"/>
          <w:szCs w:val="24"/>
        </w:rPr>
        <w:t>: Argentina, Australia, Brazil, Canada, the EU, India, Mexico, Turkey and the U</w:t>
      </w:r>
      <w:r w:rsidR="00CC4763">
        <w:rPr>
          <w:rFonts w:cs="Arial"/>
          <w:sz w:val="24"/>
          <w:szCs w:val="24"/>
        </w:rPr>
        <w:t xml:space="preserve">nited </w:t>
      </w:r>
      <w:r w:rsidR="000F64D7" w:rsidRPr="000F64D7">
        <w:rPr>
          <w:rFonts w:cs="Arial"/>
          <w:sz w:val="24"/>
          <w:szCs w:val="24"/>
        </w:rPr>
        <w:t>S</w:t>
      </w:r>
      <w:r w:rsidR="00CC4763">
        <w:rPr>
          <w:rFonts w:cs="Arial"/>
          <w:sz w:val="24"/>
          <w:szCs w:val="24"/>
        </w:rPr>
        <w:t>tates</w:t>
      </w:r>
      <w:r w:rsidR="008C39AD">
        <w:rPr>
          <w:rFonts w:cs="Arial"/>
          <w:sz w:val="24"/>
          <w:szCs w:val="24"/>
        </w:rPr>
        <w:t>; and</w:t>
      </w:r>
    </w:p>
    <w:p w14:paraId="3EA83928" w14:textId="430D87E8" w:rsidR="000F64D7" w:rsidRPr="000F64D7" w:rsidRDefault="000F64D7" w:rsidP="009B37BD">
      <w:pPr>
        <w:pStyle w:val="ListParagraph"/>
        <w:numPr>
          <w:ilvl w:val="1"/>
          <w:numId w:val="12"/>
        </w:numPr>
        <w:spacing w:line="360" w:lineRule="auto"/>
        <w:ind w:left="709"/>
        <w:rPr>
          <w:rFonts w:cs="Arial"/>
          <w:sz w:val="24"/>
          <w:szCs w:val="24"/>
        </w:rPr>
      </w:pPr>
      <w:r w:rsidRPr="000F64D7">
        <w:rPr>
          <w:rFonts w:cs="Arial"/>
          <w:sz w:val="24"/>
          <w:szCs w:val="24"/>
        </w:rPr>
        <w:t>“</w:t>
      </w:r>
      <w:r w:rsidRPr="00EA71C7">
        <w:rPr>
          <w:rFonts w:cs="Arial"/>
          <w:sz w:val="24"/>
          <w:szCs w:val="24"/>
        </w:rPr>
        <w:t>Deep</w:t>
      </w:r>
      <w:r w:rsidR="00CC608F" w:rsidRPr="00EA71C7">
        <w:rPr>
          <w:rFonts w:cs="Arial"/>
          <w:sz w:val="24"/>
          <w:szCs w:val="24"/>
        </w:rPr>
        <w:t>-</w:t>
      </w:r>
      <w:r w:rsidRPr="00EA71C7">
        <w:rPr>
          <w:rFonts w:cs="Arial"/>
          <w:sz w:val="24"/>
          <w:szCs w:val="24"/>
        </w:rPr>
        <w:t>dive</w:t>
      </w:r>
      <w:r w:rsidRPr="00CC608F">
        <w:rPr>
          <w:rFonts w:cs="Arial"/>
          <w:sz w:val="24"/>
          <w:szCs w:val="24"/>
        </w:rPr>
        <w:t>” analyses</w:t>
      </w:r>
      <w:r w:rsidRPr="000F64D7">
        <w:rPr>
          <w:rFonts w:cs="Arial"/>
          <w:sz w:val="24"/>
          <w:szCs w:val="24"/>
        </w:rPr>
        <w:t xml:space="preserve"> of the U</w:t>
      </w:r>
      <w:r w:rsidR="00CC4763">
        <w:rPr>
          <w:rFonts w:cs="Arial"/>
          <w:sz w:val="24"/>
          <w:szCs w:val="24"/>
        </w:rPr>
        <w:t xml:space="preserve">nited </w:t>
      </w:r>
      <w:r w:rsidRPr="000F64D7">
        <w:rPr>
          <w:rFonts w:cs="Arial"/>
          <w:sz w:val="24"/>
          <w:szCs w:val="24"/>
        </w:rPr>
        <w:t>S</w:t>
      </w:r>
      <w:r w:rsidR="00CC4763">
        <w:rPr>
          <w:rFonts w:cs="Arial"/>
          <w:sz w:val="24"/>
          <w:szCs w:val="24"/>
        </w:rPr>
        <w:t>tates</w:t>
      </w:r>
      <w:r w:rsidRPr="000F64D7">
        <w:rPr>
          <w:rFonts w:cs="Arial"/>
          <w:sz w:val="24"/>
          <w:szCs w:val="24"/>
        </w:rPr>
        <w:t xml:space="preserve">, Canada, EU </w:t>
      </w:r>
      <w:r w:rsidR="00445E8E">
        <w:rPr>
          <w:rFonts w:cs="Arial"/>
          <w:sz w:val="24"/>
          <w:szCs w:val="24"/>
        </w:rPr>
        <w:t xml:space="preserve">and </w:t>
      </w:r>
      <w:r w:rsidRPr="000F64D7">
        <w:rPr>
          <w:rFonts w:cs="Arial"/>
          <w:sz w:val="24"/>
          <w:szCs w:val="24"/>
        </w:rPr>
        <w:t>Australia. This includes more detailed analysis of the policy and legal context, the</w:t>
      </w:r>
      <w:r>
        <w:rPr>
          <w:rFonts w:cs="Arial"/>
          <w:sz w:val="24"/>
          <w:szCs w:val="24"/>
        </w:rPr>
        <w:t xml:space="preserve"> m</w:t>
      </w:r>
      <w:r w:rsidRPr="000F64D7">
        <w:rPr>
          <w:rFonts w:cs="Arial"/>
          <w:sz w:val="24"/>
          <w:szCs w:val="24"/>
        </w:rPr>
        <w:t>ethodologies and approaches used</w:t>
      </w:r>
      <w:r>
        <w:rPr>
          <w:rFonts w:cs="Arial"/>
          <w:sz w:val="24"/>
          <w:szCs w:val="24"/>
        </w:rPr>
        <w:t>, and consultations with the representatives of authorities responsible for the administration of tra</w:t>
      </w:r>
      <w:r w:rsidR="00235731">
        <w:rPr>
          <w:rFonts w:cs="Arial"/>
          <w:sz w:val="24"/>
          <w:szCs w:val="24"/>
        </w:rPr>
        <w:t>d</w:t>
      </w:r>
      <w:r>
        <w:rPr>
          <w:rFonts w:cs="Arial"/>
          <w:sz w:val="24"/>
          <w:szCs w:val="24"/>
        </w:rPr>
        <w:t xml:space="preserve">e remedies in these countries. </w:t>
      </w:r>
      <w:r w:rsidR="006F6383">
        <w:rPr>
          <w:rFonts w:cs="Arial"/>
          <w:sz w:val="24"/>
          <w:szCs w:val="24"/>
        </w:rPr>
        <w:t xml:space="preserve">    </w:t>
      </w:r>
    </w:p>
    <w:p w14:paraId="32758354" w14:textId="5E0798B0" w:rsidR="000F64D7" w:rsidRDefault="000F64D7" w:rsidP="000F64D7">
      <w:pPr>
        <w:pStyle w:val="ListParagraph"/>
        <w:numPr>
          <w:ilvl w:val="0"/>
          <w:numId w:val="12"/>
        </w:numPr>
        <w:spacing w:line="360" w:lineRule="auto"/>
        <w:rPr>
          <w:rFonts w:cs="Arial"/>
          <w:sz w:val="24"/>
          <w:szCs w:val="24"/>
        </w:rPr>
      </w:pPr>
      <w:r>
        <w:rPr>
          <w:rFonts w:cs="Arial"/>
          <w:sz w:val="24"/>
          <w:szCs w:val="24"/>
        </w:rPr>
        <w:t xml:space="preserve">Drawing on step 1, we review data sources and methodologies </w:t>
      </w:r>
      <w:r w:rsidR="003F2D6E">
        <w:rPr>
          <w:rFonts w:cs="Arial"/>
          <w:sz w:val="24"/>
          <w:szCs w:val="24"/>
        </w:rPr>
        <w:t xml:space="preserve">that could be used in </w:t>
      </w:r>
      <w:r w:rsidR="003E0A7C">
        <w:rPr>
          <w:rFonts w:cs="Arial"/>
          <w:sz w:val="24"/>
          <w:szCs w:val="24"/>
        </w:rPr>
        <w:t>anti-</w:t>
      </w:r>
      <w:r w:rsidR="003F2D6E">
        <w:rPr>
          <w:rFonts w:cs="Arial"/>
          <w:sz w:val="24"/>
          <w:szCs w:val="24"/>
        </w:rPr>
        <w:t>circumvention cases in order to robustly differentiate between cases of circumvention and other factors driving changes in the pattern of trade. We examine the use of data from statistical sources</w:t>
      </w:r>
      <w:r w:rsidR="00CC608F">
        <w:rPr>
          <w:rFonts w:cs="Arial"/>
          <w:sz w:val="24"/>
          <w:szCs w:val="24"/>
        </w:rPr>
        <w:t>;</w:t>
      </w:r>
      <w:r w:rsidR="003F2D6E">
        <w:rPr>
          <w:rFonts w:cs="Arial"/>
          <w:sz w:val="24"/>
          <w:szCs w:val="24"/>
        </w:rPr>
        <w:t xml:space="preserve"> the role played by data obtained through industry, including through written requests by authorities and site visits</w:t>
      </w:r>
      <w:r w:rsidR="00CC608F">
        <w:rPr>
          <w:rFonts w:cs="Arial"/>
          <w:sz w:val="24"/>
          <w:szCs w:val="24"/>
        </w:rPr>
        <w:t>;</w:t>
      </w:r>
      <w:r w:rsidR="003F2D6E">
        <w:rPr>
          <w:rFonts w:cs="Arial"/>
          <w:sz w:val="24"/>
          <w:szCs w:val="24"/>
        </w:rPr>
        <w:t xml:space="preserve"> and the role of qualitative information.</w:t>
      </w:r>
    </w:p>
    <w:p w14:paraId="72DDFB2C" w14:textId="647984A8" w:rsidR="003F2D6E" w:rsidRPr="000F64D7" w:rsidRDefault="00381EBA" w:rsidP="000F64D7">
      <w:pPr>
        <w:pStyle w:val="ListParagraph"/>
        <w:numPr>
          <w:ilvl w:val="0"/>
          <w:numId w:val="12"/>
        </w:numPr>
        <w:spacing w:line="360" w:lineRule="auto"/>
        <w:rPr>
          <w:rFonts w:cs="Arial"/>
          <w:sz w:val="24"/>
          <w:szCs w:val="24"/>
        </w:rPr>
      </w:pPr>
      <w:r>
        <w:rPr>
          <w:rFonts w:cs="Arial"/>
          <w:sz w:val="24"/>
          <w:szCs w:val="24"/>
        </w:rPr>
        <w:t xml:space="preserve">We examine how the different sorts of information identified in step 2 can be synthesised. We do this on the basis of three previous cases that collectively act as a proof of concept, in the sense that they show how making fuller use of existing trade data can help </w:t>
      </w:r>
      <w:r w:rsidR="008C39AD">
        <w:rPr>
          <w:rFonts w:cs="Arial"/>
          <w:sz w:val="24"/>
          <w:szCs w:val="24"/>
        </w:rPr>
        <w:t xml:space="preserve">us </w:t>
      </w:r>
      <w:r>
        <w:rPr>
          <w:rFonts w:cs="Arial"/>
          <w:sz w:val="24"/>
          <w:szCs w:val="24"/>
        </w:rPr>
        <w:t>to identify the types of other information needed. On the basis of this analysis</w:t>
      </w:r>
      <w:r w:rsidR="008C39AD">
        <w:rPr>
          <w:rFonts w:cs="Arial"/>
          <w:sz w:val="24"/>
          <w:szCs w:val="24"/>
        </w:rPr>
        <w:t>,</w:t>
      </w:r>
      <w:r>
        <w:rPr>
          <w:rFonts w:cs="Arial"/>
          <w:sz w:val="24"/>
          <w:szCs w:val="24"/>
        </w:rPr>
        <w:t xml:space="preserve"> w</w:t>
      </w:r>
      <w:r w:rsidR="003F2D6E">
        <w:rPr>
          <w:rFonts w:cs="Arial"/>
          <w:sz w:val="24"/>
          <w:szCs w:val="24"/>
        </w:rPr>
        <w:t xml:space="preserve">e develop a methodological toolkit </w:t>
      </w:r>
      <w:r w:rsidR="008C39AD">
        <w:rPr>
          <w:rFonts w:cs="Arial"/>
          <w:sz w:val="24"/>
          <w:szCs w:val="24"/>
        </w:rPr>
        <w:t xml:space="preserve">which </w:t>
      </w:r>
      <w:r w:rsidR="003F2D6E">
        <w:rPr>
          <w:rFonts w:cs="Arial"/>
          <w:sz w:val="24"/>
          <w:szCs w:val="24"/>
        </w:rPr>
        <w:t>the TRA could utilise in the context of its</w:t>
      </w:r>
      <w:r w:rsidR="00D20603">
        <w:rPr>
          <w:rFonts w:cs="Arial"/>
          <w:sz w:val="24"/>
          <w:szCs w:val="24"/>
        </w:rPr>
        <w:t xml:space="preserve"> anti-circumvention investigation</w:t>
      </w:r>
      <w:r w:rsidR="00096BBB">
        <w:rPr>
          <w:rFonts w:cs="Arial"/>
          <w:sz w:val="24"/>
          <w:szCs w:val="24"/>
        </w:rPr>
        <w:t>s</w:t>
      </w:r>
      <w:r w:rsidR="003F2D6E">
        <w:rPr>
          <w:rFonts w:cs="Arial"/>
          <w:sz w:val="24"/>
          <w:szCs w:val="24"/>
        </w:rPr>
        <w:t>, in a manner that represents an investment in resources that is proportionate to the risk of circumvention.</w:t>
      </w:r>
      <w:r>
        <w:rPr>
          <w:rFonts w:cs="Arial"/>
          <w:sz w:val="24"/>
          <w:szCs w:val="24"/>
        </w:rPr>
        <w:t xml:space="preserve"> </w:t>
      </w:r>
    </w:p>
    <w:p w14:paraId="6EE58EB5" w14:textId="77777777" w:rsidR="00884704" w:rsidRPr="000F64D7" w:rsidRDefault="00884704" w:rsidP="00F7615F">
      <w:pPr>
        <w:rPr>
          <w:rFonts w:cs="Arial"/>
          <w:szCs w:val="24"/>
        </w:rPr>
      </w:pPr>
    </w:p>
    <w:p w14:paraId="10CBEE99" w14:textId="77777777" w:rsidR="006839F8" w:rsidRDefault="006839F8" w:rsidP="00F7615F">
      <w:pPr>
        <w:rPr>
          <w:rFonts w:cs="Arial"/>
          <w:szCs w:val="24"/>
        </w:rPr>
        <w:sectPr w:rsidR="006839F8" w:rsidSect="00522B48">
          <w:pgSz w:w="11906" w:h="16838"/>
          <w:pgMar w:top="1440" w:right="1440" w:bottom="1440" w:left="1440" w:header="708" w:footer="708" w:gutter="0"/>
          <w:cols w:space="708"/>
          <w:docGrid w:linePitch="360"/>
        </w:sectPr>
      </w:pPr>
    </w:p>
    <w:p w14:paraId="3D02C46F" w14:textId="2444353E" w:rsidR="005C5631" w:rsidRPr="003E0A7C" w:rsidRDefault="000400B9" w:rsidP="0B87AE61">
      <w:pPr>
        <w:pStyle w:val="Heading1"/>
        <w:rPr>
          <w:rFonts w:cs="Arial"/>
          <w:b w:val="0"/>
        </w:rPr>
      </w:pPr>
      <w:bookmarkStart w:id="18" w:name="_Toc118465268"/>
      <w:bookmarkStart w:id="19" w:name="_Toc662995581"/>
      <w:r w:rsidRPr="0B87AE61">
        <w:rPr>
          <w:rFonts w:cs="Arial"/>
        </w:rPr>
        <w:t>3</w:t>
      </w:r>
      <w:r>
        <w:tab/>
      </w:r>
      <w:r w:rsidR="003E0A7C" w:rsidRPr="0B87AE61">
        <w:rPr>
          <w:rFonts w:cs="Arial"/>
        </w:rPr>
        <w:t>A comparative international analysis of anti-circumvention</w:t>
      </w:r>
      <w:bookmarkEnd w:id="18"/>
      <w:r w:rsidR="003E0A7C" w:rsidRPr="0B87AE61">
        <w:rPr>
          <w:rFonts w:cs="Arial"/>
        </w:rPr>
        <w:t xml:space="preserve"> </w:t>
      </w:r>
      <w:bookmarkEnd w:id="19"/>
    </w:p>
    <w:p w14:paraId="368AA0B8" w14:textId="2F2DB71F" w:rsidR="003E0A7C" w:rsidRDefault="000400B9" w:rsidP="0B87AE61">
      <w:pPr>
        <w:pStyle w:val="Heading2"/>
        <w:rPr>
          <w:rFonts w:cs="Arial"/>
          <w:b w:val="0"/>
        </w:rPr>
      </w:pPr>
      <w:bookmarkStart w:id="20" w:name="_Toc1141057604"/>
      <w:bookmarkStart w:id="21" w:name="_Toc118465269"/>
      <w:r w:rsidRPr="0B87AE61">
        <w:rPr>
          <w:rFonts w:cs="Arial"/>
        </w:rPr>
        <w:t>3.1</w:t>
      </w:r>
      <w:r>
        <w:tab/>
      </w:r>
      <w:r w:rsidR="00E967B4" w:rsidRPr="0B87AE61">
        <w:rPr>
          <w:rFonts w:cs="Arial"/>
        </w:rPr>
        <w:t>Circumvention in the broader context of trade remedies and international disciplines on trade remedies</w:t>
      </w:r>
      <w:bookmarkEnd w:id="20"/>
      <w:bookmarkEnd w:id="21"/>
    </w:p>
    <w:p w14:paraId="7ED63D9A" w14:textId="0E0CA728" w:rsidR="00BB4B18" w:rsidRPr="00D71C0D" w:rsidRDefault="000400B9" w:rsidP="0B87AE61">
      <w:pPr>
        <w:pStyle w:val="Heading3"/>
        <w:rPr>
          <w:rFonts w:cs="Arial"/>
          <w:b w:val="0"/>
        </w:rPr>
      </w:pPr>
      <w:bookmarkStart w:id="22" w:name="_Toc295763391"/>
      <w:bookmarkStart w:id="23" w:name="_Toc118465270"/>
      <w:r w:rsidRPr="0B87AE61">
        <w:rPr>
          <w:rFonts w:cs="Arial"/>
        </w:rPr>
        <w:t>3.1.1</w:t>
      </w:r>
      <w:r>
        <w:tab/>
      </w:r>
      <w:r w:rsidR="00D71C0D" w:rsidRPr="0B87AE61">
        <w:rPr>
          <w:rFonts w:cs="Arial"/>
        </w:rPr>
        <w:t xml:space="preserve">Discussions on multilateral </w:t>
      </w:r>
      <w:r w:rsidR="00096BBB" w:rsidRPr="0B87AE61">
        <w:rPr>
          <w:rFonts w:cs="Arial"/>
        </w:rPr>
        <w:t>rules</w:t>
      </w:r>
      <w:bookmarkEnd w:id="22"/>
      <w:bookmarkEnd w:id="23"/>
    </w:p>
    <w:p w14:paraId="2130F4D3" w14:textId="32444AA9" w:rsidR="00D71C0D" w:rsidRPr="00D71C0D" w:rsidRDefault="00D71C0D" w:rsidP="00D71C0D">
      <w:pPr>
        <w:rPr>
          <w:rFonts w:cs="Arial"/>
          <w:szCs w:val="24"/>
        </w:rPr>
      </w:pPr>
      <w:r w:rsidRPr="00D71C0D">
        <w:rPr>
          <w:rFonts w:cs="Arial"/>
          <w:szCs w:val="24"/>
        </w:rPr>
        <w:t>In the late 1980s, the</w:t>
      </w:r>
      <w:r w:rsidR="008C39AD">
        <w:rPr>
          <w:rFonts w:cs="Arial"/>
          <w:szCs w:val="24"/>
        </w:rPr>
        <w:t xml:space="preserve"> then</w:t>
      </w:r>
      <w:r w:rsidRPr="00D71C0D">
        <w:rPr>
          <w:rFonts w:cs="Arial"/>
          <w:szCs w:val="24"/>
        </w:rPr>
        <w:t xml:space="preserve"> European Economic Community (EEC) enacted legislation targeting “assembly circumvention”, </w:t>
      </w:r>
      <w:r w:rsidR="008C39AD">
        <w:rPr>
          <w:rFonts w:cs="Arial"/>
          <w:szCs w:val="24"/>
        </w:rPr>
        <w:t>which</w:t>
      </w:r>
      <w:r w:rsidR="008C39AD" w:rsidRPr="00D71C0D">
        <w:rPr>
          <w:rFonts w:cs="Arial"/>
          <w:szCs w:val="24"/>
        </w:rPr>
        <w:t xml:space="preserve"> </w:t>
      </w:r>
      <w:r w:rsidRPr="00D71C0D">
        <w:rPr>
          <w:rFonts w:cs="Arial"/>
          <w:szCs w:val="24"/>
        </w:rPr>
        <w:t>is the practice of avoiding anti-dumping or countervailing duties through the importation of “knock-down” kits that were then assembled with</w:t>
      </w:r>
      <w:r w:rsidR="00263D5F">
        <w:rPr>
          <w:rFonts w:cs="Arial"/>
          <w:szCs w:val="24"/>
        </w:rPr>
        <w:t>in</w:t>
      </w:r>
      <w:r w:rsidRPr="00D71C0D">
        <w:rPr>
          <w:rFonts w:cs="Arial"/>
          <w:szCs w:val="24"/>
        </w:rPr>
        <w:t xml:space="preserve"> the EEC’s customs territory.</w:t>
      </w:r>
      <w:r w:rsidR="00AC3C2D">
        <w:rPr>
          <w:rStyle w:val="FootnoteReference"/>
          <w:rFonts w:cs="Arial"/>
          <w:szCs w:val="24"/>
        </w:rPr>
        <w:footnoteReference w:id="9"/>
      </w:r>
      <w:r w:rsidRPr="00D71C0D">
        <w:rPr>
          <w:rFonts w:cs="Arial"/>
          <w:szCs w:val="24"/>
        </w:rPr>
        <w:t xml:space="preserve"> Meanwhile, the United States Omnibus Trade and Competitiveness Act 1988</w:t>
      </w:r>
      <w:r w:rsidR="00381EBA">
        <w:rPr>
          <w:rStyle w:val="FootnoteReference"/>
          <w:rFonts w:cs="Arial"/>
          <w:szCs w:val="24"/>
        </w:rPr>
        <w:footnoteReference w:id="10"/>
      </w:r>
      <w:r w:rsidRPr="00D71C0D">
        <w:rPr>
          <w:rFonts w:cs="Arial"/>
          <w:szCs w:val="24"/>
        </w:rPr>
        <w:t xml:space="preserve"> developed an expansive, four-fold definition of circumvention that has carried over into its current approach and has also influenced the approaches taken by major users of anti-circumvention (see subsequent sections on </w:t>
      </w:r>
      <w:r w:rsidRPr="009846D5">
        <w:rPr>
          <w:rFonts w:cs="Arial"/>
          <w:szCs w:val="24"/>
        </w:rPr>
        <w:t xml:space="preserve">the </w:t>
      </w:r>
      <w:r w:rsidRPr="00EA71C7">
        <w:rPr>
          <w:rFonts w:cs="Arial"/>
          <w:szCs w:val="24"/>
        </w:rPr>
        <w:t>deep</w:t>
      </w:r>
      <w:r w:rsidR="009846D5" w:rsidRPr="00EA71C7">
        <w:rPr>
          <w:rFonts w:cs="Arial"/>
          <w:szCs w:val="24"/>
        </w:rPr>
        <w:t>-</w:t>
      </w:r>
      <w:r w:rsidRPr="00EA71C7">
        <w:rPr>
          <w:rFonts w:cs="Arial"/>
          <w:szCs w:val="24"/>
        </w:rPr>
        <w:t>dive</w:t>
      </w:r>
      <w:r w:rsidRPr="009846D5">
        <w:rPr>
          <w:rFonts w:cs="Arial"/>
          <w:szCs w:val="24"/>
        </w:rPr>
        <w:t xml:space="preserve"> analysis</w:t>
      </w:r>
      <w:r w:rsidRPr="00D71C0D">
        <w:rPr>
          <w:rFonts w:cs="Arial"/>
          <w:szCs w:val="24"/>
        </w:rPr>
        <w:t>).</w:t>
      </w:r>
      <w:r w:rsidR="00352D9D">
        <w:rPr>
          <w:rStyle w:val="FootnoteReference"/>
          <w:rFonts w:cs="Arial"/>
          <w:szCs w:val="24"/>
        </w:rPr>
        <w:footnoteReference w:id="11"/>
      </w:r>
      <w:r w:rsidRPr="00D71C0D">
        <w:rPr>
          <w:rFonts w:cs="Arial"/>
          <w:szCs w:val="24"/>
        </w:rPr>
        <w:t xml:space="preserve"> These developments reflected the increased use of trade remedies targeting, notably, Japanese and South Korean imports and perceived attempts by businesses in these jurisdictions to evade the scope of duties.   </w:t>
      </w:r>
    </w:p>
    <w:p w14:paraId="053E453C" w14:textId="03262A89" w:rsidR="00C80C1B" w:rsidRPr="00D71C0D" w:rsidRDefault="00C80C1B" w:rsidP="00A15527">
      <w:pPr>
        <w:rPr>
          <w:rFonts w:cs="Arial"/>
          <w:szCs w:val="24"/>
        </w:rPr>
      </w:pPr>
      <w:r w:rsidRPr="00D71C0D">
        <w:rPr>
          <w:rFonts w:cs="Arial"/>
          <w:szCs w:val="24"/>
        </w:rPr>
        <w:t xml:space="preserve">Concerns around the proliferation of trade remedies led to the conclusion of new disciplines on anti-dumping through the </w:t>
      </w:r>
      <w:r>
        <w:rPr>
          <w:rFonts w:cs="Arial"/>
          <w:szCs w:val="24"/>
        </w:rPr>
        <w:t xml:space="preserve">Agreement on Implementation </w:t>
      </w:r>
      <w:r w:rsidRPr="00D71C0D">
        <w:rPr>
          <w:rFonts w:cs="Arial"/>
          <w:szCs w:val="24"/>
        </w:rPr>
        <w:t xml:space="preserve"> of Article VI of the General Agreement on Tariffs and Trade </w:t>
      </w:r>
      <w:r>
        <w:rPr>
          <w:rFonts w:cs="Arial"/>
          <w:szCs w:val="24"/>
        </w:rPr>
        <w:t>1994 (the Anti-Dumping Agreement or ADA)</w:t>
      </w:r>
      <w:r w:rsidRPr="00D71C0D">
        <w:rPr>
          <w:rFonts w:cs="Arial"/>
          <w:szCs w:val="24"/>
        </w:rPr>
        <w:t xml:space="preserve">, and on </w:t>
      </w:r>
      <w:r>
        <w:rPr>
          <w:rFonts w:cs="Arial"/>
          <w:szCs w:val="24"/>
        </w:rPr>
        <w:t xml:space="preserve">subsidies through </w:t>
      </w:r>
      <w:r w:rsidRPr="00D71C0D">
        <w:rPr>
          <w:rFonts w:cs="Arial"/>
          <w:szCs w:val="24"/>
        </w:rPr>
        <w:t xml:space="preserve">the </w:t>
      </w:r>
      <w:r>
        <w:rPr>
          <w:rFonts w:cs="Arial"/>
          <w:szCs w:val="24"/>
        </w:rPr>
        <w:t>A</w:t>
      </w:r>
      <w:r w:rsidRPr="00D71C0D">
        <w:rPr>
          <w:rFonts w:cs="Arial"/>
          <w:szCs w:val="24"/>
        </w:rPr>
        <w:t>greement on Subsidies and Countervailing Measures</w:t>
      </w:r>
      <w:r>
        <w:rPr>
          <w:rFonts w:cs="Arial"/>
          <w:szCs w:val="24"/>
        </w:rPr>
        <w:t xml:space="preserve"> (SCM Agreement)</w:t>
      </w:r>
      <w:r w:rsidRPr="00D71C0D">
        <w:rPr>
          <w:rFonts w:cs="Arial"/>
          <w:szCs w:val="24"/>
        </w:rPr>
        <w:t>.</w:t>
      </w:r>
      <w:r>
        <w:rPr>
          <w:rFonts w:cs="Arial"/>
          <w:szCs w:val="24"/>
        </w:rPr>
        <w:t xml:space="preserve"> These agreements were the result of the Uruguay Round of trade negotiations (1986-1994) that also led to the creation of the World Trade Organisation (WTO).</w:t>
      </w:r>
      <w:r w:rsidRPr="00D71C0D">
        <w:rPr>
          <w:rFonts w:cs="Arial"/>
          <w:szCs w:val="24"/>
        </w:rPr>
        <w:t xml:space="preserve"> Circumvention was </w:t>
      </w:r>
      <w:r>
        <w:rPr>
          <w:rFonts w:cs="Arial"/>
          <w:szCs w:val="24"/>
        </w:rPr>
        <w:t>addressed under</w:t>
      </w:r>
      <w:r w:rsidRPr="00D71C0D">
        <w:rPr>
          <w:rFonts w:cs="Arial"/>
          <w:szCs w:val="24"/>
        </w:rPr>
        <w:t xml:space="preserve"> the Uruguay Round of negotiations on anti-dumping, but </w:t>
      </w:r>
      <w:r>
        <w:rPr>
          <w:rFonts w:cs="Arial"/>
          <w:szCs w:val="24"/>
        </w:rPr>
        <w:t>countries that were party to the negotiation</w:t>
      </w:r>
      <w:r w:rsidRPr="00D71C0D">
        <w:rPr>
          <w:rFonts w:cs="Arial"/>
          <w:szCs w:val="24"/>
        </w:rPr>
        <w:t xml:space="preserve"> could not reach agreement. Pursuant to the Decision on Anti-Circumvention, </w:t>
      </w:r>
      <w:r>
        <w:rPr>
          <w:rFonts w:cs="Arial"/>
          <w:szCs w:val="24"/>
        </w:rPr>
        <w:t xml:space="preserve">which </w:t>
      </w:r>
      <w:r w:rsidRPr="00D71C0D">
        <w:rPr>
          <w:rFonts w:cs="Arial"/>
          <w:szCs w:val="24"/>
        </w:rPr>
        <w:t xml:space="preserve"> is part of the legal texts </w:t>
      </w:r>
      <w:r>
        <w:rPr>
          <w:rFonts w:cs="Arial"/>
          <w:szCs w:val="24"/>
        </w:rPr>
        <w:t xml:space="preserve">establishing </w:t>
      </w:r>
      <w:r w:rsidRPr="00D71C0D">
        <w:rPr>
          <w:rFonts w:cs="Arial"/>
          <w:szCs w:val="24"/>
        </w:rPr>
        <w:t xml:space="preserve">the WTO, WTO Members agreed to refer the matter to the committee on Anti-Dumping </w:t>
      </w:r>
      <w:r>
        <w:rPr>
          <w:rFonts w:cs="Arial"/>
          <w:szCs w:val="24"/>
        </w:rPr>
        <w:t>P</w:t>
      </w:r>
      <w:r w:rsidRPr="00D71C0D">
        <w:rPr>
          <w:rFonts w:cs="Arial"/>
          <w:szCs w:val="24"/>
        </w:rPr>
        <w:t>ractices. This in turn established an Informal Working Group on Anti-Circumvention to, inter alia, define the scope of what constituted circumvention and agree on responses.</w:t>
      </w:r>
    </w:p>
    <w:p w14:paraId="3A5BFCE4" w14:textId="4B8D98AC" w:rsidR="00C80C1B" w:rsidRPr="00D71C0D" w:rsidRDefault="00C80C1B" w:rsidP="00A15527">
      <w:pPr>
        <w:rPr>
          <w:rFonts w:cs="Arial"/>
          <w:szCs w:val="24"/>
        </w:rPr>
      </w:pPr>
      <w:r w:rsidRPr="00D71C0D">
        <w:rPr>
          <w:rFonts w:cs="Arial"/>
          <w:szCs w:val="24"/>
        </w:rPr>
        <w:t xml:space="preserve">Views on circumvention largely reflect the “bargain” that led to disciplines on trade remedies under the Uruguay Round. Japan, Korea, and </w:t>
      </w:r>
      <w:r>
        <w:rPr>
          <w:rFonts w:cs="Arial"/>
          <w:szCs w:val="24"/>
        </w:rPr>
        <w:t>member states of the Association of Southeast Asian Nations (ASEAN)</w:t>
      </w:r>
      <w:r w:rsidRPr="00D71C0D">
        <w:rPr>
          <w:rFonts w:cs="Arial"/>
          <w:szCs w:val="24"/>
        </w:rPr>
        <w:t xml:space="preserve"> (“demandeurs”</w:t>
      </w:r>
      <w:r>
        <w:rPr>
          <w:rFonts w:cs="Arial"/>
          <w:szCs w:val="24"/>
        </w:rPr>
        <w:t xml:space="preserve">, i.e. those asking </w:t>
      </w:r>
      <w:r w:rsidRPr="00D71C0D">
        <w:rPr>
          <w:rFonts w:cs="Arial"/>
          <w:szCs w:val="24"/>
        </w:rPr>
        <w:t xml:space="preserve">for rules) were concerned about unilateral trade measures taken by the </w:t>
      </w:r>
      <w:r>
        <w:rPr>
          <w:rFonts w:cs="Arial"/>
          <w:szCs w:val="24"/>
        </w:rPr>
        <w:t>United States</w:t>
      </w:r>
      <w:r w:rsidRPr="00D71C0D">
        <w:rPr>
          <w:rFonts w:cs="Arial"/>
          <w:szCs w:val="24"/>
        </w:rPr>
        <w:t xml:space="preserve"> (primarily)</w:t>
      </w:r>
      <w:r>
        <w:rPr>
          <w:rFonts w:cs="Arial"/>
          <w:szCs w:val="24"/>
        </w:rPr>
        <w:t xml:space="preserve"> </w:t>
      </w:r>
      <w:r w:rsidRPr="00D71C0D">
        <w:rPr>
          <w:rFonts w:cs="Arial"/>
          <w:szCs w:val="24"/>
        </w:rPr>
        <w:t xml:space="preserve">and the EU. The United States accepted disciplines on </w:t>
      </w:r>
      <w:r>
        <w:rPr>
          <w:rFonts w:cs="Arial"/>
          <w:szCs w:val="24"/>
        </w:rPr>
        <w:t>countervailing measures</w:t>
      </w:r>
      <w:r w:rsidRPr="00D71C0D">
        <w:rPr>
          <w:rFonts w:cs="Arial"/>
          <w:szCs w:val="24"/>
        </w:rPr>
        <w:t xml:space="preserve"> and anti-dumping</w:t>
      </w:r>
      <w:r>
        <w:rPr>
          <w:rFonts w:cs="Arial"/>
          <w:szCs w:val="24"/>
        </w:rPr>
        <w:t xml:space="preserve"> but</w:t>
      </w:r>
      <w:r w:rsidRPr="00D71C0D">
        <w:rPr>
          <w:rFonts w:cs="Arial"/>
          <w:szCs w:val="24"/>
        </w:rPr>
        <w:t xml:space="preserve"> </w:t>
      </w:r>
      <w:r>
        <w:rPr>
          <w:rFonts w:cs="Arial"/>
          <w:szCs w:val="24"/>
        </w:rPr>
        <w:t>insisted on</w:t>
      </w:r>
      <w:r w:rsidRPr="00D71C0D">
        <w:rPr>
          <w:rFonts w:cs="Arial"/>
          <w:szCs w:val="24"/>
        </w:rPr>
        <w:t xml:space="preserve"> </w:t>
      </w:r>
      <w:r>
        <w:rPr>
          <w:rFonts w:cs="Arial"/>
          <w:szCs w:val="24"/>
        </w:rPr>
        <w:t xml:space="preserve">a different </w:t>
      </w:r>
      <w:r w:rsidRPr="00D71C0D">
        <w:rPr>
          <w:rFonts w:cs="Arial"/>
          <w:szCs w:val="24"/>
        </w:rPr>
        <w:t xml:space="preserve">standard of review </w:t>
      </w:r>
      <w:r>
        <w:rPr>
          <w:rFonts w:cs="Arial"/>
          <w:szCs w:val="24"/>
        </w:rPr>
        <w:t xml:space="preserve">for </w:t>
      </w:r>
      <w:r w:rsidRPr="00D71C0D">
        <w:rPr>
          <w:rFonts w:cs="Arial"/>
          <w:szCs w:val="24"/>
        </w:rPr>
        <w:t xml:space="preserve"> anti-dumping </w:t>
      </w:r>
      <w:r>
        <w:rPr>
          <w:rFonts w:cs="Arial"/>
          <w:szCs w:val="24"/>
        </w:rPr>
        <w:t>measures</w:t>
      </w:r>
      <w:r w:rsidRPr="00D71C0D">
        <w:rPr>
          <w:rFonts w:cs="Arial"/>
          <w:szCs w:val="24"/>
        </w:rPr>
        <w:t xml:space="preserve">. </w:t>
      </w:r>
      <w:r>
        <w:rPr>
          <w:rFonts w:cs="Arial"/>
          <w:szCs w:val="24"/>
        </w:rPr>
        <w:t>The United States’</w:t>
      </w:r>
      <w:r w:rsidRPr="00D71C0D">
        <w:rPr>
          <w:rFonts w:cs="Arial"/>
          <w:szCs w:val="24"/>
        </w:rPr>
        <w:t xml:space="preserve"> main aim has been to preserve discretion in applying trade remedies</w:t>
      </w:r>
      <w:r>
        <w:rPr>
          <w:rFonts w:cs="Arial"/>
          <w:szCs w:val="24"/>
        </w:rPr>
        <w:t>.</w:t>
      </w:r>
    </w:p>
    <w:p w14:paraId="3AE3CF78" w14:textId="659C6610" w:rsidR="00A15527" w:rsidRDefault="00C80C1B" w:rsidP="00A15527">
      <w:pPr>
        <w:rPr>
          <w:rFonts w:cs="Arial"/>
          <w:szCs w:val="24"/>
        </w:rPr>
      </w:pPr>
      <w:r>
        <w:rPr>
          <w:rFonts w:cs="Arial"/>
          <w:szCs w:val="24"/>
        </w:rPr>
        <w:t>The d</w:t>
      </w:r>
      <w:r w:rsidRPr="00D71C0D">
        <w:rPr>
          <w:rFonts w:cs="Arial"/>
          <w:szCs w:val="24"/>
        </w:rPr>
        <w:t xml:space="preserve">emandeurs accepted this </w:t>
      </w:r>
      <w:r>
        <w:rPr>
          <w:rFonts w:cs="Arial"/>
          <w:szCs w:val="24"/>
        </w:rPr>
        <w:t xml:space="preserve">outcome </w:t>
      </w:r>
      <w:r w:rsidRPr="00D71C0D">
        <w:rPr>
          <w:rFonts w:cs="Arial"/>
          <w:szCs w:val="24"/>
        </w:rPr>
        <w:t xml:space="preserve">but remained sensitive to </w:t>
      </w:r>
      <w:r>
        <w:rPr>
          <w:rFonts w:cs="Arial"/>
          <w:szCs w:val="24"/>
        </w:rPr>
        <w:t xml:space="preserve">the </w:t>
      </w:r>
      <w:r w:rsidRPr="00D71C0D">
        <w:rPr>
          <w:rFonts w:cs="Arial"/>
          <w:szCs w:val="24"/>
        </w:rPr>
        <w:t xml:space="preserve">possibility that discretion can undermine their gains and upset the balance or rights and obligations </w:t>
      </w:r>
      <w:r>
        <w:rPr>
          <w:rFonts w:cs="Arial"/>
          <w:szCs w:val="24"/>
        </w:rPr>
        <w:t>negotiated under the Uruguay Round Agreements.</w:t>
      </w:r>
      <w:r w:rsidR="00A15527">
        <w:rPr>
          <w:rFonts w:cs="Arial"/>
          <w:szCs w:val="24"/>
        </w:rPr>
        <w:t xml:space="preserve"> </w:t>
      </w:r>
      <w:r w:rsidR="00D71C0D" w:rsidRPr="00D71C0D">
        <w:rPr>
          <w:rFonts w:cs="Arial"/>
          <w:szCs w:val="24"/>
        </w:rPr>
        <w:t xml:space="preserve">These differences have largely played out in discussions </w:t>
      </w:r>
      <w:r w:rsidR="006D0088" w:rsidRPr="00D71C0D">
        <w:rPr>
          <w:rFonts w:cs="Arial"/>
          <w:szCs w:val="24"/>
        </w:rPr>
        <w:t xml:space="preserve">on circumvention </w:t>
      </w:r>
      <w:r w:rsidR="00D71C0D" w:rsidRPr="00D71C0D">
        <w:rPr>
          <w:rFonts w:cs="Arial"/>
          <w:szCs w:val="24"/>
        </w:rPr>
        <w:t>at the WTO. These have remained at the level of exchanges of views</w:t>
      </w:r>
      <w:r w:rsidR="007F4F34">
        <w:rPr>
          <w:rFonts w:cs="Arial"/>
          <w:szCs w:val="24"/>
        </w:rPr>
        <w:t xml:space="preserve"> and position papers</w:t>
      </w:r>
      <w:r w:rsidR="00D71C0D" w:rsidRPr="00D71C0D">
        <w:rPr>
          <w:rFonts w:cs="Arial"/>
          <w:szCs w:val="24"/>
        </w:rPr>
        <w:t xml:space="preserve"> </w:t>
      </w:r>
      <w:r w:rsidR="00EF1FEA">
        <w:rPr>
          <w:rFonts w:cs="Arial"/>
          <w:szCs w:val="24"/>
        </w:rPr>
        <w:t xml:space="preserve">in </w:t>
      </w:r>
      <w:r w:rsidR="00D71C0D" w:rsidRPr="00D71C0D">
        <w:rPr>
          <w:rFonts w:cs="Arial"/>
          <w:szCs w:val="24"/>
        </w:rPr>
        <w:t>informal group meetings (meaning that no written minutes are produced).</w:t>
      </w:r>
    </w:p>
    <w:p w14:paraId="0EDB02DA" w14:textId="41C5C64D" w:rsidR="00D71C0D" w:rsidRDefault="00D71C0D" w:rsidP="00A15527">
      <w:pPr>
        <w:rPr>
          <w:rFonts w:cs="Arial"/>
          <w:szCs w:val="24"/>
        </w:rPr>
      </w:pPr>
      <w:r w:rsidRPr="00D71C0D">
        <w:rPr>
          <w:rFonts w:cs="Arial"/>
          <w:szCs w:val="24"/>
        </w:rPr>
        <w:t>Circumvention was also considered through the Doha Round of negotiations. The Chairman’s draft text identified three types</w:t>
      </w:r>
      <w:r w:rsidR="007F4F34">
        <w:rPr>
          <w:rFonts w:cs="Arial"/>
          <w:szCs w:val="24"/>
        </w:rPr>
        <w:t xml:space="preserve"> of circumvention</w:t>
      </w:r>
      <w:r w:rsidRPr="00D71C0D">
        <w:rPr>
          <w:rFonts w:cs="Arial"/>
          <w:szCs w:val="24"/>
        </w:rPr>
        <w:t xml:space="preserve">: </w:t>
      </w:r>
      <w:r w:rsidR="0070430C">
        <w:rPr>
          <w:rFonts w:cs="Arial"/>
          <w:szCs w:val="24"/>
        </w:rPr>
        <w:t xml:space="preserve">(i) </w:t>
      </w:r>
      <w:r w:rsidRPr="00D71C0D">
        <w:rPr>
          <w:rFonts w:cs="Arial"/>
          <w:szCs w:val="24"/>
        </w:rPr>
        <w:t>slight modifications</w:t>
      </w:r>
      <w:r w:rsidR="0070430C">
        <w:rPr>
          <w:rFonts w:cs="Arial"/>
          <w:szCs w:val="24"/>
        </w:rPr>
        <w:t>; (ii)</w:t>
      </w:r>
      <w:r w:rsidRPr="00D71C0D">
        <w:rPr>
          <w:rFonts w:cs="Arial"/>
          <w:szCs w:val="24"/>
        </w:rPr>
        <w:t xml:space="preserve"> imports of parts for assembly</w:t>
      </w:r>
      <w:r w:rsidR="0070430C">
        <w:rPr>
          <w:rFonts w:cs="Arial"/>
          <w:szCs w:val="24"/>
        </w:rPr>
        <w:t>;</w:t>
      </w:r>
      <w:r w:rsidR="006D0088">
        <w:rPr>
          <w:rFonts w:cs="Arial"/>
          <w:szCs w:val="24"/>
        </w:rPr>
        <w:t xml:space="preserve"> and</w:t>
      </w:r>
      <w:r w:rsidR="0070430C">
        <w:rPr>
          <w:rFonts w:cs="Arial"/>
          <w:szCs w:val="24"/>
        </w:rPr>
        <w:t xml:space="preserve"> (iii)</w:t>
      </w:r>
      <w:r w:rsidRPr="00D71C0D">
        <w:rPr>
          <w:rFonts w:cs="Arial"/>
          <w:szCs w:val="24"/>
        </w:rPr>
        <w:t xml:space="preserve"> and </w:t>
      </w:r>
      <w:r w:rsidRPr="00EA71C7">
        <w:rPr>
          <w:rFonts w:cs="Arial"/>
          <w:szCs w:val="24"/>
        </w:rPr>
        <w:t>third</w:t>
      </w:r>
      <w:r w:rsidR="006D0088">
        <w:rPr>
          <w:rFonts w:cs="Arial"/>
          <w:szCs w:val="24"/>
        </w:rPr>
        <w:t>-</w:t>
      </w:r>
      <w:r w:rsidRPr="00D74D98">
        <w:rPr>
          <w:rFonts w:cs="Arial"/>
          <w:szCs w:val="24"/>
        </w:rPr>
        <w:t>country</w:t>
      </w:r>
      <w:r w:rsidRPr="006D0088">
        <w:rPr>
          <w:rFonts w:cs="Arial"/>
          <w:szCs w:val="24"/>
        </w:rPr>
        <w:t xml:space="preserve"> assembly</w:t>
      </w:r>
      <w:r w:rsidR="0070430C">
        <w:rPr>
          <w:rFonts w:cs="Arial"/>
          <w:szCs w:val="24"/>
        </w:rPr>
        <w:t>. The draft</w:t>
      </w:r>
      <w:r w:rsidRPr="00D71C0D">
        <w:rPr>
          <w:rFonts w:cs="Arial"/>
          <w:szCs w:val="24"/>
        </w:rPr>
        <w:t xml:space="preserve"> proposed relatively strict criteria that needed to</w:t>
      </w:r>
      <w:r w:rsidR="004F5F08">
        <w:rPr>
          <w:rFonts w:cs="Arial"/>
          <w:szCs w:val="24"/>
        </w:rPr>
        <w:t xml:space="preserve"> be</w:t>
      </w:r>
      <w:r w:rsidRPr="00D71C0D">
        <w:rPr>
          <w:rFonts w:cs="Arial"/>
          <w:szCs w:val="24"/>
        </w:rPr>
        <w:t xml:space="preserve"> met </w:t>
      </w:r>
      <w:r w:rsidR="0070430C">
        <w:rPr>
          <w:rFonts w:cs="Arial"/>
          <w:szCs w:val="24"/>
        </w:rPr>
        <w:t>and suggested that WTO members should develop threshold value</w:t>
      </w:r>
      <w:r w:rsidR="00F25FF4">
        <w:rPr>
          <w:rFonts w:cs="Arial"/>
          <w:szCs w:val="24"/>
        </w:rPr>
        <w:t>s</w:t>
      </w:r>
      <w:r w:rsidR="0070430C">
        <w:rPr>
          <w:rFonts w:cs="Arial"/>
          <w:szCs w:val="24"/>
        </w:rPr>
        <w:t xml:space="preserve"> for </w:t>
      </w:r>
      <w:r w:rsidRPr="00D71C0D">
        <w:rPr>
          <w:rFonts w:cs="Arial"/>
          <w:szCs w:val="24"/>
        </w:rPr>
        <w:t>matters such as processing. The proposals did not find consensus.</w:t>
      </w:r>
      <w:r w:rsidR="00963085">
        <w:rPr>
          <w:rStyle w:val="FootnoteReference"/>
          <w:rFonts w:cs="Arial"/>
          <w:szCs w:val="24"/>
        </w:rPr>
        <w:footnoteReference w:id="12"/>
      </w:r>
      <w:r w:rsidRPr="00D71C0D">
        <w:rPr>
          <w:rFonts w:cs="Arial"/>
          <w:szCs w:val="24"/>
        </w:rPr>
        <w:t xml:space="preserve"> </w:t>
      </w:r>
    </w:p>
    <w:p w14:paraId="4F02FA3C" w14:textId="50A5E8BF" w:rsidR="00D71C0D" w:rsidRDefault="000400B9" w:rsidP="0B87AE61">
      <w:pPr>
        <w:pStyle w:val="Heading3"/>
        <w:rPr>
          <w:rFonts w:cs="Arial"/>
          <w:b w:val="0"/>
        </w:rPr>
      </w:pPr>
      <w:bookmarkStart w:id="25" w:name="_Toc2108311894"/>
      <w:bookmarkStart w:id="26" w:name="_Toc118465271"/>
      <w:r w:rsidRPr="0B87AE61">
        <w:rPr>
          <w:rFonts w:cs="Arial"/>
        </w:rPr>
        <w:t>3.1.2</w:t>
      </w:r>
      <w:r>
        <w:tab/>
      </w:r>
      <w:r w:rsidR="00EE65E5" w:rsidRPr="0B87AE61">
        <w:rPr>
          <w:rFonts w:cs="Arial"/>
        </w:rPr>
        <w:t>Differences in perspective on what constitutes circumvention, and responses to it</w:t>
      </w:r>
      <w:bookmarkEnd w:id="25"/>
      <w:bookmarkEnd w:id="26"/>
    </w:p>
    <w:p w14:paraId="6B3CEED4" w14:textId="2D989717" w:rsidR="00EE65E5" w:rsidRDefault="00EE65E5" w:rsidP="00EE65E5">
      <w:pPr>
        <w:rPr>
          <w:rFonts w:cs="Arial"/>
          <w:szCs w:val="24"/>
        </w:rPr>
      </w:pPr>
      <w:r w:rsidRPr="00EE65E5">
        <w:rPr>
          <w:rFonts w:cs="Arial"/>
          <w:szCs w:val="24"/>
        </w:rPr>
        <w:t>T</w:t>
      </w:r>
      <w:r>
        <w:rPr>
          <w:rFonts w:cs="Arial"/>
          <w:szCs w:val="24"/>
        </w:rPr>
        <w:t>he lack of consensus reflects entrenched differences between groups of countries as to what constitutes circumvention and its policy implications. T</w:t>
      </w:r>
      <w:r w:rsidRPr="00EE65E5">
        <w:rPr>
          <w:rFonts w:cs="Arial"/>
          <w:szCs w:val="24"/>
        </w:rPr>
        <w:t xml:space="preserve">he EU, </w:t>
      </w:r>
      <w:r w:rsidR="00403A85">
        <w:rPr>
          <w:rFonts w:cs="Arial"/>
          <w:szCs w:val="24"/>
        </w:rPr>
        <w:t>United States</w:t>
      </w:r>
      <w:r w:rsidRPr="00EE65E5">
        <w:rPr>
          <w:rFonts w:cs="Arial"/>
          <w:szCs w:val="24"/>
        </w:rPr>
        <w:t>, Australia and Canada</w:t>
      </w:r>
      <w:r w:rsidR="00F27337">
        <w:rPr>
          <w:rFonts w:cs="Arial"/>
          <w:szCs w:val="24"/>
        </w:rPr>
        <w:t>,</w:t>
      </w:r>
      <w:r w:rsidR="00352D9D">
        <w:rPr>
          <w:rFonts w:cs="Arial"/>
          <w:szCs w:val="24"/>
        </w:rPr>
        <w:t xml:space="preserve"> notably</w:t>
      </w:r>
      <w:r w:rsidR="00F27337">
        <w:rPr>
          <w:rFonts w:cs="Arial"/>
          <w:szCs w:val="24"/>
        </w:rPr>
        <w:t>,</w:t>
      </w:r>
      <w:r w:rsidRPr="00EE65E5">
        <w:rPr>
          <w:rFonts w:cs="Arial"/>
          <w:szCs w:val="24"/>
        </w:rPr>
        <w:t xml:space="preserve"> favour an approach to circumvention </w:t>
      </w:r>
      <w:r w:rsidR="00F27337">
        <w:rPr>
          <w:rFonts w:cs="Arial"/>
          <w:szCs w:val="24"/>
        </w:rPr>
        <w:t>which</w:t>
      </w:r>
      <w:r w:rsidR="00F27337" w:rsidRPr="00EE65E5">
        <w:rPr>
          <w:rFonts w:cs="Arial"/>
          <w:szCs w:val="24"/>
        </w:rPr>
        <w:t xml:space="preserve"> </w:t>
      </w:r>
      <w:r w:rsidRPr="00EE65E5">
        <w:rPr>
          <w:rFonts w:cs="Arial"/>
          <w:szCs w:val="24"/>
        </w:rPr>
        <w:t xml:space="preserve">considers </w:t>
      </w:r>
      <w:r w:rsidR="0070430C">
        <w:rPr>
          <w:rFonts w:cs="Arial"/>
          <w:szCs w:val="24"/>
        </w:rPr>
        <w:t xml:space="preserve">a broad range of activities that could constitute circumvention and that there should be no </w:t>
      </w:r>
      <w:r w:rsidR="0070430C" w:rsidRPr="00EA71C7">
        <w:rPr>
          <w:rFonts w:cs="Arial"/>
          <w:szCs w:val="24"/>
        </w:rPr>
        <w:t>ex</w:t>
      </w:r>
      <w:r w:rsidR="006D0088" w:rsidRPr="00EA71C7">
        <w:rPr>
          <w:rFonts w:cs="Arial"/>
          <w:szCs w:val="24"/>
        </w:rPr>
        <w:t>-</w:t>
      </w:r>
      <w:r w:rsidR="0070430C" w:rsidRPr="00EA71C7">
        <w:rPr>
          <w:rFonts w:cs="Arial"/>
          <w:szCs w:val="24"/>
        </w:rPr>
        <w:t>ante</w:t>
      </w:r>
      <w:r w:rsidR="0070430C" w:rsidRPr="006D0088">
        <w:rPr>
          <w:rFonts w:cs="Arial"/>
          <w:szCs w:val="24"/>
        </w:rPr>
        <w:t xml:space="preserve"> limitation</w:t>
      </w:r>
      <w:r w:rsidR="0070430C">
        <w:rPr>
          <w:rFonts w:cs="Arial"/>
          <w:szCs w:val="24"/>
        </w:rPr>
        <w:t xml:space="preserve"> of what activities a jurisdiction might consider within the scope of a circumvention investigation</w:t>
      </w:r>
      <w:r w:rsidR="00352D9D">
        <w:rPr>
          <w:rFonts w:cs="Arial"/>
          <w:szCs w:val="24"/>
        </w:rPr>
        <w:t>.</w:t>
      </w:r>
      <w:r w:rsidRPr="00EE65E5">
        <w:rPr>
          <w:rFonts w:cs="Arial"/>
          <w:szCs w:val="24"/>
        </w:rPr>
        <w:t xml:space="preserve"> T</w:t>
      </w:r>
      <w:r w:rsidR="00963085">
        <w:rPr>
          <w:rFonts w:cs="Arial"/>
          <w:szCs w:val="24"/>
        </w:rPr>
        <w:t xml:space="preserve">hey </w:t>
      </w:r>
      <w:r w:rsidR="00352D9D">
        <w:rPr>
          <w:rFonts w:cs="Arial"/>
          <w:szCs w:val="24"/>
        </w:rPr>
        <w:t>favour</w:t>
      </w:r>
      <w:r w:rsidR="0070430C">
        <w:rPr>
          <w:rFonts w:cs="Arial"/>
          <w:szCs w:val="24"/>
        </w:rPr>
        <w:t xml:space="preserve"> allowing investigating authorities </w:t>
      </w:r>
      <w:r w:rsidR="00F27337">
        <w:rPr>
          <w:rFonts w:cs="Arial"/>
          <w:szCs w:val="24"/>
        </w:rPr>
        <w:t xml:space="preserve">to have </w:t>
      </w:r>
      <w:r w:rsidR="0070430C">
        <w:rPr>
          <w:rFonts w:cs="Arial"/>
          <w:szCs w:val="24"/>
        </w:rPr>
        <w:t xml:space="preserve">discretion in choosing those </w:t>
      </w:r>
      <w:r w:rsidRPr="00EE65E5">
        <w:rPr>
          <w:rFonts w:cs="Arial"/>
          <w:szCs w:val="24"/>
        </w:rPr>
        <w:t>methodologies</w:t>
      </w:r>
      <w:r w:rsidR="0070430C">
        <w:rPr>
          <w:rFonts w:cs="Arial"/>
          <w:szCs w:val="24"/>
        </w:rPr>
        <w:t xml:space="preserve"> that </w:t>
      </w:r>
      <w:r w:rsidR="00195E55">
        <w:rPr>
          <w:rFonts w:cs="Arial"/>
          <w:szCs w:val="24"/>
        </w:rPr>
        <w:t xml:space="preserve">are </w:t>
      </w:r>
      <w:r w:rsidR="0070430C">
        <w:rPr>
          <w:rFonts w:cs="Arial"/>
          <w:szCs w:val="24"/>
        </w:rPr>
        <w:t>appropriate</w:t>
      </w:r>
      <w:r w:rsidR="00C84A0F">
        <w:rPr>
          <w:rFonts w:cs="Arial"/>
          <w:szCs w:val="24"/>
        </w:rPr>
        <w:t xml:space="preserve"> </w:t>
      </w:r>
      <w:r w:rsidR="00195E55">
        <w:rPr>
          <w:rFonts w:cs="Arial"/>
          <w:szCs w:val="24"/>
        </w:rPr>
        <w:t xml:space="preserve">for </w:t>
      </w:r>
      <w:r w:rsidR="0070430C">
        <w:rPr>
          <w:rFonts w:cs="Arial"/>
          <w:szCs w:val="24"/>
        </w:rPr>
        <w:t>establish</w:t>
      </w:r>
      <w:r w:rsidR="00195E55">
        <w:rPr>
          <w:rFonts w:cs="Arial"/>
          <w:szCs w:val="24"/>
        </w:rPr>
        <w:t>ing</w:t>
      </w:r>
      <w:r w:rsidR="0070430C">
        <w:rPr>
          <w:rFonts w:cs="Arial"/>
          <w:szCs w:val="24"/>
        </w:rPr>
        <w:t xml:space="preserve"> whether there </w:t>
      </w:r>
      <w:r w:rsidR="00195E55">
        <w:rPr>
          <w:rFonts w:cs="Arial"/>
          <w:szCs w:val="24"/>
        </w:rPr>
        <w:t xml:space="preserve">has been </w:t>
      </w:r>
      <w:r w:rsidR="0070430C">
        <w:rPr>
          <w:rFonts w:cs="Arial"/>
          <w:szCs w:val="24"/>
        </w:rPr>
        <w:t>circumvention based on the type of circumvention activity under consideration</w:t>
      </w:r>
      <w:r w:rsidR="00963085">
        <w:rPr>
          <w:rFonts w:cs="Arial"/>
          <w:szCs w:val="24"/>
        </w:rPr>
        <w:t>.</w:t>
      </w:r>
      <w:r w:rsidR="00963085">
        <w:rPr>
          <w:rStyle w:val="FootnoteReference"/>
          <w:rFonts w:cs="Arial"/>
          <w:szCs w:val="24"/>
        </w:rPr>
        <w:footnoteReference w:id="13"/>
      </w:r>
      <w:r w:rsidR="00963085">
        <w:rPr>
          <w:rFonts w:cs="Arial"/>
          <w:szCs w:val="24"/>
        </w:rPr>
        <w:t xml:space="preserve"> </w:t>
      </w:r>
      <w:r w:rsidRPr="00EE65E5">
        <w:rPr>
          <w:rFonts w:cs="Arial"/>
          <w:szCs w:val="24"/>
        </w:rPr>
        <w:t xml:space="preserve">Based on these methodologies, </w:t>
      </w:r>
      <w:r>
        <w:rPr>
          <w:rFonts w:cs="Arial"/>
          <w:szCs w:val="24"/>
        </w:rPr>
        <w:t xml:space="preserve">a finding of </w:t>
      </w:r>
      <w:r w:rsidRPr="00EE65E5">
        <w:rPr>
          <w:rFonts w:cs="Arial"/>
          <w:szCs w:val="24"/>
        </w:rPr>
        <w:t xml:space="preserve">circumvention </w:t>
      </w:r>
      <w:r>
        <w:rPr>
          <w:rFonts w:cs="Arial"/>
          <w:szCs w:val="24"/>
        </w:rPr>
        <w:t xml:space="preserve">leads to an extension of </w:t>
      </w:r>
      <w:r w:rsidR="007F4F34">
        <w:rPr>
          <w:rFonts w:cs="Arial"/>
          <w:szCs w:val="24"/>
        </w:rPr>
        <w:t xml:space="preserve">the original </w:t>
      </w:r>
      <w:r>
        <w:rPr>
          <w:rFonts w:cs="Arial"/>
          <w:szCs w:val="24"/>
        </w:rPr>
        <w:t>duties</w:t>
      </w:r>
      <w:r w:rsidR="007F4F34">
        <w:rPr>
          <w:rFonts w:cs="Arial"/>
          <w:szCs w:val="24"/>
        </w:rPr>
        <w:t>.</w:t>
      </w:r>
    </w:p>
    <w:p w14:paraId="5EE48E83" w14:textId="0C973D94" w:rsidR="00352D9D" w:rsidRDefault="00EE65E5" w:rsidP="00EE65E5">
      <w:pPr>
        <w:rPr>
          <w:rFonts w:cs="Arial"/>
          <w:szCs w:val="24"/>
        </w:rPr>
      </w:pPr>
      <w:r>
        <w:rPr>
          <w:rFonts w:cs="Arial"/>
          <w:szCs w:val="24"/>
        </w:rPr>
        <w:t xml:space="preserve">By contrast, </w:t>
      </w:r>
      <w:r w:rsidRPr="00EE65E5">
        <w:rPr>
          <w:rFonts w:cs="Arial"/>
          <w:szCs w:val="24"/>
        </w:rPr>
        <w:t xml:space="preserve">Japan, </w:t>
      </w:r>
      <w:r w:rsidR="00963085">
        <w:rPr>
          <w:rFonts w:cs="Arial"/>
          <w:szCs w:val="24"/>
        </w:rPr>
        <w:t xml:space="preserve">South </w:t>
      </w:r>
      <w:r w:rsidRPr="00EE65E5">
        <w:rPr>
          <w:rFonts w:cs="Arial"/>
          <w:szCs w:val="24"/>
        </w:rPr>
        <w:t xml:space="preserve">Korea, Hong Kong and the ASEAN nations favour a narrow scope. </w:t>
      </w:r>
      <w:r w:rsidR="00892170">
        <w:rPr>
          <w:rFonts w:cs="Arial"/>
          <w:szCs w:val="24"/>
        </w:rPr>
        <w:t>Hong Kong</w:t>
      </w:r>
      <w:r w:rsidR="00273BE9">
        <w:rPr>
          <w:rFonts w:cs="Arial"/>
          <w:szCs w:val="24"/>
        </w:rPr>
        <w:t>,</w:t>
      </w:r>
      <w:r w:rsidR="00892170">
        <w:rPr>
          <w:rStyle w:val="FootnoteReference"/>
          <w:rFonts w:cs="Arial"/>
          <w:szCs w:val="24"/>
        </w:rPr>
        <w:footnoteReference w:id="14"/>
      </w:r>
      <w:r w:rsidR="00892170">
        <w:rPr>
          <w:rFonts w:cs="Arial"/>
          <w:szCs w:val="24"/>
        </w:rPr>
        <w:t xml:space="preserve"> as a major re-exporting hub</w:t>
      </w:r>
      <w:r w:rsidR="00F27337">
        <w:rPr>
          <w:rFonts w:cs="Arial"/>
          <w:szCs w:val="24"/>
        </w:rPr>
        <w:t>,</w:t>
      </w:r>
      <w:r w:rsidR="00892170">
        <w:rPr>
          <w:rFonts w:cs="Arial"/>
          <w:szCs w:val="24"/>
        </w:rPr>
        <w:t xml:space="preserve"> </w:t>
      </w:r>
      <w:r w:rsidR="00195E55">
        <w:rPr>
          <w:rFonts w:cs="Arial"/>
          <w:szCs w:val="24"/>
        </w:rPr>
        <w:t xml:space="preserve">has been </w:t>
      </w:r>
      <w:r w:rsidR="00892170">
        <w:rPr>
          <w:rFonts w:cs="Arial"/>
          <w:szCs w:val="24"/>
        </w:rPr>
        <w:t xml:space="preserve">particularly active in the proceedings. </w:t>
      </w:r>
      <w:r w:rsidRPr="00EE65E5">
        <w:rPr>
          <w:rFonts w:cs="Arial"/>
          <w:szCs w:val="24"/>
        </w:rPr>
        <w:t xml:space="preserve">They think the approaches taken by major users of </w:t>
      </w:r>
      <w:r w:rsidR="00F41160">
        <w:rPr>
          <w:rFonts w:cs="Arial"/>
          <w:szCs w:val="24"/>
        </w:rPr>
        <w:t>anti-</w:t>
      </w:r>
      <w:r w:rsidRPr="00EE65E5">
        <w:rPr>
          <w:rFonts w:cs="Arial"/>
          <w:szCs w:val="24"/>
        </w:rPr>
        <w:t>circumvention</w:t>
      </w:r>
      <w:r w:rsidR="00F41160">
        <w:rPr>
          <w:rFonts w:cs="Arial"/>
          <w:szCs w:val="24"/>
        </w:rPr>
        <w:t xml:space="preserve"> duties</w:t>
      </w:r>
      <w:r w:rsidRPr="00EE65E5">
        <w:rPr>
          <w:rFonts w:cs="Arial"/>
          <w:szCs w:val="24"/>
        </w:rPr>
        <w:t xml:space="preserve"> will </w:t>
      </w:r>
      <w:r w:rsidR="007F4F34">
        <w:rPr>
          <w:rFonts w:cs="Arial"/>
          <w:szCs w:val="24"/>
        </w:rPr>
        <w:t xml:space="preserve">likely </w:t>
      </w:r>
      <w:r w:rsidRPr="00EE65E5">
        <w:rPr>
          <w:rFonts w:cs="Arial"/>
          <w:szCs w:val="24"/>
        </w:rPr>
        <w:t xml:space="preserve">capture </w:t>
      </w:r>
      <w:r w:rsidR="0070430C">
        <w:rPr>
          <w:rFonts w:cs="Arial"/>
          <w:szCs w:val="24"/>
        </w:rPr>
        <w:t xml:space="preserve">genuine </w:t>
      </w:r>
      <w:r w:rsidRPr="00EE65E5">
        <w:rPr>
          <w:rFonts w:cs="Arial"/>
          <w:szCs w:val="24"/>
        </w:rPr>
        <w:t>economic responses and will further expand discretion in the administration of trade remedies</w:t>
      </w:r>
      <w:r w:rsidR="001C6CA1">
        <w:rPr>
          <w:rFonts w:cs="Arial"/>
          <w:szCs w:val="24"/>
        </w:rPr>
        <w:t>.</w:t>
      </w:r>
      <w:r w:rsidR="00963085">
        <w:rPr>
          <w:rStyle w:val="FootnoteReference"/>
          <w:rFonts w:cs="Arial"/>
          <w:szCs w:val="24"/>
        </w:rPr>
        <w:footnoteReference w:id="15"/>
      </w:r>
      <w:r w:rsidRPr="00EE65E5">
        <w:rPr>
          <w:rFonts w:cs="Arial"/>
          <w:szCs w:val="24"/>
        </w:rPr>
        <w:t xml:space="preserve"> They believe circumvention should be</w:t>
      </w:r>
      <w:r w:rsidR="0070430C">
        <w:rPr>
          <w:rFonts w:cs="Arial"/>
          <w:szCs w:val="24"/>
        </w:rPr>
        <w:t xml:space="preserve"> restricted to identifying cases of</w:t>
      </w:r>
      <w:r w:rsidRPr="00EE65E5">
        <w:rPr>
          <w:rFonts w:cs="Arial"/>
          <w:szCs w:val="24"/>
        </w:rPr>
        <w:t xml:space="preserve"> fraud</w:t>
      </w:r>
      <w:r w:rsidR="00195E55">
        <w:rPr>
          <w:rFonts w:cs="Arial"/>
          <w:szCs w:val="24"/>
        </w:rPr>
        <w:t>,</w:t>
      </w:r>
      <w:r w:rsidRPr="00EE65E5">
        <w:rPr>
          <w:rFonts w:cs="Arial"/>
          <w:szCs w:val="24"/>
        </w:rPr>
        <w:t xml:space="preserve"> e.g. product relabelling to hide true nature or false customs declarations.</w:t>
      </w:r>
      <w:r>
        <w:rPr>
          <w:rFonts w:cs="Arial"/>
          <w:szCs w:val="24"/>
        </w:rPr>
        <w:t xml:space="preserve"> The</w:t>
      </w:r>
      <w:r w:rsidR="0089686F">
        <w:rPr>
          <w:rFonts w:cs="Arial"/>
          <w:szCs w:val="24"/>
        </w:rPr>
        <w:t>y</w:t>
      </w:r>
      <w:r>
        <w:rPr>
          <w:rFonts w:cs="Arial"/>
          <w:szCs w:val="24"/>
        </w:rPr>
        <w:t xml:space="preserve"> also emphasise the h</w:t>
      </w:r>
      <w:r w:rsidRPr="00EE65E5">
        <w:rPr>
          <w:rFonts w:cs="Arial"/>
          <w:szCs w:val="24"/>
        </w:rPr>
        <w:t>andling of cases through existing rules</w:t>
      </w:r>
      <w:r w:rsidR="007F4F34">
        <w:rPr>
          <w:rFonts w:cs="Arial"/>
          <w:szCs w:val="24"/>
        </w:rPr>
        <w:t xml:space="preserve"> and administrative procedures</w:t>
      </w:r>
      <w:r>
        <w:rPr>
          <w:rFonts w:cs="Arial"/>
          <w:szCs w:val="24"/>
        </w:rPr>
        <w:t>. These include</w:t>
      </w:r>
      <w:r w:rsidRPr="00EE65E5">
        <w:rPr>
          <w:rFonts w:cs="Arial"/>
          <w:szCs w:val="24"/>
        </w:rPr>
        <w:t xml:space="preserve"> rules of origin to determine originating </w:t>
      </w:r>
      <w:r w:rsidR="0089686F" w:rsidRPr="00EE65E5">
        <w:rPr>
          <w:rFonts w:cs="Arial"/>
          <w:szCs w:val="24"/>
        </w:rPr>
        <w:t>content and</w:t>
      </w:r>
      <w:r w:rsidRPr="00EE65E5">
        <w:rPr>
          <w:rFonts w:cs="Arial"/>
          <w:szCs w:val="24"/>
        </w:rPr>
        <w:t xml:space="preserve"> relying on product classifications</w:t>
      </w:r>
      <w:r>
        <w:rPr>
          <w:rFonts w:cs="Arial"/>
          <w:szCs w:val="24"/>
        </w:rPr>
        <w:t xml:space="preserve"> under the Harmonised Commodity Description and Coding System (</w:t>
      </w:r>
      <w:r w:rsidR="0070430C">
        <w:rPr>
          <w:rFonts w:cs="Arial"/>
          <w:szCs w:val="24"/>
        </w:rPr>
        <w:t xml:space="preserve">often known more simply as the “Harmonised System” and simplified </w:t>
      </w:r>
      <w:r w:rsidR="0070430C" w:rsidRPr="00A6382A">
        <w:rPr>
          <w:rFonts w:cs="Arial"/>
          <w:szCs w:val="24"/>
        </w:rPr>
        <w:t xml:space="preserve">to </w:t>
      </w:r>
      <w:r w:rsidRPr="00EA71C7">
        <w:rPr>
          <w:rFonts w:cs="Arial"/>
          <w:szCs w:val="24"/>
        </w:rPr>
        <w:t>HS)</w:t>
      </w:r>
      <w:r>
        <w:rPr>
          <w:rFonts w:cs="Arial"/>
          <w:szCs w:val="24"/>
        </w:rPr>
        <w:t xml:space="preserve"> </w:t>
      </w:r>
      <w:r w:rsidRPr="00EE65E5">
        <w:rPr>
          <w:rFonts w:cs="Arial"/>
          <w:szCs w:val="24"/>
        </w:rPr>
        <w:t>and</w:t>
      </w:r>
      <w:r>
        <w:rPr>
          <w:rFonts w:cs="Arial"/>
          <w:szCs w:val="24"/>
        </w:rPr>
        <w:t xml:space="preserve"> its </w:t>
      </w:r>
      <w:r w:rsidRPr="00EE65E5">
        <w:rPr>
          <w:rFonts w:cs="Arial"/>
          <w:szCs w:val="24"/>
        </w:rPr>
        <w:t>interpretative principles.</w:t>
      </w:r>
    </w:p>
    <w:p w14:paraId="720A6A91" w14:textId="4BD566C6" w:rsidR="00EE65E5" w:rsidRPr="00EE65E5" w:rsidRDefault="00EE65E5" w:rsidP="00EE65E5">
      <w:pPr>
        <w:rPr>
          <w:rFonts w:cs="Arial"/>
          <w:szCs w:val="24"/>
        </w:rPr>
      </w:pPr>
      <w:r w:rsidRPr="00EE65E5">
        <w:rPr>
          <w:rFonts w:cs="Arial"/>
          <w:szCs w:val="24"/>
        </w:rPr>
        <w:t>In particular, the</w:t>
      </w:r>
      <w:r>
        <w:rPr>
          <w:rFonts w:cs="Arial"/>
          <w:szCs w:val="24"/>
        </w:rPr>
        <w:t xml:space="preserve">y favour the </w:t>
      </w:r>
      <w:r w:rsidRPr="00EE65E5">
        <w:rPr>
          <w:rFonts w:cs="Arial"/>
          <w:szCs w:val="24"/>
        </w:rPr>
        <w:t>application of the General Rule 2(a)</w:t>
      </w:r>
      <w:r w:rsidR="00C84A0F">
        <w:rPr>
          <w:rFonts w:cs="Arial"/>
          <w:szCs w:val="24"/>
        </w:rPr>
        <w:t xml:space="preserve"> of the </w:t>
      </w:r>
      <w:r w:rsidR="005D3C7D">
        <w:rPr>
          <w:rFonts w:cs="Arial"/>
          <w:szCs w:val="24"/>
        </w:rPr>
        <w:t xml:space="preserve">Harmonised </w:t>
      </w:r>
      <w:r w:rsidR="005D3C7D" w:rsidRPr="005D3C7D">
        <w:rPr>
          <w:rFonts w:cs="Arial"/>
          <w:szCs w:val="24"/>
        </w:rPr>
        <w:t>System (</w:t>
      </w:r>
      <w:r w:rsidR="00C84A0F" w:rsidRPr="005D3C7D">
        <w:rPr>
          <w:rFonts w:cs="Arial"/>
          <w:szCs w:val="24"/>
        </w:rPr>
        <w:t>HS</w:t>
      </w:r>
      <w:r w:rsidR="005D3C7D" w:rsidRPr="005D3C7D">
        <w:rPr>
          <w:rFonts w:cs="Arial"/>
          <w:szCs w:val="24"/>
        </w:rPr>
        <w:t>)</w:t>
      </w:r>
      <w:r w:rsidRPr="005D3C7D">
        <w:rPr>
          <w:rFonts w:cs="Arial"/>
          <w:szCs w:val="24"/>
        </w:rPr>
        <w:t xml:space="preserve"> a</w:t>
      </w:r>
      <w:r w:rsidR="005D3C7D">
        <w:rPr>
          <w:rFonts w:cs="Arial"/>
          <w:szCs w:val="24"/>
        </w:rPr>
        <w:t xml:space="preserve">s </w:t>
      </w:r>
      <w:r w:rsidR="00F41160" w:rsidRPr="005D3C7D">
        <w:rPr>
          <w:rFonts w:cs="Arial"/>
          <w:szCs w:val="24"/>
        </w:rPr>
        <w:t xml:space="preserve">a </w:t>
      </w:r>
      <w:r>
        <w:rPr>
          <w:rFonts w:cs="Arial"/>
          <w:szCs w:val="24"/>
        </w:rPr>
        <w:t xml:space="preserve">basis for </w:t>
      </w:r>
      <w:r w:rsidRPr="00EE65E5">
        <w:rPr>
          <w:rFonts w:cs="Arial"/>
          <w:szCs w:val="24"/>
        </w:rPr>
        <w:t>determin</w:t>
      </w:r>
      <w:r>
        <w:rPr>
          <w:rFonts w:cs="Arial"/>
          <w:szCs w:val="24"/>
        </w:rPr>
        <w:t>ing</w:t>
      </w:r>
      <w:r w:rsidRPr="00EE65E5">
        <w:rPr>
          <w:rFonts w:cs="Arial"/>
          <w:szCs w:val="24"/>
        </w:rPr>
        <w:t xml:space="preserve"> when a customs heading for an article refers also to the unassembled parts of the article</w:t>
      </w:r>
      <w:r>
        <w:rPr>
          <w:rFonts w:cs="Arial"/>
          <w:szCs w:val="24"/>
        </w:rPr>
        <w:t>.</w:t>
      </w:r>
      <w:r>
        <w:rPr>
          <w:rStyle w:val="FootnoteReference"/>
          <w:rFonts w:cs="Arial"/>
          <w:szCs w:val="24"/>
        </w:rPr>
        <w:footnoteReference w:id="16"/>
      </w:r>
    </w:p>
    <w:p w14:paraId="757205D1" w14:textId="784194BD" w:rsidR="00EE65E5" w:rsidRDefault="00EE65E5" w:rsidP="00EE65E5">
      <w:pPr>
        <w:rPr>
          <w:rFonts w:cs="Arial"/>
          <w:szCs w:val="24"/>
        </w:rPr>
      </w:pPr>
      <w:r w:rsidRPr="00EE65E5">
        <w:rPr>
          <w:rFonts w:cs="Arial"/>
          <w:szCs w:val="24"/>
        </w:rPr>
        <w:t xml:space="preserve">Where there are allegations of minor alterations, transhipment or assembly operations, these should be considered under new anti-dumping actions, with the </w:t>
      </w:r>
      <w:r w:rsidR="00195E55" w:rsidRPr="00EE65E5">
        <w:rPr>
          <w:rFonts w:cs="Arial"/>
          <w:szCs w:val="24"/>
        </w:rPr>
        <w:t xml:space="preserve">administrative process </w:t>
      </w:r>
      <w:r w:rsidRPr="00EE65E5">
        <w:rPr>
          <w:rFonts w:cs="Arial"/>
          <w:szCs w:val="24"/>
        </w:rPr>
        <w:t xml:space="preserve">implications this carries regarding burden of proof </w:t>
      </w:r>
      <w:r w:rsidR="00195E55">
        <w:rPr>
          <w:rFonts w:cs="Arial"/>
          <w:szCs w:val="24"/>
        </w:rPr>
        <w:t>in relation to</w:t>
      </w:r>
      <w:r w:rsidR="00195E55" w:rsidRPr="00EE65E5">
        <w:rPr>
          <w:rFonts w:cs="Arial"/>
          <w:szCs w:val="24"/>
        </w:rPr>
        <w:t xml:space="preserve"> </w:t>
      </w:r>
      <w:r w:rsidRPr="00EE65E5">
        <w:rPr>
          <w:rFonts w:cs="Arial"/>
          <w:szCs w:val="24"/>
        </w:rPr>
        <w:t>the margin of dumping and adverse effects.</w:t>
      </w:r>
    </w:p>
    <w:p w14:paraId="62F57000" w14:textId="5B46833D" w:rsidR="00963085" w:rsidRDefault="00963085" w:rsidP="00EE65E5">
      <w:pPr>
        <w:rPr>
          <w:rFonts w:cs="Arial"/>
          <w:szCs w:val="24"/>
        </w:rPr>
      </w:pPr>
      <w:r>
        <w:rPr>
          <w:rFonts w:cs="Arial"/>
          <w:szCs w:val="24"/>
        </w:rPr>
        <w:t>These discussions highlight the fact that</w:t>
      </w:r>
      <w:r w:rsidR="00195E55">
        <w:rPr>
          <w:rFonts w:cs="Arial"/>
          <w:szCs w:val="24"/>
        </w:rPr>
        <w:t>, internationally,</w:t>
      </w:r>
      <w:r>
        <w:rPr>
          <w:rFonts w:cs="Arial"/>
          <w:szCs w:val="24"/>
        </w:rPr>
        <w:t xml:space="preserve"> there is no settled definition of circumvention </w:t>
      </w:r>
      <w:r w:rsidR="00195E55">
        <w:rPr>
          <w:rFonts w:cs="Arial"/>
          <w:szCs w:val="24"/>
        </w:rPr>
        <w:t>n</w:t>
      </w:r>
      <w:r>
        <w:rPr>
          <w:rFonts w:cs="Arial"/>
          <w:szCs w:val="24"/>
        </w:rPr>
        <w:t xml:space="preserve">or </w:t>
      </w:r>
      <w:r w:rsidR="00195E55">
        <w:rPr>
          <w:rFonts w:cs="Arial"/>
          <w:szCs w:val="24"/>
        </w:rPr>
        <w:t xml:space="preserve">any </w:t>
      </w:r>
      <w:r>
        <w:rPr>
          <w:rFonts w:cs="Arial"/>
          <w:szCs w:val="24"/>
        </w:rPr>
        <w:t>consensus on the basis for enacting anti-circumvention</w:t>
      </w:r>
      <w:r w:rsidR="00F41160">
        <w:rPr>
          <w:rFonts w:cs="Arial"/>
          <w:szCs w:val="24"/>
        </w:rPr>
        <w:t xml:space="preserve"> measures</w:t>
      </w:r>
      <w:r>
        <w:rPr>
          <w:rFonts w:cs="Arial"/>
          <w:szCs w:val="24"/>
        </w:rPr>
        <w:t>. This reinforces the importance of distinguishing between circumvention – however defined</w:t>
      </w:r>
      <w:r w:rsidR="005A4FFF">
        <w:rPr>
          <w:rFonts w:cs="Arial"/>
          <w:szCs w:val="24"/>
        </w:rPr>
        <w:t xml:space="preserve"> –</w:t>
      </w:r>
      <w:r>
        <w:rPr>
          <w:rFonts w:cs="Arial"/>
          <w:szCs w:val="24"/>
        </w:rPr>
        <w:t xml:space="preserve"> and other sources of change</w:t>
      </w:r>
      <w:r w:rsidR="0090304A">
        <w:rPr>
          <w:rFonts w:cs="Arial"/>
          <w:szCs w:val="24"/>
        </w:rPr>
        <w:t>s</w:t>
      </w:r>
      <w:r>
        <w:rPr>
          <w:rFonts w:cs="Arial"/>
          <w:szCs w:val="24"/>
        </w:rPr>
        <w:t xml:space="preserve"> to trade pattern</w:t>
      </w:r>
      <w:r w:rsidR="00230C6F">
        <w:rPr>
          <w:rFonts w:cs="Arial"/>
          <w:szCs w:val="24"/>
        </w:rPr>
        <w:t>s</w:t>
      </w:r>
      <w:r>
        <w:rPr>
          <w:rFonts w:cs="Arial"/>
          <w:szCs w:val="24"/>
        </w:rPr>
        <w:t>, a point recognised by jurisdictions that favour more expansive approaches to anti-circumvention.</w:t>
      </w:r>
      <w:r>
        <w:rPr>
          <w:rStyle w:val="FootnoteReference"/>
          <w:rFonts w:cs="Arial"/>
          <w:szCs w:val="24"/>
        </w:rPr>
        <w:footnoteReference w:id="17"/>
      </w:r>
      <w:r>
        <w:rPr>
          <w:rFonts w:cs="Arial"/>
          <w:szCs w:val="24"/>
        </w:rPr>
        <w:t xml:space="preserve"> </w:t>
      </w:r>
    </w:p>
    <w:p w14:paraId="4785F3CB" w14:textId="30585E8E" w:rsidR="00963085" w:rsidRPr="00EE65E5" w:rsidRDefault="00963085" w:rsidP="00EE65E5">
      <w:pPr>
        <w:rPr>
          <w:rFonts w:cs="Arial"/>
          <w:szCs w:val="24"/>
        </w:rPr>
      </w:pPr>
      <w:r>
        <w:rPr>
          <w:rFonts w:cs="Arial"/>
          <w:szCs w:val="24"/>
        </w:rPr>
        <w:t>In light of these observations, we now turn to a closer examination of trends in circumvention cases in specific jurisdictions</w:t>
      </w:r>
      <w:r w:rsidR="0070430C">
        <w:rPr>
          <w:rFonts w:cs="Arial"/>
          <w:szCs w:val="24"/>
        </w:rPr>
        <w:t xml:space="preserve">: the </w:t>
      </w:r>
      <w:r w:rsidR="00052414">
        <w:rPr>
          <w:rFonts w:cs="Arial"/>
          <w:szCs w:val="24"/>
        </w:rPr>
        <w:t>EU</w:t>
      </w:r>
      <w:r w:rsidR="0070430C">
        <w:rPr>
          <w:rFonts w:cs="Arial"/>
          <w:szCs w:val="24"/>
        </w:rPr>
        <w:t>, the United States, Australia and Canada.</w:t>
      </w:r>
    </w:p>
    <w:p w14:paraId="12D19693" w14:textId="6DBB319D" w:rsidR="003244DB" w:rsidRDefault="00FA1C57" w:rsidP="00DD4018">
      <w:pPr>
        <w:pStyle w:val="Heading2"/>
      </w:pPr>
      <w:bookmarkStart w:id="27" w:name="_Toc271918491"/>
      <w:bookmarkStart w:id="28" w:name="_Toc118465272"/>
      <w:r>
        <w:t>3.</w:t>
      </w:r>
      <w:r w:rsidR="00DD4018">
        <w:t>2</w:t>
      </w:r>
      <w:r>
        <w:tab/>
      </w:r>
      <w:r w:rsidR="003244DB">
        <w:t>Comparative assessment of the deep</w:t>
      </w:r>
      <w:r w:rsidR="00143105">
        <w:t>-</w:t>
      </w:r>
      <w:r w:rsidR="003244DB">
        <w:t>dive countries</w:t>
      </w:r>
      <w:bookmarkEnd w:id="27"/>
      <w:bookmarkEnd w:id="28"/>
    </w:p>
    <w:p w14:paraId="416B45C7" w14:textId="6F0289AF" w:rsidR="00DD4018" w:rsidRPr="00DD4018" w:rsidRDefault="00DD4018" w:rsidP="00DD4018">
      <w:pPr>
        <w:pStyle w:val="Heading3"/>
      </w:pPr>
      <w:bookmarkStart w:id="29" w:name="_Toc442763276"/>
      <w:bookmarkStart w:id="30" w:name="_Toc118465273"/>
      <w:r>
        <w:t>3.2.1 Circumventors and modes of circumvention</w:t>
      </w:r>
      <w:bookmarkEnd w:id="29"/>
      <w:bookmarkEnd w:id="30"/>
    </w:p>
    <w:p w14:paraId="1B81BE16" w14:textId="3CCE1A1E" w:rsidR="002D3FAA" w:rsidRDefault="009D1639" w:rsidP="002D3FAA">
      <w:pPr>
        <w:rPr>
          <w:rFonts w:cs="Arial"/>
          <w:szCs w:val="24"/>
        </w:rPr>
      </w:pPr>
      <w:r w:rsidRPr="00FE05B4">
        <w:rPr>
          <w:rFonts w:cs="Arial"/>
          <w:szCs w:val="24"/>
        </w:rPr>
        <w:fldChar w:fldCharType="begin"/>
      </w:r>
      <w:r w:rsidRPr="00FE05B4">
        <w:rPr>
          <w:rFonts w:cs="Arial"/>
          <w:szCs w:val="24"/>
        </w:rPr>
        <w:instrText xml:space="preserve"> REF _Ref94795865 \h  \* MERGEFORMAT </w:instrText>
      </w:r>
      <w:r w:rsidRPr="00FE05B4">
        <w:rPr>
          <w:rFonts w:cs="Arial"/>
          <w:szCs w:val="24"/>
        </w:rPr>
      </w:r>
      <w:r w:rsidRPr="00FE05B4">
        <w:rPr>
          <w:rFonts w:cs="Arial"/>
          <w:szCs w:val="24"/>
        </w:rPr>
        <w:fldChar w:fldCharType="separate"/>
      </w:r>
      <w:r w:rsidR="00DD4018" w:rsidRPr="00FE05B4">
        <w:rPr>
          <w:rFonts w:cs="Arial"/>
          <w:szCs w:val="24"/>
          <w:lang w:val="en-US"/>
        </w:rPr>
        <w:fldChar w:fldCharType="begin"/>
      </w:r>
      <w:r w:rsidR="00DD4018" w:rsidRPr="00FE05B4">
        <w:rPr>
          <w:rFonts w:cs="Arial"/>
          <w:szCs w:val="24"/>
        </w:rPr>
        <w:instrText xml:space="preserve"> REF _Ref103872041 \h </w:instrText>
      </w:r>
      <w:r w:rsidR="00FE05B4" w:rsidRPr="00FE05B4">
        <w:rPr>
          <w:rFonts w:cs="Arial"/>
          <w:szCs w:val="24"/>
          <w:lang w:val="en-US"/>
        </w:rPr>
        <w:instrText xml:space="preserve"> \* MERGEFORMAT </w:instrText>
      </w:r>
      <w:r w:rsidR="00DD4018" w:rsidRPr="00FE05B4">
        <w:rPr>
          <w:rFonts w:cs="Arial"/>
          <w:szCs w:val="24"/>
          <w:lang w:val="en-US"/>
        </w:rPr>
      </w:r>
      <w:r w:rsidR="00DD4018" w:rsidRPr="00FE05B4">
        <w:rPr>
          <w:rFonts w:cs="Arial"/>
          <w:szCs w:val="24"/>
          <w:lang w:val="en-US"/>
        </w:rPr>
        <w:fldChar w:fldCharType="separate"/>
      </w:r>
      <w:r w:rsidR="00DD4018" w:rsidRPr="00FE05B4">
        <w:rPr>
          <w:rFonts w:cs="Arial"/>
          <w:szCs w:val="24"/>
        </w:rPr>
        <w:t xml:space="preserve">Figure </w:t>
      </w:r>
      <w:r w:rsidR="00DD4018" w:rsidRPr="00FE05B4">
        <w:rPr>
          <w:rFonts w:cs="Arial"/>
          <w:noProof/>
          <w:szCs w:val="24"/>
        </w:rPr>
        <w:t>2</w:t>
      </w:r>
      <w:r w:rsidR="00DD4018" w:rsidRPr="00FE05B4">
        <w:rPr>
          <w:rFonts w:cs="Arial"/>
          <w:szCs w:val="24"/>
          <w:lang w:val="en-US"/>
        </w:rPr>
        <w:fldChar w:fldCharType="end"/>
      </w:r>
      <w:r w:rsidRPr="00FE05B4">
        <w:rPr>
          <w:rFonts w:cs="Arial"/>
          <w:szCs w:val="24"/>
        </w:rPr>
        <w:fldChar w:fldCharType="end"/>
      </w:r>
      <w:r w:rsidR="002245EA" w:rsidRPr="00FE05B4">
        <w:rPr>
          <w:rFonts w:cs="Arial"/>
          <w:szCs w:val="24"/>
        </w:rPr>
        <w:t xml:space="preserve"> </w:t>
      </w:r>
      <w:r w:rsidR="007E670B" w:rsidRPr="00FE05B4">
        <w:rPr>
          <w:rFonts w:cs="Arial"/>
          <w:szCs w:val="24"/>
        </w:rPr>
        <w:t xml:space="preserve">and </w:t>
      </w:r>
      <w:r w:rsidR="00DD4018" w:rsidRPr="00FE05B4">
        <w:rPr>
          <w:rFonts w:cs="Arial"/>
          <w:szCs w:val="24"/>
        </w:rPr>
        <w:fldChar w:fldCharType="begin"/>
      </w:r>
      <w:r w:rsidR="00DD4018" w:rsidRPr="00FE05B4">
        <w:rPr>
          <w:rFonts w:cs="Arial"/>
          <w:szCs w:val="24"/>
        </w:rPr>
        <w:instrText xml:space="preserve"> REF _Ref103872049 \h </w:instrText>
      </w:r>
      <w:r w:rsidR="00FE05B4" w:rsidRPr="00FE05B4">
        <w:rPr>
          <w:rFonts w:cs="Arial"/>
          <w:szCs w:val="24"/>
        </w:rPr>
        <w:instrText xml:space="preserve"> \* MERGEFORMAT </w:instrText>
      </w:r>
      <w:r w:rsidR="00DD4018" w:rsidRPr="00FE05B4">
        <w:rPr>
          <w:rFonts w:cs="Arial"/>
          <w:szCs w:val="24"/>
        </w:rPr>
      </w:r>
      <w:r w:rsidR="00DD4018" w:rsidRPr="00FE05B4">
        <w:rPr>
          <w:rFonts w:cs="Arial"/>
          <w:szCs w:val="24"/>
        </w:rPr>
        <w:fldChar w:fldCharType="separate"/>
      </w:r>
      <w:r w:rsidR="00DD4018" w:rsidRPr="00FE05B4">
        <w:rPr>
          <w:rFonts w:cs="Arial"/>
          <w:szCs w:val="24"/>
        </w:rPr>
        <w:t xml:space="preserve">Figure </w:t>
      </w:r>
      <w:r w:rsidR="00DD4018" w:rsidRPr="00FE05B4">
        <w:rPr>
          <w:rFonts w:cs="Arial"/>
          <w:noProof/>
          <w:szCs w:val="24"/>
        </w:rPr>
        <w:t>3</w:t>
      </w:r>
      <w:r w:rsidR="00DD4018" w:rsidRPr="00FE05B4">
        <w:rPr>
          <w:rFonts w:cs="Arial"/>
          <w:szCs w:val="24"/>
        </w:rPr>
        <w:fldChar w:fldCharType="end"/>
      </w:r>
      <w:r w:rsidR="007E670B" w:rsidRPr="009D1639">
        <w:rPr>
          <w:rFonts w:cs="Arial"/>
          <w:szCs w:val="24"/>
        </w:rPr>
        <w:t xml:space="preserve"> present a comparison between </w:t>
      </w:r>
      <w:r w:rsidR="00A864D1">
        <w:rPr>
          <w:rFonts w:cs="Arial"/>
          <w:szCs w:val="24"/>
        </w:rPr>
        <w:t xml:space="preserve">the </w:t>
      </w:r>
      <w:r w:rsidR="00DB7CE0">
        <w:rPr>
          <w:rFonts w:cs="Arial"/>
          <w:szCs w:val="24"/>
        </w:rPr>
        <w:t>United States</w:t>
      </w:r>
      <w:r w:rsidR="007E670B" w:rsidRPr="009D1639">
        <w:rPr>
          <w:rFonts w:cs="Arial"/>
          <w:szCs w:val="24"/>
        </w:rPr>
        <w:t xml:space="preserve">, the EU and </w:t>
      </w:r>
      <w:r w:rsidR="00DB7CE0">
        <w:rPr>
          <w:rFonts w:cs="Arial"/>
          <w:szCs w:val="24"/>
        </w:rPr>
        <w:t>Australia</w:t>
      </w:r>
      <w:r w:rsidR="007E670B">
        <w:rPr>
          <w:rFonts w:cs="Arial"/>
          <w:szCs w:val="24"/>
        </w:rPr>
        <w:t xml:space="preserve"> (the </w:t>
      </w:r>
      <w:r w:rsidR="007E670B" w:rsidRPr="00143105">
        <w:rPr>
          <w:rFonts w:cs="Arial"/>
          <w:szCs w:val="24"/>
        </w:rPr>
        <w:t>deep</w:t>
      </w:r>
      <w:r w:rsidR="00143105">
        <w:rPr>
          <w:rFonts w:cs="Arial"/>
          <w:szCs w:val="24"/>
        </w:rPr>
        <w:t>-</w:t>
      </w:r>
      <w:r w:rsidR="007E670B" w:rsidRPr="00143105">
        <w:rPr>
          <w:rFonts w:cs="Arial"/>
          <w:szCs w:val="24"/>
        </w:rPr>
        <w:t>dive</w:t>
      </w:r>
      <w:r w:rsidR="007E670B">
        <w:rPr>
          <w:rFonts w:cs="Arial"/>
          <w:szCs w:val="24"/>
        </w:rPr>
        <w:t xml:space="preserve"> countries </w:t>
      </w:r>
      <w:r w:rsidR="000135A3">
        <w:rPr>
          <w:rFonts w:cs="Arial"/>
          <w:szCs w:val="24"/>
        </w:rPr>
        <w:t>in which circumvention cases have taken place</w:t>
      </w:r>
      <w:r w:rsidR="007E670B">
        <w:rPr>
          <w:rFonts w:cs="Arial"/>
          <w:szCs w:val="24"/>
        </w:rPr>
        <w:t>) in terms</w:t>
      </w:r>
      <w:r w:rsidR="009D2389">
        <w:rPr>
          <w:rFonts w:cs="Arial"/>
          <w:szCs w:val="24"/>
        </w:rPr>
        <w:t>, respectively,</w:t>
      </w:r>
      <w:r w:rsidR="007E670B">
        <w:rPr>
          <w:rFonts w:cs="Arial"/>
          <w:szCs w:val="24"/>
        </w:rPr>
        <w:t xml:space="preserve"> of countries that are the circumventors (i.e. the countries subject to the original duties) and in terms of the mode of circumvention.</w:t>
      </w:r>
    </w:p>
    <w:tbl>
      <w:tblPr>
        <w:tblStyle w:val="TableGrid"/>
        <w:tblpPr w:leftFromText="181" w:rightFromText="181" w:topFromText="142" w:bottomFromText="142" w:vertAnchor="text" w:tblpY="1"/>
        <w:tblOverlap w:val="never"/>
        <w:tblW w:w="0" w:type="auto"/>
        <w:tblLook w:val="04A0" w:firstRow="1" w:lastRow="0" w:firstColumn="1" w:lastColumn="0" w:noHBand="0" w:noVBand="1"/>
      </w:tblPr>
      <w:tblGrid>
        <w:gridCol w:w="9016"/>
      </w:tblGrid>
      <w:tr w:rsidR="002D3FAA" w:rsidRPr="009D1639" w14:paraId="73DE3EE9" w14:textId="77777777" w:rsidTr="00C82807">
        <w:tc>
          <w:tcPr>
            <w:tcW w:w="9016" w:type="dxa"/>
            <w:tcBorders>
              <w:bottom w:val="single" w:sz="4" w:space="0" w:color="auto"/>
            </w:tcBorders>
            <w:shd w:val="clear" w:color="auto" w:fill="24135F"/>
          </w:tcPr>
          <w:p w14:paraId="5B660518" w14:textId="7AB02A90" w:rsidR="002D3FAA" w:rsidRPr="000C38CD" w:rsidRDefault="002D3FAA" w:rsidP="00C82807">
            <w:pPr>
              <w:rPr>
                <w:rFonts w:cs="Arial"/>
                <w:b/>
                <w:szCs w:val="24"/>
              </w:rPr>
            </w:pPr>
            <w:bookmarkStart w:id="31" w:name="_Ref103872041"/>
            <w:r w:rsidRPr="00573DDB">
              <w:rPr>
                <w:rFonts w:cs="Arial"/>
                <w:b/>
                <w:szCs w:val="24"/>
              </w:rPr>
              <w:t xml:space="preserve">Figure </w:t>
            </w:r>
            <w:r w:rsidR="00337849">
              <w:rPr>
                <w:rFonts w:cs="Arial"/>
                <w:b/>
                <w:szCs w:val="24"/>
              </w:rPr>
              <w:fldChar w:fldCharType="begin"/>
            </w:r>
            <w:r w:rsidR="00337849">
              <w:rPr>
                <w:rFonts w:cs="Arial"/>
                <w:b/>
                <w:szCs w:val="24"/>
              </w:rPr>
              <w:instrText xml:space="preserve"> SEQ Figure \* ARABIC </w:instrText>
            </w:r>
            <w:r w:rsidR="00337849">
              <w:rPr>
                <w:rFonts w:cs="Arial"/>
                <w:b/>
                <w:szCs w:val="24"/>
              </w:rPr>
              <w:fldChar w:fldCharType="separate"/>
            </w:r>
            <w:r w:rsidR="00625A64">
              <w:rPr>
                <w:rFonts w:cs="Arial"/>
                <w:b/>
                <w:noProof/>
                <w:szCs w:val="24"/>
              </w:rPr>
              <w:t>2</w:t>
            </w:r>
            <w:r w:rsidR="00337849">
              <w:rPr>
                <w:rFonts w:cs="Arial"/>
                <w:b/>
                <w:szCs w:val="24"/>
              </w:rPr>
              <w:fldChar w:fldCharType="end"/>
            </w:r>
            <w:bookmarkEnd w:id="31"/>
            <w:r w:rsidRPr="00573DDB">
              <w:rPr>
                <w:rFonts w:cs="Arial"/>
                <w:b/>
                <w:bCs/>
                <w:szCs w:val="24"/>
              </w:rPr>
              <w:t>:</w:t>
            </w:r>
            <w:r w:rsidR="00E06B6C">
              <w:rPr>
                <w:rFonts w:cs="Arial"/>
                <w:b/>
                <w:bCs/>
                <w:szCs w:val="24"/>
              </w:rPr>
              <w:t xml:space="preserve"> </w:t>
            </w:r>
            <w:r w:rsidRPr="00C378F2">
              <w:rPr>
                <w:rFonts w:cs="Arial"/>
                <w:b/>
                <w:i/>
                <w:iCs/>
                <w:szCs w:val="24"/>
              </w:rPr>
              <w:t>Circumventors by deep-dive jurisdiction</w:t>
            </w:r>
            <w:r>
              <w:rPr>
                <w:rFonts w:cs="Arial"/>
                <w:b/>
                <w:szCs w:val="24"/>
              </w:rPr>
              <w:t xml:space="preserve"> </w:t>
            </w:r>
            <w:r w:rsidRPr="00217466" w:rsidDel="00087AD3">
              <w:rPr>
                <w:rFonts w:cs="Arial"/>
                <w:b/>
                <w:szCs w:val="24"/>
              </w:rPr>
              <w:t xml:space="preserve"> </w:t>
            </w:r>
          </w:p>
        </w:tc>
      </w:tr>
      <w:tr w:rsidR="002D3FAA" w:rsidRPr="00F7615F" w14:paraId="64DB85EE" w14:textId="77777777" w:rsidTr="007175B4">
        <w:trPr>
          <w:trHeight w:val="5525"/>
        </w:trPr>
        <w:tc>
          <w:tcPr>
            <w:tcW w:w="9016" w:type="dxa"/>
            <w:tcBorders>
              <w:bottom w:val="single" w:sz="4" w:space="0" w:color="auto"/>
            </w:tcBorders>
          </w:tcPr>
          <w:p w14:paraId="30205EA4" w14:textId="30EE9912" w:rsidR="002D3FAA" w:rsidRPr="00F7615F" w:rsidRDefault="007175B4" w:rsidP="00C82807">
            <w:pPr>
              <w:tabs>
                <w:tab w:val="center" w:pos="4400"/>
              </w:tabs>
              <w:rPr>
                <w:rFonts w:cs="Arial"/>
                <w:szCs w:val="24"/>
              </w:rPr>
            </w:pPr>
            <w:r>
              <w:rPr>
                <w:noProof/>
              </w:rPr>
              <w:drawing>
                <wp:inline distT="0" distB="0" distL="0" distR="0" wp14:anchorId="4C731397" wp14:editId="3D01C942">
                  <wp:extent cx="5495925" cy="3529013"/>
                  <wp:effectExtent l="0" t="0" r="9525" b="14605"/>
                  <wp:docPr id="7" name="Chart 7">
                    <a:extLst xmlns:a="http://schemas.openxmlformats.org/drawingml/2006/main">
                      <a:ext uri="{FF2B5EF4-FFF2-40B4-BE49-F238E27FC236}">
                        <a16:creationId xmlns:a16="http://schemas.microsoft.com/office/drawing/2014/main" id="{04336310-482A-4148-9ED8-404BBB9CC4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C82807" w:rsidRPr="00F7615F" w14:paraId="46D6E284" w14:textId="77777777" w:rsidTr="00C82807">
        <w:trPr>
          <w:trHeight w:val="680"/>
        </w:trPr>
        <w:tc>
          <w:tcPr>
            <w:tcW w:w="9016" w:type="dxa"/>
            <w:tcBorders>
              <w:left w:val="nil"/>
              <w:bottom w:val="nil"/>
              <w:right w:val="nil"/>
            </w:tcBorders>
          </w:tcPr>
          <w:p w14:paraId="3F65FE3B" w14:textId="7F49B20C" w:rsidR="00C82807" w:rsidRPr="00087AD3" w:rsidRDefault="00C82807" w:rsidP="00C82807">
            <w:pPr>
              <w:pStyle w:val="Tablesource"/>
              <w:rPr>
                <w:noProof/>
              </w:rPr>
            </w:pPr>
            <w:r w:rsidRPr="00016CC0">
              <w:t>Source: Frontier Economics calculations based on data from the Australian Anti-Dumping Commission, EU annual trade defence reports, Department of Commerce, Global Trade Alert, Research by Aksel Erbahar</w:t>
            </w:r>
            <w:r w:rsidRPr="00A864D1">
              <w:t>.</w:t>
            </w:r>
            <w:r w:rsidRPr="00016CC0">
              <w:t xml:space="preserve"> </w:t>
            </w:r>
          </w:p>
        </w:tc>
      </w:tr>
    </w:tbl>
    <w:p w14:paraId="082A3D84" w14:textId="23D3D3D0" w:rsidR="00A8551F" w:rsidRDefault="002406F0" w:rsidP="00F7615F">
      <w:pPr>
        <w:rPr>
          <w:rFonts w:cs="Arial"/>
          <w:szCs w:val="24"/>
        </w:rPr>
      </w:pPr>
      <w:r>
        <w:rPr>
          <w:rFonts w:cs="Arial"/>
          <w:szCs w:val="24"/>
        </w:rPr>
        <w:t>PRC</w:t>
      </w:r>
      <w:r w:rsidR="00B90748" w:rsidRPr="00B90748">
        <w:rPr>
          <w:rFonts w:cs="Arial"/>
          <w:szCs w:val="24"/>
        </w:rPr>
        <w:t xml:space="preserve">’s </w:t>
      </w:r>
      <w:r w:rsidR="00B90748">
        <w:rPr>
          <w:rFonts w:cs="Arial"/>
          <w:szCs w:val="24"/>
        </w:rPr>
        <w:t xml:space="preserve">position is </w:t>
      </w:r>
      <w:r w:rsidR="00B90748" w:rsidRPr="00B90748">
        <w:rPr>
          <w:rFonts w:cs="Arial"/>
          <w:szCs w:val="24"/>
        </w:rPr>
        <w:t xml:space="preserve">not surprising given the frequency with which </w:t>
      </w:r>
      <w:r w:rsidR="00A864D1">
        <w:rPr>
          <w:rFonts w:cs="Arial"/>
          <w:szCs w:val="24"/>
        </w:rPr>
        <w:t>it</w:t>
      </w:r>
      <w:r w:rsidR="00A864D1" w:rsidRPr="00B90748">
        <w:rPr>
          <w:rFonts w:cs="Arial"/>
          <w:szCs w:val="24"/>
        </w:rPr>
        <w:t xml:space="preserve"> </w:t>
      </w:r>
      <w:r w:rsidR="00B90748" w:rsidRPr="00B90748">
        <w:rPr>
          <w:rFonts w:cs="Arial"/>
          <w:szCs w:val="24"/>
        </w:rPr>
        <w:t xml:space="preserve">is the target of trade remedies. Both the </w:t>
      </w:r>
      <w:r w:rsidR="00403A85">
        <w:rPr>
          <w:rFonts w:cs="Arial"/>
          <w:szCs w:val="24"/>
        </w:rPr>
        <w:t>United States</w:t>
      </w:r>
      <w:r w:rsidR="00B90748" w:rsidRPr="00B90748">
        <w:rPr>
          <w:rFonts w:cs="Arial"/>
          <w:szCs w:val="24"/>
        </w:rPr>
        <w:t xml:space="preserve"> and the EU targeted </w:t>
      </w:r>
      <w:r>
        <w:rPr>
          <w:rFonts w:cs="Arial"/>
          <w:szCs w:val="24"/>
        </w:rPr>
        <w:t>PRC</w:t>
      </w:r>
      <w:r w:rsidR="00B90748" w:rsidRPr="00B90748">
        <w:rPr>
          <w:rFonts w:cs="Arial"/>
          <w:szCs w:val="24"/>
        </w:rPr>
        <w:t xml:space="preserve"> in around 70% of their anti-dumping cases over the period under study,</w:t>
      </w:r>
      <w:r w:rsidR="00B90748">
        <w:rPr>
          <w:rFonts w:cs="Arial"/>
          <w:szCs w:val="24"/>
        </w:rPr>
        <w:t xml:space="preserve"> and </w:t>
      </w:r>
      <w:r>
        <w:rPr>
          <w:rFonts w:cs="Arial"/>
          <w:szCs w:val="24"/>
        </w:rPr>
        <w:t>PRC</w:t>
      </w:r>
      <w:r w:rsidR="00B90748" w:rsidRPr="00B90748">
        <w:rPr>
          <w:rFonts w:cs="Arial"/>
          <w:szCs w:val="24"/>
        </w:rPr>
        <w:t>’s status as a non-market economy</w:t>
      </w:r>
      <w:r w:rsidR="00B90748">
        <w:rPr>
          <w:rFonts w:cs="Arial"/>
          <w:szCs w:val="24"/>
        </w:rPr>
        <w:t xml:space="preserve"> (NME)</w:t>
      </w:r>
      <w:r w:rsidR="00B90748" w:rsidRPr="00B90748">
        <w:rPr>
          <w:rFonts w:cs="Arial"/>
          <w:szCs w:val="24"/>
        </w:rPr>
        <w:t xml:space="preserve"> may be a further factor. NME status tends to </w:t>
      </w:r>
      <w:r w:rsidR="00FC37FD">
        <w:rPr>
          <w:rFonts w:cs="Arial"/>
          <w:szCs w:val="24"/>
        </w:rPr>
        <w:t>be associated with higher</w:t>
      </w:r>
      <w:r w:rsidR="00FC37FD" w:rsidRPr="00B90748">
        <w:rPr>
          <w:rFonts w:cs="Arial"/>
          <w:szCs w:val="24"/>
        </w:rPr>
        <w:t xml:space="preserve"> </w:t>
      </w:r>
      <w:r w:rsidR="00B90748" w:rsidRPr="00B90748">
        <w:rPr>
          <w:rFonts w:cs="Arial"/>
          <w:szCs w:val="24"/>
        </w:rPr>
        <w:t xml:space="preserve">dumping margins. As </w:t>
      </w:r>
      <w:r w:rsidR="00B90748">
        <w:rPr>
          <w:rFonts w:cs="Arial"/>
          <w:szCs w:val="24"/>
        </w:rPr>
        <w:t>already observed</w:t>
      </w:r>
      <w:r w:rsidR="00B90748" w:rsidRPr="00B90748">
        <w:rPr>
          <w:rFonts w:cs="Arial"/>
          <w:szCs w:val="24"/>
        </w:rPr>
        <w:t xml:space="preserve">, the incidence of circumvention increases in line with duties imposed.  </w:t>
      </w:r>
    </w:p>
    <w:p w14:paraId="60F63F68" w14:textId="1226D388" w:rsidR="00C6475C" w:rsidRDefault="00FE36AB" w:rsidP="00F7615F">
      <w:pPr>
        <w:rPr>
          <w:rFonts w:cs="Arial"/>
          <w:szCs w:val="24"/>
        </w:rPr>
      </w:pPr>
      <w:r>
        <w:rPr>
          <w:rFonts w:cs="Arial"/>
          <w:szCs w:val="24"/>
        </w:rPr>
        <w:t xml:space="preserve">In cases in the United States involving </w:t>
      </w:r>
      <w:r w:rsidR="002406F0">
        <w:rPr>
          <w:rFonts w:cs="Arial"/>
          <w:szCs w:val="24"/>
        </w:rPr>
        <w:t>PRC</w:t>
      </w:r>
      <w:r>
        <w:rPr>
          <w:rFonts w:cs="Arial"/>
          <w:szCs w:val="24"/>
        </w:rPr>
        <w:t xml:space="preserve"> as circumventor and a third party as either a location for trans-shipment or assembly operations, a little over a third involve Vietnam as the third part</w:t>
      </w:r>
      <w:r w:rsidR="001C7D00">
        <w:rPr>
          <w:rFonts w:cs="Arial"/>
          <w:szCs w:val="24"/>
        </w:rPr>
        <w:t>y</w:t>
      </w:r>
      <w:r>
        <w:rPr>
          <w:rFonts w:cs="Arial"/>
          <w:szCs w:val="24"/>
        </w:rPr>
        <w:t xml:space="preserve">, while another quarter are accounted for by other ASEAN countries. India and the UAE are also other third parties to have featured in more than 1 case. In similar cases for the EU, Malaysia is involved in over a third of the cases, and a combination of other ASEAN countries (Vietnam and Cambodia notably) are involved in 40%. India and South Korea are involved in around 10% of cases each.  </w:t>
      </w:r>
    </w:p>
    <w:tbl>
      <w:tblPr>
        <w:tblStyle w:val="TableGrid"/>
        <w:tblpPr w:leftFromText="181" w:rightFromText="181" w:topFromText="142" w:bottomFromText="142" w:vertAnchor="text" w:tblpY="1"/>
        <w:tblOverlap w:val="never"/>
        <w:tblW w:w="0" w:type="auto"/>
        <w:tblLook w:val="04A0" w:firstRow="1" w:lastRow="0" w:firstColumn="1" w:lastColumn="0" w:noHBand="0" w:noVBand="1"/>
      </w:tblPr>
      <w:tblGrid>
        <w:gridCol w:w="9016"/>
      </w:tblGrid>
      <w:tr w:rsidR="002D3FAA" w:rsidRPr="009D1639" w14:paraId="1B0AD409" w14:textId="77777777">
        <w:tc>
          <w:tcPr>
            <w:tcW w:w="9016" w:type="dxa"/>
            <w:tcBorders>
              <w:bottom w:val="single" w:sz="4" w:space="0" w:color="auto"/>
            </w:tcBorders>
            <w:shd w:val="clear" w:color="auto" w:fill="24135F"/>
          </w:tcPr>
          <w:p w14:paraId="6BFE6F90" w14:textId="435E1683" w:rsidR="002D3FAA" w:rsidRPr="000C38CD" w:rsidRDefault="002D3FAA">
            <w:pPr>
              <w:rPr>
                <w:rFonts w:cs="Arial"/>
                <w:b/>
                <w:szCs w:val="24"/>
              </w:rPr>
            </w:pPr>
            <w:bookmarkStart w:id="32" w:name="_Ref103872049"/>
            <w:r w:rsidRPr="00573DDB">
              <w:rPr>
                <w:rFonts w:cs="Arial"/>
                <w:b/>
                <w:szCs w:val="24"/>
              </w:rPr>
              <w:t xml:space="preserve">Figure </w:t>
            </w:r>
            <w:r w:rsidR="00337849">
              <w:rPr>
                <w:rFonts w:cs="Arial"/>
                <w:b/>
                <w:szCs w:val="24"/>
              </w:rPr>
              <w:fldChar w:fldCharType="begin"/>
            </w:r>
            <w:r w:rsidR="00337849">
              <w:rPr>
                <w:rFonts w:cs="Arial"/>
                <w:b/>
                <w:szCs w:val="24"/>
              </w:rPr>
              <w:instrText xml:space="preserve"> SEQ Figure \* ARABIC </w:instrText>
            </w:r>
            <w:r w:rsidR="00337849">
              <w:rPr>
                <w:rFonts w:cs="Arial"/>
                <w:b/>
                <w:szCs w:val="24"/>
              </w:rPr>
              <w:fldChar w:fldCharType="separate"/>
            </w:r>
            <w:r w:rsidR="00625A64">
              <w:rPr>
                <w:rFonts w:cs="Arial"/>
                <w:b/>
                <w:noProof/>
                <w:szCs w:val="24"/>
              </w:rPr>
              <w:t>3</w:t>
            </w:r>
            <w:r w:rsidR="00337849">
              <w:rPr>
                <w:rFonts w:cs="Arial"/>
                <w:b/>
                <w:szCs w:val="24"/>
              </w:rPr>
              <w:fldChar w:fldCharType="end"/>
            </w:r>
            <w:bookmarkEnd w:id="32"/>
            <w:r w:rsidRPr="00573DDB">
              <w:rPr>
                <w:rFonts w:cs="Arial"/>
                <w:b/>
                <w:bCs/>
                <w:szCs w:val="24"/>
              </w:rPr>
              <w:t>:</w:t>
            </w:r>
            <w:r w:rsidR="00E06B6C">
              <w:rPr>
                <w:rFonts w:cs="Arial"/>
                <w:b/>
                <w:bCs/>
                <w:szCs w:val="24"/>
              </w:rPr>
              <w:t xml:space="preserve"> </w:t>
            </w:r>
            <w:r w:rsidRPr="00C378F2">
              <w:rPr>
                <w:rFonts w:cs="Arial"/>
                <w:b/>
                <w:i/>
                <w:iCs/>
                <w:szCs w:val="24"/>
              </w:rPr>
              <w:t xml:space="preserve">Modes of circumvention by deep dive </w:t>
            </w:r>
            <w:r w:rsidR="00CF1608" w:rsidRPr="00C378F2">
              <w:rPr>
                <w:rFonts w:cs="Arial"/>
                <w:b/>
                <w:i/>
                <w:iCs/>
                <w:szCs w:val="24"/>
              </w:rPr>
              <w:t>jurisdiction</w:t>
            </w:r>
          </w:p>
        </w:tc>
      </w:tr>
      <w:tr w:rsidR="002D3FAA" w:rsidRPr="00F7615F" w14:paraId="6E4C1BCF" w14:textId="77777777" w:rsidTr="00C766D7">
        <w:trPr>
          <w:trHeight w:val="5525"/>
        </w:trPr>
        <w:tc>
          <w:tcPr>
            <w:tcW w:w="9016" w:type="dxa"/>
            <w:tcBorders>
              <w:bottom w:val="single" w:sz="4" w:space="0" w:color="auto"/>
            </w:tcBorders>
          </w:tcPr>
          <w:p w14:paraId="09752654" w14:textId="7FB984D8" w:rsidR="002D3FAA" w:rsidRPr="00F7615F" w:rsidRDefault="002D3FAA">
            <w:pPr>
              <w:tabs>
                <w:tab w:val="center" w:pos="4400"/>
              </w:tabs>
              <w:rPr>
                <w:rFonts w:cs="Arial"/>
                <w:szCs w:val="24"/>
              </w:rPr>
            </w:pPr>
            <w:r w:rsidRPr="00087AD3">
              <w:rPr>
                <w:noProof/>
              </w:rPr>
              <w:t xml:space="preserve"> </w:t>
            </w:r>
            <w:r>
              <w:rPr>
                <w:noProof/>
              </w:rPr>
              <w:t xml:space="preserve">  </w:t>
            </w:r>
            <w:r w:rsidR="00C766D7">
              <w:rPr>
                <w:noProof/>
              </w:rPr>
              <w:drawing>
                <wp:inline distT="0" distB="0" distL="0" distR="0" wp14:anchorId="0B2A58E5" wp14:editId="183598E5">
                  <wp:extent cx="5362575" cy="3543300"/>
                  <wp:effectExtent l="0" t="0" r="9525" b="0"/>
                  <wp:docPr id="13" name="Chart 13">
                    <a:extLst xmlns:a="http://schemas.openxmlformats.org/drawingml/2006/main">
                      <a:ext uri="{FF2B5EF4-FFF2-40B4-BE49-F238E27FC236}">
                        <a16:creationId xmlns:a16="http://schemas.microsoft.com/office/drawing/2014/main" id="{03A79A27-7580-4639-92C1-A01A87F860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14:paraId="33CFAEB8" w14:textId="585AE11A" w:rsidR="00C6475C" w:rsidRPr="006E6D5A" w:rsidRDefault="00674587" w:rsidP="006E6D5A">
      <w:pPr>
        <w:pStyle w:val="Tablesource"/>
        <w:rPr>
          <w:i w:val="0"/>
          <w:iCs/>
        </w:rPr>
      </w:pPr>
      <w:r w:rsidRPr="00016CC0">
        <w:t>Source: Frontier Economics calculations based on data from the Australian Anti-Dumping Commission, EU annual trade defence reports, Department of Commerce, Global Trade Alert, Research by Aksel Erbahar</w:t>
      </w:r>
      <w:r w:rsidRPr="00A864D1">
        <w:t>.</w:t>
      </w:r>
      <w:r w:rsidR="006E6D5A">
        <w:rPr>
          <w:i w:val="0"/>
          <w:iCs/>
        </w:rPr>
        <w:t xml:space="preserve"> </w:t>
      </w:r>
      <w:r w:rsidR="006E6D5A" w:rsidRPr="00FE05B4">
        <w:t>Note: numbers between charts 2 and 3 may not match, as for a limited number of cases several countries may be cited as circumventors</w:t>
      </w:r>
      <w:r w:rsidR="00506B6A" w:rsidRPr="00FE05B4">
        <w:t xml:space="preserve"> in a case</w:t>
      </w:r>
      <w:r w:rsidR="006E6D5A" w:rsidRPr="00FE05B4">
        <w:t xml:space="preserve">, with only one mode of circumvention found. </w:t>
      </w:r>
    </w:p>
    <w:p w14:paraId="56AC538A" w14:textId="49D9639F" w:rsidR="00B90748" w:rsidRPr="00B90748" w:rsidRDefault="00B90748" w:rsidP="00016CC0">
      <w:pPr>
        <w:spacing w:before="240"/>
        <w:rPr>
          <w:rFonts w:cs="Arial"/>
          <w:b/>
          <w:bCs/>
          <w:i/>
          <w:iCs/>
          <w:szCs w:val="24"/>
        </w:rPr>
      </w:pPr>
      <w:r w:rsidRPr="00B90748">
        <w:rPr>
          <w:rFonts w:cs="Arial"/>
          <w:b/>
          <w:bCs/>
          <w:i/>
          <w:iCs/>
          <w:szCs w:val="24"/>
        </w:rPr>
        <w:t>Do differences in institutional arrangements and approaches explain some of the differences between countries in modes of circumvention?</w:t>
      </w:r>
    </w:p>
    <w:p w14:paraId="7C82FD45" w14:textId="768DC219" w:rsidR="00A8551F" w:rsidRDefault="00A8551F" w:rsidP="00F7615F">
      <w:pPr>
        <w:rPr>
          <w:rFonts w:cs="Arial"/>
          <w:szCs w:val="24"/>
        </w:rPr>
      </w:pPr>
      <w:r>
        <w:rPr>
          <w:rFonts w:cs="Arial"/>
          <w:szCs w:val="24"/>
        </w:rPr>
        <w:t>The data summarise</w:t>
      </w:r>
      <w:r w:rsidR="00125260">
        <w:rPr>
          <w:rFonts w:cs="Arial"/>
          <w:szCs w:val="24"/>
        </w:rPr>
        <w:t>s</w:t>
      </w:r>
      <w:r>
        <w:rPr>
          <w:rFonts w:cs="Arial"/>
          <w:szCs w:val="24"/>
        </w:rPr>
        <w:t xml:space="preserve"> the main points already discussed in the sections on the countries in question</w:t>
      </w:r>
      <w:r w:rsidR="00125260">
        <w:rPr>
          <w:rFonts w:cs="Arial"/>
          <w:szCs w:val="24"/>
        </w:rPr>
        <w:t>,</w:t>
      </w:r>
      <w:r>
        <w:rPr>
          <w:rFonts w:cs="Arial"/>
          <w:szCs w:val="24"/>
        </w:rPr>
        <w:t xml:space="preserve"> </w:t>
      </w:r>
      <w:r w:rsidR="00125260">
        <w:rPr>
          <w:rFonts w:cs="Arial"/>
          <w:szCs w:val="24"/>
        </w:rPr>
        <w:t>n</w:t>
      </w:r>
      <w:r>
        <w:rPr>
          <w:rFonts w:cs="Arial"/>
          <w:szCs w:val="24"/>
        </w:rPr>
        <w:t xml:space="preserve">amely that </w:t>
      </w:r>
      <w:r w:rsidR="002406F0">
        <w:rPr>
          <w:rFonts w:cs="Arial"/>
          <w:szCs w:val="24"/>
        </w:rPr>
        <w:t>PRC</w:t>
      </w:r>
      <w:r>
        <w:rPr>
          <w:rFonts w:cs="Arial"/>
          <w:szCs w:val="24"/>
        </w:rPr>
        <w:t xml:space="preserve"> is the most common circumventor but that there are also differences between jurisdictions (specifically, between the EU and the United States) in the </w:t>
      </w:r>
      <w:r w:rsidR="00DC30E3">
        <w:rPr>
          <w:rFonts w:cs="Arial"/>
          <w:szCs w:val="24"/>
        </w:rPr>
        <w:t xml:space="preserve">distribution of </w:t>
      </w:r>
      <w:r>
        <w:rPr>
          <w:rFonts w:cs="Arial"/>
          <w:szCs w:val="24"/>
        </w:rPr>
        <w:t xml:space="preserve">circumvention </w:t>
      </w:r>
      <w:r w:rsidR="00DC30E3">
        <w:rPr>
          <w:rFonts w:cs="Arial"/>
          <w:szCs w:val="24"/>
        </w:rPr>
        <w:t>by mode</w:t>
      </w:r>
      <w:r>
        <w:rPr>
          <w:rFonts w:cs="Arial"/>
          <w:szCs w:val="24"/>
        </w:rPr>
        <w:t xml:space="preserve">. In the EU’s case, circumvention involving </w:t>
      </w:r>
      <w:r w:rsidR="00260152">
        <w:rPr>
          <w:rFonts w:cs="Arial"/>
          <w:szCs w:val="24"/>
        </w:rPr>
        <w:t xml:space="preserve">third </w:t>
      </w:r>
      <w:r>
        <w:rPr>
          <w:rFonts w:cs="Arial"/>
          <w:szCs w:val="24"/>
        </w:rPr>
        <w:t xml:space="preserve">countries, notably transhipment and assembly operations, dominate modification. </w:t>
      </w:r>
      <w:r w:rsidR="00DC30E3">
        <w:rPr>
          <w:rFonts w:cs="Arial"/>
          <w:szCs w:val="24"/>
        </w:rPr>
        <w:t xml:space="preserve">In the United States, no cases of trans-shipment have been recorded. Assembly processes, in third parties or the United States, is the dominant mode, while modifications also account for a more substantial proportion of cases that they do in the EU. </w:t>
      </w:r>
    </w:p>
    <w:p w14:paraId="20B39021" w14:textId="375C340A" w:rsidR="00A8551F" w:rsidRDefault="00A8551F" w:rsidP="00F7615F">
      <w:pPr>
        <w:rPr>
          <w:rFonts w:cs="Arial"/>
          <w:szCs w:val="24"/>
        </w:rPr>
      </w:pPr>
      <w:r>
        <w:rPr>
          <w:rFonts w:cs="Arial"/>
          <w:szCs w:val="24"/>
        </w:rPr>
        <w:t>Th</w:t>
      </w:r>
      <w:r w:rsidR="00DC30E3">
        <w:rPr>
          <w:rFonts w:cs="Arial"/>
          <w:szCs w:val="24"/>
        </w:rPr>
        <w:t xml:space="preserve">e importance of modification as a mode of circumvention </w:t>
      </w:r>
      <w:r>
        <w:rPr>
          <w:rFonts w:cs="Arial"/>
          <w:szCs w:val="24"/>
        </w:rPr>
        <w:t xml:space="preserve">may in part reflect the target of original duties. In the United States, these heavily target iron and steel, and products in these sectors are particularly amenable to modification (with industry having experience of this practice in response to broader commercial drivers). However, actions in the EU are also skewed towards these sectors, </w:t>
      </w:r>
      <w:r w:rsidR="00125260">
        <w:rPr>
          <w:rFonts w:cs="Arial"/>
          <w:szCs w:val="24"/>
        </w:rPr>
        <w:t>al</w:t>
      </w:r>
      <w:r>
        <w:rPr>
          <w:rFonts w:cs="Arial"/>
          <w:szCs w:val="24"/>
        </w:rPr>
        <w:t>though less heavily, and so this factor alone may not explain the differences.</w:t>
      </w:r>
    </w:p>
    <w:p w14:paraId="37F4E32F" w14:textId="484F9ECD" w:rsidR="00DC30E3" w:rsidRDefault="00DC30E3" w:rsidP="00F7615F">
      <w:pPr>
        <w:rPr>
          <w:rFonts w:cs="Arial"/>
          <w:szCs w:val="24"/>
        </w:rPr>
      </w:pPr>
      <w:r>
        <w:rPr>
          <w:rFonts w:cs="Arial"/>
          <w:szCs w:val="24"/>
        </w:rPr>
        <w:t>Unlike the EU</w:t>
      </w:r>
      <w:r w:rsidR="00914CFE">
        <w:rPr>
          <w:rFonts w:cs="Arial"/>
          <w:szCs w:val="24"/>
        </w:rPr>
        <w:t>, there are no reported circumvention cases involving trans-shipment for the United States (as distinct from third party assembly operations). This may reflect in part the approach taken by the United States to trade remedies more generally.</w:t>
      </w:r>
    </w:p>
    <w:p w14:paraId="6C0BFEB4" w14:textId="600913AA" w:rsidR="00A8551F" w:rsidRPr="00A8551F" w:rsidRDefault="00A8551F" w:rsidP="00A8551F">
      <w:pPr>
        <w:rPr>
          <w:rFonts w:cs="Arial"/>
          <w:szCs w:val="24"/>
        </w:rPr>
      </w:pPr>
      <w:r>
        <w:rPr>
          <w:rFonts w:cs="Arial"/>
          <w:szCs w:val="24"/>
        </w:rPr>
        <w:t xml:space="preserve">The United States, for example, </w:t>
      </w:r>
      <w:r w:rsidRPr="00A8551F">
        <w:rPr>
          <w:rFonts w:cs="Arial"/>
          <w:szCs w:val="24"/>
        </w:rPr>
        <w:t xml:space="preserve">tends to initiate new anti-dumping investigations (instead of </w:t>
      </w:r>
      <w:r>
        <w:rPr>
          <w:rFonts w:cs="Arial"/>
          <w:szCs w:val="24"/>
        </w:rPr>
        <w:t>circumvention investigations</w:t>
      </w:r>
      <w:r w:rsidRPr="00A8551F">
        <w:rPr>
          <w:rFonts w:cs="Arial"/>
          <w:szCs w:val="24"/>
        </w:rPr>
        <w:t xml:space="preserve">) when imports increase from new sources (regardless of </w:t>
      </w:r>
      <w:r>
        <w:rPr>
          <w:rFonts w:cs="Arial"/>
          <w:szCs w:val="24"/>
        </w:rPr>
        <w:t>questions around</w:t>
      </w:r>
      <w:r w:rsidR="00260152">
        <w:rPr>
          <w:rFonts w:cs="Arial"/>
          <w:szCs w:val="24"/>
        </w:rPr>
        <w:t xml:space="preserve"> </w:t>
      </w:r>
      <w:r w:rsidRPr="00A8551F">
        <w:rPr>
          <w:rFonts w:cs="Arial"/>
          <w:szCs w:val="24"/>
        </w:rPr>
        <w:t xml:space="preserve">transhipment or trade diversion). The </w:t>
      </w:r>
      <w:r w:rsidR="00403A85">
        <w:rPr>
          <w:rFonts w:cs="Arial"/>
          <w:szCs w:val="24"/>
        </w:rPr>
        <w:t>United States</w:t>
      </w:r>
      <w:r w:rsidRPr="00A8551F">
        <w:rPr>
          <w:rFonts w:cs="Arial"/>
          <w:szCs w:val="24"/>
        </w:rPr>
        <w:t xml:space="preserve"> also tends to target multiple countries at once, which</w:t>
      </w:r>
      <w:r w:rsidR="007C0C78">
        <w:rPr>
          <w:rFonts w:cs="Arial"/>
          <w:szCs w:val="24"/>
        </w:rPr>
        <w:t xml:space="preserve"> can</w:t>
      </w:r>
      <w:r w:rsidRPr="00A8551F">
        <w:rPr>
          <w:rFonts w:cs="Arial"/>
          <w:szCs w:val="24"/>
        </w:rPr>
        <w:t xml:space="preserve"> </w:t>
      </w:r>
      <w:r w:rsidR="0097406B">
        <w:rPr>
          <w:rFonts w:cs="Arial"/>
          <w:szCs w:val="24"/>
        </w:rPr>
        <w:t xml:space="preserve">obviate the need for </w:t>
      </w:r>
      <w:r w:rsidRPr="00A8551F">
        <w:rPr>
          <w:rFonts w:cs="Arial"/>
          <w:szCs w:val="24"/>
        </w:rPr>
        <w:t xml:space="preserve">circumvention </w:t>
      </w:r>
      <w:r w:rsidR="007C0C78">
        <w:rPr>
          <w:rFonts w:cs="Arial"/>
          <w:szCs w:val="24"/>
        </w:rPr>
        <w:t>cases brought against</w:t>
      </w:r>
      <w:r w:rsidRPr="00A8551F">
        <w:rPr>
          <w:rFonts w:cs="Arial"/>
          <w:szCs w:val="24"/>
        </w:rPr>
        <w:t xml:space="preserve"> these countries</w:t>
      </w:r>
      <w:r w:rsidR="0097406B">
        <w:rPr>
          <w:rFonts w:cs="Arial"/>
          <w:szCs w:val="24"/>
        </w:rPr>
        <w:t>, at least as far as circumvention involving transhipment is concerned</w:t>
      </w:r>
      <w:r w:rsidRPr="00A8551F">
        <w:rPr>
          <w:rFonts w:cs="Arial"/>
          <w:szCs w:val="24"/>
        </w:rPr>
        <w:t>.</w:t>
      </w:r>
    </w:p>
    <w:p w14:paraId="4FCE0689" w14:textId="52E5C84B" w:rsidR="00A8551F" w:rsidRDefault="00A8551F" w:rsidP="00A8551F">
      <w:pPr>
        <w:rPr>
          <w:rFonts w:cs="Arial"/>
          <w:szCs w:val="24"/>
        </w:rPr>
      </w:pPr>
      <w:r w:rsidRPr="00A8551F">
        <w:rPr>
          <w:rFonts w:cs="Arial"/>
          <w:szCs w:val="24"/>
        </w:rPr>
        <w:t>Data for the period 2009</w:t>
      </w:r>
      <w:r w:rsidR="007301EB">
        <w:rPr>
          <w:rFonts w:cs="Arial"/>
          <w:szCs w:val="24"/>
        </w:rPr>
        <w:t xml:space="preserve"> to </w:t>
      </w:r>
      <w:r w:rsidRPr="00A8551F">
        <w:rPr>
          <w:rFonts w:cs="Arial"/>
          <w:szCs w:val="24"/>
        </w:rPr>
        <w:t>2019 from the Temporary Trade Barriers Database provide</w:t>
      </w:r>
      <w:r w:rsidR="00046BEF">
        <w:rPr>
          <w:rFonts w:cs="Arial"/>
          <w:szCs w:val="24"/>
        </w:rPr>
        <w:t>s</w:t>
      </w:r>
      <w:r w:rsidRPr="00A8551F">
        <w:rPr>
          <w:rFonts w:cs="Arial"/>
          <w:szCs w:val="24"/>
        </w:rPr>
        <w:t xml:space="preserve"> some corroboration for these points</w:t>
      </w:r>
      <w:r w:rsidR="007301EB">
        <w:rPr>
          <w:rFonts w:cs="Arial"/>
          <w:szCs w:val="24"/>
        </w:rPr>
        <w:t>.</w:t>
      </w:r>
      <w:r w:rsidR="0097406B">
        <w:rPr>
          <w:rStyle w:val="FootnoteReference"/>
          <w:rFonts w:cs="Arial"/>
          <w:szCs w:val="24"/>
        </w:rPr>
        <w:footnoteReference w:id="18"/>
      </w:r>
      <w:r w:rsidRPr="00A8551F">
        <w:rPr>
          <w:rFonts w:cs="Arial"/>
          <w:szCs w:val="24"/>
        </w:rPr>
        <w:t xml:space="preserve"> Over this period, the U</w:t>
      </w:r>
      <w:r>
        <w:rPr>
          <w:rFonts w:cs="Arial"/>
          <w:szCs w:val="24"/>
        </w:rPr>
        <w:t>nited States</w:t>
      </w:r>
      <w:r w:rsidRPr="00A8551F">
        <w:rPr>
          <w:rFonts w:cs="Arial"/>
          <w:szCs w:val="24"/>
        </w:rPr>
        <w:t xml:space="preserve"> initiated 142 unique </w:t>
      </w:r>
      <w:r>
        <w:rPr>
          <w:rFonts w:cs="Arial"/>
          <w:szCs w:val="24"/>
        </w:rPr>
        <w:t>anti-dumping</w:t>
      </w:r>
      <w:r w:rsidRPr="00A8551F">
        <w:rPr>
          <w:rFonts w:cs="Arial"/>
          <w:szCs w:val="24"/>
        </w:rPr>
        <w:t xml:space="preserve"> investigations, and the average number of countries named in an investigation was 2.2 (ranging from 1 to 12). In the same period, the EU initiated 85 unique </w:t>
      </w:r>
      <w:r>
        <w:rPr>
          <w:rFonts w:cs="Arial"/>
          <w:szCs w:val="24"/>
        </w:rPr>
        <w:t>anti-dumping</w:t>
      </w:r>
      <w:r w:rsidRPr="00A8551F">
        <w:rPr>
          <w:rFonts w:cs="Arial"/>
          <w:szCs w:val="24"/>
        </w:rPr>
        <w:t xml:space="preserve"> investigations, and the average number of named countries was 1.5 (ranging from 1 to 5). This indicates that the </w:t>
      </w:r>
      <w:r w:rsidR="00403A85">
        <w:rPr>
          <w:rFonts w:cs="Arial"/>
          <w:szCs w:val="24"/>
        </w:rPr>
        <w:t>United States</w:t>
      </w:r>
      <w:r w:rsidRPr="00A8551F">
        <w:rPr>
          <w:rFonts w:cs="Arial"/>
          <w:szCs w:val="24"/>
        </w:rPr>
        <w:t xml:space="preserve"> covers more source countries in original </w:t>
      </w:r>
      <w:r>
        <w:rPr>
          <w:rFonts w:cs="Arial"/>
          <w:szCs w:val="24"/>
        </w:rPr>
        <w:t>anti-dumping</w:t>
      </w:r>
      <w:r w:rsidRPr="00A8551F">
        <w:rPr>
          <w:rFonts w:cs="Arial"/>
          <w:szCs w:val="24"/>
        </w:rPr>
        <w:t xml:space="preserve"> investigations, potentially curtailing the need for future circumvention cases that involve tran</w:t>
      </w:r>
      <w:r w:rsidR="00C00D5B">
        <w:rPr>
          <w:rFonts w:cs="Arial"/>
          <w:szCs w:val="24"/>
        </w:rPr>
        <w:t>s</w:t>
      </w:r>
      <w:r w:rsidRPr="00A8551F">
        <w:rPr>
          <w:rFonts w:cs="Arial"/>
          <w:szCs w:val="24"/>
        </w:rPr>
        <w:t>hipment.</w:t>
      </w:r>
    </w:p>
    <w:p w14:paraId="65916610" w14:textId="7C23BFF1" w:rsidR="00A8551F" w:rsidRPr="00A8551F" w:rsidRDefault="00A8551F" w:rsidP="00A8551F">
      <w:pPr>
        <w:rPr>
          <w:rFonts w:cs="Arial"/>
          <w:szCs w:val="24"/>
        </w:rPr>
      </w:pPr>
      <w:r w:rsidRPr="00A8551F">
        <w:rPr>
          <w:rFonts w:cs="Arial"/>
          <w:szCs w:val="24"/>
        </w:rPr>
        <w:t xml:space="preserve">There is also more evidence that the </w:t>
      </w:r>
      <w:r w:rsidR="00403A85">
        <w:rPr>
          <w:rFonts w:cs="Arial"/>
          <w:szCs w:val="24"/>
        </w:rPr>
        <w:t>United States</w:t>
      </w:r>
      <w:r w:rsidRPr="00A8551F">
        <w:rPr>
          <w:rFonts w:cs="Arial"/>
          <w:szCs w:val="24"/>
        </w:rPr>
        <w:t xml:space="preserve"> </w:t>
      </w:r>
      <w:r w:rsidR="00993679">
        <w:rPr>
          <w:rFonts w:cs="Arial"/>
          <w:szCs w:val="24"/>
        </w:rPr>
        <w:t xml:space="preserve">has </w:t>
      </w:r>
      <w:r w:rsidRPr="00A8551F">
        <w:rPr>
          <w:rFonts w:cs="Arial"/>
          <w:szCs w:val="24"/>
        </w:rPr>
        <w:t xml:space="preserve">engaged in sequential imposition of </w:t>
      </w:r>
      <w:r w:rsidRPr="008F0B37">
        <w:rPr>
          <w:rFonts w:cs="Arial"/>
          <w:i/>
          <w:iCs/>
          <w:szCs w:val="24"/>
        </w:rPr>
        <w:t>de novo</w:t>
      </w:r>
      <w:r w:rsidRPr="00A8551F">
        <w:rPr>
          <w:rFonts w:cs="Arial"/>
          <w:szCs w:val="24"/>
        </w:rPr>
        <w:t xml:space="preserve"> </w:t>
      </w:r>
      <w:r w:rsidR="009D13B3">
        <w:rPr>
          <w:rFonts w:cs="Arial"/>
          <w:szCs w:val="24"/>
        </w:rPr>
        <w:t>a</w:t>
      </w:r>
      <w:r w:rsidR="007C0C78">
        <w:rPr>
          <w:rFonts w:cs="Arial"/>
          <w:szCs w:val="24"/>
        </w:rPr>
        <w:t>nti-</w:t>
      </w:r>
      <w:r w:rsidR="009D13B3">
        <w:rPr>
          <w:rFonts w:cs="Arial"/>
          <w:szCs w:val="24"/>
        </w:rPr>
        <w:t>d</w:t>
      </w:r>
      <w:r w:rsidR="007C0C78">
        <w:rPr>
          <w:rFonts w:cs="Arial"/>
          <w:szCs w:val="24"/>
        </w:rPr>
        <w:t xml:space="preserve">umping </w:t>
      </w:r>
      <w:r w:rsidRPr="00A8551F">
        <w:rPr>
          <w:rFonts w:cs="Arial"/>
          <w:szCs w:val="24"/>
        </w:rPr>
        <w:t>measures targeting the same product but a different country. Notable examples include</w:t>
      </w:r>
      <w:r>
        <w:rPr>
          <w:rFonts w:cs="Arial"/>
          <w:szCs w:val="24"/>
        </w:rPr>
        <w:t>:</w:t>
      </w:r>
    </w:p>
    <w:p w14:paraId="4173CBF2" w14:textId="224C6A7B" w:rsidR="00A8551F" w:rsidRDefault="00A8551F" w:rsidP="00B25A27">
      <w:pPr>
        <w:pStyle w:val="ListParagraph"/>
        <w:numPr>
          <w:ilvl w:val="0"/>
          <w:numId w:val="14"/>
        </w:numPr>
        <w:spacing w:after="0" w:line="360" w:lineRule="auto"/>
        <w:ind w:left="357" w:hanging="357"/>
        <w:rPr>
          <w:rFonts w:cs="Arial"/>
          <w:sz w:val="24"/>
          <w:szCs w:val="24"/>
        </w:rPr>
      </w:pPr>
      <w:r w:rsidRPr="00A8551F">
        <w:rPr>
          <w:rFonts w:cs="Arial"/>
          <w:sz w:val="24"/>
          <w:szCs w:val="24"/>
        </w:rPr>
        <w:t xml:space="preserve">Measures on Certain Steel Nails from </w:t>
      </w:r>
      <w:r w:rsidR="00A0465E">
        <w:rPr>
          <w:rFonts w:cs="Arial"/>
          <w:sz w:val="24"/>
          <w:szCs w:val="24"/>
        </w:rPr>
        <w:t xml:space="preserve">the </w:t>
      </w:r>
      <w:r w:rsidRPr="00A8551F">
        <w:rPr>
          <w:rFonts w:cs="Arial"/>
          <w:sz w:val="24"/>
          <w:szCs w:val="24"/>
        </w:rPr>
        <w:t xml:space="preserve">UAE in 2012, followed by a </w:t>
      </w:r>
      <w:r w:rsidRPr="008F0B37">
        <w:rPr>
          <w:rFonts w:cs="Arial"/>
          <w:i/>
          <w:iCs/>
          <w:sz w:val="24"/>
          <w:szCs w:val="24"/>
        </w:rPr>
        <w:t>de novo</w:t>
      </w:r>
      <w:r w:rsidRPr="00A8551F">
        <w:rPr>
          <w:rFonts w:cs="Arial"/>
          <w:sz w:val="24"/>
          <w:szCs w:val="24"/>
        </w:rPr>
        <w:t xml:space="preserve"> investigation initiated in 2014 targeting the same products from </w:t>
      </w:r>
      <w:r w:rsidR="00993679">
        <w:rPr>
          <w:rFonts w:cs="Arial"/>
          <w:sz w:val="24"/>
          <w:szCs w:val="24"/>
        </w:rPr>
        <w:t>seven</w:t>
      </w:r>
      <w:r w:rsidRPr="00A8551F">
        <w:rPr>
          <w:rFonts w:cs="Arial"/>
          <w:sz w:val="24"/>
          <w:szCs w:val="24"/>
        </w:rPr>
        <w:t xml:space="preserve"> other countries</w:t>
      </w:r>
      <w:r w:rsidR="00BD7306">
        <w:rPr>
          <w:rFonts w:cs="Arial"/>
          <w:sz w:val="24"/>
          <w:szCs w:val="24"/>
        </w:rPr>
        <w:t>;</w:t>
      </w:r>
    </w:p>
    <w:p w14:paraId="653D7494" w14:textId="7F386838" w:rsidR="00A8551F" w:rsidRDefault="00A8551F" w:rsidP="00B25A27">
      <w:pPr>
        <w:pStyle w:val="ListParagraph"/>
        <w:numPr>
          <w:ilvl w:val="0"/>
          <w:numId w:val="14"/>
        </w:numPr>
        <w:spacing w:after="0" w:line="360" w:lineRule="auto"/>
        <w:ind w:left="357" w:hanging="357"/>
        <w:rPr>
          <w:rFonts w:cs="Arial"/>
          <w:sz w:val="24"/>
          <w:szCs w:val="24"/>
        </w:rPr>
      </w:pPr>
      <w:r w:rsidRPr="00A8551F">
        <w:rPr>
          <w:rFonts w:cs="Arial"/>
          <w:sz w:val="24"/>
          <w:szCs w:val="24"/>
        </w:rPr>
        <w:t xml:space="preserve">Measures on Utility Scale Wind Towers from </w:t>
      </w:r>
      <w:r w:rsidR="002406F0">
        <w:rPr>
          <w:rFonts w:cs="Arial"/>
          <w:sz w:val="24"/>
          <w:szCs w:val="24"/>
        </w:rPr>
        <w:t>PRC</w:t>
      </w:r>
      <w:r w:rsidRPr="00A8551F">
        <w:rPr>
          <w:rFonts w:cs="Arial"/>
          <w:sz w:val="24"/>
          <w:szCs w:val="24"/>
        </w:rPr>
        <w:t xml:space="preserve"> and Vietnam in 2012, followed by a </w:t>
      </w:r>
      <w:r w:rsidRPr="008F0B37">
        <w:rPr>
          <w:rFonts w:cs="Arial"/>
          <w:i/>
          <w:iCs/>
          <w:sz w:val="24"/>
          <w:szCs w:val="24"/>
        </w:rPr>
        <w:t>de novo</w:t>
      </w:r>
      <w:r w:rsidRPr="00A8551F">
        <w:rPr>
          <w:rFonts w:cs="Arial"/>
          <w:sz w:val="24"/>
          <w:szCs w:val="24"/>
        </w:rPr>
        <w:t xml:space="preserve"> </w:t>
      </w:r>
      <w:r>
        <w:rPr>
          <w:rFonts w:cs="Arial"/>
          <w:sz w:val="24"/>
          <w:szCs w:val="24"/>
        </w:rPr>
        <w:t>investigation initiated</w:t>
      </w:r>
      <w:r w:rsidRPr="00A8551F">
        <w:rPr>
          <w:rFonts w:cs="Arial"/>
          <w:sz w:val="24"/>
          <w:szCs w:val="24"/>
        </w:rPr>
        <w:t xml:space="preserve"> in 2019 targeting the same products from Canada, Indonesia and Korea</w:t>
      </w:r>
      <w:r w:rsidR="00BD7306">
        <w:rPr>
          <w:rFonts w:cs="Arial"/>
          <w:sz w:val="24"/>
          <w:szCs w:val="24"/>
        </w:rPr>
        <w:t>;</w:t>
      </w:r>
    </w:p>
    <w:p w14:paraId="0BC87F44" w14:textId="3C278755" w:rsidR="00A8551F" w:rsidRDefault="00A8551F" w:rsidP="00B25A27">
      <w:pPr>
        <w:pStyle w:val="ListParagraph"/>
        <w:numPr>
          <w:ilvl w:val="0"/>
          <w:numId w:val="14"/>
        </w:numPr>
        <w:spacing w:after="0" w:line="360" w:lineRule="auto"/>
        <w:ind w:left="357" w:hanging="357"/>
        <w:rPr>
          <w:rFonts w:cs="Arial"/>
          <w:sz w:val="24"/>
          <w:szCs w:val="24"/>
        </w:rPr>
      </w:pPr>
      <w:r>
        <w:rPr>
          <w:rFonts w:cs="Arial"/>
          <w:sz w:val="24"/>
          <w:szCs w:val="24"/>
        </w:rPr>
        <w:t>M</w:t>
      </w:r>
      <w:r w:rsidRPr="00A8551F">
        <w:rPr>
          <w:rFonts w:cs="Arial"/>
          <w:sz w:val="24"/>
          <w:szCs w:val="24"/>
        </w:rPr>
        <w:t xml:space="preserve">easures on Large Residential Washers from Korea and Mexico in 2013, followed by </w:t>
      </w:r>
      <w:r w:rsidR="00260152">
        <w:rPr>
          <w:rFonts w:cs="Arial"/>
          <w:sz w:val="24"/>
          <w:szCs w:val="24"/>
        </w:rPr>
        <w:t xml:space="preserve">a </w:t>
      </w:r>
      <w:r w:rsidRPr="008F0B37">
        <w:rPr>
          <w:rFonts w:cs="Arial"/>
          <w:i/>
          <w:iCs/>
          <w:sz w:val="24"/>
          <w:szCs w:val="24"/>
        </w:rPr>
        <w:t xml:space="preserve">de novo </w:t>
      </w:r>
      <w:r>
        <w:rPr>
          <w:rFonts w:cs="Arial"/>
          <w:sz w:val="24"/>
          <w:szCs w:val="24"/>
        </w:rPr>
        <w:t>investigation initiated</w:t>
      </w:r>
      <w:r w:rsidRPr="00A8551F">
        <w:rPr>
          <w:rFonts w:cs="Arial"/>
          <w:sz w:val="24"/>
          <w:szCs w:val="24"/>
        </w:rPr>
        <w:t xml:space="preserve"> in 2015 targeting the same products from </w:t>
      </w:r>
      <w:r w:rsidR="002406F0">
        <w:rPr>
          <w:rFonts w:cs="Arial"/>
          <w:sz w:val="24"/>
          <w:szCs w:val="24"/>
        </w:rPr>
        <w:t>PRC</w:t>
      </w:r>
      <w:r w:rsidR="00734437">
        <w:rPr>
          <w:rFonts w:cs="Arial"/>
          <w:sz w:val="24"/>
          <w:szCs w:val="24"/>
        </w:rPr>
        <w:t>.</w:t>
      </w:r>
      <w:r w:rsidRPr="00A8551F">
        <w:rPr>
          <w:rFonts w:cs="Arial"/>
          <w:sz w:val="24"/>
          <w:szCs w:val="24"/>
        </w:rPr>
        <w:t xml:space="preserve"> (</w:t>
      </w:r>
      <w:r w:rsidR="00734437">
        <w:rPr>
          <w:rFonts w:cs="Arial"/>
          <w:sz w:val="24"/>
          <w:szCs w:val="24"/>
        </w:rPr>
        <w:t>I</w:t>
      </w:r>
      <w:r w:rsidRPr="00A8551F">
        <w:rPr>
          <w:rFonts w:cs="Arial"/>
          <w:sz w:val="24"/>
          <w:szCs w:val="24"/>
        </w:rPr>
        <w:t xml:space="preserve">n 2017, the </w:t>
      </w:r>
      <w:r w:rsidR="00403A85">
        <w:rPr>
          <w:rFonts w:cs="Arial"/>
          <w:sz w:val="24"/>
          <w:szCs w:val="24"/>
        </w:rPr>
        <w:t>United States</w:t>
      </w:r>
      <w:r w:rsidRPr="00A8551F">
        <w:rPr>
          <w:rFonts w:cs="Arial"/>
          <w:sz w:val="24"/>
          <w:szCs w:val="24"/>
        </w:rPr>
        <w:t xml:space="preserve"> initiated a safeguard investigation to cover all the remaining countries</w:t>
      </w:r>
      <w:r w:rsidR="00734437">
        <w:rPr>
          <w:rFonts w:cs="Arial"/>
          <w:sz w:val="24"/>
          <w:szCs w:val="24"/>
        </w:rPr>
        <w:t>.</w:t>
      </w:r>
      <w:r w:rsidRPr="00A8551F">
        <w:rPr>
          <w:rFonts w:cs="Arial"/>
          <w:sz w:val="24"/>
          <w:szCs w:val="24"/>
        </w:rPr>
        <w:t>)</w:t>
      </w:r>
      <w:r w:rsidR="00BD7306">
        <w:rPr>
          <w:rFonts w:cs="Arial"/>
          <w:sz w:val="24"/>
          <w:szCs w:val="24"/>
        </w:rPr>
        <w:t>;</w:t>
      </w:r>
    </w:p>
    <w:p w14:paraId="06F4B269" w14:textId="187D34EE" w:rsidR="00A8551F" w:rsidRDefault="00A8551F" w:rsidP="00B25A27">
      <w:pPr>
        <w:pStyle w:val="ListParagraph"/>
        <w:numPr>
          <w:ilvl w:val="0"/>
          <w:numId w:val="14"/>
        </w:numPr>
        <w:spacing w:after="0" w:line="360" w:lineRule="auto"/>
        <w:ind w:left="357" w:hanging="357"/>
        <w:rPr>
          <w:rFonts w:cs="Arial"/>
          <w:sz w:val="24"/>
          <w:szCs w:val="24"/>
        </w:rPr>
      </w:pPr>
      <w:r>
        <w:rPr>
          <w:rFonts w:cs="Arial"/>
          <w:sz w:val="24"/>
          <w:szCs w:val="24"/>
        </w:rPr>
        <w:t>M</w:t>
      </w:r>
      <w:r w:rsidRPr="00A8551F">
        <w:rPr>
          <w:rFonts w:cs="Arial"/>
          <w:sz w:val="24"/>
          <w:szCs w:val="24"/>
        </w:rPr>
        <w:t>easure</w:t>
      </w:r>
      <w:r>
        <w:rPr>
          <w:rFonts w:cs="Arial"/>
          <w:sz w:val="24"/>
          <w:szCs w:val="24"/>
        </w:rPr>
        <w:t>s</w:t>
      </w:r>
      <w:r w:rsidRPr="00A8551F">
        <w:rPr>
          <w:rFonts w:cs="Arial"/>
          <w:sz w:val="24"/>
          <w:szCs w:val="24"/>
        </w:rPr>
        <w:t xml:space="preserve"> on Welded Stainless Steel Pressure Pipe from Malaysia, Thailand and Vietnam in 2014, followed by a </w:t>
      </w:r>
      <w:r w:rsidRPr="008F0B37">
        <w:rPr>
          <w:rFonts w:cs="Arial"/>
          <w:i/>
          <w:iCs/>
          <w:sz w:val="24"/>
          <w:szCs w:val="24"/>
        </w:rPr>
        <w:t>de novo</w:t>
      </w:r>
      <w:r w:rsidRPr="00A8551F">
        <w:rPr>
          <w:rFonts w:cs="Arial"/>
          <w:sz w:val="24"/>
          <w:szCs w:val="24"/>
        </w:rPr>
        <w:t xml:space="preserve"> </w:t>
      </w:r>
      <w:r>
        <w:rPr>
          <w:rFonts w:cs="Arial"/>
          <w:sz w:val="24"/>
          <w:szCs w:val="24"/>
        </w:rPr>
        <w:t>investigation initiated</w:t>
      </w:r>
      <w:r w:rsidRPr="00A8551F">
        <w:rPr>
          <w:rFonts w:cs="Arial"/>
          <w:sz w:val="24"/>
          <w:szCs w:val="24"/>
        </w:rPr>
        <w:t xml:space="preserve"> in 2015 targeting the same products from India</w:t>
      </w:r>
      <w:r w:rsidR="00BD7306">
        <w:rPr>
          <w:rFonts w:cs="Arial"/>
          <w:sz w:val="24"/>
          <w:szCs w:val="24"/>
        </w:rPr>
        <w:t>;</w:t>
      </w:r>
    </w:p>
    <w:p w14:paraId="6057A76E" w14:textId="61550E0F" w:rsidR="00A8551F" w:rsidRDefault="00A8551F" w:rsidP="00B25A27">
      <w:pPr>
        <w:pStyle w:val="ListParagraph"/>
        <w:numPr>
          <w:ilvl w:val="0"/>
          <w:numId w:val="14"/>
        </w:numPr>
        <w:spacing w:after="0" w:line="360" w:lineRule="auto"/>
        <w:ind w:left="357" w:hanging="357"/>
        <w:rPr>
          <w:rFonts w:cs="Arial"/>
          <w:sz w:val="24"/>
          <w:szCs w:val="24"/>
        </w:rPr>
      </w:pPr>
      <w:r w:rsidRPr="00A8551F">
        <w:rPr>
          <w:rFonts w:cs="Arial"/>
          <w:sz w:val="24"/>
          <w:szCs w:val="24"/>
        </w:rPr>
        <w:t xml:space="preserve">Measures on Carbon and Certain Alloy Steel Wire Rod from </w:t>
      </w:r>
      <w:r w:rsidR="002406F0">
        <w:rPr>
          <w:rFonts w:cs="Arial"/>
          <w:sz w:val="24"/>
          <w:szCs w:val="24"/>
        </w:rPr>
        <w:t>PRC</w:t>
      </w:r>
      <w:r w:rsidRPr="00A8551F">
        <w:rPr>
          <w:rFonts w:cs="Arial"/>
          <w:sz w:val="24"/>
          <w:szCs w:val="24"/>
        </w:rPr>
        <w:t xml:space="preserve"> in 2015, followed by a </w:t>
      </w:r>
      <w:r w:rsidRPr="008F0B37">
        <w:rPr>
          <w:rFonts w:cs="Arial"/>
          <w:i/>
          <w:iCs/>
          <w:sz w:val="24"/>
          <w:szCs w:val="24"/>
        </w:rPr>
        <w:t>de novo</w:t>
      </w:r>
      <w:r w:rsidRPr="00A8551F">
        <w:rPr>
          <w:rFonts w:cs="Arial"/>
          <w:sz w:val="24"/>
          <w:szCs w:val="24"/>
        </w:rPr>
        <w:t xml:space="preserve"> </w:t>
      </w:r>
      <w:r w:rsidR="008022C5">
        <w:rPr>
          <w:rFonts w:cs="Arial"/>
          <w:sz w:val="24"/>
          <w:szCs w:val="24"/>
        </w:rPr>
        <w:t>a</w:t>
      </w:r>
      <w:r w:rsidR="007C0C78">
        <w:rPr>
          <w:rFonts w:cs="Arial"/>
          <w:sz w:val="24"/>
          <w:szCs w:val="24"/>
        </w:rPr>
        <w:t>nti-</w:t>
      </w:r>
      <w:r w:rsidR="008022C5">
        <w:rPr>
          <w:rFonts w:cs="Arial"/>
          <w:sz w:val="24"/>
          <w:szCs w:val="24"/>
        </w:rPr>
        <w:t>d</w:t>
      </w:r>
      <w:r w:rsidR="007C0C78">
        <w:rPr>
          <w:rFonts w:cs="Arial"/>
          <w:sz w:val="24"/>
          <w:szCs w:val="24"/>
        </w:rPr>
        <w:t xml:space="preserve">umping </w:t>
      </w:r>
      <w:r w:rsidRPr="00A8551F">
        <w:rPr>
          <w:rFonts w:cs="Arial"/>
          <w:sz w:val="24"/>
          <w:szCs w:val="24"/>
        </w:rPr>
        <w:t xml:space="preserve">investigation initiated in 2017 targeting the same products from </w:t>
      </w:r>
      <w:r w:rsidR="00BD7306">
        <w:rPr>
          <w:rFonts w:cs="Arial"/>
          <w:sz w:val="24"/>
          <w:szCs w:val="24"/>
        </w:rPr>
        <w:t>10</w:t>
      </w:r>
      <w:r w:rsidR="00993679" w:rsidRPr="00A8551F">
        <w:rPr>
          <w:rFonts w:cs="Arial"/>
          <w:sz w:val="24"/>
          <w:szCs w:val="24"/>
        </w:rPr>
        <w:t xml:space="preserve"> </w:t>
      </w:r>
      <w:r w:rsidRPr="00A8551F">
        <w:rPr>
          <w:rFonts w:cs="Arial"/>
          <w:sz w:val="24"/>
          <w:szCs w:val="24"/>
        </w:rPr>
        <w:t>other countries</w:t>
      </w:r>
      <w:r w:rsidR="00BD7306">
        <w:rPr>
          <w:rFonts w:cs="Arial"/>
          <w:sz w:val="24"/>
          <w:szCs w:val="24"/>
        </w:rPr>
        <w:t>; and</w:t>
      </w:r>
    </w:p>
    <w:p w14:paraId="2E5AF530" w14:textId="58C0C086" w:rsidR="00A8551F" w:rsidRDefault="00A8551F" w:rsidP="00B25A27">
      <w:pPr>
        <w:pStyle w:val="ListParagraph"/>
        <w:numPr>
          <w:ilvl w:val="0"/>
          <w:numId w:val="14"/>
        </w:numPr>
        <w:spacing w:after="0" w:line="360" w:lineRule="auto"/>
        <w:ind w:left="357" w:hanging="357"/>
        <w:rPr>
          <w:rFonts w:cs="Arial"/>
          <w:sz w:val="24"/>
          <w:szCs w:val="24"/>
        </w:rPr>
      </w:pPr>
      <w:r>
        <w:rPr>
          <w:rFonts w:cs="Arial"/>
          <w:sz w:val="24"/>
          <w:szCs w:val="24"/>
        </w:rPr>
        <w:t>M</w:t>
      </w:r>
      <w:r w:rsidRPr="00A8551F">
        <w:rPr>
          <w:rFonts w:cs="Arial"/>
          <w:sz w:val="24"/>
          <w:szCs w:val="24"/>
        </w:rPr>
        <w:t xml:space="preserve">easures on Quartz Surface Products from </w:t>
      </w:r>
      <w:r w:rsidR="002406F0">
        <w:rPr>
          <w:rFonts w:cs="Arial"/>
          <w:sz w:val="24"/>
          <w:szCs w:val="24"/>
        </w:rPr>
        <w:t>PRC</w:t>
      </w:r>
      <w:r w:rsidRPr="00A8551F">
        <w:rPr>
          <w:rFonts w:cs="Arial"/>
          <w:sz w:val="24"/>
          <w:szCs w:val="24"/>
        </w:rPr>
        <w:t xml:space="preserve"> in 2019 (preliminary measures already imposed in 2018), followed by a </w:t>
      </w:r>
      <w:r w:rsidRPr="008F0B37">
        <w:rPr>
          <w:rFonts w:cs="Arial"/>
          <w:i/>
          <w:iCs/>
          <w:sz w:val="24"/>
          <w:szCs w:val="24"/>
        </w:rPr>
        <w:t>de novo</w:t>
      </w:r>
      <w:r w:rsidRPr="00A8551F">
        <w:rPr>
          <w:rFonts w:cs="Arial"/>
          <w:sz w:val="24"/>
          <w:szCs w:val="24"/>
        </w:rPr>
        <w:t xml:space="preserve"> </w:t>
      </w:r>
      <w:r>
        <w:rPr>
          <w:rFonts w:cs="Arial"/>
          <w:sz w:val="24"/>
          <w:szCs w:val="24"/>
        </w:rPr>
        <w:t>investigation initiated</w:t>
      </w:r>
      <w:r w:rsidRPr="00A8551F">
        <w:rPr>
          <w:rFonts w:cs="Arial"/>
          <w:sz w:val="24"/>
          <w:szCs w:val="24"/>
        </w:rPr>
        <w:t xml:space="preserve"> in 2019 targeting the same products from India and Turkey</w:t>
      </w:r>
      <w:r w:rsidR="005D58B0">
        <w:rPr>
          <w:rFonts w:cs="Arial"/>
          <w:sz w:val="24"/>
          <w:szCs w:val="24"/>
        </w:rPr>
        <w:t>.</w:t>
      </w:r>
    </w:p>
    <w:p w14:paraId="1C2312B9" w14:textId="60158BBE" w:rsidR="007C0C78" w:rsidRDefault="007C0C78" w:rsidP="00B25A27">
      <w:pPr>
        <w:spacing w:before="240"/>
        <w:rPr>
          <w:rFonts w:cs="Arial"/>
          <w:szCs w:val="24"/>
        </w:rPr>
      </w:pPr>
      <w:r w:rsidRPr="00A8551F">
        <w:rPr>
          <w:rFonts w:cs="Arial"/>
          <w:szCs w:val="24"/>
        </w:rPr>
        <w:t xml:space="preserve">In principle, the evidentiary requirements in the </w:t>
      </w:r>
      <w:r>
        <w:rPr>
          <w:rFonts w:cs="Arial"/>
          <w:szCs w:val="24"/>
        </w:rPr>
        <w:t>United States</w:t>
      </w:r>
      <w:r w:rsidRPr="00A8551F">
        <w:rPr>
          <w:rFonts w:cs="Arial"/>
          <w:szCs w:val="24"/>
        </w:rPr>
        <w:t xml:space="preserve"> for circumvention cases are lower than for dumping,</w:t>
      </w:r>
      <w:r>
        <w:rPr>
          <w:rFonts w:cs="Arial"/>
          <w:szCs w:val="24"/>
        </w:rPr>
        <w:t xml:space="preserve"> as is the case in the EU. Specifically</w:t>
      </w:r>
      <w:r w:rsidR="00056FFB">
        <w:rPr>
          <w:rFonts w:cs="Arial"/>
          <w:szCs w:val="24"/>
        </w:rPr>
        <w:t>,</w:t>
      </w:r>
      <w:r w:rsidRPr="00A8551F">
        <w:rPr>
          <w:rFonts w:cs="Arial"/>
          <w:szCs w:val="24"/>
        </w:rPr>
        <w:t xml:space="preserve"> there is no requirement to demonstrate causality in relation to injury under the former</w:t>
      </w:r>
      <w:r>
        <w:rPr>
          <w:rFonts w:cs="Arial"/>
          <w:szCs w:val="24"/>
        </w:rPr>
        <w:t xml:space="preserve"> (the causality analysis from the original injury analysis is carried over)</w:t>
      </w:r>
      <w:r w:rsidRPr="00A8551F">
        <w:rPr>
          <w:rFonts w:cs="Arial"/>
          <w:szCs w:val="24"/>
        </w:rPr>
        <w:t>. While this could favour recourse to circumvention over anti-dumping, other factors intervene</w:t>
      </w:r>
      <w:r>
        <w:rPr>
          <w:rFonts w:cs="Arial"/>
          <w:szCs w:val="24"/>
        </w:rPr>
        <w:t>.</w:t>
      </w:r>
      <w:r w:rsidRPr="00A8551F">
        <w:rPr>
          <w:rFonts w:cs="Arial"/>
          <w:szCs w:val="24"/>
        </w:rPr>
        <w:t xml:space="preserve"> </w:t>
      </w:r>
    </w:p>
    <w:p w14:paraId="02DE43F7" w14:textId="2C471608" w:rsidR="00A8551F" w:rsidRPr="00A8551F" w:rsidRDefault="007C0C78" w:rsidP="00A8551F">
      <w:pPr>
        <w:rPr>
          <w:rFonts w:cs="Arial"/>
          <w:szCs w:val="24"/>
        </w:rPr>
      </w:pPr>
      <w:r>
        <w:rPr>
          <w:rFonts w:cs="Arial"/>
          <w:szCs w:val="24"/>
        </w:rPr>
        <w:t xml:space="preserve">Notwithstanding this, certain specificities in the United States framework could encourage recourse to </w:t>
      </w:r>
      <w:r w:rsidRPr="008F0B37">
        <w:rPr>
          <w:rFonts w:cs="Arial"/>
          <w:i/>
          <w:iCs/>
          <w:szCs w:val="24"/>
        </w:rPr>
        <w:t>de novo</w:t>
      </w:r>
      <w:r>
        <w:rPr>
          <w:rFonts w:cs="Arial"/>
          <w:szCs w:val="24"/>
        </w:rPr>
        <w:t xml:space="preserve"> investigations over the circumvention “route”. </w:t>
      </w:r>
    </w:p>
    <w:p w14:paraId="79790DED" w14:textId="70834015" w:rsidR="00A8551F" w:rsidRDefault="00A8551F" w:rsidP="00A8551F">
      <w:pPr>
        <w:rPr>
          <w:rFonts w:cs="Arial"/>
          <w:szCs w:val="24"/>
        </w:rPr>
      </w:pPr>
      <w:r>
        <w:rPr>
          <w:rFonts w:cs="Arial"/>
          <w:szCs w:val="24"/>
        </w:rPr>
        <w:t xml:space="preserve">Firstly, </w:t>
      </w:r>
      <w:r w:rsidR="00096BBB">
        <w:rPr>
          <w:rFonts w:cs="Arial"/>
          <w:szCs w:val="24"/>
        </w:rPr>
        <w:t>anti-dumping</w:t>
      </w:r>
      <w:r w:rsidRPr="00A8551F">
        <w:rPr>
          <w:rFonts w:cs="Arial"/>
          <w:szCs w:val="24"/>
        </w:rPr>
        <w:t xml:space="preserve"> investigations present the option of imposing higher duties. In the </w:t>
      </w:r>
      <w:r w:rsidR="00403A85">
        <w:rPr>
          <w:rFonts w:cs="Arial"/>
          <w:szCs w:val="24"/>
        </w:rPr>
        <w:t>United States</w:t>
      </w:r>
      <w:r w:rsidRPr="00A8551F">
        <w:rPr>
          <w:rFonts w:cs="Arial"/>
          <w:szCs w:val="24"/>
        </w:rPr>
        <w:t xml:space="preserve">, duties extended to third parties in a circumvention case are the </w:t>
      </w:r>
      <w:r w:rsidR="000D3CB2">
        <w:rPr>
          <w:rFonts w:cs="Arial"/>
          <w:szCs w:val="24"/>
        </w:rPr>
        <w:t>quantity-</w:t>
      </w:r>
      <w:r w:rsidRPr="00A8551F">
        <w:rPr>
          <w:rFonts w:cs="Arial"/>
          <w:szCs w:val="24"/>
        </w:rPr>
        <w:t>weighted average of existing duties</w:t>
      </w:r>
      <w:r w:rsidR="00993679">
        <w:rPr>
          <w:rFonts w:cs="Arial"/>
          <w:szCs w:val="24"/>
        </w:rPr>
        <w:t>,</w:t>
      </w:r>
      <w:r w:rsidRPr="00A8551F">
        <w:rPr>
          <w:rFonts w:cs="Arial"/>
          <w:szCs w:val="24"/>
        </w:rPr>
        <w:t xml:space="preserve"> whereas</w:t>
      </w:r>
      <w:r w:rsidR="00BD7306">
        <w:rPr>
          <w:rFonts w:cs="Arial"/>
          <w:szCs w:val="24"/>
        </w:rPr>
        <w:t>,</w:t>
      </w:r>
      <w:r w:rsidRPr="00A8551F">
        <w:rPr>
          <w:rFonts w:cs="Arial"/>
          <w:szCs w:val="24"/>
        </w:rPr>
        <w:t xml:space="preserve"> in the EU</w:t>
      </w:r>
      <w:r w:rsidR="0078556F">
        <w:rPr>
          <w:rFonts w:cs="Arial"/>
          <w:szCs w:val="24"/>
        </w:rPr>
        <w:t>,</w:t>
      </w:r>
      <w:r w:rsidRPr="00A8551F">
        <w:rPr>
          <w:rFonts w:cs="Arial"/>
          <w:szCs w:val="24"/>
        </w:rPr>
        <w:t xml:space="preserve"> it is the highest rate.</w:t>
      </w:r>
      <w:r>
        <w:rPr>
          <w:rFonts w:cs="Arial"/>
          <w:szCs w:val="24"/>
        </w:rPr>
        <w:t xml:space="preserve"> Secondly, t</w:t>
      </w:r>
      <w:r w:rsidRPr="00A8551F">
        <w:rPr>
          <w:rFonts w:cs="Arial"/>
          <w:szCs w:val="24"/>
        </w:rPr>
        <w:t xml:space="preserve">he </w:t>
      </w:r>
      <w:r w:rsidR="00403A85">
        <w:rPr>
          <w:rFonts w:cs="Arial"/>
          <w:szCs w:val="24"/>
        </w:rPr>
        <w:t>United States</w:t>
      </w:r>
      <w:r w:rsidRPr="00A8551F">
        <w:rPr>
          <w:rFonts w:cs="Arial"/>
          <w:szCs w:val="24"/>
        </w:rPr>
        <w:t xml:space="preserve"> also has a procedure known as scope rulings under which </w:t>
      </w:r>
      <w:r w:rsidR="00993679">
        <w:rPr>
          <w:rFonts w:cs="Arial"/>
          <w:szCs w:val="24"/>
        </w:rPr>
        <w:t xml:space="preserve">the </w:t>
      </w:r>
      <w:r w:rsidRPr="00A8551F">
        <w:rPr>
          <w:rFonts w:cs="Arial"/>
          <w:szCs w:val="24"/>
        </w:rPr>
        <w:t>DOC determines whether a product comes within the scope of an existing duty. In recent years, in transhipment cases with no third-party processing, scope rulings have been enforced by Customs and Border Protection under fraud provisions. That could also explain why transhipment per se is not reported as circumvention</w:t>
      </w:r>
      <w:r>
        <w:rPr>
          <w:rFonts w:cs="Arial"/>
          <w:szCs w:val="24"/>
        </w:rPr>
        <w:t>.</w:t>
      </w:r>
    </w:p>
    <w:p w14:paraId="3FE7FEAD" w14:textId="50555BEC" w:rsidR="00A8551F" w:rsidRDefault="00A8551F" w:rsidP="00A8551F">
      <w:pPr>
        <w:rPr>
          <w:rFonts w:cs="Arial"/>
          <w:szCs w:val="24"/>
        </w:rPr>
      </w:pPr>
      <w:r w:rsidRPr="00A8551F">
        <w:rPr>
          <w:rFonts w:cs="Arial"/>
          <w:szCs w:val="24"/>
        </w:rPr>
        <w:t xml:space="preserve">The interaction between </w:t>
      </w:r>
      <w:r w:rsidR="00403A85">
        <w:rPr>
          <w:rFonts w:cs="Arial"/>
          <w:szCs w:val="24"/>
        </w:rPr>
        <w:t>United States</w:t>
      </w:r>
      <w:r w:rsidRPr="00A8551F">
        <w:rPr>
          <w:rFonts w:cs="Arial"/>
          <w:szCs w:val="24"/>
        </w:rPr>
        <w:t xml:space="preserve"> producers of biodiesel and the EU authorities is revealing in this respect. The case involved </w:t>
      </w:r>
      <w:r>
        <w:rPr>
          <w:rFonts w:cs="Arial"/>
          <w:szCs w:val="24"/>
        </w:rPr>
        <w:t>the alleged</w:t>
      </w:r>
      <w:r w:rsidRPr="00A8551F">
        <w:rPr>
          <w:rFonts w:cs="Arial"/>
          <w:szCs w:val="24"/>
        </w:rPr>
        <w:t xml:space="preserve"> circumvention of EU duties on </w:t>
      </w:r>
      <w:r w:rsidR="00403A85">
        <w:rPr>
          <w:rFonts w:cs="Arial"/>
          <w:szCs w:val="24"/>
        </w:rPr>
        <w:t>United States</w:t>
      </w:r>
      <w:r w:rsidRPr="00A8551F">
        <w:rPr>
          <w:rFonts w:cs="Arial"/>
          <w:szCs w:val="24"/>
        </w:rPr>
        <w:t xml:space="preserve"> exports via transhipment through Canada. The </w:t>
      </w:r>
      <w:r w:rsidR="00403A85">
        <w:rPr>
          <w:rFonts w:cs="Arial"/>
          <w:szCs w:val="24"/>
        </w:rPr>
        <w:t>United States</w:t>
      </w:r>
      <w:r w:rsidRPr="00A8551F">
        <w:rPr>
          <w:rFonts w:cs="Arial"/>
          <w:szCs w:val="24"/>
        </w:rPr>
        <w:t xml:space="preserve"> exporters argued that duties could only be imposed as part of a </w:t>
      </w:r>
      <w:r w:rsidRPr="008F0B37">
        <w:rPr>
          <w:rFonts w:cs="Arial"/>
          <w:i/>
          <w:iCs/>
          <w:szCs w:val="24"/>
        </w:rPr>
        <w:t xml:space="preserve">de novo </w:t>
      </w:r>
      <w:r w:rsidRPr="00A8551F">
        <w:rPr>
          <w:rFonts w:cs="Arial"/>
          <w:szCs w:val="24"/>
        </w:rPr>
        <w:t xml:space="preserve">investigation </w:t>
      </w:r>
      <w:r w:rsidR="00993679">
        <w:rPr>
          <w:rFonts w:cs="Arial"/>
          <w:szCs w:val="24"/>
        </w:rPr>
        <w:t>as</w:t>
      </w:r>
      <w:r w:rsidR="00993679" w:rsidRPr="00A8551F">
        <w:rPr>
          <w:rFonts w:cs="Arial"/>
          <w:szCs w:val="24"/>
        </w:rPr>
        <w:t xml:space="preserve"> </w:t>
      </w:r>
      <w:r w:rsidRPr="00A8551F">
        <w:rPr>
          <w:rFonts w:cs="Arial"/>
          <w:szCs w:val="24"/>
        </w:rPr>
        <w:t xml:space="preserve">the product in the circumvention case (biodiesel blends with less than 20% biodiesel) was not a “like product” in relation to those within the scope of the original duty. The EC did not enter into an analysis of likeness, but </w:t>
      </w:r>
      <w:r w:rsidR="00993679">
        <w:rPr>
          <w:rFonts w:cs="Arial"/>
          <w:szCs w:val="24"/>
        </w:rPr>
        <w:t xml:space="preserve">instead </w:t>
      </w:r>
      <w:r w:rsidRPr="00A8551F">
        <w:rPr>
          <w:rFonts w:cs="Arial"/>
          <w:szCs w:val="24"/>
        </w:rPr>
        <w:t xml:space="preserve">used its findings that imports of the particular blend from Canada had increased </w:t>
      </w:r>
      <w:r w:rsidR="007C0C78">
        <w:rPr>
          <w:rFonts w:cs="Arial"/>
          <w:szCs w:val="24"/>
        </w:rPr>
        <w:t>because of</w:t>
      </w:r>
      <w:r w:rsidRPr="00A8551F">
        <w:rPr>
          <w:rFonts w:cs="Arial"/>
          <w:szCs w:val="24"/>
        </w:rPr>
        <w:t xml:space="preserve"> the imposition of duties on </w:t>
      </w:r>
      <w:r w:rsidR="00403A85">
        <w:rPr>
          <w:rFonts w:cs="Arial"/>
          <w:szCs w:val="24"/>
        </w:rPr>
        <w:t>United States</w:t>
      </w:r>
      <w:r w:rsidRPr="00A8551F">
        <w:rPr>
          <w:rFonts w:cs="Arial"/>
          <w:szCs w:val="24"/>
        </w:rPr>
        <w:t xml:space="preserve"> producers and that trade data suggested these were in</w:t>
      </w:r>
      <w:r>
        <w:rPr>
          <w:rFonts w:cs="Arial"/>
          <w:szCs w:val="24"/>
        </w:rPr>
        <w:t xml:space="preserve"> </w:t>
      </w:r>
      <w:r w:rsidRPr="00A8551F">
        <w:rPr>
          <w:rFonts w:cs="Arial"/>
          <w:szCs w:val="24"/>
        </w:rPr>
        <w:t xml:space="preserve">fact imports consigned from the </w:t>
      </w:r>
      <w:r w:rsidR="00403A85">
        <w:rPr>
          <w:rFonts w:cs="Arial"/>
          <w:szCs w:val="24"/>
        </w:rPr>
        <w:t>United States</w:t>
      </w:r>
      <w:r w:rsidR="00395A98">
        <w:rPr>
          <w:rFonts w:cs="Arial"/>
          <w:szCs w:val="24"/>
        </w:rPr>
        <w:t>.</w:t>
      </w:r>
    </w:p>
    <w:p w14:paraId="2E703792" w14:textId="4A5BED2F" w:rsidR="00A8551F" w:rsidRDefault="00B90748" w:rsidP="00A8551F">
      <w:pPr>
        <w:rPr>
          <w:rFonts w:cs="Arial"/>
          <w:szCs w:val="24"/>
        </w:rPr>
      </w:pPr>
      <w:r>
        <w:rPr>
          <w:rFonts w:cs="Arial"/>
          <w:szCs w:val="24"/>
        </w:rPr>
        <w:t xml:space="preserve">In conclusion, there is reason to believe that institutional arrangements play a role in determining the type of circumvention that is more likely to feature in </w:t>
      </w:r>
      <w:r w:rsidR="007E3864">
        <w:rPr>
          <w:rFonts w:cs="Arial"/>
          <w:szCs w:val="24"/>
        </w:rPr>
        <w:t xml:space="preserve">an </w:t>
      </w:r>
      <w:r>
        <w:rPr>
          <w:rFonts w:cs="Arial"/>
          <w:szCs w:val="24"/>
        </w:rPr>
        <w:t>anti-circumvention case. That in turn has implications for data and methodological approaches. Cases involving third countries will rely more on international trade data to assess changes in patterns of trade in the products of interest across a range of countries, while controlling for other factors. They also require analysis of the factors affecting the organisation of production in the countries of interest.</w:t>
      </w:r>
    </w:p>
    <w:p w14:paraId="157ADB76" w14:textId="446FD41E" w:rsidR="00B90748" w:rsidRPr="008E1F6D" w:rsidRDefault="00FA1C57" w:rsidP="00834C11">
      <w:pPr>
        <w:pStyle w:val="Heading3"/>
      </w:pPr>
      <w:bookmarkStart w:id="33" w:name="_Toc1910091597"/>
      <w:bookmarkStart w:id="34" w:name="_Toc118465274"/>
      <w:r>
        <w:t>3.</w:t>
      </w:r>
      <w:r w:rsidR="00FE05B4">
        <w:t>2</w:t>
      </w:r>
      <w:r>
        <w:t>.2</w:t>
      </w:r>
      <w:r>
        <w:tab/>
      </w:r>
      <w:r w:rsidR="00B90748">
        <w:t>Other points of comparison</w:t>
      </w:r>
      <w:bookmarkEnd w:id="33"/>
      <w:bookmarkEnd w:id="34"/>
    </w:p>
    <w:p w14:paraId="28464CEA" w14:textId="75B44C1D" w:rsidR="00B90748" w:rsidRPr="00B90748" w:rsidRDefault="00B90748" w:rsidP="00B90748">
      <w:pPr>
        <w:rPr>
          <w:rFonts w:cs="Arial"/>
          <w:szCs w:val="24"/>
        </w:rPr>
      </w:pPr>
      <w:r w:rsidRPr="00BD7306">
        <w:rPr>
          <w:rFonts w:cs="Arial"/>
          <w:szCs w:val="24"/>
        </w:rPr>
        <w:t xml:space="preserve">All </w:t>
      </w:r>
      <w:r w:rsidR="00070317" w:rsidRPr="00B25A27">
        <w:rPr>
          <w:rFonts w:cs="Arial"/>
          <w:szCs w:val="24"/>
        </w:rPr>
        <w:t>d</w:t>
      </w:r>
      <w:r w:rsidRPr="00B25A27">
        <w:rPr>
          <w:rFonts w:cs="Arial"/>
          <w:szCs w:val="24"/>
        </w:rPr>
        <w:t>eep</w:t>
      </w:r>
      <w:r w:rsidR="00BD7306" w:rsidRPr="00B25A27">
        <w:rPr>
          <w:rFonts w:cs="Arial"/>
          <w:szCs w:val="24"/>
        </w:rPr>
        <w:t>-</w:t>
      </w:r>
      <w:r w:rsidRPr="00B25A27">
        <w:rPr>
          <w:rFonts w:cs="Arial"/>
          <w:szCs w:val="24"/>
        </w:rPr>
        <w:t>dive</w:t>
      </w:r>
      <w:r w:rsidRPr="00BD7306">
        <w:rPr>
          <w:rFonts w:cs="Arial"/>
          <w:szCs w:val="24"/>
        </w:rPr>
        <w:t xml:space="preserve"> countries</w:t>
      </w:r>
      <w:r w:rsidRPr="00B90748">
        <w:rPr>
          <w:rFonts w:cs="Arial"/>
          <w:szCs w:val="24"/>
        </w:rPr>
        <w:t xml:space="preserve"> follow a structured approach to considering circumvention cases. They use a wide mix of information and methodologies. </w:t>
      </w:r>
    </w:p>
    <w:p w14:paraId="2C017864" w14:textId="0F455305" w:rsidR="00B90748" w:rsidRPr="00B90748" w:rsidRDefault="00B90748" w:rsidP="00B90748">
      <w:pPr>
        <w:pStyle w:val="ListParagraph"/>
        <w:numPr>
          <w:ilvl w:val="0"/>
          <w:numId w:val="14"/>
        </w:numPr>
        <w:spacing w:line="360" w:lineRule="auto"/>
        <w:rPr>
          <w:rFonts w:cs="Arial"/>
          <w:sz w:val="24"/>
          <w:szCs w:val="24"/>
        </w:rPr>
      </w:pPr>
      <w:r w:rsidRPr="00B90748">
        <w:rPr>
          <w:rFonts w:cs="Arial"/>
          <w:b/>
          <w:bCs/>
          <w:sz w:val="24"/>
          <w:szCs w:val="24"/>
        </w:rPr>
        <w:t>Trade data</w:t>
      </w:r>
      <w:r w:rsidRPr="00B90748">
        <w:rPr>
          <w:rFonts w:cs="Arial"/>
          <w:sz w:val="24"/>
          <w:szCs w:val="24"/>
        </w:rPr>
        <w:t xml:space="preserve"> </w:t>
      </w:r>
      <w:r w:rsidR="00993679">
        <w:rPr>
          <w:rFonts w:cs="Arial"/>
          <w:sz w:val="24"/>
          <w:szCs w:val="24"/>
        </w:rPr>
        <w:t>is</w:t>
      </w:r>
      <w:r w:rsidR="00993679" w:rsidRPr="00B90748">
        <w:rPr>
          <w:rFonts w:cs="Arial"/>
          <w:sz w:val="24"/>
          <w:szCs w:val="24"/>
        </w:rPr>
        <w:t xml:space="preserve"> </w:t>
      </w:r>
      <w:r w:rsidRPr="00B90748">
        <w:rPr>
          <w:rFonts w:cs="Arial"/>
          <w:sz w:val="24"/>
          <w:szCs w:val="24"/>
        </w:rPr>
        <w:t xml:space="preserve">the standard starting point, and such data can come from a mix of sources including official trade statistics, bespoke databases maintained for the purposes </w:t>
      </w:r>
      <w:r w:rsidR="00BA2E0B">
        <w:rPr>
          <w:rFonts w:cs="Arial"/>
          <w:sz w:val="24"/>
          <w:szCs w:val="24"/>
        </w:rPr>
        <w:t xml:space="preserve">of </w:t>
      </w:r>
      <w:r w:rsidRPr="00B90748">
        <w:rPr>
          <w:rFonts w:cs="Arial"/>
          <w:sz w:val="24"/>
          <w:szCs w:val="24"/>
        </w:rPr>
        <w:t xml:space="preserve">trade remedies (EU 14(6) database), subscription sources (such as Global Trade Atlas) and submissions made by industry. The </w:t>
      </w:r>
      <w:r w:rsidR="00403A85">
        <w:rPr>
          <w:rFonts w:cs="Arial"/>
          <w:sz w:val="24"/>
          <w:szCs w:val="24"/>
        </w:rPr>
        <w:t>United States</w:t>
      </w:r>
      <w:r w:rsidRPr="00B90748">
        <w:rPr>
          <w:rFonts w:cs="Arial"/>
          <w:sz w:val="24"/>
          <w:szCs w:val="24"/>
        </w:rPr>
        <w:t xml:space="preserve"> tends to define its actions at the 10-digit level, while the EU’s product definition is generally at </w:t>
      </w:r>
      <w:r w:rsidR="00FC37FD">
        <w:rPr>
          <w:rFonts w:cs="Arial"/>
          <w:sz w:val="24"/>
          <w:szCs w:val="24"/>
        </w:rPr>
        <w:t>a higher level of aggregation</w:t>
      </w:r>
      <w:r w:rsidRPr="00B90748">
        <w:rPr>
          <w:rFonts w:cs="Arial"/>
          <w:sz w:val="24"/>
          <w:szCs w:val="24"/>
        </w:rPr>
        <w:t xml:space="preserve">, mirroring </w:t>
      </w:r>
      <w:r w:rsidR="00A11801">
        <w:rPr>
          <w:rFonts w:cs="Arial"/>
          <w:sz w:val="24"/>
          <w:szCs w:val="24"/>
        </w:rPr>
        <w:t xml:space="preserve">their respective </w:t>
      </w:r>
      <w:r w:rsidRPr="00B90748">
        <w:rPr>
          <w:rFonts w:cs="Arial"/>
          <w:sz w:val="24"/>
          <w:szCs w:val="24"/>
        </w:rPr>
        <w:t>approaches to trade remedies generally</w:t>
      </w:r>
      <w:r w:rsidR="00506596">
        <w:rPr>
          <w:rFonts w:cs="Arial"/>
          <w:sz w:val="24"/>
          <w:szCs w:val="24"/>
        </w:rPr>
        <w:t>;</w:t>
      </w:r>
      <w:r w:rsidRPr="00B90748">
        <w:rPr>
          <w:rFonts w:cs="Arial"/>
          <w:sz w:val="24"/>
          <w:szCs w:val="24"/>
        </w:rPr>
        <w:t xml:space="preserve"> </w:t>
      </w:r>
    </w:p>
    <w:p w14:paraId="4F745477" w14:textId="5A0524C8" w:rsidR="00B90748" w:rsidRPr="00B90748" w:rsidRDefault="00B90748" w:rsidP="00B90748">
      <w:pPr>
        <w:pStyle w:val="ListParagraph"/>
        <w:numPr>
          <w:ilvl w:val="0"/>
          <w:numId w:val="14"/>
        </w:numPr>
        <w:spacing w:line="360" w:lineRule="auto"/>
        <w:rPr>
          <w:rFonts w:cs="Arial"/>
          <w:sz w:val="24"/>
          <w:szCs w:val="24"/>
        </w:rPr>
      </w:pPr>
      <w:r w:rsidRPr="00B90748">
        <w:rPr>
          <w:rFonts w:cs="Arial"/>
          <w:b/>
          <w:bCs/>
          <w:sz w:val="24"/>
          <w:szCs w:val="24"/>
        </w:rPr>
        <w:t>Production data</w:t>
      </w:r>
      <w:r w:rsidRPr="00B90748">
        <w:rPr>
          <w:rFonts w:cs="Arial"/>
          <w:sz w:val="24"/>
          <w:szCs w:val="24"/>
        </w:rPr>
        <w:t xml:space="preserve">. This </w:t>
      </w:r>
      <w:r w:rsidR="00993679">
        <w:rPr>
          <w:rFonts w:cs="Arial"/>
          <w:sz w:val="24"/>
          <w:szCs w:val="24"/>
        </w:rPr>
        <w:t>can</w:t>
      </w:r>
      <w:r w:rsidR="00993679" w:rsidRPr="00B90748">
        <w:rPr>
          <w:rFonts w:cs="Arial"/>
          <w:sz w:val="24"/>
          <w:szCs w:val="24"/>
        </w:rPr>
        <w:t xml:space="preserve"> </w:t>
      </w:r>
      <w:r w:rsidRPr="00B90748">
        <w:rPr>
          <w:rFonts w:cs="Arial"/>
          <w:sz w:val="24"/>
          <w:szCs w:val="24"/>
        </w:rPr>
        <w:t>be obtained from national or international sources, or through questionnaires. Production data usually lag</w:t>
      </w:r>
      <w:r w:rsidR="00993679">
        <w:rPr>
          <w:rFonts w:cs="Arial"/>
          <w:sz w:val="24"/>
          <w:szCs w:val="24"/>
        </w:rPr>
        <w:t>s</w:t>
      </w:r>
      <w:r w:rsidR="00381EBA">
        <w:rPr>
          <w:rFonts w:cs="Arial"/>
          <w:sz w:val="24"/>
          <w:szCs w:val="24"/>
        </w:rPr>
        <w:t xml:space="preserve"> </w:t>
      </w:r>
      <w:r w:rsidR="007C0C78">
        <w:rPr>
          <w:rFonts w:cs="Arial"/>
          <w:sz w:val="24"/>
          <w:szCs w:val="24"/>
        </w:rPr>
        <w:t xml:space="preserve">trade </w:t>
      </w:r>
      <w:r w:rsidRPr="00B90748">
        <w:rPr>
          <w:rFonts w:cs="Arial"/>
          <w:sz w:val="24"/>
          <w:szCs w:val="24"/>
        </w:rPr>
        <w:t>data</w:t>
      </w:r>
      <w:r w:rsidR="00506596">
        <w:rPr>
          <w:rFonts w:cs="Arial"/>
          <w:sz w:val="24"/>
          <w:szCs w:val="24"/>
        </w:rPr>
        <w:t>;</w:t>
      </w:r>
      <w:r w:rsidRPr="00B90748">
        <w:rPr>
          <w:rFonts w:cs="Arial"/>
          <w:sz w:val="24"/>
          <w:szCs w:val="24"/>
        </w:rPr>
        <w:t xml:space="preserve"> </w:t>
      </w:r>
    </w:p>
    <w:p w14:paraId="3CD945A7" w14:textId="1260FE7A" w:rsidR="00B90748" w:rsidRPr="00B90748" w:rsidRDefault="00B90748" w:rsidP="00B90748">
      <w:pPr>
        <w:pStyle w:val="ListParagraph"/>
        <w:numPr>
          <w:ilvl w:val="0"/>
          <w:numId w:val="14"/>
        </w:numPr>
        <w:spacing w:line="360" w:lineRule="auto"/>
        <w:rPr>
          <w:rFonts w:cs="Arial"/>
          <w:sz w:val="24"/>
          <w:szCs w:val="24"/>
        </w:rPr>
      </w:pPr>
      <w:r w:rsidRPr="00B90748">
        <w:rPr>
          <w:rFonts w:cs="Arial"/>
          <w:b/>
          <w:bCs/>
          <w:sz w:val="24"/>
          <w:szCs w:val="24"/>
        </w:rPr>
        <w:t>Cost information and investment</w:t>
      </w:r>
      <w:r>
        <w:rPr>
          <w:rFonts w:cs="Arial"/>
          <w:b/>
          <w:bCs/>
          <w:sz w:val="24"/>
          <w:szCs w:val="24"/>
        </w:rPr>
        <w:t xml:space="preserve"> data</w:t>
      </w:r>
      <w:r w:rsidRPr="00B90748">
        <w:rPr>
          <w:rFonts w:cs="Arial"/>
          <w:b/>
          <w:bCs/>
          <w:sz w:val="24"/>
          <w:szCs w:val="24"/>
        </w:rPr>
        <w:t>,</w:t>
      </w:r>
      <w:r w:rsidRPr="00B90748">
        <w:rPr>
          <w:rFonts w:cs="Arial"/>
          <w:sz w:val="24"/>
          <w:szCs w:val="24"/>
        </w:rPr>
        <w:t xml:space="preserve"> use</w:t>
      </w:r>
      <w:r w:rsidR="007369C4">
        <w:rPr>
          <w:rFonts w:cs="Arial"/>
          <w:sz w:val="24"/>
          <w:szCs w:val="24"/>
        </w:rPr>
        <w:t>d</w:t>
      </w:r>
      <w:r w:rsidRPr="00B90748">
        <w:rPr>
          <w:rFonts w:cs="Arial"/>
          <w:sz w:val="24"/>
          <w:szCs w:val="24"/>
        </w:rPr>
        <w:t xml:space="preserve"> to determine the extent of processing, can come from industry sources and submissions, and official studies (e.g</w:t>
      </w:r>
      <w:r w:rsidR="00A81D7B">
        <w:rPr>
          <w:rFonts w:cs="Arial"/>
          <w:sz w:val="24"/>
          <w:szCs w:val="24"/>
        </w:rPr>
        <w:t>.</w:t>
      </w:r>
      <w:r w:rsidRPr="00B90748">
        <w:rPr>
          <w:rFonts w:cs="Arial"/>
          <w:sz w:val="24"/>
          <w:szCs w:val="24"/>
        </w:rPr>
        <w:t xml:space="preserve"> OECD in the case of steel cases</w:t>
      </w:r>
      <w:r>
        <w:rPr>
          <w:rFonts w:cs="Arial"/>
          <w:sz w:val="24"/>
          <w:szCs w:val="24"/>
        </w:rPr>
        <w:t xml:space="preserve"> in the United States</w:t>
      </w:r>
      <w:r w:rsidRPr="00B90748">
        <w:rPr>
          <w:rFonts w:cs="Arial"/>
          <w:sz w:val="24"/>
          <w:szCs w:val="24"/>
        </w:rPr>
        <w:t>)</w:t>
      </w:r>
      <w:r w:rsidR="00506596">
        <w:rPr>
          <w:rFonts w:cs="Arial"/>
          <w:sz w:val="24"/>
          <w:szCs w:val="24"/>
        </w:rPr>
        <w:t>;</w:t>
      </w:r>
    </w:p>
    <w:p w14:paraId="7651EB23" w14:textId="2E0F3E6D" w:rsidR="00B90748" w:rsidRPr="00B90748" w:rsidRDefault="00B90748" w:rsidP="00B90748">
      <w:pPr>
        <w:pStyle w:val="ListParagraph"/>
        <w:numPr>
          <w:ilvl w:val="0"/>
          <w:numId w:val="14"/>
        </w:numPr>
        <w:spacing w:line="360" w:lineRule="auto"/>
        <w:rPr>
          <w:rFonts w:cs="Arial"/>
          <w:sz w:val="24"/>
          <w:szCs w:val="24"/>
        </w:rPr>
      </w:pPr>
      <w:r w:rsidRPr="00B90748">
        <w:rPr>
          <w:rFonts w:cs="Arial"/>
          <w:b/>
          <w:bCs/>
          <w:sz w:val="24"/>
          <w:szCs w:val="24"/>
        </w:rPr>
        <w:t>Patent and trademark filing data</w:t>
      </w:r>
      <w:r w:rsidRPr="00B90748">
        <w:rPr>
          <w:rFonts w:cs="Arial"/>
          <w:sz w:val="24"/>
          <w:szCs w:val="24"/>
        </w:rPr>
        <w:t xml:space="preserve"> to verify the timing of product development and the extent of “inventive steps” taken</w:t>
      </w:r>
      <w:r w:rsidR="00506596">
        <w:rPr>
          <w:rFonts w:cs="Arial"/>
          <w:sz w:val="24"/>
          <w:szCs w:val="24"/>
        </w:rPr>
        <w:t>; and</w:t>
      </w:r>
    </w:p>
    <w:p w14:paraId="3FB684E4" w14:textId="5C7CE3CC" w:rsidR="00B90748" w:rsidRPr="00B90748" w:rsidRDefault="00B90748" w:rsidP="00B90748">
      <w:pPr>
        <w:pStyle w:val="ListParagraph"/>
        <w:numPr>
          <w:ilvl w:val="0"/>
          <w:numId w:val="14"/>
        </w:numPr>
        <w:spacing w:line="360" w:lineRule="auto"/>
        <w:rPr>
          <w:rFonts w:cs="Arial"/>
          <w:sz w:val="24"/>
          <w:szCs w:val="24"/>
        </w:rPr>
      </w:pPr>
      <w:r w:rsidRPr="00B90748">
        <w:rPr>
          <w:rFonts w:cs="Arial"/>
          <w:b/>
          <w:bCs/>
          <w:sz w:val="24"/>
          <w:szCs w:val="24"/>
        </w:rPr>
        <w:t>Qualitative information</w:t>
      </w:r>
      <w:r w:rsidRPr="00B90748">
        <w:rPr>
          <w:rFonts w:cs="Arial"/>
          <w:sz w:val="24"/>
          <w:szCs w:val="24"/>
        </w:rPr>
        <w:t xml:space="preserve"> and market studies on trends in end-use, commercial expectations and technological progress</w:t>
      </w:r>
      <w:r w:rsidR="009B3C20">
        <w:rPr>
          <w:rFonts w:cs="Arial"/>
          <w:sz w:val="24"/>
          <w:szCs w:val="24"/>
        </w:rPr>
        <w:t>.</w:t>
      </w:r>
    </w:p>
    <w:p w14:paraId="01D3B5AD" w14:textId="743634F7" w:rsidR="00B90748" w:rsidRDefault="00B90748" w:rsidP="00B90748">
      <w:pPr>
        <w:rPr>
          <w:rFonts w:cs="Arial"/>
          <w:szCs w:val="24"/>
        </w:rPr>
      </w:pPr>
      <w:r w:rsidRPr="00B90748">
        <w:rPr>
          <w:rFonts w:cs="Arial"/>
          <w:szCs w:val="24"/>
        </w:rPr>
        <w:t xml:space="preserve">Most </w:t>
      </w:r>
      <w:r w:rsidR="00993679">
        <w:rPr>
          <w:rFonts w:cs="Arial"/>
          <w:szCs w:val="24"/>
        </w:rPr>
        <w:t xml:space="preserve">of the </w:t>
      </w:r>
      <w:r w:rsidRPr="00B90748">
        <w:rPr>
          <w:rFonts w:cs="Arial"/>
          <w:szCs w:val="24"/>
        </w:rPr>
        <w:t xml:space="preserve">quantitative analysis of time series data </w:t>
      </w:r>
      <w:r w:rsidR="00993679">
        <w:rPr>
          <w:rFonts w:cs="Arial"/>
          <w:szCs w:val="24"/>
        </w:rPr>
        <w:t>is</w:t>
      </w:r>
      <w:r w:rsidR="00993679" w:rsidRPr="00B90748">
        <w:rPr>
          <w:rFonts w:cs="Arial"/>
          <w:szCs w:val="24"/>
        </w:rPr>
        <w:t xml:space="preserve"> </w:t>
      </w:r>
      <w:r w:rsidRPr="00B90748">
        <w:rPr>
          <w:rFonts w:cs="Arial"/>
          <w:szCs w:val="24"/>
        </w:rPr>
        <w:t>rudimentary and tends to be limited to a visual inspection of data.</w:t>
      </w:r>
      <w:r>
        <w:rPr>
          <w:rFonts w:cs="Arial"/>
          <w:szCs w:val="24"/>
        </w:rPr>
        <w:t xml:space="preserve"> It does not appear that</w:t>
      </w:r>
      <w:r w:rsidRPr="00B90748">
        <w:rPr>
          <w:rFonts w:cs="Arial"/>
          <w:szCs w:val="24"/>
        </w:rPr>
        <w:t xml:space="preserve"> formal controls are introduced for structural breaks, </w:t>
      </w:r>
      <w:r w:rsidR="00993679">
        <w:rPr>
          <w:rFonts w:cs="Arial"/>
          <w:szCs w:val="24"/>
        </w:rPr>
        <w:t>n</w:t>
      </w:r>
      <w:r w:rsidRPr="00B90748">
        <w:rPr>
          <w:rFonts w:cs="Arial"/>
          <w:szCs w:val="24"/>
        </w:rPr>
        <w:t>or for the influence of other factors (for example, preferential market access).</w:t>
      </w:r>
      <w:r>
        <w:rPr>
          <w:rFonts w:cs="Arial"/>
          <w:szCs w:val="24"/>
        </w:rPr>
        <w:t xml:space="preserve"> As documented in the section on data methodologies, there appear</w:t>
      </w:r>
      <w:r w:rsidR="00AD28ED">
        <w:rPr>
          <w:rFonts w:cs="Arial"/>
          <w:szCs w:val="24"/>
        </w:rPr>
        <w:t>s</w:t>
      </w:r>
      <w:r>
        <w:rPr>
          <w:rFonts w:cs="Arial"/>
          <w:szCs w:val="24"/>
        </w:rPr>
        <w:t xml:space="preserve"> to be no real attempt to assess whether observed variations in trade between countries investigated are part of a broader pattern of variation</w:t>
      </w:r>
      <w:r w:rsidR="00506596">
        <w:rPr>
          <w:rFonts w:cs="Arial"/>
          <w:szCs w:val="24"/>
        </w:rPr>
        <w:t>,</w:t>
      </w:r>
      <w:r>
        <w:rPr>
          <w:rFonts w:cs="Arial"/>
          <w:szCs w:val="24"/>
        </w:rPr>
        <w:t xml:space="preserve"> e.g. by checking for, if not formally estimating, differences-in-differences</w:t>
      </w:r>
      <w:r w:rsidR="00A11801">
        <w:rPr>
          <w:rFonts w:cs="Arial"/>
          <w:szCs w:val="24"/>
        </w:rPr>
        <w:t xml:space="preserve"> vis</w:t>
      </w:r>
      <w:r w:rsidR="007C0C78">
        <w:rPr>
          <w:rFonts w:cs="Arial"/>
          <w:szCs w:val="24"/>
        </w:rPr>
        <w:t>-</w:t>
      </w:r>
      <w:r w:rsidR="00A11801">
        <w:rPr>
          <w:rFonts w:cs="Arial"/>
          <w:szCs w:val="24"/>
        </w:rPr>
        <w:t>à</w:t>
      </w:r>
      <w:r w:rsidR="007C0C78">
        <w:rPr>
          <w:rFonts w:cs="Arial"/>
          <w:szCs w:val="24"/>
        </w:rPr>
        <w:t>-</w:t>
      </w:r>
      <w:r w:rsidR="00A11801">
        <w:rPr>
          <w:rFonts w:cs="Arial"/>
          <w:szCs w:val="24"/>
        </w:rPr>
        <w:t>vis comparators</w:t>
      </w:r>
      <w:r>
        <w:rPr>
          <w:rFonts w:cs="Arial"/>
          <w:szCs w:val="24"/>
        </w:rPr>
        <w:t xml:space="preserve">. </w:t>
      </w:r>
    </w:p>
    <w:p w14:paraId="0531C8FB" w14:textId="007ECBF3" w:rsidR="00B90748" w:rsidRDefault="00B90748" w:rsidP="00B90748">
      <w:pPr>
        <w:rPr>
          <w:rFonts w:cs="Arial"/>
          <w:szCs w:val="24"/>
        </w:rPr>
      </w:pPr>
      <w:r w:rsidRPr="00B90748">
        <w:rPr>
          <w:rFonts w:cs="Arial"/>
          <w:szCs w:val="24"/>
        </w:rPr>
        <w:t>On</w:t>
      </w:r>
      <w:r w:rsidR="003E60DD">
        <w:rPr>
          <w:rFonts w:cs="Arial"/>
          <w:szCs w:val="24"/>
        </w:rPr>
        <w:t>-</w:t>
      </w:r>
      <w:r w:rsidRPr="00B90748">
        <w:rPr>
          <w:rFonts w:cs="Arial"/>
          <w:szCs w:val="24"/>
        </w:rPr>
        <w:t>ground verification activities play an important part. For example, in EU investigations on third</w:t>
      </w:r>
      <w:r w:rsidR="00287A7E">
        <w:rPr>
          <w:rFonts w:cs="Arial"/>
          <w:szCs w:val="24"/>
        </w:rPr>
        <w:t>-</w:t>
      </w:r>
      <w:r w:rsidRPr="00B90748">
        <w:rPr>
          <w:rFonts w:cs="Arial"/>
          <w:szCs w:val="24"/>
        </w:rPr>
        <w:t xml:space="preserve">party assembly operations, these </w:t>
      </w:r>
      <w:r w:rsidR="0092704D">
        <w:rPr>
          <w:rFonts w:cs="Arial"/>
          <w:szCs w:val="24"/>
        </w:rPr>
        <w:t xml:space="preserve">on-ground activities </w:t>
      </w:r>
      <w:r w:rsidRPr="00B90748">
        <w:rPr>
          <w:rFonts w:cs="Arial"/>
          <w:szCs w:val="24"/>
        </w:rPr>
        <w:t xml:space="preserve">enabled verification of the extent to which capacity usage of facilities was commensurate with claims made about the extent of investment and production. Investigative activities also extend to internet searches, which can help to verify the extent of circumvention services provided by third parties. </w:t>
      </w:r>
    </w:p>
    <w:p w14:paraId="305B4910" w14:textId="567BC363" w:rsidR="00B90748" w:rsidRDefault="00B90748" w:rsidP="00B90748">
      <w:pPr>
        <w:rPr>
          <w:rFonts w:cs="Arial"/>
          <w:szCs w:val="24"/>
        </w:rPr>
      </w:pPr>
      <w:r w:rsidRPr="00B90748">
        <w:rPr>
          <w:rFonts w:cs="Arial"/>
          <w:szCs w:val="24"/>
        </w:rPr>
        <w:t>Authorities retain a significant extent of discretion in weighing evidence</w:t>
      </w:r>
      <w:r w:rsidR="00A11801">
        <w:rPr>
          <w:rFonts w:cs="Arial"/>
          <w:szCs w:val="24"/>
        </w:rPr>
        <w:t xml:space="preserve"> and in deciding which evidence is determinative</w:t>
      </w:r>
      <w:r w:rsidRPr="00B90748">
        <w:rPr>
          <w:rFonts w:cs="Arial"/>
          <w:szCs w:val="24"/>
        </w:rPr>
        <w:t>. This fact is consistently affirmed</w:t>
      </w:r>
      <w:r w:rsidR="00287A7E">
        <w:rPr>
          <w:rFonts w:cs="Arial"/>
          <w:szCs w:val="24"/>
        </w:rPr>
        <w:t>,</w:t>
      </w:r>
      <w:r w:rsidR="001973E6">
        <w:rPr>
          <w:rFonts w:cs="Arial"/>
          <w:szCs w:val="24"/>
        </w:rPr>
        <w:t xml:space="preserve"> notably</w:t>
      </w:r>
      <w:r w:rsidRPr="00B90748">
        <w:rPr>
          <w:rFonts w:cs="Arial"/>
          <w:szCs w:val="24"/>
        </w:rPr>
        <w:t xml:space="preserve"> by the </w:t>
      </w:r>
      <w:r w:rsidR="00403A85">
        <w:rPr>
          <w:rFonts w:cs="Arial"/>
          <w:szCs w:val="24"/>
        </w:rPr>
        <w:t>United States</w:t>
      </w:r>
      <w:r w:rsidRPr="00B90748">
        <w:rPr>
          <w:rFonts w:cs="Arial"/>
          <w:szCs w:val="24"/>
        </w:rPr>
        <w:t xml:space="preserve"> DOC. The EC is more constrained in that there are, for example, numerical thresholds concerning processing value </w:t>
      </w:r>
      <w:r>
        <w:rPr>
          <w:rFonts w:cs="Arial"/>
          <w:szCs w:val="24"/>
        </w:rPr>
        <w:t>(60%)</w:t>
      </w:r>
      <w:r w:rsidR="00256F23">
        <w:rPr>
          <w:rFonts w:cs="Arial"/>
          <w:szCs w:val="24"/>
        </w:rPr>
        <w:t xml:space="preserve"> </w:t>
      </w:r>
      <w:r w:rsidRPr="00B90748">
        <w:rPr>
          <w:rFonts w:cs="Arial"/>
          <w:szCs w:val="24"/>
        </w:rPr>
        <w:t>and share of costs</w:t>
      </w:r>
      <w:r>
        <w:rPr>
          <w:rFonts w:cs="Arial"/>
          <w:szCs w:val="24"/>
        </w:rPr>
        <w:t xml:space="preserve"> (25%)</w:t>
      </w:r>
      <w:r w:rsidR="00256F23">
        <w:rPr>
          <w:rFonts w:cs="Arial"/>
          <w:szCs w:val="24"/>
        </w:rPr>
        <w:t>.</w:t>
      </w:r>
      <w:r w:rsidRPr="00B90748">
        <w:rPr>
          <w:rFonts w:cs="Arial"/>
          <w:szCs w:val="24"/>
        </w:rPr>
        <w:t xml:space="preserve"> But even within this framework</w:t>
      </w:r>
      <w:r w:rsidR="003172D3">
        <w:rPr>
          <w:rFonts w:cs="Arial"/>
          <w:szCs w:val="24"/>
        </w:rPr>
        <w:t>,</w:t>
      </w:r>
      <w:r w:rsidRPr="00B90748">
        <w:rPr>
          <w:rFonts w:cs="Arial"/>
          <w:szCs w:val="24"/>
        </w:rPr>
        <w:t xml:space="preserve"> the EC has considerab</w:t>
      </w:r>
      <w:r>
        <w:rPr>
          <w:rFonts w:cs="Arial"/>
          <w:szCs w:val="24"/>
        </w:rPr>
        <w:t>le</w:t>
      </w:r>
      <w:r w:rsidRPr="00B90748">
        <w:rPr>
          <w:rFonts w:cs="Arial"/>
          <w:szCs w:val="24"/>
        </w:rPr>
        <w:t xml:space="preserve"> scope to consider what is admissible or not in terms of evidence</w:t>
      </w:r>
      <w:r w:rsidR="00A11801">
        <w:rPr>
          <w:rFonts w:cs="Arial"/>
          <w:szCs w:val="24"/>
        </w:rPr>
        <w:t xml:space="preserve"> (e.g. whether claims about costs are admissible or not).</w:t>
      </w:r>
      <w:r w:rsidR="00031DF4">
        <w:rPr>
          <w:rFonts w:cs="Arial"/>
          <w:szCs w:val="24"/>
        </w:rPr>
        <w:t xml:space="preserve"> </w:t>
      </w:r>
    </w:p>
    <w:p w14:paraId="4D07655D" w14:textId="6AF1EF18" w:rsidR="00031DF4" w:rsidRDefault="00031DF4" w:rsidP="00B90748">
      <w:pPr>
        <w:rPr>
          <w:rFonts w:cs="Arial"/>
          <w:szCs w:val="24"/>
        </w:rPr>
      </w:pPr>
      <w:r>
        <w:rPr>
          <w:rFonts w:cs="Arial"/>
          <w:szCs w:val="24"/>
        </w:rPr>
        <w:t>Circumvention cases involving third parties</w:t>
      </w:r>
      <w:r w:rsidR="007C0C78">
        <w:rPr>
          <w:rFonts w:cs="Arial"/>
          <w:szCs w:val="24"/>
        </w:rPr>
        <w:t xml:space="preserve"> typically require a</w:t>
      </w:r>
      <w:r w:rsidR="008D6870">
        <w:rPr>
          <w:rFonts w:cs="Arial"/>
          <w:szCs w:val="24"/>
        </w:rPr>
        <w:t>n</w:t>
      </w:r>
      <w:r>
        <w:rPr>
          <w:rFonts w:cs="Arial"/>
          <w:szCs w:val="24"/>
        </w:rPr>
        <w:t xml:space="preserve"> analysis of cost data from financial accounts. As observed, this involves forming a view on cost-allocation practices, an exercise whose challenges are widely understood. In particular, a range of allocations could be consistent with commercial practice. </w:t>
      </w:r>
      <w:r w:rsidR="00287A7E">
        <w:rPr>
          <w:rFonts w:cs="Arial"/>
          <w:szCs w:val="24"/>
        </w:rPr>
        <w:t>T</w:t>
      </w:r>
      <w:r>
        <w:rPr>
          <w:rFonts w:cs="Arial"/>
          <w:szCs w:val="24"/>
        </w:rPr>
        <w:t xml:space="preserve">his will </w:t>
      </w:r>
      <w:r w:rsidR="00287A7E">
        <w:rPr>
          <w:rFonts w:cs="Arial"/>
          <w:szCs w:val="24"/>
        </w:rPr>
        <w:t xml:space="preserve">inevitably </w:t>
      </w:r>
      <w:r>
        <w:rPr>
          <w:rFonts w:cs="Arial"/>
          <w:szCs w:val="24"/>
        </w:rPr>
        <w:t xml:space="preserve">require judgements on the part of the authority, </w:t>
      </w:r>
      <w:r w:rsidR="00287A7E">
        <w:rPr>
          <w:rFonts w:cs="Arial"/>
          <w:szCs w:val="24"/>
        </w:rPr>
        <w:t>which,</w:t>
      </w:r>
      <w:r>
        <w:rPr>
          <w:rFonts w:cs="Arial"/>
          <w:szCs w:val="24"/>
        </w:rPr>
        <w:t xml:space="preserve"> in line with the regulations governing </w:t>
      </w:r>
      <w:r w:rsidR="00287A7E">
        <w:rPr>
          <w:rFonts w:cs="Arial"/>
          <w:szCs w:val="24"/>
        </w:rPr>
        <w:t xml:space="preserve">its </w:t>
      </w:r>
      <w:r>
        <w:rPr>
          <w:rFonts w:cs="Arial"/>
          <w:szCs w:val="24"/>
        </w:rPr>
        <w:t>actions</w:t>
      </w:r>
      <w:r w:rsidR="00287A7E">
        <w:rPr>
          <w:rFonts w:cs="Arial"/>
          <w:szCs w:val="24"/>
        </w:rPr>
        <w:t>,</w:t>
      </w:r>
      <w:r>
        <w:rPr>
          <w:rFonts w:cs="Arial"/>
          <w:szCs w:val="24"/>
        </w:rPr>
        <w:t xml:space="preserve"> </w:t>
      </w:r>
      <w:r w:rsidR="00287A7E">
        <w:rPr>
          <w:rFonts w:cs="Arial"/>
          <w:szCs w:val="24"/>
        </w:rPr>
        <w:t xml:space="preserve">has </w:t>
      </w:r>
      <w:r>
        <w:rPr>
          <w:rFonts w:cs="Arial"/>
          <w:szCs w:val="24"/>
        </w:rPr>
        <w:t>considerable discretion in making determinations.</w:t>
      </w:r>
    </w:p>
    <w:p w14:paraId="3E9797C6" w14:textId="2DD4EC67" w:rsidR="00AE5C6F" w:rsidRDefault="00031DF4" w:rsidP="00AE5C6F">
      <w:pPr>
        <w:rPr>
          <w:rFonts w:cs="Arial"/>
          <w:szCs w:val="24"/>
        </w:rPr>
      </w:pPr>
      <w:r>
        <w:rPr>
          <w:rFonts w:cs="Arial"/>
          <w:szCs w:val="24"/>
        </w:rPr>
        <w:t>Issues raised by the scope for discretion in relation to how authorities assess commercial operations exten</w:t>
      </w:r>
      <w:r w:rsidR="00756E5B">
        <w:rPr>
          <w:rFonts w:cs="Arial"/>
          <w:szCs w:val="24"/>
        </w:rPr>
        <w:t>d</w:t>
      </w:r>
      <w:r>
        <w:rPr>
          <w:rFonts w:cs="Arial"/>
          <w:szCs w:val="24"/>
        </w:rPr>
        <w:t xml:space="preserve"> to matters beyond cost</w:t>
      </w:r>
      <w:r w:rsidR="00506596">
        <w:rPr>
          <w:rFonts w:cs="Arial"/>
          <w:szCs w:val="24"/>
        </w:rPr>
        <w:t xml:space="preserve"> </w:t>
      </w:r>
      <w:r>
        <w:rPr>
          <w:rFonts w:cs="Arial"/>
          <w:szCs w:val="24"/>
        </w:rPr>
        <w:t>allocation</w:t>
      </w:r>
      <w:r w:rsidR="00AE5C6F" w:rsidRPr="00AE5C6F">
        <w:rPr>
          <w:rFonts w:cs="Arial"/>
          <w:szCs w:val="24"/>
        </w:rPr>
        <w:t>. For example</w:t>
      </w:r>
      <w:r w:rsidR="00C03577">
        <w:rPr>
          <w:rFonts w:cs="Arial"/>
          <w:szCs w:val="24"/>
        </w:rPr>
        <w:t>, w</w:t>
      </w:r>
      <w:r w:rsidR="00AE5C6F" w:rsidRPr="00AE5C6F">
        <w:rPr>
          <w:rFonts w:cs="Arial"/>
          <w:szCs w:val="24"/>
        </w:rPr>
        <w:t xml:space="preserve">hile the </w:t>
      </w:r>
      <w:r w:rsidR="007C0C78" w:rsidRPr="00AE5C6F">
        <w:rPr>
          <w:rFonts w:cs="Arial"/>
          <w:szCs w:val="24"/>
        </w:rPr>
        <w:t>E</w:t>
      </w:r>
      <w:r w:rsidR="007C0C78">
        <w:rPr>
          <w:rFonts w:cs="Arial"/>
          <w:szCs w:val="24"/>
        </w:rPr>
        <w:t>C</w:t>
      </w:r>
      <w:r w:rsidR="000D3CB2">
        <w:rPr>
          <w:rFonts w:cs="Arial"/>
          <w:szCs w:val="24"/>
        </w:rPr>
        <w:t xml:space="preserve"> </w:t>
      </w:r>
      <w:r w:rsidR="00AE5C6F" w:rsidRPr="00AE5C6F">
        <w:rPr>
          <w:rFonts w:cs="Arial"/>
          <w:szCs w:val="24"/>
        </w:rPr>
        <w:t>recogni</w:t>
      </w:r>
      <w:r w:rsidR="007C0C78">
        <w:rPr>
          <w:rFonts w:cs="Arial"/>
          <w:szCs w:val="24"/>
        </w:rPr>
        <w:t>s</w:t>
      </w:r>
      <w:r w:rsidR="00AE5C6F" w:rsidRPr="00AE5C6F">
        <w:rPr>
          <w:rFonts w:cs="Arial"/>
          <w:szCs w:val="24"/>
        </w:rPr>
        <w:t xml:space="preserve">ed the possibility of preferential market access playing a role in changing trade patterns, it dismissed the </w:t>
      </w:r>
      <w:r w:rsidR="001973E6">
        <w:rPr>
          <w:rFonts w:cs="Arial"/>
          <w:szCs w:val="24"/>
        </w:rPr>
        <w:t xml:space="preserve">proposal </w:t>
      </w:r>
      <w:r w:rsidR="00AE5C6F" w:rsidRPr="00AE5C6F">
        <w:rPr>
          <w:rFonts w:cs="Arial"/>
          <w:szCs w:val="24"/>
        </w:rPr>
        <w:t xml:space="preserve">that these could be an explanation on the basis of </w:t>
      </w:r>
      <w:r w:rsidR="00C03577">
        <w:rPr>
          <w:rFonts w:cs="Arial"/>
          <w:szCs w:val="24"/>
        </w:rPr>
        <w:t xml:space="preserve">measured </w:t>
      </w:r>
      <w:r w:rsidR="00AE5C6F" w:rsidRPr="00AE5C6F">
        <w:rPr>
          <w:rFonts w:cs="Arial"/>
          <w:szCs w:val="24"/>
        </w:rPr>
        <w:t>processing value. However, these determinations were based on thresholds set for circumvention cases, not specifically those set in association with rules of origin for the products concerned</w:t>
      </w:r>
      <w:r w:rsidR="00C03577">
        <w:rPr>
          <w:rFonts w:cs="Arial"/>
          <w:szCs w:val="24"/>
        </w:rPr>
        <w:t xml:space="preserve">. As observed, the 60% and 25% thresholds are more </w:t>
      </w:r>
      <w:r w:rsidR="007C0C78">
        <w:rPr>
          <w:rFonts w:cs="Arial"/>
          <w:szCs w:val="24"/>
        </w:rPr>
        <w:t>rules of thumb</w:t>
      </w:r>
      <w:r w:rsidR="00C03577">
        <w:rPr>
          <w:rFonts w:cs="Arial"/>
          <w:szCs w:val="24"/>
        </w:rPr>
        <w:t xml:space="preserve"> than rigorously derived estimates, and </w:t>
      </w:r>
      <w:r w:rsidR="00287A7E">
        <w:rPr>
          <w:rFonts w:cs="Arial"/>
          <w:szCs w:val="24"/>
        </w:rPr>
        <w:t xml:space="preserve">they may </w:t>
      </w:r>
      <w:r w:rsidR="00C03577">
        <w:rPr>
          <w:rFonts w:cs="Arial"/>
          <w:szCs w:val="24"/>
        </w:rPr>
        <w:t>reflect an inherent preference</w:t>
      </w:r>
      <w:r w:rsidR="00BA539D">
        <w:rPr>
          <w:rFonts w:cs="Arial"/>
          <w:szCs w:val="24"/>
        </w:rPr>
        <w:t xml:space="preserve"> in</w:t>
      </w:r>
      <w:r w:rsidR="00C03577">
        <w:rPr>
          <w:rFonts w:cs="Arial"/>
          <w:szCs w:val="24"/>
        </w:rPr>
        <w:t xml:space="preserve"> favour of permitting duties and accepting the risk that this might in</w:t>
      </w:r>
      <w:r w:rsidR="00BA539D">
        <w:rPr>
          <w:rFonts w:cs="Arial"/>
          <w:szCs w:val="24"/>
        </w:rPr>
        <w:t xml:space="preserve"> </w:t>
      </w:r>
      <w:r w:rsidR="00C03577">
        <w:rPr>
          <w:rFonts w:cs="Arial"/>
          <w:szCs w:val="24"/>
        </w:rPr>
        <w:t>fact capture legitimate activities, rather than erring on the side of permissiveness.</w:t>
      </w:r>
    </w:p>
    <w:p w14:paraId="58A66676" w14:textId="787EA5D5" w:rsidR="00AE5C6F" w:rsidRPr="00AE5C6F" w:rsidRDefault="00C03577" w:rsidP="00AE5C6F">
      <w:pPr>
        <w:rPr>
          <w:rFonts w:cs="Arial"/>
          <w:szCs w:val="24"/>
        </w:rPr>
      </w:pPr>
      <w:r>
        <w:rPr>
          <w:rFonts w:cs="Arial"/>
          <w:szCs w:val="24"/>
        </w:rPr>
        <w:t>Similarly, Australia’s approach relating to the avoidance of intended effects seem</w:t>
      </w:r>
      <w:r w:rsidR="00287A7E">
        <w:rPr>
          <w:rFonts w:cs="Arial"/>
          <w:szCs w:val="24"/>
        </w:rPr>
        <w:t>s</w:t>
      </w:r>
      <w:r>
        <w:rPr>
          <w:rFonts w:cs="Arial"/>
          <w:szCs w:val="24"/>
        </w:rPr>
        <w:t xml:space="preserve"> to reflect a prior view on how businesses should pass on the effects of tax to consumers. Forming an </w:t>
      </w:r>
      <w:r w:rsidRPr="00B25A27">
        <w:rPr>
          <w:rFonts w:cs="Arial"/>
          <w:szCs w:val="24"/>
        </w:rPr>
        <w:t>ex</w:t>
      </w:r>
      <w:r w:rsidR="00506596" w:rsidRPr="00B25A27">
        <w:rPr>
          <w:rFonts w:cs="Arial"/>
          <w:szCs w:val="24"/>
        </w:rPr>
        <w:t>-</w:t>
      </w:r>
      <w:r w:rsidRPr="00B25A27">
        <w:rPr>
          <w:rFonts w:cs="Arial"/>
          <w:szCs w:val="24"/>
        </w:rPr>
        <w:t>ante</w:t>
      </w:r>
      <w:r w:rsidRPr="00506596">
        <w:rPr>
          <w:rFonts w:cs="Arial"/>
          <w:szCs w:val="24"/>
        </w:rPr>
        <w:t xml:space="preserve"> view</w:t>
      </w:r>
      <w:r>
        <w:rPr>
          <w:rFonts w:cs="Arial"/>
          <w:szCs w:val="24"/>
        </w:rPr>
        <w:t xml:space="preserve"> of pass-through in imperfectly competitive markets is a complicated exercise</w:t>
      </w:r>
      <w:r w:rsidR="00506596">
        <w:rPr>
          <w:rFonts w:cs="Arial"/>
          <w:szCs w:val="24"/>
        </w:rPr>
        <w:t>,</w:t>
      </w:r>
      <w:r>
        <w:rPr>
          <w:rFonts w:cs="Arial"/>
          <w:szCs w:val="24"/>
        </w:rPr>
        <w:t xml:space="preserve"> and forming the view that limited pass</w:t>
      </w:r>
      <w:r w:rsidR="00287A7E">
        <w:rPr>
          <w:rFonts w:cs="Arial"/>
          <w:szCs w:val="24"/>
        </w:rPr>
        <w:t>-</w:t>
      </w:r>
      <w:r>
        <w:rPr>
          <w:rFonts w:cs="Arial"/>
          <w:szCs w:val="24"/>
        </w:rPr>
        <w:t>through is not reflective of commercial behaviour seems</w:t>
      </w:r>
      <w:r w:rsidR="00A11801">
        <w:rPr>
          <w:rFonts w:cs="Arial"/>
          <w:szCs w:val="24"/>
        </w:rPr>
        <w:t xml:space="preserve"> largely</w:t>
      </w:r>
      <w:r>
        <w:rPr>
          <w:rFonts w:cs="Arial"/>
          <w:szCs w:val="24"/>
        </w:rPr>
        <w:t xml:space="preserve"> speculative. Moreover, effect</w:t>
      </w:r>
      <w:r w:rsidR="00287A7E">
        <w:rPr>
          <w:rFonts w:cs="Arial"/>
          <w:szCs w:val="24"/>
        </w:rPr>
        <w:t>ively</w:t>
      </w:r>
      <w:r>
        <w:rPr>
          <w:rFonts w:cs="Arial"/>
          <w:szCs w:val="24"/>
        </w:rPr>
        <w:t xml:space="preserve"> imposing pricing principles on firms, as noted by the Australian Productivity Commission, is largely at odds with the National Competition Policy principles that have formed a central plank of Australia’s reform agenda over the last three decades. </w:t>
      </w:r>
      <w:r w:rsidR="00121264">
        <w:rPr>
          <w:rFonts w:cs="Arial"/>
          <w:szCs w:val="24"/>
        </w:rPr>
        <w:t xml:space="preserve">Indeed, this practice dovetails with concerns expressed by the Australia Competition and Consumer Commission that trade remedies have a chilling effect on competition. </w:t>
      </w:r>
    </w:p>
    <w:p w14:paraId="057E1D2C" w14:textId="62E457D6" w:rsidR="00B90748" w:rsidRDefault="00AE5C6F" w:rsidP="003B1FDC">
      <w:pPr>
        <w:rPr>
          <w:rFonts w:cs="Arial"/>
          <w:szCs w:val="24"/>
        </w:rPr>
      </w:pPr>
      <w:r w:rsidRPr="00AE5C6F">
        <w:rPr>
          <w:rFonts w:cs="Arial"/>
          <w:szCs w:val="24"/>
        </w:rPr>
        <w:t xml:space="preserve">The </w:t>
      </w:r>
      <w:r w:rsidR="00121264">
        <w:rPr>
          <w:rFonts w:cs="Arial"/>
          <w:szCs w:val="24"/>
        </w:rPr>
        <w:t>broader critiques of trade remedies</w:t>
      </w:r>
      <w:r w:rsidR="003B1FDC">
        <w:rPr>
          <w:rFonts w:cs="Arial"/>
          <w:szCs w:val="24"/>
        </w:rPr>
        <w:t xml:space="preserve"> developed by the Productivity Commission</w:t>
      </w:r>
      <w:r w:rsidR="00121264">
        <w:rPr>
          <w:rFonts w:cs="Arial"/>
          <w:szCs w:val="24"/>
        </w:rPr>
        <w:t xml:space="preserve"> are not specific to Australia. </w:t>
      </w:r>
      <w:r w:rsidR="00756E5B">
        <w:rPr>
          <w:rFonts w:cs="Arial"/>
          <w:szCs w:val="24"/>
        </w:rPr>
        <w:t xml:space="preserve">These critiques, along with the observations derived from the deep dives, suggest </w:t>
      </w:r>
      <w:r w:rsidR="00756E5B" w:rsidRPr="00506596">
        <w:rPr>
          <w:rFonts w:cs="Arial"/>
          <w:szCs w:val="24"/>
        </w:rPr>
        <w:t>that the administration of anti-circumvention cases is essentially an art</w:t>
      </w:r>
      <w:r w:rsidR="00013D4E" w:rsidRPr="00506596">
        <w:rPr>
          <w:rFonts w:cs="Arial"/>
          <w:szCs w:val="24"/>
        </w:rPr>
        <w:t xml:space="preserve"> which </w:t>
      </w:r>
      <w:r w:rsidR="0058686C" w:rsidRPr="00506596">
        <w:rPr>
          <w:rFonts w:cs="Arial"/>
          <w:szCs w:val="24"/>
        </w:rPr>
        <w:t xml:space="preserve">involves </w:t>
      </w:r>
      <w:r w:rsidR="00C26163" w:rsidRPr="00506596">
        <w:rPr>
          <w:rFonts w:cs="Arial"/>
          <w:szCs w:val="24"/>
        </w:rPr>
        <w:t>judgement and the sifting of various types of evidence</w:t>
      </w:r>
      <w:r w:rsidR="00756E5B" w:rsidRPr="00506596">
        <w:rPr>
          <w:rFonts w:cs="Arial"/>
          <w:szCs w:val="24"/>
        </w:rPr>
        <w:t xml:space="preserve"> rather than a mechanical process involving</w:t>
      </w:r>
      <w:r w:rsidR="00756E5B">
        <w:rPr>
          <w:rFonts w:cs="Arial"/>
          <w:szCs w:val="24"/>
        </w:rPr>
        <w:t xml:space="preserve"> quantitative inputs that yield a particular conclusion, as might be the case for example in a controlled experiment. This does not obviate the need for quantitative inputs. Rather</w:t>
      </w:r>
      <w:r w:rsidR="00506596">
        <w:rPr>
          <w:rFonts w:cs="Arial"/>
          <w:szCs w:val="24"/>
        </w:rPr>
        <w:t>,</w:t>
      </w:r>
      <w:r w:rsidR="00756E5B">
        <w:rPr>
          <w:rFonts w:cs="Arial"/>
          <w:szCs w:val="24"/>
        </w:rPr>
        <w:t xml:space="preserve"> it underscores </w:t>
      </w:r>
      <w:r w:rsidR="003B1FDC">
        <w:rPr>
          <w:rFonts w:cs="Arial"/>
          <w:szCs w:val="24"/>
        </w:rPr>
        <w:t>the case for developing a robust framework for considering circumvention cases and</w:t>
      </w:r>
      <w:r w:rsidR="00013D4E">
        <w:rPr>
          <w:rFonts w:cs="Arial"/>
          <w:szCs w:val="24"/>
        </w:rPr>
        <w:t>,</w:t>
      </w:r>
      <w:r w:rsidR="003B1FDC">
        <w:rPr>
          <w:rFonts w:cs="Arial"/>
          <w:szCs w:val="24"/>
        </w:rPr>
        <w:t xml:space="preserve"> specifically</w:t>
      </w:r>
      <w:r w:rsidR="00013D4E">
        <w:rPr>
          <w:rFonts w:cs="Arial"/>
          <w:szCs w:val="24"/>
        </w:rPr>
        <w:t>,</w:t>
      </w:r>
      <w:r w:rsidR="003B1FDC">
        <w:rPr>
          <w:rFonts w:cs="Arial"/>
          <w:szCs w:val="24"/>
        </w:rPr>
        <w:t xml:space="preserve"> ways in which data and information can be used systematically to ensure that the scope for anti-circumvention actions captures genuine cases of circumvention. </w:t>
      </w:r>
    </w:p>
    <w:p w14:paraId="118E1BAA" w14:textId="77777777" w:rsidR="007103B0" w:rsidRDefault="007103B0" w:rsidP="00F7615F">
      <w:pPr>
        <w:pStyle w:val="NoSpacing"/>
        <w:spacing w:line="360" w:lineRule="auto"/>
        <w:rPr>
          <w:rFonts w:cs="Arial"/>
          <w:szCs w:val="24"/>
        </w:rPr>
        <w:sectPr w:rsidR="007103B0" w:rsidSect="00F21AB1">
          <w:pgSz w:w="11906" w:h="16838"/>
          <w:pgMar w:top="1440" w:right="1440" w:bottom="1440" w:left="1440" w:header="708" w:footer="708" w:gutter="0"/>
          <w:cols w:space="708"/>
          <w:docGrid w:linePitch="360"/>
        </w:sectPr>
      </w:pPr>
    </w:p>
    <w:p w14:paraId="6983452C" w14:textId="4F8201D4" w:rsidR="00EA180E" w:rsidRDefault="00FA1C57" w:rsidP="0B87AE61">
      <w:pPr>
        <w:pStyle w:val="Heading2"/>
        <w:rPr>
          <w:rFonts w:cs="Arial"/>
          <w:b w:val="0"/>
        </w:rPr>
      </w:pPr>
      <w:bookmarkStart w:id="35" w:name="_Toc1010942095"/>
      <w:bookmarkStart w:id="36" w:name="_Toc118465275"/>
      <w:r w:rsidRPr="0B87AE61">
        <w:rPr>
          <w:rFonts w:cs="Arial"/>
        </w:rPr>
        <w:t>3.</w:t>
      </w:r>
      <w:r w:rsidR="008E1F6D" w:rsidRPr="0B87AE61">
        <w:rPr>
          <w:rFonts w:cs="Arial"/>
        </w:rPr>
        <w:t>3</w:t>
      </w:r>
      <w:r>
        <w:tab/>
      </w:r>
      <w:r w:rsidR="00EA180E" w:rsidRPr="0B87AE61">
        <w:rPr>
          <w:rFonts w:cs="Arial"/>
        </w:rPr>
        <w:t>Conclusions on comparative analysis of anti-circumvention frameworks and cases</w:t>
      </w:r>
      <w:bookmarkEnd w:id="35"/>
      <w:bookmarkEnd w:id="36"/>
    </w:p>
    <w:p w14:paraId="4FB56E69" w14:textId="4057BB84" w:rsidR="00EA180E" w:rsidRDefault="00F662E4" w:rsidP="00016CC0">
      <w:r>
        <w:t xml:space="preserve">The </w:t>
      </w:r>
      <w:r w:rsidR="00EA180E">
        <w:t>concept of circumvention of trade remedies and the appropriate way</w:t>
      </w:r>
      <w:r>
        <w:t>s</w:t>
      </w:r>
      <w:r w:rsidR="00EA180E">
        <w:t xml:space="preserve"> to respond to it remain unsettled areas in international trade policy and law, and indeed to some extent at the level of national jurisdictions. Approaches to </w:t>
      </w:r>
      <w:r w:rsidR="001973E6">
        <w:t xml:space="preserve">the issue of </w:t>
      </w:r>
      <w:r w:rsidR="00EA180E">
        <w:t xml:space="preserve">circumvention vary across countries. </w:t>
      </w:r>
      <w:r w:rsidR="004D7160">
        <w:t>In addition,</w:t>
      </w:r>
      <w:r w:rsidR="00756823">
        <w:t xml:space="preserve"> a</w:t>
      </w:r>
      <w:r w:rsidR="000F3981">
        <w:t>pproaches</w:t>
      </w:r>
      <w:r w:rsidR="00EA180E">
        <w:t xml:space="preserve"> have evolved over time within countries in response to developments in trade and jurisprudence specific to the jurisdictions in question. International differences over the question of circumvention largely reflect broader differences in relation to trade remedies. </w:t>
      </w:r>
    </w:p>
    <w:p w14:paraId="00A64F9C" w14:textId="796293D3" w:rsidR="007371B2" w:rsidRDefault="00EA180E" w:rsidP="00016CC0">
      <w:r>
        <w:t xml:space="preserve">Jurisdictions such as the EU and the United States, </w:t>
      </w:r>
      <w:r w:rsidR="004D7160">
        <w:t xml:space="preserve">which </w:t>
      </w:r>
      <w:r>
        <w:t>have a longer history</w:t>
      </w:r>
      <w:r w:rsidR="00FF034C">
        <w:t xml:space="preserve"> than others</w:t>
      </w:r>
      <w:r>
        <w:t xml:space="preserve"> of anti-circumvention action, have historically used trade remedies as a form of contingent protection for industries declining in competitiveness. In the 1980s and 1990s</w:t>
      </w:r>
      <w:r w:rsidR="00913C14">
        <w:t>,</w:t>
      </w:r>
      <w:r>
        <w:t xml:space="preserve"> the focus was on Japan and what were then known as the </w:t>
      </w:r>
      <w:r w:rsidR="006A4F12">
        <w:t>“n</w:t>
      </w:r>
      <w:r>
        <w:t xml:space="preserve">ewly </w:t>
      </w:r>
      <w:r w:rsidR="006A4F12">
        <w:t>i</w:t>
      </w:r>
      <w:r>
        <w:t xml:space="preserve">ndustrialised </w:t>
      </w:r>
      <w:r w:rsidR="006A4F12">
        <w:t>c</w:t>
      </w:r>
      <w:r>
        <w:t>ountries</w:t>
      </w:r>
      <w:r w:rsidR="006A4F12">
        <w:t>”</w:t>
      </w:r>
      <w:r>
        <w:t xml:space="preserve"> in East Asia. </w:t>
      </w:r>
      <w:r w:rsidR="001973E6">
        <w:t>More recently</w:t>
      </w:r>
      <w:r w:rsidR="0078530E">
        <w:t>,</w:t>
      </w:r>
      <w:r>
        <w:t xml:space="preserve"> the focus has been on </w:t>
      </w:r>
      <w:r w:rsidR="002406F0">
        <w:t>PRC</w:t>
      </w:r>
      <w:r w:rsidR="001973E6">
        <w:t xml:space="preserve">, possibly reflecting the expansion of </w:t>
      </w:r>
      <w:r w:rsidR="002406F0">
        <w:t>PRC</w:t>
      </w:r>
      <w:r w:rsidR="001973E6">
        <w:t>’s trade following WTO accession</w:t>
      </w:r>
      <w:r>
        <w:t xml:space="preserve">. The implementation of circumvention measures has largely reflected this focus. </w:t>
      </w:r>
    </w:p>
    <w:p w14:paraId="4AAF33D9" w14:textId="108E5541" w:rsidR="00EA180E" w:rsidRPr="007371B2" w:rsidRDefault="00F662E4" w:rsidP="00016CC0">
      <w:r>
        <w:t xml:space="preserve">This broader context needs to be taken into account </w:t>
      </w:r>
      <w:r w:rsidR="004D7160">
        <w:t xml:space="preserve">as </w:t>
      </w:r>
      <w:r>
        <w:t>it conditions the focus of attention on the part of authorities</w:t>
      </w:r>
      <w:r w:rsidR="007371B2">
        <w:t xml:space="preserve"> and inevitably shapes their determinations given the role played by qualitative judgements in making determinations. Moreover, as demonstrated </w:t>
      </w:r>
      <w:r w:rsidR="007371B2" w:rsidRPr="007371B2">
        <w:t xml:space="preserve">by the comparative analysis of the </w:t>
      </w:r>
      <w:r w:rsidR="00403A85">
        <w:t>United States</w:t>
      </w:r>
      <w:r w:rsidR="007371B2">
        <w:t xml:space="preserve"> and the EU, the types of </w:t>
      </w:r>
      <w:r w:rsidR="00EF0648">
        <w:t xml:space="preserve">detected </w:t>
      </w:r>
      <w:r w:rsidR="007371B2">
        <w:t xml:space="preserve">circumvention are </w:t>
      </w:r>
      <w:r w:rsidR="00FF034C">
        <w:t>significantly</w:t>
      </w:r>
      <w:r w:rsidR="007371B2">
        <w:t xml:space="preserve"> influenced by the institutional context. The legal adage that process determines outcome holds in the context of circumvention investigations</w:t>
      </w:r>
      <w:r w:rsidR="00FF034C">
        <w:t xml:space="preserve"> (and trade remedies more broadly)</w:t>
      </w:r>
      <w:r w:rsidR="007371B2">
        <w:t xml:space="preserve">. </w:t>
      </w:r>
    </w:p>
    <w:p w14:paraId="3DF18261" w14:textId="7A666CC7" w:rsidR="00EA180E" w:rsidRDefault="00EA180E" w:rsidP="00016CC0">
      <w:r w:rsidRPr="5D342C9F">
        <w:t xml:space="preserve">The </w:t>
      </w:r>
      <w:r w:rsidR="007371B2" w:rsidRPr="5D342C9F">
        <w:t>main</w:t>
      </w:r>
      <w:r w:rsidRPr="5D342C9F">
        <w:t xml:space="preserve"> question, from the perspective of this report, is what this mean</w:t>
      </w:r>
      <w:r w:rsidR="00435F0D">
        <w:t>s</w:t>
      </w:r>
      <w:r w:rsidRPr="5D342C9F">
        <w:t xml:space="preserve"> for the UK</w:t>
      </w:r>
      <w:r w:rsidR="00814F80">
        <w:t>,</w:t>
      </w:r>
      <w:r w:rsidRPr="5D342C9F">
        <w:t xml:space="preserve"> which</w:t>
      </w:r>
      <w:r w:rsidR="007371B2" w:rsidRPr="5D342C9F">
        <w:t xml:space="preserve"> finds itself in a unique situation</w:t>
      </w:r>
      <w:r w:rsidR="00814F80">
        <w:t>.</w:t>
      </w:r>
      <w:r w:rsidR="007371B2" w:rsidRPr="5D342C9F">
        <w:t xml:space="preserve"> </w:t>
      </w:r>
      <w:r w:rsidR="00814F80">
        <w:t>I</w:t>
      </w:r>
      <w:r w:rsidR="007371B2" w:rsidRPr="5D342C9F">
        <w:t>t</w:t>
      </w:r>
      <w:r w:rsidRPr="5D342C9F">
        <w:t xml:space="preserve"> is a newcomer to circumvention insofar as it has only recently acquired</w:t>
      </w:r>
      <w:r w:rsidR="00715D7F">
        <w:t xml:space="preserve"> formal</w:t>
      </w:r>
      <w:r w:rsidRPr="5D342C9F">
        <w:t xml:space="preserve"> competenc</w:t>
      </w:r>
      <w:r w:rsidR="00715D7F">
        <w:t>es</w:t>
      </w:r>
      <w:r w:rsidRPr="5D342C9F">
        <w:t xml:space="preserve"> in relation to trade remedies, </w:t>
      </w:r>
      <w:r w:rsidR="007371B2" w:rsidRPr="5D342C9F">
        <w:t xml:space="preserve">but it </w:t>
      </w:r>
      <w:r w:rsidRPr="5D342C9F">
        <w:t>has also</w:t>
      </w:r>
      <w:r w:rsidR="00C35BC0">
        <w:t xml:space="preserve"> </w:t>
      </w:r>
      <w:r w:rsidR="00814F80">
        <w:t xml:space="preserve">adopted </w:t>
      </w:r>
      <w:r w:rsidR="00E62631">
        <w:t>a similar</w:t>
      </w:r>
      <w:r w:rsidRPr="5D342C9F">
        <w:t xml:space="preserve"> approach to </w:t>
      </w:r>
      <w:r w:rsidR="00E62631">
        <w:t xml:space="preserve">the EU’s on </w:t>
      </w:r>
      <w:r w:rsidRPr="5D342C9F">
        <w:t>trade remedies and circumvention</w:t>
      </w:r>
      <w:r w:rsidR="004D7160">
        <w:t>,</w:t>
      </w:r>
      <w:r w:rsidRPr="5D342C9F">
        <w:t xml:space="preserve"> in particular.</w:t>
      </w:r>
      <w:r w:rsidR="00814F80">
        <w:t xml:space="preserve"> Moreover, it has some experience of trade remedies via its prior dealings with the EC.</w:t>
      </w:r>
      <w:r w:rsidRPr="5D342C9F">
        <w:t xml:space="preserve"> There are several points already made in this analysis that are worth reiterating.</w:t>
      </w:r>
    </w:p>
    <w:p w14:paraId="2718ACB2" w14:textId="5A1D51DA" w:rsidR="00EA180E" w:rsidRDefault="00EA180E" w:rsidP="00016CC0">
      <w:r>
        <w:t>First</w:t>
      </w:r>
      <w:r w:rsidR="004D7160">
        <w:t>ly</w:t>
      </w:r>
      <w:r w:rsidR="00F458E1">
        <w:t>,</w:t>
      </w:r>
      <w:r>
        <w:t xml:space="preserve"> the key challenge is to distinguish between circumvention</w:t>
      </w:r>
      <w:r w:rsidR="006A4F12">
        <w:t xml:space="preserve"> </w:t>
      </w:r>
      <w:r>
        <w:t>and legitimate causes of change to trade patterns. That objective is reflected in the</w:t>
      </w:r>
      <w:r w:rsidR="00FF034C">
        <w:t xml:space="preserve"> UK’s</w:t>
      </w:r>
      <w:r>
        <w:t xml:space="preserve"> legal framework </w:t>
      </w:r>
      <w:r w:rsidR="00FF034C">
        <w:t>(</w:t>
      </w:r>
      <w:r>
        <w:t>and in the EU’s</w:t>
      </w:r>
      <w:r w:rsidR="00FF034C">
        <w:t>)</w:t>
      </w:r>
      <w:r>
        <w:t xml:space="preserve"> specifically through a series of steps: observed changes to the pattern of trade; threshold tests in the case of </w:t>
      </w:r>
      <w:r w:rsidR="00F46CDF">
        <w:t>third</w:t>
      </w:r>
      <w:r w:rsidR="004D7160">
        <w:t>-</w:t>
      </w:r>
      <w:r>
        <w:t>country operations; and the notion of legitimate due cause. From an economic perspective</w:t>
      </w:r>
      <w:r w:rsidR="007371B2">
        <w:t>,</w:t>
      </w:r>
      <w:r>
        <w:t xml:space="preserve"> correctly discerning circumvention is challenging in an informationally constrained environment and in a world </w:t>
      </w:r>
      <w:r w:rsidR="00F46CDF">
        <w:t xml:space="preserve">with </w:t>
      </w:r>
      <w:r>
        <w:t>complex, fragmented and internationalised supply chains. Moreover, the main tests proposed by the legal framework may be biased</w:t>
      </w:r>
      <w:r w:rsidR="00000370">
        <w:t>,</w:t>
      </w:r>
      <w:r>
        <w:t xml:space="preserve"> in the sense that they reflect a greater tolerance of the risk of finding false positives than of </w:t>
      </w:r>
      <w:r w:rsidR="00262B5E">
        <w:t xml:space="preserve">finding </w:t>
      </w:r>
      <w:r>
        <w:t xml:space="preserve">false negatives. </w:t>
      </w:r>
      <w:r w:rsidR="001973E6">
        <w:t xml:space="preserve">This is despite the fact that </w:t>
      </w:r>
      <w:r w:rsidR="004D7160">
        <w:t xml:space="preserve">the </w:t>
      </w:r>
      <w:r>
        <w:t xml:space="preserve">economic costs of the former are </w:t>
      </w:r>
      <w:r w:rsidR="00814F80">
        <w:t xml:space="preserve">likely </w:t>
      </w:r>
      <w:r>
        <w:t xml:space="preserve">higher than the latter, given that the broader economic costs of trade remedies are at best similar to those of standard tariff protection. </w:t>
      </w:r>
    </w:p>
    <w:p w14:paraId="26A70A9E" w14:textId="16F98F5D" w:rsidR="00834325" w:rsidRDefault="00EA180E" w:rsidP="00016CC0">
      <w:r w:rsidRPr="60D23EEB">
        <w:t>Secondly, authorities use multiple sources of evidence in reaching a determination in circumvention cases.</w:t>
      </w:r>
      <w:r w:rsidR="004E6DA2" w:rsidRPr="60D23EEB">
        <w:t xml:space="preserve"> </w:t>
      </w:r>
      <w:r w:rsidR="004F3CAC" w:rsidRPr="60D23EEB">
        <w:t>Such mixed</w:t>
      </w:r>
      <w:r w:rsidR="004D7160">
        <w:t>-</w:t>
      </w:r>
      <w:r w:rsidR="004F3CAC" w:rsidRPr="60D23EEB">
        <w:t xml:space="preserve">methods approaches are common in legal proceedings and more broadly in </w:t>
      </w:r>
      <w:r w:rsidR="004E6DA2" w:rsidRPr="60D23EEB">
        <w:t xml:space="preserve">certain </w:t>
      </w:r>
      <w:r w:rsidR="004F3CAC" w:rsidRPr="60D23EEB">
        <w:t>empirical research settings</w:t>
      </w:r>
      <w:r w:rsidR="004E6DA2" w:rsidRPr="60D23EEB">
        <w:t xml:space="preserve"> that cannot rely on controlled experiments</w:t>
      </w:r>
      <w:r w:rsidR="004F3CAC" w:rsidRPr="60D23EEB">
        <w:t xml:space="preserve">. </w:t>
      </w:r>
      <w:r w:rsidR="004E6DA2" w:rsidRPr="60D23EEB">
        <w:t>As observed earlier, anti-circumvention cases are an art</w:t>
      </w:r>
      <w:r w:rsidR="00231373" w:rsidRPr="60D23EEB">
        <w:t>.</w:t>
      </w:r>
      <w:r w:rsidR="004E6DA2" w:rsidRPr="60D23EEB">
        <w:t xml:space="preserve"> </w:t>
      </w:r>
      <w:r w:rsidRPr="60D23EEB">
        <w:t>Given the broad objectives of predictability and transparency that have traditionally been at the core of trade governance over the last seven decades, the key challenge is to ensure that the synthesis of the evidence is done in a way that is empirically robust.</w:t>
      </w:r>
    </w:p>
    <w:p w14:paraId="4D519AE0" w14:textId="01386BA3" w:rsidR="00EA180E" w:rsidRDefault="00EA180E" w:rsidP="00016CC0">
      <w:r w:rsidRPr="60D23EEB">
        <w:t>Key steps</w:t>
      </w:r>
      <w:r w:rsidR="00D553DE">
        <w:t xml:space="preserve"> for the TRA to consider</w:t>
      </w:r>
      <w:r w:rsidRPr="60D23EEB">
        <w:t xml:space="preserve"> include: (i) </w:t>
      </w:r>
      <w:r w:rsidR="00D553DE">
        <w:t xml:space="preserve">ensuring the </w:t>
      </w:r>
      <w:r w:rsidRPr="60D23EEB">
        <w:t>rigour of analysis using trade data, especially</w:t>
      </w:r>
      <w:r w:rsidR="004F3CAC" w:rsidRPr="60D23EEB">
        <w:t xml:space="preserve"> the extent to which factors other than trade remedies are controlled for</w:t>
      </w:r>
      <w:r w:rsidR="00BB1684" w:rsidRPr="60D23EEB">
        <w:t>;</w:t>
      </w:r>
      <w:r w:rsidR="004F3CAC" w:rsidRPr="60D23EEB">
        <w:t xml:space="preserve"> (ii)</w:t>
      </w:r>
      <w:r w:rsidR="00D553DE">
        <w:t xml:space="preserve"> develop</w:t>
      </w:r>
      <w:r w:rsidR="001973E6">
        <w:t>ing</w:t>
      </w:r>
      <w:r w:rsidR="00D553DE">
        <w:t xml:space="preserve"> an</w:t>
      </w:r>
      <w:r w:rsidR="004F3CAC" w:rsidRPr="60D23EEB">
        <w:t xml:space="preserve"> understanding </w:t>
      </w:r>
      <w:r w:rsidR="00A12C67">
        <w:t xml:space="preserve">of </w:t>
      </w:r>
      <w:r w:rsidR="004F3CAC" w:rsidRPr="60D23EEB">
        <w:t xml:space="preserve">patterns of industrial organisation through a combination of official data, data from inquiries and </w:t>
      </w:r>
      <w:r w:rsidR="00A46009" w:rsidRPr="60D23EEB">
        <w:t>on</w:t>
      </w:r>
      <w:r w:rsidR="00FF034C" w:rsidRPr="60D23EEB">
        <w:t>-</w:t>
      </w:r>
      <w:r w:rsidR="00A46009" w:rsidRPr="60D23EEB">
        <w:t>site inspections</w:t>
      </w:r>
      <w:r w:rsidR="004F3CAC" w:rsidRPr="60D23EEB">
        <w:t>, and from expert sources</w:t>
      </w:r>
      <w:r w:rsidR="00FF034C" w:rsidRPr="60D23EEB">
        <w:t>;</w:t>
      </w:r>
      <w:r w:rsidR="004F3CAC" w:rsidRPr="60D23EEB">
        <w:t xml:space="preserve"> </w:t>
      </w:r>
      <w:r w:rsidR="00FF034C" w:rsidRPr="60D23EEB">
        <w:t xml:space="preserve">and </w:t>
      </w:r>
      <w:r w:rsidR="004F3CAC" w:rsidRPr="60D23EEB">
        <w:t xml:space="preserve">(iii) </w:t>
      </w:r>
      <w:r w:rsidR="00A46009" w:rsidRPr="60D23EEB">
        <w:t>developing a framework for weighing evidence. A</w:t>
      </w:r>
      <w:r w:rsidR="004A6E70">
        <w:t>n</w:t>
      </w:r>
      <w:r w:rsidR="00A46009" w:rsidRPr="60D23EEB">
        <w:t xml:space="preserve"> EU-type framework facilitates this because of its stepped approach and thresholds. At the same time, at the “insufficient due cause” step, authorities will be typically called to weigh evidence presented to them by respondents and their own evidence</w:t>
      </w:r>
      <w:r w:rsidR="007044C6">
        <w:t>,</w:t>
      </w:r>
      <w:r w:rsidR="00A46009" w:rsidRPr="60D23EEB">
        <w:t xml:space="preserve"> which will be a mix of quantitative and qualitative evidence. These points will be the objective of the next </w:t>
      </w:r>
      <w:r w:rsidR="00000370">
        <w:t>section</w:t>
      </w:r>
      <w:r w:rsidR="00000370" w:rsidRPr="60D23EEB">
        <w:t xml:space="preserve"> </w:t>
      </w:r>
      <w:r w:rsidR="00A46009" w:rsidRPr="60D23EEB">
        <w:t xml:space="preserve">of this analysis. </w:t>
      </w:r>
      <w:r w:rsidR="004F3CAC" w:rsidRPr="60D23EEB">
        <w:t xml:space="preserve"> </w:t>
      </w:r>
      <w:r w:rsidRPr="60D23EEB">
        <w:t xml:space="preserve"> </w:t>
      </w:r>
    </w:p>
    <w:p w14:paraId="49DE9577" w14:textId="76BBDDE1" w:rsidR="00EA180E" w:rsidRDefault="00A46009" w:rsidP="00016CC0">
      <w:r w:rsidRPr="60D23EEB">
        <w:t>Thirdly</w:t>
      </w:r>
      <w:r w:rsidR="00BB1684" w:rsidRPr="60D23EEB">
        <w:t>,</w:t>
      </w:r>
      <w:r w:rsidRPr="60D23EEB">
        <w:t xml:space="preserve"> a key issue is the optimal allocation of limited resources to support the sort of empirical framework outlined above. One of the advantages for the UK </w:t>
      </w:r>
      <w:r w:rsidR="00D60D22">
        <w:t>is</w:t>
      </w:r>
      <w:r w:rsidR="00D60D22" w:rsidRPr="60D23EEB">
        <w:t xml:space="preserve"> </w:t>
      </w:r>
      <w:r w:rsidRPr="60D23EEB">
        <w:t xml:space="preserve">its similarities with the EU, both in trade and in legal frameworks for </w:t>
      </w:r>
      <w:r w:rsidR="003362A5">
        <w:t>circumvention</w:t>
      </w:r>
      <w:r w:rsidRPr="60D23EEB">
        <w:t>, mean</w:t>
      </w:r>
      <w:r w:rsidR="000931CF" w:rsidRPr="60D23EEB">
        <w:t>ing</w:t>
      </w:r>
      <w:r w:rsidRPr="60D23EEB">
        <w:t xml:space="preserve"> it can draw on the EU’s experience as a guide. For example, </w:t>
      </w:r>
      <w:r w:rsidR="000931CF" w:rsidRPr="60D23EEB">
        <w:t>the UK</w:t>
      </w:r>
      <w:r w:rsidRPr="60D23EEB">
        <w:t xml:space="preserve"> can refer to the broad product classes that are typically the focus of EU anti-circumvention action</w:t>
      </w:r>
      <w:r w:rsidR="00C778FB">
        <w:t>s</w:t>
      </w:r>
      <w:r w:rsidRPr="60D23EEB">
        <w:t xml:space="preserve">, modes of circumvention and geographic channels, notably the “circumvention hub” that is observable in South and </w:t>
      </w:r>
      <w:r w:rsidR="00F110AE">
        <w:t>South-East</w:t>
      </w:r>
      <w:r w:rsidR="00F662E4" w:rsidRPr="60D23EEB">
        <w:t xml:space="preserve"> Asia. Our research on that front suggests </w:t>
      </w:r>
      <w:r w:rsidR="003362A5">
        <w:t>the possibility of developing a risk</w:t>
      </w:r>
      <w:r w:rsidR="003362A5" w:rsidRPr="00573DDB">
        <w:t>-b</w:t>
      </w:r>
      <w:r w:rsidR="003362A5">
        <w:t xml:space="preserve">ased approach </w:t>
      </w:r>
      <w:r w:rsidR="00000370">
        <w:t>which</w:t>
      </w:r>
      <w:r w:rsidR="00D60D22" w:rsidRPr="60D23EEB">
        <w:t xml:space="preserve"> </w:t>
      </w:r>
      <w:r w:rsidR="00F662E4" w:rsidRPr="60D23EEB">
        <w:t>could take account</w:t>
      </w:r>
      <w:r w:rsidR="00D60D22">
        <w:t xml:space="preserve"> of</w:t>
      </w:r>
      <w:r w:rsidR="00F662E4" w:rsidRPr="60D23EEB">
        <w:t xml:space="preserve"> both trade and non-trade factors, including indicators of governance and administrative capacity and linguistic and cultural proximity.</w:t>
      </w:r>
      <w:r w:rsidR="003362A5">
        <w:t xml:space="preserve"> That would help to prioritise cases in which circumvention risk is more material. </w:t>
      </w:r>
    </w:p>
    <w:p w14:paraId="0FC79E93" w14:textId="258E3F77" w:rsidR="00EA180E" w:rsidRDefault="007371B2" w:rsidP="00016CC0">
      <w:r>
        <w:t xml:space="preserve">The next </w:t>
      </w:r>
      <w:r w:rsidR="0093380E">
        <w:t xml:space="preserve">section of the report presents </w:t>
      </w:r>
      <w:r>
        <w:t xml:space="preserve">a methodological toolkit, with the objective of strengthening the robustness of the economic analysis </w:t>
      </w:r>
      <w:r w:rsidR="00000370">
        <w:t xml:space="preserve">which </w:t>
      </w:r>
      <w:r>
        <w:t>underpin</w:t>
      </w:r>
      <w:r w:rsidR="00000370">
        <w:t>s</w:t>
      </w:r>
      <w:r>
        <w:t xml:space="preserve"> circumvention </w:t>
      </w:r>
      <w:r w:rsidR="001973E6">
        <w:t>investigations</w:t>
      </w:r>
      <w:r>
        <w:t>, taking account</w:t>
      </w:r>
      <w:r w:rsidR="00D60D22">
        <w:t xml:space="preserve"> of</w:t>
      </w:r>
      <w:r>
        <w:t xml:space="preserve"> the specific characteristics of the UK.</w:t>
      </w:r>
    </w:p>
    <w:p w14:paraId="41F60E6D" w14:textId="77777777" w:rsidR="00EA180E" w:rsidRDefault="00EA180E" w:rsidP="00F7615F">
      <w:pPr>
        <w:pStyle w:val="NoSpacing"/>
        <w:spacing w:line="360" w:lineRule="auto"/>
        <w:rPr>
          <w:rFonts w:cs="Arial"/>
          <w:szCs w:val="24"/>
        </w:rPr>
      </w:pPr>
    </w:p>
    <w:p w14:paraId="09D28EC2" w14:textId="77777777" w:rsidR="00723906" w:rsidRDefault="00723906" w:rsidP="00F7615F">
      <w:pPr>
        <w:pStyle w:val="NoSpacing"/>
        <w:spacing w:line="360" w:lineRule="auto"/>
        <w:rPr>
          <w:rFonts w:cs="Arial"/>
          <w:szCs w:val="24"/>
        </w:rPr>
        <w:sectPr w:rsidR="00723906" w:rsidSect="00F21AB1">
          <w:pgSz w:w="11906" w:h="16838"/>
          <w:pgMar w:top="1440" w:right="1440" w:bottom="1440" w:left="1440" w:header="708" w:footer="708" w:gutter="0"/>
          <w:cols w:space="708"/>
          <w:docGrid w:linePitch="360"/>
        </w:sectPr>
      </w:pPr>
    </w:p>
    <w:p w14:paraId="4A1396AC" w14:textId="3F8A7241" w:rsidR="00723906" w:rsidRPr="003E0A7C" w:rsidRDefault="00FA1C57" w:rsidP="0B87AE61">
      <w:pPr>
        <w:pStyle w:val="Heading1"/>
        <w:rPr>
          <w:rFonts w:cs="Arial"/>
          <w:b w:val="0"/>
        </w:rPr>
      </w:pPr>
      <w:bookmarkStart w:id="37" w:name="_Toc2105185908"/>
      <w:bookmarkStart w:id="38" w:name="_Toc118465276"/>
      <w:r w:rsidRPr="0B87AE61">
        <w:rPr>
          <w:rFonts w:cs="Arial"/>
        </w:rPr>
        <w:t>4</w:t>
      </w:r>
      <w:r>
        <w:tab/>
      </w:r>
      <w:r w:rsidR="00723906" w:rsidRPr="0B87AE61">
        <w:rPr>
          <w:rFonts w:cs="Arial"/>
        </w:rPr>
        <w:t xml:space="preserve">Data resources and </w:t>
      </w:r>
      <w:r w:rsidR="004A21BA" w:rsidRPr="0B87AE61">
        <w:rPr>
          <w:rFonts w:cs="Arial"/>
        </w:rPr>
        <w:t>methodologies</w:t>
      </w:r>
      <w:r w:rsidR="00723906" w:rsidRPr="0B87AE61">
        <w:rPr>
          <w:rFonts w:cs="Arial"/>
        </w:rPr>
        <w:t xml:space="preserve"> for assessing circumvention</w:t>
      </w:r>
      <w:bookmarkEnd w:id="37"/>
      <w:bookmarkEnd w:id="38"/>
    </w:p>
    <w:p w14:paraId="0B233DAD" w14:textId="5D34CE8B" w:rsidR="004A21BA" w:rsidRDefault="00FA1C57" w:rsidP="0B87AE61">
      <w:pPr>
        <w:pStyle w:val="Heading2"/>
        <w:rPr>
          <w:rFonts w:cs="Arial"/>
          <w:b w:val="0"/>
        </w:rPr>
      </w:pPr>
      <w:bookmarkStart w:id="39" w:name="_Toc151665833"/>
      <w:bookmarkStart w:id="40" w:name="_Toc118465277"/>
      <w:r w:rsidRPr="0B87AE61">
        <w:rPr>
          <w:rFonts w:cs="Arial"/>
        </w:rPr>
        <w:t>4.1</w:t>
      </w:r>
      <w:r>
        <w:tab/>
      </w:r>
      <w:r w:rsidR="004A21BA" w:rsidRPr="0B87AE61">
        <w:rPr>
          <w:rFonts w:cs="Arial"/>
        </w:rPr>
        <w:t>Introduction</w:t>
      </w:r>
      <w:bookmarkEnd w:id="39"/>
      <w:bookmarkEnd w:id="40"/>
    </w:p>
    <w:p w14:paraId="5B9EBC1D" w14:textId="4747FF81" w:rsidR="004A21BA" w:rsidRPr="004A21BA" w:rsidRDefault="004A21BA" w:rsidP="00016CC0">
      <w:r w:rsidRPr="004A21BA">
        <w:t>The second major phase of work draws on the findings of the country reviews to develop a toolkit for addressing circumvention cases</w:t>
      </w:r>
      <w:r>
        <w:t xml:space="preserve"> in the UK’s specific context</w:t>
      </w:r>
      <w:r w:rsidRPr="004A21BA">
        <w:t>. Key questions include:</w:t>
      </w:r>
    </w:p>
    <w:p w14:paraId="3F65CFC9" w14:textId="19E65ECC" w:rsidR="004A21BA" w:rsidRPr="00573DDB" w:rsidRDefault="004A21BA" w:rsidP="00573DDB">
      <w:pPr>
        <w:pStyle w:val="NoSpacing"/>
        <w:numPr>
          <w:ilvl w:val="0"/>
          <w:numId w:val="14"/>
        </w:numPr>
        <w:spacing w:line="360" w:lineRule="auto"/>
        <w:rPr>
          <w:rFonts w:cs="Arial"/>
        </w:rPr>
      </w:pPr>
      <w:r w:rsidRPr="47034FF4">
        <w:rPr>
          <w:rFonts w:cs="Arial"/>
        </w:rPr>
        <w:t xml:space="preserve">In light of trends in circumvention, what are the major data and information sources that can be used to understand the extent of different types of circumvention? </w:t>
      </w:r>
      <w:r w:rsidR="009958C5" w:rsidRPr="47034FF4">
        <w:rPr>
          <w:rFonts w:cs="Arial"/>
        </w:rPr>
        <w:t xml:space="preserve">Authorities typically use a mix of sources to form an overall understanding of circumvention cases. </w:t>
      </w:r>
      <w:r w:rsidRPr="47034FF4">
        <w:rPr>
          <w:rFonts w:cs="Arial"/>
        </w:rPr>
        <w:t>We specifically</w:t>
      </w:r>
      <w:r w:rsidR="003D1110">
        <w:rPr>
          <w:rFonts w:cs="Arial"/>
        </w:rPr>
        <w:t xml:space="preserve"> consider</w:t>
      </w:r>
      <w:r w:rsidRPr="47034FF4">
        <w:rPr>
          <w:rFonts w:cs="Arial"/>
        </w:rPr>
        <w:t xml:space="preserve"> their usability in the context of circumvention investigations, taking account </w:t>
      </w:r>
      <w:r w:rsidR="002347E1">
        <w:rPr>
          <w:rFonts w:cs="Arial"/>
        </w:rPr>
        <w:t xml:space="preserve">of </w:t>
      </w:r>
      <w:r w:rsidRPr="47034FF4">
        <w:rPr>
          <w:rFonts w:cs="Arial"/>
        </w:rPr>
        <w:t>the legal and institutional frameworks for investigations</w:t>
      </w:r>
      <w:r w:rsidR="0063739B" w:rsidRPr="47034FF4">
        <w:rPr>
          <w:rFonts w:cs="Arial"/>
        </w:rPr>
        <w:t>.</w:t>
      </w:r>
    </w:p>
    <w:p w14:paraId="0DABA152" w14:textId="078DF266" w:rsidR="009958C5" w:rsidRPr="00573DDB" w:rsidRDefault="004A21BA" w:rsidP="00511166">
      <w:pPr>
        <w:pStyle w:val="NoSpacing"/>
        <w:numPr>
          <w:ilvl w:val="0"/>
          <w:numId w:val="14"/>
        </w:numPr>
        <w:spacing w:after="240" w:line="360" w:lineRule="auto"/>
        <w:ind w:left="357" w:hanging="357"/>
        <w:rPr>
          <w:rFonts w:cs="Arial"/>
        </w:rPr>
      </w:pPr>
      <w:r w:rsidRPr="47034FF4">
        <w:rPr>
          <w:rFonts w:cs="Arial"/>
        </w:rPr>
        <w:t>What methodologies can be applied to these sources? The country reviews suggests that</w:t>
      </w:r>
      <w:r w:rsidR="009958C5" w:rsidRPr="47034FF4">
        <w:rPr>
          <w:rFonts w:cs="Arial"/>
        </w:rPr>
        <w:t xml:space="preserve"> </w:t>
      </w:r>
      <w:r w:rsidR="003D1110" w:rsidRPr="47034FF4">
        <w:rPr>
          <w:rFonts w:cs="Arial"/>
        </w:rPr>
        <w:t>authorities</w:t>
      </w:r>
      <w:r w:rsidR="003D1110" w:rsidRPr="47034FF4" w:rsidDel="00535FF4">
        <w:rPr>
          <w:rFonts w:cs="Arial"/>
        </w:rPr>
        <w:t xml:space="preserve"> </w:t>
      </w:r>
      <w:r w:rsidR="003D1110">
        <w:rPr>
          <w:rFonts w:cs="Arial"/>
        </w:rPr>
        <w:t>have</w:t>
      </w:r>
      <w:r w:rsidR="009958C5" w:rsidRPr="47034FF4">
        <w:rPr>
          <w:rFonts w:cs="Arial"/>
        </w:rPr>
        <w:t xml:space="preserve"> significant discretion in their treatment of this evidence. A key question is therefore to what extent can the robustness of decisions made via the weighting of different sources of evidence be increased? In particular, what is the proportionate gain in robustness relative to resource costs in using more formal analytical methods, particularly in relation to time series data?</w:t>
      </w:r>
    </w:p>
    <w:p w14:paraId="30962C01" w14:textId="1D96E84C" w:rsidR="004A21BA" w:rsidRDefault="004A21BA" w:rsidP="00016CC0">
      <w:r>
        <w:t>The section is structured as follows</w:t>
      </w:r>
      <w:r w:rsidR="002347E1">
        <w:t xml:space="preserve">. </w:t>
      </w:r>
      <w:r w:rsidR="003252B2" w:rsidRPr="003252B2">
        <w:t>We begin with an</w:t>
      </w:r>
      <w:r w:rsidR="003252B2">
        <w:t xml:space="preserve"> anal</w:t>
      </w:r>
      <w:r w:rsidR="003252B2" w:rsidRPr="00573DDB">
        <w:t>ys</w:t>
      </w:r>
      <w:r w:rsidR="003252B2">
        <w:t xml:space="preserve">is of </w:t>
      </w:r>
      <w:r w:rsidR="002F78F9">
        <w:t xml:space="preserve">two main types of </w:t>
      </w:r>
      <w:r w:rsidR="003252B2">
        <w:t>data sources</w:t>
      </w:r>
      <w:r w:rsidR="002F78F9">
        <w:t>,</w:t>
      </w:r>
      <w:r w:rsidR="003252B2">
        <w:t xml:space="preserve"> trade data and production data. Trade data </w:t>
      </w:r>
      <w:r w:rsidR="001D63BF">
        <w:t>is</w:t>
      </w:r>
      <w:r w:rsidR="009B66E0">
        <w:t xml:space="preserve"> </w:t>
      </w:r>
      <w:r w:rsidR="003252B2">
        <w:t xml:space="preserve">required in order to assess whether there has been a change in the pattern of trade as a result of the imposition of trade remedies. Production data, as observed in preceding sections, </w:t>
      </w:r>
      <w:r w:rsidR="00342676">
        <w:t xml:space="preserve">has </w:t>
      </w:r>
      <w:r w:rsidR="003252B2">
        <w:t>an important role to play in determining whether any change is attributable to circumvention activities. Production data, in the sense used here</w:t>
      </w:r>
      <w:r w:rsidR="00342676">
        <w:t>,</w:t>
      </w:r>
      <w:r w:rsidR="003252B2">
        <w:t xml:space="preserve"> includes data on output value and volumes. </w:t>
      </w:r>
      <w:r w:rsidR="00342676">
        <w:t xml:space="preserve">It </w:t>
      </w:r>
      <w:r w:rsidR="003252B2">
        <w:t>also include</w:t>
      </w:r>
      <w:r w:rsidR="00342676">
        <w:t>s</w:t>
      </w:r>
      <w:r w:rsidR="003252B2">
        <w:t xml:space="preserve"> financial information</w:t>
      </w:r>
      <w:r w:rsidR="005C06A4">
        <w:t xml:space="preserve"> </w:t>
      </w:r>
      <w:r w:rsidR="003252B2">
        <w:t xml:space="preserve">on the costs of production. </w:t>
      </w:r>
      <w:r w:rsidR="00342676">
        <w:t xml:space="preserve">Following our consideration of these data sources, we </w:t>
      </w:r>
      <w:r w:rsidR="00950F7D">
        <w:t>then set out the toolkit for assessing circumvention, supported by a proof of concept</w:t>
      </w:r>
      <w:r w:rsidR="00135EF1">
        <w:t>.</w:t>
      </w:r>
      <w:r w:rsidR="003252B2">
        <w:t xml:space="preserve"> The proof of concept draws on products that have been the subject of circumvention inquiries. The role of the proof of concept is to examine how different data sources can be used to reinforce the evidence base, their limitations and how quantitative and qualitative evidence can be considered. </w:t>
      </w:r>
    </w:p>
    <w:p w14:paraId="135C3523" w14:textId="73ECEDA4" w:rsidR="004B54E1" w:rsidRDefault="00FA1C57" w:rsidP="0B87AE61">
      <w:pPr>
        <w:pStyle w:val="Heading2"/>
        <w:rPr>
          <w:rFonts w:cs="Arial"/>
          <w:b w:val="0"/>
        </w:rPr>
      </w:pPr>
      <w:bookmarkStart w:id="41" w:name="_Toc518829179"/>
      <w:bookmarkStart w:id="42" w:name="_Toc118465278"/>
      <w:r w:rsidRPr="0B87AE61">
        <w:rPr>
          <w:rFonts w:cs="Arial"/>
        </w:rPr>
        <w:t>4.2</w:t>
      </w:r>
      <w:r>
        <w:tab/>
      </w:r>
      <w:r w:rsidR="004B54E1" w:rsidRPr="0B87AE61">
        <w:rPr>
          <w:rFonts w:cs="Arial"/>
        </w:rPr>
        <w:t>Review of trade data sources</w:t>
      </w:r>
      <w:bookmarkEnd w:id="41"/>
      <w:bookmarkEnd w:id="42"/>
    </w:p>
    <w:p w14:paraId="58D82B96" w14:textId="4506CE84" w:rsidR="00A469DC" w:rsidRPr="00834C11" w:rsidRDefault="00FA1C57" w:rsidP="0B87AE61">
      <w:pPr>
        <w:pStyle w:val="Heading3"/>
        <w:rPr>
          <w:rFonts w:cs="Arial"/>
          <w:b w:val="0"/>
        </w:rPr>
      </w:pPr>
      <w:bookmarkStart w:id="43" w:name="_Toc1339652495"/>
      <w:bookmarkStart w:id="44" w:name="_Toc118465279"/>
      <w:r w:rsidRPr="0B87AE61">
        <w:rPr>
          <w:rFonts w:cs="Arial"/>
        </w:rPr>
        <w:t>4.2.1</w:t>
      </w:r>
      <w:r>
        <w:tab/>
      </w:r>
      <w:r w:rsidR="00A469DC" w:rsidRPr="0B87AE61">
        <w:rPr>
          <w:rFonts w:cs="Arial"/>
        </w:rPr>
        <w:t>Context</w:t>
      </w:r>
      <w:bookmarkEnd w:id="43"/>
      <w:bookmarkEnd w:id="44"/>
    </w:p>
    <w:p w14:paraId="1CD32FE8" w14:textId="77777777" w:rsidR="006E706D" w:rsidRDefault="006E706D" w:rsidP="00016CC0">
      <w:r w:rsidRPr="00A469DC">
        <w:t>A threshold condition for initiating investigations is</w:t>
      </w:r>
      <w:r>
        <w:t xml:space="preserve"> to establish whether there has been</w:t>
      </w:r>
      <w:r w:rsidRPr="00A469DC">
        <w:t xml:space="preserve"> a change in the pattern of trade</w:t>
      </w:r>
      <w:r>
        <w:t xml:space="preserve"> following the imposition of trade remedies (or the initiation of investigations).</w:t>
      </w:r>
      <w:r w:rsidRPr="00A469DC">
        <w:t xml:space="preserve"> The first source of data for this is national trade data. The EU relies on Eurostat trade data, comple</w:t>
      </w:r>
      <w:r>
        <w:t>m</w:t>
      </w:r>
      <w:r w:rsidRPr="00A469DC">
        <w:t>e</w:t>
      </w:r>
      <w:r>
        <w:t>nte</w:t>
      </w:r>
      <w:r w:rsidRPr="00A469DC">
        <w:t>d where possible by questionnaires to respondent firms.</w:t>
      </w:r>
    </w:p>
    <w:p w14:paraId="26AE6275" w14:textId="27C4CB60" w:rsidR="006E706D" w:rsidRDefault="006E706D" w:rsidP="00016CC0">
      <w:r w:rsidRPr="00A469DC">
        <w:t>We focus specifically on the use of trade data in the context of transhipment cases or third-party assembly cases. These account for the majority of the cases dealt with by the EU</w:t>
      </w:r>
      <w:r w:rsidR="009B66E0">
        <w:t>.</w:t>
      </w:r>
      <w:r w:rsidRPr="00A469DC">
        <w:t xml:space="preserve"> </w:t>
      </w:r>
      <w:r w:rsidR="009B66E0">
        <w:t>F</w:t>
      </w:r>
      <w:r w:rsidRPr="00A469DC">
        <w:t>or this reason</w:t>
      </w:r>
      <w:r w:rsidR="00C81B05">
        <w:t>,</w:t>
      </w:r>
      <w:r w:rsidR="009B66E0">
        <w:t xml:space="preserve"> and</w:t>
      </w:r>
      <w:r w:rsidRPr="00A469DC">
        <w:t xml:space="preserve"> </w:t>
      </w:r>
      <w:r w:rsidR="0018057C">
        <w:t>considering</w:t>
      </w:r>
      <w:r w:rsidR="009B66E0">
        <w:t xml:space="preserve"> </w:t>
      </w:r>
      <w:r w:rsidRPr="00A469DC">
        <w:t xml:space="preserve">the fact that the UK has largely inherited the EU’s trade defence mechanisms, </w:t>
      </w:r>
      <w:r>
        <w:t>these cases are</w:t>
      </w:r>
      <w:r w:rsidRPr="00A469DC">
        <w:t xml:space="preserve"> likely to be relevant to the UK.</w:t>
      </w:r>
    </w:p>
    <w:p w14:paraId="2F2EB918" w14:textId="15E3D775" w:rsidR="006E706D" w:rsidRPr="00A469DC" w:rsidRDefault="006E706D" w:rsidP="00016CC0">
      <w:r w:rsidRPr="00A469DC">
        <w:t>In EU transhipment and third</w:t>
      </w:r>
      <w:r w:rsidR="009B66E0">
        <w:t>-</w:t>
      </w:r>
      <w:r w:rsidRPr="00A469DC">
        <w:t xml:space="preserve">party assembly cases, the authorities typically rely on comparisons </w:t>
      </w:r>
      <w:r>
        <w:t>of</w:t>
      </w:r>
      <w:r w:rsidRPr="00A469DC">
        <w:t xml:space="preserve"> import trends from the country originally subject to duties and the third country through which circumvention is </w:t>
      </w:r>
      <w:r>
        <w:t xml:space="preserve">thought to be </w:t>
      </w:r>
      <w:r w:rsidRPr="00A469DC">
        <w:t>happening. A decrease in imports from the original country following the imposition of trade remedy duties and an observed increase in imports at the same 8</w:t>
      </w:r>
      <w:r w:rsidR="00DD2810">
        <w:t>-</w:t>
      </w:r>
      <w:r w:rsidRPr="00A469DC">
        <w:t xml:space="preserve">digit </w:t>
      </w:r>
      <w:r>
        <w:t xml:space="preserve">commodity code </w:t>
      </w:r>
      <w:r w:rsidRPr="00A469DC">
        <w:t>from the third</w:t>
      </w:r>
      <w:r w:rsidR="00EA7426">
        <w:t>-</w:t>
      </w:r>
      <w:r w:rsidRPr="00A469DC">
        <w:t>party country is</w:t>
      </w:r>
      <w:r>
        <w:t xml:space="preserve"> often</w:t>
      </w:r>
      <w:r w:rsidRPr="00A469DC">
        <w:t xml:space="preserve"> taken as evidence of a significant change in the pattern of trade.</w:t>
      </w:r>
    </w:p>
    <w:p w14:paraId="72C4A530" w14:textId="60CD4EBC" w:rsidR="006E706D" w:rsidRDefault="006E706D" w:rsidP="00016CC0">
      <w:r w:rsidRPr="00A469DC">
        <w:t>As Puccio and Erb</w:t>
      </w:r>
      <w:r>
        <w:t>a</w:t>
      </w:r>
      <w:r w:rsidRPr="00A469DC">
        <w:t>har</w:t>
      </w:r>
      <w:r>
        <w:t xml:space="preserve"> (2016)</w:t>
      </w:r>
      <w:r w:rsidR="00EA7426">
        <w:t xml:space="preserve"> point out</w:t>
      </w:r>
      <w:r w:rsidRPr="00A469DC">
        <w:t xml:space="preserve">, the main weakness of that approach is that it does not in and of itself rule out trade diversion in response to the duties. As observed in the discussion on the EU’s anti-circumvention framework, other tests, notably in relation to production and processing activities, are required. We consider these subsequently. </w:t>
      </w:r>
    </w:p>
    <w:p w14:paraId="52F561FC" w14:textId="2E28F65B" w:rsidR="006E706D" w:rsidRDefault="006E706D" w:rsidP="00016CC0">
      <w:r>
        <w:t xml:space="preserve">The key </w:t>
      </w:r>
      <w:r w:rsidRPr="00A469DC">
        <w:t xml:space="preserve">question </w:t>
      </w:r>
      <w:r>
        <w:t xml:space="preserve">here though </w:t>
      </w:r>
      <w:r w:rsidRPr="00A469DC">
        <w:t xml:space="preserve">is whether the trade analysis could itself be </w:t>
      </w:r>
      <w:r>
        <w:t>strengthened</w:t>
      </w:r>
      <w:r w:rsidRPr="00A469DC">
        <w:t xml:space="preserve">. </w:t>
      </w:r>
      <w:r>
        <w:t>Possibilities include</w:t>
      </w:r>
      <w:r w:rsidR="00EA7426">
        <w:t xml:space="preserve"> evidence of</w:t>
      </w:r>
      <w:r w:rsidRPr="00A469DC">
        <w:t xml:space="preserve">: </w:t>
      </w:r>
    </w:p>
    <w:p w14:paraId="2ABCD8E4" w14:textId="5B5088FC" w:rsidR="006E706D" w:rsidRPr="00A469DC" w:rsidRDefault="00C81B05" w:rsidP="006E706D">
      <w:pPr>
        <w:pStyle w:val="NoSpacing"/>
        <w:numPr>
          <w:ilvl w:val="0"/>
          <w:numId w:val="22"/>
        </w:numPr>
        <w:spacing w:line="360" w:lineRule="auto"/>
        <w:rPr>
          <w:rFonts w:cs="Arial"/>
          <w:szCs w:val="24"/>
        </w:rPr>
      </w:pPr>
      <w:r>
        <w:rPr>
          <w:rFonts w:cs="Arial"/>
          <w:szCs w:val="24"/>
        </w:rPr>
        <w:t>S</w:t>
      </w:r>
      <w:r w:rsidR="006E706D" w:rsidRPr="00A469DC">
        <w:rPr>
          <w:rFonts w:cs="Arial"/>
          <w:szCs w:val="24"/>
        </w:rPr>
        <w:t>ubstitutability</w:t>
      </w:r>
      <w:r w:rsidR="006E706D">
        <w:rPr>
          <w:rFonts w:cs="Arial"/>
          <w:szCs w:val="24"/>
        </w:rPr>
        <w:t xml:space="preserve"> in imports</w:t>
      </w:r>
      <w:r w:rsidR="006E706D" w:rsidRPr="00A469DC">
        <w:rPr>
          <w:rFonts w:cs="Arial"/>
          <w:szCs w:val="24"/>
        </w:rPr>
        <w:t xml:space="preserve"> between countries preceding the imposition of duties</w:t>
      </w:r>
      <w:r w:rsidR="00D00A78">
        <w:rPr>
          <w:rFonts w:cs="Arial"/>
          <w:szCs w:val="24"/>
        </w:rPr>
        <w:t>;</w:t>
      </w:r>
    </w:p>
    <w:p w14:paraId="29D95C3A" w14:textId="67C265C3" w:rsidR="006E706D" w:rsidRDefault="00C81B05" w:rsidP="006E706D">
      <w:pPr>
        <w:pStyle w:val="NoSpacing"/>
        <w:numPr>
          <w:ilvl w:val="0"/>
          <w:numId w:val="22"/>
        </w:numPr>
        <w:spacing w:line="360" w:lineRule="auto"/>
        <w:rPr>
          <w:rFonts w:cs="Arial"/>
          <w:szCs w:val="24"/>
        </w:rPr>
      </w:pPr>
      <w:r>
        <w:rPr>
          <w:rFonts w:cs="Arial"/>
          <w:szCs w:val="24"/>
        </w:rPr>
        <w:t>T</w:t>
      </w:r>
      <w:r w:rsidR="006E706D" w:rsidRPr="00A469DC">
        <w:rPr>
          <w:rFonts w:cs="Arial"/>
          <w:szCs w:val="24"/>
        </w:rPr>
        <w:t xml:space="preserve">rade between the country originally targeted by the duties and the third </w:t>
      </w:r>
      <w:r w:rsidR="006E706D">
        <w:rPr>
          <w:rFonts w:cs="Arial"/>
          <w:szCs w:val="24"/>
        </w:rPr>
        <w:t>party(</w:t>
      </w:r>
      <w:r>
        <w:rPr>
          <w:rFonts w:cs="Arial"/>
          <w:szCs w:val="24"/>
        </w:rPr>
        <w:t>part</w:t>
      </w:r>
      <w:r w:rsidR="006E706D">
        <w:rPr>
          <w:rFonts w:cs="Arial"/>
          <w:szCs w:val="24"/>
        </w:rPr>
        <w:t>ies) supposedly</w:t>
      </w:r>
      <w:r w:rsidR="006E706D" w:rsidRPr="00A469DC">
        <w:rPr>
          <w:rFonts w:cs="Arial"/>
          <w:szCs w:val="24"/>
        </w:rPr>
        <w:t xml:space="preserve"> involved in circumvention</w:t>
      </w:r>
      <w:r w:rsidR="00D00A78">
        <w:rPr>
          <w:rFonts w:cs="Arial"/>
          <w:szCs w:val="24"/>
        </w:rPr>
        <w:t>;</w:t>
      </w:r>
    </w:p>
    <w:p w14:paraId="12B3D5CB" w14:textId="4B727952" w:rsidR="006E706D" w:rsidRDefault="00C81B05" w:rsidP="006E706D">
      <w:pPr>
        <w:pStyle w:val="NoSpacing"/>
        <w:numPr>
          <w:ilvl w:val="0"/>
          <w:numId w:val="22"/>
        </w:numPr>
        <w:spacing w:line="360" w:lineRule="auto"/>
        <w:rPr>
          <w:rFonts w:cs="Arial"/>
          <w:szCs w:val="24"/>
        </w:rPr>
      </w:pPr>
      <w:r>
        <w:rPr>
          <w:rFonts w:cs="Arial"/>
          <w:szCs w:val="24"/>
        </w:rPr>
        <w:t>B</w:t>
      </w:r>
      <w:r w:rsidR="006E706D">
        <w:rPr>
          <w:rFonts w:cs="Arial"/>
          <w:szCs w:val="24"/>
        </w:rPr>
        <w:t>roader changes to trade patterns that may explain observed changes to trade between the countries in question.</w:t>
      </w:r>
    </w:p>
    <w:p w14:paraId="634CBBDD" w14:textId="440CD81B" w:rsidR="006E706D" w:rsidRPr="00834C11" w:rsidRDefault="00FA1C57" w:rsidP="0B87AE61">
      <w:pPr>
        <w:pStyle w:val="Heading3"/>
        <w:rPr>
          <w:rFonts w:cs="Arial"/>
          <w:b w:val="0"/>
        </w:rPr>
      </w:pPr>
      <w:bookmarkStart w:id="45" w:name="_Toc101182665"/>
      <w:bookmarkStart w:id="46" w:name="_Toc1931183955"/>
      <w:bookmarkStart w:id="47" w:name="_Toc118465280"/>
      <w:r w:rsidRPr="0B87AE61">
        <w:rPr>
          <w:rFonts w:cs="Arial"/>
        </w:rPr>
        <w:t>4.2.2</w:t>
      </w:r>
      <w:r>
        <w:tab/>
      </w:r>
      <w:r w:rsidR="006E706D" w:rsidRPr="0B87AE61">
        <w:rPr>
          <w:rFonts w:cs="Arial"/>
        </w:rPr>
        <w:t>International sources of trade data</w:t>
      </w:r>
      <w:bookmarkEnd w:id="45"/>
      <w:bookmarkEnd w:id="46"/>
      <w:bookmarkEnd w:id="47"/>
    </w:p>
    <w:p w14:paraId="729FE8BD" w14:textId="0FD5CBD5" w:rsidR="006E706D" w:rsidRPr="00275C61" w:rsidRDefault="006E706D" w:rsidP="00016CC0">
      <w:r w:rsidRPr="00275C61">
        <w:t>Data on international trade could be gathered either from international or national sources. For points (</w:t>
      </w:r>
      <w:r>
        <w:t>i</w:t>
      </w:r>
      <w:r w:rsidRPr="00275C61">
        <w:t>i) and (</w:t>
      </w:r>
      <w:r>
        <w:t>i</w:t>
      </w:r>
      <w:r w:rsidRPr="00275C61">
        <w:t>ii) above, this requires the use of international trade data sources that cover trade between sets of third countries. The main source of such data is UN Comtrade.</w:t>
      </w:r>
    </w:p>
    <w:p w14:paraId="3FEA30C7" w14:textId="411520B8" w:rsidR="006E706D" w:rsidRDefault="006E706D" w:rsidP="00016CC0">
      <w:pPr>
        <w:rPr>
          <w:highlight w:val="yellow"/>
        </w:rPr>
      </w:pPr>
      <w:r>
        <w:t xml:space="preserve">UN </w:t>
      </w:r>
      <w:r w:rsidRPr="00275C61">
        <w:t>Comtrade is a central repository which stores official international trade statistics by country, relating to both goods and services. A breakdown into imports, re-imports, exports and re-exports is presented. Goods data is available according to the HS</w:t>
      </w:r>
      <w:r w:rsidRPr="00A2683F">
        <w:rPr>
          <w:szCs w:val="24"/>
        </w:rPr>
        <w:t xml:space="preserve">, </w:t>
      </w:r>
      <w:r w:rsidR="006347C3">
        <w:rPr>
          <w:szCs w:val="24"/>
        </w:rPr>
        <w:t>S</w:t>
      </w:r>
      <w:r w:rsidR="00237FE2" w:rsidRPr="00A2683F">
        <w:rPr>
          <w:rFonts w:cs="Arial"/>
          <w:szCs w:val="24"/>
          <w:shd w:val="clear" w:color="auto" w:fill="FFFFFF"/>
        </w:rPr>
        <w:t xml:space="preserve">tandard </w:t>
      </w:r>
      <w:r w:rsidR="006347C3">
        <w:rPr>
          <w:rFonts w:cs="Arial"/>
          <w:szCs w:val="24"/>
          <w:shd w:val="clear" w:color="auto" w:fill="FFFFFF"/>
        </w:rPr>
        <w:t>I</w:t>
      </w:r>
      <w:r w:rsidR="00237FE2" w:rsidRPr="00A2683F">
        <w:rPr>
          <w:rFonts w:cs="Arial"/>
          <w:szCs w:val="24"/>
          <w:shd w:val="clear" w:color="auto" w:fill="FFFFFF"/>
        </w:rPr>
        <w:t xml:space="preserve">nternational </w:t>
      </w:r>
      <w:r w:rsidR="006347C3">
        <w:rPr>
          <w:rFonts w:cs="Arial"/>
          <w:szCs w:val="24"/>
          <w:shd w:val="clear" w:color="auto" w:fill="FFFFFF"/>
        </w:rPr>
        <w:t>T</w:t>
      </w:r>
      <w:r w:rsidR="00237FE2" w:rsidRPr="00A2683F">
        <w:rPr>
          <w:rFonts w:cs="Arial"/>
          <w:szCs w:val="24"/>
          <w:shd w:val="clear" w:color="auto" w:fill="FFFFFF"/>
        </w:rPr>
        <w:t xml:space="preserve">rade </w:t>
      </w:r>
      <w:r w:rsidR="006347C3">
        <w:rPr>
          <w:rFonts w:cs="Arial"/>
          <w:szCs w:val="24"/>
          <w:shd w:val="clear" w:color="auto" w:fill="FFFFFF"/>
        </w:rPr>
        <w:t>C</w:t>
      </w:r>
      <w:r w:rsidR="00237FE2" w:rsidRPr="00A2683F">
        <w:rPr>
          <w:rFonts w:cs="Arial"/>
          <w:szCs w:val="24"/>
          <w:shd w:val="clear" w:color="auto" w:fill="FFFFFF"/>
        </w:rPr>
        <w:t>lassification</w:t>
      </w:r>
      <w:r w:rsidRPr="00A2683F">
        <w:rPr>
          <w:szCs w:val="24"/>
        </w:rPr>
        <w:t xml:space="preserve"> and </w:t>
      </w:r>
      <w:r w:rsidR="006347C3">
        <w:rPr>
          <w:szCs w:val="24"/>
        </w:rPr>
        <w:t>B</w:t>
      </w:r>
      <w:r w:rsidR="00A30139" w:rsidRPr="00A2683F">
        <w:rPr>
          <w:szCs w:val="24"/>
        </w:rPr>
        <w:t xml:space="preserve">road </w:t>
      </w:r>
      <w:r w:rsidR="006347C3">
        <w:rPr>
          <w:szCs w:val="24"/>
        </w:rPr>
        <w:t>E</w:t>
      </w:r>
      <w:r w:rsidR="00A30139" w:rsidRPr="00A2683F">
        <w:rPr>
          <w:szCs w:val="24"/>
        </w:rPr>
        <w:t xml:space="preserve">conomic </w:t>
      </w:r>
      <w:r w:rsidR="006347C3">
        <w:rPr>
          <w:szCs w:val="24"/>
        </w:rPr>
        <w:t>C</w:t>
      </w:r>
      <w:r w:rsidR="00A30139" w:rsidRPr="00A2683F">
        <w:rPr>
          <w:szCs w:val="24"/>
        </w:rPr>
        <w:t>ategories</w:t>
      </w:r>
      <w:r w:rsidRPr="00A2683F">
        <w:t xml:space="preserve"> </w:t>
      </w:r>
      <w:r w:rsidRPr="00C81B05">
        <w:t>c</w:t>
      </w:r>
      <w:r w:rsidRPr="00275C61">
        <w:t xml:space="preserve">lassification. For the HS classification, data </w:t>
      </w:r>
      <w:r w:rsidRPr="00C81B05">
        <w:t>is</w:t>
      </w:r>
      <w:r w:rsidRPr="00275C61">
        <w:t xml:space="preserve"> available </w:t>
      </w:r>
      <w:r>
        <w:t xml:space="preserve">at </w:t>
      </w:r>
      <w:r w:rsidRPr="00275C61">
        <w:t>the 6</w:t>
      </w:r>
      <w:r w:rsidR="00DF1D15">
        <w:t>-</w:t>
      </w:r>
      <w:r w:rsidRPr="00275C61">
        <w:t xml:space="preserve">digit level of disaggregation. </w:t>
      </w:r>
      <w:r>
        <w:t xml:space="preserve">UN </w:t>
      </w:r>
      <w:r w:rsidRPr="00275C61">
        <w:t>Comtrade includes annual and monthly goods trade data ranging from 1963 to 2021. The most recent published monthly data, as of writing</w:t>
      </w:r>
      <w:r w:rsidRPr="00C81B05">
        <w:t>, is f</w:t>
      </w:r>
      <w:r w:rsidRPr="00275C61">
        <w:t xml:space="preserve">or </w:t>
      </w:r>
      <w:r>
        <w:t xml:space="preserve">February </w:t>
      </w:r>
      <w:r w:rsidRPr="00275C61">
        <w:t>202</w:t>
      </w:r>
      <w:r>
        <w:t>2</w:t>
      </w:r>
      <w:r w:rsidRPr="00275C61">
        <w:t>. Annually, the most recent is for 202</w:t>
      </w:r>
      <w:r>
        <w:t>1</w:t>
      </w:r>
      <w:r w:rsidRPr="00275C61">
        <w:t>.</w:t>
      </w:r>
    </w:p>
    <w:p w14:paraId="30117C90" w14:textId="6638254B" w:rsidR="006E706D" w:rsidRPr="00AC0D17" w:rsidRDefault="006E706D" w:rsidP="00016CC0">
      <w:r w:rsidRPr="00275C61">
        <w:t xml:space="preserve">Where monthly </w:t>
      </w:r>
      <w:r>
        <w:t xml:space="preserve">or annual </w:t>
      </w:r>
      <w:r w:rsidRPr="00275C61">
        <w:t>data is available at the 6</w:t>
      </w:r>
      <w:r w:rsidR="00DF1D15">
        <w:t>-</w:t>
      </w:r>
      <w:r w:rsidRPr="00275C61">
        <w:t xml:space="preserve">digit HS level before, during and after </w:t>
      </w:r>
      <w:r>
        <w:t>e.g.</w:t>
      </w:r>
      <w:r w:rsidR="00FC05F2">
        <w:t xml:space="preserve"> a</w:t>
      </w:r>
      <w:r>
        <w:t xml:space="preserve"> </w:t>
      </w:r>
      <w:r w:rsidRPr="00275C61">
        <w:t xml:space="preserve">transhipment case, it is possible to do ex-post analysis. </w:t>
      </w:r>
      <w:r w:rsidRPr="00CA7CEB">
        <w:t xml:space="preserve">We test the </w:t>
      </w:r>
      <w:r w:rsidRPr="00AC0D17">
        <w:t xml:space="preserve">applicability of UN Comtrade by re-running a past case in </w:t>
      </w:r>
      <w:r w:rsidR="00AC0D17">
        <w:t>S</w:t>
      </w:r>
      <w:r w:rsidR="00342676" w:rsidRPr="00AC0D17">
        <w:t>ection</w:t>
      </w:r>
      <w:r w:rsidR="00AC0D17">
        <w:t xml:space="preserve"> 5</w:t>
      </w:r>
      <w:r w:rsidRPr="00AC0D17">
        <w:t>.</w:t>
      </w:r>
    </w:p>
    <w:p w14:paraId="3D2EFBD7" w14:textId="671496ED" w:rsidR="006E706D" w:rsidRPr="00275C61" w:rsidRDefault="006E706D" w:rsidP="00016CC0">
      <w:r w:rsidRPr="00AC0D17">
        <w:t xml:space="preserve">As discussed in more detail in </w:t>
      </w:r>
      <w:r w:rsidR="00AC0D17">
        <w:t>S</w:t>
      </w:r>
      <w:r w:rsidR="00342676" w:rsidRPr="00AC0D17">
        <w:t>ection</w:t>
      </w:r>
      <w:r w:rsidR="00AC0D17">
        <w:t xml:space="preserve"> 5</w:t>
      </w:r>
      <w:r>
        <w:t xml:space="preserve">, although </w:t>
      </w:r>
      <w:r w:rsidRPr="00275C61">
        <w:t xml:space="preserve">before-and-after analysis can be performed using </w:t>
      </w:r>
      <w:r>
        <w:t xml:space="preserve">UN </w:t>
      </w:r>
      <w:r w:rsidRPr="00275C61">
        <w:t xml:space="preserve">Comtrade data, there may be </w:t>
      </w:r>
      <w:r w:rsidR="001973E6">
        <w:t xml:space="preserve">three </w:t>
      </w:r>
      <w:r w:rsidRPr="00275C61">
        <w:t>potential problems when applying this to a live anti-circumvention investigation:</w:t>
      </w:r>
    </w:p>
    <w:p w14:paraId="4E80407F" w14:textId="77777777" w:rsidR="006E706D" w:rsidRPr="00275C61" w:rsidRDefault="006E706D" w:rsidP="00F74432">
      <w:pPr>
        <w:pStyle w:val="NoSpacing"/>
        <w:numPr>
          <w:ilvl w:val="0"/>
          <w:numId w:val="45"/>
        </w:numPr>
        <w:spacing w:line="360" w:lineRule="auto"/>
        <w:rPr>
          <w:rFonts w:cs="Arial"/>
          <w:szCs w:val="24"/>
        </w:rPr>
      </w:pPr>
      <w:r w:rsidRPr="00275C61">
        <w:rPr>
          <w:rFonts w:cs="Arial"/>
          <w:szCs w:val="24"/>
        </w:rPr>
        <w:t xml:space="preserve">Given the time lag for countries submitting data to </w:t>
      </w:r>
      <w:r>
        <w:rPr>
          <w:rFonts w:cs="Arial"/>
          <w:szCs w:val="24"/>
        </w:rPr>
        <w:t xml:space="preserve">UN </w:t>
      </w:r>
      <w:r w:rsidRPr="00275C61">
        <w:rPr>
          <w:rFonts w:cs="Arial"/>
          <w:szCs w:val="24"/>
        </w:rPr>
        <w:t xml:space="preserve">Comtrade, the required level of detailed trade data </w:t>
      </w:r>
      <w:r>
        <w:rPr>
          <w:rFonts w:cs="Arial"/>
          <w:szCs w:val="24"/>
        </w:rPr>
        <w:t xml:space="preserve">(e.g. monthly data) </w:t>
      </w:r>
      <w:r w:rsidRPr="00275C61">
        <w:rPr>
          <w:rFonts w:cs="Arial"/>
          <w:szCs w:val="24"/>
        </w:rPr>
        <w:t>for the specific case may not be available in a timely fashion.</w:t>
      </w:r>
    </w:p>
    <w:p w14:paraId="2937165D" w14:textId="62BF7C75" w:rsidR="006E706D" w:rsidRDefault="006E706D" w:rsidP="00F74432">
      <w:pPr>
        <w:pStyle w:val="NoSpacing"/>
        <w:numPr>
          <w:ilvl w:val="0"/>
          <w:numId w:val="45"/>
        </w:numPr>
        <w:spacing w:line="360" w:lineRule="auto"/>
        <w:rPr>
          <w:rFonts w:cs="Arial"/>
          <w:szCs w:val="24"/>
        </w:rPr>
      </w:pPr>
      <w:r w:rsidRPr="00C03E6E">
        <w:rPr>
          <w:rFonts w:cs="Arial"/>
          <w:szCs w:val="24"/>
        </w:rPr>
        <w:t>Remedies in other anti-circumvention cases have been imposed at the 8</w:t>
      </w:r>
      <w:r w:rsidR="00EA7426">
        <w:rPr>
          <w:rFonts w:cs="Arial"/>
          <w:szCs w:val="24"/>
        </w:rPr>
        <w:t>-</w:t>
      </w:r>
      <w:r w:rsidRPr="00C03E6E">
        <w:rPr>
          <w:rFonts w:cs="Arial"/>
          <w:szCs w:val="24"/>
        </w:rPr>
        <w:t xml:space="preserve"> and 10</w:t>
      </w:r>
      <w:r w:rsidR="00DF1D15">
        <w:rPr>
          <w:rFonts w:cs="Arial"/>
          <w:szCs w:val="24"/>
        </w:rPr>
        <w:t>-</w:t>
      </w:r>
      <w:r w:rsidRPr="00C03E6E">
        <w:rPr>
          <w:rFonts w:cs="Arial"/>
          <w:szCs w:val="24"/>
        </w:rPr>
        <w:t>digit level</w:t>
      </w:r>
      <w:r w:rsidR="00AC0D17">
        <w:rPr>
          <w:rFonts w:cs="Arial"/>
          <w:szCs w:val="24"/>
        </w:rPr>
        <w:t>s</w:t>
      </w:r>
      <w:r w:rsidRPr="00C03E6E">
        <w:rPr>
          <w:rFonts w:cs="Arial"/>
          <w:szCs w:val="24"/>
        </w:rPr>
        <w:t>. For these cases, UN Comtrade may not provide the required level of disaggregation to assess potential impacts.</w:t>
      </w:r>
    </w:p>
    <w:p w14:paraId="00845E37" w14:textId="51ACD2AB" w:rsidR="00216857" w:rsidRPr="00C03E6E" w:rsidRDefault="00216857" w:rsidP="00F74432">
      <w:pPr>
        <w:pStyle w:val="NoSpacing"/>
        <w:numPr>
          <w:ilvl w:val="0"/>
          <w:numId w:val="45"/>
        </w:numPr>
        <w:spacing w:line="360" w:lineRule="auto"/>
        <w:rPr>
          <w:rFonts w:cs="Arial"/>
          <w:szCs w:val="24"/>
        </w:rPr>
      </w:pPr>
      <w:r>
        <w:rPr>
          <w:rFonts w:cs="Arial"/>
          <w:szCs w:val="24"/>
        </w:rPr>
        <w:t xml:space="preserve">Country-level </w:t>
      </w:r>
      <w:r w:rsidRPr="001D63BF">
        <w:rPr>
          <w:rFonts w:cs="Arial"/>
          <w:szCs w:val="24"/>
        </w:rPr>
        <w:t>trade data is unlikely</w:t>
      </w:r>
      <w:r>
        <w:rPr>
          <w:rFonts w:cs="Arial"/>
          <w:szCs w:val="24"/>
        </w:rPr>
        <w:t xml:space="preserve"> to be helpful in relation to cases of circumvention through channelling via exporters in the same country</w:t>
      </w:r>
      <w:r w:rsidR="00AC0D17">
        <w:rPr>
          <w:rFonts w:cs="Arial"/>
          <w:szCs w:val="24"/>
        </w:rPr>
        <w:t>,</w:t>
      </w:r>
      <w:r>
        <w:rPr>
          <w:rFonts w:cs="Arial"/>
          <w:szCs w:val="24"/>
        </w:rPr>
        <w:t xml:space="preserve"> e.g. in cases </w:t>
      </w:r>
      <w:r w:rsidR="00AC0D17">
        <w:rPr>
          <w:rFonts w:cs="Arial"/>
          <w:szCs w:val="24"/>
        </w:rPr>
        <w:t>where</w:t>
      </w:r>
      <w:r>
        <w:rPr>
          <w:rFonts w:cs="Arial"/>
          <w:szCs w:val="24"/>
        </w:rPr>
        <w:t xml:space="preserve"> some firms are exempted from initial duties or benefit from a lower duty, and </w:t>
      </w:r>
      <w:r w:rsidR="00AC0D17">
        <w:rPr>
          <w:rFonts w:cs="Arial"/>
          <w:szCs w:val="24"/>
        </w:rPr>
        <w:t xml:space="preserve">where </w:t>
      </w:r>
      <w:r>
        <w:rPr>
          <w:rFonts w:cs="Arial"/>
          <w:szCs w:val="24"/>
        </w:rPr>
        <w:t xml:space="preserve">exporters </w:t>
      </w:r>
      <w:r w:rsidR="00AC0D17">
        <w:rPr>
          <w:rFonts w:cs="Arial"/>
          <w:szCs w:val="24"/>
        </w:rPr>
        <w:t xml:space="preserve">who are </w:t>
      </w:r>
      <w:r>
        <w:rPr>
          <w:rFonts w:cs="Arial"/>
          <w:szCs w:val="24"/>
        </w:rPr>
        <w:t>subject to higher duties channel exports through the exempt or lower</w:t>
      </w:r>
      <w:r w:rsidR="00AC0D17">
        <w:rPr>
          <w:rFonts w:cs="Arial"/>
          <w:szCs w:val="24"/>
        </w:rPr>
        <w:t>-</w:t>
      </w:r>
      <w:r>
        <w:rPr>
          <w:rFonts w:cs="Arial"/>
          <w:szCs w:val="24"/>
        </w:rPr>
        <w:t>duty</w:t>
      </w:r>
      <w:r w:rsidR="00AC0D17">
        <w:rPr>
          <w:rFonts w:cs="Arial"/>
          <w:szCs w:val="24"/>
        </w:rPr>
        <w:t xml:space="preserve"> </w:t>
      </w:r>
      <w:r>
        <w:rPr>
          <w:rFonts w:cs="Arial"/>
          <w:szCs w:val="24"/>
        </w:rPr>
        <w:t>firms. Trade data typically do</w:t>
      </w:r>
      <w:r w:rsidR="003F3B2C">
        <w:rPr>
          <w:rFonts w:cs="Arial"/>
          <w:szCs w:val="24"/>
        </w:rPr>
        <w:t>es</w:t>
      </w:r>
      <w:r>
        <w:rPr>
          <w:rFonts w:cs="Arial"/>
          <w:szCs w:val="24"/>
        </w:rPr>
        <w:t xml:space="preserve"> not pick out firm</w:t>
      </w:r>
      <w:r w:rsidR="003F3B2C">
        <w:rPr>
          <w:rFonts w:cs="Arial"/>
          <w:szCs w:val="24"/>
        </w:rPr>
        <w:t>-</w:t>
      </w:r>
      <w:r>
        <w:rPr>
          <w:rFonts w:cs="Arial"/>
          <w:szCs w:val="24"/>
        </w:rPr>
        <w:t xml:space="preserve">level activity. </w:t>
      </w:r>
    </w:p>
    <w:p w14:paraId="5D17AF1C" w14:textId="03391EB7" w:rsidR="006E706D" w:rsidRPr="00834C11" w:rsidRDefault="00FA1C57" w:rsidP="0B87AE61">
      <w:pPr>
        <w:pStyle w:val="Heading3"/>
        <w:rPr>
          <w:rFonts w:cs="Arial"/>
          <w:b w:val="0"/>
        </w:rPr>
      </w:pPr>
      <w:bookmarkStart w:id="48" w:name="_Toc101182666"/>
      <w:bookmarkStart w:id="49" w:name="_Toc574793530"/>
      <w:bookmarkStart w:id="50" w:name="_Toc118465281"/>
      <w:r w:rsidRPr="0B87AE61">
        <w:rPr>
          <w:rFonts w:cs="Arial"/>
        </w:rPr>
        <w:t>4.2.3</w:t>
      </w:r>
      <w:r>
        <w:tab/>
      </w:r>
      <w:r w:rsidR="006E706D" w:rsidRPr="0B87AE61">
        <w:rPr>
          <w:rFonts w:cs="Arial"/>
        </w:rPr>
        <w:t>National sources of trade data</w:t>
      </w:r>
      <w:bookmarkEnd w:id="48"/>
      <w:bookmarkEnd w:id="49"/>
      <w:bookmarkEnd w:id="50"/>
    </w:p>
    <w:p w14:paraId="1DE03B9C" w14:textId="76885E33" w:rsidR="006E706D" w:rsidRDefault="006E706D" w:rsidP="00016CC0">
      <w:r w:rsidRPr="00275C61">
        <w:t>For point (i) above</w:t>
      </w:r>
      <w:r w:rsidR="00AC0D17">
        <w:t xml:space="preserve"> (</w:t>
      </w:r>
      <w:r w:rsidR="00D4207E">
        <w:t>s</w:t>
      </w:r>
      <w:r w:rsidR="00AC0D17">
        <w:t xml:space="preserve">ubsection </w:t>
      </w:r>
      <w:r w:rsidR="006F791C">
        <w:t>4.2.1)</w:t>
      </w:r>
      <w:r w:rsidRPr="00275C61">
        <w:t xml:space="preserve">, </w:t>
      </w:r>
      <w:r>
        <w:t xml:space="preserve">relating to </w:t>
      </w:r>
      <w:r w:rsidRPr="00275C61">
        <w:t>evidence of substitutability in imports between countries preceding the imposition of duties</w:t>
      </w:r>
      <w:r>
        <w:t xml:space="preserve">, national datasets can provide more detailed information on import trends than international data sets such as UN Comtrade. </w:t>
      </w:r>
      <w:r w:rsidR="003F3B2C">
        <w:t>However, t</w:t>
      </w:r>
      <w:r>
        <w:t xml:space="preserve">his is at the expense of being unable to answer </w:t>
      </w:r>
      <w:r w:rsidRPr="00275C61">
        <w:t>point  (iii) above</w:t>
      </w:r>
      <w:r>
        <w:t>. Using a mix of international and national trade data sources is likely to be beneficial.</w:t>
      </w:r>
    </w:p>
    <w:p w14:paraId="572221B8" w14:textId="2F002659" w:rsidR="006E706D" w:rsidRDefault="006E706D" w:rsidP="00016CC0">
      <w:r w:rsidRPr="00275C61">
        <w:t>Eurostat provides detailed import data by partner at the more detailed 8</w:t>
      </w:r>
      <w:r w:rsidR="00DF1D15">
        <w:t>-</w:t>
      </w:r>
      <w:r w:rsidRPr="00275C61">
        <w:t xml:space="preserve">digit (CN) level, which is the level at which inquiries are typically conducted in the EU. Eurostat data </w:t>
      </w:r>
      <w:r w:rsidR="003F3B2C">
        <w:t>is</w:t>
      </w:r>
      <w:r w:rsidR="003F3B2C" w:rsidRPr="00275C61">
        <w:t xml:space="preserve"> </w:t>
      </w:r>
      <w:r w:rsidRPr="00275C61">
        <w:t>also available for the UK, both in relation to the EU-27 and the rest of the world. This is a potentially useful data source in the event of circumvention into the UK involving a</w:t>
      </w:r>
      <w:r w:rsidR="003F3B2C">
        <w:t>n</w:t>
      </w:r>
      <w:r w:rsidRPr="00275C61">
        <w:t xml:space="preserve"> EU member state as well as non-EU member states. </w:t>
      </w:r>
      <w:r w:rsidRPr="00B25A27">
        <w:t>HMRC</w:t>
      </w:r>
      <w:r w:rsidRPr="00275C61">
        <w:t xml:space="preserve"> data for the UK is </w:t>
      </w:r>
      <w:r>
        <w:t xml:space="preserve">also </w:t>
      </w:r>
      <w:r w:rsidRPr="00275C61">
        <w:t xml:space="preserve">gathered following the EU’s </w:t>
      </w:r>
      <w:r w:rsidRPr="00B25A27">
        <w:t>Combined Nomenclature</w:t>
      </w:r>
      <w:r w:rsidRPr="006F791C">
        <w:t xml:space="preserve"> and</w:t>
      </w:r>
      <w:r w:rsidRPr="00275C61">
        <w:t xml:space="preserve"> </w:t>
      </w:r>
      <w:r w:rsidR="003F3B2C">
        <w:t>is</w:t>
      </w:r>
      <w:r w:rsidR="003F3B2C" w:rsidRPr="00275C61">
        <w:t xml:space="preserve"> </w:t>
      </w:r>
      <w:r w:rsidRPr="00275C61">
        <w:t>also available at the 8</w:t>
      </w:r>
      <w:r w:rsidR="00DF1D15">
        <w:t>-</w:t>
      </w:r>
      <w:r w:rsidRPr="00275C61">
        <w:t xml:space="preserve">digit </w:t>
      </w:r>
      <w:r w:rsidR="00DE33F4">
        <w:t xml:space="preserve">(CN) </w:t>
      </w:r>
      <w:r w:rsidRPr="00275C61">
        <w:t>level.</w:t>
      </w:r>
      <w:r>
        <w:t xml:space="preserve"> </w:t>
      </w:r>
    </w:p>
    <w:p w14:paraId="340CEFFD" w14:textId="133BD11E" w:rsidR="006E706D" w:rsidRDefault="006E706D" w:rsidP="00016CC0">
      <w:r>
        <w:t xml:space="preserve">A novel approach to monitoring is taken by the </w:t>
      </w:r>
      <w:r w:rsidRPr="006F791C">
        <w:t xml:space="preserve">Australian </w:t>
      </w:r>
      <w:r w:rsidRPr="00B25A27">
        <w:t>Anti-Dumping Commission</w:t>
      </w:r>
      <w:r w:rsidRPr="006F791C">
        <w:t xml:space="preserve">, </w:t>
      </w:r>
      <w:r w:rsidR="003F3B2C" w:rsidRPr="006F791C">
        <w:t xml:space="preserve">which </w:t>
      </w:r>
      <w:r w:rsidRPr="006F791C">
        <w:t>produce</w:t>
      </w:r>
      <w:r w:rsidR="003F3B2C" w:rsidRPr="006F791C">
        <w:t>s</w:t>
      </w:r>
      <w:r w:rsidRPr="006F791C">
        <w:t xml:space="preserve"> what </w:t>
      </w:r>
      <w:r w:rsidR="003F3B2C" w:rsidRPr="006F791C">
        <w:t xml:space="preserve">it </w:t>
      </w:r>
      <w:r w:rsidRPr="006F791C">
        <w:t>call</w:t>
      </w:r>
      <w:r w:rsidR="003F3B2C" w:rsidRPr="006F791C">
        <w:t>s</w:t>
      </w:r>
      <w:r w:rsidRPr="006F791C">
        <w:t xml:space="preserve"> the Trade Rem</w:t>
      </w:r>
      <w:r>
        <w:t>edy Index (TRINDEX). This index t</w:t>
      </w:r>
      <w:r w:rsidRPr="00312EBA">
        <w:t>racks monthly volume and price movements of certain goods subject to anti-dumping measures</w:t>
      </w:r>
      <w:r>
        <w:t xml:space="preserve"> (such as A4 copy paper, steel and glass products).</w:t>
      </w:r>
      <w:r>
        <w:rPr>
          <w:rStyle w:val="FootnoteReference"/>
          <w:rFonts w:cs="Arial"/>
          <w:szCs w:val="24"/>
        </w:rPr>
        <w:footnoteReference w:id="19"/>
      </w:r>
      <w:r>
        <w:t xml:space="preserve"> </w:t>
      </w:r>
      <w:r w:rsidR="00F86E43">
        <w:t xml:space="preserve">The </w:t>
      </w:r>
      <w:r w:rsidR="00F86E43" w:rsidRPr="006F791C">
        <w:t xml:space="preserve">Australian </w:t>
      </w:r>
      <w:r w:rsidR="00F86E43" w:rsidRPr="00B25A27">
        <w:t>Anti-Dumping Commission</w:t>
      </w:r>
      <w:r w:rsidR="003F3B2C">
        <w:t xml:space="preserve"> </w:t>
      </w:r>
      <w:r>
        <w:t>publish</w:t>
      </w:r>
      <w:r w:rsidR="003F3B2C">
        <w:t>es</w:t>
      </w:r>
      <w:r>
        <w:t xml:space="preserve"> this index on </w:t>
      </w:r>
      <w:r w:rsidR="003F3B2C">
        <w:t xml:space="preserve">its </w:t>
      </w:r>
      <w:r>
        <w:t xml:space="preserve">website with interactive graphs, although unlike Eurostat and HMRC, the specific custom tariff codes are not specified. The aim of TRINDEX is to </w:t>
      </w:r>
      <w:r w:rsidRPr="00312EBA">
        <w:t>facilitate monitoring of import volumes and data by industry.</w:t>
      </w:r>
      <w:r>
        <w:t xml:space="preserve"> </w:t>
      </w:r>
    </w:p>
    <w:p w14:paraId="3FD9A46D" w14:textId="611FA2C1" w:rsidR="006E706D" w:rsidRDefault="00FA1C57" w:rsidP="0B87AE61">
      <w:pPr>
        <w:pStyle w:val="Heading2"/>
        <w:rPr>
          <w:rFonts w:cs="Arial"/>
          <w:b w:val="0"/>
        </w:rPr>
      </w:pPr>
      <w:bookmarkStart w:id="51" w:name="_Toc101182667"/>
      <w:bookmarkStart w:id="52" w:name="_Toc1426075879"/>
      <w:bookmarkStart w:id="53" w:name="_Toc118465282"/>
      <w:r w:rsidRPr="0B87AE61">
        <w:rPr>
          <w:rFonts w:cs="Arial"/>
        </w:rPr>
        <w:t>4.3</w:t>
      </w:r>
      <w:r>
        <w:tab/>
      </w:r>
      <w:r w:rsidR="006E706D" w:rsidRPr="0B87AE61">
        <w:rPr>
          <w:rFonts w:cs="Arial"/>
        </w:rPr>
        <w:t>Review of production data sources</w:t>
      </w:r>
      <w:bookmarkEnd w:id="51"/>
      <w:bookmarkEnd w:id="52"/>
      <w:bookmarkEnd w:id="53"/>
    </w:p>
    <w:p w14:paraId="1B85AE76" w14:textId="46FC8736" w:rsidR="006E706D" w:rsidRDefault="00FA1C57" w:rsidP="0B87AE61">
      <w:pPr>
        <w:pStyle w:val="Heading3"/>
        <w:rPr>
          <w:rFonts w:cs="Arial"/>
          <w:b w:val="0"/>
        </w:rPr>
      </w:pPr>
      <w:bookmarkStart w:id="54" w:name="_Toc101182668"/>
      <w:bookmarkStart w:id="55" w:name="_Toc1263872951"/>
      <w:bookmarkStart w:id="56" w:name="_Toc118465283"/>
      <w:r w:rsidRPr="0B87AE61">
        <w:rPr>
          <w:rFonts w:cs="Arial"/>
        </w:rPr>
        <w:t>4.3.1</w:t>
      </w:r>
      <w:r>
        <w:tab/>
      </w:r>
      <w:r w:rsidR="006E706D" w:rsidRPr="0B87AE61">
        <w:rPr>
          <w:rFonts w:cs="Arial"/>
        </w:rPr>
        <w:t>Context</w:t>
      </w:r>
      <w:bookmarkEnd w:id="54"/>
      <w:bookmarkEnd w:id="55"/>
      <w:bookmarkEnd w:id="56"/>
    </w:p>
    <w:p w14:paraId="16B0DE6E" w14:textId="1C55FA23" w:rsidR="006E706D" w:rsidRDefault="006E706D" w:rsidP="00016CC0">
      <w:r w:rsidRPr="00163A78">
        <w:t xml:space="preserve">As observed in the previous section and in the deep-dive analysis, observations about </w:t>
      </w:r>
      <w:r>
        <w:t>industrial organisation (investment, structure of production activities, industry structure and so forth) play an important</w:t>
      </w:r>
      <w:r w:rsidR="006F791C">
        <w:t>,</w:t>
      </w:r>
      <w:r>
        <w:t xml:space="preserve"> and usually decisive role,</w:t>
      </w:r>
      <w:r w:rsidRPr="00163A78">
        <w:t xml:space="preserve"> in the authorities’ determinations regarding circumvention</w:t>
      </w:r>
      <w:r>
        <w:t>. That is particularly true</w:t>
      </w:r>
      <w:r w:rsidRPr="00163A78">
        <w:t xml:space="preserve"> </w:t>
      </w:r>
      <w:r>
        <w:t xml:space="preserve">in the context of cases involving third countries </w:t>
      </w:r>
      <w:r w:rsidRPr="00163A78">
        <w:t>(</w:t>
      </w:r>
      <w:r>
        <w:t xml:space="preserve">transhipment </w:t>
      </w:r>
      <w:r w:rsidRPr="006F791C">
        <w:t xml:space="preserve">and </w:t>
      </w:r>
      <w:r w:rsidRPr="00B25A27">
        <w:t>third</w:t>
      </w:r>
      <w:r w:rsidR="006F791C">
        <w:t>-</w:t>
      </w:r>
      <w:r w:rsidRPr="00B6152A">
        <w:t>party</w:t>
      </w:r>
      <w:r w:rsidRPr="006F791C">
        <w:t xml:space="preserve"> assembly</w:t>
      </w:r>
      <w:r>
        <w:t xml:space="preserve">), but </w:t>
      </w:r>
      <w:r w:rsidR="003F3B2C">
        <w:t xml:space="preserve">it </w:t>
      </w:r>
      <w:r>
        <w:t xml:space="preserve">is also true of cases relating to modification, as demonstrated in cases in the United States. In the EU, an analysis of production data is directly relevant to meeting the quantitative threshold tests. Moreover, qualitative analyses of production and investment patterns have been used to gauge what evidence submitted by respondents is plausible. Finally, an analysis of industrial organisation is an important part of the analysis surrounding insufficient due cause.  </w:t>
      </w:r>
    </w:p>
    <w:p w14:paraId="31E6CE11" w14:textId="005F3696" w:rsidR="006E706D" w:rsidRPr="00834C11" w:rsidRDefault="00FA1C57" w:rsidP="0B87AE61">
      <w:pPr>
        <w:pStyle w:val="Heading3"/>
        <w:rPr>
          <w:rFonts w:cs="Arial"/>
          <w:b w:val="0"/>
        </w:rPr>
      </w:pPr>
      <w:bookmarkStart w:id="57" w:name="_Toc101182669"/>
      <w:bookmarkStart w:id="58" w:name="_Toc408225450"/>
      <w:bookmarkStart w:id="59" w:name="_Toc118465284"/>
      <w:r w:rsidRPr="0B87AE61">
        <w:rPr>
          <w:rFonts w:cs="Arial"/>
        </w:rPr>
        <w:t>4.3.2</w:t>
      </w:r>
      <w:r>
        <w:tab/>
      </w:r>
      <w:r w:rsidR="006E706D" w:rsidRPr="0B87AE61">
        <w:rPr>
          <w:rFonts w:cs="Arial"/>
        </w:rPr>
        <w:t>International sources of production data</w:t>
      </w:r>
      <w:bookmarkEnd w:id="57"/>
      <w:bookmarkEnd w:id="58"/>
      <w:bookmarkEnd w:id="59"/>
    </w:p>
    <w:p w14:paraId="441DB739" w14:textId="0C44BDB4" w:rsidR="006E706D" w:rsidRDefault="006E706D" w:rsidP="00016CC0">
      <w:r w:rsidRPr="00163A78">
        <w:t>Data on production could be gathered either from international or national sources.</w:t>
      </w:r>
      <w:r>
        <w:t xml:space="preserve"> </w:t>
      </w:r>
      <w:r w:rsidRPr="00163A78">
        <w:t>The United Nations Industrial Development Organisation’s INDSTAT4 database is a central repository containing manufacturing data for 110 countries.</w:t>
      </w:r>
      <w:r w:rsidR="00B61C58">
        <w:rPr>
          <w:rStyle w:val="FootnoteReference"/>
          <w:rFonts w:cs="Arial"/>
          <w:szCs w:val="24"/>
        </w:rPr>
        <w:footnoteReference w:id="20"/>
      </w:r>
      <w:r w:rsidRPr="00163A78">
        <w:t xml:space="preserve"> It includes</w:t>
      </w:r>
      <w:r w:rsidR="008E1F6D">
        <w:t>, inter alia,</w:t>
      </w:r>
      <w:r w:rsidRPr="00163A78">
        <w:t xml:space="preserve"> annual statistics on the number of establishments, number of employees, wages and salaries, output, value added, gross fixed capital formation</w:t>
      </w:r>
      <w:r w:rsidR="008E1F6D">
        <w:t xml:space="preserve">. </w:t>
      </w:r>
      <w:r w:rsidRPr="00163A78">
        <w:t>It provides this at the 4-</w:t>
      </w:r>
      <w:r w:rsidRPr="00D4207E">
        <w:t xml:space="preserve">digit </w:t>
      </w:r>
      <w:r w:rsidR="00D4207E" w:rsidRPr="00D4207E">
        <w:t xml:space="preserve">International Standard Industrial Classification </w:t>
      </w:r>
      <w:r w:rsidR="00D4207E">
        <w:t>(</w:t>
      </w:r>
      <w:r w:rsidRPr="00B25A27">
        <w:t>ISIC</w:t>
      </w:r>
      <w:r w:rsidR="00D4207E">
        <w:t>)</w:t>
      </w:r>
      <w:r w:rsidRPr="00163A78">
        <w:t xml:space="preserve"> level</w:t>
      </w:r>
      <w:r w:rsidR="008D3D1B">
        <w:t xml:space="preserve"> (</w:t>
      </w:r>
      <w:r w:rsidR="00745EF5">
        <w:t>R</w:t>
      </w:r>
      <w:r w:rsidR="008D3D1B">
        <w:t>evision 3</w:t>
      </w:r>
      <w:r w:rsidR="008D3D1B" w:rsidRPr="00573DDB">
        <w:t>)</w:t>
      </w:r>
      <w:r w:rsidRPr="00163A78">
        <w:t xml:space="preserve">, for more than 150 manufacturing sectors and </w:t>
      </w:r>
      <w:r w:rsidRPr="00B25A27">
        <w:t>subsectors</w:t>
      </w:r>
      <w:r w:rsidRPr="00D4207E">
        <w:t>.</w:t>
      </w:r>
      <w:r w:rsidRPr="00163A78">
        <w:t xml:space="preserve"> The most recent set of data covers the period 1990 to 2018. </w:t>
      </w:r>
    </w:p>
    <w:p w14:paraId="14961F5E" w14:textId="77777777" w:rsidR="006E706D" w:rsidRPr="00163A78" w:rsidRDefault="006E706D" w:rsidP="00016CC0">
      <w:r w:rsidRPr="00163A78">
        <w:t>Several factors limit the use of this resource in live circumvention investigations:</w:t>
      </w:r>
    </w:p>
    <w:p w14:paraId="5E3E2221" w14:textId="5C27F6BE" w:rsidR="006E706D" w:rsidRPr="00163A78" w:rsidRDefault="006E706D" w:rsidP="006E706D">
      <w:pPr>
        <w:pStyle w:val="NoSpacing"/>
        <w:numPr>
          <w:ilvl w:val="0"/>
          <w:numId w:val="14"/>
        </w:numPr>
        <w:spacing w:line="360" w:lineRule="auto"/>
        <w:rPr>
          <w:rFonts w:cs="Arial"/>
          <w:szCs w:val="24"/>
        </w:rPr>
      </w:pPr>
      <w:r w:rsidRPr="00163A78">
        <w:rPr>
          <w:rFonts w:cs="Arial"/>
          <w:szCs w:val="24"/>
        </w:rPr>
        <w:t xml:space="preserve">The data </w:t>
      </w:r>
      <w:r w:rsidR="003F3B2C">
        <w:rPr>
          <w:rFonts w:cs="Arial"/>
          <w:szCs w:val="24"/>
        </w:rPr>
        <w:t>is</w:t>
      </w:r>
      <w:r w:rsidR="003F3B2C" w:rsidRPr="00163A78">
        <w:rPr>
          <w:rFonts w:cs="Arial"/>
          <w:szCs w:val="24"/>
        </w:rPr>
        <w:t xml:space="preserve"> </w:t>
      </w:r>
      <w:r w:rsidRPr="00163A78">
        <w:rPr>
          <w:rFonts w:cs="Arial"/>
          <w:szCs w:val="24"/>
        </w:rPr>
        <w:t xml:space="preserve">published with a significant time lag, so </w:t>
      </w:r>
      <w:r w:rsidR="003F3B2C">
        <w:rPr>
          <w:rFonts w:cs="Arial"/>
          <w:szCs w:val="24"/>
        </w:rPr>
        <w:t>is</w:t>
      </w:r>
      <w:r w:rsidR="003F3B2C" w:rsidRPr="00163A78">
        <w:rPr>
          <w:rFonts w:cs="Arial"/>
          <w:szCs w:val="24"/>
        </w:rPr>
        <w:t xml:space="preserve"> </w:t>
      </w:r>
      <w:r w:rsidRPr="00163A78">
        <w:rPr>
          <w:rFonts w:cs="Arial"/>
          <w:szCs w:val="24"/>
        </w:rPr>
        <w:t>unlikely to be suitable for a live investigation, which requires timely data.</w:t>
      </w:r>
    </w:p>
    <w:p w14:paraId="10B022AF" w14:textId="1DCC8E59" w:rsidR="006E706D" w:rsidRDefault="006E706D" w:rsidP="006E706D">
      <w:pPr>
        <w:pStyle w:val="NoSpacing"/>
        <w:numPr>
          <w:ilvl w:val="0"/>
          <w:numId w:val="14"/>
        </w:numPr>
        <w:spacing w:line="360" w:lineRule="auto"/>
        <w:rPr>
          <w:rFonts w:cs="Arial"/>
          <w:szCs w:val="24"/>
        </w:rPr>
      </w:pPr>
      <w:r w:rsidRPr="00163A78">
        <w:rPr>
          <w:rFonts w:cs="Arial"/>
          <w:szCs w:val="24"/>
        </w:rPr>
        <w:t xml:space="preserve">The data </w:t>
      </w:r>
      <w:r w:rsidR="003F3B2C">
        <w:rPr>
          <w:rFonts w:cs="Arial"/>
          <w:szCs w:val="24"/>
        </w:rPr>
        <w:t>is</w:t>
      </w:r>
      <w:r w:rsidR="003F3B2C" w:rsidRPr="00163A78">
        <w:rPr>
          <w:rFonts w:cs="Arial"/>
          <w:szCs w:val="24"/>
        </w:rPr>
        <w:t xml:space="preserve"> </w:t>
      </w:r>
      <w:r w:rsidRPr="00163A78">
        <w:rPr>
          <w:rFonts w:cs="Arial"/>
          <w:szCs w:val="24"/>
        </w:rPr>
        <w:t>presented at a high level of aggregation. Given that cases are usually very specific in scope, changes in production may not be visible using this data</w:t>
      </w:r>
      <w:r w:rsidRPr="008C04A1">
        <w:rPr>
          <w:rFonts w:cs="Arial"/>
          <w:szCs w:val="24"/>
        </w:rPr>
        <w:t xml:space="preserve">. </w:t>
      </w:r>
      <w:r w:rsidR="008D3D1B">
        <w:rPr>
          <w:rFonts w:cs="Arial"/>
          <w:szCs w:val="24"/>
        </w:rPr>
        <w:t>For example, iron and steel products, which feature heavily in trade remed</w:t>
      </w:r>
      <w:r w:rsidR="00D4207E">
        <w:rPr>
          <w:rFonts w:cs="Arial"/>
          <w:szCs w:val="24"/>
        </w:rPr>
        <w:t>y</w:t>
      </w:r>
      <w:r w:rsidR="008D3D1B">
        <w:rPr>
          <w:rFonts w:cs="Arial"/>
          <w:szCs w:val="24"/>
        </w:rPr>
        <w:t xml:space="preserve"> cases, are captured under two product codes (2410 – basic iron and steel; 2431 – casting of iron and steel). These broad categories contrast with the specificity of product definition in trade remed</w:t>
      </w:r>
      <w:r w:rsidR="00D4207E">
        <w:rPr>
          <w:rFonts w:cs="Arial"/>
          <w:szCs w:val="24"/>
        </w:rPr>
        <w:t>y</w:t>
      </w:r>
      <w:r w:rsidR="008D3D1B">
        <w:rPr>
          <w:rFonts w:cs="Arial"/>
          <w:szCs w:val="24"/>
        </w:rPr>
        <w:t xml:space="preserve"> cases. </w:t>
      </w:r>
    </w:p>
    <w:p w14:paraId="502F4D1E" w14:textId="766902D9" w:rsidR="006E706D" w:rsidRDefault="006E706D" w:rsidP="00B25A27">
      <w:pPr>
        <w:pStyle w:val="NoSpacing"/>
        <w:numPr>
          <w:ilvl w:val="0"/>
          <w:numId w:val="14"/>
        </w:numPr>
        <w:spacing w:line="360" w:lineRule="auto"/>
        <w:ind w:left="357" w:hanging="357"/>
        <w:rPr>
          <w:rFonts w:cs="Arial"/>
          <w:szCs w:val="24"/>
        </w:rPr>
      </w:pPr>
      <w:r w:rsidRPr="00163A78">
        <w:rPr>
          <w:rFonts w:cs="Arial"/>
          <w:szCs w:val="24"/>
        </w:rPr>
        <w:t xml:space="preserve">The data </w:t>
      </w:r>
      <w:r w:rsidR="00F729A1">
        <w:rPr>
          <w:rFonts w:cs="Arial"/>
          <w:szCs w:val="24"/>
        </w:rPr>
        <w:t>is</w:t>
      </w:r>
      <w:r w:rsidR="00F729A1" w:rsidRPr="00163A78">
        <w:rPr>
          <w:rFonts w:cs="Arial"/>
          <w:szCs w:val="24"/>
        </w:rPr>
        <w:t xml:space="preserve"> </w:t>
      </w:r>
      <w:r w:rsidRPr="00163A78">
        <w:rPr>
          <w:rFonts w:cs="Arial"/>
          <w:szCs w:val="24"/>
        </w:rPr>
        <w:t xml:space="preserve">presented annually. </w:t>
      </w:r>
      <w:r w:rsidRPr="008C04A1">
        <w:rPr>
          <w:rFonts w:cs="Arial"/>
          <w:szCs w:val="24"/>
        </w:rPr>
        <w:t>As demonstrated in the trade analysis</w:t>
      </w:r>
      <w:r w:rsidR="009966D4">
        <w:rPr>
          <w:rFonts w:cs="Arial"/>
          <w:szCs w:val="24"/>
        </w:rPr>
        <w:t xml:space="preserve"> in the proof of concept section</w:t>
      </w:r>
      <w:r w:rsidR="00D4207E">
        <w:rPr>
          <w:rFonts w:cs="Arial"/>
          <w:szCs w:val="24"/>
        </w:rPr>
        <w:t xml:space="preserve"> (Section 5),</w:t>
      </w:r>
      <w:r w:rsidR="009966D4">
        <w:rPr>
          <w:rFonts w:cs="Arial"/>
          <w:szCs w:val="24"/>
        </w:rPr>
        <w:t xml:space="preserve"> </w:t>
      </w:r>
      <w:r w:rsidRPr="00163A78">
        <w:rPr>
          <w:rFonts w:cs="Arial"/>
          <w:szCs w:val="24"/>
        </w:rPr>
        <w:t>significant changes can happen within years. Not having access to intra-year figures means any changes may be difficult to detect.</w:t>
      </w:r>
    </w:p>
    <w:p w14:paraId="41AE64EB" w14:textId="5D6161AE" w:rsidR="006E706D" w:rsidRDefault="006E706D" w:rsidP="006E706D">
      <w:pPr>
        <w:pStyle w:val="NoSpacing"/>
        <w:numPr>
          <w:ilvl w:val="0"/>
          <w:numId w:val="14"/>
        </w:numPr>
        <w:spacing w:line="360" w:lineRule="auto"/>
        <w:rPr>
          <w:rFonts w:cs="Arial"/>
          <w:szCs w:val="24"/>
        </w:rPr>
      </w:pPr>
      <w:r w:rsidRPr="00163A78">
        <w:rPr>
          <w:rFonts w:cs="Arial"/>
          <w:szCs w:val="24"/>
        </w:rPr>
        <w:t>For some countries, the database does not cover all years or sectors.</w:t>
      </w:r>
      <w:r w:rsidR="008D3D1B">
        <w:rPr>
          <w:rFonts w:cs="Arial"/>
          <w:szCs w:val="24"/>
        </w:rPr>
        <w:t xml:space="preserve"> For example, data for </w:t>
      </w:r>
      <w:r w:rsidR="002406F0">
        <w:rPr>
          <w:rFonts w:cs="Arial"/>
          <w:szCs w:val="24"/>
        </w:rPr>
        <w:t>PRC</w:t>
      </w:r>
      <w:r w:rsidR="008D3D1B">
        <w:rPr>
          <w:rFonts w:cs="Arial"/>
          <w:szCs w:val="24"/>
        </w:rPr>
        <w:t xml:space="preserve"> on casting of iron and steel </w:t>
      </w:r>
      <w:r w:rsidR="00F729A1">
        <w:rPr>
          <w:rFonts w:cs="Arial"/>
          <w:szCs w:val="24"/>
        </w:rPr>
        <w:t xml:space="preserve">is </w:t>
      </w:r>
      <w:r w:rsidR="008D3D1B">
        <w:rPr>
          <w:rFonts w:cs="Arial"/>
          <w:szCs w:val="24"/>
        </w:rPr>
        <w:t>not available after 2015.</w:t>
      </w:r>
    </w:p>
    <w:p w14:paraId="0D782748" w14:textId="788970B1" w:rsidR="006E706D" w:rsidRPr="00745EF5" w:rsidRDefault="006E706D" w:rsidP="0024633D">
      <w:pPr>
        <w:spacing w:before="240"/>
      </w:pPr>
      <w:r w:rsidRPr="00745EF5">
        <w:t xml:space="preserve">Eurostat </w:t>
      </w:r>
      <w:r w:rsidRPr="00B25A27">
        <w:t>Prodcom</w:t>
      </w:r>
      <w:r w:rsidR="000D3CB2" w:rsidRPr="00745EF5">
        <w:rPr>
          <w:rStyle w:val="FootnoteReference"/>
          <w:rFonts w:cs="Arial"/>
          <w:szCs w:val="24"/>
        </w:rPr>
        <w:footnoteReference w:id="21"/>
      </w:r>
      <w:r w:rsidRPr="00745EF5">
        <w:t xml:space="preserve"> is a data source that covers all EU countries</w:t>
      </w:r>
      <w:r w:rsidR="00EF38D9" w:rsidRPr="00745EF5">
        <w:t>,</w:t>
      </w:r>
      <w:r w:rsidR="00745EF5">
        <w:t xml:space="preserve"> </w:t>
      </w:r>
      <w:r w:rsidR="00EF38D9" w:rsidRPr="00745EF5">
        <w:t>the</w:t>
      </w:r>
      <w:r w:rsidRPr="00745EF5">
        <w:t xml:space="preserve"> UK, Norway, Iceland, Turkey, Bosnia and Herzegovina, North Macedonia, Montenegro and Serbia. </w:t>
      </w:r>
      <w:r w:rsidR="00745EF5">
        <w:t>The d</w:t>
      </w:r>
      <w:r w:rsidRPr="00745EF5">
        <w:t>ata covers 1995-2020 with some time/country</w:t>
      </w:r>
      <w:r w:rsidR="00F729A1" w:rsidRPr="00745EF5">
        <w:t xml:space="preserve"> </w:t>
      </w:r>
      <w:r w:rsidR="009966D4" w:rsidRPr="00745EF5">
        <w:t>gaps</w:t>
      </w:r>
      <w:r w:rsidRPr="00745EF5">
        <w:t xml:space="preserve">, and there is some delay (2021 is not currently available). The products are classified according to 8-digit </w:t>
      </w:r>
      <w:r w:rsidRPr="00B25A27">
        <w:t>Prodcom</w:t>
      </w:r>
      <w:r w:rsidR="00F729A1" w:rsidRPr="00745EF5">
        <w:t xml:space="preserve"> codes</w:t>
      </w:r>
      <w:r w:rsidRPr="00745EF5">
        <w:t xml:space="preserve">, which are highly disaggregated and can be matched with CN codes. </w:t>
      </w:r>
      <w:r w:rsidR="007B4299" w:rsidRPr="00745EF5">
        <w:t xml:space="preserve">The </w:t>
      </w:r>
      <w:r w:rsidR="007B4299" w:rsidRPr="00B25A27">
        <w:t>Prodcom</w:t>
      </w:r>
      <w:r w:rsidR="007B4299" w:rsidRPr="00745EF5">
        <w:t xml:space="preserve"> user manual states that “Most </w:t>
      </w:r>
      <w:r w:rsidR="00C858FA" w:rsidRPr="00745EF5">
        <w:t>8</w:t>
      </w:r>
      <w:r w:rsidR="007B4299" w:rsidRPr="00745EF5">
        <w:t>-digit PRODCOM codes have a complete reference to the Combined Nomenclature</w:t>
      </w:r>
      <w:r w:rsidR="004B1D61" w:rsidRPr="00745EF5">
        <w:t xml:space="preserve"> </w:t>
      </w:r>
      <w:r w:rsidR="007B4299" w:rsidRPr="00745EF5">
        <w:t>(CN). A complete reference means full comparability between data from PRODCOM and data from</w:t>
      </w:r>
      <w:r w:rsidR="0024633D">
        <w:t xml:space="preserve"> </w:t>
      </w:r>
      <w:r w:rsidR="007B4299" w:rsidRPr="00745EF5">
        <w:t xml:space="preserve">foreign trade </w:t>
      </w:r>
      <w:r w:rsidR="0003685A" w:rsidRPr="00745EF5">
        <w:t>classified</w:t>
      </w:r>
      <w:r w:rsidR="007B4299" w:rsidRPr="00745EF5">
        <w:t xml:space="preserve"> by the Combined Nomenclature”</w:t>
      </w:r>
      <w:r w:rsidR="00F729A1" w:rsidRPr="00745EF5">
        <w:t>.</w:t>
      </w:r>
      <w:r w:rsidR="007B4299" w:rsidRPr="00745EF5">
        <w:rPr>
          <w:rStyle w:val="FootnoteReference"/>
          <w:rFonts w:cs="Arial"/>
          <w:szCs w:val="24"/>
        </w:rPr>
        <w:footnoteReference w:id="22"/>
      </w:r>
      <w:r w:rsidR="007B4299" w:rsidRPr="00745EF5">
        <w:t xml:space="preserve"> </w:t>
      </w:r>
      <w:r w:rsidRPr="00B25A27">
        <w:t>Prodcom</w:t>
      </w:r>
      <w:r w:rsidRPr="00745EF5">
        <w:t xml:space="preserve"> records production, imports and exports, which can be </w:t>
      </w:r>
      <w:r w:rsidR="00F729A1" w:rsidRPr="00745EF5">
        <w:t xml:space="preserve">particularly </w:t>
      </w:r>
      <w:r w:rsidRPr="00745EF5">
        <w:t>useful in recording discrepancies between domestic production and exports.</w:t>
      </w:r>
      <w:r w:rsidR="007B4299" w:rsidRPr="00745EF5">
        <w:t xml:space="preserve"> Searches need to be made by </w:t>
      </w:r>
      <w:r w:rsidR="007B4299" w:rsidRPr="00B25A27">
        <w:t>Prodcom</w:t>
      </w:r>
      <w:r w:rsidR="007B4299" w:rsidRPr="00745EF5">
        <w:t xml:space="preserve"> code or by product label.</w:t>
      </w:r>
    </w:p>
    <w:p w14:paraId="517F7376" w14:textId="00C28F0E" w:rsidR="006E706D" w:rsidRDefault="006E706D" w:rsidP="00016CC0">
      <w:r w:rsidRPr="00B25A27">
        <w:t>Prodcom</w:t>
      </w:r>
      <w:r w:rsidRPr="00745EF5">
        <w:t xml:space="preserve"> could potentially</w:t>
      </w:r>
      <w:r w:rsidRPr="00163A78">
        <w:t xml:space="preserve"> be useful to the UK in cases involving the EU, </w:t>
      </w:r>
      <w:r w:rsidR="00C8589B">
        <w:t xml:space="preserve">European Free Trade Association </w:t>
      </w:r>
      <w:r w:rsidRPr="00163A78">
        <w:t>and the other countries listed with which the EU has preferential trade arrangements.</w:t>
      </w:r>
      <w:r>
        <w:t xml:space="preserve"> </w:t>
      </w:r>
      <w:r w:rsidRPr="00163A78">
        <w:t>Data on Ireland</w:t>
      </w:r>
      <w:r w:rsidR="00F729A1">
        <w:t>,</w:t>
      </w:r>
      <w:r w:rsidRPr="00163A78">
        <w:t xml:space="preserve"> in particular</w:t>
      </w:r>
      <w:r w:rsidR="00F729A1">
        <w:t>,</w:t>
      </w:r>
      <w:r w:rsidRPr="00163A78">
        <w:t xml:space="preserve"> may be useful if uncertainty </w:t>
      </w:r>
      <w:r w:rsidR="00F729A1">
        <w:t>about</w:t>
      </w:r>
      <w:r w:rsidR="00F729A1" w:rsidRPr="00163A78">
        <w:t xml:space="preserve"> </w:t>
      </w:r>
      <w:r w:rsidRPr="00163A78">
        <w:t xml:space="preserve">border arrangements </w:t>
      </w:r>
      <w:r>
        <w:t>on the island of Ireland</w:t>
      </w:r>
      <w:r w:rsidRPr="00163A78">
        <w:t xml:space="preserve"> raise concerns about circumvention.</w:t>
      </w:r>
    </w:p>
    <w:p w14:paraId="6033BB3E" w14:textId="0B178C41" w:rsidR="006E706D" w:rsidRDefault="00FA1C57" w:rsidP="0B87AE61">
      <w:pPr>
        <w:pStyle w:val="Heading3"/>
        <w:rPr>
          <w:rFonts w:cs="Arial"/>
          <w:b w:val="0"/>
        </w:rPr>
      </w:pPr>
      <w:bookmarkStart w:id="60" w:name="_Toc101182670"/>
      <w:bookmarkStart w:id="61" w:name="_Toc482084844"/>
      <w:bookmarkStart w:id="62" w:name="_Toc118465285"/>
      <w:r w:rsidRPr="0B87AE61">
        <w:rPr>
          <w:rFonts w:cs="Arial"/>
        </w:rPr>
        <w:t>4.3.3</w:t>
      </w:r>
      <w:r>
        <w:tab/>
      </w:r>
      <w:r w:rsidR="006E706D" w:rsidRPr="0B87AE61">
        <w:rPr>
          <w:rFonts w:cs="Arial"/>
        </w:rPr>
        <w:t>National sources of production data</w:t>
      </w:r>
      <w:bookmarkEnd w:id="60"/>
      <w:bookmarkEnd w:id="61"/>
      <w:bookmarkEnd w:id="62"/>
    </w:p>
    <w:p w14:paraId="7C3E7087" w14:textId="27AF6D3B" w:rsidR="006E706D" w:rsidRDefault="006E706D" w:rsidP="00016CC0">
      <w:r>
        <w:t>National data sources of countries involved in circumvention investigations are also a potential source of data. In this case</w:t>
      </w:r>
      <w:r w:rsidR="00D1059D">
        <w:t>,</w:t>
      </w:r>
      <w:r>
        <w:t xml:space="preserve"> we focus on countries that are part of the third</w:t>
      </w:r>
      <w:r w:rsidR="00F729A1">
        <w:t>-</w:t>
      </w:r>
      <w:r>
        <w:t xml:space="preserve">party circumvention hub identified in relation to Chinese exports (see Example 1 in the next </w:t>
      </w:r>
      <w:r w:rsidR="00342676">
        <w:t>section</w:t>
      </w:r>
      <w:r>
        <w:t>).</w:t>
      </w:r>
    </w:p>
    <w:p w14:paraId="1B4A3A15" w14:textId="77777777" w:rsidR="006E706D" w:rsidRPr="00551324" w:rsidRDefault="006E706D" w:rsidP="006E706D">
      <w:pPr>
        <w:pStyle w:val="NoSpacing"/>
        <w:spacing w:line="360" w:lineRule="auto"/>
        <w:rPr>
          <w:rFonts w:cs="Arial"/>
          <w:b/>
          <w:bCs/>
          <w:i/>
          <w:iCs/>
          <w:szCs w:val="24"/>
        </w:rPr>
      </w:pPr>
      <w:r w:rsidRPr="00551324">
        <w:rPr>
          <w:rFonts w:cs="Arial"/>
          <w:b/>
          <w:bCs/>
          <w:i/>
          <w:iCs/>
          <w:szCs w:val="24"/>
        </w:rPr>
        <w:t>Malaysia</w:t>
      </w:r>
    </w:p>
    <w:p w14:paraId="09A2EBA3" w14:textId="471464B0" w:rsidR="006E706D" w:rsidRDefault="006E706D" w:rsidP="00016CC0">
      <w:r w:rsidRPr="00A73EAC">
        <w:t>The Department of Statistics Malaysia’s Monthly Manufacturing Statistics is a dataset based on a monthly survey covering 155 out of 259 industries in the manufacturing sector.</w:t>
      </w:r>
      <w:r w:rsidR="008D3D1B">
        <w:rPr>
          <w:rStyle w:val="FootnoteReference"/>
          <w:rFonts w:cs="Arial"/>
          <w:szCs w:val="24"/>
        </w:rPr>
        <w:footnoteReference w:id="23"/>
      </w:r>
      <w:r w:rsidRPr="00A73EAC">
        <w:t xml:space="preserve"> It records a number of data points, including sales value, number of paid employees, and salaries and wages paid. The results of the survey are published with a </w:t>
      </w:r>
      <w:r w:rsidR="00F729A1">
        <w:t>two-</w:t>
      </w:r>
      <w:r w:rsidRPr="00A73EAC">
        <w:t xml:space="preserve">month lag, with the latest figures </w:t>
      </w:r>
      <w:r w:rsidR="00F729A1">
        <w:t>at time</w:t>
      </w:r>
      <w:r w:rsidR="00F729A1" w:rsidRPr="00A73EAC">
        <w:t xml:space="preserve"> </w:t>
      </w:r>
      <w:r w:rsidRPr="00A73EAC">
        <w:t>of writing covering November 2021. The results are presented at the division (2</w:t>
      </w:r>
      <w:r w:rsidR="00C858FA">
        <w:t>-</w:t>
      </w:r>
      <w:r w:rsidRPr="00A73EAC">
        <w:t xml:space="preserve">digit) level, using the Malaysia Standard Industrial Classification 2008 (which conforms closely to the ISIC Revision 4).  </w:t>
      </w:r>
    </w:p>
    <w:p w14:paraId="25D6719B" w14:textId="46E103A9" w:rsidR="006E706D" w:rsidRDefault="006E706D" w:rsidP="00016CC0">
      <w:r w:rsidRPr="00B25A27">
        <w:t>Whil</w:t>
      </w:r>
      <w:r w:rsidR="00745EF5">
        <w:t>e</w:t>
      </w:r>
      <w:r w:rsidRPr="00745EF5">
        <w:t xml:space="preserve"> it</w:t>
      </w:r>
      <w:r w:rsidRPr="00A73EAC">
        <w:t xml:space="preserve"> is </w:t>
      </w:r>
      <w:r>
        <w:t>valuable</w:t>
      </w:r>
      <w:r w:rsidRPr="00A73EAC">
        <w:t xml:space="preserve"> that the data </w:t>
      </w:r>
      <w:r w:rsidR="00F729A1">
        <w:t>is</w:t>
      </w:r>
      <w:r w:rsidR="00F729A1" w:rsidRPr="00A73EAC">
        <w:t xml:space="preserve"> </w:t>
      </w:r>
      <w:r w:rsidRPr="00A73EAC">
        <w:t>presented monthly, with a short time lag for publication, its highly aggregated nature means it is unlikely that changes in production would be detectable using this data</w:t>
      </w:r>
      <w:r>
        <w:t>.</w:t>
      </w:r>
    </w:p>
    <w:p w14:paraId="26B82E93" w14:textId="77777777" w:rsidR="006E706D" w:rsidRPr="00A73EAC" w:rsidRDefault="006E706D" w:rsidP="006E706D">
      <w:pPr>
        <w:pStyle w:val="NoSpacing"/>
        <w:spacing w:line="360" w:lineRule="auto"/>
        <w:rPr>
          <w:rFonts w:cs="Arial"/>
          <w:b/>
          <w:bCs/>
          <w:i/>
          <w:iCs/>
          <w:szCs w:val="24"/>
        </w:rPr>
      </w:pPr>
      <w:r w:rsidRPr="00A73EAC">
        <w:rPr>
          <w:rFonts w:cs="Arial"/>
          <w:b/>
          <w:bCs/>
          <w:i/>
          <w:iCs/>
          <w:szCs w:val="24"/>
        </w:rPr>
        <w:t>Taiwan</w:t>
      </w:r>
    </w:p>
    <w:p w14:paraId="02DF8BA2" w14:textId="3455AE6F" w:rsidR="006E706D" w:rsidRDefault="006E706D" w:rsidP="00016CC0">
      <w:r w:rsidRPr="00A73EAC">
        <w:t>The Department of Statistics, Ministry of Economic Affair</w:t>
      </w:r>
      <w:r>
        <w:t>s’</w:t>
      </w:r>
      <w:r w:rsidRPr="00A73EAC">
        <w:t xml:space="preserve"> monthly industrial production, shipment and inventory survey in Taiwan is published monthly and covers five industrial sectors: mining and quarrying, manufacturing, electricity </w:t>
      </w:r>
      <w:r w:rsidR="00F729A1">
        <w:t>and</w:t>
      </w:r>
      <w:r w:rsidRPr="00A73EAC">
        <w:t xml:space="preserve"> gas supply, water supply and building construction.</w:t>
      </w:r>
      <w:r w:rsidR="008D3D1B">
        <w:rPr>
          <w:rStyle w:val="FootnoteReference"/>
          <w:rFonts w:cs="Arial"/>
          <w:szCs w:val="24"/>
        </w:rPr>
        <w:footnoteReference w:id="24"/>
      </w:r>
      <w:r w:rsidRPr="00A73EAC">
        <w:t xml:space="preserve"> It covers a range of data, including production volume, inventory volume, production value, and inventory value amongst others. The data is provided at both the 4</w:t>
      </w:r>
      <w:r w:rsidR="00DD2810">
        <w:t>-</w:t>
      </w:r>
      <w:r w:rsidRPr="00A73EAC">
        <w:t>digit ISIC level and at a more detailed 7</w:t>
      </w:r>
      <w:r w:rsidR="00DD2810">
        <w:t>-</w:t>
      </w:r>
      <w:r w:rsidRPr="00A73EAC">
        <w:t xml:space="preserve">digit level. The latest available data </w:t>
      </w:r>
      <w:r w:rsidR="00D92C4D">
        <w:t>is</w:t>
      </w:r>
      <w:r w:rsidR="00D92C4D" w:rsidRPr="00A73EAC">
        <w:t xml:space="preserve"> </w:t>
      </w:r>
      <w:r w:rsidRPr="00A73EAC">
        <w:t>for October 2021</w:t>
      </w:r>
      <w:r>
        <w:t>.</w:t>
      </w:r>
    </w:p>
    <w:p w14:paraId="72AAF580" w14:textId="41FEA0CB" w:rsidR="006E706D" w:rsidRDefault="006E706D" w:rsidP="00016CC0">
      <w:r w:rsidRPr="00A73EAC">
        <w:t xml:space="preserve">The regular frequency of publication, relatively high degree of granularity and monthly breakdown </w:t>
      </w:r>
      <w:r>
        <w:t xml:space="preserve">together </w:t>
      </w:r>
      <w:r w:rsidRPr="00A73EAC">
        <w:t xml:space="preserve">suggest this data set could be a useful tool </w:t>
      </w:r>
      <w:r w:rsidR="00D92C4D">
        <w:t>for</w:t>
      </w:r>
      <w:r w:rsidR="00D92C4D" w:rsidRPr="00A73EAC">
        <w:t xml:space="preserve"> </w:t>
      </w:r>
      <w:r w:rsidRPr="00A73EAC">
        <w:t>assess</w:t>
      </w:r>
      <w:r w:rsidR="00D92C4D">
        <w:t>ing</w:t>
      </w:r>
      <w:r w:rsidRPr="00A73EAC">
        <w:t xml:space="preserve"> production levels. The key challenge</w:t>
      </w:r>
      <w:r w:rsidR="00D92C4D">
        <w:t>,</w:t>
      </w:r>
      <w:r w:rsidRPr="00A73EAC">
        <w:t xml:space="preserve"> however</w:t>
      </w:r>
      <w:r w:rsidR="00D92C4D">
        <w:t>,</w:t>
      </w:r>
      <w:r w:rsidRPr="00A73EAC">
        <w:t xml:space="preserve"> is mapping the specific </w:t>
      </w:r>
      <w:r>
        <w:t>product</w:t>
      </w:r>
      <w:r w:rsidRPr="00A73EAC">
        <w:t xml:space="preserve"> codes from </w:t>
      </w:r>
      <w:r>
        <w:t>circumvention</w:t>
      </w:r>
      <w:r w:rsidRPr="00A73EAC">
        <w:t xml:space="preserve"> cases to the Taiwanese industrial classification system.</w:t>
      </w:r>
    </w:p>
    <w:p w14:paraId="4588CC6B" w14:textId="77777777" w:rsidR="006E706D" w:rsidRPr="000A6049" w:rsidRDefault="006E706D" w:rsidP="006E706D">
      <w:pPr>
        <w:pStyle w:val="NoSpacing"/>
        <w:spacing w:line="360" w:lineRule="auto"/>
        <w:rPr>
          <w:rFonts w:cs="Arial"/>
          <w:b/>
          <w:bCs/>
          <w:i/>
          <w:iCs/>
          <w:szCs w:val="24"/>
        </w:rPr>
      </w:pPr>
      <w:bookmarkStart w:id="63" w:name="_Hlk101433383"/>
      <w:r w:rsidRPr="000A6049">
        <w:rPr>
          <w:rFonts w:cs="Arial"/>
          <w:b/>
          <w:bCs/>
          <w:i/>
          <w:iCs/>
          <w:szCs w:val="24"/>
        </w:rPr>
        <w:t>Singapore</w:t>
      </w:r>
    </w:p>
    <w:p w14:paraId="2C16FB57" w14:textId="09413035" w:rsidR="006E706D" w:rsidRPr="00364B39" w:rsidRDefault="006E706D" w:rsidP="00016CC0">
      <w:r w:rsidRPr="000A6049">
        <w:t>The Singapore Economic Development Board publish</w:t>
      </w:r>
      <w:r>
        <w:t>es</w:t>
      </w:r>
      <w:r w:rsidRPr="000A6049">
        <w:t xml:space="preserve"> two relevant data sets: manufacturing output by industry</w:t>
      </w:r>
      <w:r w:rsidR="00172F38">
        <w:rPr>
          <w:rStyle w:val="FootnoteReference"/>
          <w:rFonts w:cs="Arial"/>
          <w:szCs w:val="24"/>
        </w:rPr>
        <w:footnoteReference w:id="25"/>
      </w:r>
      <w:r w:rsidRPr="000A6049">
        <w:t xml:space="preserve"> and </w:t>
      </w:r>
      <w:r w:rsidRPr="00364B39">
        <w:t xml:space="preserve">the </w:t>
      </w:r>
      <w:r w:rsidRPr="00B25A27">
        <w:t>index of industrial production</w:t>
      </w:r>
      <w:r w:rsidRPr="00364B39">
        <w:t>.</w:t>
      </w:r>
      <w:r w:rsidR="00172F38" w:rsidRPr="00364B39">
        <w:rPr>
          <w:rStyle w:val="FootnoteReference"/>
          <w:rFonts w:cs="Arial"/>
          <w:szCs w:val="24"/>
        </w:rPr>
        <w:footnoteReference w:id="26"/>
      </w:r>
      <w:r w:rsidRPr="00364B39">
        <w:t xml:space="preserve"> The former is published on an annual basis and reports the value of manufacturing output in Singapore for 21 industrial classifications (according to Singapore Standard Industrial Classification (SSIC) 2020). The latest data </w:t>
      </w:r>
      <w:r w:rsidR="00D92C4D" w:rsidRPr="00364B39">
        <w:t xml:space="preserve">is </w:t>
      </w:r>
      <w:r w:rsidRPr="00364B39">
        <w:t xml:space="preserve">for 2020. For the latter, this is published on a monthly basis (with a </w:t>
      </w:r>
      <w:r w:rsidR="00D92C4D" w:rsidRPr="00364B39">
        <w:t>one-</w:t>
      </w:r>
      <w:r w:rsidRPr="00364B39">
        <w:t>month lag) and reports in index form the percentage change in manufacturing output for the same 21 industrial classifications. The latest data is for November 2021.</w:t>
      </w:r>
    </w:p>
    <w:p w14:paraId="23584AB2" w14:textId="48DD86CC" w:rsidR="006E706D" w:rsidRDefault="006E706D" w:rsidP="00016CC0">
      <w:r w:rsidRPr="00B25A27">
        <w:t>Whil</w:t>
      </w:r>
      <w:r w:rsidR="00364B39">
        <w:t>e</w:t>
      </w:r>
      <w:r w:rsidRPr="00364B39">
        <w:t xml:space="preserve"> it is an advantage that the </w:t>
      </w:r>
      <w:r w:rsidRPr="00B25A27">
        <w:t>index of industrial production</w:t>
      </w:r>
      <w:r w:rsidRPr="00364B39">
        <w:t xml:space="preserve"> data is presented</w:t>
      </w:r>
      <w:r w:rsidRPr="000A6049">
        <w:t xml:space="preserve"> monthly with a short time lag for publication, its highly aggregated nature means it is unlikely that changes in production would be detectable using this data. Similar considerations apply for the output in manufacturing by industry data set, which is also highly aggregated, but with the added disadvantage of only being presented annually. This means intra-year changes may be difficult to detect.</w:t>
      </w:r>
    </w:p>
    <w:p w14:paraId="770F9FAD" w14:textId="77777777" w:rsidR="006E706D" w:rsidRPr="00B10115" w:rsidRDefault="006E706D" w:rsidP="006E706D">
      <w:pPr>
        <w:pStyle w:val="NoSpacing"/>
        <w:spacing w:line="360" w:lineRule="auto"/>
        <w:rPr>
          <w:rFonts w:cs="Arial"/>
          <w:b/>
          <w:bCs/>
          <w:i/>
          <w:iCs/>
          <w:szCs w:val="24"/>
        </w:rPr>
      </w:pPr>
      <w:r w:rsidRPr="00B10115">
        <w:rPr>
          <w:rFonts w:cs="Arial"/>
          <w:b/>
          <w:bCs/>
          <w:i/>
          <w:iCs/>
          <w:szCs w:val="24"/>
        </w:rPr>
        <w:t>Indonesia</w:t>
      </w:r>
    </w:p>
    <w:p w14:paraId="2D6DA8B5" w14:textId="781C208E" w:rsidR="006E706D" w:rsidRDefault="006E706D" w:rsidP="00016CC0">
      <w:r w:rsidRPr="002F2732">
        <w:t xml:space="preserve">Statistics Indonesia splits its manufacturing datasets into the two data series: </w:t>
      </w:r>
      <w:r w:rsidR="00D92C4D">
        <w:t>“</w:t>
      </w:r>
      <w:r w:rsidRPr="002F2732">
        <w:t>large and medium industry</w:t>
      </w:r>
      <w:r w:rsidR="00D92C4D">
        <w:t>”</w:t>
      </w:r>
      <w:r w:rsidR="00172F38">
        <w:rPr>
          <w:rStyle w:val="FootnoteReference"/>
          <w:rFonts w:cs="Arial"/>
          <w:szCs w:val="24"/>
        </w:rPr>
        <w:footnoteReference w:id="27"/>
      </w:r>
      <w:r w:rsidRPr="002F2732">
        <w:t xml:space="preserve"> and </w:t>
      </w:r>
      <w:r w:rsidR="00D92C4D">
        <w:t>“</w:t>
      </w:r>
      <w:r w:rsidRPr="002F2732">
        <w:t>small and micro industry</w:t>
      </w:r>
      <w:r w:rsidR="00D92C4D">
        <w:t>”.</w:t>
      </w:r>
      <w:r w:rsidR="00172F38">
        <w:rPr>
          <w:rStyle w:val="FootnoteReference"/>
          <w:rFonts w:cs="Arial"/>
          <w:szCs w:val="24"/>
        </w:rPr>
        <w:footnoteReference w:id="28"/>
      </w:r>
      <w:r w:rsidRPr="002F2732">
        <w:t xml:space="preserve"> The large and medium manufacturing series includes monthly</w:t>
      </w:r>
      <w:r w:rsidR="00172F38">
        <w:rPr>
          <w:rStyle w:val="FootnoteReference"/>
          <w:rFonts w:cs="Arial"/>
          <w:szCs w:val="24"/>
        </w:rPr>
        <w:footnoteReference w:id="29"/>
      </w:r>
      <w:r w:rsidRPr="002F2732">
        <w:t xml:space="preserve"> and quarterly</w:t>
      </w:r>
      <w:r w:rsidR="00172F38">
        <w:rPr>
          <w:rStyle w:val="FootnoteReference"/>
          <w:rFonts w:cs="Arial"/>
          <w:szCs w:val="24"/>
        </w:rPr>
        <w:footnoteReference w:id="30"/>
      </w:r>
      <w:r w:rsidRPr="002F2732">
        <w:t xml:space="preserve"> production index data disaggregated into 33 subsectors (identified via a 2</w:t>
      </w:r>
      <w:r w:rsidR="00C858FA">
        <w:t>-</w:t>
      </w:r>
      <w:r w:rsidRPr="002F2732">
        <w:t>digit ISIC code). These include “</w:t>
      </w:r>
      <w:r w:rsidR="00D92C4D">
        <w:t>c</w:t>
      </w:r>
      <w:r w:rsidRPr="002F2732">
        <w:t>oal, petroleum refining and natural gas processing, refined products from petroleum, and nuclear materials” and “</w:t>
      </w:r>
      <w:r w:rsidR="00D92C4D">
        <w:t>n</w:t>
      </w:r>
      <w:r w:rsidRPr="002F2732">
        <w:t>on-metal excavated goods”. For the same subsectors, there is also annual data on value added (</w:t>
      </w:r>
      <w:r w:rsidR="00D92C4D">
        <w:t>m</w:t>
      </w:r>
      <w:r w:rsidRPr="002F2732">
        <w:t xml:space="preserve">arket </w:t>
      </w:r>
      <w:r w:rsidR="00D92C4D">
        <w:t>p</w:t>
      </w:r>
      <w:r w:rsidRPr="002F2732">
        <w:t xml:space="preserve">rice). The small and micro industry data series contains the same data but with slightly different subsectors and only available </w:t>
      </w:r>
      <w:r>
        <w:t>on a quarterly basis</w:t>
      </w:r>
      <w:r w:rsidRPr="002F2732">
        <w:t xml:space="preserve">. Both series also contain datasets on the number of workers employed and value of gross output by the same subsectors. However, both are only available </w:t>
      </w:r>
      <w:r>
        <w:t>annually</w:t>
      </w:r>
      <w:r w:rsidRPr="002F2732">
        <w:t xml:space="preserve">. The latest time period available for all these datasets is December/Q4 2019, </w:t>
      </w:r>
      <w:r w:rsidR="00D92C4D">
        <w:t>apart</w:t>
      </w:r>
      <w:r w:rsidR="00D92C4D" w:rsidRPr="002F2732">
        <w:t xml:space="preserve"> </w:t>
      </w:r>
      <w:r w:rsidRPr="002F2732">
        <w:t>from total workers in large and medium manufacturing</w:t>
      </w:r>
      <w:r w:rsidR="002C289A">
        <w:t>,</w:t>
      </w:r>
      <w:r w:rsidRPr="002F2732">
        <w:t xml:space="preserve"> which is available up to 2018.</w:t>
      </w:r>
    </w:p>
    <w:p w14:paraId="5FAEB6AA" w14:textId="77777777" w:rsidR="006E706D" w:rsidRDefault="006E706D" w:rsidP="00016CC0">
      <w:r w:rsidRPr="002F2732">
        <w:t>The most useful dataset available in terms of level of aggregation and the time periods available is the large and medium manufacturing index dataset, which is available quarterly. However the 33 subsectors are still quite broad.</w:t>
      </w:r>
    </w:p>
    <w:p w14:paraId="1290225B" w14:textId="77777777" w:rsidR="006E706D" w:rsidRPr="00B10115" w:rsidRDefault="006E706D" w:rsidP="006E706D">
      <w:pPr>
        <w:pStyle w:val="NoSpacing"/>
        <w:spacing w:line="360" w:lineRule="auto"/>
        <w:rPr>
          <w:rFonts w:cs="Arial"/>
          <w:b/>
          <w:bCs/>
          <w:i/>
          <w:iCs/>
          <w:szCs w:val="24"/>
        </w:rPr>
      </w:pPr>
      <w:r w:rsidRPr="00B10115">
        <w:rPr>
          <w:rFonts w:cs="Arial"/>
          <w:b/>
          <w:bCs/>
          <w:i/>
          <w:iCs/>
          <w:szCs w:val="24"/>
        </w:rPr>
        <w:t>Vietnam</w:t>
      </w:r>
    </w:p>
    <w:p w14:paraId="3E82B794" w14:textId="110064E0" w:rsidR="006E706D" w:rsidRDefault="006E706D" w:rsidP="00016CC0">
      <w:r w:rsidRPr="002F2732">
        <w:t xml:space="preserve">Vietnam’s General Statistics Office offers two relevant datasets. The first, </w:t>
      </w:r>
      <w:r w:rsidRPr="002C289A">
        <w:t xml:space="preserve">an </w:t>
      </w:r>
      <w:r w:rsidRPr="00B25A27">
        <w:t>index of industrial production</w:t>
      </w:r>
      <w:r w:rsidRPr="002C289A">
        <w:t xml:space="preserve"> by industrial activity</w:t>
      </w:r>
      <w:r w:rsidR="00D92C4D" w:rsidRPr="002C289A">
        <w:t>,</w:t>
      </w:r>
      <w:r w:rsidR="00172F38" w:rsidRPr="002C289A">
        <w:rPr>
          <w:rStyle w:val="FootnoteReference"/>
          <w:rFonts w:cs="Arial"/>
          <w:szCs w:val="24"/>
        </w:rPr>
        <w:footnoteReference w:id="31"/>
      </w:r>
      <w:r w:rsidRPr="002C289A">
        <w:t xml:space="preserve"> disaggregates industrial produc</w:t>
      </w:r>
      <w:r w:rsidRPr="002F2732">
        <w:t>tion into 35 subsectors including “</w:t>
      </w:r>
      <w:r w:rsidR="00D92C4D">
        <w:t>m</w:t>
      </w:r>
      <w:r w:rsidRPr="002F2732">
        <w:t>anufacture of paper and paper products” and “</w:t>
      </w:r>
      <w:r w:rsidR="00D92C4D">
        <w:t>m</w:t>
      </w:r>
      <w:r w:rsidRPr="002F2732">
        <w:t>anufacture of leather and related products”. The second, the production value of industrial products</w:t>
      </w:r>
      <w:r w:rsidR="00D92C4D">
        <w:t>,</w:t>
      </w:r>
      <w:r w:rsidR="00172F38">
        <w:rPr>
          <w:rStyle w:val="FootnoteReference"/>
          <w:rFonts w:cs="Arial"/>
          <w:szCs w:val="24"/>
        </w:rPr>
        <w:footnoteReference w:id="32"/>
      </w:r>
      <w:r w:rsidRPr="002F2732">
        <w:t xml:space="preserve"> disaggregates into 83 products including “</w:t>
      </w:r>
      <w:r w:rsidR="00D92C4D">
        <w:t>s</w:t>
      </w:r>
      <w:r w:rsidRPr="002F2732">
        <w:t>odium glutamate” and “toothpastes”. Both are available in annual time periods only. The latest time period for both is 2019 and a “preliminary 2020”.</w:t>
      </w:r>
    </w:p>
    <w:p w14:paraId="47D82F2A" w14:textId="77777777" w:rsidR="006E706D" w:rsidRDefault="006E706D" w:rsidP="00016CC0">
      <w:r w:rsidRPr="002F2732">
        <w:t>The main industrial products dataset offers a fairly detailed level of disaggregation. However, both are limited by their availability in annual time periods only.</w:t>
      </w:r>
    </w:p>
    <w:p w14:paraId="5ABCA23B" w14:textId="77777777" w:rsidR="006E706D" w:rsidRPr="00B10115" w:rsidRDefault="006E706D" w:rsidP="006E706D">
      <w:pPr>
        <w:pStyle w:val="NoSpacing"/>
        <w:spacing w:line="360" w:lineRule="auto"/>
        <w:rPr>
          <w:rFonts w:cs="Arial"/>
          <w:b/>
          <w:bCs/>
          <w:i/>
          <w:iCs/>
          <w:szCs w:val="24"/>
        </w:rPr>
      </w:pPr>
      <w:r w:rsidRPr="00B10115">
        <w:rPr>
          <w:rFonts w:cs="Arial"/>
          <w:b/>
          <w:bCs/>
          <w:i/>
          <w:iCs/>
          <w:szCs w:val="24"/>
        </w:rPr>
        <w:t>Sri Lanka</w:t>
      </w:r>
    </w:p>
    <w:p w14:paraId="11A8910C" w14:textId="46A8B943" w:rsidR="006E706D" w:rsidRDefault="006E706D" w:rsidP="00016CC0">
      <w:r w:rsidRPr="00B10115">
        <w:t>The Sri Lanka Department of Census and Statistics’ dataset “Index of Industrial Production (IIP)”</w:t>
      </w:r>
      <w:r w:rsidR="00172F38">
        <w:rPr>
          <w:rStyle w:val="FootnoteReference"/>
          <w:rFonts w:cs="Arial"/>
          <w:szCs w:val="24"/>
        </w:rPr>
        <w:footnoteReference w:id="33"/>
      </w:r>
      <w:r w:rsidRPr="00B10115">
        <w:t xml:space="preserve"> contains data in index</w:t>
      </w:r>
      <w:r w:rsidR="00276085">
        <w:t xml:space="preserve"> form</w:t>
      </w:r>
      <w:r w:rsidRPr="00B10115">
        <w:t xml:space="preserve"> </w:t>
      </w:r>
      <w:r>
        <w:t>(percentage</w:t>
      </w:r>
      <w:r w:rsidRPr="00B10115">
        <w:t xml:space="preserve"> change) by month (</w:t>
      </w:r>
      <w:r w:rsidR="00276085">
        <w:t>al</w:t>
      </w:r>
      <w:r w:rsidRPr="00B10115">
        <w:t xml:space="preserve">though a month per quarter appears to be excluded from the data). The data is </w:t>
      </w:r>
      <w:r>
        <w:t>disaggregated</w:t>
      </w:r>
      <w:r w:rsidRPr="00B10115">
        <w:t xml:space="preserve"> into 20 categories (2</w:t>
      </w:r>
      <w:r w:rsidR="00DD2810">
        <w:t>-</w:t>
      </w:r>
      <w:r w:rsidRPr="00B10115">
        <w:t>digit ISIC codes), including “</w:t>
      </w:r>
      <w:r w:rsidR="00276085">
        <w:t>m</w:t>
      </w:r>
      <w:r w:rsidRPr="00B10115">
        <w:t>anufacture of leather and related products”, and “</w:t>
      </w:r>
      <w:r w:rsidR="00276085">
        <w:t>m</w:t>
      </w:r>
      <w:r w:rsidRPr="00B10115">
        <w:t>anufacture of paper and paper products”. The latest time period available is Q3 2021.</w:t>
      </w:r>
      <w:r>
        <w:t xml:space="preserve"> </w:t>
      </w:r>
      <w:r w:rsidRPr="00B10115">
        <w:t>Although the dataset is in a monthly form, it is at a fairly high level of product aggregation</w:t>
      </w:r>
      <w:r>
        <w:t>.</w:t>
      </w:r>
    </w:p>
    <w:p w14:paraId="3681AB79" w14:textId="424435D4" w:rsidR="00B10115" w:rsidRDefault="00FA1C57" w:rsidP="0B87AE61">
      <w:pPr>
        <w:pStyle w:val="Heading3"/>
        <w:rPr>
          <w:rFonts w:cs="Arial"/>
          <w:b w:val="0"/>
        </w:rPr>
      </w:pPr>
      <w:bookmarkStart w:id="64" w:name="_Toc1435831084"/>
      <w:bookmarkStart w:id="65" w:name="_Toc118465286"/>
      <w:bookmarkEnd w:id="63"/>
      <w:r w:rsidRPr="0B87AE61">
        <w:rPr>
          <w:rFonts w:cs="Arial"/>
        </w:rPr>
        <w:t>4.3.4</w:t>
      </w:r>
      <w:r>
        <w:tab/>
      </w:r>
      <w:r w:rsidR="00B10115" w:rsidRPr="0B87AE61">
        <w:rPr>
          <w:rFonts w:cs="Arial"/>
        </w:rPr>
        <w:t>Dealing with limitations to official production data</w:t>
      </w:r>
      <w:bookmarkEnd w:id="64"/>
      <w:bookmarkEnd w:id="65"/>
    </w:p>
    <w:p w14:paraId="12877331" w14:textId="78F4028D" w:rsidR="00B10115" w:rsidRDefault="00B10115" w:rsidP="00016CC0">
      <w:r>
        <w:t xml:space="preserve">In principle, the use of production data from statistical sources could offer a means </w:t>
      </w:r>
      <w:r w:rsidR="002C289A">
        <w:t xml:space="preserve">for </w:t>
      </w:r>
      <w:r>
        <w:t>substantiating findings relating to changes to patterns of trade and</w:t>
      </w:r>
      <w:r w:rsidR="00276085">
        <w:t>,</w:t>
      </w:r>
      <w:r>
        <w:t xml:space="preserve"> specifically</w:t>
      </w:r>
      <w:r w:rsidR="00276085">
        <w:t>,</w:t>
      </w:r>
      <w:r>
        <w:t xml:space="preserve"> seeing whether these are connected to underlying drivers of industrial organisation. In practice, various limitations constrain the use of official sources and there appear</w:t>
      </w:r>
      <w:r w:rsidR="00F626B1">
        <w:t>s</w:t>
      </w:r>
      <w:r>
        <w:t xml:space="preserve"> to be no case in which these sources have played an influential part. Moreover, they are not equipped to deal with the types of calculations required for the threshold values set in EU and UK legislation.</w:t>
      </w:r>
    </w:p>
    <w:p w14:paraId="5CAD3BB7" w14:textId="5B923876" w:rsidR="00B10115" w:rsidRDefault="00B10115" w:rsidP="00016CC0">
      <w:r>
        <w:t xml:space="preserve">This in turn reinforces the role played by primary data gathering through site </w:t>
      </w:r>
      <w:r w:rsidRPr="00B10115">
        <w:t xml:space="preserve">inspections and information retrieved </w:t>
      </w:r>
      <w:r>
        <w:t>through question</w:t>
      </w:r>
      <w:r w:rsidR="00CA5871">
        <w:t>-</w:t>
      </w:r>
      <w:r>
        <w:t>and</w:t>
      </w:r>
      <w:r w:rsidR="00CA5871">
        <w:t>-</w:t>
      </w:r>
      <w:r>
        <w:t xml:space="preserve">answer processes with respondents, </w:t>
      </w:r>
      <w:r w:rsidRPr="00B10115">
        <w:t xml:space="preserve">notably about production facilities and investment. The quality of information received depends on the willingness of parties to cooperate. In the </w:t>
      </w:r>
      <w:r>
        <w:t xml:space="preserve">EU </w:t>
      </w:r>
      <w:r w:rsidRPr="00B10115">
        <w:t xml:space="preserve">biodiesel case, the level of cooperation received was high and </w:t>
      </w:r>
      <w:r w:rsidR="00276085">
        <w:t xml:space="preserve">the </w:t>
      </w:r>
      <w:r w:rsidRPr="00B10115">
        <w:t xml:space="preserve">data </w:t>
      </w:r>
      <w:r w:rsidR="00276085">
        <w:t xml:space="preserve">was </w:t>
      </w:r>
      <w:r w:rsidRPr="00B10115">
        <w:t xml:space="preserve">deemed reliable, while in the </w:t>
      </w:r>
      <w:r>
        <w:t xml:space="preserve">EU </w:t>
      </w:r>
      <w:r w:rsidR="00276085">
        <w:t>w</w:t>
      </w:r>
      <w:r w:rsidRPr="00B10115">
        <w:t xml:space="preserve">ire </w:t>
      </w:r>
      <w:r w:rsidR="00276085">
        <w:t>m</w:t>
      </w:r>
      <w:r w:rsidRPr="00B10115">
        <w:t xml:space="preserve">esh and </w:t>
      </w:r>
      <w:r w:rsidR="00276085">
        <w:t>b</w:t>
      </w:r>
      <w:r w:rsidRPr="00B10115">
        <w:t>icycles cases, for example, this was not deemed to be the case.</w:t>
      </w:r>
    </w:p>
    <w:p w14:paraId="0456C9A2" w14:textId="531E79A6" w:rsidR="00B10115" w:rsidRDefault="00B10115" w:rsidP="00016CC0">
      <w:r w:rsidRPr="00B10115">
        <w:t xml:space="preserve">Information received via questionnaires and visits will </w:t>
      </w:r>
      <w:r w:rsidR="00276085" w:rsidRPr="00B10115">
        <w:t xml:space="preserve">inevitably </w:t>
      </w:r>
      <w:r w:rsidRPr="00B10115">
        <w:t xml:space="preserve">need to be assessed. In the EU, reported costs associated with production activities and data on imported products are evaluated against the thresholds set by legislation. The process for determining what constitutes reliable data is as yet unclear and could be elucidated via discussions with the authorities. </w:t>
      </w:r>
    </w:p>
    <w:p w14:paraId="71D2CCF1" w14:textId="20F6D3EB" w:rsidR="006B591F" w:rsidRDefault="00B10115" w:rsidP="00016CC0">
      <w:r>
        <w:t>In that context, the role of expert advice could be considered. S</w:t>
      </w:r>
      <w:r w:rsidRPr="00B10115">
        <w:t xml:space="preserve">ome cases, notably in the </w:t>
      </w:r>
      <w:r w:rsidR="00403A85">
        <w:t>United States</w:t>
      </w:r>
      <w:r w:rsidRPr="00B10115">
        <w:t xml:space="preserve"> involving assembly operations, </w:t>
      </w:r>
      <w:r>
        <w:t>underscore</w:t>
      </w:r>
      <w:r w:rsidRPr="00B10115">
        <w:t xml:space="preserve"> the need for expert evidence as to what constitutes feasible or optimal ways of organising production (e.g. the extent of vertical integration). In the case of biodiesel imports into the EU, the EC determined that Canadian biodiesel production was at an infant industry stage and</w:t>
      </w:r>
      <w:r w:rsidR="00276085">
        <w:t>,</w:t>
      </w:r>
      <w:r w:rsidRPr="00B10115">
        <w:t xml:space="preserve"> therefore</w:t>
      </w:r>
      <w:r w:rsidR="00276085">
        <w:t>,</w:t>
      </w:r>
      <w:r w:rsidRPr="00B10115">
        <w:t xml:space="preserve"> was unlikely to support the increase in volumes witnessed. The basis for this determination is not clear, </w:t>
      </w:r>
      <w:r w:rsidR="00276085">
        <w:t>al</w:t>
      </w:r>
      <w:r w:rsidRPr="00B10115">
        <w:t xml:space="preserve">though expert analysis could be used to substantiate </w:t>
      </w:r>
      <w:r w:rsidR="006E706D">
        <w:t>claims about production volumes. In practice, as documented in the deep-dive analysis, investigating authorities tend to rely on in-house or “within-government” expertise in carrying out such assessments.</w:t>
      </w:r>
    </w:p>
    <w:p w14:paraId="41E4A6BD" w14:textId="5ECED988" w:rsidR="00B975AA" w:rsidRDefault="00995BE5" w:rsidP="00017E4A">
      <w:r>
        <w:t>An analysis of trade and production data sources can help to frame the questions put to experts or personnel involved in site visits. For example, consider cases where there are surges in recorded imports from a particular destination and production data from the official sources described in this section are missing or cannot provide corroboration. The task of industry experts or site visits would be to assess the plausibility that observed surges reflect investment and production decisions in the country under investigation.</w:t>
      </w:r>
      <w:r w:rsidR="00B975AA">
        <w:br w:type="page"/>
      </w:r>
    </w:p>
    <w:p w14:paraId="381527A0" w14:textId="09BE8088" w:rsidR="006E706D" w:rsidRPr="003E0A7C" w:rsidRDefault="00FA1C57" w:rsidP="0B87AE61">
      <w:pPr>
        <w:pStyle w:val="Heading1"/>
        <w:rPr>
          <w:rFonts w:cs="Arial"/>
          <w:b w:val="0"/>
        </w:rPr>
      </w:pPr>
      <w:bookmarkStart w:id="66" w:name="_Toc101182676"/>
      <w:bookmarkStart w:id="67" w:name="_Toc118465287"/>
      <w:bookmarkStart w:id="68" w:name="_Toc1261098569"/>
      <w:r w:rsidRPr="0B87AE61">
        <w:rPr>
          <w:rFonts w:cs="Arial"/>
        </w:rPr>
        <w:t>5</w:t>
      </w:r>
      <w:r>
        <w:tab/>
      </w:r>
      <w:r w:rsidR="006E706D" w:rsidRPr="0B87AE61">
        <w:rPr>
          <w:rFonts w:cs="Arial"/>
        </w:rPr>
        <w:t>Proof of concept</w:t>
      </w:r>
      <w:bookmarkEnd w:id="66"/>
      <w:r w:rsidR="00F80727" w:rsidRPr="0B87AE61">
        <w:rPr>
          <w:rFonts w:cs="Arial"/>
        </w:rPr>
        <w:t xml:space="preserve"> and toolkit for circumvention investigations</w:t>
      </w:r>
      <w:bookmarkEnd w:id="67"/>
      <w:r w:rsidR="00F80727" w:rsidRPr="0B87AE61">
        <w:rPr>
          <w:rFonts w:cs="Arial"/>
        </w:rPr>
        <w:t xml:space="preserve"> </w:t>
      </w:r>
      <w:bookmarkEnd w:id="68"/>
    </w:p>
    <w:p w14:paraId="1E9DFB72" w14:textId="6B785E4B" w:rsidR="006E706D" w:rsidRDefault="00F80727" w:rsidP="00016CC0">
      <w:r>
        <w:t xml:space="preserve">The </w:t>
      </w:r>
      <w:r w:rsidRPr="002C289A">
        <w:t>preceding sections ana</w:t>
      </w:r>
      <w:r>
        <w:t>lysed the approaches taken by different jurisdictions conduct</w:t>
      </w:r>
      <w:r w:rsidR="00AE3697">
        <w:t>ing</w:t>
      </w:r>
      <w:r>
        <w:t xml:space="preserve"> circumvention investigations. They highlighted the challenges </w:t>
      </w:r>
      <w:r w:rsidR="00555859">
        <w:t>stemmin</w:t>
      </w:r>
      <w:r>
        <w:t xml:space="preserve">g </w:t>
      </w:r>
      <w:r w:rsidR="00555859">
        <w:t xml:space="preserve">from </w:t>
      </w:r>
      <w:r>
        <w:t>the counterfactual nature of the analysis required to make a determination concerning circumvention cases</w:t>
      </w:r>
      <w:r w:rsidR="00F72995">
        <w:t>,</w:t>
      </w:r>
      <w:r>
        <w:t xml:space="preserve"> </w:t>
      </w:r>
      <w:r w:rsidR="00F72995">
        <w:t>t</w:t>
      </w:r>
      <w:r>
        <w:t>hat is, comparing observed patterns of trade to one that might have arisen in the absence of duties and attributing this difference to specific categories of activities. The inherent challenges of such an analysis, coupled with time and data</w:t>
      </w:r>
      <w:r w:rsidR="00F72995">
        <w:t xml:space="preserve"> constraints</w:t>
      </w:r>
      <w:r>
        <w:t>, mean that authorities rely on a range of quantitative and qualitative information in making a determination. That in turn underscores the importance of a mixed</w:t>
      </w:r>
      <w:r w:rsidR="00F72995">
        <w:t>-</w:t>
      </w:r>
      <w:r>
        <w:t>methods approach.</w:t>
      </w:r>
    </w:p>
    <w:p w14:paraId="52BC94CF" w14:textId="2AB151A0" w:rsidR="00F80727" w:rsidRDefault="00F80727" w:rsidP="00016CC0">
      <w:r>
        <w:t>The key issue lies in ensuring that such an approach is implemented as rigorously as possible, given constraints on time and data. In this section, we explore how to develop a toolkit that would help enhance the rigour of investigations.</w:t>
      </w:r>
    </w:p>
    <w:p w14:paraId="0AB7ED0B" w14:textId="03C6658D" w:rsidR="00F80727" w:rsidRDefault="00F80727" w:rsidP="00016CC0">
      <w:r>
        <w:t xml:space="preserve">To begin with, </w:t>
      </w:r>
      <w:r w:rsidR="00F72995">
        <w:t xml:space="preserve">we </w:t>
      </w:r>
      <w:r>
        <w:t xml:space="preserve">consider three cases involving </w:t>
      </w:r>
      <w:r w:rsidR="00555859">
        <w:t>trade remed</w:t>
      </w:r>
      <w:r w:rsidR="00A37216">
        <w:t>y</w:t>
      </w:r>
      <w:r w:rsidR="00555859">
        <w:t xml:space="preserve"> </w:t>
      </w:r>
      <w:r>
        <w:t xml:space="preserve">duties and their circumvention. These cases act as a proof of concept in the sense </w:t>
      </w:r>
      <w:r w:rsidR="00F72995">
        <w:t xml:space="preserve">that </w:t>
      </w:r>
      <w:r>
        <w:t>they help to highlight:</w:t>
      </w:r>
    </w:p>
    <w:p w14:paraId="73A0D7EF" w14:textId="6D3280E7" w:rsidR="00F80727" w:rsidRPr="00865CDD" w:rsidRDefault="00A37216" w:rsidP="00F80727">
      <w:pPr>
        <w:pStyle w:val="NoSpacing"/>
        <w:numPr>
          <w:ilvl w:val="0"/>
          <w:numId w:val="14"/>
        </w:numPr>
        <w:spacing w:line="360" w:lineRule="auto"/>
        <w:rPr>
          <w:rFonts w:cs="Arial"/>
          <w:szCs w:val="24"/>
        </w:rPr>
      </w:pPr>
      <w:r w:rsidRPr="00865CDD">
        <w:rPr>
          <w:rFonts w:cs="Arial"/>
          <w:szCs w:val="24"/>
        </w:rPr>
        <w:t>H</w:t>
      </w:r>
      <w:r w:rsidR="00F80727" w:rsidRPr="00865CDD">
        <w:rPr>
          <w:rFonts w:cs="Arial"/>
          <w:szCs w:val="24"/>
        </w:rPr>
        <w:t xml:space="preserve">ow data can be used to enhance the analysis; </w:t>
      </w:r>
    </w:p>
    <w:p w14:paraId="2B43E0C2" w14:textId="532AE164" w:rsidR="00F80727" w:rsidRPr="00865CDD" w:rsidRDefault="00A37216" w:rsidP="00F80727">
      <w:pPr>
        <w:pStyle w:val="NoSpacing"/>
        <w:numPr>
          <w:ilvl w:val="0"/>
          <w:numId w:val="14"/>
        </w:numPr>
        <w:spacing w:line="360" w:lineRule="auto"/>
        <w:rPr>
          <w:rFonts w:cs="Arial"/>
          <w:szCs w:val="24"/>
        </w:rPr>
      </w:pPr>
      <w:r w:rsidRPr="00865CDD">
        <w:rPr>
          <w:rFonts w:cs="Arial"/>
          <w:szCs w:val="24"/>
        </w:rPr>
        <w:t>H</w:t>
      </w:r>
      <w:r w:rsidR="00F80727" w:rsidRPr="00865CDD">
        <w:rPr>
          <w:rFonts w:cs="Arial"/>
          <w:szCs w:val="24"/>
        </w:rPr>
        <w:t>ow far data limitations highlight the need for field research and data collection, as well as qualitative analysis</w:t>
      </w:r>
      <w:r w:rsidR="00E01FC8" w:rsidRPr="00865CDD">
        <w:rPr>
          <w:rFonts w:cs="Arial"/>
          <w:szCs w:val="24"/>
        </w:rPr>
        <w:t>;</w:t>
      </w:r>
    </w:p>
    <w:p w14:paraId="19A125D4" w14:textId="44742B94" w:rsidR="00F80727" w:rsidRPr="00865CDD" w:rsidRDefault="00A37216" w:rsidP="00573DDB">
      <w:pPr>
        <w:pStyle w:val="NoSpacing"/>
        <w:numPr>
          <w:ilvl w:val="0"/>
          <w:numId w:val="14"/>
        </w:numPr>
        <w:spacing w:line="360" w:lineRule="auto"/>
        <w:rPr>
          <w:rFonts w:cs="Arial"/>
          <w:szCs w:val="24"/>
        </w:rPr>
      </w:pPr>
      <w:r w:rsidRPr="00865CDD">
        <w:rPr>
          <w:rFonts w:cs="Arial"/>
          <w:szCs w:val="24"/>
        </w:rPr>
        <w:t>H</w:t>
      </w:r>
      <w:r w:rsidR="5614A142" w:rsidRPr="00865CDD">
        <w:rPr>
          <w:rFonts w:cs="Arial"/>
          <w:szCs w:val="24"/>
        </w:rPr>
        <w:t xml:space="preserve">ow exploiting existing data sources can help </w:t>
      </w:r>
      <w:r w:rsidRPr="00865CDD">
        <w:rPr>
          <w:rFonts w:cs="Arial"/>
          <w:szCs w:val="24"/>
        </w:rPr>
        <w:t xml:space="preserve">with </w:t>
      </w:r>
      <w:r w:rsidR="5614A142" w:rsidRPr="00865CDD">
        <w:rPr>
          <w:rFonts w:cs="Arial"/>
          <w:szCs w:val="24"/>
        </w:rPr>
        <w:t>identify</w:t>
      </w:r>
      <w:r w:rsidRPr="00865CDD">
        <w:rPr>
          <w:rFonts w:cs="Arial"/>
          <w:szCs w:val="24"/>
        </w:rPr>
        <w:t>ing</w:t>
      </w:r>
      <w:r w:rsidR="5614A142" w:rsidRPr="00865CDD">
        <w:rPr>
          <w:rFonts w:cs="Arial"/>
          <w:szCs w:val="24"/>
        </w:rPr>
        <w:t xml:space="preserve"> the questions considered through field research and qualitative analysis.  </w:t>
      </w:r>
    </w:p>
    <w:p w14:paraId="2C6C0580" w14:textId="37B8ACD3" w:rsidR="00F80727" w:rsidRDefault="00F80727" w:rsidP="00016CC0">
      <w:pPr>
        <w:spacing w:before="240"/>
      </w:pPr>
      <w:r>
        <w:t>On th</w:t>
      </w:r>
      <w:r w:rsidR="003C7CA5">
        <w:t>is</w:t>
      </w:r>
      <w:r>
        <w:t xml:space="preserve"> basis, we develop a toolkit and principles for putting this toolkit into practice.</w:t>
      </w:r>
    </w:p>
    <w:p w14:paraId="56D14652" w14:textId="280B7D0D" w:rsidR="0047308D" w:rsidRPr="00B25A27" w:rsidRDefault="0047308D" w:rsidP="00016CC0">
      <w:r w:rsidRPr="00B25A27">
        <w:t xml:space="preserve">Note that the case study examples included in this </w:t>
      </w:r>
      <w:r w:rsidR="00F72995">
        <w:t>section</w:t>
      </w:r>
      <w:r w:rsidRPr="00B25A27">
        <w:t xml:space="preserve"> represent independent analysis undertaken by Frontier Economics based on the information available to undertake this research and </w:t>
      </w:r>
      <w:r w:rsidR="00A37216">
        <w:t xml:space="preserve">they </w:t>
      </w:r>
      <w:r w:rsidRPr="00B25A27">
        <w:t>do not reflect the views of relevant investigating authorities. Nor do they reflect any findings or conclusions on any of the TRA’s current or future cases.</w:t>
      </w:r>
    </w:p>
    <w:p w14:paraId="55317329" w14:textId="46DB2424" w:rsidR="006E706D" w:rsidRDefault="00FA1C57" w:rsidP="0B87AE61">
      <w:pPr>
        <w:pStyle w:val="Heading2"/>
        <w:rPr>
          <w:rFonts w:cs="Arial"/>
          <w:b w:val="0"/>
        </w:rPr>
      </w:pPr>
      <w:bookmarkStart w:id="69" w:name="_Toc101182677"/>
      <w:bookmarkStart w:id="70" w:name="_Toc59669270"/>
      <w:bookmarkStart w:id="71" w:name="_Toc118465288"/>
      <w:r w:rsidRPr="0B87AE61">
        <w:rPr>
          <w:rFonts w:cs="Arial"/>
        </w:rPr>
        <w:t>5.1</w:t>
      </w:r>
      <w:r>
        <w:tab/>
      </w:r>
      <w:r w:rsidR="006E706D" w:rsidRPr="0B87AE61">
        <w:rPr>
          <w:rFonts w:cs="Arial"/>
        </w:rPr>
        <w:t>Example 1: Application of UN Comtrade data to a past EU transhipment case</w:t>
      </w:r>
      <w:bookmarkEnd w:id="69"/>
      <w:bookmarkEnd w:id="70"/>
      <w:bookmarkEnd w:id="71"/>
    </w:p>
    <w:p w14:paraId="745B3C07" w14:textId="6F678E84" w:rsidR="006E706D" w:rsidRPr="00486577" w:rsidRDefault="006E706D" w:rsidP="00016CC0">
      <w:r w:rsidRPr="00FE339A">
        <w:t>We replicate below the analysis for</w:t>
      </w:r>
      <w:r>
        <w:t xml:space="preserve"> an</w:t>
      </w:r>
      <w:r w:rsidRPr="00FE339A">
        <w:t xml:space="preserve"> EU transhipment case in 2011 relating to glass fibres (certain open mesh fabrics). The original </w:t>
      </w:r>
      <w:r>
        <w:t>anti-dumping</w:t>
      </w:r>
      <w:r w:rsidRPr="00FE339A">
        <w:t xml:space="preserve"> investigation was against </w:t>
      </w:r>
      <w:r w:rsidR="002406F0">
        <w:t>PRC</w:t>
      </w:r>
      <w:r w:rsidRPr="00FE339A">
        <w:t xml:space="preserve">, and the </w:t>
      </w:r>
      <w:r>
        <w:t>anti-circumvention</w:t>
      </w:r>
      <w:r w:rsidRPr="00FE339A">
        <w:t xml:space="preserve"> investigation was against Malaysia.</w:t>
      </w:r>
      <w:r>
        <w:t xml:space="preserve"> </w:t>
      </w:r>
      <w:r w:rsidRPr="00486577">
        <w:t xml:space="preserve">In the course of its investigation, the EC observed that “Imports of the product concerned from </w:t>
      </w:r>
      <w:r w:rsidRPr="00A37216">
        <w:t xml:space="preserve">the </w:t>
      </w:r>
      <w:r w:rsidR="002406F0">
        <w:t>PRC</w:t>
      </w:r>
      <w:r w:rsidR="00A37216">
        <w:t xml:space="preserve"> </w:t>
      </w:r>
      <w:r w:rsidRPr="00486577">
        <w:t xml:space="preserve">to the Union </w:t>
      </w:r>
      <w:r w:rsidRPr="00486577">
        <w:rPr>
          <w:i/>
          <w:iCs/>
        </w:rPr>
        <w:t>dropped dramatically</w:t>
      </w:r>
      <w:r w:rsidRPr="00486577">
        <w:t xml:space="preserve"> subsequent to the imposition of the provisional measures in February 2011 and of the definitive measures imposed” and that “exports of the product under investigation from Malaysia to the Union increased</w:t>
      </w:r>
      <w:r w:rsidRPr="00486577">
        <w:rPr>
          <w:i/>
          <w:iCs/>
        </w:rPr>
        <w:t xml:space="preserve"> significantly</w:t>
      </w:r>
      <w:r w:rsidRPr="00486577">
        <w:t xml:space="preserve"> in 2011” (emphases added).</w:t>
      </w:r>
    </w:p>
    <w:p w14:paraId="7F0B53CA" w14:textId="2F579E45" w:rsidR="006E706D" w:rsidRDefault="006E706D" w:rsidP="00016CC0">
      <w:r w:rsidRPr="00486577">
        <w:t xml:space="preserve">The EC </w:t>
      </w:r>
      <w:r>
        <w:t xml:space="preserve">placed particular weight on </w:t>
      </w:r>
      <w:r w:rsidRPr="00486577">
        <w:t>the finding that there had been no production in Malaysia before 2011, and that the companies responsible for production had been established in 2010 and 2011. This was treated as evidence that recorded production and exports from Malaysia were instances of circumvention.</w:t>
      </w:r>
      <w:r>
        <w:t xml:space="preserve"> </w:t>
      </w:r>
      <w:r w:rsidRPr="00486577">
        <w:t xml:space="preserve">Based on these facts alone, the finding of circumvention appears not to be secure. In particular, it cannot rule out the possibility that businesses, anticipating duties and a more restrictive stance </w:t>
      </w:r>
      <w:r w:rsidR="00606C3F" w:rsidRPr="00606C3F">
        <w:t>vis-à-vis</w:t>
      </w:r>
      <w:r w:rsidR="00606C3F" w:rsidRPr="00606C3F" w:rsidDel="00606C3F">
        <w:t xml:space="preserve"> </w:t>
      </w:r>
      <w:r w:rsidR="002406F0">
        <w:t>PRC</w:t>
      </w:r>
      <w:r w:rsidRPr="00486577">
        <w:t xml:space="preserve"> generally</w:t>
      </w:r>
      <w:r>
        <w:t>,</w:t>
      </w:r>
      <w:r w:rsidRPr="00486577">
        <w:t xml:space="preserve"> sought to relocate operations to Malaysia, at least in part</w:t>
      </w:r>
      <w:r>
        <w:t>.</w:t>
      </w:r>
    </w:p>
    <w:p w14:paraId="6EBA8E72" w14:textId="5A2CB704" w:rsidR="006E706D" w:rsidRDefault="006E706D" w:rsidP="00016CC0">
      <w:r w:rsidRPr="00610A9D">
        <w:t xml:space="preserve">To test this hypothesis, we use </w:t>
      </w:r>
      <w:r>
        <w:t xml:space="preserve">UN </w:t>
      </w:r>
      <w:r w:rsidRPr="00610A9D">
        <w:t xml:space="preserve">Comtrade </w:t>
      </w:r>
      <w:r>
        <w:t xml:space="preserve">data </w:t>
      </w:r>
      <w:r w:rsidRPr="00610A9D">
        <w:t xml:space="preserve">to analyse patterns </w:t>
      </w:r>
      <w:r>
        <w:t>in the value of</w:t>
      </w:r>
      <w:r w:rsidRPr="00610A9D">
        <w:t xml:space="preserve"> trade over </w:t>
      </w:r>
      <w:r>
        <w:t xml:space="preserve">the </w:t>
      </w:r>
      <w:r w:rsidRPr="00610A9D">
        <w:t>period</w:t>
      </w:r>
      <w:r>
        <w:t xml:space="preserve"> </w:t>
      </w:r>
      <w:r w:rsidR="00606C3F">
        <w:t xml:space="preserve">from </w:t>
      </w:r>
      <w:r>
        <w:t>2010 to 2013</w:t>
      </w:r>
      <w:r w:rsidRPr="00610A9D">
        <w:t>.</w:t>
      </w:r>
      <w:r>
        <w:rPr>
          <w:rStyle w:val="FootnoteReference"/>
          <w:rFonts w:cs="Arial"/>
          <w:szCs w:val="24"/>
        </w:rPr>
        <w:footnoteReference w:id="34"/>
      </w:r>
      <w:r w:rsidRPr="00610A9D">
        <w:t xml:space="preserve"> </w:t>
      </w:r>
      <w:r>
        <w:t>Monthly data prior to 2010 does not exist.</w:t>
      </w:r>
      <w:r>
        <w:rPr>
          <w:rStyle w:val="FootnoteReference"/>
          <w:rFonts w:cs="Arial"/>
          <w:szCs w:val="24"/>
        </w:rPr>
        <w:footnoteReference w:id="35"/>
      </w:r>
      <w:r>
        <w:t xml:space="preserve"> </w:t>
      </w:r>
      <w:r w:rsidRPr="00610A9D">
        <w:t xml:space="preserve">Starting with </w:t>
      </w:r>
      <w:r w:rsidR="003006D1">
        <w:fldChar w:fldCharType="begin"/>
      </w:r>
      <w:r w:rsidR="003006D1">
        <w:instrText xml:space="preserve"> REF _Ref112841459 \h </w:instrText>
      </w:r>
      <w:r w:rsidR="003006D1">
        <w:fldChar w:fldCharType="separate"/>
      </w:r>
      <w:r w:rsidR="003006D1">
        <w:t xml:space="preserve">Figure </w:t>
      </w:r>
      <w:r w:rsidR="003006D1">
        <w:rPr>
          <w:noProof/>
        </w:rPr>
        <w:t>4</w:t>
      </w:r>
      <w:r w:rsidR="003006D1">
        <w:fldChar w:fldCharType="end"/>
      </w:r>
      <w:r w:rsidRPr="00135EF1">
        <w:t>,</w:t>
      </w:r>
      <w:r w:rsidRPr="00831104">
        <w:t xml:space="preserve"> </w:t>
      </w:r>
      <w:r>
        <w:t xml:space="preserve">we see </w:t>
      </w:r>
      <w:r w:rsidRPr="00831104">
        <w:t xml:space="preserve">a marked increase in </w:t>
      </w:r>
      <w:r>
        <w:t xml:space="preserve">imports </w:t>
      </w:r>
      <w:r w:rsidRPr="00831104">
        <w:t xml:space="preserve">from </w:t>
      </w:r>
      <w:r w:rsidR="002406F0">
        <w:t>PRC</w:t>
      </w:r>
      <w:r w:rsidRPr="00831104">
        <w:t xml:space="preserve"> </w:t>
      </w:r>
      <w:r>
        <w:t xml:space="preserve">to the EU </w:t>
      </w:r>
      <w:r w:rsidRPr="00831104">
        <w:t>at the start of 2010</w:t>
      </w:r>
      <w:r w:rsidR="00A37216">
        <w:t>,</w:t>
      </w:r>
      <w:r w:rsidRPr="00831104">
        <w:t xml:space="preserve"> followed closely by the initial </w:t>
      </w:r>
      <w:r>
        <w:t xml:space="preserve">anti-dumping </w:t>
      </w:r>
      <w:r w:rsidRPr="00831104">
        <w:t xml:space="preserve">investigation </w:t>
      </w:r>
      <w:r>
        <w:t xml:space="preserve">in May 2010 </w:t>
      </w:r>
      <w:r w:rsidRPr="00831104">
        <w:t xml:space="preserve">(the first vertical line). </w:t>
      </w:r>
      <w:r>
        <w:t>Following the imposition of the first anti-dumping</w:t>
      </w:r>
      <w:r w:rsidR="00BC56D9">
        <w:t xml:space="preserve"> (</w:t>
      </w:r>
      <w:r w:rsidR="00373652">
        <w:t>“</w:t>
      </w:r>
      <w:r w:rsidR="00BC56D9">
        <w:t>AD</w:t>
      </w:r>
      <w:r w:rsidR="00373652">
        <w:t>” in the figures below</w:t>
      </w:r>
      <w:r w:rsidR="00BC56D9">
        <w:t>)</w:t>
      </w:r>
      <w:r>
        <w:t xml:space="preserve"> measures </w:t>
      </w:r>
      <w:r w:rsidRPr="00831104">
        <w:t xml:space="preserve">in February 2011 (the second vertical line), </w:t>
      </w:r>
      <w:r w:rsidR="00A37216">
        <w:t xml:space="preserve">we see </w:t>
      </w:r>
      <w:r w:rsidRPr="00831104">
        <w:t xml:space="preserve">a large decrease in imports from </w:t>
      </w:r>
      <w:r w:rsidR="002406F0">
        <w:t>PRC</w:t>
      </w:r>
      <w:r w:rsidRPr="00831104">
        <w:t xml:space="preserve">, a lag and then a large increase in imports from Malaysia. The third vertical line shows that when the </w:t>
      </w:r>
      <w:r>
        <w:t>anti-circumvention</w:t>
      </w:r>
      <w:r w:rsidRPr="00831104">
        <w:t xml:space="preserve"> </w:t>
      </w:r>
      <w:r w:rsidR="00BC56D9">
        <w:t>(</w:t>
      </w:r>
      <w:r w:rsidR="00373652">
        <w:t>“</w:t>
      </w:r>
      <w:r w:rsidR="00BC56D9">
        <w:t>AC</w:t>
      </w:r>
      <w:r w:rsidR="00373652">
        <w:t>” in the figures below</w:t>
      </w:r>
      <w:r w:rsidR="00BC56D9">
        <w:t xml:space="preserve">) </w:t>
      </w:r>
      <w:r>
        <w:t>investigation against Malaysia was initiated (in November 2011)</w:t>
      </w:r>
      <w:r w:rsidRPr="00831104">
        <w:t xml:space="preserve">, there was a </w:t>
      </w:r>
      <w:r>
        <w:t xml:space="preserve">concurrent </w:t>
      </w:r>
      <w:r w:rsidRPr="00831104">
        <w:t xml:space="preserve">fall in </w:t>
      </w:r>
      <w:r>
        <w:t>imports (which occur</w:t>
      </w:r>
      <w:r w:rsidR="00CF13A0">
        <w:t>r</w:t>
      </w:r>
      <w:r w:rsidR="00BC56D9">
        <w:t>ed</w:t>
      </w:r>
      <w:r>
        <w:t xml:space="preserve"> before the definitive measures were imposed in July 2012)</w:t>
      </w:r>
      <w:r w:rsidRPr="00831104">
        <w:t xml:space="preserve">. </w:t>
      </w:r>
      <w:r>
        <w:t>This matches the EC’s description of the pattern of trade but</w:t>
      </w:r>
      <w:r w:rsidR="00606C3F">
        <w:t>,</w:t>
      </w:r>
      <w:r>
        <w:t xml:space="preserve"> as outlined above, does not rule out the business relocation hypothesis.</w:t>
      </w:r>
    </w:p>
    <w:tbl>
      <w:tblPr>
        <w:tblStyle w:val="TableGrid"/>
        <w:tblW w:w="0" w:type="auto"/>
        <w:tblLook w:val="04A0" w:firstRow="1" w:lastRow="0" w:firstColumn="1" w:lastColumn="0" w:noHBand="0" w:noVBand="1"/>
      </w:tblPr>
      <w:tblGrid>
        <w:gridCol w:w="9016"/>
      </w:tblGrid>
      <w:tr w:rsidR="006E706D" w:rsidRPr="00F7615F" w14:paraId="51448769" w14:textId="77777777" w:rsidTr="00FE5F09">
        <w:tc>
          <w:tcPr>
            <w:tcW w:w="9016" w:type="dxa"/>
            <w:tcBorders>
              <w:bottom w:val="single" w:sz="4" w:space="0" w:color="auto"/>
            </w:tcBorders>
            <w:shd w:val="clear" w:color="auto" w:fill="24135F"/>
          </w:tcPr>
          <w:p w14:paraId="05A2CAA3" w14:textId="064A9798" w:rsidR="006E706D" w:rsidRPr="00731AB3" w:rsidRDefault="003006D1" w:rsidP="003006D1">
            <w:pPr>
              <w:pStyle w:val="Caption"/>
              <w:rPr>
                <w:rFonts w:cs="Arial"/>
                <w:i w:val="0"/>
                <w:iCs w:val="0"/>
                <w:szCs w:val="24"/>
              </w:rPr>
            </w:pPr>
            <w:bookmarkStart w:id="72" w:name="_Ref112841459"/>
            <w:r w:rsidRPr="00CF13A0">
              <w:rPr>
                <w:i w:val="0"/>
                <w:iCs w:val="0"/>
              </w:rPr>
              <w:t xml:space="preserve">Figure </w:t>
            </w:r>
            <w:r w:rsidR="00337849" w:rsidRPr="00CF13A0">
              <w:rPr>
                <w:i w:val="0"/>
                <w:iCs w:val="0"/>
              </w:rPr>
              <w:fldChar w:fldCharType="begin"/>
            </w:r>
            <w:r w:rsidR="00337849" w:rsidRPr="00CF13A0">
              <w:rPr>
                <w:i w:val="0"/>
                <w:iCs w:val="0"/>
              </w:rPr>
              <w:instrText xml:space="preserve"> SEQ Figure \* ARABIC </w:instrText>
            </w:r>
            <w:r w:rsidR="00337849" w:rsidRPr="00CF13A0">
              <w:rPr>
                <w:i w:val="0"/>
                <w:iCs w:val="0"/>
              </w:rPr>
              <w:fldChar w:fldCharType="separate"/>
            </w:r>
            <w:r w:rsidR="00625A64">
              <w:rPr>
                <w:i w:val="0"/>
                <w:iCs w:val="0"/>
                <w:noProof/>
              </w:rPr>
              <w:t>4</w:t>
            </w:r>
            <w:r w:rsidR="00337849" w:rsidRPr="00CF13A0">
              <w:rPr>
                <w:i w:val="0"/>
                <w:iCs w:val="0"/>
              </w:rPr>
              <w:fldChar w:fldCharType="end"/>
            </w:r>
            <w:bookmarkEnd w:id="72"/>
            <w:r w:rsidR="009069BC">
              <w:rPr>
                <w:i w:val="0"/>
                <w:iCs w:val="0"/>
              </w:rPr>
              <w:t>:</w:t>
            </w:r>
            <w:r>
              <w:t xml:space="preserve"> </w:t>
            </w:r>
            <w:r w:rsidR="006E706D" w:rsidRPr="00C378F2">
              <w:t xml:space="preserve">Value of monthly imports into the EU from </w:t>
            </w:r>
            <w:r w:rsidR="00631EC0">
              <w:t xml:space="preserve">the </w:t>
            </w:r>
            <w:r w:rsidR="00174DD3" w:rsidRPr="00C378F2">
              <w:t>PRC</w:t>
            </w:r>
            <w:r w:rsidR="006E706D" w:rsidRPr="00C378F2">
              <w:t xml:space="preserve"> and Malaysia for glass fibres (certain open mesh fabrics) for 2010 to 2013</w:t>
            </w:r>
          </w:p>
        </w:tc>
      </w:tr>
      <w:tr w:rsidR="006E706D" w:rsidRPr="00F7615F" w14:paraId="4648CDD5" w14:textId="77777777" w:rsidTr="00FE5F09">
        <w:trPr>
          <w:trHeight w:val="5525"/>
        </w:trPr>
        <w:tc>
          <w:tcPr>
            <w:tcW w:w="9016" w:type="dxa"/>
            <w:tcBorders>
              <w:bottom w:val="single" w:sz="4" w:space="0" w:color="auto"/>
            </w:tcBorders>
          </w:tcPr>
          <w:p w14:paraId="4D0BA9D3" w14:textId="77777777" w:rsidR="006E706D" w:rsidRPr="00B60235" w:rsidRDefault="006E706D" w:rsidP="00FE5F09">
            <w:pPr>
              <w:tabs>
                <w:tab w:val="center" w:pos="4400"/>
              </w:tabs>
              <w:jc w:val="center"/>
              <w:rPr>
                <w:rFonts w:cs="Arial"/>
                <w:noProof/>
                <w:sz w:val="12"/>
                <w:szCs w:val="12"/>
              </w:rPr>
            </w:pPr>
          </w:p>
          <w:p w14:paraId="537EE5F5" w14:textId="5A04F32A" w:rsidR="006E706D" w:rsidRPr="00F7615F" w:rsidRDefault="00C12A4F" w:rsidP="00FE5F09">
            <w:pPr>
              <w:tabs>
                <w:tab w:val="center" w:pos="4400"/>
              </w:tabs>
              <w:jc w:val="center"/>
              <w:rPr>
                <w:rFonts w:cs="Arial"/>
                <w:noProof/>
                <w:szCs w:val="24"/>
              </w:rPr>
            </w:pPr>
            <w:r w:rsidRPr="00C12A4F">
              <w:rPr>
                <w:rFonts w:cs="Arial"/>
                <w:noProof/>
                <w:szCs w:val="24"/>
              </w:rPr>
              <w:drawing>
                <wp:inline distT="0" distB="0" distL="0" distR="0" wp14:anchorId="74A2E625" wp14:editId="5EA3B4C6">
                  <wp:extent cx="5536487" cy="3618000"/>
                  <wp:effectExtent l="0" t="0" r="762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4558"/>
                          <a:stretch/>
                        </pic:blipFill>
                        <pic:spPr bwMode="auto">
                          <a:xfrm>
                            <a:off x="0" y="0"/>
                            <a:ext cx="5536487" cy="361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E706D" w:rsidRPr="00BC5820" w14:paraId="003B65FA" w14:textId="77777777" w:rsidTr="00FE5F09">
        <w:tc>
          <w:tcPr>
            <w:tcW w:w="9016" w:type="dxa"/>
            <w:tcBorders>
              <w:top w:val="single" w:sz="4" w:space="0" w:color="auto"/>
              <w:left w:val="nil"/>
              <w:bottom w:val="nil"/>
              <w:right w:val="nil"/>
            </w:tcBorders>
          </w:tcPr>
          <w:p w14:paraId="720D3872" w14:textId="46094BCE" w:rsidR="006E706D" w:rsidRPr="00EE5985" w:rsidRDefault="006E706D" w:rsidP="00FE5F09">
            <w:pPr>
              <w:pStyle w:val="Tablesource"/>
              <w:rPr>
                <w:i w:val="0"/>
              </w:rPr>
            </w:pPr>
            <w:r w:rsidRPr="00BC5820">
              <w:t xml:space="preserve">Source: </w:t>
            </w:r>
            <w:r>
              <w:t>Frontier Economics analysis of UN Comtrade data</w:t>
            </w:r>
            <w:r w:rsidR="00DD2810">
              <w:t>.</w:t>
            </w:r>
          </w:p>
        </w:tc>
      </w:tr>
    </w:tbl>
    <w:p w14:paraId="638B2FAB" w14:textId="5BFE182E" w:rsidR="0050679C" w:rsidRDefault="006E706D" w:rsidP="00016CC0">
      <w:r>
        <w:t xml:space="preserve">Investigating this hypothesis further, </w:t>
      </w:r>
      <w:r w:rsidR="003006D1">
        <w:fldChar w:fldCharType="begin"/>
      </w:r>
      <w:r w:rsidR="003006D1">
        <w:instrText xml:space="preserve"> REF _Ref112841497 \h </w:instrText>
      </w:r>
      <w:r w:rsidR="003006D1">
        <w:fldChar w:fldCharType="separate"/>
      </w:r>
      <w:r w:rsidR="003006D1">
        <w:t xml:space="preserve">Figure </w:t>
      </w:r>
      <w:r w:rsidR="003006D1">
        <w:rPr>
          <w:noProof/>
        </w:rPr>
        <w:t>5</w:t>
      </w:r>
      <w:r w:rsidR="003006D1">
        <w:fldChar w:fldCharType="end"/>
      </w:r>
      <w:r>
        <w:t xml:space="preserve"> presents the value of monthly exports from </w:t>
      </w:r>
      <w:r w:rsidR="002406F0">
        <w:t>PRC</w:t>
      </w:r>
      <w:r>
        <w:t xml:space="preserve"> to Malaysia for 2010 to 2013. This </w:t>
      </w:r>
      <w:r w:rsidRPr="00831104">
        <w:t xml:space="preserve">shows a small uptick in exports following the imposition of the </w:t>
      </w:r>
      <w:r>
        <w:t>anti-dumping</w:t>
      </w:r>
      <w:r w:rsidRPr="00831104">
        <w:t xml:space="preserve"> measures and then a fall when the </w:t>
      </w:r>
      <w:r>
        <w:t>anti-circumvention</w:t>
      </w:r>
      <w:r w:rsidRPr="00831104">
        <w:t xml:space="preserve"> </w:t>
      </w:r>
      <w:r>
        <w:t>investigation was launched</w:t>
      </w:r>
      <w:r w:rsidRPr="00831104">
        <w:t>.</w:t>
      </w:r>
      <w:r>
        <w:t xml:space="preserve"> While this change is indicative of a response to the investigation, the timing of these exports from </w:t>
      </w:r>
      <w:r w:rsidR="002406F0">
        <w:t>PRC</w:t>
      </w:r>
      <w:r>
        <w:t xml:space="preserve"> to Malaysia (towards the end of 2011) does not align with the timing of EU imports from Malaysia (which begins in the first half of the year). The value of exports from </w:t>
      </w:r>
      <w:r w:rsidR="002406F0">
        <w:t>PRC</w:t>
      </w:r>
      <w:r>
        <w:t xml:space="preserve"> </w:t>
      </w:r>
      <w:r w:rsidRPr="009E67C2">
        <w:t>(c</w:t>
      </w:r>
      <w:r w:rsidR="00993211">
        <w:t>. US</w:t>
      </w:r>
      <w:r w:rsidRPr="009E67C2">
        <w:t>$2</w:t>
      </w:r>
      <w:r w:rsidR="00993211">
        <w:t> </w:t>
      </w:r>
      <w:r w:rsidRPr="009E67C2">
        <w:t>m</w:t>
      </w:r>
      <w:r w:rsidR="00993211">
        <w:t>illion</w:t>
      </w:r>
      <w:r w:rsidRPr="009E67C2">
        <w:t>)</w:t>
      </w:r>
      <w:r>
        <w:t xml:space="preserve"> </w:t>
      </w:r>
      <w:r w:rsidR="00606C3F">
        <w:t xml:space="preserve">is </w:t>
      </w:r>
      <w:r>
        <w:t xml:space="preserve">also much smaller than EU imports from Malaysia </w:t>
      </w:r>
      <w:r w:rsidRPr="009E67C2">
        <w:t>(c</w:t>
      </w:r>
      <w:r w:rsidR="00993211">
        <w:t>. US</w:t>
      </w:r>
      <w:r w:rsidRPr="009E67C2">
        <w:t>$5</w:t>
      </w:r>
      <w:r w:rsidR="00993211">
        <w:t> </w:t>
      </w:r>
      <w:r w:rsidRPr="009E67C2">
        <w:t>m</w:t>
      </w:r>
      <w:r w:rsidR="00993211">
        <w:t>illion</w:t>
      </w:r>
      <w:r w:rsidRPr="009E67C2">
        <w:t>)</w:t>
      </w:r>
      <w:r>
        <w:t>. The evidence is therefore not convincing.</w:t>
      </w:r>
    </w:p>
    <w:p w14:paraId="3DF28DB4" w14:textId="77777777" w:rsidR="002406F0" w:rsidRDefault="002406F0" w:rsidP="00016CC0"/>
    <w:tbl>
      <w:tblPr>
        <w:tblStyle w:val="TableGrid"/>
        <w:tblW w:w="0" w:type="auto"/>
        <w:tblLook w:val="04A0" w:firstRow="1" w:lastRow="0" w:firstColumn="1" w:lastColumn="0" w:noHBand="0" w:noVBand="1"/>
      </w:tblPr>
      <w:tblGrid>
        <w:gridCol w:w="9016"/>
      </w:tblGrid>
      <w:tr w:rsidR="006E706D" w:rsidRPr="00F7615F" w14:paraId="6E115368" w14:textId="77777777" w:rsidTr="00FE5F09">
        <w:tc>
          <w:tcPr>
            <w:tcW w:w="9016" w:type="dxa"/>
            <w:tcBorders>
              <w:bottom w:val="single" w:sz="4" w:space="0" w:color="auto"/>
            </w:tcBorders>
            <w:shd w:val="clear" w:color="auto" w:fill="24135F"/>
          </w:tcPr>
          <w:p w14:paraId="24125345" w14:textId="7392B529" w:rsidR="006E706D" w:rsidRPr="00731AB3" w:rsidRDefault="003006D1" w:rsidP="003006D1">
            <w:pPr>
              <w:pStyle w:val="Caption"/>
              <w:rPr>
                <w:rFonts w:cs="Arial"/>
                <w:i w:val="0"/>
                <w:iCs w:val="0"/>
                <w:szCs w:val="24"/>
              </w:rPr>
            </w:pPr>
            <w:bookmarkStart w:id="73" w:name="_Ref112841497"/>
            <w:r w:rsidRPr="007300C4">
              <w:rPr>
                <w:i w:val="0"/>
                <w:iCs w:val="0"/>
              </w:rPr>
              <w:t xml:space="preserve">Figure </w:t>
            </w:r>
            <w:r w:rsidR="00337849" w:rsidRPr="007300C4">
              <w:rPr>
                <w:i w:val="0"/>
                <w:iCs w:val="0"/>
              </w:rPr>
              <w:fldChar w:fldCharType="begin"/>
            </w:r>
            <w:r w:rsidR="00337849" w:rsidRPr="007300C4">
              <w:rPr>
                <w:i w:val="0"/>
                <w:iCs w:val="0"/>
              </w:rPr>
              <w:instrText xml:space="preserve"> SEQ Figure \* ARABIC </w:instrText>
            </w:r>
            <w:r w:rsidR="00337849" w:rsidRPr="007300C4">
              <w:rPr>
                <w:i w:val="0"/>
                <w:iCs w:val="0"/>
              </w:rPr>
              <w:fldChar w:fldCharType="separate"/>
            </w:r>
            <w:r w:rsidR="00625A64">
              <w:rPr>
                <w:i w:val="0"/>
                <w:iCs w:val="0"/>
                <w:noProof/>
              </w:rPr>
              <w:t>5</w:t>
            </w:r>
            <w:r w:rsidR="00337849" w:rsidRPr="007300C4">
              <w:rPr>
                <w:i w:val="0"/>
                <w:iCs w:val="0"/>
              </w:rPr>
              <w:fldChar w:fldCharType="end"/>
            </w:r>
            <w:bookmarkEnd w:id="73"/>
            <w:r w:rsidR="007300C4" w:rsidRPr="007300C4">
              <w:rPr>
                <w:i w:val="0"/>
                <w:iCs w:val="0"/>
              </w:rPr>
              <w:t>:</w:t>
            </w:r>
            <w:r>
              <w:t xml:space="preserve"> </w:t>
            </w:r>
            <w:r w:rsidR="006E706D" w:rsidRPr="00C378F2">
              <w:t xml:space="preserve">Value of monthly exports from </w:t>
            </w:r>
            <w:r w:rsidR="00631EC0">
              <w:t xml:space="preserve">the </w:t>
            </w:r>
            <w:r w:rsidR="00174DD3" w:rsidRPr="00C378F2">
              <w:t>PRC</w:t>
            </w:r>
            <w:r w:rsidR="006E706D" w:rsidRPr="00C378F2">
              <w:t xml:space="preserve"> to Malaysia for glass fibres (certain open mesh fabrics) for 2010 to 2013</w:t>
            </w:r>
          </w:p>
        </w:tc>
      </w:tr>
      <w:tr w:rsidR="006E706D" w:rsidRPr="00F7615F" w14:paraId="178C26B6" w14:textId="77777777" w:rsidTr="00FE5F09">
        <w:trPr>
          <w:trHeight w:val="5525"/>
        </w:trPr>
        <w:tc>
          <w:tcPr>
            <w:tcW w:w="9016" w:type="dxa"/>
            <w:tcBorders>
              <w:bottom w:val="single" w:sz="4" w:space="0" w:color="auto"/>
            </w:tcBorders>
          </w:tcPr>
          <w:p w14:paraId="29B9B8B7" w14:textId="77777777" w:rsidR="006E706D" w:rsidRPr="009E0B78" w:rsidRDefault="006E706D" w:rsidP="00FE5F09">
            <w:pPr>
              <w:tabs>
                <w:tab w:val="center" w:pos="4400"/>
              </w:tabs>
              <w:rPr>
                <w:rFonts w:cs="Arial"/>
                <w:noProof/>
                <w:sz w:val="12"/>
                <w:szCs w:val="12"/>
              </w:rPr>
            </w:pPr>
          </w:p>
          <w:p w14:paraId="54F008BD" w14:textId="50BB7376" w:rsidR="006E706D" w:rsidRPr="00F7615F" w:rsidRDefault="00174DD3" w:rsidP="00FE5F09">
            <w:pPr>
              <w:tabs>
                <w:tab w:val="center" w:pos="4400"/>
              </w:tabs>
              <w:jc w:val="center"/>
              <w:rPr>
                <w:rFonts w:cs="Arial"/>
                <w:szCs w:val="24"/>
              </w:rPr>
            </w:pPr>
            <w:r>
              <w:rPr>
                <w:noProof/>
              </w:rPr>
              <w:drawing>
                <wp:inline distT="0" distB="0" distL="0" distR="0" wp14:anchorId="2C59FB31" wp14:editId="39817478">
                  <wp:extent cx="5569133" cy="361800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5233"/>
                          <a:stretch/>
                        </pic:blipFill>
                        <pic:spPr bwMode="auto">
                          <a:xfrm>
                            <a:off x="0" y="0"/>
                            <a:ext cx="5569133" cy="361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E706D" w:rsidRPr="00BC5820" w14:paraId="3649A8CE" w14:textId="77777777" w:rsidTr="00FE5F09">
        <w:tc>
          <w:tcPr>
            <w:tcW w:w="9016" w:type="dxa"/>
            <w:tcBorders>
              <w:top w:val="single" w:sz="4" w:space="0" w:color="auto"/>
              <w:left w:val="nil"/>
              <w:bottom w:val="nil"/>
              <w:right w:val="nil"/>
            </w:tcBorders>
          </w:tcPr>
          <w:p w14:paraId="76B5C4BE" w14:textId="2347E17A" w:rsidR="006E706D" w:rsidRPr="00BC5820" w:rsidRDefault="006E706D" w:rsidP="00FE5F09">
            <w:pPr>
              <w:pStyle w:val="Tablesource"/>
              <w:rPr>
                <w:iCs/>
                <w:color w:val="005EA5"/>
                <w:u w:val="single"/>
              </w:rPr>
            </w:pPr>
            <w:r w:rsidRPr="00BC5820">
              <w:t xml:space="preserve">Source: </w:t>
            </w:r>
            <w:r>
              <w:t>Frontier Economics analysis of UN Comtrade data</w:t>
            </w:r>
            <w:r w:rsidR="00DD2810">
              <w:t>.</w:t>
            </w:r>
          </w:p>
        </w:tc>
      </w:tr>
    </w:tbl>
    <w:p w14:paraId="42DDC35F" w14:textId="2B619FB2" w:rsidR="006E706D" w:rsidRDefault="006E706D" w:rsidP="00016CC0">
      <w:r>
        <w:t xml:space="preserve">To understand what is driving these differences, </w:t>
      </w:r>
      <w:r w:rsidR="003006D1">
        <w:fldChar w:fldCharType="begin"/>
      </w:r>
      <w:r w:rsidR="003006D1">
        <w:instrText xml:space="preserve"> REF _Ref112841528 \h </w:instrText>
      </w:r>
      <w:r w:rsidR="003006D1">
        <w:fldChar w:fldCharType="separate"/>
      </w:r>
      <w:r w:rsidR="003006D1" w:rsidRPr="00580587">
        <w:t xml:space="preserve">Figure </w:t>
      </w:r>
      <w:r w:rsidR="003006D1">
        <w:rPr>
          <w:i/>
          <w:iCs/>
          <w:noProof/>
        </w:rPr>
        <w:t>6</w:t>
      </w:r>
      <w:r w:rsidR="003006D1">
        <w:fldChar w:fldCharType="end"/>
      </w:r>
      <w:r w:rsidR="003006D1">
        <w:t xml:space="preserve"> </w:t>
      </w:r>
      <w:r>
        <w:t xml:space="preserve">presents </w:t>
      </w:r>
      <w:r w:rsidR="008E1F6D">
        <w:t>the value of imports into Malaysia</w:t>
      </w:r>
      <w:r w:rsidR="003006D1">
        <w:t xml:space="preserve"> from </w:t>
      </w:r>
      <w:r w:rsidR="002406F0">
        <w:t>PRC</w:t>
      </w:r>
      <w:r w:rsidR="008E1F6D" w:rsidDel="007C2B55">
        <w:t xml:space="preserve"> </w:t>
      </w:r>
      <w:r w:rsidR="008E1F6D">
        <w:t xml:space="preserve">i.e. </w:t>
      </w:r>
      <w:r>
        <w:t xml:space="preserve">the </w:t>
      </w:r>
      <w:r w:rsidR="008E1F6D">
        <w:t>“</w:t>
      </w:r>
      <w:r>
        <w:t>mirror</w:t>
      </w:r>
      <w:r w:rsidR="008E1F6D">
        <w:t>”</w:t>
      </w:r>
      <w:r>
        <w:t xml:space="preserve"> of</w:t>
      </w:r>
      <w:r w:rsidR="00C43A41">
        <w:t xml:space="preserve"> </w:t>
      </w:r>
      <w:r w:rsidR="003006D1">
        <w:fldChar w:fldCharType="begin"/>
      </w:r>
      <w:r w:rsidR="003006D1">
        <w:instrText xml:space="preserve"> REF _Ref112841540 \h </w:instrText>
      </w:r>
      <w:r w:rsidR="003006D1">
        <w:fldChar w:fldCharType="separate"/>
      </w:r>
      <w:r w:rsidR="003006D1" w:rsidRPr="00580587">
        <w:t xml:space="preserve">Figure </w:t>
      </w:r>
      <w:r w:rsidR="003006D1">
        <w:rPr>
          <w:i/>
          <w:iCs/>
          <w:noProof/>
        </w:rPr>
        <w:t>7</w:t>
      </w:r>
      <w:r w:rsidR="003006D1">
        <w:fldChar w:fldCharType="end"/>
      </w:r>
      <w:r w:rsidRPr="00135EF1">
        <w:t>.</w:t>
      </w:r>
      <w:r>
        <w:t xml:space="preserve"> Here the timing (and to an extent the trade values) match more clearly with EU imports from Malaysia. This evidence suggest that the imposition of duties may have led to a re</w:t>
      </w:r>
      <w:r w:rsidR="00373652">
        <w:t>-</w:t>
      </w:r>
      <w:r>
        <w:t>routing of Chinese exports to Malaysia. What this also highlights is an inconsistency between the reporting of what should be the same trade flow</w:t>
      </w:r>
      <w:r w:rsidR="00373652">
        <w:t>:</w:t>
      </w:r>
      <w:r>
        <w:t xml:space="preserve"> namely, that Chinese reporting of exports to Malaysia do</w:t>
      </w:r>
      <w:r w:rsidR="00606C3F">
        <w:t>es</w:t>
      </w:r>
      <w:r>
        <w:t xml:space="preserve"> not seem to match the Malaysian reporting of Chinese imports for the same good. </w:t>
      </w:r>
    </w:p>
    <w:p w14:paraId="2128BF66" w14:textId="3D721686" w:rsidR="00506B6A" w:rsidRDefault="00506B6A" w:rsidP="00016CC0">
      <w:r>
        <w:br w:type="page"/>
      </w:r>
    </w:p>
    <w:p w14:paraId="5CD6E3FA" w14:textId="77777777" w:rsidR="00506B6A" w:rsidRDefault="00506B6A" w:rsidP="00016CC0"/>
    <w:tbl>
      <w:tblPr>
        <w:tblStyle w:val="TableGrid"/>
        <w:tblW w:w="0" w:type="auto"/>
        <w:tblLook w:val="04A0" w:firstRow="1" w:lastRow="0" w:firstColumn="1" w:lastColumn="0" w:noHBand="0" w:noVBand="1"/>
      </w:tblPr>
      <w:tblGrid>
        <w:gridCol w:w="9016"/>
      </w:tblGrid>
      <w:tr w:rsidR="006E706D" w:rsidRPr="00F7615F" w14:paraId="445B6E47" w14:textId="77777777" w:rsidTr="00FE5F09">
        <w:tc>
          <w:tcPr>
            <w:tcW w:w="9016" w:type="dxa"/>
            <w:tcBorders>
              <w:bottom w:val="single" w:sz="4" w:space="0" w:color="auto"/>
            </w:tcBorders>
            <w:shd w:val="clear" w:color="auto" w:fill="24135F"/>
          </w:tcPr>
          <w:p w14:paraId="312A71C5" w14:textId="5E5B71A8" w:rsidR="006E706D" w:rsidRPr="00731AB3" w:rsidRDefault="006E706D" w:rsidP="00DE3BA6">
            <w:pPr>
              <w:pStyle w:val="Caption"/>
              <w:rPr>
                <w:rFonts w:cs="Arial"/>
                <w:i w:val="0"/>
                <w:iCs w:val="0"/>
                <w:szCs w:val="24"/>
              </w:rPr>
            </w:pPr>
            <w:bookmarkStart w:id="74" w:name="_Ref112841528"/>
            <w:r w:rsidRPr="00580587">
              <w:rPr>
                <w:i w:val="0"/>
                <w:iCs w:val="0"/>
              </w:rPr>
              <w:t xml:space="preserve">Figure </w:t>
            </w:r>
            <w:r w:rsidR="00337849">
              <w:rPr>
                <w:i w:val="0"/>
                <w:iCs w:val="0"/>
              </w:rPr>
              <w:fldChar w:fldCharType="begin"/>
            </w:r>
            <w:r w:rsidR="00337849">
              <w:rPr>
                <w:i w:val="0"/>
                <w:iCs w:val="0"/>
              </w:rPr>
              <w:instrText xml:space="preserve"> SEQ Figure \* ARABIC </w:instrText>
            </w:r>
            <w:r w:rsidR="00337849">
              <w:rPr>
                <w:i w:val="0"/>
                <w:iCs w:val="0"/>
              </w:rPr>
              <w:fldChar w:fldCharType="separate"/>
            </w:r>
            <w:r w:rsidR="00625A64">
              <w:rPr>
                <w:i w:val="0"/>
                <w:iCs w:val="0"/>
                <w:noProof/>
              </w:rPr>
              <w:t>6</w:t>
            </w:r>
            <w:r w:rsidR="00337849">
              <w:rPr>
                <w:i w:val="0"/>
                <w:iCs w:val="0"/>
              </w:rPr>
              <w:fldChar w:fldCharType="end"/>
            </w:r>
            <w:bookmarkEnd w:id="74"/>
            <w:r w:rsidRPr="00580587">
              <w:rPr>
                <w:i w:val="0"/>
                <w:iCs w:val="0"/>
              </w:rPr>
              <w:t>:</w:t>
            </w:r>
            <w:r w:rsidRPr="00580587">
              <w:rPr>
                <w:rFonts w:cs="Arial"/>
                <w:i w:val="0"/>
                <w:iCs w:val="0"/>
              </w:rPr>
              <w:t xml:space="preserve"> </w:t>
            </w:r>
            <w:r w:rsidRPr="00C378F2">
              <w:rPr>
                <w:rFonts w:cs="Arial"/>
              </w:rPr>
              <w:t>V</w:t>
            </w:r>
            <w:r w:rsidRPr="00C378F2">
              <w:t xml:space="preserve">alue of monthly imports into Malaysia from </w:t>
            </w:r>
            <w:r w:rsidR="00631EC0">
              <w:t xml:space="preserve">the </w:t>
            </w:r>
            <w:r w:rsidR="00174DD3" w:rsidRPr="00C378F2">
              <w:t>PRC</w:t>
            </w:r>
            <w:r w:rsidRPr="00C378F2">
              <w:t xml:space="preserve"> for glass fibres (certain open mesh fabrics) for 2010 to 2013</w:t>
            </w:r>
          </w:p>
        </w:tc>
      </w:tr>
      <w:tr w:rsidR="006E706D" w:rsidRPr="00F7615F" w14:paraId="24D36EB4" w14:textId="77777777" w:rsidTr="00FE5F09">
        <w:trPr>
          <w:trHeight w:val="5525"/>
        </w:trPr>
        <w:tc>
          <w:tcPr>
            <w:tcW w:w="9016" w:type="dxa"/>
            <w:tcBorders>
              <w:bottom w:val="single" w:sz="4" w:space="0" w:color="auto"/>
            </w:tcBorders>
          </w:tcPr>
          <w:p w14:paraId="02A28039" w14:textId="77777777" w:rsidR="006E706D" w:rsidRPr="009E0B78" w:rsidRDefault="006E706D" w:rsidP="00FE5F09">
            <w:pPr>
              <w:tabs>
                <w:tab w:val="center" w:pos="4400"/>
              </w:tabs>
              <w:jc w:val="center"/>
              <w:rPr>
                <w:rFonts w:cs="Arial"/>
                <w:noProof/>
                <w:sz w:val="12"/>
                <w:szCs w:val="12"/>
              </w:rPr>
            </w:pPr>
          </w:p>
          <w:p w14:paraId="2F1DC9CC" w14:textId="5902E132" w:rsidR="006E706D" w:rsidRPr="00F7615F" w:rsidRDefault="00174DD3" w:rsidP="00FE5F09">
            <w:pPr>
              <w:tabs>
                <w:tab w:val="center" w:pos="4400"/>
              </w:tabs>
              <w:jc w:val="center"/>
              <w:rPr>
                <w:rFonts w:cs="Arial"/>
                <w:szCs w:val="24"/>
              </w:rPr>
            </w:pPr>
            <w:r>
              <w:rPr>
                <w:noProof/>
              </w:rPr>
              <w:drawing>
                <wp:inline distT="0" distB="0" distL="0" distR="0" wp14:anchorId="45E1FE05" wp14:editId="1E6438B0">
                  <wp:extent cx="5523234" cy="3618000"/>
                  <wp:effectExtent l="0" t="0" r="127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4445"/>
                          <a:stretch/>
                        </pic:blipFill>
                        <pic:spPr bwMode="auto">
                          <a:xfrm>
                            <a:off x="0" y="0"/>
                            <a:ext cx="5523234" cy="361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E706D" w:rsidRPr="00BC5820" w14:paraId="75BAB23E" w14:textId="77777777" w:rsidTr="00FE5F09">
        <w:tc>
          <w:tcPr>
            <w:tcW w:w="9016" w:type="dxa"/>
            <w:tcBorders>
              <w:top w:val="single" w:sz="4" w:space="0" w:color="auto"/>
              <w:left w:val="nil"/>
              <w:bottom w:val="nil"/>
              <w:right w:val="nil"/>
            </w:tcBorders>
          </w:tcPr>
          <w:p w14:paraId="5E4AC6D5" w14:textId="02A9D10B" w:rsidR="006E706D" w:rsidRPr="00BC5820" w:rsidRDefault="006E706D" w:rsidP="00FE5F09">
            <w:pPr>
              <w:pStyle w:val="Tablesource"/>
              <w:rPr>
                <w:iCs/>
                <w:color w:val="005EA5"/>
                <w:u w:val="single"/>
              </w:rPr>
            </w:pPr>
            <w:r w:rsidRPr="00BC5820">
              <w:t xml:space="preserve">Source: </w:t>
            </w:r>
            <w:r>
              <w:t>Frontier Economics analysis of UN Comtrade data</w:t>
            </w:r>
            <w:r w:rsidR="00DD2810">
              <w:t>.</w:t>
            </w:r>
          </w:p>
        </w:tc>
      </w:tr>
    </w:tbl>
    <w:p w14:paraId="50F03B57" w14:textId="59E645F0" w:rsidR="006E706D" w:rsidRDefault="006E706D" w:rsidP="00016CC0">
      <w:r>
        <w:t xml:space="preserve">The evidence presented so far augments the evidence base compared to what was presented by the EC in its findings. However, it is not conclusive, as other factors could explain these trends. To rule out these other factors, we first expand the time period to cover 2000 to 2020 (albeit </w:t>
      </w:r>
      <w:r w:rsidR="00606C3F">
        <w:t xml:space="preserve">that </w:t>
      </w:r>
      <w:r>
        <w:t xml:space="preserve">this is only possible for </w:t>
      </w:r>
      <w:r w:rsidRPr="00A778E4">
        <w:rPr>
          <w:i/>
          <w:iCs/>
        </w:rPr>
        <w:t>annual</w:t>
      </w:r>
      <w:r>
        <w:t xml:space="preserve"> trade values). </w:t>
      </w:r>
      <w:r w:rsidR="003006D1">
        <w:fldChar w:fldCharType="begin"/>
      </w:r>
      <w:r w:rsidR="003006D1">
        <w:instrText xml:space="preserve"> REF _Ref112841540 \h </w:instrText>
      </w:r>
      <w:r w:rsidR="003006D1">
        <w:fldChar w:fldCharType="separate"/>
      </w:r>
      <w:r w:rsidR="003006D1" w:rsidRPr="00580587">
        <w:t xml:space="preserve">Figure </w:t>
      </w:r>
      <w:r w:rsidR="003006D1">
        <w:rPr>
          <w:i/>
          <w:iCs/>
          <w:noProof/>
        </w:rPr>
        <w:t>7</w:t>
      </w:r>
      <w:r w:rsidR="003006D1">
        <w:fldChar w:fldCharType="end"/>
      </w:r>
      <w:r>
        <w:t xml:space="preserve"> shows that</w:t>
      </w:r>
      <w:r w:rsidR="00661FCE">
        <w:t>,</w:t>
      </w:r>
      <w:r>
        <w:t xml:space="preserve"> when put into </w:t>
      </w:r>
      <w:r w:rsidR="00661FCE">
        <w:t xml:space="preserve">a </w:t>
      </w:r>
      <w:r>
        <w:t xml:space="preserve">wider context, the peak in exports from </w:t>
      </w:r>
      <w:r w:rsidR="002406F0">
        <w:t>PRC</w:t>
      </w:r>
      <w:r>
        <w:t xml:space="preserve"> to Malaysia </w:t>
      </w:r>
      <w:r w:rsidR="00373652">
        <w:t xml:space="preserve">which is </w:t>
      </w:r>
      <w:r>
        <w:t xml:space="preserve">seen when anti-dumping measures are imposed on </w:t>
      </w:r>
      <w:r w:rsidR="002406F0">
        <w:t>PRC</w:t>
      </w:r>
      <w:r>
        <w:t xml:space="preserve"> is unpreced</w:t>
      </w:r>
      <w:r w:rsidRPr="009275A8">
        <w:t xml:space="preserve">ented prior to this point, and falls back sharply when the anti-circumvention investigation is launched and measures </w:t>
      </w:r>
      <w:r w:rsidR="00373652">
        <w:t xml:space="preserve">are </w:t>
      </w:r>
      <w:r w:rsidRPr="009275A8">
        <w:t>imposed on Malaysia (albeit to a higher level).</w:t>
      </w:r>
      <w:r>
        <w:t xml:space="preserve"> This suggests </w:t>
      </w:r>
      <w:r w:rsidR="00661FCE">
        <w:t xml:space="preserve">that </w:t>
      </w:r>
      <w:r>
        <w:t xml:space="preserve">the exports from </w:t>
      </w:r>
      <w:r w:rsidR="002406F0">
        <w:t>PRC</w:t>
      </w:r>
      <w:r>
        <w:t xml:space="preserve"> to Malaysia around this period were not a fluctuation around a historical average: there was a specific spike associated with the duties imposed on </w:t>
      </w:r>
      <w:r w:rsidR="002406F0">
        <w:t>PRC</w:t>
      </w:r>
      <w:r>
        <w:t>.</w:t>
      </w:r>
    </w:p>
    <w:tbl>
      <w:tblPr>
        <w:tblStyle w:val="TableGrid"/>
        <w:tblW w:w="0" w:type="auto"/>
        <w:tblLook w:val="04A0" w:firstRow="1" w:lastRow="0" w:firstColumn="1" w:lastColumn="0" w:noHBand="0" w:noVBand="1"/>
      </w:tblPr>
      <w:tblGrid>
        <w:gridCol w:w="9016"/>
      </w:tblGrid>
      <w:tr w:rsidR="006E706D" w:rsidRPr="00F7615F" w14:paraId="36F7A183" w14:textId="77777777" w:rsidTr="001975E6">
        <w:trPr>
          <w:cantSplit/>
        </w:trPr>
        <w:tc>
          <w:tcPr>
            <w:tcW w:w="9016" w:type="dxa"/>
            <w:tcBorders>
              <w:bottom w:val="single" w:sz="4" w:space="0" w:color="auto"/>
            </w:tcBorders>
            <w:shd w:val="clear" w:color="auto" w:fill="24135F"/>
          </w:tcPr>
          <w:p w14:paraId="2B2148EE" w14:textId="5CB32AA2" w:rsidR="006E706D" w:rsidRPr="00731AB3" w:rsidRDefault="006E706D" w:rsidP="00DE3BA6">
            <w:pPr>
              <w:pStyle w:val="Caption"/>
              <w:rPr>
                <w:rFonts w:cs="Arial"/>
                <w:i w:val="0"/>
                <w:iCs w:val="0"/>
                <w:szCs w:val="24"/>
              </w:rPr>
            </w:pPr>
            <w:bookmarkStart w:id="75" w:name="_Ref112841540"/>
            <w:r w:rsidRPr="00580587">
              <w:rPr>
                <w:i w:val="0"/>
                <w:iCs w:val="0"/>
              </w:rPr>
              <w:t xml:space="preserve">Figure </w:t>
            </w:r>
            <w:r w:rsidR="00337849">
              <w:rPr>
                <w:i w:val="0"/>
                <w:iCs w:val="0"/>
              </w:rPr>
              <w:fldChar w:fldCharType="begin"/>
            </w:r>
            <w:r w:rsidR="00337849">
              <w:rPr>
                <w:i w:val="0"/>
                <w:iCs w:val="0"/>
              </w:rPr>
              <w:instrText xml:space="preserve"> SEQ Figure \* ARABIC </w:instrText>
            </w:r>
            <w:r w:rsidR="00337849">
              <w:rPr>
                <w:i w:val="0"/>
                <w:iCs w:val="0"/>
              </w:rPr>
              <w:fldChar w:fldCharType="separate"/>
            </w:r>
            <w:r w:rsidR="00625A64">
              <w:rPr>
                <w:i w:val="0"/>
                <w:iCs w:val="0"/>
                <w:noProof/>
              </w:rPr>
              <w:t>7</w:t>
            </w:r>
            <w:r w:rsidR="00337849">
              <w:rPr>
                <w:i w:val="0"/>
                <w:iCs w:val="0"/>
              </w:rPr>
              <w:fldChar w:fldCharType="end"/>
            </w:r>
            <w:bookmarkEnd w:id="75"/>
            <w:r w:rsidRPr="00580587">
              <w:rPr>
                <w:i w:val="0"/>
                <w:iCs w:val="0"/>
              </w:rPr>
              <w:t xml:space="preserve">: </w:t>
            </w:r>
            <w:r w:rsidRPr="00C378F2">
              <w:rPr>
                <w:rFonts w:cs="Arial"/>
              </w:rPr>
              <w:t>V</w:t>
            </w:r>
            <w:r w:rsidRPr="00C378F2">
              <w:t xml:space="preserve">alue of annual exports from </w:t>
            </w:r>
            <w:r w:rsidR="00631EC0">
              <w:t xml:space="preserve">the </w:t>
            </w:r>
            <w:r w:rsidR="001E61C4" w:rsidRPr="00C378F2">
              <w:t>PRC</w:t>
            </w:r>
            <w:r w:rsidRPr="00C378F2">
              <w:t xml:space="preserve"> to Malaysia for glass fibres (certain open mesh fabrics) for 2000 to 2020</w:t>
            </w:r>
          </w:p>
        </w:tc>
      </w:tr>
      <w:tr w:rsidR="006E706D" w:rsidRPr="00F7615F" w14:paraId="2C29A3E8" w14:textId="77777777" w:rsidTr="001975E6">
        <w:trPr>
          <w:cantSplit/>
          <w:trHeight w:val="5525"/>
        </w:trPr>
        <w:tc>
          <w:tcPr>
            <w:tcW w:w="9016" w:type="dxa"/>
            <w:tcBorders>
              <w:bottom w:val="single" w:sz="4" w:space="0" w:color="auto"/>
            </w:tcBorders>
          </w:tcPr>
          <w:p w14:paraId="54FBEA44" w14:textId="77777777" w:rsidR="006E706D" w:rsidRPr="009275A8" w:rsidRDefault="006E706D" w:rsidP="00FE5F09">
            <w:pPr>
              <w:tabs>
                <w:tab w:val="center" w:pos="4400"/>
              </w:tabs>
              <w:jc w:val="center"/>
              <w:rPr>
                <w:rFonts w:cs="Arial"/>
                <w:noProof/>
                <w:sz w:val="12"/>
                <w:szCs w:val="12"/>
              </w:rPr>
            </w:pPr>
          </w:p>
          <w:p w14:paraId="5F571E13" w14:textId="7CCBF870" w:rsidR="006E706D" w:rsidRPr="00F7615F" w:rsidRDefault="0075544E" w:rsidP="00FE5F09">
            <w:pPr>
              <w:tabs>
                <w:tab w:val="center" w:pos="4400"/>
              </w:tabs>
              <w:jc w:val="center"/>
              <w:rPr>
                <w:rFonts w:cs="Arial"/>
                <w:noProof/>
                <w:szCs w:val="24"/>
              </w:rPr>
            </w:pPr>
            <w:r>
              <w:rPr>
                <w:noProof/>
              </w:rPr>
              <w:drawing>
                <wp:inline distT="0" distB="0" distL="0" distR="0" wp14:anchorId="596D7086" wp14:editId="6728BD65">
                  <wp:extent cx="5570327" cy="36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4970"/>
                          <a:stretch/>
                        </pic:blipFill>
                        <pic:spPr bwMode="auto">
                          <a:xfrm>
                            <a:off x="0" y="0"/>
                            <a:ext cx="5570327" cy="3628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E706D" w:rsidRPr="00BC5820" w14:paraId="6A565585" w14:textId="77777777" w:rsidTr="001975E6">
        <w:trPr>
          <w:cantSplit/>
        </w:trPr>
        <w:tc>
          <w:tcPr>
            <w:tcW w:w="9016" w:type="dxa"/>
            <w:tcBorders>
              <w:top w:val="single" w:sz="4" w:space="0" w:color="auto"/>
              <w:left w:val="nil"/>
              <w:bottom w:val="nil"/>
              <w:right w:val="nil"/>
            </w:tcBorders>
          </w:tcPr>
          <w:p w14:paraId="08B76E0C" w14:textId="6977770B" w:rsidR="006E706D" w:rsidRDefault="006E706D" w:rsidP="00B25A27">
            <w:pPr>
              <w:pStyle w:val="Tablenote"/>
            </w:pPr>
            <w:r>
              <w:t xml:space="preserve">Note: 1) Launch of AD investigation against </w:t>
            </w:r>
            <w:r w:rsidR="001E61C4">
              <w:t>PRC</w:t>
            </w:r>
            <w:r>
              <w:t xml:space="preserve"> (May 2010), 2) Imposition of</w:t>
            </w:r>
            <w:r w:rsidR="00462D0C">
              <w:t xml:space="preserve"> </w:t>
            </w:r>
            <w:r w:rsidR="00E03613">
              <w:t>AD</w:t>
            </w:r>
            <w:r w:rsidR="00462D0C" w:rsidRPr="00462D0C">
              <w:t xml:space="preserve"> </w:t>
            </w:r>
            <w:r>
              <w:t xml:space="preserve">measures against </w:t>
            </w:r>
            <w:r w:rsidR="001E61C4">
              <w:t>PRC</w:t>
            </w:r>
            <w:r>
              <w:t xml:space="preserve"> (February 2011), 3) Launch </w:t>
            </w:r>
            <w:r w:rsidRPr="00373652">
              <w:t xml:space="preserve">of </w:t>
            </w:r>
            <w:r w:rsidRPr="00E03613">
              <w:t>AC</w:t>
            </w:r>
            <w:r w:rsidRPr="00373652">
              <w:t xml:space="preserve"> investigation</w:t>
            </w:r>
            <w:r>
              <w:t xml:space="preserve"> against Malaysia (November 2011), 4) Imposition of AC measures against Malaysia (July 2012)</w:t>
            </w:r>
            <w:r w:rsidR="00DD2810">
              <w:t>.</w:t>
            </w:r>
          </w:p>
          <w:p w14:paraId="12FF61C4" w14:textId="45BD9301" w:rsidR="002470C0" w:rsidRPr="00BC5820" w:rsidRDefault="002470C0" w:rsidP="00FE5F09">
            <w:pPr>
              <w:pStyle w:val="Tablesource"/>
              <w:rPr>
                <w:iCs/>
                <w:color w:val="005EA5"/>
                <w:u w:val="single"/>
              </w:rPr>
            </w:pPr>
            <w:r w:rsidRPr="00BC5820">
              <w:t xml:space="preserve">Source: </w:t>
            </w:r>
            <w:r>
              <w:t>Frontier Economics analysis of UN Comtrade data.</w:t>
            </w:r>
          </w:p>
        </w:tc>
      </w:tr>
    </w:tbl>
    <w:p w14:paraId="2DC729D1" w14:textId="73757E08" w:rsidR="006E706D" w:rsidRDefault="006E706D" w:rsidP="00016CC0">
      <w:r>
        <w:t>This does not</w:t>
      </w:r>
      <w:r w:rsidR="00661FCE">
        <w:t>,</w:t>
      </w:r>
      <w:r>
        <w:t xml:space="preserve"> however</w:t>
      </w:r>
      <w:r w:rsidR="00661FCE">
        <w:t>,</w:t>
      </w:r>
      <w:r>
        <w:t xml:space="preserve"> rule out the possibility that </w:t>
      </w:r>
      <w:r w:rsidR="002406F0">
        <w:t>PRC</w:t>
      </w:r>
      <w:r>
        <w:t>’s exports to Malaysia are simply a diversion of exports</w:t>
      </w:r>
      <w:r w:rsidR="009966D4">
        <w:t xml:space="preserve"> </w:t>
      </w:r>
      <w:r w:rsidR="00E03613">
        <w:t xml:space="preserve">to that country </w:t>
      </w:r>
      <w:r w:rsidR="009966D4">
        <w:t>from the EU</w:t>
      </w:r>
      <w:r>
        <w:t xml:space="preserve"> to Malaysia, reflecting that this and other markets are more profitable once EU duties have been imposed. In particular, it could be that exports to Malaysia are intended to meet </w:t>
      </w:r>
      <w:r w:rsidR="009966D4">
        <w:t xml:space="preserve">Malaysian domestic </w:t>
      </w:r>
      <w:r>
        <w:t xml:space="preserve">consumption. The possibility </w:t>
      </w:r>
      <w:r w:rsidRPr="005D3EC2">
        <w:t>a</w:t>
      </w:r>
      <w:r>
        <w:t xml:space="preserve">rises because the observed increase in exports from Malaysia to the EU is substantially greater than the increase in imports into Malaysia from </w:t>
      </w:r>
      <w:r w:rsidR="002406F0">
        <w:t>PRC</w:t>
      </w:r>
      <w:r>
        <w:t xml:space="preserve">. If the increase in Malaysia-EU exports </w:t>
      </w:r>
      <w:r w:rsidR="00B0014D">
        <w:t xml:space="preserve">is </w:t>
      </w:r>
      <w:r>
        <w:t xml:space="preserve">a result of Malaysian producers exploiting opportunities in the EU following the imposition of duties on </w:t>
      </w:r>
      <w:r w:rsidR="002406F0">
        <w:t>PRC</w:t>
      </w:r>
      <w:r>
        <w:t xml:space="preserve">, this may have left a shortfall in domestic supply </w:t>
      </w:r>
      <w:r w:rsidR="00E03613">
        <w:t xml:space="preserve">which </w:t>
      </w:r>
      <w:r>
        <w:t xml:space="preserve">Chinese producers are now meeting.  </w:t>
      </w:r>
    </w:p>
    <w:p w14:paraId="1739A38A" w14:textId="5746EA85" w:rsidR="006E706D" w:rsidRPr="008B29C8" w:rsidRDefault="003006D1" w:rsidP="00016CC0">
      <w:r>
        <w:fldChar w:fldCharType="begin"/>
      </w:r>
      <w:r>
        <w:instrText xml:space="preserve"> REF _Ref112841642 \h  \* MERGEFORMAT </w:instrText>
      </w:r>
      <w:r>
        <w:fldChar w:fldCharType="separate"/>
      </w:r>
      <w:r w:rsidRPr="00580587">
        <w:t xml:space="preserve">Figure </w:t>
      </w:r>
      <w:r w:rsidRPr="003006D1">
        <w:rPr>
          <w:noProof/>
        </w:rPr>
        <w:t>8</w:t>
      </w:r>
      <w:r>
        <w:fldChar w:fldCharType="end"/>
      </w:r>
      <w:r>
        <w:t xml:space="preserve"> </w:t>
      </w:r>
      <w:r w:rsidR="006E706D" w:rsidRPr="00714BDB">
        <w:t>reports EU imports from Malaysia and</w:t>
      </w:r>
      <w:r w:rsidR="006E706D">
        <w:t xml:space="preserve"> Malaysian exports to the </w:t>
      </w:r>
      <w:r w:rsidR="00E03613">
        <w:t>w</w:t>
      </w:r>
      <w:r w:rsidR="006E706D">
        <w:t>orld. We observe that outside of its trade with the EU, Mala</w:t>
      </w:r>
      <w:r w:rsidR="006E706D" w:rsidRPr="008B29C8">
        <w:t>y</w:t>
      </w:r>
      <w:r w:rsidR="006E706D">
        <w:t xml:space="preserve">sia exports very little of this product and that exports to the EU are largely in the period following the imposition of duties on </w:t>
      </w:r>
      <w:r w:rsidR="002406F0">
        <w:t>PRC</w:t>
      </w:r>
      <w:r w:rsidR="006E706D">
        <w:t xml:space="preserve"> and prior to the imposition of circumvention duties on Malaysia. It is important to note</w:t>
      </w:r>
      <w:r w:rsidR="00661FCE">
        <w:t>,</w:t>
      </w:r>
      <w:r w:rsidR="006E706D">
        <w:t xml:space="preserve"> however</w:t>
      </w:r>
      <w:r w:rsidR="00661FCE">
        <w:t>,</w:t>
      </w:r>
      <w:r w:rsidR="006E706D">
        <w:t xml:space="preserve"> that the value of the peak in exports from </w:t>
      </w:r>
      <w:r w:rsidR="002406F0">
        <w:t>PRC</w:t>
      </w:r>
      <w:r w:rsidR="006E706D">
        <w:t xml:space="preserve"> to Malaysia is much smaller (c</w:t>
      </w:r>
      <w:r w:rsidR="00993211">
        <w:t>. US</w:t>
      </w:r>
      <w:r w:rsidR="006E706D">
        <w:t>$6.5</w:t>
      </w:r>
      <w:r w:rsidR="00993211">
        <w:t xml:space="preserve"> </w:t>
      </w:r>
      <w:r w:rsidR="006E706D">
        <w:t>m</w:t>
      </w:r>
      <w:r w:rsidR="00993211">
        <w:t>illion</w:t>
      </w:r>
      <w:r w:rsidR="006E706D">
        <w:t>) than the peak of EU imports from Malaysia (c</w:t>
      </w:r>
      <w:r w:rsidR="00993211">
        <w:t>. US</w:t>
      </w:r>
      <w:r w:rsidR="006E706D">
        <w:t>$25</w:t>
      </w:r>
      <w:r w:rsidR="00993211">
        <w:t xml:space="preserve"> </w:t>
      </w:r>
      <w:r w:rsidR="006E706D">
        <w:t>m</w:t>
      </w:r>
      <w:r w:rsidR="00993211">
        <w:t>illion</w:t>
      </w:r>
      <w:r w:rsidR="006E706D">
        <w:t xml:space="preserve">). It is therefore unlikely that all of the imports from Malaysia are attempted circumvention from </w:t>
      </w:r>
      <w:r w:rsidR="002406F0">
        <w:t>PRC</w:t>
      </w:r>
      <w:r w:rsidR="006E706D">
        <w:t>.</w:t>
      </w:r>
    </w:p>
    <w:tbl>
      <w:tblPr>
        <w:tblStyle w:val="TableGrid"/>
        <w:tblW w:w="0" w:type="auto"/>
        <w:tblLook w:val="04A0" w:firstRow="1" w:lastRow="0" w:firstColumn="1" w:lastColumn="0" w:noHBand="0" w:noVBand="1"/>
      </w:tblPr>
      <w:tblGrid>
        <w:gridCol w:w="9016"/>
      </w:tblGrid>
      <w:tr w:rsidR="006E706D" w:rsidRPr="00F7615F" w14:paraId="609B63D2" w14:textId="77777777" w:rsidTr="00FE5F09">
        <w:tc>
          <w:tcPr>
            <w:tcW w:w="9016" w:type="dxa"/>
            <w:tcBorders>
              <w:bottom w:val="single" w:sz="4" w:space="0" w:color="auto"/>
            </w:tcBorders>
            <w:shd w:val="clear" w:color="auto" w:fill="24135F"/>
          </w:tcPr>
          <w:p w14:paraId="4FFAB916" w14:textId="7B4937BB" w:rsidR="006E706D" w:rsidRPr="007E750E" w:rsidRDefault="006E706D" w:rsidP="00DE3BA6">
            <w:pPr>
              <w:pStyle w:val="Caption"/>
              <w:rPr>
                <w:rFonts w:cs="Arial"/>
                <w:i w:val="0"/>
                <w:iCs w:val="0"/>
                <w:szCs w:val="24"/>
              </w:rPr>
            </w:pPr>
            <w:bookmarkStart w:id="76" w:name="_Ref112841642"/>
            <w:r w:rsidRPr="00580587">
              <w:rPr>
                <w:i w:val="0"/>
                <w:iCs w:val="0"/>
              </w:rPr>
              <w:t xml:space="preserve">Figure </w:t>
            </w:r>
            <w:r w:rsidR="00337849">
              <w:rPr>
                <w:i w:val="0"/>
                <w:iCs w:val="0"/>
              </w:rPr>
              <w:fldChar w:fldCharType="begin"/>
            </w:r>
            <w:r w:rsidR="00337849">
              <w:rPr>
                <w:i w:val="0"/>
                <w:iCs w:val="0"/>
              </w:rPr>
              <w:instrText xml:space="preserve"> SEQ Figure \* ARABIC </w:instrText>
            </w:r>
            <w:r w:rsidR="00337849">
              <w:rPr>
                <w:i w:val="0"/>
                <w:iCs w:val="0"/>
              </w:rPr>
              <w:fldChar w:fldCharType="separate"/>
            </w:r>
            <w:r w:rsidR="00625A64">
              <w:rPr>
                <w:i w:val="0"/>
                <w:iCs w:val="0"/>
                <w:noProof/>
              </w:rPr>
              <w:t>8</w:t>
            </w:r>
            <w:r w:rsidR="00337849">
              <w:rPr>
                <w:i w:val="0"/>
                <w:iCs w:val="0"/>
              </w:rPr>
              <w:fldChar w:fldCharType="end"/>
            </w:r>
            <w:bookmarkEnd w:id="76"/>
            <w:r w:rsidRPr="00580587">
              <w:rPr>
                <w:i w:val="0"/>
                <w:iCs w:val="0"/>
              </w:rPr>
              <w:t xml:space="preserve">: </w:t>
            </w:r>
            <w:r w:rsidRPr="00C378F2">
              <w:rPr>
                <w:rFonts w:cs="Arial"/>
              </w:rPr>
              <w:t>V</w:t>
            </w:r>
            <w:r w:rsidRPr="00C378F2">
              <w:t xml:space="preserve">alue of annual exports from Malaysia to the </w:t>
            </w:r>
            <w:r w:rsidR="00236BD2" w:rsidRPr="00C378F2">
              <w:t>w</w:t>
            </w:r>
            <w:r w:rsidRPr="00C378F2">
              <w:t>orld and value of annual EU imports from Malaysia for glass fibres (certain open mesh fabrics) for 2000 to 2020</w:t>
            </w:r>
          </w:p>
        </w:tc>
      </w:tr>
      <w:tr w:rsidR="006E706D" w:rsidRPr="00F7615F" w14:paraId="7D810217" w14:textId="77777777" w:rsidTr="00FE5F09">
        <w:trPr>
          <w:trHeight w:val="5525"/>
        </w:trPr>
        <w:tc>
          <w:tcPr>
            <w:tcW w:w="9016" w:type="dxa"/>
            <w:tcBorders>
              <w:bottom w:val="single" w:sz="4" w:space="0" w:color="auto"/>
            </w:tcBorders>
          </w:tcPr>
          <w:p w14:paraId="44515F88" w14:textId="77777777" w:rsidR="006E706D" w:rsidRPr="009275A8" w:rsidRDefault="006E706D" w:rsidP="00FE5F09">
            <w:pPr>
              <w:tabs>
                <w:tab w:val="center" w:pos="4400"/>
              </w:tabs>
              <w:jc w:val="center"/>
              <w:rPr>
                <w:rFonts w:cs="Arial"/>
                <w:noProof/>
                <w:sz w:val="12"/>
                <w:szCs w:val="12"/>
              </w:rPr>
            </w:pPr>
          </w:p>
          <w:p w14:paraId="00CAC1FF" w14:textId="77777777" w:rsidR="006E706D" w:rsidRPr="00F7615F" w:rsidRDefault="006E706D" w:rsidP="00FE5F09">
            <w:pPr>
              <w:tabs>
                <w:tab w:val="center" w:pos="4400"/>
              </w:tabs>
              <w:jc w:val="center"/>
              <w:rPr>
                <w:rFonts w:cs="Arial"/>
                <w:noProof/>
                <w:szCs w:val="24"/>
              </w:rPr>
            </w:pPr>
            <w:r>
              <w:rPr>
                <w:noProof/>
              </w:rPr>
              <w:drawing>
                <wp:inline distT="0" distB="0" distL="0" distR="0" wp14:anchorId="05599A1D" wp14:editId="1AC93C1F">
                  <wp:extent cx="5579352" cy="3629025"/>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5082"/>
                          <a:stretch/>
                        </pic:blipFill>
                        <pic:spPr bwMode="auto">
                          <a:xfrm>
                            <a:off x="0" y="0"/>
                            <a:ext cx="5580000" cy="36294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E706D" w:rsidRPr="003545C2" w14:paraId="74EC9588" w14:textId="77777777" w:rsidTr="00FE5F09">
        <w:tc>
          <w:tcPr>
            <w:tcW w:w="9016" w:type="dxa"/>
            <w:tcBorders>
              <w:top w:val="single" w:sz="4" w:space="0" w:color="auto"/>
              <w:left w:val="nil"/>
              <w:bottom w:val="nil"/>
              <w:right w:val="nil"/>
            </w:tcBorders>
          </w:tcPr>
          <w:p w14:paraId="5D144529" w14:textId="1CE943A8" w:rsidR="006E706D" w:rsidRDefault="006E706D" w:rsidP="00B25A27">
            <w:pPr>
              <w:pStyle w:val="Tablenote"/>
            </w:pPr>
            <w:r>
              <w:t xml:space="preserve">Note: 1) Launch of </w:t>
            </w:r>
            <w:r w:rsidR="00F807FB">
              <w:t>AD</w:t>
            </w:r>
            <w:r w:rsidR="00462D0C" w:rsidRPr="00462D0C">
              <w:t xml:space="preserve"> </w:t>
            </w:r>
            <w:r>
              <w:t xml:space="preserve">investigation against </w:t>
            </w:r>
            <w:r w:rsidR="0075544E">
              <w:t>PRC</w:t>
            </w:r>
            <w:r>
              <w:t xml:space="preserve"> (May 2010), 2) Imposition of</w:t>
            </w:r>
            <w:r w:rsidR="00462D0C" w:rsidRPr="00462D0C">
              <w:rPr>
                <w:szCs w:val="24"/>
              </w:rPr>
              <w:t xml:space="preserve"> </w:t>
            </w:r>
            <w:r w:rsidR="00F807FB">
              <w:t>AD</w:t>
            </w:r>
            <w:r w:rsidR="00462D0C" w:rsidRPr="00462D0C">
              <w:t xml:space="preserve"> </w:t>
            </w:r>
            <w:r>
              <w:t xml:space="preserve">measures against </w:t>
            </w:r>
            <w:r w:rsidR="0075544E">
              <w:t xml:space="preserve">PRC </w:t>
            </w:r>
            <w:r>
              <w:t>(February 2011), 3) Launch of AC investigation against Malaysia (November 2011), 4) Imposition of AC measures against Malaysia (July 2012)</w:t>
            </w:r>
            <w:r w:rsidR="00DD2810">
              <w:t>.</w:t>
            </w:r>
            <w:r>
              <w:t xml:space="preserve"> </w:t>
            </w:r>
          </w:p>
          <w:p w14:paraId="2598E096" w14:textId="5437A194" w:rsidR="002470C0" w:rsidRPr="003545C2" w:rsidRDefault="002470C0" w:rsidP="00FE5F09">
            <w:pPr>
              <w:pStyle w:val="Tablesource"/>
              <w:rPr>
                <w:i w:val="0"/>
              </w:rPr>
            </w:pPr>
            <w:r w:rsidRPr="00BC5820">
              <w:t xml:space="preserve">Source: </w:t>
            </w:r>
            <w:r>
              <w:t>Frontier Economics analysis of UN Comtrade data.</w:t>
            </w:r>
          </w:p>
        </w:tc>
      </w:tr>
    </w:tbl>
    <w:p w14:paraId="0E2FE3A1" w14:textId="524DB4C2" w:rsidR="006E706D" w:rsidRDefault="006E706D" w:rsidP="00016CC0">
      <w:r>
        <w:t xml:space="preserve">To complete the analysis, we examine how </w:t>
      </w:r>
      <w:r w:rsidR="002406F0">
        <w:t>PRC</w:t>
      </w:r>
      <w:r>
        <w:t>’s exports to</w:t>
      </w:r>
      <w:r w:rsidR="003006D1">
        <w:t xml:space="preserve"> </w:t>
      </w:r>
      <w:r w:rsidRPr="00F807FB">
        <w:t>South</w:t>
      </w:r>
      <w:r w:rsidR="00975591">
        <w:t>-</w:t>
      </w:r>
      <w:r w:rsidR="00F807FB" w:rsidRPr="00F807FB">
        <w:t>E</w:t>
      </w:r>
      <w:r w:rsidRPr="00F807FB">
        <w:t>ast Asia</w:t>
      </w:r>
      <w:r>
        <w:t xml:space="preserve"> behaved, and what this reveals about the role of duties. This is reported in </w:t>
      </w:r>
      <w:r w:rsidR="003006D1" w:rsidRPr="003006D1">
        <w:fldChar w:fldCharType="begin"/>
      </w:r>
      <w:r w:rsidR="003006D1" w:rsidRPr="003006D1">
        <w:instrText xml:space="preserve"> REF _Ref112841670 \h  \* MERGEFORMAT </w:instrText>
      </w:r>
      <w:r w:rsidR="003006D1" w:rsidRPr="003006D1">
        <w:fldChar w:fldCharType="separate"/>
      </w:r>
      <w:r w:rsidR="003006D1" w:rsidRPr="003006D1">
        <w:t xml:space="preserve">Figure </w:t>
      </w:r>
      <w:r w:rsidR="003006D1" w:rsidRPr="003006D1">
        <w:rPr>
          <w:noProof/>
        </w:rPr>
        <w:t>9</w:t>
      </w:r>
      <w:r w:rsidR="003006D1" w:rsidRPr="003006D1">
        <w:fldChar w:fldCharType="end"/>
      </w:r>
      <w:r w:rsidR="003006D1" w:rsidRPr="003006D1">
        <w:t xml:space="preserve"> </w:t>
      </w:r>
      <w:r>
        <w:t xml:space="preserve">for seven ASEAN countries, covering 2010 to 2013. </w:t>
      </w:r>
      <w:r w:rsidR="00413375">
        <w:t>Generally, w</w:t>
      </w:r>
      <w:r>
        <w:t xml:space="preserve">e observe that exports remained constant. Exports to Thailand started increasing after the imposition of anti-dumping duties on </w:t>
      </w:r>
      <w:r w:rsidR="002406F0">
        <w:t>PRC</w:t>
      </w:r>
      <w:r>
        <w:t xml:space="preserve">, before increasing markedly after the launch of the anti-circumvention investigation against Malaysia. Imports into the EU from Thailand also increased </w:t>
      </w:r>
      <w:r w:rsidRPr="00135EF1">
        <w:t>(</w:t>
      </w:r>
      <w:r w:rsidR="003006D1" w:rsidRPr="003006D1">
        <w:fldChar w:fldCharType="begin"/>
      </w:r>
      <w:r w:rsidR="003006D1" w:rsidRPr="003006D1">
        <w:instrText xml:space="preserve"> REF _Ref112841715 \h  \* MERGEFORMAT </w:instrText>
      </w:r>
      <w:r w:rsidR="003006D1" w:rsidRPr="003006D1">
        <w:fldChar w:fldCharType="separate"/>
      </w:r>
      <w:r w:rsidR="003006D1" w:rsidRPr="003006D1">
        <w:t xml:space="preserve">Figure </w:t>
      </w:r>
      <w:r w:rsidR="003006D1" w:rsidRPr="003006D1">
        <w:rPr>
          <w:noProof/>
        </w:rPr>
        <w:t>10</w:t>
      </w:r>
      <w:r w:rsidR="003006D1" w:rsidRPr="003006D1">
        <w:fldChar w:fldCharType="end"/>
      </w:r>
      <w:r w:rsidRPr="00135EF1">
        <w:t>)</w:t>
      </w:r>
      <w:r>
        <w:t xml:space="preserve"> and Thailand was then subjected to an anti-circumvention investigation (May 2012) and then duties (January 2013).</w:t>
      </w:r>
      <w:r>
        <w:rPr>
          <w:rStyle w:val="FootnoteReference"/>
          <w:rFonts w:cs="Arial"/>
          <w:szCs w:val="24"/>
        </w:rPr>
        <w:footnoteReference w:id="36"/>
      </w:r>
    </w:p>
    <w:tbl>
      <w:tblPr>
        <w:tblStyle w:val="TableGrid"/>
        <w:tblW w:w="0" w:type="auto"/>
        <w:tblLook w:val="04A0" w:firstRow="1" w:lastRow="0" w:firstColumn="1" w:lastColumn="0" w:noHBand="0" w:noVBand="1"/>
      </w:tblPr>
      <w:tblGrid>
        <w:gridCol w:w="9016"/>
      </w:tblGrid>
      <w:tr w:rsidR="006E706D" w:rsidRPr="00F7615F" w14:paraId="5ED2395A" w14:textId="77777777" w:rsidTr="00FE5F09">
        <w:tc>
          <w:tcPr>
            <w:tcW w:w="9016" w:type="dxa"/>
            <w:tcBorders>
              <w:bottom w:val="single" w:sz="4" w:space="0" w:color="auto"/>
            </w:tcBorders>
            <w:shd w:val="clear" w:color="auto" w:fill="24135F"/>
          </w:tcPr>
          <w:p w14:paraId="494E6053" w14:textId="1264AA10" w:rsidR="006E706D" w:rsidRPr="007E750E" w:rsidRDefault="006E706D" w:rsidP="00DE3BA6">
            <w:pPr>
              <w:pStyle w:val="Caption"/>
              <w:rPr>
                <w:rFonts w:cs="Arial"/>
                <w:i w:val="0"/>
                <w:iCs w:val="0"/>
                <w:szCs w:val="24"/>
              </w:rPr>
            </w:pPr>
            <w:bookmarkStart w:id="77" w:name="_Ref112841670"/>
            <w:r w:rsidRPr="00580587">
              <w:rPr>
                <w:i w:val="0"/>
                <w:iCs w:val="0"/>
              </w:rPr>
              <w:t xml:space="preserve">Figure </w:t>
            </w:r>
            <w:r w:rsidR="00337849">
              <w:rPr>
                <w:i w:val="0"/>
                <w:iCs w:val="0"/>
              </w:rPr>
              <w:fldChar w:fldCharType="begin"/>
            </w:r>
            <w:r w:rsidR="00337849">
              <w:rPr>
                <w:i w:val="0"/>
                <w:iCs w:val="0"/>
              </w:rPr>
              <w:instrText xml:space="preserve"> SEQ Figure \* ARABIC </w:instrText>
            </w:r>
            <w:r w:rsidR="00337849">
              <w:rPr>
                <w:i w:val="0"/>
                <w:iCs w:val="0"/>
              </w:rPr>
              <w:fldChar w:fldCharType="separate"/>
            </w:r>
            <w:r w:rsidR="00625A64">
              <w:rPr>
                <w:i w:val="0"/>
                <w:iCs w:val="0"/>
                <w:noProof/>
              </w:rPr>
              <w:t>9</w:t>
            </w:r>
            <w:r w:rsidR="00337849">
              <w:rPr>
                <w:i w:val="0"/>
                <w:iCs w:val="0"/>
              </w:rPr>
              <w:fldChar w:fldCharType="end"/>
            </w:r>
            <w:bookmarkEnd w:id="77"/>
            <w:r w:rsidRPr="00580587">
              <w:rPr>
                <w:i w:val="0"/>
                <w:iCs w:val="0"/>
              </w:rPr>
              <w:t xml:space="preserve">: </w:t>
            </w:r>
            <w:r w:rsidRPr="00C378F2">
              <w:rPr>
                <w:rFonts w:cs="Arial"/>
              </w:rPr>
              <w:t>V</w:t>
            </w:r>
            <w:r w:rsidRPr="00C378F2">
              <w:t xml:space="preserve">alue of monthly exports from </w:t>
            </w:r>
            <w:r w:rsidR="00403DDD">
              <w:t xml:space="preserve">the </w:t>
            </w:r>
            <w:r w:rsidR="0075544E" w:rsidRPr="00C378F2">
              <w:t>PRC</w:t>
            </w:r>
            <w:r w:rsidRPr="00C378F2">
              <w:t xml:space="preserve"> to South</w:t>
            </w:r>
            <w:r w:rsidR="00975591">
              <w:t>-</w:t>
            </w:r>
            <w:r w:rsidR="00F807FB" w:rsidRPr="00C378F2">
              <w:t>E</w:t>
            </w:r>
            <w:r w:rsidRPr="00C378F2">
              <w:t>ast Asia (excl. Malaysia) for glass fibres (certain open mesh fabrics) for 2010 to 2013</w:t>
            </w:r>
          </w:p>
        </w:tc>
      </w:tr>
      <w:tr w:rsidR="006E706D" w:rsidRPr="00F7615F" w14:paraId="098CB722" w14:textId="77777777" w:rsidTr="00FE5F09">
        <w:trPr>
          <w:trHeight w:val="5525"/>
        </w:trPr>
        <w:tc>
          <w:tcPr>
            <w:tcW w:w="9016" w:type="dxa"/>
            <w:tcBorders>
              <w:bottom w:val="single" w:sz="4" w:space="0" w:color="auto"/>
            </w:tcBorders>
          </w:tcPr>
          <w:p w14:paraId="2F6B527F" w14:textId="77777777" w:rsidR="006A58C6" w:rsidRPr="006A58C6" w:rsidRDefault="006A58C6" w:rsidP="006A58C6">
            <w:pPr>
              <w:tabs>
                <w:tab w:val="center" w:pos="4400"/>
              </w:tabs>
              <w:jc w:val="center"/>
              <w:rPr>
                <w:noProof/>
                <w:sz w:val="10"/>
                <w:szCs w:val="10"/>
              </w:rPr>
            </w:pPr>
          </w:p>
          <w:p w14:paraId="41EF0C6F" w14:textId="773F02DD" w:rsidR="006E706D" w:rsidRPr="009275A8" w:rsidRDefault="0075544E" w:rsidP="006A58C6">
            <w:pPr>
              <w:tabs>
                <w:tab w:val="center" w:pos="4400"/>
              </w:tabs>
              <w:jc w:val="center"/>
              <w:rPr>
                <w:rFonts w:cs="Arial"/>
                <w:noProof/>
                <w:sz w:val="12"/>
                <w:szCs w:val="12"/>
              </w:rPr>
            </w:pPr>
            <w:r>
              <w:rPr>
                <w:noProof/>
              </w:rPr>
              <w:drawing>
                <wp:inline distT="0" distB="0" distL="0" distR="0" wp14:anchorId="3C823A3E" wp14:editId="2FD71280">
                  <wp:extent cx="5569135" cy="3628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4950"/>
                          <a:stretch/>
                        </pic:blipFill>
                        <pic:spPr bwMode="auto">
                          <a:xfrm>
                            <a:off x="0" y="0"/>
                            <a:ext cx="5569135" cy="3628800"/>
                          </a:xfrm>
                          <a:prstGeom prst="rect">
                            <a:avLst/>
                          </a:prstGeom>
                          <a:noFill/>
                          <a:ln>
                            <a:noFill/>
                          </a:ln>
                          <a:extLst>
                            <a:ext uri="{53640926-AAD7-44D8-BBD7-CCE9431645EC}">
                              <a14:shadowObscured xmlns:a14="http://schemas.microsoft.com/office/drawing/2010/main"/>
                            </a:ext>
                          </a:extLst>
                        </pic:spPr>
                      </pic:pic>
                    </a:graphicData>
                  </a:graphic>
                </wp:inline>
              </w:drawing>
            </w:r>
          </w:p>
          <w:p w14:paraId="0ABCD6E5" w14:textId="0F231763" w:rsidR="006E706D" w:rsidRPr="00F7615F" w:rsidRDefault="006E706D" w:rsidP="00FE5F09">
            <w:pPr>
              <w:tabs>
                <w:tab w:val="center" w:pos="4400"/>
              </w:tabs>
              <w:jc w:val="center"/>
              <w:rPr>
                <w:rFonts w:cs="Arial"/>
                <w:szCs w:val="24"/>
              </w:rPr>
            </w:pPr>
          </w:p>
        </w:tc>
      </w:tr>
    </w:tbl>
    <w:p w14:paraId="355EA7FE" w14:textId="77777777" w:rsidR="00506B6A" w:rsidRDefault="00506B6A" w:rsidP="00506B6A">
      <w:pPr>
        <w:pStyle w:val="Tablenote"/>
      </w:pPr>
      <w:r w:rsidRPr="00094CE9">
        <w:t>Note: Data for Laos, Brunei and East Timor were not available</w:t>
      </w:r>
      <w:r>
        <w:t>.</w:t>
      </w:r>
    </w:p>
    <w:p w14:paraId="0B5F7CFD" w14:textId="77777777" w:rsidR="00506B6A" w:rsidRDefault="00506B6A" w:rsidP="00506B6A">
      <w:pPr>
        <w:pStyle w:val="Tablesource"/>
      </w:pPr>
      <w:r w:rsidRPr="00BC5820">
        <w:t xml:space="preserve">Source: </w:t>
      </w:r>
      <w:r>
        <w:t>Frontier Economics analysis of UN Comtrade data.</w:t>
      </w:r>
    </w:p>
    <w:p w14:paraId="6A64CE00" w14:textId="77777777" w:rsidR="00506B6A" w:rsidRDefault="00506B6A"/>
    <w:p w14:paraId="7AF3E1AA" w14:textId="77777777" w:rsidR="00506B6A" w:rsidRDefault="00506B6A">
      <w:r>
        <w:rPr>
          <w:i/>
        </w:rPr>
        <w:br w:type="page"/>
      </w:r>
    </w:p>
    <w:tbl>
      <w:tblPr>
        <w:tblStyle w:val="TableGrid"/>
        <w:tblW w:w="0" w:type="auto"/>
        <w:tblLook w:val="04A0" w:firstRow="1" w:lastRow="0" w:firstColumn="1" w:lastColumn="0" w:noHBand="0" w:noVBand="1"/>
      </w:tblPr>
      <w:tblGrid>
        <w:gridCol w:w="9016"/>
      </w:tblGrid>
      <w:tr w:rsidR="006E706D" w:rsidRPr="007E750E" w14:paraId="46ADFD1F" w14:textId="77777777" w:rsidTr="00506B6A">
        <w:tc>
          <w:tcPr>
            <w:tcW w:w="9016" w:type="dxa"/>
            <w:tcBorders>
              <w:bottom w:val="single" w:sz="4" w:space="0" w:color="auto"/>
            </w:tcBorders>
            <w:shd w:val="clear" w:color="auto" w:fill="24135F"/>
          </w:tcPr>
          <w:p w14:paraId="2FA0CB8F" w14:textId="6CCFA164" w:rsidR="006E706D" w:rsidRPr="007E750E" w:rsidRDefault="006E706D" w:rsidP="00DE3BA6">
            <w:pPr>
              <w:pStyle w:val="Caption"/>
              <w:rPr>
                <w:rFonts w:cs="Arial"/>
                <w:i w:val="0"/>
                <w:iCs w:val="0"/>
                <w:szCs w:val="24"/>
              </w:rPr>
            </w:pPr>
            <w:bookmarkStart w:id="78" w:name="_Ref112841715"/>
            <w:r w:rsidRPr="00580587">
              <w:rPr>
                <w:i w:val="0"/>
                <w:iCs w:val="0"/>
              </w:rPr>
              <w:t xml:space="preserve">Figure </w:t>
            </w:r>
            <w:r w:rsidR="00337849">
              <w:rPr>
                <w:i w:val="0"/>
                <w:iCs w:val="0"/>
              </w:rPr>
              <w:fldChar w:fldCharType="begin"/>
            </w:r>
            <w:r w:rsidR="00337849">
              <w:rPr>
                <w:i w:val="0"/>
                <w:iCs w:val="0"/>
              </w:rPr>
              <w:instrText xml:space="preserve"> SEQ Figure \* ARABIC </w:instrText>
            </w:r>
            <w:r w:rsidR="00337849">
              <w:rPr>
                <w:i w:val="0"/>
                <w:iCs w:val="0"/>
              </w:rPr>
              <w:fldChar w:fldCharType="separate"/>
            </w:r>
            <w:r w:rsidR="00625A64">
              <w:rPr>
                <w:i w:val="0"/>
                <w:iCs w:val="0"/>
                <w:noProof/>
              </w:rPr>
              <w:t>10</w:t>
            </w:r>
            <w:r w:rsidR="00337849">
              <w:rPr>
                <w:i w:val="0"/>
                <w:iCs w:val="0"/>
              </w:rPr>
              <w:fldChar w:fldCharType="end"/>
            </w:r>
            <w:bookmarkEnd w:id="78"/>
            <w:r w:rsidRPr="00580587">
              <w:rPr>
                <w:i w:val="0"/>
                <w:iCs w:val="0"/>
              </w:rPr>
              <w:t xml:space="preserve">: </w:t>
            </w:r>
            <w:r w:rsidRPr="00C378F2">
              <w:rPr>
                <w:rFonts w:cs="Arial"/>
              </w:rPr>
              <w:t>V</w:t>
            </w:r>
            <w:r w:rsidRPr="00C378F2">
              <w:t xml:space="preserve">alue of monthly imports to the EU </w:t>
            </w:r>
            <w:r w:rsidR="003006D1" w:rsidRPr="00C378F2">
              <w:t xml:space="preserve">from Thailand </w:t>
            </w:r>
            <w:r w:rsidRPr="00C378F2">
              <w:t>for glass fibres (certain open mesh fabrics) for 2010 to 2014</w:t>
            </w:r>
          </w:p>
        </w:tc>
      </w:tr>
      <w:tr w:rsidR="006E706D" w:rsidRPr="00F7615F" w14:paraId="13EAC364" w14:textId="77777777" w:rsidTr="00506B6A">
        <w:trPr>
          <w:trHeight w:val="5525"/>
        </w:trPr>
        <w:tc>
          <w:tcPr>
            <w:tcW w:w="9016" w:type="dxa"/>
            <w:tcBorders>
              <w:bottom w:val="single" w:sz="4" w:space="0" w:color="auto"/>
            </w:tcBorders>
          </w:tcPr>
          <w:p w14:paraId="1BD475BD" w14:textId="77777777" w:rsidR="006E706D" w:rsidRPr="009275A8" w:rsidRDefault="006E706D" w:rsidP="00FE5F09">
            <w:pPr>
              <w:tabs>
                <w:tab w:val="center" w:pos="4400"/>
              </w:tabs>
              <w:jc w:val="center"/>
              <w:rPr>
                <w:rFonts w:cs="Arial"/>
                <w:noProof/>
                <w:sz w:val="12"/>
                <w:szCs w:val="12"/>
              </w:rPr>
            </w:pPr>
          </w:p>
          <w:p w14:paraId="40B5A795" w14:textId="50FAE2E9" w:rsidR="006E706D" w:rsidRPr="00F7615F" w:rsidRDefault="0075544E" w:rsidP="00FE5F09">
            <w:pPr>
              <w:tabs>
                <w:tab w:val="center" w:pos="4400"/>
              </w:tabs>
              <w:jc w:val="center"/>
              <w:rPr>
                <w:rFonts w:cs="Arial"/>
                <w:szCs w:val="24"/>
              </w:rPr>
            </w:pPr>
            <w:r>
              <w:rPr>
                <w:noProof/>
              </w:rPr>
              <w:drawing>
                <wp:inline distT="0" distB="0" distL="0" distR="0" wp14:anchorId="380E8D17" wp14:editId="06CCB88E">
                  <wp:extent cx="5592573" cy="362880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5233"/>
                          <a:stretch/>
                        </pic:blipFill>
                        <pic:spPr bwMode="auto">
                          <a:xfrm>
                            <a:off x="0" y="0"/>
                            <a:ext cx="5592573" cy="3628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E706D" w:rsidRPr="00BC5820" w14:paraId="0538DF16" w14:textId="77777777" w:rsidTr="00506B6A">
        <w:tc>
          <w:tcPr>
            <w:tcW w:w="9016" w:type="dxa"/>
            <w:tcBorders>
              <w:top w:val="single" w:sz="4" w:space="0" w:color="auto"/>
              <w:left w:val="nil"/>
              <w:bottom w:val="nil"/>
              <w:right w:val="nil"/>
            </w:tcBorders>
          </w:tcPr>
          <w:p w14:paraId="30569903" w14:textId="165955D1" w:rsidR="006E706D" w:rsidRPr="003545C2" w:rsidRDefault="006E706D" w:rsidP="00FE5F09">
            <w:pPr>
              <w:pStyle w:val="Tablesource"/>
              <w:rPr>
                <w:i w:val="0"/>
              </w:rPr>
            </w:pPr>
            <w:r w:rsidRPr="00BC5820">
              <w:t xml:space="preserve">Source: </w:t>
            </w:r>
            <w:r>
              <w:t>Frontier Economics analysis of UN Comtrade data</w:t>
            </w:r>
            <w:r w:rsidR="00DD2810">
              <w:t>.</w:t>
            </w:r>
          </w:p>
        </w:tc>
      </w:tr>
    </w:tbl>
    <w:p w14:paraId="4668EEE5" w14:textId="2CECC9B1" w:rsidR="006E706D" w:rsidRDefault="006E706D" w:rsidP="00016CC0">
      <w:r>
        <w:t xml:space="preserve">The analysis presented here substantially increases the evidence base relative to that initially provided by the </w:t>
      </w:r>
      <w:r w:rsidR="00E31126">
        <w:t>EC</w:t>
      </w:r>
      <w:r>
        <w:t xml:space="preserve">. In particular, it introduces a range of comparators, including trade patterns between </w:t>
      </w:r>
      <w:r w:rsidR="002406F0">
        <w:t>PRC</w:t>
      </w:r>
      <w:r>
        <w:t xml:space="preserve"> and Malaysia, and between </w:t>
      </w:r>
      <w:r w:rsidR="002406F0">
        <w:t>PRC</w:t>
      </w:r>
      <w:r>
        <w:t xml:space="preserve"> and other countries in the region. The latter examination </w:t>
      </w:r>
      <w:r w:rsidRPr="00F807FB">
        <w:t>suggests that South</w:t>
      </w:r>
      <w:r w:rsidR="00975591">
        <w:t>-</w:t>
      </w:r>
      <w:r w:rsidR="00F807FB" w:rsidRPr="00B25A27">
        <w:t>E</w:t>
      </w:r>
      <w:r w:rsidRPr="00F807FB">
        <w:t>ast Asia</w:t>
      </w:r>
      <w:r>
        <w:t xml:space="preserve"> is not usually a significant market for glass fibres for </w:t>
      </w:r>
      <w:r w:rsidR="002406F0">
        <w:t>PRC</w:t>
      </w:r>
      <w:r>
        <w:t>, nor is the EU a significant market for these South</w:t>
      </w:r>
      <w:r w:rsidR="00975591">
        <w:t>-</w:t>
      </w:r>
      <w:r w:rsidR="00F807FB">
        <w:t>E</w:t>
      </w:r>
      <w:r>
        <w:t>ast Asian countries. This makes the combination of surges in exports to South</w:t>
      </w:r>
      <w:r w:rsidR="00975591">
        <w:t>-</w:t>
      </w:r>
      <w:r w:rsidR="00F807FB">
        <w:t>E</w:t>
      </w:r>
      <w:r>
        <w:t>ast Asia and surges from the region to the EU following the imposition of duties consistent with the view that at least a portion of that surge was due to attempted circumvention. This is not</w:t>
      </w:r>
      <w:r w:rsidR="00661FCE">
        <w:t>,</w:t>
      </w:r>
      <w:r>
        <w:t xml:space="preserve"> however</w:t>
      </w:r>
      <w:r w:rsidR="00661FCE">
        <w:t>,</w:t>
      </w:r>
      <w:r>
        <w:t xml:space="preserve"> definitive, given that the values and timing of trade flows do not always align or are inconsistent.</w:t>
      </w:r>
    </w:p>
    <w:p w14:paraId="4F8E6BDA" w14:textId="1575EFFE" w:rsidR="006E706D" w:rsidRDefault="006E706D" w:rsidP="00016CC0">
      <w:r w:rsidRPr="537AB0BE">
        <w:t xml:space="preserve">The evidence based on trade data is </w:t>
      </w:r>
      <w:r>
        <w:t xml:space="preserve">therefore </w:t>
      </w:r>
      <w:r w:rsidRPr="537AB0BE">
        <w:t>not fully determinative: it is conceptually possible that</w:t>
      </w:r>
      <w:r w:rsidR="00F807FB">
        <w:t>,</w:t>
      </w:r>
      <w:r w:rsidRPr="537AB0BE">
        <w:t xml:space="preserve"> in both the Malaysian and Thai cases, Chinese exporters found exports to those countries more profitable and exploited gaps in </w:t>
      </w:r>
      <w:r>
        <w:t>demand</w:t>
      </w:r>
      <w:r w:rsidR="00F807FB">
        <w:t>,</w:t>
      </w:r>
      <w:r>
        <w:t xml:space="preserve"> </w:t>
      </w:r>
      <w:r w:rsidRPr="537AB0BE">
        <w:t>and that Malaysian and Thai exporters were seizing the opportunities created by the wedge between EU and world prices.</w:t>
      </w:r>
      <w:r w:rsidRPr="537AB0BE">
        <w:rPr>
          <w:rStyle w:val="FootnoteReference"/>
          <w:rFonts w:cs="Arial"/>
        </w:rPr>
        <w:footnoteReference w:id="37"/>
      </w:r>
      <w:r w:rsidRPr="537AB0BE">
        <w:t xml:space="preserve"> </w:t>
      </w:r>
    </w:p>
    <w:p w14:paraId="2CD042D3" w14:textId="61CC5CB8" w:rsidR="006E706D" w:rsidRDefault="006E706D" w:rsidP="00016CC0">
      <w:r w:rsidRPr="537AB0BE">
        <w:t xml:space="preserve">This appears </w:t>
      </w:r>
      <w:r>
        <w:t>questionable</w:t>
      </w:r>
      <w:r w:rsidRPr="537AB0BE">
        <w:t xml:space="preserve"> given the patterns of trade observed above. We would need to believe that Malaysia (and Thai businesses) were largely focused on the domestic market and were </w:t>
      </w:r>
      <w:r>
        <w:t xml:space="preserve">not </w:t>
      </w:r>
      <w:r w:rsidRPr="537AB0BE">
        <w:t>interested in exporting to the EU</w:t>
      </w:r>
      <w:r>
        <w:t xml:space="preserve"> or to overseas markets</w:t>
      </w:r>
      <w:r w:rsidRPr="537AB0BE">
        <w:t xml:space="preserve">, and that </w:t>
      </w:r>
      <w:r w:rsidR="00F807FB">
        <w:t xml:space="preserve">it was </w:t>
      </w:r>
      <w:r w:rsidRPr="537AB0BE">
        <w:t xml:space="preserve">only following duties </w:t>
      </w:r>
      <w:r w:rsidR="005E67E6">
        <w:t xml:space="preserve">being </w:t>
      </w:r>
      <w:r w:rsidRPr="537AB0BE">
        <w:t xml:space="preserve">imposed on </w:t>
      </w:r>
      <w:r w:rsidR="002406F0">
        <w:t>PRC</w:t>
      </w:r>
      <w:r w:rsidRPr="537AB0BE">
        <w:t xml:space="preserve"> </w:t>
      </w:r>
      <w:r w:rsidR="00F807FB">
        <w:t xml:space="preserve">that </w:t>
      </w:r>
      <w:r w:rsidR="00995BE5">
        <w:t>they decide</w:t>
      </w:r>
      <w:r w:rsidR="00F807FB">
        <w:t>d</w:t>
      </w:r>
      <w:r w:rsidR="00995BE5">
        <w:t xml:space="preserve"> to export to the EU</w:t>
      </w:r>
      <w:r w:rsidRPr="537AB0BE">
        <w:t xml:space="preserve">. </w:t>
      </w:r>
      <w:r>
        <w:t>The reason</w:t>
      </w:r>
      <w:r w:rsidDel="005E67E6">
        <w:t xml:space="preserve"> </w:t>
      </w:r>
      <w:r w:rsidR="005E67E6">
        <w:t xml:space="preserve">why this </w:t>
      </w:r>
      <w:r>
        <w:t xml:space="preserve">may be questionable is because firms typically cannot transition seamlessly into exporting: there are fixed costs to entering overseas markets, notably the acquisition of customers and the conclusion of purchasing contracts with distributors or end-users.  </w:t>
      </w:r>
    </w:p>
    <w:p w14:paraId="3DCBD1B2" w14:textId="48AE472F" w:rsidR="006E706D" w:rsidRDefault="006E706D" w:rsidP="00016CC0">
      <w:r>
        <w:t xml:space="preserve">Overall, the analysis of trade data presents a mixed score-card. Discrepancies between </w:t>
      </w:r>
      <w:r w:rsidR="002406F0">
        <w:t>PRC</w:t>
      </w:r>
      <w:r>
        <w:t xml:space="preserve">-Malaysia trade flows and Malaysia-EU trade flows raise questions as to whether at least part of the latter reflects genuine substitution/diversion effects. The analysis of regional trade patterns raises questions </w:t>
      </w:r>
      <w:r w:rsidR="00661FCE">
        <w:t>about</w:t>
      </w:r>
      <w:r>
        <w:t xml:space="preserve"> the export capability of Malaysian businesses, which in turn raises questions </w:t>
      </w:r>
      <w:r w:rsidR="00661FCE">
        <w:t>about</w:t>
      </w:r>
      <w:r>
        <w:t xml:space="preserve"> whether the one-off spike in Malaysia-EU trade is consistent with bona fide Malaysian exports. </w:t>
      </w:r>
    </w:p>
    <w:p w14:paraId="402D5625" w14:textId="5E61E293" w:rsidR="006E706D" w:rsidRDefault="006E706D" w:rsidP="00016CC0">
      <w:r>
        <w:t>While the trade data analysis is inconclusive, this does not detract from its value. First</w:t>
      </w:r>
      <w:r w:rsidR="00196D97">
        <w:t>ly</w:t>
      </w:r>
      <w:r>
        <w:t xml:space="preserve">, analysing </w:t>
      </w:r>
      <w:r w:rsidR="002406F0">
        <w:t>PRC</w:t>
      </w:r>
      <w:r>
        <w:t>-Malaysia export patterns provide</w:t>
      </w:r>
      <w:r w:rsidR="00404143">
        <w:t>s</w:t>
      </w:r>
      <w:r>
        <w:t xml:space="preserve"> some additional context for understanding Malaysia-EU export patterns and increased scrutiny of the finding of circumvention based solely on analysis of bilateral trade between the EU and, respectively, </w:t>
      </w:r>
      <w:r w:rsidR="002406F0">
        <w:t>PRC</w:t>
      </w:r>
      <w:r>
        <w:t xml:space="preserve"> and Malaysia. Secondly, the analysis of regional trade patterns raise</w:t>
      </w:r>
      <w:r w:rsidR="00196D97">
        <w:t>s</w:t>
      </w:r>
      <w:r>
        <w:t xml:space="preserve"> a particular question for further investigation: </w:t>
      </w:r>
      <w:r w:rsidDel="00A1206B">
        <w:t>d</w:t>
      </w:r>
      <w:r>
        <w:t>o Malaysian exporters have the capacity to ramp up production for the purposes of exports to the EU and switch exports apparently seamlessly between domestic and foreign markets</w:t>
      </w:r>
      <w:r w:rsidR="00A1206B">
        <w:t>?</w:t>
      </w:r>
      <w:r>
        <w:t xml:space="preserve"> Finally, the analysis also underscores the points made in relation to a South</w:t>
      </w:r>
      <w:r w:rsidR="00975591">
        <w:t>-</w:t>
      </w:r>
      <w:r w:rsidR="005E67E6">
        <w:t>E</w:t>
      </w:r>
      <w:r>
        <w:t>ast Asia circumvention hub in the context of EU anti-dumping duties.</w:t>
      </w:r>
    </w:p>
    <w:p w14:paraId="303CE574" w14:textId="29FF8526" w:rsidR="006E706D" w:rsidRDefault="006E706D" w:rsidP="00016CC0">
      <w:r>
        <w:t>Regarding the use of UN Comtrade data specifically</w:t>
      </w:r>
      <w:r w:rsidR="007E66C1">
        <w:t>,</w:t>
      </w:r>
      <w:r>
        <w:t xml:space="preserve"> as part of these more sophisticated before-after analyses, it is worth noting (as outlined in </w:t>
      </w:r>
      <w:r w:rsidR="003A765D">
        <w:t>section 4.2</w:t>
      </w:r>
      <w:r>
        <w:t>) that:</w:t>
      </w:r>
    </w:p>
    <w:p w14:paraId="2B3B5827" w14:textId="58011929" w:rsidR="006E706D" w:rsidRPr="00610A9D" w:rsidRDefault="006E706D" w:rsidP="00865CDD">
      <w:pPr>
        <w:pStyle w:val="NoSpacing"/>
        <w:numPr>
          <w:ilvl w:val="0"/>
          <w:numId w:val="14"/>
        </w:numPr>
        <w:spacing w:line="360" w:lineRule="auto"/>
        <w:rPr>
          <w:rFonts w:cs="Arial"/>
          <w:szCs w:val="24"/>
        </w:rPr>
      </w:pPr>
      <w:r w:rsidRPr="00610A9D">
        <w:rPr>
          <w:rFonts w:cs="Arial"/>
          <w:szCs w:val="24"/>
        </w:rPr>
        <w:t xml:space="preserve">Given the time lag for countries submitting data to </w:t>
      </w:r>
      <w:r>
        <w:rPr>
          <w:rFonts w:cs="Arial"/>
          <w:szCs w:val="24"/>
        </w:rPr>
        <w:t xml:space="preserve">UN </w:t>
      </w:r>
      <w:r w:rsidRPr="00610A9D">
        <w:rPr>
          <w:rFonts w:cs="Arial"/>
          <w:szCs w:val="24"/>
        </w:rPr>
        <w:t xml:space="preserve">Comtrade, the required level of detailed trade data </w:t>
      </w:r>
      <w:r>
        <w:rPr>
          <w:rFonts w:cs="Arial"/>
          <w:szCs w:val="24"/>
        </w:rPr>
        <w:t xml:space="preserve">(e.g. monthly data) </w:t>
      </w:r>
      <w:r w:rsidRPr="00610A9D">
        <w:rPr>
          <w:rFonts w:cs="Arial"/>
          <w:szCs w:val="24"/>
        </w:rPr>
        <w:t>for the specific case may not be available in a timely fashion</w:t>
      </w:r>
      <w:r w:rsidR="00342666">
        <w:rPr>
          <w:rFonts w:cs="Arial"/>
          <w:szCs w:val="24"/>
        </w:rPr>
        <w:t>;</w:t>
      </w:r>
    </w:p>
    <w:p w14:paraId="1EB18ECF" w14:textId="7A48C3B0" w:rsidR="006E706D" w:rsidRDefault="006E706D" w:rsidP="00865CDD">
      <w:pPr>
        <w:pStyle w:val="NoSpacing"/>
        <w:numPr>
          <w:ilvl w:val="0"/>
          <w:numId w:val="14"/>
        </w:numPr>
        <w:spacing w:line="360" w:lineRule="auto"/>
        <w:rPr>
          <w:rFonts w:cs="Arial"/>
          <w:szCs w:val="24"/>
        </w:rPr>
      </w:pPr>
      <w:r w:rsidRPr="00610A9D">
        <w:rPr>
          <w:rFonts w:cs="Arial"/>
          <w:szCs w:val="24"/>
        </w:rPr>
        <w:t xml:space="preserve">Remedies in </w:t>
      </w:r>
      <w:r>
        <w:rPr>
          <w:rFonts w:cs="Arial"/>
          <w:szCs w:val="24"/>
        </w:rPr>
        <w:t>other anti-circumvention</w:t>
      </w:r>
      <w:r w:rsidRPr="00610A9D">
        <w:rPr>
          <w:rFonts w:cs="Arial"/>
          <w:szCs w:val="24"/>
        </w:rPr>
        <w:t xml:space="preserve"> cases have been imposed at the 8</w:t>
      </w:r>
      <w:r w:rsidR="00196D97">
        <w:rPr>
          <w:rFonts w:cs="Arial"/>
          <w:szCs w:val="24"/>
        </w:rPr>
        <w:t>-</w:t>
      </w:r>
      <w:r w:rsidRPr="00610A9D">
        <w:rPr>
          <w:rFonts w:cs="Arial"/>
          <w:szCs w:val="24"/>
        </w:rPr>
        <w:t xml:space="preserve"> and 10</w:t>
      </w:r>
      <w:r w:rsidR="00C858FA">
        <w:rPr>
          <w:rFonts w:cs="Arial"/>
          <w:szCs w:val="24"/>
        </w:rPr>
        <w:t>-</w:t>
      </w:r>
      <w:r w:rsidRPr="00610A9D">
        <w:rPr>
          <w:rFonts w:cs="Arial"/>
          <w:szCs w:val="24"/>
        </w:rPr>
        <w:t>digit level</w:t>
      </w:r>
      <w:r w:rsidR="005E67E6">
        <w:rPr>
          <w:rFonts w:cs="Arial"/>
          <w:szCs w:val="24"/>
        </w:rPr>
        <w:t>s</w:t>
      </w:r>
      <w:r w:rsidRPr="00610A9D">
        <w:rPr>
          <w:rFonts w:cs="Arial"/>
          <w:szCs w:val="24"/>
        </w:rPr>
        <w:t xml:space="preserve">. For these cases, </w:t>
      </w:r>
      <w:r>
        <w:rPr>
          <w:rFonts w:cs="Arial"/>
          <w:szCs w:val="24"/>
        </w:rPr>
        <w:t xml:space="preserve">UN </w:t>
      </w:r>
      <w:r w:rsidRPr="00610A9D">
        <w:rPr>
          <w:rFonts w:cs="Arial"/>
          <w:szCs w:val="24"/>
        </w:rPr>
        <w:t>Comtrade may not provide the required level of disaggregation to assess potential impacts.</w:t>
      </w:r>
    </w:p>
    <w:p w14:paraId="1D7C5C23" w14:textId="06344ECC" w:rsidR="006E706D" w:rsidRDefault="006E706D" w:rsidP="00016CC0">
      <w:pPr>
        <w:spacing w:before="240"/>
      </w:pPr>
      <w:r>
        <w:t xml:space="preserve">As observed above, the trade data is useful as it provides a specific </w:t>
      </w:r>
      <w:r w:rsidR="00995BE5">
        <w:t xml:space="preserve">justification, as well as contextual elements, </w:t>
      </w:r>
      <w:r>
        <w:t xml:space="preserve">for the further investigation of production patterns and capacity in Malaysian businesses. As </w:t>
      </w:r>
      <w:r w:rsidR="00196D97">
        <w:t>i</w:t>
      </w:r>
      <w:r>
        <w:t xml:space="preserve">t happens, this was a key focus of the site visit conducted by </w:t>
      </w:r>
      <w:r w:rsidR="00655621">
        <w:t>EC</w:t>
      </w:r>
      <w:r>
        <w:t xml:space="preserve"> officials.</w:t>
      </w:r>
    </w:p>
    <w:p w14:paraId="35F58563" w14:textId="4AA3C1B5" w:rsidR="006E706D" w:rsidRDefault="006E706D" w:rsidP="00016CC0">
      <w:r>
        <w:t xml:space="preserve">The site visit found evidence that </w:t>
      </w:r>
      <w:r w:rsidRPr="00852519">
        <w:t>Malaysian businesses had manipulated</w:t>
      </w:r>
      <w:r>
        <w:t xml:space="preserve"> commercial and financial</w:t>
      </w:r>
      <w:r w:rsidRPr="00852519">
        <w:t xml:space="preserve"> documents and</w:t>
      </w:r>
      <w:r w:rsidR="00196D97">
        <w:t>,</w:t>
      </w:r>
      <w:r w:rsidRPr="00852519">
        <w:t xml:space="preserve"> </w:t>
      </w:r>
      <w:r>
        <w:t>moreover</w:t>
      </w:r>
      <w:r w:rsidR="00196D97">
        <w:t>,</w:t>
      </w:r>
      <w:r>
        <w:t xml:space="preserve"> </w:t>
      </w:r>
      <w:r w:rsidRPr="00852519">
        <w:t xml:space="preserve">that they did not have the capacity to produce the quantities imported into the EU </w:t>
      </w:r>
      <w:r w:rsidR="00196D97">
        <w:t xml:space="preserve">which were </w:t>
      </w:r>
      <w:r w:rsidRPr="00852519">
        <w:t>designated as originating in Malaysia</w:t>
      </w:r>
      <w:r>
        <w:t>. This finding proved to be determinative. Viewed from the prism of the trade data analysis presented above in this report, the EC’s findings provide a negative response to our question as to whether Malaysian producers had the capacity to rapidly ramp up production and shift seamlessly from a domestic focus to a foreign one. This shows that</w:t>
      </w:r>
      <w:r w:rsidR="00196D97">
        <w:t>,</w:t>
      </w:r>
      <w:r>
        <w:t xml:space="preserve"> while collecting additional trade data (and information on industrial organisation) can provide helpful insights and flag potential cases of circumvention, site visits are necessary to </w:t>
      </w:r>
      <w:r w:rsidR="007E1252">
        <w:t xml:space="preserve">provide determinative evidence and </w:t>
      </w:r>
      <w:r>
        <w:t>confirm whether this is indeed the case.</w:t>
      </w:r>
    </w:p>
    <w:p w14:paraId="2D396E8E" w14:textId="7FAE0A35" w:rsidR="00AE5606" w:rsidRDefault="00AE5606" w:rsidP="006E706D">
      <w:pPr>
        <w:pStyle w:val="NoSpacing"/>
        <w:spacing w:line="360" w:lineRule="auto"/>
      </w:pPr>
      <w:r>
        <w:t>Finally, these findings could be further supported by other evidence that circumvention of trade remedies has emerged as a business in its own right. For example, Liu and Shi (2019)</w:t>
      </w:r>
      <w:r w:rsidDel="00196D97">
        <w:t xml:space="preserve"> </w:t>
      </w:r>
      <w:r w:rsidRPr="0089539A">
        <w:t xml:space="preserve">report </w:t>
      </w:r>
      <w:r>
        <w:t>businesses advertising “circumvention services”</w:t>
      </w:r>
      <w:r w:rsidRPr="0089539A">
        <w:t xml:space="preserve"> in relation to </w:t>
      </w:r>
      <w:r w:rsidR="002406F0">
        <w:t>PRC</w:t>
      </w:r>
      <w:r w:rsidRPr="0089539A">
        <w:t xml:space="preserve"> and Malaysia</w:t>
      </w:r>
      <w:r>
        <w:t xml:space="preserve">, which in turn lends credence to the idea that sudden changes in trade patterns between </w:t>
      </w:r>
      <w:r w:rsidR="002406F0">
        <w:t>PRC</w:t>
      </w:r>
      <w:r>
        <w:t xml:space="preserve"> and Malaysia (of the sort observed in this example) reflect circumvention</w:t>
      </w:r>
      <w:r w:rsidRPr="0089539A">
        <w:t>.</w:t>
      </w:r>
      <w:r>
        <w:rPr>
          <w:rStyle w:val="FootnoteReference"/>
        </w:rPr>
        <w:footnoteReference w:id="38"/>
      </w:r>
    </w:p>
    <w:p w14:paraId="69EBCA5F" w14:textId="425F2C0B" w:rsidR="006E706D" w:rsidRDefault="00FA1C57" w:rsidP="0B87AE61">
      <w:pPr>
        <w:pStyle w:val="Heading2"/>
        <w:rPr>
          <w:rFonts w:cs="Arial"/>
          <w:b w:val="0"/>
        </w:rPr>
      </w:pPr>
      <w:bookmarkStart w:id="79" w:name="_Toc101182678"/>
      <w:bookmarkStart w:id="80" w:name="_Toc1782033352"/>
      <w:bookmarkStart w:id="81" w:name="_Toc118465289"/>
      <w:r w:rsidRPr="0B87AE61">
        <w:rPr>
          <w:rFonts w:cs="Arial"/>
        </w:rPr>
        <w:t>5.2</w:t>
      </w:r>
      <w:r>
        <w:tab/>
      </w:r>
      <w:r w:rsidR="006E706D" w:rsidRPr="0B87AE61">
        <w:rPr>
          <w:rFonts w:cs="Arial"/>
        </w:rPr>
        <w:t xml:space="preserve">Example 2: </w:t>
      </w:r>
      <w:r w:rsidR="00143105" w:rsidRPr="0B87AE61">
        <w:rPr>
          <w:rFonts w:cs="Arial"/>
        </w:rPr>
        <w:t>P</w:t>
      </w:r>
      <w:r w:rsidR="006E706D" w:rsidRPr="0B87AE61">
        <w:rPr>
          <w:rFonts w:cs="Arial"/>
        </w:rPr>
        <w:t xml:space="preserve">otential extension of trade remedy duties to continuous filament glass fibre products from </w:t>
      </w:r>
      <w:r w:rsidR="002406F0" w:rsidRPr="0B87AE61">
        <w:rPr>
          <w:rFonts w:cs="Arial"/>
        </w:rPr>
        <w:t>PRC</w:t>
      </w:r>
      <w:bookmarkEnd w:id="79"/>
      <w:bookmarkEnd w:id="80"/>
      <w:bookmarkEnd w:id="81"/>
    </w:p>
    <w:p w14:paraId="15BF8A7C" w14:textId="450A386C" w:rsidR="006E706D" w:rsidRPr="000630E5" w:rsidRDefault="00FA1C57" w:rsidP="0B87AE61">
      <w:pPr>
        <w:pStyle w:val="Heading3"/>
        <w:rPr>
          <w:rFonts w:cs="Arial"/>
          <w:b w:val="0"/>
        </w:rPr>
      </w:pPr>
      <w:bookmarkStart w:id="82" w:name="_Toc101182679"/>
      <w:bookmarkStart w:id="83" w:name="_Toc417409764"/>
      <w:bookmarkStart w:id="84" w:name="_Toc118465290"/>
      <w:r w:rsidRPr="0B87AE61">
        <w:rPr>
          <w:rFonts w:cs="Arial"/>
        </w:rPr>
        <w:t>5.2.</w:t>
      </w:r>
      <w:r w:rsidR="007A26CD" w:rsidRPr="0B87AE61">
        <w:rPr>
          <w:rFonts w:cs="Arial"/>
        </w:rPr>
        <w:t>1</w:t>
      </w:r>
      <w:r>
        <w:tab/>
      </w:r>
      <w:r w:rsidR="006E706D" w:rsidRPr="0B87AE61">
        <w:rPr>
          <w:rFonts w:cs="Arial"/>
        </w:rPr>
        <w:t>Changes in the pattern of trade</w:t>
      </w:r>
      <w:bookmarkEnd w:id="82"/>
      <w:bookmarkEnd w:id="83"/>
      <w:bookmarkEnd w:id="84"/>
    </w:p>
    <w:p w14:paraId="57603D57" w14:textId="3AFCEBAE" w:rsidR="006E706D" w:rsidRDefault="00BB24FE" w:rsidP="00016CC0">
      <w:r>
        <w:t>This</w:t>
      </w:r>
      <w:r w:rsidR="006E706D">
        <w:t xml:space="preserve"> case relates to continuous filament glass fibre products from </w:t>
      </w:r>
      <w:r w:rsidR="002406F0">
        <w:t>PRC</w:t>
      </w:r>
      <w:r w:rsidR="006E706D">
        <w:t>. Provisional anti-dumping measures were imposed in September 2010</w:t>
      </w:r>
      <w:r w:rsidR="003D5FA1">
        <w:t>,</w:t>
      </w:r>
      <w:r w:rsidR="006E706D">
        <w:rPr>
          <w:rStyle w:val="FootnoteReference"/>
        </w:rPr>
        <w:footnoteReference w:id="39"/>
      </w:r>
      <w:r w:rsidR="006E706D">
        <w:t xml:space="preserve"> with definitive measures imposed in March 2011</w:t>
      </w:r>
      <w:r w:rsidR="006E706D">
        <w:rPr>
          <w:rStyle w:val="FootnoteReference"/>
        </w:rPr>
        <w:footnoteReference w:id="40"/>
      </w:r>
      <w:r w:rsidR="006E706D">
        <w:t xml:space="preserve"> and amended in December 2014</w:t>
      </w:r>
      <w:r w:rsidR="003D5FA1">
        <w:t>.</w:t>
      </w:r>
      <w:r w:rsidR="006E706D">
        <w:rPr>
          <w:rStyle w:val="FootnoteReference"/>
        </w:rPr>
        <w:footnoteReference w:id="41"/>
      </w:r>
      <w:r w:rsidR="006E706D">
        <w:t xml:space="preserve"> In April 2017, an expiry review maintained the anti-dumping duties.</w:t>
      </w:r>
      <w:r w:rsidR="006E706D">
        <w:rPr>
          <w:rStyle w:val="FootnoteReference"/>
        </w:rPr>
        <w:footnoteReference w:id="42"/>
      </w:r>
      <w:r w:rsidR="006E706D">
        <w:t xml:space="preserve"> The </w:t>
      </w:r>
      <w:r w:rsidR="006E706D" w:rsidRPr="00120041">
        <w:t xml:space="preserve">10-digit </w:t>
      </w:r>
      <w:r w:rsidR="006E706D">
        <w:t xml:space="preserve">TARIC </w:t>
      </w:r>
      <w:r w:rsidR="006E706D" w:rsidRPr="00120041">
        <w:t xml:space="preserve">codes </w:t>
      </w:r>
      <w:r w:rsidR="006E706D">
        <w:t xml:space="preserve">of the commodities concerned are </w:t>
      </w:r>
      <w:r w:rsidR="006E706D" w:rsidRPr="00120041">
        <w:t>outlined in the first column of</w:t>
      </w:r>
      <w:r w:rsidR="006E706D">
        <w:t xml:space="preserve"> </w:t>
      </w:r>
      <w:r w:rsidR="00BF139B">
        <w:fldChar w:fldCharType="begin"/>
      </w:r>
      <w:r w:rsidR="00BF139B">
        <w:instrText xml:space="preserve"> REF _Ref103868937 \h </w:instrText>
      </w:r>
      <w:r w:rsidR="00BF139B">
        <w:fldChar w:fldCharType="separate"/>
      </w:r>
      <w:r w:rsidR="00BF139B">
        <w:t xml:space="preserve">Table </w:t>
      </w:r>
      <w:r w:rsidR="00BF139B">
        <w:rPr>
          <w:noProof/>
        </w:rPr>
        <w:t>3</w:t>
      </w:r>
      <w:r w:rsidR="00BF139B">
        <w:fldChar w:fldCharType="end"/>
      </w:r>
      <w:r w:rsidR="00BF139B">
        <w:t xml:space="preserve">. </w:t>
      </w:r>
      <w:r w:rsidR="006E706D">
        <w:t xml:space="preserve">Given the history of circumvention related to glass fibre products from </w:t>
      </w:r>
      <w:r w:rsidR="002406F0">
        <w:t>PRC</w:t>
      </w:r>
      <w:r w:rsidR="006E706D">
        <w:t xml:space="preserve"> (see Example 1), we explore trade patterns following the imposition of anti-dumping duties. We compare these trends to those observed in the previous analysis for this case to establish the materiality of the circumvention risk.</w:t>
      </w:r>
    </w:p>
    <w:p w14:paraId="78FADE9D" w14:textId="725E46B1" w:rsidR="006E706D" w:rsidRDefault="006E706D" w:rsidP="00016CC0">
      <w:r>
        <w:t>W</w:t>
      </w:r>
      <w:r w:rsidRPr="00120041">
        <w:t>e first look at imports into the EU-28 (</w:t>
      </w:r>
      <w:r>
        <w:t xml:space="preserve">including the </w:t>
      </w:r>
      <w:r w:rsidRPr="00120041">
        <w:t xml:space="preserve">UK) </w:t>
      </w:r>
      <w:r>
        <w:t xml:space="preserve">and </w:t>
      </w:r>
      <w:r w:rsidR="003A765D">
        <w:t xml:space="preserve">to </w:t>
      </w:r>
      <w:r>
        <w:t xml:space="preserve">the UK </w:t>
      </w:r>
      <w:r w:rsidRPr="00120041">
        <w:t xml:space="preserve">from </w:t>
      </w:r>
      <w:r w:rsidR="002406F0">
        <w:t>PRC</w:t>
      </w:r>
      <w:r w:rsidRPr="00120041">
        <w:t xml:space="preserve">. We also include imports </w:t>
      </w:r>
      <w:r>
        <w:t>in</w:t>
      </w:r>
      <w:r w:rsidRPr="00120041">
        <w:t xml:space="preserve">to the EU-28 and UK from countries </w:t>
      </w:r>
      <w:r w:rsidRPr="001A006A">
        <w:t xml:space="preserve">in </w:t>
      </w:r>
      <w:r w:rsidRPr="001A006A" w:rsidDel="00F110AE">
        <w:t>South</w:t>
      </w:r>
      <w:r w:rsidR="00F110AE">
        <w:t>-East</w:t>
      </w:r>
      <w:r w:rsidRPr="001A006A">
        <w:t xml:space="preserve"> Asia</w:t>
      </w:r>
      <w:r w:rsidRPr="00120041">
        <w:t xml:space="preserve"> plus Taiwan, Hong Kong and India</w:t>
      </w:r>
      <w:r>
        <w:t xml:space="preserve">. These are countries </w:t>
      </w:r>
      <w:r w:rsidRPr="00120041">
        <w:t xml:space="preserve">that </w:t>
      </w:r>
      <w:r w:rsidR="002406F0">
        <w:t>PRC</w:t>
      </w:r>
      <w:r w:rsidRPr="00120041">
        <w:t xml:space="preserve"> has </w:t>
      </w:r>
      <w:r>
        <w:t xml:space="preserve">either </w:t>
      </w:r>
      <w:r w:rsidRPr="00120041">
        <w:t xml:space="preserve">used </w:t>
      </w:r>
      <w:r>
        <w:t xml:space="preserve">to </w:t>
      </w:r>
      <w:r w:rsidRPr="00120041">
        <w:t xml:space="preserve">circumvent </w:t>
      </w:r>
      <w:r>
        <w:t>anti-dumping</w:t>
      </w:r>
      <w:r w:rsidRPr="00120041">
        <w:t xml:space="preserve"> measures</w:t>
      </w:r>
      <w:r>
        <w:t xml:space="preserve"> in the past</w:t>
      </w:r>
      <w:r w:rsidRPr="00120041">
        <w:t xml:space="preserve"> or </w:t>
      </w:r>
      <w:r w:rsidR="00196D97">
        <w:t xml:space="preserve">that </w:t>
      </w:r>
      <w:r w:rsidRPr="00120041">
        <w:t xml:space="preserve">are </w:t>
      </w:r>
      <w:r>
        <w:t>geographically close to those countries and so could act as alternative routes for circumvention</w:t>
      </w:r>
      <w:r w:rsidRPr="00120041">
        <w:t xml:space="preserve">. </w:t>
      </w:r>
    </w:p>
    <w:p w14:paraId="7208D8D9" w14:textId="722CD1B4" w:rsidR="00506B6A" w:rsidRDefault="00506B6A" w:rsidP="00016CC0">
      <w:r>
        <w:br w:type="page"/>
      </w:r>
    </w:p>
    <w:p w14:paraId="3682E315" w14:textId="41722BCA" w:rsidR="006E706D" w:rsidRDefault="006E706D" w:rsidP="006E706D">
      <w:pPr>
        <w:pStyle w:val="Caption"/>
        <w:keepNext/>
      </w:pPr>
      <w:bookmarkStart w:id="85" w:name="_Ref103868937"/>
      <w:r>
        <w:t xml:space="preserve">Table </w:t>
      </w:r>
      <w:r>
        <w:fldChar w:fldCharType="begin"/>
      </w:r>
      <w:r>
        <w:instrText>SEQ Table \* ARABIC</w:instrText>
      </w:r>
      <w:r>
        <w:fldChar w:fldCharType="separate"/>
      </w:r>
      <w:r w:rsidR="004412CB">
        <w:rPr>
          <w:noProof/>
        </w:rPr>
        <w:t>3</w:t>
      </w:r>
      <w:r>
        <w:fldChar w:fldCharType="end"/>
      </w:r>
      <w:bookmarkEnd w:id="85"/>
      <w:r>
        <w:t>:</w:t>
      </w:r>
      <w:r w:rsidR="002470C0">
        <w:t xml:space="preserve"> </w:t>
      </w:r>
      <w:r>
        <w:t>TARIC codes for the review of the anti-dumping case (Commission Implementing Regulation (EU) 2017/724), and those available in Eurostat and UN Comtrade</w:t>
      </w:r>
    </w:p>
    <w:tbl>
      <w:tblPr>
        <w:tblStyle w:val="TableGrid"/>
        <w:tblW w:w="0" w:type="auto"/>
        <w:tblLook w:val="04A0" w:firstRow="1" w:lastRow="0" w:firstColumn="1" w:lastColumn="0" w:noHBand="0" w:noVBand="1"/>
      </w:tblPr>
      <w:tblGrid>
        <w:gridCol w:w="3021"/>
        <w:gridCol w:w="3142"/>
        <w:gridCol w:w="2853"/>
      </w:tblGrid>
      <w:tr w:rsidR="006E706D" w14:paraId="1D23B472" w14:textId="77777777" w:rsidTr="00E24EB8">
        <w:trPr>
          <w:cantSplit/>
        </w:trPr>
        <w:tc>
          <w:tcPr>
            <w:tcW w:w="3021" w:type="dxa"/>
          </w:tcPr>
          <w:p w14:paraId="564E73B2" w14:textId="77777777" w:rsidR="006E706D" w:rsidRPr="002B66D1" w:rsidRDefault="006E706D" w:rsidP="00E24EB8">
            <w:pPr>
              <w:pStyle w:val="NoSpacing"/>
              <w:rPr>
                <w:b/>
                <w:bCs/>
                <w:sz w:val="22"/>
                <w:szCs w:val="22"/>
              </w:rPr>
            </w:pPr>
            <w:r w:rsidRPr="002B66D1">
              <w:rPr>
                <w:b/>
                <w:bCs/>
                <w:sz w:val="22"/>
                <w:szCs w:val="22"/>
              </w:rPr>
              <w:t>Anti-dumping case TARIC codes</w:t>
            </w:r>
          </w:p>
        </w:tc>
        <w:tc>
          <w:tcPr>
            <w:tcW w:w="3142" w:type="dxa"/>
          </w:tcPr>
          <w:p w14:paraId="1AB9500E" w14:textId="77777777" w:rsidR="006E706D" w:rsidRPr="002B66D1" w:rsidRDefault="006E706D" w:rsidP="00E24EB8">
            <w:pPr>
              <w:pStyle w:val="NoSpacing"/>
              <w:rPr>
                <w:b/>
                <w:bCs/>
                <w:sz w:val="22"/>
                <w:szCs w:val="22"/>
              </w:rPr>
            </w:pPr>
            <w:r w:rsidRPr="002B66D1">
              <w:rPr>
                <w:b/>
                <w:bCs/>
                <w:sz w:val="22"/>
                <w:szCs w:val="22"/>
              </w:rPr>
              <w:t>Eurostat CN codes</w:t>
            </w:r>
          </w:p>
        </w:tc>
        <w:tc>
          <w:tcPr>
            <w:tcW w:w="2853" w:type="dxa"/>
          </w:tcPr>
          <w:p w14:paraId="5240DB23" w14:textId="77777777" w:rsidR="006E706D" w:rsidRPr="002B66D1" w:rsidRDefault="006E706D" w:rsidP="00E24EB8">
            <w:pPr>
              <w:pStyle w:val="NoSpacing"/>
              <w:rPr>
                <w:b/>
                <w:bCs/>
                <w:sz w:val="22"/>
                <w:szCs w:val="22"/>
              </w:rPr>
            </w:pPr>
            <w:r w:rsidRPr="002B66D1">
              <w:rPr>
                <w:b/>
                <w:bCs/>
                <w:sz w:val="22"/>
                <w:szCs w:val="22"/>
              </w:rPr>
              <w:t>UN Comtrade HS codes</w:t>
            </w:r>
          </w:p>
        </w:tc>
      </w:tr>
      <w:tr w:rsidR="006E706D" w14:paraId="3FADCEF7" w14:textId="77777777" w:rsidTr="00E24EB8">
        <w:trPr>
          <w:cantSplit/>
        </w:trPr>
        <w:tc>
          <w:tcPr>
            <w:tcW w:w="3021" w:type="dxa"/>
          </w:tcPr>
          <w:p w14:paraId="7DCE2E03" w14:textId="77777777" w:rsidR="006E706D" w:rsidRPr="002B66D1" w:rsidRDefault="006E706D" w:rsidP="00E24EB8">
            <w:pPr>
              <w:pStyle w:val="NoSpacing"/>
              <w:jc w:val="right"/>
              <w:rPr>
                <w:sz w:val="22"/>
                <w:szCs w:val="22"/>
              </w:rPr>
            </w:pPr>
            <w:r w:rsidRPr="002B66D1">
              <w:rPr>
                <w:sz w:val="22"/>
                <w:szCs w:val="22"/>
              </w:rPr>
              <w:t>7019 11 00 00</w:t>
            </w:r>
          </w:p>
        </w:tc>
        <w:tc>
          <w:tcPr>
            <w:tcW w:w="3142" w:type="dxa"/>
          </w:tcPr>
          <w:p w14:paraId="69C8168F" w14:textId="77777777" w:rsidR="006E706D" w:rsidRPr="002B66D1" w:rsidRDefault="006E706D" w:rsidP="00E24EB8">
            <w:pPr>
              <w:pStyle w:val="NoSpacing"/>
              <w:jc w:val="right"/>
              <w:rPr>
                <w:sz w:val="22"/>
                <w:szCs w:val="22"/>
              </w:rPr>
            </w:pPr>
            <w:r w:rsidRPr="002B66D1">
              <w:rPr>
                <w:sz w:val="22"/>
                <w:szCs w:val="22"/>
              </w:rPr>
              <w:t>7019 11 00</w:t>
            </w:r>
          </w:p>
        </w:tc>
        <w:tc>
          <w:tcPr>
            <w:tcW w:w="2853" w:type="dxa"/>
          </w:tcPr>
          <w:p w14:paraId="3C165453" w14:textId="77777777" w:rsidR="006E706D" w:rsidRPr="002B66D1" w:rsidRDefault="006E706D" w:rsidP="00E24EB8">
            <w:pPr>
              <w:pStyle w:val="NoSpacing"/>
              <w:jc w:val="right"/>
              <w:rPr>
                <w:sz w:val="22"/>
                <w:szCs w:val="22"/>
              </w:rPr>
            </w:pPr>
            <w:r w:rsidRPr="002B66D1">
              <w:rPr>
                <w:sz w:val="22"/>
                <w:szCs w:val="22"/>
              </w:rPr>
              <w:t>7019 11</w:t>
            </w:r>
          </w:p>
        </w:tc>
      </w:tr>
      <w:tr w:rsidR="006E706D" w14:paraId="70059CDC" w14:textId="77777777" w:rsidTr="00E24EB8">
        <w:trPr>
          <w:cantSplit/>
        </w:trPr>
        <w:tc>
          <w:tcPr>
            <w:tcW w:w="3021" w:type="dxa"/>
          </w:tcPr>
          <w:p w14:paraId="09E9B945" w14:textId="77777777" w:rsidR="006E706D" w:rsidRPr="002B66D1" w:rsidRDefault="006E706D" w:rsidP="00E24EB8">
            <w:pPr>
              <w:pStyle w:val="NoSpacing"/>
              <w:jc w:val="right"/>
              <w:rPr>
                <w:sz w:val="22"/>
                <w:szCs w:val="22"/>
              </w:rPr>
            </w:pPr>
            <w:r w:rsidRPr="002B66D1">
              <w:rPr>
                <w:sz w:val="22"/>
                <w:szCs w:val="22"/>
              </w:rPr>
              <w:t>7019 12 00 22</w:t>
            </w:r>
          </w:p>
        </w:tc>
        <w:tc>
          <w:tcPr>
            <w:tcW w:w="3142" w:type="dxa"/>
            <w:vMerge w:val="restart"/>
            <w:vAlign w:val="center"/>
          </w:tcPr>
          <w:p w14:paraId="66752FE1" w14:textId="77777777" w:rsidR="006E706D" w:rsidRPr="002B66D1" w:rsidRDefault="006E706D" w:rsidP="00E24EB8">
            <w:pPr>
              <w:pStyle w:val="NoSpacing"/>
              <w:jc w:val="right"/>
              <w:rPr>
                <w:sz w:val="22"/>
                <w:szCs w:val="22"/>
              </w:rPr>
            </w:pPr>
            <w:r w:rsidRPr="002B66D1">
              <w:rPr>
                <w:sz w:val="22"/>
                <w:szCs w:val="22"/>
              </w:rPr>
              <w:t>7019 12 00</w:t>
            </w:r>
          </w:p>
        </w:tc>
        <w:tc>
          <w:tcPr>
            <w:tcW w:w="2853" w:type="dxa"/>
            <w:vMerge w:val="restart"/>
            <w:vAlign w:val="center"/>
          </w:tcPr>
          <w:p w14:paraId="38BAC433" w14:textId="77777777" w:rsidR="006E706D" w:rsidRPr="002B66D1" w:rsidRDefault="006E706D" w:rsidP="00E24EB8">
            <w:pPr>
              <w:pStyle w:val="NoSpacing"/>
              <w:jc w:val="right"/>
              <w:rPr>
                <w:sz w:val="22"/>
                <w:szCs w:val="22"/>
              </w:rPr>
            </w:pPr>
            <w:r w:rsidRPr="002B66D1">
              <w:rPr>
                <w:sz w:val="22"/>
                <w:szCs w:val="22"/>
              </w:rPr>
              <w:t>7019 12</w:t>
            </w:r>
          </w:p>
        </w:tc>
      </w:tr>
      <w:tr w:rsidR="006E706D" w14:paraId="2A73B66E" w14:textId="77777777" w:rsidTr="00E24EB8">
        <w:trPr>
          <w:cantSplit/>
        </w:trPr>
        <w:tc>
          <w:tcPr>
            <w:tcW w:w="3021" w:type="dxa"/>
          </w:tcPr>
          <w:p w14:paraId="225F96F0" w14:textId="77777777" w:rsidR="006E706D" w:rsidRPr="002B66D1" w:rsidRDefault="006E706D" w:rsidP="00E24EB8">
            <w:pPr>
              <w:pStyle w:val="NoSpacing"/>
              <w:jc w:val="right"/>
              <w:rPr>
                <w:sz w:val="22"/>
                <w:szCs w:val="22"/>
              </w:rPr>
            </w:pPr>
            <w:r w:rsidRPr="002B66D1">
              <w:rPr>
                <w:sz w:val="22"/>
                <w:szCs w:val="22"/>
              </w:rPr>
              <w:t>7019 12 00 25</w:t>
            </w:r>
          </w:p>
        </w:tc>
        <w:tc>
          <w:tcPr>
            <w:tcW w:w="3142" w:type="dxa"/>
            <w:vMerge/>
          </w:tcPr>
          <w:p w14:paraId="482E4822" w14:textId="77777777" w:rsidR="006E706D" w:rsidRPr="002B66D1" w:rsidRDefault="006E706D" w:rsidP="00E24EB8">
            <w:pPr>
              <w:pStyle w:val="NoSpacing"/>
              <w:jc w:val="right"/>
              <w:rPr>
                <w:sz w:val="22"/>
                <w:szCs w:val="22"/>
              </w:rPr>
            </w:pPr>
          </w:p>
        </w:tc>
        <w:tc>
          <w:tcPr>
            <w:tcW w:w="2853" w:type="dxa"/>
            <w:vMerge/>
          </w:tcPr>
          <w:p w14:paraId="32921D1D" w14:textId="77777777" w:rsidR="006E706D" w:rsidRPr="002B66D1" w:rsidRDefault="006E706D" w:rsidP="00E24EB8">
            <w:pPr>
              <w:pStyle w:val="NoSpacing"/>
              <w:jc w:val="right"/>
              <w:rPr>
                <w:sz w:val="22"/>
                <w:szCs w:val="22"/>
              </w:rPr>
            </w:pPr>
          </w:p>
        </w:tc>
      </w:tr>
      <w:tr w:rsidR="006E706D" w14:paraId="3FBC61B8" w14:textId="77777777" w:rsidTr="00E24EB8">
        <w:trPr>
          <w:cantSplit/>
        </w:trPr>
        <w:tc>
          <w:tcPr>
            <w:tcW w:w="3021" w:type="dxa"/>
          </w:tcPr>
          <w:p w14:paraId="342A6C15" w14:textId="77777777" w:rsidR="006E706D" w:rsidRPr="002B66D1" w:rsidRDefault="006E706D" w:rsidP="00E24EB8">
            <w:pPr>
              <w:pStyle w:val="NoSpacing"/>
              <w:jc w:val="right"/>
              <w:rPr>
                <w:sz w:val="22"/>
                <w:szCs w:val="22"/>
              </w:rPr>
            </w:pPr>
            <w:r w:rsidRPr="002B66D1">
              <w:rPr>
                <w:sz w:val="22"/>
                <w:szCs w:val="22"/>
              </w:rPr>
              <w:t>7019 12 00 26</w:t>
            </w:r>
          </w:p>
        </w:tc>
        <w:tc>
          <w:tcPr>
            <w:tcW w:w="3142" w:type="dxa"/>
            <w:vMerge/>
          </w:tcPr>
          <w:p w14:paraId="5A813E77" w14:textId="77777777" w:rsidR="006E706D" w:rsidRPr="002B66D1" w:rsidRDefault="006E706D" w:rsidP="00E24EB8">
            <w:pPr>
              <w:pStyle w:val="NoSpacing"/>
              <w:jc w:val="right"/>
              <w:rPr>
                <w:sz w:val="22"/>
                <w:szCs w:val="22"/>
              </w:rPr>
            </w:pPr>
          </w:p>
        </w:tc>
        <w:tc>
          <w:tcPr>
            <w:tcW w:w="2853" w:type="dxa"/>
            <w:vMerge/>
          </w:tcPr>
          <w:p w14:paraId="2B463718" w14:textId="77777777" w:rsidR="006E706D" w:rsidRPr="002B66D1" w:rsidRDefault="006E706D" w:rsidP="00E24EB8">
            <w:pPr>
              <w:pStyle w:val="NoSpacing"/>
              <w:jc w:val="right"/>
              <w:rPr>
                <w:sz w:val="22"/>
                <w:szCs w:val="22"/>
              </w:rPr>
            </w:pPr>
          </w:p>
        </w:tc>
      </w:tr>
      <w:tr w:rsidR="006E706D" w14:paraId="43595D4B" w14:textId="77777777" w:rsidTr="00E24EB8">
        <w:trPr>
          <w:cantSplit/>
        </w:trPr>
        <w:tc>
          <w:tcPr>
            <w:tcW w:w="3021" w:type="dxa"/>
          </w:tcPr>
          <w:p w14:paraId="38FDAD0E" w14:textId="77777777" w:rsidR="006E706D" w:rsidRPr="002B66D1" w:rsidRDefault="006E706D" w:rsidP="00E24EB8">
            <w:pPr>
              <w:pStyle w:val="NoSpacing"/>
              <w:jc w:val="right"/>
              <w:rPr>
                <w:sz w:val="22"/>
                <w:szCs w:val="22"/>
              </w:rPr>
            </w:pPr>
            <w:r w:rsidRPr="002B66D1">
              <w:rPr>
                <w:sz w:val="22"/>
                <w:szCs w:val="22"/>
              </w:rPr>
              <w:t>7019 12 00 39</w:t>
            </w:r>
          </w:p>
        </w:tc>
        <w:tc>
          <w:tcPr>
            <w:tcW w:w="3142" w:type="dxa"/>
            <w:vMerge/>
          </w:tcPr>
          <w:p w14:paraId="76E4CA6C" w14:textId="77777777" w:rsidR="006E706D" w:rsidRPr="002B66D1" w:rsidRDefault="006E706D" w:rsidP="00E24EB8">
            <w:pPr>
              <w:pStyle w:val="NoSpacing"/>
              <w:jc w:val="right"/>
              <w:rPr>
                <w:sz w:val="22"/>
                <w:szCs w:val="22"/>
              </w:rPr>
            </w:pPr>
          </w:p>
        </w:tc>
        <w:tc>
          <w:tcPr>
            <w:tcW w:w="2853" w:type="dxa"/>
            <w:vMerge/>
          </w:tcPr>
          <w:p w14:paraId="4236975B" w14:textId="77777777" w:rsidR="006E706D" w:rsidRPr="002B66D1" w:rsidRDefault="006E706D" w:rsidP="00E24EB8">
            <w:pPr>
              <w:pStyle w:val="NoSpacing"/>
              <w:jc w:val="right"/>
              <w:rPr>
                <w:sz w:val="22"/>
                <w:szCs w:val="22"/>
              </w:rPr>
            </w:pPr>
          </w:p>
        </w:tc>
      </w:tr>
      <w:tr w:rsidR="006E706D" w14:paraId="6B9F2E09" w14:textId="77777777" w:rsidTr="00E24EB8">
        <w:trPr>
          <w:cantSplit/>
        </w:trPr>
        <w:tc>
          <w:tcPr>
            <w:tcW w:w="3021" w:type="dxa"/>
          </w:tcPr>
          <w:p w14:paraId="565CDAEA" w14:textId="77777777" w:rsidR="006E706D" w:rsidRPr="002B66D1" w:rsidRDefault="006E706D" w:rsidP="00E24EB8">
            <w:pPr>
              <w:pStyle w:val="NoSpacing"/>
              <w:jc w:val="right"/>
              <w:rPr>
                <w:sz w:val="22"/>
                <w:szCs w:val="22"/>
              </w:rPr>
            </w:pPr>
            <w:r w:rsidRPr="002B66D1">
              <w:rPr>
                <w:sz w:val="22"/>
                <w:szCs w:val="22"/>
              </w:rPr>
              <w:t>7019 31 00 00</w:t>
            </w:r>
          </w:p>
        </w:tc>
        <w:tc>
          <w:tcPr>
            <w:tcW w:w="3142" w:type="dxa"/>
          </w:tcPr>
          <w:p w14:paraId="43472696" w14:textId="77777777" w:rsidR="006E706D" w:rsidRPr="002B66D1" w:rsidRDefault="006E706D" w:rsidP="00E24EB8">
            <w:pPr>
              <w:pStyle w:val="NoSpacing"/>
              <w:jc w:val="right"/>
              <w:rPr>
                <w:sz w:val="22"/>
                <w:szCs w:val="22"/>
              </w:rPr>
            </w:pPr>
            <w:r w:rsidRPr="002B66D1">
              <w:rPr>
                <w:sz w:val="22"/>
                <w:szCs w:val="22"/>
              </w:rPr>
              <w:t>7019 31 00</w:t>
            </w:r>
          </w:p>
        </w:tc>
        <w:tc>
          <w:tcPr>
            <w:tcW w:w="2853" w:type="dxa"/>
          </w:tcPr>
          <w:p w14:paraId="1BA031B2" w14:textId="77777777" w:rsidR="006E706D" w:rsidRPr="002B66D1" w:rsidRDefault="006E706D" w:rsidP="00E24EB8">
            <w:pPr>
              <w:pStyle w:val="NoSpacing"/>
              <w:jc w:val="right"/>
              <w:rPr>
                <w:sz w:val="22"/>
                <w:szCs w:val="22"/>
              </w:rPr>
            </w:pPr>
            <w:r w:rsidRPr="002B66D1">
              <w:rPr>
                <w:sz w:val="22"/>
                <w:szCs w:val="22"/>
              </w:rPr>
              <w:t>7019 31</w:t>
            </w:r>
          </w:p>
        </w:tc>
      </w:tr>
    </w:tbl>
    <w:p w14:paraId="54B60E32" w14:textId="2DB5B231" w:rsidR="006E706D" w:rsidRPr="00161965" w:rsidRDefault="006E706D" w:rsidP="002470C0">
      <w:pPr>
        <w:pStyle w:val="Tablesource"/>
        <w:rPr>
          <w:i w:val="0"/>
        </w:rPr>
      </w:pPr>
      <w:r w:rsidRPr="00161965">
        <w:t xml:space="preserve">Source: Notice of Initiation, Transition Review No. TD0008, Department for International Trade. Available from: </w:t>
      </w:r>
      <w:hyperlink r:id="rId31" w:history="1">
        <w:r w:rsidRPr="00161965">
          <w:rPr>
            <w:rStyle w:val="Hyperlink"/>
            <w:sz w:val="20"/>
          </w:rPr>
          <w:t>https://www.trade-remedies.service.gov.uk/public/case/TD0008/</w:t>
        </w:r>
      </w:hyperlink>
      <w:r w:rsidRPr="00161965">
        <w:t xml:space="preserve"> </w:t>
      </w:r>
    </w:p>
    <w:p w14:paraId="57D2BF7A" w14:textId="62DB7038" w:rsidR="006E706D" w:rsidRDefault="006E706D" w:rsidP="00016CC0">
      <w:r w:rsidRPr="00120041">
        <w:t>For imports, we use data from Eurostat. As the second</w:t>
      </w:r>
      <w:r>
        <w:t xml:space="preserve"> column in </w:t>
      </w:r>
      <w:r w:rsidR="00E0019C">
        <w:fldChar w:fldCharType="begin"/>
      </w:r>
      <w:r w:rsidR="00E0019C">
        <w:instrText xml:space="preserve"> REF _Ref103868937 \h </w:instrText>
      </w:r>
      <w:r w:rsidR="00E0019C">
        <w:fldChar w:fldCharType="separate"/>
      </w:r>
      <w:r w:rsidR="00BF139B">
        <w:t xml:space="preserve">Table </w:t>
      </w:r>
      <w:r w:rsidR="00BF139B">
        <w:rPr>
          <w:noProof/>
        </w:rPr>
        <w:t>3</w:t>
      </w:r>
      <w:r w:rsidR="00E0019C">
        <w:fldChar w:fldCharType="end"/>
      </w:r>
      <w:r>
        <w:t xml:space="preserve"> shows, Eurostat only provides data at the 8-digit</w:t>
      </w:r>
      <w:r w:rsidR="009641A2">
        <w:t xml:space="preserve"> (CN)</w:t>
      </w:r>
      <w:r>
        <w:t xml:space="preserve"> level. For this reason, we group some TARIC codes together under their higher-level CN grouping.</w:t>
      </w:r>
      <w:r>
        <w:rPr>
          <w:rStyle w:val="FootnoteReference"/>
        </w:rPr>
        <w:footnoteReference w:id="43"/>
      </w:r>
      <w:r>
        <w:t xml:space="preserve"> For Chinese exports, we use data from UN Comtrade. As the third column in </w:t>
      </w:r>
      <w:r w:rsidR="00E0019C">
        <w:fldChar w:fldCharType="begin"/>
      </w:r>
      <w:r w:rsidR="00E0019C">
        <w:instrText xml:space="preserve"> REF _Ref103868937 \h </w:instrText>
      </w:r>
      <w:r w:rsidR="00E0019C">
        <w:fldChar w:fldCharType="separate"/>
      </w:r>
      <w:r w:rsidR="00BF139B">
        <w:t xml:space="preserve">Table </w:t>
      </w:r>
      <w:r w:rsidR="00BF139B">
        <w:rPr>
          <w:noProof/>
        </w:rPr>
        <w:t>3</w:t>
      </w:r>
      <w:r w:rsidR="00E0019C">
        <w:fldChar w:fldCharType="end"/>
      </w:r>
      <w:r w:rsidR="00E0019C">
        <w:t xml:space="preserve"> </w:t>
      </w:r>
      <w:r>
        <w:t>shows, UN Comtrade only provides data at the 6-digit HS code level.</w:t>
      </w:r>
    </w:p>
    <w:p w14:paraId="22BAF29E" w14:textId="71DFBAFA" w:rsidR="006E706D" w:rsidRDefault="003006D1" w:rsidP="00016CC0">
      <w:r>
        <w:fldChar w:fldCharType="begin"/>
      </w:r>
      <w:r>
        <w:instrText xml:space="preserve"> REF _Ref112841843 \h </w:instrText>
      </w:r>
      <w:r>
        <w:fldChar w:fldCharType="separate"/>
      </w:r>
      <w:r>
        <w:t xml:space="preserve">Figure </w:t>
      </w:r>
      <w:r>
        <w:rPr>
          <w:noProof/>
        </w:rPr>
        <w:t>11</w:t>
      </w:r>
      <w:r>
        <w:fldChar w:fldCharType="end"/>
      </w:r>
      <w:r w:rsidR="006E706D" w:rsidRPr="001A006A">
        <w:t xml:space="preserve"> presents monthly imports into the EU-28</w:t>
      </w:r>
      <w:r w:rsidR="00BB24FE" w:rsidRPr="001A006A">
        <w:t xml:space="preserve"> for CN code 7019 11 00</w:t>
      </w:r>
      <w:r w:rsidR="006E706D" w:rsidRPr="001A006A">
        <w:t xml:space="preserve"> and </w:t>
      </w:r>
      <w:r>
        <w:fldChar w:fldCharType="begin"/>
      </w:r>
      <w:r>
        <w:instrText xml:space="preserve"> REF _Ref112841852 \h </w:instrText>
      </w:r>
      <w:r>
        <w:fldChar w:fldCharType="separate"/>
      </w:r>
      <w:r>
        <w:t xml:space="preserve">Figure </w:t>
      </w:r>
      <w:r>
        <w:rPr>
          <w:noProof/>
        </w:rPr>
        <w:t>12</w:t>
      </w:r>
      <w:r>
        <w:fldChar w:fldCharType="end"/>
      </w:r>
      <w:r w:rsidR="00196D97" w:rsidRPr="001A006A">
        <w:t xml:space="preserve"> presents </w:t>
      </w:r>
      <w:r w:rsidR="001A006A" w:rsidRPr="001A006A">
        <w:t>the same information for</w:t>
      </w:r>
      <w:r w:rsidR="00BB24FE" w:rsidRPr="001A006A" w:rsidDel="00196D97">
        <w:t xml:space="preserve"> </w:t>
      </w:r>
      <w:r w:rsidR="00BB24FE" w:rsidRPr="001A006A">
        <w:t xml:space="preserve">imports </w:t>
      </w:r>
      <w:r w:rsidR="006E706D" w:rsidRPr="001A006A">
        <w:t>into the UK</w:t>
      </w:r>
      <w:r w:rsidR="006E706D" w:rsidRPr="001A006A" w:rsidDel="00BB24FE">
        <w:t>.</w:t>
      </w:r>
      <w:r w:rsidR="006E706D" w:rsidRPr="001A006A">
        <w:rPr>
          <w:rStyle w:val="FootnoteReference"/>
        </w:rPr>
        <w:footnoteReference w:id="44"/>
      </w:r>
      <w:r w:rsidR="006E706D">
        <w:t xml:space="preserve"> Here we see little change in the pattern of trade when the EU anti-dumping measures against </w:t>
      </w:r>
      <w:r w:rsidR="002406F0">
        <w:t>PRC</w:t>
      </w:r>
      <w:r w:rsidR="006E706D">
        <w:t xml:space="preserve"> were extended in 2017, </w:t>
      </w:r>
      <w:r w:rsidR="000E614C">
        <w:t xml:space="preserve">apart from </w:t>
      </w:r>
      <w:r w:rsidR="006E706D">
        <w:t xml:space="preserve">a potential uptick in imports from Malaysia (in particular for the UK). </w:t>
      </w:r>
      <w:r w:rsidR="000E614C">
        <w:t>As i</w:t>
      </w:r>
      <w:r w:rsidR="006E706D">
        <w:t>mports from Malaysia appear to move cyclically over the period, this</w:t>
      </w:r>
      <w:r w:rsidR="006E706D" w:rsidDel="000E614C">
        <w:t xml:space="preserve"> </w:t>
      </w:r>
      <w:r w:rsidR="000E614C">
        <w:t xml:space="preserve">may </w:t>
      </w:r>
      <w:r w:rsidR="006E706D">
        <w:t xml:space="preserve">just represent a temporary movement from the wider trend. We do not see a clear change in imports into the EU-28 or UK from any other country in </w:t>
      </w:r>
      <w:r w:rsidR="006E706D" w:rsidDel="00F110AE">
        <w:t>South</w:t>
      </w:r>
      <w:r w:rsidR="00F110AE">
        <w:t>-East</w:t>
      </w:r>
      <w:r w:rsidR="006E706D">
        <w:t xml:space="preserve"> Asia, nor from Taiwan, Hong Kong or India. This tentatively suggests that, for the countries covered, there are no clear signs of circumvention activity. </w:t>
      </w:r>
    </w:p>
    <w:p w14:paraId="18323AB2" w14:textId="2C4050F9" w:rsidR="00506B6A" w:rsidRDefault="00506B6A" w:rsidP="00016CC0">
      <w:r>
        <w:br w:type="page"/>
      </w:r>
    </w:p>
    <w:tbl>
      <w:tblPr>
        <w:tblStyle w:val="TableGrid"/>
        <w:tblW w:w="0" w:type="auto"/>
        <w:tblLook w:val="04A0" w:firstRow="1" w:lastRow="0" w:firstColumn="1" w:lastColumn="0" w:noHBand="0" w:noVBand="1"/>
      </w:tblPr>
      <w:tblGrid>
        <w:gridCol w:w="9016"/>
      </w:tblGrid>
      <w:tr w:rsidR="006E706D" w:rsidRPr="00F7615F" w14:paraId="38759E40" w14:textId="77777777" w:rsidTr="00FE5F09">
        <w:tc>
          <w:tcPr>
            <w:tcW w:w="9016" w:type="dxa"/>
            <w:tcBorders>
              <w:bottom w:val="single" w:sz="4" w:space="0" w:color="auto"/>
            </w:tcBorders>
            <w:shd w:val="clear" w:color="auto" w:fill="24135F"/>
          </w:tcPr>
          <w:p w14:paraId="78FA6159" w14:textId="73E3F05A" w:rsidR="006E706D" w:rsidRPr="00C57E0F" w:rsidRDefault="006E706D" w:rsidP="00DE3BA6">
            <w:pPr>
              <w:pStyle w:val="Caption"/>
            </w:pPr>
            <w:bookmarkStart w:id="86" w:name="_Ref112841843"/>
            <w:r w:rsidRPr="0027029E">
              <w:rPr>
                <w:i w:val="0"/>
                <w:iCs w:val="0"/>
              </w:rPr>
              <w:t xml:space="preserve">Figure </w:t>
            </w:r>
            <w:r w:rsidRPr="0027029E">
              <w:rPr>
                <w:i w:val="0"/>
                <w:iCs w:val="0"/>
              </w:rPr>
              <w:fldChar w:fldCharType="begin"/>
            </w:r>
            <w:r w:rsidRPr="0027029E">
              <w:rPr>
                <w:i w:val="0"/>
                <w:iCs w:val="0"/>
              </w:rPr>
              <w:instrText>SEQ Figure \* ARABIC</w:instrText>
            </w:r>
            <w:r w:rsidRPr="0027029E">
              <w:rPr>
                <w:i w:val="0"/>
                <w:iCs w:val="0"/>
              </w:rPr>
              <w:fldChar w:fldCharType="separate"/>
            </w:r>
            <w:r w:rsidR="00625A64">
              <w:rPr>
                <w:i w:val="0"/>
                <w:iCs w:val="0"/>
                <w:noProof/>
              </w:rPr>
              <w:t>11</w:t>
            </w:r>
            <w:r w:rsidRPr="0027029E">
              <w:rPr>
                <w:i w:val="0"/>
                <w:iCs w:val="0"/>
              </w:rPr>
              <w:fldChar w:fldCharType="end"/>
            </w:r>
            <w:bookmarkEnd w:id="86"/>
            <w:r>
              <w:t xml:space="preserve">: </w:t>
            </w:r>
            <w:r w:rsidRPr="00C57E0F">
              <w:t>Value of monthly imports into the EU</w:t>
            </w:r>
            <w:r>
              <w:t xml:space="preserve">-28 </w:t>
            </w:r>
            <w:r w:rsidRPr="00C57E0F">
              <w:t xml:space="preserve">from </w:t>
            </w:r>
            <w:r w:rsidR="00315785">
              <w:t>the</w:t>
            </w:r>
            <w:r w:rsidRPr="00C57E0F">
              <w:t xml:space="preserve"> </w:t>
            </w:r>
            <w:r w:rsidR="00C53C6D">
              <w:t>PRC</w:t>
            </w:r>
            <w:r>
              <w:t xml:space="preserve">, </w:t>
            </w:r>
            <w:r w:rsidDel="00F110AE">
              <w:t>South</w:t>
            </w:r>
            <w:r w:rsidR="00F110AE">
              <w:t>-East</w:t>
            </w:r>
            <w:r>
              <w:t xml:space="preserve"> Asia, Taiwan, Hong Kong and India </w:t>
            </w:r>
            <w:r w:rsidRPr="00C57E0F">
              <w:t xml:space="preserve">for </w:t>
            </w:r>
            <w:r>
              <w:t>CN code: 7019 11 00 for 2015 to 2020</w:t>
            </w:r>
          </w:p>
        </w:tc>
      </w:tr>
      <w:tr w:rsidR="006E706D" w:rsidRPr="00F7615F" w14:paraId="51A36E8C" w14:textId="77777777" w:rsidTr="00FE5F09">
        <w:trPr>
          <w:trHeight w:val="5317"/>
        </w:trPr>
        <w:tc>
          <w:tcPr>
            <w:tcW w:w="9016" w:type="dxa"/>
            <w:tcBorders>
              <w:bottom w:val="single" w:sz="4" w:space="0" w:color="auto"/>
            </w:tcBorders>
          </w:tcPr>
          <w:p w14:paraId="1344CE1A" w14:textId="3D2F2A91" w:rsidR="006E706D" w:rsidRPr="00F7615F" w:rsidRDefault="00C53C6D" w:rsidP="003006D1">
            <w:pPr>
              <w:keepNext/>
              <w:tabs>
                <w:tab w:val="center" w:pos="4400"/>
              </w:tabs>
              <w:jc w:val="center"/>
              <w:rPr>
                <w:rFonts w:cs="Arial"/>
                <w:szCs w:val="24"/>
              </w:rPr>
            </w:pPr>
            <w:r>
              <w:rPr>
                <w:noProof/>
              </w:rPr>
              <w:drawing>
                <wp:inline distT="0" distB="0" distL="0" distR="0" wp14:anchorId="77A8DEE0" wp14:editId="156050F7">
                  <wp:extent cx="5592573" cy="3628800"/>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5233"/>
                          <a:stretch/>
                        </pic:blipFill>
                        <pic:spPr bwMode="auto">
                          <a:xfrm>
                            <a:off x="0" y="0"/>
                            <a:ext cx="5592573" cy="36288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0EB4E08" w14:textId="77777777" w:rsidR="00D5771A" w:rsidRDefault="00D5771A" w:rsidP="00D5771A">
      <w:pPr>
        <w:pStyle w:val="Tablenote"/>
      </w:pPr>
      <w:r>
        <w:t xml:space="preserve">Note: </w:t>
      </w:r>
      <w:r w:rsidRPr="00AD25FF">
        <w:t>Data presented is a three-month moving average.</w:t>
      </w:r>
      <w:r>
        <w:t xml:space="preserve"> Not all </w:t>
      </w:r>
      <w:r w:rsidDel="00F110AE">
        <w:t>South</w:t>
      </w:r>
      <w:r>
        <w:t>-East Asian countries are included, as data was not available.</w:t>
      </w:r>
    </w:p>
    <w:p w14:paraId="0E1D7F12" w14:textId="77777777" w:rsidR="00D5771A" w:rsidRDefault="00D5771A" w:rsidP="00D5771A">
      <w:pPr>
        <w:pStyle w:val="Tablenote"/>
      </w:pPr>
      <w:r w:rsidRPr="00BC5820">
        <w:t xml:space="preserve">Source: </w:t>
      </w:r>
      <w:r>
        <w:t>Frontier Economics analysis of Eurostat data</w:t>
      </w:r>
      <w:r w:rsidRPr="00AD25FF">
        <w:t>.</w:t>
      </w:r>
    </w:p>
    <w:p w14:paraId="7BE3E594" w14:textId="77777777" w:rsidR="00D5771A" w:rsidRDefault="00D5771A">
      <w:pPr>
        <w:rPr>
          <w:i/>
        </w:rPr>
      </w:pPr>
    </w:p>
    <w:p w14:paraId="0A838456" w14:textId="2CC4259E" w:rsidR="00D5771A" w:rsidRDefault="00D5771A">
      <w:r>
        <w:rPr>
          <w:i/>
        </w:rPr>
        <w:br w:type="page"/>
      </w:r>
    </w:p>
    <w:tbl>
      <w:tblPr>
        <w:tblStyle w:val="TableGrid"/>
        <w:tblW w:w="0" w:type="auto"/>
        <w:tblLook w:val="04A0" w:firstRow="1" w:lastRow="0" w:firstColumn="1" w:lastColumn="0" w:noHBand="0" w:noVBand="1"/>
      </w:tblPr>
      <w:tblGrid>
        <w:gridCol w:w="9016"/>
      </w:tblGrid>
      <w:tr w:rsidR="006E706D" w:rsidRPr="00F7615F" w14:paraId="5D87A6F5" w14:textId="77777777" w:rsidTr="00D5771A">
        <w:tc>
          <w:tcPr>
            <w:tcW w:w="9016" w:type="dxa"/>
            <w:tcBorders>
              <w:bottom w:val="single" w:sz="4" w:space="0" w:color="auto"/>
            </w:tcBorders>
            <w:shd w:val="clear" w:color="auto" w:fill="24135F"/>
          </w:tcPr>
          <w:p w14:paraId="5ABE9C86" w14:textId="04C76172" w:rsidR="006E706D" w:rsidRPr="00C57E0F" w:rsidRDefault="006E706D" w:rsidP="00DE3BA6">
            <w:pPr>
              <w:pStyle w:val="Caption"/>
            </w:pPr>
            <w:bookmarkStart w:id="87" w:name="_Ref100671048"/>
            <w:r w:rsidRPr="0027029E">
              <w:rPr>
                <w:i w:val="0"/>
                <w:iCs w:val="0"/>
              </w:rPr>
              <w:t xml:space="preserve">Figure </w:t>
            </w:r>
            <w:r w:rsidRPr="0027029E">
              <w:rPr>
                <w:i w:val="0"/>
                <w:iCs w:val="0"/>
              </w:rPr>
              <w:fldChar w:fldCharType="begin"/>
            </w:r>
            <w:r w:rsidRPr="0027029E">
              <w:rPr>
                <w:i w:val="0"/>
                <w:iCs w:val="0"/>
              </w:rPr>
              <w:instrText>SEQ Figure \* ARABIC</w:instrText>
            </w:r>
            <w:r w:rsidRPr="0027029E">
              <w:rPr>
                <w:i w:val="0"/>
                <w:iCs w:val="0"/>
              </w:rPr>
              <w:fldChar w:fldCharType="separate"/>
            </w:r>
            <w:r w:rsidR="00625A64">
              <w:rPr>
                <w:i w:val="0"/>
                <w:iCs w:val="0"/>
                <w:noProof/>
              </w:rPr>
              <w:t>12</w:t>
            </w:r>
            <w:r w:rsidRPr="0027029E">
              <w:rPr>
                <w:i w:val="0"/>
                <w:iCs w:val="0"/>
              </w:rPr>
              <w:fldChar w:fldCharType="end"/>
            </w:r>
            <w:bookmarkEnd w:id="87"/>
            <w:r w:rsidRPr="0027029E">
              <w:rPr>
                <w:i w:val="0"/>
                <w:iCs w:val="0"/>
              </w:rPr>
              <w:t>:</w:t>
            </w:r>
            <w:r>
              <w:t xml:space="preserve"> </w:t>
            </w:r>
            <w:r w:rsidRPr="00C57E0F">
              <w:t xml:space="preserve">Value of monthly imports into </w:t>
            </w:r>
            <w:r>
              <w:t xml:space="preserve">the UK </w:t>
            </w:r>
            <w:r w:rsidRPr="00C57E0F">
              <w:t xml:space="preserve">from </w:t>
            </w:r>
            <w:r w:rsidR="00315785">
              <w:t xml:space="preserve">the </w:t>
            </w:r>
            <w:r w:rsidR="00C53C6D">
              <w:t>PRC</w:t>
            </w:r>
            <w:r>
              <w:t xml:space="preserve">, </w:t>
            </w:r>
            <w:r w:rsidDel="00F110AE">
              <w:t>South</w:t>
            </w:r>
            <w:r w:rsidR="00F110AE">
              <w:t>-East</w:t>
            </w:r>
            <w:r>
              <w:t xml:space="preserve"> Asia, Taiwan, Hong Kong and India </w:t>
            </w:r>
            <w:r w:rsidRPr="00C57E0F">
              <w:t xml:space="preserve">for </w:t>
            </w:r>
            <w:r>
              <w:t>CN code: 7019 11 00 for 2015 to 2020</w:t>
            </w:r>
          </w:p>
        </w:tc>
      </w:tr>
      <w:tr w:rsidR="006E706D" w:rsidRPr="00F7615F" w14:paraId="4644BA26" w14:textId="77777777" w:rsidTr="00D5771A">
        <w:trPr>
          <w:trHeight w:val="3676"/>
        </w:trPr>
        <w:tc>
          <w:tcPr>
            <w:tcW w:w="9016" w:type="dxa"/>
            <w:tcBorders>
              <w:bottom w:val="single" w:sz="4" w:space="0" w:color="auto"/>
            </w:tcBorders>
          </w:tcPr>
          <w:p w14:paraId="381CDC85" w14:textId="7C688517" w:rsidR="006E706D" w:rsidRPr="00F7615F" w:rsidRDefault="00C53C6D" w:rsidP="00FE5F09">
            <w:pPr>
              <w:tabs>
                <w:tab w:val="center" w:pos="4400"/>
              </w:tabs>
              <w:jc w:val="center"/>
              <w:rPr>
                <w:rFonts w:cs="Arial"/>
                <w:szCs w:val="24"/>
              </w:rPr>
            </w:pPr>
            <w:r>
              <w:rPr>
                <w:noProof/>
              </w:rPr>
              <w:drawing>
                <wp:inline distT="0" distB="0" distL="0" distR="0" wp14:anchorId="714B7AD7" wp14:editId="2F8620C1">
                  <wp:extent cx="5580288" cy="3628800"/>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5024"/>
                          <a:stretch/>
                        </pic:blipFill>
                        <pic:spPr bwMode="auto">
                          <a:xfrm>
                            <a:off x="0" y="0"/>
                            <a:ext cx="5580288" cy="3628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E706D" w:rsidRPr="00BC5820" w14:paraId="62A09F88" w14:textId="77777777" w:rsidTr="00D5771A">
        <w:tc>
          <w:tcPr>
            <w:tcW w:w="9016" w:type="dxa"/>
            <w:tcBorders>
              <w:top w:val="single" w:sz="4" w:space="0" w:color="auto"/>
              <w:left w:val="nil"/>
              <w:bottom w:val="nil"/>
              <w:right w:val="nil"/>
            </w:tcBorders>
          </w:tcPr>
          <w:p w14:paraId="7BF470F6" w14:textId="3E958BD8" w:rsidR="006E706D" w:rsidRDefault="00B25A27" w:rsidP="00B25A27">
            <w:pPr>
              <w:pStyle w:val="Tablenote"/>
            </w:pPr>
            <w:r>
              <w:t xml:space="preserve">Note: </w:t>
            </w:r>
            <w:r w:rsidR="006E706D">
              <w:t xml:space="preserve">Not all </w:t>
            </w:r>
            <w:r w:rsidR="006E706D" w:rsidDel="00F110AE">
              <w:t>South</w:t>
            </w:r>
            <w:r w:rsidR="00F110AE">
              <w:t>-East</w:t>
            </w:r>
            <w:r w:rsidR="006E706D">
              <w:t xml:space="preserve"> Asian countries are included, as data was not available.</w:t>
            </w:r>
          </w:p>
          <w:p w14:paraId="55A629DB" w14:textId="7ECFF256" w:rsidR="00B25A27" w:rsidRPr="001053DB" w:rsidRDefault="00B25A27" w:rsidP="003006D1">
            <w:pPr>
              <w:pStyle w:val="Tablenote"/>
              <w:keepNext/>
            </w:pPr>
            <w:r w:rsidRPr="00BC5820">
              <w:t xml:space="preserve">Source: </w:t>
            </w:r>
            <w:r>
              <w:t>Frontier Economics analysis of Eurostat data</w:t>
            </w:r>
            <w:r w:rsidRPr="00AD25FF">
              <w:t>. Data presented is a three-month moving average.</w:t>
            </w:r>
          </w:p>
        </w:tc>
      </w:tr>
    </w:tbl>
    <w:p w14:paraId="0B9C2BBB" w14:textId="77777777" w:rsidR="00732935" w:rsidRDefault="00732935" w:rsidP="00016CC0"/>
    <w:p w14:paraId="4715109A" w14:textId="12601898" w:rsidR="006E706D" w:rsidRDefault="006E706D" w:rsidP="00016CC0">
      <w:r>
        <w:t xml:space="preserve">Despite this apparent lack of evidence of circumvention for CN code 7019 11 00, there is value </w:t>
      </w:r>
      <w:r w:rsidR="000E614C">
        <w:t xml:space="preserve">in </w:t>
      </w:r>
      <w:r>
        <w:t xml:space="preserve">analysing the pattern of trade in Chinese exports to the countries included in the import analysis (i.e. </w:t>
      </w:r>
      <w:r w:rsidR="002406F0">
        <w:t>PRC</w:t>
      </w:r>
      <w:r>
        <w:t xml:space="preserve">’s regional trading partners). This is to identify two things. </w:t>
      </w:r>
      <w:r w:rsidR="003A765D">
        <w:t>Firstly,</w:t>
      </w:r>
      <w:r w:rsidR="0013538E">
        <w:t xml:space="preserve"> </w:t>
      </w:r>
      <w:r>
        <w:t xml:space="preserve">whether there is evidence of the cascading circumvention seen in the earlier analysis of the glass fibres </w:t>
      </w:r>
      <w:r w:rsidRPr="00FE339A">
        <w:rPr>
          <w:rFonts w:cs="Arial"/>
          <w:szCs w:val="24"/>
        </w:rPr>
        <w:t>(certain open mesh fabrics)</w:t>
      </w:r>
      <w:r>
        <w:rPr>
          <w:rFonts w:cs="Arial"/>
          <w:szCs w:val="24"/>
        </w:rPr>
        <w:t xml:space="preserve"> </w:t>
      </w:r>
      <w:r>
        <w:t xml:space="preserve">case. This is where we saw </w:t>
      </w:r>
      <w:r w:rsidR="002406F0">
        <w:t>PRC</w:t>
      </w:r>
      <w:r>
        <w:t xml:space="preserve"> attempting to circumvent an anti-</w:t>
      </w:r>
      <w:r w:rsidR="003A765D">
        <w:t xml:space="preserve">dumping </w:t>
      </w:r>
      <w:r>
        <w:t>measure via a second country (Thailand)</w:t>
      </w:r>
      <w:r w:rsidR="00BB24FE">
        <w:t xml:space="preserve">. The timing of the changes in trade suggests that this </w:t>
      </w:r>
      <w:r w:rsidR="003A765D">
        <w:t>could have been in</w:t>
      </w:r>
      <w:r w:rsidR="006323E9">
        <w:t xml:space="preserve"> anticipation</w:t>
      </w:r>
      <w:r w:rsidR="00BB24FE">
        <w:t xml:space="preserve"> of </w:t>
      </w:r>
      <w:r>
        <w:t xml:space="preserve">an anti-circumvention measure against the first (Malaysia). </w:t>
      </w:r>
      <w:r w:rsidRPr="00B25A27">
        <w:t xml:space="preserve">Secondly, </w:t>
      </w:r>
      <w:r w:rsidR="00401C7C" w:rsidRPr="00B25A27">
        <w:t xml:space="preserve">perhaps </w:t>
      </w:r>
      <w:r w:rsidRPr="00B25A27">
        <w:t xml:space="preserve">because the EU-28 was a less attractive export destination, </w:t>
      </w:r>
      <w:r w:rsidR="007F2955">
        <w:t xml:space="preserve">whether </w:t>
      </w:r>
      <w:r w:rsidRPr="00B25A27">
        <w:t>Chinese exports</w:t>
      </w:r>
      <w:r w:rsidRPr="0096790C">
        <w:t xml:space="preserve"> to these</w:t>
      </w:r>
      <w:r>
        <w:t xml:space="preserve"> countries increased because of trade deflection (rather than circumvention). This could provide useful context for future analysis </w:t>
      </w:r>
      <w:r w:rsidR="000E614C">
        <w:t xml:space="preserve">as </w:t>
      </w:r>
      <w:r>
        <w:t xml:space="preserve">it might show that producers in </w:t>
      </w:r>
      <w:r w:rsidR="002406F0">
        <w:t>PRC</w:t>
      </w:r>
      <w:r>
        <w:t xml:space="preserve"> are adapting to persistent duties in the EU-28 (now EU-27 plus the UK) by seeking new commercial opportunities elsewhere, rather than attempting to circumvent the anti-dumping duties.</w:t>
      </w:r>
    </w:p>
    <w:p w14:paraId="3A8B30BE" w14:textId="73EF7BA8" w:rsidR="003A765D" w:rsidRDefault="00337849" w:rsidP="00016CC0">
      <w:r>
        <w:fldChar w:fldCharType="begin"/>
      </w:r>
      <w:r>
        <w:instrText xml:space="preserve"> REF _Ref112841971 \h </w:instrText>
      </w:r>
      <w:r>
        <w:fldChar w:fldCharType="separate"/>
      </w:r>
      <w:r>
        <w:t xml:space="preserve">Figure </w:t>
      </w:r>
      <w:r>
        <w:rPr>
          <w:noProof/>
        </w:rPr>
        <w:t>13</w:t>
      </w:r>
      <w:r>
        <w:fldChar w:fldCharType="end"/>
      </w:r>
      <w:r w:rsidR="006E706D">
        <w:t xml:space="preserve"> presents annual exports from </w:t>
      </w:r>
      <w:r w:rsidR="002406F0">
        <w:t>PRC</w:t>
      </w:r>
      <w:r w:rsidR="006E706D">
        <w:t xml:space="preserve"> to </w:t>
      </w:r>
      <w:r w:rsidR="006E706D" w:rsidRPr="00D6666D" w:rsidDel="00F110AE">
        <w:t>South</w:t>
      </w:r>
      <w:r w:rsidR="00F110AE">
        <w:t>-East</w:t>
      </w:r>
      <w:r w:rsidR="006E706D" w:rsidRPr="00D6666D">
        <w:t xml:space="preserve"> Asia, Hong Kong and India for HS code 7019 11</w:t>
      </w:r>
      <w:r w:rsidR="006E706D">
        <w:t xml:space="preserve"> (i.e. at a higher level of aggregation than the Eurostat analysis). </w:t>
      </w:r>
      <w:r w:rsidR="00BF0FB8">
        <w:t>The figure</w:t>
      </w:r>
      <w:r w:rsidR="006E706D">
        <w:t xml:space="preserve"> shows that there </w:t>
      </w:r>
      <w:r w:rsidR="00702055">
        <w:t xml:space="preserve">is </w:t>
      </w:r>
      <w:r w:rsidR="006E706D">
        <w:t>a large increase in exports to India until 2018</w:t>
      </w:r>
      <w:r w:rsidR="006846F0">
        <w:t>,</w:t>
      </w:r>
      <w:r w:rsidR="006E706D">
        <w:t xml:space="preserve"> </w:t>
      </w:r>
      <w:r w:rsidR="006846F0">
        <w:t>e</w:t>
      </w:r>
      <w:r w:rsidR="006E706D">
        <w:t>xports to Thailand also slightly increase</w:t>
      </w:r>
      <w:r w:rsidR="006846F0">
        <w:t>, but exports are r</w:t>
      </w:r>
      <w:r w:rsidR="006846F0" w:rsidRPr="00377A51">
        <w:t xml:space="preserve">elatively flat </w:t>
      </w:r>
      <w:r w:rsidR="006846F0">
        <w:t xml:space="preserve">to </w:t>
      </w:r>
      <w:r w:rsidR="006846F0" w:rsidRPr="00377A51">
        <w:t>other countries</w:t>
      </w:r>
      <w:r w:rsidR="006846F0" w:rsidDel="006846F0">
        <w:t>.</w:t>
      </w:r>
      <w:r w:rsidR="006E706D">
        <w:t xml:space="preserve"> After this point, exports to India decline. </w:t>
      </w:r>
      <w:r w:rsidR="006E706D" w:rsidRPr="00377A51">
        <w:t>This could reflect both</w:t>
      </w:r>
      <w:r w:rsidR="00702055">
        <w:t>:</w:t>
      </w:r>
    </w:p>
    <w:p w14:paraId="23943B4A" w14:textId="48776C4E" w:rsidR="003A765D" w:rsidRPr="00865CDD" w:rsidRDefault="008A71BD" w:rsidP="00865CDD">
      <w:pPr>
        <w:pStyle w:val="NoSpacing"/>
        <w:numPr>
          <w:ilvl w:val="0"/>
          <w:numId w:val="14"/>
        </w:numPr>
        <w:spacing w:line="360" w:lineRule="auto"/>
        <w:rPr>
          <w:rFonts w:cs="Arial"/>
          <w:szCs w:val="24"/>
        </w:rPr>
      </w:pPr>
      <w:r>
        <w:rPr>
          <w:rFonts w:cs="Arial"/>
          <w:szCs w:val="24"/>
        </w:rPr>
        <w:t>R</w:t>
      </w:r>
      <w:r w:rsidR="006E706D" w:rsidRPr="00865CDD">
        <w:rPr>
          <w:rFonts w:cs="Arial"/>
          <w:szCs w:val="24"/>
        </w:rPr>
        <w:t>apidly increasing demand in India because of particular end-uses for continuous filament glass fibre</w:t>
      </w:r>
      <w:r w:rsidR="00702055" w:rsidRPr="00865CDD">
        <w:rPr>
          <w:rFonts w:cs="Arial"/>
          <w:szCs w:val="24"/>
        </w:rPr>
        <w:t>;</w:t>
      </w:r>
      <w:r w:rsidR="006E706D" w:rsidRPr="00865CDD">
        <w:rPr>
          <w:rFonts w:cs="Arial"/>
          <w:szCs w:val="24"/>
        </w:rPr>
        <w:t xml:space="preserve"> </w:t>
      </w:r>
    </w:p>
    <w:p w14:paraId="77E75A1C" w14:textId="3B10A87F" w:rsidR="003A765D" w:rsidRPr="00865CDD" w:rsidRDefault="008A71BD" w:rsidP="00865CDD">
      <w:pPr>
        <w:pStyle w:val="NoSpacing"/>
        <w:numPr>
          <w:ilvl w:val="0"/>
          <w:numId w:val="14"/>
        </w:numPr>
        <w:spacing w:line="360" w:lineRule="auto"/>
        <w:rPr>
          <w:rFonts w:cs="Arial"/>
          <w:szCs w:val="24"/>
        </w:rPr>
      </w:pPr>
      <w:r>
        <w:rPr>
          <w:rFonts w:cs="Arial"/>
          <w:szCs w:val="24"/>
        </w:rPr>
        <w:t>T</w:t>
      </w:r>
      <w:r w:rsidR="000E614C" w:rsidRPr="00865CDD">
        <w:rPr>
          <w:rFonts w:cs="Arial"/>
          <w:szCs w:val="24"/>
        </w:rPr>
        <w:t xml:space="preserve">hat </w:t>
      </w:r>
      <w:r w:rsidR="002406F0" w:rsidRPr="00865CDD">
        <w:rPr>
          <w:rFonts w:cs="Arial"/>
          <w:szCs w:val="24"/>
        </w:rPr>
        <w:t>PRC</w:t>
      </w:r>
      <w:r w:rsidR="006E706D" w:rsidRPr="00865CDD">
        <w:rPr>
          <w:rFonts w:cs="Arial"/>
          <w:szCs w:val="24"/>
        </w:rPr>
        <w:t xml:space="preserve"> </w:t>
      </w:r>
      <w:r w:rsidR="000E614C" w:rsidRPr="00865CDD">
        <w:rPr>
          <w:rFonts w:cs="Arial"/>
          <w:szCs w:val="24"/>
        </w:rPr>
        <w:t xml:space="preserve">is </w:t>
      </w:r>
      <w:r w:rsidR="006E706D" w:rsidRPr="00865CDD">
        <w:rPr>
          <w:rFonts w:cs="Arial"/>
          <w:szCs w:val="24"/>
        </w:rPr>
        <w:t xml:space="preserve">seeking new opportunities in response to anti-dumping duties in Europe and lagging growth there in the wake of the eurozone crisis. </w:t>
      </w:r>
    </w:p>
    <w:p w14:paraId="1A69068E" w14:textId="30DB09EF" w:rsidR="006E706D" w:rsidRDefault="006E706D" w:rsidP="00016CC0">
      <w:r w:rsidRPr="00377A51">
        <w:t xml:space="preserve">Even allowing for differences in </w:t>
      </w:r>
      <w:r>
        <w:t xml:space="preserve">data </w:t>
      </w:r>
      <w:r w:rsidRPr="00377A51">
        <w:t>aggregation, this suggest</w:t>
      </w:r>
      <w:r w:rsidR="00F520B2">
        <w:t>s</w:t>
      </w:r>
      <w:r w:rsidRPr="00377A51">
        <w:t xml:space="preserve"> that there is little evidence from the trade data that transhipment </w:t>
      </w:r>
      <w:r>
        <w:t>occurr</w:t>
      </w:r>
      <w:r w:rsidR="00F520B2">
        <w:t>ed</w:t>
      </w:r>
      <w:r>
        <w:t xml:space="preserve"> (as there is no corresponding increase in EU-28 or UK imports from India following this peak in exports from </w:t>
      </w:r>
      <w:r w:rsidR="002406F0">
        <w:t>PRC</w:t>
      </w:r>
      <w:r>
        <w:t xml:space="preserve"> to India).</w:t>
      </w:r>
    </w:p>
    <w:p w14:paraId="4A2D2C82" w14:textId="77777777" w:rsidR="006E706D" w:rsidRDefault="006E706D" w:rsidP="006E706D">
      <w:pPr>
        <w:pStyle w:val="NoSpacing"/>
        <w:spacing w:line="360" w:lineRule="auto"/>
      </w:pPr>
    </w:p>
    <w:p w14:paraId="42115689" w14:textId="77777777" w:rsidR="006E706D" w:rsidRDefault="006E706D" w:rsidP="006E706D">
      <w:pPr>
        <w:pStyle w:val="NoSpacing"/>
        <w:spacing w:line="360" w:lineRule="auto"/>
        <w:sectPr w:rsidR="006E706D" w:rsidSect="00F21AB1">
          <w:pgSz w:w="11906" w:h="16838"/>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9016"/>
      </w:tblGrid>
      <w:tr w:rsidR="006E706D" w:rsidRPr="00F7615F" w14:paraId="4109F23D" w14:textId="77777777" w:rsidTr="00FE5F09">
        <w:tc>
          <w:tcPr>
            <w:tcW w:w="9016" w:type="dxa"/>
            <w:tcBorders>
              <w:bottom w:val="single" w:sz="4" w:space="0" w:color="auto"/>
            </w:tcBorders>
            <w:shd w:val="clear" w:color="auto" w:fill="24135F"/>
          </w:tcPr>
          <w:p w14:paraId="2E31A169" w14:textId="7EA8070F" w:rsidR="006E706D" w:rsidRPr="00C57E0F" w:rsidRDefault="006E706D" w:rsidP="00DE3BA6">
            <w:pPr>
              <w:pStyle w:val="Caption"/>
            </w:pPr>
            <w:bookmarkStart w:id="88" w:name="_Ref112841971"/>
            <w:r w:rsidRPr="007F2955">
              <w:rPr>
                <w:i w:val="0"/>
                <w:iCs w:val="0"/>
              </w:rPr>
              <w:t xml:space="preserve">Figure </w:t>
            </w:r>
            <w:r w:rsidRPr="007F2955">
              <w:rPr>
                <w:i w:val="0"/>
                <w:iCs w:val="0"/>
              </w:rPr>
              <w:fldChar w:fldCharType="begin"/>
            </w:r>
            <w:r w:rsidRPr="007F2955">
              <w:rPr>
                <w:i w:val="0"/>
                <w:iCs w:val="0"/>
              </w:rPr>
              <w:instrText>SEQ Figure \* ARABIC</w:instrText>
            </w:r>
            <w:r w:rsidRPr="007F2955">
              <w:rPr>
                <w:i w:val="0"/>
                <w:iCs w:val="0"/>
              </w:rPr>
              <w:fldChar w:fldCharType="separate"/>
            </w:r>
            <w:r w:rsidR="00625A64">
              <w:rPr>
                <w:i w:val="0"/>
                <w:iCs w:val="0"/>
                <w:noProof/>
              </w:rPr>
              <w:t>13</w:t>
            </w:r>
            <w:r w:rsidRPr="007F2955">
              <w:rPr>
                <w:i w:val="0"/>
                <w:iCs w:val="0"/>
              </w:rPr>
              <w:fldChar w:fldCharType="end"/>
            </w:r>
            <w:bookmarkEnd w:id="88"/>
            <w:r>
              <w:t xml:space="preserve">: </w:t>
            </w:r>
            <w:r w:rsidRPr="00C57E0F">
              <w:t xml:space="preserve">Value of </w:t>
            </w:r>
            <w:r>
              <w:t>annual</w:t>
            </w:r>
            <w:r w:rsidRPr="00C57E0F">
              <w:t xml:space="preserve"> </w:t>
            </w:r>
            <w:r>
              <w:t xml:space="preserve">exports </w:t>
            </w:r>
            <w:r w:rsidRPr="00C57E0F">
              <w:t xml:space="preserve">from </w:t>
            </w:r>
            <w:r w:rsidR="00315785">
              <w:t xml:space="preserve">the </w:t>
            </w:r>
            <w:r w:rsidR="0050679C">
              <w:t>PRC</w:t>
            </w:r>
            <w:r>
              <w:t xml:space="preserve"> to </w:t>
            </w:r>
            <w:r w:rsidDel="00F110AE">
              <w:t>South</w:t>
            </w:r>
            <w:r w:rsidR="00F110AE">
              <w:t>-East</w:t>
            </w:r>
            <w:r>
              <w:t xml:space="preserve"> Asia, Hong Kong and India </w:t>
            </w:r>
            <w:r w:rsidRPr="00C57E0F">
              <w:t xml:space="preserve">for </w:t>
            </w:r>
            <w:r>
              <w:t>HS code: 7019 11 for 2015 to 2020</w:t>
            </w:r>
          </w:p>
        </w:tc>
      </w:tr>
      <w:tr w:rsidR="006E706D" w:rsidRPr="00F7615F" w14:paraId="4EA391EA" w14:textId="77777777" w:rsidTr="00FE5F09">
        <w:trPr>
          <w:trHeight w:val="5525"/>
        </w:trPr>
        <w:tc>
          <w:tcPr>
            <w:tcW w:w="9016" w:type="dxa"/>
            <w:tcBorders>
              <w:bottom w:val="single" w:sz="4" w:space="0" w:color="auto"/>
            </w:tcBorders>
          </w:tcPr>
          <w:p w14:paraId="359EF7BC" w14:textId="77777777" w:rsidR="006E706D" w:rsidRPr="00AD25FF" w:rsidRDefault="006E706D" w:rsidP="00FE5F09">
            <w:pPr>
              <w:tabs>
                <w:tab w:val="center" w:pos="4400"/>
              </w:tabs>
              <w:jc w:val="center"/>
              <w:rPr>
                <w:rFonts w:cs="Arial"/>
                <w:noProof/>
                <w:sz w:val="10"/>
                <w:szCs w:val="10"/>
              </w:rPr>
            </w:pPr>
          </w:p>
          <w:p w14:paraId="2E92BE84" w14:textId="0417C8D8" w:rsidR="006E706D" w:rsidRPr="00F7615F" w:rsidRDefault="004672C1" w:rsidP="00FE5F09">
            <w:pPr>
              <w:tabs>
                <w:tab w:val="center" w:pos="4400"/>
              </w:tabs>
              <w:jc w:val="center"/>
              <w:rPr>
                <w:rFonts w:cs="Arial"/>
                <w:szCs w:val="24"/>
              </w:rPr>
            </w:pPr>
            <w:r>
              <w:rPr>
                <w:b/>
                <w:bCs/>
                <w:noProof/>
              </w:rPr>
              <w:drawing>
                <wp:inline distT="0" distB="0" distL="0" distR="0" wp14:anchorId="58F134C5" wp14:editId="77027AF7">
                  <wp:extent cx="5533504" cy="3600000"/>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5097"/>
                          <a:stretch/>
                        </pic:blipFill>
                        <pic:spPr bwMode="auto">
                          <a:xfrm>
                            <a:off x="0" y="0"/>
                            <a:ext cx="5533504" cy="36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E706D" w:rsidRPr="00BC5820" w14:paraId="46586230" w14:textId="77777777" w:rsidTr="00FE5F09">
        <w:tc>
          <w:tcPr>
            <w:tcW w:w="9016" w:type="dxa"/>
            <w:tcBorders>
              <w:top w:val="single" w:sz="4" w:space="0" w:color="auto"/>
              <w:left w:val="nil"/>
              <w:bottom w:val="nil"/>
              <w:right w:val="nil"/>
            </w:tcBorders>
          </w:tcPr>
          <w:p w14:paraId="3F300C75" w14:textId="5739AB71" w:rsidR="006E706D" w:rsidRDefault="00B25A27" w:rsidP="00B25A27">
            <w:pPr>
              <w:pStyle w:val="Tablenote"/>
            </w:pPr>
            <w:r>
              <w:t xml:space="preserve">Note: </w:t>
            </w:r>
            <w:r w:rsidR="006E706D">
              <w:t xml:space="preserve">Not all </w:t>
            </w:r>
            <w:r w:rsidR="006E706D" w:rsidDel="00F110AE">
              <w:t>South</w:t>
            </w:r>
            <w:r w:rsidR="00F110AE">
              <w:t>-East</w:t>
            </w:r>
            <w:r w:rsidR="006E706D">
              <w:t xml:space="preserve"> Asian countries (or Taiwan) are included, as data was not available.</w:t>
            </w:r>
          </w:p>
          <w:p w14:paraId="74218E2E" w14:textId="432B8689" w:rsidR="00B25A27" w:rsidRPr="00BC5820" w:rsidRDefault="00B25A27" w:rsidP="00FE5F09">
            <w:pPr>
              <w:pStyle w:val="Tablesource"/>
              <w:rPr>
                <w:iCs/>
                <w:color w:val="005EA5"/>
                <w:u w:val="single"/>
              </w:rPr>
            </w:pPr>
            <w:r w:rsidRPr="00BC5820">
              <w:t xml:space="preserve">Source: </w:t>
            </w:r>
            <w:r>
              <w:t>Frontier Economics analysis of UN Comtrade data</w:t>
            </w:r>
            <w:r w:rsidRPr="00AD25FF">
              <w:t>.</w:t>
            </w:r>
          </w:p>
        </w:tc>
      </w:tr>
    </w:tbl>
    <w:p w14:paraId="03E0308E" w14:textId="7CC36908" w:rsidR="006E706D" w:rsidRDefault="006E706D" w:rsidP="00016CC0">
      <w:r>
        <w:t xml:space="preserve">No changes in the pattern of EU-28 and UK </w:t>
      </w:r>
      <w:r w:rsidRPr="008C4920">
        <w:t xml:space="preserve">imports over the period are found for CN code 7019 12 00 (see </w:t>
      </w:r>
      <w:r w:rsidR="00FE05B4">
        <w:fldChar w:fldCharType="begin"/>
      </w:r>
      <w:r w:rsidR="00FE05B4">
        <w:instrText xml:space="preserve"> REF _Ref112862363 \h </w:instrText>
      </w:r>
      <w:r w:rsidR="00FE05B4">
        <w:fldChar w:fldCharType="separate"/>
      </w:r>
      <w:r w:rsidR="00FE05B4">
        <w:t xml:space="preserve">Figure </w:t>
      </w:r>
      <w:r w:rsidR="00FE05B4">
        <w:rPr>
          <w:noProof/>
        </w:rPr>
        <w:t>29</w:t>
      </w:r>
      <w:r w:rsidR="00FE05B4">
        <w:fldChar w:fldCharType="end"/>
      </w:r>
      <w:r w:rsidRPr="008C4920">
        <w:t xml:space="preserve"> and </w:t>
      </w:r>
      <w:r w:rsidR="00FE05B4">
        <w:fldChar w:fldCharType="begin"/>
      </w:r>
      <w:r w:rsidR="00FE05B4">
        <w:instrText xml:space="preserve"> REF _Ref112862376 \h </w:instrText>
      </w:r>
      <w:r w:rsidR="00FE05B4">
        <w:fldChar w:fldCharType="separate"/>
      </w:r>
      <w:r w:rsidR="00FE05B4">
        <w:t xml:space="preserve">Figure </w:t>
      </w:r>
      <w:r w:rsidR="00FE05B4">
        <w:rPr>
          <w:noProof/>
        </w:rPr>
        <w:t>30</w:t>
      </w:r>
      <w:r w:rsidR="00FE05B4">
        <w:fldChar w:fldCharType="end"/>
      </w:r>
      <w:r w:rsidRPr="008C4920">
        <w:t xml:space="preserve"> in Annex </w:t>
      </w:r>
      <w:r w:rsidR="00FC1367">
        <w:t>4</w:t>
      </w:r>
      <w:r w:rsidRPr="008C4920">
        <w:t xml:space="preserve">) </w:t>
      </w:r>
      <w:r w:rsidR="00920A0C" w:rsidRPr="008C4920">
        <w:t xml:space="preserve">or for </w:t>
      </w:r>
      <w:r w:rsidRPr="008C4920">
        <w:t>CN code 7019</w:t>
      </w:r>
      <w:r w:rsidR="00702055" w:rsidRPr="008C4920">
        <w:t> </w:t>
      </w:r>
      <w:r w:rsidRPr="008C4920">
        <w:t>31</w:t>
      </w:r>
      <w:r w:rsidR="00702055" w:rsidRPr="008C4920">
        <w:t> </w:t>
      </w:r>
      <w:r w:rsidRPr="008C4920">
        <w:t xml:space="preserve">00 (see </w:t>
      </w:r>
      <w:r w:rsidR="00FE05B4">
        <w:fldChar w:fldCharType="begin"/>
      </w:r>
      <w:r w:rsidR="00FE05B4">
        <w:instrText xml:space="preserve"> REF _Ref112862386 \h </w:instrText>
      </w:r>
      <w:r w:rsidR="00FE05B4">
        <w:fldChar w:fldCharType="separate"/>
      </w:r>
      <w:r w:rsidR="00FE05B4">
        <w:t xml:space="preserve">Figure </w:t>
      </w:r>
      <w:r w:rsidR="00FE05B4">
        <w:rPr>
          <w:noProof/>
        </w:rPr>
        <w:t>31</w:t>
      </w:r>
      <w:r w:rsidR="00FE05B4">
        <w:fldChar w:fldCharType="end"/>
      </w:r>
      <w:r w:rsidRPr="008C4920">
        <w:t xml:space="preserve"> and </w:t>
      </w:r>
      <w:r w:rsidR="00FE05B4">
        <w:fldChar w:fldCharType="begin"/>
      </w:r>
      <w:r w:rsidR="00FE05B4">
        <w:instrText xml:space="preserve"> REF _Ref112862394 \h </w:instrText>
      </w:r>
      <w:r w:rsidR="00FE05B4">
        <w:fldChar w:fldCharType="separate"/>
      </w:r>
      <w:r w:rsidR="00FE05B4">
        <w:t xml:space="preserve">Figure </w:t>
      </w:r>
      <w:r w:rsidR="00FE05B4">
        <w:rPr>
          <w:noProof/>
        </w:rPr>
        <w:t>32</w:t>
      </w:r>
      <w:r w:rsidR="00FE05B4">
        <w:fldChar w:fldCharType="end"/>
      </w:r>
      <w:r w:rsidR="00FE05B4">
        <w:t xml:space="preserve"> </w:t>
      </w:r>
      <w:r w:rsidRPr="008C4920">
        <w:t>in Annex</w:t>
      </w:r>
      <w:r>
        <w:t xml:space="preserve"> </w:t>
      </w:r>
      <w:r w:rsidR="00FC1367">
        <w:t>4</w:t>
      </w:r>
      <w:r>
        <w:t xml:space="preserve">). The only discernible trend is that imports from </w:t>
      </w:r>
      <w:r w:rsidR="002406F0">
        <w:t>PRC</w:t>
      </w:r>
      <w:r>
        <w:t xml:space="preserve"> appear to decline over the period (</w:t>
      </w:r>
      <w:r w:rsidR="00920A0C">
        <w:t xml:space="preserve">apart from </w:t>
      </w:r>
      <w:r>
        <w:t xml:space="preserve">a seemingly temporary uptick in the UK for 7019 12 00 in 2019). This is not surprising given the continued application of anti-dumping duties. </w:t>
      </w:r>
    </w:p>
    <w:p w14:paraId="623B7E2B" w14:textId="0C69B2E4" w:rsidR="006E706D" w:rsidRDefault="006E706D" w:rsidP="00016CC0">
      <w:r>
        <w:t xml:space="preserve">Turning to the analysis of Chinese exports for these two CN codes, a similar pattern is seen. </w:t>
      </w:r>
      <w:r w:rsidR="00337849">
        <w:fldChar w:fldCharType="begin"/>
      </w:r>
      <w:r w:rsidR="00337849">
        <w:instrText xml:space="preserve"> REF _Ref112842030 \h </w:instrText>
      </w:r>
      <w:r w:rsidR="00337849">
        <w:fldChar w:fldCharType="separate"/>
      </w:r>
      <w:r w:rsidR="00337849">
        <w:t xml:space="preserve">Figure </w:t>
      </w:r>
      <w:r w:rsidR="00337849">
        <w:rPr>
          <w:noProof/>
        </w:rPr>
        <w:t>14</w:t>
      </w:r>
      <w:r w:rsidR="00337849">
        <w:fldChar w:fldCharType="end"/>
      </w:r>
      <w:r w:rsidR="00337849">
        <w:t xml:space="preserve"> </w:t>
      </w:r>
      <w:r>
        <w:t xml:space="preserve">presents this for HS code </w:t>
      </w:r>
      <w:r w:rsidRPr="00D6666D">
        <w:t>7019 1</w:t>
      </w:r>
      <w:r>
        <w:t>2</w:t>
      </w:r>
      <w:r w:rsidR="00C43A41">
        <w:t>.</w:t>
      </w:r>
      <w:r>
        <w:t xml:space="preserve"> Here, exports to India and Thailand increase until 2018. A similar pattern is seen for Malaysia albeit with a lag. The increased exports to India occurred notwithstanding anti-dumping duties imposed by India on these types of products in 2011, and then extended in 2016 following a sunset review.</w:t>
      </w:r>
      <w:r>
        <w:rPr>
          <w:rStyle w:val="FootnoteReference"/>
        </w:rPr>
        <w:footnoteReference w:id="45"/>
      </w:r>
      <w:r>
        <w:t xml:space="preserve"> India also initiated, in 2018, an anti-circumvention investigation on transhipment of these types of products via Thailand and imposed duties.</w:t>
      </w:r>
      <w:r>
        <w:rPr>
          <w:rStyle w:val="FootnoteReference"/>
        </w:rPr>
        <w:footnoteReference w:id="46"/>
      </w:r>
      <w:r>
        <w:t xml:space="preserve"> It is only from that time that Chinese exports to both India and Thailand fall. Interestingly, following these declines there appears to be an increase in exports to Vietnam. This could signify Chinese exporters seeking new markets or possible circumvention. A similar trend in Chinese exports is seen in </w:t>
      </w:r>
      <w:r w:rsidR="00337849">
        <w:fldChar w:fldCharType="begin"/>
      </w:r>
      <w:r w:rsidR="00337849">
        <w:instrText xml:space="preserve"> REF _Ref112842240 \h </w:instrText>
      </w:r>
      <w:r w:rsidR="00337849">
        <w:fldChar w:fldCharType="separate"/>
      </w:r>
      <w:r w:rsidR="00337849">
        <w:t xml:space="preserve">Figure </w:t>
      </w:r>
      <w:r w:rsidR="00337849">
        <w:rPr>
          <w:noProof/>
        </w:rPr>
        <w:t>15</w:t>
      </w:r>
      <w:r w:rsidR="00337849">
        <w:fldChar w:fldCharType="end"/>
      </w:r>
      <w:r>
        <w:t xml:space="preserve"> for HS code 7019 31, where exports to India increase rapidly over the period, but decline from 2019 onwards. </w:t>
      </w:r>
    </w:p>
    <w:tbl>
      <w:tblPr>
        <w:tblStyle w:val="TableGrid"/>
        <w:tblW w:w="0" w:type="auto"/>
        <w:tblLook w:val="04A0" w:firstRow="1" w:lastRow="0" w:firstColumn="1" w:lastColumn="0" w:noHBand="0" w:noVBand="1"/>
      </w:tblPr>
      <w:tblGrid>
        <w:gridCol w:w="9016"/>
      </w:tblGrid>
      <w:tr w:rsidR="006E706D" w:rsidRPr="00F7615F" w14:paraId="15005022" w14:textId="77777777" w:rsidTr="00FE5F09">
        <w:tc>
          <w:tcPr>
            <w:tcW w:w="9016" w:type="dxa"/>
            <w:tcBorders>
              <w:bottom w:val="single" w:sz="4" w:space="0" w:color="auto"/>
            </w:tcBorders>
            <w:shd w:val="clear" w:color="auto" w:fill="24135F"/>
          </w:tcPr>
          <w:p w14:paraId="618DB908" w14:textId="76BB9894" w:rsidR="006E706D" w:rsidRPr="00C57E0F" w:rsidRDefault="006E706D" w:rsidP="00DE3BA6">
            <w:pPr>
              <w:pStyle w:val="Caption"/>
            </w:pPr>
            <w:bookmarkStart w:id="89" w:name="_Ref112842030"/>
            <w:r w:rsidRPr="0027029E">
              <w:rPr>
                <w:i w:val="0"/>
                <w:iCs w:val="0"/>
              </w:rPr>
              <w:t xml:space="preserve">Figure </w:t>
            </w:r>
            <w:r w:rsidRPr="0027029E">
              <w:rPr>
                <w:i w:val="0"/>
                <w:iCs w:val="0"/>
              </w:rPr>
              <w:fldChar w:fldCharType="begin"/>
            </w:r>
            <w:r w:rsidRPr="0027029E">
              <w:rPr>
                <w:i w:val="0"/>
                <w:iCs w:val="0"/>
              </w:rPr>
              <w:instrText>SEQ Figure \* ARABIC</w:instrText>
            </w:r>
            <w:r w:rsidRPr="0027029E">
              <w:rPr>
                <w:i w:val="0"/>
                <w:iCs w:val="0"/>
              </w:rPr>
              <w:fldChar w:fldCharType="separate"/>
            </w:r>
            <w:r w:rsidR="00625A64">
              <w:rPr>
                <w:i w:val="0"/>
                <w:iCs w:val="0"/>
                <w:noProof/>
              </w:rPr>
              <w:t>14</w:t>
            </w:r>
            <w:r w:rsidRPr="0027029E">
              <w:rPr>
                <w:i w:val="0"/>
                <w:iCs w:val="0"/>
              </w:rPr>
              <w:fldChar w:fldCharType="end"/>
            </w:r>
            <w:bookmarkEnd w:id="89"/>
            <w:r w:rsidRPr="006B789B">
              <w:t>: Value of annual exports from</w:t>
            </w:r>
            <w:r w:rsidR="00B60B96">
              <w:t xml:space="preserve"> </w:t>
            </w:r>
            <w:r w:rsidR="00B102C4">
              <w:t xml:space="preserve">the </w:t>
            </w:r>
            <w:r w:rsidR="002406F0">
              <w:t>PRC</w:t>
            </w:r>
            <w:r w:rsidRPr="006B789B">
              <w:t xml:space="preserve"> to </w:t>
            </w:r>
            <w:r w:rsidRPr="006B789B" w:rsidDel="00F110AE">
              <w:t>South</w:t>
            </w:r>
            <w:r w:rsidR="00F110AE" w:rsidRPr="006B789B">
              <w:t>-East</w:t>
            </w:r>
            <w:r w:rsidRPr="006B789B">
              <w:t xml:space="preserve"> Asia, Hong Kong and India for HS code: 7019 12 for 2015 to 2020</w:t>
            </w:r>
          </w:p>
        </w:tc>
      </w:tr>
      <w:tr w:rsidR="006E706D" w:rsidRPr="00F7615F" w14:paraId="1034E344" w14:textId="77777777" w:rsidTr="00FE5F09">
        <w:trPr>
          <w:trHeight w:val="5525"/>
        </w:trPr>
        <w:tc>
          <w:tcPr>
            <w:tcW w:w="9016" w:type="dxa"/>
            <w:tcBorders>
              <w:bottom w:val="single" w:sz="4" w:space="0" w:color="auto"/>
            </w:tcBorders>
          </w:tcPr>
          <w:p w14:paraId="480EF53A" w14:textId="77777777" w:rsidR="006E706D" w:rsidRPr="00AD25FF" w:rsidRDefault="006E706D" w:rsidP="00FE5F09">
            <w:pPr>
              <w:tabs>
                <w:tab w:val="center" w:pos="4400"/>
              </w:tabs>
              <w:jc w:val="center"/>
              <w:rPr>
                <w:rFonts w:cs="Arial"/>
                <w:noProof/>
                <w:sz w:val="10"/>
                <w:szCs w:val="10"/>
              </w:rPr>
            </w:pPr>
          </w:p>
          <w:p w14:paraId="00E299DA" w14:textId="60620A57" w:rsidR="006E706D" w:rsidRPr="00F7615F" w:rsidRDefault="006B789B" w:rsidP="00FE5F09">
            <w:pPr>
              <w:tabs>
                <w:tab w:val="center" w:pos="4400"/>
              </w:tabs>
              <w:jc w:val="center"/>
              <w:rPr>
                <w:rFonts w:cs="Arial"/>
                <w:szCs w:val="24"/>
              </w:rPr>
            </w:pPr>
            <w:r>
              <w:rPr>
                <w:noProof/>
              </w:rPr>
              <w:drawing>
                <wp:inline distT="0" distB="0" distL="0" distR="0" wp14:anchorId="17885C8E" wp14:editId="3EC54393">
                  <wp:extent cx="4764620" cy="3096000"/>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5097"/>
                          <a:stretch/>
                        </pic:blipFill>
                        <pic:spPr bwMode="auto">
                          <a:xfrm>
                            <a:off x="0" y="0"/>
                            <a:ext cx="4764620" cy="309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E706D" w:rsidRPr="00BC5820" w14:paraId="7A65505D" w14:textId="77777777" w:rsidTr="00FE5F09">
        <w:tc>
          <w:tcPr>
            <w:tcW w:w="9016" w:type="dxa"/>
            <w:tcBorders>
              <w:top w:val="single" w:sz="4" w:space="0" w:color="auto"/>
              <w:left w:val="nil"/>
              <w:bottom w:val="nil"/>
              <w:right w:val="nil"/>
            </w:tcBorders>
          </w:tcPr>
          <w:p w14:paraId="3255AE73" w14:textId="0988175A" w:rsidR="006E706D" w:rsidRDefault="00B25A27" w:rsidP="00B25A27">
            <w:pPr>
              <w:pStyle w:val="Tablenote"/>
            </w:pPr>
            <w:r>
              <w:t xml:space="preserve">Note: </w:t>
            </w:r>
            <w:r w:rsidR="006E706D">
              <w:t xml:space="preserve">Not all </w:t>
            </w:r>
            <w:r w:rsidR="006E706D" w:rsidDel="00F110AE">
              <w:t>South</w:t>
            </w:r>
            <w:r w:rsidR="00F110AE">
              <w:t>-East</w:t>
            </w:r>
            <w:r w:rsidR="006E706D">
              <w:t xml:space="preserve"> Asian countries (or Taiwan) are included, as data was not available.</w:t>
            </w:r>
          </w:p>
          <w:p w14:paraId="57FF5B7B" w14:textId="4682B71A" w:rsidR="00B25A27" w:rsidRPr="00BC5820" w:rsidRDefault="00B25A27" w:rsidP="00B25A27">
            <w:pPr>
              <w:pStyle w:val="Tablenote"/>
              <w:rPr>
                <w:iCs/>
                <w:color w:val="005EA5"/>
                <w:u w:val="single"/>
              </w:rPr>
            </w:pPr>
            <w:r w:rsidRPr="00BC5820">
              <w:t xml:space="preserve">Source: </w:t>
            </w:r>
            <w:r>
              <w:t>Frontier Economics analysis of UN Comtrade data</w:t>
            </w:r>
            <w:r w:rsidRPr="00AD25FF">
              <w:t>.</w:t>
            </w:r>
          </w:p>
        </w:tc>
      </w:tr>
    </w:tbl>
    <w:p w14:paraId="2F441B74" w14:textId="0BCE4A97" w:rsidR="00337849" w:rsidRDefault="00337849" w:rsidP="00337849">
      <w:pPr>
        <w:pStyle w:val="Caption"/>
        <w:keepNext/>
      </w:pPr>
    </w:p>
    <w:tbl>
      <w:tblPr>
        <w:tblStyle w:val="TableGrid"/>
        <w:tblpPr w:leftFromText="181" w:rightFromText="181" w:topFromText="142" w:bottomFromText="142" w:vertAnchor="text" w:tblpY="1"/>
        <w:tblOverlap w:val="never"/>
        <w:tblW w:w="0" w:type="auto"/>
        <w:tblLook w:val="04A0" w:firstRow="1" w:lastRow="0" w:firstColumn="1" w:lastColumn="0" w:noHBand="0" w:noVBand="1"/>
      </w:tblPr>
      <w:tblGrid>
        <w:gridCol w:w="9016"/>
      </w:tblGrid>
      <w:tr w:rsidR="006E706D" w:rsidRPr="00C57E0F" w14:paraId="1FDF80E9" w14:textId="77777777" w:rsidTr="00E24EB8">
        <w:tc>
          <w:tcPr>
            <w:tcW w:w="9016" w:type="dxa"/>
            <w:tcBorders>
              <w:bottom w:val="single" w:sz="4" w:space="0" w:color="auto"/>
            </w:tcBorders>
            <w:shd w:val="clear" w:color="auto" w:fill="24135F"/>
          </w:tcPr>
          <w:p w14:paraId="08B84298" w14:textId="128D3C37" w:rsidR="006E706D" w:rsidRPr="002D6403" w:rsidRDefault="00337849" w:rsidP="00337849">
            <w:pPr>
              <w:pStyle w:val="Caption"/>
              <w:keepNext/>
              <w:rPr>
                <w:highlight w:val="red"/>
              </w:rPr>
            </w:pPr>
            <w:bookmarkStart w:id="90" w:name="_Ref112842240"/>
            <w:r w:rsidRPr="0027029E">
              <w:rPr>
                <w:i w:val="0"/>
                <w:iCs w:val="0"/>
              </w:rPr>
              <w:t>Figure</w:t>
            </w:r>
            <w:r w:rsidRPr="006B789B">
              <w:t xml:space="preserve"> </w:t>
            </w:r>
            <w:r w:rsidRPr="00C378F2">
              <w:rPr>
                <w:i w:val="0"/>
                <w:iCs w:val="0"/>
              </w:rPr>
              <w:fldChar w:fldCharType="begin"/>
            </w:r>
            <w:r w:rsidRPr="00C378F2">
              <w:rPr>
                <w:i w:val="0"/>
                <w:iCs w:val="0"/>
              </w:rPr>
              <w:instrText>SEQ Figure \* ARABIC</w:instrText>
            </w:r>
            <w:r w:rsidRPr="00C378F2">
              <w:rPr>
                <w:i w:val="0"/>
                <w:iCs w:val="0"/>
              </w:rPr>
              <w:fldChar w:fldCharType="separate"/>
            </w:r>
            <w:r w:rsidR="00625A64">
              <w:rPr>
                <w:i w:val="0"/>
                <w:iCs w:val="0"/>
                <w:noProof/>
              </w:rPr>
              <w:t>15</w:t>
            </w:r>
            <w:r w:rsidRPr="00C378F2">
              <w:rPr>
                <w:i w:val="0"/>
                <w:iCs w:val="0"/>
              </w:rPr>
              <w:fldChar w:fldCharType="end"/>
            </w:r>
            <w:bookmarkEnd w:id="90"/>
            <w:r w:rsidR="000F1708" w:rsidRPr="00C378F2">
              <w:rPr>
                <w:i w:val="0"/>
                <w:iCs w:val="0"/>
              </w:rPr>
              <w:t>:</w:t>
            </w:r>
            <w:r w:rsidRPr="006B789B">
              <w:t xml:space="preserve"> </w:t>
            </w:r>
            <w:r w:rsidR="006E706D" w:rsidRPr="006B789B">
              <w:t xml:space="preserve">Value of annual exports from </w:t>
            </w:r>
            <w:r w:rsidR="00B102C4">
              <w:t>the</w:t>
            </w:r>
            <w:r w:rsidR="006E706D" w:rsidRPr="006B789B">
              <w:t xml:space="preserve"> </w:t>
            </w:r>
            <w:r w:rsidR="002406F0">
              <w:t>PRC</w:t>
            </w:r>
            <w:r w:rsidR="006E706D" w:rsidRPr="006B789B">
              <w:t xml:space="preserve"> to </w:t>
            </w:r>
            <w:r w:rsidR="006E706D" w:rsidRPr="006B789B" w:rsidDel="00F110AE">
              <w:t>South</w:t>
            </w:r>
            <w:r w:rsidR="00F110AE" w:rsidRPr="006B789B">
              <w:t>-East</w:t>
            </w:r>
            <w:r w:rsidR="006E706D" w:rsidRPr="006B789B">
              <w:t xml:space="preserve"> Asia, Hong Kong and India for HS code: 7019 31 for 2015 to 2020</w:t>
            </w:r>
          </w:p>
        </w:tc>
      </w:tr>
      <w:tr w:rsidR="006E706D" w:rsidRPr="00F7615F" w14:paraId="2902A421" w14:textId="77777777" w:rsidTr="00E24EB8">
        <w:trPr>
          <w:trHeight w:val="5525"/>
        </w:trPr>
        <w:tc>
          <w:tcPr>
            <w:tcW w:w="9016" w:type="dxa"/>
            <w:tcBorders>
              <w:bottom w:val="single" w:sz="4" w:space="0" w:color="auto"/>
            </w:tcBorders>
          </w:tcPr>
          <w:p w14:paraId="5C612D41" w14:textId="77777777" w:rsidR="006E706D" w:rsidRPr="00AD25FF" w:rsidRDefault="006E706D" w:rsidP="00E24EB8">
            <w:pPr>
              <w:tabs>
                <w:tab w:val="center" w:pos="4400"/>
              </w:tabs>
              <w:jc w:val="center"/>
              <w:rPr>
                <w:rFonts w:cs="Arial"/>
                <w:noProof/>
                <w:sz w:val="10"/>
                <w:szCs w:val="10"/>
              </w:rPr>
            </w:pPr>
          </w:p>
          <w:p w14:paraId="171202D0" w14:textId="6A17903A" w:rsidR="006E706D" w:rsidRPr="00F7615F" w:rsidRDefault="00A248C3" w:rsidP="00E24EB8">
            <w:pPr>
              <w:tabs>
                <w:tab w:val="center" w:pos="4400"/>
              </w:tabs>
              <w:jc w:val="center"/>
              <w:rPr>
                <w:rFonts w:cs="Arial"/>
                <w:szCs w:val="24"/>
              </w:rPr>
            </w:pPr>
            <w:r>
              <w:rPr>
                <w:noProof/>
              </w:rPr>
              <w:drawing>
                <wp:inline distT="0" distB="0" distL="0" distR="0" wp14:anchorId="483E990E" wp14:editId="1264BEE4">
                  <wp:extent cx="5705486" cy="37152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4900"/>
                          <a:stretch/>
                        </pic:blipFill>
                        <pic:spPr bwMode="auto">
                          <a:xfrm>
                            <a:off x="0" y="0"/>
                            <a:ext cx="5705486" cy="3715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E706D" w:rsidRPr="00BC5820" w14:paraId="15064F8C" w14:textId="77777777" w:rsidTr="00E24EB8">
        <w:tc>
          <w:tcPr>
            <w:tcW w:w="9016" w:type="dxa"/>
            <w:tcBorders>
              <w:top w:val="single" w:sz="4" w:space="0" w:color="auto"/>
              <w:left w:val="nil"/>
              <w:bottom w:val="nil"/>
              <w:right w:val="nil"/>
            </w:tcBorders>
          </w:tcPr>
          <w:p w14:paraId="4C7EC2E8" w14:textId="47FABADF" w:rsidR="006E706D" w:rsidRDefault="00B25A27" w:rsidP="00B25A27">
            <w:pPr>
              <w:pStyle w:val="Tablenote"/>
            </w:pPr>
            <w:r>
              <w:t xml:space="preserve">Note: </w:t>
            </w:r>
            <w:r w:rsidR="006E706D">
              <w:t xml:space="preserve">Not all </w:t>
            </w:r>
            <w:r w:rsidR="006E706D" w:rsidDel="00F110AE">
              <w:t>South</w:t>
            </w:r>
            <w:r w:rsidR="00F110AE">
              <w:t>-East</w:t>
            </w:r>
            <w:r w:rsidR="006E706D">
              <w:t xml:space="preserve"> Asian countries (or Taiwan) are included, as data was not available.</w:t>
            </w:r>
          </w:p>
          <w:p w14:paraId="655F532A" w14:textId="4C0EBE41" w:rsidR="00B25A27" w:rsidRPr="00BC5820" w:rsidRDefault="00B25A27" w:rsidP="002470C0">
            <w:pPr>
              <w:pStyle w:val="Tablesource"/>
              <w:rPr>
                <w:iCs/>
                <w:color w:val="005EA5"/>
                <w:u w:val="single"/>
              </w:rPr>
            </w:pPr>
            <w:r w:rsidRPr="00BC5820">
              <w:t xml:space="preserve">Source: </w:t>
            </w:r>
            <w:r>
              <w:t>Frontier Economics analysis of UN Comtrade data</w:t>
            </w:r>
            <w:r w:rsidRPr="00AD25FF">
              <w:t>.</w:t>
            </w:r>
          </w:p>
        </w:tc>
      </w:tr>
    </w:tbl>
    <w:p w14:paraId="1242C87A" w14:textId="51D9103A" w:rsidR="006E706D" w:rsidRDefault="006E706D" w:rsidP="00016CC0">
      <w:r>
        <w:t xml:space="preserve">Taken together, the patterns of trade in this case suggest that </w:t>
      </w:r>
      <w:r w:rsidR="002406F0">
        <w:t>PRC</w:t>
      </w:r>
      <w:r>
        <w:t xml:space="preserve"> is an aggressive exporter of these products. In particular, export trends to India in the face of EU anti-dumping duties suggest that market opportunities existed in India that could be exploited notwithstanding the duties, and possibly compensated for lost opportunities in the EU. </w:t>
      </w:r>
    </w:p>
    <w:p w14:paraId="6B9D3114" w14:textId="688C7BA0" w:rsidR="006E706D" w:rsidRDefault="006E706D" w:rsidP="00016CC0">
      <w:r>
        <w:t xml:space="preserve">By using a broad set of comparators, in terms of countries that trade with </w:t>
      </w:r>
      <w:r w:rsidR="002406F0">
        <w:t>PRC</w:t>
      </w:r>
      <w:r>
        <w:t xml:space="preserve"> and both the EU-28 and the UK, we are able to augment the power of the basic before-after framework used in anti-circumvention actions. The preliminary conclusions suggest that there is a mix of both commercial drivers and attempts at circumvention </w:t>
      </w:r>
      <w:r w:rsidR="00920A0C">
        <w:t xml:space="preserve">which </w:t>
      </w:r>
      <w:r>
        <w:t xml:space="preserve">drive trade patterns relating to </w:t>
      </w:r>
      <w:r w:rsidR="002406F0">
        <w:t>PRC</w:t>
      </w:r>
      <w:r>
        <w:t xml:space="preserve">, </w:t>
      </w:r>
      <w:r w:rsidR="00920A0C">
        <w:t>al</w:t>
      </w:r>
      <w:r>
        <w:t xml:space="preserve">though the evidence of circumvention is stronger in relation to non-EU markets.  </w:t>
      </w:r>
    </w:p>
    <w:p w14:paraId="69FC4DCA" w14:textId="3C962F9C" w:rsidR="006E706D" w:rsidRPr="000630E5" w:rsidRDefault="00FA1C57" w:rsidP="0B87AE61">
      <w:pPr>
        <w:pStyle w:val="Heading3"/>
        <w:rPr>
          <w:rFonts w:cs="Arial"/>
          <w:b w:val="0"/>
        </w:rPr>
      </w:pPr>
      <w:bookmarkStart w:id="91" w:name="_Toc101182680"/>
      <w:bookmarkStart w:id="92" w:name="_Toc2030415944"/>
      <w:bookmarkStart w:id="93" w:name="_Toc118465291"/>
      <w:r w:rsidRPr="0B87AE61">
        <w:rPr>
          <w:rFonts w:cs="Arial"/>
        </w:rPr>
        <w:t>5.2.</w:t>
      </w:r>
      <w:r w:rsidR="007A26CD" w:rsidRPr="0B87AE61">
        <w:rPr>
          <w:rFonts w:cs="Arial"/>
        </w:rPr>
        <w:t>2</w:t>
      </w:r>
      <w:r>
        <w:tab/>
      </w:r>
      <w:r w:rsidR="006E706D" w:rsidRPr="0B87AE61">
        <w:rPr>
          <w:rFonts w:cs="Arial"/>
        </w:rPr>
        <w:t>Data and information on industrial organisation</w:t>
      </w:r>
      <w:bookmarkEnd w:id="91"/>
      <w:bookmarkEnd w:id="92"/>
      <w:bookmarkEnd w:id="93"/>
    </w:p>
    <w:p w14:paraId="539802D9" w14:textId="0DA20D27" w:rsidR="006E706D" w:rsidRDefault="006E706D" w:rsidP="00016CC0">
      <w:r>
        <w:t>The global market for glass fibre has grown rapidly over the last decade. It was valued at around US$11.5 billion in 2020 and is expected to reach just over US$14</w:t>
      </w:r>
      <w:r w:rsidR="00920A0C">
        <w:t> </w:t>
      </w:r>
      <w:r>
        <w:t>billion by 2025.</w:t>
      </w:r>
      <w:r w:rsidR="00995BE5">
        <w:rPr>
          <w:rStyle w:val="FootnoteReference"/>
        </w:rPr>
        <w:footnoteReference w:id="47"/>
      </w:r>
      <w:r>
        <w:t xml:space="preserve"> Growth is the result of derived demand associated with the growth of a range of end-use industries, including construction, automotives and renewable energy. </w:t>
      </w:r>
      <w:r w:rsidR="002406F0">
        <w:t>PRC</w:t>
      </w:r>
      <w:r>
        <w:t xml:space="preserve"> became the leading producer and exporter of glass fibres over the last decade and</w:t>
      </w:r>
      <w:r w:rsidR="00055847">
        <w:t>,</w:t>
      </w:r>
      <w:r>
        <w:t xml:space="preserve"> depending on estimates</w:t>
      </w:r>
      <w:r w:rsidR="00055847">
        <w:t>,</w:t>
      </w:r>
      <w:r>
        <w:t xml:space="preserve"> accounts for between 50</w:t>
      </w:r>
      <w:r w:rsidR="00920A0C">
        <w:t>%</w:t>
      </w:r>
      <w:r>
        <w:t xml:space="preserve"> and 60% of global production.</w:t>
      </w:r>
      <w:r w:rsidR="00995BE5">
        <w:rPr>
          <w:rStyle w:val="FootnoteReference"/>
        </w:rPr>
        <w:footnoteReference w:id="48"/>
      </w:r>
      <w:r>
        <w:t xml:space="preserve"> Growth in </w:t>
      </w:r>
      <w:r w:rsidR="002406F0">
        <w:t>PRC</w:t>
      </w:r>
      <w:r>
        <w:t xml:space="preserve">’s production has been fuelled by demand in key areas, notably in construction, both in </w:t>
      </w:r>
      <w:r w:rsidR="002406F0">
        <w:t>PRC</w:t>
      </w:r>
      <w:r>
        <w:t xml:space="preserve"> and the rest of Asia. Rates of construction growth correlate with higher growth rates in that region, particularly compared to Europe in the wake of the global financial crisis.</w:t>
      </w:r>
    </w:p>
    <w:p w14:paraId="4E2046CF" w14:textId="082F69E6" w:rsidR="00995BE5" w:rsidRDefault="006E706D" w:rsidP="00016CC0">
      <w:r>
        <w:t xml:space="preserve">In terms of industrial organisation, Chinese businesses have established affiliates across Asia </w:t>
      </w:r>
      <w:r w:rsidR="00920A0C">
        <w:t>as well as</w:t>
      </w:r>
      <w:r>
        <w:t xml:space="preserve"> in Europe, the </w:t>
      </w:r>
      <w:r w:rsidR="0058401A">
        <w:t>United States</w:t>
      </w:r>
      <w:r>
        <w:t xml:space="preserve">, North Africa and South Africa. Some of these have been cited in circumvention investigations. For example, the Indian authorities focused on Thai affiliates of Chinese producers. </w:t>
      </w:r>
      <w:r w:rsidR="00995BE5">
        <w:t>The establishment of affiliates may be driven by a number of factors. From a Chinese perspective</w:t>
      </w:r>
      <w:r w:rsidR="001F134A">
        <w:t>,</w:t>
      </w:r>
      <w:r w:rsidR="00995BE5">
        <w:t xml:space="preserve"> the Belt and Road </w:t>
      </w:r>
      <w:r w:rsidR="00920A0C">
        <w:t>I</w:t>
      </w:r>
      <w:r w:rsidR="00995BE5">
        <w:t xml:space="preserve">nitiative may have been a contributing factor insofar as it helps to reduce the costs associated with transnational linkages. </w:t>
      </w:r>
    </w:p>
    <w:p w14:paraId="0F863A60" w14:textId="3BA9E781" w:rsidR="006E706D" w:rsidRDefault="00995BE5" w:rsidP="00016CC0">
      <w:r>
        <w:t xml:space="preserve">Setting this aside, the </w:t>
      </w:r>
      <w:r w:rsidR="006E706D">
        <w:t xml:space="preserve">avoidance of import tariffs, including anti-dumping duties, is </w:t>
      </w:r>
      <w:r w:rsidR="000D6DE1">
        <w:t>sometimes cited</w:t>
      </w:r>
      <w:r w:rsidR="006E706D">
        <w:t xml:space="preserve"> as one of </w:t>
      </w:r>
      <w:r w:rsidR="00920A0C">
        <w:t xml:space="preserve">the </w:t>
      </w:r>
      <w:r>
        <w:t>factor</w:t>
      </w:r>
      <w:r w:rsidR="00920A0C">
        <w:t>s</w:t>
      </w:r>
      <w:r w:rsidR="000D6DE1">
        <w:t xml:space="preserve"> that motivate </w:t>
      </w:r>
      <w:r w:rsidR="003D5ED9">
        <w:t>decisions about the location of investment</w:t>
      </w:r>
      <w:r w:rsidR="006E706D">
        <w:t>.</w:t>
      </w:r>
      <w:r w:rsidR="006E706D">
        <w:rPr>
          <w:rStyle w:val="FootnoteReference"/>
        </w:rPr>
        <w:footnoteReference w:id="49"/>
      </w:r>
      <w:r w:rsidR="006E706D">
        <w:t xml:space="preserve"> This is not tantamount to saying that Chinese producers are engaged in circumvention</w:t>
      </w:r>
      <w:r w:rsidR="00920A0C">
        <w:t>.</w:t>
      </w:r>
      <w:r w:rsidR="006E706D">
        <w:t xml:space="preserve"> </w:t>
      </w:r>
      <w:r w:rsidR="00920A0C">
        <w:t>In</w:t>
      </w:r>
      <w:r w:rsidR="006E706D">
        <w:t xml:space="preserve"> the presence of duties, markets seeking FDI is an efficient response (indeed</w:t>
      </w:r>
      <w:r w:rsidR="001F134A">
        <w:t>,</w:t>
      </w:r>
      <w:r w:rsidR="006E706D">
        <w:t xml:space="preserve"> one of the long</w:t>
      </w:r>
      <w:r w:rsidR="00920A0C">
        <w:t>-</w:t>
      </w:r>
      <w:r w:rsidR="006E706D">
        <w:t xml:space="preserve">standing rationales for tariff protection has been to stimulate FDI as an alternative to imports). However, an expansive web of affiliates can provide opportunities for circumvention of duties, as appears to have been the case in Thailand in respect of exports of glass fibre from </w:t>
      </w:r>
      <w:r w:rsidR="002406F0">
        <w:t>PRC</w:t>
      </w:r>
      <w:r w:rsidR="006E706D">
        <w:t xml:space="preserve"> to India.</w:t>
      </w:r>
      <w:r w:rsidR="006E706D" w:rsidRPr="00852519">
        <w:rPr>
          <w:rFonts w:asciiTheme="minorHAnsi" w:hAnsiTheme="minorHAnsi"/>
          <w:sz w:val="22"/>
        </w:rPr>
        <w:t xml:space="preserve"> </w:t>
      </w:r>
      <w:r w:rsidR="006E706D" w:rsidRPr="00852519">
        <w:t>These aspects of industrial organisation illustrate the challenges of detecting circumvention.</w:t>
      </w:r>
    </w:p>
    <w:p w14:paraId="0B2556F2" w14:textId="5AFA5E74" w:rsidR="006E706D" w:rsidRDefault="006E706D" w:rsidP="00016CC0">
      <w:r>
        <w:t>Detailed data on glass fibre production, end</w:t>
      </w:r>
      <w:r w:rsidR="000D6DE1">
        <w:t>-</w:t>
      </w:r>
      <w:r>
        <w:t xml:space="preserve">use patterns and investment </w:t>
      </w:r>
      <w:r w:rsidR="001D63BF">
        <w:t xml:space="preserve">is </w:t>
      </w:r>
      <w:r>
        <w:t xml:space="preserve">not available from official sources for </w:t>
      </w:r>
      <w:r w:rsidR="002406F0">
        <w:t>PRC</w:t>
      </w:r>
      <w:r>
        <w:t xml:space="preserve"> or jurisdictions in Asia. Various industry sources can be accessed on a subscription basis.</w:t>
      </w:r>
      <w:r>
        <w:rPr>
          <w:rStyle w:val="FootnoteReference"/>
        </w:rPr>
        <w:footnoteReference w:id="50"/>
      </w:r>
      <w:r>
        <w:t xml:space="preserve"> These could supplement data obtained through written requests for information.</w:t>
      </w:r>
    </w:p>
    <w:p w14:paraId="3AB476A1" w14:textId="072FB53A" w:rsidR="006E706D" w:rsidRPr="00FB48AE" w:rsidRDefault="00FA1C57" w:rsidP="0B87AE61">
      <w:pPr>
        <w:pStyle w:val="Heading3"/>
        <w:rPr>
          <w:rFonts w:cs="Arial"/>
          <w:b w:val="0"/>
        </w:rPr>
      </w:pPr>
      <w:bookmarkStart w:id="94" w:name="_Toc101182681"/>
      <w:bookmarkStart w:id="95" w:name="_Toc53137891"/>
      <w:bookmarkStart w:id="96" w:name="_Toc118465292"/>
      <w:r w:rsidRPr="0B87AE61">
        <w:rPr>
          <w:rFonts w:cs="Arial"/>
        </w:rPr>
        <w:t>5.2.</w:t>
      </w:r>
      <w:r w:rsidR="007A26CD" w:rsidRPr="0B87AE61">
        <w:rPr>
          <w:rFonts w:cs="Arial"/>
        </w:rPr>
        <w:t>3</w:t>
      </w:r>
      <w:r>
        <w:tab/>
      </w:r>
      <w:r w:rsidR="006E706D" w:rsidRPr="0B87AE61">
        <w:rPr>
          <w:rFonts w:cs="Arial"/>
        </w:rPr>
        <w:t>Conclusions</w:t>
      </w:r>
      <w:bookmarkEnd w:id="94"/>
      <w:bookmarkEnd w:id="95"/>
      <w:bookmarkEnd w:id="96"/>
    </w:p>
    <w:p w14:paraId="5352EA97" w14:textId="402180E0" w:rsidR="006E706D" w:rsidRDefault="006E706D" w:rsidP="00016CC0">
      <w:r>
        <w:t>This</w:t>
      </w:r>
      <w:r w:rsidRPr="00852519">
        <w:t xml:space="preserve"> analysis shows how a richer set of comparator countries can enhance the analysis of trade patterns. Given the history of circumvention in glass fibre products, trade and production patterns warrant monitoring. </w:t>
      </w:r>
      <w:r>
        <w:t>As outlined in Example 1 above</w:t>
      </w:r>
      <w:r w:rsidR="001F134A">
        <w:t>,</w:t>
      </w:r>
      <w:r>
        <w:t xml:space="preserve"> </w:t>
      </w:r>
      <w:r w:rsidR="009D20F5">
        <w:t>however</w:t>
      </w:r>
      <w:r>
        <w:t xml:space="preserve">, while collecting additional trade data (and information on industrial organisation) can provide helpful insights and flag potential cases of circumvention, site visits are sometimes necessary to confirm whether </w:t>
      </w:r>
      <w:r w:rsidR="000D6DE1">
        <w:t>circumvention really is occurring.</w:t>
      </w:r>
    </w:p>
    <w:p w14:paraId="744A671A" w14:textId="358E8B51" w:rsidR="006E706D" w:rsidRDefault="00FA1C57" w:rsidP="0B87AE61">
      <w:pPr>
        <w:pStyle w:val="Heading2"/>
        <w:rPr>
          <w:rFonts w:cs="Arial"/>
          <w:b w:val="0"/>
        </w:rPr>
      </w:pPr>
      <w:bookmarkStart w:id="97" w:name="_Toc101182682"/>
      <w:bookmarkStart w:id="98" w:name="_Toc313095652"/>
      <w:bookmarkStart w:id="99" w:name="_Toc118465293"/>
      <w:r w:rsidRPr="0B87AE61">
        <w:rPr>
          <w:rFonts w:cs="Arial"/>
        </w:rPr>
        <w:t>5.3</w:t>
      </w:r>
      <w:r>
        <w:tab/>
      </w:r>
      <w:r w:rsidR="006E706D" w:rsidRPr="0B87AE61">
        <w:rPr>
          <w:rFonts w:cs="Arial"/>
        </w:rPr>
        <w:t xml:space="preserve">Example 3: </w:t>
      </w:r>
      <w:r w:rsidR="00143105" w:rsidRPr="0B87AE61">
        <w:rPr>
          <w:rFonts w:cs="Arial"/>
        </w:rPr>
        <w:t>P</w:t>
      </w:r>
      <w:r w:rsidR="006E706D" w:rsidRPr="0B87AE61">
        <w:rPr>
          <w:rFonts w:cs="Arial"/>
        </w:rPr>
        <w:t>otential extension of trade remedy duties to biodiesel from the United States and Canada</w:t>
      </w:r>
      <w:bookmarkEnd w:id="97"/>
      <w:bookmarkEnd w:id="98"/>
      <w:bookmarkEnd w:id="99"/>
    </w:p>
    <w:p w14:paraId="656235E5" w14:textId="341142EB" w:rsidR="006E706D" w:rsidRPr="009D45A5" w:rsidRDefault="00FA1C57" w:rsidP="0B87AE61">
      <w:pPr>
        <w:pStyle w:val="Heading3"/>
        <w:rPr>
          <w:rFonts w:cs="Arial"/>
          <w:b w:val="0"/>
        </w:rPr>
      </w:pPr>
      <w:bookmarkStart w:id="100" w:name="_Toc101182683"/>
      <w:bookmarkStart w:id="101" w:name="_Toc416782554"/>
      <w:bookmarkStart w:id="102" w:name="_Toc118465294"/>
      <w:r w:rsidRPr="0B87AE61">
        <w:rPr>
          <w:rFonts w:cs="Arial"/>
        </w:rPr>
        <w:t>5.3.1</w:t>
      </w:r>
      <w:r>
        <w:tab/>
      </w:r>
      <w:r w:rsidR="006E706D" w:rsidRPr="0B87AE61">
        <w:rPr>
          <w:rFonts w:cs="Arial"/>
        </w:rPr>
        <w:t>Changes in the pattern of trade</w:t>
      </w:r>
      <w:bookmarkEnd w:id="100"/>
      <w:bookmarkEnd w:id="101"/>
      <w:bookmarkEnd w:id="102"/>
    </w:p>
    <w:p w14:paraId="273E81FC" w14:textId="0996454D" w:rsidR="006E706D" w:rsidRDefault="0071720F" w:rsidP="00016CC0">
      <w:r>
        <w:t xml:space="preserve">The </w:t>
      </w:r>
      <w:r w:rsidR="00804B7B">
        <w:t>EU</w:t>
      </w:r>
      <w:r>
        <w:t xml:space="preserve"> imposed</w:t>
      </w:r>
      <w:r w:rsidR="006E706D">
        <w:t xml:space="preserve"> anti-dumping duties and countervailing measures on biodiesel imported from the </w:t>
      </w:r>
      <w:r w:rsidR="0058401A">
        <w:t>United States</w:t>
      </w:r>
      <w:r w:rsidR="006E706D">
        <w:t xml:space="preserve"> in July 2009</w:t>
      </w:r>
      <w:r w:rsidR="006E706D">
        <w:rPr>
          <w:rStyle w:val="FootnoteReference"/>
          <w:rFonts w:eastAsiaTheme="majorEastAsia"/>
        </w:rPr>
        <w:footnoteReference w:id="51"/>
      </w:r>
      <w:r w:rsidR="006E706D">
        <w:t xml:space="preserve"> (provisional measures were imposed in March 2009</w:t>
      </w:r>
      <w:r w:rsidR="006E706D">
        <w:rPr>
          <w:rStyle w:val="FootnoteReference"/>
          <w:rFonts w:eastAsiaTheme="majorEastAsia"/>
        </w:rPr>
        <w:footnoteReference w:id="52"/>
      </w:r>
      <w:r w:rsidR="006E706D">
        <w:t xml:space="preserve">). In August 2010, the EU initiated an investigation into the possible circumvention of these measures through transhipment via Canada and Singapore, and separately via product modification in the </w:t>
      </w:r>
      <w:r w:rsidR="0058401A">
        <w:t>United States</w:t>
      </w:r>
      <w:r w:rsidR="006E706D">
        <w:t>.</w:t>
      </w:r>
      <w:r w:rsidR="006E706D">
        <w:rPr>
          <w:rStyle w:val="FootnoteReference"/>
          <w:rFonts w:eastAsiaTheme="majorEastAsia"/>
        </w:rPr>
        <w:footnoteReference w:id="53"/>
      </w:r>
      <w:r w:rsidR="006E706D">
        <w:t xml:space="preserve"> In May 2011, the EU imposed anti-circumvention duties on biodiesel imports from Canada.</w:t>
      </w:r>
      <w:r w:rsidR="006E706D">
        <w:rPr>
          <w:rStyle w:val="FootnoteReference"/>
          <w:rFonts w:eastAsiaTheme="majorEastAsia"/>
        </w:rPr>
        <w:footnoteReference w:id="54"/>
      </w:r>
      <w:r w:rsidR="006E706D">
        <w:t xml:space="preserve"> </w:t>
      </w:r>
    </w:p>
    <w:p w14:paraId="341739E5" w14:textId="56F8F372" w:rsidR="004C2CB8" w:rsidRDefault="0071720F" w:rsidP="00016CC0">
      <w:r>
        <w:t>The TRA is undertaking a transition review of the anti-dumping duties and circumvention duties applying to biodiesel consigned through Canada. T</w:t>
      </w:r>
      <w:r w:rsidR="006E706D">
        <w:t>he</w:t>
      </w:r>
      <w:r w:rsidR="006E706D" w:rsidDel="0034208E">
        <w:t xml:space="preserve"> </w:t>
      </w:r>
      <w:r w:rsidR="006E706D">
        <w:t>24 TARIC codes</w:t>
      </w:r>
      <w:r w:rsidR="009D20F5">
        <w:t xml:space="preserve"> that</w:t>
      </w:r>
      <w:r w:rsidR="006E706D">
        <w:t xml:space="preserve"> the TRA considered in its </w:t>
      </w:r>
      <w:r w:rsidR="000D6DE1">
        <w:t xml:space="preserve">investigation </w:t>
      </w:r>
      <w:r w:rsidR="006E706D">
        <w:t xml:space="preserve">are outlined in the first column of </w:t>
      </w:r>
      <w:r w:rsidR="00E0019C">
        <w:fldChar w:fldCharType="begin"/>
      </w:r>
      <w:r w:rsidR="00E0019C">
        <w:instrText xml:space="preserve"> REF _Ref103868984 \h </w:instrText>
      </w:r>
      <w:r w:rsidR="00E0019C">
        <w:fldChar w:fldCharType="separate"/>
      </w:r>
      <w:r w:rsidR="00BF139B">
        <w:t xml:space="preserve">Table </w:t>
      </w:r>
      <w:r w:rsidR="00BF139B">
        <w:rPr>
          <w:noProof/>
        </w:rPr>
        <w:t>4</w:t>
      </w:r>
      <w:r w:rsidR="00E0019C">
        <w:fldChar w:fldCharType="end"/>
      </w:r>
      <w:r w:rsidR="00E0019C">
        <w:t xml:space="preserve">. </w:t>
      </w:r>
      <w:r w:rsidR="009D20F5">
        <w:t xml:space="preserve">It is </w:t>
      </w:r>
      <w:r w:rsidR="006E706D">
        <w:t>worth noting that s</w:t>
      </w:r>
      <w:r w:rsidR="006E706D" w:rsidRPr="00830A07">
        <w:t>ome of the product codes have featured in other high</w:t>
      </w:r>
      <w:r w:rsidR="009D20F5">
        <w:t>-</w:t>
      </w:r>
      <w:r w:rsidR="006E706D" w:rsidRPr="00830A07">
        <w:t>profile trade remedy cases, notably biodiesel imports from Argentina and Indonesia</w:t>
      </w:r>
      <w:r w:rsidR="006E706D">
        <w:t>.</w:t>
      </w:r>
      <w:r w:rsidR="006E706D">
        <w:rPr>
          <w:rStyle w:val="FootnoteReference"/>
          <w:rFonts w:eastAsiaTheme="majorEastAsia"/>
        </w:rPr>
        <w:footnoteReference w:id="55"/>
      </w:r>
    </w:p>
    <w:p w14:paraId="27A03847" w14:textId="77777777" w:rsidR="004C2CB8" w:rsidRDefault="004C2CB8">
      <w:pPr>
        <w:spacing w:after="160" w:line="259" w:lineRule="auto"/>
      </w:pPr>
      <w:r>
        <w:br w:type="page"/>
      </w:r>
    </w:p>
    <w:p w14:paraId="0F0E5722" w14:textId="1CFB81F6" w:rsidR="006E706D" w:rsidRDefault="006E706D" w:rsidP="006E706D">
      <w:pPr>
        <w:pStyle w:val="Caption"/>
        <w:keepNext/>
      </w:pPr>
      <w:bookmarkStart w:id="103" w:name="_Ref103868984"/>
      <w:r>
        <w:t xml:space="preserve">Table </w:t>
      </w:r>
      <w:r>
        <w:fldChar w:fldCharType="begin"/>
      </w:r>
      <w:r>
        <w:instrText>SEQ Table \* ARABIC</w:instrText>
      </w:r>
      <w:r>
        <w:fldChar w:fldCharType="separate"/>
      </w:r>
      <w:r w:rsidR="004412CB">
        <w:rPr>
          <w:noProof/>
        </w:rPr>
        <w:t>4</w:t>
      </w:r>
      <w:r>
        <w:fldChar w:fldCharType="end"/>
      </w:r>
      <w:bookmarkEnd w:id="103"/>
      <w:r>
        <w:t>:</w:t>
      </w:r>
      <w:r w:rsidR="008C4920">
        <w:t xml:space="preserve"> </w:t>
      </w:r>
      <w:r>
        <w:t>TARIC codes from the UK transition review of the original anti-dumping case (Council Regulation (EC) No.599/2009), and those available in Eurostat and UN Comtrade</w:t>
      </w:r>
    </w:p>
    <w:tbl>
      <w:tblPr>
        <w:tblStyle w:val="TableGrid"/>
        <w:tblW w:w="0" w:type="auto"/>
        <w:tblLook w:val="04A0" w:firstRow="1" w:lastRow="0" w:firstColumn="1" w:lastColumn="0" w:noHBand="0" w:noVBand="1"/>
      </w:tblPr>
      <w:tblGrid>
        <w:gridCol w:w="3021"/>
        <w:gridCol w:w="3142"/>
        <w:gridCol w:w="2853"/>
      </w:tblGrid>
      <w:tr w:rsidR="006E706D" w:rsidRPr="00120041" w14:paraId="74C90B15" w14:textId="77777777" w:rsidTr="00E24EB8">
        <w:trPr>
          <w:cantSplit/>
        </w:trPr>
        <w:tc>
          <w:tcPr>
            <w:tcW w:w="3021" w:type="dxa"/>
          </w:tcPr>
          <w:p w14:paraId="34315FEF" w14:textId="77777777" w:rsidR="006E706D" w:rsidRPr="002B66D1" w:rsidRDefault="006E706D" w:rsidP="0043666F">
            <w:pPr>
              <w:pStyle w:val="NoSpacing"/>
              <w:spacing w:line="276" w:lineRule="auto"/>
              <w:rPr>
                <w:b/>
                <w:bCs/>
                <w:sz w:val="22"/>
                <w:szCs w:val="22"/>
              </w:rPr>
            </w:pPr>
            <w:r w:rsidRPr="002B66D1">
              <w:rPr>
                <w:b/>
                <w:bCs/>
                <w:sz w:val="22"/>
                <w:szCs w:val="22"/>
              </w:rPr>
              <w:t>Anti-dumping case TARIC codes</w:t>
            </w:r>
          </w:p>
        </w:tc>
        <w:tc>
          <w:tcPr>
            <w:tcW w:w="3142" w:type="dxa"/>
          </w:tcPr>
          <w:p w14:paraId="653A3095" w14:textId="77777777" w:rsidR="006E706D" w:rsidRPr="002B66D1" w:rsidRDefault="006E706D" w:rsidP="0043666F">
            <w:pPr>
              <w:pStyle w:val="NoSpacing"/>
              <w:spacing w:line="276" w:lineRule="auto"/>
              <w:rPr>
                <w:b/>
                <w:bCs/>
                <w:sz w:val="22"/>
                <w:szCs w:val="22"/>
              </w:rPr>
            </w:pPr>
            <w:r w:rsidRPr="002B66D1">
              <w:rPr>
                <w:b/>
                <w:bCs/>
                <w:sz w:val="22"/>
                <w:szCs w:val="22"/>
              </w:rPr>
              <w:t>Eurostat CN codes</w:t>
            </w:r>
          </w:p>
        </w:tc>
        <w:tc>
          <w:tcPr>
            <w:tcW w:w="2853" w:type="dxa"/>
          </w:tcPr>
          <w:p w14:paraId="0466BF64" w14:textId="77777777" w:rsidR="006E706D" w:rsidRPr="002B66D1" w:rsidRDefault="006E706D" w:rsidP="0043666F">
            <w:pPr>
              <w:pStyle w:val="NoSpacing"/>
              <w:spacing w:line="276" w:lineRule="auto"/>
              <w:rPr>
                <w:b/>
                <w:bCs/>
                <w:sz w:val="22"/>
                <w:szCs w:val="22"/>
              </w:rPr>
            </w:pPr>
            <w:r w:rsidRPr="002B66D1">
              <w:rPr>
                <w:b/>
                <w:bCs/>
                <w:sz w:val="22"/>
                <w:szCs w:val="22"/>
              </w:rPr>
              <w:t>UN Comtrade HS codes</w:t>
            </w:r>
          </w:p>
        </w:tc>
      </w:tr>
      <w:tr w:rsidR="006E706D" w14:paraId="335D4DC3" w14:textId="77777777" w:rsidTr="00E24EB8">
        <w:trPr>
          <w:cantSplit/>
        </w:trPr>
        <w:tc>
          <w:tcPr>
            <w:tcW w:w="3021" w:type="dxa"/>
          </w:tcPr>
          <w:p w14:paraId="5FBB27D4" w14:textId="77777777" w:rsidR="006E706D" w:rsidRPr="002B66D1" w:rsidRDefault="006E706D" w:rsidP="0043666F">
            <w:pPr>
              <w:pStyle w:val="NoSpacing"/>
              <w:spacing w:line="276" w:lineRule="auto"/>
              <w:jc w:val="right"/>
              <w:rPr>
                <w:sz w:val="22"/>
                <w:szCs w:val="22"/>
              </w:rPr>
            </w:pPr>
            <w:r w:rsidRPr="002B66D1">
              <w:rPr>
                <w:sz w:val="22"/>
                <w:szCs w:val="22"/>
              </w:rPr>
              <w:t>1516 20 98 21</w:t>
            </w:r>
          </w:p>
        </w:tc>
        <w:tc>
          <w:tcPr>
            <w:tcW w:w="3142" w:type="dxa"/>
            <w:vMerge w:val="restart"/>
            <w:vAlign w:val="center"/>
          </w:tcPr>
          <w:p w14:paraId="29F3CBF4" w14:textId="77777777" w:rsidR="006E706D" w:rsidRPr="002B66D1" w:rsidRDefault="006E706D" w:rsidP="0043666F">
            <w:pPr>
              <w:pStyle w:val="NoSpacing"/>
              <w:spacing w:line="276" w:lineRule="auto"/>
              <w:jc w:val="right"/>
              <w:rPr>
                <w:sz w:val="22"/>
                <w:szCs w:val="22"/>
              </w:rPr>
            </w:pPr>
            <w:r w:rsidRPr="002B66D1">
              <w:rPr>
                <w:sz w:val="22"/>
                <w:szCs w:val="22"/>
              </w:rPr>
              <w:t>1516 20 98</w:t>
            </w:r>
          </w:p>
        </w:tc>
        <w:tc>
          <w:tcPr>
            <w:tcW w:w="2853" w:type="dxa"/>
            <w:vMerge w:val="restart"/>
            <w:vAlign w:val="center"/>
          </w:tcPr>
          <w:p w14:paraId="08E4249D" w14:textId="77777777" w:rsidR="006E706D" w:rsidRPr="002B66D1" w:rsidRDefault="006E706D" w:rsidP="0043666F">
            <w:pPr>
              <w:pStyle w:val="NoSpacing"/>
              <w:spacing w:line="276" w:lineRule="auto"/>
              <w:jc w:val="right"/>
              <w:rPr>
                <w:sz w:val="22"/>
                <w:szCs w:val="22"/>
              </w:rPr>
            </w:pPr>
            <w:r w:rsidRPr="002B66D1">
              <w:rPr>
                <w:sz w:val="22"/>
                <w:szCs w:val="22"/>
              </w:rPr>
              <w:t>1516 20</w:t>
            </w:r>
          </w:p>
        </w:tc>
      </w:tr>
      <w:tr w:rsidR="006E706D" w14:paraId="31AFB2F5" w14:textId="77777777" w:rsidTr="00E24EB8">
        <w:trPr>
          <w:cantSplit/>
        </w:trPr>
        <w:tc>
          <w:tcPr>
            <w:tcW w:w="3021" w:type="dxa"/>
          </w:tcPr>
          <w:p w14:paraId="1D7D0A8F" w14:textId="77777777" w:rsidR="006E706D" w:rsidRPr="002B66D1" w:rsidRDefault="006E706D" w:rsidP="0043666F">
            <w:pPr>
              <w:pStyle w:val="NoSpacing"/>
              <w:spacing w:line="276" w:lineRule="auto"/>
              <w:jc w:val="right"/>
              <w:rPr>
                <w:sz w:val="22"/>
                <w:szCs w:val="22"/>
              </w:rPr>
            </w:pPr>
            <w:r w:rsidRPr="002B66D1">
              <w:rPr>
                <w:sz w:val="22"/>
                <w:szCs w:val="22"/>
              </w:rPr>
              <w:t>1516 20 98 29</w:t>
            </w:r>
          </w:p>
        </w:tc>
        <w:tc>
          <w:tcPr>
            <w:tcW w:w="3142" w:type="dxa"/>
            <w:vMerge/>
            <w:vAlign w:val="center"/>
          </w:tcPr>
          <w:p w14:paraId="610AC5D2" w14:textId="77777777" w:rsidR="006E706D" w:rsidRPr="002B66D1" w:rsidRDefault="006E706D" w:rsidP="0043666F">
            <w:pPr>
              <w:pStyle w:val="NoSpacing"/>
              <w:spacing w:line="276" w:lineRule="auto"/>
              <w:jc w:val="right"/>
              <w:rPr>
                <w:sz w:val="22"/>
                <w:szCs w:val="22"/>
              </w:rPr>
            </w:pPr>
          </w:p>
        </w:tc>
        <w:tc>
          <w:tcPr>
            <w:tcW w:w="2853" w:type="dxa"/>
            <w:vMerge/>
            <w:vAlign w:val="center"/>
          </w:tcPr>
          <w:p w14:paraId="7553FA21" w14:textId="77777777" w:rsidR="006E706D" w:rsidRPr="002B66D1" w:rsidRDefault="006E706D" w:rsidP="0043666F">
            <w:pPr>
              <w:pStyle w:val="NoSpacing"/>
              <w:spacing w:line="276" w:lineRule="auto"/>
              <w:jc w:val="right"/>
              <w:rPr>
                <w:sz w:val="22"/>
                <w:szCs w:val="22"/>
              </w:rPr>
            </w:pPr>
          </w:p>
        </w:tc>
      </w:tr>
      <w:tr w:rsidR="006E706D" w14:paraId="2E2E0309" w14:textId="77777777" w:rsidTr="00E24EB8">
        <w:trPr>
          <w:cantSplit/>
        </w:trPr>
        <w:tc>
          <w:tcPr>
            <w:tcW w:w="3021" w:type="dxa"/>
          </w:tcPr>
          <w:p w14:paraId="3C713B4B" w14:textId="77777777" w:rsidR="006E706D" w:rsidRPr="002B66D1" w:rsidRDefault="006E706D" w:rsidP="0043666F">
            <w:pPr>
              <w:pStyle w:val="NoSpacing"/>
              <w:spacing w:line="276" w:lineRule="auto"/>
              <w:jc w:val="right"/>
              <w:rPr>
                <w:sz w:val="22"/>
                <w:szCs w:val="22"/>
              </w:rPr>
            </w:pPr>
            <w:r w:rsidRPr="002B66D1">
              <w:rPr>
                <w:sz w:val="22"/>
                <w:szCs w:val="22"/>
              </w:rPr>
              <w:t>1516 20 98 30</w:t>
            </w:r>
          </w:p>
        </w:tc>
        <w:tc>
          <w:tcPr>
            <w:tcW w:w="3142" w:type="dxa"/>
            <w:vMerge/>
            <w:vAlign w:val="center"/>
          </w:tcPr>
          <w:p w14:paraId="5EFC815D" w14:textId="77777777" w:rsidR="006E706D" w:rsidRPr="002B66D1" w:rsidRDefault="006E706D" w:rsidP="0043666F">
            <w:pPr>
              <w:pStyle w:val="NoSpacing"/>
              <w:spacing w:line="276" w:lineRule="auto"/>
              <w:jc w:val="right"/>
              <w:rPr>
                <w:sz w:val="22"/>
                <w:szCs w:val="22"/>
              </w:rPr>
            </w:pPr>
          </w:p>
        </w:tc>
        <w:tc>
          <w:tcPr>
            <w:tcW w:w="2853" w:type="dxa"/>
            <w:vMerge/>
            <w:vAlign w:val="center"/>
          </w:tcPr>
          <w:p w14:paraId="17FBB3D0" w14:textId="77777777" w:rsidR="006E706D" w:rsidRPr="002B66D1" w:rsidRDefault="006E706D" w:rsidP="0043666F">
            <w:pPr>
              <w:pStyle w:val="NoSpacing"/>
              <w:spacing w:line="276" w:lineRule="auto"/>
              <w:jc w:val="right"/>
              <w:rPr>
                <w:sz w:val="22"/>
                <w:szCs w:val="22"/>
              </w:rPr>
            </w:pPr>
          </w:p>
        </w:tc>
      </w:tr>
      <w:tr w:rsidR="006E706D" w14:paraId="06C0B6AB" w14:textId="77777777" w:rsidTr="00E24EB8">
        <w:trPr>
          <w:cantSplit/>
        </w:trPr>
        <w:tc>
          <w:tcPr>
            <w:tcW w:w="3021" w:type="dxa"/>
          </w:tcPr>
          <w:p w14:paraId="36374D42" w14:textId="77777777" w:rsidR="006E706D" w:rsidRPr="002B66D1" w:rsidRDefault="006E706D" w:rsidP="0043666F">
            <w:pPr>
              <w:pStyle w:val="NoSpacing"/>
              <w:spacing w:line="276" w:lineRule="auto"/>
              <w:jc w:val="right"/>
              <w:rPr>
                <w:sz w:val="22"/>
                <w:szCs w:val="22"/>
              </w:rPr>
            </w:pPr>
            <w:r w:rsidRPr="002B66D1">
              <w:rPr>
                <w:sz w:val="22"/>
                <w:szCs w:val="22"/>
              </w:rPr>
              <w:t>1518 00 91 21</w:t>
            </w:r>
          </w:p>
        </w:tc>
        <w:tc>
          <w:tcPr>
            <w:tcW w:w="3142" w:type="dxa"/>
            <w:vMerge w:val="restart"/>
            <w:vAlign w:val="center"/>
          </w:tcPr>
          <w:p w14:paraId="029BA06B" w14:textId="77777777" w:rsidR="006E706D" w:rsidRPr="002B66D1" w:rsidRDefault="006E706D" w:rsidP="0043666F">
            <w:pPr>
              <w:pStyle w:val="NoSpacing"/>
              <w:spacing w:line="276" w:lineRule="auto"/>
              <w:jc w:val="right"/>
              <w:rPr>
                <w:sz w:val="22"/>
                <w:szCs w:val="22"/>
              </w:rPr>
            </w:pPr>
            <w:r w:rsidRPr="002B66D1">
              <w:rPr>
                <w:sz w:val="22"/>
                <w:szCs w:val="22"/>
              </w:rPr>
              <w:t>1518 00 91</w:t>
            </w:r>
          </w:p>
        </w:tc>
        <w:tc>
          <w:tcPr>
            <w:tcW w:w="2853" w:type="dxa"/>
            <w:vMerge w:val="restart"/>
            <w:vAlign w:val="center"/>
          </w:tcPr>
          <w:p w14:paraId="2765C845" w14:textId="77777777" w:rsidR="006E706D" w:rsidRPr="002B66D1" w:rsidRDefault="006E706D" w:rsidP="0043666F">
            <w:pPr>
              <w:pStyle w:val="NoSpacing"/>
              <w:spacing w:line="276" w:lineRule="auto"/>
              <w:jc w:val="right"/>
              <w:rPr>
                <w:sz w:val="22"/>
                <w:szCs w:val="22"/>
              </w:rPr>
            </w:pPr>
            <w:r w:rsidRPr="002B66D1">
              <w:rPr>
                <w:sz w:val="22"/>
                <w:szCs w:val="22"/>
              </w:rPr>
              <w:t>1518 00</w:t>
            </w:r>
          </w:p>
        </w:tc>
      </w:tr>
      <w:tr w:rsidR="006E706D" w14:paraId="2B6E72B9" w14:textId="77777777" w:rsidTr="00E24EB8">
        <w:trPr>
          <w:cantSplit/>
        </w:trPr>
        <w:tc>
          <w:tcPr>
            <w:tcW w:w="3021" w:type="dxa"/>
          </w:tcPr>
          <w:p w14:paraId="2A2C800F" w14:textId="77777777" w:rsidR="006E706D" w:rsidRPr="002B66D1" w:rsidRDefault="006E706D" w:rsidP="0043666F">
            <w:pPr>
              <w:pStyle w:val="NoSpacing"/>
              <w:spacing w:line="276" w:lineRule="auto"/>
              <w:jc w:val="right"/>
              <w:rPr>
                <w:sz w:val="22"/>
                <w:szCs w:val="22"/>
              </w:rPr>
            </w:pPr>
            <w:r w:rsidRPr="002B66D1">
              <w:rPr>
                <w:sz w:val="22"/>
                <w:szCs w:val="22"/>
              </w:rPr>
              <w:t>1518 00 91 29</w:t>
            </w:r>
          </w:p>
        </w:tc>
        <w:tc>
          <w:tcPr>
            <w:tcW w:w="3142" w:type="dxa"/>
            <w:vMerge/>
            <w:vAlign w:val="center"/>
          </w:tcPr>
          <w:p w14:paraId="0839934C" w14:textId="77777777" w:rsidR="006E706D" w:rsidRPr="002B66D1" w:rsidRDefault="006E706D" w:rsidP="0043666F">
            <w:pPr>
              <w:pStyle w:val="NoSpacing"/>
              <w:spacing w:line="276" w:lineRule="auto"/>
              <w:jc w:val="right"/>
              <w:rPr>
                <w:sz w:val="22"/>
                <w:szCs w:val="22"/>
              </w:rPr>
            </w:pPr>
          </w:p>
        </w:tc>
        <w:tc>
          <w:tcPr>
            <w:tcW w:w="2853" w:type="dxa"/>
            <w:vMerge/>
            <w:vAlign w:val="center"/>
          </w:tcPr>
          <w:p w14:paraId="23D487E7" w14:textId="77777777" w:rsidR="006E706D" w:rsidRPr="002B66D1" w:rsidRDefault="006E706D" w:rsidP="0043666F">
            <w:pPr>
              <w:pStyle w:val="NoSpacing"/>
              <w:spacing w:line="276" w:lineRule="auto"/>
              <w:jc w:val="right"/>
              <w:rPr>
                <w:sz w:val="22"/>
                <w:szCs w:val="22"/>
              </w:rPr>
            </w:pPr>
          </w:p>
        </w:tc>
      </w:tr>
      <w:tr w:rsidR="006E706D" w14:paraId="6AF5141D" w14:textId="77777777" w:rsidTr="00E24EB8">
        <w:trPr>
          <w:cantSplit/>
        </w:trPr>
        <w:tc>
          <w:tcPr>
            <w:tcW w:w="3021" w:type="dxa"/>
          </w:tcPr>
          <w:p w14:paraId="4733F9D3" w14:textId="77777777" w:rsidR="006E706D" w:rsidRPr="002B66D1" w:rsidRDefault="006E706D" w:rsidP="0043666F">
            <w:pPr>
              <w:pStyle w:val="NoSpacing"/>
              <w:spacing w:line="276" w:lineRule="auto"/>
              <w:jc w:val="right"/>
              <w:rPr>
                <w:sz w:val="22"/>
                <w:szCs w:val="22"/>
              </w:rPr>
            </w:pPr>
            <w:r w:rsidRPr="002B66D1">
              <w:rPr>
                <w:sz w:val="22"/>
                <w:szCs w:val="22"/>
              </w:rPr>
              <w:t>1518 00 91 30</w:t>
            </w:r>
          </w:p>
        </w:tc>
        <w:tc>
          <w:tcPr>
            <w:tcW w:w="3142" w:type="dxa"/>
            <w:vMerge/>
            <w:vAlign w:val="center"/>
          </w:tcPr>
          <w:p w14:paraId="3003EC98" w14:textId="77777777" w:rsidR="006E706D" w:rsidRPr="002B66D1" w:rsidRDefault="006E706D" w:rsidP="0043666F">
            <w:pPr>
              <w:pStyle w:val="NoSpacing"/>
              <w:spacing w:line="276" w:lineRule="auto"/>
              <w:jc w:val="right"/>
              <w:rPr>
                <w:sz w:val="22"/>
                <w:szCs w:val="22"/>
              </w:rPr>
            </w:pPr>
          </w:p>
        </w:tc>
        <w:tc>
          <w:tcPr>
            <w:tcW w:w="2853" w:type="dxa"/>
            <w:vMerge/>
            <w:vAlign w:val="center"/>
          </w:tcPr>
          <w:p w14:paraId="21984E00" w14:textId="77777777" w:rsidR="006E706D" w:rsidRPr="002B66D1" w:rsidRDefault="006E706D" w:rsidP="0043666F">
            <w:pPr>
              <w:pStyle w:val="NoSpacing"/>
              <w:spacing w:line="276" w:lineRule="auto"/>
              <w:jc w:val="right"/>
              <w:rPr>
                <w:sz w:val="22"/>
                <w:szCs w:val="22"/>
              </w:rPr>
            </w:pPr>
          </w:p>
        </w:tc>
      </w:tr>
      <w:tr w:rsidR="006E706D" w14:paraId="12A897B3" w14:textId="77777777" w:rsidTr="00E24EB8">
        <w:trPr>
          <w:cantSplit/>
        </w:trPr>
        <w:tc>
          <w:tcPr>
            <w:tcW w:w="3021" w:type="dxa"/>
          </w:tcPr>
          <w:p w14:paraId="57118CA0" w14:textId="77777777" w:rsidR="006E706D" w:rsidRPr="002B66D1" w:rsidRDefault="006E706D" w:rsidP="0043666F">
            <w:pPr>
              <w:pStyle w:val="NoSpacing"/>
              <w:spacing w:line="276" w:lineRule="auto"/>
              <w:jc w:val="right"/>
              <w:rPr>
                <w:sz w:val="22"/>
                <w:szCs w:val="22"/>
              </w:rPr>
            </w:pPr>
            <w:r w:rsidRPr="002B66D1">
              <w:rPr>
                <w:sz w:val="22"/>
                <w:szCs w:val="22"/>
              </w:rPr>
              <w:t>1518 00 99 21</w:t>
            </w:r>
          </w:p>
        </w:tc>
        <w:tc>
          <w:tcPr>
            <w:tcW w:w="3142" w:type="dxa"/>
            <w:vMerge w:val="restart"/>
            <w:vAlign w:val="center"/>
          </w:tcPr>
          <w:p w14:paraId="574CCC23" w14:textId="77777777" w:rsidR="006E706D" w:rsidRPr="002B66D1" w:rsidRDefault="006E706D" w:rsidP="0043666F">
            <w:pPr>
              <w:pStyle w:val="NoSpacing"/>
              <w:spacing w:line="276" w:lineRule="auto"/>
              <w:jc w:val="right"/>
              <w:rPr>
                <w:sz w:val="22"/>
                <w:szCs w:val="22"/>
              </w:rPr>
            </w:pPr>
            <w:r w:rsidRPr="002B66D1">
              <w:rPr>
                <w:sz w:val="22"/>
                <w:szCs w:val="22"/>
              </w:rPr>
              <w:t>1518 00 99</w:t>
            </w:r>
          </w:p>
        </w:tc>
        <w:tc>
          <w:tcPr>
            <w:tcW w:w="2853" w:type="dxa"/>
            <w:vMerge/>
            <w:vAlign w:val="center"/>
          </w:tcPr>
          <w:p w14:paraId="384037C7" w14:textId="77777777" w:rsidR="006E706D" w:rsidRPr="002B66D1" w:rsidRDefault="006E706D" w:rsidP="0043666F">
            <w:pPr>
              <w:pStyle w:val="NoSpacing"/>
              <w:spacing w:line="276" w:lineRule="auto"/>
              <w:jc w:val="right"/>
              <w:rPr>
                <w:sz w:val="22"/>
                <w:szCs w:val="22"/>
              </w:rPr>
            </w:pPr>
          </w:p>
        </w:tc>
      </w:tr>
      <w:tr w:rsidR="006E706D" w14:paraId="07162172" w14:textId="77777777" w:rsidTr="00E24EB8">
        <w:trPr>
          <w:cantSplit/>
        </w:trPr>
        <w:tc>
          <w:tcPr>
            <w:tcW w:w="3021" w:type="dxa"/>
          </w:tcPr>
          <w:p w14:paraId="68D06FAA" w14:textId="77777777" w:rsidR="006E706D" w:rsidRPr="002B66D1" w:rsidRDefault="006E706D" w:rsidP="0043666F">
            <w:pPr>
              <w:pStyle w:val="NoSpacing"/>
              <w:spacing w:line="276" w:lineRule="auto"/>
              <w:jc w:val="right"/>
              <w:rPr>
                <w:sz w:val="22"/>
                <w:szCs w:val="22"/>
              </w:rPr>
            </w:pPr>
            <w:r w:rsidRPr="002B66D1">
              <w:rPr>
                <w:sz w:val="22"/>
                <w:szCs w:val="22"/>
              </w:rPr>
              <w:t>1518 00 99 29</w:t>
            </w:r>
          </w:p>
        </w:tc>
        <w:tc>
          <w:tcPr>
            <w:tcW w:w="3142" w:type="dxa"/>
            <w:vMerge/>
            <w:vAlign w:val="center"/>
          </w:tcPr>
          <w:p w14:paraId="1F58AB18" w14:textId="77777777" w:rsidR="006E706D" w:rsidRPr="002B66D1" w:rsidRDefault="006E706D" w:rsidP="0043666F">
            <w:pPr>
              <w:pStyle w:val="NoSpacing"/>
              <w:spacing w:line="276" w:lineRule="auto"/>
              <w:jc w:val="right"/>
              <w:rPr>
                <w:sz w:val="22"/>
                <w:szCs w:val="22"/>
              </w:rPr>
            </w:pPr>
          </w:p>
        </w:tc>
        <w:tc>
          <w:tcPr>
            <w:tcW w:w="2853" w:type="dxa"/>
            <w:vMerge/>
            <w:vAlign w:val="center"/>
          </w:tcPr>
          <w:p w14:paraId="27A8857F" w14:textId="77777777" w:rsidR="006E706D" w:rsidRPr="002B66D1" w:rsidRDefault="006E706D" w:rsidP="0043666F">
            <w:pPr>
              <w:pStyle w:val="NoSpacing"/>
              <w:spacing w:line="276" w:lineRule="auto"/>
              <w:jc w:val="right"/>
              <w:rPr>
                <w:sz w:val="22"/>
                <w:szCs w:val="22"/>
              </w:rPr>
            </w:pPr>
          </w:p>
        </w:tc>
      </w:tr>
      <w:tr w:rsidR="006E706D" w14:paraId="15348654" w14:textId="77777777" w:rsidTr="00E24EB8">
        <w:trPr>
          <w:cantSplit/>
        </w:trPr>
        <w:tc>
          <w:tcPr>
            <w:tcW w:w="3021" w:type="dxa"/>
          </w:tcPr>
          <w:p w14:paraId="770DD0C0" w14:textId="77777777" w:rsidR="006E706D" w:rsidRPr="002B66D1" w:rsidRDefault="006E706D" w:rsidP="0043666F">
            <w:pPr>
              <w:pStyle w:val="NoSpacing"/>
              <w:spacing w:line="276" w:lineRule="auto"/>
              <w:jc w:val="right"/>
              <w:rPr>
                <w:sz w:val="22"/>
                <w:szCs w:val="22"/>
              </w:rPr>
            </w:pPr>
            <w:r w:rsidRPr="002B66D1">
              <w:rPr>
                <w:sz w:val="22"/>
                <w:szCs w:val="22"/>
              </w:rPr>
              <w:t>1518 00 99 30</w:t>
            </w:r>
          </w:p>
        </w:tc>
        <w:tc>
          <w:tcPr>
            <w:tcW w:w="3142" w:type="dxa"/>
            <w:vMerge/>
            <w:vAlign w:val="center"/>
          </w:tcPr>
          <w:p w14:paraId="680E5ABF" w14:textId="77777777" w:rsidR="006E706D" w:rsidRPr="002B66D1" w:rsidRDefault="006E706D" w:rsidP="0043666F">
            <w:pPr>
              <w:pStyle w:val="NoSpacing"/>
              <w:spacing w:line="276" w:lineRule="auto"/>
              <w:jc w:val="right"/>
              <w:rPr>
                <w:sz w:val="22"/>
                <w:szCs w:val="22"/>
              </w:rPr>
            </w:pPr>
          </w:p>
        </w:tc>
        <w:tc>
          <w:tcPr>
            <w:tcW w:w="2853" w:type="dxa"/>
            <w:vMerge/>
            <w:vAlign w:val="center"/>
          </w:tcPr>
          <w:p w14:paraId="09BC3B1D" w14:textId="77777777" w:rsidR="006E706D" w:rsidRPr="002B66D1" w:rsidRDefault="006E706D" w:rsidP="0043666F">
            <w:pPr>
              <w:pStyle w:val="NoSpacing"/>
              <w:spacing w:line="276" w:lineRule="auto"/>
              <w:jc w:val="right"/>
              <w:rPr>
                <w:sz w:val="22"/>
                <w:szCs w:val="22"/>
              </w:rPr>
            </w:pPr>
          </w:p>
        </w:tc>
      </w:tr>
      <w:tr w:rsidR="006E706D" w14:paraId="2069F9DE" w14:textId="77777777" w:rsidTr="00E24EB8">
        <w:trPr>
          <w:cantSplit/>
        </w:trPr>
        <w:tc>
          <w:tcPr>
            <w:tcW w:w="3021" w:type="dxa"/>
          </w:tcPr>
          <w:p w14:paraId="1B12003C" w14:textId="77777777" w:rsidR="006E706D" w:rsidRPr="002B66D1" w:rsidRDefault="006E706D" w:rsidP="0043666F">
            <w:pPr>
              <w:pStyle w:val="NoSpacing"/>
              <w:spacing w:line="276" w:lineRule="auto"/>
              <w:jc w:val="right"/>
              <w:rPr>
                <w:sz w:val="22"/>
                <w:szCs w:val="22"/>
              </w:rPr>
            </w:pPr>
            <w:r w:rsidRPr="002B66D1">
              <w:rPr>
                <w:sz w:val="22"/>
                <w:szCs w:val="22"/>
              </w:rPr>
              <w:t>2710 20 11 21</w:t>
            </w:r>
          </w:p>
        </w:tc>
        <w:tc>
          <w:tcPr>
            <w:tcW w:w="3142" w:type="dxa"/>
            <w:vMerge w:val="restart"/>
            <w:vAlign w:val="center"/>
          </w:tcPr>
          <w:p w14:paraId="1C9FCEB9" w14:textId="77777777" w:rsidR="006E706D" w:rsidRPr="002B66D1" w:rsidRDefault="006E706D" w:rsidP="0043666F">
            <w:pPr>
              <w:pStyle w:val="NoSpacing"/>
              <w:spacing w:line="276" w:lineRule="auto"/>
              <w:jc w:val="right"/>
              <w:rPr>
                <w:sz w:val="22"/>
                <w:szCs w:val="22"/>
              </w:rPr>
            </w:pPr>
            <w:r w:rsidRPr="002B66D1">
              <w:rPr>
                <w:sz w:val="22"/>
                <w:szCs w:val="22"/>
              </w:rPr>
              <w:t>2710 20 11</w:t>
            </w:r>
          </w:p>
        </w:tc>
        <w:tc>
          <w:tcPr>
            <w:tcW w:w="2853" w:type="dxa"/>
            <w:vMerge w:val="restart"/>
            <w:vAlign w:val="center"/>
          </w:tcPr>
          <w:p w14:paraId="39CA4947" w14:textId="77777777" w:rsidR="006E706D" w:rsidRPr="002B66D1" w:rsidRDefault="006E706D" w:rsidP="0043666F">
            <w:pPr>
              <w:pStyle w:val="NoSpacing"/>
              <w:spacing w:line="276" w:lineRule="auto"/>
              <w:jc w:val="right"/>
              <w:rPr>
                <w:sz w:val="22"/>
                <w:szCs w:val="22"/>
              </w:rPr>
            </w:pPr>
            <w:r w:rsidRPr="002B66D1">
              <w:rPr>
                <w:sz w:val="22"/>
                <w:szCs w:val="22"/>
              </w:rPr>
              <w:t>2710 20</w:t>
            </w:r>
          </w:p>
        </w:tc>
      </w:tr>
      <w:tr w:rsidR="006E706D" w14:paraId="0BAD34C9" w14:textId="77777777" w:rsidTr="00E24EB8">
        <w:trPr>
          <w:cantSplit/>
        </w:trPr>
        <w:tc>
          <w:tcPr>
            <w:tcW w:w="3021" w:type="dxa"/>
          </w:tcPr>
          <w:p w14:paraId="1CA381A8" w14:textId="77777777" w:rsidR="006E706D" w:rsidRPr="002B66D1" w:rsidRDefault="006E706D" w:rsidP="0043666F">
            <w:pPr>
              <w:pStyle w:val="NoSpacing"/>
              <w:spacing w:line="276" w:lineRule="auto"/>
              <w:jc w:val="right"/>
              <w:rPr>
                <w:sz w:val="22"/>
                <w:szCs w:val="22"/>
              </w:rPr>
            </w:pPr>
            <w:r w:rsidRPr="002B66D1">
              <w:rPr>
                <w:sz w:val="22"/>
                <w:szCs w:val="22"/>
              </w:rPr>
              <w:t>2710 20 11 29</w:t>
            </w:r>
          </w:p>
        </w:tc>
        <w:tc>
          <w:tcPr>
            <w:tcW w:w="3142" w:type="dxa"/>
            <w:vMerge/>
            <w:vAlign w:val="center"/>
          </w:tcPr>
          <w:p w14:paraId="47B1D2DD" w14:textId="77777777" w:rsidR="006E706D" w:rsidRPr="002B66D1" w:rsidRDefault="006E706D" w:rsidP="0043666F">
            <w:pPr>
              <w:pStyle w:val="NoSpacing"/>
              <w:spacing w:line="276" w:lineRule="auto"/>
              <w:jc w:val="right"/>
              <w:rPr>
                <w:sz w:val="22"/>
                <w:szCs w:val="22"/>
              </w:rPr>
            </w:pPr>
          </w:p>
        </w:tc>
        <w:tc>
          <w:tcPr>
            <w:tcW w:w="2853" w:type="dxa"/>
            <w:vMerge/>
            <w:vAlign w:val="center"/>
          </w:tcPr>
          <w:p w14:paraId="0BF3310B" w14:textId="77777777" w:rsidR="006E706D" w:rsidRPr="002B66D1" w:rsidRDefault="006E706D" w:rsidP="0043666F">
            <w:pPr>
              <w:pStyle w:val="NoSpacing"/>
              <w:spacing w:line="276" w:lineRule="auto"/>
              <w:jc w:val="right"/>
              <w:rPr>
                <w:sz w:val="22"/>
                <w:szCs w:val="22"/>
              </w:rPr>
            </w:pPr>
          </w:p>
        </w:tc>
      </w:tr>
      <w:tr w:rsidR="006E706D" w14:paraId="28CC15F6" w14:textId="77777777" w:rsidTr="00E24EB8">
        <w:trPr>
          <w:cantSplit/>
        </w:trPr>
        <w:tc>
          <w:tcPr>
            <w:tcW w:w="3021" w:type="dxa"/>
          </w:tcPr>
          <w:p w14:paraId="0ECEC8EE" w14:textId="77777777" w:rsidR="006E706D" w:rsidRPr="002B66D1" w:rsidRDefault="006E706D" w:rsidP="0043666F">
            <w:pPr>
              <w:pStyle w:val="NoSpacing"/>
              <w:spacing w:line="276" w:lineRule="auto"/>
              <w:jc w:val="right"/>
              <w:rPr>
                <w:sz w:val="22"/>
                <w:szCs w:val="22"/>
              </w:rPr>
            </w:pPr>
            <w:r w:rsidRPr="002B66D1">
              <w:rPr>
                <w:sz w:val="22"/>
                <w:szCs w:val="22"/>
              </w:rPr>
              <w:t>2710 20 11 30</w:t>
            </w:r>
          </w:p>
        </w:tc>
        <w:tc>
          <w:tcPr>
            <w:tcW w:w="3142" w:type="dxa"/>
            <w:vMerge/>
            <w:vAlign w:val="center"/>
          </w:tcPr>
          <w:p w14:paraId="2DFF17FF" w14:textId="77777777" w:rsidR="006E706D" w:rsidRPr="002B66D1" w:rsidRDefault="006E706D" w:rsidP="0043666F">
            <w:pPr>
              <w:pStyle w:val="NoSpacing"/>
              <w:spacing w:line="276" w:lineRule="auto"/>
              <w:jc w:val="right"/>
              <w:rPr>
                <w:sz w:val="22"/>
                <w:szCs w:val="22"/>
              </w:rPr>
            </w:pPr>
          </w:p>
        </w:tc>
        <w:tc>
          <w:tcPr>
            <w:tcW w:w="2853" w:type="dxa"/>
            <w:vMerge/>
            <w:vAlign w:val="center"/>
          </w:tcPr>
          <w:p w14:paraId="2E485AB1" w14:textId="77777777" w:rsidR="006E706D" w:rsidRPr="002B66D1" w:rsidRDefault="006E706D" w:rsidP="0043666F">
            <w:pPr>
              <w:pStyle w:val="NoSpacing"/>
              <w:spacing w:line="276" w:lineRule="auto"/>
              <w:jc w:val="right"/>
              <w:rPr>
                <w:sz w:val="22"/>
                <w:szCs w:val="22"/>
              </w:rPr>
            </w:pPr>
          </w:p>
        </w:tc>
      </w:tr>
      <w:tr w:rsidR="006E706D" w14:paraId="12C681E9" w14:textId="77777777" w:rsidTr="00E24EB8">
        <w:trPr>
          <w:cantSplit/>
        </w:trPr>
        <w:tc>
          <w:tcPr>
            <w:tcW w:w="3021" w:type="dxa"/>
          </w:tcPr>
          <w:p w14:paraId="38735A28" w14:textId="77777777" w:rsidR="006E706D" w:rsidRPr="002B66D1" w:rsidRDefault="006E706D" w:rsidP="0043666F">
            <w:pPr>
              <w:pStyle w:val="NoSpacing"/>
              <w:spacing w:line="276" w:lineRule="auto"/>
              <w:jc w:val="right"/>
              <w:rPr>
                <w:sz w:val="22"/>
                <w:szCs w:val="22"/>
              </w:rPr>
            </w:pPr>
            <w:r w:rsidRPr="002B66D1">
              <w:rPr>
                <w:sz w:val="22"/>
                <w:szCs w:val="22"/>
              </w:rPr>
              <w:t>2710 20 16 21</w:t>
            </w:r>
          </w:p>
        </w:tc>
        <w:tc>
          <w:tcPr>
            <w:tcW w:w="3142" w:type="dxa"/>
            <w:vMerge w:val="restart"/>
            <w:vAlign w:val="center"/>
          </w:tcPr>
          <w:p w14:paraId="3C567790" w14:textId="77777777" w:rsidR="006E706D" w:rsidRPr="002B66D1" w:rsidRDefault="006E706D" w:rsidP="0043666F">
            <w:pPr>
              <w:pStyle w:val="NoSpacing"/>
              <w:spacing w:line="276" w:lineRule="auto"/>
              <w:jc w:val="right"/>
              <w:rPr>
                <w:sz w:val="22"/>
                <w:szCs w:val="22"/>
              </w:rPr>
            </w:pPr>
            <w:r w:rsidRPr="002B66D1">
              <w:rPr>
                <w:sz w:val="22"/>
                <w:szCs w:val="22"/>
              </w:rPr>
              <w:t>2710 20 16</w:t>
            </w:r>
          </w:p>
        </w:tc>
        <w:tc>
          <w:tcPr>
            <w:tcW w:w="2853" w:type="dxa"/>
            <w:vMerge/>
            <w:vAlign w:val="center"/>
          </w:tcPr>
          <w:p w14:paraId="5C35B0A5" w14:textId="77777777" w:rsidR="006E706D" w:rsidRPr="002B66D1" w:rsidRDefault="006E706D" w:rsidP="0043666F">
            <w:pPr>
              <w:pStyle w:val="NoSpacing"/>
              <w:spacing w:line="276" w:lineRule="auto"/>
              <w:jc w:val="right"/>
              <w:rPr>
                <w:sz w:val="22"/>
                <w:szCs w:val="22"/>
              </w:rPr>
            </w:pPr>
          </w:p>
        </w:tc>
      </w:tr>
      <w:tr w:rsidR="006E706D" w14:paraId="4AB654C1" w14:textId="77777777" w:rsidTr="00E24EB8">
        <w:trPr>
          <w:cantSplit/>
        </w:trPr>
        <w:tc>
          <w:tcPr>
            <w:tcW w:w="3021" w:type="dxa"/>
          </w:tcPr>
          <w:p w14:paraId="6472848F" w14:textId="77777777" w:rsidR="006E706D" w:rsidRPr="002B66D1" w:rsidRDefault="006E706D" w:rsidP="0043666F">
            <w:pPr>
              <w:pStyle w:val="NoSpacing"/>
              <w:spacing w:line="276" w:lineRule="auto"/>
              <w:jc w:val="right"/>
              <w:rPr>
                <w:sz w:val="22"/>
                <w:szCs w:val="22"/>
              </w:rPr>
            </w:pPr>
            <w:r w:rsidRPr="002B66D1">
              <w:rPr>
                <w:sz w:val="22"/>
                <w:szCs w:val="22"/>
              </w:rPr>
              <w:t>2710 20 16 29</w:t>
            </w:r>
          </w:p>
        </w:tc>
        <w:tc>
          <w:tcPr>
            <w:tcW w:w="3142" w:type="dxa"/>
            <w:vMerge/>
            <w:vAlign w:val="center"/>
          </w:tcPr>
          <w:p w14:paraId="185455A4" w14:textId="77777777" w:rsidR="006E706D" w:rsidRPr="002B66D1" w:rsidRDefault="006E706D" w:rsidP="0043666F">
            <w:pPr>
              <w:pStyle w:val="NoSpacing"/>
              <w:spacing w:line="276" w:lineRule="auto"/>
              <w:jc w:val="right"/>
              <w:rPr>
                <w:sz w:val="22"/>
                <w:szCs w:val="22"/>
              </w:rPr>
            </w:pPr>
          </w:p>
        </w:tc>
        <w:tc>
          <w:tcPr>
            <w:tcW w:w="2853" w:type="dxa"/>
            <w:vMerge/>
            <w:vAlign w:val="center"/>
          </w:tcPr>
          <w:p w14:paraId="7666396F" w14:textId="77777777" w:rsidR="006E706D" w:rsidRPr="002B66D1" w:rsidRDefault="006E706D" w:rsidP="0043666F">
            <w:pPr>
              <w:pStyle w:val="NoSpacing"/>
              <w:spacing w:line="276" w:lineRule="auto"/>
              <w:jc w:val="right"/>
              <w:rPr>
                <w:sz w:val="22"/>
                <w:szCs w:val="22"/>
              </w:rPr>
            </w:pPr>
          </w:p>
        </w:tc>
      </w:tr>
      <w:tr w:rsidR="006E706D" w14:paraId="6A2294AA" w14:textId="77777777" w:rsidTr="00E24EB8">
        <w:trPr>
          <w:cantSplit/>
        </w:trPr>
        <w:tc>
          <w:tcPr>
            <w:tcW w:w="3021" w:type="dxa"/>
          </w:tcPr>
          <w:p w14:paraId="4FDE4CA6" w14:textId="77777777" w:rsidR="006E706D" w:rsidRPr="002B66D1" w:rsidRDefault="006E706D" w:rsidP="0043666F">
            <w:pPr>
              <w:pStyle w:val="NoSpacing"/>
              <w:spacing w:line="276" w:lineRule="auto"/>
              <w:jc w:val="right"/>
              <w:rPr>
                <w:sz w:val="22"/>
                <w:szCs w:val="22"/>
              </w:rPr>
            </w:pPr>
            <w:r w:rsidRPr="002B66D1">
              <w:rPr>
                <w:sz w:val="22"/>
                <w:szCs w:val="22"/>
              </w:rPr>
              <w:t>2710 20 16 30</w:t>
            </w:r>
          </w:p>
        </w:tc>
        <w:tc>
          <w:tcPr>
            <w:tcW w:w="3142" w:type="dxa"/>
            <w:vMerge/>
            <w:vAlign w:val="center"/>
          </w:tcPr>
          <w:p w14:paraId="1E2F62A9" w14:textId="77777777" w:rsidR="006E706D" w:rsidRPr="002B66D1" w:rsidRDefault="006E706D" w:rsidP="0043666F">
            <w:pPr>
              <w:pStyle w:val="NoSpacing"/>
              <w:spacing w:line="276" w:lineRule="auto"/>
              <w:jc w:val="right"/>
              <w:rPr>
                <w:sz w:val="22"/>
                <w:szCs w:val="22"/>
              </w:rPr>
            </w:pPr>
          </w:p>
        </w:tc>
        <w:tc>
          <w:tcPr>
            <w:tcW w:w="2853" w:type="dxa"/>
            <w:vMerge/>
            <w:vAlign w:val="center"/>
          </w:tcPr>
          <w:p w14:paraId="1AE8A585" w14:textId="77777777" w:rsidR="006E706D" w:rsidRPr="002B66D1" w:rsidRDefault="006E706D" w:rsidP="0043666F">
            <w:pPr>
              <w:pStyle w:val="NoSpacing"/>
              <w:spacing w:line="276" w:lineRule="auto"/>
              <w:jc w:val="right"/>
              <w:rPr>
                <w:sz w:val="22"/>
                <w:szCs w:val="22"/>
              </w:rPr>
            </w:pPr>
          </w:p>
        </w:tc>
      </w:tr>
      <w:tr w:rsidR="006E706D" w14:paraId="1C32DBBB" w14:textId="77777777" w:rsidTr="00E24EB8">
        <w:trPr>
          <w:cantSplit/>
        </w:trPr>
        <w:tc>
          <w:tcPr>
            <w:tcW w:w="3021" w:type="dxa"/>
          </w:tcPr>
          <w:p w14:paraId="4BAE242F" w14:textId="77777777" w:rsidR="006E706D" w:rsidRPr="002B66D1" w:rsidRDefault="006E706D" w:rsidP="0043666F">
            <w:pPr>
              <w:pStyle w:val="NoSpacing"/>
              <w:spacing w:line="276" w:lineRule="auto"/>
              <w:jc w:val="right"/>
              <w:rPr>
                <w:sz w:val="22"/>
                <w:szCs w:val="22"/>
              </w:rPr>
            </w:pPr>
            <w:r w:rsidRPr="002B66D1">
              <w:rPr>
                <w:sz w:val="22"/>
                <w:szCs w:val="22"/>
              </w:rPr>
              <w:t>3824 99 92 10</w:t>
            </w:r>
          </w:p>
        </w:tc>
        <w:tc>
          <w:tcPr>
            <w:tcW w:w="3142" w:type="dxa"/>
            <w:vMerge w:val="restart"/>
            <w:vAlign w:val="center"/>
          </w:tcPr>
          <w:p w14:paraId="72AF0486" w14:textId="77777777" w:rsidR="006E706D" w:rsidRPr="002B66D1" w:rsidRDefault="006E706D" w:rsidP="0043666F">
            <w:pPr>
              <w:pStyle w:val="NoSpacing"/>
              <w:spacing w:line="276" w:lineRule="auto"/>
              <w:jc w:val="right"/>
              <w:rPr>
                <w:sz w:val="22"/>
                <w:szCs w:val="22"/>
              </w:rPr>
            </w:pPr>
            <w:r w:rsidRPr="002B66D1">
              <w:rPr>
                <w:sz w:val="22"/>
                <w:szCs w:val="22"/>
              </w:rPr>
              <w:t>3824 99 92</w:t>
            </w:r>
          </w:p>
        </w:tc>
        <w:tc>
          <w:tcPr>
            <w:tcW w:w="2853" w:type="dxa"/>
            <w:vMerge w:val="restart"/>
            <w:vAlign w:val="center"/>
          </w:tcPr>
          <w:p w14:paraId="3F4D86A2" w14:textId="77777777" w:rsidR="006E706D" w:rsidRPr="002B66D1" w:rsidRDefault="006E706D" w:rsidP="0043666F">
            <w:pPr>
              <w:pStyle w:val="NoSpacing"/>
              <w:spacing w:line="276" w:lineRule="auto"/>
              <w:jc w:val="right"/>
              <w:rPr>
                <w:sz w:val="22"/>
                <w:szCs w:val="22"/>
              </w:rPr>
            </w:pPr>
            <w:r w:rsidRPr="002B66D1">
              <w:rPr>
                <w:sz w:val="22"/>
                <w:szCs w:val="22"/>
              </w:rPr>
              <w:t>3824 99</w:t>
            </w:r>
          </w:p>
        </w:tc>
      </w:tr>
      <w:tr w:rsidR="006E706D" w14:paraId="5EEAA668" w14:textId="77777777" w:rsidTr="00E24EB8">
        <w:trPr>
          <w:cantSplit/>
        </w:trPr>
        <w:tc>
          <w:tcPr>
            <w:tcW w:w="3021" w:type="dxa"/>
          </w:tcPr>
          <w:p w14:paraId="66245778" w14:textId="77777777" w:rsidR="006E706D" w:rsidRPr="002B66D1" w:rsidRDefault="006E706D" w:rsidP="0043666F">
            <w:pPr>
              <w:pStyle w:val="NoSpacing"/>
              <w:spacing w:line="276" w:lineRule="auto"/>
              <w:jc w:val="right"/>
              <w:rPr>
                <w:sz w:val="22"/>
                <w:szCs w:val="22"/>
              </w:rPr>
            </w:pPr>
            <w:r w:rsidRPr="002B66D1">
              <w:rPr>
                <w:sz w:val="22"/>
                <w:szCs w:val="22"/>
              </w:rPr>
              <w:t>3824 99 92 12</w:t>
            </w:r>
          </w:p>
        </w:tc>
        <w:tc>
          <w:tcPr>
            <w:tcW w:w="3142" w:type="dxa"/>
            <w:vMerge/>
            <w:vAlign w:val="center"/>
          </w:tcPr>
          <w:p w14:paraId="1B3C7BD3" w14:textId="77777777" w:rsidR="006E706D" w:rsidRPr="002B66D1" w:rsidRDefault="006E706D" w:rsidP="0043666F">
            <w:pPr>
              <w:pStyle w:val="NoSpacing"/>
              <w:spacing w:line="276" w:lineRule="auto"/>
              <w:jc w:val="right"/>
              <w:rPr>
                <w:sz w:val="22"/>
                <w:szCs w:val="22"/>
              </w:rPr>
            </w:pPr>
          </w:p>
        </w:tc>
        <w:tc>
          <w:tcPr>
            <w:tcW w:w="2853" w:type="dxa"/>
            <w:vMerge/>
            <w:vAlign w:val="center"/>
          </w:tcPr>
          <w:p w14:paraId="7A671056" w14:textId="77777777" w:rsidR="006E706D" w:rsidRPr="002B66D1" w:rsidRDefault="006E706D" w:rsidP="0043666F">
            <w:pPr>
              <w:pStyle w:val="NoSpacing"/>
              <w:spacing w:line="276" w:lineRule="auto"/>
              <w:jc w:val="right"/>
              <w:rPr>
                <w:sz w:val="22"/>
                <w:szCs w:val="22"/>
              </w:rPr>
            </w:pPr>
          </w:p>
        </w:tc>
      </w:tr>
      <w:tr w:rsidR="006E706D" w14:paraId="655D9AC4" w14:textId="77777777" w:rsidTr="00E24EB8">
        <w:trPr>
          <w:cantSplit/>
        </w:trPr>
        <w:tc>
          <w:tcPr>
            <w:tcW w:w="3021" w:type="dxa"/>
          </w:tcPr>
          <w:p w14:paraId="6AFEC4A9" w14:textId="77777777" w:rsidR="006E706D" w:rsidRPr="002B66D1" w:rsidRDefault="006E706D" w:rsidP="0043666F">
            <w:pPr>
              <w:pStyle w:val="NoSpacing"/>
              <w:spacing w:line="276" w:lineRule="auto"/>
              <w:jc w:val="right"/>
              <w:rPr>
                <w:sz w:val="22"/>
                <w:szCs w:val="22"/>
              </w:rPr>
            </w:pPr>
            <w:r w:rsidRPr="002B66D1">
              <w:rPr>
                <w:sz w:val="22"/>
                <w:szCs w:val="22"/>
              </w:rPr>
              <w:t>3824 99 92 20</w:t>
            </w:r>
          </w:p>
        </w:tc>
        <w:tc>
          <w:tcPr>
            <w:tcW w:w="3142" w:type="dxa"/>
            <w:vMerge/>
            <w:vAlign w:val="center"/>
          </w:tcPr>
          <w:p w14:paraId="4ACB8247" w14:textId="77777777" w:rsidR="006E706D" w:rsidRPr="002B66D1" w:rsidRDefault="006E706D" w:rsidP="0043666F">
            <w:pPr>
              <w:pStyle w:val="NoSpacing"/>
              <w:spacing w:line="276" w:lineRule="auto"/>
              <w:jc w:val="right"/>
              <w:rPr>
                <w:sz w:val="22"/>
                <w:szCs w:val="22"/>
              </w:rPr>
            </w:pPr>
          </w:p>
        </w:tc>
        <w:tc>
          <w:tcPr>
            <w:tcW w:w="2853" w:type="dxa"/>
            <w:vMerge/>
            <w:vAlign w:val="center"/>
          </w:tcPr>
          <w:p w14:paraId="7C51B36F" w14:textId="77777777" w:rsidR="006E706D" w:rsidRPr="002B66D1" w:rsidRDefault="006E706D" w:rsidP="0043666F">
            <w:pPr>
              <w:pStyle w:val="NoSpacing"/>
              <w:spacing w:line="276" w:lineRule="auto"/>
              <w:jc w:val="right"/>
              <w:rPr>
                <w:sz w:val="22"/>
                <w:szCs w:val="22"/>
              </w:rPr>
            </w:pPr>
          </w:p>
        </w:tc>
      </w:tr>
      <w:tr w:rsidR="006E706D" w14:paraId="1A33EBA1" w14:textId="77777777" w:rsidTr="00E24EB8">
        <w:trPr>
          <w:cantSplit/>
        </w:trPr>
        <w:tc>
          <w:tcPr>
            <w:tcW w:w="3021" w:type="dxa"/>
          </w:tcPr>
          <w:p w14:paraId="53072B57" w14:textId="77777777" w:rsidR="006E706D" w:rsidRPr="002B66D1" w:rsidRDefault="006E706D" w:rsidP="0043666F">
            <w:pPr>
              <w:pStyle w:val="NoSpacing"/>
              <w:spacing w:line="276" w:lineRule="auto"/>
              <w:jc w:val="right"/>
              <w:rPr>
                <w:sz w:val="22"/>
                <w:szCs w:val="22"/>
              </w:rPr>
            </w:pPr>
            <w:r w:rsidRPr="002B66D1">
              <w:rPr>
                <w:sz w:val="22"/>
                <w:szCs w:val="22"/>
              </w:rPr>
              <w:t>3826 00 10 20</w:t>
            </w:r>
          </w:p>
        </w:tc>
        <w:tc>
          <w:tcPr>
            <w:tcW w:w="3142" w:type="dxa"/>
            <w:vMerge w:val="restart"/>
            <w:vAlign w:val="center"/>
          </w:tcPr>
          <w:p w14:paraId="55169626" w14:textId="77777777" w:rsidR="006E706D" w:rsidRPr="002B66D1" w:rsidRDefault="006E706D" w:rsidP="0043666F">
            <w:pPr>
              <w:pStyle w:val="NoSpacing"/>
              <w:spacing w:line="276" w:lineRule="auto"/>
              <w:jc w:val="right"/>
              <w:rPr>
                <w:sz w:val="22"/>
                <w:szCs w:val="22"/>
              </w:rPr>
            </w:pPr>
            <w:r w:rsidRPr="002B66D1">
              <w:rPr>
                <w:sz w:val="22"/>
                <w:szCs w:val="22"/>
              </w:rPr>
              <w:t>3826 00 10</w:t>
            </w:r>
          </w:p>
        </w:tc>
        <w:tc>
          <w:tcPr>
            <w:tcW w:w="2853" w:type="dxa"/>
            <w:vMerge w:val="restart"/>
            <w:vAlign w:val="center"/>
          </w:tcPr>
          <w:p w14:paraId="5E8B1F12" w14:textId="77777777" w:rsidR="006E706D" w:rsidRPr="002B66D1" w:rsidRDefault="006E706D" w:rsidP="0043666F">
            <w:pPr>
              <w:pStyle w:val="NoSpacing"/>
              <w:spacing w:line="276" w:lineRule="auto"/>
              <w:jc w:val="right"/>
              <w:rPr>
                <w:sz w:val="22"/>
                <w:szCs w:val="22"/>
              </w:rPr>
            </w:pPr>
            <w:r w:rsidRPr="002B66D1">
              <w:rPr>
                <w:sz w:val="22"/>
                <w:szCs w:val="22"/>
              </w:rPr>
              <w:t>3826 00</w:t>
            </w:r>
          </w:p>
        </w:tc>
      </w:tr>
      <w:tr w:rsidR="006E706D" w14:paraId="548DCE00" w14:textId="77777777" w:rsidTr="00E24EB8">
        <w:trPr>
          <w:cantSplit/>
        </w:trPr>
        <w:tc>
          <w:tcPr>
            <w:tcW w:w="3021" w:type="dxa"/>
          </w:tcPr>
          <w:p w14:paraId="54E33D27" w14:textId="77777777" w:rsidR="006E706D" w:rsidRPr="002B66D1" w:rsidRDefault="006E706D" w:rsidP="0043666F">
            <w:pPr>
              <w:pStyle w:val="NoSpacing"/>
              <w:spacing w:line="276" w:lineRule="auto"/>
              <w:jc w:val="right"/>
              <w:rPr>
                <w:sz w:val="22"/>
                <w:szCs w:val="22"/>
              </w:rPr>
            </w:pPr>
            <w:r w:rsidRPr="002B66D1">
              <w:rPr>
                <w:sz w:val="22"/>
                <w:szCs w:val="22"/>
              </w:rPr>
              <w:t>3826 00 10 29</w:t>
            </w:r>
          </w:p>
        </w:tc>
        <w:tc>
          <w:tcPr>
            <w:tcW w:w="3142" w:type="dxa"/>
            <w:vMerge/>
            <w:vAlign w:val="center"/>
          </w:tcPr>
          <w:p w14:paraId="2CADEDD1" w14:textId="77777777" w:rsidR="006E706D" w:rsidRPr="002B66D1" w:rsidRDefault="006E706D" w:rsidP="0043666F">
            <w:pPr>
              <w:pStyle w:val="NoSpacing"/>
              <w:spacing w:line="276" w:lineRule="auto"/>
              <w:jc w:val="center"/>
              <w:rPr>
                <w:sz w:val="22"/>
                <w:szCs w:val="22"/>
              </w:rPr>
            </w:pPr>
          </w:p>
        </w:tc>
        <w:tc>
          <w:tcPr>
            <w:tcW w:w="2853" w:type="dxa"/>
            <w:vMerge/>
          </w:tcPr>
          <w:p w14:paraId="27892CF0" w14:textId="77777777" w:rsidR="006E706D" w:rsidRPr="002B66D1" w:rsidRDefault="006E706D" w:rsidP="0043666F">
            <w:pPr>
              <w:pStyle w:val="NoSpacing"/>
              <w:spacing w:line="276" w:lineRule="auto"/>
              <w:rPr>
                <w:sz w:val="22"/>
                <w:szCs w:val="22"/>
              </w:rPr>
            </w:pPr>
          </w:p>
        </w:tc>
      </w:tr>
      <w:tr w:rsidR="006E706D" w14:paraId="58217235" w14:textId="77777777" w:rsidTr="00E24EB8">
        <w:trPr>
          <w:cantSplit/>
        </w:trPr>
        <w:tc>
          <w:tcPr>
            <w:tcW w:w="3021" w:type="dxa"/>
          </w:tcPr>
          <w:p w14:paraId="5F24B588" w14:textId="77777777" w:rsidR="006E706D" w:rsidRPr="002B66D1" w:rsidRDefault="006E706D" w:rsidP="0043666F">
            <w:pPr>
              <w:pStyle w:val="NoSpacing"/>
              <w:spacing w:line="276" w:lineRule="auto"/>
              <w:jc w:val="right"/>
              <w:rPr>
                <w:sz w:val="22"/>
                <w:szCs w:val="22"/>
              </w:rPr>
            </w:pPr>
            <w:r w:rsidRPr="002B66D1">
              <w:rPr>
                <w:sz w:val="22"/>
                <w:szCs w:val="22"/>
              </w:rPr>
              <w:t>3826 00 10 50</w:t>
            </w:r>
          </w:p>
        </w:tc>
        <w:tc>
          <w:tcPr>
            <w:tcW w:w="3142" w:type="dxa"/>
            <w:vMerge/>
            <w:vAlign w:val="center"/>
          </w:tcPr>
          <w:p w14:paraId="1E5512F3" w14:textId="77777777" w:rsidR="006E706D" w:rsidRPr="002B66D1" w:rsidRDefault="006E706D" w:rsidP="0043666F">
            <w:pPr>
              <w:pStyle w:val="NoSpacing"/>
              <w:spacing w:line="276" w:lineRule="auto"/>
              <w:jc w:val="center"/>
              <w:rPr>
                <w:sz w:val="22"/>
                <w:szCs w:val="22"/>
              </w:rPr>
            </w:pPr>
          </w:p>
        </w:tc>
        <w:tc>
          <w:tcPr>
            <w:tcW w:w="2853" w:type="dxa"/>
            <w:vMerge/>
          </w:tcPr>
          <w:p w14:paraId="40C4C760" w14:textId="77777777" w:rsidR="006E706D" w:rsidRPr="002B66D1" w:rsidRDefault="006E706D" w:rsidP="0043666F">
            <w:pPr>
              <w:pStyle w:val="NoSpacing"/>
              <w:spacing w:line="276" w:lineRule="auto"/>
              <w:rPr>
                <w:sz w:val="22"/>
                <w:szCs w:val="22"/>
              </w:rPr>
            </w:pPr>
          </w:p>
        </w:tc>
      </w:tr>
      <w:tr w:rsidR="006E706D" w14:paraId="1D5D4947" w14:textId="77777777" w:rsidTr="00E24EB8">
        <w:trPr>
          <w:cantSplit/>
        </w:trPr>
        <w:tc>
          <w:tcPr>
            <w:tcW w:w="3021" w:type="dxa"/>
          </w:tcPr>
          <w:p w14:paraId="16274E46" w14:textId="77777777" w:rsidR="006E706D" w:rsidRPr="002B66D1" w:rsidRDefault="006E706D" w:rsidP="0043666F">
            <w:pPr>
              <w:pStyle w:val="NoSpacing"/>
              <w:spacing w:line="276" w:lineRule="auto"/>
              <w:jc w:val="right"/>
              <w:rPr>
                <w:sz w:val="22"/>
                <w:szCs w:val="22"/>
              </w:rPr>
            </w:pPr>
            <w:r w:rsidRPr="002B66D1">
              <w:rPr>
                <w:sz w:val="22"/>
                <w:szCs w:val="22"/>
              </w:rPr>
              <w:t>3826 00 10 59</w:t>
            </w:r>
          </w:p>
        </w:tc>
        <w:tc>
          <w:tcPr>
            <w:tcW w:w="3142" w:type="dxa"/>
            <w:vMerge/>
            <w:vAlign w:val="center"/>
          </w:tcPr>
          <w:p w14:paraId="7CF27FEF" w14:textId="77777777" w:rsidR="006E706D" w:rsidRPr="002B66D1" w:rsidRDefault="006E706D" w:rsidP="0043666F">
            <w:pPr>
              <w:pStyle w:val="NoSpacing"/>
              <w:spacing w:line="276" w:lineRule="auto"/>
              <w:jc w:val="center"/>
              <w:rPr>
                <w:sz w:val="22"/>
                <w:szCs w:val="22"/>
              </w:rPr>
            </w:pPr>
          </w:p>
        </w:tc>
        <w:tc>
          <w:tcPr>
            <w:tcW w:w="2853" w:type="dxa"/>
            <w:vMerge/>
          </w:tcPr>
          <w:p w14:paraId="7E22EFFA" w14:textId="77777777" w:rsidR="006E706D" w:rsidRPr="002B66D1" w:rsidRDefault="006E706D" w:rsidP="0043666F">
            <w:pPr>
              <w:pStyle w:val="NoSpacing"/>
              <w:spacing w:line="276" w:lineRule="auto"/>
              <w:rPr>
                <w:sz w:val="22"/>
                <w:szCs w:val="22"/>
              </w:rPr>
            </w:pPr>
          </w:p>
        </w:tc>
      </w:tr>
      <w:tr w:rsidR="006E706D" w14:paraId="370A0E1C" w14:textId="77777777" w:rsidTr="00E24EB8">
        <w:trPr>
          <w:cantSplit/>
        </w:trPr>
        <w:tc>
          <w:tcPr>
            <w:tcW w:w="3021" w:type="dxa"/>
          </w:tcPr>
          <w:p w14:paraId="1ED0DB39" w14:textId="77777777" w:rsidR="006E706D" w:rsidRPr="002B66D1" w:rsidRDefault="006E706D" w:rsidP="0043666F">
            <w:pPr>
              <w:pStyle w:val="NoSpacing"/>
              <w:spacing w:line="276" w:lineRule="auto"/>
              <w:jc w:val="right"/>
              <w:rPr>
                <w:sz w:val="22"/>
                <w:szCs w:val="22"/>
              </w:rPr>
            </w:pPr>
            <w:r w:rsidRPr="002B66D1">
              <w:rPr>
                <w:sz w:val="22"/>
                <w:szCs w:val="22"/>
              </w:rPr>
              <w:t>3826 00 10 89</w:t>
            </w:r>
          </w:p>
        </w:tc>
        <w:tc>
          <w:tcPr>
            <w:tcW w:w="3142" w:type="dxa"/>
            <w:vMerge/>
            <w:vAlign w:val="center"/>
          </w:tcPr>
          <w:p w14:paraId="4D76D68C" w14:textId="77777777" w:rsidR="006E706D" w:rsidRPr="002B66D1" w:rsidRDefault="006E706D" w:rsidP="0043666F">
            <w:pPr>
              <w:pStyle w:val="NoSpacing"/>
              <w:spacing w:line="276" w:lineRule="auto"/>
              <w:jc w:val="center"/>
              <w:rPr>
                <w:sz w:val="22"/>
                <w:szCs w:val="22"/>
              </w:rPr>
            </w:pPr>
          </w:p>
        </w:tc>
        <w:tc>
          <w:tcPr>
            <w:tcW w:w="2853" w:type="dxa"/>
            <w:vMerge/>
          </w:tcPr>
          <w:p w14:paraId="6311A594" w14:textId="77777777" w:rsidR="006E706D" w:rsidRPr="002B66D1" w:rsidRDefault="006E706D" w:rsidP="0043666F">
            <w:pPr>
              <w:pStyle w:val="NoSpacing"/>
              <w:spacing w:line="276" w:lineRule="auto"/>
              <w:rPr>
                <w:sz w:val="22"/>
                <w:szCs w:val="22"/>
              </w:rPr>
            </w:pPr>
          </w:p>
        </w:tc>
      </w:tr>
      <w:tr w:rsidR="006E706D" w14:paraId="69B01524" w14:textId="77777777" w:rsidTr="00E24EB8">
        <w:trPr>
          <w:cantSplit/>
        </w:trPr>
        <w:tc>
          <w:tcPr>
            <w:tcW w:w="3021" w:type="dxa"/>
          </w:tcPr>
          <w:p w14:paraId="17CC1EDE" w14:textId="77777777" w:rsidR="006E706D" w:rsidRPr="002B66D1" w:rsidRDefault="006E706D" w:rsidP="0043666F">
            <w:pPr>
              <w:pStyle w:val="NoSpacing"/>
              <w:spacing w:line="276" w:lineRule="auto"/>
              <w:jc w:val="right"/>
              <w:rPr>
                <w:sz w:val="22"/>
                <w:szCs w:val="22"/>
              </w:rPr>
            </w:pPr>
            <w:r w:rsidRPr="002B66D1">
              <w:rPr>
                <w:sz w:val="22"/>
                <w:szCs w:val="22"/>
              </w:rPr>
              <w:t>3826 00 10 99</w:t>
            </w:r>
          </w:p>
        </w:tc>
        <w:tc>
          <w:tcPr>
            <w:tcW w:w="3142" w:type="dxa"/>
            <w:vMerge/>
            <w:vAlign w:val="center"/>
          </w:tcPr>
          <w:p w14:paraId="0CC8E432" w14:textId="77777777" w:rsidR="006E706D" w:rsidRPr="002B66D1" w:rsidRDefault="006E706D" w:rsidP="0043666F">
            <w:pPr>
              <w:pStyle w:val="NoSpacing"/>
              <w:spacing w:line="276" w:lineRule="auto"/>
              <w:jc w:val="center"/>
              <w:rPr>
                <w:sz w:val="22"/>
                <w:szCs w:val="22"/>
              </w:rPr>
            </w:pPr>
          </w:p>
        </w:tc>
        <w:tc>
          <w:tcPr>
            <w:tcW w:w="2853" w:type="dxa"/>
            <w:vMerge/>
          </w:tcPr>
          <w:p w14:paraId="11E718D3" w14:textId="77777777" w:rsidR="006E706D" w:rsidRPr="002B66D1" w:rsidRDefault="006E706D" w:rsidP="0043666F">
            <w:pPr>
              <w:pStyle w:val="NoSpacing"/>
              <w:spacing w:line="276" w:lineRule="auto"/>
              <w:rPr>
                <w:sz w:val="22"/>
                <w:szCs w:val="22"/>
              </w:rPr>
            </w:pPr>
          </w:p>
        </w:tc>
      </w:tr>
      <w:tr w:rsidR="006E706D" w14:paraId="781B85E1" w14:textId="77777777" w:rsidTr="00E24EB8">
        <w:trPr>
          <w:cantSplit/>
        </w:trPr>
        <w:tc>
          <w:tcPr>
            <w:tcW w:w="3021" w:type="dxa"/>
          </w:tcPr>
          <w:p w14:paraId="2327F2A7" w14:textId="77777777" w:rsidR="006E706D" w:rsidRPr="002B66D1" w:rsidRDefault="006E706D" w:rsidP="0043666F">
            <w:pPr>
              <w:pStyle w:val="NoSpacing"/>
              <w:spacing w:line="276" w:lineRule="auto"/>
              <w:jc w:val="right"/>
              <w:rPr>
                <w:sz w:val="22"/>
                <w:szCs w:val="22"/>
              </w:rPr>
            </w:pPr>
            <w:r w:rsidRPr="002B66D1">
              <w:rPr>
                <w:sz w:val="22"/>
                <w:szCs w:val="22"/>
              </w:rPr>
              <w:t>3826 00 90 11</w:t>
            </w:r>
          </w:p>
        </w:tc>
        <w:tc>
          <w:tcPr>
            <w:tcW w:w="3142" w:type="dxa"/>
            <w:vMerge w:val="restart"/>
            <w:vAlign w:val="center"/>
          </w:tcPr>
          <w:p w14:paraId="4E94ABB6" w14:textId="77777777" w:rsidR="006E706D" w:rsidRPr="002B66D1" w:rsidRDefault="006E706D" w:rsidP="0043666F">
            <w:pPr>
              <w:pStyle w:val="NoSpacing"/>
              <w:spacing w:line="276" w:lineRule="auto"/>
              <w:jc w:val="right"/>
              <w:rPr>
                <w:sz w:val="22"/>
                <w:szCs w:val="22"/>
              </w:rPr>
            </w:pPr>
            <w:r w:rsidRPr="002B66D1">
              <w:rPr>
                <w:sz w:val="22"/>
                <w:szCs w:val="22"/>
              </w:rPr>
              <w:t>3826 00 90</w:t>
            </w:r>
          </w:p>
        </w:tc>
        <w:tc>
          <w:tcPr>
            <w:tcW w:w="2853" w:type="dxa"/>
            <w:vMerge/>
          </w:tcPr>
          <w:p w14:paraId="388C440D" w14:textId="77777777" w:rsidR="006E706D" w:rsidRPr="002B66D1" w:rsidRDefault="006E706D" w:rsidP="0043666F">
            <w:pPr>
              <w:pStyle w:val="NoSpacing"/>
              <w:spacing w:line="276" w:lineRule="auto"/>
              <w:rPr>
                <w:sz w:val="22"/>
                <w:szCs w:val="22"/>
              </w:rPr>
            </w:pPr>
          </w:p>
        </w:tc>
      </w:tr>
      <w:tr w:rsidR="006E706D" w14:paraId="5E645959" w14:textId="77777777" w:rsidTr="00E24EB8">
        <w:trPr>
          <w:cantSplit/>
        </w:trPr>
        <w:tc>
          <w:tcPr>
            <w:tcW w:w="3021" w:type="dxa"/>
          </w:tcPr>
          <w:p w14:paraId="52EBFCCD" w14:textId="77777777" w:rsidR="006E706D" w:rsidRPr="002B66D1" w:rsidRDefault="006E706D" w:rsidP="0043666F">
            <w:pPr>
              <w:pStyle w:val="NoSpacing"/>
              <w:spacing w:line="276" w:lineRule="auto"/>
              <w:jc w:val="right"/>
              <w:rPr>
                <w:sz w:val="22"/>
                <w:szCs w:val="22"/>
              </w:rPr>
            </w:pPr>
            <w:r w:rsidRPr="002B66D1">
              <w:rPr>
                <w:sz w:val="22"/>
                <w:szCs w:val="22"/>
              </w:rPr>
              <w:t>3826 00 90 19</w:t>
            </w:r>
          </w:p>
        </w:tc>
        <w:tc>
          <w:tcPr>
            <w:tcW w:w="3142" w:type="dxa"/>
            <w:vMerge/>
          </w:tcPr>
          <w:p w14:paraId="424E2C40" w14:textId="77777777" w:rsidR="006E706D" w:rsidRPr="002B66D1" w:rsidRDefault="006E706D" w:rsidP="0043666F">
            <w:pPr>
              <w:pStyle w:val="NoSpacing"/>
              <w:spacing w:line="276" w:lineRule="auto"/>
              <w:rPr>
                <w:sz w:val="22"/>
                <w:szCs w:val="22"/>
              </w:rPr>
            </w:pPr>
          </w:p>
        </w:tc>
        <w:tc>
          <w:tcPr>
            <w:tcW w:w="2853" w:type="dxa"/>
            <w:vMerge/>
          </w:tcPr>
          <w:p w14:paraId="4C045CAE" w14:textId="77777777" w:rsidR="006E706D" w:rsidRPr="002B66D1" w:rsidRDefault="006E706D" w:rsidP="0043666F">
            <w:pPr>
              <w:pStyle w:val="NoSpacing"/>
              <w:spacing w:line="276" w:lineRule="auto"/>
              <w:rPr>
                <w:sz w:val="22"/>
                <w:szCs w:val="22"/>
              </w:rPr>
            </w:pPr>
          </w:p>
        </w:tc>
      </w:tr>
      <w:tr w:rsidR="006E706D" w14:paraId="0AB89ACA" w14:textId="77777777" w:rsidTr="00E24EB8">
        <w:trPr>
          <w:cantSplit/>
        </w:trPr>
        <w:tc>
          <w:tcPr>
            <w:tcW w:w="3021" w:type="dxa"/>
          </w:tcPr>
          <w:p w14:paraId="4AC498E0" w14:textId="77777777" w:rsidR="006E706D" w:rsidRPr="002B66D1" w:rsidRDefault="006E706D" w:rsidP="0043666F">
            <w:pPr>
              <w:pStyle w:val="NoSpacing"/>
              <w:spacing w:line="276" w:lineRule="auto"/>
              <w:jc w:val="right"/>
              <w:rPr>
                <w:sz w:val="22"/>
                <w:szCs w:val="22"/>
              </w:rPr>
            </w:pPr>
            <w:r w:rsidRPr="002B66D1">
              <w:rPr>
                <w:sz w:val="22"/>
                <w:szCs w:val="22"/>
              </w:rPr>
              <w:t>3826 00 90 30</w:t>
            </w:r>
          </w:p>
        </w:tc>
        <w:tc>
          <w:tcPr>
            <w:tcW w:w="3142" w:type="dxa"/>
            <w:vMerge/>
          </w:tcPr>
          <w:p w14:paraId="7329B8A4" w14:textId="77777777" w:rsidR="006E706D" w:rsidRPr="002B66D1" w:rsidRDefault="006E706D" w:rsidP="0043666F">
            <w:pPr>
              <w:pStyle w:val="NoSpacing"/>
              <w:spacing w:line="276" w:lineRule="auto"/>
              <w:rPr>
                <w:sz w:val="22"/>
                <w:szCs w:val="22"/>
              </w:rPr>
            </w:pPr>
          </w:p>
        </w:tc>
        <w:tc>
          <w:tcPr>
            <w:tcW w:w="2853" w:type="dxa"/>
            <w:vMerge/>
          </w:tcPr>
          <w:p w14:paraId="229D61AB" w14:textId="77777777" w:rsidR="006E706D" w:rsidRPr="002B66D1" w:rsidRDefault="006E706D" w:rsidP="0043666F">
            <w:pPr>
              <w:pStyle w:val="NoSpacing"/>
              <w:spacing w:line="276" w:lineRule="auto"/>
              <w:rPr>
                <w:sz w:val="22"/>
                <w:szCs w:val="22"/>
              </w:rPr>
            </w:pPr>
          </w:p>
        </w:tc>
      </w:tr>
    </w:tbl>
    <w:p w14:paraId="6716FDAA" w14:textId="77777777" w:rsidR="006E706D" w:rsidRPr="001612CE" w:rsidRDefault="006E706D" w:rsidP="006E706D">
      <w:pPr>
        <w:pStyle w:val="NoSpacing"/>
        <w:spacing w:line="360" w:lineRule="auto"/>
        <w:rPr>
          <w:rFonts w:eastAsiaTheme="majorEastAsia"/>
          <w:sz w:val="2"/>
          <w:szCs w:val="2"/>
        </w:rPr>
      </w:pPr>
    </w:p>
    <w:p w14:paraId="780E4B21" w14:textId="6F9750EB" w:rsidR="006E706D" w:rsidRPr="00EE13CE" w:rsidRDefault="006E706D" w:rsidP="002470C0">
      <w:pPr>
        <w:pStyle w:val="Tablesource"/>
        <w:rPr>
          <w:i w:val="0"/>
        </w:rPr>
      </w:pPr>
      <w:r w:rsidRPr="00EE13CE">
        <w:t xml:space="preserve">Source: Statement of Essential Facts, Case TD0004, Department for International Trade. Available from: </w:t>
      </w:r>
      <w:hyperlink r:id="rId37" w:history="1">
        <w:r w:rsidRPr="002470C0">
          <w:rPr>
            <w:rStyle w:val="Hyperlink"/>
            <w:rFonts w:eastAsiaTheme="majorEastAsia"/>
            <w:sz w:val="20"/>
          </w:rPr>
          <w:t>https://www.trade-remedies.service.gov.uk/public/case/TD0004/submission/a8fa1a1e-4ba7-433e-b358-edcbf0d17450/</w:t>
        </w:r>
      </w:hyperlink>
      <w:r w:rsidRPr="002470C0">
        <w:t xml:space="preserve"> </w:t>
      </w:r>
    </w:p>
    <w:p w14:paraId="79C84A1A" w14:textId="63508858" w:rsidR="00D5771A" w:rsidRDefault="006E706D" w:rsidP="00016CC0">
      <w:pPr>
        <w:sectPr w:rsidR="00D5771A" w:rsidSect="00F21AB1">
          <w:pgSz w:w="11906" w:h="16838"/>
          <w:pgMar w:top="1440" w:right="1440" w:bottom="1440" w:left="1440" w:header="708" w:footer="708" w:gutter="0"/>
          <w:cols w:space="708"/>
          <w:docGrid w:linePitch="360"/>
        </w:sectPr>
      </w:pPr>
      <w:r>
        <w:t xml:space="preserve">To understand the rationale for the original anti-dumping and anti-circumvention measures, we revisit the Commission’s analysis. </w:t>
      </w:r>
      <w:r w:rsidR="00337849">
        <w:fldChar w:fldCharType="begin"/>
      </w:r>
      <w:r w:rsidR="00337849">
        <w:instrText xml:space="preserve"> REF _Ref112842273 \h </w:instrText>
      </w:r>
      <w:r w:rsidR="00337849">
        <w:fldChar w:fldCharType="separate"/>
      </w:r>
      <w:r w:rsidR="00337849" w:rsidRPr="00CA3671">
        <w:t xml:space="preserve">Figure </w:t>
      </w:r>
      <w:r w:rsidR="00337849">
        <w:rPr>
          <w:noProof/>
        </w:rPr>
        <w:t>16</w:t>
      </w:r>
      <w:r w:rsidR="00337849">
        <w:fldChar w:fldCharType="end"/>
      </w:r>
      <w:r w:rsidR="00337849">
        <w:t xml:space="preserve"> </w:t>
      </w:r>
      <w:r>
        <w:t xml:space="preserve">presents the value of annual </w:t>
      </w:r>
      <w:r w:rsidR="007849B3">
        <w:t>imports</w:t>
      </w:r>
      <w:r>
        <w:t xml:space="preserve"> from the </w:t>
      </w:r>
      <w:r w:rsidR="0058401A">
        <w:t>United States</w:t>
      </w:r>
      <w:r>
        <w:t xml:space="preserve"> and Canada into the EU-28 (including the UK) using data from UN Comtrade. This is for HS code 3824 90.</w:t>
      </w:r>
      <w:r>
        <w:rPr>
          <w:rStyle w:val="FootnoteReference"/>
          <w:rFonts w:eastAsiaTheme="majorEastAsia"/>
        </w:rPr>
        <w:footnoteReference w:id="56"/>
      </w:r>
      <w:r>
        <w:rPr>
          <w:rStyle w:val="FootnoteReference"/>
        </w:rPr>
        <w:t xml:space="preserve"> </w:t>
      </w:r>
      <w:r>
        <w:t xml:space="preserve">From 2006 onwards, we see a large increase in imports from the </w:t>
      </w:r>
      <w:r w:rsidR="0058401A">
        <w:t>United States</w:t>
      </w:r>
      <w:r>
        <w:t xml:space="preserve"> (and the rest of the world</w:t>
      </w:r>
      <w:r w:rsidR="00144FDF">
        <w:t xml:space="preserve"> – RoW in the figures below</w:t>
      </w:r>
      <w:r>
        <w:t>), reaching a peak of nearly US$</w:t>
      </w:r>
      <w:r w:rsidR="009D20F5">
        <w:t>3</w:t>
      </w:r>
      <w:r>
        <w:t xml:space="preserve"> b</w:t>
      </w:r>
      <w:r w:rsidR="009D20F5">
        <w:t>illio</w:t>
      </w:r>
      <w:r>
        <w:t xml:space="preserve">n in 2008. Anti-dumping duties are then imposed in 2009, leading to a substantial decline in </w:t>
      </w:r>
      <w:r w:rsidR="0058401A">
        <w:t>United States</w:t>
      </w:r>
      <w:r>
        <w:t xml:space="preserve"> imports. This decline in imports happens while imports from the rest of the world (driven primarily by Argentina and Indonesia, </w:t>
      </w:r>
      <w:r w:rsidR="009D20F5">
        <w:t xml:space="preserve">which </w:t>
      </w:r>
      <w:r>
        <w:t xml:space="preserve">were then subject to a separate EU anti-dumping investigation) continue to grow. While Canadian imports also rise in the same year as the imposition of </w:t>
      </w:r>
      <w:r w:rsidRPr="00784DD9">
        <w:t xml:space="preserve">EU anti-dumping </w:t>
      </w:r>
      <w:r>
        <w:t xml:space="preserve">measures </w:t>
      </w:r>
      <w:r w:rsidRPr="00784DD9">
        <w:t xml:space="preserve">on the </w:t>
      </w:r>
      <w:r w:rsidR="0058401A">
        <w:t>United States</w:t>
      </w:r>
      <w:r>
        <w:t xml:space="preserve"> (and then </w:t>
      </w:r>
      <w:r w:rsidRPr="00784DD9">
        <w:t xml:space="preserve">fall </w:t>
      </w:r>
      <w:r>
        <w:t xml:space="preserve">in the same year as </w:t>
      </w:r>
      <w:r w:rsidRPr="00784DD9">
        <w:t xml:space="preserve">the imposition of </w:t>
      </w:r>
      <w:r>
        <w:t>anti-circumvention</w:t>
      </w:r>
      <w:r w:rsidRPr="00784DD9">
        <w:t xml:space="preserve"> measures</w:t>
      </w:r>
      <w:r>
        <w:t xml:space="preserve">), Canada plays a very small role in total EU imports of this product. Relative to the large decline in </w:t>
      </w:r>
      <w:r w:rsidR="0058401A">
        <w:t>United States</w:t>
      </w:r>
      <w:r>
        <w:t xml:space="preserve"> imports, the increase from Canada is also minimal.</w:t>
      </w:r>
    </w:p>
    <w:tbl>
      <w:tblPr>
        <w:tblStyle w:val="TableGrid"/>
        <w:tblW w:w="0" w:type="auto"/>
        <w:tblLook w:val="04A0" w:firstRow="1" w:lastRow="0" w:firstColumn="1" w:lastColumn="0" w:noHBand="0" w:noVBand="1"/>
      </w:tblPr>
      <w:tblGrid>
        <w:gridCol w:w="9016"/>
      </w:tblGrid>
      <w:tr w:rsidR="006E706D" w:rsidRPr="00F7615F" w14:paraId="5D871E92" w14:textId="77777777" w:rsidTr="00FE5F09">
        <w:trPr>
          <w:trHeight w:val="557"/>
        </w:trPr>
        <w:tc>
          <w:tcPr>
            <w:tcW w:w="9016" w:type="dxa"/>
            <w:tcBorders>
              <w:bottom w:val="single" w:sz="4" w:space="0" w:color="auto"/>
            </w:tcBorders>
            <w:shd w:val="clear" w:color="auto" w:fill="24135F"/>
          </w:tcPr>
          <w:p w14:paraId="1BD88C32" w14:textId="74D8EF9E" w:rsidR="006E706D" w:rsidRPr="00C57E0F" w:rsidRDefault="006E706D" w:rsidP="00DE3BA6">
            <w:pPr>
              <w:pStyle w:val="Caption"/>
            </w:pPr>
            <w:bookmarkStart w:id="104" w:name="_Ref112842273"/>
            <w:r w:rsidRPr="007F2955">
              <w:rPr>
                <w:i w:val="0"/>
                <w:iCs w:val="0"/>
              </w:rPr>
              <w:t xml:space="preserve">Figure </w:t>
            </w:r>
            <w:r w:rsidRPr="007F2955">
              <w:rPr>
                <w:i w:val="0"/>
                <w:iCs w:val="0"/>
              </w:rPr>
              <w:fldChar w:fldCharType="begin"/>
            </w:r>
            <w:r w:rsidRPr="007F2955">
              <w:rPr>
                <w:i w:val="0"/>
                <w:iCs w:val="0"/>
              </w:rPr>
              <w:instrText>SEQ Figure \* ARABIC</w:instrText>
            </w:r>
            <w:r w:rsidRPr="007F2955">
              <w:rPr>
                <w:i w:val="0"/>
                <w:iCs w:val="0"/>
              </w:rPr>
              <w:fldChar w:fldCharType="separate"/>
            </w:r>
            <w:r w:rsidR="00625A64">
              <w:rPr>
                <w:i w:val="0"/>
                <w:iCs w:val="0"/>
                <w:noProof/>
              </w:rPr>
              <w:t>16</w:t>
            </w:r>
            <w:r w:rsidRPr="007F2955">
              <w:rPr>
                <w:i w:val="0"/>
                <w:iCs w:val="0"/>
              </w:rPr>
              <w:fldChar w:fldCharType="end"/>
            </w:r>
            <w:bookmarkEnd w:id="104"/>
            <w:r w:rsidRPr="00CA3671">
              <w:t xml:space="preserve">: Value of annual imports from the </w:t>
            </w:r>
            <w:r w:rsidR="0058401A">
              <w:t>United States</w:t>
            </w:r>
            <w:r w:rsidRPr="00CA3671">
              <w:t xml:space="preserve"> and Canada into the EU-28 for HS code: 3824 90 for 2005 to 2016</w:t>
            </w:r>
          </w:p>
        </w:tc>
      </w:tr>
      <w:tr w:rsidR="006E706D" w:rsidRPr="00F7615F" w14:paraId="04036DA2" w14:textId="77777777" w:rsidTr="00FE5F09">
        <w:trPr>
          <w:trHeight w:val="5525"/>
        </w:trPr>
        <w:tc>
          <w:tcPr>
            <w:tcW w:w="9016" w:type="dxa"/>
            <w:tcBorders>
              <w:bottom w:val="single" w:sz="4" w:space="0" w:color="auto"/>
            </w:tcBorders>
          </w:tcPr>
          <w:p w14:paraId="3575D1EE" w14:textId="33E54894" w:rsidR="006E706D" w:rsidRPr="00F7615F" w:rsidRDefault="003F6392" w:rsidP="00333736">
            <w:pPr>
              <w:tabs>
                <w:tab w:val="center" w:pos="4400"/>
              </w:tabs>
              <w:rPr>
                <w:rFonts w:cs="Arial"/>
                <w:szCs w:val="24"/>
              </w:rPr>
            </w:pPr>
            <w:r>
              <w:rPr>
                <w:noProof/>
              </w:rPr>
              <w:drawing>
                <wp:inline distT="0" distB="0" distL="0" distR="0" wp14:anchorId="468188E2" wp14:editId="540B624E">
                  <wp:extent cx="5579411" cy="362902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5003"/>
                          <a:stretch/>
                        </pic:blipFill>
                        <pic:spPr bwMode="auto">
                          <a:xfrm>
                            <a:off x="0" y="0"/>
                            <a:ext cx="5580000" cy="36294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E706D" w:rsidRPr="00BC5820" w14:paraId="752716AF" w14:textId="77777777" w:rsidTr="00FE5F09">
        <w:tc>
          <w:tcPr>
            <w:tcW w:w="9016" w:type="dxa"/>
            <w:tcBorders>
              <w:top w:val="single" w:sz="4" w:space="0" w:color="auto"/>
              <w:left w:val="nil"/>
              <w:bottom w:val="nil"/>
              <w:right w:val="nil"/>
            </w:tcBorders>
          </w:tcPr>
          <w:p w14:paraId="12918EFC" w14:textId="77777777" w:rsidR="006E706D" w:rsidRPr="00BC5820" w:rsidRDefault="006E706D" w:rsidP="00FE5F09">
            <w:pPr>
              <w:pStyle w:val="Tablesource"/>
              <w:rPr>
                <w:iCs/>
                <w:color w:val="005EA5"/>
                <w:u w:val="single"/>
              </w:rPr>
            </w:pPr>
            <w:r w:rsidRPr="00BC5820">
              <w:t xml:space="preserve">Source: </w:t>
            </w:r>
            <w:r>
              <w:t>Frontier Economics analysis of UN Comtrade data</w:t>
            </w:r>
            <w:r w:rsidRPr="00AD25FF">
              <w:t>.</w:t>
            </w:r>
          </w:p>
        </w:tc>
      </w:tr>
    </w:tbl>
    <w:p w14:paraId="0D10908F" w14:textId="7E1E20FD" w:rsidR="006E706D" w:rsidRDefault="006E706D" w:rsidP="00016CC0">
      <w:r>
        <w:t xml:space="preserve">To understand whether the increase in Canadian imports into the EU represents potential transhipment (and not Canada responding to the change in competitive dynamics), we analyse Canadian imports of the same product from the </w:t>
      </w:r>
      <w:r w:rsidR="0058401A">
        <w:t>United States</w:t>
      </w:r>
      <w:r>
        <w:t xml:space="preserve"> and the rest of the world. In </w:t>
      </w:r>
      <w:r w:rsidR="00337849">
        <w:fldChar w:fldCharType="begin"/>
      </w:r>
      <w:r w:rsidR="00337849">
        <w:instrText xml:space="preserve"> REF _Ref112842315 \h </w:instrText>
      </w:r>
      <w:r w:rsidR="00337849">
        <w:fldChar w:fldCharType="separate"/>
      </w:r>
      <w:r w:rsidR="00337849" w:rsidRPr="00CA3671">
        <w:t xml:space="preserve">Figure </w:t>
      </w:r>
      <w:r w:rsidR="00337849">
        <w:rPr>
          <w:noProof/>
        </w:rPr>
        <w:t>17</w:t>
      </w:r>
      <w:r w:rsidR="00337849">
        <w:fldChar w:fldCharType="end"/>
      </w:r>
      <w:r>
        <w:t xml:space="preserve">, we see that after the imposition of the anti-dumping measures against the </w:t>
      </w:r>
      <w:r w:rsidR="0058401A">
        <w:t>United States</w:t>
      </w:r>
      <w:r>
        <w:t xml:space="preserve">, there is a large uptick in imports from the </w:t>
      </w:r>
      <w:r w:rsidR="0058401A">
        <w:t>United States</w:t>
      </w:r>
      <w:r>
        <w:t xml:space="preserve"> into Canada. The timing of this uptick (2010 and 2011) does not</w:t>
      </w:r>
      <w:r w:rsidR="009D20F5">
        <w:t>,</w:t>
      </w:r>
      <w:r>
        <w:t xml:space="preserve"> however</w:t>
      </w:r>
      <w:r w:rsidR="009D20F5">
        <w:t>,</w:t>
      </w:r>
      <w:r>
        <w:t xml:space="preserve"> align with the uptick in Canadian exports seen in </w:t>
      </w:r>
      <w:r>
        <w:fldChar w:fldCharType="begin"/>
      </w:r>
      <w:r>
        <w:instrText xml:space="preserve"> REF _Ref96961928 \h </w:instrText>
      </w:r>
      <w:r>
        <w:fldChar w:fldCharType="separate"/>
      </w:r>
      <w:r w:rsidRPr="00CA3671">
        <w:t xml:space="preserve">Figure </w:t>
      </w:r>
      <w:r>
        <w:rPr>
          <w:noProof/>
        </w:rPr>
        <w:t>2</w:t>
      </w:r>
      <w:r w:rsidR="008C4920">
        <w:rPr>
          <w:noProof/>
        </w:rPr>
        <w:t>0</w:t>
      </w:r>
      <w:r>
        <w:fldChar w:fldCharType="end"/>
      </w:r>
      <w:r>
        <w:t xml:space="preserve"> in 2009. </w:t>
      </w:r>
    </w:p>
    <w:p w14:paraId="74892AF5" w14:textId="2289D377" w:rsidR="006E706D" w:rsidRDefault="006E706D" w:rsidP="00016CC0">
      <w:r>
        <w:t xml:space="preserve">Similarly, </w:t>
      </w:r>
      <w:r w:rsidR="009D20F5">
        <w:t xml:space="preserve">following </w:t>
      </w:r>
      <w:r>
        <w:t xml:space="preserve">the anti-circumvention measures imposed on Canada in 2011, we see a large fall in exports from the </w:t>
      </w:r>
      <w:r w:rsidR="0058401A">
        <w:t>United States</w:t>
      </w:r>
      <w:r>
        <w:t xml:space="preserve"> to Canada in 2012. However, </w:t>
      </w:r>
      <w:r w:rsidR="009D20F5">
        <w:t xml:space="preserve">again, </w:t>
      </w:r>
      <w:r>
        <w:t xml:space="preserve">the timing appears to be out by </w:t>
      </w:r>
      <w:r w:rsidR="009D20F5">
        <w:t>one</w:t>
      </w:r>
      <w:r>
        <w:t xml:space="preserve"> year; the fall in Canadian exports to the EU takes place in 2011, but the fall in </w:t>
      </w:r>
      <w:r w:rsidR="0058401A">
        <w:t>United States</w:t>
      </w:r>
      <w:r>
        <w:t xml:space="preserve"> exports to Canada is in 2012. This could suggest that the </w:t>
      </w:r>
      <w:r w:rsidR="0058401A">
        <w:t>United States</w:t>
      </w:r>
      <w:r>
        <w:t xml:space="preserve"> shifted to supplying Canadian domestic demand</w:t>
      </w:r>
      <w:r w:rsidR="00144FDF">
        <w:t>,</w:t>
      </w:r>
      <w:r>
        <w:t xml:space="preserve"> while Canada legitimately expanded its exports to the EU (following the imposition of the anti-dumping duties on the </w:t>
      </w:r>
      <w:r w:rsidR="0058401A">
        <w:t>United States</w:t>
      </w:r>
      <w:r>
        <w:t xml:space="preserve">). When the circumvention action was taken against Canada, </w:t>
      </w:r>
      <w:r w:rsidRPr="00BB3CFB">
        <w:t xml:space="preserve">Canadian </w:t>
      </w:r>
      <w:r>
        <w:t>exports</w:t>
      </w:r>
      <w:r w:rsidRPr="00BB3CFB">
        <w:t xml:space="preserve"> </w:t>
      </w:r>
      <w:r>
        <w:t xml:space="preserve">may have then </w:t>
      </w:r>
      <w:r w:rsidRPr="00BB3CFB">
        <w:t xml:space="preserve">progressively </w:t>
      </w:r>
      <w:r>
        <w:t xml:space="preserve">been </w:t>
      </w:r>
      <w:r w:rsidRPr="00BB3CFB">
        <w:t xml:space="preserve">redirected to </w:t>
      </w:r>
      <w:r>
        <w:t>its</w:t>
      </w:r>
      <w:r w:rsidRPr="00BB3CFB">
        <w:t xml:space="preserve"> local market</w:t>
      </w:r>
      <w:r>
        <w:t xml:space="preserve">, </w:t>
      </w:r>
      <w:r w:rsidRPr="00BB3CFB">
        <w:t>squeez</w:t>
      </w:r>
      <w:r>
        <w:t>ing</w:t>
      </w:r>
      <w:r w:rsidRPr="00BB3CFB">
        <w:t xml:space="preserve"> out </w:t>
      </w:r>
      <w:r w:rsidR="0058401A">
        <w:t>United States</w:t>
      </w:r>
      <w:r w:rsidRPr="00BB3CFB">
        <w:t xml:space="preserve"> </w:t>
      </w:r>
      <w:r>
        <w:t>exports to Canada. It is not possible</w:t>
      </w:r>
      <w:r w:rsidR="009D20F5">
        <w:t>,</w:t>
      </w:r>
      <w:r>
        <w:t xml:space="preserve"> however</w:t>
      </w:r>
      <w:r w:rsidR="009D20F5">
        <w:t>,</w:t>
      </w:r>
      <w:r>
        <w:t xml:space="preserve"> to determine from the trade data </w:t>
      </w:r>
      <w:r w:rsidR="00144FDF">
        <w:t xml:space="preserve">whether </w:t>
      </w:r>
      <w:r>
        <w:t xml:space="preserve">that was the case. In addition, even if </w:t>
      </w:r>
      <w:r w:rsidR="006F07A6">
        <w:t xml:space="preserve">we </w:t>
      </w:r>
      <w:r>
        <w:t xml:space="preserve">were to assume </w:t>
      </w:r>
      <w:r w:rsidR="00144FDF">
        <w:t xml:space="preserve">that </w:t>
      </w:r>
      <w:r>
        <w:t xml:space="preserve">the timings happened concurrently, the fall in </w:t>
      </w:r>
      <w:r w:rsidR="0058401A">
        <w:t>United States</w:t>
      </w:r>
      <w:r>
        <w:t xml:space="preserve"> exports into Canada is larger than the fall in exports from Canada to the EU-28 following the anti-circumvention duties. This suggests </w:t>
      </w:r>
      <w:r w:rsidR="006F07A6">
        <w:t xml:space="preserve">that </w:t>
      </w:r>
      <w:r>
        <w:t xml:space="preserve">at least some of this was being consumed domestically, with the fall potentially reflecting a reduction in Canadian demand. </w:t>
      </w:r>
    </w:p>
    <w:p w14:paraId="72B82966" w14:textId="2E640CD0" w:rsidR="006E706D" w:rsidRDefault="006E706D" w:rsidP="00016CC0">
      <w:r>
        <w:t xml:space="preserve">This potential </w:t>
      </w:r>
      <w:r w:rsidR="006F07A6">
        <w:t>one-</w:t>
      </w:r>
      <w:r>
        <w:t xml:space="preserve">year lag may reflect (as was the case in Example 1 above) </w:t>
      </w:r>
      <w:r w:rsidRPr="00AB6531">
        <w:t>an inconsistency between the reporting</w:t>
      </w:r>
      <w:r>
        <w:t xml:space="preserve"> of trade flows between trading partners. Equally, it could also show that circumvention </w:t>
      </w:r>
      <w:r w:rsidR="006F07A6">
        <w:t xml:space="preserve">was not </w:t>
      </w:r>
      <w:r>
        <w:t>taking place. Irrespective of the true cause of these trends, this highlight</w:t>
      </w:r>
      <w:r w:rsidR="00454309">
        <w:t>s</w:t>
      </w:r>
      <w:r>
        <w:t xml:space="preserve"> </w:t>
      </w:r>
      <w:r w:rsidRPr="007127F5">
        <w:t>some of the pitfalls that might be associated with a superficial monitoring of patterns of trade based solely on the behaviour of imports.</w:t>
      </w:r>
    </w:p>
    <w:tbl>
      <w:tblPr>
        <w:tblStyle w:val="TableGrid"/>
        <w:tblW w:w="0" w:type="auto"/>
        <w:tblLook w:val="04A0" w:firstRow="1" w:lastRow="0" w:firstColumn="1" w:lastColumn="0" w:noHBand="0" w:noVBand="1"/>
      </w:tblPr>
      <w:tblGrid>
        <w:gridCol w:w="9016"/>
      </w:tblGrid>
      <w:tr w:rsidR="006E706D" w:rsidRPr="00F7615F" w14:paraId="2B81982E" w14:textId="77777777" w:rsidTr="00FE5F09">
        <w:tc>
          <w:tcPr>
            <w:tcW w:w="9016" w:type="dxa"/>
            <w:tcBorders>
              <w:bottom w:val="single" w:sz="4" w:space="0" w:color="auto"/>
            </w:tcBorders>
            <w:shd w:val="clear" w:color="auto" w:fill="24135F"/>
          </w:tcPr>
          <w:p w14:paraId="16E00737" w14:textId="128A9DB3" w:rsidR="006E706D" w:rsidRPr="00C57E0F" w:rsidRDefault="006E706D" w:rsidP="00DE3BA6">
            <w:pPr>
              <w:pStyle w:val="Caption"/>
            </w:pPr>
            <w:bookmarkStart w:id="105" w:name="_Ref112842315"/>
            <w:r w:rsidRPr="007F2955">
              <w:rPr>
                <w:i w:val="0"/>
                <w:iCs w:val="0"/>
              </w:rPr>
              <w:t xml:space="preserve">Figure </w:t>
            </w:r>
            <w:r w:rsidRPr="007F2955">
              <w:rPr>
                <w:i w:val="0"/>
                <w:iCs w:val="0"/>
              </w:rPr>
              <w:fldChar w:fldCharType="begin"/>
            </w:r>
            <w:r w:rsidRPr="007F2955">
              <w:rPr>
                <w:i w:val="0"/>
                <w:iCs w:val="0"/>
              </w:rPr>
              <w:instrText>SEQ Figure \* ARABIC</w:instrText>
            </w:r>
            <w:r w:rsidRPr="007F2955">
              <w:rPr>
                <w:i w:val="0"/>
                <w:iCs w:val="0"/>
              </w:rPr>
              <w:fldChar w:fldCharType="separate"/>
            </w:r>
            <w:r w:rsidR="00625A64">
              <w:rPr>
                <w:i w:val="0"/>
                <w:iCs w:val="0"/>
                <w:noProof/>
              </w:rPr>
              <w:t>17</w:t>
            </w:r>
            <w:r w:rsidRPr="007F2955">
              <w:rPr>
                <w:i w:val="0"/>
                <w:iCs w:val="0"/>
              </w:rPr>
              <w:fldChar w:fldCharType="end"/>
            </w:r>
            <w:bookmarkEnd w:id="105"/>
            <w:r w:rsidRPr="00CA3671">
              <w:t xml:space="preserve">: Value of annual exports from the </w:t>
            </w:r>
            <w:r w:rsidR="0058401A">
              <w:t>United States</w:t>
            </w:r>
            <w:r w:rsidRPr="00CA3671">
              <w:t xml:space="preserve"> </w:t>
            </w:r>
            <w:r w:rsidRPr="00732AA1">
              <w:t xml:space="preserve">and </w:t>
            </w:r>
            <w:r w:rsidRPr="00B25A27">
              <w:t>RoW</w:t>
            </w:r>
            <w:r w:rsidRPr="00732AA1">
              <w:t xml:space="preserve"> into</w:t>
            </w:r>
            <w:r w:rsidRPr="00CA3671">
              <w:t xml:space="preserve"> Canada for HS code: 3824 90 for 2005 to 2016</w:t>
            </w:r>
          </w:p>
        </w:tc>
      </w:tr>
      <w:tr w:rsidR="006E706D" w:rsidRPr="00F7615F" w14:paraId="2DAAFCE9" w14:textId="77777777" w:rsidTr="00FE5F09">
        <w:trPr>
          <w:trHeight w:val="5525"/>
        </w:trPr>
        <w:tc>
          <w:tcPr>
            <w:tcW w:w="9016" w:type="dxa"/>
            <w:tcBorders>
              <w:bottom w:val="single" w:sz="4" w:space="0" w:color="auto"/>
            </w:tcBorders>
          </w:tcPr>
          <w:p w14:paraId="25B7F654" w14:textId="098177AA" w:rsidR="006E706D" w:rsidRPr="00AD25FF" w:rsidRDefault="006E706D" w:rsidP="00333736">
            <w:pPr>
              <w:tabs>
                <w:tab w:val="center" w:pos="4400"/>
              </w:tabs>
              <w:jc w:val="center"/>
              <w:rPr>
                <w:rFonts w:cs="Arial"/>
                <w:noProof/>
                <w:sz w:val="10"/>
                <w:szCs w:val="10"/>
              </w:rPr>
            </w:pPr>
          </w:p>
          <w:p w14:paraId="1D71B149" w14:textId="30AFB3F8" w:rsidR="006E706D" w:rsidRPr="00F7615F" w:rsidRDefault="00333736" w:rsidP="00333736">
            <w:pPr>
              <w:tabs>
                <w:tab w:val="center" w:pos="4400"/>
              </w:tabs>
              <w:rPr>
                <w:rFonts w:cs="Arial"/>
                <w:szCs w:val="24"/>
              </w:rPr>
            </w:pPr>
            <w:r>
              <w:rPr>
                <w:rFonts w:cs="Arial"/>
                <w:noProof/>
                <w:sz w:val="10"/>
                <w:szCs w:val="10"/>
              </w:rPr>
              <w:drawing>
                <wp:inline distT="0" distB="0" distL="0" distR="0" wp14:anchorId="4FA5B89C" wp14:editId="261C9340">
                  <wp:extent cx="5579096" cy="3630304"/>
                  <wp:effectExtent l="0" t="0" r="317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5080"/>
                          <a:stretch/>
                        </pic:blipFill>
                        <pic:spPr bwMode="auto">
                          <a:xfrm>
                            <a:off x="0" y="0"/>
                            <a:ext cx="5580000" cy="363089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E706D" w:rsidRPr="00BC5820" w14:paraId="2BF4CCB5" w14:textId="77777777" w:rsidTr="00FE5F09">
        <w:tc>
          <w:tcPr>
            <w:tcW w:w="9016" w:type="dxa"/>
            <w:tcBorders>
              <w:top w:val="single" w:sz="4" w:space="0" w:color="auto"/>
              <w:left w:val="nil"/>
              <w:bottom w:val="nil"/>
              <w:right w:val="nil"/>
            </w:tcBorders>
          </w:tcPr>
          <w:p w14:paraId="13B543C0" w14:textId="77777777" w:rsidR="006E706D" w:rsidRPr="00BC5820" w:rsidRDefault="006E706D" w:rsidP="00FE5F09">
            <w:pPr>
              <w:pStyle w:val="Tablesource"/>
              <w:rPr>
                <w:iCs/>
                <w:color w:val="005EA5"/>
                <w:u w:val="single"/>
              </w:rPr>
            </w:pPr>
            <w:r w:rsidRPr="00BC5820">
              <w:t xml:space="preserve">Source: </w:t>
            </w:r>
            <w:r>
              <w:t>Frontier Economics analysis of UN Comtrade data</w:t>
            </w:r>
            <w:r w:rsidRPr="00AD25FF">
              <w:t>.</w:t>
            </w:r>
          </w:p>
        </w:tc>
      </w:tr>
    </w:tbl>
    <w:p w14:paraId="551F6B8D" w14:textId="0A5121E4" w:rsidR="006E706D" w:rsidRDefault="006E706D" w:rsidP="00016CC0">
      <w:r>
        <w:t>We now explore more recent patterns of trade to understand the materiality of the circumvention risk for the categories of goods included in</w:t>
      </w:r>
      <w:r w:rsidR="00E0019C">
        <w:t xml:space="preserve"> </w:t>
      </w:r>
      <w:r w:rsidR="00E0019C">
        <w:fldChar w:fldCharType="begin"/>
      </w:r>
      <w:r w:rsidR="00E0019C">
        <w:instrText xml:space="preserve"> REF _Ref103868984 \h </w:instrText>
      </w:r>
      <w:r w:rsidR="00E0019C">
        <w:fldChar w:fldCharType="separate"/>
      </w:r>
      <w:r w:rsidR="00BF139B">
        <w:t xml:space="preserve">Table </w:t>
      </w:r>
      <w:r w:rsidR="00BF139B">
        <w:rPr>
          <w:noProof/>
        </w:rPr>
        <w:t>4</w:t>
      </w:r>
      <w:r w:rsidR="00E0019C">
        <w:fldChar w:fldCharType="end"/>
      </w:r>
      <w:r>
        <w:t xml:space="preserve">. </w:t>
      </w:r>
    </w:p>
    <w:p w14:paraId="316DE334" w14:textId="5B3FCADA" w:rsidR="006E706D" w:rsidRDefault="006E706D" w:rsidP="00CB61F3">
      <w:r>
        <w:t xml:space="preserve">We begin by identifying the five largest exporters into the EU-28 and UK for those CN codes with the most material trade values between 2015 to 2020. We do this using Eurostat data. </w:t>
      </w:r>
      <w:r w:rsidR="00337849">
        <w:fldChar w:fldCharType="begin"/>
      </w:r>
      <w:r w:rsidR="00337849">
        <w:instrText xml:space="preserve"> REF _Ref112842342 \h </w:instrText>
      </w:r>
      <w:r w:rsidR="00337849">
        <w:fldChar w:fldCharType="separate"/>
      </w:r>
      <w:r w:rsidR="00337849" w:rsidRPr="00CA3671">
        <w:t xml:space="preserve">Figure </w:t>
      </w:r>
      <w:r w:rsidR="00337849">
        <w:rPr>
          <w:noProof/>
        </w:rPr>
        <w:t>18</w:t>
      </w:r>
      <w:r w:rsidR="00337849">
        <w:fldChar w:fldCharType="end"/>
      </w:r>
      <w:r>
        <w:t xml:space="preserve"> presents the results for CN code 3826 00 10, which has the largest value of trade of these CN codes. For the EU-28, we see </w:t>
      </w:r>
      <w:r w:rsidR="006F07A6">
        <w:t xml:space="preserve">that </w:t>
      </w:r>
      <w:r>
        <w:t>imports remain relatively constant from Malaysia and other nations. From 2017 onwards</w:t>
      </w:r>
      <w:r w:rsidR="006F07A6">
        <w:t>,</w:t>
      </w:r>
      <w:r>
        <w:t xml:space="preserve"> however, there is </w:t>
      </w:r>
      <w:r w:rsidR="006F07A6">
        <w:t xml:space="preserve">a </w:t>
      </w:r>
      <w:r>
        <w:t xml:space="preserve">large increase in imports from Argentina and Indonesia (following the expiry of duties), with this later followed by Malaysia and </w:t>
      </w:r>
      <w:r w:rsidR="002406F0">
        <w:t>PRC</w:t>
      </w:r>
      <w:r>
        <w:t xml:space="preserve"> in 2019. </w:t>
      </w:r>
      <w:r w:rsidR="006F07A6">
        <w:t>However, t</w:t>
      </w:r>
      <w:r>
        <w:t xml:space="preserve">his trend is not seen for the UK in </w:t>
      </w:r>
      <w:r w:rsidR="00337849">
        <w:fldChar w:fldCharType="begin"/>
      </w:r>
      <w:r w:rsidR="00337849">
        <w:instrText xml:space="preserve"> REF _Ref112842389 \h </w:instrText>
      </w:r>
      <w:r w:rsidR="00337849">
        <w:fldChar w:fldCharType="separate"/>
      </w:r>
      <w:r w:rsidR="00337849" w:rsidRPr="004B3C59">
        <w:t xml:space="preserve">Figure </w:t>
      </w:r>
      <w:r w:rsidR="00337849">
        <w:rPr>
          <w:noProof/>
        </w:rPr>
        <w:t>19</w:t>
      </w:r>
      <w:r w:rsidR="00337849">
        <w:fldChar w:fldCharType="end"/>
      </w:r>
      <w:r w:rsidR="00337849">
        <w:t xml:space="preserve"> </w:t>
      </w:r>
      <w:r>
        <w:t xml:space="preserve">where total imports decline over the period and involve relatively immaterial values of trade. </w:t>
      </w:r>
    </w:p>
    <w:tbl>
      <w:tblPr>
        <w:tblStyle w:val="TableGrid"/>
        <w:tblW w:w="0" w:type="auto"/>
        <w:tblLook w:val="04A0" w:firstRow="1" w:lastRow="0" w:firstColumn="1" w:lastColumn="0" w:noHBand="0" w:noVBand="1"/>
      </w:tblPr>
      <w:tblGrid>
        <w:gridCol w:w="9016"/>
      </w:tblGrid>
      <w:tr w:rsidR="006E706D" w:rsidRPr="00F7615F" w14:paraId="4E910A19" w14:textId="77777777" w:rsidTr="00FE5F09">
        <w:tc>
          <w:tcPr>
            <w:tcW w:w="9016" w:type="dxa"/>
            <w:tcBorders>
              <w:bottom w:val="single" w:sz="4" w:space="0" w:color="auto"/>
            </w:tcBorders>
            <w:shd w:val="clear" w:color="auto" w:fill="24135F"/>
          </w:tcPr>
          <w:p w14:paraId="5FB219B4" w14:textId="6CF0FC5D" w:rsidR="006E706D" w:rsidRPr="00C57E0F" w:rsidRDefault="006E706D" w:rsidP="00DE3BA6">
            <w:pPr>
              <w:pStyle w:val="Caption"/>
            </w:pPr>
            <w:bookmarkStart w:id="106" w:name="_Ref112842342"/>
            <w:r w:rsidRPr="007F2955">
              <w:rPr>
                <w:i w:val="0"/>
                <w:iCs w:val="0"/>
              </w:rPr>
              <w:t xml:space="preserve">Figure </w:t>
            </w:r>
            <w:r w:rsidRPr="007F2955">
              <w:rPr>
                <w:i w:val="0"/>
                <w:iCs w:val="0"/>
              </w:rPr>
              <w:fldChar w:fldCharType="begin"/>
            </w:r>
            <w:r w:rsidRPr="007F2955">
              <w:rPr>
                <w:i w:val="0"/>
                <w:iCs w:val="0"/>
              </w:rPr>
              <w:instrText>SEQ Figure \* ARABIC</w:instrText>
            </w:r>
            <w:r w:rsidRPr="007F2955">
              <w:rPr>
                <w:i w:val="0"/>
                <w:iCs w:val="0"/>
              </w:rPr>
              <w:fldChar w:fldCharType="separate"/>
            </w:r>
            <w:r w:rsidR="00625A64">
              <w:rPr>
                <w:i w:val="0"/>
                <w:iCs w:val="0"/>
                <w:noProof/>
              </w:rPr>
              <w:t>18</w:t>
            </w:r>
            <w:r w:rsidRPr="007F2955">
              <w:rPr>
                <w:i w:val="0"/>
                <w:iCs w:val="0"/>
              </w:rPr>
              <w:fldChar w:fldCharType="end"/>
            </w:r>
            <w:bookmarkEnd w:id="106"/>
            <w:r w:rsidRPr="00CA3671">
              <w:t xml:space="preserve">: Value of monthly imports into the EU-28 from the top </w:t>
            </w:r>
            <w:r w:rsidR="00732AA1">
              <w:t>five</w:t>
            </w:r>
            <w:r w:rsidRPr="00CA3671">
              <w:t xml:space="preserve"> exporters into the EU-28 for CN code: 3826 00 10 for 2015 to 2020</w:t>
            </w:r>
          </w:p>
        </w:tc>
      </w:tr>
      <w:tr w:rsidR="006E706D" w:rsidRPr="00F7615F" w14:paraId="13CE7868" w14:textId="77777777" w:rsidTr="00FE5F09">
        <w:trPr>
          <w:trHeight w:val="5525"/>
        </w:trPr>
        <w:tc>
          <w:tcPr>
            <w:tcW w:w="9016" w:type="dxa"/>
            <w:tcBorders>
              <w:bottom w:val="single" w:sz="4" w:space="0" w:color="auto"/>
            </w:tcBorders>
          </w:tcPr>
          <w:p w14:paraId="2D3D36A7" w14:textId="77777777" w:rsidR="006E706D" w:rsidRPr="00AD25FF" w:rsidRDefault="006E706D" w:rsidP="00FE5F09">
            <w:pPr>
              <w:tabs>
                <w:tab w:val="center" w:pos="4400"/>
              </w:tabs>
              <w:jc w:val="center"/>
              <w:rPr>
                <w:rFonts w:cs="Arial"/>
                <w:noProof/>
                <w:sz w:val="10"/>
                <w:szCs w:val="10"/>
              </w:rPr>
            </w:pPr>
          </w:p>
          <w:p w14:paraId="206668C8" w14:textId="5602F9F0" w:rsidR="006E706D" w:rsidRPr="00F7615F" w:rsidRDefault="003A3BD6" w:rsidP="00FE5F09">
            <w:pPr>
              <w:tabs>
                <w:tab w:val="center" w:pos="4400"/>
              </w:tabs>
              <w:jc w:val="center"/>
              <w:rPr>
                <w:rFonts w:cs="Arial"/>
                <w:noProof/>
                <w:szCs w:val="24"/>
              </w:rPr>
            </w:pPr>
            <w:r>
              <w:rPr>
                <w:rFonts w:cs="Arial"/>
                <w:noProof/>
                <w:szCs w:val="24"/>
              </w:rPr>
              <w:drawing>
                <wp:inline distT="0" distB="0" distL="0" distR="0" wp14:anchorId="7B92427B" wp14:editId="4D25436F">
                  <wp:extent cx="5580101" cy="3639600"/>
                  <wp:effectExtent l="0" t="0" r="190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4854"/>
                          <a:stretch/>
                        </pic:blipFill>
                        <pic:spPr bwMode="auto">
                          <a:xfrm>
                            <a:off x="0" y="0"/>
                            <a:ext cx="5580101" cy="3639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E706D" w:rsidRPr="00BC5820" w14:paraId="2BB66957" w14:textId="77777777" w:rsidTr="00FE5F09">
        <w:tc>
          <w:tcPr>
            <w:tcW w:w="9016" w:type="dxa"/>
            <w:tcBorders>
              <w:top w:val="single" w:sz="4" w:space="0" w:color="auto"/>
              <w:left w:val="nil"/>
              <w:bottom w:val="nil"/>
              <w:right w:val="nil"/>
            </w:tcBorders>
          </w:tcPr>
          <w:p w14:paraId="72EDE6A6" w14:textId="49D23285" w:rsidR="006E706D" w:rsidRPr="00BC5820" w:rsidRDefault="006E706D" w:rsidP="00FE5F09">
            <w:pPr>
              <w:pStyle w:val="Tablesource"/>
              <w:rPr>
                <w:iCs/>
                <w:color w:val="005EA5"/>
                <w:u w:val="single"/>
              </w:rPr>
            </w:pPr>
            <w:r w:rsidRPr="00BC5820">
              <w:t xml:space="preserve">Source: </w:t>
            </w:r>
            <w:r>
              <w:t>Frontier Economics analysis of Eurostat data</w:t>
            </w:r>
            <w:r w:rsidRPr="00AD25FF">
              <w:t>. Data presented is a three-month moving average.</w:t>
            </w:r>
            <w:r>
              <w:t xml:space="preserve"> Not all </w:t>
            </w:r>
            <w:r w:rsidDel="00F110AE">
              <w:rPr>
                <w:i w:val="0"/>
              </w:rPr>
              <w:t>South</w:t>
            </w:r>
            <w:r w:rsidR="00F110AE">
              <w:rPr>
                <w:i w:val="0"/>
              </w:rPr>
              <w:t>-East</w:t>
            </w:r>
            <w:r>
              <w:t xml:space="preserve"> Asian countries are included, as data was not available.</w:t>
            </w:r>
          </w:p>
        </w:tc>
      </w:tr>
    </w:tbl>
    <w:p w14:paraId="1BB0803B" w14:textId="77777777" w:rsidR="006E706D" w:rsidRDefault="006E706D" w:rsidP="006E706D">
      <w:pPr>
        <w:pStyle w:val="NoSpacing"/>
        <w:spacing w:line="360" w:lineRule="auto"/>
        <w:rPr>
          <w:rFonts w:eastAsiaTheme="majorEastAsia"/>
        </w:rPr>
      </w:pPr>
    </w:p>
    <w:tbl>
      <w:tblPr>
        <w:tblStyle w:val="TableGrid"/>
        <w:tblW w:w="0" w:type="auto"/>
        <w:tblLook w:val="04A0" w:firstRow="1" w:lastRow="0" w:firstColumn="1" w:lastColumn="0" w:noHBand="0" w:noVBand="1"/>
      </w:tblPr>
      <w:tblGrid>
        <w:gridCol w:w="9016"/>
      </w:tblGrid>
      <w:tr w:rsidR="006E706D" w:rsidRPr="00F7615F" w14:paraId="353968C7" w14:textId="77777777" w:rsidTr="00FE5F09">
        <w:tc>
          <w:tcPr>
            <w:tcW w:w="9016" w:type="dxa"/>
            <w:tcBorders>
              <w:bottom w:val="single" w:sz="4" w:space="0" w:color="auto"/>
            </w:tcBorders>
            <w:shd w:val="clear" w:color="auto" w:fill="24135F"/>
          </w:tcPr>
          <w:p w14:paraId="5D3429EE" w14:textId="2EC87F47" w:rsidR="006E706D" w:rsidRPr="00C57E0F" w:rsidRDefault="006E706D" w:rsidP="00DE3BA6">
            <w:pPr>
              <w:pStyle w:val="Caption"/>
            </w:pPr>
            <w:bookmarkStart w:id="107" w:name="_Ref112842389"/>
            <w:bookmarkStart w:id="108" w:name="_Ref100740612"/>
            <w:r w:rsidRPr="007F2955">
              <w:rPr>
                <w:i w:val="0"/>
                <w:iCs w:val="0"/>
              </w:rPr>
              <w:t xml:space="preserve">Figure </w:t>
            </w:r>
            <w:r w:rsidRPr="007F2955">
              <w:rPr>
                <w:i w:val="0"/>
                <w:iCs w:val="0"/>
              </w:rPr>
              <w:fldChar w:fldCharType="begin"/>
            </w:r>
            <w:r w:rsidRPr="007F2955">
              <w:rPr>
                <w:i w:val="0"/>
                <w:iCs w:val="0"/>
              </w:rPr>
              <w:instrText>SEQ Figure \* ARABIC</w:instrText>
            </w:r>
            <w:r w:rsidRPr="007F2955">
              <w:rPr>
                <w:i w:val="0"/>
                <w:iCs w:val="0"/>
              </w:rPr>
              <w:fldChar w:fldCharType="separate"/>
            </w:r>
            <w:r w:rsidR="00625A64">
              <w:rPr>
                <w:i w:val="0"/>
                <w:iCs w:val="0"/>
                <w:noProof/>
              </w:rPr>
              <w:t>19</w:t>
            </w:r>
            <w:r w:rsidRPr="007F2955">
              <w:rPr>
                <w:i w:val="0"/>
                <w:iCs w:val="0"/>
              </w:rPr>
              <w:fldChar w:fldCharType="end"/>
            </w:r>
            <w:bookmarkEnd w:id="107"/>
            <w:bookmarkEnd w:id="108"/>
            <w:r w:rsidRPr="004B3C59">
              <w:t xml:space="preserve">: Value of monthly imports into the UK from the top </w:t>
            </w:r>
            <w:r w:rsidR="00732AA1">
              <w:t>five</w:t>
            </w:r>
            <w:r w:rsidRPr="004B3C59">
              <w:t xml:space="preserve"> exporters into the UK for CN code: 3826 00 10 for 2015 to 2020</w:t>
            </w:r>
          </w:p>
        </w:tc>
      </w:tr>
      <w:tr w:rsidR="006E706D" w:rsidRPr="00F7615F" w14:paraId="09F140D7" w14:textId="77777777" w:rsidTr="00FE5F09">
        <w:trPr>
          <w:trHeight w:val="5525"/>
        </w:trPr>
        <w:tc>
          <w:tcPr>
            <w:tcW w:w="9016" w:type="dxa"/>
            <w:tcBorders>
              <w:bottom w:val="single" w:sz="4" w:space="0" w:color="auto"/>
            </w:tcBorders>
          </w:tcPr>
          <w:p w14:paraId="7675618C" w14:textId="77777777" w:rsidR="006E706D" w:rsidRPr="00AD25FF" w:rsidRDefault="006E706D" w:rsidP="00FE5F09">
            <w:pPr>
              <w:tabs>
                <w:tab w:val="center" w:pos="4400"/>
              </w:tabs>
              <w:jc w:val="center"/>
              <w:rPr>
                <w:rFonts w:cs="Arial"/>
                <w:noProof/>
                <w:sz w:val="10"/>
                <w:szCs w:val="10"/>
              </w:rPr>
            </w:pPr>
          </w:p>
          <w:p w14:paraId="102C2E19" w14:textId="77777777" w:rsidR="006E706D" w:rsidRPr="00F7615F" w:rsidRDefault="006E706D" w:rsidP="00FE5F09">
            <w:pPr>
              <w:tabs>
                <w:tab w:val="center" w:pos="4400"/>
              </w:tabs>
              <w:jc w:val="center"/>
              <w:rPr>
                <w:rFonts w:cs="Arial"/>
                <w:szCs w:val="24"/>
              </w:rPr>
            </w:pPr>
            <w:r>
              <w:rPr>
                <w:rFonts w:cs="Arial"/>
                <w:noProof/>
                <w:szCs w:val="24"/>
              </w:rPr>
              <w:drawing>
                <wp:inline distT="0" distB="0" distL="0" distR="0" wp14:anchorId="55C492E2" wp14:editId="74D1D49C">
                  <wp:extent cx="5579476" cy="363855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4818"/>
                          <a:stretch/>
                        </pic:blipFill>
                        <pic:spPr bwMode="auto">
                          <a:xfrm>
                            <a:off x="0" y="0"/>
                            <a:ext cx="5580000" cy="36388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E706D" w:rsidRPr="00BC5820" w14:paraId="4DEDFCBA" w14:textId="77777777" w:rsidTr="00FE5F09">
        <w:tc>
          <w:tcPr>
            <w:tcW w:w="9016" w:type="dxa"/>
            <w:tcBorders>
              <w:top w:val="single" w:sz="4" w:space="0" w:color="auto"/>
              <w:left w:val="nil"/>
              <w:bottom w:val="nil"/>
              <w:right w:val="nil"/>
            </w:tcBorders>
          </w:tcPr>
          <w:p w14:paraId="2ABFB48F" w14:textId="42D65AA3" w:rsidR="006E706D" w:rsidRDefault="00900F0A" w:rsidP="00900F0A">
            <w:pPr>
              <w:pStyle w:val="Tablenote"/>
            </w:pPr>
            <w:r>
              <w:t xml:space="preserve">Note: </w:t>
            </w:r>
            <w:r w:rsidR="006E706D">
              <w:t xml:space="preserve">Not all </w:t>
            </w:r>
            <w:r w:rsidR="006E706D" w:rsidDel="00F110AE">
              <w:t>South</w:t>
            </w:r>
            <w:r w:rsidR="00F110AE">
              <w:t>-East</w:t>
            </w:r>
            <w:r w:rsidR="006E706D">
              <w:t xml:space="preserve"> Asian countries are included, as data was not available.</w:t>
            </w:r>
          </w:p>
          <w:p w14:paraId="07511DB9" w14:textId="37E050EE" w:rsidR="00900F0A" w:rsidRPr="00BC5820" w:rsidRDefault="00900F0A" w:rsidP="00900F0A">
            <w:pPr>
              <w:pStyle w:val="Tablenote"/>
              <w:rPr>
                <w:iCs/>
                <w:color w:val="005EA5"/>
                <w:u w:val="single"/>
              </w:rPr>
            </w:pPr>
            <w:r w:rsidRPr="00BC5820">
              <w:t xml:space="preserve">Source: </w:t>
            </w:r>
            <w:r>
              <w:t>Frontier Economics analysis of Eurostat data</w:t>
            </w:r>
            <w:r w:rsidRPr="00AD25FF">
              <w:t>. Data presented is a three-month moving average.</w:t>
            </w:r>
          </w:p>
        </w:tc>
      </w:tr>
    </w:tbl>
    <w:p w14:paraId="6A7887FF" w14:textId="6F86B2BC" w:rsidR="006E706D" w:rsidRDefault="006E706D" w:rsidP="00016CC0">
      <w:r>
        <w:t xml:space="preserve">For both the EU-28 and UK, neither the </w:t>
      </w:r>
      <w:r w:rsidR="0058401A">
        <w:t>United States</w:t>
      </w:r>
      <w:r>
        <w:t xml:space="preserve"> nor Canada make</w:t>
      </w:r>
      <w:r w:rsidR="00B07822">
        <w:t>s</w:t>
      </w:r>
      <w:r>
        <w:t xml:space="preserve"> it into the top </w:t>
      </w:r>
      <w:r w:rsidR="006F07A6">
        <w:t>five</w:t>
      </w:r>
      <w:r>
        <w:t xml:space="preserve"> exporters. This is reflected in </w:t>
      </w:r>
      <w:r w:rsidR="00337849">
        <w:fldChar w:fldCharType="begin"/>
      </w:r>
      <w:r w:rsidR="00337849">
        <w:instrText xml:space="preserve"> REF _Ref112842438 \h </w:instrText>
      </w:r>
      <w:r w:rsidR="00337849">
        <w:fldChar w:fldCharType="separate"/>
      </w:r>
      <w:r w:rsidR="00337849" w:rsidRPr="004B3C59">
        <w:t xml:space="preserve">Figure </w:t>
      </w:r>
      <w:r w:rsidR="00337849">
        <w:rPr>
          <w:noProof/>
        </w:rPr>
        <w:t>20</w:t>
      </w:r>
      <w:r w:rsidR="00337849">
        <w:fldChar w:fldCharType="end"/>
      </w:r>
      <w:r>
        <w:t xml:space="preserve"> and </w:t>
      </w:r>
      <w:r w:rsidR="00337849">
        <w:fldChar w:fldCharType="begin"/>
      </w:r>
      <w:r w:rsidR="00337849">
        <w:instrText xml:space="preserve"> REF _Ref112842450 \h </w:instrText>
      </w:r>
      <w:r w:rsidR="00337849">
        <w:fldChar w:fldCharType="separate"/>
      </w:r>
      <w:r w:rsidR="00337849" w:rsidRPr="004B3C59">
        <w:t xml:space="preserve">Figure </w:t>
      </w:r>
      <w:r w:rsidR="00337849">
        <w:rPr>
          <w:noProof/>
        </w:rPr>
        <w:t>21</w:t>
      </w:r>
      <w:r w:rsidR="00337849">
        <w:fldChar w:fldCharType="end"/>
      </w:r>
      <w:r>
        <w:t xml:space="preserve">, which show the top </w:t>
      </w:r>
      <w:r w:rsidR="006F07A6">
        <w:t>five</w:t>
      </w:r>
      <w:r>
        <w:t xml:space="preserve"> export destinations for HS code 3826 00 from the </w:t>
      </w:r>
      <w:r w:rsidR="0058401A">
        <w:t>United States</w:t>
      </w:r>
      <w:r>
        <w:t xml:space="preserve"> and Canada respectively. This shows </w:t>
      </w:r>
      <w:r w:rsidR="006F07A6">
        <w:t xml:space="preserve">that </w:t>
      </w:r>
      <w:r>
        <w:t xml:space="preserve">Canada and the </w:t>
      </w:r>
      <w:r w:rsidR="0058401A">
        <w:t>United States</w:t>
      </w:r>
      <w:r>
        <w:t xml:space="preserve"> are each</w:t>
      </w:r>
      <w:r w:rsidR="006F07A6">
        <w:t xml:space="preserve"> </w:t>
      </w:r>
      <w:r>
        <w:t xml:space="preserve">other’s largest trading partner by a considerable distance for this product, with (in the case of Canada) minimal trade with Germany and </w:t>
      </w:r>
      <w:r w:rsidR="00F321EE">
        <w:t xml:space="preserve">the </w:t>
      </w:r>
      <w:r>
        <w:t xml:space="preserve">UK by comparison (which are the only EU-28 countries to make it into the top </w:t>
      </w:r>
      <w:r w:rsidR="006F07A6">
        <w:t>five</w:t>
      </w:r>
      <w:r>
        <w:t xml:space="preserve"> export destination</w:t>
      </w:r>
      <w:r w:rsidR="00341412">
        <w:t>s</w:t>
      </w:r>
      <w:r>
        <w:t xml:space="preserve"> for Canada).</w:t>
      </w:r>
    </w:p>
    <w:p w14:paraId="261F51FC" w14:textId="7B5E7313" w:rsidR="00D5771A" w:rsidRDefault="00D5771A" w:rsidP="00016CC0">
      <w:r>
        <w:br w:type="page"/>
      </w:r>
    </w:p>
    <w:tbl>
      <w:tblPr>
        <w:tblStyle w:val="TableGrid"/>
        <w:tblW w:w="0" w:type="auto"/>
        <w:tblLook w:val="04A0" w:firstRow="1" w:lastRow="0" w:firstColumn="1" w:lastColumn="0" w:noHBand="0" w:noVBand="1"/>
      </w:tblPr>
      <w:tblGrid>
        <w:gridCol w:w="9016"/>
      </w:tblGrid>
      <w:tr w:rsidR="006E706D" w:rsidRPr="00C57E0F" w14:paraId="44937D39" w14:textId="77777777" w:rsidTr="00FE5F09">
        <w:tc>
          <w:tcPr>
            <w:tcW w:w="9016" w:type="dxa"/>
            <w:tcBorders>
              <w:bottom w:val="single" w:sz="4" w:space="0" w:color="auto"/>
            </w:tcBorders>
            <w:shd w:val="clear" w:color="auto" w:fill="24135F"/>
          </w:tcPr>
          <w:p w14:paraId="61E26041" w14:textId="6F2E856F" w:rsidR="006E706D" w:rsidRPr="00C57E0F" w:rsidRDefault="006E706D" w:rsidP="00DE3BA6">
            <w:pPr>
              <w:pStyle w:val="Caption"/>
            </w:pPr>
            <w:bookmarkStart w:id="109" w:name="_Ref112842438"/>
            <w:r w:rsidRPr="00A2245D">
              <w:rPr>
                <w:i w:val="0"/>
                <w:iCs w:val="0"/>
              </w:rPr>
              <w:t xml:space="preserve">Figure </w:t>
            </w:r>
            <w:r w:rsidRPr="00A2245D">
              <w:rPr>
                <w:i w:val="0"/>
                <w:iCs w:val="0"/>
              </w:rPr>
              <w:fldChar w:fldCharType="begin"/>
            </w:r>
            <w:r w:rsidRPr="00A2245D">
              <w:rPr>
                <w:i w:val="0"/>
                <w:iCs w:val="0"/>
              </w:rPr>
              <w:instrText>SEQ Figure \* ARABIC</w:instrText>
            </w:r>
            <w:r w:rsidRPr="00A2245D">
              <w:rPr>
                <w:i w:val="0"/>
                <w:iCs w:val="0"/>
              </w:rPr>
              <w:fldChar w:fldCharType="separate"/>
            </w:r>
            <w:r w:rsidR="00625A64">
              <w:rPr>
                <w:i w:val="0"/>
                <w:iCs w:val="0"/>
                <w:noProof/>
              </w:rPr>
              <w:t>20</w:t>
            </w:r>
            <w:r w:rsidRPr="00A2245D">
              <w:rPr>
                <w:i w:val="0"/>
                <w:iCs w:val="0"/>
              </w:rPr>
              <w:fldChar w:fldCharType="end"/>
            </w:r>
            <w:bookmarkEnd w:id="109"/>
            <w:r w:rsidRPr="004B3C59">
              <w:t xml:space="preserve">: Top </w:t>
            </w:r>
            <w:r w:rsidR="00732AA1">
              <w:t>five</w:t>
            </w:r>
            <w:r w:rsidRPr="004B3C59">
              <w:t xml:space="preserve"> export destinations by value of annual exports from the </w:t>
            </w:r>
            <w:r w:rsidR="0058401A">
              <w:t>United States</w:t>
            </w:r>
            <w:r w:rsidRPr="004B3C59">
              <w:t xml:space="preserve"> for HS code: 3826 00 for 2015 to 2021</w:t>
            </w:r>
          </w:p>
        </w:tc>
      </w:tr>
      <w:tr w:rsidR="006E706D" w:rsidRPr="00F7615F" w14:paraId="44F1507B" w14:textId="77777777" w:rsidTr="00FE5F09">
        <w:trPr>
          <w:trHeight w:val="5317"/>
        </w:trPr>
        <w:tc>
          <w:tcPr>
            <w:tcW w:w="9016" w:type="dxa"/>
            <w:tcBorders>
              <w:bottom w:val="single" w:sz="4" w:space="0" w:color="auto"/>
            </w:tcBorders>
          </w:tcPr>
          <w:p w14:paraId="6937C4DA" w14:textId="77777777" w:rsidR="006E706D" w:rsidRPr="00AD25FF" w:rsidRDefault="006E706D" w:rsidP="00FE5F09">
            <w:pPr>
              <w:tabs>
                <w:tab w:val="center" w:pos="4400"/>
              </w:tabs>
              <w:jc w:val="center"/>
              <w:rPr>
                <w:rFonts w:cs="Arial"/>
                <w:noProof/>
                <w:sz w:val="10"/>
                <w:szCs w:val="10"/>
              </w:rPr>
            </w:pPr>
          </w:p>
          <w:p w14:paraId="455ED096" w14:textId="61EECA87" w:rsidR="006E706D" w:rsidRDefault="006E706D" w:rsidP="00FE5F09">
            <w:pPr>
              <w:tabs>
                <w:tab w:val="center" w:pos="4400"/>
              </w:tabs>
              <w:jc w:val="center"/>
              <w:rPr>
                <w:rFonts w:cs="Arial"/>
                <w:noProof/>
                <w:szCs w:val="24"/>
              </w:rPr>
            </w:pPr>
          </w:p>
          <w:p w14:paraId="1B87D489" w14:textId="2F008A3E" w:rsidR="008C526E" w:rsidRPr="00F7615F" w:rsidRDefault="008C526E" w:rsidP="00FE5F09">
            <w:pPr>
              <w:tabs>
                <w:tab w:val="center" w:pos="4400"/>
              </w:tabs>
              <w:jc w:val="center"/>
              <w:rPr>
                <w:rFonts w:cs="Arial"/>
                <w:noProof/>
                <w:szCs w:val="24"/>
              </w:rPr>
            </w:pPr>
            <w:r>
              <w:rPr>
                <w:noProof/>
              </w:rPr>
              <w:drawing>
                <wp:inline distT="0" distB="0" distL="0" distR="0" wp14:anchorId="56A0CF52" wp14:editId="5E986364">
                  <wp:extent cx="5579411" cy="3604437"/>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5647"/>
                          <a:stretch/>
                        </pic:blipFill>
                        <pic:spPr bwMode="auto">
                          <a:xfrm>
                            <a:off x="0" y="0"/>
                            <a:ext cx="5580000" cy="360481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69F04AE" w14:textId="6E18CB3C" w:rsidR="00D5771A" w:rsidRPr="00D5771A" w:rsidRDefault="00D5771A">
      <w:pPr>
        <w:rPr>
          <w:i/>
          <w:sz w:val="22"/>
        </w:rPr>
      </w:pPr>
      <w:r w:rsidRPr="00D5771A">
        <w:rPr>
          <w:i/>
          <w:sz w:val="22"/>
        </w:rPr>
        <w:t>Source: Frontier Economics Analysis of Comtrade Data</w:t>
      </w:r>
    </w:p>
    <w:p w14:paraId="3C001A88" w14:textId="4D838D1B" w:rsidR="00D5771A" w:rsidRDefault="00D5771A">
      <w:r>
        <w:rPr>
          <w:i/>
        </w:rPr>
        <w:br w:type="page"/>
      </w:r>
    </w:p>
    <w:tbl>
      <w:tblPr>
        <w:tblStyle w:val="TableGrid"/>
        <w:tblW w:w="0" w:type="auto"/>
        <w:tblLook w:val="04A0" w:firstRow="1" w:lastRow="0" w:firstColumn="1" w:lastColumn="0" w:noHBand="0" w:noVBand="1"/>
      </w:tblPr>
      <w:tblGrid>
        <w:gridCol w:w="9016"/>
      </w:tblGrid>
      <w:tr w:rsidR="006E706D" w:rsidRPr="00C57E0F" w14:paraId="511E4CB3" w14:textId="77777777" w:rsidTr="00D5771A">
        <w:tc>
          <w:tcPr>
            <w:tcW w:w="9016" w:type="dxa"/>
            <w:tcBorders>
              <w:bottom w:val="single" w:sz="4" w:space="0" w:color="auto"/>
            </w:tcBorders>
            <w:shd w:val="clear" w:color="auto" w:fill="24135F"/>
          </w:tcPr>
          <w:p w14:paraId="5D9FA8DF" w14:textId="12E57DAF" w:rsidR="006E706D" w:rsidRPr="00C57E0F" w:rsidRDefault="006E706D" w:rsidP="00DE3BA6">
            <w:pPr>
              <w:pStyle w:val="Caption"/>
            </w:pPr>
            <w:bookmarkStart w:id="110" w:name="_Ref112842450"/>
            <w:bookmarkStart w:id="111" w:name="_Ref100740804"/>
            <w:r w:rsidRPr="00A2245D">
              <w:rPr>
                <w:i w:val="0"/>
                <w:iCs w:val="0"/>
              </w:rPr>
              <w:t xml:space="preserve">Figure </w:t>
            </w:r>
            <w:r w:rsidRPr="00A2245D">
              <w:rPr>
                <w:i w:val="0"/>
                <w:iCs w:val="0"/>
              </w:rPr>
              <w:fldChar w:fldCharType="begin"/>
            </w:r>
            <w:r w:rsidRPr="00A2245D">
              <w:rPr>
                <w:i w:val="0"/>
                <w:iCs w:val="0"/>
              </w:rPr>
              <w:instrText>SEQ Figure \* ARABIC</w:instrText>
            </w:r>
            <w:r w:rsidRPr="00A2245D">
              <w:rPr>
                <w:i w:val="0"/>
                <w:iCs w:val="0"/>
              </w:rPr>
              <w:fldChar w:fldCharType="separate"/>
            </w:r>
            <w:r w:rsidR="00625A64">
              <w:rPr>
                <w:i w:val="0"/>
                <w:iCs w:val="0"/>
                <w:noProof/>
              </w:rPr>
              <w:t>21</w:t>
            </w:r>
            <w:r w:rsidRPr="00A2245D">
              <w:rPr>
                <w:i w:val="0"/>
                <w:iCs w:val="0"/>
              </w:rPr>
              <w:fldChar w:fldCharType="end"/>
            </w:r>
            <w:bookmarkEnd w:id="110"/>
            <w:bookmarkEnd w:id="111"/>
            <w:r w:rsidRPr="004B3C59">
              <w:t xml:space="preserve">: Top </w:t>
            </w:r>
            <w:r w:rsidR="00732AA1">
              <w:t>five</w:t>
            </w:r>
            <w:r w:rsidRPr="004B3C59">
              <w:t xml:space="preserve"> export destinations by value of annual exports from Canada for HS code: 3826 00 for 2015 to 2021</w:t>
            </w:r>
          </w:p>
        </w:tc>
      </w:tr>
      <w:tr w:rsidR="006E706D" w:rsidRPr="00F7615F" w14:paraId="20E46B74" w14:textId="77777777" w:rsidTr="00D5771A">
        <w:trPr>
          <w:trHeight w:val="5314"/>
        </w:trPr>
        <w:tc>
          <w:tcPr>
            <w:tcW w:w="9016" w:type="dxa"/>
            <w:tcBorders>
              <w:bottom w:val="single" w:sz="4" w:space="0" w:color="auto"/>
            </w:tcBorders>
          </w:tcPr>
          <w:p w14:paraId="21750242" w14:textId="4994F68D" w:rsidR="006E706D" w:rsidRPr="00F7615F" w:rsidRDefault="00875ABB" w:rsidP="00BB7ECD">
            <w:pPr>
              <w:tabs>
                <w:tab w:val="center" w:pos="4400"/>
              </w:tabs>
              <w:jc w:val="center"/>
              <w:rPr>
                <w:rFonts w:cs="Arial"/>
                <w:szCs w:val="24"/>
              </w:rPr>
            </w:pPr>
            <w:r>
              <w:rPr>
                <w:noProof/>
              </w:rPr>
              <w:drawing>
                <wp:inline distT="0" distB="0" distL="0" distR="0" wp14:anchorId="2EC8FBCF" wp14:editId="7D35E3D2">
                  <wp:extent cx="5579411" cy="3625702"/>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5090"/>
                          <a:stretch/>
                        </pic:blipFill>
                        <pic:spPr bwMode="auto">
                          <a:xfrm>
                            <a:off x="0" y="0"/>
                            <a:ext cx="5580000" cy="36260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E706D" w:rsidRPr="00BC5820" w14:paraId="3C38AD03" w14:textId="77777777" w:rsidTr="00D5771A">
        <w:tc>
          <w:tcPr>
            <w:tcW w:w="9016" w:type="dxa"/>
            <w:tcBorders>
              <w:top w:val="single" w:sz="4" w:space="0" w:color="auto"/>
              <w:left w:val="nil"/>
              <w:bottom w:val="nil"/>
              <w:right w:val="nil"/>
            </w:tcBorders>
          </w:tcPr>
          <w:p w14:paraId="75FB13EF" w14:textId="77777777" w:rsidR="006E706D" w:rsidRPr="00BC5820" w:rsidRDefault="006E706D" w:rsidP="00FE5F09">
            <w:pPr>
              <w:pStyle w:val="Tablesource"/>
              <w:rPr>
                <w:iCs/>
                <w:color w:val="005EA5"/>
                <w:u w:val="single"/>
              </w:rPr>
            </w:pPr>
            <w:r w:rsidRPr="00BC5820">
              <w:t xml:space="preserve">Source: </w:t>
            </w:r>
            <w:r>
              <w:t>Frontier Economics analysis of UN Comtrade data</w:t>
            </w:r>
            <w:r w:rsidRPr="00AD25FF">
              <w:t>.</w:t>
            </w:r>
          </w:p>
        </w:tc>
      </w:tr>
    </w:tbl>
    <w:p w14:paraId="65522939" w14:textId="4BEBE498" w:rsidR="006E706D" w:rsidRDefault="006F07A6" w:rsidP="00016CC0">
      <w:r>
        <w:t xml:space="preserve">For brevity, </w:t>
      </w:r>
      <w:r w:rsidR="006E706D">
        <w:t xml:space="preserve">we include the charts and analysis </w:t>
      </w:r>
      <w:r>
        <w:t xml:space="preserve">for the remaining three CN codes </w:t>
      </w:r>
      <w:r w:rsidR="006E706D">
        <w:t xml:space="preserve">in Annex </w:t>
      </w:r>
      <w:r w:rsidR="00FC1367">
        <w:t>5</w:t>
      </w:r>
      <w:r w:rsidR="006E706D">
        <w:t xml:space="preserve">. </w:t>
      </w:r>
      <w:r>
        <w:t>Based on</w:t>
      </w:r>
      <w:r w:rsidR="006E706D">
        <w:t xml:space="preserve"> the EU-28 and UK import analysis set out above and in Annex 3, the key trends are:</w:t>
      </w:r>
    </w:p>
    <w:p w14:paraId="1C046772" w14:textId="65428DB3" w:rsidR="006E706D" w:rsidRDefault="006E706D" w:rsidP="00865CDD">
      <w:pPr>
        <w:pStyle w:val="NoSpacing"/>
        <w:numPr>
          <w:ilvl w:val="0"/>
          <w:numId w:val="46"/>
        </w:numPr>
        <w:spacing w:line="360" w:lineRule="auto"/>
        <w:rPr>
          <w:rFonts w:eastAsiaTheme="majorEastAsia"/>
        </w:rPr>
      </w:pPr>
      <w:r>
        <w:rPr>
          <w:rFonts w:eastAsiaTheme="majorEastAsia"/>
        </w:rPr>
        <w:t xml:space="preserve">Although the import data is relatively noisy, demand appears to be </w:t>
      </w:r>
      <w:r w:rsidR="00732AA1">
        <w:rPr>
          <w:rFonts w:eastAsiaTheme="majorEastAsia"/>
        </w:rPr>
        <w:t xml:space="preserve">generally </w:t>
      </w:r>
      <w:r>
        <w:rPr>
          <w:rFonts w:eastAsiaTheme="majorEastAsia"/>
        </w:rPr>
        <w:t xml:space="preserve">trending upwards for these products. This is unsurprising given the increasing focus on climate change and the role products like biodiesel play in meeting emissions targets (by substituting for conventional fuels). </w:t>
      </w:r>
    </w:p>
    <w:p w14:paraId="70013DED" w14:textId="77777777" w:rsidR="006E706D" w:rsidRDefault="006E706D" w:rsidP="00865CDD">
      <w:pPr>
        <w:pStyle w:val="NoSpacing"/>
        <w:numPr>
          <w:ilvl w:val="0"/>
          <w:numId w:val="46"/>
        </w:numPr>
        <w:spacing w:line="360" w:lineRule="auto"/>
        <w:rPr>
          <w:rFonts w:eastAsiaTheme="majorEastAsia"/>
        </w:rPr>
      </w:pPr>
      <w:r>
        <w:rPr>
          <w:rFonts w:eastAsiaTheme="majorEastAsia"/>
        </w:rPr>
        <w:t xml:space="preserve">The mix of imports </w:t>
      </w:r>
      <w:r w:rsidRPr="006E664C">
        <w:rPr>
          <w:rFonts w:eastAsiaTheme="majorEastAsia"/>
        </w:rPr>
        <w:t>reflects to a large extent the rankings of world producers</w:t>
      </w:r>
      <w:r>
        <w:rPr>
          <w:rFonts w:eastAsiaTheme="majorEastAsia"/>
        </w:rPr>
        <w:t>.</w:t>
      </w:r>
      <w:r>
        <w:rPr>
          <w:rStyle w:val="FootnoteReference"/>
          <w:rFonts w:eastAsiaTheme="majorEastAsia"/>
        </w:rPr>
        <w:footnoteReference w:id="57"/>
      </w:r>
    </w:p>
    <w:p w14:paraId="7AB1B22B" w14:textId="77777777" w:rsidR="006E706D" w:rsidRDefault="006E706D" w:rsidP="00865CDD">
      <w:pPr>
        <w:pStyle w:val="NoSpacing"/>
        <w:numPr>
          <w:ilvl w:val="0"/>
          <w:numId w:val="46"/>
        </w:numPr>
        <w:spacing w:line="360" w:lineRule="auto"/>
        <w:rPr>
          <w:rFonts w:eastAsiaTheme="majorEastAsia"/>
        </w:rPr>
      </w:pPr>
      <w:r w:rsidRPr="006E664C">
        <w:rPr>
          <w:rFonts w:eastAsiaTheme="majorEastAsia"/>
        </w:rPr>
        <w:t>Canada is not a major exporter to the EU and the UK.</w:t>
      </w:r>
    </w:p>
    <w:p w14:paraId="0E0D0C3E" w14:textId="6ED22142" w:rsidR="006E706D" w:rsidRPr="006E664C" w:rsidRDefault="006E706D" w:rsidP="00865CDD">
      <w:pPr>
        <w:pStyle w:val="NoSpacing"/>
        <w:numPr>
          <w:ilvl w:val="0"/>
          <w:numId w:val="46"/>
        </w:numPr>
        <w:spacing w:line="360" w:lineRule="auto"/>
        <w:rPr>
          <w:rFonts w:eastAsiaTheme="majorEastAsia"/>
        </w:rPr>
      </w:pPr>
      <w:r w:rsidRPr="006E664C">
        <w:rPr>
          <w:rFonts w:eastAsiaTheme="majorEastAsia"/>
        </w:rPr>
        <w:t>There are similarities between recorded imports into the UK and the EU</w:t>
      </w:r>
      <w:r>
        <w:rPr>
          <w:rFonts w:eastAsiaTheme="majorEastAsia"/>
        </w:rPr>
        <w:t xml:space="preserve">. However, </w:t>
      </w:r>
      <w:r w:rsidRPr="006E664C">
        <w:rPr>
          <w:rFonts w:eastAsiaTheme="majorEastAsia"/>
        </w:rPr>
        <w:t xml:space="preserve">comparisons are complicated by the principle of free circulation between the UK and the EU that held </w:t>
      </w:r>
      <w:r>
        <w:rPr>
          <w:rFonts w:eastAsiaTheme="majorEastAsia"/>
        </w:rPr>
        <w:t xml:space="preserve">until </w:t>
      </w:r>
      <w:r w:rsidRPr="006E664C">
        <w:rPr>
          <w:rFonts w:eastAsiaTheme="majorEastAsia"/>
        </w:rPr>
        <w:t>the end of 2020 (</w:t>
      </w:r>
      <w:r>
        <w:rPr>
          <w:rFonts w:eastAsiaTheme="majorEastAsia"/>
        </w:rPr>
        <w:t xml:space="preserve">i.e. </w:t>
      </w:r>
      <w:r w:rsidRPr="006E664C">
        <w:rPr>
          <w:rFonts w:eastAsiaTheme="majorEastAsia"/>
        </w:rPr>
        <w:t>reported imports in</w:t>
      </w:r>
      <w:r>
        <w:rPr>
          <w:rFonts w:eastAsiaTheme="majorEastAsia"/>
        </w:rPr>
        <w:t>to</w:t>
      </w:r>
      <w:r w:rsidRPr="006E664C">
        <w:rPr>
          <w:rFonts w:eastAsiaTheme="majorEastAsia"/>
        </w:rPr>
        <w:t xml:space="preserve"> the UK may have been consumed in the EU, and vice versa).</w:t>
      </w:r>
    </w:p>
    <w:p w14:paraId="259B5A4D" w14:textId="6D02FCD2" w:rsidR="006E706D" w:rsidRDefault="006E706D" w:rsidP="00865CDD">
      <w:pPr>
        <w:pStyle w:val="NoSpacing"/>
        <w:numPr>
          <w:ilvl w:val="0"/>
          <w:numId w:val="46"/>
        </w:numPr>
        <w:spacing w:line="360" w:lineRule="auto"/>
        <w:rPr>
          <w:rFonts w:eastAsiaTheme="majorEastAsia"/>
        </w:rPr>
      </w:pPr>
      <w:r w:rsidRPr="006E664C">
        <w:rPr>
          <w:rFonts w:eastAsiaTheme="majorEastAsia"/>
        </w:rPr>
        <w:t xml:space="preserve">For certain codes, the effects of </w:t>
      </w:r>
      <w:r>
        <w:rPr>
          <w:rFonts w:eastAsiaTheme="majorEastAsia"/>
        </w:rPr>
        <w:t>anti-dumping</w:t>
      </w:r>
      <w:r w:rsidRPr="006E664C">
        <w:rPr>
          <w:rFonts w:eastAsiaTheme="majorEastAsia"/>
        </w:rPr>
        <w:t xml:space="preserve"> duties can be detected. For example, following the expiry of duties in 2018, </w:t>
      </w:r>
      <w:r>
        <w:rPr>
          <w:rFonts w:eastAsiaTheme="majorEastAsia"/>
        </w:rPr>
        <w:t xml:space="preserve">EU-28 imports </w:t>
      </w:r>
      <w:r w:rsidRPr="006E664C">
        <w:rPr>
          <w:rFonts w:eastAsiaTheme="majorEastAsia"/>
        </w:rPr>
        <w:t xml:space="preserve">of </w:t>
      </w:r>
      <w:r w:rsidR="00732AA1">
        <w:rPr>
          <w:rFonts w:eastAsiaTheme="majorEastAsia"/>
        </w:rPr>
        <w:t xml:space="preserve">code </w:t>
      </w:r>
      <w:r w:rsidRPr="006E664C">
        <w:rPr>
          <w:rFonts w:eastAsiaTheme="majorEastAsia"/>
        </w:rPr>
        <w:t xml:space="preserve">3826 00 10 </w:t>
      </w:r>
      <w:r>
        <w:rPr>
          <w:rFonts w:eastAsiaTheme="majorEastAsia"/>
        </w:rPr>
        <w:t xml:space="preserve">from </w:t>
      </w:r>
      <w:r w:rsidRPr="006E664C">
        <w:rPr>
          <w:rFonts w:eastAsiaTheme="majorEastAsia"/>
        </w:rPr>
        <w:t>Argentin</w:t>
      </w:r>
      <w:r>
        <w:rPr>
          <w:rFonts w:eastAsiaTheme="majorEastAsia"/>
        </w:rPr>
        <w:t>a</w:t>
      </w:r>
      <w:r w:rsidRPr="006E664C">
        <w:rPr>
          <w:rFonts w:eastAsiaTheme="majorEastAsia"/>
        </w:rPr>
        <w:t xml:space="preserve"> increased sharply</w:t>
      </w:r>
      <w:r>
        <w:rPr>
          <w:rFonts w:eastAsiaTheme="majorEastAsia"/>
        </w:rPr>
        <w:t>.</w:t>
      </w:r>
    </w:p>
    <w:p w14:paraId="6D59DE6F" w14:textId="51D17E83" w:rsidR="006E706D" w:rsidRDefault="006E706D" w:rsidP="00016CC0">
      <w:pPr>
        <w:spacing w:before="240"/>
      </w:pPr>
      <w:r>
        <w:t>While it is important to examine import trends into the EU-28 and the UK, understanding the export trends of the countries subject to the anti-dumping (</w:t>
      </w:r>
      <w:r w:rsidR="0058401A">
        <w:t>United States</w:t>
      </w:r>
      <w:r>
        <w:t xml:space="preserve">) and anti-circumvention (Canada) duties helps </w:t>
      </w:r>
      <w:r w:rsidR="00360BB6">
        <w:t xml:space="preserve">to </w:t>
      </w:r>
      <w:r>
        <w:t>inform the risk of further circumvention by these countries. The key trends from the analysis above are:</w:t>
      </w:r>
    </w:p>
    <w:p w14:paraId="2BB73E6A" w14:textId="0E52CB14" w:rsidR="006E706D" w:rsidRPr="006E664C" w:rsidRDefault="006E706D" w:rsidP="00865CDD">
      <w:pPr>
        <w:pStyle w:val="NoSpacing"/>
        <w:numPr>
          <w:ilvl w:val="0"/>
          <w:numId w:val="46"/>
        </w:numPr>
        <w:spacing w:line="360" w:lineRule="auto"/>
        <w:rPr>
          <w:rFonts w:eastAsiaTheme="majorEastAsia"/>
        </w:rPr>
      </w:pPr>
      <w:r w:rsidRPr="006E664C">
        <w:rPr>
          <w:rFonts w:eastAsiaTheme="majorEastAsia"/>
        </w:rPr>
        <w:t xml:space="preserve">The </w:t>
      </w:r>
      <w:r w:rsidR="0058401A">
        <w:rPr>
          <w:rFonts w:eastAsiaTheme="majorEastAsia"/>
        </w:rPr>
        <w:t>United States</w:t>
      </w:r>
      <w:r w:rsidRPr="006E664C">
        <w:rPr>
          <w:rFonts w:eastAsiaTheme="majorEastAsia"/>
        </w:rPr>
        <w:t xml:space="preserve"> and Canada have developed an important bilateral relationship in biodiesel trade. In retrospect, this suggests that the increase in exports from the </w:t>
      </w:r>
      <w:r w:rsidR="0058401A">
        <w:rPr>
          <w:rFonts w:eastAsiaTheme="majorEastAsia"/>
        </w:rPr>
        <w:t>United States</w:t>
      </w:r>
      <w:r w:rsidRPr="006E664C">
        <w:rPr>
          <w:rFonts w:eastAsiaTheme="majorEastAsia"/>
        </w:rPr>
        <w:t xml:space="preserve"> to Canada observed </w:t>
      </w:r>
      <w:r>
        <w:rPr>
          <w:rFonts w:eastAsiaTheme="majorEastAsia"/>
        </w:rPr>
        <w:t xml:space="preserve">in </w:t>
      </w:r>
      <w:r w:rsidRPr="006E664C">
        <w:rPr>
          <w:rFonts w:eastAsiaTheme="majorEastAsia"/>
        </w:rPr>
        <w:t xml:space="preserve">2010 </w:t>
      </w:r>
      <w:r>
        <w:rPr>
          <w:rFonts w:eastAsiaTheme="majorEastAsia"/>
        </w:rPr>
        <w:t>and</w:t>
      </w:r>
      <w:r w:rsidRPr="006E664C">
        <w:rPr>
          <w:rFonts w:eastAsiaTheme="majorEastAsia"/>
        </w:rPr>
        <w:t xml:space="preserve"> 2011 </w:t>
      </w:r>
      <w:r>
        <w:rPr>
          <w:rFonts w:eastAsiaTheme="majorEastAsia"/>
        </w:rPr>
        <w:t xml:space="preserve">may have been </w:t>
      </w:r>
      <w:r w:rsidRPr="006E664C">
        <w:rPr>
          <w:rFonts w:eastAsiaTheme="majorEastAsia"/>
        </w:rPr>
        <w:t>part of a broader industry dynamic. Whil</w:t>
      </w:r>
      <w:r>
        <w:rPr>
          <w:rFonts w:eastAsiaTheme="majorEastAsia"/>
        </w:rPr>
        <w:t>e t</w:t>
      </w:r>
      <w:r w:rsidRPr="006E664C">
        <w:rPr>
          <w:rFonts w:eastAsiaTheme="majorEastAsia"/>
        </w:rPr>
        <w:t xml:space="preserve">his may </w:t>
      </w:r>
      <w:r>
        <w:rPr>
          <w:rFonts w:eastAsiaTheme="majorEastAsia"/>
        </w:rPr>
        <w:t xml:space="preserve">or may not </w:t>
      </w:r>
      <w:r w:rsidRPr="006E664C">
        <w:rPr>
          <w:rFonts w:eastAsiaTheme="majorEastAsia"/>
        </w:rPr>
        <w:t>have been partly connected to duties imposed by the EU</w:t>
      </w:r>
      <w:r>
        <w:rPr>
          <w:rFonts w:eastAsiaTheme="majorEastAsia"/>
        </w:rPr>
        <w:t xml:space="preserve"> (and therefore attempted circumvention)</w:t>
      </w:r>
      <w:r w:rsidRPr="006E664C">
        <w:rPr>
          <w:rFonts w:eastAsiaTheme="majorEastAsia"/>
        </w:rPr>
        <w:t xml:space="preserve">, </w:t>
      </w:r>
      <w:r>
        <w:rPr>
          <w:rFonts w:eastAsiaTheme="majorEastAsia"/>
        </w:rPr>
        <w:t xml:space="preserve">it </w:t>
      </w:r>
      <w:r w:rsidRPr="006E664C">
        <w:rPr>
          <w:rFonts w:eastAsiaTheme="majorEastAsia"/>
        </w:rPr>
        <w:t xml:space="preserve">might </w:t>
      </w:r>
      <w:r>
        <w:rPr>
          <w:rFonts w:eastAsiaTheme="majorEastAsia"/>
        </w:rPr>
        <w:t xml:space="preserve">also reflect </w:t>
      </w:r>
      <w:r w:rsidRPr="006E664C">
        <w:rPr>
          <w:rFonts w:eastAsiaTheme="majorEastAsia"/>
        </w:rPr>
        <w:t>trade deflection and</w:t>
      </w:r>
      <w:r w:rsidR="00360BB6">
        <w:rPr>
          <w:rFonts w:eastAsiaTheme="majorEastAsia"/>
        </w:rPr>
        <w:t>,</w:t>
      </w:r>
      <w:r w:rsidRPr="006E664C">
        <w:rPr>
          <w:rFonts w:eastAsiaTheme="majorEastAsia"/>
        </w:rPr>
        <w:t xml:space="preserve"> more broadly</w:t>
      </w:r>
      <w:r w:rsidR="00360BB6">
        <w:rPr>
          <w:rFonts w:eastAsiaTheme="majorEastAsia"/>
        </w:rPr>
        <w:t>,</w:t>
      </w:r>
      <w:r w:rsidRPr="006E664C">
        <w:rPr>
          <w:rFonts w:eastAsiaTheme="majorEastAsia"/>
        </w:rPr>
        <w:t xml:space="preserve"> efforts to diversify markets </w:t>
      </w:r>
      <w:r>
        <w:rPr>
          <w:rFonts w:eastAsiaTheme="majorEastAsia"/>
        </w:rPr>
        <w:t xml:space="preserve">to </w:t>
      </w:r>
      <w:r w:rsidRPr="006E664C">
        <w:rPr>
          <w:rFonts w:eastAsiaTheme="majorEastAsia"/>
        </w:rPr>
        <w:t>tak</w:t>
      </w:r>
      <w:r>
        <w:rPr>
          <w:rFonts w:eastAsiaTheme="majorEastAsia"/>
        </w:rPr>
        <w:t>e</w:t>
      </w:r>
      <w:r w:rsidRPr="006E664C">
        <w:rPr>
          <w:rFonts w:eastAsiaTheme="majorEastAsia"/>
        </w:rPr>
        <w:t xml:space="preserve"> advantage of trends in demand and end-use</w:t>
      </w:r>
      <w:r>
        <w:rPr>
          <w:rFonts w:eastAsiaTheme="majorEastAsia"/>
        </w:rPr>
        <w:t>.</w:t>
      </w:r>
    </w:p>
    <w:p w14:paraId="2FE2262D" w14:textId="33AD85D8" w:rsidR="006E706D" w:rsidRPr="006E664C" w:rsidRDefault="006E706D" w:rsidP="00865CDD">
      <w:pPr>
        <w:pStyle w:val="NoSpacing"/>
        <w:numPr>
          <w:ilvl w:val="0"/>
          <w:numId w:val="46"/>
        </w:numPr>
        <w:spacing w:line="360" w:lineRule="auto"/>
        <w:rPr>
          <w:rFonts w:eastAsiaTheme="majorEastAsia"/>
        </w:rPr>
      </w:pPr>
      <w:r w:rsidRPr="006E664C">
        <w:rPr>
          <w:rFonts w:eastAsiaTheme="majorEastAsia"/>
        </w:rPr>
        <w:t xml:space="preserve">The material expansion of exports to Singapore (a country previously subject to an EU anti-circumvention investigation) from the </w:t>
      </w:r>
      <w:r w:rsidR="0058401A">
        <w:rPr>
          <w:rFonts w:eastAsiaTheme="majorEastAsia"/>
        </w:rPr>
        <w:t>United States</w:t>
      </w:r>
      <w:r w:rsidRPr="006E664C">
        <w:rPr>
          <w:rFonts w:eastAsiaTheme="majorEastAsia"/>
        </w:rPr>
        <w:t xml:space="preserve"> and Canada was not accompanied by an equally material increase in exports from Singapore to the EU-28 or the UK</w:t>
      </w:r>
      <w:r>
        <w:rPr>
          <w:rFonts w:eastAsiaTheme="majorEastAsia"/>
        </w:rPr>
        <w:t xml:space="preserve"> (see Annex </w:t>
      </w:r>
      <w:r w:rsidR="00FC1367">
        <w:rPr>
          <w:rFonts w:eastAsiaTheme="majorEastAsia"/>
        </w:rPr>
        <w:t>5</w:t>
      </w:r>
      <w:r>
        <w:rPr>
          <w:rFonts w:eastAsiaTheme="majorEastAsia"/>
        </w:rPr>
        <w:t>). I</w:t>
      </w:r>
      <w:r w:rsidRPr="006E664C">
        <w:rPr>
          <w:rFonts w:eastAsiaTheme="majorEastAsia"/>
        </w:rPr>
        <w:t>f it had</w:t>
      </w:r>
      <w:r w:rsidR="00403DD3">
        <w:rPr>
          <w:rFonts w:eastAsiaTheme="majorEastAsia"/>
        </w:rPr>
        <w:t xml:space="preserve"> been</w:t>
      </w:r>
      <w:r w:rsidRPr="006E664C">
        <w:rPr>
          <w:rFonts w:eastAsiaTheme="majorEastAsia"/>
        </w:rPr>
        <w:t xml:space="preserve">, </w:t>
      </w:r>
      <w:r>
        <w:rPr>
          <w:rFonts w:eastAsiaTheme="majorEastAsia"/>
        </w:rPr>
        <w:t xml:space="preserve">then this </w:t>
      </w:r>
      <w:r w:rsidR="00360BB6">
        <w:rPr>
          <w:rFonts w:eastAsiaTheme="majorEastAsia"/>
        </w:rPr>
        <w:t>might</w:t>
      </w:r>
      <w:r w:rsidR="00360BB6" w:rsidRPr="006E664C">
        <w:rPr>
          <w:rFonts w:eastAsiaTheme="majorEastAsia"/>
        </w:rPr>
        <w:t xml:space="preserve"> </w:t>
      </w:r>
      <w:r w:rsidRPr="006E664C">
        <w:rPr>
          <w:rFonts w:eastAsiaTheme="majorEastAsia"/>
        </w:rPr>
        <w:t xml:space="preserve">have suggested attempted circumvention. </w:t>
      </w:r>
    </w:p>
    <w:p w14:paraId="3F71D2DD" w14:textId="752E9D42" w:rsidR="006E706D" w:rsidRPr="00344888" w:rsidRDefault="006E706D" w:rsidP="00016CC0">
      <w:pPr>
        <w:spacing w:before="240"/>
      </w:pPr>
      <w:r>
        <w:t xml:space="preserve">Taken together, the retrospective analysis above suggests </w:t>
      </w:r>
      <w:r w:rsidR="00A23706">
        <w:t>various ways in which investigations into the existence of circumvention could be strengthened, in order to make more robust decisions as to whether or not the imposition of duties is warranted</w:t>
      </w:r>
      <w:r w:rsidRPr="00344888">
        <w:t>.</w:t>
      </w:r>
    </w:p>
    <w:p w14:paraId="5421F59D" w14:textId="4EEF2D69" w:rsidR="006E706D" w:rsidRPr="00783817" w:rsidRDefault="00FA1C57" w:rsidP="0B87AE61">
      <w:pPr>
        <w:pStyle w:val="Heading3"/>
        <w:rPr>
          <w:rFonts w:cs="Arial"/>
          <w:b w:val="0"/>
        </w:rPr>
      </w:pPr>
      <w:bookmarkStart w:id="112" w:name="_Toc101182684"/>
      <w:bookmarkStart w:id="113" w:name="_Toc1597251689"/>
      <w:bookmarkStart w:id="114" w:name="_Toc118465295"/>
      <w:r w:rsidRPr="0B87AE61">
        <w:rPr>
          <w:rFonts w:cs="Arial"/>
        </w:rPr>
        <w:t>5.3.2</w:t>
      </w:r>
      <w:r>
        <w:tab/>
      </w:r>
      <w:r w:rsidR="006E706D" w:rsidRPr="0B87AE61">
        <w:rPr>
          <w:rFonts w:cs="Arial"/>
        </w:rPr>
        <w:t>Data and information on industrial organisation</w:t>
      </w:r>
      <w:bookmarkEnd w:id="112"/>
      <w:bookmarkEnd w:id="113"/>
      <w:bookmarkEnd w:id="114"/>
    </w:p>
    <w:p w14:paraId="4C9698DC" w14:textId="5EE6478E" w:rsidR="006E706D" w:rsidRDefault="006E706D" w:rsidP="00016CC0">
      <w:r w:rsidRPr="0064739D">
        <w:t>The market for biofuels</w:t>
      </w:r>
      <w:r w:rsidR="00A148F0">
        <w:t xml:space="preserve"> (made up of ethanol and biodiesel)</w:t>
      </w:r>
      <w:r w:rsidRPr="0064739D">
        <w:t xml:space="preserve"> expanded rapidly between 2010 and 2020, with demand for major biofuels doubling over that period. The </w:t>
      </w:r>
      <w:r w:rsidR="0058401A">
        <w:t>United States</w:t>
      </w:r>
      <w:r w:rsidRPr="0064739D">
        <w:t xml:space="preserve"> is the largest producer of biofuels by virtue of its dominance of ethanol. The EU dominates biodiesel production. The United States, Indonesia, Brazil and Argentina are the other “top </w:t>
      </w:r>
      <w:r w:rsidR="00360BB6">
        <w:t>five</w:t>
      </w:r>
      <w:r w:rsidRPr="0064739D">
        <w:t xml:space="preserve">” producers. Canada is ranked </w:t>
      </w:r>
      <w:r w:rsidR="00360BB6">
        <w:t>eighth</w:t>
      </w:r>
      <w:r w:rsidR="00360BB6" w:rsidRPr="0064739D">
        <w:t xml:space="preserve"> </w:t>
      </w:r>
      <w:r w:rsidRPr="0064739D">
        <w:t xml:space="preserve">for biodiesel. The rankings are relevant </w:t>
      </w:r>
      <w:r w:rsidR="00360BB6">
        <w:t>as</w:t>
      </w:r>
      <w:r w:rsidR="00360BB6" w:rsidRPr="0064739D">
        <w:t xml:space="preserve"> </w:t>
      </w:r>
      <w:r w:rsidRPr="0064739D">
        <w:t xml:space="preserve">close competitors are likely to attract trade remedy duties. </w:t>
      </w:r>
      <w:r w:rsidR="00474917">
        <w:t>In recent years</w:t>
      </w:r>
      <w:r w:rsidR="00360BB6">
        <w:t>,</w:t>
      </w:r>
      <w:r w:rsidR="00474917">
        <w:t xml:space="preserve"> the EU has</w:t>
      </w:r>
      <w:r w:rsidRPr="0064739D">
        <w:t xml:space="preserve"> levied duties on biodiesel on all of its top </w:t>
      </w:r>
      <w:r w:rsidR="00360BB6">
        <w:t>five</w:t>
      </w:r>
      <w:r w:rsidRPr="0064739D">
        <w:t xml:space="preserve"> competitors</w:t>
      </w:r>
      <w:r w:rsidR="00403DD3">
        <w:t>,</w:t>
      </w:r>
      <w:r w:rsidRPr="0064739D">
        <w:t xml:space="preserve"> with the exclusion of Brazil.</w:t>
      </w:r>
    </w:p>
    <w:p w14:paraId="02D1126B" w14:textId="021D0DE6" w:rsidR="006E706D" w:rsidRDefault="006E706D" w:rsidP="00016CC0">
      <w:r>
        <w:t xml:space="preserve">Data on national production and national consumption </w:t>
      </w:r>
      <w:r w:rsidR="001D63BF">
        <w:t xml:space="preserve">is </w:t>
      </w:r>
      <w:r>
        <w:t>available from the OECD for biodiesel and for ethanol (at an aggregate level).</w:t>
      </w:r>
      <w:r>
        <w:rPr>
          <w:rStyle w:val="FootnoteReference"/>
        </w:rPr>
        <w:footnoteReference w:id="58"/>
      </w:r>
      <w:r>
        <w:t xml:space="preserve"> While </w:t>
      </w:r>
      <w:r w:rsidR="00360BB6">
        <w:t xml:space="preserve">this </w:t>
      </w:r>
      <w:r>
        <w:t>data lack</w:t>
      </w:r>
      <w:r w:rsidR="00360BB6">
        <w:t>s</w:t>
      </w:r>
      <w:r>
        <w:t xml:space="preserve"> the granularity associated with a trade remed</w:t>
      </w:r>
      <w:r w:rsidR="00360BB6">
        <w:t>y</w:t>
      </w:r>
      <w:r>
        <w:t xml:space="preserve"> case, </w:t>
      </w:r>
      <w:r w:rsidR="00360BB6">
        <w:t>it is</w:t>
      </w:r>
      <w:r>
        <w:t xml:space="preserve"> useful in considering high</w:t>
      </w:r>
      <w:r w:rsidR="00360BB6">
        <w:t>-</w:t>
      </w:r>
      <w:r>
        <w:t xml:space="preserve">level trends. </w:t>
      </w:r>
      <w:r w:rsidR="00443EA3">
        <w:fldChar w:fldCharType="begin"/>
      </w:r>
      <w:r w:rsidR="00443EA3">
        <w:instrText xml:space="preserve"> REF _Ref112842479 \h </w:instrText>
      </w:r>
      <w:r w:rsidR="00443EA3">
        <w:fldChar w:fldCharType="separate"/>
      </w:r>
      <w:r w:rsidR="00443EA3">
        <w:t xml:space="preserve">Figure </w:t>
      </w:r>
      <w:r w:rsidR="00443EA3">
        <w:rPr>
          <w:noProof/>
        </w:rPr>
        <w:t>22</w:t>
      </w:r>
      <w:r w:rsidR="00443EA3">
        <w:fldChar w:fldCharType="end"/>
      </w:r>
      <w:r w:rsidR="00443EA3">
        <w:t xml:space="preserve"> </w:t>
      </w:r>
      <w:r>
        <w:t xml:space="preserve">reports production trends for the world, OECD, the </w:t>
      </w:r>
      <w:r w:rsidR="0058401A">
        <w:t>United States</w:t>
      </w:r>
      <w:r>
        <w:t>, the EU27, Canada</w:t>
      </w:r>
      <w:r w:rsidR="008C4920">
        <w:t xml:space="preserve"> and Argentina</w:t>
      </w:r>
      <w:r>
        <w:t xml:space="preserve">. </w:t>
      </w:r>
    </w:p>
    <w:tbl>
      <w:tblPr>
        <w:tblStyle w:val="TableGrid"/>
        <w:tblW w:w="0" w:type="auto"/>
        <w:tblLook w:val="04A0" w:firstRow="1" w:lastRow="0" w:firstColumn="1" w:lastColumn="0" w:noHBand="0" w:noVBand="1"/>
      </w:tblPr>
      <w:tblGrid>
        <w:gridCol w:w="9016"/>
      </w:tblGrid>
      <w:tr w:rsidR="006E706D" w:rsidRPr="00C57E0F" w14:paraId="446A1CED" w14:textId="77777777" w:rsidTr="00FE5F09">
        <w:tc>
          <w:tcPr>
            <w:tcW w:w="9016" w:type="dxa"/>
            <w:tcBorders>
              <w:bottom w:val="single" w:sz="4" w:space="0" w:color="auto"/>
            </w:tcBorders>
            <w:shd w:val="clear" w:color="auto" w:fill="24135F"/>
          </w:tcPr>
          <w:p w14:paraId="35D84209" w14:textId="3C5E2A39" w:rsidR="006E706D" w:rsidRPr="00C57E0F" w:rsidRDefault="006E706D" w:rsidP="00FE5F09">
            <w:pPr>
              <w:pStyle w:val="Caption"/>
            </w:pPr>
            <w:bookmarkStart w:id="115" w:name="_Ref112842479"/>
            <w:r w:rsidRPr="00A2245D">
              <w:rPr>
                <w:i w:val="0"/>
                <w:iCs w:val="0"/>
              </w:rPr>
              <w:t xml:space="preserve">Figure </w:t>
            </w:r>
            <w:r w:rsidRPr="00A2245D">
              <w:rPr>
                <w:i w:val="0"/>
                <w:iCs w:val="0"/>
              </w:rPr>
              <w:fldChar w:fldCharType="begin"/>
            </w:r>
            <w:r w:rsidRPr="00A2245D">
              <w:rPr>
                <w:i w:val="0"/>
                <w:iCs w:val="0"/>
              </w:rPr>
              <w:instrText>SEQ Figure \* ARABIC</w:instrText>
            </w:r>
            <w:r w:rsidRPr="00A2245D">
              <w:rPr>
                <w:i w:val="0"/>
                <w:iCs w:val="0"/>
              </w:rPr>
              <w:fldChar w:fldCharType="separate"/>
            </w:r>
            <w:r w:rsidR="00625A64">
              <w:rPr>
                <w:i w:val="0"/>
                <w:iCs w:val="0"/>
                <w:noProof/>
              </w:rPr>
              <w:t>22</w:t>
            </w:r>
            <w:r w:rsidRPr="00A2245D">
              <w:rPr>
                <w:i w:val="0"/>
                <w:iCs w:val="0"/>
              </w:rPr>
              <w:fldChar w:fldCharType="end"/>
            </w:r>
            <w:bookmarkEnd w:id="115"/>
            <w:r>
              <w:t>: Biodiesel production data for 2012 to 2021</w:t>
            </w:r>
          </w:p>
        </w:tc>
      </w:tr>
      <w:tr w:rsidR="006E706D" w:rsidRPr="00F7615F" w14:paraId="552E5159" w14:textId="77777777" w:rsidTr="00C65582">
        <w:trPr>
          <w:trHeight w:val="5525"/>
        </w:trPr>
        <w:tc>
          <w:tcPr>
            <w:tcW w:w="9016" w:type="dxa"/>
            <w:tcBorders>
              <w:bottom w:val="single" w:sz="4" w:space="0" w:color="auto"/>
            </w:tcBorders>
          </w:tcPr>
          <w:p w14:paraId="35E478C7" w14:textId="77777777" w:rsidR="006E706D" w:rsidRPr="00AD25FF" w:rsidRDefault="006E706D" w:rsidP="00FE5F09">
            <w:pPr>
              <w:tabs>
                <w:tab w:val="center" w:pos="4400"/>
              </w:tabs>
              <w:jc w:val="center"/>
              <w:rPr>
                <w:rFonts w:cs="Arial"/>
                <w:noProof/>
                <w:sz w:val="10"/>
                <w:szCs w:val="10"/>
              </w:rPr>
            </w:pPr>
          </w:p>
          <w:p w14:paraId="18FA4B7A" w14:textId="64255541" w:rsidR="006E706D" w:rsidRPr="00F7615F" w:rsidRDefault="00B15102" w:rsidP="00FE5F09">
            <w:pPr>
              <w:tabs>
                <w:tab w:val="center" w:pos="4400"/>
              </w:tabs>
              <w:jc w:val="center"/>
              <w:rPr>
                <w:rFonts w:cs="Arial"/>
                <w:szCs w:val="24"/>
              </w:rPr>
            </w:pPr>
            <w:r>
              <w:rPr>
                <w:noProof/>
              </w:rPr>
              <w:t xml:space="preserve"> </w:t>
            </w:r>
            <w:r w:rsidR="00C65582">
              <w:rPr>
                <w:noProof/>
              </w:rPr>
              <w:drawing>
                <wp:inline distT="0" distB="0" distL="0" distR="0" wp14:anchorId="074488A4" wp14:editId="5390DB43">
                  <wp:extent cx="5400675" cy="3128645"/>
                  <wp:effectExtent l="0" t="0" r="9525" b="14605"/>
                  <wp:docPr id="14" name="Chart 14">
                    <a:extLst xmlns:a="http://schemas.openxmlformats.org/drawingml/2006/main">
                      <a:ext uri="{FF2B5EF4-FFF2-40B4-BE49-F238E27FC236}">
                        <a16:creationId xmlns:a16="http://schemas.microsoft.com/office/drawing/2014/main" id="{4BCC0128-4B90-4AA3-9FB3-57E0CAC310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6E706D" w:rsidRPr="00BC5820" w14:paraId="5B87D422" w14:textId="77777777" w:rsidTr="00FE5F09">
        <w:tc>
          <w:tcPr>
            <w:tcW w:w="9016" w:type="dxa"/>
            <w:tcBorders>
              <w:top w:val="single" w:sz="4" w:space="0" w:color="auto"/>
              <w:left w:val="nil"/>
              <w:bottom w:val="nil"/>
              <w:right w:val="nil"/>
            </w:tcBorders>
          </w:tcPr>
          <w:p w14:paraId="45D3BCBD" w14:textId="104D1F1A" w:rsidR="006E706D" w:rsidRDefault="00A148F0" w:rsidP="00B25A27">
            <w:pPr>
              <w:pStyle w:val="Tablenote"/>
            </w:pPr>
            <w:r>
              <w:t xml:space="preserve">Note: regional and </w:t>
            </w:r>
            <w:r w:rsidRPr="002470C0">
              <w:t>country</w:t>
            </w:r>
            <w:r>
              <w:t xml:space="preserve"> totals are not additive (e.g</w:t>
            </w:r>
            <w:r w:rsidR="00C1198B">
              <w:t>.</w:t>
            </w:r>
            <w:r>
              <w:t xml:space="preserve"> OECD includes </w:t>
            </w:r>
            <w:r w:rsidR="0058401A">
              <w:t>United States</w:t>
            </w:r>
            <w:r>
              <w:t>, EU-27 and Canada)</w:t>
            </w:r>
            <w:r w:rsidR="00752B4E">
              <w:t>.</w:t>
            </w:r>
          </w:p>
          <w:p w14:paraId="6CF3AEDA" w14:textId="3E03AA51" w:rsidR="002470C0" w:rsidRPr="00BC5820" w:rsidRDefault="002470C0" w:rsidP="00FE5F09">
            <w:pPr>
              <w:pStyle w:val="Tablesource"/>
              <w:rPr>
                <w:iCs/>
                <w:color w:val="005EA5"/>
                <w:u w:val="single"/>
              </w:rPr>
            </w:pPr>
            <w:r w:rsidRPr="00BC5820">
              <w:t xml:space="preserve">Source: </w:t>
            </w:r>
            <w:r>
              <w:t>OECD</w:t>
            </w:r>
            <w:r w:rsidRPr="00AD25FF">
              <w:t>.</w:t>
            </w:r>
            <w:r>
              <w:t xml:space="preserve"> </w:t>
            </w:r>
          </w:p>
        </w:tc>
      </w:tr>
    </w:tbl>
    <w:p w14:paraId="6BC7B27B" w14:textId="17470571" w:rsidR="006E706D" w:rsidRDefault="00443EA3" w:rsidP="00016CC0">
      <w:r>
        <w:fldChar w:fldCharType="begin"/>
      </w:r>
      <w:r>
        <w:instrText xml:space="preserve"> REF _Ref112842507 \h </w:instrText>
      </w:r>
      <w:r>
        <w:fldChar w:fldCharType="separate"/>
      </w:r>
      <w:r>
        <w:t xml:space="preserve">Figure </w:t>
      </w:r>
      <w:r>
        <w:rPr>
          <w:noProof/>
        </w:rPr>
        <w:t>23</w:t>
      </w:r>
      <w:r>
        <w:fldChar w:fldCharType="end"/>
      </w:r>
      <w:r w:rsidR="006E706D">
        <w:t xml:space="preserve"> reports data on production and consumption for Canada and the United States. The data record</w:t>
      </w:r>
      <w:r w:rsidR="00360BB6">
        <w:t>s</w:t>
      </w:r>
      <w:r w:rsidR="006E706D">
        <w:t xml:space="preserve"> Canada’s increase in production relative to consumption. Recorded consumption is still in excess of production, which on the face of it is difficult to square with Canadian exports, particularly to the </w:t>
      </w:r>
      <w:r w:rsidR="0058401A">
        <w:t>United States</w:t>
      </w:r>
      <w:r w:rsidR="006E706D">
        <w:t>. The explanation could reside in the level of aggregation of the data. Different grades of biodiesel have different end-uses, and it is possible that the balance between domestic consumption and production varies by grade.</w:t>
      </w:r>
    </w:p>
    <w:p w14:paraId="7B92D4AD" w14:textId="36707CBC" w:rsidR="006E706D" w:rsidRDefault="006E706D" w:rsidP="00016CC0">
      <w:r>
        <w:t xml:space="preserve">Data for the </w:t>
      </w:r>
      <w:r w:rsidR="0058401A">
        <w:t>United States</w:t>
      </w:r>
      <w:r>
        <w:t xml:space="preserve"> show</w:t>
      </w:r>
      <w:r w:rsidR="00360BB6">
        <w:t>s</w:t>
      </w:r>
      <w:r>
        <w:t xml:space="preserve"> parallel trends for production and consumption, with the former higher than the latter. This explains United States exports, </w:t>
      </w:r>
      <w:r w:rsidR="00360BB6">
        <w:t>al</w:t>
      </w:r>
      <w:r>
        <w:t xml:space="preserve">though it </w:t>
      </w:r>
      <w:r w:rsidR="00360BB6">
        <w:t xml:space="preserve">is </w:t>
      </w:r>
      <w:r>
        <w:t xml:space="preserve">difficult to square with the reported fluctuations. Again, this could be an issue of aggregation. </w:t>
      </w:r>
    </w:p>
    <w:p w14:paraId="5589CFC9" w14:textId="0816158F" w:rsidR="006E706D" w:rsidRDefault="006E706D" w:rsidP="00016CC0">
      <w:r>
        <w:t xml:space="preserve">It is difficult to draw firm conclusions from the data, </w:t>
      </w:r>
      <w:r w:rsidR="00360BB6">
        <w:t>al</w:t>
      </w:r>
      <w:r>
        <w:t>though the low level of Canadian production in 2012 (the data series does not extend prior to this) is consistent with the EU findings that domestic production in Canada may not have been sufficient</w:t>
      </w:r>
      <w:r w:rsidR="00360BB6">
        <w:t>.</w:t>
      </w:r>
    </w:p>
    <w:p w14:paraId="5245C4F9" w14:textId="77777777" w:rsidR="00FE05B4" w:rsidRDefault="00FE05B4" w:rsidP="00016CC0"/>
    <w:tbl>
      <w:tblPr>
        <w:tblStyle w:val="TableGrid"/>
        <w:tblW w:w="0" w:type="auto"/>
        <w:tblLook w:val="04A0" w:firstRow="1" w:lastRow="0" w:firstColumn="1" w:lastColumn="0" w:noHBand="0" w:noVBand="1"/>
      </w:tblPr>
      <w:tblGrid>
        <w:gridCol w:w="9016"/>
      </w:tblGrid>
      <w:tr w:rsidR="006E706D" w:rsidRPr="00C57E0F" w14:paraId="33F67934" w14:textId="77777777" w:rsidTr="00FE5F09">
        <w:tc>
          <w:tcPr>
            <w:tcW w:w="9016" w:type="dxa"/>
            <w:tcBorders>
              <w:bottom w:val="single" w:sz="4" w:space="0" w:color="auto"/>
            </w:tcBorders>
            <w:shd w:val="clear" w:color="auto" w:fill="24135F"/>
          </w:tcPr>
          <w:p w14:paraId="22F534C7" w14:textId="3532A880" w:rsidR="006E706D" w:rsidRPr="00C57E0F" w:rsidRDefault="006E706D" w:rsidP="00DE3BA6">
            <w:pPr>
              <w:pStyle w:val="Caption"/>
            </w:pPr>
            <w:bookmarkStart w:id="116" w:name="_Ref112842507"/>
            <w:r w:rsidRPr="00A2245D">
              <w:rPr>
                <w:i w:val="0"/>
                <w:iCs w:val="0"/>
              </w:rPr>
              <w:t xml:space="preserve">Figure </w:t>
            </w:r>
            <w:r w:rsidRPr="00A2245D">
              <w:rPr>
                <w:i w:val="0"/>
                <w:iCs w:val="0"/>
              </w:rPr>
              <w:fldChar w:fldCharType="begin"/>
            </w:r>
            <w:r w:rsidRPr="00A2245D">
              <w:rPr>
                <w:i w:val="0"/>
                <w:iCs w:val="0"/>
              </w:rPr>
              <w:instrText>SEQ Figure \* ARABIC</w:instrText>
            </w:r>
            <w:r w:rsidRPr="00A2245D">
              <w:rPr>
                <w:i w:val="0"/>
                <w:iCs w:val="0"/>
              </w:rPr>
              <w:fldChar w:fldCharType="separate"/>
            </w:r>
            <w:r w:rsidR="00625A64">
              <w:rPr>
                <w:i w:val="0"/>
                <w:iCs w:val="0"/>
                <w:noProof/>
              </w:rPr>
              <w:t>23</w:t>
            </w:r>
            <w:r w:rsidRPr="00A2245D">
              <w:rPr>
                <w:i w:val="0"/>
                <w:iCs w:val="0"/>
              </w:rPr>
              <w:fldChar w:fldCharType="end"/>
            </w:r>
            <w:bookmarkEnd w:id="116"/>
            <w:r>
              <w:t xml:space="preserve">: </w:t>
            </w:r>
            <w:r w:rsidR="00703C75">
              <w:t>Biofuel c</w:t>
            </w:r>
            <w:r>
              <w:t>onsumption and production data for Canada and the United States for biodiesel for 2012 to 2021l</w:t>
            </w:r>
          </w:p>
        </w:tc>
      </w:tr>
      <w:tr w:rsidR="006E706D" w:rsidRPr="00F7615F" w14:paraId="19586330" w14:textId="77777777" w:rsidTr="00DE17F8">
        <w:trPr>
          <w:trHeight w:val="5525"/>
        </w:trPr>
        <w:tc>
          <w:tcPr>
            <w:tcW w:w="9016" w:type="dxa"/>
            <w:tcBorders>
              <w:bottom w:val="single" w:sz="4" w:space="0" w:color="auto"/>
            </w:tcBorders>
          </w:tcPr>
          <w:p w14:paraId="1194A19A" w14:textId="44151942" w:rsidR="006E706D" w:rsidRPr="00DE17F8" w:rsidRDefault="00DE17F8" w:rsidP="00FE5F09">
            <w:pPr>
              <w:tabs>
                <w:tab w:val="center" w:pos="4400"/>
              </w:tabs>
              <w:jc w:val="center"/>
              <w:rPr>
                <w:rFonts w:cs="Arial"/>
                <w:noProof/>
                <w:szCs w:val="24"/>
              </w:rPr>
            </w:pPr>
            <w:r w:rsidRPr="00DE17F8">
              <w:rPr>
                <w:rFonts w:cs="Arial"/>
                <w:noProof/>
                <w:szCs w:val="24"/>
              </w:rPr>
              <w:t>Canada</w:t>
            </w:r>
          </w:p>
          <w:p w14:paraId="0E083F08" w14:textId="4B173735" w:rsidR="006E706D" w:rsidRDefault="009B45B2" w:rsidP="00FE5F09">
            <w:pPr>
              <w:tabs>
                <w:tab w:val="center" w:pos="4400"/>
              </w:tabs>
              <w:jc w:val="center"/>
              <w:rPr>
                <w:noProof/>
              </w:rPr>
            </w:pPr>
            <w:r>
              <w:rPr>
                <w:noProof/>
              </w:rPr>
              <w:t xml:space="preserve"> </w:t>
            </w:r>
            <w:r w:rsidR="00DE17F8">
              <w:rPr>
                <w:noProof/>
              </w:rPr>
              <w:drawing>
                <wp:inline distT="0" distB="0" distL="0" distR="0" wp14:anchorId="44F627EC" wp14:editId="50257288">
                  <wp:extent cx="4871720" cy="3276600"/>
                  <wp:effectExtent l="0" t="0" r="5080" b="5080"/>
                  <wp:docPr id="9" name="Chart 9">
                    <a:extLst xmlns:a="http://schemas.openxmlformats.org/drawingml/2006/main">
                      <a:ext uri="{FF2B5EF4-FFF2-40B4-BE49-F238E27FC236}">
                        <a16:creationId xmlns:a16="http://schemas.microsoft.com/office/drawing/2014/main" id="{AFB99C35-8E70-46EC-AB0D-81F3AB36CC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BA15832" w14:textId="77777777" w:rsidR="00DE17F8" w:rsidRDefault="00DE17F8" w:rsidP="00FE5F09">
            <w:pPr>
              <w:tabs>
                <w:tab w:val="center" w:pos="4400"/>
              </w:tabs>
              <w:jc w:val="center"/>
              <w:rPr>
                <w:noProof/>
              </w:rPr>
            </w:pPr>
          </w:p>
          <w:p w14:paraId="26025C47" w14:textId="77777777" w:rsidR="00DE17F8" w:rsidRDefault="00DE17F8" w:rsidP="00FE5F09">
            <w:pPr>
              <w:tabs>
                <w:tab w:val="center" w:pos="4400"/>
              </w:tabs>
              <w:jc w:val="center"/>
              <w:rPr>
                <w:noProof/>
              </w:rPr>
            </w:pPr>
          </w:p>
          <w:p w14:paraId="6D66BE37" w14:textId="54ADC1D2" w:rsidR="006E706D" w:rsidRDefault="009B45B2" w:rsidP="00FE5F09">
            <w:pPr>
              <w:tabs>
                <w:tab w:val="center" w:pos="4400"/>
              </w:tabs>
              <w:jc w:val="center"/>
              <w:rPr>
                <w:noProof/>
              </w:rPr>
            </w:pPr>
            <w:r>
              <w:rPr>
                <w:noProof/>
              </w:rPr>
              <w:t xml:space="preserve"> </w:t>
            </w:r>
            <w:r w:rsidR="00DE17F8">
              <w:rPr>
                <w:noProof/>
              </w:rPr>
              <w:t>United States</w:t>
            </w:r>
          </w:p>
          <w:p w14:paraId="6782AFCC" w14:textId="56E7A825" w:rsidR="00DE17F8" w:rsidRDefault="00DE17F8" w:rsidP="00FE5F09">
            <w:pPr>
              <w:tabs>
                <w:tab w:val="center" w:pos="4400"/>
              </w:tabs>
              <w:jc w:val="center"/>
              <w:rPr>
                <w:rFonts w:cs="Arial"/>
                <w:noProof/>
                <w:szCs w:val="24"/>
              </w:rPr>
            </w:pPr>
            <w:r>
              <w:rPr>
                <w:noProof/>
              </w:rPr>
              <w:drawing>
                <wp:inline distT="0" distB="0" distL="0" distR="0" wp14:anchorId="102A7860" wp14:editId="3971BF9E">
                  <wp:extent cx="5014913" cy="3204845"/>
                  <wp:effectExtent l="0" t="0" r="14605" b="14605"/>
                  <wp:docPr id="10" name="Chart 10">
                    <a:extLst xmlns:a="http://schemas.openxmlformats.org/drawingml/2006/main">
                      <a:ext uri="{FF2B5EF4-FFF2-40B4-BE49-F238E27FC236}">
                        <a16:creationId xmlns:a16="http://schemas.microsoft.com/office/drawing/2014/main" id="{423E51FF-B775-4542-A553-B15EB7E556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99C398C" w14:textId="77777777" w:rsidR="006E706D" w:rsidRPr="00F7615F" w:rsidRDefault="006E706D" w:rsidP="00FE5F09">
            <w:pPr>
              <w:tabs>
                <w:tab w:val="center" w:pos="4400"/>
              </w:tabs>
              <w:jc w:val="center"/>
              <w:rPr>
                <w:rFonts w:cs="Arial"/>
                <w:noProof/>
                <w:szCs w:val="24"/>
              </w:rPr>
            </w:pPr>
          </w:p>
        </w:tc>
      </w:tr>
      <w:tr w:rsidR="006E706D" w:rsidRPr="00BC5820" w14:paraId="6C2E359D" w14:textId="77777777" w:rsidTr="00FE5F09">
        <w:tc>
          <w:tcPr>
            <w:tcW w:w="9016" w:type="dxa"/>
            <w:tcBorders>
              <w:top w:val="single" w:sz="4" w:space="0" w:color="auto"/>
              <w:left w:val="nil"/>
              <w:bottom w:val="nil"/>
              <w:right w:val="nil"/>
            </w:tcBorders>
          </w:tcPr>
          <w:p w14:paraId="6EE1EC2C" w14:textId="77777777" w:rsidR="006E706D" w:rsidRPr="00BC5820" w:rsidRDefault="006E706D" w:rsidP="00FE5F09">
            <w:pPr>
              <w:pStyle w:val="Tablesource"/>
              <w:rPr>
                <w:iCs/>
                <w:color w:val="005EA5"/>
                <w:u w:val="single"/>
              </w:rPr>
            </w:pPr>
            <w:r w:rsidRPr="00BC5820">
              <w:t xml:space="preserve">Source: </w:t>
            </w:r>
            <w:r>
              <w:t>OECD</w:t>
            </w:r>
            <w:r w:rsidRPr="00AD25FF">
              <w:t>.</w:t>
            </w:r>
          </w:p>
        </w:tc>
      </w:tr>
    </w:tbl>
    <w:p w14:paraId="79F6331D" w14:textId="708C7B67" w:rsidR="006E706D" w:rsidRPr="000630E5" w:rsidRDefault="00FA1C57" w:rsidP="0B87AE61">
      <w:pPr>
        <w:pStyle w:val="Heading3"/>
        <w:rPr>
          <w:rFonts w:cs="Arial"/>
          <w:b w:val="0"/>
        </w:rPr>
      </w:pPr>
      <w:bookmarkStart w:id="117" w:name="_Toc101182685"/>
      <w:bookmarkStart w:id="118" w:name="_Toc224052368"/>
      <w:bookmarkStart w:id="119" w:name="_Toc118465296"/>
      <w:r w:rsidRPr="0B87AE61">
        <w:rPr>
          <w:rFonts w:cs="Arial"/>
        </w:rPr>
        <w:t>5.3.3</w:t>
      </w:r>
      <w:r>
        <w:tab/>
      </w:r>
      <w:r w:rsidR="006E706D" w:rsidRPr="0B87AE61">
        <w:rPr>
          <w:rFonts w:cs="Arial"/>
        </w:rPr>
        <w:t>Conclusions</w:t>
      </w:r>
      <w:bookmarkEnd w:id="117"/>
      <w:bookmarkEnd w:id="118"/>
      <w:bookmarkEnd w:id="119"/>
    </w:p>
    <w:p w14:paraId="1541D595" w14:textId="2B6F0068" w:rsidR="006E706D" w:rsidRDefault="006E706D" w:rsidP="00016CC0">
      <w:r>
        <w:t>The proof of concept work highlights the challenges of investigating circumvention in the context of industries that are expanding due to demand factors, and through the consequent investment decisions of the main producers. There is some evidence, notably in the glass fibre sector that</w:t>
      </w:r>
      <w:r w:rsidR="00403DD3">
        <w:t>, as well as being motivated by cost efficiencies,</w:t>
      </w:r>
      <w:r>
        <w:t xml:space="preserve"> FDI decisions </w:t>
      </w:r>
      <w:r w:rsidR="00360BB6">
        <w:t xml:space="preserve">may </w:t>
      </w:r>
      <w:r>
        <w:t xml:space="preserve">have been motivated </w:t>
      </w:r>
      <w:r w:rsidDel="00360BB6">
        <w:t xml:space="preserve">by </w:t>
      </w:r>
      <w:r>
        <w:t>a desire to minimise exposure to duties, including trade remedies. This</w:t>
      </w:r>
      <w:r w:rsidR="001B5478">
        <w:t>,</w:t>
      </w:r>
      <w:r>
        <w:t xml:space="preserve"> in and of itself</w:t>
      </w:r>
      <w:r w:rsidR="001B5478">
        <w:t>,</w:t>
      </w:r>
      <w:r>
        <w:t xml:space="preserve"> is not circumvention: it may simply be the sort of commercial response we would also observe in response to other trade policy changes, such as preferential market access.  </w:t>
      </w:r>
    </w:p>
    <w:p w14:paraId="6034CFD7" w14:textId="6DECF99B" w:rsidR="006E706D" w:rsidRDefault="006E706D" w:rsidP="00016CC0">
      <w:r>
        <w:t>Given that our overall challenge is to differentiate between circumvention and these broader commercial responses, the proof of concept work highlights the value of monitoring patterns of trade using a wide range of comparator countries in order to ascertain trends (including in response to trade remed</w:t>
      </w:r>
      <w:r w:rsidR="006209A7">
        <w:t>y</w:t>
      </w:r>
      <w:r>
        <w:t xml:space="preserve"> action taken in other jurisdictions). This analysis suggests that anti-circumvention action taken in the past on glass fibres was likely warranted and that the risk of circumvention in the future warrants active monitoring of trade data. </w:t>
      </w:r>
      <w:r w:rsidRPr="005A3FB4">
        <w:t>By contrast, the analysis also suggests</w:t>
      </w:r>
      <w:r w:rsidR="002A10C4">
        <w:t xml:space="preserve"> various ways in which the analysis of the biodiesel case could be strengthened.</w:t>
      </w:r>
    </w:p>
    <w:p w14:paraId="258A651E" w14:textId="4B796868" w:rsidR="006E706D" w:rsidRDefault="006E706D" w:rsidP="00016CC0">
      <w:r>
        <w:t>The analysis also reinforces the importance of considering patterns of production and industrial organisation. Data from official sources tend</w:t>
      </w:r>
      <w:r w:rsidR="006209A7">
        <w:t>s</w:t>
      </w:r>
      <w:r>
        <w:t xml:space="preserve"> to be at a high level</w:t>
      </w:r>
      <w:r w:rsidR="00A764C4">
        <w:t xml:space="preserve">, </w:t>
      </w:r>
      <w:r w:rsidR="006209A7">
        <w:t xml:space="preserve">is </w:t>
      </w:r>
      <w:r w:rsidR="00A764C4">
        <w:t xml:space="preserve">reported with lags, </w:t>
      </w:r>
      <w:r w:rsidR="006209A7">
        <w:t xml:space="preserve">has </w:t>
      </w:r>
      <w:r w:rsidR="00A764C4">
        <w:t>gaps and tend</w:t>
      </w:r>
      <w:r w:rsidR="006209A7">
        <w:t>s</w:t>
      </w:r>
      <w:r w:rsidR="00A764C4">
        <w:t xml:space="preserve"> to be reported annually rather than monthly</w:t>
      </w:r>
      <w:r w:rsidR="00737B59">
        <w:t>.</w:t>
      </w:r>
      <w:r>
        <w:t xml:space="preserve"> </w:t>
      </w:r>
      <w:r w:rsidR="006209A7">
        <w:t xml:space="preserve">It </w:t>
      </w:r>
      <w:r>
        <w:t xml:space="preserve">can help </w:t>
      </w:r>
      <w:r w:rsidR="006209A7">
        <w:t xml:space="preserve">with </w:t>
      </w:r>
      <w:r>
        <w:t>develop</w:t>
      </w:r>
      <w:r w:rsidR="006209A7">
        <w:t>ing</w:t>
      </w:r>
      <w:r>
        <w:t xml:space="preserve"> a broader narrative and understanding, but </w:t>
      </w:r>
      <w:r w:rsidR="006209A7">
        <w:t xml:space="preserve">it </w:t>
      </w:r>
      <w:r>
        <w:t>shed</w:t>
      </w:r>
      <w:r w:rsidR="006209A7">
        <w:t>s</w:t>
      </w:r>
      <w:r>
        <w:t xml:space="preserve"> limited light on the specifics of a</w:t>
      </w:r>
      <w:r w:rsidR="00737B59">
        <w:t xml:space="preserve"> </w:t>
      </w:r>
      <w:r>
        <w:t xml:space="preserve">case. </w:t>
      </w:r>
      <w:r w:rsidR="006209A7">
        <w:t>It is</w:t>
      </w:r>
      <w:r>
        <w:t xml:space="preserve"> unlikely to meet the positive evidence requirements required for a determination that circumvention has occurred. Industry sources, which are available through subscription, </w:t>
      </w:r>
      <w:r w:rsidR="006209A7">
        <w:t xml:space="preserve">may </w:t>
      </w:r>
      <w:r>
        <w:t>provide more detailed evidence</w:t>
      </w:r>
      <w:r w:rsidR="00826155">
        <w:t>.</w:t>
      </w:r>
      <w:r w:rsidR="00A764C4">
        <w:rPr>
          <w:rStyle w:val="FootnoteReference"/>
        </w:rPr>
        <w:footnoteReference w:id="59"/>
      </w:r>
      <w:r>
        <w:t xml:space="preserve"> But</w:t>
      </w:r>
      <w:r w:rsidR="006209A7">
        <w:t>,</w:t>
      </w:r>
      <w:r>
        <w:t xml:space="preserve"> on balance</w:t>
      </w:r>
      <w:r w:rsidR="006209A7">
        <w:t>,</w:t>
      </w:r>
      <w:r>
        <w:t xml:space="preserve"> the analysis brings out a point underscored in the deep dives</w:t>
      </w:r>
      <w:r w:rsidR="006209A7">
        <w:t>, i.e.</w:t>
      </w:r>
      <w:r>
        <w:t xml:space="preserve"> the importance of detailed information gleaned from the financial accounts of the producers under investigation. That in turn reinforces the importance of ensuring that the TRA has sufficient internal capacity to analyse such information within the framework of a circumvention case. </w:t>
      </w:r>
    </w:p>
    <w:p w14:paraId="6E57A9C7" w14:textId="43621844" w:rsidR="00D178F5" w:rsidRDefault="00D178F5" w:rsidP="006E706D">
      <w:pPr>
        <w:pStyle w:val="NoSpacing"/>
        <w:spacing w:line="360" w:lineRule="auto"/>
      </w:pPr>
      <w:r>
        <w:br w:type="page"/>
      </w:r>
    </w:p>
    <w:p w14:paraId="46D0A76C" w14:textId="1C9ED0BC" w:rsidR="00F33140" w:rsidRPr="00F7615F" w:rsidRDefault="00FA1C57" w:rsidP="0B87AE61">
      <w:pPr>
        <w:pStyle w:val="Heading2"/>
        <w:rPr>
          <w:rFonts w:cs="Arial"/>
          <w:b w:val="0"/>
        </w:rPr>
      </w:pPr>
      <w:bookmarkStart w:id="120" w:name="_Toc209013365"/>
      <w:bookmarkStart w:id="121" w:name="_Toc118465297"/>
      <w:r w:rsidRPr="0B87AE61">
        <w:rPr>
          <w:rFonts w:cs="Arial"/>
        </w:rPr>
        <w:t>5.4</w:t>
      </w:r>
      <w:r>
        <w:tab/>
      </w:r>
      <w:r w:rsidR="00F33140" w:rsidRPr="0B87AE61">
        <w:rPr>
          <w:rFonts w:cs="Arial"/>
        </w:rPr>
        <w:t>A toolkit for handling anti-circumvention cases</w:t>
      </w:r>
      <w:bookmarkEnd w:id="120"/>
      <w:bookmarkEnd w:id="121"/>
    </w:p>
    <w:p w14:paraId="51E67A44" w14:textId="70C5CC25" w:rsidR="00775152" w:rsidRPr="001C39DD" w:rsidRDefault="00FA1C57" w:rsidP="0B87AE61">
      <w:pPr>
        <w:pStyle w:val="Heading3"/>
        <w:rPr>
          <w:rFonts w:cs="Arial"/>
          <w:b w:val="0"/>
        </w:rPr>
      </w:pPr>
      <w:bookmarkStart w:id="122" w:name="_Toc1384297145"/>
      <w:bookmarkStart w:id="123" w:name="_Toc118465298"/>
      <w:r w:rsidRPr="0B87AE61">
        <w:rPr>
          <w:rFonts w:cs="Arial"/>
        </w:rPr>
        <w:t>5.4.1</w:t>
      </w:r>
      <w:r>
        <w:tab/>
      </w:r>
      <w:r w:rsidR="00775152" w:rsidRPr="0B87AE61">
        <w:rPr>
          <w:rFonts w:cs="Arial"/>
        </w:rPr>
        <w:t>General framework</w:t>
      </w:r>
      <w:bookmarkEnd w:id="122"/>
      <w:bookmarkEnd w:id="123"/>
    </w:p>
    <w:p w14:paraId="17C25BC6" w14:textId="77777777" w:rsidR="00485FD6" w:rsidRDefault="00D178F5" w:rsidP="00C239B1">
      <w:r>
        <w:t xml:space="preserve">Given the legal and institutional context within which the TRA is called to undertake research into circumvention, a toolkit should consist of the following </w:t>
      </w:r>
      <w:r w:rsidR="00474917">
        <w:t>elements</w:t>
      </w:r>
      <w:r w:rsidR="00485FD6">
        <w:t>:</w:t>
      </w:r>
    </w:p>
    <w:p w14:paraId="06EB5A56" w14:textId="77777777" w:rsidR="00485FD6" w:rsidRPr="00485FD6" w:rsidRDefault="00FC5835" w:rsidP="00485FD6">
      <w:pPr>
        <w:pStyle w:val="ListParagraph"/>
        <w:numPr>
          <w:ilvl w:val="0"/>
          <w:numId w:val="47"/>
        </w:numPr>
        <w:rPr>
          <w:rFonts w:cstheme="minorBidi"/>
          <w:sz w:val="24"/>
          <w:szCs w:val="22"/>
        </w:rPr>
      </w:pPr>
      <w:r w:rsidRPr="00485FD6">
        <w:rPr>
          <w:rFonts w:cstheme="minorBidi"/>
          <w:sz w:val="24"/>
          <w:szCs w:val="22"/>
        </w:rPr>
        <w:t>I</w:t>
      </w:r>
      <w:r w:rsidR="00F33140" w:rsidRPr="00485FD6">
        <w:rPr>
          <w:rFonts w:cstheme="minorBidi"/>
          <w:sz w:val="24"/>
          <w:szCs w:val="22"/>
        </w:rPr>
        <w:t>dentification of data sources</w:t>
      </w:r>
      <w:r w:rsidR="00CF7D97" w:rsidRPr="00485FD6">
        <w:rPr>
          <w:rFonts w:cstheme="minorBidi"/>
          <w:sz w:val="24"/>
          <w:szCs w:val="22"/>
        </w:rPr>
        <w:t>;</w:t>
      </w:r>
    </w:p>
    <w:p w14:paraId="258BD73D" w14:textId="77777777" w:rsidR="00C239B1" w:rsidRDefault="00FC5835" w:rsidP="00C239B1">
      <w:pPr>
        <w:pStyle w:val="ListParagraph"/>
        <w:numPr>
          <w:ilvl w:val="0"/>
          <w:numId w:val="47"/>
        </w:numPr>
        <w:rPr>
          <w:rFonts w:cstheme="minorBidi"/>
          <w:sz w:val="24"/>
          <w:szCs w:val="22"/>
        </w:rPr>
      </w:pPr>
      <w:r w:rsidRPr="00485FD6">
        <w:rPr>
          <w:rFonts w:cstheme="minorBidi"/>
          <w:sz w:val="24"/>
          <w:szCs w:val="22"/>
        </w:rPr>
        <w:t>S</w:t>
      </w:r>
      <w:r w:rsidR="00F33140" w:rsidRPr="00485FD6">
        <w:rPr>
          <w:rFonts w:cstheme="minorBidi"/>
          <w:sz w:val="24"/>
          <w:szCs w:val="22"/>
        </w:rPr>
        <w:t>pecific methodologies</w:t>
      </w:r>
      <w:r w:rsidR="00CF7D97" w:rsidRPr="00485FD6">
        <w:rPr>
          <w:rFonts w:cstheme="minorBidi"/>
          <w:sz w:val="24"/>
          <w:szCs w:val="22"/>
        </w:rPr>
        <w:t>;</w:t>
      </w:r>
      <w:r w:rsidR="00F33140" w:rsidRPr="00485FD6">
        <w:rPr>
          <w:rFonts w:cstheme="minorBidi"/>
          <w:sz w:val="24"/>
          <w:szCs w:val="22"/>
        </w:rPr>
        <w:t xml:space="preserve"> </w:t>
      </w:r>
    </w:p>
    <w:p w14:paraId="11535B0D" w14:textId="0A5CCF5D" w:rsidR="00F33140" w:rsidRPr="00C239B1" w:rsidRDefault="00FC5835" w:rsidP="00C239B1">
      <w:pPr>
        <w:pStyle w:val="ListParagraph"/>
        <w:numPr>
          <w:ilvl w:val="0"/>
          <w:numId w:val="47"/>
        </w:numPr>
        <w:spacing w:line="360" w:lineRule="auto"/>
        <w:ind w:left="714" w:hanging="357"/>
        <w:rPr>
          <w:rFonts w:cstheme="minorBidi"/>
          <w:sz w:val="24"/>
          <w:szCs w:val="22"/>
        </w:rPr>
      </w:pPr>
      <w:r w:rsidRPr="00C239B1">
        <w:rPr>
          <w:rFonts w:cstheme="minorBidi"/>
          <w:sz w:val="24"/>
          <w:szCs w:val="22"/>
        </w:rPr>
        <w:t>A</w:t>
      </w:r>
      <w:r w:rsidR="00F33140" w:rsidRPr="00C239B1">
        <w:rPr>
          <w:rFonts w:cstheme="minorBidi"/>
          <w:sz w:val="24"/>
          <w:szCs w:val="22"/>
        </w:rPr>
        <w:t>n assessment of how the insights gained from deploying the toolkit compare with the resource costs involved.</w:t>
      </w:r>
    </w:p>
    <w:p w14:paraId="6E8712E2" w14:textId="6B6A4A0D" w:rsidR="006623F9" w:rsidRDefault="00F33140" w:rsidP="00016CC0">
      <w:r>
        <w:t>As the analysis in this report has revealed, addressing circumvention cases requires a mixed-methods approach based on a combination of quantitative and qualitative information. Moreover, it is opportune at this juncture to recall the counterfactual nature of key aspects of the analysis. This is particularly evident in relation to the threshold question of a change in the pattern of trade.</w:t>
      </w:r>
      <w:r w:rsidR="006623F9">
        <w:t xml:space="preserve"> </w:t>
      </w:r>
    </w:p>
    <w:p w14:paraId="364CDFE8" w14:textId="299FF0D7" w:rsidR="00F33140" w:rsidRDefault="00F54CE5" w:rsidP="00016CC0">
      <w:r>
        <w:t>To begin with</w:t>
      </w:r>
      <w:r w:rsidR="00F33140">
        <w:t xml:space="preserve">, we wish to establish whether changes in patterns of trade would have happened </w:t>
      </w:r>
      <w:r w:rsidR="006623F9">
        <w:t xml:space="preserve">had the </w:t>
      </w:r>
      <w:r w:rsidR="00F33140">
        <w:t>trade remed</w:t>
      </w:r>
      <w:r w:rsidR="006623F9">
        <w:t>y duties not been imposed</w:t>
      </w:r>
      <w:r w:rsidR="00F33140">
        <w:t>. This is a necessary but not sufficient condition because duties themselves may lead to a reorganisation of trade and production on commercial grounds. Therefore</w:t>
      </w:r>
      <w:r w:rsidR="00F41C80">
        <w:t>,</w:t>
      </w:r>
      <w:r w:rsidR="00F33140">
        <w:t xml:space="preserve"> we wish to establish whether changes would have occurred but for reasons of circumvention. This added layer of complexity is the main reason, along with issues related to the timeliness and coverage of data, </w:t>
      </w:r>
      <w:r w:rsidR="00FC5835">
        <w:t xml:space="preserve">why </w:t>
      </w:r>
      <w:r w:rsidR="00F33140">
        <w:t xml:space="preserve">a mixed-methods approach is needed. </w:t>
      </w:r>
    </w:p>
    <w:p w14:paraId="0D2F41C1" w14:textId="7ABED474" w:rsidR="00F33140" w:rsidRDefault="00F33140" w:rsidP="00016CC0">
      <w:r>
        <w:t>As far as the quantitative aspects of the analysis is concerned, we can represent the range of possibilities using the Maryland Scientific Methods Scale. This was developed in the area of criminology</w:t>
      </w:r>
      <w:r w:rsidR="00D1599E">
        <w:rPr>
          <w:rStyle w:val="FootnoteReference"/>
          <w:rFonts w:cs="Arial"/>
          <w:szCs w:val="24"/>
        </w:rPr>
        <w:footnoteReference w:id="60"/>
      </w:r>
      <w:r>
        <w:t xml:space="preserve"> and is a five</w:t>
      </w:r>
      <w:r w:rsidR="00F54CE5">
        <w:t>-</w:t>
      </w:r>
      <w:r>
        <w:t>point scale that gauges the strength of evidence based on underlying methods</w:t>
      </w:r>
      <w:r w:rsidR="00D7120D">
        <w:t>.</w:t>
      </w:r>
      <w:r>
        <w:t xml:space="preserve"> It is used by the National Audit Office</w:t>
      </w:r>
      <w:r w:rsidR="00B523E5">
        <w:t xml:space="preserve"> and also finds support in international organisations such as the OECD</w:t>
      </w:r>
      <w:r>
        <w:t>.</w:t>
      </w:r>
      <w:r>
        <w:rPr>
          <w:rStyle w:val="FootnoteReference"/>
          <w:rFonts w:cs="Arial"/>
          <w:szCs w:val="24"/>
        </w:rPr>
        <w:footnoteReference w:id="61"/>
      </w:r>
      <w:r>
        <w:t xml:space="preserve"> </w:t>
      </w:r>
      <w:r w:rsidR="00B523E5">
        <w:rPr>
          <w:rStyle w:val="FootnoteReference"/>
        </w:rPr>
        <w:footnoteReference w:id="62"/>
      </w:r>
      <w:r>
        <w:t xml:space="preserve">The scale is presented </w:t>
      </w:r>
      <w:r w:rsidR="006623F9">
        <w:t xml:space="preserve">in </w:t>
      </w:r>
      <w:r w:rsidR="00E0019C">
        <w:fldChar w:fldCharType="begin"/>
      </w:r>
      <w:r w:rsidR="00E0019C">
        <w:instrText xml:space="preserve"> REF _Ref103858900 \h </w:instrText>
      </w:r>
      <w:r w:rsidR="00E0019C">
        <w:fldChar w:fldCharType="separate"/>
      </w:r>
      <w:r w:rsidR="00BF139B" w:rsidRPr="00B523E5">
        <w:rPr>
          <w:b/>
          <w:bCs/>
        </w:rPr>
        <w:t xml:space="preserve">Table </w:t>
      </w:r>
      <w:r w:rsidR="00BF139B">
        <w:rPr>
          <w:b/>
          <w:bCs/>
          <w:noProof/>
        </w:rPr>
        <w:t>5</w:t>
      </w:r>
      <w:r w:rsidR="00E0019C">
        <w:fldChar w:fldCharType="end"/>
      </w:r>
      <w:r w:rsidR="00E0019C">
        <w:t xml:space="preserve"> </w:t>
      </w:r>
      <w:r>
        <w:t xml:space="preserve">below. </w:t>
      </w:r>
    </w:p>
    <w:p w14:paraId="7F9B3FFD" w14:textId="21657969" w:rsidR="00F33140" w:rsidRPr="00B523E5" w:rsidRDefault="00B523E5" w:rsidP="00F7615F">
      <w:pPr>
        <w:pStyle w:val="NoSpacing"/>
        <w:spacing w:line="360" w:lineRule="auto"/>
        <w:rPr>
          <w:b/>
          <w:bCs/>
        </w:rPr>
      </w:pPr>
      <w:bookmarkStart w:id="125" w:name="_Ref103858900"/>
      <w:r w:rsidRPr="00B523E5">
        <w:rPr>
          <w:b/>
          <w:bCs/>
        </w:rPr>
        <w:t xml:space="preserve">Table </w:t>
      </w:r>
      <w:r w:rsidRPr="00B523E5">
        <w:rPr>
          <w:b/>
          <w:bCs/>
          <w:iCs/>
        </w:rPr>
        <w:fldChar w:fldCharType="begin"/>
      </w:r>
      <w:r w:rsidRPr="00B523E5">
        <w:rPr>
          <w:b/>
          <w:bCs/>
        </w:rPr>
        <w:instrText xml:space="preserve"> SEQ Table \* ARABIC </w:instrText>
      </w:r>
      <w:r w:rsidRPr="00B523E5">
        <w:rPr>
          <w:b/>
          <w:bCs/>
          <w:iCs/>
        </w:rPr>
        <w:fldChar w:fldCharType="separate"/>
      </w:r>
      <w:r w:rsidR="004412CB">
        <w:rPr>
          <w:b/>
          <w:bCs/>
          <w:noProof/>
        </w:rPr>
        <w:t>5</w:t>
      </w:r>
      <w:r w:rsidRPr="00B523E5">
        <w:rPr>
          <w:b/>
          <w:bCs/>
          <w:iCs/>
        </w:rPr>
        <w:fldChar w:fldCharType="end"/>
      </w:r>
      <w:bookmarkEnd w:id="125"/>
      <w:r w:rsidRPr="00B523E5">
        <w:rPr>
          <w:b/>
          <w:bCs/>
          <w:noProof/>
        </w:rPr>
        <w:t xml:space="preserve">: </w:t>
      </w:r>
      <w:r w:rsidRPr="00B523E5">
        <w:rPr>
          <w:b/>
          <w:bCs/>
        </w:rPr>
        <w:t>Overview of the Maryland Methods Scientific Scale</w:t>
      </w:r>
    </w:p>
    <w:tbl>
      <w:tblPr>
        <w:tblStyle w:val="TableGrid"/>
        <w:tblW w:w="0" w:type="auto"/>
        <w:tblLook w:val="04A0" w:firstRow="1" w:lastRow="0" w:firstColumn="1" w:lastColumn="0" w:noHBand="0" w:noVBand="1"/>
      </w:tblPr>
      <w:tblGrid>
        <w:gridCol w:w="988"/>
        <w:gridCol w:w="8028"/>
      </w:tblGrid>
      <w:tr w:rsidR="00B523E5" w14:paraId="5A63E1B7" w14:textId="77777777" w:rsidTr="00B523E5">
        <w:tc>
          <w:tcPr>
            <w:tcW w:w="988" w:type="dxa"/>
          </w:tcPr>
          <w:p w14:paraId="1282D5B2" w14:textId="2D007485" w:rsidR="00B523E5" w:rsidRPr="002B66D1" w:rsidRDefault="00B523E5" w:rsidP="00F7615F">
            <w:pPr>
              <w:pStyle w:val="NoSpacing"/>
              <w:spacing w:line="360" w:lineRule="auto"/>
              <w:rPr>
                <w:sz w:val="22"/>
                <w:szCs w:val="22"/>
              </w:rPr>
            </w:pPr>
            <w:r w:rsidRPr="002B66D1">
              <w:rPr>
                <w:sz w:val="22"/>
                <w:szCs w:val="22"/>
              </w:rPr>
              <w:t>Level</w:t>
            </w:r>
          </w:p>
        </w:tc>
        <w:tc>
          <w:tcPr>
            <w:tcW w:w="8028" w:type="dxa"/>
          </w:tcPr>
          <w:p w14:paraId="404CB90C" w14:textId="4E98BF1C" w:rsidR="00B523E5" w:rsidRPr="002B66D1" w:rsidRDefault="00B523E5" w:rsidP="00F7615F">
            <w:pPr>
              <w:pStyle w:val="NoSpacing"/>
              <w:spacing w:line="360" w:lineRule="auto"/>
              <w:rPr>
                <w:sz w:val="22"/>
                <w:szCs w:val="22"/>
              </w:rPr>
            </w:pPr>
            <w:r w:rsidRPr="002B66D1">
              <w:rPr>
                <w:sz w:val="22"/>
                <w:szCs w:val="22"/>
              </w:rPr>
              <w:t xml:space="preserve">Description </w:t>
            </w:r>
          </w:p>
        </w:tc>
      </w:tr>
      <w:tr w:rsidR="00B523E5" w14:paraId="4B589D3D" w14:textId="77777777" w:rsidTr="00B523E5">
        <w:tc>
          <w:tcPr>
            <w:tcW w:w="988" w:type="dxa"/>
          </w:tcPr>
          <w:p w14:paraId="44D719F3" w14:textId="7CAD79BC" w:rsidR="00B523E5" w:rsidRPr="002B66D1" w:rsidRDefault="00B523E5" w:rsidP="00F7615F">
            <w:pPr>
              <w:pStyle w:val="NoSpacing"/>
              <w:spacing w:line="360" w:lineRule="auto"/>
              <w:rPr>
                <w:sz w:val="22"/>
                <w:szCs w:val="22"/>
              </w:rPr>
            </w:pPr>
            <w:r w:rsidRPr="002B66D1">
              <w:rPr>
                <w:sz w:val="22"/>
                <w:szCs w:val="22"/>
              </w:rPr>
              <w:t>1</w:t>
            </w:r>
          </w:p>
        </w:tc>
        <w:tc>
          <w:tcPr>
            <w:tcW w:w="8028" w:type="dxa"/>
          </w:tcPr>
          <w:p w14:paraId="0B0B4B68" w14:textId="1B739EDB" w:rsidR="00B523E5" w:rsidRPr="002B66D1" w:rsidRDefault="00B523E5" w:rsidP="00F7615F">
            <w:pPr>
              <w:pStyle w:val="NoSpacing"/>
              <w:spacing w:line="360" w:lineRule="auto"/>
              <w:rPr>
                <w:sz w:val="22"/>
                <w:szCs w:val="22"/>
              </w:rPr>
            </w:pPr>
            <w:r w:rsidRPr="002B66D1">
              <w:rPr>
                <w:sz w:val="22"/>
                <w:szCs w:val="22"/>
              </w:rPr>
              <w:t>Before versus after analysis</w:t>
            </w:r>
          </w:p>
        </w:tc>
      </w:tr>
      <w:tr w:rsidR="00B523E5" w14:paraId="7B392DA9" w14:textId="77777777" w:rsidTr="00B523E5">
        <w:tc>
          <w:tcPr>
            <w:tcW w:w="988" w:type="dxa"/>
          </w:tcPr>
          <w:p w14:paraId="2194F970" w14:textId="3DA1F141" w:rsidR="00B523E5" w:rsidRPr="002B66D1" w:rsidRDefault="00B523E5" w:rsidP="00F7615F">
            <w:pPr>
              <w:pStyle w:val="NoSpacing"/>
              <w:spacing w:line="360" w:lineRule="auto"/>
              <w:rPr>
                <w:sz w:val="22"/>
                <w:szCs w:val="22"/>
              </w:rPr>
            </w:pPr>
            <w:r w:rsidRPr="002B66D1">
              <w:rPr>
                <w:sz w:val="22"/>
                <w:szCs w:val="22"/>
              </w:rPr>
              <w:t>2</w:t>
            </w:r>
          </w:p>
        </w:tc>
        <w:tc>
          <w:tcPr>
            <w:tcW w:w="8028" w:type="dxa"/>
          </w:tcPr>
          <w:p w14:paraId="6B321414" w14:textId="04D14071" w:rsidR="00B523E5" w:rsidRPr="002B66D1" w:rsidRDefault="00B523E5" w:rsidP="00F7615F">
            <w:pPr>
              <w:pStyle w:val="NoSpacing"/>
              <w:spacing w:line="360" w:lineRule="auto"/>
              <w:rPr>
                <w:sz w:val="22"/>
                <w:szCs w:val="22"/>
              </w:rPr>
            </w:pPr>
            <w:r w:rsidRPr="002B66D1">
              <w:rPr>
                <w:sz w:val="22"/>
                <w:szCs w:val="22"/>
              </w:rPr>
              <w:t>Before versus after with control variables e.g. use of comparator groups versus “treatment group”</w:t>
            </w:r>
            <w:r w:rsidR="005418A0" w:rsidRPr="002B66D1">
              <w:rPr>
                <w:sz w:val="22"/>
                <w:szCs w:val="22"/>
              </w:rPr>
              <w:t xml:space="preserve"> to provide cross-sectional comparisons</w:t>
            </w:r>
          </w:p>
        </w:tc>
      </w:tr>
      <w:tr w:rsidR="00B523E5" w14:paraId="772D01CE" w14:textId="77777777" w:rsidTr="00B523E5">
        <w:tc>
          <w:tcPr>
            <w:tcW w:w="988" w:type="dxa"/>
          </w:tcPr>
          <w:p w14:paraId="5B99A9E6" w14:textId="194D2771" w:rsidR="00B523E5" w:rsidRPr="002B66D1" w:rsidRDefault="00B523E5" w:rsidP="00F7615F">
            <w:pPr>
              <w:pStyle w:val="NoSpacing"/>
              <w:spacing w:line="360" w:lineRule="auto"/>
              <w:rPr>
                <w:sz w:val="22"/>
                <w:szCs w:val="22"/>
              </w:rPr>
            </w:pPr>
            <w:r w:rsidRPr="002B66D1">
              <w:rPr>
                <w:sz w:val="22"/>
                <w:szCs w:val="22"/>
              </w:rPr>
              <w:t>3</w:t>
            </w:r>
          </w:p>
        </w:tc>
        <w:tc>
          <w:tcPr>
            <w:tcW w:w="8028" w:type="dxa"/>
          </w:tcPr>
          <w:p w14:paraId="3117BFFC" w14:textId="5DABAA62" w:rsidR="00B523E5" w:rsidRPr="002B66D1" w:rsidRDefault="00B523E5" w:rsidP="00F7615F">
            <w:pPr>
              <w:pStyle w:val="NoSpacing"/>
              <w:spacing w:line="360" w:lineRule="auto"/>
              <w:rPr>
                <w:sz w:val="22"/>
                <w:szCs w:val="22"/>
              </w:rPr>
            </w:pPr>
            <w:r w:rsidRPr="002B66D1">
              <w:rPr>
                <w:sz w:val="22"/>
                <w:szCs w:val="22"/>
              </w:rPr>
              <w:t>Comparison of treatment group with comparator group that provides counterfactual. Use of econometric methods such as difference- in-difference, synthetic comparators or propensity score matching</w:t>
            </w:r>
          </w:p>
        </w:tc>
      </w:tr>
      <w:tr w:rsidR="00B523E5" w14:paraId="06A16943" w14:textId="77777777" w:rsidTr="00B523E5">
        <w:tc>
          <w:tcPr>
            <w:tcW w:w="988" w:type="dxa"/>
          </w:tcPr>
          <w:p w14:paraId="14AB452F" w14:textId="3989270B" w:rsidR="00B523E5" w:rsidRPr="002B66D1" w:rsidRDefault="00B523E5" w:rsidP="00F7615F">
            <w:pPr>
              <w:pStyle w:val="NoSpacing"/>
              <w:spacing w:line="360" w:lineRule="auto"/>
              <w:rPr>
                <w:sz w:val="22"/>
                <w:szCs w:val="22"/>
              </w:rPr>
            </w:pPr>
            <w:r w:rsidRPr="002B66D1">
              <w:rPr>
                <w:sz w:val="22"/>
                <w:szCs w:val="22"/>
              </w:rPr>
              <w:t>4</w:t>
            </w:r>
          </w:p>
        </w:tc>
        <w:tc>
          <w:tcPr>
            <w:tcW w:w="8028" w:type="dxa"/>
          </w:tcPr>
          <w:p w14:paraId="0989CD9B" w14:textId="5321BDA7" w:rsidR="00B523E5" w:rsidRPr="002B66D1" w:rsidRDefault="00B523E5" w:rsidP="00F7615F">
            <w:pPr>
              <w:pStyle w:val="NoSpacing"/>
              <w:spacing w:line="360" w:lineRule="auto"/>
              <w:rPr>
                <w:sz w:val="22"/>
                <w:szCs w:val="22"/>
              </w:rPr>
            </w:pPr>
            <w:r w:rsidRPr="002B66D1">
              <w:rPr>
                <w:sz w:val="22"/>
                <w:szCs w:val="22"/>
              </w:rPr>
              <w:t>Quasi-randomness in treatment and controls is exploited e.g. through the use of regression discontinuity treatment</w:t>
            </w:r>
          </w:p>
        </w:tc>
      </w:tr>
      <w:tr w:rsidR="00B523E5" w14:paraId="20229C5F" w14:textId="77777777" w:rsidTr="00B523E5">
        <w:tc>
          <w:tcPr>
            <w:tcW w:w="988" w:type="dxa"/>
          </w:tcPr>
          <w:p w14:paraId="794FDA6C" w14:textId="50759C9D" w:rsidR="00B523E5" w:rsidRPr="002B66D1" w:rsidRDefault="00B523E5" w:rsidP="00F7615F">
            <w:pPr>
              <w:pStyle w:val="NoSpacing"/>
              <w:spacing w:line="360" w:lineRule="auto"/>
              <w:rPr>
                <w:sz w:val="22"/>
                <w:szCs w:val="22"/>
              </w:rPr>
            </w:pPr>
            <w:r w:rsidRPr="002B66D1">
              <w:rPr>
                <w:sz w:val="22"/>
                <w:szCs w:val="22"/>
              </w:rPr>
              <w:t>5</w:t>
            </w:r>
          </w:p>
        </w:tc>
        <w:tc>
          <w:tcPr>
            <w:tcW w:w="8028" w:type="dxa"/>
          </w:tcPr>
          <w:p w14:paraId="077B4C16" w14:textId="7A38349F" w:rsidR="00B523E5" w:rsidRPr="002B66D1" w:rsidRDefault="00B523E5" w:rsidP="00F7615F">
            <w:pPr>
              <w:pStyle w:val="NoSpacing"/>
              <w:spacing w:line="360" w:lineRule="auto"/>
              <w:rPr>
                <w:sz w:val="22"/>
                <w:szCs w:val="22"/>
              </w:rPr>
            </w:pPr>
            <w:r w:rsidRPr="002B66D1">
              <w:rPr>
                <w:sz w:val="22"/>
                <w:szCs w:val="22"/>
              </w:rPr>
              <w:t>Fully randomised control trials, with limited or no possibility of contamination between treatment and control groups</w:t>
            </w:r>
          </w:p>
        </w:tc>
      </w:tr>
    </w:tbl>
    <w:p w14:paraId="2CD6F26B" w14:textId="77777777" w:rsidR="00B523E5" w:rsidRPr="00B523E5" w:rsidRDefault="00B523E5" w:rsidP="00F7615F">
      <w:pPr>
        <w:pStyle w:val="NoSpacing"/>
        <w:spacing w:line="360" w:lineRule="auto"/>
      </w:pPr>
    </w:p>
    <w:p w14:paraId="11294609" w14:textId="77777777" w:rsidR="00B523E5" w:rsidRDefault="00B523E5" w:rsidP="00F7615F">
      <w:pPr>
        <w:pStyle w:val="NoSpacing"/>
        <w:spacing w:line="360" w:lineRule="auto"/>
        <w:rPr>
          <w:rFonts w:cs="Arial"/>
          <w:szCs w:val="24"/>
        </w:rPr>
      </w:pPr>
    </w:p>
    <w:p w14:paraId="0E5EC658" w14:textId="4346DFB1" w:rsidR="00B523E5" w:rsidRDefault="00F33140" w:rsidP="00016CC0">
      <w:r>
        <w:t xml:space="preserve">The purpose of the scale is to assess </w:t>
      </w:r>
      <w:r w:rsidR="00B84EDA">
        <w:t xml:space="preserve">how robustly </w:t>
      </w:r>
      <w:r>
        <w:t>a particular methodology can answer the question</w:t>
      </w:r>
      <w:r w:rsidR="00F54CE5">
        <w:t>:</w:t>
      </w:r>
      <w:r>
        <w:t xml:space="preserve"> “</w:t>
      </w:r>
      <w:r w:rsidR="00F54CE5">
        <w:t>D</w:t>
      </w:r>
      <w:r>
        <w:t>id a particular intervention cause a particular impact</w:t>
      </w:r>
      <w:r w:rsidR="00B84EDA">
        <w:t>?</w:t>
      </w:r>
      <w:r>
        <w:t>”</w:t>
      </w:r>
      <w:r w:rsidR="00BE0050">
        <w:t>.</w:t>
      </w:r>
      <w:r>
        <w:t xml:space="preserve"> In the case of the present research, a necessary question is</w:t>
      </w:r>
      <w:r w:rsidR="00F54CE5">
        <w:t>:</w:t>
      </w:r>
      <w:r>
        <w:t xml:space="preserve"> “</w:t>
      </w:r>
      <w:r w:rsidR="00F54CE5">
        <w:t>D</w:t>
      </w:r>
      <w:r>
        <w:t xml:space="preserve">id the imposition of duties </w:t>
      </w:r>
      <w:r w:rsidR="00651DB3">
        <w:t>cause</w:t>
      </w:r>
      <w:r>
        <w:t xml:space="preserve"> </w:t>
      </w:r>
      <w:r w:rsidR="00DA7F9C">
        <w:t xml:space="preserve">a </w:t>
      </w:r>
      <w:r>
        <w:t>change in observed patterns of trade</w:t>
      </w:r>
      <w:r w:rsidR="00D7120D">
        <w:t>?</w:t>
      </w:r>
      <w:r>
        <w:t>”</w:t>
      </w:r>
      <w:r w:rsidR="00BE0050">
        <w:t>.</w:t>
      </w:r>
      <w:r w:rsidR="00B523E5">
        <w:t xml:space="preserve"> </w:t>
      </w:r>
    </w:p>
    <w:p w14:paraId="27782282" w14:textId="312A0469" w:rsidR="00F33140" w:rsidRDefault="00B523E5" w:rsidP="00016CC0">
      <w:r>
        <w:t xml:space="preserve">Robustness increases with the level in the scale: level 5 provides the most robust methodologies for estimating the impact of an intervention, while level 1 is the weakest. </w:t>
      </w:r>
    </w:p>
    <w:p w14:paraId="3616E03B" w14:textId="5C48F7B8" w:rsidR="00775152" w:rsidRDefault="00FA1C57" w:rsidP="0B87AE61">
      <w:pPr>
        <w:pStyle w:val="Heading3"/>
        <w:rPr>
          <w:rFonts w:cs="Arial"/>
          <w:b w:val="0"/>
        </w:rPr>
      </w:pPr>
      <w:bookmarkStart w:id="126" w:name="_Toc790501423"/>
      <w:bookmarkStart w:id="127" w:name="_Toc118465299"/>
      <w:r w:rsidRPr="0B87AE61">
        <w:rPr>
          <w:rFonts w:cs="Arial"/>
        </w:rPr>
        <w:t>5.4.2</w:t>
      </w:r>
      <w:r>
        <w:tab/>
      </w:r>
      <w:r w:rsidR="00775152" w:rsidRPr="0B87AE61">
        <w:rPr>
          <w:rFonts w:cs="Arial"/>
        </w:rPr>
        <w:t>Implementing the framework through data sources and methodologies</w:t>
      </w:r>
      <w:bookmarkEnd w:id="126"/>
      <w:bookmarkEnd w:id="127"/>
    </w:p>
    <w:p w14:paraId="5FF8FD9D" w14:textId="22194363" w:rsidR="00775152" w:rsidRPr="00775152" w:rsidRDefault="00775152" w:rsidP="00F7615F">
      <w:pPr>
        <w:pStyle w:val="NoSpacing"/>
        <w:spacing w:line="360" w:lineRule="auto"/>
        <w:rPr>
          <w:rFonts w:cs="Arial"/>
          <w:b/>
          <w:bCs/>
          <w:i/>
          <w:iCs/>
          <w:szCs w:val="24"/>
        </w:rPr>
      </w:pPr>
      <w:r w:rsidRPr="00775152">
        <w:rPr>
          <w:rFonts w:cs="Arial"/>
          <w:b/>
          <w:bCs/>
          <w:i/>
          <w:iCs/>
          <w:szCs w:val="24"/>
        </w:rPr>
        <w:t>Trade data</w:t>
      </w:r>
    </w:p>
    <w:p w14:paraId="630BB4BC" w14:textId="56E82DC0" w:rsidR="00555859" w:rsidRDefault="00E03E98" w:rsidP="00016CC0">
      <w:r>
        <w:t>A review of actual cases suggests that current quantitative approaches are largely at level 1. Levels 4 and 5 seem unfeasible in the trade remed</w:t>
      </w:r>
      <w:r w:rsidR="00F54CE5">
        <w:t>y</w:t>
      </w:r>
      <w:r>
        <w:t xml:space="preserve"> context. Level 3</w:t>
      </w:r>
      <w:r w:rsidR="006623F9">
        <w:t>,</w:t>
      </w:r>
      <w:r>
        <w:t xml:space="preserve"> which </w:t>
      </w:r>
      <w:r w:rsidR="00B523E5">
        <w:t>introduces the use of econometric methodologies in order to strengthen the robustness of analysis,</w:t>
      </w:r>
      <w:r>
        <w:t xml:space="preserve"> also seems particularly ambitious in the constraints of a live circumvention case, </w:t>
      </w:r>
      <w:r w:rsidR="00F54CE5">
        <w:t>al</w:t>
      </w:r>
      <w:r>
        <w:t xml:space="preserve">though such approaches have been adopted in retrospective analysis of </w:t>
      </w:r>
      <w:r w:rsidR="00833B8B">
        <w:t>several</w:t>
      </w:r>
      <w:r>
        <w:t xml:space="preserve"> cases.</w:t>
      </w:r>
      <w:r>
        <w:rPr>
          <w:rStyle w:val="FootnoteReference"/>
          <w:rFonts w:cs="Arial"/>
          <w:szCs w:val="24"/>
        </w:rPr>
        <w:footnoteReference w:id="63"/>
      </w:r>
      <w:r>
        <w:t xml:space="preserve"> A suitable level of ambition would therefore be to see if the robustness of analysis could be shifted to at least level 2</w:t>
      </w:r>
      <w:r w:rsidR="00B975AA">
        <w:t xml:space="preserve">, and preferably to a point between </w:t>
      </w:r>
      <w:r w:rsidR="00F54CE5">
        <w:t xml:space="preserve">levels </w:t>
      </w:r>
      <w:r w:rsidR="00B975AA">
        <w:t>2 and 3</w:t>
      </w:r>
      <w:r>
        <w:t xml:space="preserve">. </w:t>
      </w:r>
    </w:p>
    <w:p w14:paraId="6F0DDA88" w14:textId="69FE2D55" w:rsidR="002E3080" w:rsidRDefault="00E03E98" w:rsidP="00016CC0">
      <w:r>
        <w:t>Indeed, the analysis of trade data presented in this report</w:t>
      </w:r>
      <w:r w:rsidR="00555859">
        <w:t xml:space="preserve"> and the three case studies</w:t>
      </w:r>
      <w:r>
        <w:t xml:space="preserve"> demonstrates a way of doing this </w:t>
      </w:r>
      <w:r w:rsidR="00D1599E">
        <w:t xml:space="preserve">by expanding the </w:t>
      </w:r>
      <w:r w:rsidR="002E3080">
        <w:t xml:space="preserve">range of data that </w:t>
      </w:r>
      <w:r w:rsidR="00F54CE5">
        <w:t xml:space="preserve">is </w:t>
      </w:r>
      <w:r w:rsidR="002E3080">
        <w:t xml:space="preserve">considered. In the cases under review, </w:t>
      </w:r>
      <w:r w:rsidR="00F54CE5">
        <w:t xml:space="preserve">this </w:t>
      </w:r>
      <w:r w:rsidR="002E3080">
        <w:t>include</w:t>
      </w:r>
      <w:r w:rsidR="00F54CE5">
        <w:t>s</w:t>
      </w:r>
      <w:r w:rsidR="002E3080">
        <w:t xml:space="preserve">: </w:t>
      </w:r>
    </w:p>
    <w:p w14:paraId="6627D46B" w14:textId="685DF803" w:rsidR="002E3080" w:rsidRPr="00C239B1" w:rsidRDefault="00F54CE5" w:rsidP="00C239B1">
      <w:pPr>
        <w:pStyle w:val="NoSpacing"/>
        <w:numPr>
          <w:ilvl w:val="0"/>
          <w:numId w:val="46"/>
        </w:numPr>
        <w:spacing w:line="360" w:lineRule="auto"/>
        <w:rPr>
          <w:rFonts w:eastAsiaTheme="majorEastAsia"/>
        </w:rPr>
      </w:pPr>
      <w:r w:rsidRPr="00C239B1">
        <w:rPr>
          <w:rFonts w:eastAsiaTheme="majorEastAsia"/>
        </w:rPr>
        <w:t>U</w:t>
      </w:r>
      <w:r w:rsidR="002E3080" w:rsidRPr="00C239B1">
        <w:rPr>
          <w:rFonts w:eastAsiaTheme="majorEastAsia"/>
        </w:rPr>
        <w:t xml:space="preserve">sing trade flow data between the country targeted by the original trade remedy investigation and the </w:t>
      </w:r>
      <w:r w:rsidRPr="00C239B1">
        <w:rPr>
          <w:rFonts w:eastAsiaTheme="majorEastAsia"/>
        </w:rPr>
        <w:t xml:space="preserve">third </w:t>
      </w:r>
      <w:r w:rsidR="002E3080" w:rsidRPr="00C239B1">
        <w:rPr>
          <w:rFonts w:eastAsiaTheme="majorEastAsia"/>
        </w:rPr>
        <w:t>countr</w:t>
      </w:r>
      <w:r w:rsidR="009E71D0" w:rsidRPr="00C239B1">
        <w:rPr>
          <w:rFonts w:eastAsiaTheme="majorEastAsia"/>
        </w:rPr>
        <w:t>y</w:t>
      </w:r>
      <w:r w:rsidR="00BE0050" w:rsidRPr="00C239B1">
        <w:rPr>
          <w:rFonts w:eastAsiaTheme="majorEastAsia"/>
        </w:rPr>
        <w:t>/</w:t>
      </w:r>
      <w:r w:rsidRPr="00C239B1">
        <w:rPr>
          <w:rFonts w:eastAsiaTheme="majorEastAsia"/>
        </w:rPr>
        <w:t>countr</w:t>
      </w:r>
      <w:r w:rsidR="002E3080" w:rsidRPr="00C239B1">
        <w:rPr>
          <w:rFonts w:eastAsiaTheme="majorEastAsia"/>
        </w:rPr>
        <w:t>ies involved in cases of transhipment or third</w:t>
      </w:r>
      <w:r w:rsidRPr="00C239B1">
        <w:rPr>
          <w:rFonts w:eastAsiaTheme="majorEastAsia"/>
        </w:rPr>
        <w:t>-</w:t>
      </w:r>
      <w:r w:rsidR="002E3080" w:rsidRPr="00C239B1">
        <w:rPr>
          <w:rFonts w:eastAsiaTheme="majorEastAsia"/>
        </w:rPr>
        <w:t>party assembly</w:t>
      </w:r>
      <w:r w:rsidR="00D86993" w:rsidRPr="00C239B1">
        <w:rPr>
          <w:rFonts w:eastAsiaTheme="majorEastAsia"/>
        </w:rPr>
        <w:t>;</w:t>
      </w:r>
    </w:p>
    <w:p w14:paraId="73E422DD" w14:textId="608DDEAB" w:rsidR="002E3080" w:rsidRPr="00C239B1" w:rsidRDefault="002E3080" w:rsidP="00C239B1">
      <w:pPr>
        <w:pStyle w:val="NoSpacing"/>
        <w:numPr>
          <w:ilvl w:val="0"/>
          <w:numId w:val="46"/>
        </w:numPr>
        <w:spacing w:line="360" w:lineRule="auto"/>
        <w:rPr>
          <w:rFonts w:eastAsiaTheme="majorEastAsia"/>
        </w:rPr>
      </w:pPr>
      <w:r w:rsidRPr="00C239B1">
        <w:rPr>
          <w:rFonts w:eastAsiaTheme="majorEastAsia"/>
        </w:rPr>
        <w:t>Expanding the time horizon of the analysis</w:t>
      </w:r>
      <w:r w:rsidR="00C239B1">
        <w:rPr>
          <w:rFonts w:eastAsiaTheme="majorEastAsia"/>
        </w:rPr>
        <w:t>;</w:t>
      </w:r>
    </w:p>
    <w:p w14:paraId="70C22F28" w14:textId="3002F0A4" w:rsidR="002E3080" w:rsidRPr="00C239B1" w:rsidRDefault="002E3080" w:rsidP="00C239B1">
      <w:pPr>
        <w:pStyle w:val="NoSpacing"/>
        <w:numPr>
          <w:ilvl w:val="0"/>
          <w:numId w:val="46"/>
        </w:numPr>
        <w:spacing w:line="360" w:lineRule="auto"/>
        <w:rPr>
          <w:rFonts w:eastAsiaTheme="majorEastAsia"/>
        </w:rPr>
      </w:pPr>
      <w:r w:rsidRPr="00C239B1">
        <w:rPr>
          <w:rFonts w:eastAsiaTheme="majorEastAsia"/>
        </w:rPr>
        <w:t>Including comparator</w:t>
      </w:r>
      <w:r w:rsidR="007F1524" w:rsidRPr="00C239B1">
        <w:rPr>
          <w:rFonts w:eastAsiaTheme="majorEastAsia"/>
        </w:rPr>
        <w:t xml:space="preserve"> countries or products</w:t>
      </w:r>
      <w:r w:rsidRPr="00C239B1">
        <w:rPr>
          <w:rFonts w:eastAsiaTheme="majorEastAsia"/>
        </w:rPr>
        <w:t xml:space="preserve"> and examining variations to the pattern of trade involving these countries (e.g. </w:t>
      </w:r>
      <w:r w:rsidR="005418A0" w:rsidRPr="00C239B1">
        <w:rPr>
          <w:rFonts w:eastAsiaTheme="majorEastAsia"/>
        </w:rPr>
        <w:t>in the glass fibres/ open mesh case</w:t>
      </w:r>
      <w:r w:rsidRPr="00C239B1">
        <w:rPr>
          <w:rFonts w:eastAsiaTheme="majorEastAsia"/>
        </w:rPr>
        <w:t xml:space="preserve">, </w:t>
      </w:r>
      <w:r w:rsidR="005418A0" w:rsidRPr="00C239B1">
        <w:rPr>
          <w:rFonts w:eastAsiaTheme="majorEastAsia"/>
        </w:rPr>
        <w:t xml:space="preserve">we examined data on </w:t>
      </w:r>
      <w:r w:rsidRPr="00C239B1">
        <w:rPr>
          <w:rFonts w:eastAsiaTheme="majorEastAsia"/>
        </w:rPr>
        <w:t xml:space="preserve">trade between </w:t>
      </w:r>
      <w:r w:rsidR="002406F0" w:rsidRPr="00C239B1">
        <w:rPr>
          <w:rFonts w:eastAsiaTheme="majorEastAsia"/>
        </w:rPr>
        <w:t>PRC</w:t>
      </w:r>
      <w:r w:rsidRPr="00C239B1">
        <w:rPr>
          <w:rFonts w:eastAsiaTheme="majorEastAsia"/>
        </w:rPr>
        <w:t xml:space="preserve"> and </w:t>
      </w:r>
      <w:r w:rsidR="00E9717B" w:rsidRPr="00C239B1">
        <w:rPr>
          <w:rFonts w:eastAsiaTheme="majorEastAsia"/>
        </w:rPr>
        <w:t>S</w:t>
      </w:r>
      <w:r w:rsidRPr="00C239B1">
        <w:rPr>
          <w:rFonts w:eastAsiaTheme="majorEastAsia"/>
        </w:rPr>
        <w:t>outh</w:t>
      </w:r>
      <w:r w:rsidR="00E270E0" w:rsidRPr="00C239B1">
        <w:rPr>
          <w:rFonts w:eastAsiaTheme="majorEastAsia"/>
        </w:rPr>
        <w:t>-</w:t>
      </w:r>
      <w:r w:rsidR="00E9717B" w:rsidRPr="00C239B1">
        <w:rPr>
          <w:rFonts w:eastAsiaTheme="majorEastAsia"/>
        </w:rPr>
        <w:t>E</w:t>
      </w:r>
      <w:r w:rsidRPr="00C239B1">
        <w:rPr>
          <w:rFonts w:eastAsiaTheme="majorEastAsia"/>
        </w:rPr>
        <w:t xml:space="preserve">ast Asia).  </w:t>
      </w:r>
    </w:p>
    <w:p w14:paraId="16D16141" w14:textId="33457BA6" w:rsidR="002E3080" w:rsidRDefault="007F1524" w:rsidP="00016CC0">
      <w:pPr>
        <w:spacing w:before="240"/>
      </w:pPr>
      <w:r>
        <w:t xml:space="preserve">A formal econometric approach – based on quasi-experimental methods such as differences-in-differences or synthetic comparators – could build on the use of comparator countries or products. The main challenge would be to do this within the timeframe of an investigation and under situations of constrained data availability. In particular, data for the comparators may not be available at the time of the investigation. </w:t>
      </w:r>
    </w:p>
    <w:p w14:paraId="6F27E5DD" w14:textId="2AC42530" w:rsidR="007F1524" w:rsidRDefault="007F1524" w:rsidP="00016CC0">
      <w:r>
        <w:t>Absent the possibility of a formal approach, the use of descriptive data of the sort considered in the three proof of concept cases can help to identify the particular questions that need answering if the counterfactual (“what would we have observed but for the imposition of duties</w:t>
      </w:r>
      <w:r w:rsidR="00BE1B5B">
        <w:t>?</w:t>
      </w:r>
      <w:r>
        <w:t xml:space="preserve">”) is to be established. For example, in the </w:t>
      </w:r>
      <w:r w:rsidR="005418A0">
        <w:t xml:space="preserve">open </w:t>
      </w:r>
      <w:r>
        <w:t xml:space="preserve">mesh case, </w:t>
      </w:r>
      <w:r w:rsidR="007A47E2">
        <w:t xml:space="preserve">having established that there has been a change in the pattern of trade </w:t>
      </w:r>
      <w:r>
        <w:t xml:space="preserve">a crucial question was whether it was plausible that observed trends for Malaysian exports to the world and the EU could be explained </w:t>
      </w:r>
      <w:r w:rsidR="009A5ABD">
        <w:t xml:space="preserve">by </w:t>
      </w:r>
      <w:r>
        <w:t>Malaysia</w:t>
      </w:r>
      <w:r w:rsidR="009A5ABD">
        <w:t>n</w:t>
      </w:r>
      <w:r>
        <w:t xml:space="preserve"> firms opportunistically switching production from domestic supply to exports. That is not a question answerable via the trade data, but it helps </w:t>
      </w:r>
      <w:r w:rsidR="008511FB">
        <w:t xml:space="preserve">with </w:t>
      </w:r>
      <w:r>
        <w:t>identify</w:t>
      </w:r>
      <w:r w:rsidR="008511FB">
        <w:t>ing</w:t>
      </w:r>
      <w:r>
        <w:t xml:space="preserve"> the information that could be obtained through expert insights or field visits</w:t>
      </w:r>
      <w:r w:rsidR="00717567">
        <w:t>.</w:t>
      </w:r>
    </w:p>
    <w:p w14:paraId="76958021" w14:textId="597627A3" w:rsidR="00775152" w:rsidRDefault="00775152" w:rsidP="00775152">
      <w:pPr>
        <w:pStyle w:val="NoSpacing"/>
        <w:spacing w:line="360" w:lineRule="auto"/>
        <w:rPr>
          <w:rFonts w:cs="Arial"/>
          <w:b/>
          <w:bCs/>
          <w:i/>
          <w:iCs/>
          <w:szCs w:val="24"/>
        </w:rPr>
      </w:pPr>
      <w:r>
        <w:rPr>
          <w:rFonts w:cs="Arial"/>
          <w:b/>
          <w:bCs/>
          <w:i/>
          <w:iCs/>
          <w:szCs w:val="24"/>
        </w:rPr>
        <w:t>Information and data on industrial organisation</w:t>
      </w:r>
    </w:p>
    <w:p w14:paraId="24DB7E1F" w14:textId="7F9E7CA7" w:rsidR="00B7369A" w:rsidRDefault="00B7369A" w:rsidP="00016CC0">
      <w:r w:rsidRPr="00B7369A">
        <w:t xml:space="preserve">As observed </w:t>
      </w:r>
      <w:r w:rsidR="007F1524">
        <w:t>in the three cases analysed,</w:t>
      </w:r>
      <w:r>
        <w:t xml:space="preserve"> and more generally </w:t>
      </w:r>
      <w:r w:rsidR="005F2628">
        <w:t xml:space="preserve">in </w:t>
      </w:r>
      <w:r>
        <w:t>the comparative country analysis, an examination of industrial organisation is usually central to forming a view on circumvention.</w:t>
      </w:r>
    </w:p>
    <w:p w14:paraId="41F3038C" w14:textId="0FF9B5E4" w:rsidR="00F674D6" w:rsidRDefault="00B7369A" w:rsidP="00016CC0">
      <w:r>
        <w:t>The review of official data sources suggests that it would be challenging to draw on these, even for analyses</w:t>
      </w:r>
      <w:r w:rsidR="00D950E7">
        <w:t xml:space="preserve"> at levels 1 and 2 </w:t>
      </w:r>
      <w:r w:rsidR="000630E5">
        <w:t>on</w:t>
      </w:r>
      <w:r w:rsidR="00D950E7">
        <w:t xml:space="preserve"> the scale presented above.</w:t>
      </w:r>
      <w:r w:rsidR="000630E5">
        <w:t xml:space="preserve"> T</w:t>
      </w:r>
      <w:r w:rsidR="00D950E7">
        <w:t xml:space="preserve">hat leaves the possibility of using data obtained through industry sources – whether commercial sources or through </w:t>
      </w:r>
      <w:r w:rsidR="00F674D6">
        <w:t xml:space="preserve">questionnaires. </w:t>
      </w:r>
      <w:r w:rsidR="005418A0">
        <w:t>Questionnaire data could potentially provide  useful cross-sectional information over time at the firm level</w:t>
      </w:r>
      <w:r w:rsidR="003B7B3D">
        <w:t xml:space="preserve">. If questionnaires covered firms within the industry but that were not subject to the initial duty, or covered firms subjected to different levels of duty, they could potentially provide the basis for considering comparators, as envisioned in level 2 of the scale presented above- </w:t>
      </w:r>
    </w:p>
    <w:p w14:paraId="00B170F8" w14:textId="10265901" w:rsidR="00216857" w:rsidRDefault="00F674D6" w:rsidP="00016CC0">
      <w:r>
        <w:t xml:space="preserve">One specific type of data </w:t>
      </w:r>
      <w:r w:rsidR="003B7B3D">
        <w:t xml:space="preserve"> that the UK would need to obtain </w:t>
      </w:r>
      <w:r w:rsidR="00F74151">
        <w:t>is</w:t>
      </w:r>
      <w:r w:rsidR="003B7B3D">
        <w:t xml:space="preserve"> production cost data-. This is a requirement for determining whether th</w:t>
      </w:r>
      <w:r w:rsidR="00216857">
        <w:t xml:space="preserve">reshold tests for </w:t>
      </w:r>
      <w:r w:rsidR="00CA50C9">
        <w:t>third-</w:t>
      </w:r>
      <w:r w:rsidR="00216857">
        <w:t>party assembly operations</w:t>
      </w:r>
      <w:r w:rsidR="003B7B3D">
        <w:t xml:space="preserve"> is met or not</w:t>
      </w:r>
      <w:r w:rsidR="00216857">
        <w:t>.</w:t>
      </w:r>
      <w:r w:rsidR="003B7B3D">
        <w:t xml:space="preserve"> But more generally, it will help to understand business decisions and how these might have evolved since the imposition of duties. </w:t>
      </w:r>
      <w:r w:rsidR="00216857">
        <w:t xml:space="preserve"> </w:t>
      </w:r>
      <w:r w:rsidR="003B7B3D">
        <w:t>Such data</w:t>
      </w:r>
      <w:r w:rsidR="00CA50C9">
        <w:t xml:space="preserve"> </w:t>
      </w:r>
      <w:r w:rsidR="00216857">
        <w:t xml:space="preserve">will need to be retrieved through written requests, and typically in association with site visits. </w:t>
      </w:r>
    </w:p>
    <w:p w14:paraId="37E19052" w14:textId="6AF25504" w:rsidR="00216857" w:rsidRDefault="00216857" w:rsidP="00016CC0">
      <w:r>
        <w:t>A key issue here is the verification of the data. That is partly a matter for auditing and will need to rely on personnel with experience in this area. As documented in the EU deep</w:t>
      </w:r>
      <w:r w:rsidR="00CA50C9">
        <w:t>-</w:t>
      </w:r>
      <w:r>
        <w:t xml:space="preserve">dive analysis, this can be </w:t>
      </w:r>
      <w:r w:rsidR="00555859">
        <w:t xml:space="preserve">a </w:t>
      </w:r>
      <w:r>
        <w:t>challenging task given investigation timeframes and lack of capacity or preparedness on the part of investigated businesses. Beyond that, another question is the reliability of the data provided</w:t>
      </w:r>
      <w:r w:rsidR="00CA50C9">
        <w:t>,</w:t>
      </w:r>
      <w:r>
        <w:t xml:space="preserve"> e.g. whether the costs reported are plausible, and whether there may be evidence </w:t>
      </w:r>
      <w:r w:rsidRPr="008511FB">
        <w:t>of cost</w:t>
      </w:r>
      <w:r w:rsidR="008511FB">
        <w:t>-</w:t>
      </w:r>
      <w:r w:rsidRPr="008511FB">
        <w:t>allocation</w:t>
      </w:r>
      <w:r>
        <w:t xml:space="preserve"> practices that are designed to ensure the investigated businesses and products </w:t>
      </w:r>
      <w:r w:rsidR="003B7B3D">
        <w:t>meet</w:t>
      </w:r>
      <w:r>
        <w:t xml:space="preserve"> the threshold value</w:t>
      </w:r>
      <w:r w:rsidR="003B7B3D">
        <w:t>s</w:t>
      </w:r>
      <w:r>
        <w:t xml:space="preserve"> specified by the legislation. </w:t>
      </w:r>
    </w:p>
    <w:p w14:paraId="01E1C2E9" w14:textId="29EA19F4" w:rsidR="00F674D6" w:rsidRDefault="00F674D6" w:rsidP="00016CC0">
      <w:r>
        <w:t>Trade remedy authorities have some experience of using benchmark costs when costs reported by investigated firms are unreliable</w:t>
      </w:r>
      <w:r w:rsidR="007F1524">
        <w:t xml:space="preserve"> or distorted</w:t>
      </w:r>
      <w:r>
        <w:t>, in the context of normal value calculations. Sources include specialist industry reports (e.g. for the steel sector) and international data sources such as the</w:t>
      </w:r>
      <w:r w:rsidR="007F1524">
        <w:t xml:space="preserve"> International Labour Organi</w:t>
      </w:r>
      <w:r w:rsidR="008511FB">
        <w:t>z</w:t>
      </w:r>
      <w:r w:rsidR="007F1524">
        <w:t xml:space="preserve">ation’s </w:t>
      </w:r>
      <w:r>
        <w:t>database on wages.</w:t>
      </w:r>
      <w:r>
        <w:rPr>
          <w:rStyle w:val="FootnoteReference"/>
          <w:rFonts w:cs="Arial"/>
          <w:szCs w:val="24"/>
        </w:rPr>
        <w:footnoteReference w:id="64"/>
      </w:r>
      <w:r>
        <w:t xml:space="preserve"> </w:t>
      </w:r>
    </w:p>
    <w:p w14:paraId="4ED04985" w14:textId="1E81F527" w:rsidR="00B975AA" w:rsidRDefault="00B975AA" w:rsidP="00016CC0">
      <w:r>
        <w:t>Evidence on consumer and end-user preferences play an important, if not determinative role, in deciding cases relating to minor modifications. The key</w:t>
      </w:r>
      <w:r w:rsidDel="008511FB">
        <w:t xml:space="preserve"> </w:t>
      </w:r>
      <w:r w:rsidR="008511FB">
        <w:t xml:space="preserve">issue </w:t>
      </w:r>
      <w:r>
        <w:t>is to ascertain the extent of substitutability. A quantitative way of doing this is through estimates of cross-price elasticit</w:t>
      </w:r>
      <w:r w:rsidR="00BE7569">
        <w:t>ies of demand. But this could be a challenging exercise as it requires high</w:t>
      </w:r>
      <w:r w:rsidR="001D63BF">
        <w:t>-</w:t>
      </w:r>
      <w:r w:rsidR="00BE7569">
        <w:t>quality data that can be processed in a short period of time.</w:t>
      </w:r>
      <w:r w:rsidR="00BE0FC1">
        <w:rPr>
          <w:rStyle w:val="FootnoteReference"/>
          <w:rFonts w:cs="Arial"/>
          <w:szCs w:val="24"/>
        </w:rPr>
        <w:footnoteReference w:id="65"/>
      </w:r>
      <w:r w:rsidR="00BE7569">
        <w:t xml:space="preserve"> It is also worth noting that econometric estimates of substitution have not generally found favour in WTO dispute settlement proceedings, mainly because of concerns around robustness but also because of a tendency</w:t>
      </w:r>
      <w:r w:rsidR="006632D5">
        <w:t xml:space="preserve"> on the part of WTO panels and </w:t>
      </w:r>
      <w:r w:rsidR="008511FB">
        <w:t xml:space="preserve">the </w:t>
      </w:r>
      <w:r w:rsidR="006632D5">
        <w:t xml:space="preserve">Appellate Body </w:t>
      </w:r>
      <w:r w:rsidR="006632D5" w:rsidDel="00CA50C9">
        <w:t xml:space="preserve">to </w:t>
      </w:r>
      <w:r w:rsidR="00BE7569">
        <w:t>analyse “likeness” in legal terms.</w:t>
      </w:r>
      <w:r w:rsidR="00BE7569">
        <w:rPr>
          <w:rStyle w:val="FootnoteReference"/>
          <w:rFonts w:cs="Arial"/>
          <w:szCs w:val="24"/>
        </w:rPr>
        <w:footnoteReference w:id="66"/>
      </w:r>
      <w:r w:rsidR="00BE7569">
        <w:t xml:space="preserve"> To the extent that this attitude reflects a broader approach by trade lawyers to econometrics, it may limit the extent to which econometrics can be used in this particular context. On that basis, the primary form of evidence on preferences is likely to come from expert evidence.   </w:t>
      </w:r>
    </w:p>
    <w:p w14:paraId="46AA0452" w14:textId="6DB46D64" w:rsidR="00216857" w:rsidRDefault="00216857" w:rsidP="00016CC0">
      <w:r>
        <w:t>An analysis of industrial organisation may need to draw on e</w:t>
      </w:r>
      <w:r w:rsidR="00F674D6">
        <w:t>xpert evidence</w:t>
      </w:r>
      <w:r>
        <w:t>.</w:t>
      </w:r>
      <w:r w:rsidR="00F674D6">
        <w:t xml:space="preserve"> </w:t>
      </w:r>
      <w:r>
        <w:t xml:space="preserve">Expert evidence </w:t>
      </w:r>
      <w:r w:rsidR="00F674D6">
        <w:t>is routinely used in competition policy cases and in WTO dispute proceedings.</w:t>
      </w:r>
      <w:r>
        <w:t xml:space="preserve"> But as the deep</w:t>
      </w:r>
      <w:r w:rsidR="00CA50C9">
        <w:t>-</w:t>
      </w:r>
      <w:r>
        <w:t>dive studies indicated, trade remed</w:t>
      </w:r>
      <w:r w:rsidR="00CA50C9">
        <w:t>y</w:t>
      </w:r>
      <w:r>
        <w:t xml:space="preserve"> authorities tend not to rely on external experts in circumvention cases, rely</w:t>
      </w:r>
      <w:r w:rsidR="008511FB">
        <w:t>ing instead</w:t>
      </w:r>
      <w:r w:rsidDel="008511FB">
        <w:t xml:space="preserve"> </w:t>
      </w:r>
      <w:r>
        <w:t xml:space="preserve">on accumulated in-house experience. In the United States specifically, expert witnesses </w:t>
      </w:r>
      <w:r w:rsidR="006632D5">
        <w:t>have played</w:t>
      </w:r>
      <w:r w:rsidDel="008511FB">
        <w:t xml:space="preserve"> </w:t>
      </w:r>
      <w:r>
        <w:t>a role in hearings and the authorities can draw on the adversarial nature of the hearings</w:t>
      </w:r>
      <w:r w:rsidDel="00CA50C9">
        <w:t xml:space="preserve"> </w:t>
      </w:r>
      <w:r>
        <w:t xml:space="preserve">in forming a view. </w:t>
      </w:r>
    </w:p>
    <w:p w14:paraId="65EDF1C4" w14:textId="5054A2B3" w:rsidR="00D950E7" w:rsidRDefault="00CA50C9" w:rsidP="00016CC0">
      <w:r>
        <w:t>As</w:t>
      </w:r>
      <w:r w:rsidR="00216857">
        <w:t xml:space="preserve"> the TRA is a new institution, there may be more of a role for external experts in the UK context.</w:t>
      </w:r>
      <w:r w:rsidR="00F674D6">
        <w:t xml:space="preserve"> The use of expert evidence is not unproblematic. Expert witnesses may </w:t>
      </w:r>
      <w:r w:rsidR="00F674D6" w:rsidRPr="00CF433C">
        <w:t>not neces</w:t>
      </w:r>
      <w:r w:rsidR="00CF433C" w:rsidRPr="00CF433C">
        <w:t>sarily be unbiased witnesses, and</w:t>
      </w:r>
      <w:r w:rsidR="00CF433C">
        <w:t xml:space="preserve"> there are challenges when they are called to provide evidence on matters </w:t>
      </w:r>
      <w:r>
        <w:t xml:space="preserve">on </w:t>
      </w:r>
      <w:r w:rsidR="00CF433C">
        <w:t>which there may be no professional consensus.</w:t>
      </w:r>
      <w:r w:rsidR="00CF433C">
        <w:rPr>
          <w:rStyle w:val="FootnoteReference"/>
          <w:rFonts w:cs="Arial"/>
          <w:szCs w:val="24"/>
        </w:rPr>
        <w:footnoteReference w:id="67"/>
      </w:r>
      <w:r w:rsidR="00F674D6">
        <w:t xml:space="preserve"> </w:t>
      </w:r>
      <w:r w:rsidR="006632D5">
        <w:t>Moreover, the timelines for the inquiry may make it challenging to commission independent experts in time. Th</w:t>
      </w:r>
      <w:r w:rsidR="00CF433C">
        <w:t>ese issues can be mitigated by:</w:t>
      </w:r>
    </w:p>
    <w:p w14:paraId="062F36BD" w14:textId="78F5671E" w:rsidR="006632D5" w:rsidRPr="00C239B1" w:rsidRDefault="006632D5" w:rsidP="00C239B1">
      <w:pPr>
        <w:pStyle w:val="NoSpacing"/>
        <w:numPr>
          <w:ilvl w:val="0"/>
          <w:numId w:val="46"/>
        </w:numPr>
        <w:spacing w:line="360" w:lineRule="auto"/>
        <w:rPr>
          <w:rFonts w:eastAsiaTheme="majorEastAsia"/>
        </w:rPr>
      </w:pPr>
      <w:r w:rsidRPr="00C239B1">
        <w:rPr>
          <w:rFonts w:eastAsiaTheme="majorEastAsia"/>
        </w:rPr>
        <w:t xml:space="preserve">Drawing on lessons of experience from past cases in understanding what the broad areas of research are likely to be (e.g. patterns of substitution and </w:t>
      </w:r>
      <w:r w:rsidRPr="00C239B1" w:rsidDel="008511FB">
        <w:rPr>
          <w:rFonts w:eastAsiaTheme="majorEastAsia"/>
        </w:rPr>
        <w:t>end</w:t>
      </w:r>
      <w:r w:rsidRPr="00C239B1">
        <w:rPr>
          <w:rFonts w:eastAsiaTheme="majorEastAsia"/>
        </w:rPr>
        <w:t>-use in alteration cases)</w:t>
      </w:r>
      <w:r w:rsidR="00040A7D" w:rsidRPr="00C239B1">
        <w:rPr>
          <w:rFonts w:eastAsiaTheme="majorEastAsia"/>
        </w:rPr>
        <w:t>;</w:t>
      </w:r>
    </w:p>
    <w:p w14:paraId="3D992BFB" w14:textId="7981E7A0" w:rsidR="00CF433C" w:rsidRPr="00C239B1" w:rsidRDefault="00CF433C" w:rsidP="00C239B1">
      <w:pPr>
        <w:pStyle w:val="NoSpacing"/>
        <w:numPr>
          <w:ilvl w:val="0"/>
          <w:numId w:val="46"/>
        </w:numPr>
        <w:spacing w:line="360" w:lineRule="auto"/>
        <w:rPr>
          <w:rFonts w:eastAsiaTheme="majorEastAsia"/>
        </w:rPr>
      </w:pPr>
      <w:r w:rsidRPr="00C239B1">
        <w:rPr>
          <w:rFonts w:eastAsiaTheme="majorEastAsia"/>
        </w:rPr>
        <w:t xml:space="preserve">Ensuring that the quantitative analysis drawing on trade data is as thorough as </w:t>
      </w:r>
      <w:r w:rsidR="00B975AA" w:rsidRPr="00C239B1">
        <w:rPr>
          <w:rFonts w:eastAsiaTheme="majorEastAsia"/>
        </w:rPr>
        <w:t>possible</w:t>
      </w:r>
      <w:r w:rsidRPr="00C239B1">
        <w:rPr>
          <w:rFonts w:eastAsiaTheme="majorEastAsia"/>
        </w:rPr>
        <w:t xml:space="preserve"> so that the remaining questions are precisely identified</w:t>
      </w:r>
      <w:r w:rsidR="00040A7D" w:rsidRPr="00C239B1">
        <w:rPr>
          <w:rFonts w:eastAsiaTheme="majorEastAsia"/>
        </w:rPr>
        <w:t>;</w:t>
      </w:r>
    </w:p>
    <w:p w14:paraId="2DC2A0CE" w14:textId="2417719F" w:rsidR="00CF433C" w:rsidRPr="00C239B1" w:rsidRDefault="00CF433C" w:rsidP="00C239B1">
      <w:pPr>
        <w:pStyle w:val="NoSpacing"/>
        <w:numPr>
          <w:ilvl w:val="0"/>
          <w:numId w:val="46"/>
        </w:numPr>
        <w:spacing w:line="360" w:lineRule="auto"/>
        <w:rPr>
          <w:rFonts w:eastAsiaTheme="majorEastAsia"/>
        </w:rPr>
      </w:pPr>
      <w:r w:rsidRPr="00C239B1">
        <w:rPr>
          <w:rFonts w:eastAsiaTheme="majorEastAsia"/>
        </w:rPr>
        <w:t>Focus</w:t>
      </w:r>
      <w:r w:rsidR="006632D5" w:rsidRPr="00C239B1">
        <w:rPr>
          <w:rFonts w:eastAsiaTheme="majorEastAsia"/>
        </w:rPr>
        <w:t>ing</w:t>
      </w:r>
      <w:r w:rsidRPr="00C239B1">
        <w:rPr>
          <w:rFonts w:eastAsiaTheme="majorEastAsia"/>
        </w:rPr>
        <w:t xml:space="preserve"> the questions on specific points of industrial organisation</w:t>
      </w:r>
      <w:r w:rsidR="00040A7D" w:rsidRPr="00C239B1">
        <w:rPr>
          <w:rFonts w:eastAsiaTheme="majorEastAsia"/>
        </w:rPr>
        <w:t>,</w:t>
      </w:r>
      <w:r w:rsidRPr="00C239B1">
        <w:rPr>
          <w:rFonts w:eastAsiaTheme="majorEastAsia"/>
        </w:rPr>
        <w:t xml:space="preserve"> e.g. the likelihood that</w:t>
      </w:r>
      <w:r w:rsidR="00AC291A" w:rsidRPr="00C239B1">
        <w:rPr>
          <w:rFonts w:eastAsiaTheme="majorEastAsia"/>
        </w:rPr>
        <w:t>,</w:t>
      </w:r>
      <w:r w:rsidRPr="00C239B1">
        <w:rPr>
          <w:rFonts w:eastAsiaTheme="majorEastAsia"/>
        </w:rPr>
        <w:t xml:space="preserve"> in imperfectly competitive markets, </w:t>
      </w:r>
      <w:r w:rsidR="000630E5" w:rsidRPr="00C239B1">
        <w:rPr>
          <w:rFonts w:eastAsiaTheme="majorEastAsia"/>
        </w:rPr>
        <w:t>the</w:t>
      </w:r>
      <w:r w:rsidRPr="00C239B1">
        <w:rPr>
          <w:rFonts w:eastAsiaTheme="majorEastAsia"/>
        </w:rPr>
        <w:t xml:space="preserve"> observed behaviour on pricing and output is commercially justifiable. </w:t>
      </w:r>
      <w:r w:rsidR="0089539A" w:rsidRPr="00C239B1">
        <w:rPr>
          <w:rFonts w:eastAsiaTheme="majorEastAsia"/>
        </w:rPr>
        <w:t>This will also ensure that the costs associated with expert evidence are contained</w:t>
      </w:r>
      <w:r w:rsidR="00040A7D" w:rsidRPr="00C239B1">
        <w:rPr>
          <w:rFonts w:eastAsiaTheme="majorEastAsia"/>
        </w:rPr>
        <w:t>;</w:t>
      </w:r>
    </w:p>
    <w:p w14:paraId="2BB7EE7C" w14:textId="1B02A6B7" w:rsidR="00CF433C" w:rsidRPr="00C239B1" w:rsidRDefault="006632D5" w:rsidP="00C239B1">
      <w:pPr>
        <w:pStyle w:val="NoSpacing"/>
        <w:numPr>
          <w:ilvl w:val="0"/>
          <w:numId w:val="46"/>
        </w:numPr>
        <w:spacing w:line="360" w:lineRule="auto"/>
        <w:rPr>
          <w:rFonts w:eastAsiaTheme="majorEastAsia"/>
        </w:rPr>
      </w:pPr>
      <w:r w:rsidRPr="00C239B1">
        <w:rPr>
          <w:rFonts w:eastAsiaTheme="majorEastAsia"/>
        </w:rPr>
        <w:t>Emphasising</w:t>
      </w:r>
      <w:r w:rsidR="00040A7D" w:rsidRPr="00C239B1">
        <w:rPr>
          <w:rFonts w:eastAsiaTheme="majorEastAsia"/>
        </w:rPr>
        <w:t xml:space="preserve"> </w:t>
      </w:r>
      <w:r w:rsidRPr="00C239B1">
        <w:rPr>
          <w:rFonts w:eastAsiaTheme="majorEastAsia"/>
        </w:rPr>
        <w:t>t</w:t>
      </w:r>
      <w:r w:rsidR="0089539A" w:rsidRPr="00C239B1">
        <w:rPr>
          <w:rFonts w:eastAsiaTheme="majorEastAsia"/>
        </w:rPr>
        <w:t xml:space="preserve">ransparency regarding the underlying assumptions based on which inferences are drawn e.g. </w:t>
      </w:r>
      <w:r w:rsidR="009051BC" w:rsidRPr="00C239B1">
        <w:rPr>
          <w:rFonts w:eastAsiaTheme="majorEastAsia"/>
        </w:rPr>
        <w:t>models of imperfect competition</w:t>
      </w:r>
      <w:r w:rsidR="0089539A" w:rsidRPr="00C239B1">
        <w:rPr>
          <w:rFonts w:eastAsiaTheme="majorEastAsia"/>
        </w:rPr>
        <w:t>.</w:t>
      </w:r>
    </w:p>
    <w:p w14:paraId="5F47B5D4" w14:textId="4FC27B11" w:rsidR="008F582A" w:rsidRDefault="008F582A" w:rsidP="00016CC0">
      <w:pPr>
        <w:pStyle w:val="NoSpacing"/>
        <w:spacing w:before="240" w:line="360" w:lineRule="auto"/>
        <w:rPr>
          <w:rFonts w:cs="Arial"/>
          <w:b/>
          <w:bCs/>
          <w:i/>
          <w:iCs/>
          <w:szCs w:val="24"/>
        </w:rPr>
      </w:pPr>
      <w:r w:rsidRPr="008F582A">
        <w:rPr>
          <w:rFonts w:cs="Arial"/>
          <w:b/>
          <w:bCs/>
          <w:i/>
          <w:iCs/>
          <w:szCs w:val="24"/>
        </w:rPr>
        <w:t>Other qualitative assessments</w:t>
      </w:r>
    </w:p>
    <w:p w14:paraId="1F3C4D82" w14:textId="72F82B0A" w:rsidR="001D7006" w:rsidRDefault="00FE2210" w:rsidP="00016CC0">
      <w:r>
        <w:t>On-site visits to the allegedly circumventing third</w:t>
      </w:r>
      <w:r w:rsidR="00040A7D">
        <w:t>-</w:t>
      </w:r>
      <w:r>
        <w:t xml:space="preserve">country exporters </w:t>
      </w:r>
      <w:r w:rsidR="0089539A">
        <w:t xml:space="preserve">have often played a </w:t>
      </w:r>
      <w:r>
        <w:t>critical</w:t>
      </w:r>
      <w:r w:rsidR="0089539A">
        <w:t xml:space="preserve"> role. And</w:t>
      </w:r>
      <w:r w:rsidR="00040A7D">
        <w:t>,</w:t>
      </w:r>
      <w:r w:rsidR="0089539A">
        <w:t xml:space="preserve"> clearly, field research that reveals businesses openly advertising “circumvention services” may considerably reduce, or eliminate, the need for other forms of analysis. </w:t>
      </w:r>
    </w:p>
    <w:p w14:paraId="4DDAA52E" w14:textId="265CA455" w:rsidR="00FE2210" w:rsidRDefault="001D7006" w:rsidP="00016CC0">
      <w:r>
        <w:t>In the standard cases, field visits include verification of evidence provided by businesses. As observed in the EU deep</w:t>
      </w:r>
      <w:r w:rsidR="00040A7D">
        <w:t>-</w:t>
      </w:r>
      <w:r>
        <w:t xml:space="preserve">dive study, the </w:t>
      </w:r>
      <w:r w:rsidR="00BB0981">
        <w:t>EC</w:t>
      </w:r>
      <w:r>
        <w:t xml:space="preserve"> has used assessments of production capacity in investigated countries to examine whether observed capacity and production rates tally with reports that the country has become a genuine location for production.</w:t>
      </w:r>
      <w:r w:rsidR="00FE2210">
        <w:t xml:space="preserve"> </w:t>
      </w:r>
      <w:r w:rsidR="007D2019">
        <w:t>Field research also helps with one key aspect of circumvention cases: as with anti-dumping more generally, duties are firm-specific, and there is latitude within the UK circumvention framework to exempt specific businesses from duties. While official data and other sources can help</w:t>
      </w:r>
      <w:r w:rsidR="007D2019" w:rsidDel="00AC291A">
        <w:t xml:space="preserve"> </w:t>
      </w:r>
      <w:r w:rsidR="00AC291A">
        <w:t xml:space="preserve">with </w:t>
      </w:r>
      <w:r w:rsidR="007D2019">
        <w:t>determin</w:t>
      </w:r>
      <w:r w:rsidR="00AC291A">
        <w:t>ing</w:t>
      </w:r>
      <w:r w:rsidR="007D2019">
        <w:t xml:space="preserve"> the existence of circumvention, they may not be sufficient </w:t>
      </w:r>
      <w:r w:rsidR="00AC291A">
        <w:t xml:space="preserve">for </w:t>
      </w:r>
      <w:r w:rsidR="007D2019">
        <w:t>identify</w:t>
      </w:r>
      <w:r w:rsidR="00AC291A">
        <w:t>ing</w:t>
      </w:r>
      <w:r w:rsidR="007D2019">
        <w:t xml:space="preserve"> specific firms. </w:t>
      </w:r>
    </w:p>
    <w:p w14:paraId="071073B6" w14:textId="1EAE3059" w:rsidR="000630E5" w:rsidRDefault="00B478E0" w:rsidP="00016CC0">
      <w:r>
        <w:t xml:space="preserve">Finally, a range of factors could be considered to assess the likelihood of circumvention based on past cases. As observed in the context of the EU analysis, and the identification of a </w:t>
      </w:r>
      <w:r w:rsidRPr="00AC291A">
        <w:t>South/South</w:t>
      </w:r>
      <w:r w:rsidRPr="00AC291A" w:rsidDel="00AC291A">
        <w:t>-</w:t>
      </w:r>
      <w:r w:rsidR="001A6AB5" w:rsidRPr="00AC291A">
        <w:t>E</w:t>
      </w:r>
      <w:r w:rsidRPr="00AC291A">
        <w:t>ast Asian circumvention</w:t>
      </w:r>
      <w:r>
        <w:t xml:space="preserve"> hub, factors include ethnic/linguistic commonalities and measures of governance and administrative capacity. </w:t>
      </w:r>
    </w:p>
    <w:p w14:paraId="1DBC8233" w14:textId="78F876C1" w:rsidR="00B478E0" w:rsidRPr="00B478E0" w:rsidRDefault="00B478E0" w:rsidP="00016CC0">
      <w:r>
        <w:t>Various measures for these indicators exist</w:t>
      </w:r>
      <w:r w:rsidR="001A087B">
        <w:t xml:space="preserve"> and have been used in applied trade modelling</w:t>
      </w:r>
      <w:r>
        <w:t>. Measures of linguistic distance have been developed for measuring the determinants of bilateral trade flows.</w:t>
      </w:r>
      <w:r>
        <w:rPr>
          <w:rStyle w:val="FootnoteReference"/>
        </w:rPr>
        <w:footnoteReference w:id="68"/>
      </w:r>
      <w:r>
        <w:t xml:space="preserve"> Measures of governance and administrative capacity can be captured by indices such as the World Bank Logistics Performance Index</w:t>
      </w:r>
      <w:r>
        <w:rPr>
          <w:rStyle w:val="FootnoteReference"/>
        </w:rPr>
        <w:footnoteReference w:id="69"/>
      </w:r>
      <w:r>
        <w:t xml:space="preserve"> or the Customs Capabilities Index developed by the Global Express Association</w:t>
      </w:r>
      <w:r w:rsidR="00C97B5A">
        <w:t>.</w:t>
      </w:r>
      <w:r w:rsidR="009051BC">
        <w:rPr>
          <w:rStyle w:val="FootnoteReference"/>
        </w:rPr>
        <w:footnoteReference w:id="70"/>
      </w:r>
      <w:r>
        <w:t xml:space="preserve"> </w:t>
      </w:r>
    </w:p>
    <w:p w14:paraId="5972A2ED" w14:textId="763AF7DD" w:rsidR="001D7006" w:rsidRDefault="00FA1C57" w:rsidP="0B87AE61">
      <w:pPr>
        <w:pStyle w:val="Heading2"/>
        <w:rPr>
          <w:rFonts w:cs="Arial"/>
          <w:b w:val="0"/>
        </w:rPr>
      </w:pPr>
      <w:bookmarkStart w:id="128" w:name="_Toc282256939"/>
      <w:bookmarkStart w:id="129" w:name="_Toc118465300"/>
      <w:r w:rsidRPr="0B87AE61">
        <w:rPr>
          <w:rFonts w:cs="Arial"/>
        </w:rPr>
        <w:t>5.5</w:t>
      </w:r>
      <w:r>
        <w:tab/>
      </w:r>
      <w:r w:rsidR="00216857" w:rsidRPr="0B87AE61">
        <w:rPr>
          <w:rFonts w:cs="Arial"/>
        </w:rPr>
        <w:t>Steps to implement the toolkit</w:t>
      </w:r>
      <w:bookmarkEnd w:id="128"/>
      <w:bookmarkEnd w:id="129"/>
    </w:p>
    <w:p w14:paraId="07F4E7F0" w14:textId="1B817FA8" w:rsidR="001D7006" w:rsidRDefault="00216857" w:rsidP="00016CC0">
      <w:r>
        <w:t>The analysis of the three cases undertaken in this report, and the discussion of the types of evidence available, highlight that a</w:t>
      </w:r>
      <w:r w:rsidR="000023A7">
        <w:t>nti-circumvention cases are typically undertaken in data-constrained environments. This is partly because statutory timelines may require the conduct of an investigation prior to the availability of data and part</w:t>
      </w:r>
      <w:r w:rsidR="00AC291A">
        <w:t>l</w:t>
      </w:r>
      <w:r w:rsidR="000023A7">
        <w:t>y because data often do</w:t>
      </w:r>
      <w:r w:rsidR="00040A7D">
        <w:t>es</w:t>
      </w:r>
      <w:r w:rsidR="000023A7">
        <w:t xml:space="preserve"> not exist at the level of granularity required for the authorities to make findings on specific questions of interest.</w:t>
      </w:r>
    </w:p>
    <w:p w14:paraId="59E2778C" w14:textId="65C43AA8" w:rsidR="00216857" w:rsidRDefault="00216857" w:rsidP="00F7615F">
      <w:pPr>
        <w:pStyle w:val="NoSpacing"/>
        <w:spacing w:line="360" w:lineRule="auto"/>
      </w:pPr>
      <w:r>
        <w:t xml:space="preserve">Within the scope of these limitations, it is nevertheless still possible to develop a framework to </w:t>
      </w:r>
      <w:r w:rsidR="00EA5E4E">
        <w:t>assess how best to implement the different evidentiary elements of the toolkit in a manner that is more likely to lead to robust conclusions. One way of doing this is through a “traffic light” (Red, Amber, Green, or RAG) system to rate the overall strength of evidence.</w:t>
      </w:r>
    </w:p>
    <w:p w14:paraId="1CC38935" w14:textId="402655D8" w:rsidR="0023596F" w:rsidRDefault="0023596F" w:rsidP="00016CC0">
      <w:r>
        <w:t xml:space="preserve">In doing this, we need to consider the specific legal framework for circumvention cases handled by the TRA. As observed in the introduction, the UK’s legal framework sets out </w:t>
      </w:r>
      <w:r w:rsidR="00040A7D">
        <w:t>four</w:t>
      </w:r>
      <w:r>
        <w:t xml:space="preserve"> specific steps. The main challenges, in terms of counterfactual analysis, arise in relation to step</w:t>
      </w:r>
      <w:r w:rsidR="00A951C1">
        <w:t xml:space="preserve"> </w:t>
      </w:r>
      <w:r>
        <w:t>1 (change in the pattern of trade) and its attribution to the circumvention categories identified in step 2.</w:t>
      </w:r>
      <w:r>
        <w:rPr>
          <w:rStyle w:val="FootnoteReference"/>
        </w:rPr>
        <w:footnoteReference w:id="71"/>
      </w:r>
      <w:r>
        <w:t xml:space="preserve"> Hence the focus of this RAG analysis is on these steps. </w:t>
      </w:r>
    </w:p>
    <w:p w14:paraId="2BEEE9C2" w14:textId="443AAD0E" w:rsidR="000023A7" w:rsidRDefault="00061073" w:rsidP="00016CC0">
      <w:r>
        <w:t>An illustrative</w:t>
      </w:r>
      <w:r w:rsidR="0023596F">
        <w:t xml:space="preserve"> way in which this could work is</w:t>
      </w:r>
      <w:r>
        <w:t xml:space="preserve"> </w:t>
      </w:r>
      <w:r w:rsidR="000630E5">
        <w:t xml:space="preserve">outlined in </w:t>
      </w:r>
      <w:r w:rsidR="00FE05B4">
        <w:fldChar w:fldCharType="begin"/>
      </w:r>
      <w:r w:rsidR="00FE05B4">
        <w:instrText xml:space="preserve"> REF _Ref97196180 \h </w:instrText>
      </w:r>
      <w:r w:rsidR="00FE05B4">
        <w:fldChar w:fldCharType="separate"/>
      </w:r>
      <w:r w:rsidR="007A47E2">
        <w:t xml:space="preserve">Table </w:t>
      </w:r>
      <w:r w:rsidR="007A47E2">
        <w:rPr>
          <w:noProof/>
        </w:rPr>
        <w:t>6</w:t>
      </w:r>
      <w:r w:rsidR="00FE05B4">
        <w:fldChar w:fldCharType="end"/>
      </w:r>
      <w:r w:rsidR="00E0019C">
        <w:t>.</w:t>
      </w:r>
    </w:p>
    <w:p w14:paraId="69278F28" w14:textId="1A46D328" w:rsidR="00061073" w:rsidRDefault="004412CB" w:rsidP="004412CB">
      <w:pPr>
        <w:pStyle w:val="Caption"/>
      </w:pPr>
      <w:r>
        <w:t xml:space="preserve">Table </w:t>
      </w:r>
      <w:r>
        <w:fldChar w:fldCharType="begin"/>
      </w:r>
      <w:r>
        <w:instrText>SEQ Table \* ARABIC</w:instrText>
      </w:r>
      <w:r>
        <w:fldChar w:fldCharType="separate"/>
      </w:r>
      <w:r>
        <w:rPr>
          <w:noProof/>
        </w:rPr>
        <w:t>6</w:t>
      </w:r>
      <w:r>
        <w:fldChar w:fldCharType="end"/>
      </w:r>
      <w:r w:rsidR="00883A24">
        <w:t>:</w:t>
      </w:r>
      <w:r w:rsidR="008C4920">
        <w:t xml:space="preserve"> </w:t>
      </w:r>
      <w:r w:rsidR="00B478E0">
        <w:t>RAG rating of strength of evidence in a circumvention case</w:t>
      </w:r>
      <w:r w:rsidR="003A30D2">
        <w:t xml:space="preserve"> – </w:t>
      </w:r>
      <w:r w:rsidR="00216857">
        <w:t>step 1</w:t>
      </w:r>
    </w:p>
    <w:tbl>
      <w:tblPr>
        <w:tblStyle w:val="TableGrid"/>
        <w:tblW w:w="9351" w:type="dxa"/>
        <w:tblLook w:val="04A0" w:firstRow="1" w:lastRow="0" w:firstColumn="1" w:lastColumn="0" w:noHBand="0" w:noVBand="1"/>
      </w:tblPr>
      <w:tblGrid>
        <w:gridCol w:w="3964"/>
        <w:gridCol w:w="2835"/>
        <w:gridCol w:w="2552"/>
      </w:tblGrid>
      <w:tr w:rsidR="002418CB" w14:paraId="0AC0309A" w14:textId="77777777" w:rsidTr="00E24EB8">
        <w:tc>
          <w:tcPr>
            <w:tcW w:w="9351" w:type="dxa"/>
            <w:gridSpan w:val="3"/>
          </w:tcPr>
          <w:p w14:paraId="5EAC1576" w14:textId="42572913" w:rsidR="002418CB" w:rsidRPr="002B66D1" w:rsidRDefault="002418CB" w:rsidP="00DB6E6D">
            <w:pPr>
              <w:pStyle w:val="NoSpacing"/>
              <w:spacing w:line="276" w:lineRule="auto"/>
              <w:rPr>
                <w:sz w:val="22"/>
                <w:szCs w:val="22"/>
              </w:rPr>
            </w:pPr>
            <w:r w:rsidRPr="002B66D1">
              <w:rPr>
                <w:sz w:val="22"/>
                <w:szCs w:val="22"/>
              </w:rPr>
              <w:t xml:space="preserve">Step 1: Change in the pattern of trade (regulation 73(2)(a) </w:t>
            </w:r>
            <w:r w:rsidR="00EA0D9C" w:rsidRPr="002B66D1">
              <w:rPr>
                <w:sz w:val="22"/>
                <w:szCs w:val="22"/>
              </w:rPr>
              <w:t>)</w:t>
            </w:r>
          </w:p>
        </w:tc>
      </w:tr>
      <w:tr w:rsidR="002418CB" w14:paraId="46C6E37F" w14:textId="77777777" w:rsidTr="00573DDB">
        <w:tc>
          <w:tcPr>
            <w:tcW w:w="3964" w:type="dxa"/>
          </w:tcPr>
          <w:p w14:paraId="19349496" w14:textId="3273DA25" w:rsidR="002418CB" w:rsidRPr="002B66D1" w:rsidRDefault="002418CB" w:rsidP="00DB6E6D">
            <w:pPr>
              <w:pStyle w:val="NoSpacing"/>
              <w:spacing w:line="276" w:lineRule="auto"/>
              <w:rPr>
                <w:sz w:val="22"/>
                <w:szCs w:val="22"/>
              </w:rPr>
            </w:pPr>
            <w:r w:rsidRPr="002B66D1">
              <w:rPr>
                <w:sz w:val="22"/>
                <w:szCs w:val="22"/>
              </w:rPr>
              <w:t>Quantitative evidence</w:t>
            </w:r>
          </w:p>
        </w:tc>
        <w:tc>
          <w:tcPr>
            <w:tcW w:w="2835" w:type="dxa"/>
          </w:tcPr>
          <w:p w14:paraId="11350993" w14:textId="667532F0" w:rsidR="002418CB" w:rsidRPr="002B66D1" w:rsidRDefault="002418CB" w:rsidP="00DB6E6D">
            <w:pPr>
              <w:pStyle w:val="NoSpacing"/>
              <w:spacing w:line="276" w:lineRule="auto"/>
              <w:rPr>
                <w:sz w:val="22"/>
                <w:szCs w:val="22"/>
              </w:rPr>
            </w:pPr>
            <w:r w:rsidRPr="002B66D1">
              <w:rPr>
                <w:sz w:val="22"/>
                <w:szCs w:val="22"/>
              </w:rPr>
              <w:t>Qualitative evidence</w:t>
            </w:r>
          </w:p>
        </w:tc>
        <w:tc>
          <w:tcPr>
            <w:tcW w:w="2552" w:type="dxa"/>
          </w:tcPr>
          <w:p w14:paraId="3ABD0B88" w14:textId="6FBDFE22" w:rsidR="002418CB" w:rsidRPr="002B66D1" w:rsidRDefault="002418CB" w:rsidP="00DB6E6D">
            <w:pPr>
              <w:pStyle w:val="NoSpacing"/>
              <w:spacing w:line="276" w:lineRule="auto"/>
              <w:rPr>
                <w:sz w:val="22"/>
                <w:szCs w:val="22"/>
              </w:rPr>
            </w:pPr>
            <w:r w:rsidRPr="002B66D1">
              <w:rPr>
                <w:sz w:val="22"/>
                <w:szCs w:val="22"/>
              </w:rPr>
              <w:t>RAG rating</w:t>
            </w:r>
          </w:p>
        </w:tc>
      </w:tr>
      <w:tr w:rsidR="002418CB" w14:paraId="245BB0B8" w14:textId="77777777" w:rsidTr="00573DDB">
        <w:tc>
          <w:tcPr>
            <w:tcW w:w="3964" w:type="dxa"/>
          </w:tcPr>
          <w:p w14:paraId="0B6AD4D6" w14:textId="3DA05558" w:rsidR="002418CB" w:rsidRPr="002B66D1" w:rsidRDefault="002418CB" w:rsidP="00DB6E6D">
            <w:pPr>
              <w:pStyle w:val="NoSpacing"/>
              <w:spacing w:line="276" w:lineRule="auto"/>
              <w:rPr>
                <w:sz w:val="22"/>
                <w:szCs w:val="22"/>
              </w:rPr>
            </w:pPr>
            <w:r w:rsidRPr="002B66D1">
              <w:rPr>
                <w:sz w:val="22"/>
                <w:szCs w:val="22"/>
              </w:rPr>
              <w:t xml:space="preserve">Cases involving </w:t>
            </w:r>
            <w:r w:rsidR="00AC291A" w:rsidRPr="002B66D1">
              <w:rPr>
                <w:sz w:val="22"/>
                <w:szCs w:val="22"/>
              </w:rPr>
              <w:t xml:space="preserve">third </w:t>
            </w:r>
            <w:r w:rsidRPr="002B66D1">
              <w:rPr>
                <w:sz w:val="22"/>
                <w:szCs w:val="22"/>
              </w:rPr>
              <w:t xml:space="preserve">countries: </w:t>
            </w:r>
          </w:p>
          <w:p w14:paraId="23346169" w14:textId="229A06D8" w:rsidR="002418CB" w:rsidRPr="002B66D1" w:rsidRDefault="00E1269D" w:rsidP="00DB6E6D">
            <w:pPr>
              <w:pStyle w:val="NoSpacing"/>
              <w:spacing w:line="276" w:lineRule="auto"/>
              <w:rPr>
                <w:sz w:val="22"/>
                <w:szCs w:val="22"/>
              </w:rPr>
            </w:pPr>
            <w:r w:rsidRPr="002B66D1">
              <w:rPr>
                <w:sz w:val="22"/>
                <w:szCs w:val="22"/>
              </w:rPr>
              <w:t xml:space="preserve">(i) </w:t>
            </w:r>
            <w:r w:rsidR="002418CB" w:rsidRPr="002B66D1">
              <w:rPr>
                <w:sz w:val="22"/>
                <w:szCs w:val="22"/>
              </w:rPr>
              <w:t xml:space="preserve">Data </w:t>
            </w:r>
            <w:r w:rsidR="00687A95" w:rsidRPr="002B66D1">
              <w:rPr>
                <w:sz w:val="22"/>
                <w:szCs w:val="22"/>
              </w:rPr>
              <w:t>on</w:t>
            </w:r>
            <w:r w:rsidR="002418CB" w:rsidRPr="002B66D1">
              <w:rPr>
                <w:sz w:val="22"/>
                <w:szCs w:val="22"/>
              </w:rPr>
              <w:t xml:space="preserve"> UK imports from </w:t>
            </w:r>
            <w:r w:rsidR="00AC291A" w:rsidRPr="002B66D1">
              <w:rPr>
                <w:sz w:val="22"/>
                <w:szCs w:val="22"/>
              </w:rPr>
              <w:t xml:space="preserve">third </w:t>
            </w:r>
            <w:r w:rsidR="002418CB" w:rsidRPr="002B66D1">
              <w:rPr>
                <w:sz w:val="22"/>
                <w:szCs w:val="22"/>
              </w:rPr>
              <w:t>country</w:t>
            </w:r>
          </w:p>
          <w:p w14:paraId="353DB211" w14:textId="31CFAA72" w:rsidR="002418CB" w:rsidRPr="002B66D1" w:rsidRDefault="00E1269D" w:rsidP="00DB6E6D">
            <w:pPr>
              <w:pStyle w:val="NoSpacing"/>
              <w:spacing w:line="276" w:lineRule="auto"/>
              <w:rPr>
                <w:sz w:val="22"/>
                <w:szCs w:val="22"/>
              </w:rPr>
            </w:pPr>
            <w:r w:rsidRPr="002B66D1">
              <w:rPr>
                <w:sz w:val="22"/>
                <w:szCs w:val="22"/>
              </w:rPr>
              <w:t xml:space="preserve">(ii) </w:t>
            </w:r>
            <w:r w:rsidR="002418CB" w:rsidRPr="002B66D1">
              <w:rPr>
                <w:sz w:val="22"/>
                <w:szCs w:val="22"/>
              </w:rPr>
              <w:t>Data on exports of products between the target country</w:t>
            </w:r>
            <w:r w:rsidR="00E16C5E" w:rsidRPr="002B66D1">
              <w:rPr>
                <w:rStyle w:val="FootnoteReference"/>
                <w:sz w:val="22"/>
                <w:szCs w:val="22"/>
              </w:rPr>
              <w:footnoteReference w:id="72"/>
            </w:r>
            <w:r w:rsidR="002418CB" w:rsidRPr="002B66D1">
              <w:rPr>
                <w:sz w:val="22"/>
                <w:szCs w:val="22"/>
              </w:rPr>
              <w:t xml:space="preserve"> and </w:t>
            </w:r>
            <w:r w:rsidR="00AC291A" w:rsidRPr="002B66D1">
              <w:rPr>
                <w:sz w:val="22"/>
                <w:szCs w:val="22"/>
              </w:rPr>
              <w:t xml:space="preserve">third </w:t>
            </w:r>
            <w:r w:rsidR="006632D5" w:rsidRPr="002B66D1">
              <w:rPr>
                <w:sz w:val="22"/>
                <w:szCs w:val="22"/>
              </w:rPr>
              <w:t>country</w:t>
            </w:r>
          </w:p>
          <w:p w14:paraId="77E30871" w14:textId="0B887969" w:rsidR="002418CB" w:rsidRPr="002B66D1" w:rsidRDefault="00E1269D" w:rsidP="00DB6E6D">
            <w:pPr>
              <w:pStyle w:val="NoSpacing"/>
              <w:spacing w:line="276" w:lineRule="auto"/>
              <w:rPr>
                <w:sz w:val="22"/>
                <w:szCs w:val="22"/>
              </w:rPr>
            </w:pPr>
            <w:r w:rsidRPr="002B66D1">
              <w:rPr>
                <w:sz w:val="22"/>
                <w:szCs w:val="22"/>
              </w:rPr>
              <w:t xml:space="preserve">(iii) </w:t>
            </w:r>
            <w:r w:rsidR="002418CB" w:rsidRPr="002B66D1">
              <w:rPr>
                <w:sz w:val="22"/>
                <w:szCs w:val="22"/>
              </w:rPr>
              <w:t>Data on exports between target country/</w:t>
            </w:r>
            <w:r w:rsidR="00AC291A" w:rsidRPr="002B66D1">
              <w:rPr>
                <w:sz w:val="22"/>
                <w:szCs w:val="22"/>
              </w:rPr>
              <w:t>third</w:t>
            </w:r>
            <w:r w:rsidR="002418CB" w:rsidRPr="002B66D1">
              <w:rPr>
                <w:sz w:val="22"/>
                <w:szCs w:val="22"/>
              </w:rPr>
              <w:t xml:space="preserve"> </w:t>
            </w:r>
            <w:r w:rsidR="006632D5" w:rsidRPr="002B66D1">
              <w:rPr>
                <w:sz w:val="22"/>
                <w:szCs w:val="22"/>
              </w:rPr>
              <w:t xml:space="preserve">country </w:t>
            </w:r>
            <w:r w:rsidR="002418CB" w:rsidRPr="002B66D1">
              <w:rPr>
                <w:sz w:val="22"/>
                <w:szCs w:val="22"/>
              </w:rPr>
              <w:t>and comparator countries</w:t>
            </w:r>
          </w:p>
          <w:p w14:paraId="57124A97" w14:textId="74D85E87" w:rsidR="002418CB" w:rsidRPr="002B66D1" w:rsidRDefault="002418CB" w:rsidP="00DB6E6D">
            <w:pPr>
              <w:pStyle w:val="NoSpacing"/>
              <w:spacing w:line="276" w:lineRule="auto"/>
              <w:rPr>
                <w:sz w:val="22"/>
                <w:szCs w:val="22"/>
              </w:rPr>
            </w:pPr>
          </w:p>
        </w:tc>
        <w:tc>
          <w:tcPr>
            <w:tcW w:w="2835" w:type="dxa"/>
          </w:tcPr>
          <w:p w14:paraId="73C464C9" w14:textId="0DE99C41" w:rsidR="00E1269D" w:rsidRPr="002B66D1" w:rsidRDefault="00E1269D" w:rsidP="00DB6E6D">
            <w:pPr>
              <w:pStyle w:val="NoSpacing"/>
              <w:spacing w:line="276" w:lineRule="auto"/>
              <w:rPr>
                <w:sz w:val="22"/>
                <w:szCs w:val="22"/>
              </w:rPr>
            </w:pPr>
            <w:r w:rsidRPr="002B66D1">
              <w:rPr>
                <w:sz w:val="22"/>
                <w:szCs w:val="22"/>
              </w:rPr>
              <w:t>Reports by market participants e.g. based on observations of imports into the UK or trade trends overseas</w:t>
            </w:r>
          </w:p>
        </w:tc>
        <w:tc>
          <w:tcPr>
            <w:tcW w:w="2552" w:type="dxa"/>
          </w:tcPr>
          <w:p w14:paraId="42C4CCCB" w14:textId="6E3807C9" w:rsidR="00595E7B" w:rsidRPr="002B66D1" w:rsidRDefault="00E1269D" w:rsidP="00DB6E6D">
            <w:pPr>
              <w:pStyle w:val="NoSpacing"/>
              <w:spacing w:line="276" w:lineRule="auto"/>
              <w:rPr>
                <w:sz w:val="22"/>
                <w:szCs w:val="22"/>
              </w:rPr>
            </w:pPr>
            <w:r w:rsidRPr="002B66D1">
              <w:rPr>
                <w:sz w:val="22"/>
                <w:szCs w:val="22"/>
              </w:rPr>
              <w:t>Green if all three quantitative elements present, or (i) and (ii) plus verifiable qualitative evidence</w:t>
            </w:r>
            <w:r w:rsidR="00595E7B" w:rsidRPr="002B66D1">
              <w:rPr>
                <w:sz w:val="22"/>
                <w:szCs w:val="22"/>
              </w:rPr>
              <w:t>;</w:t>
            </w:r>
            <w:r w:rsidR="00AC291A" w:rsidRPr="002B66D1">
              <w:rPr>
                <w:sz w:val="22"/>
                <w:szCs w:val="22"/>
              </w:rPr>
              <w:t xml:space="preserve"> </w:t>
            </w:r>
            <w:r w:rsidRPr="002B66D1">
              <w:rPr>
                <w:sz w:val="22"/>
                <w:szCs w:val="22"/>
              </w:rPr>
              <w:t>Amber if only (i) and (ii)</w:t>
            </w:r>
            <w:r w:rsidR="00595E7B" w:rsidRPr="002B66D1">
              <w:rPr>
                <w:sz w:val="22"/>
                <w:szCs w:val="22"/>
              </w:rPr>
              <w:t>;</w:t>
            </w:r>
          </w:p>
          <w:p w14:paraId="505B5C5E" w14:textId="7C4C3A69" w:rsidR="00E1269D" w:rsidRPr="002B66D1" w:rsidRDefault="00E1269D" w:rsidP="00DB6E6D">
            <w:pPr>
              <w:pStyle w:val="NoSpacing"/>
              <w:spacing w:line="276" w:lineRule="auto"/>
              <w:rPr>
                <w:sz w:val="22"/>
                <w:szCs w:val="22"/>
              </w:rPr>
            </w:pPr>
            <w:r w:rsidRPr="002B66D1">
              <w:rPr>
                <w:sz w:val="22"/>
                <w:szCs w:val="22"/>
              </w:rPr>
              <w:t>Red if only (i)</w:t>
            </w:r>
          </w:p>
        </w:tc>
      </w:tr>
      <w:tr w:rsidR="00AB4FD0" w14:paraId="23CA8EB6" w14:textId="77777777" w:rsidTr="00573DDB">
        <w:tc>
          <w:tcPr>
            <w:tcW w:w="3964" w:type="dxa"/>
          </w:tcPr>
          <w:p w14:paraId="609D6D6E" w14:textId="21D1E50E" w:rsidR="00AB4FD0" w:rsidRPr="002B66D1" w:rsidRDefault="00AB4FD0" w:rsidP="00DB6E6D">
            <w:pPr>
              <w:pStyle w:val="NoSpacing"/>
              <w:spacing w:line="276" w:lineRule="auto"/>
              <w:rPr>
                <w:sz w:val="22"/>
                <w:szCs w:val="22"/>
              </w:rPr>
            </w:pPr>
            <w:r w:rsidRPr="002B66D1">
              <w:rPr>
                <w:sz w:val="22"/>
                <w:szCs w:val="22"/>
              </w:rPr>
              <w:t>Chan</w:t>
            </w:r>
            <w:r w:rsidR="00E16C5E" w:rsidRPr="002B66D1">
              <w:rPr>
                <w:sz w:val="22"/>
                <w:szCs w:val="22"/>
              </w:rPr>
              <w:t>n</w:t>
            </w:r>
            <w:r w:rsidRPr="002B66D1">
              <w:rPr>
                <w:sz w:val="22"/>
                <w:szCs w:val="22"/>
              </w:rPr>
              <w:t xml:space="preserve">elling: </w:t>
            </w:r>
            <w:r w:rsidR="004F753C" w:rsidRPr="002B66D1">
              <w:rPr>
                <w:sz w:val="22"/>
                <w:szCs w:val="22"/>
              </w:rPr>
              <w:t>A</w:t>
            </w:r>
            <w:r w:rsidRPr="002B66D1">
              <w:rPr>
                <w:sz w:val="22"/>
                <w:szCs w:val="22"/>
              </w:rPr>
              <w:t xml:space="preserve">s above but target country and </w:t>
            </w:r>
            <w:r w:rsidR="00AC291A" w:rsidRPr="002B66D1">
              <w:rPr>
                <w:sz w:val="22"/>
                <w:szCs w:val="22"/>
              </w:rPr>
              <w:t>third</w:t>
            </w:r>
            <w:r w:rsidRPr="002B66D1">
              <w:rPr>
                <w:sz w:val="22"/>
                <w:szCs w:val="22"/>
              </w:rPr>
              <w:t xml:space="preserve"> country with target firms and</w:t>
            </w:r>
            <w:r w:rsidR="00AC291A" w:rsidRPr="002B66D1">
              <w:rPr>
                <w:sz w:val="22"/>
                <w:szCs w:val="22"/>
              </w:rPr>
              <w:t xml:space="preserve"> third</w:t>
            </w:r>
            <w:r w:rsidRPr="002B66D1">
              <w:rPr>
                <w:sz w:val="22"/>
                <w:szCs w:val="22"/>
              </w:rPr>
              <w:t xml:space="preserve"> party </w:t>
            </w:r>
          </w:p>
        </w:tc>
        <w:tc>
          <w:tcPr>
            <w:tcW w:w="2835" w:type="dxa"/>
          </w:tcPr>
          <w:p w14:paraId="127BF300" w14:textId="19E7BB5D" w:rsidR="00AB4FD0" w:rsidRPr="002B66D1" w:rsidRDefault="00AB4FD0" w:rsidP="00DB6E6D">
            <w:pPr>
              <w:pStyle w:val="NoSpacing"/>
              <w:spacing w:line="276" w:lineRule="auto"/>
              <w:rPr>
                <w:sz w:val="22"/>
                <w:szCs w:val="22"/>
              </w:rPr>
            </w:pPr>
            <w:r w:rsidRPr="002B66D1">
              <w:rPr>
                <w:sz w:val="22"/>
                <w:szCs w:val="22"/>
              </w:rPr>
              <w:t>As above</w:t>
            </w:r>
            <w:r w:rsidR="00045113" w:rsidRPr="002B66D1">
              <w:rPr>
                <w:sz w:val="22"/>
                <w:szCs w:val="22"/>
              </w:rPr>
              <w:t>. Field visits.</w:t>
            </w:r>
          </w:p>
        </w:tc>
        <w:tc>
          <w:tcPr>
            <w:tcW w:w="2552" w:type="dxa"/>
          </w:tcPr>
          <w:p w14:paraId="3825F8E7" w14:textId="12E12524" w:rsidR="00AB4FD0" w:rsidRPr="002B66D1" w:rsidRDefault="00AB4FD0" w:rsidP="00DB6E6D">
            <w:pPr>
              <w:pStyle w:val="NoSpacing"/>
              <w:spacing w:line="276" w:lineRule="auto"/>
              <w:rPr>
                <w:sz w:val="22"/>
                <w:szCs w:val="22"/>
              </w:rPr>
            </w:pPr>
            <w:r w:rsidRPr="002B66D1">
              <w:rPr>
                <w:sz w:val="22"/>
                <w:szCs w:val="22"/>
              </w:rPr>
              <w:t>As above</w:t>
            </w:r>
          </w:p>
        </w:tc>
      </w:tr>
      <w:tr w:rsidR="002418CB" w14:paraId="6FFBC9EB" w14:textId="77777777" w:rsidTr="00573DDB">
        <w:tc>
          <w:tcPr>
            <w:tcW w:w="3964" w:type="dxa"/>
          </w:tcPr>
          <w:p w14:paraId="4FFAC3E6" w14:textId="77777777" w:rsidR="00090E02" w:rsidRPr="002B66D1" w:rsidRDefault="002418CB" w:rsidP="00DB6E6D">
            <w:pPr>
              <w:pStyle w:val="NoSpacing"/>
              <w:spacing w:line="276" w:lineRule="auto"/>
              <w:rPr>
                <w:sz w:val="22"/>
                <w:szCs w:val="22"/>
              </w:rPr>
            </w:pPr>
            <w:r w:rsidRPr="002B66D1">
              <w:rPr>
                <w:sz w:val="22"/>
                <w:szCs w:val="22"/>
              </w:rPr>
              <w:t>Slight modification cases:</w:t>
            </w:r>
          </w:p>
          <w:p w14:paraId="714582E4" w14:textId="298F8598" w:rsidR="00090E02" w:rsidRPr="002B66D1" w:rsidRDefault="00090E02" w:rsidP="00DB6E6D">
            <w:pPr>
              <w:pStyle w:val="NoSpacing"/>
              <w:spacing w:line="276" w:lineRule="auto"/>
              <w:rPr>
                <w:sz w:val="22"/>
                <w:szCs w:val="22"/>
              </w:rPr>
            </w:pPr>
            <w:r w:rsidRPr="002B66D1">
              <w:rPr>
                <w:sz w:val="22"/>
                <w:szCs w:val="22"/>
              </w:rPr>
              <w:t>(i) Imports into the UK of modified products</w:t>
            </w:r>
          </w:p>
          <w:p w14:paraId="6EF1A3D7" w14:textId="19448B5F" w:rsidR="002418CB" w:rsidRPr="002B66D1" w:rsidRDefault="00090E02" w:rsidP="00DB6E6D">
            <w:pPr>
              <w:pStyle w:val="NoSpacing"/>
              <w:spacing w:line="276" w:lineRule="auto"/>
              <w:rPr>
                <w:sz w:val="22"/>
                <w:szCs w:val="22"/>
              </w:rPr>
            </w:pPr>
            <w:r w:rsidRPr="002B66D1">
              <w:rPr>
                <w:sz w:val="22"/>
                <w:szCs w:val="22"/>
              </w:rPr>
              <w:t xml:space="preserve">(ii) </w:t>
            </w:r>
            <w:r w:rsidR="002418CB" w:rsidRPr="002B66D1">
              <w:rPr>
                <w:sz w:val="22"/>
                <w:szCs w:val="22"/>
              </w:rPr>
              <w:t xml:space="preserve">Imports into the UK of </w:t>
            </w:r>
            <w:r w:rsidRPr="002B66D1">
              <w:rPr>
                <w:sz w:val="22"/>
                <w:szCs w:val="22"/>
              </w:rPr>
              <w:t>like</w:t>
            </w:r>
            <w:r w:rsidR="002418CB" w:rsidRPr="002B66D1">
              <w:rPr>
                <w:sz w:val="22"/>
                <w:szCs w:val="22"/>
              </w:rPr>
              <w:t xml:space="preserve"> products </w:t>
            </w:r>
            <w:r w:rsidRPr="002B66D1">
              <w:rPr>
                <w:sz w:val="22"/>
                <w:szCs w:val="22"/>
              </w:rPr>
              <w:t>from other countries</w:t>
            </w:r>
          </w:p>
          <w:p w14:paraId="4ACD7DF6" w14:textId="19F08003" w:rsidR="002418CB" w:rsidRPr="002B66D1" w:rsidRDefault="00090E02" w:rsidP="00DB6E6D">
            <w:pPr>
              <w:pStyle w:val="NoSpacing"/>
              <w:spacing w:line="276" w:lineRule="auto"/>
              <w:rPr>
                <w:sz w:val="22"/>
                <w:szCs w:val="22"/>
              </w:rPr>
            </w:pPr>
            <w:r w:rsidRPr="002B66D1">
              <w:rPr>
                <w:sz w:val="22"/>
                <w:szCs w:val="22"/>
              </w:rPr>
              <w:t>(ii</w:t>
            </w:r>
            <w:r w:rsidR="00004384" w:rsidRPr="002B66D1">
              <w:rPr>
                <w:sz w:val="22"/>
                <w:szCs w:val="22"/>
              </w:rPr>
              <w:t>i</w:t>
            </w:r>
            <w:r w:rsidRPr="002B66D1">
              <w:rPr>
                <w:sz w:val="22"/>
                <w:szCs w:val="22"/>
              </w:rPr>
              <w:t>)</w:t>
            </w:r>
            <w:r w:rsidR="00004384" w:rsidRPr="002B66D1">
              <w:rPr>
                <w:sz w:val="22"/>
                <w:szCs w:val="22"/>
              </w:rPr>
              <w:t xml:space="preserve"> </w:t>
            </w:r>
            <w:r w:rsidR="002418CB" w:rsidRPr="002B66D1">
              <w:rPr>
                <w:sz w:val="22"/>
                <w:szCs w:val="22"/>
              </w:rPr>
              <w:t>Exports from target country to other jurisdictions of product and comparators</w:t>
            </w:r>
          </w:p>
          <w:p w14:paraId="6C9749A6" w14:textId="59C0EBC2" w:rsidR="002418CB" w:rsidRPr="002B66D1" w:rsidRDefault="002418CB" w:rsidP="00DB6E6D">
            <w:pPr>
              <w:pStyle w:val="NoSpacing"/>
              <w:spacing w:line="276" w:lineRule="auto"/>
              <w:rPr>
                <w:sz w:val="22"/>
                <w:szCs w:val="22"/>
              </w:rPr>
            </w:pPr>
          </w:p>
        </w:tc>
        <w:tc>
          <w:tcPr>
            <w:tcW w:w="2835" w:type="dxa"/>
          </w:tcPr>
          <w:p w14:paraId="02F15819" w14:textId="53FF48F1" w:rsidR="002418CB" w:rsidRPr="002B66D1" w:rsidRDefault="00090E02" w:rsidP="00DB6E6D">
            <w:pPr>
              <w:pStyle w:val="NoSpacing"/>
              <w:spacing w:line="276" w:lineRule="auto"/>
              <w:rPr>
                <w:sz w:val="22"/>
                <w:szCs w:val="22"/>
              </w:rPr>
            </w:pPr>
            <w:r w:rsidRPr="002B66D1">
              <w:rPr>
                <w:sz w:val="22"/>
                <w:szCs w:val="22"/>
              </w:rPr>
              <w:t>As above</w:t>
            </w:r>
          </w:p>
        </w:tc>
        <w:tc>
          <w:tcPr>
            <w:tcW w:w="2552" w:type="dxa"/>
          </w:tcPr>
          <w:p w14:paraId="7FCD750B" w14:textId="51485234" w:rsidR="002418CB" w:rsidRPr="002B66D1" w:rsidRDefault="00090E02" w:rsidP="00DB6E6D">
            <w:pPr>
              <w:pStyle w:val="NoSpacing"/>
              <w:spacing w:line="276" w:lineRule="auto"/>
              <w:rPr>
                <w:sz w:val="22"/>
                <w:szCs w:val="22"/>
              </w:rPr>
            </w:pPr>
            <w:r w:rsidRPr="002B66D1">
              <w:rPr>
                <w:sz w:val="22"/>
                <w:szCs w:val="22"/>
              </w:rPr>
              <w:t>As above</w:t>
            </w:r>
          </w:p>
        </w:tc>
      </w:tr>
    </w:tbl>
    <w:p w14:paraId="75E8D105" w14:textId="05AA554F" w:rsidR="00755840" w:rsidRDefault="00E16C5E" w:rsidP="00016CC0">
      <w:pPr>
        <w:spacing w:before="240"/>
      </w:pPr>
      <w:r>
        <w:t xml:space="preserve">Green in this case means </w:t>
      </w:r>
      <w:r w:rsidR="00045113">
        <w:t>that the evidence is sufficiently robust to make a determination, either negative or positive, regarding a change in the pattern of trade.</w:t>
      </w:r>
      <w:r w:rsidR="00755840">
        <w:t xml:space="preserve"> The robustness here depends on the availability of the data rather than the methodologies used to analyse </w:t>
      </w:r>
      <w:r w:rsidR="004F753C">
        <w:t>it</w:t>
      </w:r>
      <w:r w:rsidR="00755840">
        <w:t xml:space="preserve">. </w:t>
      </w:r>
    </w:p>
    <w:p w14:paraId="72F97627" w14:textId="366A69D9" w:rsidR="00045113" w:rsidRDefault="00045113" w:rsidP="00016CC0">
      <w:r>
        <w:t>In relation to qualitative evidence, as observed in the deep</w:t>
      </w:r>
      <w:r w:rsidR="00040A7D">
        <w:t>-</w:t>
      </w:r>
      <w:r>
        <w:t xml:space="preserve">dive analysis, industry typically initiates investigations. This means that some evidence based on market observations </w:t>
      </w:r>
      <w:r w:rsidR="00040A7D">
        <w:t xml:space="preserve">is </w:t>
      </w:r>
      <w:r>
        <w:t>likely to be presented. Of the different types of cases considered, channelling is like</w:t>
      </w:r>
      <w:r w:rsidR="00096946">
        <w:t>ly</w:t>
      </w:r>
      <w:r>
        <w:t xml:space="preserve"> to be the most difficult to address through formal trade data. This is because channelling activities are firm-specific</w:t>
      </w:r>
      <w:r w:rsidR="00096946">
        <w:t xml:space="preserve">. Trade data may not be available at that level of granularity, </w:t>
      </w:r>
      <w:r w:rsidR="00040A7D">
        <w:t>al</w:t>
      </w:r>
      <w:r w:rsidR="00555859">
        <w:t xml:space="preserve">though </w:t>
      </w:r>
      <w:r w:rsidR="00096946">
        <w:t xml:space="preserve">specific requests could be made to customs authorities. Field visits may prove to be a more fruitful channel.  </w:t>
      </w:r>
    </w:p>
    <w:p w14:paraId="145390FC" w14:textId="33E063FA" w:rsidR="00216857" w:rsidRDefault="00216857" w:rsidP="00016CC0">
      <w:r>
        <w:t xml:space="preserve">The findings regarding changes to the pattern of trade help to identify the specific questions that need answering in relation to the second step of the analysis: the attribution of the change in pattern of trade to a category of circumvention activity. This is true from a strictly legal perspective – for example, if </w:t>
      </w:r>
      <w:r w:rsidR="00040A7D">
        <w:t>third-</w:t>
      </w:r>
      <w:r>
        <w:t>party assembly is suspected on the basis of changes to the pattern of trade, then investigations require the acquisition of cost and production data. But beyond that, as observed through the three examples in the proof of concept section, the particularities of trade patterns observed help to identify specific questions for this stage of the analysis.</w:t>
      </w:r>
    </w:p>
    <w:p w14:paraId="61B40078" w14:textId="11B88ADE" w:rsidR="00292ED0" w:rsidRDefault="00E0019C" w:rsidP="00016CC0">
      <w:r>
        <w:fldChar w:fldCharType="begin"/>
      </w:r>
      <w:r>
        <w:instrText xml:space="preserve"> REF _Ref103869150 \h </w:instrText>
      </w:r>
      <w:r>
        <w:fldChar w:fldCharType="separate"/>
      </w:r>
      <w:r w:rsidR="003B27AB">
        <w:t xml:space="preserve">Table </w:t>
      </w:r>
      <w:r w:rsidR="003B27AB">
        <w:rPr>
          <w:noProof/>
        </w:rPr>
        <w:t>7</w:t>
      </w:r>
      <w:r>
        <w:fldChar w:fldCharType="end"/>
      </w:r>
      <w:r>
        <w:t xml:space="preserve"> </w:t>
      </w:r>
      <w:r w:rsidR="00292ED0">
        <w:t xml:space="preserve">provides an overview of the different types of quantitative and qualitative information and the impact of their availability or otherwise on the robustness of analysis. For </w:t>
      </w:r>
      <w:r w:rsidR="00040A7D">
        <w:t>third-</w:t>
      </w:r>
      <w:r w:rsidR="00292ED0">
        <w:t xml:space="preserve">party assembly cases, production and cost data </w:t>
      </w:r>
      <w:r w:rsidR="00040A7D">
        <w:t xml:space="preserve">is </w:t>
      </w:r>
      <w:r w:rsidR="00292ED0">
        <w:t xml:space="preserve">non-optional given the threshold set by the legislation. Information retrieved from written requests or site visits </w:t>
      </w:r>
      <w:r w:rsidR="00040A7D">
        <w:t xml:space="preserve">is </w:t>
      </w:r>
      <w:r w:rsidR="00292ED0">
        <w:t>clearly of fundamental importance in these cases and cannot be substituted for by qualitative evidence. Written responses and site visits are likely to be important in channelling cases as it is difficult to see how findings under this category can be established in the absence of firm-level data.</w:t>
      </w:r>
    </w:p>
    <w:p w14:paraId="1D30D74C" w14:textId="6C33E64C" w:rsidR="00E563B2" w:rsidRDefault="00E563B2" w:rsidP="00016CC0">
      <w:r>
        <w:br w:type="page"/>
      </w:r>
    </w:p>
    <w:p w14:paraId="1E16D5F1" w14:textId="77777777" w:rsidR="00E563B2" w:rsidRDefault="00E563B2" w:rsidP="00016CC0"/>
    <w:p w14:paraId="12D5870B" w14:textId="133F2580" w:rsidR="00292ED0" w:rsidRDefault="00E0019C" w:rsidP="00E0019C">
      <w:pPr>
        <w:pStyle w:val="Caption"/>
        <w:keepNext/>
      </w:pPr>
      <w:bookmarkStart w:id="130" w:name="_Ref103869150"/>
      <w:r>
        <w:t xml:space="preserve">Table </w:t>
      </w:r>
      <w:r>
        <w:fldChar w:fldCharType="begin"/>
      </w:r>
      <w:r>
        <w:instrText>SEQ Table \* ARABIC</w:instrText>
      </w:r>
      <w:r>
        <w:fldChar w:fldCharType="separate"/>
      </w:r>
      <w:r w:rsidR="001C580B">
        <w:rPr>
          <w:noProof/>
        </w:rPr>
        <w:t>7</w:t>
      </w:r>
      <w:r>
        <w:fldChar w:fldCharType="end"/>
      </w:r>
      <w:bookmarkEnd w:id="130"/>
      <w:r w:rsidR="00292ED0">
        <w:t>:</w:t>
      </w:r>
      <w:r w:rsidR="008C4920">
        <w:t xml:space="preserve"> </w:t>
      </w:r>
      <w:r w:rsidR="00292ED0">
        <w:t>RAG rating of strength of evidence in a circumvention case – step</w:t>
      </w:r>
      <w:r w:rsidR="004F753C">
        <w:t> </w:t>
      </w:r>
      <w:r w:rsidR="00292ED0">
        <w:t>2</w:t>
      </w:r>
    </w:p>
    <w:tbl>
      <w:tblPr>
        <w:tblStyle w:val="TableGrid"/>
        <w:tblW w:w="9351" w:type="dxa"/>
        <w:tblLook w:val="04A0" w:firstRow="1" w:lastRow="0" w:firstColumn="1" w:lastColumn="0" w:noHBand="0" w:noVBand="1"/>
      </w:tblPr>
      <w:tblGrid>
        <w:gridCol w:w="3964"/>
        <w:gridCol w:w="2835"/>
        <w:gridCol w:w="2552"/>
      </w:tblGrid>
      <w:tr w:rsidR="00292ED0" w14:paraId="381C84C9" w14:textId="77777777" w:rsidTr="00E24EB8">
        <w:tc>
          <w:tcPr>
            <w:tcW w:w="9351" w:type="dxa"/>
            <w:gridSpan w:val="3"/>
          </w:tcPr>
          <w:p w14:paraId="24AA661F" w14:textId="072351B8" w:rsidR="00292ED0" w:rsidRPr="002B66D1" w:rsidRDefault="00292ED0" w:rsidP="00DB6E6D">
            <w:pPr>
              <w:pStyle w:val="NoSpacing"/>
              <w:spacing w:line="276" w:lineRule="auto"/>
              <w:rPr>
                <w:sz w:val="22"/>
                <w:szCs w:val="22"/>
              </w:rPr>
            </w:pPr>
            <w:r w:rsidRPr="002B66D1">
              <w:rPr>
                <w:sz w:val="22"/>
                <w:szCs w:val="22"/>
              </w:rPr>
              <w:t>Step 2: Circumvention activity responsible for the change in pattern of trade</w:t>
            </w:r>
            <w:r w:rsidR="00DB6E6D" w:rsidRPr="002B66D1">
              <w:rPr>
                <w:sz w:val="22"/>
                <w:szCs w:val="22"/>
              </w:rPr>
              <w:t xml:space="preserve"> </w:t>
            </w:r>
            <w:r w:rsidRPr="002B66D1">
              <w:rPr>
                <w:sz w:val="22"/>
                <w:szCs w:val="22"/>
              </w:rPr>
              <w:t>(regulation 73(2)(b))</w:t>
            </w:r>
          </w:p>
        </w:tc>
      </w:tr>
      <w:tr w:rsidR="00292ED0" w14:paraId="2CEB950B" w14:textId="77777777" w:rsidTr="00E24EB8">
        <w:tc>
          <w:tcPr>
            <w:tcW w:w="3964" w:type="dxa"/>
          </w:tcPr>
          <w:p w14:paraId="391EDE79" w14:textId="77777777" w:rsidR="00292ED0" w:rsidRPr="002B66D1" w:rsidRDefault="00292ED0" w:rsidP="00DB6E6D">
            <w:pPr>
              <w:pStyle w:val="NoSpacing"/>
              <w:spacing w:line="276" w:lineRule="auto"/>
              <w:rPr>
                <w:sz w:val="22"/>
                <w:szCs w:val="22"/>
              </w:rPr>
            </w:pPr>
            <w:r w:rsidRPr="002B66D1">
              <w:rPr>
                <w:sz w:val="22"/>
                <w:szCs w:val="22"/>
              </w:rPr>
              <w:t>Quantitative evidence</w:t>
            </w:r>
          </w:p>
        </w:tc>
        <w:tc>
          <w:tcPr>
            <w:tcW w:w="2835" w:type="dxa"/>
          </w:tcPr>
          <w:p w14:paraId="70499E6C" w14:textId="77777777" w:rsidR="00292ED0" w:rsidRPr="002B66D1" w:rsidRDefault="00292ED0" w:rsidP="00DB6E6D">
            <w:pPr>
              <w:pStyle w:val="NoSpacing"/>
              <w:spacing w:line="276" w:lineRule="auto"/>
              <w:rPr>
                <w:sz w:val="22"/>
                <w:szCs w:val="22"/>
              </w:rPr>
            </w:pPr>
            <w:r w:rsidRPr="002B66D1">
              <w:rPr>
                <w:sz w:val="22"/>
                <w:szCs w:val="22"/>
              </w:rPr>
              <w:t>Qualitative evidence</w:t>
            </w:r>
          </w:p>
        </w:tc>
        <w:tc>
          <w:tcPr>
            <w:tcW w:w="2552" w:type="dxa"/>
          </w:tcPr>
          <w:p w14:paraId="534F869A" w14:textId="77777777" w:rsidR="00292ED0" w:rsidRPr="002B66D1" w:rsidRDefault="00292ED0" w:rsidP="00DB6E6D">
            <w:pPr>
              <w:pStyle w:val="NoSpacing"/>
              <w:spacing w:line="276" w:lineRule="auto"/>
              <w:rPr>
                <w:sz w:val="22"/>
                <w:szCs w:val="22"/>
              </w:rPr>
            </w:pPr>
            <w:r w:rsidRPr="002B66D1">
              <w:rPr>
                <w:sz w:val="22"/>
                <w:szCs w:val="22"/>
              </w:rPr>
              <w:t>RAG rating</w:t>
            </w:r>
          </w:p>
        </w:tc>
      </w:tr>
      <w:tr w:rsidR="00292ED0" w14:paraId="1CED9B84" w14:textId="77777777" w:rsidTr="00E24EB8">
        <w:tc>
          <w:tcPr>
            <w:tcW w:w="3964" w:type="dxa"/>
          </w:tcPr>
          <w:p w14:paraId="64C18B54" w14:textId="11A00BB4" w:rsidR="00292ED0" w:rsidRPr="002B66D1" w:rsidRDefault="00292ED0" w:rsidP="00DB6E6D">
            <w:pPr>
              <w:pStyle w:val="NoSpacing"/>
              <w:spacing w:line="276" w:lineRule="auto"/>
              <w:rPr>
                <w:sz w:val="22"/>
                <w:szCs w:val="22"/>
              </w:rPr>
            </w:pPr>
            <w:r w:rsidRPr="002B66D1">
              <w:rPr>
                <w:sz w:val="22"/>
                <w:szCs w:val="22"/>
              </w:rPr>
              <w:t xml:space="preserve">Cases involving </w:t>
            </w:r>
            <w:r w:rsidR="004F753C" w:rsidRPr="002B66D1">
              <w:rPr>
                <w:sz w:val="22"/>
                <w:szCs w:val="22"/>
              </w:rPr>
              <w:t>third</w:t>
            </w:r>
            <w:r w:rsidRPr="002B66D1">
              <w:rPr>
                <w:sz w:val="22"/>
                <w:szCs w:val="22"/>
              </w:rPr>
              <w:t xml:space="preserve"> countries: </w:t>
            </w:r>
          </w:p>
          <w:p w14:paraId="700B0887" w14:textId="43EDAF2A" w:rsidR="00292ED0" w:rsidRPr="002B66D1" w:rsidRDefault="00292ED0" w:rsidP="00DB6E6D">
            <w:pPr>
              <w:pStyle w:val="NoSpacing"/>
              <w:spacing w:line="276" w:lineRule="auto"/>
              <w:rPr>
                <w:sz w:val="22"/>
                <w:szCs w:val="22"/>
              </w:rPr>
            </w:pPr>
            <w:r w:rsidRPr="002B66D1">
              <w:rPr>
                <w:sz w:val="22"/>
                <w:szCs w:val="22"/>
              </w:rPr>
              <w:t>Production and cost data retrieved from written requests and site visits</w:t>
            </w:r>
          </w:p>
          <w:p w14:paraId="72531C46" w14:textId="77777777" w:rsidR="00292ED0" w:rsidRPr="002B66D1" w:rsidRDefault="00292ED0" w:rsidP="00DB6E6D">
            <w:pPr>
              <w:pStyle w:val="NoSpacing"/>
              <w:spacing w:line="276" w:lineRule="auto"/>
              <w:rPr>
                <w:sz w:val="22"/>
                <w:szCs w:val="22"/>
              </w:rPr>
            </w:pPr>
          </w:p>
        </w:tc>
        <w:tc>
          <w:tcPr>
            <w:tcW w:w="2835" w:type="dxa"/>
          </w:tcPr>
          <w:p w14:paraId="7970A5BC" w14:textId="75C03D14" w:rsidR="00292ED0" w:rsidRPr="002B66D1" w:rsidRDefault="00292ED0" w:rsidP="00DB6E6D">
            <w:pPr>
              <w:pStyle w:val="NoSpacing"/>
              <w:spacing w:line="276" w:lineRule="auto"/>
              <w:rPr>
                <w:sz w:val="22"/>
                <w:szCs w:val="22"/>
              </w:rPr>
            </w:pPr>
            <w:r w:rsidRPr="002B66D1">
              <w:rPr>
                <w:sz w:val="22"/>
                <w:szCs w:val="22"/>
              </w:rPr>
              <w:t>Investment plans for businesses under investigation</w:t>
            </w:r>
            <w:r w:rsidR="004F753C" w:rsidRPr="002B66D1">
              <w:rPr>
                <w:sz w:val="22"/>
                <w:szCs w:val="22"/>
              </w:rPr>
              <w:t>;</w:t>
            </w:r>
          </w:p>
          <w:p w14:paraId="71930452" w14:textId="63284A61" w:rsidR="00292ED0" w:rsidRPr="002B66D1" w:rsidRDefault="00292ED0" w:rsidP="00DB6E6D">
            <w:pPr>
              <w:pStyle w:val="NoSpacing"/>
              <w:spacing w:line="276" w:lineRule="auto"/>
              <w:rPr>
                <w:sz w:val="22"/>
                <w:szCs w:val="22"/>
              </w:rPr>
            </w:pPr>
            <w:r w:rsidRPr="002B66D1">
              <w:rPr>
                <w:sz w:val="22"/>
                <w:szCs w:val="22"/>
              </w:rPr>
              <w:t>Industry studies and reports documenting investment and production patterns</w:t>
            </w:r>
            <w:r w:rsidR="00595E7B" w:rsidRPr="002B66D1">
              <w:rPr>
                <w:sz w:val="22"/>
                <w:szCs w:val="22"/>
              </w:rPr>
              <w:t>;</w:t>
            </w:r>
          </w:p>
          <w:p w14:paraId="3019B4B4" w14:textId="77777777" w:rsidR="00292ED0" w:rsidRPr="002B66D1" w:rsidRDefault="00292ED0" w:rsidP="00DB6E6D">
            <w:pPr>
              <w:pStyle w:val="NoSpacing"/>
              <w:spacing w:line="276" w:lineRule="auto"/>
              <w:rPr>
                <w:sz w:val="22"/>
                <w:szCs w:val="22"/>
              </w:rPr>
            </w:pPr>
            <w:r w:rsidRPr="002B66D1">
              <w:rPr>
                <w:sz w:val="22"/>
                <w:szCs w:val="22"/>
              </w:rPr>
              <w:t>Interviews with businesses and experts</w:t>
            </w:r>
          </w:p>
        </w:tc>
        <w:tc>
          <w:tcPr>
            <w:tcW w:w="2552" w:type="dxa"/>
          </w:tcPr>
          <w:p w14:paraId="65361B0E" w14:textId="77777777" w:rsidR="00292ED0" w:rsidRPr="002B66D1" w:rsidRDefault="00292ED0" w:rsidP="00DB6E6D">
            <w:pPr>
              <w:pStyle w:val="NoSpacing"/>
              <w:spacing w:line="276" w:lineRule="auto"/>
              <w:rPr>
                <w:sz w:val="22"/>
                <w:szCs w:val="22"/>
              </w:rPr>
            </w:pPr>
            <w:r w:rsidRPr="002B66D1">
              <w:rPr>
                <w:sz w:val="22"/>
                <w:szCs w:val="22"/>
              </w:rPr>
              <w:t xml:space="preserve">Green if production and cost data of reliable quality; </w:t>
            </w:r>
          </w:p>
          <w:p w14:paraId="67B8D4BB" w14:textId="1065AFA2" w:rsidR="00292ED0" w:rsidRPr="002B66D1" w:rsidRDefault="00292ED0" w:rsidP="00DB6E6D">
            <w:pPr>
              <w:pStyle w:val="NoSpacing"/>
              <w:spacing w:line="276" w:lineRule="auto"/>
              <w:rPr>
                <w:sz w:val="22"/>
                <w:szCs w:val="22"/>
              </w:rPr>
            </w:pPr>
            <w:r w:rsidRPr="002B66D1">
              <w:rPr>
                <w:sz w:val="22"/>
                <w:szCs w:val="22"/>
              </w:rPr>
              <w:t>Amber if data deficiencies can be remedied by on</w:t>
            </w:r>
            <w:r w:rsidR="004F753C" w:rsidRPr="002B66D1">
              <w:rPr>
                <w:sz w:val="22"/>
                <w:szCs w:val="22"/>
              </w:rPr>
              <w:t>-</w:t>
            </w:r>
            <w:r w:rsidRPr="002B66D1">
              <w:rPr>
                <w:sz w:val="22"/>
                <w:szCs w:val="22"/>
              </w:rPr>
              <w:t>site interviews</w:t>
            </w:r>
            <w:r w:rsidR="00595E7B" w:rsidRPr="002B66D1">
              <w:rPr>
                <w:sz w:val="22"/>
                <w:szCs w:val="22"/>
              </w:rPr>
              <w:t>;</w:t>
            </w:r>
          </w:p>
          <w:p w14:paraId="38C5F24F" w14:textId="77777777" w:rsidR="00292ED0" w:rsidRPr="002B66D1" w:rsidRDefault="00292ED0" w:rsidP="00DB6E6D">
            <w:pPr>
              <w:pStyle w:val="NoSpacing"/>
              <w:spacing w:line="276" w:lineRule="auto"/>
              <w:rPr>
                <w:sz w:val="22"/>
                <w:szCs w:val="22"/>
              </w:rPr>
            </w:pPr>
            <w:r w:rsidRPr="002B66D1">
              <w:rPr>
                <w:sz w:val="22"/>
                <w:szCs w:val="22"/>
              </w:rPr>
              <w:t>Red if no production or cost data</w:t>
            </w:r>
          </w:p>
        </w:tc>
      </w:tr>
      <w:tr w:rsidR="00292ED0" w14:paraId="0E5701BC" w14:textId="77777777" w:rsidTr="00E24EB8">
        <w:tc>
          <w:tcPr>
            <w:tcW w:w="3964" w:type="dxa"/>
          </w:tcPr>
          <w:p w14:paraId="6273D01F" w14:textId="77777777" w:rsidR="00292ED0" w:rsidRPr="002B66D1" w:rsidRDefault="00292ED0" w:rsidP="00DB6E6D">
            <w:pPr>
              <w:pStyle w:val="NoSpacing"/>
              <w:spacing w:line="276" w:lineRule="auto"/>
              <w:rPr>
                <w:sz w:val="22"/>
                <w:szCs w:val="22"/>
              </w:rPr>
            </w:pPr>
            <w:r w:rsidRPr="002B66D1">
              <w:rPr>
                <w:sz w:val="22"/>
                <w:szCs w:val="22"/>
              </w:rPr>
              <w:t>Channelling: Production and cost data from written requests and site visits</w:t>
            </w:r>
          </w:p>
        </w:tc>
        <w:tc>
          <w:tcPr>
            <w:tcW w:w="2835" w:type="dxa"/>
          </w:tcPr>
          <w:p w14:paraId="100425CF" w14:textId="280F975F" w:rsidR="00292ED0" w:rsidRPr="002B66D1" w:rsidRDefault="00292ED0" w:rsidP="00DB6E6D">
            <w:pPr>
              <w:pStyle w:val="NoSpacing"/>
              <w:spacing w:line="276" w:lineRule="auto"/>
              <w:rPr>
                <w:sz w:val="22"/>
                <w:szCs w:val="22"/>
              </w:rPr>
            </w:pPr>
            <w:r w:rsidRPr="002B66D1">
              <w:rPr>
                <w:sz w:val="22"/>
                <w:szCs w:val="22"/>
              </w:rPr>
              <w:t xml:space="preserve">As above </w:t>
            </w:r>
          </w:p>
        </w:tc>
        <w:tc>
          <w:tcPr>
            <w:tcW w:w="2552" w:type="dxa"/>
          </w:tcPr>
          <w:p w14:paraId="0A2B22EF" w14:textId="4E372BD3" w:rsidR="00292ED0" w:rsidRPr="002B66D1" w:rsidRDefault="00292ED0" w:rsidP="00DB6E6D">
            <w:pPr>
              <w:pStyle w:val="NoSpacing"/>
              <w:spacing w:line="276" w:lineRule="auto"/>
              <w:rPr>
                <w:sz w:val="22"/>
                <w:szCs w:val="22"/>
              </w:rPr>
            </w:pPr>
            <w:r w:rsidRPr="002B66D1">
              <w:rPr>
                <w:sz w:val="22"/>
                <w:szCs w:val="22"/>
              </w:rPr>
              <w:t>Green if production and cost data, or if reliable evidence from field visit interviews and information on business plans</w:t>
            </w:r>
            <w:r w:rsidR="00595E7B" w:rsidRPr="002B66D1">
              <w:rPr>
                <w:sz w:val="22"/>
                <w:szCs w:val="22"/>
              </w:rPr>
              <w:t>;</w:t>
            </w:r>
          </w:p>
          <w:p w14:paraId="33E7EF29" w14:textId="35990EF3" w:rsidR="00292ED0" w:rsidRPr="002B66D1" w:rsidRDefault="00292ED0" w:rsidP="00DB6E6D">
            <w:pPr>
              <w:pStyle w:val="NoSpacing"/>
              <w:spacing w:line="276" w:lineRule="auto"/>
              <w:rPr>
                <w:sz w:val="22"/>
                <w:szCs w:val="22"/>
              </w:rPr>
            </w:pPr>
            <w:r w:rsidRPr="002B66D1">
              <w:rPr>
                <w:sz w:val="22"/>
                <w:szCs w:val="22"/>
              </w:rPr>
              <w:t>Amber if relying on only interviews</w:t>
            </w:r>
            <w:r w:rsidR="00595E7B" w:rsidRPr="002B66D1">
              <w:rPr>
                <w:sz w:val="22"/>
                <w:szCs w:val="22"/>
              </w:rPr>
              <w:t>;</w:t>
            </w:r>
          </w:p>
          <w:p w14:paraId="63CEC48B" w14:textId="77777777" w:rsidR="00292ED0" w:rsidRPr="002B66D1" w:rsidRDefault="00292ED0" w:rsidP="00DB6E6D">
            <w:pPr>
              <w:pStyle w:val="NoSpacing"/>
              <w:spacing w:line="276" w:lineRule="auto"/>
              <w:rPr>
                <w:sz w:val="22"/>
                <w:szCs w:val="22"/>
              </w:rPr>
            </w:pPr>
            <w:r w:rsidRPr="002B66D1">
              <w:rPr>
                <w:sz w:val="22"/>
                <w:szCs w:val="22"/>
              </w:rPr>
              <w:t>Red if no field visits or production and cost data</w:t>
            </w:r>
          </w:p>
        </w:tc>
      </w:tr>
      <w:tr w:rsidR="00292ED0" w14:paraId="2F4AE407" w14:textId="77777777" w:rsidTr="00E24EB8">
        <w:tc>
          <w:tcPr>
            <w:tcW w:w="3964" w:type="dxa"/>
          </w:tcPr>
          <w:p w14:paraId="3AEA38BA" w14:textId="77777777" w:rsidR="00292ED0" w:rsidRPr="002B66D1" w:rsidRDefault="00292ED0" w:rsidP="00DB6E6D">
            <w:pPr>
              <w:pStyle w:val="NoSpacing"/>
              <w:spacing w:line="276" w:lineRule="auto"/>
              <w:rPr>
                <w:sz w:val="22"/>
                <w:szCs w:val="22"/>
              </w:rPr>
            </w:pPr>
            <w:r w:rsidRPr="002B66D1">
              <w:rPr>
                <w:sz w:val="22"/>
                <w:szCs w:val="22"/>
              </w:rPr>
              <w:t>Slight modification cases:</w:t>
            </w:r>
          </w:p>
          <w:p w14:paraId="468F1096" w14:textId="792ECFDB" w:rsidR="00292ED0" w:rsidRPr="002B66D1" w:rsidRDefault="00292ED0" w:rsidP="00DB6E6D">
            <w:pPr>
              <w:pStyle w:val="NoSpacing"/>
              <w:spacing w:line="276" w:lineRule="auto"/>
              <w:rPr>
                <w:sz w:val="22"/>
                <w:szCs w:val="22"/>
              </w:rPr>
            </w:pPr>
            <w:r w:rsidRPr="002B66D1">
              <w:rPr>
                <w:sz w:val="22"/>
                <w:szCs w:val="22"/>
              </w:rPr>
              <w:t>(i)</w:t>
            </w:r>
            <w:r w:rsidR="00947764" w:rsidRPr="002B66D1">
              <w:rPr>
                <w:sz w:val="22"/>
                <w:szCs w:val="22"/>
              </w:rPr>
              <w:t xml:space="preserve"> </w:t>
            </w:r>
            <w:r w:rsidRPr="002B66D1">
              <w:rPr>
                <w:sz w:val="22"/>
                <w:szCs w:val="22"/>
              </w:rPr>
              <w:t>Data on market demand (e.g.</w:t>
            </w:r>
            <w:r w:rsidR="004F753C" w:rsidRPr="002B66D1">
              <w:rPr>
                <w:sz w:val="22"/>
                <w:szCs w:val="22"/>
              </w:rPr>
              <w:t> </w:t>
            </w:r>
            <w:r w:rsidRPr="002B66D1">
              <w:rPr>
                <w:sz w:val="22"/>
                <w:szCs w:val="22"/>
              </w:rPr>
              <w:t>quantities by end</w:t>
            </w:r>
            <w:r w:rsidR="004F753C" w:rsidRPr="002B66D1">
              <w:rPr>
                <w:sz w:val="22"/>
                <w:szCs w:val="22"/>
              </w:rPr>
              <w:t>-</w:t>
            </w:r>
            <w:r w:rsidRPr="002B66D1">
              <w:rPr>
                <w:sz w:val="22"/>
                <w:szCs w:val="22"/>
              </w:rPr>
              <w:t>users)</w:t>
            </w:r>
          </w:p>
          <w:p w14:paraId="797C1C3C" w14:textId="2DF67F06" w:rsidR="00292ED0" w:rsidRPr="002B66D1" w:rsidRDefault="00292ED0" w:rsidP="00DB6E6D">
            <w:pPr>
              <w:pStyle w:val="NoSpacing"/>
              <w:spacing w:line="276" w:lineRule="auto"/>
              <w:rPr>
                <w:sz w:val="22"/>
                <w:szCs w:val="22"/>
              </w:rPr>
            </w:pPr>
            <w:r w:rsidRPr="002B66D1">
              <w:rPr>
                <w:sz w:val="22"/>
                <w:szCs w:val="22"/>
              </w:rPr>
              <w:t>(ii)</w:t>
            </w:r>
            <w:r w:rsidR="00947764" w:rsidRPr="002B66D1">
              <w:rPr>
                <w:sz w:val="22"/>
                <w:szCs w:val="22"/>
              </w:rPr>
              <w:t xml:space="preserve"> </w:t>
            </w:r>
            <w:r w:rsidRPr="002B66D1">
              <w:rPr>
                <w:sz w:val="22"/>
                <w:szCs w:val="22"/>
              </w:rPr>
              <w:t>Cost and production data from written requests and site visits</w:t>
            </w:r>
          </w:p>
        </w:tc>
        <w:tc>
          <w:tcPr>
            <w:tcW w:w="2835" w:type="dxa"/>
          </w:tcPr>
          <w:p w14:paraId="29543085" w14:textId="6473C725" w:rsidR="00292ED0" w:rsidRPr="002B66D1" w:rsidRDefault="00292ED0" w:rsidP="00DB6E6D">
            <w:pPr>
              <w:pStyle w:val="NoSpacing"/>
              <w:spacing w:line="276" w:lineRule="auto"/>
              <w:rPr>
                <w:sz w:val="22"/>
                <w:szCs w:val="22"/>
              </w:rPr>
            </w:pPr>
            <w:r w:rsidRPr="002B66D1">
              <w:rPr>
                <w:sz w:val="22"/>
                <w:szCs w:val="22"/>
              </w:rPr>
              <w:t>Industry analysis of end-use and substitutability</w:t>
            </w:r>
            <w:r w:rsidR="00947764" w:rsidRPr="002B66D1">
              <w:rPr>
                <w:sz w:val="22"/>
                <w:szCs w:val="22"/>
              </w:rPr>
              <w:t>;</w:t>
            </w:r>
            <w:r w:rsidRPr="002B66D1">
              <w:rPr>
                <w:sz w:val="22"/>
                <w:szCs w:val="22"/>
              </w:rPr>
              <w:t xml:space="preserve"> </w:t>
            </w:r>
          </w:p>
          <w:p w14:paraId="1DD62893" w14:textId="48ABB899" w:rsidR="00292ED0" w:rsidRPr="002B66D1" w:rsidRDefault="00292ED0" w:rsidP="00DB6E6D">
            <w:pPr>
              <w:pStyle w:val="NoSpacing"/>
              <w:spacing w:line="276" w:lineRule="auto"/>
              <w:rPr>
                <w:sz w:val="22"/>
                <w:szCs w:val="22"/>
              </w:rPr>
            </w:pPr>
            <w:r w:rsidRPr="002B66D1">
              <w:rPr>
                <w:sz w:val="22"/>
                <w:szCs w:val="22"/>
              </w:rPr>
              <w:t>Expert inputs</w:t>
            </w:r>
            <w:r w:rsidR="00947764" w:rsidRPr="002B66D1">
              <w:rPr>
                <w:sz w:val="22"/>
                <w:szCs w:val="22"/>
              </w:rPr>
              <w:t>;</w:t>
            </w:r>
          </w:p>
          <w:p w14:paraId="3BDF431A" w14:textId="13E8F52E" w:rsidR="00292ED0" w:rsidRPr="002B66D1" w:rsidRDefault="00292ED0" w:rsidP="00DB6E6D">
            <w:pPr>
              <w:pStyle w:val="NoSpacing"/>
              <w:spacing w:line="276" w:lineRule="auto"/>
              <w:rPr>
                <w:sz w:val="22"/>
                <w:szCs w:val="22"/>
              </w:rPr>
            </w:pPr>
            <w:r w:rsidRPr="002B66D1">
              <w:rPr>
                <w:sz w:val="22"/>
                <w:szCs w:val="22"/>
              </w:rPr>
              <w:t>Field visit interviews</w:t>
            </w:r>
          </w:p>
        </w:tc>
        <w:tc>
          <w:tcPr>
            <w:tcW w:w="2552" w:type="dxa"/>
          </w:tcPr>
          <w:p w14:paraId="7F1E2305" w14:textId="6B12997C" w:rsidR="00292ED0" w:rsidRPr="002B66D1" w:rsidRDefault="00292ED0" w:rsidP="00DB6E6D">
            <w:pPr>
              <w:pStyle w:val="NoSpacing"/>
              <w:spacing w:line="276" w:lineRule="auto"/>
              <w:rPr>
                <w:sz w:val="22"/>
                <w:szCs w:val="22"/>
              </w:rPr>
            </w:pPr>
            <w:r w:rsidRPr="002B66D1">
              <w:rPr>
                <w:sz w:val="22"/>
                <w:szCs w:val="22"/>
              </w:rPr>
              <w:t>Green if both types of quantitative data</w:t>
            </w:r>
            <w:r w:rsidR="00947764" w:rsidRPr="002B66D1">
              <w:rPr>
                <w:sz w:val="22"/>
                <w:szCs w:val="22"/>
              </w:rPr>
              <w:t>,</w:t>
            </w:r>
            <w:r w:rsidRPr="002B66D1">
              <w:rPr>
                <w:sz w:val="22"/>
                <w:szCs w:val="22"/>
              </w:rPr>
              <w:t xml:space="preserve"> or one type and full range of qualitative inputs</w:t>
            </w:r>
            <w:r w:rsidR="00947764" w:rsidRPr="002B66D1">
              <w:rPr>
                <w:sz w:val="22"/>
                <w:szCs w:val="22"/>
              </w:rPr>
              <w:t>;</w:t>
            </w:r>
          </w:p>
          <w:p w14:paraId="42326A35" w14:textId="55299370" w:rsidR="00292ED0" w:rsidRPr="002B66D1" w:rsidRDefault="00292ED0" w:rsidP="00DB6E6D">
            <w:pPr>
              <w:pStyle w:val="NoSpacing"/>
              <w:spacing w:line="276" w:lineRule="auto"/>
              <w:rPr>
                <w:sz w:val="22"/>
                <w:szCs w:val="22"/>
              </w:rPr>
            </w:pPr>
            <w:r w:rsidRPr="002B66D1">
              <w:rPr>
                <w:sz w:val="22"/>
                <w:szCs w:val="22"/>
              </w:rPr>
              <w:t>Amber if only qualitative inputs</w:t>
            </w:r>
            <w:r w:rsidR="00947764" w:rsidRPr="002B66D1">
              <w:rPr>
                <w:sz w:val="22"/>
                <w:szCs w:val="22"/>
              </w:rPr>
              <w:t>;</w:t>
            </w:r>
          </w:p>
          <w:p w14:paraId="2321429B" w14:textId="43971798" w:rsidR="00292ED0" w:rsidRPr="002B66D1" w:rsidRDefault="00292ED0" w:rsidP="00DB6E6D">
            <w:pPr>
              <w:pStyle w:val="NoSpacing"/>
              <w:spacing w:line="276" w:lineRule="auto"/>
              <w:rPr>
                <w:sz w:val="22"/>
                <w:szCs w:val="22"/>
              </w:rPr>
            </w:pPr>
            <w:r w:rsidRPr="002B66D1">
              <w:rPr>
                <w:sz w:val="22"/>
                <w:szCs w:val="22"/>
              </w:rPr>
              <w:t>Red if only limited types of qualitative inputs and no field visits</w:t>
            </w:r>
            <w:r w:rsidR="00947764" w:rsidRPr="002B66D1">
              <w:rPr>
                <w:sz w:val="22"/>
                <w:szCs w:val="22"/>
              </w:rPr>
              <w:t>.</w:t>
            </w:r>
          </w:p>
          <w:p w14:paraId="4E04F57F" w14:textId="77777777" w:rsidR="00292ED0" w:rsidRPr="002B66D1" w:rsidRDefault="00292ED0" w:rsidP="00DB6E6D">
            <w:pPr>
              <w:pStyle w:val="NoSpacing"/>
              <w:spacing w:line="276" w:lineRule="auto"/>
              <w:rPr>
                <w:sz w:val="22"/>
                <w:szCs w:val="22"/>
              </w:rPr>
            </w:pPr>
          </w:p>
        </w:tc>
      </w:tr>
    </w:tbl>
    <w:p w14:paraId="4EF13DA0" w14:textId="1670EB47" w:rsidR="00216857" w:rsidRDefault="00216857" w:rsidP="00016CC0">
      <w:pPr>
        <w:spacing w:before="240"/>
      </w:pPr>
      <w:r>
        <w:t>There is, in principle, more scope to make up for shortcomings in quantitative data via qualitative findings in the case of slight modification cases. For all three categories, the range of qualitative evidence that can be considered is broad, as demonstrated through the deep</w:t>
      </w:r>
      <w:r w:rsidR="00411611">
        <w:t>-</w:t>
      </w:r>
      <w:r>
        <w:t>dive studies. The types of information listed are those that, as a matter of practice, authorities tend to rely on in making determinations.</w:t>
      </w:r>
    </w:p>
    <w:p w14:paraId="38E82DB8" w14:textId="04FEBA18" w:rsidR="00FA3BBF" w:rsidRDefault="00FA3BBF" w:rsidP="00016CC0">
      <w:r>
        <w:t>In addition to assessments made against the specific steps described above, the TRA can also draw on other types of information discussed in this report to form a view of the materiality of circumvention risks associated with trade remed</w:t>
      </w:r>
      <w:r w:rsidR="00411611">
        <w:t>y</w:t>
      </w:r>
      <w:r>
        <w:t xml:space="preserve"> duties that are imposed. Information includes</w:t>
      </w:r>
      <w:r w:rsidR="009A31B2">
        <w:t xml:space="preserve"> notably</w:t>
      </w:r>
      <w:r>
        <w:t>:</w:t>
      </w:r>
    </w:p>
    <w:p w14:paraId="1BEC0D4D" w14:textId="2826B9D6" w:rsidR="00FA3BBF" w:rsidRPr="00C239B1" w:rsidRDefault="009A31B2" w:rsidP="00C239B1">
      <w:pPr>
        <w:pStyle w:val="NoSpacing"/>
        <w:numPr>
          <w:ilvl w:val="0"/>
          <w:numId w:val="46"/>
        </w:numPr>
        <w:spacing w:line="360" w:lineRule="auto"/>
        <w:rPr>
          <w:rFonts w:eastAsiaTheme="majorEastAsia"/>
        </w:rPr>
      </w:pPr>
      <w:r w:rsidRPr="00C239B1">
        <w:rPr>
          <w:rFonts w:eastAsiaTheme="majorEastAsia"/>
        </w:rPr>
        <w:t>Product types and the regularity with which they featured in past circumvention cases, notably in the EU</w:t>
      </w:r>
      <w:r w:rsidR="00356C20" w:rsidRPr="00C239B1">
        <w:rPr>
          <w:rFonts w:eastAsiaTheme="majorEastAsia"/>
        </w:rPr>
        <w:t>;</w:t>
      </w:r>
    </w:p>
    <w:p w14:paraId="34247F39" w14:textId="0C9FAD4B" w:rsidR="009A31B2" w:rsidRPr="00C239B1" w:rsidRDefault="00646B20" w:rsidP="00C239B1">
      <w:pPr>
        <w:pStyle w:val="NoSpacing"/>
        <w:numPr>
          <w:ilvl w:val="0"/>
          <w:numId w:val="46"/>
        </w:numPr>
        <w:spacing w:line="360" w:lineRule="auto"/>
        <w:rPr>
          <w:rFonts w:eastAsiaTheme="majorEastAsia"/>
        </w:rPr>
      </w:pPr>
      <w:r w:rsidRPr="00C239B1">
        <w:rPr>
          <w:rFonts w:eastAsiaTheme="majorEastAsia"/>
        </w:rPr>
        <w:t>The t</w:t>
      </w:r>
      <w:r w:rsidR="009A31B2" w:rsidRPr="00C239B1">
        <w:rPr>
          <w:rFonts w:eastAsiaTheme="majorEastAsia"/>
        </w:rPr>
        <w:t>argeted country and its connection to known circumvention routes</w:t>
      </w:r>
      <w:r w:rsidR="00356C20" w:rsidRPr="00C239B1">
        <w:rPr>
          <w:rFonts w:eastAsiaTheme="majorEastAsia"/>
        </w:rPr>
        <w:t>.</w:t>
      </w:r>
    </w:p>
    <w:p w14:paraId="1ED36E09" w14:textId="71F45510" w:rsidR="00292ED0" w:rsidRPr="009A31B2" w:rsidRDefault="00292ED0" w:rsidP="00016CC0">
      <w:pPr>
        <w:spacing w:before="240"/>
      </w:pPr>
      <w:r>
        <w:t xml:space="preserve">This information could help the TRA </w:t>
      </w:r>
      <w:r w:rsidR="00411611">
        <w:t xml:space="preserve">to </w:t>
      </w:r>
      <w:r>
        <w:t xml:space="preserve">ensure internal readiness, including its own monitoring of trade trends, and thus to mobilise internal resources in a timely manner should circumvention become an issue. </w:t>
      </w:r>
    </w:p>
    <w:p w14:paraId="14731D6A" w14:textId="7860DE73" w:rsidR="00EA5E4E" w:rsidRPr="00573DDB" w:rsidRDefault="00FA1C57" w:rsidP="0B87AE61">
      <w:pPr>
        <w:pStyle w:val="Heading2"/>
        <w:rPr>
          <w:rFonts w:cs="Arial"/>
          <w:b w:val="0"/>
        </w:rPr>
      </w:pPr>
      <w:bookmarkStart w:id="131" w:name="_Toc1796245066"/>
      <w:bookmarkStart w:id="132" w:name="_Toc118465301"/>
      <w:r w:rsidRPr="0B87AE61">
        <w:rPr>
          <w:rFonts w:cs="Arial"/>
        </w:rPr>
        <w:t>5.6</w:t>
      </w:r>
      <w:r>
        <w:tab/>
      </w:r>
      <w:r w:rsidR="00EA5E4E" w:rsidRPr="0B87AE61">
        <w:rPr>
          <w:rFonts w:cs="Arial"/>
        </w:rPr>
        <w:t>Summing up</w:t>
      </w:r>
      <w:bookmarkEnd w:id="131"/>
      <w:bookmarkEnd w:id="132"/>
    </w:p>
    <w:p w14:paraId="7430A821" w14:textId="2BF2F917" w:rsidR="00EA5E4E" w:rsidRDefault="00EA5E4E" w:rsidP="00016CC0">
      <w:r>
        <w:t>As documented throughout this report, the key challenge for authorities lies in addressing the counterfactual nature of the analysis that lies at the heart of a circumvention case. Counterfactual analysis is challenging in most circumstances, but it is particularly challenging in the time</w:t>
      </w:r>
      <w:r w:rsidR="002F1E88">
        <w:t>-</w:t>
      </w:r>
      <w:r>
        <w:t xml:space="preserve"> and data-constrained </w:t>
      </w:r>
      <w:r w:rsidR="002F1E88">
        <w:t>contexts of circumvention investigations.</w:t>
      </w:r>
    </w:p>
    <w:p w14:paraId="55711800" w14:textId="0F846583" w:rsidR="00FA3BBF" w:rsidRDefault="002F1E88" w:rsidP="00016CC0">
      <w:r>
        <w:t>Nevertheless, u</w:t>
      </w:r>
      <w:r w:rsidR="00EA5E4E">
        <w:t>ndertaking such analysis with</w:t>
      </w:r>
      <w:r>
        <w:t xml:space="preserve"> as much</w:t>
      </w:r>
      <w:r w:rsidR="00EA5E4E">
        <w:t xml:space="preserve"> rigour</w:t>
      </w:r>
      <w:r>
        <w:t xml:space="preserve"> as possible</w:t>
      </w:r>
      <w:r w:rsidR="00EA5E4E">
        <w:t xml:space="preserve"> is important </w:t>
      </w:r>
      <w:r w:rsidR="00F77802">
        <w:t>for</w:t>
      </w:r>
      <w:r w:rsidR="00F44221">
        <w:t xml:space="preserve"> </w:t>
      </w:r>
      <w:r w:rsidR="00EA5E4E">
        <w:t>ensuring that harms associated with the application of duties are minimised.</w:t>
      </w:r>
      <w:r w:rsidR="00FA3BBF">
        <w:t xml:space="preserve"> It is also important </w:t>
      </w:r>
      <w:r w:rsidR="009046D7">
        <w:t>to</w:t>
      </w:r>
      <w:r w:rsidR="00FA3BBF">
        <w:t xml:space="preserve"> ensur</w:t>
      </w:r>
      <w:r w:rsidR="009046D7">
        <w:t>e</w:t>
      </w:r>
      <w:r w:rsidR="00FA3BBF">
        <w:t xml:space="preserve"> that decisions withstand legal scrutiny, including judicial review. </w:t>
      </w:r>
    </w:p>
    <w:p w14:paraId="3755CCCD" w14:textId="3FB1CC79" w:rsidR="00292ED0" w:rsidRDefault="00FA3BBF" w:rsidP="00016CC0">
      <w:r>
        <w:t>The toolkit we developed is intended to help the TRA form a</w:t>
      </w:r>
      <w:r w:rsidR="00411611">
        <w:t>n</w:t>
      </w:r>
      <w:r>
        <w:t xml:space="preserve"> ex</w:t>
      </w:r>
      <w:r w:rsidR="00411611">
        <w:t>-</w:t>
      </w:r>
      <w:r>
        <w:t xml:space="preserve">ante </w:t>
      </w:r>
      <w:r w:rsidR="00411611">
        <w:t xml:space="preserve">view </w:t>
      </w:r>
      <w:r>
        <w:t xml:space="preserve">on </w:t>
      </w:r>
      <w:r w:rsidR="00292ED0">
        <w:t>how it is positioned to handle a circumvention case in connection with a particular trade remed</w:t>
      </w:r>
      <w:r w:rsidR="00411611">
        <w:t>y</w:t>
      </w:r>
      <w:r w:rsidR="00292ED0">
        <w:t xml:space="preserve"> case. In particular, it can form a view based on past experience of the possible circumvention activity that may arise, depending on the product and country targeted by the remedy. It can form an assessment of what data it has at its disposal and the data and information it needs to obtain in order to align with a green rating for the key steps of the investigation. </w:t>
      </w:r>
    </w:p>
    <w:p w14:paraId="67BC47E3" w14:textId="08BAD1B8" w:rsidR="00FA3BBF" w:rsidRDefault="00292ED0" w:rsidP="00016CC0">
      <w:r>
        <w:t xml:space="preserve">Moreover, the toolkit provides a basis for ex-post reviews of cases. As illustrated through the case studies, ex-post reviews can identify fragilities in past decisions, which in turn can provide a basis for strengthening future decisions. </w:t>
      </w:r>
    </w:p>
    <w:p w14:paraId="1D539BE6" w14:textId="77777777" w:rsidR="00997794" w:rsidRDefault="00997794" w:rsidP="00F7615F">
      <w:pPr>
        <w:pStyle w:val="NoSpacing"/>
        <w:spacing w:line="360" w:lineRule="auto"/>
        <w:sectPr w:rsidR="00997794" w:rsidSect="00F21AB1">
          <w:pgSz w:w="11906" w:h="16838"/>
          <w:pgMar w:top="1440" w:right="1440" w:bottom="1440" w:left="1440" w:header="708" w:footer="708" w:gutter="0"/>
          <w:cols w:space="708"/>
          <w:docGrid w:linePitch="360"/>
        </w:sectPr>
      </w:pPr>
    </w:p>
    <w:p w14:paraId="0A5E5BDB" w14:textId="3FD59FF1" w:rsidR="00A21C01" w:rsidRPr="00FC1367" w:rsidRDefault="00A21C01" w:rsidP="0B87AE61">
      <w:pPr>
        <w:pStyle w:val="Heading1"/>
        <w:rPr>
          <w:rFonts w:cs="Arial"/>
        </w:rPr>
      </w:pPr>
      <w:bookmarkStart w:id="133" w:name="_Toc1713966718"/>
      <w:bookmarkStart w:id="134" w:name="_Toc118465302"/>
      <w:bookmarkStart w:id="135" w:name="_Toc101182686"/>
      <w:r w:rsidRPr="0B87AE61">
        <w:rPr>
          <w:rFonts w:cs="Arial"/>
        </w:rPr>
        <w:t>Annex 1 – Further information on deep dive jurisdictions</w:t>
      </w:r>
      <w:bookmarkEnd w:id="133"/>
      <w:bookmarkEnd w:id="134"/>
    </w:p>
    <w:p w14:paraId="74D2BF1C" w14:textId="4DAE2E29" w:rsidR="00A21C01" w:rsidRPr="00A21C01" w:rsidRDefault="00A21C01" w:rsidP="00A21C01">
      <w:pPr>
        <w:pStyle w:val="Heading2"/>
      </w:pPr>
      <w:bookmarkStart w:id="136" w:name="_Toc1089338960"/>
      <w:bookmarkStart w:id="137" w:name="_Toc118465303"/>
      <w:r>
        <w:t>Deep-dive study of the European Union</w:t>
      </w:r>
      <w:bookmarkEnd w:id="136"/>
      <w:bookmarkEnd w:id="137"/>
    </w:p>
    <w:p w14:paraId="53FA95BF" w14:textId="799BB634" w:rsidR="00A21C01" w:rsidRPr="00306B6F" w:rsidRDefault="00A21C01" w:rsidP="0B87AE61">
      <w:pPr>
        <w:pStyle w:val="Heading3"/>
        <w:rPr>
          <w:rFonts w:cs="Arial"/>
          <w:b w:val="0"/>
        </w:rPr>
      </w:pPr>
      <w:bookmarkStart w:id="138" w:name="_Toc1041033792"/>
      <w:bookmarkStart w:id="139" w:name="_Toc118465304"/>
      <w:r w:rsidRPr="0B87AE61">
        <w:rPr>
          <w:rFonts w:cs="Arial"/>
        </w:rPr>
        <w:t>Legal framework and processes</w:t>
      </w:r>
      <w:bookmarkEnd w:id="138"/>
      <w:bookmarkEnd w:id="139"/>
    </w:p>
    <w:p w14:paraId="4F4FB4E6" w14:textId="77777777" w:rsidR="00A21C01" w:rsidRDefault="00A21C01" w:rsidP="00A21C01">
      <w:pPr>
        <w:rPr>
          <w:rFonts w:cs="Arial"/>
          <w:szCs w:val="24"/>
        </w:rPr>
      </w:pPr>
      <w:r w:rsidRPr="00963085">
        <w:rPr>
          <w:rFonts w:cs="Arial"/>
          <w:szCs w:val="24"/>
        </w:rPr>
        <w:t xml:space="preserve">The </w:t>
      </w:r>
      <w:r>
        <w:rPr>
          <w:rFonts w:cs="Arial"/>
          <w:szCs w:val="24"/>
        </w:rPr>
        <w:t xml:space="preserve">EU’s approach to circumvention cases is governed by </w:t>
      </w:r>
      <w:r w:rsidRPr="00963085">
        <w:rPr>
          <w:rFonts w:cs="Arial"/>
          <w:szCs w:val="24"/>
        </w:rPr>
        <w:t>Article 13 of the EU Basic Antidumping Regulations and Article 23 of the Basic Anti-Subsidy Regulation</w:t>
      </w:r>
      <w:r>
        <w:rPr>
          <w:rFonts w:cs="Arial"/>
          <w:szCs w:val="24"/>
        </w:rPr>
        <w:t>.</w:t>
      </w:r>
      <w:r>
        <w:rPr>
          <w:rStyle w:val="FootnoteReference"/>
          <w:rFonts w:cs="Arial"/>
          <w:szCs w:val="24"/>
        </w:rPr>
        <w:footnoteReference w:id="73"/>
      </w:r>
      <w:r>
        <w:rPr>
          <w:rFonts w:cs="Arial"/>
          <w:szCs w:val="24"/>
        </w:rPr>
        <w:t xml:space="preserve"> The approach has also largely been transposed into UK legislation and, consequently, observations on processes followed pursuant to the EU regulations are also relevant to the UK.</w:t>
      </w:r>
    </w:p>
    <w:p w14:paraId="3FDBC6B4" w14:textId="676031EC" w:rsidR="00A21C01" w:rsidRDefault="00A21C01" w:rsidP="00A21C01">
      <w:pPr>
        <w:rPr>
          <w:rFonts w:cs="Arial"/>
          <w:szCs w:val="24"/>
        </w:rPr>
      </w:pPr>
      <w:r>
        <w:rPr>
          <w:rFonts w:cs="Arial"/>
          <w:szCs w:val="24"/>
        </w:rPr>
        <w:t xml:space="preserve">Article 13(3) stipulates that the investigation will be conducted by </w:t>
      </w:r>
      <w:r w:rsidRPr="00D116D4">
        <w:rPr>
          <w:rFonts w:cs="Arial"/>
          <w:szCs w:val="24"/>
        </w:rPr>
        <w:t xml:space="preserve">the </w:t>
      </w:r>
      <w:r w:rsidRPr="00EA71C7">
        <w:rPr>
          <w:rFonts w:cs="Arial"/>
          <w:szCs w:val="24"/>
        </w:rPr>
        <w:t>European Commission (EC)</w:t>
      </w:r>
      <w:r w:rsidRPr="00D116D4">
        <w:rPr>
          <w:rFonts w:cs="Arial"/>
          <w:szCs w:val="24"/>
        </w:rPr>
        <w:t xml:space="preserve"> and that it will be concluded within nine months.</w:t>
      </w:r>
      <w:r>
        <w:rPr>
          <w:rFonts w:cs="Arial"/>
          <w:szCs w:val="24"/>
        </w:rPr>
        <w:t xml:space="preserve"> The EU’s approach is based on the steps depicted in the schematic below</w:t>
      </w:r>
      <w:r w:rsidR="003B27AB">
        <w:rPr>
          <w:rFonts w:cs="Arial"/>
          <w:szCs w:val="24"/>
        </w:rPr>
        <w:t xml:space="preserve"> </w:t>
      </w:r>
      <w:r w:rsidR="003B27AB" w:rsidRPr="003B27AB">
        <w:rPr>
          <w:rFonts w:cs="Arial"/>
          <w:szCs w:val="24"/>
        </w:rPr>
        <w:t>(</w:t>
      </w:r>
      <w:r w:rsidR="003B27AB">
        <w:rPr>
          <w:rFonts w:cs="Arial"/>
          <w:szCs w:val="24"/>
        </w:rPr>
        <w:fldChar w:fldCharType="begin"/>
      </w:r>
      <w:r w:rsidR="003B27AB">
        <w:rPr>
          <w:rFonts w:cs="Arial"/>
          <w:szCs w:val="24"/>
        </w:rPr>
        <w:instrText xml:space="preserve"> REF _Ref115358338 \h </w:instrText>
      </w:r>
      <w:r w:rsidR="003B27AB">
        <w:rPr>
          <w:rFonts w:cs="Arial"/>
          <w:szCs w:val="24"/>
        </w:rPr>
      </w:r>
      <w:r w:rsidR="003B27AB">
        <w:rPr>
          <w:rFonts w:cs="Arial"/>
          <w:szCs w:val="24"/>
        </w:rPr>
        <w:fldChar w:fldCharType="separate"/>
      </w:r>
      <w:r w:rsidR="003B27AB" w:rsidRPr="00C378F2">
        <w:t xml:space="preserve">Figure </w:t>
      </w:r>
      <w:r w:rsidR="003B27AB" w:rsidRPr="00C378F2">
        <w:rPr>
          <w:noProof/>
        </w:rPr>
        <w:t>24</w:t>
      </w:r>
      <w:r w:rsidR="003B27AB">
        <w:rPr>
          <w:rFonts w:cs="Arial"/>
          <w:szCs w:val="24"/>
        </w:rPr>
        <w:fldChar w:fldCharType="end"/>
      </w:r>
      <w:r w:rsidR="003B27AB">
        <w:rPr>
          <w:rFonts w:cs="Arial"/>
          <w:szCs w:val="24"/>
        </w:rPr>
        <w:t>)</w:t>
      </w:r>
      <w:r>
        <w:rPr>
          <w:rFonts w:cs="Arial"/>
          <w:szCs w:val="24"/>
        </w:rPr>
        <w:t>.</w:t>
      </w:r>
    </w:p>
    <w:p w14:paraId="706826F6" w14:textId="34254F3A" w:rsidR="00625A64" w:rsidRPr="00963085" w:rsidRDefault="00625A64" w:rsidP="00625A64">
      <w:pPr>
        <w:pStyle w:val="Caption"/>
        <w:rPr>
          <w:rFonts w:cs="Arial"/>
          <w:szCs w:val="24"/>
        </w:rPr>
      </w:pPr>
      <w:r w:rsidRPr="00625A64">
        <w:rPr>
          <w:i w:val="0"/>
          <w:iCs w:val="0"/>
        </w:rPr>
        <w:t xml:space="preserve">Figure </w:t>
      </w:r>
      <w:r w:rsidRPr="00625A64">
        <w:rPr>
          <w:i w:val="0"/>
          <w:iCs w:val="0"/>
        </w:rPr>
        <w:fldChar w:fldCharType="begin"/>
      </w:r>
      <w:r w:rsidRPr="00625A64">
        <w:rPr>
          <w:i w:val="0"/>
          <w:iCs w:val="0"/>
        </w:rPr>
        <w:instrText xml:space="preserve"> SEQ Figure \* ARABIC </w:instrText>
      </w:r>
      <w:r w:rsidRPr="00625A64">
        <w:rPr>
          <w:i w:val="0"/>
          <w:iCs w:val="0"/>
        </w:rPr>
        <w:fldChar w:fldCharType="separate"/>
      </w:r>
      <w:r w:rsidRPr="00625A64">
        <w:rPr>
          <w:i w:val="0"/>
          <w:iCs w:val="0"/>
          <w:noProof/>
        </w:rPr>
        <w:t>24</w:t>
      </w:r>
      <w:r w:rsidRPr="00625A64">
        <w:rPr>
          <w:i w:val="0"/>
          <w:iCs w:val="0"/>
        </w:rPr>
        <w:fldChar w:fldCharType="end"/>
      </w:r>
      <w:r w:rsidRPr="00625A64">
        <w:rPr>
          <w:noProof/>
        </w:rPr>
        <w:t xml:space="preserve"> </w:t>
      </w:r>
      <w:r>
        <w:rPr>
          <w:noProof/>
        </w:rPr>
        <w:t>S</w:t>
      </w:r>
      <w:r>
        <w:t>chematic representation of the EU’s approach to anti- circumvention</w:t>
      </w:r>
    </w:p>
    <w:p w14:paraId="7F2616EA" w14:textId="77777777" w:rsidR="00A21C01" w:rsidRDefault="00A21C01" w:rsidP="00A21C01">
      <w:pPr>
        <w:rPr>
          <w:rFonts w:cs="Arial"/>
          <w:szCs w:val="24"/>
        </w:rPr>
      </w:pPr>
      <w:r w:rsidRPr="00F41160">
        <w:rPr>
          <w:noProof/>
        </w:rPr>
        <w:drawing>
          <wp:inline distT="0" distB="0" distL="0" distR="0" wp14:anchorId="7A501D2B" wp14:editId="6E7BE64A">
            <wp:extent cx="5731510" cy="82740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827405"/>
                    </a:xfrm>
                    <a:prstGeom prst="rect">
                      <a:avLst/>
                    </a:prstGeom>
                  </pic:spPr>
                </pic:pic>
              </a:graphicData>
            </a:graphic>
          </wp:inline>
        </w:drawing>
      </w:r>
    </w:p>
    <w:p w14:paraId="734A0D69" w14:textId="77777777" w:rsidR="00A21C01" w:rsidRDefault="00A21C01" w:rsidP="00A21C01">
      <w:pPr>
        <w:rPr>
          <w:rFonts w:cs="Arial"/>
          <w:szCs w:val="24"/>
        </w:rPr>
      </w:pPr>
      <w:r w:rsidRPr="00963085">
        <w:rPr>
          <w:rFonts w:cs="Arial"/>
          <w:szCs w:val="24"/>
        </w:rPr>
        <w:t xml:space="preserve">Step 1 is the basic </w:t>
      </w:r>
      <w:r w:rsidRPr="00EA71C7">
        <w:rPr>
          <w:rFonts w:cs="Arial"/>
          <w:szCs w:val="24"/>
        </w:rPr>
        <w:t>threshold question: has there</w:t>
      </w:r>
      <w:r w:rsidRPr="00963085">
        <w:rPr>
          <w:rFonts w:cs="Arial"/>
          <w:szCs w:val="24"/>
        </w:rPr>
        <w:t xml:space="preserve"> been a change in the pattern of trade? The change could be between the EU, the country targe</w:t>
      </w:r>
      <w:r>
        <w:rPr>
          <w:rFonts w:cs="Arial"/>
          <w:szCs w:val="24"/>
        </w:rPr>
        <w:t>t</w:t>
      </w:r>
      <w:r w:rsidRPr="00963085">
        <w:rPr>
          <w:rFonts w:cs="Arial"/>
          <w:szCs w:val="24"/>
        </w:rPr>
        <w:t>ed</w:t>
      </w:r>
      <w:r>
        <w:rPr>
          <w:rFonts w:cs="Arial"/>
          <w:szCs w:val="24"/>
        </w:rPr>
        <w:t xml:space="preserve"> by the original remedy and third country or countries. It could also be between exports from a set of firms in the targeted country and another set of firms in that country. The regulations stipulate that the focus is on trade in like products, without defining the term.</w:t>
      </w:r>
    </w:p>
    <w:p w14:paraId="7AF15F77" w14:textId="77777777" w:rsidR="00A21C01" w:rsidRDefault="00A21C01" w:rsidP="00A21C01">
      <w:pPr>
        <w:spacing w:after="0"/>
      </w:pPr>
      <w:r>
        <w:rPr>
          <w:rFonts w:cs="Arial"/>
          <w:szCs w:val="24"/>
        </w:rPr>
        <w:t>The second step is that the change in the pattern or trade is attributable to a “practice, process or work”. The regulations provide a non-exhaustive list of what these could consist of, in particular:</w:t>
      </w:r>
      <w:r w:rsidRPr="00306B6F">
        <w:t xml:space="preserve"> </w:t>
      </w:r>
    </w:p>
    <w:p w14:paraId="18E84ED8" w14:textId="46EA655F" w:rsidR="00A21C01" w:rsidRPr="00993211" w:rsidRDefault="00A21C01" w:rsidP="0076174F">
      <w:pPr>
        <w:pStyle w:val="ListParagraph"/>
        <w:numPr>
          <w:ilvl w:val="0"/>
          <w:numId w:val="40"/>
        </w:numPr>
        <w:spacing w:after="0" w:line="360" w:lineRule="auto"/>
        <w:ind w:left="357" w:hanging="357"/>
        <w:rPr>
          <w:rFonts w:cs="Arial"/>
          <w:szCs w:val="24"/>
        </w:rPr>
      </w:pPr>
      <w:r>
        <w:rPr>
          <w:rFonts w:cs="Arial"/>
          <w:sz w:val="24"/>
          <w:szCs w:val="24"/>
        </w:rPr>
        <w:t>S</w:t>
      </w:r>
      <w:r w:rsidRPr="00EA71C7">
        <w:rPr>
          <w:rFonts w:cs="Arial"/>
          <w:sz w:val="24"/>
          <w:szCs w:val="24"/>
        </w:rPr>
        <w:t xml:space="preserve">light modification or alteration of product (e.g. adding silica to zinc oxide); </w:t>
      </w:r>
    </w:p>
    <w:p w14:paraId="23257CA0" w14:textId="61587323" w:rsidR="00A21C01" w:rsidRPr="00993211" w:rsidRDefault="00A21C01" w:rsidP="0076174F">
      <w:pPr>
        <w:pStyle w:val="ListParagraph"/>
        <w:numPr>
          <w:ilvl w:val="0"/>
          <w:numId w:val="40"/>
        </w:numPr>
        <w:spacing w:after="0" w:line="360" w:lineRule="auto"/>
        <w:ind w:left="357" w:hanging="357"/>
        <w:rPr>
          <w:rFonts w:cs="Arial"/>
          <w:szCs w:val="24"/>
        </w:rPr>
      </w:pPr>
      <w:r>
        <w:rPr>
          <w:rFonts w:cs="Arial"/>
          <w:sz w:val="24"/>
          <w:szCs w:val="24"/>
        </w:rPr>
        <w:t>C</w:t>
      </w:r>
      <w:r w:rsidRPr="00EA71C7">
        <w:rPr>
          <w:rFonts w:cs="Arial"/>
          <w:sz w:val="24"/>
          <w:szCs w:val="24"/>
        </w:rPr>
        <w:t xml:space="preserve">onsignment of products </w:t>
      </w:r>
      <w:r>
        <w:rPr>
          <w:rFonts w:cs="Arial"/>
          <w:sz w:val="24"/>
          <w:szCs w:val="24"/>
        </w:rPr>
        <w:t>through</w:t>
      </w:r>
      <w:r w:rsidRPr="00EA71C7">
        <w:rPr>
          <w:rFonts w:cs="Arial"/>
          <w:sz w:val="24"/>
          <w:szCs w:val="24"/>
        </w:rPr>
        <w:t xml:space="preserve"> third countries; </w:t>
      </w:r>
    </w:p>
    <w:p w14:paraId="702ADCE4" w14:textId="7FFD9B97" w:rsidR="00A21C01" w:rsidRPr="00993211" w:rsidRDefault="00A21C01" w:rsidP="0076174F">
      <w:pPr>
        <w:pStyle w:val="ListParagraph"/>
        <w:numPr>
          <w:ilvl w:val="0"/>
          <w:numId w:val="40"/>
        </w:numPr>
        <w:spacing w:after="0" w:line="360" w:lineRule="auto"/>
        <w:ind w:left="357" w:hanging="357"/>
        <w:rPr>
          <w:rFonts w:cs="Arial"/>
          <w:szCs w:val="24"/>
        </w:rPr>
      </w:pPr>
      <w:r>
        <w:rPr>
          <w:rFonts w:cs="Arial"/>
          <w:sz w:val="24"/>
          <w:szCs w:val="24"/>
        </w:rPr>
        <w:t>R</w:t>
      </w:r>
      <w:r w:rsidRPr="00EA71C7">
        <w:rPr>
          <w:rFonts w:cs="Arial"/>
          <w:sz w:val="24"/>
          <w:szCs w:val="24"/>
        </w:rPr>
        <w:t>eorganisation by exporters or producers of their patterns and channels of sales;</w:t>
      </w:r>
    </w:p>
    <w:p w14:paraId="3768FDB5" w14:textId="218BBD49" w:rsidR="00A21C01" w:rsidRPr="00993211" w:rsidRDefault="00A21C01" w:rsidP="0076174F">
      <w:pPr>
        <w:pStyle w:val="ListParagraph"/>
        <w:numPr>
          <w:ilvl w:val="0"/>
          <w:numId w:val="40"/>
        </w:numPr>
        <w:spacing w:line="360" w:lineRule="auto"/>
        <w:ind w:left="357" w:hanging="357"/>
        <w:rPr>
          <w:rFonts w:cs="Arial"/>
          <w:szCs w:val="24"/>
        </w:rPr>
      </w:pPr>
      <w:r>
        <w:rPr>
          <w:rFonts w:cs="Arial"/>
          <w:sz w:val="24"/>
          <w:szCs w:val="24"/>
        </w:rPr>
        <w:t>A</w:t>
      </w:r>
      <w:r w:rsidRPr="00EA71C7">
        <w:rPr>
          <w:rFonts w:cs="Arial"/>
          <w:sz w:val="24"/>
          <w:szCs w:val="24"/>
        </w:rPr>
        <w:t>ssembly operation in the EU or a third country.</w:t>
      </w:r>
    </w:p>
    <w:p w14:paraId="51D9CB5D" w14:textId="57481684" w:rsidR="00A21C01" w:rsidRDefault="00A21C01" w:rsidP="00A21C01">
      <w:pPr>
        <w:rPr>
          <w:rFonts w:cs="Arial"/>
          <w:szCs w:val="24"/>
        </w:rPr>
      </w:pPr>
      <w:r>
        <w:rPr>
          <w:rFonts w:cs="Arial"/>
          <w:szCs w:val="24"/>
        </w:rPr>
        <w:t>The third step is insufficient due cause or economic justification for this practice, process or work other than circumvention of duties. A finding of insufficient due cause by the EC is rebuttable by respondents to a case. This step is closely connected to the preceding steps both in terms of its formulation and because data or information used to gauge the extent of assembly operations or the extent of modifications is also pertinent to the consideration of “due cause”. As highlighted in the introduction to this report, this aspect of the legal framework underlines the essentially counterfactual nature of the analysis underpinning circumvention cases.</w:t>
      </w:r>
    </w:p>
    <w:p w14:paraId="2B5B9AFC" w14:textId="29C447AF" w:rsidR="00A21C01" w:rsidRDefault="00A21C01" w:rsidP="00A21C01">
      <w:pPr>
        <w:rPr>
          <w:rFonts w:cs="Arial"/>
          <w:szCs w:val="24"/>
        </w:rPr>
      </w:pPr>
      <w:r>
        <w:rPr>
          <w:rFonts w:cs="Arial"/>
          <w:szCs w:val="24"/>
        </w:rPr>
        <w:t>The fourth step is to demonstrate that circumvention gives rise to adverse effects by undermining the remedial effects of the original duty. This test is not as complex as the test for injury in anti-dumping or countervailing cases, as there is no requirement to demonstrate causation of injury. Rather, the EC verifies the existence of price undercutting or underselling.</w:t>
      </w:r>
      <w:r>
        <w:rPr>
          <w:rStyle w:val="FootnoteReference"/>
          <w:rFonts w:cs="Arial"/>
          <w:szCs w:val="24"/>
        </w:rPr>
        <w:footnoteReference w:id="74"/>
      </w:r>
    </w:p>
    <w:p w14:paraId="7455741C" w14:textId="77777777" w:rsidR="00A21C01" w:rsidRDefault="00A21C01" w:rsidP="00A21C01">
      <w:pPr>
        <w:rPr>
          <w:rFonts w:cs="Arial"/>
          <w:szCs w:val="24"/>
        </w:rPr>
      </w:pPr>
      <w:r>
        <w:rPr>
          <w:rFonts w:cs="Arial"/>
          <w:szCs w:val="24"/>
        </w:rPr>
        <w:t>The final step is to verify that there is evidence of dumping in relation to the normal values already established in the original case.</w:t>
      </w:r>
    </w:p>
    <w:p w14:paraId="0D5449B7" w14:textId="630053F2" w:rsidR="00A21C01" w:rsidRDefault="00A21C01" w:rsidP="00A21C01">
      <w:pPr>
        <w:rPr>
          <w:rFonts w:cs="Arial"/>
          <w:szCs w:val="24"/>
        </w:rPr>
      </w:pPr>
      <w:r>
        <w:rPr>
          <w:rFonts w:cs="Arial"/>
          <w:szCs w:val="24"/>
        </w:rPr>
        <w:t xml:space="preserve">Investigations can be initiated by the EC (self-initiated cases) or by industry. Historically, around 80% of cases have been initiated by industry. The EC has observed that industry participants usually have well-developed monitoring capabilities that allow them to ascertain when circumvention is a possibility. For self-initiated cases, the EC relies on import data from </w:t>
      </w:r>
      <w:r w:rsidRPr="005D3C7D">
        <w:rPr>
          <w:rFonts w:cs="Arial"/>
          <w:szCs w:val="24"/>
        </w:rPr>
        <w:t>TARIC</w:t>
      </w:r>
      <w:r w:rsidR="00CE4E84">
        <w:rPr>
          <w:rStyle w:val="FootnoteReference"/>
          <w:rFonts w:cs="Arial"/>
          <w:szCs w:val="24"/>
        </w:rPr>
        <w:footnoteReference w:id="75"/>
      </w:r>
      <w:r w:rsidRPr="005D3C7D">
        <w:rPr>
          <w:rFonts w:cs="Arial"/>
          <w:szCs w:val="24"/>
        </w:rPr>
        <w:t xml:space="preserve"> t</w:t>
      </w:r>
      <w:r>
        <w:rPr>
          <w:rFonts w:cs="Arial"/>
          <w:szCs w:val="24"/>
        </w:rPr>
        <w:t xml:space="preserve">o monitor changes in the pattern of trade. </w:t>
      </w:r>
    </w:p>
    <w:p w14:paraId="759CA88D" w14:textId="470E5626" w:rsidR="00A21C01" w:rsidRDefault="00A21C01" w:rsidP="00A21C01">
      <w:pPr>
        <w:rPr>
          <w:rFonts w:cs="Arial"/>
          <w:szCs w:val="24"/>
        </w:rPr>
      </w:pPr>
      <w:r>
        <w:rPr>
          <w:rFonts w:cs="Arial"/>
          <w:szCs w:val="24"/>
        </w:rPr>
        <w:t xml:space="preserve">The processes for initiation of investigations and for final determinations as to the imposition of duties both need to follow these steps. The main difference lies in the evidentiary standards. </w:t>
      </w:r>
      <w:r w:rsidR="00C80C1B">
        <w:rPr>
          <w:rFonts w:cs="Arial"/>
          <w:szCs w:val="24"/>
        </w:rPr>
        <w:t xml:space="preserve">For initiations, the evidentiary standard is one of “sufficient evidence,” i.e. that there is adequate evidence  that circumvention has taken place. For the final determination, the threshold is one of positive evidence i.e. that there is substantial </w:t>
      </w:r>
      <w:r w:rsidR="00C80C1B" w:rsidRPr="00F732CE">
        <w:rPr>
          <w:rFonts w:cs="Arial"/>
          <w:szCs w:val="24"/>
        </w:rPr>
        <w:t>evidence</w:t>
      </w:r>
      <w:r w:rsidR="00C80C1B" w:rsidRPr="00F43B5F">
        <w:rPr>
          <w:rFonts w:cs="Arial"/>
          <w:b/>
          <w:bCs/>
          <w:szCs w:val="24"/>
        </w:rPr>
        <w:t xml:space="preserve"> </w:t>
      </w:r>
      <w:r w:rsidR="00C80C1B">
        <w:rPr>
          <w:rFonts w:cs="Arial"/>
          <w:szCs w:val="24"/>
        </w:rPr>
        <w:t xml:space="preserve">relating to the relevant factors that have to be satisfied,  that circumvention has taken place. </w:t>
      </w:r>
      <w:r>
        <w:rPr>
          <w:rFonts w:cs="Arial"/>
          <w:szCs w:val="24"/>
        </w:rPr>
        <w:t>Whether the standard of positive evidence has been met is one of the key issues that would be addressed by the European Court of Justice (ECJ) in any review of determinations.</w:t>
      </w:r>
    </w:p>
    <w:p w14:paraId="15FB1679" w14:textId="77777777" w:rsidR="00A21C01" w:rsidRPr="00D60DA7" w:rsidRDefault="00A21C01" w:rsidP="00A21C01">
      <w:pPr>
        <w:pStyle w:val="Heading4"/>
        <w:rPr>
          <w:b w:val="0"/>
        </w:rPr>
      </w:pPr>
      <w:r w:rsidRPr="00D60DA7">
        <w:t>Specific procedures for assembly operations</w:t>
      </w:r>
    </w:p>
    <w:p w14:paraId="5C99CD23" w14:textId="77777777" w:rsidR="00A21C01" w:rsidRDefault="00A21C01" w:rsidP="00A21C01">
      <w:pPr>
        <w:rPr>
          <w:rFonts w:cs="Arial"/>
          <w:szCs w:val="24"/>
        </w:rPr>
      </w:pPr>
      <w:r>
        <w:rPr>
          <w:rFonts w:cs="Arial"/>
          <w:szCs w:val="24"/>
        </w:rPr>
        <w:t>The EU has established specific procedures in relation to alleged cases of circumvention involving assembly operations, whether these are undertaken in the EU or in a third country. These procedures involve the following steps which must all hold for a finding of circumvention via assembly operations to be made.</w:t>
      </w:r>
    </w:p>
    <w:p w14:paraId="135FA5DD" w14:textId="0A6B9B18" w:rsidR="00A21C01" w:rsidRDefault="00A21C01" w:rsidP="00A21C01">
      <w:pPr>
        <w:rPr>
          <w:rFonts w:cs="Arial"/>
          <w:szCs w:val="24"/>
        </w:rPr>
      </w:pPr>
      <w:r>
        <w:rPr>
          <w:rFonts w:cs="Arial"/>
          <w:szCs w:val="24"/>
        </w:rPr>
        <w:t>Firstly, the o</w:t>
      </w:r>
      <w:r w:rsidRPr="00306B6F">
        <w:rPr>
          <w:rFonts w:cs="Arial"/>
          <w:szCs w:val="24"/>
        </w:rPr>
        <w:t>peration</w:t>
      </w:r>
      <w:r>
        <w:rPr>
          <w:rFonts w:cs="Arial"/>
          <w:szCs w:val="24"/>
        </w:rPr>
        <w:t xml:space="preserve"> must have</w:t>
      </w:r>
      <w:r w:rsidRPr="00306B6F">
        <w:rPr>
          <w:rFonts w:cs="Arial"/>
          <w:szCs w:val="24"/>
        </w:rPr>
        <w:t xml:space="preserve"> started or increased substantially when or just before imposition of duties and parts </w:t>
      </w:r>
      <w:r>
        <w:rPr>
          <w:rFonts w:cs="Arial"/>
          <w:szCs w:val="24"/>
        </w:rPr>
        <w:t>must be</w:t>
      </w:r>
      <w:r w:rsidRPr="00306B6F">
        <w:rPr>
          <w:rFonts w:cs="Arial"/>
          <w:szCs w:val="24"/>
        </w:rPr>
        <w:t xml:space="preserve"> from countries subject to measures</w:t>
      </w:r>
      <w:r>
        <w:rPr>
          <w:rFonts w:cs="Arial"/>
          <w:szCs w:val="24"/>
        </w:rPr>
        <w:t xml:space="preserve">. </w:t>
      </w:r>
    </w:p>
    <w:p w14:paraId="576AC336" w14:textId="6D051110" w:rsidR="00A21C01" w:rsidRDefault="00A21C01" w:rsidP="00A21C01">
      <w:pPr>
        <w:rPr>
          <w:rFonts w:cs="Arial"/>
          <w:szCs w:val="24"/>
        </w:rPr>
      </w:pPr>
      <w:r>
        <w:rPr>
          <w:rFonts w:cs="Arial"/>
          <w:szCs w:val="24"/>
        </w:rPr>
        <w:t>Secondly, parts must</w:t>
      </w:r>
      <w:r w:rsidRPr="00306B6F">
        <w:rPr>
          <w:rFonts w:cs="Arial"/>
          <w:szCs w:val="24"/>
        </w:rPr>
        <w:t xml:space="preserve"> constitute 60% or more of </w:t>
      </w:r>
      <w:r>
        <w:rPr>
          <w:rFonts w:cs="Arial"/>
          <w:szCs w:val="24"/>
        </w:rPr>
        <w:t xml:space="preserve">the total </w:t>
      </w:r>
      <w:r w:rsidRPr="00306B6F">
        <w:rPr>
          <w:rFonts w:cs="Arial"/>
          <w:szCs w:val="24"/>
        </w:rPr>
        <w:t>value of parts of</w:t>
      </w:r>
      <w:r>
        <w:rPr>
          <w:rFonts w:cs="Arial"/>
          <w:szCs w:val="24"/>
        </w:rPr>
        <w:t xml:space="preserve"> the</w:t>
      </w:r>
      <w:r w:rsidRPr="00306B6F">
        <w:rPr>
          <w:rFonts w:cs="Arial"/>
          <w:szCs w:val="24"/>
        </w:rPr>
        <w:t xml:space="preserve"> assembled product</w:t>
      </w:r>
      <w:r>
        <w:rPr>
          <w:rFonts w:cs="Arial"/>
          <w:szCs w:val="24"/>
        </w:rPr>
        <w:t xml:space="preserve"> AND the cost </w:t>
      </w:r>
      <w:r w:rsidRPr="00306B6F">
        <w:rPr>
          <w:rFonts w:cs="Arial"/>
          <w:szCs w:val="24"/>
        </w:rPr>
        <w:t>of assembl</w:t>
      </w:r>
      <w:r>
        <w:rPr>
          <w:rFonts w:cs="Arial"/>
          <w:szCs w:val="24"/>
        </w:rPr>
        <w:t>y</w:t>
      </w:r>
      <w:r w:rsidRPr="00306B6F">
        <w:rPr>
          <w:rFonts w:cs="Arial"/>
          <w:szCs w:val="24"/>
        </w:rPr>
        <w:t xml:space="preserve"> in </w:t>
      </w:r>
      <w:r>
        <w:rPr>
          <w:rFonts w:cs="Arial"/>
          <w:szCs w:val="24"/>
        </w:rPr>
        <w:t xml:space="preserve">the </w:t>
      </w:r>
      <w:r w:rsidRPr="00306B6F">
        <w:rPr>
          <w:rFonts w:cs="Arial"/>
          <w:szCs w:val="24"/>
        </w:rPr>
        <w:t>EU or third</w:t>
      </w:r>
      <w:r>
        <w:rPr>
          <w:rFonts w:cs="Arial"/>
          <w:szCs w:val="24"/>
        </w:rPr>
        <w:t xml:space="preserve"> </w:t>
      </w:r>
      <w:r w:rsidRPr="00306B6F">
        <w:rPr>
          <w:rFonts w:cs="Arial"/>
          <w:szCs w:val="24"/>
        </w:rPr>
        <w:t xml:space="preserve">party </w:t>
      </w:r>
      <w:r>
        <w:rPr>
          <w:rFonts w:cs="Arial"/>
          <w:szCs w:val="24"/>
        </w:rPr>
        <w:t xml:space="preserve">must </w:t>
      </w:r>
      <w:r w:rsidRPr="00306B6F">
        <w:rPr>
          <w:rFonts w:cs="Arial"/>
          <w:szCs w:val="24"/>
        </w:rPr>
        <w:t>account for 25% or less of</w:t>
      </w:r>
      <w:r>
        <w:rPr>
          <w:rFonts w:cs="Arial"/>
          <w:szCs w:val="24"/>
        </w:rPr>
        <w:t xml:space="preserve"> the </w:t>
      </w:r>
      <w:r w:rsidRPr="00306B6F">
        <w:rPr>
          <w:rFonts w:cs="Arial"/>
          <w:szCs w:val="24"/>
        </w:rPr>
        <w:t>production cost</w:t>
      </w:r>
      <w:r>
        <w:rPr>
          <w:rFonts w:cs="Arial"/>
          <w:szCs w:val="24"/>
        </w:rPr>
        <w:t>.</w:t>
      </w:r>
    </w:p>
    <w:p w14:paraId="35CFC3BD" w14:textId="6F1FDE57" w:rsidR="00A21C01" w:rsidRDefault="00A21C01" w:rsidP="00A21C01">
      <w:pPr>
        <w:rPr>
          <w:rFonts w:cs="Arial"/>
          <w:szCs w:val="24"/>
        </w:rPr>
      </w:pPr>
      <w:r>
        <w:rPr>
          <w:rFonts w:cs="Arial"/>
          <w:szCs w:val="24"/>
        </w:rPr>
        <w:t>According to the authorities, the second leg of the test is the more challenging of the two and requires a forensic analysis of financial accounts, based on requests for information and site visits.</w:t>
      </w:r>
    </w:p>
    <w:p w14:paraId="7E94EA52" w14:textId="40F75459" w:rsidR="00A21C01" w:rsidRDefault="00A21C01" w:rsidP="00A21C01">
      <w:pPr>
        <w:rPr>
          <w:rFonts w:cs="Arial"/>
          <w:szCs w:val="24"/>
        </w:rPr>
      </w:pPr>
      <w:r>
        <w:rPr>
          <w:rFonts w:cs="Arial"/>
          <w:szCs w:val="24"/>
        </w:rPr>
        <w:t xml:space="preserve">The additional tests relating to the value of parts and costs of assembly reflect, in part, the jurisprudence of the ECJ. The ECJ has had the opportunity in various cases dealing with customs administration to determine the scope of the application of General Rule 2(a) of </w:t>
      </w:r>
      <w:r w:rsidRPr="005D3C7D">
        <w:rPr>
          <w:rFonts w:cs="Arial"/>
          <w:szCs w:val="24"/>
        </w:rPr>
        <w:t xml:space="preserve">the </w:t>
      </w:r>
      <w:r w:rsidRPr="00C9279D">
        <w:rPr>
          <w:rFonts w:cs="Arial"/>
          <w:szCs w:val="24"/>
        </w:rPr>
        <w:t>Harmonised System (HS)</w:t>
      </w:r>
      <w:r w:rsidRPr="005D3C7D">
        <w:rPr>
          <w:rFonts w:cs="Arial"/>
          <w:szCs w:val="24"/>
        </w:rPr>
        <w:t>.</w:t>
      </w:r>
      <w:r w:rsidRPr="005D3C7D">
        <w:rPr>
          <w:rStyle w:val="FootnoteReference"/>
          <w:rFonts w:cs="Arial"/>
          <w:szCs w:val="24"/>
        </w:rPr>
        <w:footnoteReference w:id="76"/>
      </w:r>
      <w:r>
        <w:rPr>
          <w:rFonts w:cs="Arial"/>
          <w:szCs w:val="24"/>
        </w:rPr>
        <w:t xml:space="preserve"> This rule states that a</w:t>
      </w:r>
      <w:r w:rsidRPr="00306B6F">
        <w:rPr>
          <w:rFonts w:cs="Arial"/>
          <w:szCs w:val="24"/>
        </w:rPr>
        <w:t>ny reference in a heading to an article shall be taken to include a reference to that article incomplete or unfinished</w:t>
      </w:r>
      <w:r>
        <w:rPr>
          <w:rFonts w:cs="Arial"/>
          <w:szCs w:val="24"/>
        </w:rPr>
        <w:t>. The ECJ has determined that this rule only applies to consignments of parts presented to customs at the same time. This has raised the issue that a good could be shipped in consignments of various parts, staggered over various points in time, and thus could enter under different customs classifications to the ones covered by the trade remedy action, and could then be assembled. Moreover, the ECJ has also ruled that complex assembly processes (essentially those that involve more than simple manipulations of tools) confer origin. This aspect of the ECJ’s jurisprudence has led to concerns being raised by EC and EU member states that standard knock-down or partial knock-down kits, used extensively in value chains such as electronics, vehicles and automotive components and light transport equipment such as bicycles, would provide opportunities for circumvention. That is because these kits could be imported in different consignments and the processes of assembly could be characterised as involving complex operations.</w:t>
      </w:r>
      <w:r>
        <w:rPr>
          <w:rStyle w:val="FootnoteReference"/>
          <w:rFonts w:cs="Arial"/>
          <w:szCs w:val="24"/>
        </w:rPr>
        <w:footnoteReference w:id="77"/>
      </w:r>
      <w:r>
        <w:rPr>
          <w:rFonts w:cs="Arial"/>
          <w:szCs w:val="24"/>
        </w:rPr>
        <w:t xml:space="preserve"> Moreover, in this and other rulings, the ECJ has stated that assembly operations need to result in an “appreciable” increase in the value of the finished product, but it has declined to set a threshold.</w:t>
      </w:r>
      <w:r>
        <w:rPr>
          <w:rStyle w:val="FootnoteReference"/>
          <w:rFonts w:cs="Arial"/>
          <w:szCs w:val="24"/>
        </w:rPr>
        <w:footnoteReference w:id="78"/>
      </w:r>
      <w:r>
        <w:rPr>
          <w:rFonts w:cs="Arial"/>
          <w:szCs w:val="24"/>
        </w:rPr>
        <w:t xml:space="preserve"> This in turn leaves open the question as to what threshold would be suitable to insulate origin findings from legal challenge. </w:t>
      </w:r>
    </w:p>
    <w:p w14:paraId="31EE42A0" w14:textId="1B062F06" w:rsidR="00A21C01" w:rsidRPr="00D60DA7" w:rsidRDefault="00A21C01" w:rsidP="00A21C01">
      <w:pPr>
        <w:pStyle w:val="Heading4"/>
      </w:pPr>
      <w:r w:rsidRPr="00D60DA7">
        <w:t xml:space="preserve">Threshold tests versus </w:t>
      </w:r>
      <w:r>
        <w:t>r</w:t>
      </w:r>
      <w:r w:rsidRPr="00D60DA7">
        <w:t xml:space="preserve">ules of </w:t>
      </w:r>
      <w:r>
        <w:t>o</w:t>
      </w:r>
      <w:r w:rsidRPr="00D60DA7">
        <w:t>rigin</w:t>
      </w:r>
    </w:p>
    <w:p w14:paraId="1C7ED143" w14:textId="1C0F5B82" w:rsidR="00A21C01" w:rsidRDefault="00A21C01" w:rsidP="00A21C01">
      <w:pPr>
        <w:rPr>
          <w:rFonts w:cs="Arial"/>
          <w:szCs w:val="24"/>
        </w:rPr>
      </w:pPr>
      <w:r>
        <w:rPr>
          <w:rFonts w:cs="Arial"/>
          <w:szCs w:val="24"/>
        </w:rPr>
        <w:t xml:space="preserve">One question put to the EU at the WTO by members such as Hong Kong is why concerns regarding assembly, and thresholds specifically, cannot be handled under normal </w:t>
      </w:r>
      <w:r w:rsidRPr="002C5D3E">
        <w:rPr>
          <w:rFonts w:cs="Arial"/>
          <w:szCs w:val="24"/>
        </w:rPr>
        <w:t xml:space="preserve">arrangements for </w:t>
      </w:r>
      <w:r>
        <w:rPr>
          <w:rFonts w:cs="Arial"/>
          <w:szCs w:val="24"/>
        </w:rPr>
        <w:t>r</w:t>
      </w:r>
      <w:r w:rsidRPr="002C5D3E">
        <w:rPr>
          <w:rFonts w:cs="Arial"/>
          <w:szCs w:val="24"/>
        </w:rPr>
        <w:t xml:space="preserve">ules of </w:t>
      </w:r>
      <w:r>
        <w:rPr>
          <w:rFonts w:cs="Arial"/>
          <w:szCs w:val="24"/>
        </w:rPr>
        <w:t>o</w:t>
      </w:r>
      <w:r w:rsidRPr="002C5D3E">
        <w:rPr>
          <w:rFonts w:cs="Arial"/>
          <w:szCs w:val="24"/>
        </w:rPr>
        <w:t>rigin</w:t>
      </w:r>
      <w:r>
        <w:rPr>
          <w:rFonts w:cs="Arial"/>
          <w:szCs w:val="24"/>
        </w:rPr>
        <w:t>.</w:t>
      </w:r>
      <w:r>
        <w:rPr>
          <w:rStyle w:val="FootnoteReference"/>
          <w:rFonts w:cs="Arial"/>
          <w:szCs w:val="24"/>
        </w:rPr>
        <w:footnoteReference w:id="79"/>
      </w:r>
      <w:r w:rsidRPr="002C5D3E">
        <w:rPr>
          <w:rFonts w:cs="Arial"/>
          <w:szCs w:val="24"/>
        </w:rPr>
        <w:t xml:space="preserve"> Indeed, the thresholds specified in the additional tests </w:t>
      </w:r>
      <w:r>
        <w:rPr>
          <w:rFonts w:cs="Arial"/>
          <w:szCs w:val="24"/>
        </w:rPr>
        <w:t>have</w:t>
      </w:r>
      <w:r w:rsidRPr="002C5D3E">
        <w:rPr>
          <w:rFonts w:cs="Arial"/>
          <w:szCs w:val="24"/>
        </w:rPr>
        <w:t xml:space="preserve"> some similarity to thresholds for determining originating content under </w:t>
      </w:r>
      <w:r>
        <w:rPr>
          <w:rFonts w:cs="Arial"/>
          <w:szCs w:val="24"/>
        </w:rPr>
        <w:t xml:space="preserve">the </w:t>
      </w:r>
      <w:r w:rsidRPr="002C5D3E">
        <w:rPr>
          <w:rFonts w:cs="Arial"/>
          <w:szCs w:val="24"/>
        </w:rPr>
        <w:t xml:space="preserve">EU preferential </w:t>
      </w:r>
      <w:r>
        <w:rPr>
          <w:rFonts w:cs="Arial"/>
          <w:szCs w:val="24"/>
        </w:rPr>
        <w:t>r</w:t>
      </w:r>
      <w:r w:rsidRPr="002C5D3E">
        <w:rPr>
          <w:rFonts w:cs="Arial"/>
          <w:szCs w:val="24"/>
        </w:rPr>
        <w:t xml:space="preserve">ules of </w:t>
      </w:r>
      <w:r>
        <w:rPr>
          <w:rFonts w:cs="Arial"/>
          <w:szCs w:val="24"/>
        </w:rPr>
        <w:t>o</w:t>
      </w:r>
      <w:r w:rsidRPr="002C5D3E">
        <w:rPr>
          <w:rFonts w:cs="Arial"/>
          <w:szCs w:val="24"/>
        </w:rPr>
        <w:t>rigin that</w:t>
      </w:r>
      <w:r>
        <w:rPr>
          <w:rFonts w:cs="Arial"/>
          <w:szCs w:val="24"/>
        </w:rPr>
        <w:t xml:space="preserve"> apply in the EU’s FTAs. </w:t>
      </w:r>
    </w:p>
    <w:p w14:paraId="482EC8B6" w14:textId="5B470982" w:rsidR="00A21C01" w:rsidRDefault="00A21C01" w:rsidP="00A21C01">
      <w:pPr>
        <w:rPr>
          <w:rFonts w:cs="Arial"/>
          <w:szCs w:val="24"/>
        </w:rPr>
      </w:pPr>
      <w:r>
        <w:rPr>
          <w:rFonts w:cs="Arial"/>
          <w:szCs w:val="24"/>
        </w:rPr>
        <w:t>Given the range of product-specific rules, a formal comparison is outside the scope of this research. But, as a broad generalisation, the thresholds for the circumvention tests are on the more restrictive end of thresholds found in the EU’s preferential rules of origin, which is to say that the rules of origin, reflecting their product specificity, often allow for less than 60% of the value of parts to originate outside the country in question and more than 25% of the cost of production to arise from sources outside the country. Moreover, the threshold tests under circumvention rules do not explicitly refer to the concept of last substantial transformation, which is one of the key underpinnings of rules of origin.</w:t>
      </w:r>
    </w:p>
    <w:p w14:paraId="45D6D1FF" w14:textId="3A444CD9" w:rsidR="00A21C01" w:rsidRDefault="00A21C01" w:rsidP="00A21C01">
      <w:pPr>
        <w:rPr>
          <w:rFonts w:cs="Arial"/>
          <w:szCs w:val="24"/>
        </w:rPr>
      </w:pPr>
      <w:r>
        <w:rPr>
          <w:rFonts w:cs="Arial"/>
          <w:szCs w:val="24"/>
        </w:rPr>
        <w:t xml:space="preserve">The more restrictive application of threshold tests, including their lack of </w:t>
      </w:r>
      <w:r w:rsidRPr="00C9279D">
        <w:rPr>
          <w:rFonts w:cs="Arial"/>
          <w:szCs w:val="24"/>
        </w:rPr>
        <w:t>product</w:t>
      </w:r>
      <w:r>
        <w:rPr>
          <w:rFonts w:cs="Arial"/>
          <w:szCs w:val="24"/>
        </w:rPr>
        <w:t xml:space="preserve"> </w:t>
      </w:r>
      <w:r w:rsidRPr="00C9279D">
        <w:rPr>
          <w:rFonts w:cs="Arial"/>
          <w:szCs w:val="24"/>
        </w:rPr>
        <w:t>specificity</w:t>
      </w:r>
      <w:r w:rsidRPr="00295AF0">
        <w:rPr>
          <w:rFonts w:cs="Arial"/>
          <w:szCs w:val="24"/>
        </w:rPr>
        <w:t>, likely reflects a number of factors. Firstly, from an institutional</w:t>
      </w:r>
      <w:r>
        <w:rPr>
          <w:rFonts w:cs="Arial"/>
          <w:szCs w:val="24"/>
        </w:rPr>
        <w:t xml:space="preserve"> perspective, trade remedy authorities operate within an informationally constrained environment and with limitations to capacity. Moreover, their concern is primarily with limiting injury to industry rather than promoting preferential trade liberalisation. </w:t>
      </w:r>
    </w:p>
    <w:p w14:paraId="5D430258" w14:textId="77777777" w:rsidR="00A21C01" w:rsidRDefault="00A21C01" w:rsidP="00A21C01">
      <w:pPr>
        <w:rPr>
          <w:rFonts w:cs="Arial"/>
          <w:szCs w:val="24"/>
        </w:rPr>
      </w:pPr>
      <w:r>
        <w:rPr>
          <w:rFonts w:cs="Arial"/>
          <w:szCs w:val="24"/>
        </w:rPr>
        <w:t>Secondly, as documented in relation to the discussion on knock-down kits, there are opportunities for circumventors to rely on the fragmented nature of modern value chains to characterise their operations as genuine assembly operations. Indeed, in a context of highly fragmented value chains, the substantial transformation criterion could be met with limited value added in the country in question.</w:t>
      </w:r>
      <w:r>
        <w:rPr>
          <w:rStyle w:val="FootnoteReference"/>
          <w:rFonts w:cs="Arial"/>
          <w:szCs w:val="24"/>
        </w:rPr>
        <w:footnoteReference w:id="80"/>
      </w:r>
      <w:r>
        <w:rPr>
          <w:rFonts w:cs="Arial"/>
          <w:szCs w:val="24"/>
        </w:rPr>
        <w:t xml:space="preserve"> That in turn could favour the use of more restrictive thresholds if the focus is on limiting injury to domestic industry rather than encouraging processing across preferential FTAs.</w:t>
      </w:r>
    </w:p>
    <w:p w14:paraId="6EBDDA95" w14:textId="1D94EB1E" w:rsidR="00A21C01" w:rsidRDefault="00A21C01" w:rsidP="00A21C01">
      <w:pPr>
        <w:rPr>
          <w:rFonts w:cs="Arial"/>
          <w:szCs w:val="24"/>
        </w:rPr>
      </w:pPr>
      <w:r>
        <w:rPr>
          <w:rFonts w:cs="Arial"/>
          <w:szCs w:val="24"/>
        </w:rPr>
        <w:t xml:space="preserve">One of the implications of this analysis is that the threshold approach may reflect an approach to risk that attaches more weight to the containment of circumvention than the risk of mistakenly capturing a product that is not the result of  circumvention activity, i.e. a toleration of false positives if this can limit the risk of false negatives. To the extent that the former type of occurrence generates broader costs, and may indeed undermine some of the objectives sought by broader trade liberalisation efforts, this reinforces the importance of sharpening the analytical toolkit in a way that differentiates between circumvention on one hand and genuine changes to trade on the other. </w:t>
      </w:r>
    </w:p>
    <w:p w14:paraId="0477868F" w14:textId="65A9DFE0" w:rsidR="00A21C01" w:rsidRPr="00F21AB1" w:rsidRDefault="00A21C01" w:rsidP="0B87AE61">
      <w:pPr>
        <w:pStyle w:val="Heading3"/>
        <w:rPr>
          <w:rFonts w:cs="Arial"/>
          <w:b w:val="0"/>
        </w:rPr>
      </w:pPr>
      <w:bookmarkStart w:id="140" w:name="_Toc2036415039"/>
      <w:bookmarkStart w:id="141" w:name="_Toc118465305"/>
      <w:r w:rsidRPr="0B87AE61">
        <w:rPr>
          <w:rFonts w:cs="Arial"/>
        </w:rPr>
        <w:t>Examples of cases highlighting data and information gathered to meet the tests of the legal framework</w:t>
      </w:r>
      <w:bookmarkEnd w:id="140"/>
      <w:bookmarkEnd w:id="141"/>
    </w:p>
    <w:p w14:paraId="7871DC4F" w14:textId="7B757433" w:rsidR="00A21C01" w:rsidRPr="00C00376" w:rsidRDefault="00A21C01" w:rsidP="00A21C01">
      <w:pPr>
        <w:rPr>
          <w:rFonts w:cs="Arial"/>
          <w:szCs w:val="24"/>
        </w:rPr>
      </w:pPr>
      <w:r w:rsidRPr="00C00376">
        <w:rPr>
          <w:rFonts w:cs="Arial"/>
          <w:szCs w:val="24"/>
        </w:rPr>
        <w:t>In view of the challenges associated with the detection of circumvention, and more specifically of discriminating between circumvention and other factors affecting trade in the products conce</w:t>
      </w:r>
      <w:r>
        <w:rPr>
          <w:rFonts w:cs="Arial"/>
          <w:szCs w:val="24"/>
        </w:rPr>
        <w:t>rned, it is opportune to consider in more detail the data and information gathered by the authorities in the context of specific cases. We present some observations below based on a range of cases.</w:t>
      </w:r>
    </w:p>
    <w:p w14:paraId="431DC407" w14:textId="32246885" w:rsidR="00A21C01" w:rsidRDefault="00A21C01" w:rsidP="00A21C01">
      <w:pPr>
        <w:pStyle w:val="Heading4"/>
      </w:pPr>
      <w:r w:rsidRPr="4DE99F04">
        <w:rPr>
          <w:rFonts w:cs="Arial"/>
        </w:rPr>
        <w:t>Changes in the pattern of trade</w:t>
      </w:r>
    </w:p>
    <w:p w14:paraId="64961358" w14:textId="70FD9F16" w:rsidR="00A21C01" w:rsidRPr="008339D6" w:rsidRDefault="00A21C01" w:rsidP="00A21C01">
      <w:pPr>
        <w:rPr>
          <w:rFonts w:cs="Arial"/>
          <w:szCs w:val="24"/>
        </w:rPr>
      </w:pPr>
      <w:r w:rsidRPr="00B60B96">
        <w:rPr>
          <w:rFonts w:cs="Arial"/>
          <w:i/>
          <w:iCs/>
          <w:szCs w:val="24"/>
        </w:rPr>
        <w:t xml:space="preserve">Peroxosulphates imports from </w:t>
      </w:r>
      <w:r w:rsidR="002406F0">
        <w:rPr>
          <w:rFonts w:cs="Arial"/>
          <w:i/>
          <w:iCs/>
          <w:szCs w:val="24"/>
        </w:rPr>
        <w:t>PRC</w:t>
      </w:r>
      <w:r w:rsidRPr="008339D6">
        <w:rPr>
          <w:rFonts w:cs="Arial"/>
          <w:i/>
          <w:iCs/>
          <w:szCs w:val="24"/>
        </w:rPr>
        <w:t xml:space="preserve"> (2020)</w:t>
      </w:r>
      <w:r>
        <w:rPr>
          <w:rFonts w:cs="Arial"/>
          <w:i/>
          <w:iCs/>
          <w:szCs w:val="24"/>
        </w:rPr>
        <w:t xml:space="preserve">, Case Number R707. </w:t>
      </w:r>
      <w:r>
        <w:rPr>
          <w:rFonts w:cs="Arial"/>
          <w:szCs w:val="24"/>
        </w:rPr>
        <w:t>The</w:t>
      </w:r>
      <w:r w:rsidRPr="008339D6">
        <w:rPr>
          <w:rFonts w:cs="Arial"/>
          <w:szCs w:val="24"/>
        </w:rPr>
        <w:t xml:space="preserve"> EC observed </w:t>
      </w:r>
      <w:r>
        <w:rPr>
          <w:rFonts w:cs="Arial"/>
          <w:szCs w:val="24"/>
        </w:rPr>
        <w:t xml:space="preserve">a change in the pattern of trade: </w:t>
      </w:r>
      <w:r w:rsidRPr="008339D6">
        <w:rPr>
          <w:rFonts w:cs="Arial"/>
          <w:szCs w:val="24"/>
        </w:rPr>
        <w:t xml:space="preserve">imports from a company </w:t>
      </w:r>
      <w:r>
        <w:rPr>
          <w:rFonts w:cs="Arial"/>
          <w:szCs w:val="24"/>
        </w:rPr>
        <w:t xml:space="preserve">that had been the subject of a </w:t>
      </w:r>
      <w:r w:rsidRPr="008339D6">
        <w:rPr>
          <w:rFonts w:cs="Arial"/>
          <w:szCs w:val="24"/>
        </w:rPr>
        <w:t xml:space="preserve">lower </w:t>
      </w:r>
      <w:r>
        <w:rPr>
          <w:rFonts w:cs="Arial"/>
          <w:szCs w:val="24"/>
        </w:rPr>
        <w:t xml:space="preserve">anti-dumping </w:t>
      </w:r>
      <w:r w:rsidRPr="008339D6">
        <w:rPr>
          <w:rFonts w:cs="Arial"/>
          <w:szCs w:val="24"/>
        </w:rPr>
        <w:t>duty rate in the original measures had increased substantially</w:t>
      </w:r>
      <w:r>
        <w:rPr>
          <w:rFonts w:cs="Arial"/>
          <w:szCs w:val="24"/>
        </w:rPr>
        <w:t>, suggesting channelling from other producers subject to higher rates</w:t>
      </w:r>
      <w:r w:rsidRPr="008339D6">
        <w:rPr>
          <w:rFonts w:cs="Arial"/>
          <w:szCs w:val="24"/>
        </w:rPr>
        <w:t xml:space="preserve">. This was based on customs declarations by member states </w:t>
      </w:r>
      <w:r>
        <w:rPr>
          <w:rFonts w:cs="Arial"/>
          <w:szCs w:val="24"/>
        </w:rPr>
        <w:t>which were</w:t>
      </w:r>
      <w:r w:rsidRPr="008339D6">
        <w:rPr>
          <w:rFonts w:cs="Arial"/>
          <w:szCs w:val="24"/>
        </w:rPr>
        <w:t xml:space="preserve"> recorded in </w:t>
      </w:r>
      <w:r>
        <w:rPr>
          <w:rFonts w:cs="Arial"/>
          <w:szCs w:val="24"/>
        </w:rPr>
        <w:t xml:space="preserve">the EU’s </w:t>
      </w:r>
      <w:r w:rsidRPr="008339D6">
        <w:rPr>
          <w:rFonts w:cs="Arial"/>
          <w:szCs w:val="24"/>
        </w:rPr>
        <w:t>TARIC database and</w:t>
      </w:r>
      <w:r>
        <w:rPr>
          <w:rFonts w:cs="Arial"/>
          <w:szCs w:val="24"/>
        </w:rPr>
        <w:t xml:space="preserve"> on</w:t>
      </w:r>
      <w:r w:rsidRPr="008339D6">
        <w:rPr>
          <w:rFonts w:cs="Arial"/>
          <w:szCs w:val="24"/>
        </w:rPr>
        <w:t xml:space="preserve"> information in the EC’s </w:t>
      </w:r>
      <w:r>
        <w:rPr>
          <w:rFonts w:cs="Arial"/>
          <w:szCs w:val="24"/>
        </w:rPr>
        <w:t>possession</w:t>
      </w:r>
      <w:r w:rsidRPr="008339D6">
        <w:rPr>
          <w:rFonts w:cs="Arial"/>
          <w:szCs w:val="24"/>
        </w:rPr>
        <w:t xml:space="preserve"> that the company in question had in</w:t>
      </w:r>
      <w:r>
        <w:rPr>
          <w:rFonts w:cs="Arial"/>
          <w:szCs w:val="24"/>
        </w:rPr>
        <w:t xml:space="preserve"> </w:t>
      </w:r>
      <w:r w:rsidRPr="008339D6">
        <w:rPr>
          <w:rFonts w:cs="Arial"/>
          <w:szCs w:val="24"/>
        </w:rPr>
        <w:t xml:space="preserve">fact ceased production </w:t>
      </w:r>
      <w:r>
        <w:rPr>
          <w:rFonts w:cs="Arial"/>
          <w:szCs w:val="24"/>
        </w:rPr>
        <w:t>as at</w:t>
      </w:r>
      <w:r w:rsidRPr="008339D6">
        <w:rPr>
          <w:rFonts w:cs="Arial"/>
          <w:szCs w:val="24"/>
        </w:rPr>
        <w:t xml:space="preserve"> 31</w:t>
      </w:r>
      <w:r>
        <w:rPr>
          <w:rFonts w:cs="Arial"/>
          <w:szCs w:val="24"/>
        </w:rPr>
        <w:t xml:space="preserve"> December </w:t>
      </w:r>
      <w:r w:rsidRPr="008339D6">
        <w:rPr>
          <w:rFonts w:cs="Arial"/>
          <w:szCs w:val="24"/>
        </w:rPr>
        <w:t>2017</w:t>
      </w:r>
      <w:r>
        <w:rPr>
          <w:rFonts w:cs="Arial"/>
          <w:szCs w:val="24"/>
        </w:rPr>
        <w:t>.</w:t>
      </w:r>
      <w:r>
        <w:rPr>
          <w:rStyle w:val="FootnoteReference"/>
          <w:rFonts w:cs="Arial"/>
          <w:szCs w:val="24"/>
        </w:rPr>
        <w:footnoteReference w:id="81"/>
      </w:r>
    </w:p>
    <w:p w14:paraId="6C7108EF" w14:textId="7CDD5415" w:rsidR="00A21C01" w:rsidRDefault="00A21C01" w:rsidP="00A21C01">
      <w:pPr>
        <w:rPr>
          <w:rFonts w:cs="Arial"/>
          <w:szCs w:val="24"/>
        </w:rPr>
      </w:pPr>
      <w:r w:rsidRPr="008339D6">
        <w:rPr>
          <w:rFonts w:cs="Arial"/>
          <w:i/>
          <w:iCs/>
          <w:szCs w:val="24"/>
        </w:rPr>
        <w:t xml:space="preserve">Certain aluminium foil imports from </w:t>
      </w:r>
      <w:r w:rsidR="002406F0">
        <w:rPr>
          <w:rFonts w:cs="Arial"/>
          <w:i/>
          <w:iCs/>
          <w:szCs w:val="24"/>
        </w:rPr>
        <w:t>PRC</w:t>
      </w:r>
      <w:r w:rsidRPr="008339D6">
        <w:rPr>
          <w:rFonts w:cs="Arial"/>
          <w:i/>
          <w:iCs/>
          <w:szCs w:val="24"/>
        </w:rPr>
        <w:t xml:space="preserve"> (2020)</w:t>
      </w:r>
      <w:r>
        <w:rPr>
          <w:rFonts w:cs="Arial"/>
          <w:i/>
          <w:iCs/>
          <w:szCs w:val="24"/>
        </w:rPr>
        <w:t>, Case Number R 646</w:t>
      </w:r>
      <w:r>
        <w:rPr>
          <w:rFonts w:cs="Arial"/>
          <w:szCs w:val="24"/>
        </w:rPr>
        <w:t xml:space="preserve"> – a </w:t>
      </w:r>
      <w:r w:rsidRPr="008339D6">
        <w:rPr>
          <w:rFonts w:cs="Arial"/>
          <w:szCs w:val="24"/>
        </w:rPr>
        <w:t>third</w:t>
      </w:r>
      <w:r>
        <w:rPr>
          <w:rFonts w:cs="Arial"/>
          <w:szCs w:val="24"/>
        </w:rPr>
        <w:t>-</w:t>
      </w:r>
      <w:r w:rsidRPr="008339D6">
        <w:rPr>
          <w:rFonts w:cs="Arial"/>
          <w:szCs w:val="24"/>
        </w:rPr>
        <w:t>party assembly</w:t>
      </w:r>
      <w:r>
        <w:rPr>
          <w:rFonts w:cs="Arial"/>
          <w:szCs w:val="24"/>
        </w:rPr>
        <w:t xml:space="preserve"> case</w:t>
      </w:r>
      <w:r w:rsidRPr="008339D6">
        <w:rPr>
          <w:rFonts w:cs="Arial"/>
          <w:szCs w:val="24"/>
        </w:rPr>
        <w:t xml:space="preserve">. Exports of foil from </w:t>
      </w:r>
      <w:r w:rsidR="002406F0">
        <w:rPr>
          <w:rFonts w:cs="Arial"/>
          <w:szCs w:val="24"/>
        </w:rPr>
        <w:t>PRC</w:t>
      </w:r>
      <w:r w:rsidRPr="008339D6">
        <w:rPr>
          <w:rFonts w:cs="Arial"/>
          <w:szCs w:val="24"/>
        </w:rPr>
        <w:t xml:space="preserve"> ceased</w:t>
      </w:r>
      <w:r>
        <w:rPr>
          <w:rFonts w:cs="Arial"/>
          <w:szCs w:val="24"/>
        </w:rPr>
        <w:t xml:space="preserve"> following the imposition of anti-dumping duties</w:t>
      </w:r>
      <w:r w:rsidRPr="008339D6">
        <w:rPr>
          <w:rFonts w:cs="Arial"/>
          <w:szCs w:val="24"/>
        </w:rPr>
        <w:t xml:space="preserve">, while </w:t>
      </w:r>
      <w:r>
        <w:rPr>
          <w:rFonts w:cs="Arial"/>
          <w:szCs w:val="24"/>
        </w:rPr>
        <w:t xml:space="preserve">Chinese </w:t>
      </w:r>
      <w:r w:rsidRPr="008339D6">
        <w:rPr>
          <w:rFonts w:cs="Arial"/>
          <w:szCs w:val="24"/>
        </w:rPr>
        <w:t>exports of stock for processing to Thailand and exports from Thailand to</w:t>
      </w:r>
      <w:r>
        <w:rPr>
          <w:rFonts w:cs="Arial"/>
          <w:szCs w:val="24"/>
        </w:rPr>
        <w:t xml:space="preserve"> the</w:t>
      </w:r>
      <w:r w:rsidRPr="008339D6">
        <w:rPr>
          <w:rFonts w:cs="Arial"/>
          <w:szCs w:val="24"/>
        </w:rPr>
        <w:t xml:space="preserve"> EU</w:t>
      </w:r>
      <w:r>
        <w:rPr>
          <w:rFonts w:cs="Arial"/>
          <w:szCs w:val="24"/>
        </w:rPr>
        <w:t xml:space="preserve"> Member States</w:t>
      </w:r>
      <w:r w:rsidRPr="008339D6">
        <w:rPr>
          <w:rFonts w:cs="Arial"/>
          <w:szCs w:val="24"/>
        </w:rPr>
        <w:t xml:space="preserve"> of</w:t>
      </w:r>
      <w:r>
        <w:rPr>
          <w:rFonts w:cs="Arial"/>
          <w:szCs w:val="24"/>
        </w:rPr>
        <w:t xml:space="preserve"> the</w:t>
      </w:r>
      <w:r w:rsidRPr="008339D6">
        <w:rPr>
          <w:rFonts w:cs="Arial"/>
          <w:szCs w:val="24"/>
        </w:rPr>
        <w:t xml:space="preserve"> subsidiary of </w:t>
      </w:r>
      <w:r>
        <w:rPr>
          <w:rFonts w:cs="Arial"/>
          <w:szCs w:val="24"/>
        </w:rPr>
        <w:t xml:space="preserve">the </w:t>
      </w:r>
      <w:r w:rsidRPr="008339D6">
        <w:rPr>
          <w:rFonts w:cs="Arial"/>
          <w:szCs w:val="24"/>
        </w:rPr>
        <w:t xml:space="preserve">targeted Chinese company increased. </w:t>
      </w:r>
      <w:r>
        <w:rPr>
          <w:rFonts w:cs="Arial"/>
          <w:szCs w:val="24"/>
        </w:rPr>
        <w:t>The d</w:t>
      </w:r>
      <w:r w:rsidRPr="008339D6">
        <w:rPr>
          <w:rFonts w:cs="Arial"/>
          <w:szCs w:val="24"/>
        </w:rPr>
        <w:t>ata sources were EU internal 14(6) database on company information, Eurostat and Global Trade Atlas</w:t>
      </w:r>
      <w:r>
        <w:rPr>
          <w:rFonts w:cs="Arial"/>
          <w:szCs w:val="24"/>
        </w:rPr>
        <w:t>.</w:t>
      </w:r>
      <w:r>
        <w:rPr>
          <w:rStyle w:val="FootnoteReference"/>
          <w:rFonts w:cs="Arial"/>
          <w:szCs w:val="24"/>
        </w:rPr>
        <w:footnoteReference w:id="82"/>
      </w:r>
    </w:p>
    <w:p w14:paraId="47709D3A" w14:textId="709B55FC" w:rsidR="00A21C01" w:rsidRDefault="00A21C01" w:rsidP="00A21C01">
      <w:pPr>
        <w:rPr>
          <w:rFonts w:cs="Arial"/>
          <w:szCs w:val="24"/>
        </w:rPr>
      </w:pPr>
      <w:r w:rsidRPr="008339D6">
        <w:rPr>
          <w:rFonts w:cs="Arial"/>
          <w:i/>
          <w:iCs/>
          <w:szCs w:val="24"/>
        </w:rPr>
        <w:t>Molybd</w:t>
      </w:r>
      <w:r>
        <w:rPr>
          <w:rFonts w:cs="Arial"/>
          <w:i/>
          <w:iCs/>
          <w:szCs w:val="24"/>
        </w:rPr>
        <w:t>e</w:t>
      </w:r>
      <w:r w:rsidRPr="008339D6">
        <w:rPr>
          <w:rFonts w:cs="Arial"/>
          <w:i/>
          <w:iCs/>
          <w:szCs w:val="24"/>
        </w:rPr>
        <w:t xml:space="preserve">num wire imports from </w:t>
      </w:r>
      <w:r w:rsidR="002406F0">
        <w:rPr>
          <w:rFonts w:cs="Arial"/>
          <w:i/>
          <w:iCs/>
          <w:szCs w:val="24"/>
        </w:rPr>
        <w:t>PRC</w:t>
      </w:r>
      <w:r w:rsidRPr="008339D6">
        <w:rPr>
          <w:rFonts w:cs="Arial"/>
          <w:i/>
          <w:iCs/>
          <w:szCs w:val="24"/>
        </w:rPr>
        <w:t xml:space="preserve"> (2015 – third extension of circumvention)</w:t>
      </w:r>
      <w:r>
        <w:rPr>
          <w:rFonts w:cs="Arial"/>
          <w:i/>
          <w:iCs/>
          <w:szCs w:val="24"/>
        </w:rPr>
        <w:t>, Case Number R525</w:t>
      </w:r>
      <w:r>
        <w:rPr>
          <w:rFonts w:cs="Arial"/>
          <w:szCs w:val="24"/>
        </w:rPr>
        <w:t xml:space="preserve"> –</w:t>
      </w:r>
      <w:r w:rsidRPr="008339D6">
        <w:rPr>
          <w:rFonts w:cs="Arial"/>
          <w:szCs w:val="24"/>
        </w:rPr>
        <w:t xml:space="preserve"> </w:t>
      </w:r>
      <w:r>
        <w:rPr>
          <w:rFonts w:cs="Arial"/>
          <w:szCs w:val="24"/>
        </w:rPr>
        <w:t xml:space="preserve">a case involving the </w:t>
      </w:r>
      <w:r w:rsidRPr="008339D6">
        <w:rPr>
          <w:rFonts w:cs="Arial"/>
          <w:szCs w:val="24"/>
        </w:rPr>
        <w:t>slight modification</w:t>
      </w:r>
      <w:r>
        <w:rPr>
          <w:rFonts w:cs="Arial"/>
          <w:szCs w:val="24"/>
        </w:rPr>
        <w:t xml:space="preserve"> of products</w:t>
      </w:r>
      <w:r w:rsidRPr="008339D6">
        <w:rPr>
          <w:rFonts w:cs="Arial"/>
          <w:szCs w:val="24"/>
        </w:rPr>
        <w:t xml:space="preserve">. </w:t>
      </w:r>
      <w:r>
        <w:rPr>
          <w:rFonts w:cs="Arial"/>
          <w:szCs w:val="24"/>
        </w:rPr>
        <w:t>The i</w:t>
      </w:r>
      <w:r w:rsidRPr="008339D6">
        <w:rPr>
          <w:rFonts w:cs="Arial"/>
          <w:szCs w:val="24"/>
        </w:rPr>
        <w:t>nitial duties imposed on wire containing at least 99.5% molybd</w:t>
      </w:r>
      <w:r>
        <w:rPr>
          <w:rFonts w:cs="Arial"/>
          <w:szCs w:val="24"/>
        </w:rPr>
        <w:t>e</w:t>
      </w:r>
      <w:r w:rsidRPr="008339D6">
        <w:rPr>
          <w:rFonts w:cs="Arial"/>
          <w:szCs w:val="24"/>
        </w:rPr>
        <w:t xml:space="preserve">num, with </w:t>
      </w:r>
      <w:r>
        <w:rPr>
          <w:rFonts w:cs="Arial"/>
          <w:szCs w:val="24"/>
        </w:rPr>
        <w:t xml:space="preserve">a </w:t>
      </w:r>
      <w:r w:rsidRPr="008339D6">
        <w:rPr>
          <w:rFonts w:cs="Arial"/>
          <w:szCs w:val="24"/>
        </w:rPr>
        <w:t xml:space="preserve">diameter </w:t>
      </w:r>
      <w:r>
        <w:rPr>
          <w:rFonts w:cs="Arial"/>
          <w:szCs w:val="24"/>
        </w:rPr>
        <w:t xml:space="preserve">of </w:t>
      </w:r>
      <w:r w:rsidRPr="008339D6">
        <w:rPr>
          <w:rFonts w:cs="Arial"/>
          <w:szCs w:val="24"/>
        </w:rPr>
        <w:t>between 1.35m</w:t>
      </w:r>
      <w:r>
        <w:rPr>
          <w:rFonts w:cs="Arial"/>
          <w:szCs w:val="24"/>
        </w:rPr>
        <w:t>m</w:t>
      </w:r>
      <w:r w:rsidRPr="008339D6">
        <w:rPr>
          <w:rFonts w:cs="Arial"/>
          <w:szCs w:val="24"/>
        </w:rPr>
        <w:t xml:space="preserve"> and 4.0</w:t>
      </w:r>
      <w:r>
        <w:rPr>
          <w:rFonts w:cs="Arial"/>
          <w:szCs w:val="24"/>
        </w:rPr>
        <w:t>mm, were</w:t>
      </w:r>
      <w:r w:rsidRPr="008339D6">
        <w:rPr>
          <w:rFonts w:cs="Arial"/>
          <w:szCs w:val="24"/>
        </w:rPr>
        <w:t xml:space="preserve"> extended to wires with 97.5% molybdenum an</w:t>
      </w:r>
      <w:r>
        <w:rPr>
          <w:rFonts w:cs="Arial"/>
          <w:szCs w:val="24"/>
        </w:rPr>
        <w:t>d</w:t>
      </w:r>
      <w:r w:rsidRPr="008339D6">
        <w:rPr>
          <w:rFonts w:cs="Arial"/>
          <w:szCs w:val="24"/>
        </w:rPr>
        <w:t xml:space="preserve"> </w:t>
      </w:r>
      <w:r>
        <w:rPr>
          <w:rFonts w:cs="Arial"/>
          <w:szCs w:val="24"/>
        </w:rPr>
        <w:t xml:space="preserve">a </w:t>
      </w:r>
      <w:r w:rsidRPr="008339D6">
        <w:rPr>
          <w:rFonts w:cs="Arial"/>
          <w:szCs w:val="24"/>
        </w:rPr>
        <w:t xml:space="preserve">diameter </w:t>
      </w:r>
      <w:r>
        <w:rPr>
          <w:rFonts w:cs="Arial"/>
          <w:szCs w:val="24"/>
        </w:rPr>
        <w:t xml:space="preserve">of </w:t>
      </w:r>
      <w:r w:rsidRPr="008339D6">
        <w:rPr>
          <w:rFonts w:cs="Arial"/>
          <w:szCs w:val="24"/>
        </w:rPr>
        <w:t>between 4</w:t>
      </w:r>
      <w:r>
        <w:rPr>
          <w:rFonts w:cs="Arial"/>
          <w:szCs w:val="24"/>
        </w:rPr>
        <w:t>mm</w:t>
      </w:r>
      <w:r w:rsidRPr="008339D6">
        <w:rPr>
          <w:rFonts w:cs="Arial"/>
          <w:szCs w:val="24"/>
        </w:rPr>
        <w:t xml:space="preserve"> and 11mm. </w:t>
      </w:r>
      <w:r>
        <w:rPr>
          <w:rFonts w:cs="Arial"/>
          <w:szCs w:val="24"/>
        </w:rPr>
        <w:t>The decision was on</w:t>
      </w:r>
      <w:r w:rsidRPr="008339D6">
        <w:rPr>
          <w:rFonts w:cs="Arial"/>
          <w:szCs w:val="24"/>
        </w:rPr>
        <w:t xml:space="preserve"> the basis of </w:t>
      </w:r>
      <w:r>
        <w:rPr>
          <w:rFonts w:cs="Arial"/>
          <w:szCs w:val="24"/>
        </w:rPr>
        <w:t xml:space="preserve">the EU’s internal </w:t>
      </w:r>
      <w:r w:rsidRPr="008339D6">
        <w:rPr>
          <w:rFonts w:cs="Arial"/>
          <w:szCs w:val="24"/>
        </w:rPr>
        <w:t xml:space="preserve">14(6) database </w:t>
      </w:r>
      <w:r>
        <w:rPr>
          <w:rFonts w:cs="Arial"/>
          <w:szCs w:val="24"/>
        </w:rPr>
        <w:t xml:space="preserve">which </w:t>
      </w:r>
      <w:r w:rsidRPr="008339D6">
        <w:rPr>
          <w:rFonts w:cs="Arial"/>
          <w:szCs w:val="24"/>
        </w:rPr>
        <w:t>show</w:t>
      </w:r>
      <w:r>
        <w:rPr>
          <w:rFonts w:cs="Arial"/>
          <w:szCs w:val="24"/>
        </w:rPr>
        <w:t>ed</w:t>
      </w:r>
      <w:r w:rsidRPr="008339D6">
        <w:rPr>
          <w:rFonts w:cs="Arial"/>
          <w:szCs w:val="24"/>
        </w:rPr>
        <w:t xml:space="preserve"> </w:t>
      </w:r>
      <w:r>
        <w:rPr>
          <w:rFonts w:cs="Arial"/>
          <w:szCs w:val="24"/>
        </w:rPr>
        <w:t xml:space="preserve">the </w:t>
      </w:r>
      <w:r w:rsidRPr="008339D6">
        <w:rPr>
          <w:rFonts w:cs="Arial"/>
          <w:szCs w:val="24"/>
        </w:rPr>
        <w:t xml:space="preserve">disappearance of imports of </w:t>
      </w:r>
      <w:r>
        <w:rPr>
          <w:rFonts w:cs="Arial"/>
          <w:szCs w:val="24"/>
        </w:rPr>
        <w:t>the</w:t>
      </w:r>
      <w:r w:rsidRPr="008339D6">
        <w:rPr>
          <w:rFonts w:cs="Arial"/>
          <w:szCs w:val="24"/>
        </w:rPr>
        <w:t xml:space="preserve"> targeted product from </w:t>
      </w:r>
      <w:r>
        <w:rPr>
          <w:rFonts w:cs="Arial"/>
          <w:szCs w:val="24"/>
        </w:rPr>
        <w:t>the</w:t>
      </w:r>
      <w:r w:rsidRPr="008339D6">
        <w:rPr>
          <w:rFonts w:cs="Arial"/>
          <w:szCs w:val="24"/>
        </w:rPr>
        <w:t xml:space="preserve"> time of imposition and </w:t>
      </w:r>
      <w:r>
        <w:rPr>
          <w:rFonts w:cs="Arial"/>
          <w:szCs w:val="24"/>
        </w:rPr>
        <w:t xml:space="preserve">an </w:t>
      </w:r>
      <w:r w:rsidRPr="008339D6">
        <w:rPr>
          <w:rFonts w:cs="Arial"/>
          <w:szCs w:val="24"/>
        </w:rPr>
        <w:t>increase in variants containing lesser amounts of molybdenum</w:t>
      </w:r>
      <w:r>
        <w:rPr>
          <w:rFonts w:cs="Arial"/>
          <w:szCs w:val="24"/>
        </w:rPr>
        <w:t>.</w:t>
      </w:r>
      <w:r>
        <w:rPr>
          <w:rStyle w:val="FootnoteReference"/>
          <w:rFonts w:cs="Arial"/>
          <w:szCs w:val="24"/>
        </w:rPr>
        <w:footnoteReference w:id="83"/>
      </w:r>
    </w:p>
    <w:p w14:paraId="464CA332" w14:textId="0709D9AC" w:rsidR="00A21C01" w:rsidRDefault="00A21C01" w:rsidP="00A21C01">
      <w:pPr>
        <w:rPr>
          <w:rFonts w:cs="Arial"/>
          <w:szCs w:val="24"/>
        </w:rPr>
      </w:pPr>
      <w:r w:rsidRPr="00217466">
        <w:rPr>
          <w:rFonts w:cs="Arial"/>
          <w:i/>
          <w:iCs/>
          <w:szCs w:val="24"/>
        </w:rPr>
        <w:t>Stainless steel fast</w:t>
      </w:r>
      <w:r w:rsidRPr="00F83123">
        <w:rPr>
          <w:rFonts w:cs="Arial"/>
          <w:i/>
          <w:iCs/>
          <w:szCs w:val="24"/>
        </w:rPr>
        <w:t>e</w:t>
      </w:r>
      <w:r w:rsidRPr="00E64373">
        <w:rPr>
          <w:rFonts w:cs="Arial"/>
          <w:i/>
          <w:iCs/>
          <w:szCs w:val="24"/>
        </w:rPr>
        <w:t xml:space="preserve">ners from </w:t>
      </w:r>
      <w:r w:rsidR="002406F0">
        <w:rPr>
          <w:rFonts w:cs="Arial"/>
          <w:i/>
          <w:iCs/>
          <w:szCs w:val="24"/>
        </w:rPr>
        <w:t>PRC</w:t>
      </w:r>
      <w:r w:rsidRPr="00E64373">
        <w:rPr>
          <w:rFonts w:cs="Arial"/>
          <w:i/>
          <w:iCs/>
          <w:szCs w:val="24"/>
        </w:rPr>
        <w:t xml:space="preserve"> (2013</w:t>
      </w:r>
      <w:r w:rsidRPr="00573DDB">
        <w:rPr>
          <w:rFonts w:cs="Arial"/>
          <w:i/>
          <w:iCs/>
          <w:szCs w:val="24"/>
        </w:rPr>
        <w:t>)</w:t>
      </w:r>
      <w:r>
        <w:rPr>
          <w:rFonts w:cs="Arial"/>
          <w:i/>
          <w:iCs/>
          <w:szCs w:val="24"/>
        </w:rPr>
        <w:t>,</w:t>
      </w:r>
      <w:r w:rsidRPr="00573DDB">
        <w:rPr>
          <w:rFonts w:cs="Arial"/>
          <w:i/>
          <w:iCs/>
          <w:szCs w:val="24"/>
        </w:rPr>
        <w:t xml:space="preserve"> Case Number R535</w:t>
      </w:r>
      <w:r>
        <w:rPr>
          <w:rFonts w:cs="Arial"/>
          <w:szCs w:val="24"/>
        </w:rPr>
        <w:t>.</w:t>
      </w:r>
      <w:r w:rsidRPr="008339D6">
        <w:rPr>
          <w:rFonts w:cs="Arial"/>
          <w:szCs w:val="24"/>
        </w:rPr>
        <w:t xml:space="preserve"> Production data obtained by site visits </w:t>
      </w:r>
      <w:r>
        <w:rPr>
          <w:rFonts w:cs="Arial"/>
          <w:szCs w:val="24"/>
        </w:rPr>
        <w:t xml:space="preserve">was </w:t>
      </w:r>
      <w:r w:rsidRPr="008339D6">
        <w:rPr>
          <w:rFonts w:cs="Arial"/>
          <w:szCs w:val="24"/>
        </w:rPr>
        <w:t xml:space="preserve">sufficient to show that Malaysian firms </w:t>
      </w:r>
      <w:r>
        <w:rPr>
          <w:rFonts w:cs="Arial"/>
          <w:szCs w:val="24"/>
        </w:rPr>
        <w:t>were</w:t>
      </w:r>
      <w:r w:rsidRPr="008339D6">
        <w:rPr>
          <w:rFonts w:cs="Arial"/>
          <w:szCs w:val="24"/>
        </w:rPr>
        <w:t xml:space="preserve"> not engaged in transhipment</w:t>
      </w:r>
      <w:r>
        <w:rPr>
          <w:rFonts w:cs="Arial"/>
          <w:szCs w:val="24"/>
        </w:rPr>
        <w:t>.</w:t>
      </w:r>
      <w:r w:rsidRPr="008339D6">
        <w:rPr>
          <w:rFonts w:cs="Arial"/>
          <w:szCs w:val="24"/>
        </w:rPr>
        <w:t xml:space="preserve"> </w:t>
      </w:r>
      <w:r>
        <w:rPr>
          <w:rFonts w:cs="Arial"/>
          <w:szCs w:val="24"/>
        </w:rPr>
        <w:t>However,</w:t>
      </w:r>
      <w:r w:rsidRPr="008339D6">
        <w:rPr>
          <w:rFonts w:cs="Arial"/>
          <w:szCs w:val="24"/>
        </w:rPr>
        <w:t xml:space="preserve"> </w:t>
      </w:r>
      <w:r>
        <w:rPr>
          <w:rFonts w:cs="Arial"/>
          <w:szCs w:val="24"/>
        </w:rPr>
        <w:t xml:space="preserve">a </w:t>
      </w:r>
      <w:r w:rsidRPr="008339D6">
        <w:rPr>
          <w:rFonts w:cs="Arial"/>
          <w:szCs w:val="24"/>
        </w:rPr>
        <w:t xml:space="preserve">lack of such evidence for the Philippines motivated </w:t>
      </w:r>
      <w:r>
        <w:rPr>
          <w:rFonts w:cs="Arial"/>
          <w:szCs w:val="24"/>
        </w:rPr>
        <w:t xml:space="preserve">the </w:t>
      </w:r>
      <w:r w:rsidRPr="008339D6">
        <w:rPr>
          <w:rFonts w:cs="Arial"/>
          <w:szCs w:val="24"/>
        </w:rPr>
        <w:t>EC to find that it was engaged in circumvention</w:t>
      </w:r>
      <w:r>
        <w:rPr>
          <w:rFonts w:cs="Arial"/>
          <w:szCs w:val="24"/>
        </w:rPr>
        <w:t>.</w:t>
      </w:r>
      <w:r>
        <w:rPr>
          <w:rStyle w:val="FootnoteReference"/>
          <w:rFonts w:cs="Arial"/>
          <w:szCs w:val="24"/>
        </w:rPr>
        <w:footnoteReference w:id="84"/>
      </w:r>
    </w:p>
    <w:p w14:paraId="051D88F0" w14:textId="748882A5" w:rsidR="00A21C01" w:rsidRDefault="00A21C01" w:rsidP="00A21C01">
      <w:pPr>
        <w:rPr>
          <w:rFonts w:cs="Arial"/>
          <w:szCs w:val="24"/>
        </w:rPr>
      </w:pPr>
      <w:r w:rsidRPr="00573DDB">
        <w:rPr>
          <w:rFonts w:cs="Arial"/>
          <w:szCs w:val="24"/>
        </w:rPr>
        <w:t xml:space="preserve">The cases </w:t>
      </w:r>
      <w:r>
        <w:rPr>
          <w:rFonts w:cs="Arial"/>
          <w:szCs w:val="24"/>
        </w:rPr>
        <w:t>above highlight that changes in patterns of trade can arise in different forms: changes in the direction of trade (i.e. countries involved); changes in the nature of the product (e.g. the composition of alloys); and changes in channels of imports (i.e. from different producers). That in turn places particular demands on both industries and authorities in terms of information gathering.</w:t>
      </w:r>
    </w:p>
    <w:p w14:paraId="591B1582" w14:textId="77777777" w:rsidR="00A21C01" w:rsidRDefault="00A21C01" w:rsidP="00A21C01">
      <w:pPr>
        <w:rPr>
          <w:rFonts w:cs="Arial"/>
          <w:szCs w:val="24"/>
        </w:rPr>
      </w:pPr>
      <w:r>
        <w:rPr>
          <w:rFonts w:cs="Arial"/>
          <w:szCs w:val="24"/>
        </w:rPr>
        <w:t xml:space="preserve">Where third countries are involved, a key plank of the EC’s analysis is to examine how respective trade patterns between the EU and the country originally targeted by duties, and between the EU and third countries, evolve from the point of imposition of the original duties. As discussed in the more detailed sections on trade data analysis and the methodological toolkits, there are several ways in which this analysis could be strengthened. </w:t>
      </w:r>
    </w:p>
    <w:p w14:paraId="7F151083" w14:textId="77777777" w:rsidR="00A21C01" w:rsidRDefault="00A21C01" w:rsidP="00A21C01">
      <w:pPr>
        <w:pStyle w:val="Heading4"/>
        <w:rPr>
          <w:rFonts w:cs="Arial"/>
          <w:szCs w:val="24"/>
        </w:rPr>
      </w:pPr>
      <w:r w:rsidRPr="00061DBF">
        <w:rPr>
          <w:rFonts w:cs="Arial"/>
          <w:szCs w:val="24"/>
        </w:rPr>
        <w:t>Evidence of substantial processing and differentiating between simple and complex operations</w:t>
      </w:r>
    </w:p>
    <w:p w14:paraId="66276E32" w14:textId="4E67D0D9" w:rsidR="00A21C01" w:rsidRDefault="00A21C01" w:rsidP="00A21C01">
      <w:pPr>
        <w:rPr>
          <w:rFonts w:cs="Arial"/>
          <w:szCs w:val="24"/>
        </w:rPr>
      </w:pPr>
      <w:r w:rsidRPr="008339D6">
        <w:rPr>
          <w:rFonts w:cs="Arial"/>
          <w:i/>
          <w:iCs/>
          <w:szCs w:val="24"/>
        </w:rPr>
        <w:t xml:space="preserve">Certain aluminium foil imports from </w:t>
      </w:r>
      <w:r w:rsidR="002406F0">
        <w:rPr>
          <w:rFonts w:cs="Arial"/>
          <w:i/>
          <w:iCs/>
          <w:szCs w:val="24"/>
        </w:rPr>
        <w:t>PRC</w:t>
      </w:r>
      <w:r w:rsidRPr="008339D6">
        <w:rPr>
          <w:rFonts w:cs="Arial"/>
          <w:i/>
          <w:iCs/>
          <w:szCs w:val="24"/>
        </w:rPr>
        <w:t xml:space="preserve"> (2020)</w:t>
      </w:r>
      <w:r>
        <w:rPr>
          <w:rFonts w:cs="Arial"/>
          <w:i/>
          <w:iCs/>
          <w:szCs w:val="24"/>
        </w:rPr>
        <w:t>,</w:t>
      </w:r>
      <w:r w:rsidRPr="005B4DFA">
        <w:rPr>
          <w:rFonts w:cs="Arial"/>
          <w:i/>
          <w:iCs/>
          <w:szCs w:val="24"/>
        </w:rPr>
        <w:t xml:space="preserve"> </w:t>
      </w:r>
      <w:r>
        <w:rPr>
          <w:rFonts w:cs="Arial"/>
          <w:i/>
          <w:iCs/>
          <w:szCs w:val="24"/>
        </w:rPr>
        <w:t>Case Number R</w:t>
      </w:r>
      <w:r w:rsidR="003D1B45">
        <w:rPr>
          <w:rFonts w:cs="Arial"/>
          <w:i/>
          <w:iCs/>
          <w:szCs w:val="24"/>
        </w:rPr>
        <w:t xml:space="preserve"> </w:t>
      </w:r>
      <w:r>
        <w:rPr>
          <w:rFonts w:cs="Arial"/>
          <w:i/>
          <w:iCs/>
          <w:szCs w:val="24"/>
        </w:rPr>
        <w:t xml:space="preserve">646 </w:t>
      </w:r>
      <w:r w:rsidRPr="00C9279D">
        <w:rPr>
          <w:rFonts w:cs="Arial"/>
          <w:szCs w:val="24"/>
        </w:rPr>
        <w:t>–</w:t>
      </w:r>
      <w:r w:rsidRPr="008339D6">
        <w:rPr>
          <w:rFonts w:cs="Arial"/>
          <w:szCs w:val="24"/>
        </w:rPr>
        <w:t xml:space="preserve"> </w:t>
      </w:r>
      <w:r>
        <w:rPr>
          <w:rFonts w:cs="Arial"/>
          <w:szCs w:val="24"/>
        </w:rPr>
        <w:t xml:space="preserve">with </w:t>
      </w:r>
      <w:r w:rsidRPr="008339D6">
        <w:rPr>
          <w:rFonts w:cs="Arial"/>
          <w:szCs w:val="24"/>
        </w:rPr>
        <w:t>third</w:t>
      </w:r>
      <w:r>
        <w:rPr>
          <w:rFonts w:cs="Arial"/>
          <w:szCs w:val="24"/>
        </w:rPr>
        <w:t>-</w:t>
      </w:r>
      <w:r w:rsidRPr="008339D6">
        <w:rPr>
          <w:rFonts w:cs="Arial"/>
          <w:szCs w:val="24"/>
        </w:rPr>
        <w:t xml:space="preserve">party assembly in Thailand. </w:t>
      </w:r>
      <w:r>
        <w:rPr>
          <w:rFonts w:cs="Arial"/>
          <w:szCs w:val="24"/>
        </w:rPr>
        <w:t xml:space="preserve">The </w:t>
      </w:r>
      <w:r w:rsidRPr="008339D6">
        <w:rPr>
          <w:rFonts w:cs="Arial"/>
          <w:szCs w:val="24"/>
        </w:rPr>
        <w:t xml:space="preserve">EC made a qualitative assessment </w:t>
      </w:r>
      <w:r>
        <w:rPr>
          <w:rFonts w:cs="Arial"/>
          <w:szCs w:val="24"/>
        </w:rPr>
        <w:t xml:space="preserve">that the </w:t>
      </w:r>
      <w:r w:rsidRPr="008339D6">
        <w:rPr>
          <w:rFonts w:cs="Arial"/>
          <w:szCs w:val="24"/>
        </w:rPr>
        <w:t xml:space="preserve">processing </w:t>
      </w:r>
      <w:r>
        <w:rPr>
          <w:rFonts w:cs="Arial"/>
          <w:szCs w:val="24"/>
        </w:rPr>
        <w:t>carried out</w:t>
      </w:r>
      <w:r w:rsidRPr="008339D6">
        <w:rPr>
          <w:rFonts w:cs="Arial"/>
          <w:szCs w:val="24"/>
        </w:rPr>
        <w:t xml:space="preserve"> was simple relative to operations required to prepare inputs. </w:t>
      </w:r>
      <w:r>
        <w:rPr>
          <w:rFonts w:cs="Arial"/>
          <w:szCs w:val="24"/>
        </w:rPr>
        <w:t>As</w:t>
      </w:r>
      <w:r w:rsidRPr="008339D6">
        <w:rPr>
          <w:rFonts w:cs="Arial"/>
          <w:szCs w:val="24"/>
        </w:rPr>
        <w:t xml:space="preserve"> all parts inputs were sourced f</w:t>
      </w:r>
      <w:r>
        <w:rPr>
          <w:rFonts w:cs="Arial"/>
          <w:szCs w:val="24"/>
        </w:rPr>
        <w:t xml:space="preserve">rom </w:t>
      </w:r>
      <w:r w:rsidR="002406F0">
        <w:rPr>
          <w:rFonts w:cs="Arial"/>
          <w:szCs w:val="24"/>
        </w:rPr>
        <w:t>PRC</w:t>
      </w:r>
      <w:r w:rsidRPr="008339D6">
        <w:rPr>
          <w:rFonts w:cs="Arial"/>
          <w:szCs w:val="24"/>
        </w:rPr>
        <w:t>,</w:t>
      </w:r>
      <w:r>
        <w:rPr>
          <w:rFonts w:cs="Arial"/>
          <w:szCs w:val="24"/>
        </w:rPr>
        <w:t xml:space="preserve"> the</w:t>
      </w:r>
      <w:r w:rsidRPr="008339D6">
        <w:rPr>
          <w:rFonts w:cs="Arial"/>
          <w:szCs w:val="24"/>
        </w:rPr>
        <w:t xml:space="preserve"> 60% threshold </w:t>
      </w:r>
      <w:r>
        <w:rPr>
          <w:rFonts w:cs="Arial"/>
          <w:szCs w:val="24"/>
        </w:rPr>
        <w:t xml:space="preserve">for the parts test was </w:t>
      </w:r>
      <w:r w:rsidRPr="008339D6">
        <w:rPr>
          <w:rFonts w:cs="Arial"/>
          <w:szCs w:val="24"/>
        </w:rPr>
        <w:t xml:space="preserve">considered </w:t>
      </w:r>
      <w:r>
        <w:rPr>
          <w:rFonts w:cs="Arial"/>
          <w:szCs w:val="24"/>
        </w:rPr>
        <w:t xml:space="preserve">to be </w:t>
      </w:r>
      <w:r w:rsidRPr="008339D6">
        <w:rPr>
          <w:rFonts w:cs="Arial"/>
          <w:szCs w:val="24"/>
        </w:rPr>
        <w:t>met. For the production costs</w:t>
      </w:r>
      <w:r>
        <w:rPr>
          <w:rFonts w:cs="Arial"/>
          <w:szCs w:val="24"/>
        </w:rPr>
        <w:t>/value-added</w:t>
      </w:r>
      <w:r w:rsidRPr="008339D6">
        <w:rPr>
          <w:rFonts w:cs="Arial"/>
          <w:szCs w:val="24"/>
        </w:rPr>
        <w:t xml:space="preserve"> test, the </w:t>
      </w:r>
      <w:r>
        <w:rPr>
          <w:rFonts w:cs="Arial"/>
          <w:szCs w:val="24"/>
        </w:rPr>
        <w:t xml:space="preserve">EC </w:t>
      </w:r>
      <w:r w:rsidRPr="008339D6">
        <w:rPr>
          <w:rFonts w:cs="Arial"/>
          <w:szCs w:val="24"/>
        </w:rPr>
        <w:t xml:space="preserve">estimated </w:t>
      </w:r>
      <w:r>
        <w:rPr>
          <w:rFonts w:cs="Arial"/>
          <w:szCs w:val="24"/>
        </w:rPr>
        <w:t xml:space="preserve">the </w:t>
      </w:r>
      <w:r w:rsidRPr="008339D6">
        <w:rPr>
          <w:rFonts w:cs="Arial"/>
          <w:szCs w:val="24"/>
        </w:rPr>
        <w:t xml:space="preserve">labour costs and factory overheads associated with </w:t>
      </w:r>
      <w:r>
        <w:rPr>
          <w:rFonts w:cs="Arial"/>
          <w:szCs w:val="24"/>
        </w:rPr>
        <w:t xml:space="preserve">the </w:t>
      </w:r>
      <w:r w:rsidRPr="008339D6">
        <w:rPr>
          <w:rFonts w:cs="Arial"/>
          <w:szCs w:val="24"/>
        </w:rPr>
        <w:t xml:space="preserve">processing of inputs and found </w:t>
      </w:r>
      <w:r>
        <w:rPr>
          <w:rFonts w:cs="Arial"/>
          <w:szCs w:val="24"/>
        </w:rPr>
        <w:t xml:space="preserve">that </w:t>
      </w:r>
      <w:r w:rsidRPr="008339D6">
        <w:rPr>
          <w:rFonts w:cs="Arial"/>
          <w:szCs w:val="24"/>
        </w:rPr>
        <w:t>the</w:t>
      </w:r>
      <w:r>
        <w:rPr>
          <w:rFonts w:cs="Arial"/>
          <w:szCs w:val="24"/>
        </w:rPr>
        <w:t>se</w:t>
      </w:r>
      <w:r w:rsidRPr="008339D6">
        <w:rPr>
          <w:rFonts w:cs="Arial"/>
          <w:szCs w:val="24"/>
        </w:rPr>
        <w:t xml:space="preserve"> were substantially below the 25% threshold. The EC </w:t>
      </w:r>
      <w:r>
        <w:rPr>
          <w:rFonts w:cs="Arial"/>
          <w:szCs w:val="24"/>
        </w:rPr>
        <w:t xml:space="preserve">also </w:t>
      </w:r>
      <w:r w:rsidRPr="008339D6">
        <w:rPr>
          <w:rFonts w:cs="Arial"/>
          <w:szCs w:val="24"/>
        </w:rPr>
        <w:t>studied the investment plan submitted by the Thai subsidiary</w:t>
      </w:r>
      <w:r>
        <w:rPr>
          <w:rFonts w:cs="Arial"/>
          <w:szCs w:val="24"/>
        </w:rPr>
        <w:t>,</w:t>
      </w:r>
      <w:r w:rsidRPr="008339D6">
        <w:rPr>
          <w:rFonts w:cs="Arial"/>
          <w:szCs w:val="24"/>
        </w:rPr>
        <w:t xml:space="preserve"> which </w:t>
      </w:r>
      <w:r>
        <w:rPr>
          <w:rFonts w:cs="Arial"/>
          <w:szCs w:val="24"/>
        </w:rPr>
        <w:t xml:space="preserve">highlighted </w:t>
      </w:r>
      <w:r w:rsidRPr="008339D6">
        <w:rPr>
          <w:rFonts w:cs="Arial"/>
          <w:szCs w:val="24"/>
        </w:rPr>
        <w:t xml:space="preserve">plans for scaling up production and reducing reliance on </w:t>
      </w:r>
      <w:r w:rsidR="002406F0">
        <w:rPr>
          <w:rFonts w:cs="Arial"/>
          <w:szCs w:val="24"/>
        </w:rPr>
        <w:t>PRC</w:t>
      </w:r>
      <w:r w:rsidRPr="008339D6">
        <w:rPr>
          <w:rFonts w:cs="Arial"/>
          <w:szCs w:val="24"/>
        </w:rPr>
        <w:t xml:space="preserve"> inputs</w:t>
      </w:r>
      <w:r>
        <w:rPr>
          <w:rFonts w:cs="Arial"/>
          <w:szCs w:val="24"/>
        </w:rPr>
        <w:t>. B</w:t>
      </w:r>
      <w:r w:rsidRPr="008339D6">
        <w:rPr>
          <w:rFonts w:cs="Arial"/>
          <w:szCs w:val="24"/>
        </w:rPr>
        <w:t>ut th</w:t>
      </w:r>
      <w:r>
        <w:rPr>
          <w:rFonts w:cs="Arial"/>
          <w:szCs w:val="24"/>
        </w:rPr>
        <w:t xml:space="preserve">e plan </w:t>
      </w:r>
      <w:r w:rsidRPr="008339D6">
        <w:rPr>
          <w:rFonts w:cs="Arial"/>
          <w:szCs w:val="24"/>
        </w:rPr>
        <w:t xml:space="preserve">was produced after </w:t>
      </w:r>
      <w:r>
        <w:rPr>
          <w:rFonts w:cs="Arial"/>
          <w:szCs w:val="24"/>
        </w:rPr>
        <w:t xml:space="preserve">the </w:t>
      </w:r>
      <w:r w:rsidRPr="008339D6">
        <w:rPr>
          <w:rFonts w:cs="Arial"/>
          <w:szCs w:val="24"/>
        </w:rPr>
        <w:t>period of alleged circumvention</w:t>
      </w:r>
      <w:r>
        <w:rPr>
          <w:rFonts w:cs="Arial"/>
          <w:szCs w:val="24"/>
        </w:rPr>
        <w:t xml:space="preserve"> had begun and was therefore not deemed to be reflective of investment decisions that were made independently of the anti-dumping action.</w:t>
      </w:r>
      <w:r>
        <w:rPr>
          <w:rStyle w:val="FootnoteReference"/>
          <w:rFonts w:cs="Arial"/>
          <w:szCs w:val="24"/>
        </w:rPr>
        <w:footnoteReference w:id="85"/>
      </w:r>
    </w:p>
    <w:p w14:paraId="11BB50B4" w14:textId="30099567" w:rsidR="00A21C01" w:rsidRDefault="00A21C01" w:rsidP="00A21C01">
      <w:pPr>
        <w:rPr>
          <w:rFonts w:cs="Arial"/>
          <w:szCs w:val="24"/>
        </w:rPr>
      </w:pPr>
      <w:r w:rsidRPr="008339D6">
        <w:rPr>
          <w:rFonts w:cs="Arial"/>
          <w:i/>
          <w:iCs/>
          <w:szCs w:val="24"/>
        </w:rPr>
        <w:t>Imports of tungsten electrodes</w:t>
      </w:r>
      <w:r w:rsidRPr="00FE2210">
        <w:rPr>
          <w:rFonts w:cs="Arial"/>
          <w:i/>
          <w:iCs/>
          <w:szCs w:val="24"/>
        </w:rPr>
        <w:t xml:space="preserve"> from </w:t>
      </w:r>
      <w:r w:rsidR="002406F0">
        <w:rPr>
          <w:rFonts w:cs="Arial"/>
          <w:i/>
          <w:iCs/>
          <w:szCs w:val="24"/>
        </w:rPr>
        <w:t>PRC</w:t>
      </w:r>
      <w:r w:rsidRPr="00FE2210">
        <w:rPr>
          <w:rFonts w:cs="Arial"/>
          <w:i/>
          <w:iCs/>
          <w:szCs w:val="24"/>
        </w:rPr>
        <w:t xml:space="preserve"> (2020)</w:t>
      </w:r>
      <w:r>
        <w:rPr>
          <w:rFonts w:cs="Arial"/>
          <w:i/>
          <w:iCs/>
          <w:szCs w:val="24"/>
        </w:rPr>
        <w:t>, Case Number R710</w:t>
      </w:r>
      <w:r>
        <w:rPr>
          <w:rFonts w:cs="Arial"/>
          <w:szCs w:val="24"/>
        </w:rPr>
        <w:t xml:space="preserve"> –</w:t>
      </w:r>
      <w:r w:rsidRPr="008339D6">
        <w:rPr>
          <w:rFonts w:cs="Arial"/>
          <w:szCs w:val="24"/>
        </w:rPr>
        <w:t xml:space="preserve"> </w:t>
      </w:r>
      <w:r>
        <w:rPr>
          <w:rFonts w:cs="Arial"/>
          <w:szCs w:val="24"/>
        </w:rPr>
        <w:t>T</w:t>
      </w:r>
      <w:r w:rsidRPr="008339D6">
        <w:rPr>
          <w:rFonts w:cs="Arial"/>
          <w:szCs w:val="24"/>
        </w:rPr>
        <w:t xml:space="preserve">ranshipment via Laos and Thailand. For Laos, </w:t>
      </w:r>
      <w:r>
        <w:rPr>
          <w:rFonts w:cs="Arial"/>
          <w:szCs w:val="24"/>
        </w:rPr>
        <w:t xml:space="preserve">the EC found that </w:t>
      </w:r>
      <w:r w:rsidRPr="008339D6">
        <w:rPr>
          <w:rFonts w:cs="Arial"/>
          <w:szCs w:val="24"/>
        </w:rPr>
        <w:t xml:space="preserve">100% of inputs </w:t>
      </w:r>
      <w:r>
        <w:rPr>
          <w:rFonts w:cs="Arial"/>
          <w:szCs w:val="24"/>
        </w:rPr>
        <w:t xml:space="preserve">were </w:t>
      </w:r>
      <w:r w:rsidRPr="008339D6">
        <w:rPr>
          <w:rFonts w:cs="Arial"/>
          <w:szCs w:val="24"/>
        </w:rPr>
        <w:t>sourced f</w:t>
      </w:r>
      <w:r>
        <w:rPr>
          <w:rFonts w:cs="Arial"/>
          <w:szCs w:val="24"/>
        </w:rPr>
        <w:t>rom</w:t>
      </w:r>
      <w:r w:rsidRPr="008339D6">
        <w:rPr>
          <w:rFonts w:cs="Arial"/>
          <w:szCs w:val="24"/>
        </w:rPr>
        <w:t xml:space="preserve"> </w:t>
      </w:r>
      <w:r w:rsidR="002406F0">
        <w:rPr>
          <w:rFonts w:cs="Arial"/>
          <w:szCs w:val="24"/>
        </w:rPr>
        <w:t>PRC</w:t>
      </w:r>
      <w:r w:rsidRPr="008339D6">
        <w:rPr>
          <w:rFonts w:cs="Arial"/>
          <w:szCs w:val="24"/>
        </w:rPr>
        <w:t xml:space="preserve">. </w:t>
      </w:r>
      <w:r>
        <w:rPr>
          <w:rFonts w:cs="Arial"/>
          <w:szCs w:val="24"/>
        </w:rPr>
        <w:t>The EC</w:t>
      </w:r>
      <w:r w:rsidRPr="008339D6">
        <w:rPr>
          <w:rFonts w:cs="Arial"/>
          <w:szCs w:val="24"/>
        </w:rPr>
        <w:t xml:space="preserve"> rejected claim</w:t>
      </w:r>
      <w:r>
        <w:rPr>
          <w:rFonts w:cs="Arial"/>
          <w:szCs w:val="24"/>
        </w:rPr>
        <w:t>s</w:t>
      </w:r>
      <w:r w:rsidRPr="008339D6">
        <w:rPr>
          <w:rFonts w:cs="Arial"/>
          <w:szCs w:val="24"/>
        </w:rPr>
        <w:t xml:space="preserve"> from </w:t>
      </w:r>
      <w:r>
        <w:rPr>
          <w:rFonts w:cs="Arial"/>
          <w:szCs w:val="24"/>
        </w:rPr>
        <w:t xml:space="preserve">the </w:t>
      </w:r>
      <w:r w:rsidRPr="008339D6">
        <w:rPr>
          <w:rFonts w:cs="Arial"/>
          <w:szCs w:val="24"/>
        </w:rPr>
        <w:t>Lao</w:t>
      </w:r>
      <w:r>
        <w:rPr>
          <w:rFonts w:cs="Arial"/>
          <w:szCs w:val="24"/>
        </w:rPr>
        <w:t>tian</w:t>
      </w:r>
      <w:r w:rsidRPr="008339D6">
        <w:rPr>
          <w:rFonts w:cs="Arial"/>
          <w:szCs w:val="24"/>
        </w:rPr>
        <w:t xml:space="preserve"> business that its operations accounted for 30% of production costs on the basis </w:t>
      </w:r>
      <w:r>
        <w:rPr>
          <w:rFonts w:cs="Arial"/>
          <w:szCs w:val="24"/>
        </w:rPr>
        <w:t>that their evidence was</w:t>
      </w:r>
      <w:r w:rsidRPr="008339D6">
        <w:rPr>
          <w:rFonts w:cs="Arial"/>
          <w:szCs w:val="24"/>
        </w:rPr>
        <w:t xml:space="preserve"> unreliable and determined that the proportion fell under</w:t>
      </w:r>
      <w:r>
        <w:rPr>
          <w:rFonts w:cs="Arial"/>
          <w:szCs w:val="24"/>
        </w:rPr>
        <w:t xml:space="preserve"> the</w:t>
      </w:r>
      <w:r w:rsidRPr="008339D6">
        <w:rPr>
          <w:rFonts w:cs="Arial"/>
          <w:szCs w:val="24"/>
        </w:rPr>
        <w:t xml:space="preserve"> 25%</w:t>
      </w:r>
      <w:r>
        <w:rPr>
          <w:rFonts w:cs="Arial"/>
          <w:szCs w:val="24"/>
        </w:rPr>
        <w:t xml:space="preserve"> threshold</w:t>
      </w:r>
      <w:r w:rsidRPr="008339D6">
        <w:rPr>
          <w:rFonts w:cs="Arial"/>
          <w:szCs w:val="24"/>
        </w:rPr>
        <w:t>. For Thailand,</w:t>
      </w:r>
      <w:r>
        <w:rPr>
          <w:rFonts w:cs="Arial"/>
          <w:szCs w:val="24"/>
        </w:rPr>
        <w:t xml:space="preserve"> there was</w:t>
      </w:r>
      <w:r w:rsidRPr="008339D6">
        <w:rPr>
          <w:rFonts w:cs="Arial"/>
          <w:szCs w:val="24"/>
        </w:rPr>
        <w:t xml:space="preserve"> no explicit measurement of processing, and </w:t>
      </w:r>
      <w:r>
        <w:rPr>
          <w:rFonts w:cs="Arial"/>
          <w:szCs w:val="24"/>
        </w:rPr>
        <w:t xml:space="preserve">the EC </w:t>
      </w:r>
      <w:r w:rsidRPr="008339D6">
        <w:rPr>
          <w:rFonts w:cs="Arial"/>
          <w:szCs w:val="24"/>
        </w:rPr>
        <w:t xml:space="preserve">relied solely on </w:t>
      </w:r>
      <w:r>
        <w:rPr>
          <w:rFonts w:cs="Arial"/>
          <w:szCs w:val="24"/>
        </w:rPr>
        <w:t xml:space="preserve">its </w:t>
      </w:r>
      <w:r w:rsidRPr="008339D6">
        <w:rPr>
          <w:rFonts w:cs="Arial"/>
          <w:szCs w:val="24"/>
        </w:rPr>
        <w:t>finding</w:t>
      </w:r>
      <w:r>
        <w:rPr>
          <w:rFonts w:cs="Arial"/>
          <w:szCs w:val="24"/>
        </w:rPr>
        <w:t>, from a site visit,</w:t>
      </w:r>
      <w:r w:rsidRPr="008339D6">
        <w:rPr>
          <w:rFonts w:cs="Arial"/>
          <w:szCs w:val="24"/>
        </w:rPr>
        <w:t xml:space="preserve"> </w:t>
      </w:r>
      <w:r>
        <w:rPr>
          <w:rFonts w:cs="Arial"/>
          <w:szCs w:val="24"/>
        </w:rPr>
        <w:t>that there was</w:t>
      </w:r>
      <w:r w:rsidRPr="008339D6">
        <w:rPr>
          <w:rFonts w:cs="Arial"/>
          <w:szCs w:val="24"/>
        </w:rPr>
        <w:t xml:space="preserve"> no production</w:t>
      </w:r>
      <w:r>
        <w:rPr>
          <w:rFonts w:cs="Arial"/>
          <w:szCs w:val="24"/>
        </w:rPr>
        <w:t xml:space="preserve"> taking place at the</w:t>
      </w:r>
      <w:r w:rsidRPr="008339D6">
        <w:rPr>
          <w:rFonts w:cs="Arial"/>
          <w:szCs w:val="24"/>
        </w:rPr>
        <w:t xml:space="preserve"> facility</w:t>
      </w:r>
      <w:r>
        <w:rPr>
          <w:rFonts w:cs="Arial"/>
          <w:szCs w:val="24"/>
        </w:rPr>
        <w:t xml:space="preserve"> where it was claimed that processing was taking place and which was advanced as the explanation for the </w:t>
      </w:r>
      <w:r w:rsidRPr="008339D6">
        <w:rPr>
          <w:rFonts w:cs="Arial"/>
          <w:szCs w:val="24"/>
        </w:rPr>
        <w:t xml:space="preserve">change in </w:t>
      </w:r>
      <w:r>
        <w:rPr>
          <w:rFonts w:cs="Arial"/>
          <w:szCs w:val="24"/>
        </w:rPr>
        <w:t xml:space="preserve">the observed </w:t>
      </w:r>
      <w:r w:rsidRPr="008339D6">
        <w:rPr>
          <w:rFonts w:cs="Arial"/>
          <w:szCs w:val="24"/>
        </w:rPr>
        <w:t>pattern of trade. Unlike the aluminium foil case, there was no examination of investment plans.</w:t>
      </w:r>
      <w:r>
        <w:rPr>
          <w:rStyle w:val="FootnoteReference"/>
          <w:rFonts w:cs="Arial"/>
          <w:szCs w:val="24"/>
        </w:rPr>
        <w:footnoteReference w:id="86"/>
      </w:r>
    </w:p>
    <w:p w14:paraId="5A13C961" w14:textId="0A30C57E" w:rsidR="00A21C01" w:rsidRDefault="00A21C01" w:rsidP="00A21C01">
      <w:pPr>
        <w:rPr>
          <w:rFonts w:cs="Arial"/>
          <w:szCs w:val="24"/>
        </w:rPr>
      </w:pPr>
      <w:r w:rsidRPr="008339D6">
        <w:rPr>
          <w:rFonts w:cs="Arial"/>
          <w:i/>
          <w:iCs/>
          <w:szCs w:val="24"/>
        </w:rPr>
        <w:t xml:space="preserve">Imports of bicycles from </w:t>
      </w:r>
      <w:r w:rsidR="002406F0">
        <w:rPr>
          <w:rFonts w:cs="Arial"/>
          <w:i/>
          <w:iCs/>
          <w:szCs w:val="24"/>
        </w:rPr>
        <w:t>PRC</w:t>
      </w:r>
      <w:r w:rsidRPr="008339D6">
        <w:rPr>
          <w:rFonts w:cs="Arial"/>
          <w:i/>
          <w:iCs/>
          <w:szCs w:val="24"/>
        </w:rPr>
        <w:t xml:space="preserve"> (2015)</w:t>
      </w:r>
      <w:r>
        <w:rPr>
          <w:rFonts w:cs="Arial"/>
          <w:i/>
          <w:iCs/>
          <w:szCs w:val="24"/>
        </w:rPr>
        <w:t xml:space="preserve">, Case Number R608 </w:t>
      </w:r>
      <w:r w:rsidRPr="00C9279D">
        <w:rPr>
          <w:rFonts w:cs="Arial"/>
          <w:szCs w:val="24"/>
        </w:rPr>
        <w:t>–</w:t>
      </w:r>
      <w:r w:rsidRPr="008339D6">
        <w:rPr>
          <w:rFonts w:cs="Arial"/>
          <w:szCs w:val="24"/>
        </w:rPr>
        <w:t xml:space="preserve"> transhipment/</w:t>
      </w:r>
      <w:r>
        <w:rPr>
          <w:rFonts w:cs="Arial"/>
          <w:szCs w:val="24"/>
        </w:rPr>
        <w:t>third-</w:t>
      </w:r>
      <w:r w:rsidRPr="008339D6">
        <w:rPr>
          <w:rFonts w:cs="Arial"/>
          <w:szCs w:val="24"/>
        </w:rPr>
        <w:t>party assembly via Cambodia, Pakistan and the Philippines.</w:t>
      </w:r>
      <w:r>
        <w:rPr>
          <w:rFonts w:cs="Arial"/>
          <w:szCs w:val="24"/>
        </w:rPr>
        <w:t xml:space="preserve"> The</w:t>
      </w:r>
      <w:r w:rsidRPr="008339D6">
        <w:rPr>
          <w:rFonts w:cs="Arial"/>
          <w:szCs w:val="24"/>
        </w:rPr>
        <w:t xml:space="preserve"> EC found that all businesses involved in Cambodia and Pakistan failed the value of parts and share of production cost</w:t>
      </w:r>
      <w:r>
        <w:rPr>
          <w:rFonts w:cs="Arial"/>
          <w:szCs w:val="24"/>
        </w:rPr>
        <w:t xml:space="preserve"> tests</w:t>
      </w:r>
      <w:r w:rsidRPr="008339D6">
        <w:rPr>
          <w:rFonts w:cs="Arial"/>
          <w:szCs w:val="24"/>
        </w:rPr>
        <w:t xml:space="preserve">. </w:t>
      </w:r>
      <w:r>
        <w:rPr>
          <w:rFonts w:cs="Arial"/>
          <w:szCs w:val="24"/>
        </w:rPr>
        <w:t xml:space="preserve">The </w:t>
      </w:r>
      <w:r w:rsidRPr="008339D6">
        <w:rPr>
          <w:rFonts w:cs="Arial"/>
          <w:szCs w:val="24"/>
        </w:rPr>
        <w:t xml:space="preserve">EC </w:t>
      </w:r>
      <w:r>
        <w:rPr>
          <w:rFonts w:cs="Arial"/>
          <w:szCs w:val="24"/>
        </w:rPr>
        <w:t xml:space="preserve">rejected a </w:t>
      </w:r>
      <w:r w:rsidRPr="008339D6">
        <w:rPr>
          <w:rFonts w:cs="Arial"/>
          <w:szCs w:val="24"/>
        </w:rPr>
        <w:t xml:space="preserve">cost allocation proposed by </w:t>
      </w:r>
      <w:r>
        <w:rPr>
          <w:rFonts w:cs="Arial"/>
          <w:szCs w:val="24"/>
        </w:rPr>
        <w:t xml:space="preserve">a </w:t>
      </w:r>
      <w:r w:rsidRPr="008339D6">
        <w:rPr>
          <w:rFonts w:cs="Arial"/>
          <w:szCs w:val="24"/>
        </w:rPr>
        <w:t xml:space="preserve">Cambodian business </w:t>
      </w:r>
      <w:r>
        <w:rPr>
          <w:rFonts w:cs="Arial"/>
          <w:szCs w:val="24"/>
        </w:rPr>
        <w:t>as the EC’s</w:t>
      </w:r>
      <w:r w:rsidRPr="008339D6">
        <w:rPr>
          <w:rFonts w:cs="Arial"/>
          <w:szCs w:val="24"/>
        </w:rPr>
        <w:t xml:space="preserve"> own investigation f</w:t>
      </w:r>
      <w:r>
        <w:rPr>
          <w:rFonts w:cs="Arial"/>
          <w:szCs w:val="24"/>
        </w:rPr>
        <w:t>ound</w:t>
      </w:r>
      <w:r w:rsidRPr="008339D6">
        <w:rPr>
          <w:rFonts w:cs="Arial"/>
          <w:szCs w:val="24"/>
        </w:rPr>
        <w:t xml:space="preserve"> that</w:t>
      </w:r>
      <w:r>
        <w:rPr>
          <w:rFonts w:cs="Arial"/>
          <w:szCs w:val="24"/>
        </w:rPr>
        <w:t xml:space="preserve"> the</w:t>
      </w:r>
      <w:r w:rsidRPr="008339D6">
        <w:rPr>
          <w:rFonts w:cs="Arial"/>
          <w:szCs w:val="24"/>
        </w:rPr>
        <w:t xml:space="preserve"> allocation of labour costs w</w:t>
      </w:r>
      <w:r>
        <w:rPr>
          <w:rFonts w:cs="Arial"/>
          <w:szCs w:val="24"/>
        </w:rPr>
        <w:t>as</w:t>
      </w:r>
      <w:r w:rsidRPr="008339D6">
        <w:rPr>
          <w:rFonts w:cs="Arial"/>
          <w:szCs w:val="24"/>
        </w:rPr>
        <w:t xml:space="preserve"> overstated and that significant parts of the facilities in question were unused</w:t>
      </w:r>
      <w:r>
        <w:rPr>
          <w:rFonts w:cs="Arial"/>
          <w:szCs w:val="24"/>
        </w:rPr>
        <w:t>. This</w:t>
      </w:r>
      <w:r w:rsidRPr="008339D6">
        <w:rPr>
          <w:rFonts w:cs="Arial"/>
          <w:szCs w:val="24"/>
        </w:rPr>
        <w:t xml:space="preserve"> latter f</w:t>
      </w:r>
      <w:r>
        <w:rPr>
          <w:rFonts w:cs="Arial"/>
          <w:szCs w:val="24"/>
        </w:rPr>
        <w:t>inding was</w:t>
      </w:r>
      <w:r w:rsidRPr="008339D6">
        <w:rPr>
          <w:rFonts w:cs="Arial"/>
          <w:szCs w:val="24"/>
        </w:rPr>
        <w:t xml:space="preserve"> also used as</w:t>
      </w:r>
      <w:r>
        <w:rPr>
          <w:rFonts w:cs="Arial"/>
          <w:szCs w:val="24"/>
        </w:rPr>
        <w:t xml:space="preserve"> a </w:t>
      </w:r>
      <w:r w:rsidRPr="008339D6">
        <w:rPr>
          <w:rFonts w:cs="Arial"/>
          <w:szCs w:val="24"/>
        </w:rPr>
        <w:t>basis for considering that production was not reflective of preferential market access to the EU</w:t>
      </w:r>
      <w:r>
        <w:rPr>
          <w:rFonts w:cs="Arial"/>
          <w:szCs w:val="24"/>
        </w:rPr>
        <w:t xml:space="preserve"> accorded to Cambodia</w:t>
      </w:r>
      <w:r w:rsidRPr="008339D6">
        <w:rPr>
          <w:rFonts w:cs="Arial"/>
          <w:szCs w:val="24"/>
        </w:rPr>
        <w:t xml:space="preserve">. For Pakistan, invoices </w:t>
      </w:r>
      <w:r>
        <w:rPr>
          <w:rFonts w:cs="Arial"/>
          <w:szCs w:val="24"/>
        </w:rPr>
        <w:t xml:space="preserve">which </w:t>
      </w:r>
      <w:r w:rsidRPr="008339D6">
        <w:rPr>
          <w:rFonts w:cs="Arial"/>
          <w:szCs w:val="24"/>
        </w:rPr>
        <w:t>claim</w:t>
      </w:r>
      <w:r>
        <w:rPr>
          <w:rFonts w:cs="Arial"/>
          <w:szCs w:val="24"/>
        </w:rPr>
        <w:t>ed</w:t>
      </w:r>
      <w:r w:rsidRPr="008339D6">
        <w:rPr>
          <w:rFonts w:cs="Arial"/>
          <w:szCs w:val="24"/>
        </w:rPr>
        <w:t xml:space="preserve"> to show sourcing of parts from Sri Lanka were dismissed as unreliable. For the Philippines, one business was considered to have demonstrated that inputs from </w:t>
      </w:r>
      <w:r w:rsidR="002406F0">
        <w:rPr>
          <w:rFonts w:cs="Arial"/>
          <w:szCs w:val="24"/>
        </w:rPr>
        <w:t>PRC</w:t>
      </w:r>
      <w:r w:rsidRPr="008339D6">
        <w:rPr>
          <w:rFonts w:cs="Arial"/>
          <w:szCs w:val="24"/>
        </w:rPr>
        <w:t xml:space="preserve"> accounted for les</w:t>
      </w:r>
      <w:r>
        <w:rPr>
          <w:rFonts w:cs="Arial"/>
          <w:szCs w:val="24"/>
        </w:rPr>
        <w:t>s</w:t>
      </w:r>
      <w:r w:rsidRPr="008339D6">
        <w:rPr>
          <w:rFonts w:cs="Arial"/>
          <w:szCs w:val="24"/>
        </w:rPr>
        <w:t xml:space="preserve"> than 60% of value, but the other failed that test and the production cost test.</w:t>
      </w:r>
      <w:r>
        <w:rPr>
          <w:rStyle w:val="FootnoteReference"/>
          <w:rFonts w:cs="Arial"/>
          <w:szCs w:val="24"/>
        </w:rPr>
        <w:footnoteReference w:id="87"/>
      </w:r>
    </w:p>
    <w:p w14:paraId="44216CB9" w14:textId="595C6932" w:rsidR="00A21C01" w:rsidRPr="00C57FD8" w:rsidRDefault="00A21C01" w:rsidP="00C624E9">
      <w:pPr>
        <w:spacing w:after="0"/>
        <w:rPr>
          <w:rFonts w:cs="Arial"/>
          <w:szCs w:val="24"/>
        </w:rPr>
      </w:pPr>
      <w:r>
        <w:rPr>
          <w:rFonts w:cs="Arial"/>
          <w:szCs w:val="24"/>
        </w:rPr>
        <w:t>As indicated in the preceding cases relating to questions of processing and differentiating between simple and complex operations, the analysis of financial information is a central step in understanding production processes and organisation.</w:t>
      </w:r>
      <w:r w:rsidRPr="00C57FD8">
        <w:rPr>
          <w:rFonts w:cs="Arial"/>
          <w:szCs w:val="24"/>
        </w:rPr>
        <w:t xml:space="preserve"> The</w:t>
      </w:r>
      <w:r>
        <w:rPr>
          <w:rFonts w:cs="Arial"/>
          <w:szCs w:val="24"/>
        </w:rPr>
        <w:t xml:space="preserve"> EC</w:t>
      </w:r>
      <w:r w:rsidRPr="00C57FD8">
        <w:rPr>
          <w:rFonts w:cs="Arial"/>
          <w:szCs w:val="24"/>
        </w:rPr>
        <w:t xml:space="preserve">’s anti-circumvention unit has in-house accountants and auditors who review accounts provided. </w:t>
      </w:r>
      <w:r>
        <w:rPr>
          <w:rFonts w:cs="Arial"/>
          <w:szCs w:val="24"/>
        </w:rPr>
        <w:t>They</w:t>
      </w:r>
      <w:r w:rsidRPr="00C57FD8">
        <w:rPr>
          <w:rFonts w:cs="Arial"/>
          <w:szCs w:val="24"/>
        </w:rPr>
        <w:t xml:space="preserve"> scrutinise</w:t>
      </w:r>
      <w:r>
        <w:rPr>
          <w:rFonts w:cs="Arial"/>
          <w:szCs w:val="24"/>
        </w:rPr>
        <w:t xml:space="preserve"> the following key issues</w:t>
      </w:r>
      <w:r w:rsidRPr="00C57FD8">
        <w:rPr>
          <w:rFonts w:cs="Arial"/>
          <w:szCs w:val="24"/>
        </w:rPr>
        <w:t>:</w:t>
      </w:r>
    </w:p>
    <w:p w14:paraId="5154D0EB" w14:textId="3C68CF5F" w:rsidR="00A21C01" w:rsidRPr="00C57FD8" w:rsidRDefault="00A21C01" w:rsidP="00C239B1">
      <w:pPr>
        <w:pStyle w:val="ListParagraph"/>
        <w:numPr>
          <w:ilvl w:val="0"/>
          <w:numId w:val="48"/>
        </w:numPr>
        <w:spacing w:after="0" w:line="360" w:lineRule="auto"/>
        <w:rPr>
          <w:rFonts w:cs="Arial"/>
          <w:sz w:val="24"/>
          <w:szCs w:val="24"/>
        </w:rPr>
      </w:pPr>
      <w:r w:rsidRPr="00C57FD8">
        <w:rPr>
          <w:rFonts w:cs="Arial"/>
          <w:sz w:val="24"/>
          <w:szCs w:val="24"/>
        </w:rPr>
        <w:t>Inconsistencies between financial information and claims about production</w:t>
      </w:r>
      <w:r>
        <w:rPr>
          <w:rFonts w:cs="Arial"/>
          <w:sz w:val="24"/>
          <w:szCs w:val="24"/>
        </w:rPr>
        <w:t>,</w:t>
      </w:r>
      <w:r w:rsidRPr="00C57FD8">
        <w:rPr>
          <w:rFonts w:cs="Arial"/>
          <w:sz w:val="24"/>
          <w:szCs w:val="24"/>
        </w:rPr>
        <w:t xml:space="preserve"> e.g.</w:t>
      </w:r>
      <w:r>
        <w:rPr>
          <w:rFonts w:cs="Arial"/>
          <w:sz w:val="24"/>
          <w:szCs w:val="24"/>
        </w:rPr>
        <w:t> </w:t>
      </w:r>
      <w:r w:rsidRPr="00C57FD8">
        <w:rPr>
          <w:rFonts w:cs="Arial"/>
          <w:sz w:val="24"/>
          <w:szCs w:val="24"/>
        </w:rPr>
        <w:t>depreciation rates associated with production machinery versus claims of productive capacity</w:t>
      </w:r>
      <w:r>
        <w:rPr>
          <w:rFonts w:cs="Arial"/>
          <w:sz w:val="24"/>
          <w:szCs w:val="24"/>
        </w:rPr>
        <w:t>;</w:t>
      </w:r>
    </w:p>
    <w:p w14:paraId="3DDFADCC" w14:textId="77777777" w:rsidR="00A21C01" w:rsidRPr="00C57FD8" w:rsidRDefault="00A21C01" w:rsidP="00C239B1">
      <w:pPr>
        <w:pStyle w:val="ListParagraph"/>
        <w:numPr>
          <w:ilvl w:val="0"/>
          <w:numId w:val="48"/>
        </w:numPr>
        <w:spacing w:line="360" w:lineRule="auto"/>
        <w:rPr>
          <w:rFonts w:cs="Arial"/>
          <w:sz w:val="24"/>
          <w:szCs w:val="24"/>
        </w:rPr>
      </w:pPr>
      <w:r w:rsidRPr="00C57FD8">
        <w:rPr>
          <w:rFonts w:cs="Arial"/>
          <w:sz w:val="24"/>
          <w:szCs w:val="24"/>
        </w:rPr>
        <w:t>Costs attributed to sales, management and other administrative items that could increase the share of firm costs relative to input costs.</w:t>
      </w:r>
    </w:p>
    <w:p w14:paraId="491B5090" w14:textId="77777777" w:rsidR="00A21C01" w:rsidRPr="00C57FD8" w:rsidRDefault="00A21C01" w:rsidP="00C624E9">
      <w:pPr>
        <w:spacing w:after="0"/>
        <w:rPr>
          <w:rFonts w:cs="Arial"/>
          <w:szCs w:val="24"/>
        </w:rPr>
      </w:pPr>
      <w:r w:rsidRPr="00C57FD8">
        <w:rPr>
          <w:rFonts w:cs="Arial"/>
          <w:szCs w:val="24"/>
        </w:rPr>
        <w:t>There are several challenges associated with the analysis of financial information:</w:t>
      </w:r>
    </w:p>
    <w:p w14:paraId="37EE7BE8" w14:textId="3157D83E" w:rsidR="00A21C01" w:rsidRPr="00C57FD8" w:rsidRDefault="00A21C01" w:rsidP="00C239B1">
      <w:pPr>
        <w:pStyle w:val="ListParagraph"/>
        <w:numPr>
          <w:ilvl w:val="0"/>
          <w:numId w:val="49"/>
        </w:numPr>
        <w:spacing w:after="0" w:line="360" w:lineRule="auto"/>
        <w:rPr>
          <w:rFonts w:cs="Arial"/>
          <w:sz w:val="24"/>
          <w:szCs w:val="24"/>
        </w:rPr>
      </w:pPr>
      <w:r w:rsidRPr="00C57FD8">
        <w:rPr>
          <w:rFonts w:cs="Arial"/>
          <w:sz w:val="24"/>
          <w:szCs w:val="24"/>
        </w:rPr>
        <w:t xml:space="preserve">The financial year and auditing details may not correspond with the investigation period. There will be some need for imputation based on partial accounts. This is undertaken by the </w:t>
      </w:r>
      <w:r>
        <w:rPr>
          <w:rFonts w:cs="Arial"/>
          <w:sz w:val="24"/>
          <w:szCs w:val="24"/>
        </w:rPr>
        <w:t>EC</w:t>
      </w:r>
      <w:r w:rsidRPr="00C57FD8">
        <w:rPr>
          <w:rFonts w:cs="Arial"/>
          <w:sz w:val="24"/>
          <w:szCs w:val="24"/>
        </w:rPr>
        <w:t>’s anti-circumvention unit.</w:t>
      </w:r>
    </w:p>
    <w:p w14:paraId="531433B8" w14:textId="599C23ED" w:rsidR="00A21C01" w:rsidRDefault="00A21C01" w:rsidP="00C239B1">
      <w:pPr>
        <w:pStyle w:val="ListParagraph"/>
        <w:numPr>
          <w:ilvl w:val="0"/>
          <w:numId w:val="49"/>
        </w:numPr>
        <w:spacing w:line="360" w:lineRule="auto"/>
        <w:rPr>
          <w:rFonts w:cs="Arial"/>
          <w:sz w:val="24"/>
          <w:szCs w:val="24"/>
        </w:rPr>
      </w:pPr>
      <w:r w:rsidRPr="00C9279D">
        <w:rPr>
          <w:rFonts w:cs="Arial"/>
          <w:sz w:val="24"/>
          <w:szCs w:val="24"/>
        </w:rPr>
        <w:t>Cost</w:t>
      </w:r>
      <w:r>
        <w:rPr>
          <w:rFonts w:cs="Arial"/>
          <w:sz w:val="24"/>
          <w:szCs w:val="24"/>
        </w:rPr>
        <w:t>-</w:t>
      </w:r>
      <w:r w:rsidRPr="001B3C5A">
        <w:rPr>
          <w:rFonts w:cs="Arial"/>
          <w:sz w:val="24"/>
          <w:szCs w:val="24"/>
        </w:rPr>
        <w:t>allocation</w:t>
      </w:r>
      <w:r w:rsidRPr="00D036A2">
        <w:rPr>
          <w:rFonts w:cs="Arial"/>
          <w:sz w:val="24"/>
          <w:szCs w:val="24"/>
        </w:rPr>
        <w:t xml:space="preserve"> practices</w:t>
      </w:r>
      <w:r w:rsidRPr="00C57FD8">
        <w:rPr>
          <w:rFonts w:cs="Arial"/>
          <w:sz w:val="24"/>
          <w:szCs w:val="24"/>
        </w:rPr>
        <w:t>, particularly in multi-product firms, can be exploited to allocate costs to the investigated product (as</w:t>
      </w:r>
      <w:r>
        <w:rPr>
          <w:rFonts w:cs="Arial"/>
          <w:sz w:val="24"/>
          <w:szCs w:val="24"/>
        </w:rPr>
        <w:t>,</w:t>
      </w:r>
      <w:r w:rsidRPr="00C57FD8">
        <w:rPr>
          <w:rFonts w:cs="Arial"/>
          <w:sz w:val="24"/>
          <w:szCs w:val="24"/>
        </w:rPr>
        <w:t xml:space="preserve"> </w:t>
      </w:r>
      <w:r>
        <w:rPr>
          <w:rFonts w:cs="Arial"/>
          <w:sz w:val="24"/>
          <w:szCs w:val="24"/>
        </w:rPr>
        <w:t>by doing this, producers can meet or exceed the 25% threshold for cost of production).</w:t>
      </w:r>
      <w:r w:rsidRPr="00C57FD8">
        <w:rPr>
          <w:rFonts w:cs="Arial"/>
          <w:sz w:val="24"/>
          <w:szCs w:val="24"/>
        </w:rPr>
        <w:t xml:space="preserve"> The </w:t>
      </w:r>
      <w:r>
        <w:rPr>
          <w:rFonts w:cs="Arial"/>
          <w:sz w:val="24"/>
          <w:szCs w:val="24"/>
        </w:rPr>
        <w:t>u</w:t>
      </w:r>
      <w:r w:rsidRPr="00C57FD8">
        <w:rPr>
          <w:rFonts w:cs="Arial"/>
          <w:sz w:val="24"/>
          <w:szCs w:val="24"/>
        </w:rPr>
        <w:t>nit can draw on external expertise to verify this.</w:t>
      </w:r>
    </w:p>
    <w:p w14:paraId="4910FBC6" w14:textId="0E6A1627" w:rsidR="00A21C01" w:rsidRPr="00C57FD8" w:rsidRDefault="00A21C01" w:rsidP="00A21C01">
      <w:pPr>
        <w:rPr>
          <w:rFonts w:cs="Arial"/>
          <w:szCs w:val="24"/>
        </w:rPr>
      </w:pPr>
      <w:r>
        <w:rPr>
          <w:rFonts w:cs="Arial"/>
          <w:szCs w:val="24"/>
        </w:rPr>
        <w:t xml:space="preserve">This last point on cost allocation highlights the scope left to judgement in the context of anti-circumvention inquiries. This is because in a multi-product firm, there are incremental costs (those that would have been avoided by not choosing to produce a specific product) and common costs (those that are common across all products). Common costs are usually allocated to a greater extent to products that are less price sensitive but, within this framework, there are any number of cost allocations that may be efficient. Narrowing this down to a defensible allocation is a demanding task for an authority to undertake – indeed it is often the key task in regulated industries.  </w:t>
      </w:r>
    </w:p>
    <w:p w14:paraId="2B97C448" w14:textId="7E66682A" w:rsidR="00A21C01" w:rsidRPr="00F21AB1" w:rsidRDefault="00A21C01" w:rsidP="0B87AE61">
      <w:pPr>
        <w:pStyle w:val="Heading3"/>
        <w:rPr>
          <w:rFonts w:cs="Arial"/>
          <w:b w:val="0"/>
        </w:rPr>
      </w:pPr>
      <w:bookmarkStart w:id="142" w:name="_Toc752107253"/>
      <w:bookmarkStart w:id="143" w:name="_Toc118465306"/>
      <w:r w:rsidRPr="0B87AE61">
        <w:rPr>
          <w:rFonts w:cs="Arial"/>
        </w:rPr>
        <w:t>Key descriptive statistics concerning EU anti-circumvention cases</w:t>
      </w:r>
      <w:bookmarkEnd w:id="142"/>
      <w:bookmarkEnd w:id="143"/>
    </w:p>
    <w:p w14:paraId="7851C077" w14:textId="46EF11EC" w:rsidR="00A21C01" w:rsidRDefault="00E0019C" w:rsidP="00A21C01">
      <w:pPr>
        <w:rPr>
          <w:rFonts w:cs="Arial"/>
          <w:szCs w:val="24"/>
        </w:rPr>
      </w:pPr>
      <w:r>
        <w:rPr>
          <w:rFonts w:cs="Arial"/>
          <w:szCs w:val="24"/>
        </w:rPr>
        <w:fldChar w:fldCharType="begin"/>
      </w:r>
      <w:r>
        <w:rPr>
          <w:rFonts w:cs="Arial"/>
          <w:szCs w:val="24"/>
        </w:rPr>
        <w:instrText xml:space="preserve"> REF _Ref103869275 \h </w:instrText>
      </w:r>
      <w:r>
        <w:rPr>
          <w:rFonts w:cs="Arial"/>
          <w:szCs w:val="24"/>
        </w:rPr>
      </w:r>
      <w:r>
        <w:rPr>
          <w:rFonts w:cs="Arial"/>
          <w:szCs w:val="24"/>
        </w:rPr>
        <w:fldChar w:fldCharType="separate"/>
      </w:r>
      <w:r w:rsidR="003B27AB">
        <w:t xml:space="preserve">Table </w:t>
      </w:r>
      <w:r w:rsidR="003B27AB" w:rsidRPr="7516BDAE">
        <w:rPr>
          <w:noProof/>
        </w:rPr>
        <w:t>8</w:t>
      </w:r>
      <w:r>
        <w:rPr>
          <w:rFonts w:cs="Arial"/>
          <w:szCs w:val="24"/>
        </w:rPr>
        <w:fldChar w:fldCharType="end"/>
      </w:r>
      <w:r>
        <w:rPr>
          <w:rFonts w:cs="Arial"/>
          <w:szCs w:val="24"/>
        </w:rPr>
        <w:t xml:space="preserve"> </w:t>
      </w:r>
      <w:r w:rsidR="00A21C01">
        <w:rPr>
          <w:rFonts w:cs="Arial"/>
          <w:szCs w:val="24"/>
        </w:rPr>
        <w:t>gives an overview of anti-circumvention cases since 2009 in which the EC imposed duties. We provide information on the type of product and the country (“circumventor”) covered by the original trade remedies investigation, the mode of circumvention, the countries targeted by circumvention duties, and the HS codes of products covered by the circumvention case and on which duties were levied.</w:t>
      </w:r>
    </w:p>
    <w:p w14:paraId="73518BEA" w14:textId="41514139" w:rsidR="00A21C01" w:rsidRDefault="00A21C01" w:rsidP="00596182">
      <w:pPr>
        <w:spacing w:after="0"/>
        <w:rPr>
          <w:rFonts w:cs="Arial"/>
          <w:szCs w:val="24"/>
        </w:rPr>
      </w:pPr>
      <w:r>
        <w:rPr>
          <w:rFonts w:cs="Arial"/>
          <w:szCs w:val="24"/>
        </w:rPr>
        <w:t>We observe that, in relation to products covered by the circumvention cases, major product chapters which stand out (HS 2-digits) are t</w:t>
      </w:r>
      <w:r w:rsidRPr="009323B3">
        <w:rPr>
          <w:rFonts w:cs="Arial"/>
          <w:szCs w:val="24"/>
        </w:rPr>
        <w:t>hose that come unde</w:t>
      </w:r>
      <w:r>
        <w:rPr>
          <w:rFonts w:cs="Arial"/>
          <w:szCs w:val="24"/>
        </w:rPr>
        <w:t xml:space="preserve">r: </w:t>
      </w:r>
    </w:p>
    <w:p w14:paraId="1A71856C" w14:textId="65655410" w:rsidR="00A21C01" w:rsidRDefault="00A21C01" w:rsidP="00A21C01">
      <w:pPr>
        <w:pStyle w:val="ListParagraph"/>
        <w:numPr>
          <w:ilvl w:val="0"/>
          <w:numId w:val="14"/>
        </w:numPr>
        <w:spacing w:after="0" w:line="360" w:lineRule="auto"/>
        <w:ind w:left="357" w:hanging="357"/>
        <w:rPr>
          <w:rFonts w:cs="Arial"/>
          <w:sz w:val="24"/>
          <w:szCs w:val="24"/>
        </w:rPr>
      </w:pPr>
      <w:r w:rsidRPr="009323B3">
        <w:rPr>
          <w:rFonts w:cs="Arial"/>
          <w:sz w:val="24"/>
          <w:szCs w:val="24"/>
        </w:rPr>
        <w:t>HS section VI (products of chemicals and allied industries), particularly chapters 28</w:t>
      </w:r>
      <w:r>
        <w:rPr>
          <w:rFonts w:cs="Arial"/>
          <w:sz w:val="24"/>
          <w:szCs w:val="24"/>
        </w:rPr>
        <w:t>,</w:t>
      </w:r>
      <w:r>
        <w:rPr>
          <w:rStyle w:val="FootnoteReference"/>
          <w:rFonts w:cs="Arial"/>
          <w:sz w:val="24"/>
          <w:szCs w:val="24"/>
        </w:rPr>
        <w:footnoteReference w:id="88"/>
      </w:r>
      <w:r w:rsidRPr="009323B3">
        <w:rPr>
          <w:rFonts w:cs="Arial"/>
          <w:sz w:val="24"/>
          <w:szCs w:val="24"/>
        </w:rPr>
        <w:t xml:space="preserve"> 29</w:t>
      </w:r>
      <w:r>
        <w:rPr>
          <w:rStyle w:val="FootnoteReference"/>
          <w:rFonts w:cs="Arial"/>
          <w:sz w:val="24"/>
          <w:szCs w:val="24"/>
        </w:rPr>
        <w:footnoteReference w:id="89"/>
      </w:r>
      <w:r w:rsidRPr="009323B3">
        <w:rPr>
          <w:rFonts w:cs="Arial"/>
          <w:sz w:val="24"/>
          <w:szCs w:val="24"/>
        </w:rPr>
        <w:t xml:space="preserve"> and 38</w:t>
      </w:r>
      <w:r>
        <w:rPr>
          <w:rFonts w:cs="Arial"/>
          <w:sz w:val="24"/>
          <w:szCs w:val="24"/>
        </w:rPr>
        <w:t>;</w:t>
      </w:r>
      <w:r>
        <w:rPr>
          <w:rStyle w:val="FootnoteReference"/>
          <w:rFonts w:cs="Arial"/>
          <w:sz w:val="24"/>
          <w:szCs w:val="24"/>
        </w:rPr>
        <w:footnoteReference w:id="90"/>
      </w:r>
      <w:r w:rsidRPr="009323B3">
        <w:rPr>
          <w:rFonts w:cs="Arial"/>
          <w:sz w:val="24"/>
          <w:szCs w:val="24"/>
        </w:rPr>
        <w:t xml:space="preserve"> </w:t>
      </w:r>
    </w:p>
    <w:p w14:paraId="10184BFD" w14:textId="4B82A4FE" w:rsidR="00A21C01" w:rsidRPr="00BC5820" w:rsidRDefault="00A21C01" w:rsidP="00A21C01">
      <w:pPr>
        <w:pStyle w:val="ListParagraph"/>
        <w:numPr>
          <w:ilvl w:val="0"/>
          <w:numId w:val="14"/>
        </w:numPr>
        <w:spacing w:after="0" w:line="360" w:lineRule="auto"/>
        <w:ind w:left="357" w:hanging="357"/>
        <w:rPr>
          <w:rFonts w:cs="Arial"/>
          <w:b/>
          <w:bCs/>
          <w:sz w:val="28"/>
          <w:szCs w:val="28"/>
        </w:rPr>
      </w:pPr>
      <w:r w:rsidRPr="00BC5820">
        <w:rPr>
          <w:rFonts w:cs="Arial"/>
          <w:sz w:val="24"/>
          <w:szCs w:val="24"/>
        </w:rPr>
        <w:t>HS section XII (</w:t>
      </w:r>
      <w:r>
        <w:rPr>
          <w:rFonts w:cs="Arial"/>
          <w:sz w:val="24"/>
          <w:szCs w:val="24"/>
        </w:rPr>
        <w:t>a</w:t>
      </w:r>
      <w:r w:rsidRPr="00BC5820">
        <w:rPr>
          <w:rFonts w:cs="Arial"/>
          <w:sz w:val="24"/>
          <w:szCs w:val="24"/>
        </w:rPr>
        <w:t>rticles of stone, plaster, cement, asbestos, mica or similar materials, ceramic products, glass and glassware)</w:t>
      </w:r>
      <w:r>
        <w:rPr>
          <w:rFonts w:cs="Arial"/>
          <w:sz w:val="24"/>
          <w:szCs w:val="24"/>
        </w:rPr>
        <w:t>, particularly chapters 68</w:t>
      </w:r>
      <w:r>
        <w:rPr>
          <w:rStyle w:val="FootnoteReference"/>
          <w:rFonts w:cs="Arial"/>
          <w:sz w:val="24"/>
          <w:szCs w:val="24"/>
        </w:rPr>
        <w:footnoteReference w:id="91"/>
      </w:r>
      <w:r>
        <w:rPr>
          <w:rFonts w:cs="Arial"/>
          <w:sz w:val="24"/>
          <w:szCs w:val="24"/>
        </w:rPr>
        <w:t xml:space="preserve"> and 70;</w:t>
      </w:r>
      <w:r>
        <w:rPr>
          <w:rStyle w:val="FootnoteReference"/>
          <w:rFonts w:cs="Arial"/>
          <w:sz w:val="24"/>
          <w:szCs w:val="24"/>
        </w:rPr>
        <w:footnoteReference w:id="92"/>
      </w:r>
    </w:p>
    <w:p w14:paraId="0F27F4E4" w14:textId="263D55D4" w:rsidR="00A21C01" w:rsidRPr="00BC5820" w:rsidRDefault="00A21C01" w:rsidP="00596182">
      <w:pPr>
        <w:pStyle w:val="ListParagraph"/>
        <w:numPr>
          <w:ilvl w:val="0"/>
          <w:numId w:val="14"/>
        </w:numPr>
        <w:spacing w:line="360" w:lineRule="auto"/>
        <w:ind w:left="357" w:hanging="357"/>
        <w:rPr>
          <w:rFonts w:cs="Arial"/>
          <w:b/>
          <w:bCs/>
          <w:sz w:val="28"/>
          <w:szCs w:val="28"/>
        </w:rPr>
      </w:pPr>
      <w:r>
        <w:rPr>
          <w:rFonts w:cs="Arial"/>
          <w:sz w:val="24"/>
          <w:szCs w:val="24"/>
        </w:rPr>
        <w:t>HS section XV (base metals and articles of base metals), particularly chapters 72</w:t>
      </w:r>
      <w:r>
        <w:rPr>
          <w:rStyle w:val="FootnoteReference"/>
          <w:rFonts w:cs="Arial"/>
          <w:sz w:val="24"/>
          <w:szCs w:val="24"/>
        </w:rPr>
        <w:footnoteReference w:id="93"/>
      </w:r>
      <w:r>
        <w:rPr>
          <w:rFonts w:cs="Arial"/>
          <w:sz w:val="24"/>
          <w:szCs w:val="24"/>
        </w:rPr>
        <w:t xml:space="preserve"> and 73,</w:t>
      </w:r>
      <w:r>
        <w:rPr>
          <w:rStyle w:val="FootnoteReference"/>
          <w:rFonts w:cs="Arial"/>
          <w:sz w:val="24"/>
          <w:szCs w:val="24"/>
        </w:rPr>
        <w:footnoteReference w:id="94"/>
      </w:r>
      <w:r>
        <w:rPr>
          <w:rFonts w:cs="Arial"/>
          <w:sz w:val="24"/>
          <w:szCs w:val="24"/>
        </w:rPr>
        <w:t xml:space="preserve"> and to a lesser extent chapter 81.</w:t>
      </w:r>
      <w:r>
        <w:rPr>
          <w:rStyle w:val="FootnoteReference"/>
          <w:rFonts w:cs="Arial"/>
          <w:sz w:val="24"/>
          <w:szCs w:val="24"/>
        </w:rPr>
        <w:footnoteReference w:id="95"/>
      </w:r>
    </w:p>
    <w:p w14:paraId="0AEA895A" w14:textId="1BAFCAEA" w:rsidR="00A21C01" w:rsidRPr="00BC5820" w:rsidRDefault="00A21C01" w:rsidP="00A21C01">
      <w:pPr>
        <w:rPr>
          <w:rFonts w:cs="Arial"/>
          <w:szCs w:val="24"/>
        </w:rPr>
      </w:pPr>
      <w:r>
        <w:rPr>
          <w:rFonts w:cs="Arial"/>
          <w:szCs w:val="24"/>
        </w:rPr>
        <w:t xml:space="preserve">Machinery and mechanical parts (HS 84) and vehicles (HS 87) also feature (and were part of prominent cases – see below). </w:t>
      </w:r>
    </w:p>
    <w:p w14:paraId="62A3EFD9" w14:textId="77777777" w:rsidR="00A21C01" w:rsidRPr="00BC5820" w:rsidRDefault="00A21C01" w:rsidP="00A21C01">
      <w:pPr>
        <w:rPr>
          <w:rFonts w:cs="Arial"/>
          <w:b/>
          <w:bCs/>
          <w:sz w:val="28"/>
          <w:szCs w:val="28"/>
        </w:rPr>
        <w:sectPr w:rsidR="00A21C01" w:rsidRPr="00BC5820" w:rsidSect="00F21AB1">
          <w:pgSz w:w="11906" w:h="16838"/>
          <w:pgMar w:top="1440" w:right="1440" w:bottom="1440" w:left="1440" w:header="708" w:footer="708" w:gutter="0"/>
          <w:cols w:space="708"/>
          <w:docGrid w:linePitch="360"/>
        </w:sectPr>
      </w:pPr>
    </w:p>
    <w:p w14:paraId="463553D7" w14:textId="6B445FC6" w:rsidR="00A21C01" w:rsidRPr="00A21C01" w:rsidRDefault="00E0019C" w:rsidP="00E0019C">
      <w:pPr>
        <w:pStyle w:val="Caption"/>
      </w:pPr>
      <w:bookmarkStart w:id="144" w:name="_Ref103869275"/>
      <w:bookmarkStart w:id="145" w:name="_Ref94517626"/>
      <w:r>
        <w:t xml:space="preserve">Table </w:t>
      </w:r>
      <w:r>
        <w:fldChar w:fldCharType="begin"/>
      </w:r>
      <w:r>
        <w:instrText>SEQ Table \* ARABIC</w:instrText>
      </w:r>
      <w:r>
        <w:fldChar w:fldCharType="separate"/>
      </w:r>
      <w:r w:rsidR="00FE05B4" w:rsidRPr="7516BDAE">
        <w:rPr>
          <w:noProof/>
        </w:rPr>
        <w:t>8</w:t>
      </w:r>
      <w:r>
        <w:fldChar w:fldCharType="end"/>
      </w:r>
      <w:bookmarkEnd w:id="144"/>
      <w:r>
        <w:t>: O</w:t>
      </w:r>
      <w:r w:rsidR="00A21C01">
        <w:t>verview of anti-circumvention cases in which duties were imposed (2009 to 2021), EU</w:t>
      </w:r>
    </w:p>
    <w:tbl>
      <w:tblPr>
        <w:tblStyle w:val="TableGrid"/>
        <w:tblW w:w="0" w:type="auto"/>
        <w:tblLayout w:type="fixed"/>
        <w:tblLook w:val="04A0" w:firstRow="1" w:lastRow="0" w:firstColumn="1" w:lastColumn="0" w:noHBand="0" w:noVBand="1"/>
      </w:tblPr>
      <w:tblGrid>
        <w:gridCol w:w="1696"/>
        <w:gridCol w:w="1134"/>
        <w:gridCol w:w="1134"/>
        <w:gridCol w:w="1418"/>
        <w:gridCol w:w="1417"/>
        <w:gridCol w:w="1276"/>
        <w:gridCol w:w="1559"/>
        <w:gridCol w:w="1560"/>
        <w:gridCol w:w="2754"/>
      </w:tblGrid>
      <w:tr w:rsidR="00C172FC" w:rsidRPr="00B54211" w14:paraId="6C317955" w14:textId="77777777">
        <w:trPr>
          <w:trHeight w:val="552"/>
        </w:trPr>
        <w:tc>
          <w:tcPr>
            <w:tcW w:w="1696" w:type="dxa"/>
            <w:vMerge w:val="restart"/>
          </w:tcPr>
          <w:p w14:paraId="06DE2A30" w14:textId="616A6FA1" w:rsidR="00C172FC" w:rsidRPr="003D1B45" w:rsidRDefault="00C172FC">
            <w:pPr>
              <w:spacing w:line="240" w:lineRule="auto"/>
              <w:rPr>
                <w:rFonts w:cs="Arial"/>
                <w:b/>
                <w:bCs/>
                <w:sz w:val="22"/>
              </w:rPr>
            </w:pPr>
            <w:r w:rsidRPr="003D1B45">
              <w:rPr>
                <w:rFonts w:cs="Arial"/>
                <w:b/>
                <w:bCs/>
                <w:kern w:val="24"/>
                <w:sz w:val="22"/>
              </w:rPr>
              <w:t>Type of product (circum-ventor)</w:t>
            </w:r>
          </w:p>
        </w:tc>
        <w:tc>
          <w:tcPr>
            <w:tcW w:w="1134" w:type="dxa"/>
            <w:vMerge w:val="restart"/>
            <w:shd w:val="clear" w:color="auto" w:fill="auto"/>
          </w:tcPr>
          <w:p w14:paraId="14052711" w14:textId="4B49636E" w:rsidR="00C172FC" w:rsidRPr="003D1B45" w:rsidRDefault="00C172FC">
            <w:pPr>
              <w:spacing w:line="240" w:lineRule="auto"/>
              <w:rPr>
                <w:rFonts w:cs="Arial"/>
                <w:b/>
                <w:bCs/>
                <w:kern w:val="24"/>
                <w:sz w:val="22"/>
              </w:rPr>
            </w:pPr>
            <w:r w:rsidRPr="003D1B45">
              <w:rPr>
                <w:rFonts w:cs="Arial"/>
                <w:b/>
                <w:bCs/>
                <w:kern w:val="24"/>
                <w:sz w:val="22"/>
              </w:rPr>
              <w:t>EU case number</w:t>
            </w:r>
            <w:r w:rsidRPr="003D1B45">
              <w:rPr>
                <w:rStyle w:val="FootnoteReference"/>
                <w:rFonts w:cs="Arial"/>
                <w:b/>
                <w:bCs/>
                <w:kern w:val="24"/>
                <w:sz w:val="22"/>
              </w:rPr>
              <w:footnoteReference w:id="96"/>
            </w:r>
          </w:p>
        </w:tc>
        <w:tc>
          <w:tcPr>
            <w:tcW w:w="1134" w:type="dxa"/>
            <w:vMerge w:val="restart"/>
            <w:shd w:val="clear" w:color="auto" w:fill="DEEAF6" w:themeFill="accent5" w:themeFillTint="33"/>
            <w:vAlign w:val="bottom"/>
          </w:tcPr>
          <w:p w14:paraId="24B8706C" w14:textId="77777777" w:rsidR="00C172FC" w:rsidRPr="003D1B45" w:rsidRDefault="00C172FC">
            <w:pPr>
              <w:spacing w:line="240" w:lineRule="auto"/>
              <w:rPr>
                <w:rFonts w:cs="Arial"/>
                <w:b/>
                <w:bCs/>
                <w:sz w:val="22"/>
              </w:rPr>
            </w:pPr>
            <w:r w:rsidRPr="003D1B45">
              <w:rPr>
                <w:rFonts w:cs="Arial"/>
                <w:b/>
                <w:bCs/>
                <w:kern w:val="24"/>
                <w:sz w:val="22"/>
              </w:rPr>
              <w:t>Total number of cases</w:t>
            </w:r>
          </w:p>
        </w:tc>
        <w:tc>
          <w:tcPr>
            <w:tcW w:w="5670" w:type="dxa"/>
            <w:gridSpan w:val="4"/>
          </w:tcPr>
          <w:p w14:paraId="1C8D5974" w14:textId="060ECAE6" w:rsidR="00C172FC" w:rsidRPr="003D1B45" w:rsidRDefault="00C172FC" w:rsidP="00D07279">
            <w:pPr>
              <w:spacing w:before="240" w:line="240" w:lineRule="auto"/>
              <w:jc w:val="center"/>
              <w:rPr>
                <w:rFonts w:cs="Arial"/>
                <w:b/>
                <w:bCs/>
                <w:sz w:val="22"/>
              </w:rPr>
            </w:pPr>
            <w:r w:rsidRPr="003D1B45">
              <w:rPr>
                <w:rFonts w:cs="Arial"/>
                <w:b/>
                <w:bCs/>
                <w:kern w:val="24"/>
                <w:sz w:val="22"/>
              </w:rPr>
              <w:t>Mode of circumvention</w:t>
            </w:r>
          </w:p>
        </w:tc>
        <w:tc>
          <w:tcPr>
            <w:tcW w:w="1560" w:type="dxa"/>
            <w:vMerge w:val="restart"/>
          </w:tcPr>
          <w:p w14:paraId="75AD7567" w14:textId="6D216A34" w:rsidR="00C172FC" w:rsidRPr="003D1B45" w:rsidRDefault="00C172FC">
            <w:pPr>
              <w:spacing w:line="240" w:lineRule="auto"/>
              <w:rPr>
                <w:rFonts w:cs="Arial"/>
                <w:b/>
                <w:bCs/>
                <w:sz w:val="22"/>
              </w:rPr>
            </w:pPr>
            <w:r w:rsidRPr="003D1B45">
              <w:rPr>
                <w:rFonts w:cs="Arial"/>
                <w:b/>
                <w:bCs/>
                <w:kern w:val="24"/>
                <w:sz w:val="22"/>
              </w:rPr>
              <w:t>Targeted country</w:t>
            </w:r>
          </w:p>
        </w:tc>
        <w:tc>
          <w:tcPr>
            <w:tcW w:w="2754" w:type="dxa"/>
            <w:vMerge w:val="restart"/>
          </w:tcPr>
          <w:p w14:paraId="1A7DEE73" w14:textId="35F4350B" w:rsidR="00C172FC" w:rsidRPr="003D1B45" w:rsidRDefault="00C172FC">
            <w:pPr>
              <w:spacing w:line="240" w:lineRule="auto"/>
              <w:rPr>
                <w:rFonts w:cs="Arial"/>
                <w:b/>
                <w:bCs/>
                <w:sz w:val="22"/>
              </w:rPr>
            </w:pPr>
            <w:r w:rsidRPr="003D1B45">
              <w:rPr>
                <w:rFonts w:cs="Arial"/>
                <w:b/>
                <w:bCs/>
                <w:kern w:val="24"/>
                <w:sz w:val="22"/>
              </w:rPr>
              <w:t>Combined Nomenclature (CN) Commodity code(s)</w:t>
            </w:r>
          </w:p>
        </w:tc>
      </w:tr>
      <w:tr w:rsidR="00A21C01" w:rsidRPr="00B54211" w14:paraId="3A883978" w14:textId="77777777" w:rsidTr="00A21C01">
        <w:trPr>
          <w:trHeight w:val="552"/>
        </w:trPr>
        <w:tc>
          <w:tcPr>
            <w:tcW w:w="1696" w:type="dxa"/>
            <w:vMerge/>
          </w:tcPr>
          <w:p w14:paraId="41089DA0" w14:textId="77777777" w:rsidR="00A21C01" w:rsidRPr="003D1B45" w:rsidRDefault="00A21C01">
            <w:pPr>
              <w:spacing w:line="240" w:lineRule="auto"/>
              <w:rPr>
                <w:rFonts w:cs="Arial"/>
                <w:b/>
                <w:bCs/>
                <w:kern w:val="24"/>
                <w:sz w:val="22"/>
              </w:rPr>
            </w:pPr>
          </w:p>
        </w:tc>
        <w:tc>
          <w:tcPr>
            <w:tcW w:w="1134" w:type="dxa"/>
            <w:vMerge/>
            <w:shd w:val="clear" w:color="auto" w:fill="auto"/>
          </w:tcPr>
          <w:p w14:paraId="0293E4C3" w14:textId="77777777" w:rsidR="00A21C01" w:rsidRPr="003D1B45" w:rsidRDefault="00A21C01">
            <w:pPr>
              <w:spacing w:line="240" w:lineRule="auto"/>
              <w:rPr>
                <w:rFonts w:cs="Arial"/>
                <w:b/>
                <w:bCs/>
                <w:kern w:val="24"/>
                <w:sz w:val="22"/>
              </w:rPr>
            </w:pPr>
          </w:p>
        </w:tc>
        <w:tc>
          <w:tcPr>
            <w:tcW w:w="1134" w:type="dxa"/>
            <w:vMerge/>
            <w:shd w:val="clear" w:color="auto" w:fill="DEEAF6" w:themeFill="accent5" w:themeFillTint="33"/>
            <w:vAlign w:val="bottom"/>
          </w:tcPr>
          <w:p w14:paraId="7EBBB3F3" w14:textId="77777777" w:rsidR="00A21C01" w:rsidRPr="003D1B45" w:rsidRDefault="00A21C01">
            <w:pPr>
              <w:spacing w:line="240" w:lineRule="auto"/>
              <w:rPr>
                <w:rFonts w:cs="Arial"/>
                <w:b/>
                <w:bCs/>
                <w:kern w:val="24"/>
                <w:sz w:val="22"/>
              </w:rPr>
            </w:pPr>
          </w:p>
        </w:tc>
        <w:tc>
          <w:tcPr>
            <w:tcW w:w="1418" w:type="dxa"/>
            <w:vAlign w:val="bottom"/>
          </w:tcPr>
          <w:p w14:paraId="01F36A71" w14:textId="46FBC0B0" w:rsidR="00A21C01" w:rsidRPr="003D1B45" w:rsidRDefault="00C172FC">
            <w:pPr>
              <w:spacing w:line="240" w:lineRule="auto"/>
              <w:rPr>
                <w:rFonts w:cs="Arial"/>
                <w:b/>
                <w:bCs/>
                <w:kern w:val="24"/>
                <w:sz w:val="22"/>
              </w:rPr>
            </w:pPr>
            <w:r w:rsidRPr="003D1B45">
              <w:rPr>
                <w:rFonts w:cs="Arial"/>
                <w:b/>
                <w:bCs/>
                <w:kern w:val="24"/>
                <w:sz w:val="22"/>
              </w:rPr>
              <w:t>Third-party assembly</w:t>
            </w:r>
          </w:p>
        </w:tc>
        <w:tc>
          <w:tcPr>
            <w:tcW w:w="1417" w:type="dxa"/>
            <w:vAlign w:val="bottom"/>
          </w:tcPr>
          <w:p w14:paraId="72473083" w14:textId="74A3AD0D" w:rsidR="00A21C01" w:rsidRPr="003D1B45" w:rsidRDefault="00A21C01">
            <w:pPr>
              <w:spacing w:line="240" w:lineRule="auto"/>
              <w:rPr>
                <w:rFonts w:cs="Arial"/>
                <w:b/>
                <w:bCs/>
                <w:kern w:val="24"/>
                <w:sz w:val="22"/>
              </w:rPr>
            </w:pPr>
            <w:r w:rsidRPr="003D1B45">
              <w:rPr>
                <w:rFonts w:cs="Arial"/>
                <w:b/>
                <w:bCs/>
                <w:kern w:val="24"/>
                <w:sz w:val="22"/>
              </w:rPr>
              <w:t>Tranship-ment</w:t>
            </w:r>
          </w:p>
        </w:tc>
        <w:tc>
          <w:tcPr>
            <w:tcW w:w="1276" w:type="dxa"/>
            <w:vAlign w:val="bottom"/>
          </w:tcPr>
          <w:p w14:paraId="301D0C07" w14:textId="77777777" w:rsidR="00A21C01" w:rsidRPr="003D1B45" w:rsidRDefault="00A21C01">
            <w:pPr>
              <w:spacing w:line="240" w:lineRule="auto"/>
              <w:rPr>
                <w:rFonts w:cs="Arial"/>
                <w:b/>
                <w:bCs/>
                <w:kern w:val="24"/>
                <w:sz w:val="22"/>
              </w:rPr>
            </w:pPr>
            <w:r w:rsidRPr="003D1B45">
              <w:rPr>
                <w:rFonts w:cs="Arial"/>
                <w:b/>
                <w:bCs/>
                <w:kern w:val="24"/>
                <w:sz w:val="22"/>
              </w:rPr>
              <w:t xml:space="preserve">Modifi-cation </w:t>
            </w:r>
          </w:p>
        </w:tc>
        <w:tc>
          <w:tcPr>
            <w:tcW w:w="1559" w:type="dxa"/>
            <w:vAlign w:val="bottom"/>
          </w:tcPr>
          <w:p w14:paraId="65632B74" w14:textId="4632C58E" w:rsidR="00A21C01" w:rsidRPr="003D1B45" w:rsidRDefault="00A21C01">
            <w:pPr>
              <w:spacing w:line="240" w:lineRule="auto"/>
              <w:rPr>
                <w:rFonts w:cs="Arial"/>
                <w:b/>
                <w:bCs/>
                <w:kern w:val="24"/>
                <w:sz w:val="22"/>
              </w:rPr>
            </w:pPr>
            <w:r w:rsidRPr="003D1B45">
              <w:rPr>
                <w:rFonts w:cs="Arial"/>
                <w:b/>
                <w:bCs/>
                <w:kern w:val="24"/>
                <w:sz w:val="22"/>
              </w:rPr>
              <w:t>Company channelling</w:t>
            </w:r>
          </w:p>
        </w:tc>
        <w:tc>
          <w:tcPr>
            <w:tcW w:w="1560" w:type="dxa"/>
            <w:vMerge/>
            <w:vAlign w:val="bottom"/>
          </w:tcPr>
          <w:p w14:paraId="2886E2D9" w14:textId="77777777" w:rsidR="00A21C01" w:rsidRPr="003D1B45" w:rsidRDefault="00A21C01">
            <w:pPr>
              <w:spacing w:line="240" w:lineRule="auto"/>
              <w:rPr>
                <w:rFonts w:cs="Arial"/>
                <w:b/>
                <w:bCs/>
                <w:kern w:val="24"/>
                <w:sz w:val="22"/>
              </w:rPr>
            </w:pPr>
          </w:p>
        </w:tc>
        <w:tc>
          <w:tcPr>
            <w:tcW w:w="2754" w:type="dxa"/>
            <w:vMerge/>
            <w:vAlign w:val="bottom"/>
          </w:tcPr>
          <w:p w14:paraId="59B97346" w14:textId="77777777" w:rsidR="00A21C01" w:rsidRPr="003D1B45" w:rsidRDefault="00A21C01">
            <w:pPr>
              <w:spacing w:line="240" w:lineRule="auto"/>
              <w:rPr>
                <w:rFonts w:cs="Arial"/>
                <w:b/>
                <w:bCs/>
                <w:kern w:val="24"/>
                <w:sz w:val="22"/>
              </w:rPr>
            </w:pPr>
          </w:p>
        </w:tc>
      </w:tr>
      <w:tr w:rsidR="00A21C01" w:rsidRPr="00B54211" w14:paraId="7B9B40E2" w14:textId="77777777" w:rsidTr="00A21C01">
        <w:tc>
          <w:tcPr>
            <w:tcW w:w="1696" w:type="dxa"/>
            <w:vAlign w:val="center"/>
          </w:tcPr>
          <w:p w14:paraId="17117FCC" w14:textId="0CBDA184" w:rsidR="00A21C01" w:rsidRPr="003D1B45" w:rsidRDefault="00A21C01">
            <w:pPr>
              <w:spacing w:line="240" w:lineRule="auto"/>
              <w:rPr>
                <w:rFonts w:cs="Arial"/>
                <w:b/>
                <w:bCs/>
                <w:sz w:val="22"/>
              </w:rPr>
            </w:pPr>
            <w:r w:rsidRPr="003D1B45">
              <w:rPr>
                <w:rFonts w:cs="Arial"/>
                <w:color w:val="000000"/>
                <w:kern w:val="24"/>
                <w:sz w:val="22"/>
              </w:rPr>
              <w:t>Biodiesel (</w:t>
            </w:r>
            <w:r w:rsidR="003F6E61">
              <w:rPr>
                <w:rFonts w:cs="Arial"/>
                <w:color w:val="000000"/>
                <w:kern w:val="24"/>
                <w:sz w:val="22"/>
              </w:rPr>
              <w:t>USA</w:t>
            </w:r>
            <w:r w:rsidRPr="003D1B45">
              <w:rPr>
                <w:rFonts w:cs="Arial"/>
                <w:color w:val="000000"/>
                <w:kern w:val="24"/>
                <w:sz w:val="22"/>
              </w:rPr>
              <w:t>)</w:t>
            </w:r>
          </w:p>
        </w:tc>
        <w:tc>
          <w:tcPr>
            <w:tcW w:w="1134" w:type="dxa"/>
            <w:shd w:val="clear" w:color="auto" w:fill="auto"/>
          </w:tcPr>
          <w:p w14:paraId="1560685D" w14:textId="77777777" w:rsidR="00A21C01" w:rsidRPr="003D1B45" w:rsidRDefault="00205E8C">
            <w:pPr>
              <w:spacing w:line="240" w:lineRule="auto"/>
              <w:rPr>
                <w:rFonts w:cs="Arial"/>
                <w:color w:val="000000"/>
                <w:kern w:val="24"/>
                <w:sz w:val="22"/>
              </w:rPr>
            </w:pPr>
            <w:hyperlink r:id="rId48" w:history="1">
              <w:r w:rsidR="00A21C01" w:rsidRPr="003D1B45">
                <w:rPr>
                  <w:rStyle w:val="Hyperlink"/>
                  <w:sz w:val="22"/>
                </w:rPr>
                <w:t>Case R752</w:t>
              </w:r>
            </w:hyperlink>
          </w:p>
        </w:tc>
        <w:tc>
          <w:tcPr>
            <w:tcW w:w="1134" w:type="dxa"/>
            <w:shd w:val="clear" w:color="auto" w:fill="DEEAF6" w:themeFill="accent5" w:themeFillTint="33"/>
            <w:vAlign w:val="center"/>
          </w:tcPr>
          <w:p w14:paraId="2E90748E" w14:textId="77777777" w:rsidR="00A21C01" w:rsidRPr="003D1B45" w:rsidRDefault="00A21C01">
            <w:pPr>
              <w:spacing w:line="240" w:lineRule="auto"/>
              <w:jc w:val="right"/>
              <w:rPr>
                <w:rFonts w:cs="Arial"/>
                <w:b/>
                <w:bCs/>
                <w:sz w:val="22"/>
              </w:rPr>
            </w:pPr>
            <w:r w:rsidRPr="003D1B45">
              <w:rPr>
                <w:rFonts w:cs="Arial"/>
                <w:color w:val="000000"/>
                <w:kern w:val="24"/>
                <w:sz w:val="22"/>
              </w:rPr>
              <w:t>2</w:t>
            </w:r>
          </w:p>
        </w:tc>
        <w:tc>
          <w:tcPr>
            <w:tcW w:w="1418" w:type="dxa"/>
            <w:vAlign w:val="center"/>
          </w:tcPr>
          <w:p w14:paraId="76D42AF9" w14:textId="77777777" w:rsidR="00A21C01" w:rsidRPr="003D1B45" w:rsidRDefault="00A21C01">
            <w:pPr>
              <w:spacing w:line="240" w:lineRule="auto"/>
              <w:jc w:val="right"/>
              <w:rPr>
                <w:rFonts w:cs="Arial"/>
                <w:b/>
                <w:bCs/>
                <w:sz w:val="22"/>
              </w:rPr>
            </w:pPr>
          </w:p>
        </w:tc>
        <w:tc>
          <w:tcPr>
            <w:tcW w:w="1417" w:type="dxa"/>
            <w:vAlign w:val="center"/>
          </w:tcPr>
          <w:p w14:paraId="448185EC" w14:textId="77777777" w:rsidR="00A21C01" w:rsidRPr="003D1B45" w:rsidRDefault="00A21C01">
            <w:pPr>
              <w:spacing w:line="240" w:lineRule="auto"/>
              <w:jc w:val="right"/>
              <w:rPr>
                <w:rFonts w:cs="Arial"/>
                <w:b/>
                <w:bCs/>
                <w:sz w:val="22"/>
              </w:rPr>
            </w:pPr>
            <w:r w:rsidRPr="003D1B45">
              <w:rPr>
                <w:rFonts w:cs="Arial"/>
                <w:color w:val="000000"/>
                <w:kern w:val="24"/>
                <w:sz w:val="22"/>
              </w:rPr>
              <w:t>1</w:t>
            </w:r>
          </w:p>
        </w:tc>
        <w:tc>
          <w:tcPr>
            <w:tcW w:w="1276" w:type="dxa"/>
            <w:vAlign w:val="center"/>
          </w:tcPr>
          <w:p w14:paraId="37FB8521" w14:textId="77777777" w:rsidR="00A21C01" w:rsidRPr="003D1B45" w:rsidRDefault="00A21C01">
            <w:pPr>
              <w:spacing w:line="240" w:lineRule="auto"/>
              <w:jc w:val="right"/>
              <w:rPr>
                <w:rFonts w:cs="Arial"/>
                <w:b/>
                <w:bCs/>
                <w:sz w:val="22"/>
              </w:rPr>
            </w:pPr>
            <w:r w:rsidRPr="003D1B45">
              <w:rPr>
                <w:rFonts w:cs="Arial"/>
                <w:color w:val="000000"/>
                <w:kern w:val="24"/>
                <w:sz w:val="22"/>
              </w:rPr>
              <w:t>1</w:t>
            </w:r>
          </w:p>
        </w:tc>
        <w:tc>
          <w:tcPr>
            <w:tcW w:w="1559" w:type="dxa"/>
            <w:vAlign w:val="center"/>
          </w:tcPr>
          <w:p w14:paraId="472F0706" w14:textId="77777777" w:rsidR="00A21C01" w:rsidRPr="003D1B45" w:rsidRDefault="00A21C01">
            <w:pPr>
              <w:spacing w:line="240" w:lineRule="auto"/>
              <w:jc w:val="right"/>
              <w:rPr>
                <w:rFonts w:cs="Arial"/>
                <w:b/>
                <w:bCs/>
                <w:sz w:val="22"/>
              </w:rPr>
            </w:pPr>
          </w:p>
        </w:tc>
        <w:tc>
          <w:tcPr>
            <w:tcW w:w="1560" w:type="dxa"/>
            <w:vAlign w:val="center"/>
          </w:tcPr>
          <w:p w14:paraId="722D4852" w14:textId="33442BC9" w:rsidR="00A21C01" w:rsidRPr="003D1B45" w:rsidRDefault="00A21C01">
            <w:pPr>
              <w:spacing w:line="240" w:lineRule="auto"/>
              <w:rPr>
                <w:rFonts w:cs="Arial"/>
                <w:b/>
                <w:bCs/>
                <w:sz w:val="22"/>
              </w:rPr>
            </w:pPr>
            <w:r w:rsidRPr="003D1B45">
              <w:rPr>
                <w:rFonts w:cs="Arial"/>
                <w:color w:val="000000"/>
                <w:kern w:val="24"/>
                <w:sz w:val="22"/>
              </w:rPr>
              <w:t xml:space="preserve">Canada, Singapore, </w:t>
            </w:r>
            <w:r w:rsidR="003F6E61">
              <w:rPr>
                <w:rFonts w:cs="Arial"/>
                <w:color w:val="000000"/>
                <w:kern w:val="24"/>
                <w:sz w:val="22"/>
              </w:rPr>
              <w:t>USA</w:t>
            </w:r>
          </w:p>
        </w:tc>
        <w:tc>
          <w:tcPr>
            <w:tcW w:w="2754" w:type="dxa"/>
            <w:vAlign w:val="center"/>
          </w:tcPr>
          <w:p w14:paraId="4E3C5525" w14:textId="77777777" w:rsidR="00A21C01" w:rsidRPr="003D1B45" w:rsidRDefault="00A21C01">
            <w:pPr>
              <w:spacing w:line="240" w:lineRule="auto"/>
              <w:jc w:val="right"/>
              <w:rPr>
                <w:rFonts w:cs="Arial"/>
                <w:b/>
                <w:bCs/>
                <w:sz w:val="22"/>
              </w:rPr>
            </w:pPr>
            <w:r w:rsidRPr="003D1B45">
              <w:rPr>
                <w:rFonts w:cs="Arial"/>
                <w:color w:val="000000"/>
                <w:kern w:val="24"/>
                <w:sz w:val="22"/>
              </w:rPr>
              <w:t>15162098,15180091, 15180099, 27101941, 38249091, 38249097</w:t>
            </w:r>
          </w:p>
        </w:tc>
      </w:tr>
      <w:tr w:rsidR="00A21C01" w:rsidRPr="00B54211" w14:paraId="187E3C3F" w14:textId="77777777" w:rsidTr="00A21C01">
        <w:trPr>
          <w:trHeight w:val="1248"/>
        </w:trPr>
        <w:tc>
          <w:tcPr>
            <w:tcW w:w="1696" w:type="dxa"/>
            <w:vAlign w:val="center"/>
          </w:tcPr>
          <w:p w14:paraId="0E151325" w14:textId="3802FE83" w:rsidR="00A21C01" w:rsidRPr="003D1B45" w:rsidRDefault="00A21C01">
            <w:pPr>
              <w:spacing w:line="240" w:lineRule="auto"/>
              <w:rPr>
                <w:rFonts w:cs="Arial"/>
                <w:color w:val="000000"/>
                <w:kern w:val="24"/>
                <w:sz w:val="22"/>
              </w:rPr>
            </w:pPr>
            <w:r w:rsidRPr="003D1B45">
              <w:rPr>
                <w:rFonts w:cs="Arial"/>
                <w:color w:val="000000"/>
                <w:kern w:val="24"/>
                <w:sz w:val="22"/>
              </w:rPr>
              <w:t>Monosodium glutamate (MSG) (</w:t>
            </w:r>
            <w:r w:rsidR="00192BF6">
              <w:rPr>
                <w:rFonts w:cs="Arial"/>
                <w:color w:val="000000"/>
                <w:kern w:val="24"/>
                <w:sz w:val="22"/>
              </w:rPr>
              <w:t>PRC</w:t>
            </w:r>
            <w:r w:rsidRPr="003D1B45">
              <w:rPr>
                <w:rFonts w:cs="Arial"/>
                <w:color w:val="000000"/>
                <w:kern w:val="24"/>
                <w:sz w:val="22"/>
              </w:rPr>
              <w:t>)</w:t>
            </w:r>
          </w:p>
        </w:tc>
        <w:tc>
          <w:tcPr>
            <w:tcW w:w="1134" w:type="dxa"/>
            <w:shd w:val="clear" w:color="auto" w:fill="auto"/>
          </w:tcPr>
          <w:p w14:paraId="598C1B6D" w14:textId="77777777" w:rsidR="00A21C01" w:rsidRPr="003D1B45" w:rsidRDefault="00205E8C">
            <w:pPr>
              <w:spacing w:line="240" w:lineRule="auto"/>
              <w:rPr>
                <w:rFonts w:cs="Arial"/>
                <w:color w:val="000000"/>
                <w:kern w:val="24"/>
                <w:sz w:val="22"/>
              </w:rPr>
            </w:pPr>
            <w:hyperlink r:id="rId49" w:history="1">
              <w:r w:rsidR="00A21C01" w:rsidRPr="003D1B45">
                <w:rPr>
                  <w:rStyle w:val="Hyperlink"/>
                  <w:sz w:val="22"/>
                </w:rPr>
                <w:t>Case R757</w:t>
              </w:r>
            </w:hyperlink>
          </w:p>
        </w:tc>
        <w:tc>
          <w:tcPr>
            <w:tcW w:w="1134" w:type="dxa"/>
            <w:shd w:val="clear" w:color="auto" w:fill="DEEAF6" w:themeFill="accent5" w:themeFillTint="33"/>
            <w:vAlign w:val="center"/>
          </w:tcPr>
          <w:p w14:paraId="6F050C25" w14:textId="77777777" w:rsidR="00A21C01" w:rsidRPr="003D1B45" w:rsidRDefault="00A21C01">
            <w:pPr>
              <w:spacing w:line="240" w:lineRule="auto"/>
              <w:jc w:val="right"/>
              <w:rPr>
                <w:rFonts w:cs="Arial"/>
                <w:color w:val="000000"/>
                <w:kern w:val="24"/>
                <w:sz w:val="22"/>
              </w:rPr>
            </w:pPr>
            <w:r w:rsidRPr="003D1B45">
              <w:rPr>
                <w:rFonts w:cs="Arial"/>
                <w:color w:val="000000"/>
                <w:kern w:val="24"/>
                <w:sz w:val="22"/>
              </w:rPr>
              <w:t>1</w:t>
            </w:r>
          </w:p>
        </w:tc>
        <w:tc>
          <w:tcPr>
            <w:tcW w:w="1418" w:type="dxa"/>
            <w:vAlign w:val="center"/>
          </w:tcPr>
          <w:p w14:paraId="2FAFE8B2" w14:textId="77777777" w:rsidR="00A21C01" w:rsidRPr="003D1B45" w:rsidRDefault="00A21C01">
            <w:pPr>
              <w:spacing w:line="240" w:lineRule="auto"/>
              <w:jc w:val="right"/>
              <w:rPr>
                <w:rFonts w:cs="Arial"/>
                <w:b/>
                <w:bCs/>
                <w:sz w:val="22"/>
              </w:rPr>
            </w:pPr>
          </w:p>
        </w:tc>
        <w:tc>
          <w:tcPr>
            <w:tcW w:w="1417" w:type="dxa"/>
            <w:vAlign w:val="center"/>
          </w:tcPr>
          <w:p w14:paraId="0A7EB4E2" w14:textId="77777777" w:rsidR="00A21C01" w:rsidRPr="003D1B45" w:rsidRDefault="00A21C01">
            <w:pPr>
              <w:spacing w:line="240" w:lineRule="auto"/>
              <w:jc w:val="right"/>
              <w:rPr>
                <w:rFonts w:cs="Arial"/>
                <w:color w:val="000000"/>
                <w:kern w:val="24"/>
                <w:sz w:val="22"/>
              </w:rPr>
            </w:pPr>
          </w:p>
        </w:tc>
        <w:tc>
          <w:tcPr>
            <w:tcW w:w="1276" w:type="dxa"/>
            <w:vAlign w:val="center"/>
          </w:tcPr>
          <w:p w14:paraId="39EDE8C4" w14:textId="77777777" w:rsidR="00A21C01" w:rsidRPr="003D1B45" w:rsidRDefault="00A21C01">
            <w:pPr>
              <w:spacing w:line="240" w:lineRule="auto"/>
              <w:jc w:val="right"/>
              <w:rPr>
                <w:rFonts w:cs="Arial"/>
                <w:sz w:val="22"/>
              </w:rPr>
            </w:pPr>
            <w:r w:rsidRPr="003D1B45">
              <w:rPr>
                <w:rFonts w:cs="Arial"/>
                <w:sz w:val="22"/>
              </w:rPr>
              <w:t>1</w:t>
            </w:r>
          </w:p>
        </w:tc>
        <w:tc>
          <w:tcPr>
            <w:tcW w:w="1559" w:type="dxa"/>
            <w:vAlign w:val="center"/>
          </w:tcPr>
          <w:p w14:paraId="7707768D" w14:textId="77777777" w:rsidR="00A21C01" w:rsidRPr="003D1B45" w:rsidRDefault="00A21C01">
            <w:pPr>
              <w:spacing w:line="240" w:lineRule="auto"/>
              <w:jc w:val="right"/>
              <w:rPr>
                <w:rFonts w:cs="Arial"/>
                <w:color w:val="000000"/>
                <w:kern w:val="24"/>
                <w:sz w:val="22"/>
              </w:rPr>
            </w:pPr>
          </w:p>
        </w:tc>
        <w:tc>
          <w:tcPr>
            <w:tcW w:w="1560" w:type="dxa"/>
            <w:vAlign w:val="center"/>
          </w:tcPr>
          <w:p w14:paraId="745BE6C5" w14:textId="492253D7" w:rsidR="00A21C01" w:rsidRPr="003D1B45" w:rsidRDefault="00192BF6">
            <w:pPr>
              <w:spacing w:line="240" w:lineRule="auto"/>
              <w:rPr>
                <w:rFonts w:cs="Arial"/>
                <w:color w:val="000000"/>
                <w:kern w:val="24"/>
                <w:sz w:val="22"/>
              </w:rPr>
            </w:pPr>
            <w:r>
              <w:rPr>
                <w:rFonts w:cs="Arial"/>
                <w:color w:val="000000"/>
                <w:kern w:val="24"/>
                <w:sz w:val="22"/>
              </w:rPr>
              <w:t>PRC</w:t>
            </w:r>
          </w:p>
        </w:tc>
        <w:tc>
          <w:tcPr>
            <w:tcW w:w="2754" w:type="dxa"/>
            <w:vAlign w:val="center"/>
          </w:tcPr>
          <w:p w14:paraId="04B114F9" w14:textId="77777777" w:rsidR="00A21C01" w:rsidRPr="003D1B45" w:rsidRDefault="00A21C01">
            <w:pPr>
              <w:spacing w:line="240" w:lineRule="auto"/>
              <w:jc w:val="right"/>
              <w:rPr>
                <w:rFonts w:cs="Arial"/>
                <w:color w:val="000000"/>
                <w:kern w:val="24"/>
                <w:sz w:val="22"/>
              </w:rPr>
            </w:pPr>
            <w:r w:rsidRPr="003D1B45">
              <w:rPr>
                <w:rFonts w:cs="Arial"/>
                <w:color w:val="000000"/>
                <w:kern w:val="24"/>
                <w:sz w:val="22"/>
              </w:rPr>
              <w:t>21039090, 21041000, 21042000, 38249993, 38249993</w:t>
            </w:r>
          </w:p>
        </w:tc>
      </w:tr>
      <w:tr w:rsidR="00A21C01" w:rsidRPr="00B54211" w14:paraId="290118B4" w14:textId="77777777" w:rsidTr="00A21C01">
        <w:tc>
          <w:tcPr>
            <w:tcW w:w="1696" w:type="dxa"/>
            <w:vAlign w:val="center"/>
          </w:tcPr>
          <w:p w14:paraId="3DDA01AC" w14:textId="65EAAC13" w:rsidR="00A21C01" w:rsidRPr="003D1B45" w:rsidRDefault="00A21C01">
            <w:pPr>
              <w:spacing w:line="240" w:lineRule="auto"/>
              <w:rPr>
                <w:rFonts w:cs="Arial"/>
                <w:color w:val="000000"/>
                <w:kern w:val="24"/>
                <w:sz w:val="22"/>
              </w:rPr>
            </w:pPr>
            <w:r w:rsidRPr="003D1B45">
              <w:rPr>
                <w:rFonts w:cs="Arial"/>
                <w:color w:val="000000"/>
                <w:kern w:val="24"/>
                <w:sz w:val="22"/>
              </w:rPr>
              <w:t>Peroxo-sulphates (</w:t>
            </w:r>
            <w:r w:rsidR="00192BF6">
              <w:rPr>
                <w:rFonts w:cs="Arial"/>
                <w:color w:val="000000"/>
                <w:kern w:val="24"/>
                <w:sz w:val="22"/>
              </w:rPr>
              <w:t>PRC</w:t>
            </w:r>
            <w:r w:rsidRPr="003D1B45">
              <w:rPr>
                <w:rFonts w:cs="Arial"/>
                <w:color w:val="000000"/>
                <w:kern w:val="24"/>
                <w:sz w:val="22"/>
              </w:rPr>
              <w:t>)</w:t>
            </w:r>
          </w:p>
        </w:tc>
        <w:tc>
          <w:tcPr>
            <w:tcW w:w="1134" w:type="dxa"/>
            <w:shd w:val="clear" w:color="auto" w:fill="auto"/>
          </w:tcPr>
          <w:p w14:paraId="6F7EF395" w14:textId="77777777" w:rsidR="00A21C01" w:rsidRPr="003D1B45" w:rsidRDefault="00205E8C">
            <w:pPr>
              <w:spacing w:line="240" w:lineRule="auto"/>
              <w:rPr>
                <w:rFonts w:cs="Arial"/>
                <w:color w:val="000000"/>
                <w:kern w:val="24"/>
                <w:sz w:val="22"/>
              </w:rPr>
            </w:pPr>
            <w:hyperlink r:id="rId50" w:history="1">
              <w:r w:rsidR="00A21C01" w:rsidRPr="003D1B45">
                <w:rPr>
                  <w:rStyle w:val="Hyperlink"/>
                  <w:sz w:val="22"/>
                </w:rPr>
                <w:t>Case R707</w:t>
              </w:r>
            </w:hyperlink>
          </w:p>
        </w:tc>
        <w:tc>
          <w:tcPr>
            <w:tcW w:w="1134" w:type="dxa"/>
            <w:shd w:val="clear" w:color="auto" w:fill="DEEAF6" w:themeFill="accent5" w:themeFillTint="33"/>
            <w:vAlign w:val="center"/>
          </w:tcPr>
          <w:p w14:paraId="74537BA2" w14:textId="77777777" w:rsidR="00A21C01" w:rsidRPr="003D1B45" w:rsidRDefault="00A21C01">
            <w:pPr>
              <w:spacing w:line="240" w:lineRule="auto"/>
              <w:jc w:val="right"/>
              <w:rPr>
                <w:rFonts w:cs="Arial"/>
                <w:color w:val="000000"/>
                <w:kern w:val="24"/>
                <w:sz w:val="22"/>
              </w:rPr>
            </w:pPr>
            <w:r w:rsidRPr="003D1B45">
              <w:rPr>
                <w:rFonts w:cs="Arial"/>
                <w:color w:val="000000"/>
                <w:kern w:val="24"/>
                <w:sz w:val="22"/>
              </w:rPr>
              <w:t>1</w:t>
            </w:r>
          </w:p>
        </w:tc>
        <w:tc>
          <w:tcPr>
            <w:tcW w:w="1418" w:type="dxa"/>
            <w:vAlign w:val="center"/>
          </w:tcPr>
          <w:p w14:paraId="41BAF441" w14:textId="77777777" w:rsidR="00A21C01" w:rsidRPr="003D1B45" w:rsidRDefault="00A21C01">
            <w:pPr>
              <w:spacing w:line="240" w:lineRule="auto"/>
              <w:jc w:val="right"/>
              <w:rPr>
                <w:rFonts w:cs="Arial"/>
                <w:b/>
                <w:bCs/>
                <w:sz w:val="22"/>
              </w:rPr>
            </w:pPr>
          </w:p>
        </w:tc>
        <w:tc>
          <w:tcPr>
            <w:tcW w:w="1417" w:type="dxa"/>
            <w:vAlign w:val="center"/>
          </w:tcPr>
          <w:p w14:paraId="3C394BF0" w14:textId="77777777" w:rsidR="00A21C01" w:rsidRPr="003D1B45" w:rsidRDefault="00A21C01">
            <w:pPr>
              <w:spacing w:line="240" w:lineRule="auto"/>
              <w:jc w:val="right"/>
              <w:rPr>
                <w:rFonts w:cs="Arial"/>
                <w:color w:val="000000"/>
                <w:kern w:val="24"/>
                <w:sz w:val="22"/>
              </w:rPr>
            </w:pPr>
          </w:p>
        </w:tc>
        <w:tc>
          <w:tcPr>
            <w:tcW w:w="1276" w:type="dxa"/>
            <w:vAlign w:val="center"/>
          </w:tcPr>
          <w:p w14:paraId="7D23065B" w14:textId="77777777" w:rsidR="00A21C01" w:rsidRPr="003D1B45" w:rsidRDefault="00A21C01">
            <w:pPr>
              <w:spacing w:line="240" w:lineRule="auto"/>
              <w:jc w:val="right"/>
              <w:rPr>
                <w:rFonts w:cs="Arial"/>
                <w:b/>
                <w:bCs/>
                <w:sz w:val="22"/>
              </w:rPr>
            </w:pPr>
          </w:p>
        </w:tc>
        <w:tc>
          <w:tcPr>
            <w:tcW w:w="1559" w:type="dxa"/>
            <w:vAlign w:val="center"/>
          </w:tcPr>
          <w:p w14:paraId="43B7DEE6" w14:textId="77777777" w:rsidR="00A21C01" w:rsidRPr="003D1B45" w:rsidRDefault="00A21C01">
            <w:pPr>
              <w:spacing w:line="240" w:lineRule="auto"/>
              <w:jc w:val="right"/>
              <w:rPr>
                <w:rFonts w:cs="Arial"/>
                <w:b/>
                <w:bCs/>
                <w:sz w:val="22"/>
              </w:rPr>
            </w:pPr>
            <w:r w:rsidRPr="003D1B45">
              <w:rPr>
                <w:rFonts w:cs="Arial"/>
                <w:color w:val="000000"/>
                <w:kern w:val="24"/>
                <w:sz w:val="22"/>
              </w:rPr>
              <w:t>1</w:t>
            </w:r>
          </w:p>
        </w:tc>
        <w:tc>
          <w:tcPr>
            <w:tcW w:w="1560" w:type="dxa"/>
            <w:vAlign w:val="center"/>
          </w:tcPr>
          <w:p w14:paraId="7FEEF18C" w14:textId="77ED65E9" w:rsidR="00A21C01" w:rsidRPr="003D1B45" w:rsidRDefault="00192BF6">
            <w:pPr>
              <w:spacing w:line="240" w:lineRule="auto"/>
              <w:rPr>
                <w:rFonts w:cs="Arial"/>
                <w:color w:val="000000"/>
                <w:kern w:val="24"/>
                <w:sz w:val="22"/>
              </w:rPr>
            </w:pPr>
            <w:r>
              <w:rPr>
                <w:rFonts w:cs="Arial"/>
                <w:color w:val="000000"/>
                <w:kern w:val="24"/>
                <w:sz w:val="22"/>
              </w:rPr>
              <w:t>PRC</w:t>
            </w:r>
          </w:p>
        </w:tc>
        <w:tc>
          <w:tcPr>
            <w:tcW w:w="2754" w:type="dxa"/>
            <w:vAlign w:val="center"/>
          </w:tcPr>
          <w:p w14:paraId="0CB57974" w14:textId="77777777" w:rsidR="00A21C01" w:rsidRPr="003D1B45" w:rsidRDefault="00A21C01">
            <w:pPr>
              <w:spacing w:line="240" w:lineRule="auto"/>
              <w:jc w:val="right"/>
              <w:rPr>
                <w:rFonts w:cs="Arial"/>
                <w:color w:val="000000"/>
                <w:kern w:val="24"/>
                <w:sz w:val="22"/>
              </w:rPr>
            </w:pPr>
            <w:r w:rsidRPr="003D1B45">
              <w:rPr>
                <w:rFonts w:cs="Arial"/>
                <w:color w:val="000000"/>
                <w:kern w:val="24"/>
                <w:sz w:val="22"/>
              </w:rPr>
              <w:t>28334000</w:t>
            </w:r>
          </w:p>
        </w:tc>
      </w:tr>
      <w:tr w:rsidR="00A21C01" w:rsidRPr="00B54211" w14:paraId="34A9FCCC" w14:textId="77777777" w:rsidTr="00A21C01">
        <w:tc>
          <w:tcPr>
            <w:tcW w:w="1696" w:type="dxa"/>
            <w:vAlign w:val="center"/>
          </w:tcPr>
          <w:p w14:paraId="2A1D88C2" w14:textId="76D82F7D" w:rsidR="00A21C01" w:rsidRPr="003D1B45" w:rsidRDefault="00A21C01">
            <w:pPr>
              <w:spacing w:line="240" w:lineRule="auto"/>
              <w:rPr>
                <w:rFonts w:cs="Arial"/>
                <w:b/>
                <w:bCs/>
                <w:sz w:val="22"/>
              </w:rPr>
            </w:pPr>
            <w:r w:rsidRPr="003D1B45">
              <w:rPr>
                <w:rFonts w:cs="Arial"/>
                <w:color w:val="000000"/>
                <w:kern w:val="24"/>
                <w:sz w:val="22"/>
              </w:rPr>
              <w:t>Citric acid (</w:t>
            </w:r>
            <w:r w:rsidR="00192BF6">
              <w:rPr>
                <w:rFonts w:cs="Arial"/>
                <w:color w:val="000000"/>
                <w:kern w:val="24"/>
                <w:sz w:val="22"/>
              </w:rPr>
              <w:t>PRC</w:t>
            </w:r>
            <w:r w:rsidRPr="003D1B45">
              <w:rPr>
                <w:rFonts w:cs="Arial"/>
                <w:color w:val="000000"/>
                <w:kern w:val="24"/>
                <w:sz w:val="22"/>
              </w:rPr>
              <w:t>)</w:t>
            </w:r>
          </w:p>
        </w:tc>
        <w:tc>
          <w:tcPr>
            <w:tcW w:w="1134" w:type="dxa"/>
            <w:shd w:val="clear" w:color="auto" w:fill="auto"/>
          </w:tcPr>
          <w:p w14:paraId="4A144C5F" w14:textId="77777777" w:rsidR="00A21C01" w:rsidRPr="003D1B45" w:rsidRDefault="00205E8C">
            <w:pPr>
              <w:spacing w:line="240" w:lineRule="auto"/>
              <w:rPr>
                <w:rFonts w:cs="Arial"/>
                <w:color w:val="000000"/>
                <w:kern w:val="24"/>
                <w:sz w:val="22"/>
              </w:rPr>
            </w:pPr>
            <w:hyperlink r:id="rId51" w:history="1">
              <w:r w:rsidR="00A21C01" w:rsidRPr="003D1B45">
                <w:rPr>
                  <w:rStyle w:val="Hyperlink"/>
                  <w:sz w:val="22"/>
                </w:rPr>
                <w:t>Case R614</w:t>
              </w:r>
            </w:hyperlink>
          </w:p>
        </w:tc>
        <w:tc>
          <w:tcPr>
            <w:tcW w:w="1134" w:type="dxa"/>
            <w:shd w:val="clear" w:color="auto" w:fill="DEEAF6" w:themeFill="accent5" w:themeFillTint="33"/>
            <w:vAlign w:val="center"/>
          </w:tcPr>
          <w:p w14:paraId="07C2C6CF" w14:textId="77777777" w:rsidR="00A21C01" w:rsidRPr="003D1B45" w:rsidRDefault="00A21C01">
            <w:pPr>
              <w:spacing w:line="240" w:lineRule="auto"/>
              <w:jc w:val="right"/>
              <w:rPr>
                <w:rFonts w:cs="Arial"/>
                <w:b/>
                <w:bCs/>
                <w:sz w:val="22"/>
              </w:rPr>
            </w:pPr>
            <w:r w:rsidRPr="003D1B45">
              <w:rPr>
                <w:rFonts w:cs="Arial"/>
                <w:color w:val="000000"/>
                <w:kern w:val="24"/>
                <w:sz w:val="22"/>
              </w:rPr>
              <w:t>2</w:t>
            </w:r>
          </w:p>
        </w:tc>
        <w:tc>
          <w:tcPr>
            <w:tcW w:w="1418" w:type="dxa"/>
            <w:vAlign w:val="center"/>
          </w:tcPr>
          <w:p w14:paraId="5651B50F" w14:textId="77777777" w:rsidR="00A21C01" w:rsidRPr="003D1B45" w:rsidRDefault="00A21C01">
            <w:pPr>
              <w:spacing w:line="240" w:lineRule="auto"/>
              <w:jc w:val="right"/>
              <w:rPr>
                <w:rFonts w:cs="Arial"/>
                <w:b/>
                <w:bCs/>
                <w:sz w:val="22"/>
              </w:rPr>
            </w:pPr>
          </w:p>
        </w:tc>
        <w:tc>
          <w:tcPr>
            <w:tcW w:w="1417" w:type="dxa"/>
            <w:vAlign w:val="center"/>
          </w:tcPr>
          <w:p w14:paraId="179BF3B1" w14:textId="77777777" w:rsidR="00A21C01" w:rsidRPr="003D1B45" w:rsidRDefault="00A21C01">
            <w:pPr>
              <w:spacing w:line="240" w:lineRule="auto"/>
              <w:jc w:val="right"/>
              <w:rPr>
                <w:rFonts w:cs="Arial"/>
                <w:b/>
                <w:bCs/>
                <w:sz w:val="22"/>
              </w:rPr>
            </w:pPr>
            <w:r w:rsidRPr="003D1B45">
              <w:rPr>
                <w:rFonts w:cs="Arial"/>
                <w:color w:val="000000"/>
                <w:kern w:val="24"/>
                <w:sz w:val="22"/>
              </w:rPr>
              <w:t>2</w:t>
            </w:r>
          </w:p>
        </w:tc>
        <w:tc>
          <w:tcPr>
            <w:tcW w:w="1276" w:type="dxa"/>
            <w:vAlign w:val="center"/>
          </w:tcPr>
          <w:p w14:paraId="54E08EB6" w14:textId="77777777" w:rsidR="00A21C01" w:rsidRPr="003D1B45" w:rsidRDefault="00A21C01">
            <w:pPr>
              <w:spacing w:line="240" w:lineRule="auto"/>
              <w:jc w:val="right"/>
              <w:rPr>
                <w:rFonts w:cs="Arial"/>
                <w:b/>
                <w:bCs/>
                <w:sz w:val="22"/>
              </w:rPr>
            </w:pPr>
          </w:p>
        </w:tc>
        <w:tc>
          <w:tcPr>
            <w:tcW w:w="1559" w:type="dxa"/>
            <w:vAlign w:val="center"/>
          </w:tcPr>
          <w:p w14:paraId="45CFCBE9" w14:textId="77777777" w:rsidR="00A21C01" w:rsidRPr="003D1B45" w:rsidRDefault="00A21C01">
            <w:pPr>
              <w:spacing w:line="240" w:lineRule="auto"/>
              <w:jc w:val="right"/>
              <w:rPr>
                <w:rFonts w:cs="Arial"/>
                <w:b/>
                <w:bCs/>
                <w:sz w:val="22"/>
              </w:rPr>
            </w:pPr>
          </w:p>
        </w:tc>
        <w:tc>
          <w:tcPr>
            <w:tcW w:w="1560" w:type="dxa"/>
            <w:vAlign w:val="center"/>
          </w:tcPr>
          <w:p w14:paraId="4FCE83C8" w14:textId="77777777" w:rsidR="00A21C01" w:rsidRPr="003D1B45" w:rsidRDefault="00A21C01">
            <w:pPr>
              <w:spacing w:line="240" w:lineRule="auto"/>
              <w:rPr>
                <w:rFonts w:cs="Arial"/>
                <w:b/>
                <w:bCs/>
                <w:sz w:val="22"/>
              </w:rPr>
            </w:pPr>
            <w:r w:rsidRPr="003D1B45">
              <w:rPr>
                <w:rFonts w:cs="Arial"/>
                <w:color w:val="000000"/>
                <w:kern w:val="24"/>
                <w:sz w:val="22"/>
              </w:rPr>
              <w:t>Cambodia, Malaysia</w:t>
            </w:r>
          </w:p>
        </w:tc>
        <w:tc>
          <w:tcPr>
            <w:tcW w:w="2754" w:type="dxa"/>
            <w:vAlign w:val="center"/>
          </w:tcPr>
          <w:p w14:paraId="40A27D34" w14:textId="77777777" w:rsidR="00A21C01" w:rsidRPr="003D1B45" w:rsidRDefault="00A21C01">
            <w:pPr>
              <w:spacing w:line="240" w:lineRule="auto"/>
              <w:jc w:val="right"/>
              <w:rPr>
                <w:rFonts w:cs="Arial"/>
                <w:b/>
                <w:bCs/>
                <w:sz w:val="22"/>
              </w:rPr>
            </w:pPr>
            <w:r w:rsidRPr="003D1B45">
              <w:rPr>
                <w:rFonts w:cs="Arial"/>
                <w:color w:val="000000"/>
                <w:kern w:val="24"/>
                <w:sz w:val="22"/>
              </w:rPr>
              <w:t>29181400, 29181500</w:t>
            </w:r>
          </w:p>
        </w:tc>
      </w:tr>
      <w:tr w:rsidR="00A21C01" w:rsidRPr="00B54211" w14:paraId="5374F0F6" w14:textId="77777777" w:rsidTr="00A21C01">
        <w:tc>
          <w:tcPr>
            <w:tcW w:w="1696" w:type="dxa"/>
            <w:vAlign w:val="center"/>
          </w:tcPr>
          <w:p w14:paraId="7853EDD4" w14:textId="5EA2BF67" w:rsidR="00A21C01" w:rsidRPr="003D1B45" w:rsidRDefault="00A21C01">
            <w:pPr>
              <w:spacing w:line="240" w:lineRule="auto"/>
              <w:rPr>
                <w:rFonts w:cs="Arial"/>
                <w:sz w:val="22"/>
              </w:rPr>
            </w:pPr>
            <w:r w:rsidRPr="003D1B45">
              <w:rPr>
                <w:rFonts w:cs="Arial"/>
                <w:color w:val="000000"/>
                <w:kern w:val="24"/>
                <w:sz w:val="22"/>
              </w:rPr>
              <w:t>Silicon (</w:t>
            </w:r>
            <w:r w:rsidR="00192BF6">
              <w:rPr>
                <w:rFonts w:cs="Arial"/>
                <w:color w:val="000000"/>
                <w:kern w:val="24"/>
                <w:sz w:val="22"/>
              </w:rPr>
              <w:t>PRC</w:t>
            </w:r>
            <w:r w:rsidRPr="003D1B45">
              <w:rPr>
                <w:rFonts w:cs="Arial"/>
                <w:color w:val="000000"/>
                <w:kern w:val="24"/>
                <w:sz w:val="22"/>
              </w:rPr>
              <w:t>, South Korea)</w:t>
            </w:r>
          </w:p>
        </w:tc>
        <w:tc>
          <w:tcPr>
            <w:tcW w:w="1134" w:type="dxa"/>
            <w:shd w:val="clear" w:color="auto" w:fill="auto"/>
          </w:tcPr>
          <w:p w14:paraId="46D7E868" w14:textId="77777777" w:rsidR="00A21C01" w:rsidRPr="003D1B45" w:rsidRDefault="00205E8C">
            <w:pPr>
              <w:spacing w:line="240" w:lineRule="auto"/>
              <w:rPr>
                <w:rFonts w:cs="Arial"/>
                <w:color w:val="000000"/>
                <w:kern w:val="24"/>
                <w:sz w:val="22"/>
              </w:rPr>
            </w:pPr>
            <w:hyperlink r:id="rId52" w:history="1">
              <w:r w:rsidR="00A21C01" w:rsidRPr="003D1B45">
                <w:rPr>
                  <w:rStyle w:val="Hyperlink"/>
                  <w:sz w:val="22"/>
                </w:rPr>
                <w:t>Case R556</w:t>
              </w:r>
            </w:hyperlink>
          </w:p>
        </w:tc>
        <w:tc>
          <w:tcPr>
            <w:tcW w:w="1134" w:type="dxa"/>
            <w:shd w:val="clear" w:color="auto" w:fill="DEEAF6" w:themeFill="accent5" w:themeFillTint="33"/>
            <w:vAlign w:val="center"/>
          </w:tcPr>
          <w:p w14:paraId="63FBCA80" w14:textId="77777777" w:rsidR="00A21C01" w:rsidRPr="003D1B45" w:rsidRDefault="00A21C01">
            <w:pPr>
              <w:spacing w:line="240" w:lineRule="auto"/>
              <w:jc w:val="right"/>
              <w:rPr>
                <w:rFonts w:cs="Arial"/>
                <w:sz w:val="22"/>
              </w:rPr>
            </w:pPr>
            <w:r w:rsidRPr="003D1B45">
              <w:rPr>
                <w:rFonts w:cs="Arial"/>
                <w:color w:val="000000"/>
                <w:kern w:val="24"/>
                <w:sz w:val="22"/>
              </w:rPr>
              <w:t>1</w:t>
            </w:r>
          </w:p>
        </w:tc>
        <w:tc>
          <w:tcPr>
            <w:tcW w:w="1418" w:type="dxa"/>
            <w:vAlign w:val="center"/>
          </w:tcPr>
          <w:p w14:paraId="4D947FD8" w14:textId="77777777" w:rsidR="00A21C01" w:rsidRPr="003D1B45" w:rsidRDefault="00A21C01">
            <w:pPr>
              <w:spacing w:line="240" w:lineRule="auto"/>
              <w:jc w:val="right"/>
              <w:rPr>
                <w:rFonts w:cs="Arial"/>
                <w:sz w:val="22"/>
              </w:rPr>
            </w:pPr>
          </w:p>
        </w:tc>
        <w:tc>
          <w:tcPr>
            <w:tcW w:w="1417" w:type="dxa"/>
            <w:vAlign w:val="center"/>
          </w:tcPr>
          <w:p w14:paraId="54F95829" w14:textId="77777777" w:rsidR="00A21C01" w:rsidRPr="003D1B45" w:rsidRDefault="00A21C01">
            <w:pPr>
              <w:spacing w:line="240" w:lineRule="auto"/>
              <w:jc w:val="right"/>
              <w:rPr>
                <w:rFonts w:cs="Arial"/>
                <w:sz w:val="22"/>
              </w:rPr>
            </w:pPr>
            <w:r w:rsidRPr="003D1B45">
              <w:rPr>
                <w:rFonts w:cs="Arial"/>
                <w:color w:val="000000"/>
                <w:kern w:val="24"/>
                <w:sz w:val="22"/>
              </w:rPr>
              <w:t>1</w:t>
            </w:r>
          </w:p>
        </w:tc>
        <w:tc>
          <w:tcPr>
            <w:tcW w:w="1276" w:type="dxa"/>
            <w:vAlign w:val="center"/>
          </w:tcPr>
          <w:p w14:paraId="7CB7FCCD" w14:textId="77777777" w:rsidR="00A21C01" w:rsidRPr="003D1B45" w:rsidRDefault="00A21C01">
            <w:pPr>
              <w:spacing w:line="240" w:lineRule="auto"/>
              <w:jc w:val="right"/>
              <w:rPr>
                <w:rFonts w:cs="Arial"/>
                <w:sz w:val="22"/>
              </w:rPr>
            </w:pPr>
          </w:p>
        </w:tc>
        <w:tc>
          <w:tcPr>
            <w:tcW w:w="1559" w:type="dxa"/>
            <w:vAlign w:val="center"/>
          </w:tcPr>
          <w:p w14:paraId="396A317E" w14:textId="77777777" w:rsidR="00A21C01" w:rsidRPr="003D1B45" w:rsidRDefault="00A21C01">
            <w:pPr>
              <w:spacing w:line="240" w:lineRule="auto"/>
              <w:jc w:val="right"/>
              <w:rPr>
                <w:rFonts w:cs="Arial"/>
                <w:sz w:val="22"/>
              </w:rPr>
            </w:pPr>
          </w:p>
        </w:tc>
        <w:tc>
          <w:tcPr>
            <w:tcW w:w="1560" w:type="dxa"/>
            <w:vAlign w:val="center"/>
          </w:tcPr>
          <w:p w14:paraId="39F993B4" w14:textId="77777777" w:rsidR="00A21C01" w:rsidRPr="003D1B45" w:rsidRDefault="00A21C01">
            <w:pPr>
              <w:spacing w:line="240" w:lineRule="auto"/>
              <w:rPr>
                <w:rFonts w:cs="Arial"/>
                <w:sz w:val="22"/>
              </w:rPr>
            </w:pPr>
            <w:r w:rsidRPr="003D1B45">
              <w:rPr>
                <w:rFonts w:cs="Arial"/>
                <w:color w:val="000000"/>
                <w:kern w:val="24"/>
                <w:sz w:val="22"/>
              </w:rPr>
              <w:t>Taiwan</w:t>
            </w:r>
          </w:p>
        </w:tc>
        <w:tc>
          <w:tcPr>
            <w:tcW w:w="2754" w:type="dxa"/>
            <w:vAlign w:val="center"/>
          </w:tcPr>
          <w:p w14:paraId="36A42D91" w14:textId="77777777" w:rsidR="00A21C01" w:rsidRPr="003D1B45" w:rsidRDefault="00A21C01">
            <w:pPr>
              <w:spacing w:line="240" w:lineRule="auto"/>
              <w:jc w:val="right"/>
              <w:rPr>
                <w:rFonts w:cs="Arial"/>
                <w:sz w:val="22"/>
              </w:rPr>
            </w:pPr>
            <w:r w:rsidRPr="003D1B45">
              <w:rPr>
                <w:rFonts w:cs="Arial"/>
                <w:color w:val="000000"/>
                <w:kern w:val="24"/>
                <w:sz w:val="22"/>
              </w:rPr>
              <w:t>28046900</w:t>
            </w:r>
          </w:p>
        </w:tc>
      </w:tr>
      <w:tr w:rsidR="00A21C01" w:rsidRPr="00B54211" w14:paraId="05F35078" w14:textId="77777777" w:rsidTr="00A21C01">
        <w:tc>
          <w:tcPr>
            <w:tcW w:w="1696" w:type="dxa"/>
            <w:vAlign w:val="center"/>
          </w:tcPr>
          <w:p w14:paraId="484CECAD" w14:textId="09719CE4" w:rsidR="00A21C01" w:rsidRPr="003D1B45" w:rsidRDefault="00A21C01">
            <w:pPr>
              <w:spacing w:line="240" w:lineRule="auto"/>
              <w:rPr>
                <w:rFonts w:cs="Arial"/>
                <w:color w:val="000000"/>
                <w:kern w:val="24"/>
                <w:sz w:val="22"/>
              </w:rPr>
            </w:pPr>
            <w:r w:rsidRPr="003D1B45">
              <w:rPr>
                <w:rFonts w:cs="Arial"/>
                <w:color w:val="000000"/>
                <w:kern w:val="24"/>
                <w:sz w:val="22"/>
              </w:rPr>
              <w:t>Ceramics (</w:t>
            </w:r>
            <w:r w:rsidR="00192BF6">
              <w:rPr>
                <w:rFonts w:cs="Arial"/>
                <w:color w:val="000000"/>
                <w:kern w:val="24"/>
                <w:sz w:val="22"/>
              </w:rPr>
              <w:t>PRC</w:t>
            </w:r>
            <w:r w:rsidRPr="003D1B45">
              <w:rPr>
                <w:rFonts w:cs="Arial"/>
                <w:color w:val="000000"/>
                <w:kern w:val="24"/>
                <w:sz w:val="22"/>
              </w:rPr>
              <w:t>)</w:t>
            </w:r>
          </w:p>
        </w:tc>
        <w:tc>
          <w:tcPr>
            <w:tcW w:w="1134" w:type="dxa"/>
            <w:shd w:val="clear" w:color="auto" w:fill="auto"/>
          </w:tcPr>
          <w:p w14:paraId="4A20847C" w14:textId="77777777" w:rsidR="00A21C01" w:rsidRPr="003D1B45" w:rsidRDefault="00205E8C">
            <w:pPr>
              <w:spacing w:line="240" w:lineRule="auto"/>
              <w:rPr>
                <w:rFonts w:cs="Arial"/>
                <w:color w:val="000000"/>
                <w:kern w:val="24"/>
                <w:sz w:val="22"/>
              </w:rPr>
            </w:pPr>
            <w:hyperlink r:id="rId53" w:history="1">
              <w:r w:rsidR="00A21C01" w:rsidRPr="003D1B45">
                <w:rPr>
                  <w:rStyle w:val="Hyperlink"/>
                  <w:sz w:val="22"/>
                </w:rPr>
                <w:t>Case R700</w:t>
              </w:r>
            </w:hyperlink>
          </w:p>
        </w:tc>
        <w:tc>
          <w:tcPr>
            <w:tcW w:w="1134" w:type="dxa"/>
            <w:shd w:val="clear" w:color="auto" w:fill="DEEAF6" w:themeFill="accent5" w:themeFillTint="33"/>
            <w:vAlign w:val="center"/>
          </w:tcPr>
          <w:p w14:paraId="5C876881" w14:textId="77777777" w:rsidR="00A21C01" w:rsidRPr="003D1B45" w:rsidRDefault="00A21C01">
            <w:pPr>
              <w:spacing w:line="240" w:lineRule="auto"/>
              <w:jc w:val="right"/>
              <w:rPr>
                <w:rFonts w:cs="Arial"/>
                <w:color w:val="000000"/>
                <w:kern w:val="24"/>
                <w:sz w:val="22"/>
              </w:rPr>
            </w:pPr>
            <w:r w:rsidRPr="003D1B45">
              <w:rPr>
                <w:rFonts w:cs="Arial"/>
                <w:color w:val="000000"/>
                <w:kern w:val="24"/>
                <w:sz w:val="22"/>
              </w:rPr>
              <w:t>1</w:t>
            </w:r>
          </w:p>
        </w:tc>
        <w:tc>
          <w:tcPr>
            <w:tcW w:w="1418" w:type="dxa"/>
            <w:vAlign w:val="center"/>
          </w:tcPr>
          <w:p w14:paraId="51C10670" w14:textId="77777777" w:rsidR="00A21C01" w:rsidRPr="003D1B45" w:rsidRDefault="00A21C01">
            <w:pPr>
              <w:spacing w:line="240" w:lineRule="auto"/>
              <w:jc w:val="right"/>
              <w:rPr>
                <w:rFonts w:cs="Arial"/>
                <w:sz w:val="22"/>
              </w:rPr>
            </w:pPr>
          </w:p>
        </w:tc>
        <w:tc>
          <w:tcPr>
            <w:tcW w:w="1417" w:type="dxa"/>
            <w:vAlign w:val="center"/>
          </w:tcPr>
          <w:p w14:paraId="7520CDE7" w14:textId="77777777" w:rsidR="00A21C01" w:rsidRPr="003D1B45" w:rsidRDefault="00A21C01">
            <w:pPr>
              <w:spacing w:line="240" w:lineRule="auto"/>
              <w:jc w:val="right"/>
              <w:rPr>
                <w:rFonts w:cs="Arial"/>
                <w:color w:val="000000"/>
                <w:kern w:val="24"/>
                <w:sz w:val="22"/>
              </w:rPr>
            </w:pPr>
          </w:p>
        </w:tc>
        <w:tc>
          <w:tcPr>
            <w:tcW w:w="1276" w:type="dxa"/>
            <w:vAlign w:val="center"/>
          </w:tcPr>
          <w:p w14:paraId="0688013F" w14:textId="77777777" w:rsidR="00A21C01" w:rsidRPr="003D1B45" w:rsidRDefault="00A21C01">
            <w:pPr>
              <w:spacing w:line="240" w:lineRule="auto"/>
              <w:jc w:val="right"/>
              <w:rPr>
                <w:rFonts w:cs="Arial"/>
                <w:sz w:val="22"/>
              </w:rPr>
            </w:pPr>
          </w:p>
        </w:tc>
        <w:tc>
          <w:tcPr>
            <w:tcW w:w="1559" w:type="dxa"/>
            <w:vAlign w:val="center"/>
          </w:tcPr>
          <w:p w14:paraId="2AA477C6" w14:textId="77777777" w:rsidR="00A21C01" w:rsidRPr="003D1B45" w:rsidRDefault="00A21C01">
            <w:pPr>
              <w:spacing w:line="240" w:lineRule="auto"/>
              <w:jc w:val="right"/>
              <w:rPr>
                <w:rFonts w:cs="Arial"/>
                <w:sz w:val="22"/>
              </w:rPr>
            </w:pPr>
            <w:r w:rsidRPr="003D1B45">
              <w:rPr>
                <w:rFonts w:cs="Arial"/>
                <w:color w:val="000000"/>
                <w:kern w:val="24"/>
                <w:sz w:val="22"/>
              </w:rPr>
              <w:t>1</w:t>
            </w:r>
          </w:p>
        </w:tc>
        <w:tc>
          <w:tcPr>
            <w:tcW w:w="1560" w:type="dxa"/>
            <w:vAlign w:val="center"/>
          </w:tcPr>
          <w:p w14:paraId="0293AF04" w14:textId="254B6CE5" w:rsidR="00A21C01" w:rsidRPr="003D1B45" w:rsidRDefault="00192BF6">
            <w:pPr>
              <w:spacing w:line="240" w:lineRule="auto"/>
              <w:rPr>
                <w:rFonts w:cs="Arial"/>
                <w:color w:val="000000"/>
                <w:kern w:val="24"/>
                <w:sz w:val="22"/>
              </w:rPr>
            </w:pPr>
            <w:r>
              <w:rPr>
                <w:rFonts w:cs="Arial"/>
                <w:color w:val="000000"/>
                <w:kern w:val="24"/>
                <w:sz w:val="22"/>
              </w:rPr>
              <w:t>PRC</w:t>
            </w:r>
          </w:p>
        </w:tc>
        <w:tc>
          <w:tcPr>
            <w:tcW w:w="2754" w:type="dxa"/>
            <w:vAlign w:val="center"/>
          </w:tcPr>
          <w:p w14:paraId="76ADD5E3" w14:textId="77777777" w:rsidR="00A21C01" w:rsidRPr="003D1B45" w:rsidRDefault="00A21C01">
            <w:pPr>
              <w:spacing w:line="240" w:lineRule="auto"/>
              <w:jc w:val="right"/>
              <w:rPr>
                <w:rFonts w:cs="Arial"/>
                <w:color w:val="000000"/>
                <w:kern w:val="24"/>
                <w:sz w:val="22"/>
              </w:rPr>
            </w:pPr>
            <w:r w:rsidRPr="003D1B45">
              <w:rPr>
                <w:rFonts w:cs="Arial"/>
                <w:color w:val="000000"/>
                <w:kern w:val="24"/>
                <w:sz w:val="22"/>
              </w:rPr>
              <w:t>681110</w:t>
            </w:r>
          </w:p>
        </w:tc>
      </w:tr>
      <w:tr w:rsidR="00A21C01" w:rsidRPr="00B54211" w14:paraId="4DB42C54" w14:textId="77777777" w:rsidTr="00A21C01">
        <w:tc>
          <w:tcPr>
            <w:tcW w:w="1696" w:type="dxa"/>
            <w:vAlign w:val="center"/>
          </w:tcPr>
          <w:p w14:paraId="6262BE78" w14:textId="021579DB" w:rsidR="00A21C01" w:rsidRPr="003D1B45" w:rsidRDefault="00A21C01">
            <w:pPr>
              <w:spacing w:line="240" w:lineRule="auto"/>
              <w:rPr>
                <w:rFonts w:cs="Arial"/>
                <w:sz w:val="22"/>
              </w:rPr>
            </w:pPr>
            <w:r w:rsidRPr="003D1B45">
              <w:rPr>
                <w:rFonts w:cs="Arial"/>
                <w:color w:val="000000"/>
                <w:kern w:val="24"/>
                <w:sz w:val="22"/>
              </w:rPr>
              <w:t>Glass fibre fabrics (</w:t>
            </w:r>
            <w:r w:rsidR="00192BF6">
              <w:rPr>
                <w:rFonts w:cs="Arial"/>
                <w:color w:val="000000"/>
                <w:kern w:val="24"/>
                <w:sz w:val="22"/>
              </w:rPr>
              <w:t>PRC</w:t>
            </w:r>
            <w:r w:rsidRPr="003D1B45">
              <w:rPr>
                <w:rFonts w:cs="Arial"/>
                <w:color w:val="000000"/>
                <w:kern w:val="24"/>
                <w:sz w:val="22"/>
              </w:rPr>
              <w:t>, Egypt)</w:t>
            </w:r>
          </w:p>
        </w:tc>
        <w:tc>
          <w:tcPr>
            <w:tcW w:w="1134" w:type="dxa"/>
            <w:shd w:val="clear" w:color="auto" w:fill="auto"/>
          </w:tcPr>
          <w:p w14:paraId="0131E840" w14:textId="77777777" w:rsidR="00A21C01" w:rsidRPr="003D1B45" w:rsidRDefault="00205E8C">
            <w:pPr>
              <w:spacing w:line="240" w:lineRule="auto"/>
              <w:rPr>
                <w:rFonts w:cs="Arial"/>
                <w:color w:val="000000"/>
                <w:kern w:val="24"/>
                <w:sz w:val="22"/>
              </w:rPr>
            </w:pPr>
            <w:hyperlink r:id="rId54" w:history="1">
              <w:r w:rsidR="00A21C01" w:rsidRPr="003D1B45">
                <w:rPr>
                  <w:rStyle w:val="Hyperlink"/>
                  <w:sz w:val="22"/>
                </w:rPr>
                <w:t>Case R739</w:t>
              </w:r>
            </w:hyperlink>
          </w:p>
        </w:tc>
        <w:tc>
          <w:tcPr>
            <w:tcW w:w="1134" w:type="dxa"/>
            <w:shd w:val="clear" w:color="auto" w:fill="DEEAF6" w:themeFill="accent5" w:themeFillTint="33"/>
            <w:vAlign w:val="center"/>
          </w:tcPr>
          <w:p w14:paraId="72A78CE1" w14:textId="77777777" w:rsidR="00A21C01" w:rsidRPr="003D1B45" w:rsidRDefault="00A21C01">
            <w:pPr>
              <w:spacing w:line="240" w:lineRule="auto"/>
              <w:jc w:val="right"/>
              <w:rPr>
                <w:rFonts w:cs="Arial"/>
                <w:sz w:val="22"/>
              </w:rPr>
            </w:pPr>
            <w:r w:rsidRPr="003D1B45">
              <w:rPr>
                <w:rFonts w:cs="Arial"/>
                <w:color w:val="000000"/>
                <w:kern w:val="24"/>
                <w:sz w:val="22"/>
              </w:rPr>
              <w:t>1</w:t>
            </w:r>
          </w:p>
        </w:tc>
        <w:tc>
          <w:tcPr>
            <w:tcW w:w="1418" w:type="dxa"/>
            <w:vAlign w:val="center"/>
          </w:tcPr>
          <w:p w14:paraId="20D48555" w14:textId="77777777" w:rsidR="00A21C01" w:rsidRPr="003D1B45" w:rsidRDefault="00A21C01">
            <w:pPr>
              <w:spacing w:line="240" w:lineRule="auto"/>
              <w:jc w:val="right"/>
              <w:rPr>
                <w:rFonts w:cs="Arial"/>
                <w:sz w:val="22"/>
              </w:rPr>
            </w:pPr>
          </w:p>
        </w:tc>
        <w:tc>
          <w:tcPr>
            <w:tcW w:w="1417" w:type="dxa"/>
            <w:vAlign w:val="center"/>
          </w:tcPr>
          <w:p w14:paraId="140BDAFC" w14:textId="77777777" w:rsidR="00A21C01" w:rsidRPr="003D1B45" w:rsidRDefault="00A21C01">
            <w:pPr>
              <w:spacing w:line="240" w:lineRule="auto"/>
              <w:jc w:val="right"/>
              <w:rPr>
                <w:rFonts w:cs="Arial"/>
                <w:sz w:val="22"/>
              </w:rPr>
            </w:pPr>
            <w:r w:rsidRPr="003D1B45">
              <w:rPr>
                <w:rFonts w:cs="Arial"/>
                <w:color w:val="000000"/>
                <w:kern w:val="24"/>
                <w:sz w:val="22"/>
              </w:rPr>
              <w:t>1</w:t>
            </w:r>
          </w:p>
        </w:tc>
        <w:tc>
          <w:tcPr>
            <w:tcW w:w="1276" w:type="dxa"/>
            <w:vAlign w:val="center"/>
          </w:tcPr>
          <w:p w14:paraId="25DCA581" w14:textId="77777777" w:rsidR="00A21C01" w:rsidRPr="003D1B45" w:rsidRDefault="00A21C01">
            <w:pPr>
              <w:spacing w:line="240" w:lineRule="auto"/>
              <w:jc w:val="right"/>
              <w:rPr>
                <w:rFonts w:cs="Arial"/>
                <w:sz w:val="22"/>
              </w:rPr>
            </w:pPr>
          </w:p>
        </w:tc>
        <w:tc>
          <w:tcPr>
            <w:tcW w:w="1559" w:type="dxa"/>
            <w:vAlign w:val="center"/>
          </w:tcPr>
          <w:p w14:paraId="1CC602EF" w14:textId="77777777" w:rsidR="00A21C01" w:rsidRPr="003D1B45" w:rsidRDefault="00A21C01">
            <w:pPr>
              <w:spacing w:line="240" w:lineRule="auto"/>
              <w:jc w:val="right"/>
              <w:rPr>
                <w:rFonts w:cs="Arial"/>
                <w:sz w:val="22"/>
              </w:rPr>
            </w:pPr>
          </w:p>
        </w:tc>
        <w:tc>
          <w:tcPr>
            <w:tcW w:w="1560" w:type="dxa"/>
            <w:vAlign w:val="center"/>
          </w:tcPr>
          <w:p w14:paraId="736B3FB9" w14:textId="77777777" w:rsidR="00A21C01" w:rsidRPr="003D1B45" w:rsidRDefault="00A21C01">
            <w:pPr>
              <w:spacing w:line="240" w:lineRule="auto"/>
              <w:rPr>
                <w:rFonts w:cs="Arial"/>
                <w:sz w:val="22"/>
              </w:rPr>
            </w:pPr>
            <w:r w:rsidRPr="003D1B45">
              <w:rPr>
                <w:rFonts w:cs="Arial"/>
                <w:color w:val="000000"/>
                <w:kern w:val="24"/>
                <w:sz w:val="22"/>
              </w:rPr>
              <w:t>Morocco</w:t>
            </w:r>
          </w:p>
        </w:tc>
        <w:tc>
          <w:tcPr>
            <w:tcW w:w="2754" w:type="dxa"/>
            <w:vAlign w:val="center"/>
          </w:tcPr>
          <w:p w14:paraId="74787F2F" w14:textId="77777777" w:rsidR="00A21C01" w:rsidRPr="003D1B45" w:rsidRDefault="00A21C01">
            <w:pPr>
              <w:spacing w:line="240" w:lineRule="auto"/>
              <w:jc w:val="right"/>
              <w:rPr>
                <w:rFonts w:cs="Arial"/>
                <w:sz w:val="22"/>
              </w:rPr>
            </w:pPr>
            <w:r w:rsidRPr="003D1B45">
              <w:rPr>
                <w:rFonts w:cs="Arial"/>
                <w:color w:val="000000"/>
                <w:kern w:val="24"/>
                <w:sz w:val="22"/>
              </w:rPr>
              <w:t>70193900, 70194000, 70195900, 70199000</w:t>
            </w:r>
          </w:p>
        </w:tc>
      </w:tr>
      <w:tr w:rsidR="00A21C01" w:rsidRPr="00B54211" w14:paraId="4F873246" w14:textId="77777777" w:rsidTr="00A21C01">
        <w:tc>
          <w:tcPr>
            <w:tcW w:w="1696" w:type="dxa"/>
            <w:vAlign w:val="center"/>
          </w:tcPr>
          <w:p w14:paraId="14156EE8" w14:textId="38F24560" w:rsidR="00A21C01" w:rsidRPr="003D1B45" w:rsidRDefault="00A21C01">
            <w:pPr>
              <w:spacing w:line="240" w:lineRule="auto"/>
              <w:rPr>
                <w:rFonts w:cs="Arial"/>
                <w:b/>
                <w:bCs/>
                <w:sz w:val="22"/>
              </w:rPr>
            </w:pPr>
            <w:r w:rsidRPr="003D1B45">
              <w:rPr>
                <w:rFonts w:cs="Arial"/>
                <w:color w:val="000000"/>
                <w:kern w:val="24"/>
                <w:sz w:val="22"/>
              </w:rPr>
              <w:t>Certain open mesh fabrics of glass fibres (</w:t>
            </w:r>
            <w:r w:rsidR="00192BF6">
              <w:rPr>
                <w:rFonts w:cs="Arial"/>
                <w:color w:val="000000"/>
                <w:kern w:val="24"/>
                <w:sz w:val="22"/>
              </w:rPr>
              <w:t>PRC</w:t>
            </w:r>
            <w:r w:rsidRPr="003D1B45">
              <w:rPr>
                <w:rFonts w:cs="Arial"/>
                <w:color w:val="000000"/>
                <w:kern w:val="24"/>
                <w:sz w:val="22"/>
              </w:rPr>
              <w:t>)</w:t>
            </w:r>
          </w:p>
        </w:tc>
        <w:tc>
          <w:tcPr>
            <w:tcW w:w="1134" w:type="dxa"/>
            <w:shd w:val="clear" w:color="auto" w:fill="auto"/>
          </w:tcPr>
          <w:p w14:paraId="154C6C56" w14:textId="77777777" w:rsidR="00A21C01" w:rsidRPr="003D1B45" w:rsidRDefault="00205E8C">
            <w:pPr>
              <w:spacing w:line="240" w:lineRule="auto"/>
              <w:rPr>
                <w:rFonts w:cs="Arial"/>
                <w:color w:val="000000"/>
                <w:kern w:val="24"/>
                <w:sz w:val="22"/>
              </w:rPr>
            </w:pPr>
            <w:hyperlink r:id="rId55" w:history="1">
              <w:r w:rsidR="00A21C01" w:rsidRPr="003D1B45">
                <w:rPr>
                  <w:rStyle w:val="Hyperlink"/>
                  <w:sz w:val="22"/>
                </w:rPr>
                <w:t>Case R594</w:t>
              </w:r>
            </w:hyperlink>
          </w:p>
        </w:tc>
        <w:tc>
          <w:tcPr>
            <w:tcW w:w="1134" w:type="dxa"/>
            <w:shd w:val="clear" w:color="auto" w:fill="DEEAF6" w:themeFill="accent5" w:themeFillTint="33"/>
            <w:vAlign w:val="center"/>
          </w:tcPr>
          <w:p w14:paraId="2FE4DF9B" w14:textId="77777777" w:rsidR="00A21C01" w:rsidRPr="003D1B45" w:rsidRDefault="00A21C01">
            <w:pPr>
              <w:spacing w:line="240" w:lineRule="auto"/>
              <w:jc w:val="right"/>
              <w:rPr>
                <w:rFonts w:cs="Arial"/>
                <w:b/>
                <w:bCs/>
                <w:sz w:val="22"/>
              </w:rPr>
            </w:pPr>
            <w:r w:rsidRPr="003D1B45">
              <w:rPr>
                <w:rFonts w:cs="Arial"/>
                <w:color w:val="000000"/>
                <w:kern w:val="24"/>
                <w:sz w:val="22"/>
              </w:rPr>
              <w:t>5</w:t>
            </w:r>
          </w:p>
        </w:tc>
        <w:tc>
          <w:tcPr>
            <w:tcW w:w="1418" w:type="dxa"/>
            <w:vAlign w:val="center"/>
          </w:tcPr>
          <w:p w14:paraId="7A631845" w14:textId="77777777" w:rsidR="00A21C01" w:rsidRPr="003D1B45" w:rsidRDefault="00A21C01">
            <w:pPr>
              <w:spacing w:line="240" w:lineRule="auto"/>
              <w:jc w:val="right"/>
              <w:rPr>
                <w:rFonts w:cs="Arial"/>
                <w:b/>
                <w:bCs/>
                <w:sz w:val="22"/>
              </w:rPr>
            </w:pPr>
          </w:p>
        </w:tc>
        <w:tc>
          <w:tcPr>
            <w:tcW w:w="1417" w:type="dxa"/>
            <w:vAlign w:val="center"/>
          </w:tcPr>
          <w:p w14:paraId="46A6FC89" w14:textId="77777777" w:rsidR="00A21C01" w:rsidRPr="003D1B45" w:rsidRDefault="00A21C01">
            <w:pPr>
              <w:spacing w:line="240" w:lineRule="auto"/>
              <w:jc w:val="right"/>
              <w:rPr>
                <w:rFonts w:cs="Arial"/>
                <w:b/>
                <w:bCs/>
                <w:sz w:val="22"/>
              </w:rPr>
            </w:pPr>
            <w:r w:rsidRPr="003D1B45">
              <w:rPr>
                <w:rFonts w:cs="Arial"/>
                <w:color w:val="000000"/>
                <w:kern w:val="24"/>
                <w:sz w:val="22"/>
              </w:rPr>
              <w:t>4</w:t>
            </w:r>
          </w:p>
        </w:tc>
        <w:tc>
          <w:tcPr>
            <w:tcW w:w="1276" w:type="dxa"/>
            <w:vAlign w:val="center"/>
          </w:tcPr>
          <w:p w14:paraId="0F32FC26" w14:textId="77777777" w:rsidR="00A21C01" w:rsidRPr="003D1B45" w:rsidRDefault="00A21C01">
            <w:pPr>
              <w:spacing w:line="240" w:lineRule="auto"/>
              <w:jc w:val="right"/>
              <w:rPr>
                <w:rFonts w:cs="Arial"/>
                <w:b/>
                <w:bCs/>
                <w:sz w:val="22"/>
              </w:rPr>
            </w:pPr>
            <w:r w:rsidRPr="003D1B45">
              <w:rPr>
                <w:rFonts w:cs="Arial"/>
                <w:color w:val="000000"/>
                <w:kern w:val="24"/>
                <w:sz w:val="22"/>
              </w:rPr>
              <w:t>1</w:t>
            </w:r>
          </w:p>
        </w:tc>
        <w:tc>
          <w:tcPr>
            <w:tcW w:w="1559" w:type="dxa"/>
            <w:vAlign w:val="center"/>
          </w:tcPr>
          <w:p w14:paraId="31FFF241" w14:textId="77777777" w:rsidR="00A21C01" w:rsidRPr="003D1B45" w:rsidRDefault="00A21C01">
            <w:pPr>
              <w:spacing w:line="240" w:lineRule="auto"/>
              <w:jc w:val="right"/>
              <w:rPr>
                <w:rFonts w:cs="Arial"/>
                <w:b/>
                <w:bCs/>
                <w:sz w:val="22"/>
              </w:rPr>
            </w:pPr>
          </w:p>
        </w:tc>
        <w:tc>
          <w:tcPr>
            <w:tcW w:w="1560" w:type="dxa"/>
            <w:vAlign w:val="center"/>
          </w:tcPr>
          <w:p w14:paraId="133686FD" w14:textId="4D70BFC1" w:rsidR="00A21C01" w:rsidRPr="003D1B45" w:rsidRDefault="00A21C01" w:rsidP="003F6E61">
            <w:pPr>
              <w:spacing w:line="240" w:lineRule="auto"/>
              <w:rPr>
                <w:rFonts w:cs="Arial"/>
                <w:b/>
                <w:bCs/>
                <w:sz w:val="22"/>
              </w:rPr>
            </w:pPr>
            <w:r w:rsidRPr="003D1B45">
              <w:rPr>
                <w:rFonts w:cs="Arial"/>
                <w:color w:val="000000"/>
                <w:kern w:val="24"/>
                <w:sz w:val="22"/>
              </w:rPr>
              <w:t>India, Indonesia, Malaysia, Thailand</w:t>
            </w:r>
            <w:r w:rsidR="003F6E61">
              <w:rPr>
                <w:rFonts w:cs="Arial"/>
                <w:color w:val="000000"/>
                <w:kern w:val="24"/>
                <w:sz w:val="22"/>
              </w:rPr>
              <w:t xml:space="preserve">, </w:t>
            </w:r>
            <w:r w:rsidRPr="003D1B45">
              <w:rPr>
                <w:rFonts w:cs="Arial"/>
                <w:color w:val="000000"/>
                <w:kern w:val="24"/>
                <w:sz w:val="22"/>
              </w:rPr>
              <w:t>Taiwan</w:t>
            </w:r>
          </w:p>
        </w:tc>
        <w:tc>
          <w:tcPr>
            <w:tcW w:w="2754" w:type="dxa"/>
            <w:vAlign w:val="center"/>
          </w:tcPr>
          <w:p w14:paraId="2DE544A5" w14:textId="77777777" w:rsidR="00A21C01" w:rsidRPr="003D1B45" w:rsidRDefault="00A21C01">
            <w:pPr>
              <w:spacing w:line="240" w:lineRule="auto"/>
              <w:jc w:val="right"/>
              <w:rPr>
                <w:rFonts w:cs="Arial"/>
                <w:b/>
                <w:bCs/>
                <w:sz w:val="22"/>
              </w:rPr>
            </w:pPr>
            <w:r w:rsidRPr="003D1B45">
              <w:rPr>
                <w:rFonts w:cs="Arial"/>
                <w:color w:val="000000"/>
                <w:kern w:val="24"/>
                <w:sz w:val="22"/>
              </w:rPr>
              <w:t>70194000, 70195100, 70195900</w:t>
            </w:r>
          </w:p>
        </w:tc>
      </w:tr>
      <w:tr w:rsidR="00A21C01" w:rsidRPr="00B54211" w14:paraId="3A333835" w14:textId="77777777" w:rsidTr="00A21C01">
        <w:tc>
          <w:tcPr>
            <w:tcW w:w="1696" w:type="dxa"/>
            <w:vAlign w:val="center"/>
          </w:tcPr>
          <w:p w14:paraId="10A09A73" w14:textId="415C3776" w:rsidR="00A21C01" w:rsidRPr="003D1B45" w:rsidRDefault="00A21C01">
            <w:pPr>
              <w:spacing w:line="240" w:lineRule="auto"/>
              <w:rPr>
                <w:rFonts w:cs="Arial"/>
                <w:b/>
                <w:bCs/>
                <w:sz w:val="22"/>
              </w:rPr>
            </w:pPr>
            <w:r w:rsidRPr="003D1B45">
              <w:rPr>
                <w:rFonts w:cs="Arial"/>
                <w:color w:val="000000"/>
                <w:kern w:val="24"/>
                <w:sz w:val="22"/>
              </w:rPr>
              <w:t>Certain corrosion resistant steels (</w:t>
            </w:r>
            <w:r w:rsidR="00192BF6">
              <w:rPr>
                <w:rFonts w:cs="Arial"/>
                <w:color w:val="000000"/>
                <w:kern w:val="24"/>
                <w:sz w:val="22"/>
              </w:rPr>
              <w:t>PRC</w:t>
            </w:r>
            <w:r w:rsidRPr="003D1B45">
              <w:rPr>
                <w:rFonts w:cs="Arial"/>
                <w:color w:val="000000"/>
                <w:kern w:val="24"/>
                <w:sz w:val="22"/>
              </w:rPr>
              <w:t>)</w:t>
            </w:r>
          </w:p>
        </w:tc>
        <w:tc>
          <w:tcPr>
            <w:tcW w:w="1134" w:type="dxa"/>
            <w:shd w:val="clear" w:color="auto" w:fill="auto"/>
          </w:tcPr>
          <w:p w14:paraId="7C51DA48" w14:textId="77777777" w:rsidR="00A21C01" w:rsidRPr="003D1B45" w:rsidRDefault="00205E8C">
            <w:pPr>
              <w:spacing w:line="240" w:lineRule="auto"/>
              <w:rPr>
                <w:rFonts w:cs="Arial"/>
                <w:color w:val="000000"/>
                <w:kern w:val="24"/>
                <w:sz w:val="22"/>
              </w:rPr>
            </w:pPr>
            <w:hyperlink r:id="rId56" w:history="1">
              <w:r w:rsidR="00A21C01" w:rsidRPr="003D1B45">
                <w:rPr>
                  <w:rStyle w:val="Hyperlink"/>
                  <w:sz w:val="22"/>
                </w:rPr>
                <w:t>Case R607</w:t>
              </w:r>
            </w:hyperlink>
          </w:p>
        </w:tc>
        <w:tc>
          <w:tcPr>
            <w:tcW w:w="1134" w:type="dxa"/>
            <w:shd w:val="clear" w:color="auto" w:fill="DEEAF6" w:themeFill="accent5" w:themeFillTint="33"/>
            <w:vAlign w:val="center"/>
          </w:tcPr>
          <w:p w14:paraId="6B2FF84F" w14:textId="77777777" w:rsidR="00A21C01" w:rsidRPr="003D1B45" w:rsidRDefault="00A21C01">
            <w:pPr>
              <w:spacing w:line="240" w:lineRule="auto"/>
              <w:jc w:val="right"/>
              <w:rPr>
                <w:rFonts w:cs="Arial"/>
                <w:b/>
                <w:bCs/>
                <w:sz w:val="22"/>
              </w:rPr>
            </w:pPr>
            <w:r w:rsidRPr="003D1B45">
              <w:rPr>
                <w:rFonts w:cs="Arial"/>
                <w:color w:val="000000"/>
                <w:kern w:val="24"/>
                <w:sz w:val="22"/>
              </w:rPr>
              <w:t>1</w:t>
            </w:r>
          </w:p>
        </w:tc>
        <w:tc>
          <w:tcPr>
            <w:tcW w:w="1418" w:type="dxa"/>
            <w:vAlign w:val="center"/>
          </w:tcPr>
          <w:p w14:paraId="2A55EE27" w14:textId="77777777" w:rsidR="00A21C01" w:rsidRPr="003D1B45" w:rsidRDefault="00A21C01">
            <w:pPr>
              <w:spacing w:line="240" w:lineRule="auto"/>
              <w:jc w:val="right"/>
              <w:rPr>
                <w:rFonts w:cs="Arial"/>
                <w:b/>
                <w:bCs/>
                <w:sz w:val="22"/>
              </w:rPr>
            </w:pPr>
          </w:p>
        </w:tc>
        <w:tc>
          <w:tcPr>
            <w:tcW w:w="1417" w:type="dxa"/>
            <w:vAlign w:val="center"/>
          </w:tcPr>
          <w:p w14:paraId="3D9E26F5" w14:textId="77777777" w:rsidR="00A21C01" w:rsidRPr="003D1B45" w:rsidRDefault="00A21C01">
            <w:pPr>
              <w:spacing w:line="240" w:lineRule="auto"/>
              <w:jc w:val="right"/>
              <w:rPr>
                <w:rFonts w:cs="Arial"/>
                <w:b/>
                <w:bCs/>
                <w:sz w:val="22"/>
              </w:rPr>
            </w:pPr>
          </w:p>
        </w:tc>
        <w:tc>
          <w:tcPr>
            <w:tcW w:w="1276" w:type="dxa"/>
            <w:vAlign w:val="center"/>
          </w:tcPr>
          <w:p w14:paraId="77496835" w14:textId="77777777" w:rsidR="00A21C01" w:rsidRPr="003D1B45" w:rsidRDefault="00A21C01">
            <w:pPr>
              <w:spacing w:line="240" w:lineRule="auto"/>
              <w:jc w:val="right"/>
              <w:rPr>
                <w:rFonts w:cs="Arial"/>
                <w:b/>
                <w:bCs/>
                <w:sz w:val="22"/>
              </w:rPr>
            </w:pPr>
            <w:r w:rsidRPr="003D1B45">
              <w:rPr>
                <w:rFonts w:cs="Arial"/>
                <w:color w:val="000000"/>
                <w:kern w:val="24"/>
                <w:sz w:val="22"/>
              </w:rPr>
              <w:t>1</w:t>
            </w:r>
          </w:p>
        </w:tc>
        <w:tc>
          <w:tcPr>
            <w:tcW w:w="1559" w:type="dxa"/>
            <w:vAlign w:val="center"/>
          </w:tcPr>
          <w:p w14:paraId="562FA5F9" w14:textId="77777777" w:rsidR="00A21C01" w:rsidRPr="003D1B45" w:rsidRDefault="00A21C01">
            <w:pPr>
              <w:spacing w:line="240" w:lineRule="auto"/>
              <w:jc w:val="right"/>
              <w:rPr>
                <w:rFonts w:cs="Arial"/>
                <w:b/>
                <w:bCs/>
                <w:sz w:val="22"/>
              </w:rPr>
            </w:pPr>
          </w:p>
        </w:tc>
        <w:tc>
          <w:tcPr>
            <w:tcW w:w="1560" w:type="dxa"/>
            <w:vAlign w:val="center"/>
          </w:tcPr>
          <w:p w14:paraId="7CFF30DF" w14:textId="09C87D91" w:rsidR="00A21C01" w:rsidRPr="003D1B45" w:rsidRDefault="00192BF6">
            <w:pPr>
              <w:spacing w:line="240" w:lineRule="auto"/>
              <w:rPr>
                <w:rFonts w:cs="Arial"/>
                <w:b/>
                <w:bCs/>
                <w:sz w:val="22"/>
              </w:rPr>
            </w:pPr>
            <w:r>
              <w:rPr>
                <w:rFonts w:cs="Arial"/>
                <w:color w:val="000000"/>
                <w:kern w:val="24"/>
                <w:sz w:val="22"/>
              </w:rPr>
              <w:t>PRC</w:t>
            </w:r>
          </w:p>
        </w:tc>
        <w:tc>
          <w:tcPr>
            <w:tcW w:w="2754" w:type="dxa"/>
            <w:vAlign w:val="center"/>
          </w:tcPr>
          <w:p w14:paraId="6502DF09" w14:textId="77777777" w:rsidR="00A21C01" w:rsidRPr="003D1B45" w:rsidRDefault="00A21C01">
            <w:pPr>
              <w:spacing w:line="240" w:lineRule="auto"/>
              <w:jc w:val="right"/>
              <w:rPr>
                <w:rFonts w:cs="Arial"/>
                <w:b/>
                <w:bCs/>
                <w:sz w:val="22"/>
              </w:rPr>
            </w:pPr>
            <w:r w:rsidRPr="003D1B45">
              <w:rPr>
                <w:rFonts w:cs="Arial"/>
                <w:color w:val="000000"/>
                <w:kern w:val="24"/>
                <w:sz w:val="22"/>
              </w:rPr>
              <w:t>72104100, 72104900, 72106100, 7210 6900, 72123000, 72125061, 72125069, 72259200, 72259900, 72269930, 72269970</w:t>
            </w:r>
          </w:p>
        </w:tc>
      </w:tr>
      <w:tr w:rsidR="00A21C01" w:rsidRPr="00B54211" w14:paraId="463ECC7E" w14:textId="77777777" w:rsidTr="00A21C01">
        <w:tc>
          <w:tcPr>
            <w:tcW w:w="1696" w:type="dxa"/>
            <w:vAlign w:val="center"/>
          </w:tcPr>
          <w:p w14:paraId="5A001E39" w14:textId="73A38C14" w:rsidR="00A21C01" w:rsidRPr="003D1B45" w:rsidRDefault="00A21C01">
            <w:pPr>
              <w:spacing w:line="240" w:lineRule="auto"/>
              <w:rPr>
                <w:rFonts w:cs="Arial"/>
                <w:b/>
                <w:bCs/>
                <w:sz w:val="22"/>
              </w:rPr>
            </w:pPr>
            <w:r w:rsidRPr="003D1B45">
              <w:rPr>
                <w:rFonts w:cs="Arial"/>
                <w:color w:val="000000"/>
                <w:kern w:val="24"/>
                <w:sz w:val="22"/>
              </w:rPr>
              <w:t>Certain seamless pipes and tubes of stainless steel (</w:t>
            </w:r>
            <w:r w:rsidR="00192BF6">
              <w:rPr>
                <w:rFonts w:cs="Arial"/>
                <w:color w:val="000000"/>
                <w:kern w:val="24"/>
                <w:sz w:val="22"/>
              </w:rPr>
              <w:t>PRC</w:t>
            </w:r>
            <w:r w:rsidRPr="003D1B45">
              <w:rPr>
                <w:rFonts w:cs="Arial"/>
                <w:color w:val="000000"/>
                <w:kern w:val="24"/>
                <w:sz w:val="22"/>
              </w:rPr>
              <w:t>)</w:t>
            </w:r>
          </w:p>
        </w:tc>
        <w:tc>
          <w:tcPr>
            <w:tcW w:w="1134" w:type="dxa"/>
            <w:shd w:val="clear" w:color="auto" w:fill="auto"/>
          </w:tcPr>
          <w:p w14:paraId="519449CC" w14:textId="77777777" w:rsidR="00A21C01" w:rsidRPr="003D1B45" w:rsidRDefault="00205E8C">
            <w:pPr>
              <w:spacing w:line="240" w:lineRule="auto"/>
              <w:rPr>
                <w:rFonts w:cs="Arial"/>
                <w:color w:val="000000"/>
                <w:kern w:val="24"/>
                <w:sz w:val="22"/>
              </w:rPr>
            </w:pPr>
            <w:hyperlink r:id="rId57" w:history="1">
              <w:r w:rsidR="00A21C01" w:rsidRPr="003D1B45">
                <w:rPr>
                  <w:rStyle w:val="Hyperlink"/>
                  <w:sz w:val="22"/>
                </w:rPr>
                <w:t>Case R309</w:t>
              </w:r>
            </w:hyperlink>
          </w:p>
        </w:tc>
        <w:tc>
          <w:tcPr>
            <w:tcW w:w="1134" w:type="dxa"/>
            <w:shd w:val="clear" w:color="auto" w:fill="DEEAF6" w:themeFill="accent5" w:themeFillTint="33"/>
            <w:vAlign w:val="center"/>
          </w:tcPr>
          <w:p w14:paraId="40DFEFD3" w14:textId="77777777" w:rsidR="00A21C01" w:rsidRPr="003D1B45" w:rsidRDefault="00A21C01">
            <w:pPr>
              <w:spacing w:line="240" w:lineRule="auto"/>
              <w:jc w:val="right"/>
              <w:rPr>
                <w:rFonts w:cs="Arial"/>
                <w:b/>
                <w:bCs/>
                <w:sz w:val="22"/>
              </w:rPr>
            </w:pPr>
            <w:r w:rsidRPr="003D1B45">
              <w:rPr>
                <w:rFonts w:cs="Arial"/>
                <w:color w:val="000000"/>
                <w:kern w:val="24"/>
                <w:sz w:val="22"/>
              </w:rPr>
              <w:t>1</w:t>
            </w:r>
          </w:p>
        </w:tc>
        <w:tc>
          <w:tcPr>
            <w:tcW w:w="1418" w:type="dxa"/>
            <w:vAlign w:val="center"/>
          </w:tcPr>
          <w:p w14:paraId="6A004DE3" w14:textId="77777777" w:rsidR="00A21C01" w:rsidRPr="003D1B45" w:rsidRDefault="00A21C01">
            <w:pPr>
              <w:spacing w:line="240" w:lineRule="auto"/>
              <w:jc w:val="right"/>
              <w:rPr>
                <w:rFonts w:cs="Arial"/>
                <w:b/>
                <w:bCs/>
                <w:sz w:val="22"/>
              </w:rPr>
            </w:pPr>
          </w:p>
        </w:tc>
        <w:tc>
          <w:tcPr>
            <w:tcW w:w="1417" w:type="dxa"/>
            <w:vAlign w:val="center"/>
          </w:tcPr>
          <w:p w14:paraId="28B8EE4F" w14:textId="77777777" w:rsidR="00A21C01" w:rsidRPr="003D1B45" w:rsidRDefault="00A21C01">
            <w:pPr>
              <w:spacing w:line="240" w:lineRule="auto"/>
              <w:jc w:val="right"/>
              <w:rPr>
                <w:rFonts w:cs="Arial"/>
                <w:b/>
                <w:bCs/>
                <w:sz w:val="22"/>
              </w:rPr>
            </w:pPr>
            <w:r w:rsidRPr="003D1B45">
              <w:rPr>
                <w:rFonts w:cs="Arial"/>
                <w:color w:val="000000"/>
                <w:kern w:val="24"/>
                <w:sz w:val="22"/>
              </w:rPr>
              <w:t>1</w:t>
            </w:r>
          </w:p>
        </w:tc>
        <w:tc>
          <w:tcPr>
            <w:tcW w:w="1276" w:type="dxa"/>
            <w:vAlign w:val="center"/>
          </w:tcPr>
          <w:p w14:paraId="599B154E" w14:textId="77777777" w:rsidR="00A21C01" w:rsidRPr="003D1B45" w:rsidRDefault="00A21C01">
            <w:pPr>
              <w:spacing w:line="240" w:lineRule="auto"/>
              <w:jc w:val="right"/>
              <w:rPr>
                <w:rFonts w:cs="Arial"/>
                <w:b/>
                <w:bCs/>
                <w:sz w:val="22"/>
              </w:rPr>
            </w:pPr>
          </w:p>
        </w:tc>
        <w:tc>
          <w:tcPr>
            <w:tcW w:w="1559" w:type="dxa"/>
            <w:vAlign w:val="center"/>
          </w:tcPr>
          <w:p w14:paraId="2D8D2B8D" w14:textId="77777777" w:rsidR="00A21C01" w:rsidRPr="003D1B45" w:rsidRDefault="00A21C01">
            <w:pPr>
              <w:spacing w:line="240" w:lineRule="auto"/>
              <w:jc w:val="right"/>
              <w:rPr>
                <w:rFonts w:cs="Arial"/>
                <w:b/>
                <w:bCs/>
                <w:sz w:val="22"/>
              </w:rPr>
            </w:pPr>
          </w:p>
        </w:tc>
        <w:tc>
          <w:tcPr>
            <w:tcW w:w="1560" w:type="dxa"/>
            <w:vAlign w:val="center"/>
          </w:tcPr>
          <w:p w14:paraId="1BCC8E60" w14:textId="77777777" w:rsidR="00A21C01" w:rsidRPr="003D1B45" w:rsidRDefault="00A21C01">
            <w:pPr>
              <w:spacing w:line="240" w:lineRule="auto"/>
              <w:rPr>
                <w:rFonts w:cs="Arial"/>
                <w:b/>
                <w:bCs/>
                <w:sz w:val="22"/>
              </w:rPr>
            </w:pPr>
            <w:r w:rsidRPr="003D1B45">
              <w:rPr>
                <w:rFonts w:cs="Arial"/>
                <w:color w:val="000000"/>
                <w:kern w:val="24"/>
                <w:sz w:val="22"/>
              </w:rPr>
              <w:t>India</w:t>
            </w:r>
          </w:p>
        </w:tc>
        <w:tc>
          <w:tcPr>
            <w:tcW w:w="2754" w:type="dxa"/>
            <w:vAlign w:val="center"/>
          </w:tcPr>
          <w:p w14:paraId="117EBDAA" w14:textId="77777777" w:rsidR="00A21C01" w:rsidRPr="003D1B45" w:rsidRDefault="00A21C01">
            <w:pPr>
              <w:spacing w:line="240" w:lineRule="auto"/>
              <w:jc w:val="right"/>
              <w:rPr>
                <w:rFonts w:cs="Arial"/>
                <w:b/>
                <w:bCs/>
                <w:sz w:val="22"/>
              </w:rPr>
            </w:pPr>
            <w:r w:rsidRPr="003D1B45">
              <w:rPr>
                <w:rFonts w:cs="Arial"/>
                <w:color w:val="000000"/>
                <w:kern w:val="24"/>
                <w:sz w:val="22"/>
              </w:rPr>
              <w:t>73041100, 73042200, 73042400, 73044100, 73044910, 73044993, 73044995, 73044999, 73049000</w:t>
            </w:r>
          </w:p>
        </w:tc>
      </w:tr>
      <w:tr w:rsidR="00A21C01" w:rsidRPr="00B54211" w14:paraId="4C609792" w14:textId="77777777" w:rsidTr="00A21C01">
        <w:tc>
          <w:tcPr>
            <w:tcW w:w="1696" w:type="dxa"/>
            <w:vAlign w:val="center"/>
          </w:tcPr>
          <w:p w14:paraId="7237DE47" w14:textId="621E62A1" w:rsidR="00A21C01" w:rsidRPr="003D1B45" w:rsidRDefault="00A21C01">
            <w:pPr>
              <w:spacing w:line="240" w:lineRule="auto"/>
              <w:rPr>
                <w:rFonts w:cs="Arial"/>
                <w:color w:val="000000"/>
                <w:kern w:val="24"/>
                <w:sz w:val="22"/>
              </w:rPr>
            </w:pPr>
            <w:r w:rsidRPr="003D1B45">
              <w:rPr>
                <w:rFonts w:cs="Arial"/>
                <w:color w:val="000000"/>
                <w:kern w:val="24"/>
                <w:sz w:val="22"/>
              </w:rPr>
              <w:t>Steel ropes and cables (</w:t>
            </w:r>
            <w:r w:rsidR="00192BF6">
              <w:rPr>
                <w:rFonts w:cs="Arial"/>
                <w:color w:val="000000"/>
                <w:kern w:val="24"/>
                <w:sz w:val="22"/>
              </w:rPr>
              <w:t>PRC</w:t>
            </w:r>
            <w:r w:rsidRPr="003D1B45">
              <w:rPr>
                <w:rFonts w:cs="Arial"/>
                <w:color w:val="000000"/>
                <w:kern w:val="24"/>
                <w:sz w:val="22"/>
              </w:rPr>
              <w:t>)</w:t>
            </w:r>
          </w:p>
        </w:tc>
        <w:tc>
          <w:tcPr>
            <w:tcW w:w="1134" w:type="dxa"/>
            <w:shd w:val="clear" w:color="auto" w:fill="auto"/>
          </w:tcPr>
          <w:p w14:paraId="64574832" w14:textId="77777777" w:rsidR="00A21C01" w:rsidRPr="003D1B45" w:rsidRDefault="00205E8C">
            <w:pPr>
              <w:spacing w:line="240" w:lineRule="auto"/>
              <w:rPr>
                <w:rFonts w:cs="Arial"/>
                <w:color w:val="000000"/>
                <w:kern w:val="24"/>
                <w:sz w:val="22"/>
              </w:rPr>
            </w:pPr>
            <w:hyperlink r:id="rId58" w:history="1">
              <w:r w:rsidR="00A21C01" w:rsidRPr="003D1B45">
                <w:rPr>
                  <w:rStyle w:val="Hyperlink"/>
                  <w:sz w:val="22"/>
                </w:rPr>
                <w:t>Case AD489</w:t>
              </w:r>
            </w:hyperlink>
            <w:r w:rsidR="00A21C01" w:rsidRPr="003D1B45">
              <w:rPr>
                <w:rStyle w:val="FootnoteReference"/>
                <w:rFonts w:cs="Arial"/>
                <w:color w:val="000000"/>
                <w:kern w:val="24"/>
                <w:sz w:val="22"/>
              </w:rPr>
              <w:footnoteReference w:id="97"/>
            </w:r>
          </w:p>
        </w:tc>
        <w:tc>
          <w:tcPr>
            <w:tcW w:w="1134" w:type="dxa"/>
            <w:shd w:val="clear" w:color="auto" w:fill="DEEAF6" w:themeFill="accent5" w:themeFillTint="33"/>
            <w:vAlign w:val="center"/>
          </w:tcPr>
          <w:p w14:paraId="0379907E" w14:textId="77777777" w:rsidR="00A21C01" w:rsidRPr="003D1B45" w:rsidRDefault="00A21C01">
            <w:pPr>
              <w:spacing w:line="240" w:lineRule="auto"/>
              <w:jc w:val="right"/>
              <w:rPr>
                <w:rFonts w:cs="Arial"/>
                <w:color w:val="000000"/>
                <w:kern w:val="24"/>
                <w:sz w:val="22"/>
              </w:rPr>
            </w:pPr>
            <w:r w:rsidRPr="003D1B45">
              <w:rPr>
                <w:rFonts w:cs="Arial"/>
                <w:color w:val="000000"/>
                <w:kern w:val="24"/>
                <w:sz w:val="22"/>
              </w:rPr>
              <w:t>1</w:t>
            </w:r>
          </w:p>
        </w:tc>
        <w:tc>
          <w:tcPr>
            <w:tcW w:w="1418" w:type="dxa"/>
            <w:vAlign w:val="center"/>
          </w:tcPr>
          <w:p w14:paraId="69A8DB95" w14:textId="77777777" w:rsidR="00A21C01" w:rsidRPr="003D1B45" w:rsidRDefault="00A21C01">
            <w:pPr>
              <w:spacing w:line="240" w:lineRule="auto"/>
              <w:jc w:val="right"/>
              <w:rPr>
                <w:rFonts w:cs="Arial"/>
                <w:b/>
                <w:bCs/>
                <w:sz w:val="22"/>
              </w:rPr>
            </w:pPr>
          </w:p>
        </w:tc>
        <w:tc>
          <w:tcPr>
            <w:tcW w:w="1417" w:type="dxa"/>
            <w:vAlign w:val="center"/>
          </w:tcPr>
          <w:p w14:paraId="0DFCCA9C" w14:textId="77777777" w:rsidR="00A21C01" w:rsidRPr="003D1B45" w:rsidRDefault="00A21C01">
            <w:pPr>
              <w:spacing w:line="240" w:lineRule="auto"/>
              <w:jc w:val="right"/>
              <w:rPr>
                <w:rFonts w:cs="Arial"/>
                <w:color w:val="000000"/>
                <w:kern w:val="24"/>
                <w:sz w:val="22"/>
              </w:rPr>
            </w:pPr>
            <w:r w:rsidRPr="003D1B45">
              <w:rPr>
                <w:rFonts w:cs="Arial"/>
                <w:color w:val="000000"/>
                <w:kern w:val="24"/>
                <w:sz w:val="22"/>
              </w:rPr>
              <w:t>1</w:t>
            </w:r>
          </w:p>
        </w:tc>
        <w:tc>
          <w:tcPr>
            <w:tcW w:w="1276" w:type="dxa"/>
            <w:vAlign w:val="center"/>
          </w:tcPr>
          <w:p w14:paraId="35F5703B" w14:textId="77777777" w:rsidR="00A21C01" w:rsidRPr="003D1B45" w:rsidRDefault="00A21C01">
            <w:pPr>
              <w:spacing w:line="240" w:lineRule="auto"/>
              <w:jc w:val="right"/>
              <w:rPr>
                <w:rFonts w:cs="Arial"/>
                <w:b/>
                <w:bCs/>
                <w:sz w:val="22"/>
              </w:rPr>
            </w:pPr>
          </w:p>
        </w:tc>
        <w:tc>
          <w:tcPr>
            <w:tcW w:w="1559" w:type="dxa"/>
            <w:vAlign w:val="center"/>
          </w:tcPr>
          <w:p w14:paraId="23DF4BB2" w14:textId="77777777" w:rsidR="00A21C01" w:rsidRPr="003D1B45" w:rsidRDefault="00A21C01">
            <w:pPr>
              <w:spacing w:line="240" w:lineRule="auto"/>
              <w:jc w:val="right"/>
              <w:rPr>
                <w:rFonts w:cs="Arial"/>
                <w:b/>
                <w:bCs/>
                <w:sz w:val="22"/>
              </w:rPr>
            </w:pPr>
          </w:p>
        </w:tc>
        <w:tc>
          <w:tcPr>
            <w:tcW w:w="1560" w:type="dxa"/>
            <w:vAlign w:val="center"/>
          </w:tcPr>
          <w:p w14:paraId="4867B159" w14:textId="77777777" w:rsidR="00A21C01" w:rsidRPr="003D1B45" w:rsidRDefault="00A21C01">
            <w:pPr>
              <w:spacing w:line="240" w:lineRule="auto"/>
              <w:rPr>
                <w:rFonts w:cs="Arial"/>
                <w:color w:val="000000"/>
                <w:kern w:val="24"/>
                <w:sz w:val="22"/>
              </w:rPr>
            </w:pPr>
            <w:r w:rsidRPr="003D1B45">
              <w:rPr>
                <w:rFonts w:cs="Arial"/>
                <w:color w:val="000000"/>
                <w:kern w:val="24"/>
                <w:sz w:val="22"/>
              </w:rPr>
              <w:t>South Korea, Malaysia</w:t>
            </w:r>
          </w:p>
        </w:tc>
        <w:tc>
          <w:tcPr>
            <w:tcW w:w="2754" w:type="dxa"/>
            <w:vAlign w:val="center"/>
          </w:tcPr>
          <w:p w14:paraId="4D0B7A53" w14:textId="77777777" w:rsidR="00A21C01" w:rsidRPr="003D1B45" w:rsidRDefault="00A21C01">
            <w:pPr>
              <w:spacing w:line="240" w:lineRule="auto"/>
              <w:jc w:val="right"/>
              <w:rPr>
                <w:rFonts w:cs="Arial"/>
                <w:color w:val="000000"/>
                <w:kern w:val="24"/>
                <w:sz w:val="22"/>
              </w:rPr>
            </w:pPr>
            <w:r w:rsidRPr="003D1B45">
              <w:rPr>
                <w:rFonts w:cs="Arial"/>
                <w:color w:val="000000"/>
                <w:kern w:val="24"/>
                <w:sz w:val="22"/>
              </w:rPr>
              <w:t>73121081, 73121083, 73121085, 73121089, 73121098</w:t>
            </w:r>
          </w:p>
        </w:tc>
      </w:tr>
      <w:tr w:rsidR="00A21C01" w:rsidRPr="00B54211" w14:paraId="0C4FDCA8" w14:textId="77777777" w:rsidTr="00A21C01">
        <w:tc>
          <w:tcPr>
            <w:tcW w:w="1696" w:type="dxa"/>
            <w:vAlign w:val="center"/>
          </w:tcPr>
          <w:p w14:paraId="30A39894" w14:textId="69CCB52A" w:rsidR="00A21C01" w:rsidRPr="003D1B45" w:rsidRDefault="00A21C01">
            <w:pPr>
              <w:spacing w:line="240" w:lineRule="auto"/>
              <w:rPr>
                <w:rFonts w:cs="Arial"/>
                <w:b/>
                <w:bCs/>
                <w:sz w:val="22"/>
              </w:rPr>
            </w:pPr>
            <w:r w:rsidRPr="003D1B45">
              <w:rPr>
                <w:rFonts w:cs="Arial"/>
                <w:color w:val="000000"/>
                <w:kern w:val="24"/>
                <w:sz w:val="22"/>
              </w:rPr>
              <w:t>Certain iron or steel fasteners (</w:t>
            </w:r>
            <w:r w:rsidR="00192BF6">
              <w:rPr>
                <w:rFonts w:cs="Arial"/>
                <w:color w:val="000000"/>
                <w:kern w:val="24"/>
                <w:sz w:val="22"/>
              </w:rPr>
              <w:t>PRC</w:t>
            </w:r>
            <w:r w:rsidRPr="003D1B45">
              <w:rPr>
                <w:rFonts w:cs="Arial"/>
                <w:color w:val="000000"/>
                <w:kern w:val="24"/>
                <w:sz w:val="22"/>
              </w:rPr>
              <w:t>)</w:t>
            </w:r>
          </w:p>
        </w:tc>
        <w:tc>
          <w:tcPr>
            <w:tcW w:w="1134" w:type="dxa"/>
            <w:shd w:val="clear" w:color="auto" w:fill="auto"/>
          </w:tcPr>
          <w:p w14:paraId="0F2125C2" w14:textId="77777777" w:rsidR="00A21C01" w:rsidRPr="003D1B45" w:rsidRDefault="00205E8C">
            <w:pPr>
              <w:spacing w:line="240" w:lineRule="auto"/>
              <w:rPr>
                <w:rFonts w:cs="Arial"/>
                <w:color w:val="000000"/>
                <w:kern w:val="24"/>
                <w:sz w:val="22"/>
              </w:rPr>
            </w:pPr>
            <w:hyperlink r:id="rId59" w:history="1">
              <w:r w:rsidR="00A21C01" w:rsidRPr="003D1B45">
                <w:rPr>
                  <w:rStyle w:val="Hyperlink"/>
                  <w:sz w:val="22"/>
                </w:rPr>
                <w:t>Case R515</w:t>
              </w:r>
            </w:hyperlink>
          </w:p>
        </w:tc>
        <w:tc>
          <w:tcPr>
            <w:tcW w:w="1134" w:type="dxa"/>
            <w:shd w:val="clear" w:color="auto" w:fill="DEEAF6" w:themeFill="accent5" w:themeFillTint="33"/>
            <w:vAlign w:val="center"/>
          </w:tcPr>
          <w:p w14:paraId="05B23B9A" w14:textId="77777777" w:rsidR="00A21C01" w:rsidRPr="003D1B45" w:rsidRDefault="00A21C01">
            <w:pPr>
              <w:spacing w:line="240" w:lineRule="auto"/>
              <w:jc w:val="right"/>
              <w:rPr>
                <w:rFonts w:cs="Arial"/>
                <w:b/>
                <w:bCs/>
                <w:sz w:val="22"/>
              </w:rPr>
            </w:pPr>
            <w:r w:rsidRPr="003D1B45">
              <w:rPr>
                <w:rFonts w:cs="Arial"/>
                <w:color w:val="000000"/>
                <w:kern w:val="24"/>
                <w:sz w:val="22"/>
              </w:rPr>
              <w:t>1</w:t>
            </w:r>
          </w:p>
        </w:tc>
        <w:tc>
          <w:tcPr>
            <w:tcW w:w="1418" w:type="dxa"/>
            <w:vAlign w:val="center"/>
          </w:tcPr>
          <w:p w14:paraId="21A5384C" w14:textId="77777777" w:rsidR="00A21C01" w:rsidRPr="003D1B45" w:rsidRDefault="00A21C01">
            <w:pPr>
              <w:spacing w:line="240" w:lineRule="auto"/>
              <w:jc w:val="right"/>
              <w:rPr>
                <w:rFonts w:cs="Arial"/>
                <w:b/>
                <w:bCs/>
                <w:sz w:val="22"/>
              </w:rPr>
            </w:pPr>
          </w:p>
        </w:tc>
        <w:tc>
          <w:tcPr>
            <w:tcW w:w="1417" w:type="dxa"/>
            <w:vAlign w:val="center"/>
          </w:tcPr>
          <w:p w14:paraId="5A6D7BAC" w14:textId="77777777" w:rsidR="00A21C01" w:rsidRPr="003D1B45" w:rsidRDefault="00A21C01">
            <w:pPr>
              <w:spacing w:line="240" w:lineRule="auto"/>
              <w:jc w:val="right"/>
              <w:rPr>
                <w:rFonts w:cs="Arial"/>
                <w:b/>
                <w:bCs/>
                <w:sz w:val="22"/>
              </w:rPr>
            </w:pPr>
            <w:r w:rsidRPr="003D1B45">
              <w:rPr>
                <w:rFonts w:cs="Arial"/>
                <w:color w:val="000000"/>
                <w:kern w:val="24"/>
                <w:sz w:val="22"/>
              </w:rPr>
              <w:t>1</w:t>
            </w:r>
          </w:p>
        </w:tc>
        <w:tc>
          <w:tcPr>
            <w:tcW w:w="1276" w:type="dxa"/>
            <w:vAlign w:val="center"/>
          </w:tcPr>
          <w:p w14:paraId="352E5AF0" w14:textId="77777777" w:rsidR="00A21C01" w:rsidRPr="003D1B45" w:rsidRDefault="00A21C01">
            <w:pPr>
              <w:spacing w:line="240" w:lineRule="auto"/>
              <w:jc w:val="right"/>
              <w:rPr>
                <w:rFonts w:cs="Arial"/>
                <w:b/>
                <w:bCs/>
                <w:sz w:val="22"/>
              </w:rPr>
            </w:pPr>
          </w:p>
        </w:tc>
        <w:tc>
          <w:tcPr>
            <w:tcW w:w="1559" w:type="dxa"/>
            <w:vAlign w:val="center"/>
          </w:tcPr>
          <w:p w14:paraId="4E6380C7" w14:textId="77777777" w:rsidR="00A21C01" w:rsidRPr="003D1B45" w:rsidRDefault="00A21C01">
            <w:pPr>
              <w:spacing w:line="240" w:lineRule="auto"/>
              <w:jc w:val="right"/>
              <w:rPr>
                <w:rFonts w:cs="Arial"/>
                <w:b/>
                <w:bCs/>
                <w:sz w:val="22"/>
              </w:rPr>
            </w:pPr>
          </w:p>
        </w:tc>
        <w:tc>
          <w:tcPr>
            <w:tcW w:w="1560" w:type="dxa"/>
            <w:vAlign w:val="center"/>
          </w:tcPr>
          <w:p w14:paraId="5A503918" w14:textId="6DD9AC1E" w:rsidR="00A21C01" w:rsidRPr="003D1B45" w:rsidRDefault="00A21C01">
            <w:pPr>
              <w:spacing w:line="240" w:lineRule="auto"/>
              <w:rPr>
                <w:rFonts w:cs="Arial"/>
                <w:b/>
                <w:bCs/>
                <w:sz w:val="22"/>
              </w:rPr>
            </w:pPr>
            <w:r w:rsidRPr="003D1B45">
              <w:rPr>
                <w:rFonts w:cs="Arial"/>
                <w:color w:val="000000"/>
                <w:kern w:val="24"/>
                <w:sz w:val="22"/>
              </w:rPr>
              <w:t>Malaysia, Philippines, Thailand</w:t>
            </w:r>
          </w:p>
        </w:tc>
        <w:tc>
          <w:tcPr>
            <w:tcW w:w="2754" w:type="dxa"/>
            <w:vAlign w:val="center"/>
          </w:tcPr>
          <w:p w14:paraId="52AB2FA6" w14:textId="77777777" w:rsidR="00A21C01" w:rsidRPr="003D1B45" w:rsidRDefault="00A21C01">
            <w:pPr>
              <w:spacing w:line="240" w:lineRule="auto"/>
              <w:jc w:val="right"/>
              <w:rPr>
                <w:rFonts w:cs="Arial"/>
                <w:b/>
                <w:bCs/>
                <w:sz w:val="22"/>
              </w:rPr>
            </w:pPr>
            <w:r w:rsidRPr="003D1B45">
              <w:rPr>
                <w:rFonts w:cs="Arial"/>
                <w:color w:val="000000"/>
                <w:kern w:val="24"/>
                <w:sz w:val="22"/>
              </w:rPr>
              <w:t>73181210, 73181410, 73181530, 73181551, 73181561, 73181570</w:t>
            </w:r>
          </w:p>
        </w:tc>
      </w:tr>
      <w:tr w:rsidR="00A21C01" w:rsidRPr="00B54211" w14:paraId="1C95864A" w14:textId="77777777" w:rsidTr="00A21C01">
        <w:tc>
          <w:tcPr>
            <w:tcW w:w="1696" w:type="dxa"/>
            <w:vAlign w:val="center"/>
          </w:tcPr>
          <w:p w14:paraId="6ED0DB57" w14:textId="4DD38528" w:rsidR="00A21C01" w:rsidRPr="003D1B45" w:rsidRDefault="00A21C01">
            <w:pPr>
              <w:spacing w:line="240" w:lineRule="auto"/>
              <w:rPr>
                <w:rFonts w:cs="Arial"/>
                <w:b/>
                <w:bCs/>
                <w:sz w:val="22"/>
              </w:rPr>
            </w:pPr>
            <w:r w:rsidRPr="003D1B45">
              <w:rPr>
                <w:rFonts w:cs="Arial"/>
                <w:color w:val="000000"/>
                <w:kern w:val="24"/>
                <w:sz w:val="22"/>
              </w:rPr>
              <w:t xml:space="preserve">Certain stainless steel fasteners and parts thereof </w:t>
            </w:r>
            <w:r w:rsidR="006E0BB5">
              <w:rPr>
                <w:rFonts w:cs="Arial"/>
                <w:color w:val="000000"/>
                <w:kern w:val="24"/>
                <w:sz w:val="22"/>
              </w:rPr>
              <w:t>(</w:t>
            </w:r>
            <w:r w:rsidR="00192BF6">
              <w:rPr>
                <w:rFonts w:cs="Arial"/>
                <w:color w:val="000000"/>
                <w:kern w:val="24"/>
                <w:sz w:val="22"/>
              </w:rPr>
              <w:t>PRC</w:t>
            </w:r>
            <w:r w:rsidRPr="003D1B45">
              <w:rPr>
                <w:rFonts w:cs="Arial"/>
                <w:color w:val="000000"/>
                <w:kern w:val="24"/>
                <w:sz w:val="22"/>
              </w:rPr>
              <w:t>)</w:t>
            </w:r>
          </w:p>
        </w:tc>
        <w:tc>
          <w:tcPr>
            <w:tcW w:w="1134" w:type="dxa"/>
            <w:shd w:val="clear" w:color="auto" w:fill="auto"/>
          </w:tcPr>
          <w:p w14:paraId="5D7B8F4A" w14:textId="77777777" w:rsidR="00A21C01" w:rsidRPr="003D1B45" w:rsidRDefault="00205E8C">
            <w:pPr>
              <w:spacing w:line="240" w:lineRule="auto"/>
              <w:rPr>
                <w:rFonts w:cs="Arial"/>
                <w:color w:val="000000"/>
                <w:kern w:val="24"/>
                <w:sz w:val="22"/>
              </w:rPr>
            </w:pPr>
            <w:hyperlink r:id="rId60" w:history="1">
              <w:r w:rsidR="00A21C01" w:rsidRPr="003D1B45">
                <w:rPr>
                  <w:rStyle w:val="Hyperlink"/>
                  <w:sz w:val="22"/>
                </w:rPr>
                <w:t>Case R535</w:t>
              </w:r>
            </w:hyperlink>
          </w:p>
        </w:tc>
        <w:tc>
          <w:tcPr>
            <w:tcW w:w="1134" w:type="dxa"/>
            <w:shd w:val="clear" w:color="auto" w:fill="DEEAF6" w:themeFill="accent5" w:themeFillTint="33"/>
            <w:vAlign w:val="center"/>
          </w:tcPr>
          <w:p w14:paraId="6834FF4B" w14:textId="77777777" w:rsidR="00A21C01" w:rsidRPr="003D1B45" w:rsidRDefault="00A21C01">
            <w:pPr>
              <w:spacing w:line="240" w:lineRule="auto"/>
              <w:jc w:val="right"/>
              <w:rPr>
                <w:rFonts w:cs="Arial"/>
                <w:b/>
                <w:bCs/>
                <w:sz w:val="22"/>
              </w:rPr>
            </w:pPr>
            <w:r w:rsidRPr="003D1B45">
              <w:rPr>
                <w:rFonts w:cs="Arial"/>
                <w:color w:val="000000"/>
                <w:kern w:val="24"/>
                <w:sz w:val="22"/>
              </w:rPr>
              <w:t>1</w:t>
            </w:r>
          </w:p>
        </w:tc>
        <w:tc>
          <w:tcPr>
            <w:tcW w:w="1418" w:type="dxa"/>
            <w:vAlign w:val="center"/>
          </w:tcPr>
          <w:p w14:paraId="5432D249" w14:textId="77777777" w:rsidR="00A21C01" w:rsidRPr="003D1B45" w:rsidRDefault="00A21C01">
            <w:pPr>
              <w:spacing w:line="240" w:lineRule="auto"/>
              <w:jc w:val="right"/>
              <w:rPr>
                <w:rFonts w:cs="Arial"/>
                <w:b/>
                <w:bCs/>
                <w:sz w:val="22"/>
              </w:rPr>
            </w:pPr>
          </w:p>
        </w:tc>
        <w:tc>
          <w:tcPr>
            <w:tcW w:w="1417" w:type="dxa"/>
            <w:vAlign w:val="center"/>
          </w:tcPr>
          <w:p w14:paraId="3CBA25E4" w14:textId="77777777" w:rsidR="00A21C01" w:rsidRPr="003D1B45" w:rsidRDefault="00A21C01">
            <w:pPr>
              <w:spacing w:line="240" w:lineRule="auto"/>
              <w:jc w:val="right"/>
              <w:rPr>
                <w:rFonts w:cs="Arial"/>
                <w:b/>
                <w:bCs/>
                <w:sz w:val="22"/>
              </w:rPr>
            </w:pPr>
            <w:r w:rsidRPr="003D1B45">
              <w:rPr>
                <w:rFonts w:cs="Arial"/>
                <w:color w:val="000000"/>
                <w:kern w:val="24"/>
                <w:sz w:val="22"/>
              </w:rPr>
              <w:t>1</w:t>
            </w:r>
          </w:p>
        </w:tc>
        <w:tc>
          <w:tcPr>
            <w:tcW w:w="1276" w:type="dxa"/>
            <w:vAlign w:val="center"/>
          </w:tcPr>
          <w:p w14:paraId="4C4C80D5" w14:textId="77777777" w:rsidR="00A21C01" w:rsidRPr="003D1B45" w:rsidRDefault="00A21C01">
            <w:pPr>
              <w:spacing w:line="240" w:lineRule="auto"/>
              <w:jc w:val="right"/>
              <w:rPr>
                <w:rFonts w:cs="Arial"/>
                <w:b/>
                <w:bCs/>
                <w:sz w:val="22"/>
              </w:rPr>
            </w:pPr>
          </w:p>
        </w:tc>
        <w:tc>
          <w:tcPr>
            <w:tcW w:w="1559" w:type="dxa"/>
            <w:vAlign w:val="center"/>
          </w:tcPr>
          <w:p w14:paraId="2DF73F86" w14:textId="77777777" w:rsidR="00A21C01" w:rsidRPr="003D1B45" w:rsidRDefault="00A21C01">
            <w:pPr>
              <w:spacing w:line="240" w:lineRule="auto"/>
              <w:jc w:val="right"/>
              <w:rPr>
                <w:rFonts w:cs="Arial"/>
                <w:b/>
                <w:bCs/>
                <w:sz w:val="22"/>
              </w:rPr>
            </w:pPr>
          </w:p>
        </w:tc>
        <w:tc>
          <w:tcPr>
            <w:tcW w:w="1560" w:type="dxa"/>
            <w:vAlign w:val="center"/>
          </w:tcPr>
          <w:p w14:paraId="014CD0D9" w14:textId="77777777" w:rsidR="00A21C01" w:rsidRPr="003D1B45" w:rsidRDefault="00A21C01">
            <w:pPr>
              <w:spacing w:line="240" w:lineRule="auto"/>
              <w:rPr>
                <w:rFonts w:cs="Arial"/>
                <w:b/>
                <w:bCs/>
                <w:sz w:val="22"/>
              </w:rPr>
            </w:pPr>
            <w:r w:rsidRPr="003D1B45">
              <w:rPr>
                <w:rFonts w:cs="Arial"/>
                <w:color w:val="000000"/>
                <w:kern w:val="24"/>
                <w:sz w:val="22"/>
              </w:rPr>
              <w:t>Malaysia, Thailand</w:t>
            </w:r>
          </w:p>
        </w:tc>
        <w:tc>
          <w:tcPr>
            <w:tcW w:w="2754" w:type="dxa"/>
            <w:vAlign w:val="center"/>
          </w:tcPr>
          <w:p w14:paraId="7AF4CE26" w14:textId="77777777" w:rsidR="00A21C01" w:rsidRPr="003D1B45" w:rsidRDefault="00A21C01">
            <w:pPr>
              <w:spacing w:line="240" w:lineRule="auto"/>
              <w:jc w:val="right"/>
              <w:rPr>
                <w:rFonts w:cs="Arial"/>
                <w:b/>
                <w:bCs/>
                <w:sz w:val="22"/>
              </w:rPr>
            </w:pPr>
            <w:r w:rsidRPr="003D1B45">
              <w:rPr>
                <w:rFonts w:cs="Arial"/>
                <w:color w:val="000000"/>
                <w:kern w:val="24"/>
                <w:sz w:val="22"/>
              </w:rPr>
              <w:t>73181210, 73181410, 73181530, 73181551, 73181561, 73181570</w:t>
            </w:r>
          </w:p>
        </w:tc>
      </w:tr>
      <w:tr w:rsidR="00A21C01" w:rsidRPr="00B54211" w14:paraId="52AA818A" w14:textId="77777777" w:rsidTr="00A21C01">
        <w:tc>
          <w:tcPr>
            <w:tcW w:w="1696" w:type="dxa"/>
            <w:vAlign w:val="center"/>
          </w:tcPr>
          <w:p w14:paraId="2F4D74EA" w14:textId="645F6E37" w:rsidR="00A21C01" w:rsidRPr="003D1B45" w:rsidRDefault="00A21C01">
            <w:pPr>
              <w:spacing w:line="240" w:lineRule="auto"/>
              <w:rPr>
                <w:rFonts w:cs="Arial"/>
                <w:color w:val="000000"/>
                <w:kern w:val="24"/>
                <w:sz w:val="22"/>
              </w:rPr>
            </w:pPr>
            <w:r w:rsidRPr="003D1B45">
              <w:rPr>
                <w:rFonts w:cs="Arial"/>
                <w:color w:val="000000"/>
                <w:kern w:val="24"/>
                <w:sz w:val="22"/>
              </w:rPr>
              <w:t>Certain aluminium foil (</w:t>
            </w:r>
            <w:r w:rsidR="00192BF6">
              <w:rPr>
                <w:rFonts w:cs="Arial"/>
                <w:color w:val="000000"/>
                <w:kern w:val="24"/>
                <w:sz w:val="22"/>
              </w:rPr>
              <w:t>PRC</w:t>
            </w:r>
            <w:r w:rsidRPr="003D1B45">
              <w:rPr>
                <w:rFonts w:cs="Arial"/>
                <w:color w:val="000000"/>
                <w:kern w:val="24"/>
                <w:sz w:val="22"/>
              </w:rPr>
              <w:t>)</w:t>
            </w:r>
          </w:p>
        </w:tc>
        <w:tc>
          <w:tcPr>
            <w:tcW w:w="1134" w:type="dxa"/>
            <w:shd w:val="clear" w:color="auto" w:fill="auto"/>
          </w:tcPr>
          <w:p w14:paraId="498AF90B" w14:textId="77777777" w:rsidR="00A21C01" w:rsidRPr="003D1B45" w:rsidRDefault="00205E8C">
            <w:pPr>
              <w:spacing w:line="240" w:lineRule="auto"/>
              <w:rPr>
                <w:rFonts w:cs="Arial"/>
                <w:color w:val="000000"/>
                <w:kern w:val="24"/>
                <w:sz w:val="22"/>
              </w:rPr>
            </w:pPr>
            <w:hyperlink r:id="rId61" w:history="1">
              <w:r w:rsidR="00A21C01" w:rsidRPr="003D1B45">
                <w:rPr>
                  <w:rStyle w:val="Hyperlink"/>
                  <w:sz w:val="22"/>
                </w:rPr>
                <w:t>Case R565</w:t>
              </w:r>
            </w:hyperlink>
          </w:p>
        </w:tc>
        <w:tc>
          <w:tcPr>
            <w:tcW w:w="1134" w:type="dxa"/>
            <w:shd w:val="clear" w:color="auto" w:fill="DEEAF6" w:themeFill="accent5" w:themeFillTint="33"/>
            <w:vAlign w:val="center"/>
          </w:tcPr>
          <w:p w14:paraId="7380F223" w14:textId="77777777" w:rsidR="00A21C01" w:rsidRPr="003D1B45" w:rsidRDefault="00A21C01">
            <w:pPr>
              <w:spacing w:line="240" w:lineRule="auto"/>
              <w:jc w:val="right"/>
              <w:rPr>
                <w:rFonts w:cs="Arial"/>
                <w:color w:val="000000"/>
                <w:kern w:val="24"/>
                <w:sz w:val="22"/>
              </w:rPr>
            </w:pPr>
            <w:r w:rsidRPr="003D1B45">
              <w:rPr>
                <w:rFonts w:cs="Arial"/>
                <w:color w:val="000000"/>
                <w:kern w:val="24"/>
                <w:sz w:val="22"/>
              </w:rPr>
              <w:t>3</w:t>
            </w:r>
          </w:p>
        </w:tc>
        <w:tc>
          <w:tcPr>
            <w:tcW w:w="1418" w:type="dxa"/>
            <w:vAlign w:val="center"/>
          </w:tcPr>
          <w:p w14:paraId="34D60C12" w14:textId="77777777" w:rsidR="00A21C01" w:rsidRPr="003D1B45" w:rsidRDefault="00A21C01">
            <w:pPr>
              <w:spacing w:line="240" w:lineRule="auto"/>
              <w:jc w:val="right"/>
              <w:rPr>
                <w:rFonts w:cs="Arial"/>
                <w:b/>
                <w:bCs/>
                <w:sz w:val="22"/>
              </w:rPr>
            </w:pPr>
            <w:r w:rsidRPr="003D1B45">
              <w:rPr>
                <w:rFonts w:cs="Arial"/>
                <w:color w:val="000000"/>
                <w:kern w:val="24"/>
                <w:sz w:val="22"/>
              </w:rPr>
              <w:t>1</w:t>
            </w:r>
          </w:p>
        </w:tc>
        <w:tc>
          <w:tcPr>
            <w:tcW w:w="1417" w:type="dxa"/>
            <w:vAlign w:val="center"/>
          </w:tcPr>
          <w:p w14:paraId="1299E2FD" w14:textId="77777777" w:rsidR="00A21C01" w:rsidRPr="003D1B45" w:rsidRDefault="00A21C01">
            <w:pPr>
              <w:spacing w:line="240" w:lineRule="auto"/>
              <w:jc w:val="right"/>
              <w:rPr>
                <w:rFonts w:cs="Arial"/>
                <w:color w:val="000000"/>
                <w:kern w:val="24"/>
                <w:sz w:val="22"/>
              </w:rPr>
            </w:pPr>
          </w:p>
        </w:tc>
        <w:tc>
          <w:tcPr>
            <w:tcW w:w="1276" w:type="dxa"/>
            <w:vAlign w:val="center"/>
          </w:tcPr>
          <w:p w14:paraId="34A5AC39" w14:textId="77777777" w:rsidR="00A21C01" w:rsidRPr="003D1B45" w:rsidRDefault="00A21C01">
            <w:pPr>
              <w:spacing w:line="240" w:lineRule="auto"/>
              <w:jc w:val="right"/>
              <w:rPr>
                <w:rFonts w:cs="Arial"/>
                <w:b/>
                <w:bCs/>
                <w:sz w:val="22"/>
              </w:rPr>
            </w:pPr>
            <w:r w:rsidRPr="003D1B45">
              <w:rPr>
                <w:rFonts w:cs="Arial"/>
                <w:color w:val="000000"/>
                <w:kern w:val="24"/>
                <w:sz w:val="22"/>
              </w:rPr>
              <w:t>2</w:t>
            </w:r>
          </w:p>
        </w:tc>
        <w:tc>
          <w:tcPr>
            <w:tcW w:w="1559" w:type="dxa"/>
            <w:vAlign w:val="center"/>
          </w:tcPr>
          <w:p w14:paraId="52CCD5E8" w14:textId="77777777" w:rsidR="00A21C01" w:rsidRPr="003D1B45" w:rsidRDefault="00A21C01">
            <w:pPr>
              <w:spacing w:line="240" w:lineRule="auto"/>
              <w:jc w:val="right"/>
              <w:rPr>
                <w:rFonts w:cs="Arial"/>
                <w:b/>
                <w:bCs/>
                <w:sz w:val="22"/>
              </w:rPr>
            </w:pPr>
          </w:p>
        </w:tc>
        <w:tc>
          <w:tcPr>
            <w:tcW w:w="1560" w:type="dxa"/>
            <w:vAlign w:val="center"/>
          </w:tcPr>
          <w:p w14:paraId="1736FEE6" w14:textId="728D10BC" w:rsidR="00A21C01" w:rsidRPr="003D1B45" w:rsidRDefault="00A21C01">
            <w:pPr>
              <w:spacing w:line="240" w:lineRule="auto"/>
              <w:rPr>
                <w:rFonts w:cs="Arial"/>
                <w:color w:val="000000"/>
                <w:kern w:val="24"/>
                <w:sz w:val="22"/>
              </w:rPr>
            </w:pPr>
            <w:r w:rsidRPr="003D1B45">
              <w:rPr>
                <w:rFonts w:cs="Arial"/>
                <w:color w:val="000000"/>
                <w:kern w:val="24"/>
                <w:sz w:val="22"/>
              </w:rPr>
              <w:t>Thailand,</w:t>
            </w:r>
            <w:r w:rsidR="00192BF6">
              <w:rPr>
                <w:rFonts w:cs="Arial"/>
                <w:color w:val="000000"/>
                <w:kern w:val="24"/>
                <w:sz w:val="22"/>
              </w:rPr>
              <w:t xml:space="preserve"> PRC</w:t>
            </w:r>
          </w:p>
        </w:tc>
        <w:tc>
          <w:tcPr>
            <w:tcW w:w="2754" w:type="dxa"/>
            <w:vAlign w:val="center"/>
          </w:tcPr>
          <w:p w14:paraId="33DD7A53" w14:textId="77777777" w:rsidR="00A21C01" w:rsidRPr="003D1B45" w:rsidRDefault="00A21C01">
            <w:pPr>
              <w:spacing w:line="240" w:lineRule="auto"/>
              <w:jc w:val="right"/>
              <w:rPr>
                <w:rFonts w:cs="Arial"/>
                <w:color w:val="000000"/>
                <w:kern w:val="24"/>
                <w:sz w:val="22"/>
              </w:rPr>
            </w:pPr>
            <w:r w:rsidRPr="003D1B45">
              <w:rPr>
                <w:rFonts w:cs="Arial"/>
                <w:color w:val="000000"/>
                <w:kern w:val="24"/>
                <w:sz w:val="22"/>
              </w:rPr>
              <w:t>76071119, 76071190</w:t>
            </w:r>
          </w:p>
        </w:tc>
      </w:tr>
      <w:tr w:rsidR="00A21C01" w:rsidRPr="00B54211" w14:paraId="620AF39C" w14:textId="77777777" w:rsidTr="00A21C01">
        <w:tc>
          <w:tcPr>
            <w:tcW w:w="1696" w:type="dxa"/>
            <w:vAlign w:val="center"/>
          </w:tcPr>
          <w:p w14:paraId="72387E98" w14:textId="7E6598DA" w:rsidR="00A21C01" w:rsidRPr="003D1B45" w:rsidRDefault="00A21C01">
            <w:pPr>
              <w:spacing w:line="240" w:lineRule="auto"/>
              <w:rPr>
                <w:rFonts w:cs="Arial"/>
                <w:color w:val="000000"/>
                <w:kern w:val="24"/>
                <w:sz w:val="22"/>
              </w:rPr>
            </w:pPr>
            <w:r w:rsidRPr="003D1B45">
              <w:rPr>
                <w:rFonts w:cs="Arial"/>
                <w:color w:val="000000"/>
                <w:kern w:val="24"/>
                <w:sz w:val="22"/>
              </w:rPr>
              <w:t>Tungsten electrodes (</w:t>
            </w:r>
            <w:r w:rsidR="00192BF6">
              <w:rPr>
                <w:rFonts w:cs="Arial"/>
                <w:color w:val="000000"/>
                <w:kern w:val="24"/>
                <w:sz w:val="22"/>
              </w:rPr>
              <w:t>PRC</w:t>
            </w:r>
            <w:r w:rsidRPr="003D1B45">
              <w:rPr>
                <w:rFonts w:cs="Arial"/>
                <w:color w:val="000000"/>
                <w:kern w:val="24"/>
                <w:sz w:val="22"/>
              </w:rPr>
              <w:t>)</w:t>
            </w:r>
          </w:p>
        </w:tc>
        <w:tc>
          <w:tcPr>
            <w:tcW w:w="1134" w:type="dxa"/>
            <w:shd w:val="clear" w:color="auto" w:fill="auto"/>
          </w:tcPr>
          <w:p w14:paraId="7C5D89E5" w14:textId="77777777" w:rsidR="00A21C01" w:rsidRPr="003D1B45" w:rsidRDefault="00205E8C">
            <w:pPr>
              <w:spacing w:line="240" w:lineRule="auto"/>
              <w:rPr>
                <w:rFonts w:cs="Arial"/>
                <w:color w:val="000000"/>
                <w:kern w:val="24"/>
                <w:sz w:val="22"/>
              </w:rPr>
            </w:pPr>
            <w:hyperlink r:id="rId62" w:history="1">
              <w:r w:rsidR="00A21C01" w:rsidRPr="003D1B45">
                <w:rPr>
                  <w:rStyle w:val="Hyperlink"/>
                  <w:sz w:val="22"/>
                </w:rPr>
                <w:t>Case R710</w:t>
              </w:r>
            </w:hyperlink>
          </w:p>
        </w:tc>
        <w:tc>
          <w:tcPr>
            <w:tcW w:w="1134" w:type="dxa"/>
            <w:shd w:val="clear" w:color="auto" w:fill="DEEAF6" w:themeFill="accent5" w:themeFillTint="33"/>
            <w:vAlign w:val="center"/>
          </w:tcPr>
          <w:p w14:paraId="2B801FFC" w14:textId="77777777" w:rsidR="00A21C01" w:rsidRPr="003D1B45" w:rsidRDefault="00A21C01">
            <w:pPr>
              <w:spacing w:line="240" w:lineRule="auto"/>
              <w:jc w:val="right"/>
              <w:rPr>
                <w:rFonts w:cs="Arial"/>
                <w:color w:val="000000"/>
                <w:kern w:val="24"/>
                <w:sz w:val="22"/>
              </w:rPr>
            </w:pPr>
            <w:r w:rsidRPr="003D1B45">
              <w:rPr>
                <w:rFonts w:cs="Arial"/>
                <w:color w:val="000000"/>
                <w:kern w:val="24"/>
                <w:sz w:val="22"/>
              </w:rPr>
              <w:t>1</w:t>
            </w:r>
          </w:p>
        </w:tc>
        <w:tc>
          <w:tcPr>
            <w:tcW w:w="1418" w:type="dxa"/>
            <w:vAlign w:val="center"/>
          </w:tcPr>
          <w:p w14:paraId="6D57E1E2" w14:textId="77777777" w:rsidR="00A21C01" w:rsidRPr="003D1B45" w:rsidRDefault="00A21C01">
            <w:pPr>
              <w:spacing w:line="240" w:lineRule="auto"/>
              <w:jc w:val="right"/>
              <w:rPr>
                <w:rFonts w:cs="Arial"/>
                <w:b/>
                <w:bCs/>
                <w:sz w:val="22"/>
              </w:rPr>
            </w:pPr>
          </w:p>
        </w:tc>
        <w:tc>
          <w:tcPr>
            <w:tcW w:w="1417" w:type="dxa"/>
            <w:vAlign w:val="center"/>
          </w:tcPr>
          <w:p w14:paraId="5F81850C" w14:textId="77777777" w:rsidR="00A21C01" w:rsidRPr="003D1B45" w:rsidRDefault="00A21C01">
            <w:pPr>
              <w:spacing w:line="240" w:lineRule="auto"/>
              <w:jc w:val="right"/>
              <w:rPr>
                <w:rFonts w:cs="Arial"/>
                <w:color w:val="000000"/>
                <w:kern w:val="24"/>
                <w:sz w:val="22"/>
              </w:rPr>
            </w:pPr>
            <w:r w:rsidRPr="003D1B45">
              <w:rPr>
                <w:rFonts w:cs="Arial"/>
                <w:color w:val="000000"/>
                <w:kern w:val="24"/>
                <w:sz w:val="22"/>
              </w:rPr>
              <w:t>1</w:t>
            </w:r>
          </w:p>
        </w:tc>
        <w:tc>
          <w:tcPr>
            <w:tcW w:w="1276" w:type="dxa"/>
            <w:vAlign w:val="center"/>
          </w:tcPr>
          <w:p w14:paraId="06DA1792" w14:textId="77777777" w:rsidR="00A21C01" w:rsidRPr="003D1B45" w:rsidRDefault="00A21C01">
            <w:pPr>
              <w:spacing w:line="240" w:lineRule="auto"/>
              <w:jc w:val="right"/>
              <w:rPr>
                <w:rFonts w:cs="Arial"/>
                <w:b/>
                <w:bCs/>
                <w:sz w:val="22"/>
              </w:rPr>
            </w:pPr>
          </w:p>
        </w:tc>
        <w:tc>
          <w:tcPr>
            <w:tcW w:w="1559" w:type="dxa"/>
            <w:vAlign w:val="center"/>
          </w:tcPr>
          <w:p w14:paraId="77C6F954" w14:textId="77777777" w:rsidR="00A21C01" w:rsidRPr="003D1B45" w:rsidRDefault="00A21C01">
            <w:pPr>
              <w:spacing w:line="240" w:lineRule="auto"/>
              <w:jc w:val="right"/>
              <w:rPr>
                <w:rFonts w:cs="Arial"/>
                <w:b/>
                <w:bCs/>
                <w:sz w:val="22"/>
              </w:rPr>
            </w:pPr>
          </w:p>
        </w:tc>
        <w:tc>
          <w:tcPr>
            <w:tcW w:w="1560" w:type="dxa"/>
            <w:vAlign w:val="center"/>
          </w:tcPr>
          <w:p w14:paraId="2757FBAF" w14:textId="44CC4160" w:rsidR="00A21C01" w:rsidRPr="003D1B45" w:rsidRDefault="00192BF6">
            <w:pPr>
              <w:spacing w:line="240" w:lineRule="auto"/>
              <w:rPr>
                <w:rFonts w:cs="Arial"/>
                <w:color w:val="000000"/>
                <w:kern w:val="24"/>
                <w:sz w:val="22"/>
              </w:rPr>
            </w:pPr>
            <w:r>
              <w:rPr>
                <w:rFonts w:cs="Arial"/>
                <w:color w:val="000000"/>
                <w:kern w:val="24"/>
                <w:sz w:val="22"/>
              </w:rPr>
              <w:t>PRC</w:t>
            </w:r>
            <w:r w:rsidR="00A21C01" w:rsidRPr="003D1B45">
              <w:rPr>
                <w:rFonts w:cs="Arial"/>
                <w:color w:val="000000"/>
                <w:kern w:val="24"/>
                <w:sz w:val="22"/>
              </w:rPr>
              <w:t>, India, Laos</w:t>
            </w:r>
          </w:p>
        </w:tc>
        <w:tc>
          <w:tcPr>
            <w:tcW w:w="2754" w:type="dxa"/>
            <w:vAlign w:val="center"/>
          </w:tcPr>
          <w:p w14:paraId="755F3F43" w14:textId="77777777" w:rsidR="00A21C01" w:rsidRPr="003D1B45" w:rsidRDefault="00A21C01">
            <w:pPr>
              <w:spacing w:line="240" w:lineRule="auto"/>
              <w:jc w:val="right"/>
              <w:rPr>
                <w:rFonts w:cs="Arial"/>
                <w:color w:val="000000"/>
                <w:kern w:val="24"/>
                <w:sz w:val="22"/>
              </w:rPr>
            </w:pPr>
            <w:r w:rsidRPr="003D1B45">
              <w:rPr>
                <w:rFonts w:cs="Arial"/>
                <w:color w:val="000000"/>
                <w:kern w:val="24"/>
                <w:sz w:val="22"/>
              </w:rPr>
              <w:t>8101991010,8515908010</w:t>
            </w:r>
          </w:p>
        </w:tc>
      </w:tr>
      <w:tr w:rsidR="00A21C01" w:rsidRPr="00B54211" w14:paraId="4160D36C" w14:textId="77777777" w:rsidTr="00A21C01">
        <w:tc>
          <w:tcPr>
            <w:tcW w:w="1696" w:type="dxa"/>
            <w:vAlign w:val="center"/>
          </w:tcPr>
          <w:p w14:paraId="593094B1" w14:textId="1C574E99" w:rsidR="00A21C01" w:rsidRPr="003D1B45" w:rsidRDefault="00A21C01">
            <w:pPr>
              <w:spacing w:line="240" w:lineRule="auto"/>
              <w:rPr>
                <w:rFonts w:cs="Arial"/>
                <w:color w:val="000000"/>
                <w:kern w:val="24"/>
                <w:sz w:val="22"/>
              </w:rPr>
            </w:pPr>
            <w:r w:rsidRPr="003D1B45">
              <w:rPr>
                <w:rFonts w:cs="Arial"/>
                <w:color w:val="000000"/>
                <w:kern w:val="24"/>
                <w:sz w:val="22"/>
              </w:rPr>
              <w:t>Molybdenum wires (</w:t>
            </w:r>
            <w:r w:rsidR="00192BF6">
              <w:rPr>
                <w:rFonts w:cs="Arial"/>
                <w:color w:val="000000"/>
                <w:kern w:val="24"/>
                <w:sz w:val="22"/>
              </w:rPr>
              <w:t>PRC</w:t>
            </w:r>
            <w:r w:rsidRPr="003D1B45">
              <w:rPr>
                <w:rFonts w:cs="Arial"/>
                <w:color w:val="000000"/>
                <w:kern w:val="24"/>
                <w:sz w:val="22"/>
              </w:rPr>
              <w:t>)</w:t>
            </w:r>
          </w:p>
        </w:tc>
        <w:tc>
          <w:tcPr>
            <w:tcW w:w="1134" w:type="dxa"/>
            <w:shd w:val="clear" w:color="auto" w:fill="auto"/>
          </w:tcPr>
          <w:p w14:paraId="37C52F28" w14:textId="77777777" w:rsidR="00A21C01" w:rsidRPr="003D1B45" w:rsidRDefault="00205E8C">
            <w:pPr>
              <w:spacing w:line="240" w:lineRule="auto"/>
              <w:rPr>
                <w:rFonts w:cs="Arial"/>
                <w:color w:val="000000"/>
                <w:kern w:val="24"/>
                <w:sz w:val="22"/>
              </w:rPr>
            </w:pPr>
            <w:hyperlink r:id="rId63" w:history="1">
              <w:r w:rsidR="00A21C01" w:rsidRPr="003D1B45">
                <w:rPr>
                  <w:rStyle w:val="Hyperlink"/>
                  <w:sz w:val="22"/>
                </w:rPr>
                <w:t>Case R525</w:t>
              </w:r>
            </w:hyperlink>
          </w:p>
        </w:tc>
        <w:tc>
          <w:tcPr>
            <w:tcW w:w="1134" w:type="dxa"/>
            <w:shd w:val="clear" w:color="auto" w:fill="DEEAF6" w:themeFill="accent5" w:themeFillTint="33"/>
            <w:vAlign w:val="center"/>
          </w:tcPr>
          <w:p w14:paraId="22AED7BE" w14:textId="77777777" w:rsidR="00A21C01" w:rsidRPr="003D1B45" w:rsidRDefault="00A21C01">
            <w:pPr>
              <w:spacing w:line="240" w:lineRule="auto"/>
              <w:jc w:val="right"/>
              <w:rPr>
                <w:rFonts w:cs="Arial"/>
                <w:color w:val="000000"/>
                <w:kern w:val="24"/>
                <w:sz w:val="22"/>
              </w:rPr>
            </w:pPr>
            <w:r w:rsidRPr="003D1B45">
              <w:rPr>
                <w:rFonts w:cs="Arial"/>
                <w:color w:val="000000"/>
                <w:kern w:val="24"/>
                <w:sz w:val="22"/>
              </w:rPr>
              <w:t>3</w:t>
            </w:r>
          </w:p>
        </w:tc>
        <w:tc>
          <w:tcPr>
            <w:tcW w:w="1418" w:type="dxa"/>
            <w:vAlign w:val="center"/>
          </w:tcPr>
          <w:p w14:paraId="28974F12" w14:textId="77777777" w:rsidR="00A21C01" w:rsidRPr="003D1B45" w:rsidRDefault="00A21C01">
            <w:pPr>
              <w:spacing w:line="240" w:lineRule="auto"/>
              <w:jc w:val="right"/>
              <w:rPr>
                <w:rFonts w:cs="Arial"/>
                <w:b/>
                <w:bCs/>
                <w:sz w:val="22"/>
              </w:rPr>
            </w:pPr>
          </w:p>
        </w:tc>
        <w:tc>
          <w:tcPr>
            <w:tcW w:w="1417" w:type="dxa"/>
            <w:vAlign w:val="center"/>
          </w:tcPr>
          <w:p w14:paraId="4FC11E1C" w14:textId="77777777" w:rsidR="00A21C01" w:rsidRPr="003D1B45" w:rsidRDefault="00A21C01">
            <w:pPr>
              <w:spacing w:line="240" w:lineRule="auto"/>
              <w:jc w:val="right"/>
              <w:rPr>
                <w:rFonts w:cs="Arial"/>
                <w:color w:val="000000"/>
                <w:kern w:val="24"/>
                <w:sz w:val="22"/>
              </w:rPr>
            </w:pPr>
            <w:r w:rsidRPr="003D1B45">
              <w:rPr>
                <w:rFonts w:cs="Arial"/>
                <w:color w:val="000000"/>
                <w:kern w:val="24"/>
                <w:sz w:val="22"/>
              </w:rPr>
              <w:t>1</w:t>
            </w:r>
          </w:p>
        </w:tc>
        <w:tc>
          <w:tcPr>
            <w:tcW w:w="1276" w:type="dxa"/>
            <w:vAlign w:val="center"/>
          </w:tcPr>
          <w:p w14:paraId="3EACF755" w14:textId="77777777" w:rsidR="00A21C01" w:rsidRPr="003D1B45" w:rsidRDefault="00A21C01">
            <w:pPr>
              <w:spacing w:line="240" w:lineRule="auto"/>
              <w:jc w:val="right"/>
              <w:rPr>
                <w:rFonts w:cs="Arial"/>
                <w:b/>
                <w:bCs/>
                <w:sz w:val="22"/>
              </w:rPr>
            </w:pPr>
            <w:r w:rsidRPr="003D1B45">
              <w:rPr>
                <w:rFonts w:cs="Arial"/>
                <w:color w:val="000000"/>
                <w:kern w:val="24"/>
                <w:sz w:val="22"/>
              </w:rPr>
              <w:t>2</w:t>
            </w:r>
          </w:p>
        </w:tc>
        <w:tc>
          <w:tcPr>
            <w:tcW w:w="1559" w:type="dxa"/>
            <w:vAlign w:val="center"/>
          </w:tcPr>
          <w:p w14:paraId="0C994595" w14:textId="77777777" w:rsidR="00A21C01" w:rsidRPr="003D1B45" w:rsidRDefault="00A21C01">
            <w:pPr>
              <w:spacing w:line="240" w:lineRule="auto"/>
              <w:jc w:val="right"/>
              <w:rPr>
                <w:rFonts w:cs="Arial"/>
                <w:b/>
                <w:bCs/>
                <w:sz w:val="22"/>
              </w:rPr>
            </w:pPr>
          </w:p>
        </w:tc>
        <w:tc>
          <w:tcPr>
            <w:tcW w:w="1560" w:type="dxa"/>
            <w:vAlign w:val="center"/>
          </w:tcPr>
          <w:p w14:paraId="6F0F2677" w14:textId="794013D9" w:rsidR="00A21C01" w:rsidRPr="003D1B45" w:rsidRDefault="00192BF6">
            <w:pPr>
              <w:spacing w:line="240" w:lineRule="auto"/>
              <w:rPr>
                <w:rFonts w:cs="Arial"/>
                <w:color w:val="000000"/>
                <w:kern w:val="24"/>
                <w:sz w:val="22"/>
              </w:rPr>
            </w:pPr>
            <w:r>
              <w:rPr>
                <w:rFonts w:cs="Arial"/>
                <w:color w:val="000000"/>
                <w:kern w:val="24"/>
                <w:sz w:val="22"/>
              </w:rPr>
              <w:t>PRC</w:t>
            </w:r>
            <w:r w:rsidR="00A21C01" w:rsidRPr="003D1B45">
              <w:rPr>
                <w:rFonts w:cs="Arial"/>
                <w:color w:val="000000"/>
                <w:kern w:val="24"/>
                <w:sz w:val="22"/>
              </w:rPr>
              <w:t>, Malaysia</w:t>
            </w:r>
          </w:p>
        </w:tc>
        <w:tc>
          <w:tcPr>
            <w:tcW w:w="2754" w:type="dxa"/>
            <w:vAlign w:val="center"/>
          </w:tcPr>
          <w:p w14:paraId="33438C0E" w14:textId="77777777" w:rsidR="00A21C01" w:rsidRPr="003D1B45" w:rsidRDefault="00A21C01">
            <w:pPr>
              <w:spacing w:line="240" w:lineRule="auto"/>
              <w:jc w:val="right"/>
              <w:rPr>
                <w:rFonts w:cs="Arial"/>
                <w:color w:val="000000"/>
                <w:kern w:val="24"/>
                <w:sz w:val="22"/>
              </w:rPr>
            </w:pPr>
            <w:r w:rsidRPr="003D1B45">
              <w:rPr>
                <w:rFonts w:cs="Arial"/>
                <w:color w:val="000000"/>
                <w:kern w:val="24"/>
                <w:sz w:val="22"/>
              </w:rPr>
              <w:t>81029600, 8102960090, 8102960099</w:t>
            </w:r>
          </w:p>
        </w:tc>
      </w:tr>
      <w:tr w:rsidR="00A21C01" w:rsidRPr="00B54211" w14:paraId="0983FD6A" w14:textId="77777777" w:rsidTr="00A21C01">
        <w:tc>
          <w:tcPr>
            <w:tcW w:w="1696" w:type="dxa"/>
            <w:vAlign w:val="center"/>
          </w:tcPr>
          <w:p w14:paraId="3A9BA403" w14:textId="4000B5D7" w:rsidR="00A21C01" w:rsidRPr="003D1B45" w:rsidRDefault="00A21C01">
            <w:pPr>
              <w:spacing w:line="240" w:lineRule="auto"/>
              <w:rPr>
                <w:rFonts w:cs="Arial"/>
                <w:color w:val="000000"/>
                <w:kern w:val="24"/>
                <w:sz w:val="22"/>
              </w:rPr>
            </w:pPr>
            <w:r w:rsidRPr="003D1B45">
              <w:rPr>
                <w:rFonts w:cs="Arial"/>
                <w:color w:val="000000"/>
                <w:kern w:val="24"/>
                <w:sz w:val="22"/>
              </w:rPr>
              <w:t>Hand pallet trucks and their essential parts (</w:t>
            </w:r>
            <w:r w:rsidR="00192BF6">
              <w:rPr>
                <w:rFonts w:cs="Arial"/>
                <w:color w:val="000000"/>
                <w:kern w:val="24"/>
                <w:sz w:val="22"/>
              </w:rPr>
              <w:t>PRC</w:t>
            </w:r>
            <w:r w:rsidRPr="003D1B45">
              <w:rPr>
                <w:rFonts w:cs="Arial"/>
                <w:color w:val="000000"/>
                <w:kern w:val="24"/>
                <w:sz w:val="22"/>
              </w:rPr>
              <w:t>)</w:t>
            </w:r>
          </w:p>
        </w:tc>
        <w:tc>
          <w:tcPr>
            <w:tcW w:w="1134" w:type="dxa"/>
            <w:shd w:val="clear" w:color="auto" w:fill="auto"/>
          </w:tcPr>
          <w:p w14:paraId="7FEFCF64" w14:textId="77777777" w:rsidR="00A21C01" w:rsidRPr="003D1B45" w:rsidRDefault="00205E8C">
            <w:pPr>
              <w:spacing w:line="240" w:lineRule="auto"/>
              <w:rPr>
                <w:rFonts w:cs="Arial"/>
                <w:color w:val="000000"/>
                <w:kern w:val="24"/>
                <w:sz w:val="22"/>
              </w:rPr>
            </w:pPr>
            <w:hyperlink r:id="rId64" w:history="1">
              <w:r w:rsidR="00A21C01" w:rsidRPr="003D1B45">
                <w:rPr>
                  <w:rStyle w:val="Hyperlink"/>
                  <w:sz w:val="22"/>
                </w:rPr>
                <w:t>Case R458</w:t>
              </w:r>
            </w:hyperlink>
          </w:p>
        </w:tc>
        <w:tc>
          <w:tcPr>
            <w:tcW w:w="1134" w:type="dxa"/>
            <w:shd w:val="clear" w:color="auto" w:fill="DEEAF6" w:themeFill="accent5" w:themeFillTint="33"/>
            <w:vAlign w:val="center"/>
          </w:tcPr>
          <w:p w14:paraId="2DF43A65" w14:textId="77777777" w:rsidR="00A21C01" w:rsidRPr="003D1B45" w:rsidRDefault="00A21C01">
            <w:pPr>
              <w:spacing w:line="240" w:lineRule="auto"/>
              <w:jc w:val="right"/>
              <w:rPr>
                <w:rFonts w:cs="Arial"/>
                <w:color w:val="000000"/>
                <w:kern w:val="24"/>
                <w:sz w:val="22"/>
              </w:rPr>
            </w:pPr>
            <w:r w:rsidRPr="003D1B45">
              <w:rPr>
                <w:rFonts w:cs="Arial"/>
                <w:color w:val="000000"/>
                <w:kern w:val="24"/>
                <w:sz w:val="22"/>
              </w:rPr>
              <w:t>2</w:t>
            </w:r>
          </w:p>
        </w:tc>
        <w:tc>
          <w:tcPr>
            <w:tcW w:w="1418" w:type="dxa"/>
            <w:vAlign w:val="center"/>
          </w:tcPr>
          <w:p w14:paraId="0D711354" w14:textId="77777777" w:rsidR="00A21C01" w:rsidRPr="003D1B45" w:rsidRDefault="00A21C01">
            <w:pPr>
              <w:spacing w:line="240" w:lineRule="auto"/>
              <w:jc w:val="right"/>
              <w:rPr>
                <w:rFonts w:cs="Arial"/>
                <w:b/>
                <w:bCs/>
                <w:sz w:val="22"/>
              </w:rPr>
            </w:pPr>
          </w:p>
        </w:tc>
        <w:tc>
          <w:tcPr>
            <w:tcW w:w="1417" w:type="dxa"/>
            <w:vAlign w:val="center"/>
          </w:tcPr>
          <w:p w14:paraId="45FF40CD" w14:textId="77777777" w:rsidR="00A21C01" w:rsidRPr="003D1B45" w:rsidRDefault="00A21C01">
            <w:pPr>
              <w:spacing w:line="240" w:lineRule="auto"/>
              <w:jc w:val="right"/>
              <w:rPr>
                <w:rFonts w:cs="Arial"/>
                <w:color w:val="000000"/>
                <w:kern w:val="24"/>
                <w:sz w:val="22"/>
              </w:rPr>
            </w:pPr>
            <w:r w:rsidRPr="003D1B45">
              <w:rPr>
                <w:rFonts w:cs="Arial"/>
                <w:color w:val="000000"/>
                <w:kern w:val="24"/>
                <w:sz w:val="22"/>
              </w:rPr>
              <w:t>1</w:t>
            </w:r>
          </w:p>
        </w:tc>
        <w:tc>
          <w:tcPr>
            <w:tcW w:w="1276" w:type="dxa"/>
            <w:vAlign w:val="center"/>
          </w:tcPr>
          <w:p w14:paraId="6C65D6A8" w14:textId="77777777" w:rsidR="00A21C01" w:rsidRPr="003D1B45" w:rsidRDefault="00A21C01">
            <w:pPr>
              <w:spacing w:line="240" w:lineRule="auto"/>
              <w:jc w:val="right"/>
              <w:rPr>
                <w:rFonts w:cs="Arial"/>
                <w:b/>
                <w:bCs/>
                <w:sz w:val="22"/>
              </w:rPr>
            </w:pPr>
          </w:p>
        </w:tc>
        <w:tc>
          <w:tcPr>
            <w:tcW w:w="1559" w:type="dxa"/>
            <w:vAlign w:val="center"/>
          </w:tcPr>
          <w:p w14:paraId="19E8D13C" w14:textId="77777777" w:rsidR="00A21C01" w:rsidRPr="003D1B45" w:rsidRDefault="00A21C01">
            <w:pPr>
              <w:spacing w:line="240" w:lineRule="auto"/>
              <w:jc w:val="right"/>
              <w:rPr>
                <w:rFonts w:cs="Arial"/>
                <w:b/>
                <w:bCs/>
                <w:sz w:val="22"/>
              </w:rPr>
            </w:pPr>
            <w:r w:rsidRPr="003D1B45">
              <w:rPr>
                <w:rFonts w:cs="Arial"/>
                <w:color w:val="000000"/>
                <w:kern w:val="24"/>
                <w:sz w:val="22"/>
              </w:rPr>
              <w:t>1</w:t>
            </w:r>
          </w:p>
        </w:tc>
        <w:tc>
          <w:tcPr>
            <w:tcW w:w="1560" w:type="dxa"/>
            <w:vAlign w:val="center"/>
          </w:tcPr>
          <w:p w14:paraId="13AFBB59" w14:textId="276FAAE3" w:rsidR="00A21C01" w:rsidRPr="003D1B45" w:rsidRDefault="00192BF6">
            <w:pPr>
              <w:spacing w:line="240" w:lineRule="auto"/>
              <w:rPr>
                <w:rFonts w:cs="Arial"/>
                <w:color w:val="000000"/>
                <w:kern w:val="24"/>
                <w:sz w:val="22"/>
              </w:rPr>
            </w:pPr>
            <w:r>
              <w:rPr>
                <w:rFonts w:cs="Arial"/>
                <w:color w:val="000000"/>
                <w:kern w:val="24"/>
                <w:sz w:val="22"/>
              </w:rPr>
              <w:t>PRC</w:t>
            </w:r>
          </w:p>
        </w:tc>
        <w:tc>
          <w:tcPr>
            <w:tcW w:w="2754" w:type="dxa"/>
            <w:vAlign w:val="center"/>
          </w:tcPr>
          <w:p w14:paraId="57B302EC" w14:textId="77777777" w:rsidR="00A21C01" w:rsidRPr="003D1B45" w:rsidRDefault="00A21C01">
            <w:pPr>
              <w:spacing w:line="240" w:lineRule="auto"/>
              <w:jc w:val="right"/>
              <w:rPr>
                <w:rFonts w:cs="Arial"/>
                <w:color w:val="000000"/>
                <w:kern w:val="24"/>
                <w:sz w:val="22"/>
              </w:rPr>
            </w:pPr>
            <w:r w:rsidRPr="003D1B45">
              <w:rPr>
                <w:rFonts w:cs="Arial"/>
                <w:color w:val="000000"/>
                <w:kern w:val="24"/>
                <w:sz w:val="22"/>
              </w:rPr>
              <w:t>84279000, 84312000</w:t>
            </w:r>
          </w:p>
        </w:tc>
      </w:tr>
      <w:tr w:rsidR="00A21C01" w:rsidRPr="00B54211" w14:paraId="3808E39A" w14:textId="77777777" w:rsidTr="00A21C01">
        <w:tc>
          <w:tcPr>
            <w:tcW w:w="1696" w:type="dxa"/>
            <w:vAlign w:val="center"/>
          </w:tcPr>
          <w:p w14:paraId="279D91A4" w14:textId="7113F310" w:rsidR="00A21C01" w:rsidRPr="003D1B45" w:rsidRDefault="00A21C01">
            <w:pPr>
              <w:spacing w:line="240" w:lineRule="auto"/>
              <w:rPr>
                <w:rFonts w:cs="Arial"/>
                <w:color w:val="000000"/>
                <w:kern w:val="24"/>
                <w:sz w:val="22"/>
              </w:rPr>
            </w:pPr>
            <w:r w:rsidRPr="003D1B45">
              <w:rPr>
                <w:rFonts w:cs="Arial"/>
                <w:color w:val="000000"/>
                <w:kern w:val="24"/>
                <w:sz w:val="22"/>
              </w:rPr>
              <w:t>Crystalline silicon photovoltaic modules and key components (</w:t>
            </w:r>
            <w:r w:rsidR="00192BF6">
              <w:rPr>
                <w:rFonts w:cs="Arial"/>
                <w:color w:val="000000"/>
                <w:kern w:val="24"/>
                <w:sz w:val="22"/>
              </w:rPr>
              <w:t>PRC</w:t>
            </w:r>
            <w:r w:rsidRPr="003D1B45">
              <w:rPr>
                <w:rFonts w:cs="Arial"/>
                <w:color w:val="000000"/>
                <w:kern w:val="24"/>
                <w:sz w:val="22"/>
              </w:rPr>
              <w:t>)</w:t>
            </w:r>
          </w:p>
        </w:tc>
        <w:tc>
          <w:tcPr>
            <w:tcW w:w="1134" w:type="dxa"/>
            <w:shd w:val="clear" w:color="auto" w:fill="auto"/>
          </w:tcPr>
          <w:p w14:paraId="62E91B04" w14:textId="77777777" w:rsidR="00A21C01" w:rsidRPr="003D1B45" w:rsidRDefault="00205E8C">
            <w:pPr>
              <w:spacing w:line="240" w:lineRule="auto"/>
              <w:rPr>
                <w:rFonts w:cs="Arial"/>
                <w:color w:val="000000"/>
                <w:kern w:val="24"/>
                <w:sz w:val="22"/>
              </w:rPr>
            </w:pPr>
            <w:hyperlink r:id="rId65" w:history="1">
              <w:r w:rsidR="00A21C01" w:rsidRPr="003D1B45">
                <w:rPr>
                  <w:rStyle w:val="Hyperlink"/>
                  <w:sz w:val="22"/>
                </w:rPr>
                <w:t>Case R620</w:t>
              </w:r>
            </w:hyperlink>
          </w:p>
        </w:tc>
        <w:tc>
          <w:tcPr>
            <w:tcW w:w="1134" w:type="dxa"/>
            <w:shd w:val="clear" w:color="auto" w:fill="DEEAF6" w:themeFill="accent5" w:themeFillTint="33"/>
            <w:vAlign w:val="center"/>
          </w:tcPr>
          <w:p w14:paraId="23BE4B83" w14:textId="77777777" w:rsidR="00A21C01" w:rsidRPr="003D1B45" w:rsidRDefault="00A21C01">
            <w:pPr>
              <w:spacing w:line="240" w:lineRule="auto"/>
              <w:jc w:val="right"/>
              <w:rPr>
                <w:rFonts w:cs="Arial"/>
                <w:color w:val="000000"/>
                <w:kern w:val="24"/>
                <w:sz w:val="22"/>
              </w:rPr>
            </w:pPr>
            <w:r w:rsidRPr="003D1B45">
              <w:rPr>
                <w:rFonts w:cs="Arial"/>
                <w:color w:val="000000"/>
                <w:kern w:val="24"/>
                <w:sz w:val="22"/>
              </w:rPr>
              <w:t>1</w:t>
            </w:r>
          </w:p>
        </w:tc>
        <w:tc>
          <w:tcPr>
            <w:tcW w:w="1418" w:type="dxa"/>
            <w:vAlign w:val="center"/>
          </w:tcPr>
          <w:p w14:paraId="56639903" w14:textId="77777777" w:rsidR="00A21C01" w:rsidRPr="003D1B45" w:rsidRDefault="00A21C01">
            <w:pPr>
              <w:spacing w:line="240" w:lineRule="auto"/>
              <w:jc w:val="right"/>
              <w:rPr>
                <w:rFonts w:cs="Arial"/>
                <w:color w:val="000000"/>
                <w:kern w:val="24"/>
                <w:sz w:val="22"/>
              </w:rPr>
            </w:pPr>
          </w:p>
        </w:tc>
        <w:tc>
          <w:tcPr>
            <w:tcW w:w="1417" w:type="dxa"/>
            <w:vAlign w:val="center"/>
          </w:tcPr>
          <w:p w14:paraId="45F1D950" w14:textId="77777777" w:rsidR="00A21C01" w:rsidRPr="003D1B45" w:rsidRDefault="00A21C01">
            <w:pPr>
              <w:spacing w:line="240" w:lineRule="auto"/>
              <w:jc w:val="right"/>
              <w:rPr>
                <w:rFonts w:cs="Arial"/>
                <w:color w:val="000000"/>
                <w:kern w:val="24"/>
                <w:sz w:val="22"/>
              </w:rPr>
            </w:pPr>
            <w:r w:rsidRPr="003D1B45">
              <w:rPr>
                <w:rFonts w:cs="Arial"/>
                <w:color w:val="000000"/>
                <w:kern w:val="24"/>
                <w:sz w:val="22"/>
              </w:rPr>
              <w:t>1</w:t>
            </w:r>
          </w:p>
        </w:tc>
        <w:tc>
          <w:tcPr>
            <w:tcW w:w="1276" w:type="dxa"/>
            <w:vAlign w:val="center"/>
          </w:tcPr>
          <w:p w14:paraId="6A2AA801" w14:textId="77777777" w:rsidR="00A21C01" w:rsidRPr="003D1B45" w:rsidRDefault="00A21C01">
            <w:pPr>
              <w:spacing w:line="240" w:lineRule="auto"/>
              <w:jc w:val="right"/>
              <w:rPr>
                <w:rFonts w:cs="Arial"/>
                <w:b/>
                <w:bCs/>
                <w:sz w:val="22"/>
              </w:rPr>
            </w:pPr>
          </w:p>
        </w:tc>
        <w:tc>
          <w:tcPr>
            <w:tcW w:w="1559" w:type="dxa"/>
            <w:vAlign w:val="center"/>
          </w:tcPr>
          <w:p w14:paraId="017C1552" w14:textId="77777777" w:rsidR="00A21C01" w:rsidRPr="003D1B45" w:rsidRDefault="00A21C01">
            <w:pPr>
              <w:spacing w:line="240" w:lineRule="auto"/>
              <w:jc w:val="right"/>
              <w:rPr>
                <w:rFonts w:cs="Arial"/>
                <w:b/>
                <w:bCs/>
                <w:sz w:val="22"/>
              </w:rPr>
            </w:pPr>
          </w:p>
        </w:tc>
        <w:tc>
          <w:tcPr>
            <w:tcW w:w="1560" w:type="dxa"/>
            <w:vAlign w:val="center"/>
          </w:tcPr>
          <w:p w14:paraId="104A8DEF" w14:textId="77777777" w:rsidR="00A21C01" w:rsidRPr="003D1B45" w:rsidRDefault="00A21C01">
            <w:pPr>
              <w:spacing w:line="240" w:lineRule="auto"/>
              <w:rPr>
                <w:rFonts w:cs="Arial"/>
                <w:color w:val="000000"/>
                <w:kern w:val="24"/>
                <w:sz w:val="22"/>
              </w:rPr>
            </w:pPr>
            <w:r w:rsidRPr="003D1B45">
              <w:rPr>
                <w:rFonts w:cs="Arial"/>
                <w:color w:val="000000"/>
                <w:kern w:val="24"/>
                <w:sz w:val="22"/>
              </w:rPr>
              <w:t>Malaysia, Taiwan</w:t>
            </w:r>
          </w:p>
        </w:tc>
        <w:tc>
          <w:tcPr>
            <w:tcW w:w="2754" w:type="dxa"/>
            <w:vAlign w:val="center"/>
          </w:tcPr>
          <w:p w14:paraId="1733C492" w14:textId="77777777" w:rsidR="00A21C01" w:rsidRPr="003D1B45" w:rsidRDefault="00A21C01">
            <w:pPr>
              <w:spacing w:line="240" w:lineRule="auto"/>
              <w:jc w:val="right"/>
              <w:rPr>
                <w:rFonts w:cs="Arial"/>
                <w:color w:val="000000"/>
                <w:kern w:val="24"/>
                <w:sz w:val="22"/>
              </w:rPr>
            </w:pPr>
            <w:r w:rsidRPr="003D1B45">
              <w:rPr>
                <w:rFonts w:cs="Arial"/>
                <w:color w:val="000000"/>
                <w:kern w:val="24"/>
                <w:sz w:val="22"/>
              </w:rPr>
              <w:t>85013100, 85013200, 85013300, 85013400, 85016120, 85016180, 85016200, 85016300, 85016400, 854140901</w:t>
            </w:r>
          </w:p>
        </w:tc>
      </w:tr>
      <w:tr w:rsidR="00A21C01" w:rsidRPr="00B54211" w14:paraId="5867E711" w14:textId="77777777" w:rsidTr="00A21C01">
        <w:tc>
          <w:tcPr>
            <w:tcW w:w="1696" w:type="dxa"/>
            <w:vAlign w:val="center"/>
          </w:tcPr>
          <w:p w14:paraId="481062E0" w14:textId="52D0F238" w:rsidR="00A21C01" w:rsidRPr="003D1B45" w:rsidRDefault="00A21C01">
            <w:pPr>
              <w:spacing w:line="240" w:lineRule="auto"/>
              <w:rPr>
                <w:rFonts w:cs="Arial"/>
                <w:b/>
                <w:bCs/>
                <w:sz w:val="22"/>
              </w:rPr>
            </w:pPr>
            <w:r w:rsidRPr="003D1B45">
              <w:rPr>
                <w:rFonts w:cs="Arial"/>
                <w:color w:val="000000"/>
                <w:kern w:val="24"/>
                <w:sz w:val="22"/>
              </w:rPr>
              <w:t>Bicycles (</w:t>
            </w:r>
            <w:r w:rsidR="00192BF6">
              <w:rPr>
                <w:rFonts w:cs="Arial"/>
                <w:color w:val="000000"/>
                <w:kern w:val="24"/>
                <w:sz w:val="22"/>
              </w:rPr>
              <w:t>PRC</w:t>
            </w:r>
            <w:r w:rsidRPr="003D1B45">
              <w:rPr>
                <w:rFonts w:cs="Arial"/>
                <w:color w:val="000000"/>
                <w:kern w:val="24"/>
                <w:sz w:val="22"/>
              </w:rPr>
              <w:t>)</w:t>
            </w:r>
          </w:p>
        </w:tc>
        <w:tc>
          <w:tcPr>
            <w:tcW w:w="1134" w:type="dxa"/>
            <w:shd w:val="clear" w:color="auto" w:fill="auto"/>
          </w:tcPr>
          <w:p w14:paraId="37ADF7F4" w14:textId="77777777" w:rsidR="00A21C01" w:rsidRPr="003D1B45" w:rsidRDefault="00205E8C">
            <w:pPr>
              <w:spacing w:line="240" w:lineRule="auto"/>
              <w:rPr>
                <w:rFonts w:cs="Arial"/>
                <w:color w:val="000000"/>
                <w:kern w:val="24"/>
                <w:sz w:val="22"/>
              </w:rPr>
            </w:pPr>
            <w:hyperlink r:id="rId66" w:history="1">
              <w:r w:rsidR="00A21C01" w:rsidRPr="003D1B45">
                <w:rPr>
                  <w:rStyle w:val="Hyperlink"/>
                  <w:sz w:val="22"/>
                </w:rPr>
                <w:t>Case R565</w:t>
              </w:r>
            </w:hyperlink>
          </w:p>
        </w:tc>
        <w:tc>
          <w:tcPr>
            <w:tcW w:w="1134" w:type="dxa"/>
            <w:shd w:val="clear" w:color="auto" w:fill="DEEAF6" w:themeFill="accent5" w:themeFillTint="33"/>
            <w:vAlign w:val="center"/>
          </w:tcPr>
          <w:p w14:paraId="280E178B" w14:textId="77777777" w:rsidR="00A21C01" w:rsidRPr="003D1B45" w:rsidRDefault="00A21C01">
            <w:pPr>
              <w:spacing w:line="240" w:lineRule="auto"/>
              <w:jc w:val="right"/>
              <w:rPr>
                <w:rFonts w:cs="Arial"/>
                <w:b/>
                <w:bCs/>
                <w:sz w:val="22"/>
              </w:rPr>
            </w:pPr>
            <w:r w:rsidRPr="003D1B45">
              <w:rPr>
                <w:rFonts w:cs="Arial"/>
                <w:color w:val="000000"/>
                <w:kern w:val="24"/>
                <w:sz w:val="22"/>
              </w:rPr>
              <w:t>2</w:t>
            </w:r>
          </w:p>
        </w:tc>
        <w:tc>
          <w:tcPr>
            <w:tcW w:w="1418" w:type="dxa"/>
            <w:vAlign w:val="center"/>
          </w:tcPr>
          <w:p w14:paraId="3FAA0969" w14:textId="77777777" w:rsidR="00A21C01" w:rsidRPr="003D1B45" w:rsidRDefault="00A21C01">
            <w:pPr>
              <w:spacing w:line="240" w:lineRule="auto"/>
              <w:jc w:val="right"/>
              <w:rPr>
                <w:rFonts w:cs="Arial"/>
                <w:b/>
                <w:bCs/>
                <w:sz w:val="22"/>
              </w:rPr>
            </w:pPr>
            <w:r w:rsidRPr="003D1B45">
              <w:rPr>
                <w:rFonts w:cs="Arial"/>
                <w:color w:val="000000"/>
                <w:kern w:val="24"/>
                <w:sz w:val="22"/>
              </w:rPr>
              <w:t>1</w:t>
            </w:r>
          </w:p>
        </w:tc>
        <w:tc>
          <w:tcPr>
            <w:tcW w:w="1417" w:type="dxa"/>
            <w:vAlign w:val="center"/>
          </w:tcPr>
          <w:p w14:paraId="7937D9C8" w14:textId="77777777" w:rsidR="00A21C01" w:rsidRPr="003D1B45" w:rsidRDefault="00A21C01">
            <w:pPr>
              <w:spacing w:line="240" w:lineRule="auto"/>
              <w:jc w:val="right"/>
              <w:rPr>
                <w:rFonts w:cs="Arial"/>
                <w:b/>
                <w:bCs/>
                <w:sz w:val="22"/>
              </w:rPr>
            </w:pPr>
            <w:r w:rsidRPr="003D1B45">
              <w:rPr>
                <w:rFonts w:cs="Arial"/>
                <w:color w:val="000000"/>
                <w:kern w:val="24"/>
                <w:sz w:val="22"/>
              </w:rPr>
              <w:t>1</w:t>
            </w:r>
          </w:p>
        </w:tc>
        <w:tc>
          <w:tcPr>
            <w:tcW w:w="1276" w:type="dxa"/>
            <w:vAlign w:val="center"/>
          </w:tcPr>
          <w:p w14:paraId="6EAAC949" w14:textId="77777777" w:rsidR="00A21C01" w:rsidRPr="003D1B45" w:rsidRDefault="00A21C01">
            <w:pPr>
              <w:spacing w:line="240" w:lineRule="auto"/>
              <w:jc w:val="right"/>
              <w:rPr>
                <w:rFonts w:cs="Arial"/>
                <w:b/>
                <w:bCs/>
                <w:sz w:val="22"/>
              </w:rPr>
            </w:pPr>
          </w:p>
        </w:tc>
        <w:tc>
          <w:tcPr>
            <w:tcW w:w="1559" w:type="dxa"/>
            <w:vAlign w:val="center"/>
          </w:tcPr>
          <w:p w14:paraId="28F8EAA2" w14:textId="77777777" w:rsidR="00A21C01" w:rsidRPr="003D1B45" w:rsidRDefault="00A21C01">
            <w:pPr>
              <w:spacing w:line="240" w:lineRule="auto"/>
              <w:jc w:val="right"/>
              <w:rPr>
                <w:rFonts w:cs="Arial"/>
                <w:b/>
                <w:bCs/>
                <w:sz w:val="22"/>
              </w:rPr>
            </w:pPr>
          </w:p>
        </w:tc>
        <w:tc>
          <w:tcPr>
            <w:tcW w:w="1560" w:type="dxa"/>
            <w:vAlign w:val="center"/>
          </w:tcPr>
          <w:p w14:paraId="704E1F17" w14:textId="77777777" w:rsidR="00A21C01" w:rsidRPr="003D1B45" w:rsidRDefault="00A21C01">
            <w:pPr>
              <w:spacing w:line="240" w:lineRule="auto"/>
              <w:rPr>
                <w:rFonts w:cs="Arial"/>
                <w:color w:val="000000"/>
                <w:kern w:val="24"/>
                <w:sz w:val="22"/>
                <w:lang w:val="it-IT"/>
              </w:rPr>
            </w:pPr>
            <w:r w:rsidRPr="003D1B45">
              <w:rPr>
                <w:rFonts w:cs="Arial"/>
                <w:color w:val="000000"/>
                <w:kern w:val="24"/>
                <w:sz w:val="22"/>
                <w:lang w:val="it-IT"/>
              </w:rPr>
              <w:t>Indonesia, Malaysia, Sri Lanka, Tunisia,</w:t>
            </w:r>
          </w:p>
          <w:p w14:paraId="000BB82F" w14:textId="52ACE452" w:rsidR="00A21C01" w:rsidRPr="003D1B45" w:rsidRDefault="00A21C01">
            <w:pPr>
              <w:spacing w:line="240" w:lineRule="auto"/>
              <w:rPr>
                <w:rFonts w:cs="Arial"/>
                <w:b/>
                <w:bCs/>
                <w:sz w:val="22"/>
                <w:lang w:val="it-IT"/>
              </w:rPr>
            </w:pPr>
            <w:r w:rsidRPr="003D1B45">
              <w:rPr>
                <w:rFonts w:cs="Arial"/>
                <w:color w:val="000000"/>
                <w:kern w:val="24"/>
                <w:sz w:val="22"/>
                <w:lang w:val="it-IT"/>
              </w:rPr>
              <w:t>Pakistan, Philippines, Cambodia</w:t>
            </w:r>
          </w:p>
        </w:tc>
        <w:tc>
          <w:tcPr>
            <w:tcW w:w="2754" w:type="dxa"/>
            <w:vAlign w:val="center"/>
          </w:tcPr>
          <w:p w14:paraId="5CA59C3E" w14:textId="77777777" w:rsidR="00A21C01" w:rsidRPr="003D1B45" w:rsidRDefault="00A21C01">
            <w:pPr>
              <w:spacing w:line="240" w:lineRule="auto"/>
              <w:jc w:val="right"/>
              <w:rPr>
                <w:rFonts w:cs="Arial"/>
                <w:b/>
                <w:bCs/>
                <w:sz w:val="22"/>
              </w:rPr>
            </w:pPr>
            <w:r w:rsidRPr="003D1B45">
              <w:rPr>
                <w:rFonts w:cs="Arial"/>
                <w:color w:val="000000"/>
                <w:kern w:val="24"/>
                <w:sz w:val="22"/>
              </w:rPr>
              <w:t>87120030, 87120070</w:t>
            </w:r>
          </w:p>
        </w:tc>
      </w:tr>
      <w:tr w:rsidR="00A21C01" w:rsidRPr="00B54211" w14:paraId="4041BF5E" w14:textId="77777777" w:rsidTr="00A21C01">
        <w:tc>
          <w:tcPr>
            <w:tcW w:w="1696" w:type="dxa"/>
            <w:vAlign w:val="center"/>
          </w:tcPr>
          <w:p w14:paraId="251857E9" w14:textId="77F736F8" w:rsidR="00A21C01" w:rsidRPr="003D1B45" w:rsidRDefault="00A21C01">
            <w:pPr>
              <w:spacing w:line="240" w:lineRule="auto"/>
              <w:rPr>
                <w:rFonts w:cs="Arial"/>
                <w:b/>
                <w:bCs/>
                <w:sz w:val="22"/>
              </w:rPr>
            </w:pPr>
            <w:r w:rsidRPr="003D1B45">
              <w:rPr>
                <w:rFonts w:cs="Arial"/>
                <w:color w:val="000000"/>
                <w:kern w:val="24"/>
                <w:sz w:val="22"/>
              </w:rPr>
              <w:t>Gas-fuelled/non-refillable pocket flint lighters (</w:t>
            </w:r>
            <w:r w:rsidR="00192BF6">
              <w:rPr>
                <w:rFonts w:cs="Arial"/>
                <w:color w:val="000000"/>
                <w:kern w:val="24"/>
                <w:sz w:val="22"/>
              </w:rPr>
              <w:t>PRC</w:t>
            </w:r>
            <w:r w:rsidRPr="003D1B45">
              <w:rPr>
                <w:rFonts w:cs="Arial"/>
                <w:color w:val="000000"/>
                <w:kern w:val="24"/>
                <w:sz w:val="22"/>
              </w:rPr>
              <w:t>)</w:t>
            </w:r>
          </w:p>
        </w:tc>
        <w:tc>
          <w:tcPr>
            <w:tcW w:w="1134" w:type="dxa"/>
            <w:shd w:val="clear" w:color="auto" w:fill="auto"/>
          </w:tcPr>
          <w:p w14:paraId="31F14C3A" w14:textId="77777777" w:rsidR="00A21C01" w:rsidRPr="003D1B45" w:rsidRDefault="00205E8C">
            <w:pPr>
              <w:spacing w:line="240" w:lineRule="auto"/>
              <w:rPr>
                <w:rFonts w:cs="Arial"/>
                <w:color w:val="000000"/>
                <w:kern w:val="24"/>
                <w:sz w:val="22"/>
              </w:rPr>
            </w:pPr>
            <w:hyperlink r:id="rId67" w:history="1">
              <w:r w:rsidR="00A21C01" w:rsidRPr="003D1B45">
                <w:rPr>
                  <w:rStyle w:val="Hyperlink"/>
                  <w:sz w:val="22"/>
                </w:rPr>
                <w:t>Case R555</w:t>
              </w:r>
            </w:hyperlink>
          </w:p>
        </w:tc>
        <w:tc>
          <w:tcPr>
            <w:tcW w:w="1134" w:type="dxa"/>
            <w:shd w:val="clear" w:color="auto" w:fill="DEEAF6" w:themeFill="accent5" w:themeFillTint="33"/>
            <w:vAlign w:val="center"/>
          </w:tcPr>
          <w:p w14:paraId="11062AF5" w14:textId="77777777" w:rsidR="00A21C01" w:rsidRPr="003D1B45" w:rsidRDefault="00A21C01">
            <w:pPr>
              <w:spacing w:line="240" w:lineRule="auto"/>
              <w:jc w:val="right"/>
              <w:rPr>
                <w:rFonts w:cs="Arial"/>
                <w:b/>
                <w:bCs/>
                <w:sz w:val="22"/>
              </w:rPr>
            </w:pPr>
            <w:r w:rsidRPr="003D1B45">
              <w:rPr>
                <w:rFonts w:cs="Arial"/>
                <w:color w:val="000000"/>
                <w:kern w:val="24"/>
                <w:sz w:val="22"/>
              </w:rPr>
              <w:t>1</w:t>
            </w:r>
          </w:p>
        </w:tc>
        <w:tc>
          <w:tcPr>
            <w:tcW w:w="1418" w:type="dxa"/>
            <w:vAlign w:val="center"/>
          </w:tcPr>
          <w:p w14:paraId="34AAC355" w14:textId="77777777" w:rsidR="00A21C01" w:rsidRPr="003D1B45" w:rsidRDefault="00A21C01">
            <w:pPr>
              <w:spacing w:line="240" w:lineRule="auto"/>
              <w:jc w:val="right"/>
              <w:rPr>
                <w:rFonts w:cs="Arial"/>
                <w:b/>
                <w:bCs/>
                <w:sz w:val="22"/>
              </w:rPr>
            </w:pPr>
            <w:r w:rsidRPr="003D1B45">
              <w:rPr>
                <w:rFonts w:cs="Arial"/>
                <w:color w:val="000000"/>
                <w:kern w:val="24"/>
                <w:sz w:val="22"/>
              </w:rPr>
              <w:t>1</w:t>
            </w:r>
          </w:p>
        </w:tc>
        <w:tc>
          <w:tcPr>
            <w:tcW w:w="1417" w:type="dxa"/>
            <w:vAlign w:val="center"/>
          </w:tcPr>
          <w:p w14:paraId="161474EA" w14:textId="77777777" w:rsidR="00A21C01" w:rsidRPr="003D1B45" w:rsidRDefault="00A21C01">
            <w:pPr>
              <w:spacing w:line="240" w:lineRule="auto"/>
              <w:jc w:val="right"/>
              <w:rPr>
                <w:rFonts w:cs="Arial"/>
                <w:b/>
                <w:bCs/>
                <w:sz w:val="22"/>
              </w:rPr>
            </w:pPr>
          </w:p>
        </w:tc>
        <w:tc>
          <w:tcPr>
            <w:tcW w:w="1276" w:type="dxa"/>
            <w:vAlign w:val="center"/>
          </w:tcPr>
          <w:p w14:paraId="29D5F11A" w14:textId="77777777" w:rsidR="00A21C01" w:rsidRPr="003D1B45" w:rsidRDefault="00A21C01">
            <w:pPr>
              <w:spacing w:line="240" w:lineRule="auto"/>
              <w:jc w:val="right"/>
              <w:rPr>
                <w:rFonts w:cs="Arial"/>
                <w:b/>
                <w:bCs/>
                <w:sz w:val="22"/>
              </w:rPr>
            </w:pPr>
          </w:p>
        </w:tc>
        <w:tc>
          <w:tcPr>
            <w:tcW w:w="1559" w:type="dxa"/>
            <w:vAlign w:val="center"/>
          </w:tcPr>
          <w:p w14:paraId="0F8F3FD9" w14:textId="77777777" w:rsidR="00A21C01" w:rsidRPr="003D1B45" w:rsidRDefault="00A21C01">
            <w:pPr>
              <w:spacing w:line="240" w:lineRule="auto"/>
              <w:jc w:val="right"/>
              <w:rPr>
                <w:rFonts w:cs="Arial"/>
                <w:b/>
                <w:bCs/>
                <w:sz w:val="22"/>
              </w:rPr>
            </w:pPr>
          </w:p>
        </w:tc>
        <w:tc>
          <w:tcPr>
            <w:tcW w:w="1560" w:type="dxa"/>
            <w:vAlign w:val="center"/>
          </w:tcPr>
          <w:p w14:paraId="059133AA" w14:textId="77777777" w:rsidR="00A21C01" w:rsidRPr="003D1B45" w:rsidRDefault="00A21C01">
            <w:pPr>
              <w:spacing w:line="240" w:lineRule="auto"/>
              <w:rPr>
                <w:rFonts w:cs="Arial"/>
                <w:b/>
                <w:bCs/>
                <w:sz w:val="22"/>
              </w:rPr>
            </w:pPr>
            <w:r w:rsidRPr="003D1B45">
              <w:rPr>
                <w:rFonts w:cs="Arial"/>
                <w:color w:val="000000"/>
                <w:kern w:val="24"/>
                <w:sz w:val="22"/>
              </w:rPr>
              <w:t>Vietnam</w:t>
            </w:r>
          </w:p>
        </w:tc>
        <w:tc>
          <w:tcPr>
            <w:tcW w:w="2754" w:type="dxa"/>
            <w:vAlign w:val="center"/>
          </w:tcPr>
          <w:p w14:paraId="2E77AD57" w14:textId="77777777" w:rsidR="00A21C01" w:rsidRPr="003D1B45" w:rsidRDefault="00A21C01">
            <w:pPr>
              <w:spacing w:line="240" w:lineRule="auto"/>
              <w:jc w:val="right"/>
              <w:rPr>
                <w:rFonts w:cs="Arial"/>
                <w:b/>
                <w:bCs/>
                <w:sz w:val="22"/>
              </w:rPr>
            </w:pPr>
            <w:r w:rsidRPr="003D1B45">
              <w:rPr>
                <w:rFonts w:cs="Arial"/>
                <w:color w:val="000000"/>
                <w:kern w:val="24"/>
                <w:sz w:val="22"/>
              </w:rPr>
              <w:t>96131000</w:t>
            </w:r>
          </w:p>
        </w:tc>
      </w:tr>
      <w:tr w:rsidR="00A21C01" w:rsidRPr="00B54211" w14:paraId="6795493C" w14:textId="77777777" w:rsidTr="00A21C01">
        <w:tc>
          <w:tcPr>
            <w:tcW w:w="1696" w:type="dxa"/>
            <w:vAlign w:val="bottom"/>
          </w:tcPr>
          <w:p w14:paraId="35574E0B" w14:textId="77777777" w:rsidR="00A21C01" w:rsidRPr="003D1B45" w:rsidRDefault="00A21C01">
            <w:pPr>
              <w:spacing w:line="240" w:lineRule="auto"/>
              <w:rPr>
                <w:rFonts w:cs="Arial"/>
                <w:b/>
                <w:bCs/>
                <w:sz w:val="22"/>
              </w:rPr>
            </w:pPr>
            <w:r w:rsidRPr="003D1B45">
              <w:rPr>
                <w:rFonts w:cs="Arial"/>
                <w:b/>
                <w:bCs/>
                <w:color w:val="000000"/>
                <w:kern w:val="24"/>
                <w:sz w:val="22"/>
              </w:rPr>
              <w:t>Total</w:t>
            </w:r>
          </w:p>
        </w:tc>
        <w:tc>
          <w:tcPr>
            <w:tcW w:w="1134" w:type="dxa"/>
            <w:shd w:val="clear" w:color="auto" w:fill="auto"/>
          </w:tcPr>
          <w:p w14:paraId="7159CE1D" w14:textId="77777777" w:rsidR="00A21C01" w:rsidRPr="003D1B45" w:rsidRDefault="00A21C01">
            <w:pPr>
              <w:spacing w:line="240" w:lineRule="auto"/>
              <w:jc w:val="right"/>
              <w:rPr>
                <w:rFonts w:cs="Arial"/>
                <w:color w:val="000000"/>
                <w:kern w:val="24"/>
                <w:sz w:val="22"/>
              </w:rPr>
            </w:pPr>
          </w:p>
        </w:tc>
        <w:tc>
          <w:tcPr>
            <w:tcW w:w="1134" w:type="dxa"/>
            <w:shd w:val="clear" w:color="auto" w:fill="DEEAF6" w:themeFill="accent5" w:themeFillTint="33"/>
            <w:vAlign w:val="bottom"/>
          </w:tcPr>
          <w:p w14:paraId="1D4531BD" w14:textId="77777777" w:rsidR="00A21C01" w:rsidRPr="003D1B45" w:rsidRDefault="00A21C01">
            <w:pPr>
              <w:spacing w:line="240" w:lineRule="auto"/>
              <w:jc w:val="right"/>
              <w:rPr>
                <w:rFonts w:cs="Arial"/>
                <w:b/>
                <w:bCs/>
                <w:sz w:val="22"/>
              </w:rPr>
            </w:pPr>
            <w:r w:rsidRPr="003D1B45">
              <w:rPr>
                <w:rFonts w:cs="Arial"/>
                <w:b/>
                <w:color w:val="000000"/>
                <w:kern w:val="24"/>
                <w:sz w:val="22"/>
              </w:rPr>
              <w:t>32</w:t>
            </w:r>
          </w:p>
        </w:tc>
        <w:tc>
          <w:tcPr>
            <w:tcW w:w="1418" w:type="dxa"/>
            <w:vAlign w:val="bottom"/>
          </w:tcPr>
          <w:p w14:paraId="0291D53D" w14:textId="77777777" w:rsidR="00A21C01" w:rsidRPr="003D1B45" w:rsidRDefault="00A21C01">
            <w:pPr>
              <w:spacing w:line="240" w:lineRule="auto"/>
              <w:jc w:val="right"/>
              <w:rPr>
                <w:rFonts w:cs="Arial"/>
                <w:b/>
                <w:bCs/>
                <w:sz w:val="22"/>
              </w:rPr>
            </w:pPr>
            <w:r w:rsidRPr="003D1B45">
              <w:rPr>
                <w:rFonts w:cs="Arial"/>
                <w:b/>
                <w:color w:val="000000"/>
                <w:kern w:val="24"/>
                <w:sz w:val="22"/>
              </w:rPr>
              <w:t>3</w:t>
            </w:r>
          </w:p>
        </w:tc>
        <w:tc>
          <w:tcPr>
            <w:tcW w:w="1417" w:type="dxa"/>
            <w:vAlign w:val="bottom"/>
          </w:tcPr>
          <w:p w14:paraId="2FAE33C4" w14:textId="77777777" w:rsidR="00A21C01" w:rsidRPr="003D1B45" w:rsidRDefault="00A21C01">
            <w:pPr>
              <w:spacing w:line="240" w:lineRule="auto"/>
              <w:jc w:val="right"/>
              <w:rPr>
                <w:rFonts w:cs="Arial"/>
                <w:b/>
                <w:bCs/>
                <w:sz w:val="22"/>
              </w:rPr>
            </w:pPr>
            <w:r w:rsidRPr="003D1B45">
              <w:rPr>
                <w:rFonts w:cs="Arial"/>
                <w:b/>
                <w:color w:val="000000"/>
                <w:kern w:val="24"/>
                <w:sz w:val="22"/>
              </w:rPr>
              <w:t>18</w:t>
            </w:r>
          </w:p>
        </w:tc>
        <w:tc>
          <w:tcPr>
            <w:tcW w:w="1276" w:type="dxa"/>
            <w:vAlign w:val="bottom"/>
          </w:tcPr>
          <w:p w14:paraId="4904BF4C" w14:textId="77777777" w:rsidR="00A21C01" w:rsidRPr="003D1B45" w:rsidRDefault="00A21C01">
            <w:pPr>
              <w:spacing w:line="240" w:lineRule="auto"/>
              <w:jc w:val="right"/>
              <w:rPr>
                <w:rFonts w:cs="Arial"/>
                <w:b/>
                <w:sz w:val="22"/>
              </w:rPr>
            </w:pPr>
            <w:r w:rsidRPr="003D1B45">
              <w:rPr>
                <w:rFonts w:cs="Arial"/>
                <w:b/>
                <w:sz w:val="22"/>
              </w:rPr>
              <w:t>8</w:t>
            </w:r>
          </w:p>
        </w:tc>
        <w:tc>
          <w:tcPr>
            <w:tcW w:w="1559" w:type="dxa"/>
            <w:vAlign w:val="bottom"/>
          </w:tcPr>
          <w:p w14:paraId="562B8FF7" w14:textId="77777777" w:rsidR="00A21C01" w:rsidRPr="003D1B45" w:rsidRDefault="00A21C01">
            <w:pPr>
              <w:spacing w:line="240" w:lineRule="auto"/>
              <w:jc w:val="right"/>
              <w:rPr>
                <w:rFonts w:cs="Arial"/>
                <w:b/>
                <w:bCs/>
                <w:sz w:val="22"/>
              </w:rPr>
            </w:pPr>
            <w:r w:rsidRPr="003D1B45">
              <w:rPr>
                <w:rFonts w:cs="Arial"/>
                <w:b/>
                <w:color w:val="000000"/>
                <w:kern w:val="24"/>
                <w:sz w:val="22"/>
              </w:rPr>
              <w:t>3</w:t>
            </w:r>
          </w:p>
        </w:tc>
        <w:tc>
          <w:tcPr>
            <w:tcW w:w="1560" w:type="dxa"/>
            <w:vAlign w:val="bottom"/>
          </w:tcPr>
          <w:p w14:paraId="603EC9E6" w14:textId="77777777" w:rsidR="00A21C01" w:rsidRPr="003D1B45" w:rsidRDefault="00A21C01">
            <w:pPr>
              <w:spacing w:line="240" w:lineRule="auto"/>
              <w:rPr>
                <w:rFonts w:cs="Arial"/>
                <w:b/>
                <w:bCs/>
                <w:sz w:val="22"/>
              </w:rPr>
            </w:pPr>
          </w:p>
        </w:tc>
        <w:tc>
          <w:tcPr>
            <w:tcW w:w="2754" w:type="dxa"/>
            <w:vAlign w:val="bottom"/>
          </w:tcPr>
          <w:p w14:paraId="63D46E38" w14:textId="77777777" w:rsidR="00A21C01" w:rsidRPr="003D1B45" w:rsidRDefault="00A21C01">
            <w:pPr>
              <w:spacing w:line="240" w:lineRule="auto"/>
              <w:jc w:val="right"/>
              <w:rPr>
                <w:rFonts w:cs="Arial"/>
                <w:b/>
                <w:bCs/>
                <w:sz w:val="22"/>
              </w:rPr>
            </w:pPr>
          </w:p>
        </w:tc>
      </w:tr>
    </w:tbl>
    <w:p w14:paraId="65277C67" w14:textId="5B93C157" w:rsidR="00A21C01" w:rsidRPr="001808D0" w:rsidRDefault="00A21C01" w:rsidP="00A21C01">
      <w:pPr>
        <w:pStyle w:val="Tablesource"/>
      </w:pPr>
      <w:r w:rsidRPr="001808D0">
        <w:t xml:space="preserve">Source: </w:t>
      </w:r>
      <w:r w:rsidRPr="00EF1908">
        <w:t>European Commission</w:t>
      </w:r>
      <w:r w:rsidRPr="00424C36">
        <w:t xml:space="preserve">, Trade Defence Report (2009-2017); </w:t>
      </w:r>
      <w:r w:rsidRPr="00EF1908">
        <w:t>European Commission</w:t>
      </w:r>
      <w:r w:rsidRPr="00424C36">
        <w:t xml:space="preserve"> Trade</w:t>
      </w:r>
      <w:r w:rsidRPr="001808D0">
        <w:t xml:space="preserve"> Defence Investigations </w:t>
      </w:r>
      <w:hyperlink r:id="rId68" w:history="1">
        <w:r w:rsidRPr="007176A9">
          <w:rPr>
            <w:rStyle w:val="Hyperlink"/>
            <w:rFonts w:cs="Arial"/>
            <w:sz w:val="22"/>
          </w:rPr>
          <w:t>database</w:t>
        </w:r>
      </w:hyperlink>
      <w:r w:rsidRPr="001808D0">
        <w:t xml:space="preserve">, Global Trade Alert database, </w:t>
      </w:r>
    </w:p>
    <w:bookmarkEnd w:id="145"/>
    <w:p w14:paraId="36DC740E" w14:textId="77777777" w:rsidR="00A21C01" w:rsidRPr="006426BD" w:rsidRDefault="00A21C01" w:rsidP="00A21C01">
      <w:pPr>
        <w:rPr>
          <w:rFonts w:cs="Arial"/>
          <w:b/>
          <w:bCs/>
          <w:sz w:val="28"/>
          <w:szCs w:val="28"/>
        </w:rPr>
      </w:pPr>
    </w:p>
    <w:p w14:paraId="425D017F" w14:textId="77777777" w:rsidR="00A21C01" w:rsidRPr="006426BD" w:rsidRDefault="00A21C01" w:rsidP="00A21C01">
      <w:pPr>
        <w:rPr>
          <w:rFonts w:cs="Arial"/>
          <w:b/>
          <w:bCs/>
          <w:sz w:val="28"/>
          <w:szCs w:val="28"/>
        </w:rPr>
        <w:sectPr w:rsidR="00A21C01" w:rsidRPr="006426BD" w:rsidSect="00F21AB1">
          <w:pgSz w:w="16838" w:h="11906" w:orient="landscape"/>
          <w:pgMar w:top="1440" w:right="1440" w:bottom="1440" w:left="1440" w:header="708" w:footer="708" w:gutter="0"/>
          <w:cols w:space="708"/>
          <w:docGrid w:linePitch="360"/>
        </w:sectPr>
      </w:pPr>
    </w:p>
    <w:p w14:paraId="050F38C3" w14:textId="39B70021" w:rsidR="00A21C01" w:rsidRPr="00834C11" w:rsidRDefault="00A21C01" w:rsidP="0B87AE61">
      <w:pPr>
        <w:pStyle w:val="Heading3"/>
        <w:rPr>
          <w:rFonts w:cs="Arial"/>
          <w:b w:val="0"/>
        </w:rPr>
      </w:pPr>
      <w:bookmarkStart w:id="146" w:name="_Toc302097325"/>
      <w:bookmarkStart w:id="147" w:name="_Toc118465307"/>
      <w:r w:rsidRPr="0B87AE61">
        <w:rPr>
          <w:rFonts w:cs="Arial"/>
        </w:rPr>
        <w:t>Geographic patterns of circumvention cases in the EU</w:t>
      </w:r>
      <w:bookmarkEnd w:id="146"/>
      <w:bookmarkEnd w:id="147"/>
    </w:p>
    <w:p w14:paraId="3401393A" w14:textId="5DDF69D0" w:rsidR="00A21C01" w:rsidRDefault="00A21C01" w:rsidP="00A21C01">
      <w:pPr>
        <w:rPr>
          <w:rFonts w:cs="Arial"/>
          <w:szCs w:val="24"/>
        </w:rPr>
      </w:pPr>
      <w:r w:rsidRPr="00BC5820">
        <w:rPr>
          <w:rFonts w:cs="Arial"/>
          <w:szCs w:val="24"/>
        </w:rPr>
        <w:t>As</w:t>
      </w:r>
      <w:r>
        <w:rPr>
          <w:rFonts w:cs="Arial"/>
          <w:szCs w:val="24"/>
        </w:rPr>
        <w:t xml:space="preserve"> observed in the preceding section, circumvention cases involving third parties (transhipment and third-party assembly) form the majority of cases in the EU which </w:t>
      </w:r>
      <w:r w:rsidRPr="009D1639">
        <w:rPr>
          <w:rFonts w:cs="Arial"/>
          <w:szCs w:val="24"/>
        </w:rPr>
        <w:t xml:space="preserve">lead to the imposition of </w:t>
      </w:r>
      <w:r w:rsidRPr="009F28E4">
        <w:rPr>
          <w:rFonts w:cs="Arial"/>
          <w:szCs w:val="24"/>
        </w:rPr>
        <w:t>duties</w:t>
      </w:r>
      <w:r w:rsidRPr="009F28E4">
        <w:rPr>
          <w:rFonts w:cs="Arial"/>
          <w:bCs/>
          <w:szCs w:val="24"/>
        </w:rPr>
        <w:t>.</w:t>
      </w:r>
    </w:p>
    <w:p w14:paraId="2DEF394A" w14:textId="7BC8B5CB" w:rsidR="00A21C01" w:rsidRDefault="00E0019C" w:rsidP="00A21C01">
      <w:pPr>
        <w:rPr>
          <w:rFonts w:cs="Arial"/>
          <w:szCs w:val="24"/>
        </w:rPr>
      </w:pPr>
      <w:r>
        <w:rPr>
          <w:rFonts w:cs="Arial"/>
          <w:szCs w:val="24"/>
        </w:rPr>
        <w:t xml:space="preserve">The data in </w:t>
      </w:r>
      <w:r>
        <w:rPr>
          <w:rFonts w:cs="Arial"/>
          <w:szCs w:val="24"/>
        </w:rPr>
        <w:fldChar w:fldCharType="begin"/>
      </w:r>
      <w:r>
        <w:rPr>
          <w:rFonts w:cs="Arial"/>
          <w:szCs w:val="24"/>
        </w:rPr>
        <w:instrText xml:space="preserve"> REF _Ref103869275 \h </w:instrText>
      </w:r>
      <w:r>
        <w:rPr>
          <w:rFonts w:cs="Arial"/>
          <w:szCs w:val="24"/>
        </w:rPr>
      </w:r>
      <w:r>
        <w:rPr>
          <w:rFonts w:cs="Arial"/>
          <w:szCs w:val="24"/>
        </w:rPr>
        <w:fldChar w:fldCharType="separate"/>
      </w:r>
      <w:r w:rsidR="001E585C">
        <w:t xml:space="preserve">Table </w:t>
      </w:r>
      <w:r w:rsidR="001E585C">
        <w:rPr>
          <w:noProof/>
        </w:rPr>
        <w:t>8</w:t>
      </w:r>
      <w:r>
        <w:rPr>
          <w:rFonts w:cs="Arial"/>
          <w:szCs w:val="24"/>
        </w:rPr>
        <w:fldChar w:fldCharType="end"/>
      </w:r>
      <w:r w:rsidR="00A21C01">
        <w:rPr>
          <w:rFonts w:cs="Arial"/>
          <w:szCs w:val="24"/>
        </w:rPr>
        <w:t xml:space="preserve"> </w:t>
      </w:r>
      <w:r w:rsidR="00A21C01" w:rsidRPr="009D1639">
        <w:rPr>
          <w:rFonts w:cs="Arial"/>
          <w:szCs w:val="24"/>
        </w:rPr>
        <w:t>capture</w:t>
      </w:r>
      <w:r>
        <w:rPr>
          <w:rFonts w:cs="Arial"/>
          <w:szCs w:val="24"/>
        </w:rPr>
        <w:t>d</w:t>
      </w:r>
      <w:r w:rsidR="00A21C01" w:rsidRPr="009D1639">
        <w:rPr>
          <w:rFonts w:cs="Arial"/>
          <w:szCs w:val="24"/>
        </w:rPr>
        <w:t xml:space="preserve"> the role played by </w:t>
      </w:r>
      <w:r w:rsidR="002406F0">
        <w:rPr>
          <w:rFonts w:cs="Arial"/>
          <w:szCs w:val="24"/>
        </w:rPr>
        <w:t>PRC</w:t>
      </w:r>
      <w:r w:rsidR="00A21C01" w:rsidRPr="009D1639">
        <w:rPr>
          <w:rFonts w:cs="Arial"/>
          <w:szCs w:val="24"/>
        </w:rPr>
        <w:t xml:space="preserve"> as the main circumventor and the role played by geographically proximate countries</w:t>
      </w:r>
      <w:r w:rsidR="00A21C01">
        <w:rPr>
          <w:rFonts w:cs="Arial"/>
          <w:szCs w:val="24"/>
        </w:rPr>
        <w:t xml:space="preserve">. Trade linkages, and the fact that </w:t>
      </w:r>
      <w:r w:rsidR="002406F0">
        <w:rPr>
          <w:rFonts w:cs="Arial"/>
          <w:szCs w:val="24"/>
        </w:rPr>
        <w:t>PRC</w:t>
      </w:r>
      <w:r w:rsidR="00A21C01">
        <w:rPr>
          <w:rFonts w:cs="Arial"/>
          <w:szCs w:val="24"/>
        </w:rPr>
        <w:t xml:space="preserve"> plays an important role as an assembly hub in regional value chains, may explain this pattern, notably in the case of Thailand, Malaysia, India and Indonesia. At the same time, </w:t>
      </w:r>
      <w:r w:rsidR="002406F0">
        <w:rPr>
          <w:rFonts w:cs="Arial"/>
          <w:szCs w:val="24"/>
        </w:rPr>
        <w:t>PRC</w:t>
      </w:r>
      <w:r w:rsidR="00A21C01">
        <w:rPr>
          <w:rFonts w:cs="Arial"/>
          <w:szCs w:val="24"/>
        </w:rPr>
        <w:t>’s largest export destinations (Japan and South Korea), which also have well-developed port facilities, are conspicuous by their near- absence (South Korea being actioned in one case). The same comment applies to Hong Kong, which has long been a re-export hub.</w:t>
      </w:r>
    </w:p>
    <w:p w14:paraId="4D7591DE" w14:textId="77777777" w:rsidR="00A21C01" w:rsidRDefault="00A21C01" w:rsidP="00F93E95">
      <w:pPr>
        <w:spacing w:after="0"/>
        <w:rPr>
          <w:rFonts w:cs="Arial"/>
          <w:szCs w:val="24"/>
        </w:rPr>
      </w:pPr>
      <w:r>
        <w:rPr>
          <w:rFonts w:cs="Arial"/>
          <w:szCs w:val="24"/>
        </w:rPr>
        <w:t>Several factors could explain this, although none are determinative and should not be treated as predictive of whether a particular country will be a circumvention hub:</w:t>
      </w:r>
    </w:p>
    <w:p w14:paraId="3269BE27" w14:textId="7FCDD919" w:rsidR="00A21C01" w:rsidRDefault="00A21C01" w:rsidP="0057487F">
      <w:pPr>
        <w:pStyle w:val="ListParagraph"/>
        <w:numPr>
          <w:ilvl w:val="0"/>
          <w:numId w:val="14"/>
        </w:numPr>
        <w:spacing w:after="0" w:line="360" w:lineRule="auto"/>
        <w:ind w:left="357" w:hanging="357"/>
        <w:rPr>
          <w:rFonts w:cs="Arial"/>
          <w:sz w:val="24"/>
          <w:szCs w:val="24"/>
        </w:rPr>
      </w:pPr>
      <w:r>
        <w:rPr>
          <w:rFonts w:cs="Arial"/>
          <w:sz w:val="24"/>
          <w:szCs w:val="24"/>
        </w:rPr>
        <w:t>Lower labour costs in</w:t>
      </w:r>
      <w:r w:rsidDel="003D1B45">
        <w:rPr>
          <w:rFonts w:cs="Arial"/>
          <w:sz w:val="24"/>
          <w:szCs w:val="24"/>
        </w:rPr>
        <w:t xml:space="preserve"> </w:t>
      </w:r>
      <w:r>
        <w:rPr>
          <w:rFonts w:cs="Arial"/>
          <w:sz w:val="24"/>
          <w:szCs w:val="24"/>
        </w:rPr>
        <w:t>parts of South and South</w:t>
      </w:r>
      <w:r w:rsidR="00554B37">
        <w:rPr>
          <w:rFonts w:cs="Arial"/>
          <w:sz w:val="24"/>
          <w:szCs w:val="24"/>
        </w:rPr>
        <w:t>-</w:t>
      </w:r>
      <w:r>
        <w:rPr>
          <w:rFonts w:cs="Arial"/>
          <w:sz w:val="24"/>
          <w:szCs w:val="24"/>
        </w:rPr>
        <w:t>East Asia</w:t>
      </w:r>
      <w:r w:rsidDel="00031861">
        <w:rPr>
          <w:rFonts w:cs="Arial"/>
          <w:sz w:val="24"/>
          <w:szCs w:val="24"/>
        </w:rPr>
        <w:t>,</w:t>
      </w:r>
      <w:r>
        <w:rPr>
          <w:rFonts w:cs="Arial"/>
          <w:sz w:val="24"/>
          <w:szCs w:val="24"/>
        </w:rPr>
        <w:t xml:space="preserve"> which facilitate assembly operations</w:t>
      </w:r>
      <w:r w:rsidDel="00031861">
        <w:rPr>
          <w:rFonts w:cs="Arial"/>
          <w:sz w:val="24"/>
          <w:szCs w:val="24"/>
        </w:rPr>
        <w:t>.</w:t>
      </w:r>
      <w:r>
        <w:rPr>
          <w:rFonts w:cs="Arial"/>
          <w:sz w:val="24"/>
          <w:szCs w:val="24"/>
        </w:rPr>
        <w:t xml:space="preserve"> </w:t>
      </w:r>
      <w:r w:rsidR="00FA2567">
        <w:rPr>
          <w:rFonts w:cs="Arial"/>
          <w:sz w:val="24"/>
          <w:szCs w:val="24"/>
        </w:rPr>
        <w:t>I</w:t>
      </w:r>
      <w:r>
        <w:rPr>
          <w:rFonts w:cs="Arial"/>
          <w:sz w:val="24"/>
          <w:szCs w:val="24"/>
        </w:rPr>
        <w:t>n turn</w:t>
      </w:r>
      <w:r w:rsidR="00FA2567">
        <w:rPr>
          <w:rFonts w:cs="Arial"/>
          <w:sz w:val="24"/>
          <w:szCs w:val="24"/>
        </w:rPr>
        <w:t>, however, this</w:t>
      </w:r>
      <w:r>
        <w:rPr>
          <w:rFonts w:cs="Arial"/>
          <w:sz w:val="24"/>
          <w:szCs w:val="24"/>
        </w:rPr>
        <w:t xml:space="preserve"> invites the question as to whether changes in patterns of trade reflect attempts to exploit such cost advantages</w:t>
      </w:r>
      <w:r w:rsidDel="00BE55EF">
        <w:rPr>
          <w:rFonts w:cs="Arial"/>
          <w:sz w:val="24"/>
          <w:szCs w:val="24"/>
        </w:rPr>
        <w:t>.</w:t>
      </w:r>
    </w:p>
    <w:p w14:paraId="1C6DFA7C" w14:textId="3DDD2245" w:rsidR="00A21C01" w:rsidRPr="00BC5820" w:rsidRDefault="00A21C01" w:rsidP="00A21C01">
      <w:pPr>
        <w:pStyle w:val="ListParagraph"/>
        <w:numPr>
          <w:ilvl w:val="0"/>
          <w:numId w:val="14"/>
        </w:numPr>
        <w:spacing w:line="360" w:lineRule="auto"/>
        <w:rPr>
          <w:rFonts w:cs="Arial"/>
          <w:sz w:val="24"/>
          <w:szCs w:val="24"/>
        </w:rPr>
      </w:pPr>
      <w:r>
        <w:rPr>
          <w:rFonts w:cs="Arial"/>
          <w:sz w:val="24"/>
          <w:szCs w:val="24"/>
        </w:rPr>
        <w:t>The presence of diaspora networks,</w:t>
      </w:r>
      <w:r w:rsidDel="00490529">
        <w:rPr>
          <w:rFonts w:cs="Arial"/>
          <w:sz w:val="24"/>
          <w:szCs w:val="24"/>
        </w:rPr>
        <w:t xml:space="preserve"> </w:t>
      </w:r>
      <w:r>
        <w:rPr>
          <w:rFonts w:cs="Arial"/>
          <w:sz w:val="24"/>
          <w:szCs w:val="24"/>
        </w:rPr>
        <w:t xml:space="preserve">although this is clearly more relevant to Indonesia, Malaysia and Taiwan for example, than it is for India or Thailand. </w:t>
      </w:r>
    </w:p>
    <w:p w14:paraId="422F18F3" w14:textId="15C0A01B" w:rsidR="00A21C01" w:rsidRDefault="00A21C01" w:rsidP="00A21C01">
      <w:pPr>
        <w:rPr>
          <w:rFonts w:cs="Arial"/>
          <w:szCs w:val="24"/>
        </w:rPr>
      </w:pPr>
      <w:r>
        <w:rPr>
          <w:rFonts w:cs="Arial"/>
          <w:szCs w:val="24"/>
        </w:rPr>
        <w:t xml:space="preserve">Preferential trade arrangements between the EU and third countries do not appear to be a major factor. The EU has unilateral or reciprocal arrangements with </w:t>
      </w:r>
      <w:r w:rsidDel="00490529">
        <w:rPr>
          <w:rFonts w:cs="Arial"/>
          <w:szCs w:val="24"/>
        </w:rPr>
        <w:t xml:space="preserve">all the </w:t>
      </w:r>
      <w:r>
        <w:rPr>
          <w:rFonts w:cs="Arial"/>
          <w:szCs w:val="24"/>
        </w:rPr>
        <w:t>countries in the region, whether or not they are involved in circumvention routes.</w:t>
      </w:r>
    </w:p>
    <w:p w14:paraId="23DCFB12" w14:textId="5C9AF353" w:rsidR="00A21C01" w:rsidRPr="00BC5820" w:rsidRDefault="00A21C01" w:rsidP="00A21C01">
      <w:pPr>
        <w:rPr>
          <w:rFonts w:cs="Arial"/>
          <w:szCs w:val="24"/>
        </w:rPr>
      </w:pPr>
      <w:r>
        <w:rPr>
          <w:rFonts w:cs="Arial"/>
          <w:szCs w:val="24"/>
        </w:rPr>
        <w:t xml:space="preserve">It is possible that initiatives such as </w:t>
      </w:r>
      <w:r w:rsidR="002406F0">
        <w:rPr>
          <w:rFonts w:cs="Arial"/>
          <w:szCs w:val="24"/>
        </w:rPr>
        <w:t>PRC</w:t>
      </w:r>
      <w:r>
        <w:rPr>
          <w:rFonts w:cs="Arial"/>
          <w:szCs w:val="24"/>
        </w:rPr>
        <w:t>’s Belt and Road Initiative could facilitate circumvention. While the extent of the initiative’s effects on circumvention would need to be the subject of a specific research project, intuitively, lowering trade costs should (for any given price wedge created by duties) reduce the costs of circumvention to parties undertaking such actions.</w:t>
      </w:r>
      <w:r>
        <w:rPr>
          <w:rStyle w:val="FootnoteReference"/>
          <w:rFonts w:cs="Arial"/>
          <w:szCs w:val="24"/>
        </w:rPr>
        <w:footnoteReference w:id="98"/>
      </w:r>
      <w:r>
        <w:rPr>
          <w:rFonts w:cs="Arial"/>
          <w:szCs w:val="24"/>
        </w:rPr>
        <w:t xml:space="preserve"> But by the same token, lowering trade costs could also facilitate outward investment from </w:t>
      </w:r>
      <w:r w:rsidR="002406F0">
        <w:rPr>
          <w:rFonts w:cs="Arial"/>
          <w:szCs w:val="24"/>
        </w:rPr>
        <w:t>PRC</w:t>
      </w:r>
      <w:r>
        <w:rPr>
          <w:rFonts w:cs="Arial"/>
          <w:szCs w:val="24"/>
        </w:rPr>
        <w:t xml:space="preserve"> to exploit cost advantages. This in turn brings us back to the challenge of differentiating circumvention from genuine changes to the pattern of trade at a time when factors could stimulate both these trends. </w:t>
      </w:r>
    </w:p>
    <w:p w14:paraId="6F989E61" w14:textId="4676B88A" w:rsidR="00A21C01" w:rsidRPr="00834C11" w:rsidRDefault="00A21C01" w:rsidP="0B87AE61">
      <w:pPr>
        <w:pStyle w:val="Heading3"/>
        <w:rPr>
          <w:rFonts w:cs="Arial"/>
          <w:b w:val="0"/>
        </w:rPr>
      </w:pPr>
      <w:bookmarkStart w:id="148" w:name="_Toc329732609"/>
      <w:bookmarkStart w:id="149" w:name="_Toc118465308"/>
      <w:r w:rsidRPr="0B87AE61">
        <w:rPr>
          <w:rFonts w:cs="Arial"/>
        </w:rPr>
        <w:t>Summary observations relating to the EU</w:t>
      </w:r>
      <w:bookmarkEnd w:id="148"/>
      <w:bookmarkEnd w:id="149"/>
    </w:p>
    <w:p w14:paraId="4D00DBF5" w14:textId="77E1CF2B" w:rsidR="00A21C01" w:rsidRDefault="00A21C01" w:rsidP="00A21C01">
      <w:pPr>
        <w:rPr>
          <w:rFonts w:cs="Arial"/>
          <w:szCs w:val="24"/>
        </w:rPr>
      </w:pPr>
      <w:r>
        <w:rPr>
          <w:rFonts w:cs="Arial"/>
          <w:szCs w:val="24"/>
        </w:rPr>
        <w:t>The development of the EU</w:t>
      </w:r>
      <w:r w:rsidRPr="00572430">
        <w:rPr>
          <w:rFonts w:cs="Arial"/>
          <w:szCs w:val="24"/>
        </w:rPr>
        <w:t>’s</w:t>
      </w:r>
      <w:r>
        <w:rPr>
          <w:rFonts w:cs="Arial"/>
          <w:szCs w:val="24"/>
        </w:rPr>
        <w:t xml:space="preserve"> anti-circumvention framework reflects a combination of factors: developments in underlying trends in international trade, including the challenges posed by fragmented production processes (reflected notably in the development of numerical threshold tests for cases involving assembly operations); international policy debates relating to circumvention; and case law relating to circumvention and customs administration. </w:t>
      </w:r>
    </w:p>
    <w:p w14:paraId="3503356C" w14:textId="222E0ACB" w:rsidR="00A21C01" w:rsidRDefault="00A21C01" w:rsidP="00A21C01">
      <w:pPr>
        <w:rPr>
          <w:rFonts w:cs="Arial"/>
          <w:szCs w:val="24"/>
        </w:rPr>
      </w:pPr>
      <w:r>
        <w:rPr>
          <w:rFonts w:cs="Arial"/>
          <w:szCs w:val="24"/>
        </w:rPr>
        <w:t xml:space="preserve">The modal circumvention case in the EU is likely to involve transhipment or </w:t>
      </w:r>
      <w:r w:rsidRPr="00C9279D">
        <w:rPr>
          <w:rFonts w:cs="Arial"/>
          <w:szCs w:val="24"/>
        </w:rPr>
        <w:t>third</w:t>
      </w:r>
      <w:r>
        <w:rPr>
          <w:rFonts w:cs="Arial"/>
          <w:szCs w:val="24"/>
        </w:rPr>
        <w:t>-</w:t>
      </w:r>
      <w:r w:rsidRPr="00C46167">
        <w:rPr>
          <w:rFonts w:cs="Arial"/>
          <w:szCs w:val="24"/>
        </w:rPr>
        <w:t>party</w:t>
      </w:r>
      <w:r w:rsidRPr="00BE55EF">
        <w:rPr>
          <w:rFonts w:cs="Arial"/>
          <w:szCs w:val="24"/>
        </w:rPr>
        <w:t xml:space="preserve"> assembly with </w:t>
      </w:r>
      <w:r w:rsidR="002406F0">
        <w:rPr>
          <w:rFonts w:cs="Arial"/>
          <w:szCs w:val="24"/>
        </w:rPr>
        <w:t>PRC</w:t>
      </w:r>
      <w:r w:rsidRPr="00BE55EF">
        <w:rPr>
          <w:rFonts w:cs="Arial"/>
          <w:szCs w:val="24"/>
        </w:rPr>
        <w:t xml:space="preserve"> as the circumventor and products in HS Chapter</w:t>
      </w:r>
      <w:r>
        <w:rPr>
          <w:rFonts w:cs="Arial"/>
          <w:szCs w:val="24"/>
        </w:rPr>
        <w:t>s 68, 70, 72 or 73, with actual cases prosecuted at the 8- or 10-digit Combined Nomenclature (CN) level. Third countries involved are likely to be in South or South</w:t>
      </w:r>
      <w:r w:rsidR="00554B37">
        <w:rPr>
          <w:rFonts w:cs="Arial"/>
          <w:szCs w:val="24"/>
        </w:rPr>
        <w:t>-</w:t>
      </w:r>
      <w:r>
        <w:rPr>
          <w:rFonts w:cs="Arial"/>
          <w:szCs w:val="24"/>
        </w:rPr>
        <w:t xml:space="preserve">East Asia; typically those have lower levels of administrative capacity and/or important cultural and linguistic linkages to </w:t>
      </w:r>
      <w:r w:rsidR="002406F0">
        <w:rPr>
          <w:rFonts w:cs="Arial"/>
          <w:szCs w:val="24"/>
        </w:rPr>
        <w:t>PRC</w:t>
      </w:r>
      <w:r>
        <w:rPr>
          <w:rFonts w:cs="Arial"/>
          <w:szCs w:val="24"/>
        </w:rPr>
        <w:t xml:space="preserve"> in addition to commercial and investment links.</w:t>
      </w:r>
    </w:p>
    <w:p w14:paraId="57254DE5" w14:textId="61634226" w:rsidR="00A21C01" w:rsidRDefault="00A21C01" w:rsidP="00A21C01">
      <w:pPr>
        <w:rPr>
          <w:rFonts w:cs="Arial"/>
          <w:szCs w:val="24"/>
        </w:rPr>
      </w:pPr>
      <w:r>
        <w:rPr>
          <w:rFonts w:cs="Arial"/>
          <w:szCs w:val="24"/>
        </w:rPr>
        <w:t>A review of cases suggests that simple trade diagnostics are used to consider the “gateway” issue of a change in the pattern of trade. The bulk of the evidentiary weight in circumvention cases, specifically in relation to the two numerical thresholds relating to the value of parts (60%) and share of production costs (25%), appears to come from information retrieved through either formal inquiries or information gathered from site visits. The application of numerical thresholds may impose some level of discipline on the conduct of investigations, although at the same time the authorities retain a relatively high degree of discretion as to what constitutes admissible information.</w:t>
      </w:r>
    </w:p>
    <w:p w14:paraId="4D2A25FA" w14:textId="3D7B379B" w:rsidR="00A21C01" w:rsidRDefault="00A21C01" w:rsidP="00A21C01">
      <w:pPr>
        <w:rPr>
          <w:rFonts w:cs="Arial"/>
          <w:szCs w:val="24"/>
        </w:rPr>
      </w:pPr>
      <w:r>
        <w:rPr>
          <w:rFonts w:cs="Arial"/>
          <w:szCs w:val="24"/>
        </w:rPr>
        <w:t xml:space="preserve">The last point highlights the informationally constrained environment in which the authorities operate. While cooperation received from targeted countries and businesses is satisfactory on the whole, in terms of responsiveness and willingness to engage with the EC, the quality of information received is variable. Analysing this information requires considerable in-house expertise, notably in auditing and understanding cost-allocation practices, which tend to be industry-specific. The EC relies on experienced staff and the accumulated expertise from handling many cases over time. As already observed, addressing the issue of cost allocation in the presence of informational asymmetries is one of the major challenges facing authorities involved in economic regulation.  </w:t>
      </w:r>
    </w:p>
    <w:p w14:paraId="64FFD537" w14:textId="143E8EDE" w:rsidR="00A21C01" w:rsidRDefault="00A21C01" w:rsidP="00A21C01">
      <w:pPr>
        <w:rPr>
          <w:rFonts w:cs="Arial"/>
          <w:szCs w:val="24"/>
        </w:rPr>
      </w:pPr>
      <w:r>
        <w:rPr>
          <w:rFonts w:cs="Arial"/>
          <w:szCs w:val="24"/>
        </w:rPr>
        <w:t>The EU’s experience is relevant to the UK given that they have the same legal framework for circumvention cases and similarities in trade and trade routes. We would expect similar countries and product types to raise circumvention questions in the UK. The main challenge for the UK will be that there is a considerable amount of learning-by-doing in the handling of circumvention inquiries. The EC can draw on a considerable amount of past experience. The UK can learn from this experience, including through bilateral contacts, given the EC’s willingness to engage with the TRA on these matters.</w:t>
      </w:r>
    </w:p>
    <w:p w14:paraId="45A38050" w14:textId="38F174E0" w:rsidR="00A21C01" w:rsidRDefault="00A21C01" w:rsidP="00A21C01">
      <w:pPr>
        <w:rPr>
          <w:rFonts w:cs="Arial"/>
          <w:szCs w:val="24"/>
        </w:rPr>
      </w:pPr>
      <w:r>
        <w:rPr>
          <w:rFonts w:cs="Arial"/>
          <w:szCs w:val="24"/>
        </w:rPr>
        <w:t>The role of third countries in circumvention, coupled with our observations about the role played by weaknesses in administrative capacity in facilitating third-country circumvention, highlight the challenges that issues surrounding border arrangements between the EU and the UK via the Irish border could pose. These challenges are more likely to arise if EU and UK trade remedies were to differ. As</w:t>
      </w:r>
      <w:r w:rsidDel="003B307E">
        <w:rPr>
          <w:rFonts w:cs="Arial"/>
          <w:szCs w:val="24"/>
        </w:rPr>
        <w:t xml:space="preserve"> </w:t>
      </w:r>
      <w:r>
        <w:rPr>
          <w:rFonts w:cs="Arial"/>
          <w:szCs w:val="24"/>
        </w:rPr>
        <w:t xml:space="preserve">the EC noted in our interviews, circumvention tends to be a more material risk when customs arrangements are uncertain or experimental.  </w:t>
      </w:r>
    </w:p>
    <w:p w14:paraId="2C7E5508" w14:textId="5392522F" w:rsidR="00A21C01" w:rsidRDefault="00A21C01" w:rsidP="0B87AE61">
      <w:pPr>
        <w:pStyle w:val="Heading2"/>
        <w:rPr>
          <w:rFonts w:cs="Arial"/>
          <w:b w:val="0"/>
        </w:rPr>
      </w:pPr>
      <w:bookmarkStart w:id="150" w:name="_Toc353799851"/>
      <w:bookmarkStart w:id="151" w:name="_Toc118465309"/>
      <w:r w:rsidRPr="0B87AE61">
        <w:rPr>
          <w:rFonts w:cs="Arial"/>
        </w:rPr>
        <w:t>Deep</w:t>
      </w:r>
      <w:r w:rsidRPr="0B87AE61">
        <w:rPr>
          <w:rFonts w:cs="Arial"/>
          <w:b w:val="0"/>
        </w:rPr>
        <w:t>-</w:t>
      </w:r>
      <w:r w:rsidRPr="0B87AE61">
        <w:rPr>
          <w:rFonts w:cs="Arial"/>
        </w:rPr>
        <w:t>dive study of the United States</w:t>
      </w:r>
      <w:bookmarkEnd w:id="150"/>
      <w:bookmarkEnd w:id="151"/>
    </w:p>
    <w:p w14:paraId="0590D0D4" w14:textId="39C7A07F" w:rsidR="00A21C01" w:rsidRPr="00834C11" w:rsidRDefault="00A21C01" w:rsidP="0B87AE61">
      <w:pPr>
        <w:pStyle w:val="Heading3"/>
        <w:rPr>
          <w:rFonts w:cs="Arial"/>
          <w:b w:val="0"/>
        </w:rPr>
      </w:pPr>
      <w:bookmarkStart w:id="152" w:name="_Toc1316339195"/>
      <w:bookmarkStart w:id="153" w:name="_Toc118465310"/>
      <w:r w:rsidRPr="0B87AE61">
        <w:rPr>
          <w:rFonts w:cs="Arial"/>
        </w:rPr>
        <w:t>Legal framework and processes</w:t>
      </w:r>
      <w:bookmarkEnd w:id="152"/>
      <w:bookmarkEnd w:id="153"/>
    </w:p>
    <w:p w14:paraId="1FA7FBFB" w14:textId="39E819A4" w:rsidR="00A21C01" w:rsidRDefault="00A21C01" w:rsidP="00A21C01">
      <w:pPr>
        <w:rPr>
          <w:rFonts w:cs="Arial"/>
          <w:szCs w:val="24"/>
        </w:rPr>
      </w:pPr>
      <w:r w:rsidRPr="00532549">
        <w:rPr>
          <w:rFonts w:cs="Arial"/>
          <w:szCs w:val="24"/>
        </w:rPr>
        <w:t xml:space="preserve">Anti-circumvention action in the </w:t>
      </w:r>
      <w:r>
        <w:rPr>
          <w:rFonts w:cs="Arial"/>
          <w:szCs w:val="24"/>
        </w:rPr>
        <w:t>United States</w:t>
      </w:r>
      <w:r w:rsidRPr="00532549">
        <w:rPr>
          <w:rFonts w:cs="Arial"/>
          <w:szCs w:val="24"/>
        </w:rPr>
        <w:t xml:space="preserve"> is governed by </w:t>
      </w:r>
      <w:hyperlink r:id="rId69" w:history="1">
        <w:r w:rsidRPr="006C435C">
          <w:rPr>
            <w:rStyle w:val="Hyperlink"/>
            <w:rFonts w:cs="Arial"/>
            <w:szCs w:val="24"/>
          </w:rPr>
          <w:t>19 U.S. Code § 1677j</w:t>
        </w:r>
      </w:hyperlink>
      <w:r w:rsidRPr="00532549">
        <w:rPr>
          <w:rFonts w:cs="Arial"/>
          <w:szCs w:val="24"/>
        </w:rPr>
        <w:t xml:space="preserve"> and its implementing regulations </w:t>
      </w:r>
      <w:r w:rsidR="007B7B2A">
        <w:rPr>
          <w:rFonts w:cs="Arial"/>
          <w:szCs w:val="24"/>
        </w:rPr>
        <w:t xml:space="preserve">are </w:t>
      </w:r>
      <w:r w:rsidRPr="00532549">
        <w:rPr>
          <w:rFonts w:cs="Arial"/>
          <w:szCs w:val="24"/>
        </w:rPr>
        <w:t xml:space="preserve">found in </w:t>
      </w:r>
      <w:hyperlink r:id="rId70" w:history="1">
        <w:r w:rsidR="007B7B2A" w:rsidRPr="006C435C">
          <w:rPr>
            <w:rStyle w:val="Hyperlink"/>
            <w:rFonts w:cs="Arial"/>
            <w:szCs w:val="24"/>
          </w:rPr>
          <w:t>19 CFR § 351.22</w:t>
        </w:r>
        <w:r w:rsidR="007B7B2A">
          <w:rPr>
            <w:rStyle w:val="Hyperlink"/>
            <w:rFonts w:cs="Arial"/>
            <w:szCs w:val="24"/>
          </w:rPr>
          <w:t>6</w:t>
        </w:r>
        <w:r w:rsidR="007B7B2A" w:rsidRPr="006C435C">
          <w:rPr>
            <w:rStyle w:val="Hyperlink"/>
            <w:rFonts w:cs="Arial"/>
            <w:szCs w:val="24"/>
          </w:rPr>
          <w:t xml:space="preserve"> </w:t>
        </w:r>
        <w:r w:rsidR="007B7B2A">
          <w:rPr>
            <w:rStyle w:val="Hyperlink"/>
            <w:rFonts w:cs="Arial"/>
            <w:szCs w:val="24"/>
          </w:rPr>
          <w:t>–</w:t>
        </w:r>
        <w:r w:rsidR="007B7B2A" w:rsidRPr="006C435C">
          <w:rPr>
            <w:rStyle w:val="Hyperlink"/>
            <w:rFonts w:cs="Arial"/>
            <w:szCs w:val="24"/>
          </w:rPr>
          <w:t xml:space="preserve"> </w:t>
        </w:r>
        <w:r w:rsidR="007B7B2A">
          <w:rPr>
            <w:rStyle w:val="Hyperlink"/>
            <w:rFonts w:cs="Arial"/>
            <w:szCs w:val="24"/>
          </w:rPr>
          <w:t>Circumvention Inquiries</w:t>
        </w:r>
      </w:hyperlink>
      <w:r w:rsidR="007B7B2A">
        <w:rPr>
          <w:rFonts w:cs="Arial"/>
          <w:szCs w:val="24"/>
        </w:rPr>
        <w:t>.</w:t>
      </w:r>
      <w:r>
        <w:rPr>
          <w:rFonts w:cs="Arial"/>
          <w:szCs w:val="24"/>
        </w:rPr>
        <w:t>. T</w:t>
      </w:r>
      <w:r w:rsidRPr="00532549">
        <w:rPr>
          <w:rFonts w:cs="Arial"/>
          <w:szCs w:val="24"/>
        </w:rPr>
        <w:t xml:space="preserve">he key question is whether products </w:t>
      </w:r>
      <w:r>
        <w:rPr>
          <w:rFonts w:cs="Arial"/>
          <w:szCs w:val="24"/>
        </w:rPr>
        <w:t xml:space="preserve">which </w:t>
      </w:r>
      <w:r w:rsidRPr="00532549">
        <w:rPr>
          <w:rFonts w:cs="Arial"/>
          <w:szCs w:val="24"/>
        </w:rPr>
        <w:t xml:space="preserve">purportedly circumvent duties should be included within the scope of an existing duty, or whether they should be considered under a </w:t>
      </w:r>
      <w:r w:rsidRPr="008F0B37">
        <w:rPr>
          <w:rFonts w:cs="Arial"/>
          <w:i/>
          <w:iCs/>
          <w:szCs w:val="24"/>
        </w:rPr>
        <w:t>de novo</w:t>
      </w:r>
      <w:r w:rsidRPr="00532549">
        <w:rPr>
          <w:rFonts w:cs="Arial"/>
          <w:szCs w:val="24"/>
        </w:rPr>
        <w:t xml:space="preserve"> investigation. </w:t>
      </w:r>
      <w:r>
        <w:rPr>
          <w:rFonts w:cs="Arial"/>
          <w:szCs w:val="24"/>
        </w:rPr>
        <w:t xml:space="preserve">Anti-circumvention cases are administered by the </w:t>
      </w:r>
      <w:r w:rsidRPr="00C9279D">
        <w:rPr>
          <w:rFonts w:cs="Arial"/>
          <w:szCs w:val="24"/>
        </w:rPr>
        <w:t>Department of Commerce (DOC)</w:t>
      </w:r>
      <w:r w:rsidRPr="003B307E">
        <w:rPr>
          <w:rFonts w:cs="Arial"/>
          <w:szCs w:val="24"/>
        </w:rPr>
        <w:t>, though</w:t>
      </w:r>
      <w:r>
        <w:rPr>
          <w:rFonts w:cs="Arial"/>
          <w:szCs w:val="24"/>
        </w:rPr>
        <w:t xml:space="preserve"> the International Trade Administration </w:t>
      </w:r>
      <w:r w:rsidRPr="00C9279D">
        <w:rPr>
          <w:rFonts w:cs="Arial"/>
          <w:szCs w:val="24"/>
        </w:rPr>
        <w:t>(ITA)</w:t>
      </w:r>
      <w:r w:rsidRPr="003B307E">
        <w:rPr>
          <w:rFonts w:cs="Arial"/>
          <w:szCs w:val="24"/>
        </w:rPr>
        <w:t>.</w:t>
      </w:r>
    </w:p>
    <w:p w14:paraId="0A7A910C" w14:textId="52CAF1A5" w:rsidR="00A21C01" w:rsidRDefault="00A21C01" w:rsidP="00A21C01">
      <w:pPr>
        <w:rPr>
          <w:rFonts w:cs="Arial"/>
          <w:szCs w:val="24"/>
        </w:rPr>
      </w:pPr>
      <w:r>
        <w:rPr>
          <w:rFonts w:cs="Arial"/>
          <w:szCs w:val="24"/>
        </w:rPr>
        <w:t xml:space="preserve">The current framework builds on past approaches, notably the </w:t>
      </w:r>
      <w:r w:rsidRPr="00D71C0D">
        <w:rPr>
          <w:rFonts w:cs="Arial"/>
          <w:szCs w:val="24"/>
        </w:rPr>
        <w:t xml:space="preserve">United States Omnibus Trade and Competitiveness Act </w:t>
      </w:r>
      <w:r>
        <w:rPr>
          <w:rFonts w:cs="Arial"/>
          <w:szCs w:val="24"/>
        </w:rPr>
        <w:t xml:space="preserve">of </w:t>
      </w:r>
      <w:r w:rsidRPr="00D71C0D">
        <w:rPr>
          <w:rFonts w:cs="Arial"/>
          <w:szCs w:val="24"/>
        </w:rPr>
        <w:t>1988</w:t>
      </w:r>
      <w:r>
        <w:rPr>
          <w:rFonts w:cs="Arial"/>
          <w:szCs w:val="24"/>
        </w:rPr>
        <w:t>, which, as documented before, identified four modes of circumvention. A similar approach is followed today, with f</w:t>
      </w:r>
      <w:r w:rsidRPr="00532549">
        <w:rPr>
          <w:rFonts w:cs="Arial"/>
          <w:szCs w:val="24"/>
        </w:rPr>
        <w:t xml:space="preserve">our </w:t>
      </w:r>
      <w:r>
        <w:rPr>
          <w:rFonts w:cs="Arial"/>
          <w:szCs w:val="24"/>
        </w:rPr>
        <w:t xml:space="preserve">broad </w:t>
      </w:r>
      <w:r w:rsidRPr="00532549">
        <w:rPr>
          <w:rFonts w:cs="Arial"/>
          <w:szCs w:val="24"/>
        </w:rPr>
        <w:t>scenarios envisioned</w:t>
      </w:r>
      <w:r>
        <w:rPr>
          <w:rFonts w:cs="Arial"/>
          <w:szCs w:val="24"/>
        </w:rPr>
        <w:t xml:space="preserve">. Each scenario sets out a non-exhaustive range of types of evidence that can be used to determine the existence of circumvention. These are summarised in </w:t>
      </w:r>
      <w:r w:rsidR="003D1B45">
        <w:rPr>
          <w:rFonts w:cs="Arial"/>
          <w:szCs w:val="24"/>
        </w:rPr>
        <w:fldChar w:fldCharType="begin"/>
      </w:r>
      <w:r w:rsidR="003D1B45">
        <w:rPr>
          <w:rFonts w:cs="Arial"/>
          <w:szCs w:val="24"/>
        </w:rPr>
        <w:instrText xml:space="preserve"> REF _Ref103870081 \h </w:instrText>
      </w:r>
      <w:r w:rsidR="003D1B45">
        <w:rPr>
          <w:rFonts w:cs="Arial"/>
          <w:szCs w:val="24"/>
        </w:rPr>
      </w:r>
      <w:r w:rsidR="003D1B45">
        <w:rPr>
          <w:rFonts w:cs="Arial"/>
          <w:szCs w:val="24"/>
        </w:rPr>
        <w:fldChar w:fldCharType="separate"/>
      </w:r>
      <w:r w:rsidR="003B27AB">
        <w:t xml:space="preserve">Table </w:t>
      </w:r>
      <w:r w:rsidR="003B27AB">
        <w:rPr>
          <w:noProof/>
        </w:rPr>
        <w:t>9</w:t>
      </w:r>
      <w:r w:rsidR="003D1B45">
        <w:rPr>
          <w:rFonts w:cs="Arial"/>
          <w:szCs w:val="24"/>
        </w:rPr>
        <w:fldChar w:fldCharType="end"/>
      </w:r>
      <w:r w:rsidR="003D1B45">
        <w:rPr>
          <w:rFonts w:cs="Arial"/>
          <w:szCs w:val="24"/>
        </w:rPr>
        <w:t xml:space="preserve"> </w:t>
      </w:r>
      <w:r>
        <w:rPr>
          <w:rFonts w:cs="Arial"/>
          <w:szCs w:val="24"/>
        </w:rPr>
        <w:t>below.</w:t>
      </w:r>
    </w:p>
    <w:p w14:paraId="1B1B2A11" w14:textId="75471F38" w:rsidR="00A21C01" w:rsidRDefault="00A21C01" w:rsidP="00A21C01">
      <w:pPr>
        <w:pStyle w:val="Caption"/>
        <w:rPr>
          <w:rFonts w:cs="Arial"/>
          <w:szCs w:val="24"/>
        </w:rPr>
      </w:pPr>
      <w:bookmarkStart w:id="154" w:name="_Ref103870081"/>
      <w:r>
        <w:t xml:space="preserve">Table </w:t>
      </w:r>
      <w:r>
        <w:fldChar w:fldCharType="begin"/>
      </w:r>
      <w:r>
        <w:instrText>SEQ Table \* ARABIC</w:instrText>
      </w:r>
      <w:r>
        <w:fldChar w:fldCharType="separate"/>
      </w:r>
      <w:r w:rsidR="001C580B">
        <w:rPr>
          <w:noProof/>
        </w:rPr>
        <w:t>9</w:t>
      </w:r>
      <w:r>
        <w:fldChar w:fldCharType="end"/>
      </w:r>
      <w:bookmarkEnd w:id="154"/>
      <w:r>
        <w:rPr>
          <w:noProof/>
        </w:rPr>
        <w:t xml:space="preserve">: </w:t>
      </w:r>
      <w:r>
        <w:t>Circumvention scenarios in the United States</w:t>
      </w:r>
    </w:p>
    <w:tbl>
      <w:tblPr>
        <w:tblStyle w:val="TableGrid"/>
        <w:tblW w:w="0" w:type="auto"/>
        <w:tblLook w:val="04A0" w:firstRow="1" w:lastRow="0" w:firstColumn="1" w:lastColumn="0" w:noHBand="0" w:noVBand="1"/>
      </w:tblPr>
      <w:tblGrid>
        <w:gridCol w:w="4508"/>
        <w:gridCol w:w="4508"/>
      </w:tblGrid>
      <w:tr w:rsidR="00A21C01" w14:paraId="5FC170F1" w14:textId="77777777">
        <w:tc>
          <w:tcPr>
            <w:tcW w:w="9016" w:type="dxa"/>
            <w:gridSpan w:val="2"/>
          </w:tcPr>
          <w:p w14:paraId="7C298432" w14:textId="77777777" w:rsidR="00A21C01" w:rsidRPr="002B66D1" w:rsidRDefault="00A21C01">
            <w:pPr>
              <w:spacing w:line="276" w:lineRule="auto"/>
              <w:rPr>
                <w:rFonts w:cs="Arial"/>
                <w:b/>
                <w:bCs/>
                <w:sz w:val="22"/>
              </w:rPr>
            </w:pPr>
            <w:r w:rsidRPr="002B66D1">
              <w:rPr>
                <w:rFonts w:cs="Arial"/>
                <w:b/>
                <w:bCs/>
                <w:sz w:val="22"/>
              </w:rPr>
              <w:t xml:space="preserve">Scenario (1) – Merchandise completed or assembled in the United States from parts or components produced in the foreign country subject to order, and where: (i) the process of assembly or completion is minor or insignificant and (ii) the value of imported parts or components is a significant portion of total value. (NB: no specific thresholds are set for either test.) </w:t>
            </w:r>
          </w:p>
        </w:tc>
      </w:tr>
      <w:tr w:rsidR="00A21C01" w14:paraId="431DF395" w14:textId="77777777">
        <w:tc>
          <w:tcPr>
            <w:tcW w:w="4508" w:type="dxa"/>
          </w:tcPr>
          <w:p w14:paraId="1B16B448" w14:textId="77777777" w:rsidR="00A21C01" w:rsidRPr="002B66D1" w:rsidRDefault="00A21C01">
            <w:pPr>
              <w:spacing w:line="276" w:lineRule="auto"/>
              <w:rPr>
                <w:rFonts w:cs="Arial"/>
                <w:sz w:val="22"/>
              </w:rPr>
            </w:pPr>
            <w:r w:rsidRPr="002B66D1">
              <w:rPr>
                <w:rFonts w:cs="Arial"/>
                <w:sz w:val="22"/>
              </w:rPr>
              <w:t>Evidence sought (illustrative list)</w:t>
            </w:r>
          </w:p>
        </w:tc>
        <w:tc>
          <w:tcPr>
            <w:tcW w:w="4508" w:type="dxa"/>
          </w:tcPr>
          <w:p w14:paraId="510EE2C1" w14:textId="77777777" w:rsidR="00A21C01" w:rsidRPr="002B66D1" w:rsidRDefault="00A21C01">
            <w:pPr>
              <w:spacing w:line="276" w:lineRule="auto"/>
              <w:rPr>
                <w:rFonts w:cs="Arial"/>
                <w:sz w:val="22"/>
              </w:rPr>
            </w:pPr>
            <w:r w:rsidRPr="002B66D1">
              <w:rPr>
                <w:rFonts w:cs="Arial"/>
                <w:sz w:val="22"/>
              </w:rPr>
              <w:t>Examples of data and methodologies used in practice</w:t>
            </w:r>
          </w:p>
        </w:tc>
      </w:tr>
      <w:tr w:rsidR="00A21C01" w14:paraId="592BB0B4" w14:textId="77777777">
        <w:tc>
          <w:tcPr>
            <w:tcW w:w="4508" w:type="dxa"/>
          </w:tcPr>
          <w:p w14:paraId="6F16836D" w14:textId="44858F92" w:rsidR="00A21C01" w:rsidRPr="002B66D1" w:rsidRDefault="00A21C01">
            <w:pPr>
              <w:spacing w:line="276" w:lineRule="auto"/>
              <w:rPr>
                <w:rFonts w:cs="Arial"/>
                <w:b/>
                <w:bCs/>
                <w:sz w:val="22"/>
              </w:rPr>
            </w:pPr>
            <w:r w:rsidRPr="002B66D1">
              <w:rPr>
                <w:rFonts w:cs="Arial"/>
                <w:b/>
                <w:bCs/>
                <w:sz w:val="22"/>
              </w:rPr>
              <w:t>In relation to “minor”/“insignificant”:</w:t>
            </w:r>
          </w:p>
          <w:p w14:paraId="4DBCE6CE" w14:textId="77777777" w:rsidR="00A21C01" w:rsidRPr="002B66D1" w:rsidRDefault="00A21C01">
            <w:pPr>
              <w:numPr>
                <w:ilvl w:val="0"/>
                <w:numId w:val="15"/>
              </w:numPr>
              <w:spacing w:line="276" w:lineRule="auto"/>
              <w:ind w:left="470" w:hanging="357"/>
              <w:rPr>
                <w:rFonts w:cs="Arial"/>
                <w:sz w:val="22"/>
              </w:rPr>
            </w:pPr>
            <w:r w:rsidRPr="002B66D1">
              <w:rPr>
                <w:rFonts w:cs="Arial"/>
                <w:sz w:val="22"/>
              </w:rPr>
              <w:t>Level of investment or R&amp;D in the United States.</w:t>
            </w:r>
          </w:p>
          <w:p w14:paraId="62EF5090" w14:textId="77777777" w:rsidR="00A21C01" w:rsidRPr="002B66D1" w:rsidRDefault="00A21C01">
            <w:pPr>
              <w:numPr>
                <w:ilvl w:val="0"/>
                <w:numId w:val="15"/>
              </w:numPr>
              <w:spacing w:line="276" w:lineRule="auto"/>
              <w:ind w:left="470" w:hanging="357"/>
              <w:rPr>
                <w:rFonts w:cs="Arial"/>
                <w:sz w:val="22"/>
              </w:rPr>
            </w:pPr>
            <w:r w:rsidRPr="002B66D1">
              <w:rPr>
                <w:rFonts w:cs="Arial"/>
                <w:sz w:val="22"/>
              </w:rPr>
              <w:t>Nature of production processes and extent of production facilities in the United States.</w:t>
            </w:r>
          </w:p>
          <w:p w14:paraId="11F29B74" w14:textId="77777777" w:rsidR="00A21C01" w:rsidRPr="002B66D1" w:rsidRDefault="00A21C01">
            <w:pPr>
              <w:numPr>
                <w:ilvl w:val="0"/>
                <w:numId w:val="15"/>
              </w:numPr>
              <w:spacing w:line="276" w:lineRule="auto"/>
              <w:ind w:left="470" w:hanging="357"/>
              <w:rPr>
                <w:rFonts w:cs="Arial"/>
                <w:sz w:val="22"/>
              </w:rPr>
            </w:pPr>
            <w:r w:rsidRPr="002B66D1">
              <w:rPr>
                <w:rFonts w:cs="Arial"/>
                <w:sz w:val="22"/>
              </w:rPr>
              <w:t>Share of processing in United States in sales value of product in United States.</w:t>
            </w:r>
          </w:p>
          <w:p w14:paraId="23425D47" w14:textId="77777777" w:rsidR="00A21C01" w:rsidRPr="002B66D1" w:rsidRDefault="00A21C01">
            <w:pPr>
              <w:spacing w:line="276" w:lineRule="auto"/>
              <w:rPr>
                <w:rFonts w:cs="Arial"/>
                <w:b/>
                <w:bCs/>
                <w:sz w:val="22"/>
              </w:rPr>
            </w:pPr>
          </w:p>
          <w:p w14:paraId="44011FBF" w14:textId="77777777" w:rsidR="00A21C01" w:rsidRPr="002B66D1" w:rsidRDefault="00A21C01">
            <w:pPr>
              <w:spacing w:line="276" w:lineRule="auto"/>
              <w:rPr>
                <w:rFonts w:cs="Arial"/>
                <w:b/>
                <w:bCs/>
                <w:sz w:val="22"/>
              </w:rPr>
            </w:pPr>
            <w:r w:rsidRPr="002B66D1">
              <w:rPr>
                <w:rFonts w:cs="Arial"/>
                <w:b/>
                <w:bCs/>
                <w:sz w:val="22"/>
              </w:rPr>
              <w:t>Determination of whether product falls under scope of existing duty:</w:t>
            </w:r>
          </w:p>
          <w:p w14:paraId="7A2BA9A4" w14:textId="260C3C89" w:rsidR="00A21C01" w:rsidRPr="002B66D1" w:rsidRDefault="00A21C01">
            <w:pPr>
              <w:numPr>
                <w:ilvl w:val="0"/>
                <w:numId w:val="15"/>
              </w:numPr>
              <w:spacing w:line="276" w:lineRule="auto"/>
              <w:ind w:left="470" w:hanging="357"/>
              <w:rPr>
                <w:rFonts w:cs="Arial"/>
                <w:sz w:val="22"/>
              </w:rPr>
            </w:pPr>
            <w:r w:rsidRPr="002B66D1">
              <w:rPr>
                <w:rFonts w:cs="Arial"/>
                <w:sz w:val="22"/>
              </w:rPr>
              <w:t xml:space="preserve">Patterns of trade and sourcing by customers, including indications of increase in imports of parts post anti-dumping or </w:t>
            </w:r>
            <w:r w:rsidR="003D1B45" w:rsidRPr="002B66D1">
              <w:rPr>
                <w:rFonts w:cs="Arial"/>
                <w:sz w:val="22"/>
              </w:rPr>
              <w:t>countervailing duty</w:t>
            </w:r>
            <w:r w:rsidRPr="002B66D1">
              <w:rPr>
                <w:rFonts w:cs="Arial"/>
                <w:sz w:val="22"/>
              </w:rPr>
              <w:t>.</w:t>
            </w:r>
          </w:p>
          <w:p w14:paraId="7817EED0" w14:textId="7E53F66D" w:rsidR="00A21C01" w:rsidRPr="002B66D1" w:rsidRDefault="00A21C01">
            <w:pPr>
              <w:numPr>
                <w:ilvl w:val="0"/>
                <w:numId w:val="15"/>
              </w:numPr>
              <w:spacing w:line="276" w:lineRule="auto"/>
              <w:ind w:left="470" w:hanging="357"/>
              <w:rPr>
                <w:rFonts w:cs="Arial"/>
                <w:sz w:val="22"/>
              </w:rPr>
            </w:pPr>
            <w:r w:rsidRPr="002B66D1">
              <w:rPr>
                <w:rFonts w:cs="Arial"/>
                <w:sz w:val="22"/>
              </w:rPr>
              <w:t>Affiliation/relationship between exporter of parts and assembler(s).</w:t>
            </w:r>
          </w:p>
          <w:p w14:paraId="493193AE" w14:textId="77777777" w:rsidR="00A21C01" w:rsidRPr="002B66D1" w:rsidRDefault="00A21C01">
            <w:pPr>
              <w:spacing w:line="276" w:lineRule="auto"/>
              <w:rPr>
                <w:rFonts w:cs="Arial"/>
                <w:sz w:val="22"/>
              </w:rPr>
            </w:pPr>
          </w:p>
        </w:tc>
        <w:tc>
          <w:tcPr>
            <w:tcW w:w="4508" w:type="dxa"/>
          </w:tcPr>
          <w:p w14:paraId="0DFB4644" w14:textId="77777777" w:rsidR="00A21C01" w:rsidRPr="002B66D1" w:rsidRDefault="00A21C01">
            <w:pPr>
              <w:numPr>
                <w:ilvl w:val="0"/>
                <w:numId w:val="15"/>
              </w:numPr>
              <w:spacing w:line="276" w:lineRule="auto"/>
              <w:ind w:left="470" w:hanging="357"/>
              <w:rPr>
                <w:rFonts w:cs="Arial"/>
                <w:sz w:val="22"/>
              </w:rPr>
            </w:pPr>
            <w:r w:rsidRPr="002B66D1">
              <w:rPr>
                <w:rFonts w:cs="Arial"/>
                <w:sz w:val="22"/>
              </w:rPr>
              <w:t xml:space="preserve">Data on imports of parts versus imports of finished products and timing of changes in relation to imposition of duty. </w:t>
            </w:r>
          </w:p>
          <w:p w14:paraId="7BC36030" w14:textId="77777777" w:rsidR="00A21C01" w:rsidRPr="002B66D1" w:rsidRDefault="00A21C01">
            <w:pPr>
              <w:numPr>
                <w:ilvl w:val="0"/>
                <w:numId w:val="15"/>
              </w:numPr>
              <w:spacing w:line="276" w:lineRule="auto"/>
              <w:ind w:left="470" w:hanging="357"/>
              <w:rPr>
                <w:rFonts w:cs="Arial"/>
                <w:sz w:val="22"/>
              </w:rPr>
            </w:pPr>
            <w:r w:rsidRPr="002B66D1">
              <w:rPr>
                <w:rFonts w:cs="Arial"/>
                <w:sz w:val="22"/>
              </w:rPr>
              <w:t>Were customers of the parts the same as of the finished product?</w:t>
            </w:r>
          </w:p>
          <w:p w14:paraId="114E0834" w14:textId="77777777" w:rsidR="00A21C01" w:rsidRPr="002B66D1" w:rsidRDefault="00A21C01">
            <w:pPr>
              <w:numPr>
                <w:ilvl w:val="0"/>
                <w:numId w:val="15"/>
              </w:numPr>
              <w:spacing w:line="276" w:lineRule="auto"/>
              <w:ind w:left="470" w:hanging="357"/>
              <w:rPr>
                <w:rFonts w:cs="Arial"/>
                <w:sz w:val="22"/>
              </w:rPr>
            </w:pPr>
            <w:r w:rsidRPr="002B66D1">
              <w:rPr>
                <w:rFonts w:cs="Arial"/>
                <w:sz w:val="22"/>
              </w:rPr>
              <w:t>Evidence of commercial relationship between assembler and exporter.</w:t>
            </w:r>
          </w:p>
          <w:p w14:paraId="799D629E" w14:textId="77777777" w:rsidR="00A21C01" w:rsidRPr="002B66D1" w:rsidRDefault="00A21C01">
            <w:pPr>
              <w:numPr>
                <w:ilvl w:val="0"/>
                <w:numId w:val="15"/>
              </w:numPr>
              <w:spacing w:line="276" w:lineRule="auto"/>
              <w:ind w:left="470" w:hanging="357"/>
              <w:rPr>
                <w:rFonts w:cs="Arial"/>
                <w:sz w:val="22"/>
              </w:rPr>
            </w:pPr>
            <w:r w:rsidRPr="002B66D1">
              <w:rPr>
                <w:rFonts w:cs="Arial"/>
                <w:sz w:val="22"/>
              </w:rPr>
              <w:t>Qualitative assessment of processing – simple or requiring expert knowledge?</w:t>
            </w:r>
          </w:p>
          <w:p w14:paraId="25DD3C4A" w14:textId="77777777" w:rsidR="00A21C01" w:rsidRPr="002B66D1" w:rsidRDefault="00A21C01">
            <w:pPr>
              <w:numPr>
                <w:ilvl w:val="0"/>
                <w:numId w:val="15"/>
              </w:numPr>
              <w:spacing w:line="276" w:lineRule="auto"/>
              <w:ind w:left="470" w:hanging="357"/>
              <w:rPr>
                <w:rFonts w:cs="Arial"/>
                <w:sz w:val="22"/>
              </w:rPr>
            </w:pPr>
            <w:r w:rsidRPr="002B66D1">
              <w:rPr>
                <w:rFonts w:cs="Arial"/>
                <w:sz w:val="22"/>
              </w:rPr>
              <w:t>Quantitative assessment of value of processing based on a constructed value approach: observed resale price minus the CIF</w:t>
            </w:r>
            <w:r w:rsidRPr="002B66D1">
              <w:rPr>
                <w:rStyle w:val="FootnoteReference"/>
                <w:rFonts w:cs="Arial"/>
                <w:sz w:val="22"/>
              </w:rPr>
              <w:footnoteReference w:id="99"/>
            </w:r>
            <w:r w:rsidRPr="002B66D1">
              <w:rPr>
                <w:rFonts w:cs="Arial"/>
                <w:sz w:val="22"/>
              </w:rPr>
              <w:t xml:space="preserve"> value of imported parts, an adjustment for general, selling and administrative expenses.</w:t>
            </w:r>
          </w:p>
          <w:p w14:paraId="335EA425" w14:textId="77777777" w:rsidR="00A21C01" w:rsidRPr="002B66D1" w:rsidRDefault="00A21C01">
            <w:pPr>
              <w:numPr>
                <w:ilvl w:val="0"/>
                <w:numId w:val="15"/>
              </w:numPr>
              <w:spacing w:line="276" w:lineRule="auto"/>
              <w:ind w:left="470" w:hanging="357"/>
              <w:rPr>
                <w:rFonts w:cs="Arial"/>
                <w:sz w:val="22"/>
              </w:rPr>
            </w:pPr>
            <w:r w:rsidRPr="002B66D1">
              <w:rPr>
                <w:rFonts w:cs="Arial"/>
                <w:sz w:val="22"/>
              </w:rPr>
              <w:t>Comparisons of level of investment or R&amp;D in the United States to levels of investment or R&amp;D by the exporter in the country of origin.</w:t>
            </w:r>
          </w:p>
          <w:p w14:paraId="50CC014C" w14:textId="77777777" w:rsidR="00A21C01" w:rsidRPr="002B66D1" w:rsidRDefault="00A21C01">
            <w:pPr>
              <w:numPr>
                <w:ilvl w:val="0"/>
                <w:numId w:val="15"/>
              </w:numPr>
              <w:spacing w:line="276" w:lineRule="auto"/>
              <w:ind w:left="470" w:hanging="357"/>
              <w:rPr>
                <w:rFonts w:cs="Arial"/>
                <w:sz w:val="22"/>
              </w:rPr>
            </w:pPr>
            <w:r w:rsidRPr="002B66D1">
              <w:rPr>
                <w:rFonts w:cs="Arial"/>
                <w:sz w:val="22"/>
              </w:rPr>
              <w:t>Evidence of intellectual property and patenting.</w:t>
            </w:r>
          </w:p>
          <w:p w14:paraId="3D5AA2FE" w14:textId="77777777" w:rsidR="00A21C01" w:rsidRPr="002B66D1" w:rsidRDefault="00A21C01">
            <w:pPr>
              <w:spacing w:line="276" w:lineRule="auto"/>
              <w:rPr>
                <w:rFonts w:cs="Arial"/>
                <w:sz w:val="22"/>
              </w:rPr>
            </w:pPr>
          </w:p>
        </w:tc>
      </w:tr>
      <w:tr w:rsidR="00A21C01" w14:paraId="7A60CEF5" w14:textId="77777777">
        <w:tc>
          <w:tcPr>
            <w:tcW w:w="9016" w:type="dxa"/>
            <w:gridSpan w:val="2"/>
          </w:tcPr>
          <w:p w14:paraId="7C26DFB3" w14:textId="77777777" w:rsidR="00A21C01" w:rsidRPr="002B66D1" w:rsidRDefault="00A21C01">
            <w:pPr>
              <w:spacing w:line="276" w:lineRule="auto"/>
              <w:rPr>
                <w:rFonts w:cs="Arial"/>
                <w:b/>
                <w:bCs/>
                <w:sz w:val="22"/>
              </w:rPr>
            </w:pPr>
            <w:r w:rsidRPr="002B66D1">
              <w:rPr>
                <w:rFonts w:cs="Arial"/>
                <w:b/>
                <w:bCs/>
                <w:sz w:val="22"/>
              </w:rPr>
              <w:t>Scenario (2) – Merchandise completed or assembled in other countries from parts or components of foreign country subject to order.</w:t>
            </w:r>
          </w:p>
        </w:tc>
      </w:tr>
      <w:tr w:rsidR="00A21C01" w14:paraId="54B5D2CF" w14:textId="77777777">
        <w:tc>
          <w:tcPr>
            <w:tcW w:w="4508" w:type="dxa"/>
          </w:tcPr>
          <w:p w14:paraId="6EF093CC" w14:textId="7621B778" w:rsidR="00A21C01" w:rsidRPr="002B66D1" w:rsidRDefault="00A21C01">
            <w:pPr>
              <w:spacing w:line="276" w:lineRule="auto"/>
              <w:rPr>
                <w:rFonts w:cs="Arial"/>
                <w:sz w:val="22"/>
              </w:rPr>
            </w:pPr>
            <w:r w:rsidRPr="002B66D1">
              <w:rPr>
                <w:rFonts w:cs="Arial"/>
                <w:sz w:val="22"/>
              </w:rPr>
              <w:t>Evidence sought (illustrative list)</w:t>
            </w:r>
          </w:p>
        </w:tc>
        <w:tc>
          <w:tcPr>
            <w:tcW w:w="4508" w:type="dxa"/>
          </w:tcPr>
          <w:p w14:paraId="1E62F09F" w14:textId="06886AD0" w:rsidR="00A21C01" w:rsidRPr="002B66D1" w:rsidRDefault="00A21C01">
            <w:pPr>
              <w:spacing w:line="276" w:lineRule="auto"/>
              <w:rPr>
                <w:rFonts w:cs="Arial"/>
                <w:sz w:val="22"/>
              </w:rPr>
            </w:pPr>
            <w:r w:rsidRPr="002B66D1">
              <w:rPr>
                <w:rFonts w:cs="Arial"/>
                <w:sz w:val="22"/>
              </w:rPr>
              <w:t>Examples of data and methodologies used in practice</w:t>
            </w:r>
          </w:p>
        </w:tc>
      </w:tr>
      <w:tr w:rsidR="00A21C01" w14:paraId="15DBC26A" w14:textId="77777777">
        <w:tc>
          <w:tcPr>
            <w:tcW w:w="4508" w:type="dxa"/>
          </w:tcPr>
          <w:p w14:paraId="5E65413D" w14:textId="3A76568D" w:rsidR="00A21C01" w:rsidRPr="002B66D1" w:rsidRDefault="00A21C01">
            <w:pPr>
              <w:spacing w:line="276" w:lineRule="auto"/>
              <w:rPr>
                <w:rFonts w:cs="Arial"/>
                <w:sz w:val="22"/>
              </w:rPr>
            </w:pPr>
            <w:r w:rsidRPr="002B66D1">
              <w:rPr>
                <w:rFonts w:cs="Arial"/>
                <w:sz w:val="22"/>
              </w:rPr>
              <w:t>As above, but with references to the United States replaced with references to foreign country.</w:t>
            </w:r>
          </w:p>
        </w:tc>
        <w:tc>
          <w:tcPr>
            <w:tcW w:w="4508" w:type="dxa"/>
          </w:tcPr>
          <w:p w14:paraId="6D84AC88" w14:textId="77777777" w:rsidR="00A21C01" w:rsidRPr="002B66D1" w:rsidRDefault="00A21C01">
            <w:pPr>
              <w:spacing w:line="276" w:lineRule="auto"/>
              <w:rPr>
                <w:rFonts w:cs="Arial"/>
                <w:sz w:val="22"/>
              </w:rPr>
            </w:pPr>
            <w:r w:rsidRPr="002B66D1">
              <w:rPr>
                <w:rFonts w:cs="Arial"/>
                <w:sz w:val="22"/>
              </w:rPr>
              <w:t>As above, but with references to the United States replaced with ones to foreign country. In computing share of value accounted for by processing, authorities will deduct share of inputs originating from country subject to initial duty. Higher shares of inputs from other countries and evidence of investment in processing are more likely to lead to a negative determination.</w:t>
            </w:r>
          </w:p>
        </w:tc>
      </w:tr>
      <w:tr w:rsidR="00A21C01" w14:paraId="579D920C" w14:textId="77777777">
        <w:tc>
          <w:tcPr>
            <w:tcW w:w="9016" w:type="dxa"/>
            <w:gridSpan w:val="2"/>
          </w:tcPr>
          <w:p w14:paraId="2ABE0A4A" w14:textId="77777777" w:rsidR="00A21C01" w:rsidRPr="002B66D1" w:rsidRDefault="00A21C01">
            <w:pPr>
              <w:spacing w:line="276" w:lineRule="auto"/>
              <w:rPr>
                <w:rFonts w:cs="Arial"/>
                <w:b/>
                <w:bCs/>
                <w:sz w:val="22"/>
              </w:rPr>
            </w:pPr>
            <w:r w:rsidRPr="002B66D1">
              <w:rPr>
                <w:rFonts w:cs="Arial"/>
                <w:b/>
                <w:bCs/>
                <w:sz w:val="22"/>
              </w:rPr>
              <w:t>Scenario (3) – Minor alterations i.e. of form or appearance in minor respects (including raw agricultural products that have undergone minor processing), whether or not included in the same tariff classification.</w:t>
            </w:r>
          </w:p>
        </w:tc>
      </w:tr>
      <w:tr w:rsidR="00A21C01" w14:paraId="23ADCF64" w14:textId="77777777">
        <w:tc>
          <w:tcPr>
            <w:tcW w:w="4508" w:type="dxa"/>
          </w:tcPr>
          <w:p w14:paraId="52F8B60B" w14:textId="77777777" w:rsidR="00A21C01" w:rsidRPr="002B66D1" w:rsidRDefault="00A21C01">
            <w:pPr>
              <w:spacing w:line="276" w:lineRule="auto"/>
              <w:rPr>
                <w:rFonts w:cs="Arial"/>
                <w:sz w:val="22"/>
                <w:lang w:val="fr-CH"/>
              </w:rPr>
            </w:pPr>
            <w:r w:rsidRPr="002B66D1">
              <w:rPr>
                <w:rFonts w:cs="Arial"/>
                <w:sz w:val="22"/>
              </w:rPr>
              <w:t>Evidence sought (illustrative list</w:t>
            </w:r>
            <w:r w:rsidRPr="002B66D1">
              <w:rPr>
                <w:rFonts w:cs="Arial"/>
                <w:sz w:val="22"/>
                <w:lang w:val="fr-CH"/>
              </w:rPr>
              <w:t>)</w:t>
            </w:r>
          </w:p>
        </w:tc>
        <w:tc>
          <w:tcPr>
            <w:tcW w:w="4508" w:type="dxa"/>
          </w:tcPr>
          <w:p w14:paraId="2A6C9C1D" w14:textId="77777777" w:rsidR="00A21C01" w:rsidRPr="002B66D1" w:rsidRDefault="00A21C01">
            <w:pPr>
              <w:spacing w:line="276" w:lineRule="auto"/>
              <w:rPr>
                <w:rFonts w:cs="Arial"/>
                <w:sz w:val="22"/>
              </w:rPr>
            </w:pPr>
            <w:r w:rsidRPr="002B66D1">
              <w:rPr>
                <w:rFonts w:cs="Arial"/>
                <w:sz w:val="22"/>
              </w:rPr>
              <w:t>Examples of data and methodologies used in practice</w:t>
            </w:r>
          </w:p>
        </w:tc>
      </w:tr>
      <w:tr w:rsidR="00A21C01" w14:paraId="78D1173B" w14:textId="77777777">
        <w:tc>
          <w:tcPr>
            <w:tcW w:w="4508" w:type="dxa"/>
          </w:tcPr>
          <w:p w14:paraId="5DF9F469" w14:textId="77777777" w:rsidR="00A21C01" w:rsidRPr="002B66D1" w:rsidRDefault="00A21C01">
            <w:pPr>
              <w:numPr>
                <w:ilvl w:val="0"/>
                <w:numId w:val="15"/>
              </w:numPr>
              <w:spacing w:line="276" w:lineRule="auto"/>
              <w:ind w:left="470" w:hanging="357"/>
              <w:rPr>
                <w:rFonts w:cs="Arial"/>
                <w:sz w:val="22"/>
              </w:rPr>
            </w:pPr>
            <w:r w:rsidRPr="002B66D1">
              <w:rPr>
                <w:rFonts w:cs="Arial"/>
                <w:sz w:val="22"/>
              </w:rPr>
              <w:t>The overall physical characteristics of the product.</w:t>
            </w:r>
          </w:p>
          <w:p w14:paraId="59224C1D" w14:textId="77777777" w:rsidR="00A21C01" w:rsidRPr="002B66D1" w:rsidRDefault="00A21C01">
            <w:pPr>
              <w:numPr>
                <w:ilvl w:val="0"/>
                <w:numId w:val="15"/>
              </w:numPr>
              <w:spacing w:line="276" w:lineRule="auto"/>
              <w:ind w:left="470" w:hanging="357"/>
              <w:rPr>
                <w:rFonts w:cs="Arial"/>
                <w:sz w:val="22"/>
              </w:rPr>
            </w:pPr>
            <w:r w:rsidRPr="002B66D1">
              <w:rPr>
                <w:rFonts w:cs="Arial"/>
                <w:sz w:val="22"/>
              </w:rPr>
              <w:t xml:space="preserve">The expectations of the ultimate user. </w:t>
            </w:r>
          </w:p>
          <w:p w14:paraId="13CEEAED" w14:textId="77777777" w:rsidR="00A21C01" w:rsidRPr="002B66D1" w:rsidRDefault="00A21C01">
            <w:pPr>
              <w:numPr>
                <w:ilvl w:val="0"/>
                <w:numId w:val="15"/>
              </w:numPr>
              <w:spacing w:line="276" w:lineRule="auto"/>
              <w:ind w:left="470" w:hanging="357"/>
              <w:rPr>
                <w:rFonts w:cs="Arial"/>
                <w:sz w:val="22"/>
              </w:rPr>
            </w:pPr>
            <w:r w:rsidRPr="002B66D1">
              <w:rPr>
                <w:rFonts w:cs="Arial"/>
                <w:sz w:val="22"/>
              </w:rPr>
              <w:t>End-uses.</w:t>
            </w:r>
          </w:p>
          <w:p w14:paraId="04173947" w14:textId="77777777" w:rsidR="00A21C01" w:rsidRPr="002B66D1" w:rsidRDefault="00A21C01">
            <w:pPr>
              <w:numPr>
                <w:ilvl w:val="0"/>
                <w:numId w:val="15"/>
              </w:numPr>
              <w:spacing w:line="276" w:lineRule="auto"/>
              <w:ind w:left="470" w:hanging="357"/>
              <w:rPr>
                <w:rFonts w:cs="Arial"/>
                <w:sz w:val="22"/>
              </w:rPr>
            </w:pPr>
            <w:r w:rsidRPr="002B66D1">
              <w:rPr>
                <w:rFonts w:cs="Arial"/>
                <w:sz w:val="22"/>
              </w:rPr>
              <w:t>Channels of trade and advertising.</w:t>
            </w:r>
          </w:p>
          <w:p w14:paraId="09FD0E98" w14:textId="77777777" w:rsidR="00A21C01" w:rsidRPr="002B66D1" w:rsidRDefault="00A21C01">
            <w:pPr>
              <w:numPr>
                <w:ilvl w:val="0"/>
                <w:numId w:val="15"/>
              </w:numPr>
              <w:spacing w:line="276" w:lineRule="auto"/>
              <w:ind w:left="470" w:hanging="357"/>
              <w:rPr>
                <w:rFonts w:cs="Arial"/>
                <w:sz w:val="22"/>
              </w:rPr>
            </w:pPr>
            <w:r w:rsidRPr="002B66D1">
              <w:rPr>
                <w:rFonts w:cs="Arial"/>
                <w:sz w:val="22"/>
              </w:rPr>
              <w:t>Cost of any modification relative to the total value of the products at issue.</w:t>
            </w:r>
          </w:p>
          <w:p w14:paraId="4C25A0BB" w14:textId="77777777" w:rsidR="00A21C01" w:rsidRPr="002B66D1" w:rsidRDefault="00A21C01">
            <w:pPr>
              <w:numPr>
                <w:ilvl w:val="0"/>
                <w:numId w:val="15"/>
              </w:numPr>
              <w:spacing w:line="276" w:lineRule="auto"/>
              <w:ind w:left="470" w:hanging="357"/>
              <w:rPr>
                <w:rFonts w:cs="Arial"/>
                <w:sz w:val="22"/>
              </w:rPr>
            </w:pPr>
            <w:r w:rsidRPr="002B66D1">
              <w:rPr>
                <w:rFonts w:cs="Arial"/>
                <w:sz w:val="22"/>
              </w:rPr>
              <w:t>Changes in patterns of trade (e.g. if variant with minor alteration was imported prior to duty).</w:t>
            </w:r>
          </w:p>
        </w:tc>
        <w:tc>
          <w:tcPr>
            <w:tcW w:w="4508" w:type="dxa"/>
          </w:tcPr>
          <w:p w14:paraId="5A93F2A9" w14:textId="1BCF1469" w:rsidR="00A21C01" w:rsidRPr="002B66D1" w:rsidRDefault="00A21C01">
            <w:pPr>
              <w:spacing w:line="276" w:lineRule="auto"/>
              <w:rPr>
                <w:rFonts w:cs="Arial"/>
                <w:sz w:val="22"/>
              </w:rPr>
            </w:pPr>
            <w:r w:rsidRPr="002B66D1">
              <w:rPr>
                <w:rFonts w:cs="Arial"/>
                <w:sz w:val="22"/>
              </w:rPr>
              <w:t>Expert analysis of physical characteristics (e.g. for steel, based on metallurgical analysis) and how this determines performance against end-use. In addition to being product specific, this can also depend on the requirements of customers, so similar products can be treated differently.  United States submissions to the WTO Informal Working Group point to the case of boron steel which, in the case of Canada, was considered to circumvent duties but not in the case of Japan given different customer expectations and requirements.</w:t>
            </w:r>
          </w:p>
        </w:tc>
      </w:tr>
      <w:tr w:rsidR="00A21C01" w:rsidRPr="008333BA" w14:paraId="11EB1723" w14:textId="77777777">
        <w:tc>
          <w:tcPr>
            <w:tcW w:w="9016" w:type="dxa"/>
            <w:gridSpan w:val="2"/>
          </w:tcPr>
          <w:p w14:paraId="08752A79" w14:textId="53168C5C" w:rsidR="00A21C01" w:rsidRPr="002B66D1" w:rsidRDefault="00A21C01">
            <w:pPr>
              <w:spacing w:line="276" w:lineRule="auto"/>
              <w:rPr>
                <w:rFonts w:cs="Arial"/>
                <w:b/>
                <w:bCs/>
                <w:sz w:val="22"/>
              </w:rPr>
            </w:pPr>
            <w:r w:rsidRPr="002B66D1">
              <w:rPr>
                <w:rFonts w:cs="Arial"/>
                <w:b/>
                <w:bCs/>
                <w:sz w:val="22"/>
              </w:rPr>
              <w:t>Scenario (4) – Later-developed merchandise – one not previously available but which has the same general characteristics as the product covered by the initial duty.</w:t>
            </w:r>
          </w:p>
        </w:tc>
      </w:tr>
      <w:tr w:rsidR="00A21C01" w14:paraId="515F27F5" w14:textId="77777777">
        <w:tc>
          <w:tcPr>
            <w:tcW w:w="4508" w:type="dxa"/>
          </w:tcPr>
          <w:p w14:paraId="02E34F84" w14:textId="77777777" w:rsidR="00A21C01" w:rsidRPr="002B66D1" w:rsidRDefault="00A21C01">
            <w:pPr>
              <w:spacing w:line="276" w:lineRule="auto"/>
              <w:rPr>
                <w:rFonts w:cs="Arial"/>
                <w:sz w:val="22"/>
              </w:rPr>
            </w:pPr>
            <w:r w:rsidRPr="002B66D1">
              <w:rPr>
                <w:rFonts w:cs="Arial"/>
                <w:sz w:val="22"/>
              </w:rPr>
              <w:t>Evidence sought</w:t>
            </w:r>
          </w:p>
        </w:tc>
        <w:tc>
          <w:tcPr>
            <w:tcW w:w="4508" w:type="dxa"/>
          </w:tcPr>
          <w:p w14:paraId="656E3E76" w14:textId="77777777" w:rsidR="00A21C01" w:rsidRPr="002B66D1" w:rsidRDefault="00A21C01">
            <w:pPr>
              <w:spacing w:line="276" w:lineRule="auto"/>
              <w:rPr>
                <w:rFonts w:cs="Arial"/>
                <w:sz w:val="22"/>
              </w:rPr>
            </w:pPr>
            <w:r w:rsidRPr="002B66D1">
              <w:rPr>
                <w:rFonts w:cs="Arial"/>
                <w:sz w:val="22"/>
              </w:rPr>
              <w:t>Examples of data and methodologies used in practice</w:t>
            </w:r>
          </w:p>
        </w:tc>
      </w:tr>
      <w:tr w:rsidR="00A21C01" w14:paraId="2539D512" w14:textId="77777777">
        <w:tc>
          <w:tcPr>
            <w:tcW w:w="4508" w:type="dxa"/>
          </w:tcPr>
          <w:p w14:paraId="4A8CD2D8" w14:textId="77777777" w:rsidR="00A21C01" w:rsidRPr="002B66D1" w:rsidRDefault="00A21C01">
            <w:pPr>
              <w:spacing w:line="276" w:lineRule="auto"/>
              <w:rPr>
                <w:rFonts w:cs="Arial"/>
                <w:sz w:val="22"/>
              </w:rPr>
            </w:pPr>
            <w:r w:rsidRPr="002B66D1">
              <w:rPr>
                <w:rFonts w:cs="Arial"/>
                <w:sz w:val="22"/>
              </w:rPr>
              <w:t>As above. In addition, whether the later development involved significant technological developments and whether these entail commercially significant changes.</w:t>
            </w:r>
          </w:p>
        </w:tc>
        <w:tc>
          <w:tcPr>
            <w:tcW w:w="4508" w:type="dxa"/>
          </w:tcPr>
          <w:p w14:paraId="17819771" w14:textId="23138CC0" w:rsidR="00A21C01" w:rsidRPr="002B66D1" w:rsidRDefault="00A21C01">
            <w:pPr>
              <w:spacing w:line="276" w:lineRule="auto"/>
              <w:rPr>
                <w:rFonts w:cs="Arial"/>
                <w:sz w:val="22"/>
              </w:rPr>
            </w:pPr>
            <w:r w:rsidRPr="002B66D1">
              <w:rPr>
                <w:rFonts w:cs="Arial"/>
                <w:sz w:val="22"/>
              </w:rPr>
              <w:t xml:space="preserve">As above. In addition, expert/qualitative assessments of whether technological and commercial changes are significant. </w:t>
            </w:r>
          </w:p>
          <w:p w14:paraId="619B7DE6" w14:textId="77777777" w:rsidR="00A21C01" w:rsidRPr="002B66D1" w:rsidRDefault="00A21C01">
            <w:pPr>
              <w:spacing w:line="276" w:lineRule="auto"/>
              <w:rPr>
                <w:rFonts w:cs="Arial"/>
                <w:sz w:val="22"/>
              </w:rPr>
            </w:pPr>
            <w:r w:rsidRPr="002B66D1">
              <w:rPr>
                <w:rFonts w:cs="Arial"/>
                <w:sz w:val="22"/>
              </w:rPr>
              <w:t>Evidence of investment in technology.</w:t>
            </w:r>
          </w:p>
        </w:tc>
      </w:tr>
    </w:tbl>
    <w:p w14:paraId="36AFD853" w14:textId="77777777" w:rsidR="00A21C01" w:rsidRDefault="00A21C01" w:rsidP="00A21C01">
      <w:pPr>
        <w:rPr>
          <w:rFonts w:cs="Arial"/>
          <w:szCs w:val="24"/>
        </w:rPr>
      </w:pPr>
    </w:p>
    <w:p w14:paraId="130AB841" w14:textId="59E48691" w:rsidR="00A21C01" w:rsidRDefault="00A21C01" w:rsidP="00A21C01">
      <w:pPr>
        <w:rPr>
          <w:rFonts w:cs="Arial"/>
          <w:szCs w:val="24"/>
        </w:rPr>
      </w:pPr>
      <w:r>
        <w:rPr>
          <w:rFonts w:cs="Arial"/>
          <w:szCs w:val="24"/>
        </w:rPr>
        <w:t xml:space="preserve">Cases are typically initiated by industry, but a significant number – close to a quarter in the last five years – have been initiated by the DOC. Of those cases, all but one have focused on the circumvention of duties originally imposed on </w:t>
      </w:r>
      <w:r w:rsidR="002406F0">
        <w:rPr>
          <w:rFonts w:cs="Arial"/>
          <w:szCs w:val="24"/>
        </w:rPr>
        <w:t>PRC</w:t>
      </w:r>
      <w:r>
        <w:rPr>
          <w:rFonts w:cs="Arial"/>
          <w:szCs w:val="24"/>
        </w:rPr>
        <w:t xml:space="preserve">. The DOC actively monitors trade trends for evidence of circumvention, particularly in relation to geographies and products for which circumvention has been an issue in the past. </w:t>
      </w:r>
    </w:p>
    <w:p w14:paraId="1D4B4FC3" w14:textId="3F30172D" w:rsidR="00A21C01" w:rsidRPr="00716A72" w:rsidRDefault="00A21C01" w:rsidP="00A21C01">
      <w:pPr>
        <w:rPr>
          <w:rFonts w:cs="Arial"/>
          <w:szCs w:val="24"/>
        </w:rPr>
      </w:pPr>
      <w:r>
        <w:rPr>
          <w:rFonts w:cs="Arial"/>
          <w:szCs w:val="24"/>
        </w:rPr>
        <w:t xml:space="preserve">The </w:t>
      </w:r>
      <w:r w:rsidR="007B7B2A">
        <w:rPr>
          <w:rFonts w:cs="Arial"/>
          <w:szCs w:val="24"/>
        </w:rPr>
        <w:t xml:space="preserve">DOC also works closely with industry to explain the requirements of a circumvention case, in particular the evidentiary </w:t>
      </w:r>
      <w:r w:rsidR="007B7B2A" w:rsidRPr="00806F2C">
        <w:rPr>
          <w:rFonts w:cs="Arial"/>
          <w:szCs w:val="24"/>
        </w:rPr>
        <w:t xml:space="preserve">standards that are required. </w:t>
      </w:r>
      <w:r w:rsidR="007B7B2A">
        <w:rPr>
          <w:rFonts w:cs="Arial"/>
          <w:szCs w:val="24"/>
        </w:rPr>
        <w:t xml:space="preserve">In the initiation phase </w:t>
      </w:r>
      <w:r w:rsidR="007B7B2A" w:rsidRPr="00806F2C">
        <w:rPr>
          <w:rFonts w:cs="Arial"/>
          <w:szCs w:val="24"/>
        </w:rPr>
        <w:t xml:space="preserve">The DOC </w:t>
      </w:r>
      <w:r w:rsidR="007B7B2A">
        <w:rPr>
          <w:rFonts w:cs="Arial"/>
          <w:szCs w:val="24"/>
        </w:rPr>
        <w:t>must determine that a circumvention inquiry request satisfies the requirements for circumvention relating to initiation that are set out in the Regulations.</w:t>
      </w:r>
      <w:r w:rsidR="007B7B2A">
        <w:rPr>
          <w:rStyle w:val="FootnoteReference"/>
          <w:rFonts w:cs="Arial"/>
          <w:szCs w:val="24"/>
        </w:rPr>
        <w:footnoteReference w:id="100"/>
      </w:r>
      <w:r w:rsidR="007B7B2A" w:rsidRPr="00C102DE">
        <w:rPr>
          <w:rFonts w:cs="Arial"/>
          <w:szCs w:val="24"/>
        </w:rPr>
        <w:t xml:space="preserve"> </w:t>
      </w:r>
      <w:r w:rsidR="007B7B2A">
        <w:rPr>
          <w:rFonts w:cs="Arial"/>
          <w:szCs w:val="24"/>
        </w:rPr>
        <w:t xml:space="preserve"> In </w:t>
      </w:r>
      <w:r w:rsidR="007B7B2A" w:rsidRPr="00806F2C">
        <w:rPr>
          <w:rFonts w:cs="Arial"/>
          <w:szCs w:val="24"/>
        </w:rPr>
        <w:t>the determination phase,  the standard is more stringent.</w:t>
      </w:r>
    </w:p>
    <w:p w14:paraId="6D3F9D84" w14:textId="1ADC7469" w:rsidR="00A21C01" w:rsidRDefault="00A21C01" w:rsidP="00A21C01">
      <w:pPr>
        <w:rPr>
          <w:rFonts w:cs="Arial"/>
          <w:szCs w:val="24"/>
        </w:rPr>
      </w:pPr>
      <w:r>
        <w:rPr>
          <w:rFonts w:cs="Arial"/>
          <w:szCs w:val="24"/>
        </w:rPr>
        <w:t>The description of the scenarios suggests that a wide range of evidence can be considered in circumvention cases, and this is borne out by the description of cases below. The regulations do not stipulate any hierarchy to the types of evidence nor do they provide any guidelines as to how different types of evidence are to be weighed against each other. The authorities consider evidence as a whole in the context of the particularities of the case in question, and the DOC repeatedly emphasises the discretion left to its judgement in considering different types of evidence.</w:t>
      </w:r>
    </w:p>
    <w:p w14:paraId="3C8ABB34" w14:textId="31DBF279" w:rsidR="00A21C01" w:rsidRDefault="00A21C01" w:rsidP="00A21C01">
      <w:pPr>
        <w:rPr>
          <w:rFonts w:cs="Arial"/>
          <w:szCs w:val="24"/>
        </w:rPr>
      </w:pPr>
      <w:r>
        <w:rPr>
          <w:rFonts w:cs="Arial"/>
          <w:szCs w:val="24"/>
        </w:rPr>
        <w:t>The DOC will consider quantitative data on trade flows and on matters such as investment, production and R&amp;D. These last three metrics are usually based on firm-level data. In assembly cases, the DOC will normally calculate value added in operations involving the investigated entities to ascertain whether this is consistent with circumvention. Unlike the EU’s framework, the United States’ framework does not include numerical threshold tests that need to be satisfied. Rather, the calculations are considered in light of all the other sources of evidence presented.</w:t>
      </w:r>
    </w:p>
    <w:p w14:paraId="313C833F" w14:textId="23267F00" w:rsidR="00A21C01" w:rsidRDefault="00A21C01" w:rsidP="00A21C01">
      <w:pPr>
        <w:rPr>
          <w:rFonts w:cs="Arial"/>
          <w:szCs w:val="24"/>
        </w:rPr>
      </w:pPr>
      <w:r>
        <w:rPr>
          <w:rFonts w:cs="Arial"/>
          <w:szCs w:val="24"/>
        </w:rPr>
        <w:t>The DOC also considers evidence and industry information on matters relating to industrial organisation, such as the expected extent of vertical integration and/or patterns of substitutability based on preferences of consumers and end-users. The DOC reportedly does not typically consult outside experts, although it may consult other branches of the administration. It relies primarily on in-house expertise accumulated over cases. It does not formally designate internal sector experts.</w:t>
      </w:r>
    </w:p>
    <w:p w14:paraId="7983DB0E" w14:textId="2028DD42" w:rsidR="00A21C01" w:rsidRDefault="00A21C01" w:rsidP="00A21C01">
      <w:pPr>
        <w:rPr>
          <w:rFonts w:cs="Arial"/>
          <w:szCs w:val="24"/>
        </w:rPr>
      </w:pPr>
      <w:r>
        <w:rPr>
          <w:rFonts w:cs="Arial"/>
          <w:szCs w:val="24"/>
        </w:rPr>
        <w:t>Matters of industrial organisation are relevant to questions relating to technical change and whether assembly operations follow patterns that plausibly reflect economic factors rather than a desire to circumvent. Preferences regarding end-use can be significant in determining substitutability and, thus, issues of likeness that play a role both in scope inquiries and in determining the extent to which modifications are substantial or otherwise. The approach, in conjunction with an analysis of industrial organisation, is consistent both with the jurisprudence on “likeness” in the WTO context</w:t>
      </w:r>
      <w:r>
        <w:rPr>
          <w:rStyle w:val="FootnoteReference"/>
          <w:rFonts w:cs="Arial"/>
          <w:szCs w:val="24"/>
        </w:rPr>
        <w:footnoteReference w:id="101"/>
      </w:r>
      <w:r>
        <w:rPr>
          <w:rFonts w:cs="Arial"/>
          <w:szCs w:val="24"/>
        </w:rPr>
        <w:t xml:space="preserve"> and approaches to market definition followed in competition policy cases. </w:t>
      </w:r>
    </w:p>
    <w:p w14:paraId="527799C0" w14:textId="1CDB9E38" w:rsidR="00A21C01" w:rsidRDefault="00A21C01" w:rsidP="00A21C01">
      <w:pPr>
        <w:rPr>
          <w:rFonts w:cs="Arial"/>
          <w:szCs w:val="24"/>
        </w:rPr>
      </w:pPr>
      <w:r>
        <w:rPr>
          <w:rFonts w:cs="Arial"/>
          <w:szCs w:val="24"/>
        </w:rPr>
        <w:t>All evidence on which the DOC makes its determinations are placed on the record, which is publicly accessible (with commercial-in-confidence information redacted).</w:t>
      </w:r>
      <w:r>
        <w:rPr>
          <w:rStyle w:val="FootnoteReference"/>
          <w:rFonts w:cs="Arial"/>
          <w:szCs w:val="24"/>
        </w:rPr>
        <w:footnoteReference w:id="102"/>
      </w:r>
      <w:r>
        <w:rPr>
          <w:rFonts w:cs="Arial"/>
          <w:szCs w:val="24"/>
        </w:rPr>
        <w:t xml:space="preserve"> Parties to a case are expected to interact with the information placed on record. The DOC records highlight an adversarial process between respondents and petitioners in relation to various items of evidence, with parties offered the opportunity to rebut both the arguments and data presented by each other and the DOC forming a view based on this and its own research. </w:t>
      </w:r>
    </w:p>
    <w:p w14:paraId="515249B8" w14:textId="419C8FBA" w:rsidR="00A21C01" w:rsidRDefault="00A21C01" w:rsidP="00A21C01">
      <w:pPr>
        <w:pStyle w:val="Heading3"/>
      </w:pPr>
      <w:bookmarkStart w:id="155" w:name="_Toc362162810"/>
      <w:bookmarkStart w:id="156" w:name="_Toc118465311"/>
      <w:r>
        <w:t>Examples of cases which highlight data and information gathered to meet the tests of the legal framework</w:t>
      </w:r>
      <w:bookmarkEnd w:id="155"/>
      <w:bookmarkEnd w:id="156"/>
    </w:p>
    <w:p w14:paraId="5CE2F20E" w14:textId="2E42B806" w:rsidR="00A21C01" w:rsidRPr="0097217C" w:rsidRDefault="00A21C01" w:rsidP="00A21C01">
      <w:pPr>
        <w:pStyle w:val="Heading4"/>
      </w:pPr>
      <w:r w:rsidRPr="0097217C">
        <w:t xml:space="preserve">Cases in relation to scenarios 1 and 2 </w:t>
      </w:r>
      <w:r w:rsidRPr="002C23D7">
        <w:t>(third-party assembly</w:t>
      </w:r>
      <w:r w:rsidRPr="0097217C">
        <w:t xml:space="preserve"> in the United States or another country)</w:t>
      </w:r>
    </w:p>
    <w:p w14:paraId="096CF79A" w14:textId="57F09681" w:rsidR="00A21C01" w:rsidRPr="00A61227" w:rsidRDefault="00A21C01" w:rsidP="00A21C01">
      <w:pPr>
        <w:rPr>
          <w:rFonts w:cs="Arial"/>
          <w:szCs w:val="24"/>
        </w:rPr>
      </w:pPr>
      <w:r w:rsidRPr="00EF4802">
        <w:rPr>
          <w:rFonts w:cs="Arial"/>
          <w:szCs w:val="24"/>
        </w:rPr>
        <w:t>In</w:t>
      </w:r>
      <w:r w:rsidRPr="00A61227">
        <w:rPr>
          <w:rFonts w:cs="Arial"/>
          <w:i/>
          <w:iCs/>
          <w:szCs w:val="24"/>
        </w:rPr>
        <w:t xml:space="preserve"> Brazil – </w:t>
      </w:r>
      <w:r w:rsidRPr="00C378F2">
        <w:rPr>
          <w:rFonts w:cs="Arial"/>
          <w:i/>
          <w:iCs/>
          <w:szCs w:val="24"/>
        </w:rPr>
        <w:t>Uncoated Paper</w:t>
      </w:r>
      <w:r w:rsidRPr="00A61227">
        <w:rPr>
          <w:rFonts w:cs="Arial"/>
          <w:i/>
          <w:iCs/>
          <w:szCs w:val="24"/>
        </w:rPr>
        <w:t xml:space="preserve"> (2021),</w:t>
      </w:r>
      <w:r w:rsidRPr="00A61227">
        <w:rPr>
          <w:rFonts w:cs="Arial"/>
          <w:szCs w:val="24"/>
        </w:rPr>
        <w:t xml:space="preserve"> the DOC relied, inter alia, on an analysis of the costs of conversion of inputs sourced from Brazil into uncoated paper </w:t>
      </w:r>
      <w:r>
        <w:rPr>
          <w:rFonts w:cs="Arial"/>
          <w:szCs w:val="24"/>
        </w:rPr>
        <w:t xml:space="preserve">sold in </w:t>
      </w:r>
      <w:r w:rsidRPr="00A61227">
        <w:rPr>
          <w:rFonts w:cs="Arial"/>
          <w:szCs w:val="24"/>
        </w:rPr>
        <w:t xml:space="preserve">the </w:t>
      </w:r>
      <w:r>
        <w:rPr>
          <w:rFonts w:cs="Arial"/>
          <w:szCs w:val="24"/>
        </w:rPr>
        <w:t>United States</w:t>
      </w:r>
      <w:r w:rsidRPr="00A61227">
        <w:rPr>
          <w:rFonts w:cs="Arial"/>
          <w:szCs w:val="24"/>
        </w:rPr>
        <w:t xml:space="preserve"> and found these to be a small proportion of </w:t>
      </w:r>
      <w:r>
        <w:rPr>
          <w:rFonts w:cs="Arial"/>
          <w:szCs w:val="24"/>
        </w:rPr>
        <w:t xml:space="preserve">the </w:t>
      </w:r>
      <w:r w:rsidRPr="00A61227">
        <w:rPr>
          <w:rFonts w:cs="Arial"/>
          <w:szCs w:val="24"/>
        </w:rPr>
        <w:t xml:space="preserve">sales value. The DOC also compared the levels of investment required in the </w:t>
      </w:r>
      <w:r>
        <w:rPr>
          <w:rFonts w:cs="Arial"/>
          <w:szCs w:val="24"/>
        </w:rPr>
        <w:t>United States</w:t>
      </w:r>
      <w:r w:rsidRPr="00A61227">
        <w:rPr>
          <w:rFonts w:cs="Arial"/>
          <w:szCs w:val="24"/>
        </w:rPr>
        <w:t xml:space="preserve"> to investment required in Brazil to produce the inputs and deemed the former to be insignificant. On that basis</w:t>
      </w:r>
      <w:r>
        <w:rPr>
          <w:rFonts w:cs="Arial"/>
          <w:szCs w:val="24"/>
        </w:rPr>
        <w:t>,</w:t>
      </w:r>
      <w:r w:rsidRPr="00A61227">
        <w:rPr>
          <w:rFonts w:cs="Arial"/>
          <w:szCs w:val="24"/>
        </w:rPr>
        <w:t xml:space="preserve"> the DOC concluded that the processing was minor or insignificant.</w:t>
      </w:r>
      <w:r>
        <w:rPr>
          <w:rStyle w:val="FootnoteReference"/>
          <w:rFonts w:cs="Arial"/>
          <w:szCs w:val="24"/>
        </w:rPr>
        <w:footnoteReference w:id="103"/>
      </w:r>
    </w:p>
    <w:p w14:paraId="346393BB" w14:textId="5F834F79" w:rsidR="00A21C01" w:rsidRPr="00A61227" w:rsidRDefault="00A21C01" w:rsidP="00A21C01">
      <w:pPr>
        <w:rPr>
          <w:rFonts w:cs="Arial"/>
          <w:szCs w:val="24"/>
        </w:rPr>
      </w:pPr>
      <w:r w:rsidRPr="00A61227">
        <w:rPr>
          <w:rFonts w:cs="Arial"/>
          <w:szCs w:val="24"/>
        </w:rPr>
        <w:t xml:space="preserve">In </w:t>
      </w:r>
      <w:r w:rsidR="002406F0">
        <w:rPr>
          <w:rFonts w:cs="Arial"/>
          <w:i/>
          <w:iCs/>
          <w:szCs w:val="24"/>
        </w:rPr>
        <w:t>PRC</w:t>
      </w:r>
      <w:r w:rsidRPr="00674053">
        <w:rPr>
          <w:rFonts w:cs="Arial"/>
          <w:i/>
          <w:iCs/>
          <w:szCs w:val="24"/>
        </w:rPr>
        <w:t xml:space="preserve"> – Welded Oil Country</w:t>
      </w:r>
      <w:r w:rsidRPr="00A61227">
        <w:rPr>
          <w:rFonts w:cs="Arial"/>
          <w:i/>
          <w:iCs/>
          <w:szCs w:val="24"/>
        </w:rPr>
        <w:t xml:space="preserve"> Tubular Goods</w:t>
      </w:r>
      <w:r>
        <w:rPr>
          <w:rFonts w:cs="Arial"/>
          <w:i/>
          <w:iCs/>
          <w:szCs w:val="24"/>
        </w:rPr>
        <w:t xml:space="preserve"> (OCTG)</w:t>
      </w:r>
      <w:r w:rsidRPr="00A61227">
        <w:rPr>
          <w:rFonts w:cs="Arial"/>
          <w:i/>
          <w:iCs/>
          <w:szCs w:val="24"/>
        </w:rPr>
        <w:t xml:space="preserve"> (2021</w:t>
      </w:r>
      <w:r w:rsidRPr="00A61227">
        <w:rPr>
          <w:rFonts w:cs="Arial"/>
          <w:szCs w:val="24"/>
        </w:rPr>
        <w:t>)</w:t>
      </w:r>
      <w:r>
        <w:rPr>
          <w:rFonts w:cs="Arial"/>
          <w:szCs w:val="24"/>
        </w:rPr>
        <w:t>,</w:t>
      </w:r>
      <w:r w:rsidRPr="00A61227">
        <w:rPr>
          <w:rFonts w:cs="Arial"/>
          <w:szCs w:val="24"/>
        </w:rPr>
        <w:t xml:space="preserve"> the issue was possible circumvention via Brunei and the Philippines. </w:t>
      </w:r>
      <w:r>
        <w:rPr>
          <w:rFonts w:cs="Arial"/>
          <w:szCs w:val="24"/>
        </w:rPr>
        <w:t xml:space="preserve">The </w:t>
      </w:r>
      <w:r w:rsidRPr="00A61227">
        <w:rPr>
          <w:rFonts w:cs="Arial"/>
          <w:szCs w:val="24"/>
        </w:rPr>
        <w:t xml:space="preserve">DOC compared investment in OCTG in Brunei and the Philippines with integrated steel operations in </w:t>
      </w:r>
      <w:r w:rsidR="002406F0">
        <w:rPr>
          <w:rFonts w:cs="Arial"/>
          <w:szCs w:val="24"/>
        </w:rPr>
        <w:t>PRC</w:t>
      </w:r>
      <w:r w:rsidRPr="00A61227">
        <w:rPr>
          <w:rFonts w:cs="Arial"/>
          <w:szCs w:val="24"/>
        </w:rPr>
        <w:t xml:space="preserve"> (as opposed to OCGT in </w:t>
      </w:r>
      <w:r w:rsidR="002406F0">
        <w:rPr>
          <w:rFonts w:cs="Arial"/>
          <w:szCs w:val="24"/>
        </w:rPr>
        <w:t>PRC</w:t>
      </w:r>
      <w:r w:rsidRPr="00A61227">
        <w:rPr>
          <w:rFonts w:cs="Arial"/>
          <w:szCs w:val="24"/>
        </w:rPr>
        <w:t xml:space="preserve">). </w:t>
      </w:r>
      <w:r>
        <w:rPr>
          <w:rFonts w:cs="Arial"/>
          <w:szCs w:val="24"/>
        </w:rPr>
        <w:t xml:space="preserve">The </w:t>
      </w:r>
      <w:r w:rsidRPr="00A61227">
        <w:rPr>
          <w:rFonts w:cs="Arial"/>
          <w:szCs w:val="24"/>
        </w:rPr>
        <w:t>DOC used OECD data to calculate benchmark costs for integrated steel. Because the costs of integrated operations far outweigh OCGT</w:t>
      </w:r>
      <w:r>
        <w:rPr>
          <w:rFonts w:cs="Arial"/>
          <w:szCs w:val="24"/>
        </w:rPr>
        <w:t xml:space="preserve"> production</w:t>
      </w:r>
      <w:r w:rsidRPr="00A61227">
        <w:rPr>
          <w:rFonts w:cs="Arial"/>
          <w:szCs w:val="24"/>
        </w:rPr>
        <w:t xml:space="preserve">, the processing was deemed to be insignificant. </w:t>
      </w:r>
      <w:r>
        <w:rPr>
          <w:rFonts w:cs="Arial"/>
          <w:szCs w:val="24"/>
        </w:rPr>
        <w:t xml:space="preserve">The </w:t>
      </w:r>
      <w:r w:rsidRPr="00A61227">
        <w:rPr>
          <w:rFonts w:cs="Arial"/>
          <w:szCs w:val="24"/>
        </w:rPr>
        <w:t>DOC recognised that OCGT producers did not need to have integrated hot</w:t>
      </w:r>
      <w:r>
        <w:rPr>
          <w:rFonts w:cs="Arial"/>
          <w:szCs w:val="24"/>
        </w:rPr>
        <w:t>-</w:t>
      </w:r>
      <w:r w:rsidRPr="00A61227">
        <w:rPr>
          <w:rFonts w:cs="Arial"/>
          <w:szCs w:val="24"/>
        </w:rPr>
        <w:t>rolled steel operations, but argued that</w:t>
      </w:r>
      <w:r>
        <w:rPr>
          <w:rFonts w:cs="Arial"/>
          <w:szCs w:val="24"/>
        </w:rPr>
        <w:t>,</w:t>
      </w:r>
      <w:r w:rsidRPr="00A61227">
        <w:rPr>
          <w:rFonts w:cs="Arial"/>
          <w:szCs w:val="24"/>
        </w:rPr>
        <w:t xml:space="preserve"> in the context of circumvention inquiries</w:t>
      </w:r>
      <w:r>
        <w:rPr>
          <w:rFonts w:cs="Arial"/>
          <w:szCs w:val="24"/>
        </w:rPr>
        <w:t>,</w:t>
      </w:r>
      <w:r w:rsidRPr="00A61227">
        <w:rPr>
          <w:rFonts w:cs="Arial"/>
          <w:szCs w:val="24"/>
        </w:rPr>
        <w:t xml:space="preserve"> this was relevant to whether a producer would move operations across border</w:t>
      </w:r>
      <w:r>
        <w:rPr>
          <w:rFonts w:cs="Arial"/>
          <w:szCs w:val="24"/>
        </w:rPr>
        <w:t>s</w:t>
      </w:r>
      <w:r w:rsidRPr="00A61227">
        <w:rPr>
          <w:rFonts w:cs="Arial"/>
          <w:szCs w:val="24"/>
        </w:rPr>
        <w:t xml:space="preserve"> to avoid duties. </w:t>
      </w:r>
      <w:r>
        <w:rPr>
          <w:rFonts w:cs="Arial"/>
          <w:szCs w:val="24"/>
        </w:rPr>
        <w:t xml:space="preserve">This is because they believed that moving only a fraction of operations across borders was more consistent with circumvention. </w:t>
      </w:r>
      <w:r w:rsidR="002406F0">
        <w:rPr>
          <w:rFonts w:cs="Arial"/>
          <w:i/>
          <w:iCs/>
          <w:szCs w:val="24"/>
        </w:rPr>
        <w:t>PRC</w:t>
      </w:r>
      <w:r w:rsidRPr="00A61227">
        <w:rPr>
          <w:rFonts w:cs="Arial"/>
          <w:i/>
          <w:iCs/>
          <w:szCs w:val="24"/>
        </w:rPr>
        <w:t xml:space="preserve">-Certain </w:t>
      </w:r>
      <w:r>
        <w:rPr>
          <w:rFonts w:cs="Arial"/>
          <w:i/>
          <w:iCs/>
          <w:szCs w:val="24"/>
        </w:rPr>
        <w:t>C</w:t>
      </w:r>
      <w:r w:rsidRPr="00A61227">
        <w:rPr>
          <w:rFonts w:cs="Arial"/>
          <w:i/>
          <w:iCs/>
          <w:szCs w:val="24"/>
        </w:rPr>
        <w:t xml:space="preserve">orrosion </w:t>
      </w:r>
      <w:r>
        <w:rPr>
          <w:rFonts w:cs="Arial"/>
          <w:i/>
          <w:iCs/>
          <w:szCs w:val="24"/>
        </w:rPr>
        <w:t>R</w:t>
      </w:r>
      <w:r w:rsidRPr="00A61227">
        <w:rPr>
          <w:rFonts w:cs="Arial"/>
          <w:i/>
          <w:iCs/>
          <w:szCs w:val="24"/>
        </w:rPr>
        <w:t>esistan</w:t>
      </w:r>
      <w:r>
        <w:rPr>
          <w:rFonts w:cs="Arial"/>
          <w:i/>
          <w:iCs/>
          <w:szCs w:val="24"/>
        </w:rPr>
        <w:t>t</w:t>
      </w:r>
      <w:r w:rsidRPr="00A61227">
        <w:rPr>
          <w:rFonts w:cs="Arial"/>
          <w:i/>
          <w:iCs/>
          <w:szCs w:val="24"/>
        </w:rPr>
        <w:t xml:space="preserve"> </w:t>
      </w:r>
      <w:r>
        <w:rPr>
          <w:rFonts w:cs="Arial"/>
          <w:i/>
          <w:iCs/>
          <w:szCs w:val="24"/>
        </w:rPr>
        <w:t>S</w:t>
      </w:r>
      <w:r w:rsidRPr="00A61227">
        <w:rPr>
          <w:rFonts w:cs="Arial"/>
          <w:i/>
          <w:iCs/>
          <w:szCs w:val="24"/>
        </w:rPr>
        <w:t>teel (2019</w:t>
      </w:r>
      <w:r w:rsidRPr="00A61227">
        <w:rPr>
          <w:rFonts w:cs="Arial"/>
          <w:szCs w:val="24"/>
        </w:rPr>
        <w:t>) used a similar methodology to determine circumvention via the UAE</w:t>
      </w:r>
      <w:r>
        <w:rPr>
          <w:rFonts w:cs="Arial"/>
          <w:szCs w:val="24"/>
        </w:rPr>
        <w:t>.</w:t>
      </w:r>
      <w:r>
        <w:rPr>
          <w:rStyle w:val="FootnoteReference"/>
          <w:rFonts w:cs="Arial"/>
          <w:szCs w:val="24"/>
        </w:rPr>
        <w:footnoteReference w:id="104"/>
      </w:r>
    </w:p>
    <w:p w14:paraId="6B273D08" w14:textId="6EEC9BD9" w:rsidR="00A21C01" w:rsidRPr="00A61227" w:rsidRDefault="00A21C01" w:rsidP="00A21C01">
      <w:pPr>
        <w:rPr>
          <w:rFonts w:cs="Arial"/>
          <w:szCs w:val="24"/>
        </w:rPr>
      </w:pPr>
      <w:r w:rsidRPr="00A61227">
        <w:rPr>
          <w:rFonts w:cs="Arial"/>
          <w:szCs w:val="24"/>
        </w:rPr>
        <w:t xml:space="preserve">In </w:t>
      </w:r>
      <w:r w:rsidR="002406F0">
        <w:rPr>
          <w:rFonts w:cs="Arial"/>
          <w:i/>
          <w:iCs/>
          <w:szCs w:val="24"/>
        </w:rPr>
        <w:t>PRC</w:t>
      </w:r>
      <w:r w:rsidRPr="00A61227">
        <w:rPr>
          <w:rFonts w:cs="Arial"/>
          <w:i/>
          <w:iCs/>
          <w:szCs w:val="24"/>
        </w:rPr>
        <w:t>-Small Graphic Electrodes (2012</w:t>
      </w:r>
      <w:r w:rsidRPr="00A61227">
        <w:rPr>
          <w:rFonts w:cs="Arial"/>
          <w:szCs w:val="24"/>
        </w:rPr>
        <w:t>)</w:t>
      </w:r>
      <w:r>
        <w:rPr>
          <w:rFonts w:cs="Arial"/>
          <w:szCs w:val="24"/>
        </w:rPr>
        <w:t>,</w:t>
      </w:r>
      <w:r w:rsidRPr="00A61227">
        <w:rPr>
          <w:rFonts w:cs="Arial"/>
          <w:szCs w:val="24"/>
        </w:rPr>
        <w:t xml:space="preserve"> </w:t>
      </w:r>
      <w:r>
        <w:rPr>
          <w:rFonts w:cs="Arial"/>
          <w:szCs w:val="24"/>
        </w:rPr>
        <w:t xml:space="preserve">the </w:t>
      </w:r>
      <w:r w:rsidRPr="00A61227">
        <w:rPr>
          <w:rFonts w:cs="Arial"/>
          <w:szCs w:val="24"/>
        </w:rPr>
        <w:t>DOC considered the qualitative nature of the process in the third country, the level of investment, research and development, and the production facilities. It calculated the value</w:t>
      </w:r>
      <w:r>
        <w:rPr>
          <w:rFonts w:cs="Arial"/>
          <w:szCs w:val="24"/>
        </w:rPr>
        <w:t xml:space="preserve"> </w:t>
      </w:r>
      <w:r w:rsidRPr="00A61227">
        <w:rPr>
          <w:rFonts w:cs="Arial"/>
          <w:szCs w:val="24"/>
        </w:rPr>
        <w:t>added in the third country by adding the cost of processing and amounts for general, selling and administrative expenses, interest expense</w:t>
      </w:r>
      <w:r>
        <w:rPr>
          <w:rFonts w:cs="Arial"/>
          <w:szCs w:val="24"/>
        </w:rPr>
        <w:t>s</w:t>
      </w:r>
      <w:r w:rsidRPr="00A61227">
        <w:rPr>
          <w:rFonts w:cs="Arial"/>
          <w:szCs w:val="24"/>
        </w:rPr>
        <w:t xml:space="preserve"> and profit.</w:t>
      </w:r>
      <w:r>
        <w:rPr>
          <w:rStyle w:val="FootnoteReference"/>
          <w:rFonts w:cs="Arial"/>
          <w:szCs w:val="24"/>
        </w:rPr>
        <w:footnoteReference w:id="105"/>
      </w:r>
    </w:p>
    <w:p w14:paraId="5B5D3C6A" w14:textId="23CB2113" w:rsidR="00A21C01" w:rsidRPr="00A61227" w:rsidRDefault="00A21C01" w:rsidP="00A21C01">
      <w:pPr>
        <w:rPr>
          <w:rFonts w:cs="Arial"/>
          <w:szCs w:val="24"/>
        </w:rPr>
      </w:pPr>
      <w:r>
        <w:rPr>
          <w:rFonts w:cs="Arial"/>
          <w:szCs w:val="24"/>
        </w:rPr>
        <w:t xml:space="preserve">In </w:t>
      </w:r>
      <w:r w:rsidRPr="00A61227">
        <w:rPr>
          <w:rFonts w:cs="Arial"/>
          <w:i/>
          <w:iCs/>
          <w:szCs w:val="24"/>
        </w:rPr>
        <w:t>UAE – Pet Film (2015),</w:t>
      </w:r>
      <w:r w:rsidRPr="00A61227">
        <w:rPr>
          <w:rFonts w:cs="Arial"/>
          <w:szCs w:val="24"/>
        </w:rPr>
        <w:t xml:space="preserve"> </w:t>
      </w:r>
      <w:r>
        <w:rPr>
          <w:rFonts w:cs="Arial"/>
          <w:szCs w:val="24"/>
        </w:rPr>
        <w:t xml:space="preserve">the </w:t>
      </w:r>
      <w:r w:rsidRPr="00A61227">
        <w:rPr>
          <w:rFonts w:cs="Arial"/>
          <w:szCs w:val="24"/>
        </w:rPr>
        <w:t xml:space="preserve">DOC compared the investment level in the third country with the investment levels in the </w:t>
      </w:r>
      <w:r>
        <w:rPr>
          <w:rFonts w:cs="Arial"/>
          <w:szCs w:val="24"/>
        </w:rPr>
        <w:t>United Arab Emirates (</w:t>
      </w:r>
      <w:r w:rsidRPr="00A61227">
        <w:rPr>
          <w:rFonts w:cs="Arial"/>
          <w:szCs w:val="24"/>
        </w:rPr>
        <w:t>UAE</w:t>
      </w:r>
      <w:r>
        <w:rPr>
          <w:rFonts w:cs="Arial"/>
          <w:szCs w:val="24"/>
        </w:rPr>
        <w:t>)</w:t>
      </w:r>
      <w:r w:rsidRPr="00A61227">
        <w:rPr>
          <w:rFonts w:cs="Arial"/>
          <w:szCs w:val="24"/>
        </w:rPr>
        <w:t xml:space="preserve">. In determining value added, </w:t>
      </w:r>
      <w:r>
        <w:rPr>
          <w:rFonts w:cs="Arial"/>
          <w:szCs w:val="24"/>
        </w:rPr>
        <w:t xml:space="preserve">the </w:t>
      </w:r>
      <w:r w:rsidRPr="00A61227">
        <w:rPr>
          <w:rFonts w:cs="Arial"/>
          <w:szCs w:val="24"/>
        </w:rPr>
        <w:t>DOC deducted all inputs from the UAE or countries other than the country of assembly</w:t>
      </w:r>
      <w:r>
        <w:rPr>
          <w:rFonts w:cs="Arial"/>
          <w:szCs w:val="24"/>
        </w:rPr>
        <w:t>.</w:t>
      </w:r>
      <w:r>
        <w:rPr>
          <w:rStyle w:val="FootnoteReference"/>
          <w:rFonts w:cs="Arial"/>
          <w:szCs w:val="24"/>
        </w:rPr>
        <w:footnoteReference w:id="106"/>
      </w:r>
    </w:p>
    <w:p w14:paraId="22E3868D" w14:textId="7051B52C" w:rsidR="00A21C01" w:rsidRDefault="00A21C01" w:rsidP="00A21C01">
      <w:pPr>
        <w:pStyle w:val="Heading4"/>
        <w:rPr>
          <w:rFonts w:cs="Arial"/>
          <w:szCs w:val="24"/>
        </w:rPr>
      </w:pPr>
      <w:r w:rsidRPr="002E6C3C">
        <w:rPr>
          <w:rFonts w:cs="Arial"/>
          <w:szCs w:val="24"/>
        </w:rPr>
        <w:t>Cases in relation to scenarios 3 and 4 (</w:t>
      </w:r>
      <w:r>
        <w:rPr>
          <w:rFonts w:cs="Arial"/>
          <w:szCs w:val="24"/>
        </w:rPr>
        <w:t>m</w:t>
      </w:r>
      <w:r w:rsidRPr="002E6C3C">
        <w:rPr>
          <w:rFonts w:cs="Arial"/>
          <w:szCs w:val="24"/>
        </w:rPr>
        <w:t xml:space="preserve">inor alterations </w:t>
      </w:r>
      <w:r w:rsidRPr="002C2279">
        <w:rPr>
          <w:rFonts w:cs="Arial"/>
          <w:szCs w:val="24"/>
        </w:rPr>
        <w:t>and later-developed</w:t>
      </w:r>
      <w:r w:rsidRPr="002E6C3C">
        <w:rPr>
          <w:rFonts w:cs="Arial"/>
          <w:szCs w:val="24"/>
        </w:rPr>
        <w:t xml:space="preserve"> merchandise)</w:t>
      </w:r>
    </w:p>
    <w:p w14:paraId="0DAD931C" w14:textId="48415E26" w:rsidR="00A21C01" w:rsidRPr="007F7394" w:rsidRDefault="00A21C01" w:rsidP="00A21C01">
      <w:pPr>
        <w:rPr>
          <w:rFonts w:cs="Arial"/>
          <w:szCs w:val="24"/>
        </w:rPr>
      </w:pPr>
      <w:r>
        <w:rPr>
          <w:rFonts w:cs="Arial"/>
          <w:szCs w:val="24"/>
        </w:rPr>
        <w:t xml:space="preserve">In </w:t>
      </w:r>
      <w:r w:rsidRPr="007F7394">
        <w:rPr>
          <w:rFonts w:cs="Arial"/>
          <w:i/>
          <w:iCs/>
          <w:szCs w:val="24"/>
        </w:rPr>
        <w:t>Mexico –</w:t>
      </w:r>
      <w:r>
        <w:rPr>
          <w:rFonts w:cs="Arial"/>
          <w:i/>
          <w:iCs/>
          <w:szCs w:val="24"/>
        </w:rPr>
        <w:t xml:space="preserve"> S</w:t>
      </w:r>
      <w:r w:rsidRPr="007F7394">
        <w:rPr>
          <w:rFonts w:cs="Arial"/>
          <w:i/>
          <w:iCs/>
          <w:szCs w:val="24"/>
        </w:rPr>
        <w:t xml:space="preserve">teel </w:t>
      </w:r>
      <w:r>
        <w:rPr>
          <w:rFonts w:cs="Arial"/>
          <w:i/>
          <w:iCs/>
          <w:szCs w:val="24"/>
        </w:rPr>
        <w:t>C</w:t>
      </w:r>
      <w:r w:rsidRPr="007F7394">
        <w:rPr>
          <w:rFonts w:cs="Arial"/>
          <w:i/>
          <w:iCs/>
          <w:szCs w:val="24"/>
        </w:rPr>
        <w:t xml:space="preserve">oncrete </w:t>
      </w:r>
      <w:r>
        <w:rPr>
          <w:rFonts w:cs="Arial"/>
          <w:i/>
          <w:iCs/>
          <w:szCs w:val="24"/>
        </w:rPr>
        <w:t>R</w:t>
      </w:r>
      <w:r w:rsidRPr="007F7394">
        <w:rPr>
          <w:rFonts w:cs="Arial"/>
          <w:i/>
          <w:iCs/>
          <w:szCs w:val="24"/>
        </w:rPr>
        <w:t xml:space="preserve">einforcing </w:t>
      </w:r>
      <w:r>
        <w:rPr>
          <w:rFonts w:cs="Arial"/>
          <w:i/>
          <w:iCs/>
          <w:szCs w:val="24"/>
        </w:rPr>
        <w:t>B</w:t>
      </w:r>
      <w:r w:rsidRPr="007F7394">
        <w:rPr>
          <w:rFonts w:cs="Arial"/>
          <w:i/>
          <w:iCs/>
          <w:szCs w:val="24"/>
        </w:rPr>
        <w:t>ar (2020),</w:t>
      </w:r>
      <w:r w:rsidRPr="007F7394">
        <w:rPr>
          <w:rFonts w:cs="Arial"/>
          <w:szCs w:val="24"/>
        </w:rPr>
        <w:t xml:space="preserve"> </w:t>
      </w:r>
      <w:r>
        <w:rPr>
          <w:rFonts w:cs="Arial"/>
          <w:szCs w:val="24"/>
        </w:rPr>
        <w:t xml:space="preserve">an </w:t>
      </w:r>
      <w:r w:rsidRPr="007F7394">
        <w:rPr>
          <w:rFonts w:cs="Arial"/>
          <w:szCs w:val="24"/>
        </w:rPr>
        <w:t>assessment of expectations of users and of actual end</w:t>
      </w:r>
      <w:r>
        <w:rPr>
          <w:rFonts w:cs="Arial"/>
          <w:szCs w:val="24"/>
        </w:rPr>
        <w:t>-</w:t>
      </w:r>
      <w:r w:rsidRPr="007F7394">
        <w:rPr>
          <w:rFonts w:cs="Arial"/>
          <w:szCs w:val="24"/>
        </w:rPr>
        <w:t xml:space="preserve">use supported </w:t>
      </w:r>
      <w:r>
        <w:rPr>
          <w:rFonts w:cs="Arial"/>
          <w:szCs w:val="24"/>
        </w:rPr>
        <w:t xml:space="preserve">the </w:t>
      </w:r>
      <w:r w:rsidRPr="007F7394">
        <w:rPr>
          <w:rFonts w:cs="Arial"/>
          <w:szCs w:val="24"/>
        </w:rPr>
        <w:t xml:space="preserve">DOC view that alterations were minor. </w:t>
      </w:r>
      <w:r>
        <w:rPr>
          <w:rFonts w:cs="Arial"/>
          <w:szCs w:val="24"/>
        </w:rPr>
        <w:t xml:space="preserve">The </w:t>
      </w:r>
      <w:r w:rsidRPr="007F7394">
        <w:rPr>
          <w:rFonts w:cs="Arial"/>
          <w:szCs w:val="24"/>
        </w:rPr>
        <w:t>DOC found that there were significant differences in production costs</w:t>
      </w:r>
      <w:r>
        <w:rPr>
          <w:rFonts w:cs="Arial"/>
          <w:szCs w:val="24"/>
        </w:rPr>
        <w:t>.</w:t>
      </w:r>
      <w:r w:rsidRPr="007F7394">
        <w:rPr>
          <w:rFonts w:cs="Arial"/>
          <w:szCs w:val="24"/>
        </w:rPr>
        <w:t xml:space="preserve"> </w:t>
      </w:r>
      <w:r>
        <w:rPr>
          <w:rFonts w:cs="Arial"/>
          <w:szCs w:val="24"/>
        </w:rPr>
        <w:t>But,</w:t>
      </w:r>
      <w:r w:rsidRPr="007F7394" w:rsidDel="004C084A">
        <w:rPr>
          <w:rFonts w:cs="Arial"/>
          <w:szCs w:val="24"/>
        </w:rPr>
        <w:t xml:space="preserve"> </w:t>
      </w:r>
      <w:r>
        <w:rPr>
          <w:rFonts w:cs="Arial"/>
          <w:szCs w:val="24"/>
        </w:rPr>
        <w:t>as</w:t>
      </w:r>
      <w:r w:rsidRPr="007F7394">
        <w:rPr>
          <w:rFonts w:cs="Arial"/>
          <w:szCs w:val="24"/>
        </w:rPr>
        <w:t xml:space="preserve"> the </w:t>
      </w:r>
      <w:r>
        <w:rPr>
          <w:rFonts w:cs="Arial"/>
          <w:szCs w:val="24"/>
        </w:rPr>
        <w:t xml:space="preserve">Omnibus Trade and Competitiveness </w:t>
      </w:r>
      <w:r w:rsidRPr="007F7394">
        <w:rPr>
          <w:rFonts w:cs="Arial"/>
          <w:szCs w:val="24"/>
        </w:rPr>
        <w:t xml:space="preserve">Act gave </w:t>
      </w:r>
      <w:r>
        <w:rPr>
          <w:rFonts w:cs="Arial"/>
          <w:szCs w:val="24"/>
        </w:rPr>
        <w:t xml:space="preserve">the </w:t>
      </w:r>
      <w:r w:rsidRPr="007F7394">
        <w:rPr>
          <w:rFonts w:cs="Arial"/>
          <w:szCs w:val="24"/>
        </w:rPr>
        <w:t xml:space="preserve">DOC flexibility </w:t>
      </w:r>
      <w:r>
        <w:rPr>
          <w:rFonts w:cs="Arial"/>
          <w:szCs w:val="24"/>
        </w:rPr>
        <w:t>in</w:t>
      </w:r>
      <w:r w:rsidRPr="007F7394">
        <w:rPr>
          <w:rFonts w:cs="Arial"/>
          <w:szCs w:val="24"/>
        </w:rPr>
        <w:t xml:space="preserve"> how to consider minor alterations, this </w:t>
      </w:r>
      <w:r>
        <w:rPr>
          <w:rFonts w:cs="Arial"/>
          <w:szCs w:val="24"/>
        </w:rPr>
        <w:t>was seen as insufficient</w:t>
      </w:r>
      <w:r w:rsidRPr="007F7394">
        <w:rPr>
          <w:rFonts w:cs="Arial"/>
          <w:szCs w:val="24"/>
        </w:rPr>
        <w:t xml:space="preserve"> to overturn the </w:t>
      </w:r>
      <w:r>
        <w:rPr>
          <w:rFonts w:cs="Arial"/>
          <w:szCs w:val="24"/>
        </w:rPr>
        <w:t>finding</w:t>
      </w:r>
      <w:r w:rsidRPr="007F7394">
        <w:rPr>
          <w:rFonts w:cs="Arial"/>
          <w:szCs w:val="24"/>
        </w:rPr>
        <w:t>s</w:t>
      </w:r>
      <w:r>
        <w:rPr>
          <w:rFonts w:cs="Arial"/>
          <w:szCs w:val="24"/>
        </w:rPr>
        <w:t xml:space="preserve"> based on an assessment of demand-side factors, i.e. that the alterations were not significant from an end-use perspective. On this basis, the DOC concluded that switching production between types of steel concrete reinforcing bar and incurring the associated costs was not in response to specific consumer expectations but rather for the purposes of evading duties.</w:t>
      </w:r>
      <w:r>
        <w:rPr>
          <w:rStyle w:val="FootnoteReference"/>
          <w:rFonts w:cs="Arial"/>
          <w:szCs w:val="24"/>
        </w:rPr>
        <w:footnoteReference w:id="107"/>
      </w:r>
    </w:p>
    <w:p w14:paraId="56F16260" w14:textId="7D9672C8" w:rsidR="00A21C01" w:rsidRPr="007F7394" w:rsidRDefault="00A21C01" w:rsidP="00A21C01">
      <w:pPr>
        <w:rPr>
          <w:rFonts w:cs="Arial"/>
          <w:szCs w:val="24"/>
        </w:rPr>
      </w:pPr>
      <w:r w:rsidRPr="00EF4802">
        <w:rPr>
          <w:rFonts w:cs="Arial"/>
          <w:szCs w:val="24"/>
        </w:rPr>
        <w:t>In</w:t>
      </w:r>
      <w:r>
        <w:rPr>
          <w:rFonts w:cs="Arial"/>
          <w:i/>
          <w:iCs/>
          <w:szCs w:val="24"/>
        </w:rPr>
        <w:t xml:space="preserve"> </w:t>
      </w:r>
      <w:r w:rsidRPr="007F7394">
        <w:rPr>
          <w:rFonts w:cs="Arial"/>
          <w:i/>
          <w:iCs/>
          <w:szCs w:val="24"/>
        </w:rPr>
        <w:t xml:space="preserve">Mexico </w:t>
      </w:r>
      <w:r>
        <w:rPr>
          <w:rFonts w:cs="Arial"/>
          <w:i/>
          <w:iCs/>
          <w:szCs w:val="24"/>
        </w:rPr>
        <w:t>–</w:t>
      </w:r>
      <w:r w:rsidRPr="007F7394">
        <w:rPr>
          <w:rFonts w:cs="Arial"/>
          <w:i/>
          <w:iCs/>
          <w:szCs w:val="24"/>
        </w:rPr>
        <w:t xml:space="preserve"> Carbon and Certain Alloy Steel Wire Rod (2013),</w:t>
      </w:r>
      <w:r w:rsidRPr="007F7394">
        <w:rPr>
          <w:rFonts w:cs="Arial"/>
          <w:szCs w:val="24"/>
        </w:rPr>
        <w:t xml:space="preserve"> </w:t>
      </w:r>
      <w:r>
        <w:rPr>
          <w:rFonts w:cs="Arial"/>
          <w:szCs w:val="24"/>
        </w:rPr>
        <w:t>i</w:t>
      </w:r>
      <w:r w:rsidRPr="007F7394">
        <w:rPr>
          <w:rFonts w:cs="Arial"/>
          <w:szCs w:val="24"/>
        </w:rPr>
        <w:t>nitial duties applied to wire rod of greater than 5mm in diameter. The DOC investigation found that there were no commercial differences between wire rod in the range of 4.75mm to 5mm, the imports of which increased following the imposition of duties.</w:t>
      </w:r>
      <w:r>
        <w:rPr>
          <w:rStyle w:val="FootnoteReference"/>
          <w:rFonts w:cs="Arial"/>
          <w:szCs w:val="24"/>
        </w:rPr>
        <w:footnoteReference w:id="108"/>
      </w:r>
    </w:p>
    <w:p w14:paraId="0557E87A" w14:textId="25DB026B" w:rsidR="00A21C01" w:rsidRPr="007F7394" w:rsidRDefault="00A21C01" w:rsidP="00A21C01">
      <w:pPr>
        <w:rPr>
          <w:rFonts w:cs="Arial"/>
          <w:szCs w:val="24"/>
        </w:rPr>
      </w:pPr>
      <w:r w:rsidRPr="007F7394">
        <w:rPr>
          <w:rFonts w:cs="Arial"/>
          <w:szCs w:val="24"/>
        </w:rPr>
        <w:t xml:space="preserve">No finding under the </w:t>
      </w:r>
      <w:r w:rsidRPr="005745EA">
        <w:rPr>
          <w:rFonts w:cs="Arial"/>
          <w:i/>
          <w:iCs/>
          <w:szCs w:val="24"/>
        </w:rPr>
        <w:t>later-developed merchandise</w:t>
      </w:r>
      <w:r w:rsidRPr="007F7394">
        <w:rPr>
          <w:rFonts w:cs="Arial"/>
          <w:i/>
          <w:iCs/>
          <w:szCs w:val="24"/>
        </w:rPr>
        <w:t xml:space="preserve"> scenario</w:t>
      </w:r>
      <w:r w:rsidRPr="007F7394">
        <w:rPr>
          <w:rFonts w:cs="Arial"/>
          <w:szCs w:val="24"/>
        </w:rPr>
        <w:t xml:space="preserve"> has been made since 2009. In </w:t>
      </w:r>
      <w:r w:rsidR="002406F0">
        <w:rPr>
          <w:rFonts w:cs="Arial"/>
          <w:i/>
          <w:iCs/>
          <w:szCs w:val="24"/>
        </w:rPr>
        <w:t>PRC</w:t>
      </w:r>
      <w:r w:rsidRPr="007F7394">
        <w:rPr>
          <w:rFonts w:cs="Arial"/>
          <w:i/>
          <w:iCs/>
          <w:szCs w:val="24"/>
        </w:rPr>
        <w:t xml:space="preserve">-Petroleum </w:t>
      </w:r>
      <w:r>
        <w:rPr>
          <w:rFonts w:cs="Arial"/>
          <w:i/>
          <w:iCs/>
          <w:szCs w:val="24"/>
        </w:rPr>
        <w:t>W</w:t>
      </w:r>
      <w:r w:rsidRPr="007F7394">
        <w:rPr>
          <w:rFonts w:cs="Arial"/>
          <w:i/>
          <w:iCs/>
          <w:szCs w:val="24"/>
        </w:rPr>
        <w:t>a</w:t>
      </w:r>
      <w:r>
        <w:rPr>
          <w:rFonts w:cs="Arial"/>
          <w:i/>
          <w:iCs/>
          <w:szCs w:val="24"/>
        </w:rPr>
        <w:t>x</w:t>
      </w:r>
      <w:r w:rsidRPr="007F7394">
        <w:rPr>
          <w:rFonts w:cs="Arial"/>
          <w:i/>
          <w:iCs/>
          <w:szCs w:val="24"/>
        </w:rPr>
        <w:t xml:space="preserve"> </w:t>
      </w:r>
      <w:r>
        <w:rPr>
          <w:rFonts w:cs="Arial"/>
          <w:i/>
          <w:iCs/>
          <w:szCs w:val="24"/>
        </w:rPr>
        <w:t>C</w:t>
      </w:r>
      <w:r w:rsidRPr="007F7394">
        <w:rPr>
          <w:rFonts w:cs="Arial"/>
          <w:i/>
          <w:iCs/>
          <w:szCs w:val="24"/>
        </w:rPr>
        <w:t xml:space="preserve">andles (2006), </w:t>
      </w:r>
      <w:r>
        <w:rPr>
          <w:rFonts w:cs="Arial"/>
          <w:szCs w:val="24"/>
        </w:rPr>
        <w:t>the D</w:t>
      </w:r>
      <w:r w:rsidRPr="007F7394">
        <w:rPr>
          <w:rFonts w:cs="Arial"/>
          <w:szCs w:val="24"/>
        </w:rPr>
        <w:t xml:space="preserve">OC found that </w:t>
      </w:r>
      <w:r w:rsidRPr="008B0CA3">
        <w:rPr>
          <w:rFonts w:cs="Arial"/>
          <w:i/>
          <w:iCs/>
          <w:szCs w:val="24"/>
        </w:rPr>
        <w:t xml:space="preserve">vegetable </w:t>
      </w:r>
      <w:r w:rsidRPr="007F7394">
        <w:rPr>
          <w:rFonts w:cs="Arial"/>
          <w:szCs w:val="24"/>
        </w:rPr>
        <w:t>wax candles were a later development, in the sense that commercialisation took place after the imposition of duties, and that expectations and end-use were substantially the same</w:t>
      </w:r>
      <w:r>
        <w:rPr>
          <w:rFonts w:cs="Arial"/>
          <w:szCs w:val="24"/>
        </w:rPr>
        <w:t xml:space="preserve"> as for petroleum wax candles, leading the DOC to impose duties</w:t>
      </w:r>
      <w:r w:rsidRPr="007F7394">
        <w:rPr>
          <w:rFonts w:cs="Arial"/>
          <w:szCs w:val="24"/>
        </w:rPr>
        <w:t>.</w:t>
      </w:r>
      <w:r>
        <w:rPr>
          <w:rStyle w:val="FootnoteReference"/>
          <w:rFonts w:cs="Arial"/>
          <w:szCs w:val="24"/>
        </w:rPr>
        <w:footnoteReference w:id="109"/>
      </w:r>
      <w:r w:rsidRPr="007F7394">
        <w:rPr>
          <w:rFonts w:cs="Arial"/>
          <w:szCs w:val="24"/>
        </w:rPr>
        <w:t xml:space="preserve">  </w:t>
      </w:r>
    </w:p>
    <w:p w14:paraId="187E3D81" w14:textId="695907BD" w:rsidR="00A21C01" w:rsidRPr="00834C11" w:rsidRDefault="00A21C01" w:rsidP="0B87AE61">
      <w:pPr>
        <w:pStyle w:val="Heading3"/>
        <w:rPr>
          <w:rFonts w:cs="Arial"/>
          <w:b w:val="0"/>
        </w:rPr>
      </w:pPr>
      <w:bookmarkStart w:id="157" w:name="_Toc290716863"/>
      <w:bookmarkStart w:id="158" w:name="_Toc118465312"/>
      <w:r w:rsidRPr="0B87AE61">
        <w:rPr>
          <w:rFonts w:cs="Arial"/>
        </w:rPr>
        <w:t>Key descriptive statistics concerning United States anti-circumvention cases</w:t>
      </w:r>
      <w:bookmarkEnd w:id="157"/>
      <w:bookmarkEnd w:id="158"/>
    </w:p>
    <w:p w14:paraId="3E0A45A5" w14:textId="382A55CC" w:rsidR="00A21C01" w:rsidRDefault="009D744D" w:rsidP="00A21C01">
      <w:pPr>
        <w:rPr>
          <w:rFonts w:cs="Arial"/>
          <w:szCs w:val="24"/>
        </w:rPr>
      </w:pPr>
      <w:r>
        <w:rPr>
          <w:rFonts w:cs="Arial"/>
          <w:szCs w:val="24"/>
        </w:rPr>
        <w:fldChar w:fldCharType="begin"/>
      </w:r>
      <w:r>
        <w:rPr>
          <w:rFonts w:cs="Arial"/>
          <w:szCs w:val="24"/>
        </w:rPr>
        <w:instrText xml:space="preserve"> REF _Ref103869851 \h </w:instrText>
      </w:r>
      <w:r>
        <w:rPr>
          <w:rFonts w:cs="Arial"/>
          <w:szCs w:val="24"/>
        </w:rPr>
      </w:r>
      <w:r>
        <w:rPr>
          <w:rFonts w:cs="Arial"/>
          <w:szCs w:val="24"/>
        </w:rPr>
        <w:fldChar w:fldCharType="separate"/>
      </w:r>
      <w:r w:rsidR="003B27AB" w:rsidRPr="00EF4802">
        <w:t xml:space="preserve">Table </w:t>
      </w:r>
      <w:r w:rsidR="003B27AB">
        <w:rPr>
          <w:noProof/>
        </w:rPr>
        <w:t>10</w:t>
      </w:r>
      <w:r>
        <w:rPr>
          <w:rFonts w:cs="Arial"/>
          <w:szCs w:val="24"/>
        </w:rPr>
        <w:fldChar w:fldCharType="end"/>
      </w:r>
      <w:r>
        <w:rPr>
          <w:rFonts w:cs="Arial"/>
          <w:szCs w:val="24"/>
        </w:rPr>
        <w:t xml:space="preserve"> </w:t>
      </w:r>
      <w:r w:rsidR="00A21C01">
        <w:rPr>
          <w:rFonts w:cs="Arial"/>
          <w:szCs w:val="24"/>
        </w:rPr>
        <w:t>provides an overview of anti-circumvention cases since 2009 in which the United State imposed duties. We provide information on the type of product and the country (“circumventor”) covered by the original trade remedy investigation, the mode of circumvention, the countries targeted by circumvention duties, and the HS codes of products covered by the circumvention case and on which countries duties were levied.</w:t>
      </w:r>
    </w:p>
    <w:p w14:paraId="2B1EA53B" w14:textId="77777777" w:rsidR="00A21C01" w:rsidRDefault="00A21C01" w:rsidP="00A21C01">
      <w:pPr>
        <w:rPr>
          <w:rFonts w:cs="Arial"/>
          <w:szCs w:val="24"/>
        </w:rPr>
        <w:sectPr w:rsidR="00A21C01" w:rsidSect="00F21AB1">
          <w:pgSz w:w="11906" w:h="16838"/>
          <w:pgMar w:top="1440" w:right="1440" w:bottom="1440" w:left="1440" w:header="708" w:footer="708" w:gutter="0"/>
          <w:cols w:space="708"/>
          <w:docGrid w:linePitch="360"/>
        </w:sectPr>
      </w:pPr>
    </w:p>
    <w:p w14:paraId="51B59D8D" w14:textId="140D9C3C" w:rsidR="00A21C01" w:rsidRPr="008C4920" w:rsidRDefault="00A21C01" w:rsidP="00A21C01">
      <w:pPr>
        <w:pStyle w:val="Caption"/>
        <w:rPr>
          <w:rFonts w:cs="Arial"/>
          <w:b w:val="0"/>
          <w:bCs/>
          <w:iCs w:val="0"/>
          <w:szCs w:val="24"/>
        </w:rPr>
      </w:pPr>
      <w:bookmarkStart w:id="159" w:name="_Ref103869851"/>
      <w:bookmarkStart w:id="160" w:name="_Ref94814985"/>
      <w:r w:rsidRPr="00EF4802">
        <w:rPr>
          <w:iCs w:val="0"/>
        </w:rPr>
        <w:t xml:space="preserve">Table </w:t>
      </w:r>
      <w:r w:rsidRPr="00EF4802">
        <w:rPr>
          <w:iCs w:val="0"/>
        </w:rPr>
        <w:fldChar w:fldCharType="begin"/>
      </w:r>
      <w:r w:rsidRPr="00EF4802">
        <w:rPr>
          <w:iCs w:val="0"/>
        </w:rPr>
        <w:instrText xml:space="preserve"> SEQ Table \* ARABIC </w:instrText>
      </w:r>
      <w:r w:rsidRPr="00EF4802">
        <w:rPr>
          <w:iCs w:val="0"/>
        </w:rPr>
        <w:fldChar w:fldCharType="separate"/>
      </w:r>
      <w:r w:rsidR="001C580B">
        <w:rPr>
          <w:iCs w:val="0"/>
          <w:noProof/>
        </w:rPr>
        <w:t>10</w:t>
      </w:r>
      <w:r w:rsidRPr="00EF4802">
        <w:rPr>
          <w:iCs w:val="0"/>
        </w:rPr>
        <w:fldChar w:fldCharType="end"/>
      </w:r>
      <w:bookmarkEnd w:id="159"/>
      <w:r w:rsidRPr="00EF4802">
        <w:rPr>
          <w:iCs w:val="0"/>
          <w:noProof/>
        </w:rPr>
        <w:t>:</w:t>
      </w:r>
      <w:r>
        <w:rPr>
          <w:iCs w:val="0"/>
          <w:noProof/>
        </w:rPr>
        <w:t xml:space="preserve"> </w:t>
      </w:r>
      <w:r w:rsidRPr="00EF4802">
        <w:rPr>
          <w:iCs w:val="0"/>
        </w:rPr>
        <w:t>Overview of anti-circumvention cases in which duties were imposed (2009 to 2021), United States</w:t>
      </w:r>
    </w:p>
    <w:tbl>
      <w:tblPr>
        <w:tblStyle w:val="TableGrid"/>
        <w:tblW w:w="0" w:type="auto"/>
        <w:tblLayout w:type="fixed"/>
        <w:tblLook w:val="04A0" w:firstRow="1" w:lastRow="0" w:firstColumn="1" w:lastColumn="0" w:noHBand="0" w:noVBand="1"/>
      </w:tblPr>
      <w:tblGrid>
        <w:gridCol w:w="2405"/>
        <w:gridCol w:w="935"/>
        <w:gridCol w:w="1175"/>
        <w:gridCol w:w="1175"/>
        <w:gridCol w:w="1176"/>
        <w:gridCol w:w="1175"/>
        <w:gridCol w:w="1176"/>
        <w:gridCol w:w="1312"/>
        <w:gridCol w:w="3419"/>
      </w:tblGrid>
      <w:tr w:rsidR="00E72524" w:rsidRPr="00D66D81" w14:paraId="7B0E88FD" w14:textId="77777777" w:rsidTr="00A12C73">
        <w:trPr>
          <w:trHeight w:val="552"/>
        </w:trPr>
        <w:tc>
          <w:tcPr>
            <w:tcW w:w="2405" w:type="dxa"/>
            <w:vMerge w:val="restart"/>
            <w:hideMark/>
          </w:tcPr>
          <w:p w14:paraId="3F6A1140" w14:textId="4274E80A" w:rsidR="00E72524" w:rsidRPr="00D66D81" w:rsidRDefault="00E72524">
            <w:pPr>
              <w:spacing w:line="240" w:lineRule="auto"/>
              <w:rPr>
                <w:rFonts w:cs="Arial"/>
                <w:b/>
                <w:bCs/>
                <w:sz w:val="22"/>
              </w:rPr>
            </w:pPr>
            <w:r w:rsidRPr="00D66D81">
              <w:rPr>
                <w:rFonts w:cs="Arial"/>
                <w:b/>
                <w:bCs/>
                <w:sz w:val="22"/>
                <w:lang w:val="fr-CH"/>
              </w:rPr>
              <w:t>Type of product (circumventor)</w:t>
            </w:r>
          </w:p>
        </w:tc>
        <w:tc>
          <w:tcPr>
            <w:tcW w:w="935" w:type="dxa"/>
            <w:vMerge w:val="restart"/>
            <w:shd w:val="clear" w:color="auto" w:fill="DEEAF6" w:themeFill="accent5" w:themeFillTint="33"/>
            <w:hideMark/>
          </w:tcPr>
          <w:p w14:paraId="632494B9" w14:textId="77777777" w:rsidR="00E72524" w:rsidRPr="00D66D81" w:rsidRDefault="00E72524">
            <w:pPr>
              <w:spacing w:line="240" w:lineRule="auto"/>
              <w:rPr>
                <w:rFonts w:cs="Arial"/>
                <w:b/>
                <w:bCs/>
                <w:sz w:val="22"/>
              </w:rPr>
            </w:pPr>
            <w:r w:rsidRPr="00D66D81">
              <w:rPr>
                <w:rFonts w:cs="Arial"/>
                <w:b/>
                <w:bCs/>
                <w:sz w:val="22"/>
              </w:rPr>
              <w:t>Total</w:t>
            </w:r>
            <w:r w:rsidRPr="00D66D81">
              <w:rPr>
                <w:rStyle w:val="FootnoteReference"/>
                <w:rFonts w:cs="Arial"/>
                <w:b/>
                <w:bCs/>
                <w:sz w:val="22"/>
              </w:rPr>
              <w:footnoteReference w:id="110"/>
            </w:r>
          </w:p>
        </w:tc>
        <w:tc>
          <w:tcPr>
            <w:tcW w:w="5877" w:type="dxa"/>
            <w:gridSpan w:val="5"/>
          </w:tcPr>
          <w:p w14:paraId="0D6A5A32" w14:textId="19F69A6E" w:rsidR="00E72524" w:rsidRPr="00D66D81" w:rsidRDefault="00E72524">
            <w:pPr>
              <w:spacing w:line="240" w:lineRule="auto"/>
              <w:jc w:val="center"/>
              <w:rPr>
                <w:rFonts w:cs="Arial"/>
                <w:b/>
                <w:bCs/>
                <w:sz w:val="22"/>
              </w:rPr>
            </w:pPr>
            <w:r w:rsidRPr="00D66D81">
              <w:rPr>
                <w:rFonts w:cs="Arial"/>
                <w:b/>
                <w:bCs/>
                <w:sz w:val="22"/>
              </w:rPr>
              <w:t>Mode of circumvention</w:t>
            </w:r>
          </w:p>
          <w:p w14:paraId="4412F399" w14:textId="77777777" w:rsidR="00E72524" w:rsidRPr="00D66D81" w:rsidRDefault="00E72524">
            <w:pPr>
              <w:spacing w:line="240" w:lineRule="auto"/>
              <w:jc w:val="center"/>
              <w:rPr>
                <w:rFonts w:cs="Arial"/>
                <w:b/>
                <w:bCs/>
                <w:sz w:val="22"/>
              </w:rPr>
            </w:pPr>
          </w:p>
        </w:tc>
        <w:tc>
          <w:tcPr>
            <w:tcW w:w="1312" w:type="dxa"/>
            <w:vMerge w:val="restart"/>
            <w:hideMark/>
          </w:tcPr>
          <w:p w14:paraId="261820B5" w14:textId="248F3CCA" w:rsidR="00E72524" w:rsidRPr="00D66D81" w:rsidRDefault="00E72524">
            <w:pPr>
              <w:spacing w:line="240" w:lineRule="auto"/>
              <w:rPr>
                <w:rFonts w:cs="Arial"/>
                <w:b/>
                <w:bCs/>
                <w:sz w:val="22"/>
              </w:rPr>
            </w:pPr>
            <w:r w:rsidRPr="00D66D81">
              <w:rPr>
                <w:rFonts w:cs="Arial"/>
                <w:b/>
                <w:bCs/>
                <w:sz w:val="22"/>
              </w:rPr>
              <w:t>Targeted country</w:t>
            </w:r>
          </w:p>
        </w:tc>
        <w:tc>
          <w:tcPr>
            <w:tcW w:w="3419" w:type="dxa"/>
            <w:vMerge w:val="restart"/>
            <w:hideMark/>
          </w:tcPr>
          <w:p w14:paraId="06AB775B" w14:textId="44D9F064" w:rsidR="00E72524" w:rsidRPr="00D66D81" w:rsidRDefault="00E72524">
            <w:pPr>
              <w:spacing w:line="240" w:lineRule="auto"/>
              <w:rPr>
                <w:rFonts w:cs="Arial"/>
                <w:b/>
                <w:bCs/>
                <w:sz w:val="22"/>
              </w:rPr>
            </w:pPr>
            <w:r w:rsidRPr="00D66D81">
              <w:rPr>
                <w:rFonts w:cs="Arial"/>
                <w:b/>
                <w:bCs/>
                <w:sz w:val="22"/>
              </w:rPr>
              <w:t>Commodity code(s)</w:t>
            </w:r>
          </w:p>
        </w:tc>
      </w:tr>
      <w:tr w:rsidR="00D97C52" w:rsidRPr="00D66D81" w14:paraId="567B8588" w14:textId="77777777" w:rsidTr="00CB4E3D">
        <w:trPr>
          <w:trHeight w:val="552"/>
        </w:trPr>
        <w:tc>
          <w:tcPr>
            <w:tcW w:w="2405" w:type="dxa"/>
            <w:vMerge/>
          </w:tcPr>
          <w:p w14:paraId="77AA552E" w14:textId="77777777" w:rsidR="00D97C52" w:rsidRPr="00D66D81" w:rsidRDefault="00D97C52">
            <w:pPr>
              <w:spacing w:line="240" w:lineRule="auto"/>
              <w:rPr>
                <w:rFonts w:cs="Arial"/>
                <w:b/>
                <w:bCs/>
                <w:sz w:val="22"/>
                <w:lang w:val="fr-CH"/>
              </w:rPr>
            </w:pPr>
          </w:p>
        </w:tc>
        <w:tc>
          <w:tcPr>
            <w:tcW w:w="935" w:type="dxa"/>
            <w:vMerge/>
            <w:shd w:val="clear" w:color="auto" w:fill="DEEAF6" w:themeFill="accent5" w:themeFillTint="33"/>
          </w:tcPr>
          <w:p w14:paraId="5C92CEE7" w14:textId="77777777" w:rsidR="00D97C52" w:rsidRPr="00D66D81" w:rsidRDefault="00D97C52">
            <w:pPr>
              <w:spacing w:line="240" w:lineRule="auto"/>
              <w:rPr>
                <w:rFonts w:cs="Arial"/>
                <w:b/>
                <w:bCs/>
                <w:sz w:val="22"/>
              </w:rPr>
            </w:pPr>
          </w:p>
        </w:tc>
        <w:tc>
          <w:tcPr>
            <w:tcW w:w="1175" w:type="dxa"/>
          </w:tcPr>
          <w:p w14:paraId="0718643D" w14:textId="77E80BC9" w:rsidR="00D97C52" w:rsidRPr="00D66D81" w:rsidRDefault="00D97C52">
            <w:pPr>
              <w:spacing w:line="240" w:lineRule="auto"/>
              <w:rPr>
                <w:rFonts w:cs="Arial"/>
                <w:sz w:val="22"/>
              </w:rPr>
            </w:pPr>
            <w:r w:rsidRPr="00D66D81">
              <w:rPr>
                <w:rFonts w:cs="Arial"/>
                <w:b/>
                <w:bCs/>
                <w:sz w:val="22"/>
              </w:rPr>
              <w:t>Third-party assem</w:t>
            </w:r>
            <w:r w:rsidR="00264813" w:rsidRPr="00D66D81">
              <w:rPr>
                <w:rFonts w:cs="Arial"/>
                <w:b/>
                <w:bCs/>
                <w:sz w:val="22"/>
              </w:rPr>
              <w:t>-</w:t>
            </w:r>
            <w:r w:rsidRPr="00D66D81">
              <w:rPr>
                <w:rFonts w:cs="Arial"/>
                <w:b/>
                <w:bCs/>
                <w:sz w:val="22"/>
              </w:rPr>
              <w:t>bly</w:t>
            </w:r>
          </w:p>
        </w:tc>
        <w:tc>
          <w:tcPr>
            <w:tcW w:w="1175" w:type="dxa"/>
          </w:tcPr>
          <w:p w14:paraId="74F719B8" w14:textId="704E0313" w:rsidR="00D97C52" w:rsidRPr="00D66D81" w:rsidRDefault="00D97C52">
            <w:pPr>
              <w:spacing w:line="240" w:lineRule="auto"/>
              <w:rPr>
                <w:rFonts w:cs="Arial"/>
                <w:b/>
                <w:bCs/>
                <w:sz w:val="22"/>
              </w:rPr>
            </w:pPr>
            <w:r w:rsidRPr="00D66D81">
              <w:rPr>
                <w:rFonts w:cs="Arial"/>
                <w:b/>
                <w:bCs/>
                <w:sz w:val="22"/>
              </w:rPr>
              <w:t>Assem</w:t>
            </w:r>
            <w:r w:rsidR="00264813" w:rsidRPr="00D66D81">
              <w:rPr>
                <w:rFonts w:cs="Arial"/>
                <w:b/>
                <w:bCs/>
                <w:sz w:val="22"/>
              </w:rPr>
              <w:t>-</w:t>
            </w:r>
            <w:r w:rsidRPr="00D66D81">
              <w:rPr>
                <w:rFonts w:cs="Arial"/>
                <w:b/>
                <w:bCs/>
                <w:sz w:val="22"/>
              </w:rPr>
              <w:t>bly in the US</w:t>
            </w:r>
          </w:p>
        </w:tc>
        <w:tc>
          <w:tcPr>
            <w:tcW w:w="1176" w:type="dxa"/>
          </w:tcPr>
          <w:p w14:paraId="4DCA365A" w14:textId="1C190799" w:rsidR="00D97C52" w:rsidRPr="00D66D81" w:rsidRDefault="00D97C52">
            <w:pPr>
              <w:spacing w:line="240" w:lineRule="auto"/>
              <w:rPr>
                <w:rFonts w:cs="Arial"/>
                <w:b/>
                <w:bCs/>
                <w:sz w:val="22"/>
              </w:rPr>
            </w:pPr>
            <w:r w:rsidRPr="00D66D81">
              <w:rPr>
                <w:rFonts w:cs="Arial"/>
                <w:b/>
                <w:bCs/>
                <w:sz w:val="22"/>
              </w:rPr>
              <w:t>Trans</w:t>
            </w:r>
            <w:r w:rsidR="00264813" w:rsidRPr="00D66D81">
              <w:rPr>
                <w:rFonts w:cs="Arial"/>
                <w:b/>
                <w:bCs/>
                <w:sz w:val="22"/>
              </w:rPr>
              <w:t>-s</w:t>
            </w:r>
            <w:r w:rsidRPr="00D66D81">
              <w:rPr>
                <w:rFonts w:cs="Arial"/>
                <w:b/>
                <w:bCs/>
                <w:sz w:val="22"/>
              </w:rPr>
              <w:t>hip</w:t>
            </w:r>
            <w:r w:rsidR="00264813" w:rsidRPr="00D66D81">
              <w:rPr>
                <w:rFonts w:cs="Arial"/>
                <w:b/>
                <w:bCs/>
                <w:sz w:val="22"/>
              </w:rPr>
              <w:t>-</w:t>
            </w:r>
            <w:r w:rsidRPr="00D66D81">
              <w:rPr>
                <w:rFonts w:cs="Arial"/>
                <w:b/>
                <w:bCs/>
                <w:sz w:val="22"/>
              </w:rPr>
              <w:t>ment</w:t>
            </w:r>
          </w:p>
        </w:tc>
        <w:tc>
          <w:tcPr>
            <w:tcW w:w="1175" w:type="dxa"/>
          </w:tcPr>
          <w:p w14:paraId="6193EB64" w14:textId="77777777" w:rsidR="00D97C52" w:rsidRPr="00D66D81" w:rsidRDefault="00D97C52">
            <w:pPr>
              <w:spacing w:line="240" w:lineRule="auto"/>
              <w:rPr>
                <w:rFonts w:cs="Arial"/>
                <w:b/>
                <w:bCs/>
                <w:sz w:val="22"/>
              </w:rPr>
            </w:pPr>
            <w:r w:rsidRPr="00D66D81">
              <w:rPr>
                <w:rFonts w:cs="Arial"/>
                <w:b/>
                <w:bCs/>
                <w:sz w:val="22"/>
              </w:rPr>
              <w:t>Modifi-cation</w:t>
            </w:r>
          </w:p>
        </w:tc>
        <w:tc>
          <w:tcPr>
            <w:tcW w:w="1176" w:type="dxa"/>
          </w:tcPr>
          <w:p w14:paraId="02BA4D39" w14:textId="2182275F" w:rsidR="00D97C52" w:rsidRPr="00D66D81" w:rsidRDefault="00D97C52">
            <w:pPr>
              <w:spacing w:line="240" w:lineRule="auto"/>
              <w:rPr>
                <w:rFonts w:cs="Arial"/>
                <w:b/>
                <w:bCs/>
                <w:sz w:val="22"/>
              </w:rPr>
            </w:pPr>
            <w:r w:rsidRPr="00D66D81">
              <w:rPr>
                <w:rFonts w:cs="Arial"/>
                <w:b/>
                <w:bCs/>
                <w:sz w:val="22"/>
              </w:rPr>
              <w:t xml:space="preserve">Later- </w:t>
            </w:r>
            <w:r w:rsidR="00264813" w:rsidRPr="00D66D81">
              <w:rPr>
                <w:rFonts w:cs="Arial"/>
                <w:b/>
                <w:bCs/>
                <w:sz w:val="22"/>
              </w:rPr>
              <w:t>develop-</w:t>
            </w:r>
            <w:r w:rsidRPr="00D66D81">
              <w:rPr>
                <w:rFonts w:cs="Arial"/>
                <w:b/>
                <w:bCs/>
                <w:sz w:val="22"/>
              </w:rPr>
              <w:t>ed merchan</w:t>
            </w:r>
            <w:r w:rsidR="00264813" w:rsidRPr="00D66D81">
              <w:rPr>
                <w:rFonts w:cs="Arial"/>
                <w:b/>
                <w:bCs/>
                <w:sz w:val="22"/>
              </w:rPr>
              <w:t>-</w:t>
            </w:r>
            <w:r w:rsidRPr="00D66D81">
              <w:rPr>
                <w:rFonts w:cs="Arial"/>
                <w:b/>
                <w:bCs/>
                <w:sz w:val="22"/>
              </w:rPr>
              <w:t>dise</w:t>
            </w:r>
          </w:p>
        </w:tc>
        <w:tc>
          <w:tcPr>
            <w:tcW w:w="1312" w:type="dxa"/>
            <w:vMerge/>
          </w:tcPr>
          <w:p w14:paraId="40313AC8" w14:textId="77777777" w:rsidR="00D97C52" w:rsidRPr="00D66D81" w:rsidRDefault="00D97C52">
            <w:pPr>
              <w:spacing w:line="240" w:lineRule="auto"/>
              <w:rPr>
                <w:rFonts w:cs="Arial"/>
                <w:b/>
                <w:bCs/>
                <w:sz w:val="22"/>
              </w:rPr>
            </w:pPr>
          </w:p>
        </w:tc>
        <w:tc>
          <w:tcPr>
            <w:tcW w:w="3419" w:type="dxa"/>
            <w:vMerge/>
          </w:tcPr>
          <w:p w14:paraId="3BA8D18B" w14:textId="77777777" w:rsidR="00D97C52" w:rsidRPr="00D66D81" w:rsidRDefault="00D97C52">
            <w:pPr>
              <w:spacing w:line="240" w:lineRule="auto"/>
              <w:rPr>
                <w:rFonts w:cs="Arial"/>
                <w:b/>
                <w:bCs/>
                <w:sz w:val="22"/>
              </w:rPr>
            </w:pPr>
          </w:p>
        </w:tc>
      </w:tr>
      <w:tr w:rsidR="00D97C52" w:rsidRPr="00D66D81" w14:paraId="5D0CCF52" w14:textId="77777777" w:rsidTr="00CB4E3D">
        <w:trPr>
          <w:trHeight w:val="335"/>
        </w:trPr>
        <w:tc>
          <w:tcPr>
            <w:tcW w:w="2405" w:type="dxa"/>
            <w:hideMark/>
          </w:tcPr>
          <w:p w14:paraId="5BBE898C" w14:textId="3C0C15FC" w:rsidR="00D97C52" w:rsidRPr="00D66D81" w:rsidRDefault="00D97C52">
            <w:pPr>
              <w:spacing w:line="240" w:lineRule="auto"/>
              <w:rPr>
                <w:rFonts w:cs="Arial"/>
                <w:sz w:val="22"/>
              </w:rPr>
            </w:pPr>
            <w:r w:rsidRPr="00D66D81">
              <w:rPr>
                <w:rFonts w:cs="Arial"/>
                <w:sz w:val="22"/>
              </w:rPr>
              <w:t>Honey (</w:t>
            </w:r>
            <w:r w:rsidR="00192BF6">
              <w:rPr>
                <w:rFonts w:cs="Arial"/>
                <w:sz w:val="22"/>
              </w:rPr>
              <w:t>PRC</w:t>
            </w:r>
            <w:r w:rsidRPr="00D66D81">
              <w:rPr>
                <w:rFonts w:cs="Arial"/>
                <w:sz w:val="22"/>
              </w:rPr>
              <w:t>)</w:t>
            </w:r>
          </w:p>
        </w:tc>
        <w:tc>
          <w:tcPr>
            <w:tcW w:w="935" w:type="dxa"/>
            <w:shd w:val="clear" w:color="auto" w:fill="DEEAF6" w:themeFill="accent5" w:themeFillTint="33"/>
            <w:hideMark/>
          </w:tcPr>
          <w:p w14:paraId="37AFA337" w14:textId="77777777" w:rsidR="00D97C52" w:rsidRPr="00D66D81" w:rsidRDefault="00D97C52">
            <w:pPr>
              <w:spacing w:line="240" w:lineRule="auto"/>
              <w:jc w:val="right"/>
              <w:rPr>
                <w:rFonts w:cs="Arial"/>
                <w:sz w:val="22"/>
              </w:rPr>
            </w:pPr>
            <w:r w:rsidRPr="00D66D81">
              <w:rPr>
                <w:rFonts w:cs="Arial"/>
                <w:sz w:val="22"/>
              </w:rPr>
              <w:t>1</w:t>
            </w:r>
          </w:p>
        </w:tc>
        <w:tc>
          <w:tcPr>
            <w:tcW w:w="1175" w:type="dxa"/>
            <w:hideMark/>
          </w:tcPr>
          <w:p w14:paraId="68154946" w14:textId="77777777" w:rsidR="00D97C52" w:rsidRPr="00D66D81" w:rsidRDefault="00D97C52">
            <w:pPr>
              <w:spacing w:line="240" w:lineRule="auto"/>
              <w:jc w:val="right"/>
              <w:rPr>
                <w:rFonts w:cs="Arial"/>
                <w:sz w:val="22"/>
              </w:rPr>
            </w:pPr>
          </w:p>
        </w:tc>
        <w:tc>
          <w:tcPr>
            <w:tcW w:w="1175" w:type="dxa"/>
          </w:tcPr>
          <w:p w14:paraId="662767EF" w14:textId="77777777" w:rsidR="00D97C52" w:rsidRPr="00D66D81" w:rsidRDefault="00D97C52">
            <w:pPr>
              <w:spacing w:line="240" w:lineRule="auto"/>
              <w:jc w:val="right"/>
              <w:rPr>
                <w:rFonts w:cs="Arial"/>
                <w:sz w:val="22"/>
              </w:rPr>
            </w:pPr>
          </w:p>
        </w:tc>
        <w:tc>
          <w:tcPr>
            <w:tcW w:w="1176" w:type="dxa"/>
            <w:hideMark/>
          </w:tcPr>
          <w:p w14:paraId="13A8E989" w14:textId="46A2947D" w:rsidR="00D97C52" w:rsidRPr="00D66D81" w:rsidRDefault="00D97C52">
            <w:pPr>
              <w:spacing w:line="240" w:lineRule="auto"/>
              <w:jc w:val="right"/>
              <w:rPr>
                <w:rFonts w:cs="Arial"/>
                <w:sz w:val="22"/>
              </w:rPr>
            </w:pPr>
          </w:p>
        </w:tc>
        <w:tc>
          <w:tcPr>
            <w:tcW w:w="1175" w:type="dxa"/>
            <w:hideMark/>
          </w:tcPr>
          <w:p w14:paraId="5213DDD9" w14:textId="77777777" w:rsidR="00D97C52" w:rsidRPr="00D66D81" w:rsidRDefault="00D97C52">
            <w:pPr>
              <w:spacing w:line="240" w:lineRule="auto"/>
              <w:jc w:val="right"/>
              <w:rPr>
                <w:rFonts w:cs="Arial"/>
                <w:sz w:val="22"/>
              </w:rPr>
            </w:pPr>
            <w:r w:rsidRPr="00D66D81">
              <w:rPr>
                <w:rFonts w:cs="Arial"/>
                <w:sz w:val="22"/>
              </w:rPr>
              <w:t>1</w:t>
            </w:r>
          </w:p>
        </w:tc>
        <w:tc>
          <w:tcPr>
            <w:tcW w:w="1176" w:type="dxa"/>
            <w:hideMark/>
          </w:tcPr>
          <w:p w14:paraId="5F32A6B2" w14:textId="77777777" w:rsidR="00D97C52" w:rsidRPr="00D66D81" w:rsidRDefault="00D97C52">
            <w:pPr>
              <w:spacing w:line="240" w:lineRule="auto"/>
              <w:jc w:val="right"/>
              <w:rPr>
                <w:rFonts w:cs="Arial"/>
                <w:sz w:val="22"/>
              </w:rPr>
            </w:pPr>
          </w:p>
        </w:tc>
        <w:tc>
          <w:tcPr>
            <w:tcW w:w="1312" w:type="dxa"/>
            <w:hideMark/>
          </w:tcPr>
          <w:p w14:paraId="3531E4D7" w14:textId="2181D341" w:rsidR="00D97C52" w:rsidRPr="00D66D81" w:rsidRDefault="002406F0">
            <w:pPr>
              <w:spacing w:line="240" w:lineRule="auto"/>
              <w:rPr>
                <w:rFonts w:cs="Arial"/>
                <w:sz w:val="22"/>
              </w:rPr>
            </w:pPr>
            <w:r>
              <w:rPr>
                <w:rFonts w:cs="Arial"/>
                <w:sz w:val="22"/>
              </w:rPr>
              <w:t>PRC</w:t>
            </w:r>
          </w:p>
        </w:tc>
        <w:tc>
          <w:tcPr>
            <w:tcW w:w="3419" w:type="dxa"/>
            <w:hideMark/>
          </w:tcPr>
          <w:p w14:paraId="5624CE57" w14:textId="77777777" w:rsidR="00D97C52" w:rsidRPr="00D66D81" w:rsidRDefault="00D97C52">
            <w:pPr>
              <w:spacing w:line="240" w:lineRule="auto"/>
              <w:jc w:val="right"/>
              <w:rPr>
                <w:rFonts w:cs="Arial"/>
                <w:sz w:val="22"/>
              </w:rPr>
            </w:pPr>
            <w:r w:rsidRPr="00D66D81">
              <w:rPr>
                <w:rFonts w:cs="Arial"/>
                <w:sz w:val="22"/>
              </w:rPr>
              <w:t>04090000, 17029090, 21069099, 0409000005, 0409000010, 0409000035, 0409000045, 0409000056, 0409000065</w:t>
            </w:r>
          </w:p>
        </w:tc>
      </w:tr>
      <w:tr w:rsidR="00D97C52" w:rsidRPr="00D66D81" w14:paraId="6FD2360D" w14:textId="77777777" w:rsidTr="00CB4E3D">
        <w:trPr>
          <w:trHeight w:val="335"/>
        </w:trPr>
        <w:tc>
          <w:tcPr>
            <w:tcW w:w="2405" w:type="dxa"/>
            <w:hideMark/>
          </w:tcPr>
          <w:p w14:paraId="4F7A7652" w14:textId="7B678F53" w:rsidR="00D97C52" w:rsidRPr="00D66D81" w:rsidRDefault="00D97C52">
            <w:pPr>
              <w:spacing w:line="240" w:lineRule="auto"/>
              <w:rPr>
                <w:rFonts w:cs="Arial"/>
                <w:sz w:val="22"/>
              </w:rPr>
            </w:pPr>
            <w:r w:rsidRPr="00D66D81">
              <w:rPr>
                <w:rFonts w:cs="Arial"/>
                <w:sz w:val="22"/>
              </w:rPr>
              <w:t>Glycine (</w:t>
            </w:r>
            <w:r w:rsidR="00192BF6">
              <w:rPr>
                <w:rFonts w:cs="Arial"/>
                <w:sz w:val="22"/>
              </w:rPr>
              <w:t>PRC</w:t>
            </w:r>
            <w:r w:rsidRPr="00D66D81">
              <w:rPr>
                <w:rFonts w:cs="Arial"/>
                <w:sz w:val="22"/>
              </w:rPr>
              <w:t>)</w:t>
            </w:r>
          </w:p>
        </w:tc>
        <w:tc>
          <w:tcPr>
            <w:tcW w:w="935" w:type="dxa"/>
            <w:shd w:val="clear" w:color="auto" w:fill="DEEAF6" w:themeFill="accent5" w:themeFillTint="33"/>
            <w:hideMark/>
          </w:tcPr>
          <w:p w14:paraId="281A1975" w14:textId="77777777" w:rsidR="00D97C52" w:rsidRPr="00D66D81" w:rsidRDefault="00D97C52">
            <w:pPr>
              <w:spacing w:line="240" w:lineRule="auto"/>
              <w:jc w:val="right"/>
              <w:rPr>
                <w:rFonts w:cs="Arial"/>
                <w:sz w:val="22"/>
              </w:rPr>
            </w:pPr>
            <w:r w:rsidRPr="00D66D81">
              <w:rPr>
                <w:rFonts w:cs="Arial"/>
                <w:sz w:val="22"/>
              </w:rPr>
              <w:t>1</w:t>
            </w:r>
          </w:p>
        </w:tc>
        <w:tc>
          <w:tcPr>
            <w:tcW w:w="1175" w:type="dxa"/>
            <w:hideMark/>
          </w:tcPr>
          <w:p w14:paraId="0C4F660A" w14:textId="0225A973" w:rsidR="00D97C52" w:rsidRPr="00D66D81" w:rsidRDefault="00D97C52">
            <w:pPr>
              <w:spacing w:line="240" w:lineRule="auto"/>
              <w:jc w:val="right"/>
              <w:rPr>
                <w:rFonts w:cs="Arial"/>
                <w:sz w:val="22"/>
              </w:rPr>
            </w:pPr>
            <w:r w:rsidRPr="00D66D81">
              <w:rPr>
                <w:rFonts w:cs="Arial"/>
                <w:sz w:val="22"/>
              </w:rPr>
              <w:t>1</w:t>
            </w:r>
          </w:p>
        </w:tc>
        <w:tc>
          <w:tcPr>
            <w:tcW w:w="1175" w:type="dxa"/>
          </w:tcPr>
          <w:p w14:paraId="5C46F2B1" w14:textId="77777777" w:rsidR="00D97C52" w:rsidRPr="00D66D81" w:rsidDel="00D97C52" w:rsidRDefault="00D97C52">
            <w:pPr>
              <w:spacing w:line="240" w:lineRule="auto"/>
              <w:jc w:val="right"/>
              <w:rPr>
                <w:rFonts w:cs="Arial"/>
                <w:sz w:val="22"/>
              </w:rPr>
            </w:pPr>
          </w:p>
        </w:tc>
        <w:tc>
          <w:tcPr>
            <w:tcW w:w="1176" w:type="dxa"/>
            <w:hideMark/>
          </w:tcPr>
          <w:p w14:paraId="5D0A3A83" w14:textId="192D2900" w:rsidR="00D97C52" w:rsidRPr="00D66D81" w:rsidRDefault="00D97C52">
            <w:pPr>
              <w:spacing w:line="240" w:lineRule="auto"/>
              <w:jc w:val="right"/>
              <w:rPr>
                <w:rFonts w:cs="Arial"/>
                <w:sz w:val="22"/>
              </w:rPr>
            </w:pPr>
          </w:p>
        </w:tc>
        <w:tc>
          <w:tcPr>
            <w:tcW w:w="1175" w:type="dxa"/>
            <w:hideMark/>
          </w:tcPr>
          <w:p w14:paraId="6C73AC39" w14:textId="77777777" w:rsidR="00D97C52" w:rsidRPr="00D66D81" w:rsidRDefault="00D97C52">
            <w:pPr>
              <w:spacing w:line="240" w:lineRule="auto"/>
              <w:jc w:val="right"/>
              <w:rPr>
                <w:rFonts w:cs="Arial"/>
                <w:sz w:val="22"/>
              </w:rPr>
            </w:pPr>
          </w:p>
        </w:tc>
        <w:tc>
          <w:tcPr>
            <w:tcW w:w="1176" w:type="dxa"/>
            <w:hideMark/>
          </w:tcPr>
          <w:p w14:paraId="2CA2F17B" w14:textId="77777777" w:rsidR="00D97C52" w:rsidRPr="00D66D81" w:rsidRDefault="00D97C52">
            <w:pPr>
              <w:spacing w:line="240" w:lineRule="auto"/>
              <w:jc w:val="right"/>
              <w:rPr>
                <w:rFonts w:cs="Arial"/>
                <w:sz w:val="22"/>
              </w:rPr>
            </w:pPr>
          </w:p>
        </w:tc>
        <w:tc>
          <w:tcPr>
            <w:tcW w:w="1312" w:type="dxa"/>
            <w:hideMark/>
          </w:tcPr>
          <w:p w14:paraId="0216CF62" w14:textId="77777777" w:rsidR="00D97C52" w:rsidRPr="00D66D81" w:rsidRDefault="00D97C52">
            <w:pPr>
              <w:spacing w:line="240" w:lineRule="auto"/>
              <w:rPr>
                <w:rFonts w:cs="Arial"/>
                <w:sz w:val="22"/>
              </w:rPr>
            </w:pPr>
            <w:r w:rsidRPr="00D66D81">
              <w:rPr>
                <w:rFonts w:cs="Arial"/>
                <w:sz w:val="22"/>
              </w:rPr>
              <w:t>India</w:t>
            </w:r>
          </w:p>
        </w:tc>
        <w:tc>
          <w:tcPr>
            <w:tcW w:w="3419" w:type="dxa"/>
            <w:hideMark/>
          </w:tcPr>
          <w:p w14:paraId="401E91F5" w14:textId="77777777" w:rsidR="00D97C52" w:rsidRPr="00D66D81" w:rsidRDefault="00D97C52">
            <w:pPr>
              <w:spacing w:line="240" w:lineRule="auto"/>
              <w:jc w:val="right"/>
              <w:rPr>
                <w:rFonts w:cs="Arial"/>
                <w:sz w:val="22"/>
              </w:rPr>
            </w:pPr>
            <w:r w:rsidRPr="00D66D81">
              <w:rPr>
                <w:rFonts w:cs="Arial"/>
                <w:sz w:val="22"/>
              </w:rPr>
              <w:t>2922494020</w:t>
            </w:r>
          </w:p>
        </w:tc>
      </w:tr>
      <w:tr w:rsidR="00D97C52" w:rsidRPr="00D66D81" w14:paraId="399AE466" w14:textId="77777777" w:rsidTr="00CB4E3D">
        <w:trPr>
          <w:trHeight w:val="335"/>
        </w:trPr>
        <w:tc>
          <w:tcPr>
            <w:tcW w:w="2405" w:type="dxa"/>
            <w:hideMark/>
          </w:tcPr>
          <w:p w14:paraId="6E707D97" w14:textId="22E1FBFC" w:rsidR="00D97C52" w:rsidRPr="00D66D81" w:rsidRDefault="00D97C52">
            <w:pPr>
              <w:spacing w:line="240" w:lineRule="auto"/>
              <w:rPr>
                <w:rFonts w:cs="Arial"/>
                <w:color w:val="000000"/>
                <w:kern w:val="24"/>
                <w:sz w:val="22"/>
              </w:rPr>
            </w:pPr>
            <w:r w:rsidRPr="00D66D81">
              <w:rPr>
                <w:rFonts w:cs="Arial"/>
                <w:color w:val="000000"/>
                <w:kern w:val="24"/>
                <w:sz w:val="22"/>
              </w:rPr>
              <w:t>Hydrofluorocarbon (HFC) Blends (</w:t>
            </w:r>
            <w:r w:rsidR="00192BF6">
              <w:rPr>
                <w:rFonts w:cs="Arial"/>
                <w:color w:val="000000"/>
                <w:kern w:val="24"/>
                <w:sz w:val="22"/>
              </w:rPr>
              <w:t>PRC</w:t>
            </w:r>
            <w:r w:rsidRPr="00D66D81">
              <w:rPr>
                <w:rFonts w:cs="Arial"/>
                <w:color w:val="000000"/>
                <w:kern w:val="24"/>
                <w:sz w:val="22"/>
              </w:rPr>
              <w:t>)</w:t>
            </w:r>
          </w:p>
        </w:tc>
        <w:tc>
          <w:tcPr>
            <w:tcW w:w="935" w:type="dxa"/>
            <w:shd w:val="clear" w:color="auto" w:fill="DEEAF6" w:themeFill="accent5" w:themeFillTint="33"/>
            <w:hideMark/>
          </w:tcPr>
          <w:p w14:paraId="6C8F0735" w14:textId="77777777" w:rsidR="00D97C52" w:rsidRPr="00D66D81" w:rsidRDefault="00D97C52">
            <w:pPr>
              <w:spacing w:line="240" w:lineRule="auto"/>
              <w:jc w:val="right"/>
              <w:rPr>
                <w:rFonts w:cs="Arial"/>
                <w:color w:val="000000"/>
                <w:kern w:val="24"/>
                <w:sz w:val="22"/>
              </w:rPr>
            </w:pPr>
            <w:r w:rsidRPr="00D66D81">
              <w:rPr>
                <w:rFonts w:cs="Arial"/>
                <w:color w:val="000000"/>
                <w:kern w:val="24"/>
                <w:sz w:val="22"/>
              </w:rPr>
              <w:t>1</w:t>
            </w:r>
          </w:p>
        </w:tc>
        <w:tc>
          <w:tcPr>
            <w:tcW w:w="1175" w:type="dxa"/>
            <w:hideMark/>
          </w:tcPr>
          <w:p w14:paraId="4614781C" w14:textId="77777777" w:rsidR="00D97C52" w:rsidRPr="00D66D81" w:rsidRDefault="00D97C52">
            <w:pPr>
              <w:spacing w:line="240" w:lineRule="auto"/>
              <w:jc w:val="right"/>
              <w:rPr>
                <w:rFonts w:cs="Arial"/>
                <w:color w:val="000000"/>
                <w:kern w:val="24"/>
                <w:sz w:val="22"/>
              </w:rPr>
            </w:pPr>
          </w:p>
        </w:tc>
        <w:tc>
          <w:tcPr>
            <w:tcW w:w="1175" w:type="dxa"/>
          </w:tcPr>
          <w:p w14:paraId="3681D046" w14:textId="1D837EF3" w:rsidR="00D97C52" w:rsidRPr="00D66D81" w:rsidRDefault="00D97C52">
            <w:pPr>
              <w:spacing w:line="240" w:lineRule="auto"/>
              <w:jc w:val="right"/>
              <w:rPr>
                <w:rFonts w:cs="Arial"/>
                <w:color w:val="000000"/>
                <w:kern w:val="24"/>
                <w:sz w:val="22"/>
              </w:rPr>
            </w:pPr>
            <w:r w:rsidRPr="00D66D81">
              <w:rPr>
                <w:rFonts w:cs="Arial"/>
                <w:color w:val="000000"/>
                <w:kern w:val="24"/>
                <w:sz w:val="22"/>
              </w:rPr>
              <w:t>1</w:t>
            </w:r>
          </w:p>
        </w:tc>
        <w:tc>
          <w:tcPr>
            <w:tcW w:w="1176" w:type="dxa"/>
            <w:hideMark/>
          </w:tcPr>
          <w:p w14:paraId="1A50ADC1" w14:textId="28D96198" w:rsidR="00D97C52" w:rsidRPr="00D66D81" w:rsidRDefault="00D97C52">
            <w:pPr>
              <w:spacing w:line="240" w:lineRule="auto"/>
              <w:jc w:val="right"/>
              <w:rPr>
                <w:rFonts w:cs="Arial"/>
                <w:color w:val="000000"/>
                <w:kern w:val="24"/>
                <w:sz w:val="22"/>
              </w:rPr>
            </w:pPr>
          </w:p>
        </w:tc>
        <w:tc>
          <w:tcPr>
            <w:tcW w:w="1175" w:type="dxa"/>
            <w:hideMark/>
          </w:tcPr>
          <w:p w14:paraId="242687F4" w14:textId="748AB565" w:rsidR="00D97C52" w:rsidRPr="00D66D81" w:rsidRDefault="00D97C52">
            <w:pPr>
              <w:spacing w:line="240" w:lineRule="auto"/>
              <w:jc w:val="right"/>
              <w:rPr>
                <w:rFonts w:cs="Arial"/>
                <w:color w:val="000000"/>
                <w:kern w:val="24"/>
                <w:sz w:val="22"/>
              </w:rPr>
            </w:pPr>
          </w:p>
        </w:tc>
        <w:tc>
          <w:tcPr>
            <w:tcW w:w="1176" w:type="dxa"/>
            <w:hideMark/>
          </w:tcPr>
          <w:p w14:paraId="753A5003" w14:textId="77777777" w:rsidR="00D97C52" w:rsidRPr="00D66D81" w:rsidRDefault="00D97C52">
            <w:pPr>
              <w:spacing w:line="240" w:lineRule="auto"/>
              <w:jc w:val="right"/>
              <w:rPr>
                <w:rFonts w:cs="Arial"/>
                <w:color w:val="000000"/>
                <w:kern w:val="24"/>
                <w:sz w:val="22"/>
              </w:rPr>
            </w:pPr>
          </w:p>
        </w:tc>
        <w:tc>
          <w:tcPr>
            <w:tcW w:w="1312" w:type="dxa"/>
            <w:hideMark/>
          </w:tcPr>
          <w:p w14:paraId="591C8204" w14:textId="5E1180BD" w:rsidR="00D97C52" w:rsidRPr="00D66D81" w:rsidRDefault="002406F0">
            <w:pPr>
              <w:spacing w:line="240" w:lineRule="auto"/>
              <w:rPr>
                <w:rFonts w:cs="Arial"/>
                <w:color w:val="000000"/>
                <w:kern w:val="24"/>
                <w:sz w:val="22"/>
              </w:rPr>
            </w:pPr>
            <w:r>
              <w:rPr>
                <w:rFonts w:cs="Arial"/>
                <w:color w:val="000000"/>
                <w:kern w:val="24"/>
                <w:sz w:val="22"/>
              </w:rPr>
              <w:t>PRC</w:t>
            </w:r>
          </w:p>
        </w:tc>
        <w:tc>
          <w:tcPr>
            <w:tcW w:w="3419" w:type="dxa"/>
            <w:hideMark/>
          </w:tcPr>
          <w:p w14:paraId="35B4C844" w14:textId="77777777" w:rsidR="00D97C52" w:rsidRPr="00D66D81" w:rsidRDefault="00D97C52">
            <w:pPr>
              <w:spacing w:line="240" w:lineRule="auto"/>
              <w:jc w:val="right"/>
              <w:rPr>
                <w:rFonts w:cs="Arial"/>
                <w:color w:val="000000"/>
                <w:kern w:val="24"/>
                <w:sz w:val="22"/>
              </w:rPr>
            </w:pPr>
            <w:r w:rsidRPr="00D66D81">
              <w:rPr>
                <w:rFonts w:cs="Arial"/>
                <w:color w:val="000000"/>
                <w:kern w:val="24"/>
                <w:sz w:val="22"/>
              </w:rPr>
              <w:t>2903.39.2035  2903.39.2045</w:t>
            </w:r>
          </w:p>
          <w:p w14:paraId="7373B95C" w14:textId="77777777" w:rsidR="00D97C52" w:rsidRPr="00D66D81" w:rsidRDefault="00D97C52">
            <w:pPr>
              <w:spacing w:line="240" w:lineRule="auto"/>
              <w:jc w:val="right"/>
              <w:rPr>
                <w:rFonts w:cs="Arial"/>
                <w:color w:val="000000"/>
                <w:kern w:val="24"/>
                <w:sz w:val="22"/>
              </w:rPr>
            </w:pPr>
            <w:r w:rsidRPr="00D66D81">
              <w:rPr>
                <w:rFonts w:cs="Arial"/>
                <w:color w:val="000000"/>
                <w:kern w:val="24"/>
                <w:sz w:val="22"/>
              </w:rPr>
              <w:t xml:space="preserve">3824.78.0020 3824.78.0050.   </w:t>
            </w:r>
          </w:p>
        </w:tc>
      </w:tr>
      <w:tr w:rsidR="00D97C52" w:rsidRPr="00D66D81" w14:paraId="70B70034" w14:textId="77777777" w:rsidTr="00CB4E3D">
        <w:trPr>
          <w:trHeight w:val="335"/>
        </w:trPr>
        <w:tc>
          <w:tcPr>
            <w:tcW w:w="2405" w:type="dxa"/>
            <w:hideMark/>
          </w:tcPr>
          <w:p w14:paraId="0638FF24" w14:textId="528CB5AF" w:rsidR="00D97C52" w:rsidRPr="00D66D81" w:rsidRDefault="00D97C52">
            <w:pPr>
              <w:spacing w:line="240" w:lineRule="auto"/>
              <w:rPr>
                <w:rFonts w:cs="Arial"/>
                <w:sz w:val="22"/>
              </w:rPr>
            </w:pPr>
            <w:r w:rsidRPr="00D66D81">
              <w:rPr>
                <w:rFonts w:cs="Arial"/>
                <w:sz w:val="22"/>
              </w:rPr>
              <w:t>Small diameter graphite electrodes (</w:t>
            </w:r>
            <w:r w:rsidR="00192BF6">
              <w:rPr>
                <w:rFonts w:cs="Arial"/>
                <w:sz w:val="22"/>
              </w:rPr>
              <w:t>PRC</w:t>
            </w:r>
            <w:r w:rsidRPr="00D66D81">
              <w:rPr>
                <w:rFonts w:cs="Arial"/>
                <w:sz w:val="22"/>
              </w:rPr>
              <w:t>)</w:t>
            </w:r>
          </w:p>
        </w:tc>
        <w:tc>
          <w:tcPr>
            <w:tcW w:w="935" w:type="dxa"/>
            <w:shd w:val="clear" w:color="auto" w:fill="DEEAF6" w:themeFill="accent5" w:themeFillTint="33"/>
            <w:hideMark/>
          </w:tcPr>
          <w:p w14:paraId="53A0B2A3" w14:textId="77777777" w:rsidR="00D97C52" w:rsidRPr="00D66D81" w:rsidRDefault="00D97C52">
            <w:pPr>
              <w:spacing w:line="240" w:lineRule="auto"/>
              <w:jc w:val="right"/>
              <w:rPr>
                <w:rFonts w:cs="Arial"/>
                <w:sz w:val="22"/>
              </w:rPr>
            </w:pPr>
            <w:r w:rsidRPr="00D66D81">
              <w:rPr>
                <w:rFonts w:cs="Arial"/>
                <w:sz w:val="22"/>
              </w:rPr>
              <w:t>2</w:t>
            </w:r>
          </w:p>
        </w:tc>
        <w:tc>
          <w:tcPr>
            <w:tcW w:w="1175" w:type="dxa"/>
            <w:hideMark/>
          </w:tcPr>
          <w:p w14:paraId="56F1F7A5" w14:textId="77777777" w:rsidR="00D97C52" w:rsidRPr="00D66D81" w:rsidRDefault="00D97C52">
            <w:pPr>
              <w:spacing w:line="240" w:lineRule="auto"/>
              <w:jc w:val="right"/>
              <w:rPr>
                <w:rFonts w:cs="Arial"/>
                <w:sz w:val="22"/>
              </w:rPr>
            </w:pPr>
            <w:r w:rsidRPr="00D66D81">
              <w:rPr>
                <w:rFonts w:cs="Arial"/>
                <w:sz w:val="22"/>
              </w:rPr>
              <w:t>1</w:t>
            </w:r>
          </w:p>
        </w:tc>
        <w:tc>
          <w:tcPr>
            <w:tcW w:w="1175" w:type="dxa"/>
          </w:tcPr>
          <w:p w14:paraId="3851DDC5" w14:textId="77777777" w:rsidR="00D97C52" w:rsidRPr="00D66D81" w:rsidRDefault="00D97C52">
            <w:pPr>
              <w:spacing w:line="240" w:lineRule="auto"/>
              <w:jc w:val="right"/>
              <w:rPr>
                <w:rFonts w:cs="Arial"/>
                <w:sz w:val="22"/>
              </w:rPr>
            </w:pPr>
          </w:p>
        </w:tc>
        <w:tc>
          <w:tcPr>
            <w:tcW w:w="1176" w:type="dxa"/>
            <w:hideMark/>
          </w:tcPr>
          <w:p w14:paraId="1BB66C61" w14:textId="79E23FB8" w:rsidR="00D97C52" w:rsidRPr="00D66D81" w:rsidRDefault="00D97C52">
            <w:pPr>
              <w:spacing w:line="240" w:lineRule="auto"/>
              <w:jc w:val="right"/>
              <w:rPr>
                <w:rFonts w:cs="Arial"/>
                <w:sz w:val="22"/>
              </w:rPr>
            </w:pPr>
          </w:p>
        </w:tc>
        <w:tc>
          <w:tcPr>
            <w:tcW w:w="1175" w:type="dxa"/>
            <w:hideMark/>
          </w:tcPr>
          <w:p w14:paraId="40688D3F" w14:textId="77777777" w:rsidR="00D97C52" w:rsidRPr="00D66D81" w:rsidRDefault="00D97C52">
            <w:pPr>
              <w:spacing w:line="240" w:lineRule="auto"/>
              <w:jc w:val="right"/>
              <w:rPr>
                <w:rFonts w:cs="Arial"/>
                <w:sz w:val="22"/>
              </w:rPr>
            </w:pPr>
            <w:r w:rsidRPr="00D66D81">
              <w:rPr>
                <w:rFonts w:cs="Arial"/>
                <w:sz w:val="22"/>
              </w:rPr>
              <w:t>1</w:t>
            </w:r>
          </w:p>
        </w:tc>
        <w:tc>
          <w:tcPr>
            <w:tcW w:w="1176" w:type="dxa"/>
            <w:hideMark/>
          </w:tcPr>
          <w:p w14:paraId="05FF72B9" w14:textId="77777777" w:rsidR="00D97C52" w:rsidRPr="00D66D81" w:rsidRDefault="00D97C52">
            <w:pPr>
              <w:spacing w:line="240" w:lineRule="auto"/>
              <w:jc w:val="right"/>
              <w:rPr>
                <w:rFonts w:cs="Arial"/>
                <w:sz w:val="22"/>
              </w:rPr>
            </w:pPr>
          </w:p>
        </w:tc>
        <w:tc>
          <w:tcPr>
            <w:tcW w:w="1312" w:type="dxa"/>
            <w:hideMark/>
          </w:tcPr>
          <w:p w14:paraId="33E0C59A" w14:textId="5EB4C6D5" w:rsidR="00D97C52" w:rsidRPr="00D66D81" w:rsidRDefault="00D97C52">
            <w:pPr>
              <w:spacing w:line="240" w:lineRule="auto"/>
              <w:rPr>
                <w:rFonts w:cs="Arial"/>
                <w:sz w:val="22"/>
              </w:rPr>
            </w:pPr>
            <w:r w:rsidRPr="00D66D81">
              <w:rPr>
                <w:rFonts w:cs="Arial"/>
                <w:sz w:val="22"/>
              </w:rPr>
              <w:t xml:space="preserve">UK, </w:t>
            </w:r>
            <w:r w:rsidR="002406F0">
              <w:rPr>
                <w:rFonts w:cs="Arial"/>
                <w:sz w:val="22"/>
              </w:rPr>
              <w:t>PRC</w:t>
            </w:r>
          </w:p>
        </w:tc>
        <w:tc>
          <w:tcPr>
            <w:tcW w:w="3419" w:type="dxa"/>
            <w:hideMark/>
          </w:tcPr>
          <w:p w14:paraId="510966BB" w14:textId="77777777" w:rsidR="00D97C52" w:rsidRPr="00D66D81" w:rsidRDefault="00D97C52">
            <w:pPr>
              <w:spacing w:line="240" w:lineRule="auto"/>
              <w:jc w:val="right"/>
              <w:rPr>
                <w:rFonts w:cs="Arial"/>
                <w:sz w:val="22"/>
              </w:rPr>
            </w:pPr>
            <w:r w:rsidRPr="00D66D81">
              <w:rPr>
                <w:rFonts w:cs="Arial"/>
                <w:sz w:val="22"/>
              </w:rPr>
              <w:t>380110, 8545110000, 8545110010</w:t>
            </w:r>
          </w:p>
        </w:tc>
      </w:tr>
      <w:tr w:rsidR="00D97C52" w:rsidRPr="00D66D81" w14:paraId="6F48F39A" w14:textId="77777777" w:rsidTr="00CB4E3D">
        <w:trPr>
          <w:trHeight w:val="335"/>
        </w:trPr>
        <w:tc>
          <w:tcPr>
            <w:tcW w:w="2405" w:type="dxa"/>
            <w:hideMark/>
          </w:tcPr>
          <w:p w14:paraId="378FB6CA" w14:textId="2E58171D" w:rsidR="00D97C52" w:rsidRPr="00D66D81" w:rsidRDefault="00D97C52">
            <w:pPr>
              <w:spacing w:line="240" w:lineRule="auto"/>
              <w:rPr>
                <w:rFonts w:cs="Arial"/>
                <w:sz w:val="22"/>
              </w:rPr>
            </w:pPr>
            <w:r w:rsidRPr="00D66D81">
              <w:rPr>
                <w:rFonts w:cs="Arial"/>
                <w:sz w:val="22"/>
              </w:rPr>
              <w:t>Polyethylene terephthalate film, sheet and strip (UAE)</w:t>
            </w:r>
          </w:p>
        </w:tc>
        <w:tc>
          <w:tcPr>
            <w:tcW w:w="935" w:type="dxa"/>
            <w:shd w:val="clear" w:color="auto" w:fill="DEEAF6" w:themeFill="accent5" w:themeFillTint="33"/>
            <w:hideMark/>
          </w:tcPr>
          <w:p w14:paraId="1F642C71" w14:textId="77777777" w:rsidR="00D97C52" w:rsidRPr="00D66D81" w:rsidRDefault="00D97C52">
            <w:pPr>
              <w:spacing w:line="240" w:lineRule="auto"/>
              <w:jc w:val="right"/>
              <w:rPr>
                <w:rFonts w:cs="Arial"/>
                <w:sz w:val="22"/>
              </w:rPr>
            </w:pPr>
            <w:r w:rsidRPr="00D66D81">
              <w:rPr>
                <w:rFonts w:cs="Arial"/>
                <w:sz w:val="22"/>
              </w:rPr>
              <w:t>1</w:t>
            </w:r>
          </w:p>
        </w:tc>
        <w:tc>
          <w:tcPr>
            <w:tcW w:w="1175" w:type="dxa"/>
            <w:hideMark/>
          </w:tcPr>
          <w:p w14:paraId="6109A259" w14:textId="77777777" w:rsidR="00D97C52" w:rsidRPr="00D66D81" w:rsidRDefault="00D97C52">
            <w:pPr>
              <w:spacing w:line="240" w:lineRule="auto"/>
              <w:jc w:val="right"/>
              <w:rPr>
                <w:rFonts w:cs="Arial"/>
                <w:sz w:val="22"/>
              </w:rPr>
            </w:pPr>
            <w:r w:rsidRPr="00D66D81">
              <w:rPr>
                <w:rFonts w:cs="Arial"/>
                <w:sz w:val="22"/>
              </w:rPr>
              <w:t>1</w:t>
            </w:r>
          </w:p>
        </w:tc>
        <w:tc>
          <w:tcPr>
            <w:tcW w:w="1175" w:type="dxa"/>
          </w:tcPr>
          <w:p w14:paraId="4E77D60C" w14:textId="77777777" w:rsidR="00D97C52" w:rsidRPr="00D66D81" w:rsidRDefault="00D97C52">
            <w:pPr>
              <w:spacing w:line="240" w:lineRule="auto"/>
              <w:jc w:val="right"/>
              <w:rPr>
                <w:rFonts w:cs="Arial"/>
                <w:sz w:val="22"/>
              </w:rPr>
            </w:pPr>
          </w:p>
        </w:tc>
        <w:tc>
          <w:tcPr>
            <w:tcW w:w="1176" w:type="dxa"/>
            <w:hideMark/>
          </w:tcPr>
          <w:p w14:paraId="49A60C1E" w14:textId="77B376B8" w:rsidR="00D97C52" w:rsidRPr="00D66D81" w:rsidRDefault="00D97C52">
            <w:pPr>
              <w:spacing w:line="240" w:lineRule="auto"/>
              <w:jc w:val="right"/>
              <w:rPr>
                <w:rFonts w:cs="Arial"/>
                <w:sz w:val="22"/>
              </w:rPr>
            </w:pPr>
          </w:p>
        </w:tc>
        <w:tc>
          <w:tcPr>
            <w:tcW w:w="1175" w:type="dxa"/>
            <w:hideMark/>
          </w:tcPr>
          <w:p w14:paraId="022BC84C" w14:textId="77777777" w:rsidR="00D97C52" w:rsidRPr="00D66D81" w:rsidRDefault="00D97C52">
            <w:pPr>
              <w:spacing w:line="240" w:lineRule="auto"/>
              <w:jc w:val="right"/>
              <w:rPr>
                <w:rFonts w:cs="Arial"/>
                <w:sz w:val="22"/>
              </w:rPr>
            </w:pPr>
          </w:p>
        </w:tc>
        <w:tc>
          <w:tcPr>
            <w:tcW w:w="1176" w:type="dxa"/>
            <w:hideMark/>
          </w:tcPr>
          <w:p w14:paraId="64AFC693" w14:textId="77777777" w:rsidR="00D97C52" w:rsidRPr="00D66D81" w:rsidRDefault="00D97C52">
            <w:pPr>
              <w:spacing w:line="240" w:lineRule="auto"/>
              <w:jc w:val="right"/>
              <w:rPr>
                <w:rFonts w:cs="Arial"/>
                <w:sz w:val="22"/>
              </w:rPr>
            </w:pPr>
          </w:p>
        </w:tc>
        <w:tc>
          <w:tcPr>
            <w:tcW w:w="1312" w:type="dxa"/>
            <w:hideMark/>
          </w:tcPr>
          <w:p w14:paraId="4661F3BC" w14:textId="77777777" w:rsidR="00D97C52" w:rsidRPr="00D66D81" w:rsidRDefault="00D97C52">
            <w:pPr>
              <w:spacing w:line="240" w:lineRule="auto"/>
              <w:rPr>
                <w:rFonts w:cs="Arial"/>
                <w:sz w:val="22"/>
              </w:rPr>
            </w:pPr>
            <w:r w:rsidRPr="00D66D81">
              <w:rPr>
                <w:rFonts w:cs="Arial"/>
                <w:sz w:val="22"/>
              </w:rPr>
              <w:t>Bahrain</w:t>
            </w:r>
          </w:p>
        </w:tc>
        <w:tc>
          <w:tcPr>
            <w:tcW w:w="3419" w:type="dxa"/>
            <w:hideMark/>
          </w:tcPr>
          <w:p w14:paraId="36D04738" w14:textId="77777777" w:rsidR="00D97C52" w:rsidRPr="00D66D81" w:rsidRDefault="00D97C52">
            <w:pPr>
              <w:spacing w:line="240" w:lineRule="auto"/>
              <w:jc w:val="right"/>
              <w:rPr>
                <w:rFonts w:cs="Arial"/>
                <w:sz w:val="22"/>
              </w:rPr>
            </w:pPr>
            <w:r w:rsidRPr="00D66D81">
              <w:rPr>
                <w:rFonts w:cs="Arial"/>
                <w:sz w:val="22"/>
              </w:rPr>
              <w:t>3920620090</w:t>
            </w:r>
          </w:p>
        </w:tc>
      </w:tr>
      <w:tr w:rsidR="00D97C52" w:rsidRPr="00D66D81" w14:paraId="605A098D" w14:textId="77777777" w:rsidTr="00CB4E3D">
        <w:trPr>
          <w:trHeight w:val="335"/>
        </w:trPr>
        <w:tc>
          <w:tcPr>
            <w:tcW w:w="2405" w:type="dxa"/>
            <w:hideMark/>
          </w:tcPr>
          <w:p w14:paraId="5CB646FE" w14:textId="699B8F49" w:rsidR="00D97C52" w:rsidRPr="00D66D81" w:rsidRDefault="00D97C52">
            <w:pPr>
              <w:spacing w:line="240" w:lineRule="auto"/>
              <w:rPr>
                <w:rFonts w:cs="Arial"/>
                <w:sz w:val="22"/>
              </w:rPr>
            </w:pPr>
            <w:r w:rsidRPr="00D66D81">
              <w:rPr>
                <w:rFonts w:cs="Arial"/>
                <w:sz w:val="22"/>
              </w:rPr>
              <w:t>Polyethylene retail carrier bags (</w:t>
            </w:r>
            <w:r w:rsidR="00192BF6">
              <w:rPr>
                <w:rFonts w:cs="Arial"/>
                <w:sz w:val="22"/>
              </w:rPr>
              <w:t>PRC</w:t>
            </w:r>
            <w:r w:rsidRPr="00D66D81">
              <w:rPr>
                <w:rFonts w:cs="Arial"/>
                <w:sz w:val="22"/>
              </w:rPr>
              <w:t>, Taiwan)</w:t>
            </w:r>
          </w:p>
        </w:tc>
        <w:tc>
          <w:tcPr>
            <w:tcW w:w="935" w:type="dxa"/>
            <w:shd w:val="clear" w:color="auto" w:fill="DEEAF6" w:themeFill="accent5" w:themeFillTint="33"/>
            <w:hideMark/>
          </w:tcPr>
          <w:p w14:paraId="57CE556A" w14:textId="77777777" w:rsidR="00D97C52" w:rsidRPr="00D66D81" w:rsidRDefault="00D97C52">
            <w:pPr>
              <w:spacing w:line="240" w:lineRule="auto"/>
              <w:jc w:val="right"/>
              <w:rPr>
                <w:rFonts w:cs="Arial"/>
                <w:sz w:val="22"/>
              </w:rPr>
            </w:pPr>
            <w:r w:rsidRPr="00D66D81">
              <w:rPr>
                <w:rFonts w:cs="Arial"/>
                <w:sz w:val="22"/>
              </w:rPr>
              <w:t>2</w:t>
            </w:r>
          </w:p>
        </w:tc>
        <w:tc>
          <w:tcPr>
            <w:tcW w:w="1175" w:type="dxa"/>
            <w:hideMark/>
          </w:tcPr>
          <w:p w14:paraId="21AFA6DD" w14:textId="77777777" w:rsidR="00D97C52" w:rsidRPr="00D66D81" w:rsidRDefault="00D97C52">
            <w:pPr>
              <w:spacing w:line="240" w:lineRule="auto"/>
              <w:jc w:val="right"/>
              <w:rPr>
                <w:rFonts w:cs="Arial"/>
                <w:sz w:val="22"/>
              </w:rPr>
            </w:pPr>
          </w:p>
        </w:tc>
        <w:tc>
          <w:tcPr>
            <w:tcW w:w="1175" w:type="dxa"/>
          </w:tcPr>
          <w:p w14:paraId="5DCECB4A" w14:textId="77777777" w:rsidR="00D97C52" w:rsidRPr="00D66D81" w:rsidRDefault="00D97C52">
            <w:pPr>
              <w:spacing w:line="240" w:lineRule="auto"/>
              <w:jc w:val="right"/>
              <w:rPr>
                <w:rFonts w:cs="Arial"/>
                <w:sz w:val="22"/>
              </w:rPr>
            </w:pPr>
          </w:p>
        </w:tc>
        <w:tc>
          <w:tcPr>
            <w:tcW w:w="1176" w:type="dxa"/>
            <w:hideMark/>
          </w:tcPr>
          <w:p w14:paraId="6AA14094" w14:textId="665B761B" w:rsidR="00D97C52" w:rsidRPr="00D66D81" w:rsidRDefault="00D97C52">
            <w:pPr>
              <w:spacing w:line="240" w:lineRule="auto"/>
              <w:jc w:val="right"/>
              <w:rPr>
                <w:rFonts w:cs="Arial"/>
                <w:sz w:val="22"/>
              </w:rPr>
            </w:pPr>
          </w:p>
        </w:tc>
        <w:tc>
          <w:tcPr>
            <w:tcW w:w="1175" w:type="dxa"/>
            <w:hideMark/>
          </w:tcPr>
          <w:p w14:paraId="473754DE" w14:textId="77777777" w:rsidR="00D97C52" w:rsidRPr="00D66D81" w:rsidRDefault="00D97C52">
            <w:pPr>
              <w:spacing w:line="240" w:lineRule="auto"/>
              <w:jc w:val="right"/>
              <w:rPr>
                <w:rFonts w:cs="Arial"/>
                <w:sz w:val="22"/>
              </w:rPr>
            </w:pPr>
            <w:r w:rsidRPr="00D66D81">
              <w:rPr>
                <w:rFonts w:cs="Arial"/>
                <w:sz w:val="22"/>
              </w:rPr>
              <w:t>2</w:t>
            </w:r>
          </w:p>
        </w:tc>
        <w:tc>
          <w:tcPr>
            <w:tcW w:w="1176" w:type="dxa"/>
            <w:hideMark/>
          </w:tcPr>
          <w:p w14:paraId="30BFA017" w14:textId="77777777" w:rsidR="00D97C52" w:rsidRPr="00D66D81" w:rsidRDefault="00D97C52">
            <w:pPr>
              <w:spacing w:line="240" w:lineRule="auto"/>
              <w:jc w:val="right"/>
              <w:rPr>
                <w:rFonts w:cs="Arial"/>
                <w:sz w:val="22"/>
              </w:rPr>
            </w:pPr>
          </w:p>
        </w:tc>
        <w:tc>
          <w:tcPr>
            <w:tcW w:w="1312" w:type="dxa"/>
            <w:hideMark/>
          </w:tcPr>
          <w:p w14:paraId="426D6B38" w14:textId="2D384B8F" w:rsidR="00D97C52" w:rsidRPr="00D66D81" w:rsidRDefault="002406F0">
            <w:pPr>
              <w:spacing w:line="240" w:lineRule="auto"/>
              <w:rPr>
                <w:rFonts w:cs="Arial"/>
                <w:sz w:val="22"/>
              </w:rPr>
            </w:pPr>
            <w:r>
              <w:rPr>
                <w:rFonts w:cs="Arial"/>
                <w:sz w:val="22"/>
              </w:rPr>
              <w:t>PRC</w:t>
            </w:r>
            <w:r w:rsidR="00D97C52" w:rsidRPr="00D66D81">
              <w:rPr>
                <w:rFonts w:cs="Arial"/>
                <w:sz w:val="22"/>
              </w:rPr>
              <w:t>, Taiwan</w:t>
            </w:r>
          </w:p>
        </w:tc>
        <w:tc>
          <w:tcPr>
            <w:tcW w:w="3419" w:type="dxa"/>
            <w:hideMark/>
          </w:tcPr>
          <w:p w14:paraId="7AB72D84" w14:textId="77777777" w:rsidR="00D97C52" w:rsidRPr="00D66D81" w:rsidRDefault="00D97C52">
            <w:pPr>
              <w:spacing w:line="240" w:lineRule="auto"/>
              <w:jc w:val="right"/>
              <w:rPr>
                <w:rFonts w:cs="Arial"/>
                <w:sz w:val="22"/>
              </w:rPr>
            </w:pPr>
            <w:r w:rsidRPr="00D66D81">
              <w:rPr>
                <w:rFonts w:cs="Arial"/>
                <w:sz w:val="22"/>
              </w:rPr>
              <w:t>3923210085</w:t>
            </w:r>
          </w:p>
        </w:tc>
      </w:tr>
      <w:tr w:rsidR="00D97C52" w:rsidRPr="00D66D81" w14:paraId="47400BA2" w14:textId="77777777" w:rsidTr="00CB4E3D">
        <w:trPr>
          <w:trHeight w:val="335"/>
        </w:trPr>
        <w:tc>
          <w:tcPr>
            <w:tcW w:w="2405" w:type="dxa"/>
            <w:hideMark/>
          </w:tcPr>
          <w:p w14:paraId="792D55F0" w14:textId="5909D775" w:rsidR="00D97C52" w:rsidRPr="00D66D81" w:rsidRDefault="00D97C52">
            <w:pPr>
              <w:spacing w:line="240" w:lineRule="auto"/>
              <w:rPr>
                <w:rFonts w:cs="Arial"/>
                <w:sz w:val="22"/>
              </w:rPr>
            </w:pPr>
            <w:r w:rsidRPr="00D66D81">
              <w:rPr>
                <w:rFonts w:cs="Arial"/>
                <w:sz w:val="22"/>
              </w:rPr>
              <w:t>Hardwood plywood (</w:t>
            </w:r>
            <w:r w:rsidR="00192BF6">
              <w:rPr>
                <w:rFonts w:cs="Arial"/>
                <w:sz w:val="22"/>
              </w:rPr>
              <w:t>PRC</w:t>
            </w:r>
            <w:r w:rsidRPr="00D66D81">
              <w:rPr>
                <w:rFonts w:cs="Arial"/>
                <w:sz w:val="22"/>
              </w:rPr>
              <w:t>)</w:t>
            </w:r>
          </w:p>
        </w:tc>
        <w:tc>
          <w:tcPr>
            <w:tcW w:w="935" w:type="dxa"/>
            <w:shd w:val="clear" w:color="auto" w:fill="DEEAF6" w:themeFill="accent5" w:themeFillTint="33"/>
            <w:hideMark/>
          </w:tcPr>
          <w:p w14:paraId="5B46D1B8" w14:textId="77777777" w:rsidR="00D97C52" w:rsidRPr="00D66D81" w:rsidRDefault="00D97C52">
            <w:pPr>
              <w:spacing w:line="240" w:lineRule="auto"/>
              <w:jc w:val="right"/>
              <w:rPr>
                <w:rFonts w:cs="Arial"/>
                <w:sz w:val="22"/>
              </w:rPr>
            </w:pPr>
            <w:r w:rsidRPr="00D66D81">
              <w:rPr>
                <w:rFonts w:cs="Arial"/>
                <w:sz w:val="22"/>
              </w:rPr>
              <w:t>1</w:t>
            </w:r>
          </w:p>
        </w:tc>
        <w:tc>
          <w:tcPr>
            <w:tcW w:w="1175" w:type="dxa"/>
            <w:hideMark/>
          </w:tcPr>
          <w:p w14:paraId="46E871A9" w14:textId="7188DEF9" w:rsidR="00D97C52" w:rsidRPr="00D66D81" w:rsidRDefault="00D97C52">
            <w:pPr>
              <w:spacing w:line="240" w:lineRule="auto"/>
              <w:jc w:val="right"/>
              <w:rPr>
                <w:rFonts w:cs="Arial"/>
                <w:sz w:val="22"/>
              </w:rPr>
            </w:pPr>
            <w:r w:rsidRPr="00D66D81">
              <w:rPr>
                <w:rFonts w:cs="Arial"/>
                <w:sz w:val="22"/>
              </w:rPr>
              <w:t>1</w:t>
            </w:r>
          </w:p>
        </w:tc>
        <w:tc>
          <w:tcPr>
            <w:tcW w:w="1175" w:type="dxa"/>
          </w:tcPr>
          <w:p w14:paraId="4A85E90F" w14:textId="77777777" w:rsidR="00D97C52" w:rsidRPr="00D66D81" w:rsidRDefault="00D97C52">
            <w:pPr>
              <w:spacing w:line="240" w:lineRule="auto"/>
              <w:jc w:val="right"/>
              <w:rPr>
                <w:rFonts w:cs="Arial"/>
                <w:sz w:val="22"/>
              </w:rPr>
            </w:pPr>
          </w:p>
        </w:tc>
        <w:tc>
          <w:tcPr>
            <w:tcW w:w="1176" w:type="dxa"/>
            <w:hideMark/>
          </w:tcPr>
          <w:p w14:paraId="5E5D36DC" w14:textId="6159BBC9" w:rsidR="00D97C52" w:rsidRPr="00D66D81" w:rsidRDefault="00D97C52">
            <w:pPr>
              <w:spacing w:line="240" w:lineRule="auto"/>
              <w:jc w:val="right"/>
              <w:rPr>
                <w:rFonts w:cs="Arial"/>
                <w:sz w:val="22"/>
              </w:rPr>
            </w:pPr>
          </w:p>
        </w:tc>
        <w:tc>
          <w:tcPr>
            <w:tcW w:w="1175" w:type="dxa"/>
            <w:hideMark/>
          </w:tcPr>
          <w:p w14:paraId="390E874A" w14:textId="78E0492B" w:rsidR="00D97C52" w:rsidRPr="00D66D81" w:rsidRDefault="00D97C52">
            <w:pPr>
              <w:spacing w:line="240" w:lineRule="auto"/>
              <w:jc w:val="right"/>
              <w:rPr>
                <w:rFonts w:cs="Arial"/>
                <w:sz w:val="22"/>
              </w:rPr>
            </w:pPr>
          </w:p>
        </w:tc>
        <w:tc>
          <w:tcPr>
            <w:tcW w:w="1176" w:type="dxa"/>
            <w:hideMark/>
          </w:tcPr>
          <w:p w14:paraId="7D68F4E6" w14:textId="77777777" w:rsidR="00D97C52" w:rsidRPr="00D66D81" w:rsidRDefault="00D97C52">
            <w:pPr>
              <w:spacing w:line="240" w:lineRule="auto"/>
              <w:jc w:val="right"/>
              <w:rPr>
                <w:rFonts w:cs="Arial"/>
                <w:sz w:val="22"/>
              </w:rPr>
            </w:pPr>
          </w:p>
        </w:tc>
        <w:tc>
          <w:tcPr>
            <w:tcW w:w="1312" w:type="dxa"/>
            <w:hideMark/>
          </w:tcPr>
          <w:p w14:paraId="3E8825A6" w14:textId="77777777" w:rsidR="00D97C52" w:rsidRPr="00D66D81" w:rsidRDefault="00D97C52">
            <w:pPr>
              <w:spacing w:line="240" w:lineRule="auto"/>
              <w:rPr>
                <w:rFonts w:cs="Arial"/>
                <w:sz w:val="22"/>
              </w:rPr>
            </w:pPr>
            <w:r w:rsidRPr="00D66D81">
              <w:rPr>
                <w:rFonts w:cs="Arial"/>
                <w:sz w:val="22"/>
              </w:rPr>
              <w:t>Vietnam</w:t>
            </w:r>
          </w:p>
        </w:tc>
        <w:tc>
          <w:tcPr>
            <w:tcW w:w="3419" w:type="dxa"/>
            <w:hideMark/>
          </w:tcPr>
          <w:p w14:paraId="08192228" w14:textId="77777777" w:rsidR="00D97C52" w:rsidRPr="00D66D81" w:rsidRDefault="00D97C52">
            <w:pPr>
              <w:spacing w:line="240" w:lineRule="auto"/>
              <w:jc w:val="right"/>
              <w:rPr>
                <w:rFonts w:cs="Arial"/>
                <w:sz w:val="22"/>
              </w:rPr>
            </w:pPr>
            <w:r w:rsidRPr="00D66D81">
              <w:rPr>
                <w:rFonts w:cs="Arial"/>
                <w:sz w:val="22"/>
              </w:rPr>
              <w:t>44123300</w:t>
            </w:r>
          </w:p>
        </w:tc>
      </w:tr>
      <w:tr w:rsidR="00D97C52" w:rsidRPr="00D66D81" w14:paraId="43D06347" w14:textId="77777777" w:rsidTr="00CB4E3D">
        <w:trPr>
          <w:trHeight w:val="335"/>
        </w:trPr>
        <w:tc>
          <w:tcPr>
            <w:tcW w:w="2405" w:type="dxa"/>
            <w:hideMark/>
          </w:tcPr>
          <w:p w14:paraId="7F0B1B0B" w14:textId="73D3B0AA" w:rsidR="00D97C52" w:rsidRPr="00D66D81" w:rsidRDefault="00D97C52">
            <w:pPr>
              <w:spacing w:line="240" w:lineRule="auto"/>
              <w:rPr>
                <w:rFonts w:cs="Arial"/>
                <w:sz w:val="22"/>
              </w:rPr>
            </w:pPr>
            <w:r w:rsidRPr="00D66D81">
              <w:rPr>
                <w:rFonts w:cs="Arial"/>
                <w:sz w:val="22"/>
              </w:rPr>
              <w:t>Certain tissue paper products (</w:t>
            </w:r>
            <w:r w:rsidR="00192BF6">
              <w:rPr>
                <w:rFonts w:cs="Arial"/>
                <w:sz w:val="22"/>
              </w:rPr>
              <w:t>PRC</w:t>
            </w:r>
            <w:r w:rsidRPr="00D66D81">
              <w:rPr>
                <w:rFonts w:cs="Arial"/>
                <w:sz w:val="22"/>
              </w:rPr>
              <w:t>)</w:t>
            </w:r>
          </w:p>
        </w:tc>
        <w:tc>
          <w:tcPr>
            <w:tcW w:w="935" w:type="dxa"/>
            <w:shd w:val="clear" w:color="auto" w:fill="DEEAF6" w:themeFill="accent5" w:themeFillTint="33"/>
            <w:hideMark/>
          </w:tcPr>
          <w:p w14:paraId="681962FD" w14:textId="01950FB7" w:rsidR="00D97C52" w:rsidRPr="00D66D81" w:rsidRDefault="009D744D">
            <w:pPr>
              <w:spacing w:line="240" w:lineRule="auto"/>
              <w:jc w:val="right"/>
              <w:rPr>
                <w:rFonts w:cs="Arial"/>
                <w:sz w:val="22"/>
              </w:rPr>
            </w:pPr>
            <w:r w:rsidRPr="00D66D81">
              <w:rPr>
                <w:rFonts w:cs="Arial"/>
                <w:sz w:val="22"/>
              </w:rPr>
              <w:t>1</w:t>
            </w:r>
          </w:p>
        </w:tc>
        <w:tc>
          <w:tcPr>
            <w:tcW w:w="1175" w:type="dxa"/>
            <w:hideMark/>
          </w:tcPr>
          <w:p w14:paraId="30F776A0" w14:textId="4E88A1B7" w:rsidR="00D97C52" w:rsidRPr="00D66D81" w:rsidRDefault="009D744D">
            <w:pPr>
              <w:spacing w:line="240" w:lineRule="auto"/>
              <w:jc w:val="right"/>
              <w:rPr>
                <w:rFonts w:cs="Arial"/>
                <w:sz w:val="22"/>
              </w:rPr>
            </w:pPr>
            <w:r w:rsidRPr="00D66D81">
              <w:rPr>
                <w:rFonts w:cs="Arial"/>
                <w:sz w:val="22"/>
              </w:rPr>
              <w:t>1</w:t>
            </w:r>
          </w:p>
        </w:tc>
        <w:tc>
          <w:tcPr>
            <w:tcW w:w="1175" w:type="dxa"/>
          </w:tcPr>
          <w:p w14:paraId="62AFA2DB" w14:textId="77777777" w:rsidR="00D97C52" w:rsidRPr="00D66D81" w:rsidRDefault="00D97C52">
            <w:pPr>
              <w:spacing w:line="240" w:lineRule="auto"/>
              <w:jc w:val="right"/>
              <w:rPr>
                <w:rFonts w:cs="Arial"/>
                <w:sz w:val="22"/>
              </w:rPr>
            </w:pPr>
          </w:p>
        </w:tc>
        <w:tc>
          <w:tcPr>
            <w:tcW w:w="1176" w:type="dxa"/>
            <w:hideMark/>
          </w:tcPr>
          <w:p w14:paraId="208EB57D" w14:textId="095583B0" w:rsidR="00D97C52" w:rsidRPr="00D66D81" w:rsidRDefault="00D97C52">
            <w:pPr>
              <w:spacing w:line="240" w:lineRule="auto"/>
              <w:jc w:val="right"/>
              <w:rPr>
                <w:rFonts w:cs="Arial"/>
                <w:sz w:val="22"/>
              </w:rPr>
            </w:pPr>
          </w:p>
        </w:tc>
        <w:tc>
          <w:tcPr>
            <w:tcW w:w="1175" w:type="dxa"/>
            <w:hideMark/>
          </w:tcPr>
          <w:p w14:paraId="1DD53C54" w14:textId="77777777" w:rsidR="00D97C52" w:rsidRPr="00D66D81" w:rsidRDefault="00D97C52">
            <w:pPr>
              <w:spacing w:line="240" w:lineRule="auto"/>
              <w:jc w:val="right"/>
              <w:rPr>
                <w:rFonts w:cs="Arial"/>
                <w:sz w:val="22"/>
              </w:rPr>
            </w:pPr>
          </w:p>
        </w:tc>
        <w:tc>
          <w:tcPr>
            <w:tcW w:w="1176" w:type="dxa"/>
            <w:hideMark/>
          </w:tcPr>
          <w:p w14:paraId="187813AC" w14:textId="77777777" w:rsidR="00D97C52" w:rsidRPr="00D66D81" w:rsidRDefault="00D97C52">
            <w:pPr>
              <w:spacing w:line="240" w:lineRule="auto"/>
              <w:jc w:val="right"/>
              <w:rPr>
                <w:rFonts w:cs="Arial"/>
                <w:sz w:val="22"/>
              </w:rPr>
            </w:pPr>
          </w:p>
        </w:tc>
        <w:tc>
          <w:tcPr>
            <w:tcW w:w="1312" w:type="dxa"/>
            <w:hideMark/>
          </w:tcPr>
          <w:p w14:paraId="519766F4" w14:textId="77777777" w:rsidR="00D97C52" w:rsidRPr="00D66D81" w:rsidRDefault="00D97C52">
            <w:pPr>
              <w:spacing w:line="240" w:lineRule="auto"/>
              <w:rPr>
                <w:rFonts w:cs="Arial"/>
                <w:sz w:val="22"/>
              </w:rPr>
            </w:pPr>
            <w:r w:rsidRPr="00D66D81">
              <w:rPr>
                <w:rFonts w:cs="Arial"/>
                <w:sz w:val="22"/>
              </w:rPr>
              <w:t>Vietnam, India</w:t>
            </w:r>
          </w:p>
        </w:tc>
        <w:tc>
          <w:tcPr>
            <w:tcW w:w="3419" w:type="dxa"/>
            <w:hideMark/>
          </w:tcPr>
          <w:p w14:paraId="385584B2" w14:textId="77777777" w:rsidR="00D97C52" w:rsidRPr="00D66D81" w:rsidRDefault="00D97C52">
            <w:pPr>
              <w:spacing w:line="240" w:lineRule="auto"/>
              <w:jc w:val="right"/>
              <w:rPr>
                <w:rFonts w:cs="Arial"/>
                <w:sz w:val="22"/>
              </w:rPr>
            </w:pPr>
            <w:r w:rsidRPr="00D66D81">
              <w:rPr>
                <w:rFonts w:cs="Arial"/>
                <w:sz w:val="22"/>
              </w:rPr>
              <w:t xml:space="preserve">480230, 480254, 480261, 480262, 480269, 480439, 480640, 480830, 480890, 481190, 48029000, 48059190, 48205000, 95059040, 4804311000, 4804312000, 4804314020, 4804314040, 4804316000, 4805911090, 4805915000, 4805917000  </w:t>
            </w:r>
          </w:p>
        </w:tc>
      </w:tr>
      <w:tr w:rsidR="00D97C52" w:rsidRPr="00D66D81" w14:paraId="2400A08B" w14:textId="77777777" w:rsidTr="00CB4E3D">
        <w:trPr>
          <w:trHeight w:val="335"/>
        </w:trPr>
        <w:tc>
          <w:tcPr>
            <w:tcW w:w="2405" w:type="dxa"/>
            <w:hideMark/>
          </w:tcPr>
          <w:p w14:paraId="2C7D60A1" w14:textId="1B2D62FF" w:rsidR="00D97C52" w:rsidRPr="00D66D81" w:rsidRDefault="00D97C52">
            <w:pPr>
              <w:spacing w:line="240" w:lineRule="auto"/>
              <w:rPr>
                <w:rFonts w:cs="Arial"/>
                <w:sz w:val="22"/>
                <w:lang w:val="es-ES"/>
              </w:rPr>
            </w:pPr>
            <w:r w:rsidRPr="00D66D81">
              <w:rPr>
                <w:rFonts w:cs="Arial"/>
                <w:sz w:val="22"/>
                <w:lang w:val="es-ES"/>
              </w:rPr>
              <w:t>Uncoated paper (</w:t>
            </w:r>
            <w:r w:rsidR="00192BF6">
              <w:rPr>
                <w:rFonts w:cs="Arial"/>
                <w:sz w:val="22"/>
                <w:lang w:val="es-ES"/>
              </w:rPr>
              <w:t>PRC</w:t>
            </w:r>
            <w:r w:rsidRPr="00D66D81">
              <w:rPr>
                <w:rFonts w:cs="Arial"/>
                <w:sz w:val="22"/>
                <w:lang w:val="es-ES"/>
              </w:rPr>
              <w:t xml:space="preserve">, </w:t>
            </w:r>
            <w:r w:rsidRPr="00D66D81">
              <w:rPr>
                <w:rFonts w:cs="Arial"/>
                <w:color w:val="000000"/>
                <w:kern w:val="24"/>
                <w:sz w:val="22"/>
                <w:lang w:val="es-ES"/>
              </w:rPr>
              <w:t>Australia, Brazil, Indonesia, Portugal</w:t>
            </w:r>
            <w:r w:rsidRPr="00D66D81">
              <w:rPr>
                <w:rFonts w:cs="Arial"/>
                <w:sz w:val="22"/>
                <w:lang w:val="es-ES"/>
              </w:rPr>
              <w:t>)</w:t>
            </w:r>
            <w:r w:rsidRPr="00D66D81">
              <w:rPr>
                <w:rStyle w:val="FootnoteReference"/>
                <w:rFonts w:cs="Arial"/>
                <w:sz w:val="22"/>
                <w:lang w:val="es-ES"/>
              </w:rPr>
              <w:footnoteReference w:id="111"/>
            </w:r>
          </w:p>
        </w:tc>
        <w:tc>
          <w:tcPr>
            <w:tcW w:w="935" w:type="dxa"/>
            <w:shd w:val="clear" w:color="auto" w:fill="DEEAF6" w:themeFill="accent5" w:themeFillTint="33"/>
            <w:hideMark/>
          </w:tcPr>
          <w:p w14:paraId="60F0BF0D" w14:textId="628DA20A" w:rsidR="00D97C52" w:rsidRPr="00D66D81" w:rsidRDefault="00D97C52">
            <w:pPr>
              <w:spacing w:line="240" w:lineRule="auto"/>
              <w:jc w:val="right"/>
              <w:rPr>
                <w:rFonts w:cs="Arial"/>
                <w:sz w:val="22"/>
              </w:rPr>
            </w:pPr>
            <w:r w:rsidRPr="00D66D81">
              <w:rPr>
                <w:rFonts w:cs="Arial"/>
                <w:sz w:val="22"/>
              </w:rPr>
              <w:t>3</w:t>
            </w:r>
          </w:p>
        </w:tc>
        <w:tc>
          <w:tcPr>
            <w:tcW w:w="1175" w:type="dxa"/>
            <w:hideMark/>
          </w:tcPr>
          <w:p w14:paraId="0EDE4944" w14:textId="6E8E3558" w:rsidR="00D97C52" w:rsidRPr="00D66D81" w:rsidRDefault="00D97C52">
            <w:pPr>
              <w:spacing w:line="240" w:lineRule="auto"/>
              <w:jc w:val="right"/>
              <w:rPr>
                <w:rFonts w:cs="Arial"/>
                <w:sz w:val="22"/>
              </w:rPr>
            </w:pPr>
          </w:p>
        </w:tc>
        <w:tc>
          <w:tcPr>
            <w:tcW w:w="1175" w:type="dxa"/>
          </w:tcPr>
          <w:p w14:paraId="4B7D9336" w14:textId="69E16E3D" w:rsidR="00D97C52" w:rsidRPr="00D66D81" w:rsidRDefault="00D97C52">
            <w:pPr>
              <w:spacing w:line="240" w:lineRule="auto"/>
              <w:jc w:val="right"/>
              <w:rPr>
                <w:rFonts w:cs="Arial"/>
                <w:sz w:val="22"/>
              </w:rPr>
            </w:pPr>
            <w:r w:rsidRPr="00D66D81">
              <w:rPr>
                <w:rFonts w:cs="Arial"/>
                <w:sz w:val="22"/>
              </w:rPr>
              <w:t>3</w:t>
            </w:r>
          </w:p>
        </w:tc>
        <w:tc>
          <w:tcPr>
            <w:tcW w:w="1176" w:type="dxa"/>
            <w:hideMark/>
          </w:tcPr>
          <w:p w14:paraId="00AD6CA1" w14:textId="0707A625" w:rsidR="00D97C52" w:rsidRPr="00D66D81" w:rsidRDefault="00D97C52">
            <w:pPr>
              <w:spacing w:line="240" w:lineRule="auto"/>
              <w:jc w:val="right"/>
              <w:rPr>
                <w:rFonts w:cs="Arial"/>
                <w:sz w:val="22"/>
              </w:rPr>
            </w:pPr>
          </w:p>
        </w:tc>
        <w:tc>
          <w:tcPr>
            <w:tcW w:w="1175" w:type="dxa"/>
            <w:hideMark/>
          </w:tcPr>
          <w:p w14:paraId="182D1570" w14:textId="6AB0D933" w:rsidR="00D97C52" w:rsidRPr="00D66D81" w:rsidRDefault="00D97C52">
            <w:pPr>
              <w:spacing w:line="240" w:lineRule="auto"/>
              <w:jc w:val="right"/>
              <w:rPr>
                <w:rFonts w:cs="Arial"/>
                <w:sz w:val="22"/>
              </w:rPr>
            </w:pPr>
          </w:p>
        </w:tc>
        <w:tc>
          <w:tcPr>
            <w:tcW w:w="1176" w:type="dxa"/>
            <w:hideMark/>
          </w:tcPr>
          <w:p w14:paraId="149C1EF7" w14:textId="77777777" w:rsidR="00D97C52" w:rsidRPr="00D66D81" w:rsidRDefault="00D97C52">
            <w:pPr>
              <w:spacing w:line="240" w:lineRule="auto"/>
              <w:jc w:val="right"/>
              <w:rPr>
                <w:rFonts w:cs="Arial"/>
                <w:sz w:val="22"/>
              </w:rPr>
            </w:pPr>
          </w:p>
        </w:tc>
        <w:tc>
          <w:tcPr>
            <w:tcW w:w="1312" w:type="dxa"/>
            <w:hideMark/>
          </w:tcPr>
          <w:p w14:paraId="445CAE54" w14:textId="0FC6C712" w:rsidR="00D97C52" w:rsidRPr="00D66D81" w:rsidRDefault="002406F0">
            <w:pPr>
              <w:spacing w:line="240" w:lineRule="auto"/>
              <w:rPr>
                <w:rFonts w:cs="Arial"/>
                <w:sz w:val="22"/>
              </w:rPr>
            </w:pPr>
            <w:r>
              <w:rPr>
                <w:rFonts w:cs="Arial"/>
                <w:sz w:val="22"/>
              </w:rPr>
              <w:t>PRC</w:t>
            </w:r>
          </w:p>
        </w:tc>
        <w:tc>
          <w:tcPr>
            <w:tcW w:w="3419" w:type="dxa"/>
            <w:hideMark/>
          </w:tcPr>
          <w:p w14:paraId="32989E60" w14:textId="77777777" w:rsidR="00D97C52" w:rsidRPr="00D66D81" w:rsidRDefault="00D97C52">
            <w:pPr>
              <w:spacing w:line="240" w:lineRule="auto"/>
              <w:jc w:val="right"/>
              <w:rPr>
                <w:rFonts w:cs="Arial"/>
                <w:sz w:val="22"/>
              </w:rPr>
            </w:pPr>
            <w:r w:rsidRPr="00D66D81">
              <w:rPr>
                <w:rFonts w:cs="Arial"/>
                <w:sz w:val="22"/>
              </w:rPr>
              <w:t>48025590</w:t>
            </w:r>
          </w:p>
        </w:tc>
      </w:tr>
      <w:tr w:rsidR="00D97C52" w:rsidRPr="00D66D81" w14:paraId="3FDE3D70" w14:textId="77777777" w:rsidTr="00CB4E3D">
        <w:trPr>
          <w:trHeight w:val="335"/>
        </w:trPr>
        <w:tc>
          <w:tcPr>
            <w:tcW w:w="2405" w:type="dxa"/>
            <w:hideMark/>
          </w:tcPr>
          <w:p w14:paraId="471BBBE7" w14:textId="373B8038" w:rsidR="00D97C52" w:rsidRPr="00D66D81" w:rsidRDefault="00D97C52">
            <w:pPr>
              <w:spacing w:line="240" w:lineRule="auto"/>
              <w:rPr>
                <w:rFonts w:cs="Arial"/>
                <w:sz w:val="22"/>
              </w:rPr>
            </w:pPr>
            <w:r w:rsidRPr="00D66D81">
              <w:rPr>
                <w:rFonts w:cs="Arial"/>
                <w:sz w:val="22"/>
              </w:rPr>
              <w:t>Certain corrosion resistant steel products (</w:t>
            </w:r>
            <w:r w:rsidR="00192BF6">
              <w:rPr>
                <w:rFonts w:cs="Arial"/>
                <w:sz w:val="22"/>
              </w:rPr>
              <w:t>PRC</w:t>
            </w:r>
            <w:r w:rsidRPr="00D66D81">
              <w:rPr>
                <w:rFonts w:cs="Arial"/>
                <w:sz w:val="22"/>
              </w:rPr>
              <w:t>, Costa Rica, Malaysia, South Africa)</w:t>
            </w:r>
          </w:p>
        </w:tc>
        <w:tc>
          <w:tcPr>
            <w:tcW w:w="935" w:type="dxa"/>
            <w:shd w:val="clear" w:color="auto" w:fill="DEEAF6" w:themeFill="accent5" w:themeFillTint="33"/>
            <w:hideMark/>
          </w:tcPr>
          <w:p w14:paraId="0E046ABB" w14:textId="77777777" w:rsidR="00D97C52" w:rsidRPr="00D66D81" w:rsidRDefault="00D97C52">
            <w:pPr>
              <w:spacing w:line="240" w:lineRule="auto"/>
              <w:jc w:val="right"/>
              <w:rPr>
                <w:rFonts w:cs="Arial"/>
                <w:sz w:val="22"/>
              </w:rPr>
            </w:pPr>
            <w:r w:rsidRPr="00D66D81">
              <w:rPr>
                <w:rFonts w:cs="Arial"/>
                <w:sz w:val="22"/>
              </w:rPr>
              <w:t>3</w:t>
            </w:r>
          </w:p>
        </w:tc>
        <w:tc>
          <w:tcPr>
            <w:tcW w:w="1175" w:type="dxa"/>
            <w:hideMark/>
          </w:tcPr>
          <w:p w14:paraId="5A7F4B4B" w14:textId="77777777" w:rsidR="00D97C52" w:rsidRPr="00D66D81" w:rsidRDefault="00D97C52">
            <w:pPr>
              <w:spacing w:line="240" w:lineRule="auto"/>
              <w:jc w:val="right"/>
              <w:rPr>
                <w:rFonts w:cs="Arial"/>
                <w:sz w:val="22"/>
              </w:rPr>
            </w:pPr>
            <w:r w:rsidRPr="00D66D81">
              <w:rPr>
                <w:rFonts w:cs="Arial"/>
                <w:sz w:val="22"/>
              </w:rPr>
              <w:t>3</w:t>
            </w:r>
          </w:p>
        </w:tc>
        <w:tc>
          <w:tcPr>
            <w:tcW w:w="1175" w:type="dxa"/>
          </w:tcPr>
          <w:p w14:paraId="35E16F34" w14:textId="77777777" w:rsidR="00D97C52" w:rsidRPr="00D66D81" w:rsidRDefault="00D97C52">
            <w:pPr>
              <w:spacing w:line="240" w:lineRule="auto"/>
              <w:jc w:val="right"/>
              <w:rPr>
                <w:rFonts w:cs="Arial"/>
                <w:sz w:val="22"/>
              </w:rPr>
            </w:pPr>
          </w:p>
        </w:tc>
        <w:tc>
          <w:tcPr>
            <w:tcW w:w="1176" w:type="dxa"/>
            <w:hideMark/>
          </w:tcPr>
          <w:p w14:paraId="60786166" w14:textId="2B855A2E" w:rsidR="00D97C52" w:rsidRPr="00D66D81" w:rsidRDefault="00D97C52">
            <w:pPr>
              <w:spacing w:line="240" w:lineRule="auto"/>
              <w:jc w:val="right"/>
              <w:rPr>
                <w:rFonts w:cs="Arial"/>
                <w:sz w:val="22"/>
              </w:rPr>
            </w:pPr>
          </w:p>
        </w:tc>
        <w:tc>
          <w:tcPr>
            <w:tcW w:w="1175" w:type="dxa"/>
            <w:hideMark/>
          </w:tcPr>
          <w:p w14:paraId="053D6824" w14:textId="77777777" w:rsidR="00D97C52" w:rsidRPr="00D66D81" w:rsidRDefault="00D97C52">
            <w:pPr>
              <w:spacing w:line="240" w:lineRule="auto"/>
              <w:jc w:val="right"/>
              <w:rPr>
                <w:rFonts w:cs="Arial"/>
                <w:sz w:val="22"/>
              </w:rPr>
            </w:pPr>
          </w:p>
        </w:tc>
        <w:tc>
          <w:tcPr>
            <w:tcW w:w="1176" w:type="dxa"/>
            <w:hideMark/>
          </w:tcPr>
          <w:p w14:paraId="1FD0D7A4" w14:textId="77777777" w:rsidR="00D97C52" w:rsidRPr="00D66D81" w:rsidRDefault="00D97C52">
            <w:pPr>
              <w:spacing w:line="240" w:lineRule="auto"/>
              <w:jc w:val="right"/>
              <w:rPr>
                <w:rFonts w:cs="Arial"/>
                <w:sz w:val="22"/>
              </w:rPr>
            </w:pPr>
          </w:p>
        </w:tc>
        <w:tc>
          <w:tcPr>
            <w:tcW w:w="1312" w:type="dxa"/>
            <w:hideMark/>
          </w:tcPr>
          <w:p w14:paraId="5941463E" w14:textId="3F10C68F" w:rsidR="00D97C52" w:rsidRPr="00D66D81" w:rsidRDefault="00D97C52" w:rsidP="00A267A1">
            <w:pPr>
              <w:spacing w:line="240" w:lineRule="auto"/>
              <w:rPr>
                <w:rFonts w:cs="Arial"/>
                <w:sz w:val="22"/>
              </w:rPr>
            </w:pPr>
            <w:r w:rsidRPr="00D66D81">
              <w:rPr>
                <w:rFonts w:cs="Arial"/>
                <w:sz w:val="22"/>
              </w:rPr>
              <w:t>UAE</w:t>
            </w:r>
            <w:r w:rsidR="00A267A1">
              <w:rPr>
                <w:rFonts w:cs="Arial"/>
                <w:sz w:val="22"/>
              </w:rPr>
              <w:t xml:space="preserve">, </w:t>
            </w:r>
            <w:r w:rsidRPr="00D66D81">
              <w:rPr>
                <w:rFonts w:cs="Arial"/>
                <w:sz w:val="22"/>
              </w:rPr>
              <w:t>Vietnam</w:t>
            </w:r>
            <w:r w:rsidR="00A267A1">
              <w:rPr>
                <w:rFonts w:cs="Arial"/>
                <w:sz w:val="22"/>
              </w:rPr>
              <w:t xml:space="preserve">, </w:t>
            </w:r>
            <w:r w:rsidR="002406F0">
              <w:rPr>
                <w:rFonts w:cs="Arial"/>
                <w:sz w:val="22"/>
              </w:rPr>
              <w:t>PRC</w:t>
            </w:r>
            <w:r w:rsidRPr="00D66D81">
              <w:rPr>
                <w:rFonts w:cs="Arial"/>
                <w:sz w:val="22"/>
              </w:rPr>
              <w:t xml:space="preserve">, Taiwan, </w:t>
            </w:r>
            <w:r w:rsidR="00A267A1">
              <w:rPr>
                <w:rFonts w:cs="Arial"/>
                <w:sz w:val="22"/>
              </w:rPr>
              <w:t>USA</w:t>
            </w:r>
            <w:r w:rsidRPr="00D66D81">
              <w:rPr>
                <w:rFonts w:cs="Arial"/>
                <w:sz w:val="22"/>
              </w:rPr>
              <w:t>, India</w:t>
            </w:r>
          </w:p>
        </w:tc>
        <w:tc>
          <w:tcPr>
            <w:tcW w:w="3419" w:type="dxa"/>
            <w:hideMark/>
          </w:tcPr>
          <w:p w14:paraId="3830A7B8" w14:textId="77777777" w:rsidR="00D97C52" w:rsidRPr="00D66D81" w:rsidRDefault="00D97C52">
            <w:pPr>
              <w:spacing w:line="240" w:lineRule="auto"/>
              <w:jc w:val="right"/>
              <w:rPr>
                <w:rFonts w:cs="Arial"/>
                <w:sz w:val="22"/>
              </w:rPr>
            </w:pPr>
            <w:r w:rsidRPr="00D66D81">
              <w:rPr>
                <w:rFonts w:cs="Arial"/>
                <w:sz w:val="22"/>
              </w:rPr>
              <w:t>7210.30.0030, 7210.30.0060, 7210.41.0000,</w:t>
            </w:r>
          </w:p>
          <w:p w14:paraId="3D9F0699" w14:textId="77777777" w:rsidR="00D97C52" w:rsidRPr="00D66D81" w:rsidRDefault="00D97C52">
            <w:pPr>
              <w:spacing w:line="240" w:lineRule="auto"/>
              <w:jc w:val="right"/>
              <w:rPr>
                <w:rFonts w:cs="Arial"/>
                <w:sz w:val="22"/>
              </w:rPr>
            </w:pPr>
            <w:r w:rsidRPr="00D66D81">
              <w:rPr>
                <w:rFonts w:cs="Arial"/>
                <w:sz w:val="22"/>
              </w:rPr>
              <w:t>7210.49.0030, 7210.49.0091, 7210.49.0095, 7210.61.0000, 7210.69.0000, 7210.70.6030,</w:t>
            </w:r>
          </w:p>
          <w:p w14:paraId="18CD03BC" w14:textId="77777777" w:rsidR="00D97C52" w:rsidRPr="00D66D81" w:rsidRDefault="00D97C52">
            <w:pPr>
              <w:spacing w:line="240" w:lineRule="auto"/>
              <w:jc w:val="right"/>
              <w:rPr>
                <w:rFonts w:cs="Arial"/>
                <w:sz w:val="22"/>
              </w:rPr>
            </w:pPr>
            <w:r w:rsidRPr="00D66D81">
              <w:rPr>
                <w:rFonts w:cs="Arial"/>
                <w:sz w:val="22"/>
              </w:rPr>
              <w:t>7210.70.6060, 7210.70.6090, 7210.90.6000, 7210.90.9000, 7212.20.0000, 7212.30.1030,</w:t>
            </w:r>
          </w:p>
          <w:p w14:paraId="0C150935" w14:textId="77777777" w:rsidR="00D97C52" w:rsidRPr="00D66D81" w:rsidRDefault="00D97C52">
            <w:pPr>
              <w:spacing w:line="240" w:lineRule="auto"/>
              <w:jc w:val="right"/>
              <w:rPr>
                <w:rFonts w:cs="Arial"/>
                <w:sz w:val="22"/>
              </w:rPr>
            </w:pPr>
            <w:r w:rsidRPr="00D66D81">
              <w:rPr>
                <w:rFonts w:cs="Arial"/>
                <w:sz w:val="22"/>
              </w:rPr>
              <w:t>7212.30.1090, 7212.30.3000, 7212.30.5000, 7212.40.1000, 7212.40.5000, 7212.50.0000, and</w:t>
            </w:r>
          </w:p>
          <w:p w14:paraId="1E0EFBCA" w14:textId="77777777" w:rsidR="00D97C52" w:rsidRPr="00D66D81" w:rsidRDefault="00D97C52">
            <w:pPr>
              <w:spacing w:line="240" w:lineRule="auto"/>
              <w:jc w:val="right"/>
              <w:rPr>
                <w:rFonts w:cs="Arial"/>
                <w:sz w:val="22"/>
              </w:rPr>
            </w:pPr>
            <w:r w:rsidRPr="00D66D81">
              <w:rPr>
                <w:rFonts w:cs="Arial"/>
                <w:sz w:val="22"/>
              </w:rPr>
              <w:t>7212.60.0000.</w:t>
            </w:r>
          </w:p>
        </w:tc>
      </w:tr>
      <w:tr w:rsidR="00D97C52" w:rsidRPr="00D66D81" w14:paraId="33FC7404" w14:textId="77777777" w:rsidTr="00CB4E3D">
        <w:trPr>
          <w:trHeight w:val="335"/>
        </w:trPr>
        <w:tc>
          <w:tcPr>
            <w:tcW w:w="2405" w:type="dxa"/>
            <w:hideMark/>
          </w:tcPr>
          <w:p w14:paraId="4BE7CF59" w14:textId="1781BFB4" w:rsidR="00D97C52" w:rsidRPr="00D66D81" w:rsidRDefault="00D97C52">
            <w:pPr>
              <w:spacing w:line="240" w:lineRule="auto"/>
              <w:rPr>
                <w:rFonts w:cs="Arial"/>
                <w:sz w:val="22"/>
              </w:rPr>
            </w:pPr>
            <w:r w:rsidRPr="00D66D81">
              <w:rPr>
                <w:rFonts w:cs="Arial"/>
                <w:sz w:val="22"/>
              </w:rPr>
              <w:t>Carbon and certain alloy steel wire rod (Mexico)</w:t>
            </w:r>
          </w:p>
        </w:tc>
        <w:tc>
          <w:tcPr>
            <w:tcW w:w="935" w:type="dxa"/>
            <w:shd w:val="clear" w:color="auto" w:fill="DEEAF6" w:themeFill="accent5" w:themeFillTint="33"/>
            <w:hideMark/>
          </w:tcPr>
          <w:p w14:paraId="170A651F" w14:textId="77777777" w:rsidR="00D97C52" w:rsidRPr="00D66D81" w:rsidRDefault="00D97C52">
            <w:pPr>
              <w:spacing w:line="240" w:lineRule="auto"/>
              <w:jc w:val="right"/>
              <w:rPr>
                <w:rFonts w:cs="Arial"/>
                <w:sz w:val="22"/>
              </w:rPr>
            </w:pPr>
            <w:r w:rsidRPr="00D66D81">
              <w:rPr>
                <w:rFonts w:cs="Arial"/>
                <w:sz w:val="22"/>
              </w:rPr>
              <w:t>1</w:t>
            </w:r>
          </w:p>
        </w:tc>
        <w:tc>
          <w:tcPr>
            <w:tcW w:w="1175" w:type="dxa"/>
            <w:hideMark/>
          </w:tcPr>
          <w:p w14:paraId="04D61D4C" w14:textId="77777777" w:rsidR="00D97C52" w:rsidRPr="00D66D81" w:rsidRDefault="00D97C52">
            <w:pPr>
              <w:spacing w:line="240" w:lineRule="auto"/>
              <w:jc w:val="right"/>
              <w:rPr>
                <w:rFonts w:cs="Arial"/>
                <w:sz w:val="22"/>
              </w:rPr>
            </w:pPr>
          </w:p>
        </w:tc>
        <w:tc>
          <w:tcPr>
            <w:tcW w:w="1175" w:type="dxa"/>
          </w:tcPr>
          <w:p w14:paraId="0D2D928D" w14:textId="77777777" w:rsidR="00D97C52" w:rsidRPr="00D66D81" w:rsidRDefault="00D97C52">
            <w:pPr>
              <w:spacing w:line="240" w:lineRule="auto"/>
              <w:jc w:val="right"/>
              <w:rPr>
                <w:rFonts w:cs="Arial"/>
                <w:sz w:val="22"/>
              </w:rPr>
            </w:pPr>
          </w:p>
        </w:tc>
        <w:tc>
          <w:tcPr>
            <w:tcW w:w="1176" w:type="dxa"/>
            <w:hideMark/>
          </w:tcPr>
          <w:p w14:paraId="252EA794" w14:textId="2473E539" w:rsidR="00D97C52" w:rsidRPr="00D66D81" w:rsidRDefault="00D97C52">
            <w:pPr>
              <w:spacing w:line="240" w:lineRule="auto"/>
              <w:jc w:val="right"/>
              <w:rPr>
                <w:rFonts w:cs="Arial"/>
                <w:sz w:val="22"/>
              </w:rPr>
            </w:pPr>
          </w:p>
        </w:tc>
        <w:tc>
          <w:tcPr>
            <w:tcW w:w="1175" w:type="dxa"/>
            <w:hideMark/>
          </w:tcPr>
          <w:p w14:paraId="09DFB0BC" w14:textId="77777777" w:rsidR="00D97C52" w:rsidRPr="00D66D81" w:rsidRDefault="00D97C52">
            <w:pPr>
              <w:spacing w:line="240" w:lineRule="auto"/>
              <w:jc w:val="right"/>
              <w:rPr>
                <w:rFonts w:cs="Arial"/>
                <w:sz w:val="22"/>
              </w:rPr>
            </w:pPr>
            <w:r w:rsidRPr="00D66D81">
              <w:rPr>
                <w:rFonts w:cs="Arial"/>
                <w:sz w:val="22"/>
              </w:rPr>
              <w:t>1</w:t>
            </w:r>
          </w:p>
        </w:tc>
        <w:tc>
          <w:tcPr>
            <w:tcW w:w="1176" w:type="dxa"/>
            <w:hideMark/>
          </w:tcPr>
          <w:p w14:paraId="658BD936" w14:textId="77777777" w:rsidR="00D97C52" w:rsidRPr="00D66D81" w:rsidRDefault="00D97C52">
            <w:pPr>
              <w:spacing w:line="240" w:lineRule="auto"/>
              <w:jc w:val="right"/>
              <w:rPr>
                <w:rFonts w:cs="Arial"/>
                <w:sz w:val="22"/>
              </w:rPr>
            </w:pPr>
          </w:p>
        </w:tc>
        <w:tc>
          <w:tcPr>
            <w:tcW w:w="1312" w:type="dxa"/>
            <w:hideMark/>
          </w:tcPr>
          <w:p w14:paraId="4118E04F" w14:textId="77777777" w:rsidR="00D97C52" w:rsidRPr="00D66D81" w:rsidRDefault="00D97C52">
            <w:pPr>
              <w:spacing w:line="240" w:lineRule="auto"/>
              <w:rPr>
                <w:rFonts w:cs="Arial"/>
                <w:sz w:val="22"/>
              </w:rPr>
            </w:pPr>
            <w:r w:rsidRPr="00D66D81">
              <w:rPr>
                <w:rFonts w:cs="Arial"/>
                <w:sz w:val="22"/>
              </w:rPr>
              <w:t>Mexico</w:t>
            </w:r>
          </w:p>
        </w:tc>
        <w:tc>
          <w:tcPr>
            <w:tcW w:w="3419" w:type="dxa"/>
            <w:hideMark/>
          </w:tcPr>
          <w:p w14:paraId="7261FB8E" w14:textId="77777777" w:rsidR="00D97C52" w:rsidRPr="00D66D81" w:rsidRDefault="00D97C52">
            <w:pPr>
              <w:spacing w:line="240" w:lineRule="auto"/>
              <w:jc w:val="right"/>
              <w:rPr>
                <w:rFonts w:cs="Arial"/>
                <w:sz w:val="22"/>
              </w:rPr>
            </w:pPr>
            <w:r w:rsidRPr="00D66D81">
              <w:rPr>
                <w:rFonts w:cs="Arial"/>
                <w:sz w:val="22"/>
              </w:rPr>
              <w:t>7213913093</w:t>
            </w:r>
          </w:p>
        </w:tc>
      </w:tr>
      <w:tr w:rsidR="00D97C52" w:rsidRPr="00D66D81" w14:paraId="1B3903C7" w14:textId="77777777" w:rsidTr="00CB4E3D">
        <w:trPr>
          <w:trHeight w:val="335"/>
        </w:trPr>
        <w:tc>
          <w:tcPr>
            <w:tcW w:w="2405" w:type="dxa"/>
            <w:hideMark/>
          </w:tcPr>
          <w:p w14:paraId="76FB99FD" w14:textId="77777777" w:rsidR="00D97C52" w:rsidRPr="00D66D81" w:rsidRDefault="00D97C52">
            <w:pPr>
              <w:spacing w:line="240" w:lineRule="auto"/>
              <w:rPr>
                <w:rFonts w:cs="Arial"/>
                <w:color w:val="000000"/>
                <w:kern w:val="24"/>
                <w:sz w:val="22"/>
              </w:rPr>
            </w:pPr>
            <w:r w:rsidRPr="00D66D81">
              <w:rPr>
                <w:rFonts w:cs="Arial"/>
                <w:color w:val="000000"/>
                <w:kern w:val="24"/>
                <w:sz w:val="22"/>
              </w:rPr>
              <w:t>Steel concrete reinforcing bar (Mexico)</w:t>
            </w:r>
            <w:r w:rsidRPr="00D66D81">
              <w:rPr>
                <w:rStyle w:val="FootnoteReference"/>
                <w:rFonts w:cs="Arial"/>
                <w:color w:val="000000"/>
                <w:kern w:val="24"/>
                <w:sz w:val="22"/>
              </w:rPr>
              <w:footnoteReference w:id="112"/>
            </w:r>
          </w:p>
        </w:tc>
        <w:tc>
          <w:tcPr>
            <w:tcW w:w="935" w:type="dxa"/>
            <w:shd w:val="clear" w:color="auto" w:fill="DEEAF6" w:themeFill="accent5" w:themeFillTint="33"/>
            <w:hideMark/>
          </w:tcPr>
          <w:p w14:paraId="2D4F6544" w14:textId="77777777" w:rsidR="00D97C52" w:rsidRPr="00D66D81" w:rsidRDefault="00D97C52">
            <w:pPr>
              <w:spacing w:line="240" w:lineRule="auto"/>
              <w:jc w:val="right"/>
              <w:rPr>
                <w:rFonts w:cs="Arial"/>
                <w:color w:val="000000"/>
                <w:kern w:val="24"/>
                <w:sz w:val="22"/>
              </w:rPr>
            </w:pPr>
            <w:r w:rsidRPr="00D66D81">
              <w:rPr>
                <w:rFonts w:cs="Arial"/>
                <w:color w:val="000000"/>
                <w:kern w:val="24"/>
                <w:sz w:val="22"/>
              </w:rPr>
              <w:t>2</w:t>
            </w:r>
          </w:p>
        </w:tc>
        <w:tc>
          <w:tcPr>
            <w:tcW w:w="1175" w:type="dxa"/>
            <w:hideMark/>
          </w:tcPr>
          <w:p w14:paraId="59EC99F9" w14:textId="77777777" w:rsidR="00D97C52" w:rsidRPr="00D66D81" w:rsidRDefault="00D97C52">
            <w:pPr>
              <w:spacing w:line="240" w:lineRule="auto"/>
              <w:jc w:val="right"/>
              <w:rPr>
                <w:rFonts w:cs="Arial"/>
                <w:color w:val="000000"/>
                <w:kern w:val="24"/>
                <w:sz w:val="22"/>
              </w:rPr>
            </w:pPr>
          </w:p>
        </w:tc>
        <w:tc>
          <w:tcPr>
            <w:tcW w:w="1175" w:type="dxa"/>
          </w:tcPr>
          <w:p w14:paraId="6A7AC82B" w14:textId="77777777" w:rsidR="00D97C52" w:rsidRPr="00D66D81" w:rsidRDefault="00D97C52">
            <w:pPr>
              <w:spacing w:line="240" w:lineRule="auto"/>
              <w:jc w:val="right"/>
              <w:rPr>
                <w:rFonts w:cs="Arial"/>
                <w:color w:val="000000"/>
                <w:kern w:val="24"/>
                <w:sz w:val="22"/>
              </w:rPr>
            </w:pPr>
          </w:p>
        </w:tc>
        <w:tc>
          <w:tcPr>
            <w:tcW w:w="1176" w:type="dxa"/>
            <w:hideMark/>
          </w:tcPr>
          <w:p w14:paraId="64DBCF1B" w14:textId="285BF2B5" w:rsidR="00D97C52" w:rsidRPr="00D66D81" w:rsidRDefault="00D97C52">
            <w:pPr>
              <w:spacing w:line="240" w:lineRule="auto"/>
              <w:jc w:val="right"/>
              <w:rPr>
                <w:rFonts w:cs="Arial"/>
                <w:color w:val="000000"/>
                <w:kern w:val="24"/>
                <w:sz w:val="22"/>
              </w:rPr>
            </w:pPr>
          </w:p>
        </w:tc>
        <w:tc>
          <w:tcPr>
            <w:tcW w:w="1175" w:type="dxa"/>
            <w:hideMark/>
          </w:tcPr>
          <w:p w14:paraId="5FA51CFE" w14:textId="77777777" w:rsidR="00D97C52" w:rsidRPr="00D66D81" w:rsidRDefault="00D97C52">
            <w:pPr>
              <w:spacing w:line="240" w:lineRule="auto"/>
              <w:jc w:val="right"/>
              <w:rPr>
                <w:rFonts w:cs="Arial"/>
                <w:color w:val="000000"/>
                <w:kern w:val="24"/>
                <w:sz w:val="22"/>
              </w:rPr>
            </w:pPr>
            <w:r w:rsidRPr="00D66D81">
              <w:rPr>
                <w:rFonts w:cs="Arial"/>
                <w:color w:val="000000"/>
                <w:kern w:val="24"/>
                <w:sz w:val="22"/>
              </w:rPr>
              <w:t>2</w:t>
            </w:r>
          </w:p>
        </w:tc>
        <w:tc>
          <w:tcPr>
            <w:tcW w:w="1176" w:type="dxa"/>
            <w:hideMark/>
          </w:tcPr>
          <w:p w14:paraId="5C562279" w14:textId="77777777" w:rsidR="00D97C52" w:rsidRPr="00D66D81" w:rsidRDefault="00D97C52">
            <w:pPr>
              <w:spacing w:line="240" w:lineRule="auto"/>
              <w:jc w:val="right"/>
              <w:rPr>
                <w:rFonts w:cs="Arial"/>
                <w:color w:val="000000"/>
                <w:kern w:val="24"/>
                <w:sz w:val="22"/>
              </w:rPr>
            </w:pPr>
          </w:p>
        </w:tc>
        <w:tc>
          <w:tcPr>
            <w:tcW w:w="1312" w:type="dxa"/>
            <w:hideMark/>
          </w:tcPr>
          <w:p w14:paraId="6F7572DE" w14:textId="77777777" w:rsidR="00D97C52" w:rsidRPr="00D66D81" w:rsidRDefault="00D97C52">
            <w:pPr>
              <w:spacing w:line="240" w:lineRule="auto"/>
              <w:rPr>
                <w:rFonts w:cs="Arial"/>
                <w:color w:val="000000"/>
                <w:kern w:val="24"/>
                <w:sz w:val="22"/>
              </w:rPr>
            </w:pPr>
            <w:r w:rsidRPr="00D66D81">
              <w:rPr>
                <w:rFonts w:cs="Arial"/>
                <w:color w:val="000000"/>
                <w:kern w:val="24"/>
                <w:sz w:val="22"/>
              </w:rPr>
              <w:t>Mexico</w:t>
            </w:r>
          </w:p>
        </w:tc>
        <w:tc>
          <w:tcPr>
            <w:tcW w:w="3419" w:type="dxa"/>
            <w:hideMark/>
          </w:tcPr>
          <w:p w14:paraId="07C4929B" w14:textId="77777777" w:rsidR="00D97C52" w:rsidRPr="00D66D81" w:rsidRDefault="00D97C52">
            <w:pPr>
              <w:spacing w:line="240" w:lineRule="auto"/>
              <w:jc w:val="right"/>
              <w:rPr>
                <w:rFonts w:cs="Arial"/>
                <w:color w:val="000000"/>
                <w:kern w:val="24"/>
                <w:sz w:val="22"/>
              </w:rPr>
            </w:pPr>
            <w:r w:rsidRPr="00D66D81">
              <w:rPr>
                <w:rFonts w:cs="Arial"/>
                <w:color w:val="000000"/>
                <w:kern w:val="24"/>
                <w:sz w:val="22"/>
              </w:rPr>
              <w:t>7213.10.0000 7214.20.0000, and 7228.30.8010.</w:t>
            </w:r>
          </w:p>
        </w:tc>
      </w:tr>
      <w:tr w:rsidR="00D97C52" w:rsidRPr="00D66D81" w14:paraId="364C78F3" w14:textId="77777777" w:rsidTr="00CB4E3D">
        <w:trPr>
          <w:trHeight w:val="335"/>
        </w:trPr>
        <w:tc>
          <w:tcPr>
            <w:tcW w:w="2405" w:type="dxa"/>
            <w:hideMark/>
          </w:tcPr>
          <w:p w14:paraId="755296FF" w14:textId="00B2A4F0" w:rsidR="00D97C52" w:rsidRPr="00D66D81" w:rsidRDefault="00D97C52">
            <w:pPr>
              <w:spacing w:line="240" w:lineRule="auto"/>
              <w:rPr>
                <w:rFonts w:cs="Arial"/>
                <w:sz w:val="22"/>
              </w:rPr>
            </w:pPr>
            <w:r w:rsidRPr="00D66D81">
              <w:rPr>
                <w:rFonts w:cs="Arial"/>
                <w:sz w:val="22"/>
              </w:rPr>
              <w:t>Cut to length carbon steel plate (</w:t>
            </w:r>
            <w:r w:rsidR="00192BF6">
              <w:rPr>
                <w:rFonts w:cs="Arial"/>
                <w:sz w:val="22"/>
              </w:rPr>
              <w:t>PRC</w:t>
            </w:r>
            <w:r w:rsidRPr="00D66D81">
              <w:rPr>
                <w:rFonts w:cs="Arial"/>
                <w:sz w:val="22"/>
              </w:rPr>
              <w:t>)</w:t>
            </w:r>
          </w:p>
        </w:tc>
        <w:tc>
          <w:tcPr>
            <w:tcW w:w="935" w:type="dxa"/>
            <w:shd w:val="clear" w:color="auto" w:fill="DEEAF6" w:themeFill="accent5" w:themeFillTint="33"/>
            <w:hideMark/>
          </w:tcPr>
          <w:p w14:paraId="7C77AD31" w14:textId="77777777" w:rsidR="00D97C52" w:rsidRPr="00D66D81" w:rsidRDefault="00D97C52">
            <w:pPr>
              <w:spacing w:line="240" w:lineRule="auto"/>
              <w:jc w:val="right"/>
              <w:rPr>
                <w:rFonts w:cs="Arial"/>
                <w:sz w:val="22"/>
              </w:rPr>
            </w:pPr>
            <w:r w:rsidRPr="00D66D81">
              <w:rPr>
                <w:rFonts w:cs="Arial"/>
                <w:sz w:val="22"/>
              </w:rPr>
              <w:t>1</w:t>
            </w:r>
          </w:p>
        </w:tc>
        <w:tc>
          <w:tcPr>
            <w:tcW w:w="1175" w:type="dxa"/>
            <w:hideMark/>
          </w:tcPr>
          <w:p w14:paraId="163C3B0C" w14:textId="77777777" w:rsidR="00D97C52" w:rsidRPr="00D66D81" w:rsidRDefault="00D97C52">
            <w:pPr>
              <w:spacing w:line="240" w:lineRule="auto"/>
              <w:jc w:val="right"/>
              <w:rPr>
                <w:rFonts w:cs="Arial"/>
                <w:sz w:val="22"/>
              </w:rPr>
            </w:pPr>
          </w:p>
        </w:tc>
        <w:tc>
          <w:tcPr>
            <w:tcW w:w="1175" w:type="dxa"/>
          </w:tcPr>
          <w:p w14:paraId="4815133C" w14:textId="77777777" w:rsidR="00D97C52" w:rsidRPr="00D66D81" w:rsidRDefault="00D97C52">
            <w:pPr>
              <w:spacing w:line="240" w:lineRule="auto"/>
              <w:jc w:val="right"/>
              <w:rPr>
                <w:rFonts w:cs="Arial"/>
                <w:sz w:val="22"/>
              </w:rPr>
            </w:pPr>
          </w:p>
        </w:tc>
        <w:tc>
          <w:tcPr>
            <w:tcW w:w="1176" w:type="dxa"/>
            <w:hideMark/>
          </w:tcPr>
          <w:p w14:paraId="1FB1F3C8" w14:textId="035DFF3A" w:rsidR="00D97C52" w:rsidRPr="00D66D81" w:rsidRDefault="00D97C52">
            <w:pPr>
              <w:spacing w:line="240" w:lineRule="auto"/>
              <w:jc w:val="right"/>
              <w:rPr>
                <w:rFonts w:cs="Arial"/>
                <w:sz w:val="22"/>
              </w:rPr>
            </w:pPr>
          </w:p>
        </w:tc>
        <w:tc>
          <w:tcPr>
            <w:tcW w:w="1175" w:type="dxa"/>
            <w:hideMark/>
          </w:tcPr>
          <w:p w14:paraId="08E210E2" w14:textId="77777777" w:rsidR="00D97C52" w:rsidRPr="00D66D81" w:rsidRDefault="00D97C52">
            <w:pPr>
              <w:spacing w:line="240" w:lineRule="auto"/>
              <w:jc w:val="right"/>
              <w:rPr>
                <w:rFonts w:cs="Arial"/>
                <w:sz w:val="22"/>
              </w:rPr>
            </w:pPr>
            <w:r w:rsidRPr="00D66D81">
              <w:rPr>
                <w:rFonts w:cs="Arial"/>
                <w:sz w:val="22"/>
              </w:rPr>
              <w:t>1</w:t>
            </w:r>
          </w:p>
        </w:tc>
        <w:tc>
          <w:tcPr>
            <w:tcW w:w="1176" w:type="dxa"/>
            <w:hideMark/>
          </w:tcPr>
          <w:p w14:paraId="63AE5DAE" w14:textId="77777777" w:rsidR="00D97C52" w:rsidRPr="00D66D81" w:rsidRDefault="00D97C52">
            <w:pPr>
              <w:spacing w:line="240" w:lineRule="auto"/>
              <w:jc w:val="right"/>
              <w:rPr>
                <w:rFonts w:cs="Arial"/>
                <w:sz w:val="22"/>
              </w:rPr>
            </w:pPr>
          </w:p>
        </w:tc>
        <w:tc>
          <w:tcPr>
            <w:tcW w:w="1312" w:type="dxa"/>
            <w:hideMark/>
          </w:tcPr>
          <w:p w14:paraId="334CC32A" w14:textId="7B7D599D" w:rsidR="00D97C52" w:rsidRPr="00D66D81" w:rsidRDefault="002406F0">
            <w:pPr>
              <w:spacing w:line="240" w:lineRule="auto"/>
              <w:rPr>
                <w:rFonts w:cs="Arial"/>
                <w:sz w:val="22"/>
              </w:rPr>
            </w:pPr>
            <w:r>
              <w:rPr>
                <w:rFonts w:cs="Arial"/>
                <w:sz w:val="22"/>
              </w:rPr>
              <w:t>PRC</w:t>
            </w:r>
          </w:p>
        </w:tc>
        <w:tc>
          <w:tcPr>
            <w:tcW w:w="3419" w:type="dxa"/>
            <w:hideMark/>
          </w:tcPr>
          <w:p w14:paraId="22E7EBC4" w14:textId="77777777" w:rsidR="00D97C52" w:rsidRPr="00D66D81" w:rsidRDefault="00D97C52">
            <w:pPr>
              <w:spacing w:line="240" w:lineRule="auto"/>
              <w:jc w:val="right"/>
              <w:rPr>
                <w:rFonts w:cs="Arial"/>
                <w:sz w:val="22"/>
              </w:rPr>
            </w:pPr>
            <w:r w:rsidRPr="00D66D81">
              <w:rPr>
                <w:rFonts w:cs="Arial"/>
                <w:sz w:val="22"/>
              </w:rPr>
              <w:t>7225403050, 7225990090, 7226915000, 7226990180</w:t>
            </w:r>
          </w:p>
        </w:tc>
      </w:tr>
      <w:tr w:rsidR="00D97C52" w:rsidRPr="00D66D81" w14:paraId="438FCD9E" w14:textId="77777777" w:rsidTr="00CB4E3D">
        <w:trPr>
          <w:trHeight w:val="335"/>
        </w:trPr>
        <w:tc>
          <w:tcPr>
            <w:tcW w:w="2405" w:type="dxa"/>
            <w:hideMark/>
          </w:tcPr>
          <w:p w14:paraId="2EC8C557" w14:textId="606E2E54" w:rsidR="00D97C52" w:rsidRPr="00D66D81" w:rsidRDefault="00D97C52">
            <w:pPr>
              <w:spacing w:line="240" w:lineRule="auto"/>
              <w:rPr>
                <w:rFonts w:cs="Arial"/>
                <w:sz w:val="22"/>
              </w:rPr>
            </w:pPr>
            <w:r w:rsidRPr="00D66D81">
              <w:rPr>
                <w:rFonts w:cs="Arial"/>
                <w:sz w:val="22"/>
              </w:rPr>
              <w:t>Diamond sawblades (</w:t>
            </w:r>
            <w:r w:rsidR="00192BF6">
              <w:rPr>
                <w:rFonts w:cs="Arial"/>
                <w:sz w:val="22"/>
              </w:rPr>
              <w:t>PRC</w:t>
            </w:r>
            <w:r w:rsidRPr="00D66D81">
              <w:rPr>
                <w:rFonts w:cs="Arial"/>
                <w:sz w:val="22"/>
              </w:rPr>
              <w:t>)</w:t>
            </w:r>
          </w:p>
        </w:tc>
        <w:tc>
          <w:tcPr>
            <w:tcW w:w="935" w:type="dxa"/>
            <w:shd w:val="clear" w:color="auto" w:fill="DEEAF6" w:themeFill="accent5" w:themeFillTint="33"/>
            <w:hideMark/>
          </w:tcPr>
          <w:p w14:paraId="674763E2" w14:textId="77777777" w:rsidR="00D97C52" w:rsidRPr="00D66D81" w:rsidRDefault="00D97C52">
            <w:pPr>
              <w:spacing w:line="240" w:lineRule="auto"/>
              <w:jc w:val="right"/>
              <w:rPr>
                <w:rFonts w:cs="Arial"/>
                <w:sz w:val="22"/>
              </w:rPr>
            </w:pPr>
            <w:r w:rsidRPr="00D66D81">
              <w:rPr>
                <w:rFonts w:cs="Arial"/>
                <w:sz w:val="22"/>
              </w:rPr>
              <w:t>2</w:t>
            </w:r>
          </w:p>
        </w:tc>
        <w:tc>
          <w:tcPr>
            <w:tcW w:w="1175" w:type="dxa"/>
            <w:hideMark/>
          </w:tcPr>
          <w:p w14:paraId="38CFC7AB" w14:textId="77777777" w:rsidR="00D97C52" w:rsidRPr="00D66D81" w:rsidRDefault="00D97C52">
            <w:pPr>
              <w:spacing w:line="240" w:lineRule="auto"/>
              <w:jc w:val="right"/>
              <w:rPr>
                <w:rFonts w:cs="Arial"/>
                <w:sz w:val="22"/>
              </w:rPr>
            </w:pPr>
            <w:r w:rsidRPr="00D66D81">
              <w:rPr>
                <w:rFonts w:cs="Arial"/>
                <w:sz w:val="22"/>
              </w:rPr>
              <w:t>2</w:t>
            </w:r>
          </w:p>
        </w:tc>
        <w:tc>
          <w:tcPr>
            <w:tcW w:w="1175" w:type="dxa"/>
          </w:tcPr>
          <w:p w14:paraId="05465CBE" w14:textId="77777777" w:rsidR="00D97C52" w:rsidRPr="00D66D81" w:rsidRDefault="00D97C52">
            <w:pPr>
              <w:spacing w:line="240" w:lineRule="auto"/>
              <w:jc w:val="right"/>
              <w:rPr>
                <w:rFonts w:cs="Arial"/>
                <w:sz w:val="22"/>
              </w:rPr>
            </w:pPr>
          </w:p>
        </w:tc>
        <w:tc>
          <w:tcPr>
            <w:tcW w:w="1176" w:type="dxa"/>
            <w:hideMark/>
          </w:tcPr>
          <w:p w14:paraId="162BBA8C" w14:textId="6B8FC35B" w:rsidR="00D97C52" w:rsidRPr="00D66D81" w:rsidRDefault="00D97C52">
            <w:pPr>
              <w:spacing w:line="240" w:lineRule="auto"/>
              <w:jc w:val="right"/>
              <w:rPr>
                <w:rFonts w:cs="Arial"/>
                <w:sz w:val="22"/>
              </w:rPr>
            </w:pPr>
          </w:p>
        </w:tc>
        <w:tc>
          <w:tcPr>
            <w:tcW w:w="1175" w:type="dxa"/>
            <w:hideMark/>
          </w:tcPr>
          <w:p w14:paraId="26A05504" w14:textId="77777777" w:rsidR="00D97C52" w:rsidRPr="00D66D81" w:rsidRDefault="00D97C52">
            <w:pPr>
              <w:spacing w:line="240" w:lineRule="auto"/>
              <w:jc w:val="right"/>
              <w:rPr>
                <w:rFonts w:cs="Arial"/>
                <w:sz w:val="22"/>
              </w:rPr>
            </w:pPr>
          </w:p>
        </w:tc>
        <w:tc>
          <w:tcPr>
            <w:tcW w:w="1176" w:type="dxa"/>
            <w:hideMark/>
          </w:tcPr>
          <w:p w14:paraId="6FEA5138" w14:textId="77777777" w:rsidR="00D97C52" w:rsidRPr="00D66D81" w:rsidRDefault="00D97C52">
            <w:pPr>
              <w:spacing w:line="240" w:lineRule="auto"/>
              <w:jc w:val="right"/>
              <w:rPr>
                <w:rFonts w:cs="Arial"/>
                <w:sz w:val="22"/>
              </w:rPr>
            </w:pPr>
          </w:p>
        </w:tc>
        <w:tc>
          <w:tcPr>
            <w:tcW w:w="1312" w:type="dxa"/>
            <w:hideMark/>
          </w:tcPr>
          <w:p w14:paraId="0B3AB839" w14:textId="77777777" w:rsidR="00D97C52" w:rsidRPr="00D66D81" w:rsidRDefault="00D97C52">
            <w:pPr>
              <w:spacing w:line="240" w:lineRule="auto"/>
              <w:rPr>
                <w:rFonts w:cs="Arial"/>
                <w:sz w:val="22"/>
              </w:rPr>
            </w:pPr>
            <w:r w:rsidRPr="00D66D81">
              <w:rPr>
                <w:rFonts w:cs="Arial"/>
                <w:sz w:val="22"/>
              </w:rPr>
              <w:t>Canada</w:t>
            </w:r>
          </w:p>
          <w:p w14:paraId="66BA2551" w14:textId="77777777" w:rsidR="00D97C52" w:rsidRPr="00D66D81" w:rsidRDefault="00D97C52">
            <w:pPr>
              <w:spacing w:line="240" w:lineRule="auto"/>
              <w:rPr>
                <w:rFonts w:cs="Arial"/>
                <w:sz w:val="22"/>
              </w:rPr>
            </w:pPr>
            <w:r w:rsidRPr="00D66D81">
              <w:rPr>
                <w:rFonts w:cs="Arial"/>
                <w:sz w:val="22"/>
              </w:rPr>
              <w:t>Thailand</w:t>
            </w:r>
          </w:p>
        </w:tc>
        <w:tc>
          <w:tcPr>
            <w:tcW w:w="3419" w:type="dxa"/>
            <w:hideMark/>
          </w:tcPr>
          <w:p w14:paraId="0E3680A0" w14:textId="77777777" w:rsidR="00D97C52" w:rsidRPr="00D66D81" w:rsidRDefault="00D97C52">
            <w:pPr>
              <w:spacing w:line="240" w:lineRule="auto"/>
              <w:jc w:val="right"/>
              <w:rPr>
                <w:rFonts w:cs="Arial"/>
                <w:sz w:val="22"/>
              </w:rPr>
            </w:pPr>
            <w:r w:rsidRPr="00D66D81">
              <w:rPr>
                <w:rFonts w:cs="Arial"/>
                <w:sz w:val="22"/>
              </w:rPr>
              <w:t>7304.29.20.30,7304.29.20.40, 7304.29.20.50,7304.29.20.60, 7304.29.20.80,</w:t>
            </w:r>
          </w:p>
          <w:p w14:paraId="5BF138B0" w14:textId="77777777" w:rsidR="00D97C52" w:rsidRPr="00D66D81" w:rsidRDefault="00D97C52">
            <w:pPr>
              <w:spacing w:line="240" w:lineRule="auto"/>
              <w:jc w:val="right"/>
              <w:rPr>
                <w:rFonts w:cs="Arial"/>
                <w:sz w:val="22"/>
              </w:rPr>
            </w:pPr>
            <w:r w:rsidRPr="00D66D81">
              <w:rPr>
                <w:rFonts w:cs="Arial"/>
                <w:sz w:val="22"/>
              </w:rPr>
              <w:t>7304.29.31.10,7304.29.31.20, 7304.29.31.30, 7304.29.31.40,7304.29.31.50, 7304.29.31.60, 7304.29.31.80,7304.29.41.10, 7304.29.41.20, 7304.29.41.30,7304.29.41.40, 7304.29.41.50, 7304.29.41.60,7304.29.41.80, 7304.29.50.15, 7304.29.50.30,7304.29.50.45, 7304.29.50.60, 7304.29.50.75,7304.29.61.15, 7304.29.61.30, 7304.29.61.45,7304.29.61.60, 7304.29.61.75, 7305.20.20.00,7305.20.40.00, 7305.20.60.00, 7305.20.80.00,7306.29.10.30, 7306.29.10.90, 7306.29.20.00,</w:t>
            </w:r>
          </w:p>
          <w:p w14:paraId="5018AB7A" w14:textId="77777777" w:rsidR="00D97C52" w:rsidRPr="00D66D81" w:rsidRDefault="00D97C52">
            <w:pPr>
              <w:spacing w:line="240" w:lineRule="auto"/>
              <w:jc w:val="right"/>
              <w:rPr>
                <w:rFonts w:cs="Arial"/>
                <w:sz w:val="22"/>
              </w:rPr>
            </w:pPr>
            <w:r w:rsidRPr="00D66D81">
              <w:rPr>
                <w:rFonts w:cs="Arial"/>
                <w:sz w:val="22"/>
              </w:rPr>
              <w:t>7306.29.31.00, 7306.29.41.00, 7306.29.60.10,</w:t>
            </w:r>
          </w:p>
          <w:p w14:paraId="5D77449B" w14:textId="77777777" w:rsidR="00D97C52" w:rsidRPr="00D66D81" w:rsidRDefault="00D97C52">
            <w:pPr>
              <w:spacing w:line="240" w:lineRule="auto"/>
              <w:jc w:val="right"/>
              <w:rPr>
                <w:rFonts w:cs="Arial"/>
                <w:sz w:val="22"/>
              </w:rPr>
            </w:pPr>
            <w:r w:rsidRPr="00D66D81">
              <w:rPr>
                <w:rFonts w:cs="Arial"/>
                <w:sz w:val="22"/>
              </w:rPr>
              <w:t xml:space="preserve">7306.29.60.50, </w:t>
            </w:r>
          </w:p>
        </w:tc>
      </w:tr>
      <w:tr w:rsidR="00D97C52" w:rsidRPr="00D66D81" w14:paraId="403299C2" w14:textId="77777777" w:rsidTr="00CB4E3D">
        <w:trPr>
          <w:trHeight w:val="335"/>
        </w:trPr>
        <w:tc>
          <w:tcPr>
            <w:tcW w:w="2405" w:type="dxa"/>
            <w:hideMark/>
          </w:tcPr>
          <w:p w14:paraId="7ED00208" w14:textId="7DF42D9F" w:rsidR="00D97C52" w:rsidRPr="00D66D81" w:rsidRDefault="00D97C52">
            <w:pPr>
              <w:spacing w:line="240" w:lineRule="auto"/>
              <w:rPr>
                <w:rFonts w:cs="Arial"/>
                <w:sz w:val="22"/>
              </w:rPr>
            </w:pPr>
            <w:r w:rsidRPr="00D66D81">
              <w:rPr>
                <w:rFonts w:cs="Arial"/>
                <w:sz w:val="22"/>
              </w:rPr>
              <w:t>Certain steel threaded rod (</w:t>
            </w:r>
            <w:r w:rsidR="00192BF6">
              <w:rPr>
                <w:rFonts w:cs="Arial"/>
                <w:sz w:val="22"/>
              </w:rPr>
              <w:t>PRC</w:t>
            </w:r>
            <w:r w:rsidRPr="00D66D81">
              <w:rPr>
                <w:rFonts w:cs="Arial"/>
                <w:sz w:val="22"/>
              </w:rPr>
              <w:t>)</w:t>
            </w:r>
          </w:p>
        </w:tc>
        <w:tc>
          <w:tcPr>
            <w:tcW w:w="935" w:type="dxa"/>
            <w:shd w:val="clear" w:color="auto" w:fill="DEEAF6" w:themeFill="accent5" w:themeFillTint="33"/>
            <w:hideMark/>
          </w:tcPr>
          <w:p w14:paraId="0CEAF2BB" w14:textId="77777777" w:rsidR="00D97C52" w:rsidRPr="00D66D81" w:rsidRDefault="00D97C52">
            <w:pPr>
              <w:spacing w:line="240" w:lineRule="auto"/>
              <w:jc w:val="right"/>
              <w:rPr>
                <w:rFonts w:cs="Arial"/>
                <w:sz w:val="22"/>
              </w:rPr>
            </w:pPr>
            <w:r w:rsidRPr="00D66D81">
              <w:rPr>
                <w:rFonts w:cs="Arial"/>
                <w:sz w:val="22"/>
              </w:rPr>
              <w:t>1</w:t>
            </w:r>
          </w:p>
        </w:tc>
        <w:tc>
          <w:tcPr>
            <w:tcW w:w="1175" w:type="dxa"/>
            <w:hideMark/>
          </w:tcPr>
          <w:p w14:paraId="2C6EB34C" w14:textId="77777777" w:rsidR="00D97C52" w:rsidRPr="00D66D81" w:rsidRDefault="00D97C52">
            <w:pPr>
              <w:spacing w:line="240" w:lineRule="auto"/>
              <w:jc w:val="right"/>
              <w:rPr>
                <w:rFonts w:cs="Arial"/>
                <w:sz w:val="22"/>
              </w:rPr>
            </w:pPr>
          </w:p>
        </w:tc>
        <w:tc>
          <w:tcPr>
            <w:tcW w:w="1175" w:type="dxa"/>
          </w:tcPr>
          <w:p w14:paraId="510EE96E" w14:textId="77777777" w:rsidR="00D97C52" w:rsidRPr="00D66D81" w:rsidRDefault="00D97C52">
            <w:pPr>
              <w:spacing w:line="240" w:lineRule="auto"/>
              <w:jc w:val="right"/>
              <w:rPr>
                <w:rFonts w:cs="Arial"/>
                <w:sz w:val="22"/>
              </w:rPr>
            </w:pPr>
          </w:p>
        </w:tc>
        <w:tc>
          <w:tcPr>
            <w:tcW w:w="1176" w:type="dxa"/>
            <w:hideMark/>
          </w:tcPr>
          <w:p w14:paraId="2DE12967" w14:textId="7760A10A" w:rsidR="00D97C52" w:rsidRPr="00D66D81" w:rsidRDefault="00D97C52">
            <w:pPr>
              <w:spacing w:line="240" w:lineRule="auto"/>
              <w:jc w:val="right"/>
              <w:rPr>
                <w:rFonts w:cs="Arial"/>
                <w:sz w:val="22"/>
              </w:rPr>
            </w:pPr>
          </w:p>
        </w:tc>
        <w:tc>
          <w:tcPr>
            <w:tcW w:w="1175" w:type="dxa"/>
            <w:hideMark/>
          </w:tcPr>
          <w:p w14:paraId="31FE1023" w14:textId="77777777" w:rsidR="00D97C52" w:rsidRPr="00D66D81" w:rsidRDefault="00D97C52">
            <w:pPr>
              <w:spacing w:line="240" w:lineRule="auto"/>
              <w:jc w:val="right"/>
              <w:rPr>
                <w:rFonts w:cs="Arial"/>
                <w:sz w:val="22"/>
              </w:rPr>
            </w:pPr>
            <w:r w:rsidRPr="00D66D81">
              <w:rPr>
                <w:rFonts w:cs="Arial"/>
                <w:sz w:val="22"/>
              </w:rPr>
              <w:t>1</w:t>
            </w:r>
          </w:p>
        </w:tc>
        <w:tc>
          <w:tcPr>
            <w:tcW w:w="1176" w:type="dxa"/>
            <w:hideMark/>
          </w:tcPr>
          <w:p w14:paraId="7ABDDFA2" w14:textId="77777777" w:rsidR="00D97C52" w:rsidRPr="00D66D81" w:rsidRDefault="00D97C52">
            <w:pPr>
              <w:spacing w:line="240" w:lineRule="auto"/>
              <w:jc w:val="right"/>
              <w:rPr>
                <w:rFonts w:cs="Arial"/>
                <w:sz w:val="22"/>
              </w:rPr>
            </w:pPr>
          </w:p>
        </w:tc>
        <w:tc>
          <w:tcPr>
            <w:tcW w:w="1312" w:type="dxa"/>
            <w:hideMark/>
          </w:tcPr>
          <w:p w14:paraId="613950A5" w14:textId="4C7BEB59" w:rsidR="00D97C52" w:rsidRPr="00D66D81" w:rsidRDefault="002406F0">
            <w:pPr>
              <w:spacing w:line="240" w:lineRule="auto"/>
              <w:rPr>
                <w:rFonts w:cs="Arial"/>
                <w:sz w:val="22"/>
              </w:rPr>
            </w:pPr>
            <w:r>
              <w:rPr>
                <w:rFonts w:cs="Arial"/>
                <w:sz w:val="22"/>
              </w:rPr>
              <w:t>PRC</w:t>
            </w:r>
          </w:p>
        </w:tc>
        <w:tc>
          <w:tcPr>
            <w:tcW w:w="3419" w:type="dxa"/>
            <w:hideMark/>
          </w:tcPr>
          <w:p w14:paraId="6ED7C173" w14:textId="77777777" w:rsidR="00D97C52" w:rsidRPr="00D66D81" w:rsidRDefault="00D97C52">
            <w:pPr>
              <w:spacing w:line="240" w:lineRule="auto"/>
              <w:jc w:val="right"/>
              <w:rPr>
                <w:rFonts w:cs="Arial"/>
                <w:sz w:val="22"/>
              </w:rPr>
            </w:pPr>
            <w:r w:rsidRPr="00D66D81">
              <w:rPr>
                <w:rFonts w:cs="Arial"/>
                <w:sz w:val="22"/>
              </w:rPr>
              <w:t>7318.15.5051,</w:t>
            </w:r>
          </w:p>
          <w:p w14:paraId="66254E1D" w14:textId="77777777" w:rsidR="00D97C52" w:rsidRPr="00D66D81" w:rsidRDefault="00D97C52">
            <w:pPr>
              <w:spacing w:line="240" w:lineRule="auto"/>
              <w:jc w:val="right"/>
              <w:rPr>
                <w:rFonts w:cs="Arial"/>
                <w:sz w:val="22"/>
              </w:rPr>
            </w:pPr>
            <w:r w:rsidRPr="00D66D81">
              <w:rPr>
                <w:rFonts w:cs="Arial"/>
                <w:sz w:val="22"/>
              </w:rPr>
              <w:t xml:space="preserve">7318.15.5056, 7318.15.5090, and 7318.15.2095 </w:t>
            </w:r>
          </w:p>
        </w:tc>
      </w:tr>
      <w:tr w:rsidR="00D97C52" w:rsidRPr="00D66D81" w14:paraId="0629FA01" w14:textId="77777777" w:rsidTr="00CB4E3D">
        <w:trPr>
          <w:trHeight w:val="501"/>
        </w:trPr>
        <w:tc>
          <w:tcPr>
            <w:tcW w:w="2405" w:type="dxa"/>
            <w:hideMark/>
          </w:tcPr>
          <w:p w14:paraId="70417E8A" w14:textId="56485CA1" w:rsidR="00D97C52" w:rsidRPr="00D66D81" w:rsidRDefault="00D97C52">
            <w:pPr>
              <w:spacing w:line="240" w:lineRule="auto"/>
              <w:rPr>
                <w:rFonts w:cs="Arial"/>
                <w:color w:val="000000"/>
                <w:kern w:val="24"/>
                <w:sz w:val="22"/>
              </w:rPr>
            </w:pPr>
            <w:r w:rsidRPr="00D66D81">
              <w:rPr>
                <w:rFonts w:cs="Arial"/>
                <w:color w:val="000000"/>
                <w:kern w:val="24"/>
                <w:sz w:val="22"/>
              </w:rPr>
              <w:t xml:space="preserve">Steel wire garment hangers </w:t>
            </w:r>
            <w:r w:rsidR="00192BF6">
              <w:rPr>
                <w:rFonts w:cs="Arial"/>
                <w:color w:val="000000"/>
                <w:kern w:val="24"/>
                <w:sz w:val="22"/>
              </w:rPr>
              <w:t xml:space="preserve"> </w:t>
            </w:r>
            <w:r w:rsidR="00B60B96">
              <w:rPr>
                <w:rFonts w:cs="Arial"/>
                <w:color w:val="000000"/>
                <w:kern w:val="24"/>
                <w:sz w:val="22"/>
              </w:rPr>
              <w:t>(</w:t>
            </w:r>
            <w:r w:rsidR="00192BF6">
              <w:rPr>
                <w:rFonts w:cs="Arial"/>
                <w:color w:val="000000"/>
                <w:kern w:val="24"/>
                <w:sz w:val="22"/>
              </w:rPr>
              <w:t>PRC</w:t>
            </w:r>
            <w:r w:rsidRPr="00D66D81">
              <w:rPr>
                <w:rFonts w:cs="Arial"/>
                <w:color w:val="000000"/>
                <w:kern w:val="24"/>
                <w:sz w:val="22"/>
              </w:rPr>
              <w:t>)</w:t>
            </w:r>
          </w:p>
        </w:tc>
        <w:tc>
          <w:tcPr>
            <w:tcW w:w="935" w:type="dxa"/>
            <w:shd w:val="clear" w:color="auto" w:fill="DEEAF6" w:themeFill="accent5" w:themeFillTint="33"/>
            <w:hideMark/>
          </w:tcPr>
          <w:p w14:paraId="1BA076E3" w14:textId="77777777" w:rsidR="00D97C52" w:rsidRPr="00D66D81" w:rsidRDefault="00D97C52">
            <w:pPr>
              <w:spacing w:line="240" w:lineRule="auto"/>
              <w:jc w:val="right"/>
              <w:rPr>
                <w:rFonts w:cs="Arial"/>
                <w:color w:val="000000"/>
                <w:kern w:val="24"/>
                <w:sz w:val="22"/>
              </w:rPr>
            </w:pPr>
            <w:r w:rsidRPr="00D66D81">
              <w:rPr>
                <w:rFonts w:cs="Arial"/>
                <w:color w:val="000000"/>
                <w:kern w:val="24"/>
                <w:sz w:val="22"/>
              </w:rPr>
              <w:t>1</w:t>
            </w:r>
          </w:p>
        </w:tc>
        <w:tc>
          <w:tcPr>
            <w:tcW w:w="1175" w:type="dxa"/>
            <w:hideMark/>
          </w:tcPr>
          <w:p w14:paraId="75FD9497" w14:textId="77777777" w:rsidR="00D97C52" w:rsidRPr="00D66D81" w:rsidRDefault="00D97C52">
            <w:pPr>
              <w:spacing w:line="240" w:lineRule="auto"/>
              <w:jc w:val="right"/>
              <w:rPr>
                <w:rFonts w:cs="Arial"/>
                <w:color w:val="000000"/>
                <w:kern w:val="24"/>
                <w:sz w:val="22"/>
              </w:rPr>
            </w:pPr>
            <w:r w:rsidRPr="00D66D81">
              <w:rPr>
                <w:rFonts w:cs="Arial"/>
                <w:color w:val="000000"/>
                <w:kern w:val="24"/>
                <w:sz w:val="22"/>
              </w:rPr>
              <w:t>1</w:t>
            </w:r>
          </w:p>
        </w:tc>
        <w:tc>
          <w:tcPr>
            <w:tcW w:w="1175" w:type="dxa"/>
          </w:tcPr>
          <w:p w14:paraId="4BAFED37" w14:textId="77777777" w:rsidR="00D97C52" w:rsidRPr="00D66D81" w:rsidRDefault="00D97C52">
            <w:pPr>
              <w:spacing w:line="240" w:lineRule="auto"/>
              <w:jc w:val="right"/>
              <w:rPr>
                <w:rFonts w:cs="Arial"/>
                <w:color w:val="000000"/>
                <w:kern w:val="24"/>
                <w:sz w:val="22"/>
              </w:rPr>
            </w:pPr>
          </w:p>
        </w:tc>
        <w:tc>
          <w:tcPr>
            <w:tcW w:w="1176" w:type="dxa"/>
            <w:hideMark/>
          </w:tcPr>
          <w:p w14:paraId="1C3A528E" w14:textId="441DF0E9" w:rsidR="00D97C52" w:rsidRPr="00D66D81" w:rsidRDefault="00D97C52">
            <w:pPr>
              <w:spacing w:line="240" w:lineRule="auto"/>
              <w:jc w:val="right"/>
              <w:rPr>
                <w:rFonts w:cs="Arial"/>
                <w:color w:val="000000"/>
                <w:kern w:val="24"/>
                <w:sz w:val="22"/>
              </w:rPr>
            </w:pPr>
          </w:p>
        </w:tc>
        <w:tc>
          <w:tcPr>
            <w:tcW w:w="1175" w:type="dxa"/>
            <w:hideMark/>
          </w:tcPr>
          <w:p w14:paraId="047DC212" w14:textId="77777777" w:rsidR="00D97C52" w:rsidRPr="00D66D81" w:rsidRDefault="00D97C52">
            <w:pPr>
              <w:spacing w:line="240" w:lineRule="auto"/>
              <w:jc w:val="right"/>
              <w:rPr>
                <w:rFonts w:cs="Arial"/>
                <w:color w:val="000000"/>
                <w:kern w:val="24"/>
                <w:sz w:val="22"/>
              </w:rPr>
            </w:pPr>
          </w:p>
        </w:tc>
        <w:tc>
          <w:tcPr>
            <w:tcW w:w="1176" w:type="dxa"/>
            <w:hideMark/>
          </w:tcPr>
          <w:p w14:paraId="678ACDA8" w14:textId="77777777" w:rsidR="00D97C52" w:rsidRPr="00D66D81" w:rsidRDefault="00D97C52">
            <w:pPr>
              <w:spacing w:line="240" w:lineRule="auto"/>
              <w:jc w:val="right"/>
              <w:rPr>
                <w:rFonts w:cs="Arial"/>
                <w:color w:val="000000"/>
                <w:kern w:val="24"/>
                <w:sz w:val="22"/>
              </w:rPr>
            </w:pPr>
          </w:p>
        </w:tc>
        <w:tc>
          <w:tcPr>
            <w:tcW w:w="1312" w:type="dxa"/>
            <w:hideMark/>
          </w:tcPr>
          <w:p w14:paraId="53008ACF" w14:textId="77777777" w:rsidR="00D97C52" w:rsidRPr="00D66D81" w:rsidRDefault="00D97C52">
            <w:pPr>
              <w:spacing w:line="240" w:lineRule="auto"/>
              <w:rPr>
                <w:rFonts w:cs="Arial"/>
                <w:color w:val="000000"/>
                <w:kern w:val="24"/>
                <w:sz w:val="22"/>
              </w:rPr>
            </w:pPr>
            <w:r w:rsidRPr="00D66D81">
              <w:rPr>
                <w:rFonts w:cs="Arial"/>
                <w:color w:val="000000"/>
                <w:kern w:val="24"/>
                <w:sz w:val="22"/>
              </w:rPr>
              <w:t>Vietnam</w:t>
            </w:r>
          </w:p>
        </w:tc>
        <w:tc>
          <w:tcPr>
            <w:tcW w:w="3419" w:type="dxa"/>
            <w:hideMark/>
          </w:tcPr>
          <w:p w14:paraId="56DA0CCD" w14:textId="77777777" w:rsidR="00D97C52" w:rsidRPr="00D66D81" w:rsidRDefault="00D97C52">
            <w:pPr>
              <w:spacing w:line="240" w:lineRule="auto"/>
              <w:jc w:val="right"/>
              <w:rPr>
                <w:rFonts w:cs="Arial"/>
                <w:color w:val="000000"/>
                <w:kern w:val="24"/>
                <w:sz w:val="22"/>
              </w:rPr>
            </w:pPr>
            <w:r w:rsidRPr="00D66D81">
              <w:rPr>
                <w:rFonts w:cs="Arial"/>
                <w:color w:val="000000"/>
                <w:kern w:val="24"/>
                <w:sz w:val="22"/>
              </w:rPr>
              <w:t>7323999060, 7323999080, 7326200020</w:t>
            </w:r>
          </w:p>
        </w:tc>
      </w:tr>
      <w:tr w:rsidR="00D97C52" w:rsidRPr="00D66D81" w14:paraId="3977CBE7" w14:textId="77777777" w:rsidTr="00CB4E3D">
        <w:trPr>
          <w:trHeight w:val="501"/>
        </w:trPr>
        <w:tc>
          <w:tcPr>
            <w:tcW w:w="2405" w:type="dxa"/>
          </w:tcPr>
          <w:p w14:paraId="1368B090" w14:textId="311682CD" w:rsidR="00D97C52" w:rsidRPr="00D66D81" w:rsidRDefault="00D97C52">
            <w:pPr>
              <w:spacing w:line="240" w:lineRule="auto"/>
              <w:rPr>
                <w:rFonts w:cs="Arial"/>
                <w:color w:val="000000"/>
                <w:kern w:val="24"/>
                <w:sz w:val="22"/>
              </w:rPr>
            </w:pPr>
            <w:r w:rsidRPr="00D66D81">
              <w:rPr>
                <w:rFonts w:cs="Arial"/>
                <w:color w:val="000000"/>
                <w:kern w:val="24"/>
                <w:sz w:val="22"/>
              </w:rPr>
              <w:t>Aluminium extrusions (</w:t>
            </w:r>
            <w:r w:rsidR="00192BF6">
              <w:rPr>
                <w:rFonts w:cs="Arial"/>
                <w:color w:val="000000"/>
                <w:kern w:val="24"/>
                <w:sz w:val="22"/>
              </w:rPr>
              <w:t>PRC</w:t>
            </w:r>
            <w:r w:rsidRPr="00D66D81">
              <w:rPr>
                <w:rFonts w:cs="Arial"/>
                <w:color w:val="000000"/>
                <w:kern w:val="24"/>
                <w:sz w:val="22"/>
              </w:rPr>
              <w:t>)</w:t>
            </w:r>
          </w:p>
        </w:tc>
        <w:tc>
          <w:tcPr>
            <w:tcW w:w="935" w:type="dxa"/>
            <w:shd w:val="clear" w:color="auto" w:fill="DEEAF6" w:themeFill="accent5" w:themeFillTint="33"/>
          </w:tcPr>
          <w:p w14:paraId="324A40A2" w14:textId="77777777" w:rsidR="00D97C52" w:rsidRPr="00D66D81" w:rsidRDefault="00D97C52">
            <w:pPr>
              <w:spacing w:line="240" w:lineRule="auto"/>
              <w:jc w:val="right"/>
              <w:rPr>
                <w:rFonts w:cs="Arial"/>
                <w:color w:val="000000"/>
                <w:kern w:val="24"/>
                <w:sz w:val="22"/>
              </w:rPr>
            </w:pPr>
            <w:r w:rsidRPr="00D66D81">
              <w:rPr>
                <w:rFonts w:cs="Arial"/>
                <w:color w:val="000000"/>
                <w:kern w:val="24"/>
                <w:sz w:val="22"/>
              </w:rPr>
              <w:t>2</w:t>
            </w:r>
          </w:p>
        </w:tc>
        <w:tc>
          <w:tcPr>
            <w:tcW w:w="1175" w:type="dxa"/>
          </w:tcPr>
          <w:p w14:paraId="659E42CB" w14:textId="77777777" w:rsidR="00D97C52" w:rsidRPr="00D66D81" w:rsidRDefault="00D97C52">
            <w:pPr>
              <w:spacing w:line="240" w:lineRule="auto"/>
              <w:jc w:val="right"/>
              <w:rPr>
                <w:rFonts w:cs="Arial"/>
                <w:color w:val="000000"/>
                <w:kern w:val="24"/>
                <w:sz w:val="22"/>
              </w:rPr>
            </w:pPr>
            <w:r w:rsidRPr="00D66D81">
              <w:rPr>
                <w:rFonts w:cs="Arial"/>
                <w:color w:val="000000"/>
                <w:kern w:val="24"/>
                <w:sz w:val="22"/>
              </w:rPr>
              <w:t>1</w:t>
            </w:r>
          </w:p>
        </w:tc>
        <w:tc>
          <w:tcPr>
            <w:tcW w:w="1175" w:type="dxa"/>
          </w:tcPr>
          <w:p w14:paraId="3650EED7" w14:textId="77777777" w:rsidR="00D97C52" w:rsidRPr="00D66D81" w:rsidRDefault="00D97C52">
            <w:pPr>
              <w:spacing w:line="240" w:lineRule="auto"/>
              <w:jc w:val="right"/>
              <w:rPr>
                <w:rFonts w:cs="Arial"/>
                <w:color w:val="000000"/>
                <w:kern w:val="24"/>
                <w:sz w:val="22"/>
              </w:rPr>
            </w:pPr>
          </w:p>
        </w:tc>
        <w:tc>
          <w:tcPr>
            <w:tcW w:w="1176" w:type="dxa"/>
          </w:tcPr>
          <w:p w14:paraId="03754B94" w14:textId="372C3744" w:rsidR="00D97C52" w:rsidRPr="00D66D81" w:rsidRDefault="00D97C52">
            <w:pPr>
              <w:spacing w:line="240" w:lineRule="auto"/>
              <w:jc w:val="right"/>
              <w:rPr>
                <w:rFonts w:cs="Arial"/>
                <w:color w:val="000000"/>
                <w:kern w:val="24"/>
                <w:sz w:val="22"/>
              </w:rPr>
            </w:pPr>
          </w:p>
        </w:tc>
        <w:tc>
          <w:tcPr>
            <w:tcW w:w="1175" w:type="dxa"/>
          </w:tcPr>
          <w:p w14:paraId="45E11A79" w14:textId="77777777" w:rsidR="00D97C52" w:rsidRPr="00D66D81" w:rsidRDefault="00D97C52">
            <w:pPr>
              <w:spacing w:line="240" w:lineRule="auto"/>
              <w:jc w:val="right"/>
              <w:rPr>
                <w:rFonts w:cs="Arial"/>
                <w:color w:val="000000"/>
                <w:kern w:val="24"/>
                <w:sz w:val="22"/>
              </w:rPr>
            </w:pPr>
            <w:r w:rsidRPr="00D66D81">
              <w:rPr>
                <w:rFonts w:cs="Arial"/>
                <w:color w:val="000000"/>
                <w:kern w:val="24"/>
                <w:sz w:val="22"/>
              </w:rPr>
              <w:t>1</w:t>
            </w:r>
          </w:p>
        </w:tc>
        <w:tc>
          <w:tcPr>
            <w:tcW w:w="1176" w:type="dxa"/>
          </w:tcPr>
          <w:p w14:paraId="67C16627" w14:textId="77777777" w:rsidR="00D97C52" w:rsidRPr="00D66D81" w:rsidRDefault="00D97C52">
            <w:pPr>
              <w:spacing w:line="240" w:lineRule="auto"/>
              <w:jc w:val="right"/>
              <w:rPr>
                <w:rFonts w:cs="Arial"/>
                <w:color w:val="000000"/>
                <w:kern w:val="24"/>
                <w:sz w:val="22"/>
              </w:rPr>
            </w:pPr>
          </w:p>
        </w:tc>
        <w:tc>
          <w:tcPr>
            <w:tcW w:w="1312" w:type="dxa"/>
          </w:tcPr>
          <w:p w14:paraId="0178C9FA" w14:textId="38AED80F" w:rsidR="00D97C52" w:rsidRPr="00D66D81" w:rsidRDefault="002406F0">
            <w:pPr>
              <w:spacing w:line="240" w:lineRule="auto"/>
              <w:rPr>
                <w:rFonts w:cs="Arial"/>
                <w:color w:val="000000"/>
                <w:kern w:val="24"/>
                <w:sz w:val="22"/>
              </w:rPr>
            </w:pPr>
            <w:r>
              <w:rPr>
                <w:rFonts w:cs="Arial"/>
                <w:color w:val="000000"/>
                <w:kern w:val="24"/>
                <w:sz w:val="22"/>
              </w:rPr>
              <w:t>PRC</w:t>
            </w:r>
            <w:r w:rsidR="00D97C52" w:rsidRPr="00D66D81">
              <w:rPr>
                <w:rFonts w:cs="Arial"/>
                <w:color w:val="000000"/>
                <w:kern w:val="24"/>
                <w:sz w:val="22"/>
              </w:rPr>
              <w:t>, Vietnam</w:t>
            </w:r>
          </w:p>
        </w:tc>
        <w:tc>
          <w:tcPr>
            <w:tcW w:w="3419" w:type="dxa"/>
          </w:tcPr>
          <w:p w14:paraId="11E92D34" w14:textId="77777777" w:rsidR="00D97C52" w:rsidRPr="00D66D81" w:rsidRDefault="00D97C52">
            <w:pPr>
              <w:spacing w:line="240" w:lineRule="auto"/>
              <w:jc w:val="right"/>
              <w:rPr>
                <w:rFonts w:cs="Arial"/>
                <w:color w:val="000000"/>
                <w:kern w:val="24"/>
                <w:sz w:val="22"/>
              </w:rPr>
            </w:pPr>
            <w:r w:rsidRPr="00D66D81">
              <w:rPr>
                <w:rFonts w:cs="Arial"/>
                <w:color w:val="000000"/>
                <w:kern w:val="24"/>
                <w:sz w:val="22"/>
              </w:rPr>
              <w:t>A large range from 6603.90.81.00 to 9603.90.80.50</w:t>
            </w:r>
          </w:p>
        </w:tc>
      </w:tr>
      <w:tr w:rsidR="00D97C52" w:rsidRPr="00D66D81" w14:paraId="2DEAB944" w14:textId="77777777" w:rsidTr="00CB4E3D">
        <w:trPr>
          <w:trHeight w:val="501"/>
        </w:trPr>
        <w:tc>
          <w:tcPr>
            <w:tcW w:w="2405" w:type="dxa"/>
          </w:tcPr>
          <w:p w14:paraId="43D6421C" w14:textId="47A4C50B" w:rsidR="00D97C52" w:rsidRPr="00D66D81" w:rsidRDefault="00D97C52">
            <w:pPr>
              <w:spacing w:line="240" w:lineRule="auto"/>
              <w:rPr>
                <w:rFonts w:cs="Arial"/>
                <w:color w:val="000000"/>
                <w:kern w:val="24"/>
                <w:sz w:val="22"/>
              </w:rPr>
            </w:pPr>
            <w:r w:rsidRPr="00D66D81">
              <w:rPr>
                <w:rFonts w:cs="Arial"/>
                <w:color w:val="000000"/>
                <w:kern w:val="24"/>
                <w:sz w:val="22"/>
              </w:rPr>
              <w:t>Certain cold-rolled steel flat products (</w:t>
            </w:r>
            <w:r w:rsidR="00192BF6">
              <w:rPr>
                <w:rFonts w:cs="Arial"/>
                <w:color w:val="000000"/>
                <w:kern w:val="24"/>
                <w:sz w:val="22"/>
              </w:rPr>
              <w:t>PRC</w:t>
            </w:r>
            <w:r w:rsidRPr="00D66D81">
              <w:rPr>
                <w:rFonts w:cs="Arial"/>
                <w:color w:val="000000"/>
                <w:kern w:val="24"/>
                <w:sz w:val="22"/>
              </w:rPr>
              <w:t>, Korea)</w:t>
            </w:r>
          </w:p>
        </w:tc>
        <w:tc>
          <w:tcPr>
            <w:tcW w:w="935" w:type="dxa"/>
            <w:shd w:val="clear" w:color="auto" w:fill="DEEAF6" w:themeFill="accent5" w:themeFillTint="33"/>
          </w:tcPr>
          <w:p w14:paraId="0DB2FE99" w14:textId="77777777" w:rsidR="00D97C52" w:rsidRPr="00D66D81" w:rsidRDefault="00D97C52">
            <w:pPr>
              <w:spacing w:line="240" w:lineRule="auto"/>
              <w:jc w:val="right"/>
              <w:rPr>
                <w:rFonts w:cs="Arial"/>
                <w:sz w:val="22"/>
              </w:rPr>
            </w:pPr>
            <w:r w:rsidRPr="00D66D81">
              <w:rPr>
                <w:rFonts w:cs="Arial"/>
                <w:sz w:val="22"/>
              </w:rPr>
              <w:t>2</w:t>
            </w:r>
          </w:p>
        </w:tc>
        <w:tc>
          <w:tcPr>
            <w:tcW w:w="1175" w:type="dxa"/>
          </w:tcPr>
          <w:p w14:paraId="26DDDF91" w14:textId="77777777" w:rsidR="00D97C52" w:rsidRPr="00D66D81" w:rsidRDefault="00D97C52">
            <w:pPr>
              <w:spacing w:line="240" w:lineRule="auto"/>
              <w:jc w:val="right"/>
              <w:rPr>
                <w:rFonts w:cs="Arial"/>
                <w:color w:val="000000"/>
                <w:kern w:val="24"/>
                <w:sz w:val="22"/>
              </w:rPr>
            </w:pPr>
            <w:r w:rsidRPr="00D66D81">
              <w:rPr>
                <w:rFonts w:cs="Arial"/>
                <w:color w:val="000000"/>
                <w:kern w:val="24"/>
                <w:sz w:val="22"/>
              </w:rPr>
              <w:t>2</w:t>
            </w:r>
          </w:p>
        </w:tc>
        <w:tc>
          <w:tcPr>
            <w:tcW w:w="1175" w:type="dxa"/>
          </w:tcPr>
          <w:p w14:paraId="20E73124" w14:textId="77777777" w:rsidR="00D97C52" w:rsidRPr="00D66D81" w:rsidRDefault="00D97C52">
            <w:pPr>
              <w:spacing w:line="240" w:lineRule="auto"/>
              <w:jc w:val="right"/>
              <w:rPr>
                <w:rFonts w:cs="Arial"/>
                <w:color w:val="000000"/>
                <w:kern w:val="24"/>
                <w:sz w:val="22"/>
              </w:rPr>
            </w:pPr>
          </w:p>
        </w:tc>
        <w:tc>
          <w:tcPr>
            <w:tcW w:w="1176" w:type="dxa"/>
          </w:tcPr>
          <w:p w14:paraId="28D6890E" w14:textId="59E77E5A" w:rsidR="00D97C52" w:rsidRPr="00D66D81" w:rsidRDefault="00D97C52">
            <w:pPr>
              <w:spacing w:line="240" w:lineRule="auto"/>
              <w:jc w:val="right"/>
              <w:rPr>
                <w:rFonts w:cs="Arial"/>
                <w:color w:val="000000"/>
                <w:kern w:val="24"/>
                <w:sz w:val="22"/>
              </w:rPr>
            </w:pPr>
          </w:p>
        </w:tc>
        <w:tc>
          <w:tcPr>
            <w:tcW w:w="1175" w:type="dxa"/>
          </w:tcPr>
          <w:p w14:paraId="4954AD96" w14:textId="77777777" w:rsidR="00D97C52" w:rsidRPr="00D66D81" w:rsidRDefault="00D97C52">
            <w:pPr>
              <w:spacing w:line="240" w:lineRule="auto"/>
              <w:jc w:val="right"/>
              <w:rPr>
                <w:rFonts w:cs="Arial"/>
                <w:color w:val="000000"/>
                <w:kern w:val="24"/>
                <w:sz w:val="22"/>
              </w:rPr>
            </w:pPr>
          </w:p>
        </w:tc>
        <w:tc>
          <w:tcPr>
            <w:tcW w:w="1176" w:type="dxa"/>
          </w:tcPr>
          <w:p w14:paraId="5094229E" w14:textId="77777777" w:rsidR="00D97C52" w:rsidRPr="00D66D81" w:rsidRDefault="00D97C52">
            <w:pPr>
              <w:spacing w:line="240" w:lineRule="auto"/>
              <w:jc w:val="right"/>
              <w:rPr>
                <w:rFonts w:cs="Arial"/>
                <w:color w:val="000000"/>
                <w:kern w:val="24"/>
                <w:sz w:val="22"/>
              </w:rPr>
            </w:pPr>
          </w:p>
        </w:tc>
        <w:tc>
          <w:tcPr>
            <w:tcW w:w="1312" w:type="dxa"/>
          </w:tcPr>
          <w:p w14:paraId="5E00DA0B" w14:textId="77777777" w:rsidR="00D97C52" w:rsidRPr="00D66D81" w:rsidRDefault="00D97C52">
            <w:pPr>
              <w:spacing w:line="240" w:lineRule="auto"/>
              <w:rPr>
                <w:rFonts w:cs="Arial"/>
                <w:color w:val="000000"/>
                <w:kern w:val="24"/>
                <w:sz w:val="22"/>
              </w:rPr>
            </w:pPr>
            <w:r w:rsidRPr="00D66D81">
              <w:rPr>
                <w:rFonts w:cs="Arial"/>
                <w:color w:val="000000"/>
                <w:kern w:val="24"/>
                <w:sz w:val="22"/>
              </w:rPr>
              <w:t>Vietnam</w:t>
            </w:r>
          </w:p>
        </w:tc>
        <w:tc>
          <w:tcPr>
            <w:tcW w:w="3419" w:type="dxa"/>
          </w:tcPr>
          <w:p w14:paraId="61B9BF3F" w14:textId="77777777" w:rsidR="00D97C52" w:rsidRPr="00D66D81" w:rsidRDefault="00D97C52">
            <w:pPr>
              <w:spacing w:line="240" w:lineRule="auto"/>
              <w:jc w:val="right"/>
              <w:rPr>
                <w:rFonts w:cs="Arial"/>
                <w:color w:val="000000"/>
                <w:kern w:val="24"/>
                <w:sz w:val="22"/>
              </w:rPr>
            </w:pPr>
            <w:r w:rsidRPr="00D66D81">
              <w:rPr>
                <w:rFonts w:cs="Arial"/>
                <w:color w:val="000000"/>
                <w:kern w:val="24"/>
                <w:sz w:val="22"/>
              </w:rPr>
              <w:t>A large range from 7209.15.00.00 to 7229.90.10.00</w:t>
            </w:r>
          </w:p>
        </w:tc>
      </w:tr>
      <w:tr w:rsidR="00D97C52" w:rsidRPr="00D66D81" w14:paraId="36337114" w14:textId="77777777" w:rsidTr="00CB4E3D">
        <w:trPr>
          <w:trHeight w:val="501"/>
        </w:trPr>
        <w:tc>
          <w:tcPr>
            <w:tcW w:w="2405" w:type="dxa"/>
          </w:tcPr>
          <w:p w14:paraId="20D23654" w14:textId="17281748" w:rsidR="00D97C52" w:rsidRPr="00D66D81" w:rsidRDefault="00D97C52">
            <w:pPr>
              <w:spacing w:line="240" w:lineRule="auto"/>
              <w:rPr>
                <w:rFonts w:cs="Arial"/>
                <w:color w:val="000000"/>
                <w:kern w:val="24"/>
                <w:sz w:val="22"/>
              </w:rPr>
            </w:pPr>
            <w:r w:rsidRPr="00D66D81">
              <w:rPr>
                <w:rFonts w:cs="Arial"/>
                <w:color w:val="000000"/>
                <w:kern w:val="24"/>
                <w:sz w:val="22"/>
              </w:rPr>
              <w:t>Uncovered innerspring units (</w:t>
            </w:r>
            <w:r w:rsidR="00192BF6">
              <w:rPr>
                <w:rFonts w:cs="Arial"/>
                <w:color w:val="000000"/>
                <w:kern w:val="24"/>
                <w:sz w:val="22"/>
              </w:rPr>
              <w:t>PRC</w:t>
            </w:r>
            <w:r w:rsidRPr="00D66D81">
              <w:rPr>
                <w:rFonts w:cs="Arial"/>
                <w:color w:val="000000"/>
                <w:kern w:val="24"/>
                <w:sz w:val="22"/>
              </w:rPr>
              <w:t>)</w:t>
            </w:r>
          </w:p>
        </w:tc>
        <w:tc>
          <w:tcPr>
            <w:tcW w:w="935" w:type="dxa"/>
            <w:shd w:val="clear" w:color="auto" w:fill="DEEAF6" w:themeFill="accent5" w:themeFillTint="33"/>
          </w:tcPr>
          <w:p w14:paraId="3B7AF913" w14:textId="77777777" w:rsidR="00D97C52" w:rsidRPr="00D66D81" w:rsidRDefault="00D97C52">
            <w:pPr>
              <w:spacing w:line="240" w:lineRule="auto"/>
              <w:jc w:val="right"/>
              <w:rPr>
                <w:rFonts w:cs="Arial"/>
                <w:color w:val="000000"/>
                <w:kern w:val="24"/>
                <w:sz w:val="22"/>
              </w:rPr>
            </w:pPr>
            <w:r w:rsidRPr="00D66D81">
              <w:rPr>
                <w:rFonts w:cs="Arial"/>
                <w:color w:val="000000"/>
                <w:kern w:val="24"/>
                <w:sz w:val="22"/>
              </w:rPr>
              <w:t>1</w:t>
            </w:r>
          </w:p>
        </w:tc>
        <w:tc>
          <w:tcPr>
            <w:tcW w:w="1175" w:type="dxa"/>
          </w:tcPr>
          <w:p w14:paraId="77B22F75" w14:textId="77777777" w:rsidR="00D97C52" w:rsidRPr="00D66D81" w:rsidRDefault="00D97C52">
            <w:pPr>
              <w:spacing w:line="240" w:lineRule="auto"/>
              <w:jc w:val="right"/>
              <w:rPr>
                <w:rFonts w:cs="Arial"/>
                <w:color w:val="000000"/>
                <w:kern w:val="24"/>
                <w:sz w:val="22"/>
              </w:rPr>
            </w:pPr>
            <w:r w:rsidRPr="00D66D81">
              <w:rPr>
                <w:rFonts w:cs="Arial"/>
                <w:color w:val="000000"/>
                <w:kern w:val="24"/>
                <w:sz w:val="22"/>
              </w:rPr>
              <w:t>1</w:t>
            </w:r>
          </w:p>
        </w:tc>
        <w:tc>
          <w:tcPr>
            <w:tcW w:w="1175" w:type="dxa"/>
          </w:tcPr>
          <w:p w14:paraId="3835D960" w14:textId="77777777" w:rsidR="00D97C52" w:rsidRPr="00D66D81" w:rsidRDefault="00D97C52">
            <w:pPr>
              <w:spacing w:line="240" w:lineRule="auto"/>
              <w:jc w:val="right"/>
              <w:rPr>
                <w:rFonts w:cs="Arial"/>
                <w:color w:val="000000"/>
                <w:kern w:val="24"/>
                <w:sz w:val="22"/>
              </w:rPr>
            </w:pPr>
          </w:p>
        </w:tc>
        <w:tc>
          <w:tcPr>
            <w:tcW w:w="1176" w:type="dxa"/>
          </w:tcPr>
          <w:p w14:paraId="09D38861" w14:textId="605501E0" w:rsidR="00D97C52" w:rsidRPr="00D66D81" w:rsidRDefault="00D97C52">
            <w:pPr>
              <w:spacing w:line="240" w:lineRule="auto"/>
              <w:jc w:val="right"/>
              <w:rPr>
                <w:rFonts w:cs="Arial"/>
                <w:color w:val="000000"/>
                <w:kern w:val="24"/>
                <w:sz w:val="22"/>
              </w:rPr>
            </w:pPr>
          </w:p>
        </w:tc>
        <w:tc>
          <w:tcPr>
            <w:tcW w:w="1175" w:type="dxa"/>
          </w:tcPr>
          <w:p w14:paraId="1323A1DF" w14:textId="77777777" w:rsidR="00D97C52" w:rsidRPr="00D66D81" w:rsidRDefault="00D97C52">
            <w:pPr>
              <w:spacing w:line="240" w:lineRule="auto"/>
              <w:jc w:val="right"/>
              <w:rPr>
                <w:rFonts w:cs="Arial"/>
                <w:color w:val="000000"/>
                <w:kern w:val="24"/>
                <w:sz w:val="22"/>
              </w:rPr>
            </w:pPr>
          </w:p>
        </w:tc>
        <w:tc>
          <w:tcPr>
            <w:tcW w:w="1176" w:type="dxa"/>
          </w:tcPr>
          <w:p w14:paraId="59059711" w14:textId="77777777" w:rsidR="00D97C52" w:rsidRPr="00D66D81" w:rsidRDefault="00D97C52">
            <w:pPr>
              <w:spacing w:line="240" w:lineRule="auto"/>
              <w:jc w:val="right"/>
              <w:rPr>
                <w:rFonts w:cs="Arial"/>
                <w:color w:val="000000"/>
                <w:kern w:val="24"/>
                <w:sz w:val="22"/>
              </w:rPr>
            </w:pPr>
          </w:p>
        </w:tc>
        <w:tc>
          <w:tcPr>
            <w:tcW w:w="1312" w:type="dxa"/>
          </w:tcPr>
          <w:p w14:paraId="468143B6" w14:textId="77777777" w:rsidR="00D97C52" w:rsidRPr="00D66D81" w:rsidRDefault="00D97C52">
            <w:pPr>
              <w:spacing w:line="240" w:lineRule="auto"/>
              <w:rPr>
                <w:rFonts w:cs="Arial"/>
                <w:color w:val="000000"/>
                <w:kern w:val="24"/>
                <w:sz w:val="22"/>
              </w:rPr>
            </w:pPr>
            <w:r w:rsidRPr="00D66D81">
              <w:rPr>
                <w:rFonts w:cs="Arial"/>
                <w:color w:val="000000"/>
                <w:kern w:val="24"/>
                <w:sz w:val="22"/>
              </w:rPr>
              <w:t>Macau</w:t>
            </w:r>
          </w:p>
        </w:tc>
        <w:tc>
          <w:tcPr>
            <w:tcW w:w="3419" w:type="dxa"/>
          </w:tcPr>
          <w:p w14:paraId="680F8378" w14:textId="77777777" w:rsidR="00D97C52" w:rsidRPr="00D66D81" w:rsidRDefault="00D97C52">
            <w:pPr>
              <w:spacing w:line="240" w:lineRule="auto"/>
              <w:jc w:val="right"/>
              <w:rPr>
                <w:rFonts w:cs="Arial"/>
                <w:color w:val="000000"/>
                <w:kern w:val="24"/>
                <w:sz w:val="22"/>
              </w:rPr>
            </w:pPr>
            <w:r w:rsidRPr="00D66D81">
              <w:rPr>
                <w:rFonts w:cs="Arial"/>
                <w:color w:val="000000"/>
                <w:kern w:val="24"/>
                <w:sz w:val="22"/>
              </w:rPr>
              <w:t>7320.20.50.10, 7320.90.50.10, 7326.20.00.70, 7326.20.00.71, 7326.20.00.90, 9404.10.00.00, 9404.29.90.05, 9404.29.90.10, 9404.29.90.11, 9404.29.90.13, 9404.29.90.50</w:t>
            </w:r>
          </w:p>
        </w:tc>
      </w:tr>
      <w:tr w:rsidR="00D97C52" w:rsidRPr="00D66D81" w14:paraId="1833233F" w14:textId="77777777" w:rsidTr="00CB4E3D">
        <w:trPr>
          <w:trHeight w:val="501"/>
        </w:trPr>
        <w:tc>
          <w:tcPr>
            <w:tcW w:w="2405" w:type="dxa"/>
          </w:tcPr>
          <w:p w14:paraId="6E85E7FA" w14:textId="7811E84A" w:rsidR="00D97C52" w:rsidRPr="00D66D81" w:rsidRDefault="00D97C52">
            <w:pPr>
              <w:spacing w:line="240" w:lineRule="auto"/>
              <w:rPr>
                <w:rFonts w:cs="Arial"/>
                <w:color w:val="000000"/>
                <w:kern w:val="24"/>
                <w:sz w:val="22"/>
              </w:rPr>
            </w:pPr>
            <w:r w:rsidRPr="00D66D81">
              <w:rPr>
                <w:rFonts w:cs="Arial"/>
                <w:color w:val="000000"/>
                <w:kern w:val="24"/>
                <w:sz w:val="22"/>
              </w:rPr>
              <w:t>Carbon steel butt-weld pipe fittings (</w:t>
            </w:r>
            <w:r w:rsidR="00192BF6">
              <w:rPr>
                <w:rFonts w:cs="Arial"/>
                <w:color w:val="000000"/>
                <w:kern w:val="24"/>
                <w:sz w:val="22"/>
              </w:rPr>
              <w:t>PRC</w:t>
            </w:r>
            <w:r w:rsidRPr="00D66D81">
              <w:rPr>
                <w:rFonts w:cs="Arial"/>
                <w:color w:val="000000"/>
                <w:kern w:val="24"/>
                <w:sz w:val="22"/>
              </w:rPr>
              <w:t>)</w:t>
            </w:r>
          </w:p>
        </w:tc>
        <w:tc>
          <w:tcPr>
            <w:tcW w:w="935" w:type="dxa"/>
            <w:shd w:val="clear" w:color="auto" w:fill="DEEAF6" w:themeFill="accent5" w:themeFillTint="33"/>
          </w:tcPr>
          <w:p w14:paraId="22214840" w14:textId="77777777" w:rsidR="00D97C52" w:rsidRPr="00D66D81" w:rsidRDefault="00D97C52">
            <w:pPr>
              <w:spacing w:line="240" w:lineRule="auto"/>
              <w:jc w:val="right"/>
              <w:rPr>
                <w:rFonts w:cs="Arial"/>
                <w:color w:val="000000"/>
                <w:kern w:val="24"/>
                <w:sz w:val="22"/>
              </w:rPr>
            </w:pPr>
            <w:r w:rsidRPr="00D66D81">
              <w:rPr>
                <w:rFonts w:cs="Arial"/>
                <w:color w:val="000000"/>
                <w:kern w:val="24"/>
                <w:sz w:val="22"/>
              </w:rPr>
              <w:t>1</w:t>
            </w:r>
          </w:p>
        </w:tc>
        <w:tc>
          <w:tcPr>
            <w:tcW w:w="1175" w:type="dxa"/>
          </w:tcPr>
          <w:p w14:paraId="71DD7E69" w14:textId="77777777" w:rsidR="00D97C52" w:rsidRPr="00D66D81" w:rsidRDefault="00D97C52">
            <w:pPr>
              <w:spacing w:line="240" w:lineRule="auto"/>
              <w:jc w:val="right"/>
              <w:rPr>
                <w:rFonts w:cs="Arial"/>
                <w:color w:val="000000"/>
                <w:kern w:val="24"/>
                <w:sz w:val="22"/>
              </w:rPr>
            </w:pPr>
            <w:r w:rsidRPr="00D66D81">
              <w:rPr>
                <w:rFonts w:cs="Arial"/>
                <w:color w:val="000000"/>
                <w:kern w:val="24"/>
                <w:sz w:val="22"/>
              </w:rPr>
              <w:t>1</w:t>
            </w:r>
          </w:p>
        </w:tc>
        <w:tc>
          <w:tcPr>
            <w:tcW w:w="1175" w:type="dxa"/>
          </w:tcPr>
          <w:p w14:paraId="45E51405" w14:textId="77777777" w:rsidR="00D97C52" w:rsidRPr="00D66D81" w:rsidRDefault="00D97C52">
            <w:pPr>
              <w:spacing w:line="240" w:lineRule="auto"/>
              <w:jc w:val="right"/>
              <w:rPr>
                <w:rFonts w:cs="Arial"/>
                <w:color w:val="000000"/>
                <w:kern w:val="24"/>
                <w:sz w:val="22"/>
              </w:rPr>
            </w:pPr>
          </w:p>
        </w:tc>
        <w:tc>
          <w:tcPr>
            <w:tcW w:w="1176" w:type="dxa"/>
          </w:tcPr>
          <w:p w14:paraId="59478711" w14:textId="04E0FA0A" w:rsidR="00D97C52" w:rsidRPr="00D66D81" w:rsidRDefault="00D97C52">
            <w:pPr>
              <w:spacing w:line="240" w:lineRule="auto"/>
              <w:jc w:val="right"/>
              <w:rPr>
                <w:rFonts w:cs="Arial"/>
                <w:color w:val="000000"/>
                <w:kern w:val="24"/>
                <w:sz w:val="22"/>
              </w:rPr>
            </w:pPr>
          </w:p>
        </w:tc>
        <w:tc>
          <w:tcPr>
            <w:tcW w:w="1175" w:type="dxa"/>
          </w:tcPr>
          <w:p w14:paraId="28157A02" w14:textId="77777777" w:rsidR="00D97C52" w:rsidRPr="00D66D81" w:rsidRDefault="00D97C52">
            <w:pPr>
              <w:spacing w:line="240" w:lineRule="auto"/>
              <w:jc w:val="right"/>
              <w:rPr>
                <w:rFonts w:cs="Arial"/>
                <w:color w:val="000000"/>
                <w:kern w:val="24"/>
                <w:sz w:val="22"/>
              </w:rPr>
            </w:pPr>
          </w:p>
        </w:tc>
        <w:tc>
          <w:tcPr>
            <w:tcW w:w="1176" w:type="dxa"/>
          </w:tcPr>
          <w:p w14:paraId="5AF6689B" w14:textId="77777777" w:rsidR="00D97C52" w:rsidRPr="00D66D81" w:rsidRDefault="00D97C52">
            <w:pPr>
              <w:spacing w:line="240" w:lineRule="auto"/>
              <w:jc w:val="right"/>
              <w:rPr>
                <w:rFonts w:cs="Arial"/>
                <w:color w:val="000000"/>
                <w:kern w:val="24"/>
                <w:sz w:val="22"/>
              </w:rPr>
            </w:pPr>
          </w:p>
        </w:tc>
        <w:tc>
          <w:tcPr>
            <w:tcW w:w="1312" w:type="dxa"/>
          </w:tcPr>
          <w:p w14:paraId="3A17DFE5" w14:textId="77777777" w:rsidR="00D97C52" w:rsidRPr="00D66D81" w:rsidRDefault="00D97C52">
            <w:pPr>
              <w:spacing w:line="240" w:lineRule="auto"/>
              <w:rPr>
                <w:rFonts w:cs="Arial"/>
                <w:color w:val="000000"/>
                <w:kern w:val="24"/>
                <w:sz w:val="22"/>
              </w:rPr>
            </w:pPr>
            <w:r w:rsidRPr="00D66D81">
              <w:rPr>
                <w:rFonts w:cs="Arial"/>
                <w:color w:val="000000"/>
                <w:kern w:val="24"/>
                <w:sz w:val="22"/>
              </w:rPr>
              <w:t>Malaysia</w:t>
            </w:r>
          </w:p>
        </w:tc>
        <w:tc>
          <w:tcPr>
            <w:tcW w:w="3419" w:type="dxa"/>
          </w:tcPr>
          <w:p w14:paraId="40F52903" w14:textId="77777777" w:rsidR="00D97C52" w:rsidRPr="00D66D81" w:rsidRDefault="00D97C52">
            <w:pPr>
              <w:spacing w:line="240" w:lineRule="auto"/>
              <w:jc w:val="right"/>
              <w:rPr>
                <w:rFonts w:cs="Arial"/>
                <w:color w:val="000000"/>
                <w:kern w:val="24"/>
                <w:sz w:val="22"/>
              </w:rPr>
            </w:pPr>
            <w:r w:rsidRPr="00D66D81">
              <w:rPr>
                <w:rFonts w:cs="Arial"/>
                <w:color w:val="000000"/>
                <w:kern w:val="24"/>
                <w:sz w:val="22"/>
              </w:rPr>
              <w:t>7307.93.30</w:t>
            </w:r>
          </w:p>
        </w:tc>
      </w:tr>
      <w:tr w:rsidR="00D97C52" w:rsidRPr="00D66D81" w14:paraId="04959488" w14:textId="77777777" w:rsidTr="00CB4E3D">
        <w:trPr>
          <w:trHeight w:val="501"/>
        </w:trPr>
        <w:tc>
          <w:tcPr>
            <w:tcW w:w="2405" w:type="dxa"/>
          </w:tcPr>
          <w:p w14:paraId="7CDBE27A" w14:textId="66E2DFA3" w:rsidR="00D97C52" w:rsidRPr="00D66D81" w:rsidRDefault="00D97C52">
            <w:pPr>
              <w:spacing w:line="240" w:lineRule="auto"/>
              <w:rPr>
                <w:rFonts w:cs="Arial"/>
                <w:color w:val="000000"/>
                <w:kern w:val="24"/>
                <w:sz w:val="22"/>
              </w:rPr>
            </w:pPr>
            <w:r w:rsidRPr="00D66D81">
              <w:rPr>
                <w:rFonts w:cs="Arial"/>
                <w:color w:val="000000"/>
                <w:kern w:val="24"/>
                <w:sz w:val="22"/>
              </w:rPr>
              <w:t xml:space="preserve">Uncoated paper products (Australia, United States, Brazil, </w:t>
            </w:r>
            <w:r w:rsidR="00192BF6">
              <w:rPr>
                <w:rFonts w:cs="Arial"/>
                <w:color w:val="000000"/>
                <w:kern w:val="24"/>
                <w:sz w:val="22"/>
              </w:rPr>
              <w:t>PRC</w:t>
            </w:r>
            <w:r w:rsidRPr="00D66D81">
              <w:rPr>
                <w:rFonts w:cs="Arial"/>
                <w:color w:val="000000"/>
                <w:kern w:val="24"/>
                <w:sz w:val="22"/>
              </w:rPr>
              <w:t>, Indonesia, Portugal)</w:t>
            </w:r>
          </w:p>
        </w:tc>
        <w:tc>
          <w:tcPr>
            <w:tcW w:w="935" w:type="dxa"/>
            <w:shd w:val="clear" w:color="auto" w:fill="DEEAF6" w:themeFill="accent5" w:themeFillTint="33"/>
          </w:tcPr>
          <w:p w14:paraId="1A8C642C" w14:textId="77777777" w:rsidR="00D97C52" w:rsidRPr="00D66D81" w:rsidRDefault="00D97C52">
            <w:pPr>
              <w:spacing w:line="240" w:lineRule="auto"/>
              <w:jc w:val="right"/>
              <w:rPr>
                <w:rFonts w:cs="Arial"/>
                <w:color w:val="000000"/>
                <w:kern w:val="24"/>
                <w:sz w:val="22"/>
              </w:rPr>
            </w:pPr>
            <w:r w:rsidRPr="00D66D81">
              <w:rPr>
                <w:rFonts w:cs="Arial"/>
                <w:color w:val="000000"/>
                <w:kern w:val="24"/>
                <w:sz w:val="22"/>
              </w:rPr>
              <w:t>1</w:t>
            </w:r>
          </w:p>
        </w:tc>
        <w:tc>
          <w:tcPr>
            <w:tcW w:w="1175" w:type="dxa"/>
          </w:tcPr>
          <w:p w14:paraId="16EBBD96" w14:textId="4E0CBE60" w:rsidR="00D97C52" w:rsidRPr="00D66D81" w:rsidRDefault="009D744D">
            <w:pPr>
              <w:spacing w:line="240" w:lineRule="auto"/>
              <w:jc w:val="right"/>
              <w:rPr>
                <w:rFonts w:cs="Arial"/>
                <w:color w:val="000000"/>
                <w:kern w:val="24"/>
                <w:sz w:val="22"/>
              </w:rPr>
            </w:pPr>
            <w:r w:rsidRPr="00D66D81">
              <w:rPr>
                <w:rFonts w:cs="Arial"/>
                <w:color w:val="000000"/>
                <w:kern w:val="24"/>
                <w:sz w:val="22"/>
              </w:rPr>
              <w:t>1</w:t>
            </w:r>
          </w:p>
        </w:tc>
        <w:tc>
          <w:tcPr>
            <w:tcW w:w="1175" w:type="dxa"/>
          </w:tcPr>
          <w:p w14:paraId="600B8C19" w14:textId="77777777" w:rsidR="00D97C52" w:rsidRPr="00D66D81" w:rsidRDefault="00D97C52">
            <w:pPr>
              <w:spacing w:line="240" w:lineRule="auto"/>
              <w:jc w:val="right"/>
              <w:rPr>
                <w:rFonts w:cs="Arial"/>
                <w:color w:val="000000"/>
                <w:kern w:val="24"/>
                <w:sz w:val="22"/>
              </w:rPr>
            </w:pPr>
          </w:p>
        </w:tc>
        <w:tc>
          <w:tcPr>
            <w:tcW w:w="1176" w:type="dxa"/>
          </w:tcPr>
          <w:p w14:paraId="6CD4CF8C" w14:textId="003DDB1D" w:rsidR="00D97C52" w:rsidRPr="00D66D81" w:rsidRDefault="00D97C52">
            <w:pPr>
              <w:spacing w:line="240" w:lineRule="auto"/>
              <w:jc w:val="right"/>
              <w:rPr>
                <w:rFonts w:cs="Arial"/>
                <w:color w:val="000000"/>
                <w:kern w:val="24"/>
                <w:sz w:val="22"/>
              </w:rPr>
            </w:pPr>
          </w:p>
        </w:tc>
        <w:tc>
          <w:tcPr>
            <w:tcW w:w="1175" w:type="dxa"/>
          </w:tcPr>
          <w:p w14:paraId="3B2B2692" w14:textId="77777777" w:rsidR="00D97C52" w:rsidRPr="00D66D81" w:rsidRDefault="00D97C52">
            <w:pPr>
              <w:spacing w:line="240" w:lineRule="auto"/>
              <w:jc w:val="right"/>
              <w:rPr>
                <w:rFonts w:cs="Arial"/>
                <w:color w:val="000000"/>
                <w:kern w:val="24"/>
                <w:sz w:val="22"/>
              </w:rPr>
            </w:pPr>
          </w:p>
        </w:tc>
        <w:tc>
          <w:tcPr>
            <w:tcW w:w="1176" w:type="dxa"/>
          </w:tcPr>
          <w:p w14:paraId="01737A7F" w14:textId="1D89582A" w:rsidR="00D97C52" w:rsidRPr="00D66D81" w:rsidRDefault="00D97C52">
            <w:pPr>
              <w:spacing w:line="240" w:lineRule="auto"/>
              <w:jc w:val="right"/>
              <w:rPr>
                <w:rFonts w:cs="Arial"/>
                <w:color w:val="000000"/>
                <w:kern w:val="24"/>
                <w:sz w:val="22"/>
              </w:rPr>
            </w:pPr>
          </w:p>
        </w:tc>
        <w:tc>
          <w:tcPr>
            <w:tcW w:w="1312" w:type="dxa"/>
          </w:tcPr>
          <w:p w14:paraId="462F0A3E" w14:textId="69AB10D7" w:rsidR="00D97C52" w:rsidRPr="00D66D81" w:rsidRDefault="002406F0">
            <w:pPr>
              <w:spacing w:line="240" w:lineRule="auto"/>
              <w:rPr>
                <w:rFonts w:cs="Arial"/>
                <w:color w:val="000000"/>
                <w:kern w:val="24"/>
                <w:sz w:val="22"/>
              </w:rPr>
            </w:pPr>
            <w:r>
              <w:rPr>
                <w:rFonts w:cs="Arial"/>
                <w:color w:val="000000"/>
                <w:kern w:val="24"/>
                <w:sz w:val="22"/>
              </w:rPr>
              <w:t>PRC</w:t>
            </w:r>
            <w:r w:rsidR="00D97C52" w:rsidRPr="00D66D81">
              <w:rPr>
                <w:rFonts w:cs="Arial"/>
                <w:color w:val="000000"/>
                <w:kern w:val="24"/>
                <w:sz w:val="22"/>
              </w:rPr>
              <w:t>, United States, India</w:t>
            </w:r>
          </w:p>
        </w:tc>
        <w:tc>
          <w:tcPr>
            <w:tcW w:w="3419" w:type="dxa"/>
          </w:tcPr>
          <w:p w14:paraId="15A8B788" w14:textId="77777777" w:rsidR="00D97C52" w:rsidRPr="00D66D81" w:rsidRDefault="00D97C52">
            <w:pPr>
              <w:spacing w:line="240" w:lineRule="auto"/>
              <w:jc w:val="right"/>
              <w:rPr>
                <w:rFonts w:cs="Arial"/>
                <w:color w:val="000000"/>
                <w:kern w:val="24"/>
                <w:sz w:val="22"/>
              </w:rPr>
            </w:pPr>
            <w:r w:rsidRPr="00D66D81">
              <w:rPr>
                <w:rFonts w:cs="Arial"/>
                <w:color w:val="000000"/>
                <w:kern w:val="24"/>
                <w:sz w:val="22"/>
              </w:rPr>
              <w:t>A large range from 4802.55 to 4811.90.90.80</w:t>
            </w:r>
          </w:p>
        </w:tc>
      </w:tr>
      <w:tr w:rsidR="00D97C52" w:rsidRPr="00D66D81" w14:paraId="4D1A0BA8" w14:textId="77777777" w:rsidTr="00CB4E3D">
        <w:trPr>
          <w:trHeight w:val="335"/>
        </w:trPr>
        <w:tc>
          <w:tcPr>
            <w:tcW w:w="2405" w:type="dxa"/>
            <w:hideMark/>
          </w:tcPr>
          <w:p w14:paraId="796FDAC1" w14:textId="77777777" w:rsidR="00D97C52" w:rsidRPr="00D66D81" w:rsidRDefault="00D97C52">
            <w:pPr>
              <w:spacing w:line="240" w:lineRule="auto"/>
              <w:rPr>
                <w:rFonts w:cs="Arial"/>
                <w:b/>
                <w:bCs/>
                <w:color w:val="000000"/>
                <w:kern w:val="24"/>
                <w:sz w:val="22"/>
              </w:rPr>
            </w:pPr>
            <w:r w:rsidRPr="00D66D81">
              <w:rPr>
                <w:rFonts w:cs="Arial"/>
                <w:b/>
                <w:bCs/>
                <w:color w:val="000000"/>
                <w:kern w:val="24"/>
                <w:sz w:val="22"/>
              </w:rPr>
              <w:t>Total</w:t>
            </w:r>
          </w:p>
        </w:tc>
        <w:tc>
          <w:tcPr>
            <w:tcW w:w="935" w:type="dxa"/>
            <w:shd w:val="clear" w:color="auto" w:fill="DEEAF6" w:themeFill="accent5" w:themeFillTint="33"/>
            <w:hideMark/>
          </w:tcPr>
          <w:p w14:paraId="5328048A" w14:textId="3908068B" w:rsidR="00D97C52" w:rsidRPr="00D66D81" w:rsidRDefault="000D444B">
            <w:pPr>
              <w:spacing w:line="240" w:lineRule="auto"/>
              <w:jc w:val="right"/>
              <w:rPr>
                <w:rFonts w:cs="Arial"/>
                <w:b/>
                <w:bCs/>
                <w:color w:val="000000"/>
                <w:kern w:val="24"/>
                <w:sz w:val="22"/>
              </w:rPr>
            </w:pPr>
            <w:r w:rsidRPr="00D66D81">
              <w:rPr>
                <w:rFonts w:cs="Arial"/>
                <w:b/>
                <w:bCs/>
                <w:color w:val="000000"/>
                <w:kern w:val="24"/>
                <w:sz w:val="22"/>
              </w:rPr>
              <w:t>3</w:t>
            </w:r>
            <w:r w:rsidR="009D744D" w:rsidRPr="00D66D81">
              <w:rPr>
                <w:rFonts w:cs="Arial"/>
                <w:b/>
                <w:bCs/>
                <w:color w:val="000000"/>
                <w:kern w:val="24"/>
                <w:sz w:val="22"/>
              </w:rPr>
              <w:t>1</w:t>
            </w:r>
          </w:p>
        </w:tc>
        <w:tc>
          <w:tcPr>
            <w:tcW w:w="1175" w:type="dxa"/>
            <w:hideMark/>
          </w:tcPr>
          <w:p w14:paraId="414307A9" w14:textId="3C4BCA91" w:rsidR="00D97C52" w:rsidRPr="00D66D81" w:rsidRDefault="000D444B">
            <w:pPr>
              <w:spacing w:line="240" w:lineRule="auto"/>
              <w:jc w:val="right"/>
              <w:rPr>
                <w:rFonts w:cs="Arial"/>
                <w:b/>
                <w:bCs/>
                <w:color w:val="000000"/>
                <w:kern w:val="24"/>
                <w:sz w:val="22"/>
              </w:rPr>
            </w:pPr>
            <w:r w:rsidRPr="00D66D81">
              <w:rPr>
                <w:rFonts w:cs="Arial"/>
                <w:b/>
                <w:bCs/>
                <w:color w:val="000000"/>
                <w:kern w:val="24"/>
                <w:sz w:val="22"/>
              </w:rPr>
              <w:t>1</w:t>
            </w:r>
            <w:r w:rsidR="00DC30E3" w:rsidRPr="00D66D81">
              <w:rPr>
                <w:rFonts w:cs="Arial"/>
                <w:b/>
                <w:bCs/>
                <w:color w:val="000000"/>
                <w:kern w:val="24"/>
                <w:sz w:val="22"/>
              </w:rPr>
              <w:t>7</w:t>
            </w:r>
          </w:p>
        </w:tc>
        <w:tc>
          <w:tcPr>
            <w:tcW w:w="1175" w:type="dxa"/>
          </w:tcPr>
          <w:p w14:paraId="4DE3375F" w14:textId="6AACAF97" w:rsidR="00D97C52" w:rsidRPr="00D66D81" w:rsidRDefault="000D444B">
            <w:pPr>
              <w:spacing w:line="240" w:lineRule="auto"/>
              <w:jc w:val="right"/>
              <w:rPr>
                <w:rFonts w:cs="Arial"/>
                <w:b/>
                <w:bCs/>
                <w:color w:val="000000"/>
                <w:kern w:val="24"/>
                <w:sz w:val="22"/>
              </w:rPr>
            </w:pPr>
            <w:r w:rsidRPr="00D66D81">
              <w:rPr>
                <w:rFonts w:cs="Arial"/>
                <w:b/>
                <w:bCs/>
                <w:color w:val="000000"/>
                <w:kern w:val="24"/>
                <w:sz w:val="22"/>
              </w:rPr>
              <w:t>4</w:t>
            </w:r>
          </w:p>
        </w:tc>
        <w:tc>
          <w:tcPr>
            <w:tcW w:w="1176" w:type="dxa"/>
            <w:hideMark/>
          </w:tcPr>
          <w:p w14:paraId="4389BCF4" w14:textId="42A6E2A9" w:rsidR="00D97C52" w:rsidRPr="00D66D81" w:rsidRDefault="000D444B">
            <w:pPr>
              <w:spacing w:line="240" w:lineRule="auto"/>
              <w:jc w:val="right"/>
              <w:rPr>
                <w:rFonts w:cs="Arial"/>
                <w:b/>
                <w:bCs/>
                <w:color w:val="000000"/>
                <w:kern w:val="24"/>
                <w:sz w:val="22"/>
                <w:lang w:val="fr-CH"/>
              </w:rPr>
            </w:pPr>
            <w:r w:rsidRPr="00D66D81">
              <w:rPr>
                <w:rFonts w:cs="Arial"/>
                <w:b/>
                <w:bCs/>
                <w:color w:val="000000"/>
                <w:kern w:val="24"/>
                <w:sz w:val="22"/>
              </w:rPr>
              <w:t>0</w:t>
            </w:r>
          </w:p>
        </w:tc>
        <w:tc>
          <w:tcPr>
            <w:tcW w:w="1175" w:type="dxa"/>
            <w:hideMark/>
          </w:tcPr>
          <w:p w14:paraId="1622BF53" w14:textId="03EFE0AF" w:rsidR="00D97C52" w:rsidRPr="00D66D81" w:rsidRDefault="00DC30E3">
            <w:pPr>
              <w:spacing w:line="240" w:lineRule="auto"/>
              <w:jc w:val="right"/>
              <w:rPr>
                <w:rFonts w:cs="Arial"/>
                <w:b/>
                <w:bCs/>
                <w:color w:val="000000"/>
                <w:kern w:val="24"/>
                <w:sz w:val="22"/>
              </w:rPr>
            </w:pPr>
            <w:r w:rsidRPr="00D66D81">
              <w:rPr>
                <w:rFonts w:cs="Arial"/>
                <w:b/>
                <w:bCs/>
                <w:color w:val="000000"/>
                <w:kern w:val="24"/>
                <w:sz w:val="22"/>
              </w:rPr>
              <w:t>1</w:t>
            </w:r>
            <w:r w:rsidR="009D744D" w:rsidRPr="00D66D81">
              <w:rPr>
                <w:rFonts w:cs="Arial"/>
                <w:b/>
                <w:bCs/>
                <w:color w:val="000000"/>
                <w:kern w:val="24"/>
                <w:sz w:val="22"/>
              </w:rPr>
              <w:t>0</w:t>
            </w:r>
          </w:p>
        </w:tc>
        <w:tc>
          <w:tcPr>
            <w:tcW w:w="1176" w:type="dxa"/>
            <w:hideMark/>
          </w:tcPr>
          <w:p w14:paraId="4E128F18" w14:textId="77777777" w:rsidR="00D97C52" w:rsidRPr="00D66D81" w:rsidRDefault="00D97C52">
            <w:pPr>
              <w:spacing w:line="240" w:lineRule="auto"/>
              <w:jc w:val="right"/>
              <w:rPr>
                <w:rFonts w:cs="Arial"/>
                <w:b/>
                <w:bCs/>
                <w:color w:val="000000"/>
                <w:kern w:val="24"/>
                <w:sz w:val="22"/>
              </w:rPr>
            </w:pPr>
          </w:p>
        </w:tc>
        <w:tc>
          <w:tcPr>
            <w:tcW w:w="1312" w:type="dxa"/>
            <w:hideMark/>
          </w:tcPr>
          <w:p w14:paraId="3908718C" w14:textId="77777777" w:rsidR="00D97C52" w:rsidRPr="00D66D81" w:rsidRDefault="00D97C52">
            <w:pPr>
              <w:spacing w:line="240" w:lineRule="auto"/>
              <w:rPr>
                <w:rFonts w:cs="Arial"/>
                <w:b/>
                <w:bCs/>
                <w:color w:val="000000"/>
                <w:kern w:val="24"/>
                <w:sz w:val="22"/>
              </w:rPr>
            </w:pPr>
          </w:p>
        </w:tc>
        <w:tc>
          <w:tcPr>
            <w:tcW w:w="3419" w:type="dxa"/>
            <w:hideMark/>
          </w:tcPr>
          <w:p w14:paraId="13F8DBEF" w14:textId="77777777" w:rsidR="00D97C52" w:rsidRPr="00D66D81" w:rsidRDefault="00D97C52">
            <w:pPr>
              <w:spacing w:line="240" w:lineRule="auto"/>
              <w:rPr>
                <w:rFonts w:cs="Arial"/>
                <w:b/>
                <w:bCs/>
                <w:color w:val="000000"/>
                <w:kern w:val="24"/>
                <w:sz w:val="22"/>
              </w:rPr>
            </w:pPr>
          </w:p>
        </w:tc>
      </w:tr>
    </w:tbl>
    <w:p w14:paraId="7B3E0FD5" w14:textId="2C77C053" w:rsidR="00A21C01" w:rsidRDefault="00A21C01" w:rsidP="00A21C01">
      <w:pPr>
        <w:pStyle w:val="Tablesource"/>
      </w:pPr>
      <w:r w:rsidRPr="00EE053A">
        <w:t>Source: United States Trade.gov</w:t>
      </w:r>
      <w:r w:rsidRPr="005745EA">
        <w:t>, Department of Commerce, Federal Register</w:t>
      </w:r>
      <w:r>
        <w:t>.</w:t>
      </w:r>
    </w:p>
    <w:p w14:paraId="4EECC0E3" w14:textId="77777777" w:rsidR="007B7B2A" w:rsidRDefault="007B7B2A" w:rsidP="007B7B2A">
      <w:pPr>
        <w:pStyle w:val="Tablesource"/>
      </w:pPr>
      <w:r>
        <w:t xml:space="preserve">Note: numbers report anti-circumvention action taken in response to a specific finding of circumvention e.g. modification or third party assembly. Where a particular case involves more than one type of circumvention activity, each action against will be reported separately. Duties imposed on multiple partners involving the same type of circumvention activity for a particular case are treated as one action. </w:t>
      </w:r>
    </w:p>
    <w:p w14:paraId="19A54510" w14:textId="77777777" w:rsidR="007B7B2A" w:rsidRPr="00EE053A" w:rsidRDefault="007B7B2A" w:rsidP="00A21C01">
      <w:pPr>
        <w:pStyle w:val="Tablesource"/>
      </w:pPr>
    </w:p>
    <w:bookmarkEnd w:id="160"/>
    <w:p w14:paraId="16F25C7C" w14:textId="77777777" w:rsidR="00A21C01" w:rsidRDefault="00A21C01" w:rsidP="00A21C01">
      <w:pPr>
        <w:rPr>
          <w:rFonts w:cs="Arial"/>
          <w:szCs w:val="24"/>
        </w:rPr>
      </w:pPr>
    </w:p>
    <w:p w14:paraId="6AD2CF7F" w14:textId="77777777" w:rsidR="00A21C01" w:rsidRDefault="00A21C01" w:rsidP="00A21C01">
      <w:pPr>
        <w:rPr>
          <w:rFonts w:cs="Arial"/>
          <w:szCs w:val="24"/>
        </w:rPr>
        <w:sectPr w:rsidR="00A21C01" w:rsidSect="00BC6A07">
          <w:pgSz w:w="16838" w:h="11906" w:orient="landscape"/>
          <w:pgMar w:top="1440" w:right="1440" w:bottom="1440" w:left="1440" w:header="708" w:footer="708" w:gutter="0"/>
          <w:cols w:space="708"/>
          <w:docGrid w:linePitch="360"/>
        </w:sectPr>
      </w:pPr>
    </w:p>
    <w:p w14:paraId="346F1BCC" w14:textId="2CB9607D" w:rsidR="00A21C01" w:rsidRDefault="00A21C01" w:rsidP="00A21C01">
      <w:pPr>
        <w:rPr>
          <w:rFonts w:cs="Arial"/>
          <w:szCs w:val="24"/>
        </w:rPr>
      </w:pPr>
      <w:r>
        <w:rPr>
          <w:rFonts w:cs="Arial"/>
          <w:szCs w:val="24"/>
        </w:rPr>
        <w:t xml:space="preserve">We observe that, in relation to products covered by the circumvention cases, there is  a significant degree of concentration in relation to </w:t>
      </w:r>
      <w:r w:rsidRPr="009323B3">
        <w:rPr>
          <w:rFonts w:cs="Arial"/>
          <w:szCs w:val="24"/>
        </w:rPr>
        <w:t xml:space="preserve">HS section </w:t>
      </w:r>
      <w:r w:rsidRPr="007F7394">
        <w:rPr>
          <w:rFonts w:cs="Arial"/>
          <w:szCs w:val="24"/>
        </w:rPr>
        <w:t>XV</w:t>
      </w:r>
      <w:r w:rsidRPr="009323B3">
        <w:rPr>
          <w:rFonts w:cs="Arial"/>
          <w:szCs w:val="24"/>
        </w:rPr>
        <w:t xml:space="preserve"> (</w:t>
      </w:r>
      <w:r w:rsidRPr="007F7394">
        <w:rPr>
          <w:rFonts w:cs="Arial"/>
          <w:szCs w:val="24"/>
        </w:rPr>
        <w:t>base metals and articles of base metal</w:t>
      </w:r>
      <w:r w:rsidRPr="009323B3">
        <w:rPr>
          <w:rFonts w:cs="Arial"/>
          <w:szCs w:val="24"/>
        </w:rPr>
        <w:t xml:space="preserve">), </w:t>
      </w:r>
      <w:r>
        <w:rPr>
          <w:rFonts w:cs="Arial"/>
          <w:szCs w:val="24"/>
        </w:rPr>
        <w:t>specifically</w:t>
      </w:r>
      <w:r w:rsidRPr="009323B3">
        <w:rPr>
          <w:rFonts w:cs="Arial"/>
          <w:szCs w:val="24"/>
        </w:rPr>
        <w:t xml:space="preserve"> chapters </w:t>
      </w:r>
      <w:r w:rsidRPr="007F7394">
        <w:rPr>
          <w:rFonts w:cs="Arial"/>
          <w:szCs w:val="24"/>
        </w:rPr>
        <w:t>72 and 73</w:t>
      </w:r>
      <w:r>
        <w:rPr>
          <w:rFonts w:cs="Arial"/>
          <w:szCs w:val="24"/>
        </w:rPr>
        <w:t>, which cover iron and steel. This is consistent with the large share of anti-dumping actions historically accounted for by this sector in the United States (over 50% between 1995 and 2021, according to data reported by the WTO based on notifications by members – a share that is higher than other WTO members).</w:t>
      </w:r>
      <w:r>
        <w:rPr>
          <w:rStyle w:val="FootnoteReference"/>
          <w:rFonts w:cs="Arial"/>
          <w:szCs w:val="24"/>
        </w:rPr>
        <w:footnoteReference w:id="113"/>
      </w:r>
    </w:p>
    <w:p w14:paraId="258A20E0" w14:textId="4CED6B06" w:rsidR="00A21C01" w:rsidRDefault="00A21C01" w:rsidP="00A21C01">
      <w:pPr>
        <w:rPr>
          <w:rFonts w:cs="Arial"/>
          <w:szCs w:val="24"/>
        </w:rPr>
      </w:pPr>
      <w:r>
        <w:rPr>
          <w:rFonts w:cs="Arial"/>
          <w:szCs w:val="24"/>
        </w:rPr>
        <w:t>Other cases can be found, notably, under section VII (plastics and articles thereof), specifically chapter 39; Section IX (woods and articles of wood), specifically chapter 74; and Section X (pulp of wood etc.), specifically chapter 48.</w:t>
      </w:r>
    </w:p>
    <w:p w14:paraId="3F1BFAF4" w14:textId="051165B7" w:rsidR="00A21C01" w:rsidRDefault="00A21C01" w:rsidP="00A21C01">
      <w:pPr>
        <w:rPr>
          <w:rFonts w:cs="Arial"/>
          <w:szCs w:val="24"/>
        </w:rPr>
      </w:pPr>
      <w:r>
        <w:rPr>
          <w:rFonts w:cs="Arial"/>
          <w:szCs w:val="24"/>
        </w:rPr>
        <w:t>The majority of circumvention cases are accounted for</w:t>
      </w:r>
      <w:r w:rsidR="00DC30E3">
        <w:rPr>
          <w:rFonts w:cs="Arial"/>
          <w:szCs w:val="24"/>
        </w:rPr>
        <w:t xml:space="preserve"> by assembly operations, particularly in 3rd party jurisdictions.</w:t>
      </w:r>
      <w:r>
        <w:rPr>
          <w:rFonts w:cs="Arial"/>
          <w:szCs w:val="24"/>
        </w:rPr>
        <w:t xml:space="preserve"> </w:t>
      </w:r>
      <w:r w:rsidR="00DC30E3">
        <w:rPr>
          <w:rFonts w:cs="Arial"/>
          <w:szCs w:val="24"/>
        </w:rPr>
        <w:t xml:space="preserve">The majority of these include intermediate goods or commoditised consumer products which undergo minor additional processing either in 3rd party jurisdictions or the United States. </w:t>
      </w:r>
      <w:r>
        <w:rPr>
          <w:rFonts w:cs="Arial"/>
          <w:szCs w:val="24"/>
        </w:rPr>
        <w:t>circumvention via minor modification accounts</w:t>
      </w:r>
      <w:r w:rsidR="00DC30E3">
        <w:rPr>
          <w:rFonts w:cs="Arial"/>
          <w:szCs w:val="24"/>
        </w:rPr>
        <w:t xml:space="preserve"> for a substantial share of cases. </w:t>
      </w:r>
      <w:r>
        <w:rPr>
          <w:rFonts w:cs="Arial"/>
          <w:szCs w:val="24"/>
        </w:rPr>
        <w:t>One possibility is that iron and steel products, which dominate trade remedies and circumvention cases, are susceptible to modification through the addition of other elements to form alloys and through operations such as painting.</w:t>
      </w:r>
    </w:p>
    <w:p w14:paraId="2F774AB8" w14:textId="597D9BDB" w:rsidR="00A21C01" w:rsidRPr="00834C11" w:rsidRDefault="00A21C01" w:rsidP="0B87AE61">
      <w:pPr>
        <w:pStyle w:val="Heading3"/>
        <w:rPr>
          <w:rFonts w:cs="Arial"/>
          <w:b w:val="0"/>
        </w:rPr>
      </w:pPr>
      <w:bookmarkStart w:id="161" w:name="_Toc1202656093"/>
      <w:bookmarkStart w:id="162" w:name="_Toc118465313"/>
      <w:r w:rsidRPr="0B87AE61">
        <w:rPr>
          <w:rFonts w:cs="Arial"/>
        </w:rPr>
        <w:t>Geographic patterns of circumvention cases</w:t>
      </w:r>
      <w:bookmarkEnd w:id="161"/>
      <w:bookmarkEnd w:id="162"/>
    </w:p>
    <w:p w14:paraId="0E7A33C9" w14:textId="2C1D7FA5" w:rsidR="00A21C01" w:rsidRDefault="00A21C01" w:rsidP="00A21C01">
      <w:pPr>
        <w:rPr>
          <w:rFonts w:cs="Arial"/>
          <w:szCs w:val="24"/>
        </w:rPr>
      </w:pPr>
      <w:r>
        <w:rPr>
          <w:rFonts w:cs="Arial"/>
          <w:szCs w:val="24"/>
        </w:rPr>
        <w:t xml:space="preserve">As with the EU, </w:t>
      </w:r>
      <w:r w:rsidR="002406F0">
        <w:rPr>
          <w:rFonts w:cs="Arial"/>
          <w:szCs w:val="24"/>
        </w:rPr>
        <w:t>PRC</w:t>
      </w:r>
      <w:r>
        <w:rPr>
          <w:rFonts w:cs="Arial"/>
          <w:szCs w:val="24"/>
        </w:rPr>
        <w:t xml:space="preserve"> </w:t>
      </w:r>
      <w:r w:rsidR="00CD3600">
        <w:rPr>
          <w:rFonts w:cs="Arial"/>
          <w:szCs w:val="24"/>
        </w:rPr>
        <w:t>accounts for the largest share of cases that have led to the imposition of circumvention duties. (As with the EU, it also is the leading target of anti-dumping duties, but its share of circumvention cases leading to duties is substantially higher).</w:t>
      </w:r>
      <w:r>
        <w:rPr>
          <w:rFonts w:cs="Arial"/>
          <w:szCs w:val="24"/>
        </w:rPr>
        <w:t xml:space="preserve"> However, as </w:t>
      </w:r>
      <w:r w:rsidR="00E0019C">
        <w:rPr>
          <w:rFonts w:cs="Arial"/>
          <w:szCs w:val="24"/>
        </w:rPr>
        <w:t>the data in</w:t>
      </w:r>
      <w:r w:rsidR="00BF139B">
        <w:rPr>
          <w:rFonts w:cs="Arial"/>
          <w:szCs w:val="24"/>
        </w:rPr>
        <w:t xml:space="preserve"> </w:t>
      </w:r>
      <w:r w:rsidR="00BF139B">
        <w:rPr>
          <w:rFonts w:cs="Arial"/>
          <w:szCs w:val="24"/>
        </w:rPr>
        <w:fldChar w:fldCharType="begin"/>
      </w:r>
      <w:r w:rsidR="00BF139B">
        <w:rPr>
          <w:rFonts w:cs="Arial"/>
          <w:szCs w:val="24"/>
        </w:rPr>
        <w:instrText xml:space="preserve"> REF _Ref103869851 \h </w:instrText>
      </w:r>
      <w:r w:rsidR="00BF139B">
        <w:rPr>
          <w:rFonts w:cs="Arial"/>
          <w:szCs w:val="24"/>
        </w:rPr>
      </w:r>
      <w:r w:rsidR="00BF139B">
        <w:rPr>
          <w:rFonts w:cs="Arial"/>
          <w:szCs w:val="24"/>
        </w:rPr>
        <w:fldChar w:fldCharType="separate"/>
      </w:r>
      <w:r w:rsidR="00BF139B" w:rsidRPr="00EF4802">
        <w:t xml:space="preserve">Table </w:t>
      </w:r>
      <w:r w:rsidR="00BF139B">
        <w:rPr>
          <w:noProof/>
        </w:rPr>
        <w:t>10</w:t>
      </w:r>
      <w:r w:rsidR="00BF139B">
        <w:rPr>
          <w:rFonts w:cs="Arial"/>
          <w:szCs w:val="24"/>
        </w:rPr>
        <w:fldChar w:fldCharType="end"/>
      </w:r>
      <w:r w:rsidR="00E0019C" w:rsidDel="00BF139B">
        <w:rPr>
          <w:rFonts w:cs="Arial"/>
          <w:szCs w:val="24"/>
        </w:rPr>
        <w:t xml:space="preserve"> </w:t>
      </w:r>
      <w:r>
        <w:rPr>
          <w:rFonts w:cs="Arial"/>
          <w:szCs w:val="24"/>
        </w:rPr>
        <w:t xml:space="preserve">demonstrates, the circumvention routes involving third countries differ to some extent to those seen </w:t>
      </w:r>
      <w:r w:rsidRPr="006A65D5">
        <w:rPr>
          <w:rFonts w:cs="Arial"/>
          <w:szCs w:val="24"/>
        </w:rPr>
        <w:t>vis-à-vis</w:t>
      </w:r>
      <w:r>
        <w:rPr>
          <w:rFonts w:cs="Arial"/>
          <w:szCs w:val="24"/>
        </w:rPr>
        <w:t xml:space="preserve"> the EU, while South and South</w:t>
      </w:r>
      <w:r w:rsidR="00554B37">
        <w:rPr>
          <w:rFonts w:cs="Arial"/>
          <w:szCs w:val="24"/>
        </w:rPr>
        <w:t>-</w:t>
      </w:r>
      <w:r>
        <w:rPr>
          <w:rFonts w:cs="Arial"/>
          <w:szCs w:val="24"/>
        </w:rPr>
        <w:t>East Asia seem to offer circumvention possibilities, as do the Middle East, Mexico and Canada.</w:t>
      </w:r>
    </w:p>
    <w:p w14:paraId="01216FAE" w14:textId="22825363" w:rsidR="00A21C01" w:rsidRDefault="00A21C01" w:rsidP="00A21C01">
      <w:pPr>
        <w:rPr>
          <w:rFonts w:cs="Arial"/>
          <w:szCs w:val="24"/>
        </w:rPr>
      </w:pPr>
      <w:r>
        <w:rPr>
          <w:rFonts w:cs="Arial"/>
          <w:szCs w:val="24"/>
        </w:rPr>
        <w:t xml:space="preserve">Again, as with the EU, existing trade linkages may play a role, but they are not necessarily determinative. Factors mentioned in relation to the EU, including capacity constraints affecting governance and administration, may influence the choice of circumventor. </w:t>
      </w:r>
    </w:p>
    <w:p w14:paraId="7AC60886" w14:textId="77777777" w:rsidR="00A21C01" w:rsidRDefault="00A21C01" w:rsidP="00A21C01">
      <w:pPr>
        <w:rPr>
          <w:rFonts w:cs="Arial"/>
          <w:szCs w:val="24"/>
        </w:rPr>
      </w:pPr>
    </w:p>
    <w:p w14:paraId="41C89D55" w14:textId="338726AD" w:rsidR="00A21C01" w:rsidRPr="00834C11" w:rsidRDefault="00A21C01" w:rsidP="0B87AE61">
      <w:pPr>
        <w:pStyle w:val="Heading3"/>
        <w:rPr>
          <w:rFonts w:cs="Arial"/>
          <w:b w:val="0"/>
        </w:rPr>
      </w:pPr>
      <w:bookmarkStart w:id="163" w:name="_Toc16455961"/>
      <w:bookmarkStart w:id="164" w:name="_Toc118465314"/>
      <w:r w:rsidRPr="0B87AE61">
        <w:rPr>
          <w:rFonts w:cs="Arial"/>
        </w:rPr>
        <w:t>Summary observations relating to the United States</w:t>
      </w:r>
      <w:bookmarkEnd w:id="163"/>
      <w:bookmarkEnd w:id="164"/>
    </w:p>
    <w:p w14:paraId="484896F3" w14:textId="4861E176" w:rsidR="00A21C01" w:rsidRPr="00985431" w:rsidRDefault="00A21C01" w:rsidP="00A21C01">
      <w:pPr>
        <w:rPr>
          <w:rFonts w:cs="Arial"/>
          <w:szCs w:val="24"/>
        </w:rPr>
      </w:pPr>
      <w:r>
        <w:rPr>
          <w:rFonts w:cs="Arial"/>
          <w:szCs w:val="24"/>
        </w:rPr>
        <w:t>The United States case presents similarities and points of difference to that of the EU. A comparative analysis of the differences is undertaken in more detail in the concluding part of this section. Commonalities include the differentiation between different modes of circumvention and identification of the specific types of information required to make a determination in relation to these. Observations regarding changed patterns of trade are, as with the EU, a gateway issue in determining whether circumvention inquiries are pursued. Trade trends are activel</w:t>
      </w:r>
      <w:r w:rsidRPr="00985431">
        <w:rPr>
          <w:rFonts w:cs="Arial"/>
          <w:szCs w:val="24"/>
        </w:rPr>
        <w:t>y</w:t>
      </w:r>
      <w:r>
        <w:rPr>
          <w:rFonts w:cs="Arial"/>
          <w:szCs w:val="24"/>
        </w:rPr>
        <w:t xml:space="preserve"> monitored by the DOC, as they are with the EC.</w:t>
      </w:r>
    </w:p>
    <w:p w14:paraId="23D3D6A6" w14:textId="7631EDBB" w:rsidR="00A21C01" w:rsidRDefault="00A21C01" w:rsidP="00A21C01">
      <w:pPr>
        <w:rPr>
          <w:rFonts w:cs="Arial"/>
          <w:szCs w:val="24"/>
        </w:rPr>
      </w:pPr>
      <w:r>
        <w:rPr>
          <w:rFonts w:cs="Arial"/>
          <w:szCs w:val="24"/>
        </w:rPr>
        <w:t xml:space="preserve">Findings regarding end-use and expectations thereof appear to play a determinative role in several cases, specifically those dealing with minor alteration or later development claims. Findings regarding end-use appear largely to be based on qualitative assessments rather than quantitative techniques (such as estimations of cross-price elasticities of demand), possibly because of data and resource constraints. The DOC relies mainly on in-house expertise, including familiarity with sectors gained over time, in formulating its judgements.  </w:t>
      </w:r>
    </w:p>
    <w:p w14:paraId="10DE6723" w14:textId="1F7EA941" w:rsidR="00A21C01" w:rsidRDefault="00A21C01" w:rsidP="00A21C01">
      <w:pPr>
        <w:rPr>
          <w:rFonts w:cs="Arial"/>
          <w:szCs w:val="24"/>
        </w:rPr>
      </w:pPr>
      <w:r>
        <w:rPr>
          <w:rFonts w:cs="Arial"/>
          <w:szCs w:val="24"/>
        </w:rPr>
        <w:t xml:space="preserve">A typical United States circumvention case would involve </w:t>
      </w:r>
      <w:r w:rsidR="002406F0">
        <w:rPr>
          <w:rFonts w:cs="Arial"/>
          <w:szCs w:val="24"/>
        </w:rPr>
        <w:t>PRC</w:t>
      </w:r>
      <w:r>
        <w:rPr>
          <w:rFonts w:cs="Arial"/>
          <w:szCs w:val="24"/>
        </w:rPr>
        <w:t xml:space="preserve"> and iron and steel products and could involve either minor modification or third-party assembly. While the country focus is similar to the EU cases, the range of products is smaller. </w:t>
      </w:r>
    </w:p>
    <w:p w14:paraId="3F277278" w14:textId="2AAA80F0" w:rsidR="00A21C01" w:rsidRDefault="00A21C01" w:rsidP="0B87AE61">
      <w:pPr>
        <w:pStyle w:val="Heading2"/>
        <w:rPr>
          <w:rFonts w:cs="Arial"/>
          <w:b w:val="0"/>
        </w:rPr>
      </w:pPr>
      <w:bookmarkStart w:id="165" w:name="_Toc1999577648"/>
      <w:bookmarkStart w:id="166" w:name="_Toc118465315"/>
      <w:r w:rsidRPr="0B87AE61">
        <w:rPr>
          <w:rFonts w:cs="Arial"/>
        </w:rPr>
        <w:t>Deep-dive study of Australia</w:t>
      </w:r>
      <w:bookmarkEnd w:id="165"/>
      <w:bookmarkEnd w:id="166"/>
    </w:p>
    <w:p w14:paraId="675F4DBE" w14:textId="15FC9172" w:rsidR="00A21C01" w:rsidRPr="00834C11" w:rsidRDefault="00A21C01" w:rsidP="0B87AE61">
      <w:pPr>
        <w:pStyle w:val="Heading3"/>
        <w:rPr>
          <w:rFonts w:cs="Arial"/>
          <w:b w:val="0"/>
        </w:rPr>
      </w:pPr>
      <w:bookmarkStart w:id="167" w:name="_Toc2087265854"/>
      <w:bookmarkStart w:id="168" w:name="_Toc118465316"/>
      <w:r w:rsidRPr="0B87AE61">
        <w:rPr>
          <w:rFonts w:cs="Arial"/>
        </w:rPr>
        <w:t>Legal framework and processes</w:t>
      </w:r>
      <w:bookmarkEnd w:id="167"/>
      <w:bookmarkEnd w:id="168"/>
    </w:p>
    <w:p w14:paraId="3063D829" w14:textId="77777777" w:rsidR="00C378E7" w:rsidRDefault="00C378E7" w:rsidP="00C378E7">
      <w:pPr>
        <w:rPr>
          <w:rFonts w:cs="Arial"/>
          <w:szCs w:val="24"/>
        </w:rPr>
      </w:pPr>
      <w:r>
        <w:rPr>
          <w:rFonts w:cs="Arial"/>
          <w:szCs w:val="24"/>
        </w:rPr>
        <w:t xml:space="preserve">The current legal framework for anti-circumvention in Australia is based on two instruments: the </w:t>
      </w:r>
      <w:hyperlink r:id="rId71" w:history="1">
        <w:r>
          <w:rPr>
            <w:rStyle w:val="Hyperlink"/>
            <w:i/>
            <w:szCs w:val="24"/>
          </w:rPr>
          <w:t>Customs Act 1901</w:t>
        </w:r>
      </w:hyperlink>
      <w:r>
        <w:rPr>
          <w:rFonts w:cs="Arial"/>
          <w:i/>
          <w:szCs w:val="24"/>
        </w:rPr>
        <w:t xml:space="preserve"> </w:t>
      </w:r>
      <w:r>
        <w:rPr>
          <w:rFonts w:cs="Arial"/>
          <w:szCs w:val="24"/>
        </w:rPr>
        <w:t xml:space="preserve">and the </w:t>
      </w:r>
      <w:hyperlink r:id="rId72" w:history="1">
        <w:r>
          <w:rPr>
            <w:rStyle w:val="Hyperlink"/>
            <w:i/>
            <w:szCs w:val="24"/>
          </w:rPr>
          <w:t>Customs (International Obligations) Regulation 2015</w:t>
        </w:r>
        <w:r>
          <w:rPr>
            <w:rStyle w:val="Hyperlink"/>
            <w:szCs w:val="24"/>
          </w:rPr>
          <w:t>,</w:t>
        </w:r>
      </w:hyperlink>
      <w:r>
        <w:rPr>
          <w:rFonts w:cs="Arial"/>
          <w:szCs w:val="24"/>
        </w:rPr>
        <w:t xml:space="preserve"> the latter being the implementing regulations for the former.</w:t>
      </w:r>
      <w:r>
        <w:rPr>
          <w:rStyle w:val="FootnoteReference"/>
          <w:rFonts w:cs="Arial"/>
          <w:szCs w:val="24"/>
        </w:rPr>
        <w:footnoteReference w:id="114"/>
      </w:r>
    </w:p>
    <w:p w14:paraId="16CC4F25" w14:textId="76E29BF4" w:rsidR="00A21C01" w:rsidRPr="00B61904" w:rsidRDefault="00A21C01" w:rsidP="00A21C01">
      <w:pPr>
        <w:rPr>
          <w:rFonts w:cs="Arial"/>
          <w:szCs w:val="24"/>
        </w:rPr>
      </w:pPr>
      <w:r w:rsidRPr="00842235">
        <w:rPr>
          <w:rFonts w:cs="Arial"/>
          <w:szCs w:val="24"/>
        </w:rPr>
        <w:t xml:space="preserve">The </w:t>
      </w:r>
      <w:r w:rsidRPr="00EF4802">
        <w:rPr>
          <w:rFonts w:cs="Arial"/>
          <w:szCs w:val="24"/>
        </w:rPr>
        <w:t>Anti-Dumping Commission (ADC)</w:t>
      </w:r>
      <w:r w:rsidRPr="00842235">
        <w:rPr>
          <w:rFonts w:cs="Arial"/>
          <w:szCs w:val="24"/>
        </w:rPr>
        <w:t>, which</w:t>
      </w:r>
      <w:r>
        <w:rPr>
          <w:rFonts w:cs="Arial"/>
          <w:szCs w:val="24"/>
        </w:rPr>
        <w:t xml:space="preserve"> is under the authority of the minister responsible for industry, administers trade remedy and anti-circumvention cases. </w:t>
      </w:r>
      <w:r w:rsidRPr="00B61904">
        <w:rPr>
          <w:rFonts w:cs="Arial"/>
          <w:szCs w:val="24"/>
        </w:rPr>
        <w:t>Such activities are a relatively new phenomenon and mark a change in Australia’s posture on these matters internationally. Australia’s Productivity Commission, tasked with reviewing economic policy, identified the change as a protectionist shift in Australian policy in response to weak demand and over</w:t>
      </w:r>
      <w:r>
        <w:rPr>
          <w:rFonts w:cs="Arial"/>
          <w:szCs w:val="24"/>
        </w:rPr>
        <w:t>-</w:t>
      </w:r>
      <w:r w:rsidRPr="00B61904">
        <w:rPr>
          <w:rFonts w:cs="Arial"/>
          <w:szCs w:val="24"/>
        </w:rPr>
        <w:t>capacity in capital</w:t>
      </w:r>
      <w:r>
        <w:rPr>
          <w:rFonts w:cs="Arial"/>
          <w:szCs w:val="24"/>
        </w:rPr>
        <w:t>-</w:t>
      </w:r>
      <w:r w:rsidRPr="00B61904">
        <w:rPr>
          <w:rFonts w:cs="Arial"/>
          <w:szCs w:val="24"/>
        </w:rPr>
        <w:t xml:space="preserve">intensive industries </w:t>
      </w:r>
      <w:r>
        <w:rPr>
          <w:rFonts w:cs="Arial"/>
          <w:szCs w:val="24"/>
        </w:rPr>
        <w:t xml:space="preserve">which </w:t>
      </w:r>
      <w:r w:rsidRPr="00B61904">
        <w:rPr>
          <w:rFonts w:cs="Arial"/>
          <w:szCs w:val="24"/>
        </w:rPr>
        <w:t>produc</w:t>
      </w:r>
      <w:r>
        <w:rPr>
          <w:rFonts w:cs="Arial"/>
          <w:szCs w:val="24"/>
        </w:rPr>
        <w:t>e</w:t>
      </w:r>
      <w:r w:rsidRPr="00B61904">
        <w:rPr>
          <w:rFonts w:cs="Arial"/>
          <w:szCs w:val="24"/>
        </w:rPr>
        <w:t xml:space="preserve"> intermediates.</w:t>
      </w:r>
      <w:r>
        <w:rPr>
          <w:rStyle w:val="FootnoteReference"/>
          <w:rFonts w:cs="Arial"/>
          <w:szCs w:val="24"/>
        </w:rPr>
        <w:footnoteReference w:id="115"/>
      </w:r>
      <w:r w:rsidRPr="00B61904">
        <w:rPr>
          <w:rFonts w:cs="Arial"/>
          <w:szCs w:val="24"/>
        </w:rPr>
        <w:t xml:space="preserve"> </w:t>
      </w:r>
    </w:p>
    <w:p w14:paraId="3705077F" w14:textId="783B2EFA" w:rsidR="00A21C01" w:rsidRDefault="00A21C01" w:rsidP="00A21C01">
      <w:pPr>
        <w:rPr>
          <w:rFonts w:cs="Arial"/>
          <w:szCs w:val="24"/>
        </w:rPr>
      </w:pPr>
      <w:r>
        <w:rPr>
          <w:rFonts w:cs="Arial"/>
          <w:szCs w:val="24"/>
        </w:rPr>
        <w:t>T</w:t>
      </w:r>
      <w:r w:rsidRPr="00B61904">
        <w:rPr>
          <w:rFonts w:cs="Arial"/>
          <w:szCs w:val="24"/>
        </w:rPr>
        <w:t xml:space="preserve">here are </w:t>
      </w:r>
      <w:r>
        <w:rPr>
          <w:rFonts w:cs="Arial"/>
          <w:szCs w:val="24"/>
        </w:rPr>
        <w:t>currently six</w:t>
      </w:r>
      <w:r w:rsidRPr="00B61904">
        <w:rPr>
          <w:rFonts w:cs="Arial"/>
          <w:szCs w:val="24"/>
        </w:rPr>
        <w:t xml:space="preserve"> types of circumvention </w:t>
      </w:r>
      <w:r w:rsidRPr="008C4920">
        <w:rPr>
          <w:rFonts w:cs="Arial"/>
          <w:szCs w:val="24"/>
        </w:rPr>
        <w:t>identified (</w:t>
      </w:r>
      <w:r w:rsidRPr="00EF4802">
        <w:rPr>
          <w:rFonts w:cs="Arial"/>
          <w:szCs w:val="24"/>
        </w:rPr>
        <w:fldChar w:fldCharType="begin"/>
      </w:r>
      <w:r w:rsidRPr="00EF4802">
        <w:rPr>
          <w:rFonts w:cs="Arial"/>
          <w:szCs w:val="24"/>
        </w:rPr>
        <w:instrText xml:space="preserve"> REF _Ref94863892 \h  \* MERGEFORMAT </w:instrText>
      </w:r>
      <w:r w:rsidRPr="00EF4802">
        <w:rPr>
          <w:rFonts w:cs="Arial"/>
          <w:szCs w:val="24"/>
        </w:rPr>
      </w:r>
      <w:r w:rsidRPr="00EF4802">
        <w:rPr>
          <w:rFonts w:cs="Arial"/>
          <w:szCs w:val="24"/>
        </w:rPr>
        <w:fldChar w:fldCharType="separate"/>
      </w:r>
      <w:r w:rsidR="003B27AB" w:rsidRPr="003B27AB">
        <w:rPr>
          <w:rFonts w:cs="Arial"/>
          <w:szCs w:val="24"/>
        </w:rPr>
        <w:t xml:space="preserve">Table </w:t>
      </w:r>
      <w:r w:rsidR="003B27AB" w:rsidRPr="003B27AB">
        <w:rPr>
          <w:rFonts w:cs="Arial"/>
          <w:noProof/>
          <w:szCs w:val="24"/>
        </w:rPr>
        <w:t>11</w:t>
      </w:r>
      <w:r w:rsidRPr="00EF4802">
        <w:rPr>
          <w:rFonts w:cs="Arial"/>
          <w:szCs w:val="24"/>
        </w:rPr>
        <w:fldChar w:fldCharType="end"/>
      </w:r>
      <w:r w:rsidRPr="008C4920">
        <w:rPr>
          <w:rFonts w:cs="Arial"/>
          <w:szCs w:val="24"/>
        </w:rPr>
        <w:t xml:space="preserve"> b</w:t>
      </w:r>
      <w:r>
        <w:rPr>
          <w:rFonts w:cs="Arial"/>
          <w:szCs w:val="24"/>
        </w:rPr>
        <w:t>elow). T</w:t>
      </w:r>
      <w:r w:rsidRPr="00B61904">
        <w:rPr>
          <w:rFonts w:cs="Arial"/>
          <w:szCs w:val="24"/>
        </w:rPr>
        <w:t>he first four are in common with other countries</w:t>
      </w:r>
      <w:r>
        <w:rPr>
          <w:rFonts w:cs="Arial"/>
          <w:szCs w:val="24"/>
        </w:rPr>
        <w:t xml:space="preserve"> (some jurisdictions treat improper arrangements as a variant of transhipment). The “slight modification of products” category was introduced in 2015 through a modification of the Regulation. (The other five categories are identified in the Act).</w:t>
      </w:r>
      <w:r w:rsidRPr="00207228">
        <w:t xml:space="preserve"> </w:t>
      </w:r>
      <w:r w:rsidRPr="00207228">
        <w:rPr>
          <w:rFonts w:cs="Arial"/>
          <w:szCs w:val="24"/>
        </w:rPr>
        <w:t>The introduction of this form of circumvention reflected the concerns of industry that the existing scope of activities defined as circumvention was insufficient. Specifically, steel-makers, who are major user</w:t>
      </w:r>
      <w:r>
        <w:rPr>
          <w:rFonts w:cs="Arial"/>
          <w:szCs w:val="24"/>
        </w:rPr>
        <w:t>s</w:t>
      </w:r>
      <w:r w:rsidRPr="00207228">
        <w:rPr>
          <w:rFonts w:cs="Arial"/>
          <w:szCs w:val="24"/>
        </w:rPr>
        <w:t xml:space="preserve"> of the anti-dumping system, had concerns </w:t>
      </w:r>
      <w:r>
        <w:rPr>
          <w:rFonts w:cs="Arial"/>
          <w:szCs w:val="24"/>
        </w:rPr>
        <w:t>about</w:t>
      </w:r>
      <w:r w:rsidRPr="00207228">
        <w:rPr>
          <w:rFonts w:cs="Arial"/>
          <w:szCs w:val="24"/>
        </w:rPr>
        <w:t xml:space="preserve"> the circumvention of duties related to a range of steel products through the addition of elements such </w:t>
      </w:r>
      <w:r w:rsidRPr="00414C53">
        <w:rPr>
          <w:rFonts w:cs="Arial"/>
          <w:szCs w:val="24"/>
        </w:rPr>
        <w:t xml:space="preserve">as </w:t>
      </w:r>
      <w:r>
        <w:rPr>
          <w:rFonts w:cs="Arial"/>
          <w:szCs w:val="24"/>
        </w:rPr>
        <w:t>b</w:t>
      </w:r>
      <w:r w:rsidRPr="00EF4802">
        <w:rPr>
          <w:rFonts w:cs="Arial"/>
          <w:szCs w:val="24"/>
        </w:rPr>
        <w:t>oron</w:t>
      </w:r>
      <w:r w:rsidRPr="00414C53">
        <w:rPr>
          <w:rFonts w:cs="Arial"/>
          <w:szCs w:val="24"/>
        </w:rPr>
        <w:t>.</w:t>
      </w:r>
      <w:r w:rsidR="00C378E7">
        <w:rPr>
          <w:rStyle w:val="FootnoteReference"/>
          <w:rFonts w:cs="Arial"/>
          <w:szCs w:val="24"/>
        </w:rPr>
        <w:footnoteReference w:id="116"/>
      </w:r>
    </w:p>
    <w:p w14:paraId="03B1501E" w14:textId="204567B4" w:rsidR="00834268" w:rsidRPr="003D25AA" w:rsidRDefault="00834268" w:rsidP="00834268">
      <w:pPr>
        <w:spacing w:before="240"/>
        <w:rPr>
          <w:rFonts w:cs="Arial"/>
          <w:szCs w:val="24"/>
        </w:rPr>
      </w:pPr>
      <w:r w:rsidRPr="003D25AA">
        <w:rPr>
          <w:rFonts w:cs="Arial"/>
          <w:szCs w:val="24"/>
        </w:rPr>
        <w:t>The avoidance of intended effect is a particular feature of Australia’s ant</w:t>
      </w:r>
      <w:r>
        <w:rPr>
          <w:rFonts w:cs="Arial"/>
          <w:szCs w:val="24"/>
        </w:rPr>
        <w:t>i</w:t>
      </w:r>
      <w:r w:rsidRPr="003D25AA">
        <w:rPr>
          <w:rFonts w:cs="Arial"/>
          <w:szCs w:val="24"/>
        </w:rPr>
        <w:t xml:space="preserve">-circumvention system. </w:t>
      </w:r>
      <w:r>
        <w:rPr>
          <w:rFonts w:cs="Arial"/>
          <w:szCs w:val="24"/>
        </w:rPr>
        <w:t xml:space="preserve">The application of duties </w:t>
      </w:r>
      <w:r w:rsidRPr="003D25AA">
        <w:rPr>
          <w:rFonts w:cs="Arial"/>
          <w:szCs w:val="24"/>
        </w:rPr>
        <w:t>in one case (alumini</w:t>
      </w:r>
      <w:r>
        <w:rPr>
          <w:rFonts w:cs="Arial"/>
          <w:szCs w:val="24"/>
        </w:rPr>
        <w:t>u</w:t>
      </w:r>
      <w:r w:rsidRPr="003D25AA">
        <w:rPr>
          <w:rFonts w:cs="Arial"/>
          <w:szCs w:val="24"/>
        </w:rPr>
        <w:t xml:space="preserve">m extrusions from </w:t>
      </w:r>
      <w:r w:rsidR="002406F0">
        <w:rPr>
          <w:rFonts w:cs="Arial"/>
          <w:szCs w:val="24"/>
        </w:rPr>
        <w:t>PRC</w:t>
      </w:r>
      <w:r w:rsidRPr="003D25AA">
        <w:rPr>
          <w:rFonts w:cs="Arial"/>
          <w:szCs w:val="24"/>
        </w:rPr>
        <w:t>)</w:t>
      </w:r>
      <w:r>
        <w:rPr>
          <w:rFonts w:cs="Arial"/>
          <w:szCs w:val="24"/>
        </w:rPr>
        <w:t xml:space="preserve"> relied on a view that</w:t>
      </w:r>
      <w:r w:rsidRPr="003D25AA">
        <w:rPr>
          <w:rFonts w:cs="Arial"/>
          <w:szCs w:val="24"/>
        </w:rPr>
        <w:t xml:space="preserve"> post-duty prices were loss-making, based on the ADC’s own calculations. In principle,</w:t>
      </w:r>
      <w:r>
        <w:rPr>
          <w:rFonts w:cs="Arial"/>
          <w:szCs w:val="24"/>
        </w:rPr>
        <w:t xml:space="preserve"> the methodology used would enable a </w:t>
      </w:r>
      <w:r w:rsidRPr="003D25AA">
        <w:rPr>
          <w:rFonts w:cs="Arial"/>
          <w:szCs w:val="24"/>
        </w:rPr>
        <w:t xml:space="preserve">finding of avoidance </w:t>
      </w:r>
      <w:r>
        <w:rPr>
          <w:rFonts w:cs="Arial"/>
          <w:szCs w:val="24"/>
        </w:rPr>
        <w:t>to</w:t>
      </w:r>
      <w:r w:rsidRPr="003D25AA">
        <w:rPr>
          <w:rFonts w:cs="Arial"/>
          <w:szCs w:val="24"/>
        </w:rPr>
        <w:t xml:space="preserve"> also be made even when production is profitable.</w:t>
      </w:r>
      <w:r>
        <w:rPr>
          <w:rStyle w:val="FootnoteReference"/>
          <w:rFonts w:cs="Arial"/>
          <w:szCs w:val="24"/>
        </w:rPr>
        <w:footnoteReference w:id="117"/>
      </w:r>
    </w:p>
    <w:p w14:paraId="56FD70CC" w14:textId="48C51180" w:rsidR="00A21C01" w:rsidRPr="009C0DE2" w:rsidRDefault="00A21C01" w:rsidP="00A21C01">
      <w:pPr>
        <w:pStyle w:val="Caption"/>
        <w:rPr>
          <w:rFonts w:cs="Arial"/>
          <w:i w:val="0"/>
          <w:szCs w:val="24"/>
        </w:rPr>
      </w:pPr>
      <w:bookmarkStart w:id="169" w:name="_Ref94863892"/>
      <w:r w:rsidRPr="007176A9">
        <w:rPr>
          <w:iCs w:val="0"/>
        </w:rPr>
        <w:t>T</w:t>
      </w:r>
      <w:r w:rsidRPr="00EF4802">
        <w:rPr>
          <w:iCs w:val="0"/>
        </w:rPr>
        <w:t xml:space="preserve">able </w:t>
      </w:r>
      <w:r w:rsidRPr="008C4920">
        <w:rPr>
          <w:iCs w:val="0"/>
        </w:rPr>
        <w:fldChar w:fldCharType="begin"/>
      </w:r>
      <w:r w:rsidRPr="008C4920">
        <w:rPr>
          <w:iCs w:val="0"/>
        </w:rPr>
        <w:instrText xml:space="preserve"> SEQ Table \* ARABIC </w:instrText>
      </w:r>
      <w:r w:rsidRPr="008C4920">
        <w:rPr>
          <w:iCs w:val="0"/>
        </w:rPr>
        <w:fldChar w:fldCharType="separate"/>
      </w:r>
      <w:r w:rsidR="001E585C">
        <w:rPr>
          <w:iCs w:val="0"/>
          <w:noProof/>
        </w:rPr>
        <w:t>11</w:t>
      </w:r>
      <w:r w:rsidRPr="008C4920">
        <w:rPr>
          <w:iCs w:val="0"/>
        </w:rPr>
        <w:fldChar w:fldCharType="end"/>
      </w:r>
      <w:bookmarkEnd w:id="169"/>
      <w:r w:rsidRPr="00EF4802">
        <w:rPr>
          <w:iCs w:val="0"/>
          <w:noProof/>
        </w:rPr>
        <w:t xml:space="preserve">: </w:t>
      </w:r>
      <w:r w:rsidRPr="00EF4802">
        <w:rPr>
          <w:iCs w:val="0"/>
        </w:rPr>
        <w:t>Modes of circumvention identified by Australia</w:t>
      </w:r>
    </w:p>
    <w:tbl>
      <w:tblPr>
        <w:tblStyle w:val="TableGrid"/>
        <w:tblW w:w="0" w:type="auto"/>
        <w:tblLook w:val="04A0" w:firstRow="1" w:lastRow="0" w:firstColumn="1" w:lastColumn="0" w:noHBand="0" w:noVBand="1"/>
      </w:tblPr>
      <w:tblGrid>
        <w:gridCol w:w="2689"/>
        <w:gridCol w:w="6327"/>
      </w:tblGrid>
      <w:tr w:rsidR="00A21C01" w:rsidRPr="003D25AA" w14:paraId="3885A6D3" w14:textId="77777777">
        <w:tc>
          <w:tcPr>
            <w:tcW w:w="2689" w:type="dxa"/>
          </w:tcPr>
          <w:p w14:paraId="53DD1DE5" w14:textId="77777777" w:rsidR="00A21C01" w:rsidRPr="002B66D1" w:rsidRDefault="00A21C01">
            <w:pPr>
              <w:spacing w:line="276" w:lineRule="auto"/>
              <w:rPr>
                <w:rFonts w:cs="Arial"/>
                <w:b/>
                <w:bCs/>
                <w:sz w:val="22"/>
              </w:rPr>
            </w:pPr>
            <w:r w:rsidRPr="002B66D1">
              <w:rPr>
                <w:rFonts w:cs="Arial"/>
                <w:b/>
                <w:bCs/>
                <w:sz w:val="22"/>
              </w:rPr>
              <w:t xml:space="preserve">Type </w:t>
            </w:r>
          </w:p>
        </w:tc>
        <w:tc>
          <w:tcPr>
            <w:tcW w:w="6327" w:type="dxa"/>
          </w:tcPr>
          <w:p w14:paraId="64D0C796" w14:textId="77777777" w:rsidR="00A21C01" w:rsidRPr="002B66D1" w:rsidRDefault="00A21C01">
            <w:pPr>
              <w:spacing w:line="276" w:lineRule="auto"/>
              <w:rPr>
                <w:rFonts w:cs="Arial"/>
                <w:b/>
                <w:bCs/>
                <w:sz w:val="22"/>
              </w:rPr>
            </w:pPr>
            <w:r w:rsidRPr="002B66D1">
              <w:rPr>
                <w:rFonts w:cs="Arial"/>
                <w:b/>
                <w:bCs/>
                <w:sz w:val="22"/>
              </w:rPr>
              <w:t>Comments</w:t>
            </w:r>
          </w:p>
        </w:tc>
      </w:tr>
      <w:tr w:rsidR="00A21C01" w14:paraId="2C7D96F0" w14:textId="77777777">
        <w:tc>
          <w:tcPr>
            <w:tcW w:w="2689" w:type="dxa"/>
          </w:tcPr>
          <w:p w14:paraId="7A5DC49D" w14:textId="77777777" w:rsidR="00A21C01" w:rsidRPr="002B66D1" w:rsidRDefault="00A21C01">
            <w:pPr>
              <w:spacing w:line="276" w:lineRule="auto"/>
              <w:rPr>
                <w:rFonts w:cs="Arial"/>
                <w:b/>
                <w:bCs/>
                <w:kern w:val="24"/>
                <w:sz w:val="22"/>
              </w:rPr>
            </w:pPr>
            <w:r w:rsidRPr="002B66D1">
              <w:rPr>
                <w:rFonts w:cs="Arial"/>
                <w:b/>
                <w:bCs/>
                <w:kern w:val="24"/>
                <w:sz w:val="22"/>
                <w:lang w:val="en-US"/>
              </w:rPr>
              <w:t>Assembly of parts in Australia</w:t>
            </w:r>
          </w:p>
          <w:p w14:paraId="7A4CC4AD" w14:textId="77777777" w:rsidR="00A21C01" w:rsidRPr="002B66D1" w:rsidRDefault="00A21C01">
            <w:pPr>
              <w:spacing w:line="276" w:lineRule="auto"/>
              <w:rPr>
                <w:rFonts w:cs="Arial"/>
                <w:b/>
                <w:bCs/>
                <w:sz w:val="22"/>
              </w:rPr>
            </w:pPr>
            <w:r w:rsidRPr="002B66D1">
              <w:rPr>
                <w:rFonts w:cs="Arial"/>
                <w:b/>
                <w:bCs/>
                <w:color w:val="FFFFFF" w:themeColor="light1"/>
                <w:kern w:val="24"/>
                <w:sz w:val="22"/>
                <w:lang w:val="en-US"/>
              </w:rPr>
              <w:t>Australia</w:t>
            </w:r>
          </w:p>
        </w:tc>
        <w:tc>
          <w:tcPr>
            <w:tcW w:w="6327" w:type="dxa"/>
          </w:tcPr>
          <w:p w14:paraId="6E22149C" w14:textId="77777777" w:rsidR="00A21C01" w:rsidRPr="002B66D1" w:rsidRDefault="00A21C01">
            <w:pPr>
              <w:spacing w:line="276" w:lineRule="auto"/>
              <w:rPr>
                <w:rFonts w:cs="Arial"/>
                <w:sz w:val="22"/>
              </w:rPr>
            </w:pPr>
            <w:r w:rsidRPr="002B66D1">
              <w:rPr>
                <w:rFonts w:cs="Arial"/>
                <w:kern w:val="24"/>
                <w:sz w:val="22"/>
                <w:lang w:val="en-US"/>
              </w:rPr>
              <w:t>Examine import trends and ascertain proportion of value added attributable to processing in Australia.</w:t>
            </w:r>
            <w:r w:rsidRPr="002B66D1">
              <w:rPr>
                <w:rFonts w:cs="Arial"/>
                <w:i/>
                <w:iCs/>
                <w:kern w:val="24"/>
                <w:sz w:val="22"/>
                <w:lang w:val="en-US"/>
              </w:rPr>
              <w:t xml:space="preserve"> No cases to date.</w:t>
            </w:r>
          </w:p>
        </w:tc>
      </w:tr>
      <w:tr w:rsidR="00A21C01" w14:paraId="4AE49827" w14:textId="77777777">
        <w:tc>
          <w:tcPr>
            <w:tcW w:w="2689" w:type="dxa"/>
          </w:tcPr>
          <w:p w14:paraId="69144F2D" w14:textId="77777777" w:rsidR="00A21C01" w:rsidRPr="002B66D1" w:rsidRDefault="00A21C01">
            <w:pPr>
              <w:spacing w:line="276" w:lineRule="auto"/>
              <w:rPr>
                <w:rFonts w:cs="Arial"/>
                <w:b/>
                <w:bCs/>
                <w:sz w:val="22"/>
              </w:rPr>
            </w:pPr>
            <w:r w:rsidRPr="002B66D1">
              <w:rPr>
                <w:rFonts w:cs="Arial"/>
                <w:b/>
                <w:bCs/>
                <w:color w:val="000000" w:themeColor="dark1"/>
                <w:kern w:val="24"/>
                <w:sz w:val="22"/>
                <w:lang w:val="en-US"/>
              </w:rPr>
              <w:t>Assembly of parts in third countries</w:t>
            </w:r>
          </w:p>
        </w:tc>
        <w:tc>
          <w:tcPr>
            <w:tcW w:w="6327" w:type="dxa"/>
          </w:tcPr>
          <w:p w14:paraId="4B2E50F5" w14:textId="77777777" w:rsidR="00A21C01" w:rsidRPr="002B66D1" w:rsidRDefault="00A21C01">
            <w:pPr>
              <w:spacing w:line="276" w:lineRule="auto"/>
              <w:rPr>
                <w:rFonts w:cs="Arial"/>
                <w:sz w:val="22"/>
              </w:rPr>
            </w:pPr>
            <w:r w:rsidRPr="002B66D1">
              <w:rPr>
                <w:rFonts w:cs="Arial"/>
                <w:color w:val="000000" w:themeColor="dark1"/>
                <w:kern w:val="24"/>
                <w:sz w:val="22"/>
                <w:lang w:val="en-US"/>
              </w:rPr>
              <w:t xml:space="preserve">As above but substituting third countries for Australia. </w:t>
            </w:r>
            <w:r w:rsidRPr="002B66D1">
              <w:rPr>
                <w:rFonts w:cs="Arial"/>
                <w:i/>
                <w:iCs/>
                <w:color w:val="000000" w:themeColor="dark1"/>
                <w:kern w:val="24"/>
                <w:sz w:val="22"/>
                <w:lang w:val="en-US"/>
              </w:rPr>
              <w:t>No cases to date.</w:t>
            </w:r>
          </w:p>
        </w:tc>
      </w:tr>
      <w:tr w:rsidR="00A21C01" w14:paraId="1DC0C84D" w14:textId="77777777">
        <w:tc>
          <w:tcPr>
            <w:tcW w:w="2689" w:type="dxa"/>
          </w:tcPr>
          <w:p w14:paraId="3EADDF25" w14:textId="21BD9366" w:rsidR="00A21C01" w:rsidRPr="002B66D1" w:rsidRDefault="00A21C01">
            <w:pPr>
              <w:spacing w:line="276" w:lineRule="auto"/>
              <w:rPr>
                <w:rFonts w:cs="Arial"/>
                <w:b/>
                <w:bCs/>
                <w:sz w:val="22"/>
              </w:rPr>
            </w:pPr>
            <w:r w:rsidRPr="002B66D1">
              <w:rPr>
                <w:rFonts w:cs="Arial"/>
                <w:b/>
                <w:bCs/>
                <w:color w:val="000000" w:themeColor="dark1"/>
                <w:kern w:val="24"/>
                <w:sz w:val="22"/>
                <w:lang w:val="en-US"/>
              </w:rPr>
              <w:t xml:space="preserve">Export of goods through one third country or more </w:t>
            </w:r>
          </w:p>
        </w:tc>
        <w:tc>
          <w:tcPr>
            <w:tcW w:w="6327" w:type="dxa"/>
          </w:tcPr>
          <w:p w14:paraId="2F565327" w14:textId="77777777" w:rsidR="00A21C01" w:rsidRPr="002B66D1" w:rsidRDefault="00A21C01">
            <w:pPr>
              <w:spacing w:line="276" w:lineRule="auto"/>
              <w:rPr>
                <w:rFonts w:cs="Arial"/>
                <w:sz w:val="22"/>
              </w:rPr>
            </w:pPr>
            <w:r w:rsidRPr="002B66D1">
              <w:rPr>
                <w:rFonts w:cs="Arial"/>
                <w:color w:val="000000" w:themeColor="dark1"/>
                <w:kern w:val="24"/>
                <w:sz w:val="22"/>
                <w:lang w:val="en-US"/>
              </w:rPr>
              <w:t xml:space="preserve">Observe changes to patterns in trade. </w:t>
            </w:r>
          </w:p>
        </w:tc>
      </w:tr>
      <w:tr w:rsidR="00A21C01" w14:paraId="29A72B6D" w14:textId="77777777">
        <w:tc>
          <w:tcPr>
            <w:tcW w:w="2689" w:type="dxa"/>
          </w:tcPr>
          <w:p w14:paraId="07D0F03E" w14:textId="77777777" w:rsidR="00A21C01" w:rsidRPr="002B66D1" w:rsidRDefault="00A21C01">
            <w:pPr>
              <w:spacing w:line="276" w:lineRule="auto"/>
              <w:rPr>
                <w:rFonts w:cs="Arial"/>
                <w:b/>
                <w:bCs/>
                <w:sz w:val="22"/>
              </w:rPr>
            </w:pPr>
            <w:r w:rsidRPr="002B66D1">
              <w:rPr>
                <w:rFonts w:cs="Arial"/>
                <w:b/>
                <w:bCs/>
                <w:color w:val="000000" w:themeColor="dark1"/>
                <w:kern w:val="24"/>
                <w:sz w:val="22"/>
                <w:lang w:val="en-US"/>
              </w:rPr>
              <w:t>Slight modification of products</w:t>
            </w:r>
          </w:p>
        </w:tc>
        <w:tc>
          <w:tcPr>
            <w:tcW w:w="6327" w:type="dxa"/>
          </w:tcPr>
          <w:p w14:paraId="759D2BD3" w14:textId="77777777" w:rsidR="00A21C01" w:rsidRPr="002B66D1" w:rsidRDefault="00A21C01">
            <w:pPr>
              <w:spacing w:line="276" w:lineRule="auto"/>
              <w:rPr>
                <w:rFonts w:cs="Arial"/>
                <w:sz w:val="22"/>
              </w:rPr>
            </w:pPr>
            <w:r w:rsidRPr="002B66D1">
              <w:rPr>
                <w:rFonts w:cs="Arial"/>
                <w:color w:val="000000" w:themeColor="dark1"/>
                <w:kern w:val="24"/>
                <w:sz w:val="22"/>
                <w:lang w:val="en-US"/>
              </w:rPr>
              <w:t xml:space="preserve">Cases where, but for the modification, goods would attract duty. Consider whether the purposes of the goods after modification are the same as before. Cases are mainly basic industrial goods. </w:t>
            </w:r>
          </w:p>
        </w:tc>
      </w:tr>
      <w:tr w:rsidR="00A21C01" w14:paraId="5136E0E3" w14:textId="77777777">
        <w:tc>
          <w:tcPr>
            <w:tcW w:w="2689" w:type="dxa"/>
          </w:tcPr>
          <w:p w14:paraId="0D39AC1F" w14:textId="77777777" w:rsidR="00A21C01" w:rsidRPr="002B66D1" w:rsidRDefault="00A21C01">
            <w:pPr>
              <w:spacing w:line="276" w:lineRule="auto"/>
              <w:rPr>
                <w:rFonts w:cs="Arial"/>
                <w:b/>
                <w:bCs/>
                <w:sz w:val="22"/>
              </w:rPr>
            </w:pPr>
            <w:r w:rsidRPr="002B66D1">
              <w:rPr>
                <w:rFonts w:cs="Arial"/>
                <w:b/>
                <w:bCs/>
                <w:color w:val="000000" w:themeColor="dark1"/>
                <w:kern w:val="24"/>
                <w:sz w:val="22"/>
                <w:lang w:val="en-US"/>
              </w:rPr>
              <w:t xml:space="preserve">Improper arrangements between exporters </w:t>
            </w:r>
          </w:p>
        </w:tc>
        <w:tc>
          <w:tcPr>
            <w:tcW w:w="6327" w:type="dxa"/>
          </w:tcPr>
          <w:p w14:paraId="788CEB96" w14:textId="77777777" w:rsidR="00A21C01" w:rsidRPr="002B66D1" w:rsidRDefault="00A21C01">
            <w:pPr>
              <w:spacing w:line="276" w:lineRule="auto"/>
              <w:rPr>
                <w:rFonts w:cs="Arial"/>
                <w:sz w:val="22"/>
              </w:rPr>
            </w:pPr>
            <w:r w:rsidRPr="002B66D1">
              <w:rPr>
                <w:rFonts w:cs="Arial"/>
                <w:color w:val="000000" w:themeColor="dark1"/>
                <w:kern w:val="24"/>
                <w:sz w:val="22"/>
                <w:lang w:val="en-US"/>
              </w:rPr>
              <w:t xml:space="preserve">Exporting via another exporter not subject to duty or to a lower duty. </w:t>
            </w:r>
            <w:r w:rsidRPr="002B66D1">
              <w:rPr>
                <w:rFonts w:cs="Arial"/>
                <w:i/>
                <w:iCs/>
                <w:color w:val="000000" w:themeColor="dark1"/>
                <w:kern w:val="24"/>
                <w:sz w:val="22"/>
                <w:lang w:val="en-US"/>
              </w:rPr>
              <w:t>No cases to date.</w:t>
            </w:r>
          </w:p>
        </w:tc>
      </w:tr>
      <w:tr w:rsidR="00A21C01" w14:paraId="36ED096F" w14:textId="77777777">
        <w:tc>
          <w:tcPr>
            <w:tcW w:w="2689" w:type="dxa"/>
          </w:tcPr>
          <w:p w14:paraId="415E46FF" w14:textId="77777777" w:rsidR="00A21C01" w:rsidRPr="002B66D1" w:rsidRDefault="00A21C01">
            <w:pPr>
              <w:spacing w:line="276" w:lineRule="auto"/>
              <w:rPr>
                <w:rFonts w:cs="Arial"/>
                <w:b/>
                <w:bCs/>
                <w:sz w:val="22"/>
              </w:rPr>
            </w:pPr>
            <w:r w:rsidRPr="002B66D1">
              <w:rPr>
                <w:rFonts w:cs="Arial"/>
                <w:b/>
                <w:bCs/>
                <w:color w:val="000000" w:themeColor="dark1"/>
                <w:kern w:val="24"/>
                <w:sz w:val="22"/>
                <w:lang w:val="en-US"/>
              </w:rPr>
              <w:t>Avoidance of intended effects</w:t>
            </w:r>
          </w:p>
        </w:tc>
        <w:tc>
          <w:tcPr>
            <w:tcW w:w="6327" w:type="dxa"/>
          </w:tcPr>
          <w:p w14:paraId="58D67901" w14:textId="464DBFCC" w:rsidR="00A21C01" w:rsidRPr="002B66D1" w:rsidRDefault="00A21C01">
            <w:pPr>
              <w:spacing w:line="276" w:lineRule="auto"/>
              <w:rPr>
                <w:rFonts w:cs="Arial"/>
                <w:sz w:val="22"/>
              </w:rPr>
            </w:pPr>
            <w:r w:rsidRPr="002B66D1">
              <w:rPr>
                <w:rFonts w:cs="Arial"/>
                <w:color w:val="000000" w:themeColor="dark1"/>
                <w:kern w:val="24"/>
                <w:sz w:val="22"/>
                <w:lang w:val="en-US"/>
              </w:rPr>
              <w:t xml:space="preserve">Businesses targeted by duty continue to sell good at prices that have not changed in manner commensurate with duty because exporter has lowered price or is selling at a loss, or the importer has absorbed the loss.  </w:t>
            </w:r>
          </w:p>
        </w:tc>
      </w:tr>
    </w:tbl>
    <w:p w14:paraId="2AF8252F" w14:textId="3CF26EB8" w:rsidR="00A21C01" w:rsidRDefault="00A21C01" w:rsidP="0B87AE61">
      <w:pPr>
        <w:pStyle w:val="Heading3"/>
        <w:rPr>
          <w:rFonts w:cs="Arial"/>
          <w:b w:val="0"/>
        </w:rPr>
      </w:pPr>
      <w:bookmarkStart w:id="170" w:name="_Toc2040278462"/>
      <w:bookmarkStart w:id="171" w:name="_Toc118465317"/>
      <w:r w:rsidRPr="0B87AE61">
        <w:rPr>
          <w:rFonts w:cs="Arial"/>
        </w:rPr>
        <w:t>Examples of cases highlighting data and information gathered to meet the tests of the legal framework</w:t>
      </w:r>
      <w:bookmarkEnd w:id="170"/>
      <w:bookmarkEnd w:id="171"/>
    </w:p>
    <w:p w14:paraId="0CB73C5E" w14:textId="77777777" w:rsidR="00A21C01" w:rsidRDefault="00A21C01" w:rsidP="00A21C01">
      <w:pPr>
        <w:rPr>
          <w:rFonts w:cs="Arial"/>
          <w:szCs w:val="24"/>
        </w:rPr>
      </w:pPr>
      <w:r w:rsidRPr="003D25AA">
        <w:rPr>
          <w:rFonts w:cs="Arial"/>
          <w:szCs w:val="24"/>
        </w:rPr>
        <w:t>Australia’s experience with circumvention is</w:t>
      </w:r>
      <w:r>
        <w:rPr>
          <w:rFonts w:cs="Arial"/>
          <w:szCs w:val="24"/>
        </w:rPr>
        <w:t xml:space="preserve"> relatively limited compared to other jurisdictions. All cases to date have been initiated by industry. </w:t>
      </w:r>
    </w:p>
    <w:p w14:paraId="6C938FC7" w14:textId="622E47E2" w:rsidR="00A21C01" w:rsidRDefault="00A21C01" w:rsidP="00A21C01">
      <w:pPr>
        <w:rPr>
          <w:rFonts w:cs="Arial"/>
          <w:szCs w:val="24"/>
        </w:rPr>
      </w:pPr>
      <w:r>
        <w:rPr>
          <w:rFonts w:cs="Arial"/>
          <w:szCs w:val="24"/>
        </w:rPr>
        <w:t>The ADC has taken steps to facilitate the monitoring of trade data on the part of industry in order to identify possible changes in trade that may in turn be indicative of circumvention. In particular, t</w:t>
      </w:r>
      <w:r w:rsidRPr="00076431">
        <w:rPr>
          <w:rFonts w:cs="Arial"/>
          <w:szCs w:val="24"/>
        </w:rPr>
        <w:t>he ADC has prepared a resource, the Trade Remedy Index (TRINDEX)</w:t>
      </w:r>
      <w:r>
        <w:rPr>
          <w:rFonts w:cs="Arial"/>
          <w:szCs w:val="24"/>
        </w:rPr>
        <w:t>,</w:t>
      </w:r>
      <w:r>
        <w:rPr>
          <w:rStyle w:val="FootnoteReference"/>
          <w:rFonts w:cs="Arial"/>
          <w:szCs w:val="24"/>
        </w:rPr>
        <w:footnoteReference w:id="118"/>
      </w:r>
      <w:r w:rsidRPr="00076431">
        <w:rPr>
          <w:rFonts w:cs="Arial"/>
          <w:szCs w:val="24"/>
        </w:rPr>
        <w:t xml:space="preserve"> </w:t>
      </w:r>
      <w:r>
        <w:rPr>
          <w:rFonts w:cs="Arial"/>
          <w:szCs w:val="24"/>
        </w:rPr>
        <w:t>which</w:t>
      </w:r>
      <w:r w:rsidRPr="00076431">
        <w:rPr>
          <w:rFonts w:cs="Arial"/>
          <w:szCs w:val="24"/>
        </w:rPr>
        <w:t xml:space="preserve"> reports monthly volume and price data on products that are subject to anti-dumping duties. TRINDEX uses raw data provided by the Australian Border Force (ABF) import data base. The data </w:t>
      </w:r>
      <w:r>
        <w:rPr>
          <w:rFonts w:cs="Arial"/>
          <w:szCs w:val="24"/>
        </w:rPr>
        <w:t>is</w:t>
      </w:r>
      <w:r w:rsidRPr="00076431">
        <w:rPr>
          <w:rFonts w:cs="Arial"/>
          <w:szCs w:val="24"/>
        </w:rPr>
        <w:t xml:space="preserve"> then cleansed: the ADC website explains that this is necessary because the raw ABF data may cover a broader range of products than relevant to a particular case, and </w:t>
      </w:r>
      <w:r>
        <w:rPr>
          <w:rFonts w:cs="Arial"/>
          <w:szCs w:val="24"/>
        </w:rPr>
        <w:t>this</w:t>
      </w:r>
      <w:r w:rsidRPr="00076431">
        <w:rPr>
          <w:rFonts w:cs="Arial"/>
          <w:szCs w:val="24"/>
        </w:rPr>
        <w:t xml:space="preserve"> data need</w:t>
      </w:r>
      <w:r>
        <w:rPr>
          <w:rFonts w:cs="Arial"/>
          <w:szCs w:val="24"/>
        </w:rPr>
        <w:t>s</w:t>
      </w:r>
      <w:r w:rsidRPr="00076431">
        <w:rPr>
          <w:rFonts w:cs="Arial"/>
          <w:szCs w:val="24"/>
        </w:rPr>
        <w:t xml:space="preserve"> to be stripped out. </w:t>
      </w:r>
    </w:p>
    <w:p w14:paraId="1608BB3E" w14:textId="505B76CC" w:rsidR="003B38CA" w:rsidRDefault="00A21C01" w:rsidP="00A21C01">
      <w:pPr>
        <w:rPr>
          <w:rFonts w:cs="Arial"/>
          <w:szCs w:val="24"/>
        </w:rPr>
      </w:pPr>
      <w:r w:rsidRPr="00076431">
        <w:rPr>
          <w:rFonts w:cs="Arial"/>
          <w:szCs w:val="24"/>
        </w:rPr>
        <w:t xml:space="preserve">The TRINDEX website explains that </w:t>
      </w:r>
      <w:r>
        <w:rPr>
          <w:rFonts w:cs="Arial"/>
          <w:szCs w:val="24"/>
        </w:rPr>
        <w:t xml:space="preserve">the </w:t>
      </w:r>
      <w:r w:rsidRPr="00076431">
        <w:rPr>
          <w:rFonts w:cs="Arial"/>
          <w:szCs w:val="24"/>
        </w:rPr>
        <w:t xml:space="preserve">data </w:t>
      </w:r>
      <w:r>
        <w:rPr>
          <w:rFonts w:cs="Arial"/>
          <w:szCs w:val="24"/>
        </w:rPr>
        <w:t>is</w:t>
      </w:r>
      <w:r w:rsidRPr="00076431">
        <w:rPr>
          <w:rFonts w:cs="Arial"/>
          <w:szCs w:val="24"/>
        </w:rPr>
        <w:t xml:space="preserve"> converted into indices </w:t>
      </w:r>
      <w:r>
        <w:rPr>
          <w:rFonts w:cs="Arial"/>
          <w:szCs w:val="24"/>
        </w:rPr>
        <w:t>which</w:t>
      </w:r>
      <w:r w:rsidRPr="00076431">
        <w:rPr>
          <w:rFonts w:cs="Arial"/>
          <w:szCs w:val="24"/>
        </w:rPr>
        <w:t xml:space="preserve"> report for each product subject to duties their weighted average unit price and volume. The website explains that the data </w:t>
      </w:r>
      <w:r>
        <w:rPr>
          <w:rFonts w:cs="Arial"/>
          <w:szCs w:val="24"/>
        </w:rPr>
        <w:t>is</w:t>
      </w:r>
      <w:r w:rsidRPr="00076431">
        <w:rPr>
          <w:rFonts w:cs="Arial"/>
          <w:szCs w:val="24"/>
        </w:rPr>
        <w:t xml:space="preserve"> not comparable to data supplied by the Australian Bureau of </w:t>
      </w:r>
      <w:r w:rsidRPr="000B44BF">
        <w:rPr>
          <w:rFonts w:cs="Arial"/>
          <w:szCs w:val="24"/>
        </w:rPr>
        <w:t>Statistics.</w:t>
      </w:r>
      <w:r w:rsidRPr="00076431">
        <w:rPr>
          <w:rFonts w:cs="Arial"/>
          <w:szCs w:val="24"/>
        </w:rPr>
        <w:t xml:space="preserve"> TRINDEX data </w:t>
      </w:r>
      <w:r>
        <w:rPr>
          <w:rFonts w:cs="Arial"/>
          <w:szCs w:val="24"/>
        </w:rPr>
        <w:t>is</w:t>
      </w:r>
      <w:r w:rsidRPr="00076431">
        <w:rPr>
          <w:rFonts w:cs="Arial"/>
          <w:szCs w:val="24"/>
        </w:rPr>
        <w:t xml:space="preserve"> reported in the form of interactive graphs, and stakeholders can call up data on a particular product. The product labels reflect the product description in the trade remed</w:t>
      </w:r>
      <w:r>
        <w:rPr>
          <w:rFonts w:cs="Arial"/>
          <w:szCs w:val="24"/>
        </w:rPr>
        <w:t>y</w:t>
      </w:r>
      <w:r w:rsidRPr="00076431">
        <w:rPr>
          <w:rFonts w:cs="Arial"/>
          <w:szCs w:val="24"/>
        </w:rPr>
        <w:t xml:space="preserve"> case (e.g</w:t>
      </w:r>
      <w:r w:rsidR="00F9336D" w:rsidRPr="00076431">
        <w:rPr>
          <w:rFonts w:cs="Arial"/>
          <w:szCs w:val="24"/>
        </w:rPr>
        <w:t>.</w:t>
      </w:r>
      <w:r w:rsidRPr="00076431">
        <w:rPr>
          <w:rFonts w:cs="Arial"/>
          <w:szCs w:val="24"/>
        </w:rPr>
        <w:t xml:space="preserve"> “A4 copy paper”) – customs tariff codes are not specified.</w:t>
      </w:r>
    </w:p>
    <w:p w14:paraId="3417E407" w14:textId="4BC4AD7F" w:rsidR="00A21C01" w:rsidRDefault="00A21C01" w:rsidP="00A21C01">
      <w:pPr>
        <w:rPr>
          <w:rFonts w:cs="Arial"/>
          <w:szCs w:val="24"/>
        </w:rPr>
      </w:pPr>
      <w:r w:rsidRPr="003D25AA">
        <w:rPr>
          <w:rFonts w:cs="Arial"/>
          <w:szCs w:val="24"/>
        </w:rPr>
        <w:t xml:space="preserve">In </w:t>
      </w:r>
      <w:r w:rsidR="002406F0">
        <w:rPr>
          <w:rFonts w:cs="Arial"/>
          <w:i/>
          <w:iCs/>
          <w:szCs w:val="24"/>
        </w:rPr>
        <w:t>PRC</w:t>
      </w:r>
      <w:r w:rsidRPr="00EF4802">
        <w:rPr>
          <w:rFonts w:cs="Arial"/>
          <w:i/>
          <w:iCs/>
          <w:szCs w:val="24"/>
        </w:rPr>
        <w:t xml:space="preserve"> – Zinc </w:t>
      </w:r>
      <w:r>
        <w:rPr>
          <w:rFonts w:cs="Arial"/>
          <w:i/>
          <w:iCs/>
          <w:szCs w:val="24"/>
        </w:rPr>
        <w:t>C</w:t>
      </w:r>
      <w:r w:rsidRPr="00EF4802">
        <w:rPr>
          <w:rFonts w:cs="Arial"/>
          <w:i/>
          <w:iCs/>
          <w:szCs w:val="24"/>
        </w:rPr>
        <w:t xml:space="preserve">oated </w:t>
      </w:r>
      <w:r>
        <w:rPr>
          <w:rFonts w:cs="Arial"/>
          <w:i/>
          <w:iCs/>
          <w:szCs w:val="24"/>
        </w:rPr>
        <w:t>G</w:t>
      </w:r>
      <w:r w:rsidRPr="00EF4802">
        <w:rPr>
          <w:rFonts w:cs="Arial"/>
          <w:i/>
          <w:iCs/>
          <w:szCs w:val="24"/>
        </w:rPr>
        <w:t xml:space="preserve">alvanised </w:t>
      </w:r>
      <w:r>
        <w:rPr>
          <w:rFonts w:cs="Arial"/>
          <w:i/>
          <w:iCs/>
          <w:szCs w:val="24"/>
        </w:rPr>
        <w:t>S</w:t>
      </w:r>
      <w:r w:rsidRPr="00EF4802">
        <w:rPr>
          <w:rFonts w:cs="Arial"/>
          <w:i/>
          <w:iCs/>
          <w:szCs w:val="24"/>
        </w:rPr>
        <w:t>teel</w:t>
      </w:r>
      <w:r w:rsidRPr="003D25AA">
        <w:rPr>
          <w:rFonts w:cs="Arial"/>
          <w:szCs w:val="24"/>
        </w:rPr>
        <w:t xml:space="preserve"> (2015), the authorities found slight modifications on galvanised steel through the addition of </w:t>
      </w:r>
      <w:r w:rsidR="005142DC">
        <w:rPr>
          <w:rFonts w:cs="Arial"/>
          <w:szCs w:val="24"/>
        </w:rPr>
        <w:t>certain substances</w:t>
      </w:r>
      <w:r>
        <w:rPr>
          <w:rFonts w:cs="Arial"/>
          <w:szCs w:val="24"/>
        </w:rPr>
        <w:t xml:space="preserve"> to change the composition of alloys</w:t>
      </w:r>
      <w:r w:rsidRPr="003D25AA">
        <w:rPr>
          <w:rFonts w:cs="Arial"/>
          <w:szCs w:val="24"/>
        </w:rPr>
        <w:t xml:space="preserve">. Whether particular firms were found to engage in circumvention turned on whether evidence could be found that the end commercial use of the alloyed steel was different. For </w:t>
      </w:r>
      <w:r>
        <w:rPr>
          <w:rFonts w:cs="Arial"/>
          <w:szCs w:val="24"/>
        </w:rPr>
        <w:t>some firms’</w:t>
      </w:r>
      <w:r w:rsidRPr="003D25AA">
        <w:rPr>
          <w:rFonts w:cs="Arial"/>
          <w:szCs w:val="24"/>
        </w:rPr>
        <w:t xml:space="preserve"> sales, that proved to be the case, and consequently circumvention was not found to occur</w:t>
      </w:r>
      <w:r>
        <w:rPr>
          <w:rFonts w:cs="Arial"/>
          <w:szCs w:val="24"/>
        </w:rPr>
        <w:t>.</w:t>
      </w:r>
      <w:r>
        <w:rPr>
          <w:rStyle w:val="FootnoteReference"/>
          <w:rFonts w:cs="Arial"/>
          <w:szCs w:val="24"/>
        </w:rPr>
        <w:footnoteReference w:id="119"/>
      </w:r>
    </w:p>
    <w:p w14:paraId="1393B7FD" w14:textId="6CF2BD53" w:rsidR="00A21C01" w:rsidRPr="00076431" w:rsidRDefault="00A21C01" w:rsidP="00A21C01">
      <w:pPr>
        <w:rPr>
          <w:rFonts w:cs="Arial"/>
          <w:szCs w:val="24"/>
        </w:rPr>
      </w:pPr>
      <w:r w:rsidRPr="00076431">
        <w:rPr>
          <w:rFonts w:cs="Arial"/>
          <w:szCs w:val="24"/>
        </w:rPr>
        <w:t xml:space="preserve">For slight modifications, which have accounted for the bulk of circumvention cases leading to duties, section 48(3) of the Regulation sets out a non-exhaustive list of criteria that the ADC </w:t>
      </w:r>
      <w:r>
        <w:rPr>
          <w:rFonts w:cs="Arial"/>
          <w:szCs w:val="24"/>
        </w:rPr>
        <w:t>must</w:t>
      </w:r>
      <w:r w:rsidRPr="00076431">
        <w:rPr>
          <w:rFonts w:cs="Arial"/>
          <w:szCs w:val="24"/>
        </w:rPr>
        <w:t xml:space="preserve"> consider in making a determination. There is no ranking or weighting attached to the criteria, and the ADC makes a determination on the basis of the facts relevant to a particular case. In most cases to date, end-use and patterns of substitutability have played an important role in determining whether circumvention ha</w:t>
      </w:r>
      <w:r>
        <w:rPr>
          <w:rFonts w:cs="Arial"/>
          <w:szCs w:val="24"/>
        </w:rPr>
        <w:t>s</w:t>
      </w:r>
      <w:r w:rsidRPr="00076431">
        <w:rPr>
          <w:rFonts w:cs="Arial"/>
          <w:szCs w:val="24"/>
        </w:rPr>
        <w:t xml:space="preserve"> occurred.</w:t>
      </w:r>
    </w:p>
    <w:p w14:paraId="2506176A" w14:textId="47474C08" w:rsidR="00A21C01" w:rsidRPr="00076431" w:rsidRDefault="00A21C01" w:rsidP="00A21C01">
      <w:pPr>
        <w:rPr>
          <w:rFonts w:cs="Arial"/>
          <w:szCs w:val="24"/>
        </w:rPr>
      </w:pPr>
      <w:r w:rsidRPr="00076431">
        <w:rPr>
          <w:rFonts w:cs="Arial"/>
          <w:szCs w:val="24"/>
        </w:rPr>
        <w:t xml:space="preserve">Investigations follow an adversarial process between petitioners and respondents, and the ADC relies on submissions and rebuttals to form a view on whether or not the criteria set out </w:t>
      </w:r>
      <w:r w:rsidRPr="000B44BF">
        <w:rPr>
          <w:rFonts w:cs="Arial"/>
          <w:szCs w:val="24"/>
        </w:rPr>
        <w:t xml:space="preserve">in the Act (or, where relevant, the Regulation) </w:t>
      </w:r>
      <w:r w:rsidRPr="00076431">
        <w:rPr>
          <w:rFonts w:cs="Arial"/>
          <w:szCs w:val="24"/>
        </w:rPr>
        <w:t xml:space="preserve">are met. For example, in the case of a circumvention investigation relating to A4 </w:t>
      </w:r>
      <w:r>
        <w:rPr>
          <w:rFonts w:cs="Arial"/>
          <w:szCs w:val="24"/>
        </w:rPr>
        <w:t>c</w:t>
      </w:r>
      <w:r w:rsidRPr="00076431">
        <w:rPr>
          <w:rFonts w:cs="Arial"/>
          <w:szCs w:val="24"/>
        </w:rPr>
        <w:t xml:space="preserve">opy paper, the question arose </w:t>
      </w:r>
      <w:r>
        <w:rPr>
          <w:rFonts w:cs="Arial"/>
          <w:szCs w:val="24"/>
        </w:rPr>
        <w:t xml:space="preserve">as to </w:t>
      </w:r>
      <w:r w:rsidRPr="00076431">
        <w:rPr>
          <w:rFonts w:cs="Arial"/>
          <w:szCs w:val="24"/>
        </w:rPr>
        <w:t xml:space="preserve">whether copy paper </w:t>
      </w:r>
      <w:r w:rsidRPr="00016CC0">
        <w:rPr>
          <w:rFonts w:cs="Arial"/>
          <w:szCs w:val="24"/>
        </w:rPr>
        <w:t>weighing 68 grams was</w:t>
      </w:r>
      <w:r w:rsidRPr="00076431">
        <w:rPr>
          <w:rFonts w:cs="Arial"/>
          <w:szCs w:val="24"/>
        </w:rPr>
        <w:t xml:space="preserve"> substitutable for paper weighing 70-100 grams (and which w</w:t>
      </w:r>
      <w:r>
        <w:rPr>
          <w:rFonts w:cs="Arial"/>
          <w:szCs w:val="24"/>
        </w:rPr>
        <w:t>as</w:t>
      </w:r>
      <w:r w:rsidRPr="00076431">
        <w:rPr>
          <w:rFonts w:cs="Arial"/>
          <w:szCs w:val="24"/>
        </w:rPr>
        <w:t xml:space="preserve"> the subject of anti-dumping duties). The ADC heard a range of views before coming to a view on the matter.</w:t>
      </w:r>
    </w:p>
    <w:p w14:paraId="75BD0151" w14:textId="19E360CA" w:rsidR="00A21C01" w:rsidRDefault="00A21C01" w:rsidP="00A21C01">
      <w:pPr>
        <w:rPr>
          <w:rFonts w:cs="Arial"/>
          <w:szCs w:val="24"/>
        </w:rPr>
      </w:pPr>
      <w:r w:rsidRPr="00076431">
        <w:rPr>
          <w:rFonts w:cs="Arial"/>
          <w:szCs w:val="24"/>
        </w:rPr>
        <w:t>Cost data and production data from financial accounts of investigated businesses play a key role in the investigations. In the context of avoidance of intended effect of duties cases, the ADC uses this data to</w:t>
      </w:r>
      <w:r w:rsidR="00C378E7">
        <w:rPr>
          <w:rFonts w:cs="Arial"/>
          <w:szCs w:val="24"/>
        </w:rPr>
        <w:t xml:space="preserve"> determine whether the imported goods subject to duties are being sold in the Australian market at a price commensurate with the imposition of those duties</w:t>
      </w:r>
      <w:r w:rsidR="00F9336D" w:rsidRPr="00076431">
        <w:rPr>
          <w:rFonts w:cs="Arial"/>
          <w:szCs w:val="24"/>
        </w:rPr>
        <w:t>.</w:t>
      </w:r>
    </w:p>
    <w:p w14:paraId="6EE86906" w14:textId="7E1F83C0" w:rsidR="00A21C01" w:rsidRDefault="00A21C01" w:rsidP="00A21C01">
      <w:pPr>
        <w:rPr>
          <w:rFonts w:cs="Arial"/>
          <w:szCs w:val="24"/>
        </w:rPr>
      </w:pPr>
      <w:r>
        <w:rPr>
          <w:rFonts w:cs="Arial"/>
          <w:szCs w:val="24"/>
        </w:rPr>
        <w:t>Relative to the rest of the world, Australia has a well-developed policy review process, which falls under the responsibility of the Productivity Commission. A Productivity Commission’s report offers some insights into the challenges associated with the implementation of anti-</w:t>
      </w:r>
      <w:r w:rsidRPr="005F29C7">
        <w:rPr>
          <w:rFonts w:cs="Arial"/>
          <w:szCs w:val="24"/>
        </w:rPr>
        <w:t xml:space="preserve">circumvention measures. In particular, </w:t>
      </w:r>
      <w:r>
        <w:rPr>
          <w:rFonts w:cs="Arial"/>
          <w:szCs w:val="24"/>
        </w:rPr>
        <w:t>the report</w:t>
      </w:r>
      <w:r w:rsidRPr="005F29C7">
        <w:rPr>
          <w:rFonts w:cs="Arial"/>
          <w:szCs w:val="24"/>
        </w:rPr>
        <w:t xml:space="preserve"> pointed</w:t>
      </w:r>
      <w:r>
        <w:rPr>
          <w:rFonts w:cs="Arial"/>
          <w:szCs w:val="24"/>
        </w:rPr>
        <w:t xml:space="preserve"> to the risk of non-circumvention action being captured by the current framework. For instance, it noted that:</w:t>
      </w:r>
    </w:p>
    <w:p w14:paraId="6511FAE5" w14:textId="77777777" w:rsidR="00A21C01" w:rsidRDefault="00A21C01" w:rsidP="00A21C01">
      <w:pPr>
        <w:ind w:left="720"/>
        <w:rPr>
          <w:rFonts w:cs="Arial"/>
          <w:szCs w:val="24"/>
        </w:rPr>
      </w:pPr>
      <w:r>
        <w:rPr>
          <w:rFonts w:cs="Arial"/>
          <w:szCs w:val="24"/>
        </w:rPr>
        <w:t>“</w:t>
      </w:r>
      <w:r w:rsidRPr="001163E9">
        <w:rPr>
          <w:rFonts w:cs="Arial"/>
          <w:szCs w:val="24"/>
        </w:rPr>
        <w:t>Circumvention likewise implies misconduct, even though it may sometimes involve</w:t>
      </w:r>
      <w:r>
        <w:rPr>
          <w:rFonts w:cs="Arial"/>
          <w:szCs w:val="24"/>
        </w:rPr>
        <w:t xml:space="preserve"> no</w:t>
      </w:r>
      <w:r w:rsidRPr="001163E9">
        <w:rPr>
          <w:rFonts w:cs="Arial"/>
          <w:szCs w:val="24"/>
        </w:rPr>
        <w:t xml:space="preserve"> more than an overseas supplier making a commercial decision to absorb all, or part</w:t>
      </w:r>
      <w:r>
        <w:rPr>
          <w:rFonts w:cs="Arial"/>
          <w:szCs w:val="24"/>
        </w:rPr>
        <w:t xml:space="preserve"> </w:t>
      </w:r>
      <w:r w:rsidRPr="001163E9">
        <w:rPr>
          <w:rFonts w:cs="Arial"/>
          <w:szCs w:val="24"/>
        </w:rPr>
        <w:t>of, the additional cost of an import dut</w:t>
      </w:r>
      <w:r>
        <w:rPr>
          <w:rFonts w:cs="Arial"/>
          <w:szCs w:val="24"/>
        </w:rPr>
        <w:t>y”.</w:t>
      </w:r>
      <w:r>
        <w:rPr>
          <w:rStyle w:val="FootnoteReference"/>
          <w:rFonts w:cs="Arial"/>
          <w:szCs w:val="24"/>
        </w:rPr>
        <w:footnoteReference w:id="120"/>
      </w:r>
    </w:p>
    <w:p w14:paraId="7DD31CCC" w14:textId="77777777" w:rsidR="00A21C01" w:rsidRDefault="00A21C01" w:rsidP="00A21C01">
      <w:pPr>
        <w:rPr>
          <w:rFonts w:cs="Arial"/>
          <w:szCs w:val="24"/>
        </w:rPr>
      </w:pPr>
      <w:r>
        <w:rPr>
          <w:rFonts w:cs="Arial"/>
          <w:szCs w:val="24"/>
        </w:rPr>
        <w:t>and that</w:t>
      </w:r>
    </w:p>
    <w:p w14:paraId="2704B6BF" w14:textId="77777777" w:rsidR="00A21C01" w:rsidRDefault="00A21C01" w:rsidP="00A21C01">
      <w:pPr>
        <w:ind w:left="720"/>
        <w:rPr>
          <w:rFonts w:cs="Arial"/>
          <w:szCs w:val="24"/>
        </w:rPr>
      </w:pPr>
      <w:r>
        <w:rPr>
          <w:rFonts w:cs="Arial"/>
          <w:szCs w:val="24"/>
        </w:rPr>
        <w:t>“(…)</w:t>
      </w:r>
      <w:r w:rsidRPr="001163E9">
        <w:rPr>
          <w:rFonts w:cs="Arial"/>
          <w:szCs w:val="24"/>
        </w:rPr>
        <w:t xml:space="preserve">, </w:t>
      </w:r>
      <w:r>
        <w:rPr>
          <w:rFonts w:cs="Arial"/>
          <w:szCs w:val="24"/>
        </w:rPr>
        <w:t>[T]</w:t>
      </w:r>
      <w:r w:rsidRPr="001163E9">
        <w:rPr>
          <w:rFonts w:cs="Arial"/>
          <w:szCs w:val="24"/>
        </w:rPr>
        <w:t>he shifting patterns of global production, technological advancements and</w:t>
      </w:r>
      <w:r>
        <w:rPr>
          <w:rFonts w:cs="Arial"/>
          <w:szCs w:val="24"/>
        </w:rPr>
        <w:t xml:space="preserve"> </w:t>
      </w:r>
      <w:r w:rsidRPr="001163E9">
        <w:rPr>
          <w:rFonts w:cs="Arial"/>
          <w:szCs w:val="24"/>
        </w:rPr>
        <w:t>global value chains (where different stages of the production process are located across</w:t>
      </w:r>
      <w:r>
        <w:rPr>
          <w:rFonts w:cs="Arial"/>
          <w:szCs w:val="24"/>
        </w:rPr>
        <w:t xml:space="preserve"> </w:t>
      </w:r>
      <w:r w:rsidRPr="001163E9">
        <w:rPr>
          <w:rFonts w:cs="Arial"/>
          <w:szCs w:val="24"/>
        </w:rPr>
        <w:t>different countries) provide an environment where the sorts of changes to supply</w:t>
      </w:r>
      <w:r>
        <w:rPr>
          <w:rFonts w:cs="Arial"/>
          <w:szCs w:val="24"/>
        </w:rPr>
        <w:t xml:space="preserve"> </w:t>
      </w:r>
      <w:r w:rsidRPr="001163E9">
        <w:rPr>
          <w:rFonts w:cs="Arial"/>
          <w:szCs w:val="24"/>
        </w:rPr>
        <w:t>arrangements targeted by the new circumvention regime can occur for a whole range of</w:t>
      </w:r>
      <w:r>
        <w:rPr>
          <w:rFonts w:cs="Arial"/>
          <w:szCs w:val="24"/>
        </w:rPr>
        <w:t xml:space="preserve"> </w:t>
      </w:r>
      <w:r w:rsidRPr="001163E9">
        <w:rPr>
          <w:rFonts w:cs="Arial"/>
          <w:szCs w:val="24"/>
        </w:rPr>
        <w:t>other reasons</w:t>
      </w:r>
      <w:r>
        <w:rPr>
          <w:rFonts w:cs="Arial"/>
          <w:szCs w:val="24"/>
        </w:rPr>
        <w:t>”.</w:t>
      </w:r>
      <w:r>
        <w:rPr>
          <w:rStyle w:val="FootnoteReference"/>
          <w:rFonts w:cs="Arial"/>
          <w:szCs w:val="24"/>
        </w:rPr>
        <w:footnoteReference w:id="121"/>
      </w:r>
    </w:p>
    <w:p w14:paraId="7AE381F1" w14:textId="384F64E4" w:rsidR="00A21C01" w:rsidRDefault="00A21C01" w:rsidP="00A21C01">
      <w:pPr>
        <w:rPr>
          <w:rFonts w:cs="Arial"/>
          <w:szCs w:val="24"/>
        </w:rPr>
      </w:pPr>
      <w:r>
        <w:rPr>
          <w:rFonts w:cs="Arial"/>
          <w:szCs w:val="24"/>
        </w:rPr>
        <w:t>While some of the Productivity Commission’s criticism is a response to the avoidance of intended effect provisions that are particular to Australia, the criticism has broader application. In particular, it resonates with the overarching challenge identified by this report, which consists both in identifying possible circumvention and, more specifically, differentiating it from other drivers of trade. In a previous inquiry report, the Productivity Commission argued that the main rationale for trade remedies in general was a political economy one: it acted as a safety valve for localised protectionist pressures and in doing so allowed a broader political consensus on trade liberalisation to be maintained.</w:t>
      </w:r>
      <w:r>
        <w:rPr>
          <w:rStyle w:val="FootnoteReference"/>
          <w:rFonts w:cs="Arial"/>
          <w:szCs w:val="24"/>
        </w:rPr>
        <w:footnoteReference w:id="122"/>
      </w:r>
      <w:r>
        <w:rPr>
          <w:rFonts w:cs="Arial"/>
          <w:szCs w:val="24"/>
        </w:rPr>
        <w:t xml:space="preserve"> But if that is the case, it could suggest that methodologies are not sufficiently calibrated to exclude cases of legitimate economic activity from the scope of trade remedies (anti-circumvention in this case) simply because authorities are less concerned by this risk.    </w:t>
      </w:r>
    </w:p>
    <w:p w14:paraId="04FD027A" w14:textId="762C6471" w:rsidR="00A21C01" w:rsidRPr="00834C11" w:rsidRDefault="00A21C01" w:rsidP="0B87AE61">
      <w:pPr>
        <w:pStyle w:val="Heading3"/>
        <w:rPr>
          <w:rFonts w:cs="Arial"/>
          <w:b w:val="0"/>
        </w:rPr>
      </w:pPr>
      <w:bookmarkStart w:id="172" w:name="_Toc518678705"/>
      <w:bookmarkStart w:id="173" w:name="_Toc118465318"/>
      <w:r w:rsidRPr="0B87AE61">
        <w:rPr>
          <w:rFonts w:cs="Arial"/>
        </w:rPr>
        <w:t>Key descriptive statistics concerning Australian anti-circumvention cases</w:t>
      </w:r>
      <w:bookmarkEnd w:id="172"/>
      <w:bookmarkEnd w:id="173"/>
    </w:p>
    <w:p w14:paraId="7954A29C" w14:textId="29B75A18" w:rsidR="00A21C01" w:rsidRDefault="00E0019C" w:rsidP="00A21C01">
      <w:pPr>
        <w:rPr>
          <w:rFonts w:cs="Arial"/>
          <w:szCs w:val="24"/>
        </w:rPr>
      </w:pPr>
      <w:r>
        <w:rPr>
          <w:rFonts w:cs="Arial"/>
          <w:szCs w:val="24"/>
        </w:rPr>
        <w:fldChar w:fldCharType="begin"/>
      </w:r>
      <w:r>
        <w:rPr>
          <w:rFonts w:cs="Arial"/>
          <w:szCs w:val="24"/>
        </w:rPr>
        <w:instrText xml:space="preserve"> REF _Ref103870157 \h </w:instrText>
      </w:r>
      <w:r>
        <w:rPr>
          <w:rFonts w:cs="Arial"/>
          <w:szCs w:val="24"/>
        </w:rPr>
      </w:r>
      <w:r>
        <w:rPr>
          <w:rFonts w:cs="Arial"/>
          <w:szCs w:val="24"/>
        </w:rPr>
        <w:fldChar w:fldCharType="separate"/>
      </w:r>
      <w:r w:rsidR="003B27AB">
        <w:t xml:space="preserve">Table </w:t>
      </w:r>
      <w:r w:rsidR="003B27AB">
        <w:rPr>
          <w:noProof/>
        </w:rPr>
        <w:t>12</w:t>
      </w:r>
      <w:r>
        <w:rPr>
          <w:rFonts w:cs="Arial"/>
          <w:szCs w:val="24"/>
        </w:rPr>
        <w:fldChar w:fldCharType="end"/>
      </w:r>
      <w:r w:rsidR="00A21C01">
        <w:rPr>
          <w:rFonts w:cs="Arial"/>
          <w:szCs w:val="24"/>
        </w:rPr>
        <w:t xml:space="preserve"> provides an overview of anti-circumvention cases since 2013 when </w:t>
      </w:r>
      <w:r w:rsidR="00C378E7">
        <w:rPr>
          <w:rFonts w:cs="Arial"/>
          <w:szCs w:val="24"/>
        </w:rPr>
        <w:t>the anti-circumvention provisions in the Act</w:t>
      </w:r>
      <w:r w:rsidR="00C378E7" w:rsidRPr="00FD10FE">
        <w:rPr>
          <w:rFonts w:cs="Arial"/>
          <w:szCs w:val="24"/>
        </w:rPr>
        <w:t xml:space="preserve"> </w:t>
      </w:r>
      <w:r w:rsidR="00C378E7">
        <w:rPr>
          <w:rFonts w:cs="Arial"/>
          <w:szCs w:val="24"/>
        </w:rPr>
        <w:t xml:space="preserve"> </w:t>
      </w:r>
      <w:r w:rsidR="00A21C01">
        <w:rPr>
          <w:rFonts w:cs="Arial"/>
          <w:szCs w:val="24"/>
        </w:rPr>
        <w:t>came into force, and as a consequence of which Australia imposed duties. We provide information on the type of product and the country (“circumventor”) covered by the original trade remedy investigation, the mode of circumvention, the countries targeted by circumvention duties and the HS codes of products covered by the circumvention case and on which duties were levied.</w:t>
      </w:r>
    </w:p>
    <w:p w14:paraId="09AE1908" w14:textId="627C2917" w:rsidR="00C378E7" w:rsidRDefault="00C378E7" w:rsidP="00A21C01">
      <w:pPr>
        <w:rPr>
          <w:rFonts w:cs="Arial"/>
          <w:szCs w:val="24"/>
        </w:rPr>
      </w:pPr>
      <w:r>
        <w:rPr>
          <w:rFonts w:cs="Arial"/>
          <w:szCs w:val="24"/>
        </w:rPr>
        <w:t xml:space="preserve">In one case, A4 Copy paper, the decision to impose circumvention duties was overturned following a merits review by the Anti-Dumping Review Panel. </w:t>
      </w:r>
    </w:p>
    <w:p w14:paraId="230B0F52" w14:textId="77777777" w:rsidR="00C378E7" w:rsidRDefault="00C378E7" w:rsidP="00A21C01">
      <w:pPr>
        <w:rPr>
          <w:rFonts w:cs="Arial"/>
          <w:szCs w:val="24"/>
        </w:rPr>
      </w:pPr>
    </w:p>
    <w:p w14:paraId="3EEF45E4" w14:textId="77777777" w:rsidR="00A21C01" w:rsidRDefault="00A21C01" w:rsidP="00A21C01">
      <w:pPr>
        <w:rPr>
          <w:rFonts w:cs="Arial"/>
          <w:szCs w:val="24"/>
        </w:rPr>
        <w:sectPr w:rsidR="00A21C01" w:rsidSect="00F21AB1">
          <w:pgSz w:w="11906" w:h="16838"/>
          <w:pgMar w:top="1440" w:right="1440" w:bottom="1440" w:left="1440" w:header="708" w:footer="708" w:gutter="0"/>
          <w:cols w:space="708"/>
          <w:docGrid w:linePitch="360"/>
        </w:sectPr>
      </w:pPr>
    </w:p>
    <w:p w14:paraId="7C59022F" w14:textId="5B790919" w:rsidR="00A21C01" w:rsidRDefault="00A21C01" w:rsidP="00A21C01">
      <w:pPr>
        <w:pStyle w:val="Caption"/>
        <w:rPr>
          <w:rFonts w:cs="Arial"/>
          <w:szCs w:val="24"/>
        </w:rPr>
      </w:pPr>
      <w:bookmarkStart w:id="174" w:name="_Ref103870157"/>
      <w:bookmarkStart w:id="175" w:name="_Ref94864058"/>
      <w:r>
        <w:t xml:space="preserve">Table </w:t>
      </w:r>
      <w:r>
        <w:fldChar w:fldCharType="begin"/>
      </w:r>
      <w:r>
        <w:instrText>SEQ Table \* ARABIC</w:instrText>
      </w:r>
      <w:r>
        <w:fldChar w:fldCharType="separate"/>
      </w:r>
      <w:r w:rsidR="001C580B">
        <w:rPr>
          <w:noProof/>
        </w:rPr>
        <w:t>12</w:t>
      </w:r>
      <w:r>
        <w:fldChar w:fldCharType="end"/>
      </w:r>
      <w:bookmarkEnd w:id="174"/>
      <w:r>
        <w:rPr>
          <w:noProof/>
        </w:rPr>
        <w:t xml:space="preserve">: </w:t>
      </w:r>
      <w:r w:rsidRPr="008C4920">
        <w:t>Overview of anti-circumvention cases in which duties were imposed (2009 to 2021), Australia</w:t>
      </w:r>
    </w:p>
    <w:tbl>
      <w:tblPr>
        <w:tblStyle w:val="TableGrid"/>
        <w:tblW w:w="0" w:type="auto"/>
        <w:tblLook w:val="04A0" w:firstRow="1" w:lastRow="0" w:firstColumn="1" w:lastColumn="0" w:noHBand="0" w:noVBand="1"/>
      </w:tblPr>
      <w:tblGrid>
        <w:gridCol w:w="2191"/>
        <w:gridCol w:w="1352"/>
        <w:gridCol w:w="1555"/>
        <w:gridCol w:w="1543"/>
        <w:gridCol w:w="1634"/>
        <w:gridCol w:w="1648"/>
        <w:gridCol w:w="1589"/>
        <w:gridCol w:w="2436"/>
      </w:tblGrid>
      <w:tr w:rsidR="00A21C01" w:rsidRPr="00D66D81" w14:paraId="1EF0769C" w14:textId="77777777">
        <w:trPr>
          <w:trHeight w:val="414"/>
        </w:trPr>
        <w:tc>
          <w:tcPr>
            <w:tcW w:w="2191" w:type="dxa"/>
            <w:vMerge w:val="restart"/>
            <w:hideMark/>
          </w:tcPr>
          <w:p w14:paraId="7DB5B46A" w14:textId="4D5EE4D0" w:rsidR="00A21C01" w:rsidRPr="00D66D81" w:rsidRDefault="00A21C01">
            <w:pPr>
              <w:spacing w:line="240" w:lineRule="auto"/>
              <w:rPr>
                <w:rFonts w:cs="Arial"/>
                <w:b/>
                <w:bCs/>
                <w:sz w:val="22"/>
              </w:rPr>
            </w:pPr>
            <w:r w:rsidRPr="00D66D81">
              <w:rPr>
                <w:rFonts w:cs="Arial"/>
                <w:b/>
                <w:bCs/>
                <w:sz w:val="22"/>
                <w:lang w:val="fr-CH"/>
              </w:rPr>
              <w:t>Type of product (circumventor)</w:t>
            </w:r>
          </w:p>
        </w:tc>
        <w:tc>
          <w:tcPr>
            <w:tcW w:w="1352" w:type="dxa"/>
            <w:vMerge w:val="restart"/>
            <w:shd w:val="clear" w:color="auto" w:fill="DEEAF6" w:themeFill="accent5" w:themeFillTint="33"/>
            <w:hideMark/>
          </w:tcPr>
          <w:p w14:paraId="3ED743B7" w14:textId="77777777" w:rsidR="00A21C01" w:rsidRPr="00D66D81" w:rsidRDefault="00A21C01">
            <w:pPr>
              <w:spacing w:line="240" w:lineRule="auto"/>
              <w:rPr>
                <w:rFonts w:cs="Arial"/>
                <w:b/>
                <w:bCs/>
                <w:sz w:val="22"/>
              </w:rPr>
            </w:pPr>
            <w:r w:rsidRPr="00D66D81">
              <w:rPr>
                <w:rFonts w:cs="Arial"/>
                <w:b/>
                <w:bCs/>
                <w:sz w:val="22"/>
              </w:rPr>
              <w:t>Total</w:t>
            </w:r>
            <w:r w:rsidRPr="00D66D81">
              <w:rPr>
                <w:rStyle w:val="FootnoteReference"/>
                <w:rFonts w:cs="Arial"/>
                <w:b/>
                <w:bCs/>
                <w:sz w:val="22"/>
              </w:rPr>
              <w:footnoteReference w:id="123"/>
            </w:r>
          </w:p>
        </w:tc>
        <w:tc>
          <w:tcPr>
            <w:tcW w:w="6380" w:type="dxa"/>
            <w:gridSpan w:val="4"/>
          </w:tcPr>
          <w:p w14:paraId="634D8B09" w14:textId="4C7CEC82" w:rsidR="00A21C01" w:rsidRPr="00D66D81" w:rsidRDefault="00A21C01">
            <w:pPr>
              <w:spacing w:line="240" w:lineRule="auto"/>
              <w:jc w:val="center"/>
              <w:rPr>
                <w:rFonts w:cs="Arial"/>
                <w:b/>
                <w:bCs/>
                <w:sz w:val="22"/>
              </w:rPr>
            </w:pPr>
            <w:r w:rsidRPr="00D66D81">
              <w:rPr>
                <w:rFonts w:cs="Arial"/>
                <w:b/>
                <w:bCs/>
                <w:sz w:val="22"/>
              </w:rPr>
              <w:t>Mode of circumvention</w:t>
            </w:r>
          </w:p>
          <w:p w14:paraId="30DBC405" w14:textId="77777777" w:rsidR="00A21C01" w:rsidRPr="00D66D81" w:rsidRDefault="00A21C01">
            <w:pPr>
              <w:spacing w:line="240" w:lineRule="auto"/>
              <w:jc w:val="center"/>
              <w:rPr>
                <w:rFonts w:cs="Arial"/>
                <w:b/>
                <w:bCs/>
                <w:sz w:val="22"/>
              </w:rPr>
            </w:pPr>
          </w:p>
        </w:tc>
        <w:tc>
          <w:tcPr>
            <w:tcW w:w="1589" w:type="dxa"/>
            <w:vMerge w:val="restart"/>
            <w:hideMark/>
          </w:tcPr>
          <w:p w14:paraId="79FBAEEE" w14:textId="6F8A151C" w:rsidR="00A21C01" w:rsidRPr="00D66D81" w:rsidRDefault="00A21C01">
            <w:pPr>
              <w:spacing w:line="240" w:lineRule="auto"/>
              <w:rPr>
                <w:rFonts w:cs="Arial"/>
                <w:b/>
                <w:bCs/>
                <w:sz w:val="22"/>
              </w:rPr>
            </w:pPr>
            <w:r w:rsidRPr="00D66D81">
              <w:rPr>
                <w:rFonts w:cs="Arial"/>
                <w:b/>
                <w:bCs/>
                <w:sz w:val="22"/>
              </w:rPr>
              <w:t>Targeted country</w:t>
            </w:r>
          </w:p>
        </w:tc>
        <w:tc>
          <w:tcPr>
            <w:tcW w:w="2436" w:type="dxa"/>
            <w:vMerge w:val="restart"/>
            <w:hideMark/>
          </w:tcPr>
          <w:p w14:paraId="4772ECBA" w14:textId="2B5ED652" w:rsidR="00A21C01" w:rsidRPr="00D66D81" w:rsidRDefault="00A21C01">
            <w:pPr>
              <w:spacing w:line="240" w:lineRule="auto"/>
              <w:rPr>
                <w:rFonts w:cs="Arial"/>
                <w:b/>
                <w:bCs/>
                <w:sz w:val="22"/>
              </w:rPr>
            </w:pPr>
            <w:r w:rsidRPr="00D66D81">
              <w:rPr>
                <w:rFonts w:cs="Arial"/>
                <w:b/>
                <w:bCs/>
                <w:sz w:val="22"/>
              </w:rPr>
              <w:t>Commodity code(s)</w:t>
            </w:r>
          </w:p>
        </w:tc>
      </w:tr>
      <w:tr w:rsidR="00A21C01" w:rsidRPr="00D66D81" w14:paraId="483DC88D" w14:textId="77777777">
        <w:trPr>
          <w:trHeight w:val="414"/>
        </w:trPr>
        <w:tc>
          <w:tcPr>
            <w:tcW w:w="2191" w:type="dxa"/>
            <w:vMerge/>
          </w:tcPr>
          <w:p w14:paraId="0A030CC0" w14:textId="77777777" w:rsidR="00A21C01" w:rsidRPr="00D66D81" w:rsidRDefault="00A21C01">
            <w:pPr>
              <w:spacing w:line="240" w:lineRule="auto"/>
              <w:rPr>
                <w:rFonts w:cs="Arial"/>
                <w:b/>
                <w:bCs/>
                <w:sz w:val="22"/>
                <w:lang w:val="fr-CH"/>
              </w:rPr>
            </w:pPr>
          </w:p>
        </w:tc>
        <w:tc>
          <w:tcPr>
            <w:tcW w:w="1352" w:type="dxa"/>
            <w:vMerge/>
            <w:shd w:val="clear" w:color="auto" w:fill="DEEAF6" w:themeFill="accent5" w:themeFillTint="33"/>
          </w:tcPr>
          <w:p w14:paraId="320CDF91" w14:textId="77777777" w:rsidR="00A21C01" w:rsidRPr="00D66D81" w:rsidRDefault="00A21C01">
            <w:pPr>
              <w:spacing w:line="240" w:lineRule="auto"/>
              <w:rPr>
                <w:rFonts w:cs="Arial"/>
                <w:b/>
                <w:bCs/>
                <w:sz w:val="22"/>
              </w:rPr>
            </w:pPr>
          </w:p>
        </w:tc>
        <w:tc>
          <w:tcPr>
            <w:tcW w:w="1555" w:type="dxa"/>
          </w:tcPr>
          <w:p w14:paraId="32E991E5" w14:textId="7050C3E1" w:rsidR="00A21C01" w:rsidRPr="00D66D81" w:rsidRDefault="00A21C01">
            <w:pPr>
              <w:spacing w:line="240" w:lineRule="auto"/>
              <w:rPr>
                <w:rFonts w:cs="Arial"/>
                <w:b/>
                <w:bCs/>
                <w:sz w:val="22"/>
              </w:rPr>
            </w:pPr>
            <w:r w:rsidRPr="00D66D81">
              <w:rPr>
                <w:rFonts w:cs="Arial"/>
                <w:b/>
                <w:bCs/>
                <w:sz w:val="22"/>
              </w:rPr>
              <w:t>Third-party assembly</w:t>
            </w:r>
          </w:p>
        </w:tc>
        <w:tc>
          <w:tcPr>
            <w:tcW w:w="1543" w:type="dxa"/>
          </w:tcPr>
          <w:p w14:paraId="458EDE53" w14:textId="77777777" w:rsidR="00A21C01" w:rsidRPr="00D66D81" w:rsidRDefault="00A21C01">
            <w:pPr>
              <w:spacing w:line="240" w:lineRule="auto"/>
              <w:rPr>
                <w:rFonts w:cs="Arial"/>
                <w:b/>
                <w:bCs/>
                <w:sz w:val="22"/>
              </w:rPr>
            </w:pPr>
            <w:r w:rsidRPr="00D66D81">
              <w:rPr>
                <w:rFonts w:cs="Arial"/>
                <w:b/>
                <w:bCs/>
                <w:sz w:val="22"/>
              </w:rPr>
              <w:t>Tranship-ment</w:t>
            </w:r>
          </w:p>
        </w:tc>
        <w:tc>
          <w:tcPr>
            <w:tcW w:w="1634" w:type="dxa"/>
          </w:tcPr>
          <w:p w14:paraId="14F3F1B8" w14:textId="297E2CDA" w:rsidR="00A21C01" w:rsidRPr="00D66D81" w:rsidRDefault="00A21C01">
            <w:pPr>
              <w:spacing w:line="240" w:lineRule="auto"/>
              <w:rPr>
                <w:rFonts w:cs="Arial"/>
                <w:b/>
                <w:bCs/>
                <w:sz w:val="22"/>
              </w:rPr>
            </w:pPr>
            <w:r w:rsidRPr="00D66D81">
              <w:rPr>
                <w:rFonts w:cs="Arial"/>
                <w:b/>
                <w:bCs/>
                <w:sz w:val="22"/>
              </w:rPr>
              <w:t>Modification</w:t>
            </w:r>
          </w:p>
        </w:tc>
        <w:tc>
          <w:tcPr>
            <w:tcW w:w="1648" w:type="dxa"/>
          </w:tcPr>
          <w:p w14:paraId="6D8CD1F8" w14:textId="77777777" w:rsidR="00A21C01" w:rsidRPr="00D66D81" w:rsidRDefault="00A21C01">
            <w:pPr>
              <w:spacing w:line="240" w:lineRule="auto"/>
              <w:rPr>
                <w:rFonts w:cs="Arial"/>
                <w:b/>
                <w:bCs/>
                <w:sz w:val="22"/>
              </w:rPr>
            </w:pPr>
            <w:r w:rsidRPr="00D66D81">
              <w:rPr>
                <w:rFonts w:cs="Arial"/>
                <w:b/>
                <w:bCs/>
                <w:sz w:val="22"/>
              </w:rPr>
              <w:t>Avoidance of intended effects</w:t>
            </w:r>
          </w:p>
        </w:tc>
        <w:tc>
          <w:tcPr>
            <w:tcW w:w="1589" w:type="dxa"/>
            <w:vMerge/>
          </w:tcPr>
          <w:p w14:paraId="4E6004CA" w14:textId="77777777" w:rsidR="00A21C01" w:rsidRPr="00D66D81" w:rsidRDefault="00A21C01">
            <w:pPr>
              <w:spacing w:line="240" w:lineRule="auto"/>
              <w:rPr>
                <w:rFonts w:cs="Arial"/>
                <w:b/>
                <w:bCs/>
                <w:sz w:val="22"/>
              </w:rPr>
            </w:pPr>
          </w:p>
        </w:tc>
        <w:tc>
          <w:tcPr>
            <w:tcW w:w="2436" w:type="dxa"/>
            <w:vMerge/>
          </w:tcPr>
          <w:p w14:paraId="54A49039" w14:textId="77777777" w:rsidR="00A21C01" w:rsidRPr="00D66D81" w:rsidRDefault="00A21C01">
            <w:pPr>
              <w:spacing w:line="240" w:lineRule="auto"/>
              <w:rPr>
                <w:rFonts w:cs="Arial"/>
                <w:b/>
                <w:bCs/>
                <w:sz w:val="22"/>
              </w:rPr>
            </w:pPr>
          </w:p>
        </w:tc>
      </w:tr>
      <w:tr w:rsidR="00A21C01" w:rsidRPr="00D66D81" w14:paraId="54B4DFF8" w14:textId="77777777">
        <w:trPr>
          <w:trHeight w:val="461"/>
        </w:trPr>
        <w:tc>
          <w:tcPr>
            <w:tcW w:w="2191" w:type="dxa"/>
            <w:hideMark/>
          </w:tcPr>
          <w:p w14:paraId="0543AE01" w14:textId="1B21B14C" w:rsidR="00A21C01" w:rsidRPr="00D66D81" w:rsidRDefault="00A21C01">
            <w:pPr>
              <w:spacing w:line="240" w:lineRule="auto"/>
              <w:rPr>
                <w:rFonts w:cs="Arial"/>
                <w:sz w:val="22"/>
              </w:rPr>
            </w:pPr>
            <w:r w:rsidRPr="00D66D81">
              <w:rPr>
                <w:rFonts w:cs="Arial"/>
                <w:sz w:val="22"/>
              </w:rPr>
              <w:t>A4 copy paper (</w:t>
            </w:r>
            <w:r w:rsidR="00192BF6">
              <w:rPr>
                <w:rFonts w:cs="Arial"/>
                <w:sz w:val="22"/>
              </w:rPr>
              <w:t>PRC</w:t>
            </w:r>
            <w:r w:rsidRPr="00D66D81">
              <w:rPr>
                <w:rFonts w:cs="Arial"/>
                <w:sz w:val="22"/>
              </w:rPr>
              <w:t>)</w:t>
            </w:r>
          </w:p>
        </w:tc>
        <w:tc>
          <w:tcPr>
            <w:tcW w:w="1352" w:type="dxa"/>
            <w:shd w:val="clear" w:color="auto" w:fill="DEEAF6" w:themeFill="accent5" w:themeFillTint="33"/>
            <w:hideMark/>
          </w:tcPr>
          <w:p w14:paraId="10771B9B" w14:textId="77777777" w:rsidR="00A21C01" w:rsidRPr="00D66D81" w:rsidRDefault="00A21C01">
            <w:pPr>
              <w:spacing w:line="240" w:lineRule="auto"/>
              <w:jc w:val="right"/>
              <w:rPr>
                <w:rFonts w:cs="Arial"/>
                <w:sz w:val="22"/>
              </w:rPr>
            </w:pPr>
            <w:r w:rsidRPr="00D66D81">
              <w:rPr>
                <w:rFonts w:cs="Arial"/>
                <w:sz w:val="22"/>
              </w:rPr>
              <w:t>1</w:t>
            </w:r>
          </w:p>
        </w:tc>
        <w:tc>
          <w:tcPr>
            <w:tcW w:w="1555" w:type="dxa"/>
            <w:hideMark/>
          </w:tcPr>
          <w:p w14:paraId="446AC879" w14:textId="77777777" w:rsidR="00A21C01" w:rsidRPr="00D66D81" w:rsidRDefault="00A21C01">
            <w:pPr>
              <w:spacing w:line="240" w:lineRule="auto"/>
              <w:jc w:val="right"/>
              <w:rPr>
                <w:rFonts w:cs="Arial"/>
                <w:sz w:val="22"/>
              </w:rPr>
            </w:pPr>
          </w:p>
        </w:tc>
        <w:tc>
          <w:tcPr>
            <w:tcW w:w="1543" w:type="dxa"/>
            <w:hideMark/>
          </w:tcPr>
          <w:p w14:paraId="4F99A884" w14:textId="77777777" w:rsidR="00A21C01" w:rsidRPr="00D66D81" w:rsidRDefault="00A21C01">
            <w:pPr>
              <w:spacing w:line="240" w:lineRule="auto"/>
              <w:jc w:val="right"/>
              <w:rPr>
                <w:rFonts w:cs="Arial"/>
                <w:sz w:val="22"/>
              </w:rPr>
            </w:pPr>
          </w:p>
        </w:tc>
        <w:tc>
          <w:tcPr>
            <w:tcW w:w="1634" w:type="dxa"/>
            <w:hideMark/>
          </w:tcPr>
          <w:p w14:paraId="54E2B2A2" w14:textId="77777777" w:rsidR="00A21C01" w:rsidRPr="00D66D81" w:rsidRDefault="00A21C01">
            <w:pPr>
              <w:spacing w:line="240" w:lineRule="auto"/>
              <w:jc w:val="right"/>
              <w:rPr>
                <w:rFonts w:cs="Arial"/>
                <w:sz w:val="22"/>
              </w:rPr>
            </w:pPr>
            <w:r w:rsidRPr="00D66D81">
              <w:rPr>
                <w:rFonts w:cs="Arial"/>
                <w:sz w:val="22"/>
              </w:rPr>
              <w:t>1</w:t>
            </w:r>
          </w:p>
        </w:tc>
        <w:tc>
          <w:tcPr>
            <w:tcW w:w="1648" w:type="dxa"/>
            <w:hideMark/>
          </w:tcPr>
          <w:p w14:paraId="17EBD329" w14:textId="77777777" w:rsidR="00A21C01" w:rsidRPr="00D66D81" w:rsidRDefault="00A21C01">
            <w:pPr>
              <w:spacing w:line="240" w:lineRule="auto"/>
              <w:jc w:val="right"/>
              <w:rPr>
                <w:rFonts w:cs="Arial"/>
                <w:sz w:val="22"/>
              </w:rPr>
            </w:pPr>
          </w:p>
        </w:tc>
        <w:tc>
          <w:tcPr>
            <w:tcW w:w="1589" w:type="dxa"/>
            <w:hideMark/>
          </w:tcPr>
          <w:p w14:paraId="4D108B5C" w14:textId="41E596F7" w:rsidR="00A21C01" w:rsidRPr="00D66D81" w:rsidRDefault="00192BF6">
            <w:pPr>
              <w:spacing w:line="240" w:lineRule="auto"/>
              <w:rPr>
                <w:rFonts w:cs="Arial"/>
                <w:sz w:val="22"/>
              </w:rPr>
            </w:pPr>
            <w:r>
              <w:rPr>
                <w:rFonts w:cs="Arial"/>
                <w:sz w:val="22"/>
              </w:rPr>
              <w:t>PRC</w:t>
            </w:r>
          </w:p>
        </w:tc>
        <w:tc>
          <w:tcPr>
            <w:tcW w:w="2436" w:type="dxa"/>
            <w:hideMark/>
          </w:tcPr>
          <w:p w14:paraId="0EBF1C7F" w14:textId="77777777" w:rsidR="00A21C01" w:rsidRPr="00D66D81" w:rsidRDefault="00A21C01">
            <w:pPr>
              <w:spacing w:line="240" w:lineRule="auto"/>
              <w:jc w:val="right"/>
              <w:rPr>
                <w:rFonts w:cs="Arial"/>
                <w:sz w:val="22"/>
              </w:rPr>
            </w:pPr>
            <w:r w:rsidRPr="00D66D81">
              <w:rPr>
                <w:rFonts w:cs="Arial"/>
                <w:sz w:val="22"/>
              </w:rPr>
              <w:t>4802.56.10</w:t>
            </w:r>
          </w:p>
        </w:tc>
      </w:tr>
      <w:tr w:rsidR="00A21C01" w:rsidRPr="00D66D81" w14:paraId="48E42BD8" w14:textId="77777777">
        <w:trPr>
          <w:trHeight w:val="461"/>
        </w:trPr>
        <w:tc>
          <w:tcPr>
            <w:tcW w:w="2191" w:type="dxa"/>
            <w:hideMark/>
          </w:tcPr>
          <w:p w14:paraId="3A0110E6" w14:textId="77777777" w:rsidR="00A21C01" w:rsidRPr="00D66D81" w:rsidRDefault="00A21C01">
            <w:pPr>
              <w:spacing w:line="240" w:lineRule="auto"/>
              <w:rPr>
                <w:rFonts w:cs="Arial"/>
                <w:sz w:val="22"/>
              </w:rPr>
            </w:pPr>
            <w:r w:rsidRPr="00D66D81">
              <w:rPr>
                <w:rFonts w:cs="Arial"/>
                <w:sz w:val="22"/>
              </w:rPr>
              <w:t>Clear float glass (Thailand)</w:t>
            </w:r>
          </w:p>
        </w:tc>
        <w:tc>
          <w:tcPr>
            <w:tcW w:w="1352" w:type="dxa"/>
            <w:shd w:val="clear" w:color="auto" w:fill="DEEAF6" w:themeFill="accent5" w:themeFillTint="33"/>
            <w:hideMark/>
          </w:tcPr>
          <w:p w14:paraId="55F21F4B" w14:textId="77777777" w:rsidR="00A21C01" w:rsidRPr="00D66D81" w:rsidRDefault="00A21C01">
            <w:pPr>
              <w:spacing w:line="240" w:lineRule="auto"/>
              <w:jc w:val="right"/>
              <w:rPr>
                <w:rFonts w:cs="Arial"/>
                <w:sz w:val="22"/>
              </w:rPr>
            </w:pPr>
            <w:r w:rsidRPr="00D66D81">
              <w:rPr>
                <w:rFonts w:cs="Arial"/>
                <w:sz w:val="22"/>
              </w:rPr>
              <w:t>1</w:t>
            </w:r>
          </w:p>
        </w:tc>
        <w:tc>
          <w:tcPr>
            <w:tcW w:w="1555" w:type="dxa"/>
            <w:hideMark/>
          </w:tcPr>
          <w:p w14:paraId="44A774FC" w14:textId="77777777" w:rsidR="00A21C01" w:rsidRPr="00D66D81" w:rsidRDefault="00A21C01">
            <w:pPr>
              <w:spacing w:line="240" w:lineRule="auto"/>
              <w:jc w:val="right"/>
              <w:rPr>
                <w:rFonts w:cs="Arial"/>
                <w:sz w:val="22"/>
              </w:rPr>
            </w:pPr>
          </w:p>
        </w:tc>
        <w:tc>
          <w:tcPr>
            <w:tcW w:w="1543" w:type="dxa"/>
            <w:hideMark/>
          </w:tcPr>
          <w:p w14:paraId="673FC13C" w14:textId="77777777" w:rsidR="00A21C01" w:rsidRPr="00D66D81" w:rsidRDefault="00A21C01">
            <w:pPr>
              <w:spacing w:line="240" w:lineRule="auto"/>
              <w:jc w:val="right"/>
              <w:rPr>
                <w:rFonts w:cs="Arial"/>
                <w:sz w:val="22"/>
              </w:rPr>
            </w:pPr>
          </w:p>
        </w:tc>
        <w:tc>
          <w:tcPr>
            <w:tcW w:w="1634" w:type="dxa"/>
            <w:hideMark/>
          </w:tcPr>
          <w:p w14:paraId="13E504E6" w14:textId="77777777" w:rsidR="00A21C01" w:rsidRPr="00D66D81" w:rsidRDefault="00A21C01">
            <w:pPr>
              <w:spacing w:line="240" w:lineRule="auto"/>
              <w:jc w:val="right"/>
              <w:rPr>
                <w:rFonts w:cs="Arial"/>
                <w:sz w:val="22"/>
              </w:rPr>
            </w:pPr>
            <w:r w:rsidRPr="00D66D81">
              <w:rPr>
                <w:rFonts w:cs="Arial"/>
                <w:sz w:val="22"/>
              </w:rPr>
              <w:t>1</w:t>
            </w:r>
          </w:p>
        </w:tc>
        <w:tc>
          <w:tcPr>
            <w:tcW w:w="1648" w:type="dxa"/>
            <w:hideMark/>
          </w:tcPr>
          <w:p w14:paraId="53F9A6D2" w14:textId="77777777" w:rsidR="00A21C01" w:rsidRPr="00D66D81" w:rsidRDefault="00A21C01">
            <w:pPr>
              <w:spacing w:line="240" w:lineRule="auto"/>
              <w:jc w:val="right"/>
              <w:rPr>
                <w:rFonts w:cs="Arial"/>
                <w:sz w:val="22"/>
              </w:rPr>
            </w:pPr>
          </w:p>
        </w:tc>
        <w:tc>
          <w:tcPr>
            <w:tcW w:w="1589" w:type="dxa"/>
            <w:hideMark/>
          </w:tcPr>
          <w:p w14:paraId="2B81BA21" w14:textId="77777777" w:rsidR="00A21C01" w:rsidRPr="00D66D81" w:rsidRDefault="00A21C01">
            <w:pPr>
              <w:spacing w:line="240" w:lineRule="auto"/>
              <w:rPr>
                <w:rFonts w:cs="Arial"/>
                <w:sz w:val="22"/>
              </w:rPr>
            </w:pPr>
            <w:r w:rsidRPr="00D66D81">
              <w:rPr>
                <w:rFonts w:cs="Arial"/>
                <w:sz w:val="22"/>
              </w:rPr>
              <w:t>Thailand</w:t>
            </w:r>
          </w:p>
        </w:tc>
        <w:tc>
          <w:tcPr>
            <w:tcW w:w="2436" w:type="dxa"/>
            <w:hideMark/>
          </w:tcPr>
          <w:p w14:paraId="2ACE56C9" w14:textId="77777777" w:rsidR="00A21C01" w:rsidRPr="00D66D81" w:rsidRDefault="00A21C01">
            <w:pPr>
              <w:spacing w:line="240" w:lineRule="auto"/>
              <w:jc w:val="right"/>
              <w:rPr>
                <w:rFonts w:cs="Arial"/>
                <w:sz w:val="22"/>
              </w:rPr>
            </w:pPr>
            <w:r w:rsidRPr="00D66D81">
              <w:rPr>
                <w:rFonts w:cs="Arial"/>
                <w:sz w:val="22"/>
              </w:rPr>
              <w:t>7006.00.00</w:t>
            </w:r>
          </w:p>
        </w:tc>
      </w:tr>
      <w:tr w:rsidR="00A21C01" w:rsidRPr="00D66D81" w14:paraId="69ED176D" w14:textId="77777777">
        <w:trPr>
          <w:trHeight w:val="461"/>
        </w:trPr>
        <w:tc>
          <w:tcPr>
            <w:tcW w:w="2191" w:type="dxa"/>
            <w:hideMark/>
          </w:tcPr>
          <w:p w14:paraId="7472DA9A" w14:textId="1FDD6AB5" w:rsidR="00A21C01" w:rsidRPr="00D66D81" w:rsidRDefault="00A21C01">
            <w:pPr>
              <w:spacing w:line="240" w:lineRule="auto"/>
              <w:rPr>
                <w:rFonts w:cs="Arial"/>
                <w:sz w:val="22"/>
              </w:rPr>
            </w:pPr>
            <w:r w:rsidRPr="00D66D81">
              <w:rPr>
                <w:rFonts w:cs="Arial"/>
                <w:sz w:val="22"/>
              </w:rPr>
              <w:t xml:space="preserve">Zinc coated (galvanised) steel (South Korea, Taiwan, </w:t>
            </w:r>
            <w:r w:rsidR="00192BF6">
              <w:rPr>
                <w:rFonts w:cs="Arial"/>
                <w:sz w:val="22"/>
              </w:rPr>
              <w:t>PRC</w:t>
            </w:r>
            <w:r w:rsidRPr="00D66D81">
              <w:rPr>
                <w:rFonts w:cs="Arial"/>
                <w:sz w:val="22"/>
              </w:rPr>
              <w:t>)</w:t>
            </w:r>
          </w:p>
        </w:tc>
        <w:tc>
          <w:tcPr>
            <w:tcW w:w="1352" w:type="dxa"/>
            <w:shd w:val="clear" w:color="auto" w:fill="DEEAF6" w:themeFill="accent5" w:themeFillTint="33"/>
            <w:hideMark/>
          </w:tcPr>
          <w:p w14:paraId="75393DAE" w14:textId="77777777" w:rsidR="00A21C01" w:rsidRPr="00D66D81" w:rsidRDefault="00A21C01">
            <w:pPr>
              <w:spacing w:line="240" w:lineRule="auto"/>
              <w:jc w:val="right"/>
              <w:rPr>
                <w:rFonts w:cs="Arial"/>
                <w:sz w:val="22"/>
              </w:rPr>
            </w:pPr>
            <w:r w:rsidRPr="00D66D81">
              <w:rPr>
                <w:rFonts w:cs="Arial"/>
                <w:sz w:val="22"/>
              </w:rPr>
              <w:t>2</w:t>
            </w:r>
          </w:p>
        </w:tc>
        <w:tc>
          <w:tcPr>
            <w:tcW w:w="1555" w:type="dxa"/>
            <w:hideMark/>
          </w:tcPr>
          <w:p w14:paraId="3000203E" w14:textId="77777777" w:rsidR="00A21C01" w:rsidRPr="00D66D81" w:rsidRDefault="00A21C01">
            <w:pPr>
              <w:spacing w:line="240" w:lineRule="auto"/>
              <w:jc w:val="right"/>
              <w:rPr>
                <w:rFonts w:cs="Arial"/>
                <w:sz w:val="22"/>
              </w:rPr>
            </w:pPr>
          </w:p>
        </w:tc>
        <w:tc>
          <w:tcPr>
            <w:tcW w:w="1543" w:type="dxa"/>
            <w:hideMark/>
          </w:tcPr>
          <w:p w14:paraId="0FE1B0E2" w14:textId="77777777" w:rsidR="00A21C01" w:rsidRPr="00D66D81" w:rsidRDefault="00A21C01">
            <w:pPr>
              <w:spacing w:line="240" w:lineRule="auto"/>
              <w:jc w:val="right"/>
              <w:rPr>
                <w:rFonts w:cs="Arial"/>
                <w:sz w:val="22"/>
              </w:rPr>
            </w:pPr>
          </w:p>
        </w:tc>
        <w:tc>
          <w:tcPr>
            <w:tcW w:w="1634" w:type="dxa"/>
            <w:hideMark/>
          </w:tcPr>
          <w:p w14:paraId="604B9714" w14:textId="77777777" w:rsidR="00A21C01" w:rsidRPr="00D66D81" w:rsidRDefault="00A21C01">
            <w:pPr>
              <w:spacing w:line="240" w:lineRule="auto"/>
              <w:jc w:val="right"/>
              <w:rPr>
                <w:rFonts w:cs="Arial"/>
                <w:sz w:val="22"/>
              </w:rPr>
            </w:pPr>
            <w:r w:rsidRPr="00D66D81">
              <w:rPr>
                <w:rFonts w:cs="Arial"/>
                <w:sz w:val="22"/>
              </w:rPr>
              <w:t>2</w:t>
            </w:r>
          </w:p>
        </w:tc>
        <w:tc>
          <w:tcPr>
            <w:tcW w:w="1648" w:type="dxa"/>
            <w:hideMark/>
          </w:tcPr>
          <w:p w14:paraId="4EEFD752" w14:textId="77777777" w:rsidR="00A21C01" w:rsidRPr="00D66D81" w:rsidRDefault="00A21C01">
            <w:pPr>
              <w:spacing w:line="240" w:lineRule="auto"/>
              <w:jc w:val="right"/>
              <w:rPr>
                <w:rFonts w:cs="Arial"/>
                <w:sz w:val="22"/>
              </w:rPr>
            </w:pPr>
          </w:p>
        </w:tc>
        <w:tc>
          <w:tcPr>
            <w:tcW w:w="1589" w:type="dxa"/>
            <w:hideMark/>
          </w:tcPr>
          <w:p w14:paraId="622444B2" w14:textId="76B9CA6B" w:rsidR="00A21C01" w:rsidRPr="00D66D81" w:rsidRDefault="00A21C01">
            <w:pPr>
              <w:spacing w:line="240" w:lineRule="auto"/>
              <w:rPr>
                <w:rFonts w:cs="Arial"/>
                <w:sz w:val="22"/>
              </w:rPr>
            </w:pPr>
            <w:r w:rsidRPr="00D66D81">
              <w:rPr>
                <w:rFonts w:cs="Arial"/>
                <w:sz w:val="22"/>
              </w:rPr>
              <w:t xml:space="preserve">South Korea, Taiwan, </w:t>
            </w:r>
            <w:r w:rsidR="00192BF6">
              <w:rPr>
                <w:rFonts w:cs="Arial"/>
                <w:sz w:val="22"/>
              </w:rPr>
              <w:t>PRC</w:t>
            </w:r>
          </w:p>
        </w:tc>
        <w:tc>
          <w:tcPr>
            <w:tcW w:w="2436" w:type="dxa"/>
            <w:hideMark/>
          </w:tcPr>
          <w:p w14:paraId="246C4DB0" w14:textId="77777777" w:rsidR="00A21C01" w:rsidRPr="00D66D81" w:rsidRDefault="00A21C01">
            <w:pPr>
              <w:spacing w:line="240" w:lineRule="auto"/>
              <w:jc w:val="right"/>
              <w:rPr>
                <w:rFonts w:cs="Arial"/>
                <w:sz w:val="22"/>
              </w:rPr>
            </w:pPr>
            <w:r w:rsidRPr="00D66D81">
              <w:rPr>
                <w:rFonts w:cs="Arial"/>
                <w:sz w:val="22"/>
              </w:rPr>
              <w:t>7210.49.00, 7212.30.00, 7225.92.00, 7226.99.00</w:t>
            </w:r>
          </w:p>
        </w:tc>
      </w:tr>
      <w:tr w:rsidR="00A21C01" w:rsidRPr="00D66D81" w14:paraId="2113786A" w14:textId="77777777">
        <w:trPr>
          <w:trHeight w:val="461"/>
        </w:trPr>
        <w:tc>
          <w:tcPr>
            <w:tcW w:w="2191" w:type="dxa"/>
            <w:hideMark/>
          </w:tcPr>
          <w:p w14:paraId="47A89D2B" w14:textId="0C536797" w:rsidR="00A21C01" w:rsidRPr="00D66D81" w:rsidRDefault="00A21C01">
            <w:pPr>
              <w:spacing w:line="240" w:lineRule="auto"/>
              <w:rPr>
                <w:rFonts w:cs="Arial"/>
                <w:sz w:val="22"/>
              </w:rPr>
            </w:pPr>
            <w:r w:rsidRPr="00D66D81">
              <w:rPr>
                <w:rFonts w:cs="Arial"/>
                <w:sz w:val="22"/>
              </w:rPr>
              <w:t>Hollow structural sections (</w:t>
            </w:r>
            <w:r w:rsidR="00192BF6">
              <w:rPr>
                <w:rFonts w:cs="Arial"/>
                <w:sz w:val="22"/>
              </w:rPr>
              <w:t>PRC</w:t>
            </w:r>
            <w:r w:rsidR="00C378E7" w:rsidRPr="00D66D81">
              <w:rPr>
                <w:rFonts w:cs="Arial"/>
                <w:sz w:val="22"/>
              </w:rPr>
              <w:t xml:space="preserve"> and Malaysia</w:t>
            </w:r>
            <w:r w:rsidRPr="00D66D81">
              <w:rPr>
                <w:rFonts w:cs="Arial"/>
                <w:sz w:val="22"/>
              </w:rPr>
              <w:t>)</w:t>
            </w:r>
            <w:r w:rsidR="00C378E7" w:rsidRPr="00D66D81">
              <w:rPr>
                <w:rStyle w:val="FootnoteReference"/>
                <w:rFonts w:cs="Arial"/>
                <w:sz w:val="22"/>
              </w:rPr>
              <w:footnoteReference w:id="124"/>
            </w:r>
          </w:p>
        </w:tc>
        <w:tc>
          <w:tcPr>
            <w:tcW w:w="1352" w:type="dxa"/>
            <w:shd w:val="clear" w:color="auto" w:fill="DEEAF6" w:themeFill="accent5" w:themeFillTint="33"/>
            <w:hideMark/>
          </w:tcPr>
          <w:p w14:paraId="2AA25C08" w14:textId="77777777" w:rsidR="00A21C01" w:rsidRPr="00D66D81" w:rsidRDefault="00A21C01">
            <w:pPr>
              <w:spacing w:line="240" w:lineRule="auto"/>
              <w:jc w:val="right"/>
              <w:rPr>
                <w:rFonts w:cs="Arial"/>
                <w:sz w:val="22"/>
              </w:rPr>
            </w:pPr>
            <w:r w:rsidRPr="00D66D81">
              <w:rPr>
                <w:rFonts w:cs="Arial"/>
                <w:sz w:val="22"/>
              </w:rPr>
              <w:t>1</w:t>
            </w:r>
          </w:p>
        </w:tc>
        <w:tc>
          <w:tcPr>
            <w:tcW w:w="1555" w:type="dxa"/>
            <w:hideMark/>
          </w:tcPr>
          <w:p w14:paraId="31B1577A" w14:textId="77777777" w:rsidR="00A21C01" w:rsidRPr="00D66D81" w:rsidRDefault="00A21C01">
            <w:pPr>
              <w:spacing w:line="240" w:lineRule="auto"/>
              <w:jc w:val="right"/>
              <w:rPr>
                <w:rFonts w:cs="Arial"/>
                <w:sz w:val="22"/>
              </w:rPr>
            </w:pPr>
          </w:p>
        </w:tc>
        <w:tc>
          <w:tcPr>
            <w:tcW w:w="1543" w:type="dxa"/>
            <w:hideMark/>
          </w:tcPr>
          <w:p w14:paraId="7B75C27A" w14:textId="77777777" w:rsidR="00A21C01" w:rsidRPr="00D66D81" w:rsidRDefault="00A21C01">
            <w:pPr>
              <w:spacing w:line="240" w:lineRule="auto"/>
              <w:jc w:val="right"/>
              <w:rPr>
                <w:rFonts w:cs="Arial"/>
                <w:sz w:val="22"/>
              </w:rPr>
            </w:pPr>
          </w:p>
        </w:tc>
        <w:tc>
          <w:tcPr>
            <w:tcW w:w="1634" w:type="dxa"/>
            <w:hideMark/>
          </w:tcPr>
          <w:p w14:paraId="6FB2B662" w14:textId="77777777" w:rsidR="00A21C01" w:rsidRPr="00D66D81" w:rsidRDefault="00A21C01">
            <w:pPr>
              <w:spacing w:line="240" w:lineRule="auto"/>
              <w:jc w:val="right"/>
              <w:rPr>
                <w:rFonts w:cs="Arial"/>
                <w:sz w:val="22"/>
              </w:rPr>
            </w:pPr>
            <w:r w:rsidRPr="00D66D81">
              <w:rPr>
                <w:rFonts w:cs="Arial"/>
                <w:sz w:val="22"/>
              </w:rPr>
              <w:t>1</w:t>
            </w:r>
          </w:p>
        </w:tc>
        <w:tc>
          <w:tcPr>
            <w:tcW w:w="1648" w:type="dxa"/>
            <w:hideMark/>
          </w:tcPr>
          <w:p w14:paraId="360BB561" w14:textId="77777777" w:rsidR="00A21C01" w:rsidRPr="00D66D81" w:rsidRDefault="00A21C01">
            <w:pPr>
              <w:spacing w:line="240" w:lineRule="auto"/>
              <w:jc w:val="right"/>
              <w:rPr>
                <w:rFonts w:cs="Arial"/>
                <w:sz w:val="22"/>
              </w:rPr>
            </w:pPr>
          </w:p>
        </w:tc>
        <w:tc>
          <w:tcPr>
            <w:tcW w:w="1589" w:type="dxa"/>
            <w:hideMark/>
          </w:tcPr>
          <w:p w14:paraId="7A3A13BD" w14:textId="50975E69" w:rsidR="00A21C01" w:rsidRPr="00D66D81" w:rsidRDefault="00192BF6">
            <w:pPr>
              <w:spacing w:line="240" w:lineRule="auto"/>
              <w:rPr>
                <w:rFonts w:cs="Arial"/>
                <w:sz w:val="22"/>
              </w:rPr>
            </w:pPr>
            <w:r>
              <w:rPr>
                <w:rFonts w:cs="Arial"/>
                <w:sz w:val="22"/>
              </w:rPr>
              <w:t>PRC</w:t>
            </w:r>
          </w:p>
        </w:tc>
        <w:tc>
          <w:tcPr>
            <w:tcW w:w="2436" w:type="dxa"/>
            <w:hideMark/>
          </w:tcPr>
          <w:p w14:paraId="21144122" w14:textId="77777777" w:rsidR="00A21C01" w:rsidRPr="00D66D81" w:rsidRDefault="00A21C01">
            <w:pPr>
              <w:spacing w:line="240" w:lineRule="auto"/>
              <w:jc w:val="right"/>
              <w:rPr>
                <w:rFonts w:cs="Arial"/>
                <w:sz w:val="22"/>
              </w:rPr>
            </w:pPr>
            <w:r w:rsidRPr="00D66D81">
              <w:rPr>
                <w:rFonts w:cs="Arial"/>
                <w:sz w:val="22"/>
              </w:rPr>
              <w:t>7306.30.00, 7306.61.00, 7306.69.00</w:t>
            </w:r>
          </w:p>
        </w:tc>
      </w:tr>
      <w:tr w:rsidR="00A21C01" w:rsidRPr="00D66D81" w14:paraId="242AC35B" w14:textId="77777777">
        <w:trPr>
          <w:trHeight w:val="461"/>
        </w:trPr>
        <w:tc>
          <w:tcPr>
            <w:tcW w:w="2191" w:type="dxa"/>
            <w:hideMark/>
          </w:tcPr>
          <w:p w14:paraId="02FF43CB" w14:textId="77777777" w:rsidR="00A21C01" w:rsidRPr="00D66D81" w:rsidRDefault="00A21C01">
            <w:pPr>
              <w:spacing w:line="240" w:lineRule="auto"/>
              <w:rPr>
                <w:rFonts w:cs="Arial"/>
                <w:sz w:val="22"/>
              </w:rPr>
            </w:pPr>
            <w:r w:rsidRPr="00D66D81">
              <w:rPr>
                <w:rFonts w:cs="Arial"/>
                <w:sz w:val="22"/>
              </w:rPr>
              <w:t>Wire ropes (South Africa)</w:t>
            </w:r>
          </w:p>
        </w:tc>
        <w:tc>
          <w:tcPr>
            <w:tcW w:w="1352" w:type="dxa"/>
            <w:shd w:val="clear" w:color="auto" w:fill="DEEAF6" w:themeFill="accent5" w:themeFillTint="33"/>
            <w:hideMark/>
          </w:tcPr>
          <w:p w14:paraId="15D86896" w14:textId="77777777" w:rsidR="00A21C01" w:rsidRPr="00D66D81" w:rsidRDefault="00A21C01">
            <w:pPr>
              <w:spacing w:line="240" w:lineRule="auto"/>
              <w:jc w:val="right"/>
              <w:rPr>
                <w:rFonts w:cs="Arial"/>
                <w:sz w:val="22"/>
              </w:rPr>
            </w:pPr>
            <w:r w:rsidRPr="00D66D81">
              <w:rPr>
                <w:rFonts w:cs="Arial"/>
                <w:sz w:val="22"/>
              </w:rPr>
              <w:t>1</w:t>
            </w:r>
          </w:p>
        </w:tc>
        <w:tc>
          <w:tcPr>
            <w:tcW w:w="1555" w:type="dxa"/>
            <w:hideMark/>
          </w:tcPr>
          <w:p w14:paraId="2A3111EC" w14:textId="77777777" w:rsidR="00A21C01" w:rsidRPr="00D66D81" w:rsidRDefault="00A21C01">
            <w:pPr>
              <w:spacing w:line="240" w:lineRule="auto"/>
              <w:jc w:val="right"/>
              <w:rPr>
                <w:rFonts w:cs="Arial"/>
                <w:sz w:val="22"/>
              </w:rPr>
            </w:pPr>
          </w:p>
        </w:tc>
        <w:tc>
          <w:tcPr>
            <w:tcW w:w="1543" w:type="dxa"/>
            <w:hideMark/>
          </w:tcPr>
          <w:p w14:paraId="37894388" w14:textId="77777777" w:rsidR="00A21C01" w:rsidRPr="00D66D81" w:rsidRDefault="00A21C01">
            <w:pPr>
              <w:spacing w:line="240" w:lineRule="auto"/>
              <w:jc w:val="right"/>
              <w:rPr>
                <w:rFonts w:cs="Arial"/>
                <w:sz w:val="22"/>
              </w:rPr>
            </w:pPr>
          </w:p>
        </w:tc>
        <w:tc>
          <w:tcPr>
            <w:tcW w:w="1634" w:type="dxa"/>
            <w:hideMark/>
          </w:tcPr>
          <w:p w14:paraId="27F0861C" w14:textId="77777777" w:rsidR="00A21C01" w:rsidRPr="00D66D81" w:rsidRDefault="00A21C01">
            <w:pPr>
              <w:spacing w:line="240" w:lineRule="auto"/>
              <w:jc w:val="right"/>
              <w:rPr>
                <w:rFonts w:cs="Arial"/>
                <w:sz w:val="22"/>
              </w:rPr>
            </w:pPr>
            <w:r w:rsidRPr="00D66D81">
              <w:rPr>
                <w:rFonts w:cs="Arial"/>
                <w:sz w:val="22"/>
              </w:rPr>
              <w:t>1</w:t>
            </w:r>
          </w:p>
        </w:tc>
        <w:tc>
          <w:tcPr>
            <w:tcW w:w="1648" w:type="dxa"/>
            <w:hideMark/>
          </w:tcPr>
          <w:p w14:paraId="5155A182" w14:textId="77777777" w:rsidR="00A21C01" w:rsidRPr="00D66D81" w:rsidRDefault="00A21C01">
            <w:pPr>
              <w:spacing w:line="240" w:lineRule="auto"/>
              <w:jc w:val="right"/>
              <w:rPr>
                <w:rFonts w:cs="Arial"/>
                <w:sz w:val="22"/>
              </w:rPr>
            </w:pPr>
          </w:p>
        </w:tc>
        <w:tc>
          <w:tcPr>
            <w:tcW w:w="1589" w:type="dxa"/>
            <w:hideMark/>
          </w:tcPr>
          <w:p w14:paraId="5D21E10D" w14:textId="77777777" w:rsidR="00A21C01" w:rsidRPr="00D66D81" w:rsidRDefault="00A21C01">
            <w:pPr>
              <w:spacing w:line="240" w:lineRule="auto"/>
              <w:rPr>
                <w:rFonts w:cs="Arial"/>
                <w:sz w:val="22"/>
              </w:rPr>
            </w:pPr>
            <w:r w:rsidRPr="00D66D81">
              <w:rPr>
                <w:rFonts w:cs="Arial"/>
                <w:sz w:val="22"/>
              </w:rPr>
              <w:t>South Africa</w:t>
            </w:r>
          </w:p>
        </w:tc>
        <w:tc>
          <w:tcPr>
            <w:tcW w:w="2436" w:type="dxa"/>
            <w:hideMark/>
          </w:tcPr>
          <w:p w14:paraId="77C38DFB" w14:textId="77777777" w:rsidR="00A21C01" w:rsidRPr="00D66D81" w:rsidRDefault="00A21C01">
            <w:pPr>
              <w:spacing w:line="240" w:lineRule="auto"/>
              <w:jc w:val="right"/>
              <w:rPr>
                <w:rFonts w:cs="Arial"/>
                <w:sz w:val="22"/>
              </w:rPr>
            </w:pPr>
            <w:r w:rsidRPr="00D66D81">
              <w:rPr>
                <w:rFonts w:cs="Arial"/>
                <w:sz w:val="22"/>
              </w:rPr>
              <w:t>7312.10.00</w:t>
            </w:r>
          </w:p>
        </w:tc>
      </w:tr>
      <w:tr w:rsidR="00A21C01" w:rsidRPr="00D66D81" w14:paraId="4AA6BE0D" w14:textId="77777777">
        <w:trPr>
          <w:trHeight w:val="461"/>
        </w:trPr>
        <w:tc>
          <w:tcPr>
            <w:tcW w:w="2191" w:type="dxa"/>
            <w:hideMark/>
          </w:tcPr>
          <w:p w14:paraId="17954690" w14:textId="5C7B7E02" w:rsidR="00A21C01" w:rsidRPr="00D66D81" w:rsidRDefault="00A21C01">
            <w:pPr>
              <w:spacing w:line="240" w:lineRule="auto"/>
              <w:rPr>
                <w:rFonts w:cs="Arial"/>
                <w:sz w:val="22"/>
              </w:rPr>
            </w:pPr>
            <w:r w:rsidRPr="00D66D81">
              <w:rPr>
                <w:rFonts w:cs="Arial"/>
                <w:sz w:val="22"/>
              </w:rPr>
              <w:t>Aluminium extrusions (</w:t>
            </w:r>
            <w:r w:rsidR="00192BF6">
              <w:rPr>
                <w:rFonts w:cs="Arial"/>
                <w:sz w:val="22"/>
              </w:rPr>
              <w:t>PRC</w:t>
            </w:r>
            <w:r w:rsidRPr="00D66D81">
              <w:rPr>
                <w:rFonts w:cs="Arial"/>
                <w:sz w:val="22"/>
              </w:rPr>
              <w:t>)</w:t>
            </w:r>
          </w:p>
        </w:tc>
        <w:tc>
          <w:tcPr>
            <w:tcW w:w="1352" w:type="dxa"/>
            <w:shd w:val="clear" w:color="auto" w:fill="DEEAF6" w:themeFill="accent5" w:themeFillTint="33"/>
            <w:hideMark/>
          </w:tcPr>
          <w:p w14:paraId="54C0C73F" w14:textId="77777777" w:rsidR="00A21C01" w:rsidRPr="00D66D81" w:rsidRDefault="00A21C01">
            <w:pPr>
              <w:spacing w:line="240" w:lineRule="auto"/>
              <w:jc w:val="right"/>
              <w:rPr>
                <w:rFonts w:cs="Arial"/>
                <w:sz w:val="22"/>
              </w:rPr>
            </w:pPr>
            <w:r w:rsidRPr="00D66D81">
              <w:rPr>
                <w:rFonts w:cs="Arial"/>
                <w:sz w:val="22"/>
              </w:rPr>
              <w:t>2</w:t>
            </w:r>
          </w:p>
        </w:tc>
        <w:tc>
          <w:tcPr>
            <w:tcW w:w="1555" w:type="dxa"/>
            <w:hideMark/>
          </w:tcPr>
          <w:p w14:paraId="02A899ED" w14:textId="77777777" w:rsidR="00A21C01" w:rsidRPr="00D66D81" w:rsidRDefault="00A21C01">
            <w:pPr>
              <w:spacing w:line="240" w:lineRule="auto"/>
              <w:jc w:val="right"/>
              <w:rPr>
                <w:rFonts w:cs="Arial"/>
                <w:sz w:val="22"/>
              </w:rPr>
            </w:pPr>
          </w:p>
        </w:tc>
        <w:tc>
          <w:tcPr>
            <w:tcW w:w="1543" w:type="dxa"/>
            <w:hideMark/>
          </w:tcPr>
          <w:p w14:paraId="1925CB01" w14:textId="77777777" w:rsidR="00A21C01" w:rsidRPr="00D66D81" w:rsidRDefault="00A21C01">
            <w:pPr>
              <w:spacing w:line="240" w:lineRule="auto"/>
              <w:jc w:val="right"/>
              <w:rPr>
                <w:rFonts w:cs="Arial"/>
                <w:sz w:val="22"/>
              </w:rPr>
            </w:pPr>
            <w:r w:rsidRPr="00D66D81">
              <w:rPr>
                <w:rFonts w:cs="Arial"/>
                <w:sz w:val="22"/>
              </w:rPr>
              <w:t>1</w:t>
            </w:r>
          </w:p>
        </w:tc>
        <w:tc>
          <w:tcPr>
            <w:tcW w:w="1634" w:type="dxa"/>
            <w:hideMark/>
          </w:tcPr>
          <w:p w14:paraId="59E997CB" w14:textId="77777777" w:rsidR="00A21C01" w:rsidRPr="00D66D81" w:rsidRDefault="00A21C01">
            <w:pPr>
              <w:spacing w:line="240" w:lineRule="auto"/>
              <w:jc w:val="right"/>
              <w:rPr>
                <w:rFonts w:cs="Arial"/>
                <w:sz w:val="22"/>
              </w:rPr>
            </w:pPr>
          </w:p>
        </w:tc>
        <w:tc>
          <w:tcPr>
            <w:tcW w:w="1648" w:type="dxa"/>
            <w:hideMark/>
          </w:tcPr>
          <w:p w14:paraId="71711A97" w14:textId="77777777" w:rsidR="00A21C01" w:rsidRPr="00D66D81" w:rsidRDefault="00A21C01">
            <w:pPr>
              <w:spacing w:line="240" w:lineRule="auto"/>
              <w:jc w:val="right"/>
              <w:rPr>
                <w:rFonts w:cs="Arial"/>
                <w:sz w:val="22"/>
              </w:rPr>
            </w:pPr>
            <w:r w:rsidRPr="00D66D81">
              <w:rPr>
                <w:rFonts w:cs="Arial"/>
                <w:sz w:val="22"/>
              </w:rPr>
              <w:t>1</w:t>
            </w:r>
          </w:p>
        </w:tc>
        <w:tc>
          <w:tcPr>
            <w:tcW w:w="1589" w:type="dxa"/>
            <w:hideMark/>
          </w:tcPr>
          <w:p w14:paraId="1B15F683" w14:textId="269498D0" w:rsidR="00A21C01" w:rsidRPr="00D66D81" w:rsidRDefault="00192BF6">
            <w:pPr>
              <w:spacing w:line="240" w:lineRule="auto"/>
              <w:rPr>
                <w:rFonts w:cs="Arial"/>
                <w:sz w:val="22"/>
              </w:rPr>
            </w:pPr>
            <w:r>
              <w:rPr>
                <w:rFonts w:cs="Arial"/>
                <w:sz w:val="22"/>
              </w:rPr>
              <w:t>PRC</w:t>
            </w:r>
            <w:r w:rsidR="00A21C01" w:rsidRPr="00D66D81">
              <w:rPr>
                <w:rFonts w:cs="Arial"/>
                <w:sz w:val="22"/>
              </w:rPr>
              <w:t>, Malaysia, Taiwan, Thailand</w:t>
            </w:r>
          </w:p>
        </w:tc>
        <w:tc>
          <w:tcPr>
            <w:tcW w:w="2436" w:type="dxa"/>
            <w:hideMark/>
          </w:tcPr>
          <w:p w14:paraId="349EC98C" w14:textId="77777777" w:rsidR="00A21C01" w:rsidRPr="00D66D81" w:rsidRDefault="00A21C01">
            <w:pPr>
              <w:spacing w:line="240" w:lineRule="auto"/>
              <w:jc w:val="right"/>
              <w:rPr>
                <w:rFonts w:cs="Arial"/>
                <w:sz w:val="22"/>
              </w:rPr>
            </w:pPr>
            <w:r w:rsidRPr="00D66D81">
              <w:rPr>
                <w:rFonts w:cs="Arial"/>
                <w:sz w:val="22"/>
              </w:rPr>
              <w:t>7604.10.00, 7604.21.00, 7604.29.00, 7608.10.00, 7608.20.00. 7610.10.00, 7610.90.00</w:t>
            </w:r>
          </w:p>
        </w:tc>
      </w:tr>
      <w:tr w:rsidR="00A21C01" w:rsidRPr="00D66D81" w14:paraId="02447DDC" w14:textId="77777777">
        <w:trPr>
          <w:trHeight w:val="461"/>
        </w:trPr>
        <w:tc>
          <w:tcPr>
            <w:tcW w:w="2191" w:type="dxa"/>
            <w:hideMark/>
          </w:tcPr>
          <w:p w14:paraId="79D5C96B" w14:textId="77777777" w:rsidR="00A21C01" w:rsidRPr="00D66D81" w:rsidRDefault="00A21C01">
            <w:pPr>
              <w:spacing w:line="240" w:lineRule="auto"/>
              <w:rPr>
                <w:rFonts w:cs="Arial"/>
                <w:sz w:val="22"/>
              </w:rPr>
            </w:pPr>
            <w:r w:rsidRPr="00D66D81">
              <w:rPr>
                <w:rFonts w:cs="Arial"/>
                <w:b/>
                <w:bCs/>
                <w:sz w:val="22"/>
              </w:rPr>
              <w:t>Total</w:t>
            </w:r>
          </w:p>
        </w:tc>
        <w:tc>
          <w:tcPr>
            <w:tcW w:w="1352" w:type="dxa"/>
            <w:shd w:val="clear" w:color="auto" w:fill="DEEAF6" w:themeFill="accent5" w:themeFillTint="33"/>
            <w:hideMark/>
          </w:tcPr>
          <w:p w14:paraId="199CFFC4" w14:textId="77777777" w:rsidR="00A21C01" w:rsidRPr="00D66D81" w:rsidRDefault="00A21C01">
            <w:pPr>
              <w:spacing w:line="240" w:lineRule="auto"/>
              <w:jc w:val="right"/>
              <w:rPr>
                <w:rFonts w:cs="Arial"/>
                <w:sz w:val="22"/>
              </w:rPr>
            </w:pPr>
            <w:r w:rsidRPr="00D66D81">
              <w:rPr>
                <w:rFonts w:cs="Arial"/>
                <w:sz w:val="22"/>
              </w:rPr>
              <w:t>8</w:t>
            </w:r>
          </w:p>
        </w:tc>
        <w:tc>
          <w:tcPr>
            <w:tcW w:w="1555" w:type="dxa"/>
            <w:hideMark/>
          </w:tcPr>
          <w:p w14:paraId="370CB947" w14:textId="77777777" w:rsidR="00A21C01" w:rsidRPr="00D66D81" w:rsidRDefault="00A21C01">
            <w:pPr>
              <w:spacing w:line="240" w:lineRule="auto"/>
              <w:jc w:val="right"/>
              <w:rPr>
                <w:rFonts w:cs="Arial"/>
                <w:sz w:val="22"/>
              </w:rPr>
            </w:pPr>
          </w:p>
        </w:tc>
        <w:tc>
          <w:tcPr>
            <w:tcW w:w="1543" w:type="dxa"/>
            <w:hideMark/>
          </w:tcPr>
          <w:p w14:paraId="7E2C9FAC" w14:textId="77777777" w:rsidR="00A21C01" w:rsidRPr="00D66D81" w:rsidRDefault="00A21C01">
            <w:pPr>
              <w:spacing w:line="240" w:lineRule="auto"/>
              <w:jc w:val="right"/>
              <w:rPr>
                <w:rFonts w:cs="Arial"/>
                <w:sz w:val="22"/>
              </w:rPr>
            </w:pPr>
            <w:r w:rsidRPr="00D66D81">
              <w:rPr>
                <w:rFonts w:cs="Arial"/>
                <w:sz w:val="22"/>
              </w:rPr>
              <w:t>1</w:t>
            </w:r>
          </w:p>
        </w:tc>
        <w:tc>
          <w:tcPr>
            <w:tcW w:w="1634" w:type="dxa"/>
            <w:hideMark/>
          </w:tcPr>
          <w:p w14:paraId="10F6833F" w14:textId="77777777" w:rsidR="00A21C01" w:rsidRPr="00D66D81" w:rsidRDefault="00A21C01">
            <w:pPr>
              <w:spacing w:line="240" w:lineRule="auto"/>
              <w:jc w:val="right"/>
              <w:rPr>
                <w:rFonts w:cs="Arial"/>
                <w:sz w:val="22"/>
              </w:rPr>
            </w:pPr>
            <w:r w:rsidRPr="00D66D81">
              <w:rPr>
                <w:rFonts w:cs="Arial"/>
                <w:sz w:val="22"/>
              </w:rPr>
              <w:t>6</w:t>
            </w:r>
          </w:p>
        </w:tc>
        <w:tc>
          <w:tcPr>
            <w:tcW w:w="1648" w:type="dxa"/>
            <w:hideMark/>
          </w:tcPr>
          <w:p w14:paraId="5C15C1CE" w14:textId="77777777" w:rsidR="00A21C01" w:rsidRPr="00D66D81" w:rsidRDefault="00A21C01">
            <w:pPr>
              <w:spacing w:line="240" w:lineRule="auto"/>
              <w:jc w:val="right"/>
              <w:rPr>
                <w:rFonts w:cs="Arial"/>
                <w:sz w:val="22"/>
              </w:rPr>
            </w:pPr>
            <w:r w:rsidRPr="00D66D81">
              <w:rPr>
                <w:rFonts w:cs="Arial"/>
                <w:sz w:val="22"/>
              </w:rPr>
              <w:t>1</w:t>
            </w:r>
          </w:p>
        </w:tc>
        <w:tc>
          <w:tcPr>
            <w:tcW w:w="1589" w:type="dxa"/>
            <w:hideMark/>
          </w:tcPr>
          <w:p w14:paraId="49B8E556" w14:textId="77777777" w:rsidR="00A21C01" w:rsidRPr="00D66D81" w:rsidRDefault="00A21C01">
            <w:pPr>
              <w:spacing w:line="240" w:lineRule="auto"/>
              <w:rPr>
                <w:rFonts w:cs="Arial"/>
                <w:sz w:val="22"/>
              </w:rPr>
            </w:pPr>
          </w:p>
        </w:tc>
        <w:tc>
          <w:tcPr>
            <w:tcW w:w="2436" w:type="dxa"/>
            <w:hideMark/>
          </w:tcPr>
          <w:p w14:paraId="5542E47D" w14:textId="77777777" w:rsidR="00A21C01" w:rsidRPr="00D66D81" w:rsidRDefault="00A21C01">
            <w:pPr>
              <w:spacing w:line="240" w:lineRule="auto"/>
              <w:jc w:val="right"/>
              <w:rPr>
                <w:rFonts w:cs="Arial"/>
                <w:sz w:val="22"/>
              </w:rPr>
            </w:pPr>
          </w:p>
        </w:tc>
      </w:tr>
    </w:tbl>
    <w:p w14:paraId="189D0A5C" w14:textId="77777777" w:rsidR="00A21C01" w:rsidRDefault="00A21C01" w:rsidP="00A21C01">
      <w:pPr>
        <w:pStyle w:val="Tablesource"/>
      </w:pPr>
      <w:r>
        <w:t xml:space="preserve">Source: </w:t>
      </w:r>
      <w:r w:rsidRPr="00007DDD">
        <w:t xml:space="preserve">Australian </w:t>
      </w:r>
      <w:r w:rsidRPr="00EF4802">
        <w:t>Anti-Dumping Commission</w:t>
      </w:r>
      <w:r>
        <w:t>.</w:t>
      </w:r>
    </w:p>
    <w:bookmarkEnd w:id="175"/>
    <w:p w14:paraId="5BA3300F" w14:textId="77777777" w:rsidR="00A21C01" w:rsidRDefault="00A21C01" w:rsidP="00A21C01">
      <w:pPr>
        <w:rPr>
          <w:rFonts w:cs="Arial"/>
          <w:szCs w:val="24"/>
        </w:rPr>
      </w:pPr>
    </w:p>
    <w:p w14:paraId="1E77889E" w14:textId="77777777" w:rsidR="00A21C01" w:rsidRDefault="00A21C01" w:rsidP="00A21C01">
      <w:pPr>
        <w:rPr>
          <w:rFonts w:cs="Arial"/>
          <w:szCs w:val="24"/>
        </w:rPr>
        <w:sectPr w:rsidR="00A21C01" w:rsidSect="00D926BF">
          <w:pgSz w:w="16838" w:h="11906" w:orient="landscape"/>
          <w:pgMar w:top="1440" w:right="1440" w:bottom="1440" w:left="1440" w:header="708" w:footer="708" w:gutter="0"/>
          <w:cols w:space="708"/>
          <w:docGrid w:linePitch="360"/>
        </w:sectPr>
      </w:pPr>
    </w:p>
    <w:p w14:paraId="6AC0CEB7" w14:textId="25B380C9" w:rsidR="00A21C01" w:rsidRDefault="00A21C01" w:rsidP="00A21C01">
      <w:pPr>
        <w:rPr>
          <w:rFonts w:cs="Arial"/>
          <w:szCs w:val="24"/>
        </w:rPr>
      </w:pPr>
      <w:r>
        <w:rPr>
          <w:rFonts w:cs="Arial"/>
          <w:szCs w:val="24"/>
        </w:rPr>
        <w:t>We find that cases are essentially concentrated in section XV (base metals and articles of base metals), and more specifically iron and steel products and aluminium. Both sectors are affected by issues of global oversupply and, in Australia, they have faced declining levels of competitiveness, notably on account of rising energy costs.</w:t>
      </w:r>
      <w:r>
        <w:rPr>
          <w:rStyle w:val="FootnoteReference"/>
          <w:rFonts w:cs="Arial"/>
          <w:szCs w:val="24"/>
        </w:rPr>
        <w:footnoteReference w:id="125"/>
      </w:r>
    </w:p>
    <w:p w14:paraId="01C740F7" w14:textId="61C6D3CA" w:rsidR="00A21C01" w:rsidRPr="00041189" w:rsidRDefault="00A21C01" w:rsidP="00A21C01">
      <w:pPr>
        <w:rPr>
          <w:rFonts w:cs="Arial"/>
          <w:szCs w:val="24"/>
        </w:rPr>
      </w:pPr>
      <w:r>
        <w:rPr>
          <w:rFonts w:cs="Arial"/>
          <w:szCs w:val="24"/>
        </w:rPr>
        <w:t xml:space="preserve">Most cases involve modification. This tallies with the finding made in relation to the United States, namely that base metals lend themselves to forms of modification through notably through the addition </w:t>
      </w:r>
      <w:r w:rsidR="002C7FF1">
        <w:rPr>
          <w:rFonts w:cs="Arial"/>
          <w:szCs w:val="24"/>
        </w:rPr>
        <w:t>substances to alter the chemical composition of steel products</w:t>
      </w:r>
      <w:r>
        <w:rPr>
          <w:rFonts w:cs="Arial"/>
          <w:szCs w:val="24"/>
        </w:rPr>
        <w:t>, which indeed can significantly alter the performance characteristics of the product, depending on the intended end-use.</w:t>
      </w:r>
    </w:p>
    <w:p w14:paraId="5413E838" w14:textId="201649A0" w:rsidR="00A21C01" w:rsidRPr="00834C11" w:rsidRDefault="00A21C01" w:rsidP="0B87AE61">
      <w:pPr>
        <w:pStyle w:val="Heading3"/>
        <w:rPr>
          <w:rFonts w:cs="Arial"/>
          <w:b w:val="0"/>
        </w:rPr>
      </w:pPr>
      <w:bookmarkStart w:id="176" w:name="_Toc608733060"/>
      <w:bookmarkStart w:id="177" w:name="_Toc118465319"/>
      <w:r w:rsidRPr="0B87AE61">
        <w:rPr>
          <w:rFonts w:cs="Arial"/>
        </w:rPr>
        <w:t>Summary observations regarding Australian anti-circumvention cases</w:t>
      </w:r>
      <w:bookmarkEnd w:id="176"/>
      <w:bookmarkEnd w:id="177"/>
    </w:p>
    <w:p w14:paraId="1AC097CC" w14:textId="4F7E3E93" w:rsidR="00A21C01" w:rsidRDefault="00A21C01" w:rsidP="00A21C01">
      <w:pPr>
        <w:rPr>
          <w:rFonts w:cs="Arial"/>
          <w:szCs w:val="24"/>
        </w:rPr>
      </w:pPr>
      <w:r>
        <w:rPr>
          <w:rFonts w:cs="Arial"/>
          <w:szCs w:val="24"/>
        </w:rPr>
        <w:t>Australia’s anti-circumvention framework is still in the relatively early stages of development. Its implementation reflects a change in the broader context of Australian trade policy, notably a shift away from the unilateral and multilateral liberalisation pursued in the period from 1980 to the early 2000s. The legislative changes which implemented the circumvention framework also implemented changes to the way in which normal value was calculated for the purposes of establishing the margin of dumping, specifically by allowing the authorities a greater degree of flexibility to use constructed values. To the extent that this increases both the likelihood of finding dumping and the margin of dumping (and hence of remedial duties), this can increase the price wedge that creates incentives for circumvention.</w:t>
      </w:r>
    </w:p>
    <w:p w14:paraId="698C235B" w14:textId="2EF66B74" w:rsidR="00A21C01" w:rsidRDefault="00A21C01" w:rsidP="00A21C01">
      <w:pPr>
        <w:rPr>
          <w:rFonts w:cs="Arial"/>
        </w:rPr>
      </w:pPr>
      <w:r w:rsidRPr="2F5C797D">
        <w:rPr>
          <w:rFonts w:cs="Arial"/>
        </w:rPr>
        <w:t xml:space="preserve">Changes to the anti-circumvention framework, and trade remedy arrangements more generally, have been welcomed, as might be expected, from industries that are major users of trade remedies. At the same time, these changes have come under scrutiny by the </w:t>
      </w:r>
      <w:r w:rsidR="00394AB6">
        <w:t>Productivity Commission</w:t>
      </w:r>
      <w:r w:rsidRPr="2F5C797D">
        <w:rPr>
          <w:rFonts w:cs="Arial"/>
        </w:rPr>
        <w:t>. The “avoidance of intended effects” provisions have been singled out by the Productivity Commission as being inconsistent with the National Competition Policy principles, and indeed they dovetail with broader concerns that trade remedies are used as a means of encouraging anti-competitive practices.</w:t>
      </w:r>
      <w:r w:rsidRPr="2F5C797D">
        <w:rPr>
          <w:rStyle w:val="FootnoteReference"/>
          <w:rFonts w:cs="Arial"/>
        </w:rPr>
        <w:footnoteReference w:id="126"/>
      </w:r>
      <w:r w:rsidRPr="2F5C797D">
        <w:rPr>
          <w:rFonts w:cs="Arial"/>
        </w:rPr>
        <w:t xml:space="preserve"> Overall, these criticisms have broader applications beyond Australia and reinforce the need to strengthen the methodological toolkit required to address circumvention in an economically defensible manner.  </w:t>
      </w:r>
    </w:p>
    <w:p w14:paraId="40354761" w14:textId="1B97E022" w:rsidR="00A21C01" w:rsidRDefault="00A21C01" w:rsidP="0B87AE61">
      <w:pPr>
        <w:pStyle w:val="Heading2"/>
        <w:rPr>
          <w:rFonts w:cs="Arial"/>
          <w:b w:val="0"/>
        </w:rPr>
      </w:pPr>
      <w:bookmarkStart w:id="178" w:name="_Toc2073052981"/>
      <w:bookmarkStart w:id="179" w:name="_Toc118465320"/>
      <w:r w:rsidRPr="0B87AE61">
        <w:rPr>
          <w:rFonts w:cs="Arial"/>
        </w:rPr>
        <w:t>Deep-dive study of Canada</w:t>
      </w:r>
      <w:bookmarkEnd w:id="178"/>
      <w:bookmarkEnd w:id="179"/>
    </w:p>
    <w:p w14:paraId="57002E9A" w14:textId="7F868AE8" w:rsidR="00A21C01" w:rsidRPr="00834C11" w:rsidRDefault="00A21C01" w:rsidP="0B87AE61">
      <w:pPr>
        <w:pStyle w:val="Heading3"/>
        <w:rPr>
          <w:rFonts w:cs="Arial"/>
          <w:b w:val="0"/>
        </w:rPr>
      </w:pPr>
      <w:bookmarkStart w:id="180" w:name="_Toc699469165"/>
      <w:bookmarkStart w:id="181" w:name="_Toc118465321"/>
      <w:r w:rsidRPr="0B87AE61">
        <w:rPr>
          <w:rFonts w:cs="Arial"/>
        </w:rPr>
        <w:t>Legal framework and processes</w:t>
      </w:r>
      <w:bookmarkEnd w:id="180"/>
      <w:bookmarkEnd w:id="181"/>
    </w:p>
    <w:p w14:paraId="3D08A608" w14:textId="2FBA44C1" w:rsidR="00A21C01" w:rsidRDefault="00A21C01" w:rsidP="00A21C01">
      <w:pPr>
        <w:rPr>
          <w:rFonts w:cs="Arial"/>
          <w:szCs w:val="24"/>
        </w:rPr>
      </w:pPr>
      <w:r w:rsidRPr="00974D2A">
        <w:rPr>
          <w:rFonts w:cs="Arial"/>
          <w:szCs w:val="24"/>
        </w:rPr>
        <w:t>Canada’s anti-circumvention regime came into effect in 2018, through the Special Import Measures Act</w:t>
      </w:r>
      <w:r>
        <w:rPr>
          <w:rFonts w:cs="Arial"/>
          <w:szCs w:val="24"/>
        </w:rPr>
        <w:t>, or “SIMA”</w:t>
      </w:r>
      <w:r w:rsidRPr="00974D2A">
        <w:rPr>
          <w:rFonts w:cs="Arial"/>
          <w:szCs w:val="24"/>
        </w:rPr>
        <w:t xml:space="preserve"> (Sections 71 – 75)</w:t>
      </w:r>
      <w:r>
        <w:rPr>
          <w:rStyle w:val="FootnoteReference"/>
          <w:rFonts w:cs="Arial"/>
          <w:szCs w:val="24"/>
        </w:rPr>
        <w:footnoteReference w:id="127"/>
      </w:r>
      <w:r w:rsidRPr="00974D2A">
        <w:rPr>
          <w:rFonts w:cs="Arial"/>
          <w:szCs w:val="24"/>
        </w:rPr>
        <w:t xml:space="preserve"> and the Special Import Measures Regulations (Sections 57.11 to 57.21)</w:t>
      </w:r>
      <w:r>
        <w:rPr>
          <w:rFonts w:cs="Arial"/>
          <w:szCs w:val="24"/>
        </w:rPr>
        <w:t>.</w:t>
      </w:r>
      <w:r>
        <w:rPr>
          <w:rStyle w:val="FootnoteReference"/>
          <w:rFonts w:cs="Arial"/>
          <w:szCs w:val="24"/>
        </w:rPr>
        <w:footnoteReference w:id="128"/>
      </w:r>
      <w:r w:rsidRPr="00974D2A">
        <w:rPr>
          <w:rFonts w:cs="Arial"/>
          <w:szCs w:val="24"/>
        </w:rPr>
        <w:t xml:space="preserve"> Prior to 2018, it did not have a formal mechanism for extending the scope of duties levie</w:t>
      </w:r>
      <w:r>
        <w:rPr>
          <w:rFonts w:cs="Arial"/>
          <w:szCs w:val="24"/>
        </w:rPr>
        <w:t>d</w:t>
      </w:r>
      <w:r w:rsidRPr="00974D2A">
        <w:rPr>
          <w:rFonts w:cs="Arial"/>
          <w:szCs w:val="24"/>
        </w:rPr>
        <w:t xml:space="preserve"> via anti-dumping or countervailing measures. The framework sets out the conditions</w:t>
      </w:r>
      <w:r w:rsidR="00FC45F5">
        <w:rPr>
          <w:rFonts w:cs="Arial"/>
          <w:szCs w:val="24"/>
        </w:rPr>
        <w:t>,</w:t>
      </w:r>
      <w:r>
        <w:rPr>
          <w:rFonts w:cs="Arial"/>
          <w:szCs w:val="24"/>
        </w:rPr>
        <w:t xml:space="preserve"> depicted in </w:t>
      </w:r>
      <w:r w:rsidRPr="00E64B18">
        <w:rPr>
          <w:rFonts w:cs="Arial"/>
          <w:szCs w:val="24"/>
        </w:rPr>
        <w:fldChar w:fldCharType="begin"/>
      </w:r>
      <w:r w:rsidRPr="00E64B18">
        <w:rPr>
          <w:rFonts w:cs="Arial"/>
          <w:szCs w:val="24"/>
        </w:rPr>
        <w:instrText xml:space="preserve"> REF _Ref94864352 \h  \* MERGEFORMAT </w:instrText>
      </w:r>
      <w:r w:rsidRPr="00E64B18">
        <w:rPr>
          <w:rFonts w:cs="Arial"/>
          <w:szCs w:val="24"/>
        </w:rPr>
      </w:r>
      <w:r w:rsidRPr="00E64B18">
        <w:rPr>
          <w:rFonts w:cs="Arial"/>
          <w:szCs w:val="24"/>
        </w:rPr>
        <w:fldChar w:fldCharType="separate"/>
      </w:r>
      <w:r w:rsidR="003B27AB" w:rsidRPr="003B27AB">
        <w:rPr>
          <w:rFonts w:cs="Arial"/>
          <w:szCs w:val="24"/>
        </w:rPr>
        <w:t xml:space="preserve">Figure </w:t>
      </w:r>
      <w:r w:rsidR="003B27AB" w:rsidRPr="003B27AB">
        <w:rPr>
          <w:rFonts w:cs="Arial"/>
          <w:noProof/>
          <w:szCs w:val="24"/>
        </w:rPr>
        <w:t>25</w:t>
      </w:r>
      <w:r w:rsidRPr="00E64B18">
        <w:rPr>
          <w:rFonts w:cs="Arial"/>
          <w:szCs w:val="24"/>
        </w:rPr>
        <w:fldChar w:fldCharType="end"/>
      </w:r>
      <w:r>
        <w:rPr>
          <w:rFonts w:cs="Arial"/>
          <w:szCs w:val="24"/>
        </w:rPr>
        <w:t xml:space="preserve"> below</w:t>
      </w:r>
      <w:r w:rsidR="00FC45F5">
        <w:rPr>
          <w:rFonts w:cs="Arial"/>
          <w:szCs w:val="24"/>
        </w:rPr>
        <w:t>,</w:t>
      </w:r>
      <w:r w:rsidRPr="00974D2A">
        <w:rPr>
          <w:rFonts w:cs="Arial"/>
          <w:szCs w:val="24"/>
        </w:rPr>
        <w:t xml:space="preserve"> that </w:t>
      </w:r>
      <w:r>
        <w:rPr>
          <w:rFonts w:cs="Arial"/>
          <w:szCs w:val="24"/>
        </w:rPr>
        <w:t>must</w:t>
      </w:r>
      <w:r w:rsidR="00FC45F5">
        <w:rPr>
          <w:rFonts w:cs="Arial"/>
          <w:szCs w:val="24"/>
        </w:rPr>
        <w:t xml:space="preserve"> all</w:t>
      </w:r>
      <w:r w:rsidRPr="00974D2A">
        <w:rPr>
          <w:rFonts w:cs="Arial"/>
          <w:szCs w:val="24"/>
        </w:rPr>
        <w:t xml:space="preserve"> be met for circumvention to be deemed to exist.</w:t>
      </w:r>
      <w:r w:rsidR="00830072">
        <w:rPr>
          <w:rFonts w:cs="Arial"/>
          <w:szCs w:val="24"/>
        </w:rPr>
        <w:t xml:space="preserve"> The framework reflects </w:t>
      </w:r>
      <w:r w:rsidR="00830072" w:rsidRPr="000D1C6E">
        <w:rPr>
          <w:rFonts w:cs="Arial"/>
          <w:szCs w:val="24"/>
        </w:rPr>
        <w:t>changes made to the anti-circumvention provisions of SIMA in Bill C-19,</w:t>
      </w:r>
      <w:r w:rsidR="00830072">
        <w:rPr>
          <w:rFonts w:cs="Arial"/>
          <w:szCs w:val="24"/>
        </w:rPr>
        <w:t xml:space="preserve"> following consultations undertaken by the government,</w:t>
      </w:r>
      <w:r w:rsidR="00830072" w:rsidRPr="000D1C6E">
        <w:rPr>
          <w:rFonts w:cs="Arial"/>
          <w:szCs w:val="24"/>
        </w:rPr>
        <w:t xml:space="preserve"> that received royal assent in late June, 2022.</w:t>
      </w:r>
    </w:p>
    <w:p w14:paraId="719C77CE" w14:textId="77777777" w:rsidR="00830072" w:rsidRPr="00FC45F5" w:rsidRDefault="00830072" w:rsidP="00A21C01">
      <w:pPr>
        <w:rPr>
          <w:rFonts w:cs="Arial"/>
          <w:szCs w:val="24"/>
        </w:rPr>
      </w:pPr>
    </w:p>
    <w:p w14:paraId="0FD663D1" w14:textId="0D53975F" w:rsidR="00A21C01" w:rsidRPr="00BB4B18" w:rsidRDefault="00A21C01" w:rsidP="00A21C01">
      <w:pPr>
        <w:pStyle w:val="Caption"/>
      </w:pPr>
      <w:bookmarkStart w:id="182" w:name="_Ref94864352"/>
      <w:r w:rsidRPr="00A2245D">
        <w:rPr>
          <w:i w:val="0"/>
          <w:iCs w:val="0"/>
        </w:rPr>
        <w:t xml:space="preserve">Figure </w:t>
      </w:r>
      <w:r w:rsidR="00337849" w:rsidRPr="00A2245D">
        <w:rPr>
          <w:i w:val="0"/>
          <w:iCs w:val="0"/>
        </w:rPr>
        <w:fldChar w:fldCharType="begin"/>
      </w:r>
      <w:r w:rsidR="00337849" w:rsidRPr="00A2245D">
        <w:rPr>
          <w:i w:val="0"/>
          <w:iCs w:val="0"/>
        </w:rPr>
        <w:instrText xml:space="preserve"> SEQ Figure \* ARABIC </w:instrText>
      </w:r>
      <w:r w:rsidR="00337849" w:rsidRPr="00A2245D">
        <w:rPr>
          <w:i w:val="0"/>
          <w:iCs w:val="0"/>
        </w:rPr>
        <w:fldChar w:fldCharType="separate"/>
      </w:r>
      <w:r w:rsidR="00625A64">
        <w:rPr>
          <w:i w:val="0"/>
          <w:iCs w:val="0"/>
          <w:noProof/>
        </w:rPr>
        <w:t>25</w:t>
      </w:r>
      <w:r w:rsidR="00337849" w:rsidRPr="00A2245D">
        <w:rPr>
          <w:i w:val="0"/>
          <w:iCs w:val="0"/>
        </w:rPr>
        <w:fldChar w:fldCharType="end"/>
      </w:r>
      <w:bookmarkEnd w:id="182"/>
      <w:r>
        <w:rPr>
          <w:noProof/>
        </w:rPr>
        <w:t>: S</w:t>
      </w:r>
      <w:r>
        <w:t xml:space="preserve">chematic representation of Canada’s approach to circumvention </w:t>
      </w:r>
    </w:p>
    <w:p w14:paraId="2EBFF369" w14:textId="6F231EDD" w:rsidR="00A21C01" w:rsidRDefault="002C7FF1" w:rsidP="00A21C01">
      <w:pPr>
        <w:rPr>
          <w:rFonts w:cs="Arial"/>
          <w:szCs w:val="24"/>
        </w:rPr>
      </w:pPr>
      <w:r w:rsidRPr="002C7FF1">
        <w:rPr>
          <w:noProof/>
        </w:rPr>
        <w:t xml:space="preserve"> </w:t>
      </w:r>
      <w:r w:rsidRPr="002C7FF1">
        <w:rPr>
          <w:noProof/>
        </w:rPr>
        <w:drawing>
          <wp:inline distT="0" distB="0" distL="0" distR="0" wp14:anchorId="6C6CB995" wp14:editId="6A5B64BD">
            <wp:extent cx="5731510" cy="1024890"/>
            <wp:effectExtent l="0" t="0" r="254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1510" cy="1024890"/>
                    </a:xfrm>
                    <a:prstGeom prst="rect">
                      <a:avLst/>
                    </a:prstGeom>
                  </pic:spPr>
                </pic:pic>
              </a:graphicData>
            </a:graphic>
          </wp:inline>
        </w:drawing>
      </w:r>
    </w:p>
    <w:p w14:paraId="6AC121DD" w14:textId="677582EC" w:rsidR="00A21C01" w:rsidRDefault="00A21C01" w:rsidP="00A21C01">
      <w:pPr>
        <w:rPr>
          <w:rFonts w:cs="Arial"/>
          <w:szCs w:val="24"/>
        </w:rPr>
      </w:pPr>
      <w:r>
        <w:rPr>
          <w:rFonts w:cs="Arial"/>
          <w:szCs w:val="24"/>
        </w:rPr>
        <w:t>The prescribed activities are: the a</w:t>
      </w:r>
      <w:r w:rsidRPr="00812830">
        <w:rPr>
          <w:rFonts w:cs="Arial"/>
          <w:szCs w:val="24"/>
        </w:rPr>
        <w:t>ssembly or completion of like goods in Canada or a third country using parts from the country subject to duties</w:t>
      </w:r>
      <w:r>
        <w:rPr>
          <w:rFonts w:cs="Arial"/>
          <w:szCs w:val="24"/>
        </w:rPr>
        <w:t xml:space="preserve">; or the slight modification of goods. </w:t>
      </w:r>
    </w:p>
    <w:p w14:paraId="2F0D6089" w14:textId="7C3EBF35" w:rsidR="00830072" w:rsidRDefault="00830072" w:rsidP="00A21C01">
      <w:pPr>
        <w:rPr>
          <w:rFonts w:cs="Arial"/>
          <w:szCs w:val="24"/>
        </w:rPr>
      </w:pPr>
      <w:r>
        <w:rPr>
          <w:rFonts w:cs="Arial"/>
          <w:szCs w:val="24"/>
        </w:rPr>
        <w:t xml:space="preserve">Condition 4 (change in the pattern of trade) is the one that has changed following the revisions enacted in June 2022. Prior to the amendment, condition 4 required that the </w:t>
      </w:r>
      <w:r w:rsidRPr="002C4AC0">
        <w:rPr>
          <w:rFonts w:cs="Arial"/>
          <w:i/>
          <w:iCs/>
          <w:szCs w:val="24"/>
        </w:rPr>
        <w:t>principal cause</w:t>
      </w:r>
      <w:r w:rsidR="002C4AC0">
        <w:rPr>
          <w:rFonts w:cs="Arial"/>
          <w:szCs w:val="24"/>
        </w:rPr>
        <w:t xml:space="preserve"> of the change in pattern of trade be the trade remedies duties. The amendment to replace that expression with “cause” was a response to industry opinion that viewed the evidentiary standard under the “principal cause” provision to be too high. In line with these views expressed by industry, a separate change was made to section 72.1 introducing a “reasonable indication standard” for the initiation of inquiries.</w:t>
      </w:r>
    </w:p>
    <w:p w14:paraId="0E3D0949" w14:textId="1AC73121" w:rsidR="00A21C01" w:rsidRDefault="00E0019C" w:rsidP="00E10CD0">
      <w:pPr>
        <w:spacing w:before="240"/>
        <w:rPr>
          <w:rFonts w:cs="Arial"/>
          <w:szCs w:val="24"/>
        </w:rPr>
      </w:pPr>
      <w:r>
        <w:rPr>
          <w:rFonts w:cs="Arial"/>
          <w:szCs w:val="24"/>
        </w:rPr>
        <w:fldChar w:fldCharType="begin"/>
      </w:r>
      <w:r>
        <w:rPr>
          <w:rFonts w:cs="Arial"/>
          <w:szCs w:val="24"/>
        </w:rPr>
        <w:instrText xml:space="preserve"> REF _Ref94815314 \h </w:instrText>
      </w:r>
      <w:r>
        <w:rPr>
          <w:rFonts w:cs="Arial"/>
          <w:szCs w:val="24"/>
        </w:rPr>
      </w:r>
      <w:r>
        <w:rPr>
          <w:rFonts w:cs="Arial"/>
          <w:szCs w:val="24"/>
        </w:rPr>
        <w:fldChar w:fldCharType="separate"/>
      </w:r>
      <w:r>
        <w:t xml:space="preserve">Table </w:t>
      </w:r>
      <w:r w:rsidR="00E10CD0">
        <w:rPr>
          <w:noProof/>
        </w:rPr>
        <w:t>13</w:t>
      </w:r>
      <w:r>
        <w:rPr>
          <w:rFonts w:cs="Arial"/>
          <w:szCs w:val="24"/>
        </w:rPr>
        <w:fldChar w:fldCharType="end"/>
      </w:r>
      <w:r w:rsidR="00A21C01">
        <w:rPr>
          <w:rFonts w:cs="Arial"/>
          <w:szCs w:val="24"/>
        </w:rPr>
        <w:t xml:space="preserve"> below explains the evidence that may be supplied in relation to the </w:t>
      </w:r>
      <w:r w:rsidR="00FC45F5">
        <w:rPr>
          <w:rFonts w:cs="Arial"/>
          <w:szCs w:val="24"/>
        </w:rPr>
        <w:t>conditions</w:t>
      </w:r>
      <w:r w:rsidR="00A21C01">
        <w:rPr>
          <w:rFonts w:cs="Arial"/>
          <w:szCs w:val="24"/>
        </w:rPr>
        <w:t xml:space="preserve"> set out above.</w:t>
      </w:r>
      <w:r w:rsidR="00E10CD0">
        <w:rPr>
          <w:rFonts w:cs="Arial"/>
          <w:szCs w:val="24"/>
        </w:rPr>
        <w:t xml:space="preserve"> </w:t>
      </w:r>
      <w:r w:rsidR="00E10CD0" w:rsidRPr="000451D7">
        <w:rPr>
          <w:rFonts w:cs="Arial"/>
          <w:szCs w:val="24"/>
        </w:rPr>
        <w:t>To date, no circumvention cases have been brought under this framework</w:t>
      </w:r>
      <w:r w:rsidR="00E10CD0" w:rsidRPr="000451D7" w:rsidDel="00830072">
        <w:rPr>
          <w:rFonts w:cs="Arial"/>
          <w:szCs w:val="24"/>
        </w:rPr>
        <w:t>.</w:t>
      </w:r>
    </w:p>
    <w:p w14:paraId="5699DB82" w14:textId="2A9F836E" w:rsidR="00A21C01" w:rsidRDefault="00A21C01" w:rsidP="00A21C01">
      <w:pPr>
        <w:pStyle w:val="Caption"/>
        <w:rPr>
          <w:rFonts w:cs="Arial"/>
          <w:szCs w:val="24"/>
        </w:rPr>
      </w:pPr>
      <w:bookmarkStart w:id="183" w:name="_Ref94815314"/>
      <w:r>
        <w:t xml:space="preserve">Table </w:t>
      </w:r>
      <w:r>
        <w:fldChar w:fldCharType="begin"/>
      </w:r>
      <w:r>
        <w:instrText>SEQ Table \* ARABIC</w:instrText>
      </w:r>
      <w:r>
        <w:fldChar w:fldCharType="separate"/>
      </w:r>
      <w:r w:rsidR="001C580B">
        <w:rPr>
          <w:noProof/>
        </w:rPr>
        <w:t>13</w:t>
      </w:r>
      <w:r>
        <w:fldChar w:fldCharType="end"/>
      </w:r>
      <w:bookmarkEnd w:id="183"/>
      <w:r>
        <w:rPr>
          <w:noProof/>
        </w:rPr>
        <w:t xml:space="preserve">: </w:t>
      </w:r>
      <w:r>
        <w:t xml:space="preserve">Summary of legal framework for anti-circumvention in Canada </w:t>
      </w:r>
    </w:p>
    <w:tbl>
      <w:tblPr>
        <w:tblStyle w:val="TableGrid"/>
        <w:tblW w:w="0" w:type="auto"/>
        <w:tblLook w:val="04A0" w:firstRow="1" w:lastRow="0" w:firstColumn="1" w:lastColumn="0" w:noHBand="0" w:noVBand="1"/>
      </w:tblPr>
      <w:tblGrid>
        <w:gridCol w:w="2689"/>
        <w:gridCol w:w="6327"/>
      </w:tblGrid>
      <w:tr w:rsidR="00A21C01" w:rsidRPr="003D25AA" w14:paraId="71BA9C14" w14:textId="77777777">
        <w:tc>
          <w:tcPr>
            <w:tcW w:w="2689" w:type="dxa"/>
          </w:tcPr>
          <w:p w14:paraId="6786E796" w14:textId="77777777" w:rsidR="00A21C01" w:rsidRPr="002B66D1" w:rsidRDefault="00A21C01">
            <w:pPr>
              <w:spacing w:line="276" w:lineRule="auto"/>
              <w:rPr>
                <w:rFonts w:cs="Arial"/>
                <w:b/>
                <w:bCs/>
                <w:sz w:val="22"/>
              </w:rPr>
            </w:pPr>
            <w:r w:rsidRPr="002B66D1">
              <w:rPr>
                <w:rFonts w:cs="Arial"/>
                <w:b/>
                <w:bCs/>
                <w:sz w:val="22"/>
              </w:rPr>
              <w:t xml:space="preserve">Type </w:t>
            </w:r>
          </w:p>
        </w:tc>
        <w:tc>
          <w:tcPr>
            <w:tcW w:w="6327" w:type="dxa"/>
          </w:tcPr>
          <w:p w14:paraId="3D6F4BC5" w14:textId="77777777" w:rsidR="00A21C01" w:rsidRPr="002B66D1" w:rsidRDefault="00A21C01">
            <w:pPr>
              <w:spacing w:line="276" w:lineRule="auto"/>
              <w:rPr>
                <w:rFonts w:cs="Arial"/>
                <w:b/>
                <w:bCs/>
                <w:sz w:val="22"/>
              </w:rPr>
            </w:pPr>
            <w:r w:rsidRPr="002B66D1">
              <w:rPr>
                <w:rFonts w:cs="Arial"/>
                <w:b/>
                <w:bCs/>
                <w:sz w:val="22"/>
              </w:rPr>
              <w:t xml:space="preserve">Evidence sought </w:t>
            </w:r>
          </w:p>
        </w:tc>
      </w:tr>
      <w:tr w:rsidR="00A21C01" w14:paraId="6410BD37" w14:textId="77777777">
        <w:tc>
          <w:tcPr>
            <w:tcW w:w="2689" w:type="dxa"/>
          </w:tcPr>
          <w:p w14:paraId="1F02B177" w14:textId="77777777" w:rsidR="00A21C01" w:rsidRPr="002B66D1" w:rsidRDefault="00A21C01">
            <w:pPr>
              <w:spacing w:line="276" w:lineRule="auto"/>
              <w:rPr>
                <w:rFonts w:cs="Arial"/>
                <w:b/>
                <w:bCs/>
                <w:sz w:val="22"/>
              </w:rPr>
            </w:pPr>
            <w:r w:rsidRPr="002B66D1">
              <w:rPr>
                <w:rFonts w:eastAsiaTheme="minorEastAsia" w:cs="Arial"/>
                <w:color w:val="000000" w:themeColor="text1"/>
                <w:kern w:val="24"/>
                <w:sz w:val="22"/>
              </w:rPr>
              <w:t>1) Change in pattern of trade</w:t>
            </w:r>
          </w:p>
        </w:tc>
        <w:tc>
          <w:tcPr>
            <w:tcW w:w="6327" w:type="dxa"/>
          </w:tcPr>
          <w:p w14:paraId="455EE1FF" w14:textId="280359D5" w:rsidR="00A21C01" w:rsidRPr="002B66D1" w:rsidRDefault="00A21C01">
            <w:pPr>
              <w:spacing w:line="276" w:lineRule="auto"/>
              <w:rPr>
                <w:rFonts w:cs="Arial"/>
                <w:sz w:val="22"/>
              </w:rPr>
            </w:pPr>
            <w:r w:rsidRPr="002B66D1">
              <w:rPr>
                <w:rFonts w:eastAsiaTheme="minorEastAsia" w:cs="Arial"/>
                <w:color w:val="000000" w:themeColor="text1"/>
                <w:kern w:val="24"/>
                <w:sz w:val="22"/>
              </w:rPr>
              <w:t xml:space="preserve">Consider import trends </w:t>
            </w:r>
            <w:r w:rsidR="00FC45F5" w:rsidRPr="002B66D1">
              <w:rPr>
                <w:rFonts w:eastAsiaTheme="minorEastAsia" w:cs="Arial"/>
                <w:color w:val="000000" w:themeColor="text1"/>
                <w:kern w:val="24"/>
                <w:sz w:val="22"/>
              </w:rPr>
              <w:t>in terms of changes in import volumes with respect to relevant goods in a particular investigation.</w:t>
            </w:r>
          </w:p>
        </w:tc>
      </w:tr>
      <w:tr w:rsidR="00A21C01" w14:paraId="18A62406" w14:textId="77777777">
        <w:tc>
          <w:tcPr>
            <w:tcW w:w="2689" w:type="dxa"/>
          </w:tcPr>
          <w:p w14:paraId="7137CF0E" w14:textId="2399F6A1" w:rsidR="00A21C01" w:rsidRPr="002B66D1" w:rsidRDefault="00A21C01">
            <w:pPr>
              <w:spacing w:line="276" w:lineRule="auto"/>
              <w:rPr>
                <w:rFonts w:cs="Arial"/>
                <w:b/>
                <w:bCs/>
                <w:sz w:val="22"/>
              </w:rPr>
            </w:pPr>
            <w:r w:rsidRPr="002B66D1">
              <w:rPr>
                <w:rFonts w:eastAsiaTheme="minorEastAsia" w:cs="Arial"/>
                <w:color w:val="000000" w:themeColor="text1"/>
                <w:kern w:val="24"/>
                <w:sz w:val="22"/>
              </w:rPr>
              <w:t>2)(i) Assembly or completion of like goods</w:t>
            </w:r>
          </w:p>
        </w:tc>
        <w:tc>
          <w:tcPr>
            <w:tcW w:w="6327" w:type="dxa"/>
          </w:tcPr>
          <w:p w14:paraId="050F3165" w14:textId="77777777" w:rsidR="00A21C01" w:rsidRPr="002B66D1" w:rsidRDefault="00A21C01">
            <w:pPr>
              <w:pStyle w:val="NormalWeb"/>
              <w:spacing w:before="40" w:beforeAutospacing="0" w:after="40" w:afterAutospacing="0" w:line="276" w:lineRule="auto"/>
              <w:rPr>
                <w:rFonts w:ascii="Arial" w:eastAsiaTheme="minorEastAsia" w:hAnsi="Arial" w:cs="Arial"/>
                <w:color w:val="000000" w:themeColor="text1"/>
                <w:kern w:val="24"/>
                <w:sz w:val="22"/>
                <w:szCs w:val="22"/>
              </w:rPr>
            </w:pPr>
            <w:r w:rsidRPr="002B66D1">
              <w:rPr>
                <w:rFonts w:ascii="Arial" w:eastAsiaTheme="minorEastAsia" w:hAnsi="Arial" w:cs="Arial"/>
                <w:color w:val="000000" w:themeColor="text1"/>
                <w:kern w:val="24"/>
                <w:sz w:val="22"/>
                <w:szCs w:val="22"/>
              </w:rPr>
              <w:t>Evidence includes:</w:t>
            </w:r>
          </w:p>
          <w:p w14:paraId="32E692FC" w14:textId="77777777" w:rsidR="00A21C01" w:rsidRPr="002B66D1" w:rsidRDefault="00A21C01">
            <w:pPr>
              <w:pStyle w:val="NormalWeb"/>
              <w:numPr>
                <w:ilvl w:val="0"/>
                <w:numId w:val="14"/>
              </w:numPr>
              <w:spacing w:before="40" w:beforeAutospacing="0" w:after="40" w:afterAutospacing="0" w:line="276" w:lineRule="auto"/>
              <w:rPr>
                <w:rFonts w:ascii="Arial" w:hAnsi="Arial" w:cs="Arial"/>
                <w:sz w:val="22"/>
                <w:szCs w:val="22"/>
              </w:rPr>
            </w:pPr>
            <w:r w:rsidRPr="002B66D1">
              <w:rPr>
                <w:rFonts w:ascii="Arial" w:eastAsiaTheme="minorEastAsia" w:hAnsi="Arial" w:cs="Arial"/>
                <w:color w:val="000000" w:themeColor="text1"/>
                <w:kern w:val="24"/>
                <w:sz w:val="22"/>
                <w:szCs w:val="22"/>
              </w:rPr>
              <w:t xml:space="preserve">the nature of the processes and the facilities; </w:t>
            </w:r>
          </w:p>
          <w:p w14:paraId="52A1963A" w14:textId="77777777" w:rsidR="00A21C01" w:rsidRPr="002B66D1" w:rsidRDefault="00A21C01">
            <w:pPr>
              <w:pStyle w:val="NormalWeb"/>
              <w:numPr>
                <w:ilvl w:val="0"/>
                <w:numId w:val="14"/>
              </w:numPr>
              <w:spacing w:before="40" w:beforeAutospacing="0" w:after="40" w:afterAutospacing="0" w:line="276" w:lineRule="auto"/>
              <w:rPr>
                <w:rFonts w:ascii="Arial" w:hAnsi="Arial" w:cs="Arial"/>
                <w:sz w:val="22"/>
                <w:szCs w:val="22"/>
              </w:rPr>
            </w:pPr>
            <w:r w:rsidRPr="002B66D1">
              <w:rPr>
                <w:rFonts w:ascii="Arial" w:eastAsiaTheme="minorEastAsia" w:hAnsi="Arial" w:cs="Arial"/>
                <w:color w:val="000000" w:themeColor="text1"/>
                <w:kern w:val="24"/>
                <w:sz w:val="22"/>
                <w:szCs w:val="22"/>
              </w:rPr>
              <w:t xml:space="preserve">the level of investment into the processes or facilities; </w:t>
            </w:r>
          </w:p>
          <w:p w14:paraId="1C0D1041" w14:textId="77777777" w:rsidR="00A21C01" w:rsidRPr="002B66D1" w:rsidRDefault="00A21C01">
            <w:pPr>
              <w:pStyle w:val="NormalWeb"/>
              <w:numPr>
                <w:ilvl w:val="0"/>
                <w:numId w:val="14"/>
              </w:numPr>
              <w:spacing w:before="40" w:beforeAutospacing="0" w:after="40" w:afterAutospacing="0" w:line="276" w:lineRule="auto"/>
              <w:ind w:left="357" w:hanging="357"/>
              <w:rPr>
                <w:rFonts w:ascii="Arial" w:hAnsi="Arial" w:cs="Arial"/>
                <w:sz w:val="22"/>
                <w:szCs w:val="22"/>
              </w:rPr>
            </w:pPr>
            <w:r w:rsidRPr="002B66D1">
              <w:rPr>
                <w:rFonts w:ascii="Arial" w:eastAsiaTheme="minorEastAsia" w:hAnsi="Arial" w:cs="Arial"/>
                <w:color w:val="000000" w:themeColor="text1"/>
                <w:kern w:val="24"/>
                <w:sz w:val="22"/>
                <w:szCs w:val="22"/>
              </w:rPr>
              <w:t xml:space="preserve">the level of research and development related to the processes; </w:t>
            </w:r>
          </w:p>
          <w:p w14:paraId="3C3557A5" w14:textId="3C022D69" w:rsidR="00A21C01" w:rsidRPr="002B66D1" w:rsidRDefault="00FC45F5">
            <w:pPr>
              <w:pStyle w:val="NormalWeb"/>
              <w:numPr>
                <w:ilvl w:val="0"/>
                <w:numId w:val="14"/>
              </w:numPr>
              <w:spacing w:before="40" w:beforeAutospacing="0" w:after="40" w:afterAutospacing="0" w:line="276" w:lineRule="auto"/>
              <w:rPr>
                <w:rFonts w:ascii="Arial" w:hAnsi="Arial" w:cs="Arial"/>
                <w:sz w:val="22"/>
                <w:szCs w:val="22"/>
              </w:rPr>
            </w:pPr>
            <w:r w:rsidRPr="002B66D1">
              <w:rPr>
                <w:rFonts w:ascii="Arial" w:eastAsiaTheme="minorEastAsia" w:hAnsi="Arial" w:cs="Arial"/>
                <w:color w:val="000000" w:themeColor="text1"/>
                <w:kern w:val="24"/>
                <w:sz w:val="22"/>
                <w:szCs w:val="22"/>
              </w:rPr>
              <w:t xml:space="preserve">the costs of the processes in Canada or a third country as a proportion of the total cost of production of the assembled or completed like good; </w:t>
            </w:r>
            <w:r w:rsidR="00A21C01" w:rsidRPr="002B66D1">
              <w:rPr>
                <w:rFonts w:ascii="Arial" w:eastAsiaTheme="minorEastAsia" w:hAnsi="Arial" w:cs="Arial"/>
                <w:color w:val="000000" w:themeColor="text1"/>
                <w:kern w:val="24"/>
                <w:sz w:val="22"/>
                <w:szCs w:val="22"/>
              </w:rPr>
              <w:t>and</w:t>
            </w:r>
          </w:p>
          <w:p w14:paraId="65701A19" w14:textId="77777777" w:rsidR="00A21C01" w:rsidRPr="002B66D1" w:rsidRDefault="00A21C01">
            <w:pPr>
              <w:pStyle w:val="NormalWeb"/>
              <w:numPr>
                <w:ilvl w:val="0"/>
                <w:numId w:val="14"/>
              </w:numPr>
              <w:spacing w:before="40" w:beforeAutospacing="0" w:after="40" w:afterAutospacing="0" w:line="276" w:lineRule="auto"/>
              <w:rPr>
                <w:rFonts w:ascii="Arial" w:hAnsi="Arial" w:cs="Arial"/>
                <w:sz w:val="22"/>
                <w:szCs w:val="22"/>
              </w:rPr>
            </w:pPr>
            <w:r w:rsidRPr="002B66D1">
              <w:rPr>
                <w:rFonts w:ascii="Arial" w:eastAsiaTheme="minorEastAsia" w:hAnsi="Arial" w:cs="Arial"/>
                <w:color w:val="000000" w:themeColor="text1"/>
                <w:kern w:val="24"/>
                <w:sz w:val="22"/>
                <w:szCs w:val="22"/>
              </w:rPr>
              <w:t>any other factor that is relevant in the circumstances.</w:t>
            </w:r>
          </w:p>
        </w:tc>
      </w:tr>
      <w:tr w:rsidR="00A21C01" w14:paraId="4FE41986" w14:textId="77777777">
        <w:tc>
          <w:tcPr>
            <w:tcW w:w="2689" w:type="dxa"/>
          </w:tcPr>
          <w:p w14:paraId="38C0C615" w14:textId="4996FC0D" w:rsidR="00A21C01" w:rsidRPr="002B66D1" w:rsidRDefault="00A21C01">
            <w:pPr>
              <w:spacing w:line="276" w:lineRule="auto"/>
              <w:rPr>
                <w:rFonts w:cs="Arial"/>
                <w:b/>
                <w:bCs/>
                <w:sz w:val="22"/>
              </w:rPr>
            </w:pPr>
            <w:r w:rsidRPr="002B66D1">
              <w:rPr>
                <w:rFonts w:eastAsiaTheme="minorEastAsia" w:cs="Arial"/>
                <w:color w:val="000000" w:themeColor="text1"/>
                <w:kern w:val="24"/>
                <w:sz w:val="22"/>
              </w:rPr>
              <w:t>2</w:t>
            </w:r>
            <w:r w:rsidR="003F295A">
              <w:rPr>
                <w:rFonts w:eastAsiaTheme="minorEastAsia" w:cs="Arial"/>
                <w:color w:val="000000" w:themeColor="text1"/>
                <w:kern w:val="24"/>
                <w:sz w:val="22"/>
              </w:rPr>
              <w:t>)</w:t>
            </w:r>
            <w:r w:rsidRPr="002B66D1">
              <w:rPr>
                <w:rFonts w:eastAsiaTheme="minorEastAsia" w:cs="Arial"/>
                <w:color w:val="000000" w:themeColor="text1"/>
                <w:kern w:val="24"/>
                <w:sz w:val="22"/>
              </w:rPr>
              <w:t>(ii) Slight modification</w:t>
            </w:r>
          </w:p>
        </w:tc>
        <w:tc>
          <w:tcPr>
            <w:tcW w:w="6327" w:type="dxa"/>
          </w:tcPr>
          <w:p w14:paraId="567BED8B" w14:textId="77777777" w:rsidR="00A21C01" w:rsidRPr="002B66D1" w:rsidRDefault="00A21C01">
            <w:pPr>
              <w:pStyle w:val="NormalWeb"/>
              <w:spacing w:before="40" w:beforeAutospacing="0" w:after="40" w:afterAutospacing="0" w:line="276" w:lineRule="auto"/>
              <w:rPr>
                <w:rFonts w:ascii="Arial" w:hAnsi="Arial" w:cs="Arial"/>
                <w:sz w:val="22"/>
                <w:szCs w:val="22"/>
              </w:rPr>
            </w:pPr>
            <w:r w:rsidRPr="002B66D1">
              <w:rPr>
                <w:rFonts w:ascii="Arial" w:eastAsiaTheme="minorEastAsia" w:hAnsi="Arial" w:cs="Arial"/>
                <w:color w:val="000000" w:themeColor="text1"/>
                <w:kern w:val="24"/>
                <w:sz w:val="22"/>
                <w:szCs w:val="22"/>
              </w:rPr>
              <w:t>Indicative list of evidence includes:</w:t>
            </w:r>
          </w:p>
          <w:p w14:paraId="4643846F" w14:textId="22803490" w:rsidR="00FC45F5" w:rsidRPr="002B66D1" w:rsidRDefault="00FC45F5" w:rsidP="00FC45F5">
            <w:pPr>
              <w:pStyle w:val="ListParagraph"/>
              <w:numPr>
                <w:ilvl w:val="0"/>
                <w:numId w:val="42"/>
              </w:numPr>
              <w:spacing w:before="40" w:after="40" w:line="276" w:lineRule="auto"/>
              <w:ind w:left="312" w:hanging="312"/>
              <w:rPr>
                <w:rFonts w:eastAsiaTheme="minorEastAsia" w:cs="Arial"/>
                <w:color w:val="000000" w:themeColor="text1"/>
                <w:kern w:val="24"/>
                <w:sz w:val="22"/>
                <w:szCs w:val="22"/>
              </w:rPr>
            </w:pPr>
            <w:r w:rsidRPr="002B66D1">
              <w:rPr>
                <w:rFonts w:eastAsiaTheme="minorEastAsia" w:cs="Arial"/>
                <w:color w:val="000000" w:themeColor="text1"/>
                <w:kern w:val="24"/>
                <w:sz w:val="22"/>
                <w:szCs w:val="22"/>
              </w:rPr>
              <w:t>the technical specification of the like goods and the modified goods; and</w:t>
            </w:r>
          </w:p>
          <w:p w14:paraId="2E4201FC" w14:textId="09DBB327" w:rsidR="00A21C01" w:rsidRPr="002B66D1" w:rsidRDefault="00FC45F5">
            <w:pPr>
              <w:pStyle w:val="ListParagraph"/>
              <w:numPr>
                <w:ilvl w:val="0"/>
                <w:numId w:val="42"/>
              </w:numPr>
              <w:spacing w:before="40" w:after="40" w:line="276" w:lineRule="auto"/>
              <w:ind w:left="312" w:hanging="312"/>
              <w:rPr>
                <w:rFonts w:eastAsiaTheme="minorEastAsia" w:cs="Arial"/>
                <w:color w:val="000000" w:themeColor="text1"/>
                <w:kern w:val="24"/>
                <w:sz w:val="22"/>
                <w:szCs w:val="22"/>
              </w:rPr>
            </w:pPr>
            <w:r w:rsidRPr="002B66D1">
              <w:rPr>
                <w:rFonts w:eastAsiaTheme="minorEastAsia" w:cs="Arial"/>
                <w:color w:val="000000" w:themeColor="text1"/>
                <w:kern w:val="24"/>
                <w:sz w:val="22"/>
                <w:szCs w:val="22"/>
              </w:rPr>
              <w:t>the HS classification numbers attributed to the like goods and the modified goods</w:t>
            </w:r>
            <w:r w:rsidRPr="002B66D1" w:rsidDel="00FC45F5">
              <w:rPr>
                <w:rFonts w:eastAsiaTheme="minorEastAsia" w:cs="Arial"/>
                <w:color w:val="000000" w:themeColor="text1"/>
                <w:kern w:val="24"/>
                <w:sz w:val="22"/>
                <w:szCs w:val="22"/>
              </w:rPr>
              <w:t xml:space="preserve"> </w:t>
            </w:r>
            <w:r w:rsidR="00A21C01" w:rsidRPr="002B66D1">
              <w:rPr>
                <w:rFonts w:eastAsiaTheme="minorEastAsia" w:cs="Arial"/>
                <w:color w:val="000000" w:themeColor="text1"/>
                <w:kern w:val="24"/>
                <w:sz w:val="22"/>
                <w:szCs w:val="22"/>
              </w:rPr>
              <w:t xml:space="preserve">substitutability; </w:t>
            </w:r>
          </w:p>
          <w:p w14:paraId="3552EF4C" w14:textId="5A4C98F7" w:rsidR="00A21C01" w:rsidRPr="002B66D1" w:rsidRDefault="00A21C01">
            <w:pPr>
              <w:pStyle w:val="ListParagraph"/>
              <w:numPr>
                <w:ilvl w:val="0"/>
                <w:numId w:val="42"/>
              </w:numPr>
              <w:spacing w:before="40" w:after="40" w:line="276" w:lineRule="auto"/>
              <w:ind w:left="312" w:hanging="312"/>
              <w:rPr>
                <w:rFonts w:eastAsiaTheme="minorEastAsia" w:cs="Arial"/>
                <w:color w:val="000000" w:themeColor="text1"/>
                <w:kern w:val="24"/>
                <w:sz w:val="22"/>
                <w:szCs w:val="22"/>
              </w:rPr>
            </w:pPr>
            <w:r w:rsidRPr="002B66D1">
              <w:rPr>
                <w:rFonts w:eastAsiaTheme="minorEastAsia" w:cs="Arial"/>
                <w:color w:val="000000" w:themeColor="text1"/>
                <w:kern w:val="24"/>
                <w:sz w:val="22"/>
                <w:szCs w:val="22"/>
              </w:rPr>
              <w:t xml:space="preserve">end-uses; </w:t>
            </w:r>
          </w:p>
          <w:p w14:paraId="695884C9" w14:textId="479521C8" w:rsidR="007D0730" w:rsidRPr="002B66D1" w:rsidRDefault="00A21C01">
            <w:pPr>
              <w:pStyle w:val="ListParagraph"/>
              <w:numPr>
                <w:ilvl w:val="0"/>
                <w:numId w:val="42"/>
              </w:numPr>
              <w:spacing w:before="40" w:after="40" w:line="276" w:lineRule="auto"/>
              <w:ind w:left="312" w:hanging="312"/>
              <w:rPr>
                <w:rFonts w:eastAsiaTheme="minorEastAsia" w:cs="Arial"/>
                <w:color w:val="000000" w:themeColor="text1"/>
                <w:kern w:val="24"/>
                <w:sz w:val="22"/>
                <w:szCs w:val="22"/>
              </w:rPr>
            </w:pPr>
            <w:r w:rsidRPr="002B66D1">
              <w:rPr>
                <w:rFonts w:eastAsiaTheme="minorEastAsia" w:cs="Arial"/>
                <w:color w:val="000000" w:themeColor="text1"/>
                <w:kern w:val="24"/>
                <w:sz w:val="22"/>
                <w:szCs w:val="22"/>
              </w:rPr>
              <w:t xml:space="preserve">consumer preferences; </w:t>
            </w:r>
          </w:p>
          <w:p w14:paraId="1F865584" w14:textId="0ACB8331" w:rsidR="007D0730" w:rsidRPr="002B66D1" w:rsidRDefault="007D0730" w:rsidP="007D0730">
            <w:pPr>
              <w:pStyle w:val="ListParagraph"/>
              <w:numPr>
                <w:ilvl w:val="0"/>
                <w:numId w:val="42"/>
              </w:numPr>
              <w:spacing w:before="40" w:after="40" w:line="276" w:lineRule="auto"/>
              <w:ind w:left="312" w:hanging="312"/>
              <w:rPr>
                <w:rFonts w:eastAsiaTheme="minorEastAsia" w:cs="Arial"/>
                <w:color w:val="000000" w:themeColor="text1"/>
                <w:kern w:val="24"/>
                <w:sz w:val="22"/>
                <w:szCs w:val="22"/>
              </w:rPr>
            </w:pPr>
            <w:r w:rsidRPr="002B66D1">
              <w:rPr>
                <w:rFonts w:eastAsiaTheme="minorEastAsia" w:cs="Arial"/>
                <w:color w:val="000000" w:themeColor="text1"/>
                <w:kern w:val="24"/>
                <w:sz w:val="22"/>
                <w:szCs w:val="22"/>
              </w:rPr>
              <w:t>the manner in which the goods are packaged and advertised;</w:t>
            </w:r>
          </w:p>
          <w:p w14:paraId="7F8B5D66" w14:textId="63203CD7" w:rsidR="007D0730" w:rsidRPr="002B66D1" w:rsidRDefault="007D0730" w:rsidP="007D0730">
            <w:pPr>
              <w:pStyle w:val="ListParagraph"/>
              <w:numPr>
                <w:ilvl w:val="0"/>
                <w:numId w:val="42"/>
              </w:numPr>
              <w:spacing w:before="40" w:after="40" w:line="276" w:lineRule="auto"/>
              <w:ind w:left="312" w:hanging="312"/>
              <w:rPr>
                <w:rFonts w:eastAsiaTheme="minorEastAsia" w:cs="Arial"/>
                <w:color w:val="000000" w:themeColor="text1"/>
                <w:kern w:val="24"/>
                <w:sz w:val="22"/>
                <w:szCs w:val="22"/>
              </w:rPr>
            </w:pPr>
            <w:r w:rsidRPr="002B66D1">
              <w:rPr>
                <w:rFonts w:eastAsiaTheme="minorEastAsia" w:cs="Arial"/>
                <w:color w:val="000000" w:themeColor="text1"/>
                <w:kern w:val="24"/>
                <w:sz w:val="22"/>
                <w:szCs w:val="22"/>
              </w:rPr>
              <w:t xml:space="preserve">the differences in production processes, costs and facilities; </w:t>
            </w:r>
          </w:p>
          <w:p w14:paraId="208B17F4" w14:textId="12ADFC30" w:rsidR="007D0730" w:rsidRPr="002B66D1" w:rsidRDefault="007D0730" w:rsidP="007D0730">
            <w:pPr>
              <w:pStyle w:val="ListParagraph"/>
              <w:numPr>
                <w:ilvl w:val="0"/>
                <w:numId w:val="42"/>
              </w:numPr>
              <w:spacing w:before="40" w:after="40" w:line="276" w:lineRule="auto"/>
              <w:ind w:left="312" w:hanging="312"/>
              <w:rPr>
                <w:rFonts w:eastAsiaTheme="minorEastAsia" w:cs="Arial"/>
                <w:color w:val="000000" w:themeColor="text1"/>
                <w:kern w:val="24"/>
                <w:sz w:val="22"/>
                <w:szCs w:val="22"/>
              </w:rPr>
            </w:pPr>
            <w:r w:rsidRPr="002B66D1">
              <w:rPr>
                <w:rFonts w:eastAsiaTheme="minorEastAsia" w:cs="Arial"/>
                <w:color w:val="000000" w:themeColor="text1"/>
                <w:kern w:val="24"/>
                <w:sz w:val="22"/>
                <w:szCs w:val="22"/>
              </w:rPr>
              <w:t>the cost of the modification and, if it is possible to reverse the modification, the cost of reversing it; and</w:t>
            </w:r>
          </w:p>
          <w:p w14:paraId="74FE03C9" w14:textId="3E4DF697" w:rsidR="00A21C01" w:rsidRPr="002B66D1" w:rsidRDefault="007D0730">
            <w:pPr>
              <w:pStyle w:val="ListParagraph"/>
              <w:numPr>
                <w:ilvl w:val="0"/>
                <w:numId w:val="42"/>
              </w:numPr>
              <w:spacing w:before="40" w:after="40" w:line="276" w:lineRule="auto"/>
              <w:ind w:left="312" w:hanging="312"/>
              <w:rPr>
                <w:rFonts w:eastAsiaTheme="minorEastAsia" w:cs="Arial"/>
                <w:color w:val="000000" w:themeColor="text1"/>
                <w:kern w:val="24"/>
                <w:sz w:val="22"/>
                <w:szCs w:val="22"/>
              </w:rPr>
            </w:pPr>
            <w:r w:rsidRPr="002B66D1">
              <w:rPr>
                <w:rFonts w:eastAsiaTheme="minorEastAsia" w:cs="Arial"/>
                <w:color w:val="000000" w:themeColor="text1"/>
                <w:kern w:val="24"/>
                <w:sz w:val="22"/>
                <w:szCs w:val="22"/>
              </w:rPr>
              <w:t>any other factor that is relevant in the circumstances</w:t>
            </w:r>
          </w:p>
        </w:tc>
      </w:tr>
      <w:tr w:rsidR="00A21C01" w14:paraId="5F54C922" w14:textId="77777777">
        <w:tc>
          <w:tcPr>
            <w:tcW w:w="2689" w:type="dxa"/>
          </w:tcPr>
          <w:p w14:paraId="7CB40BE8" w14:textId="77777777" w:rsidR="00A21C01" w:rsidRPr="002B66D1" w:rsidRDefault="00A21C01">
            <w:pPr>
              <w:spacing w:line="276" w:lineRule="auto"/>
              <w:rPr>
                <w:rFonts w:eastAsiaTheme="minorEastAsia" w:cs="Arial"/>
                <w:color w:val="000000" w:themeColor="text1"/>
                <w:kern w:val="24"/>
                <w:sz w:val="22"/>
              </w:rPr>
            </w:pPr>
            <w:r w:rsidRPr="002B66D1">
              <w:rPr>
                <w:rFonts w:eastAsiaTheme="minorEastAsia" w:cs="Arial"/>
                <w:color w:val="000000" w:themeColor="text1"/>
                <w:kern w:val="24"/>
                <w:sz w:val="22"/>
              </w:rPr>
              <w:t>3) Undermining of remedial effects</w:t>
            </w:r>
          </w:p>
        </w:tc>
        <w:tc>
          <w:tcPr>
            <w:tcW w:w="6327" w:type="dxa"/>
          </w:tcPr>
          <w:p w14:paraId="2239C882" w14:textId="77777777" w:rsidR="00A21C01" w:rsidRPr="002B66D1" w:rsidRDefault="00A21C01">
            <w:pPr>
              <w:pStyle w:val="NormalWeb"/>
              <w:spacing w:before="40" w:beforeAutospacing="0" w:after="40" w:afterAutospacing="0" w:line="276" w:lineRule="auto"/>
              <w:rPr>
                <w:rFonts w:ascii="Arial" w:eastAsiaTheme="minorEastAsia" w:hAnsi="Arial" w:cs="Arial"/>
                <w:color w:val="000000" w:themeColor="text1"/>
                <w:kern w:val="24"/>
                <w:sz w:val="22"/>
                <w:szCs w:val="22"/>
              </w:rPr>
            </w:pPr>
            <w:r w:rsidRPr="002B66D1">
              <w:rPr>
                <w:rFonts w:ascii="Arial" w:eastAsiaTheme="minorEastAsia" w:hAnsi="Arial" w:cs="Arial"/>
                <w:color w:val="000000" w:themeColor="text1"/>
                <w:kern w:val="24"/>
                <w:sz w:val="22"/>
                <w:szCs w:val="22"/>
              </w:rPr>
              <w:t>Indicative list of evidence includes:</w:t>
            </w:r>
          </w:p>
          <w:p w14:paraId="7C790BA5" w14:textId="2D418492" w:rsidR="00A21C01" w:rsidRPr="002B66D1" w:rsidRDefault="00D21EA6">
            <w:pPr>
              <w:pStyle w:val="NormalWeb"/>
              <w:numPr>
                <w:ilvl w:val="0"/>
                <w:numId w:val="14"/>
              </w:numPr>
              <w:spacing w:before="40" w:beforeAutospacing="0" w:after="40" w:afterAutospacing="0" w:line="276" w:lineRule="auto"/>
              <w:rPr>
                <w:rFonts w:ascii="Arial" w:eastAsiaTheme="minorEastAsia" w:hAnsi="Arial" w:cs="Arial"/>
                <w:color w:val="000000" w:themeColor="text1"/>
                <w:kern w:val="24"/>
                <w:sz w:val="22"/>
                <w:szCs w:val="22"/>
              </w:rPr>
            </w:pPr>
            <w:r w:rsidRPr="002B66D1">
              <w:rPr>
                <w:rFonts w:ascii="Arial" w:eastAsiaTheme="minorEastAsia" w:hAnsi="Arial" w:cs="Arial"/>
                <w:color w:val="000000" w:themeColor="text1"/>
                <w:kern w:val="24"/>
                <w:sz w:val="22"/>
                <w:szCs w:val="22"/>
              </w:rPr>
              <w:t xml:space="preserve">the price and volume of like subject goods that are assembled or completed in Canada and sold in Canada;  </w:t>
            </w:r>
            <w:r w:rsidR="00A21C01" w:rsidRPr="002B66D1">
              <w:rPr>
                <w:rFonts w:ascii="Arial" w:eastAsiaTheme="minorEastAsia" w:hAnsi="Arial" w:cs="Arial"/>
                <w:kern w:val="24"/>
                <w:sz w:val="22"/>
                <w:szCs w:val="22"/>
              </w:rPr>
              <w:t xml:space="preserve">whether the subject goods and like goods serve the same markets; </w:t>
            </w:r>
          </w:p>
          <w:p w14:paraId="1B1996B3" w14:textId="491CAB6B" w:rsidR="00A21C01" w:rsidRPr="002B66D1" w:rsidRDefault="00A21C01">
            <w:pPr>
              <w:pStyle w:val="NormalWeb"/>
              <w:numPr>
                <w:ilvl w:val="0"/>
                <w:numId w:val="14"/>
              </w:numPr>
              <w:spacing w:before="40" w:beforeAutospacing="0" w:after="40" w:afterAutospacing="0" w:line="276" w:lineRule="auto"/>
              <w:rPr>
                <w:rFonts w:ascii="Arial" w:eastAsiaTheme="minorEastAsia" w:hAnsi="Arial" w:cs="Arial"/>
                <w:color w:val="000000" w:themeColor="text1"/>
                <w:kern w:val="24"/>
                <w:sz w:val="22"/>
                <w:szCs w:val="22"/>
              </w:rPr>
            </w:pPr>
            <w:r w:rsidRPr="002B66D1">
              <w:rPr>
                <w:rFonts w:ascii="Arial" w:eastAsiaTheme="minorEastAsia" w:hAnsi="Arial" w:cs="Arial"/>
                <w:color w:val="000000" w:themeColor="text1"/>
                <w:kern w:val="24"/>
                <w:sz w:val="22"/>
                <w:szCs w:val="22"/>
              </w:rPr>
              <w:t>whether the goods have the same end-uses.</w:t>
            </w:r>
          </w:p>
          <w:p w14:paraId="307F16F5" w14:textId="730AA33C" w:rsidR="006F5FBA" w:rsidRPr="002B66D1" w:rsidRDefault="006F5FBA" w:rsidP="006F5FBA">
            <w:pPr>
              <w:pStyle w:val="NormalWeb"/>
              <w:numPr>
                <w:ilvl w:val="0"/>
                <w:numId w:val="14"/>
              </w:numPr>
              <w:spacing w:before="40" w:after="40" w:line="276" w:lineRule="auto"/>
              <w:rPr>
                <w:rFonts w:ascii="Arial" w:eastAsiaTheme="minorEastAsia" w:hAnsi="Arial" w:cs="Arial"/>
                <w:color w:val="000000" w:themeColor="text1"/>
                <w:kern w:val="24"/>
                <w:sz w:val="22"/>
                <w:szCs w:val="22"/>
              </w:rPr>
            </w:pPr>
            <w:r w:rsidRPr="002B66D1">
              <w:rPr>
                <w:rFonts w:ascii="Arial" w:eastAsiaTheme="minorEastAsia" w:hAnsi="Arial" w:cs="Arial"/>
                <w:color w:val="000000" w:themeColor="text1"/>
                <w:kern w:val="24"/>
                <w:sz w:val="22"/>
                <w:szCs w:val="22"/>
              </w:rPr>
              <w:t>the price and import volume of like goods that are assembled or completed in a third country or of slightly modified like goods; and</w:t>
            </w:r>
          </w:p>
          <w:p w14:paraId="4AC0BE63" w14:textId="7E164DD9" w:rsidR="006F5FBA" w:rsidRPr="002B66D1" w:rsidRDefault="006F5FBA" w:rsidP="006F5FBA">
            <w:pPr>
              <w:pStyle w:val="NormalWeb"/>
              <w:numPr>
                <w:ilvl w:val="0"/>
                <w:numId w:val="14"/>
              </w:numPr>
              <w:spacing w:before="40" w:beforeAutospacing="0" w:after="40" w:afterAutospacing="0" w:line="276" w:lineRule="auto"/>
              <w:rPr>
                <w:rFonts w:ascii="Arial" w:eastAsiaTheme="minorEastAsia" w:hAnsi="Arial" w:cs="Arial"/>
                <w:color w:val="000000" w:themeColor="text1"/>
                <w:kern w:val="24"/>
                <w:sz w:val="22"/>
                <w:szCs w:val="22"/>
              </w:rPr>
            </w:pPr>
            <w:r w:rsidRPr="002B66D1">
              <w:rPr>
                <w:rFonts w:ascii="Arial" w:eastAsiaTheme="minorEastAsia" w:hAnsi="Arial" w:cs="Arial"/>
                <w:color w:val="000000" w:themeColor="text1"/>
                <w:kern w:val="24"/>
                <w:sz w:val="22"/>
                <w:szCs w:val="22"/>
              </w:rPr>
              <w:t>any other factor that is relevant in the circumstances</w:t>
            </w:r>
          </w:p>
        </w:tc>
      </w:tr>
      <w:tr w:rsidR="00A21C01" w14:paraId="2B5EFA94" w14:textId="77777777">
        <w:tc>
          <w:tcPr>
            <w:tcW w:w="2689" w:type="dxa"/>
          </w:tcPr>
          <w:p w14:paraId="52B51024" w14:textId="0F98B54B" w:rsidR="00A21C01" w:rsidRPr="002B66D1" w:rsidRDefault="00A21C01">
            <w:pPr>
              <w:spacing w:line="276" w:lineRule="auto"/>
              <w:rPr>
                <w:rFonts w:eastAsiaTheme="minorEastAsia" w:cs="Arial"/>
                <w:color w:val="000000" w:themeColor="text1"/>
                <w:kern w:val="24"/>
                <w:sz w:val="22"/>
              </w:rPr>
            </w:pPr>
            <w:r w:rsidRPr="002B66D1">
              <w:rPr>
                <w:rFonts w:eastAsiaTheme="minorEastAsia" w:cs="Arial"/>
                <w:color w:val="000000" w:themeColor="text1"/>
                <w:kern w:val="24"/>
                <w:sz w:val="22"/>
              </w:rPr>
              <w:t xml:space="preserve">4) </w:t>
            </w:r>
            <w:r w:rsidR="006F5FBA" w:rsidRPr="002B66D1">
              <w:rPr>
                <w:rFonts w:eastAsiaTheme="minorEastAsia" w:cs="Arial"/>
                <w:color w:val="000000" w:themeColor="text1"/>
                <w:kern w:val="24"/>
                <w:sz w:val="22"/>
              </w:rPr>
              <w:t xml:space="preserve">Change in pattern of trade is caused by the imposition of </w:t>
            </w:r>
            <w:r w:rsidR="006F5FBA" w:rsidRPr="002B66D1">
              <w:rPr>
                <w:rFonts w:cs="Arial"/>
                <w:sz w:val="22"/>
              </w:rPr>
              <w:t xml:space="preserve">anti-dumping </w:t>
            </w:r>
            <w:r w:rsidR="006F5FBA" w:rsidRPr="002B66D1">
              <w:rPr>
                <w:rFonts w:eastAsiaTheme="minorEastAsia" w:cs="Arial"/>
                <w:color w:val="000000" w:themeColor="text1"/>
                <w:kern w:val="24"/>
                <w:sz w:val="22"/>
              </w:rPr>
              <w:t>or countervailing duties</w:t>
            </w:r>
          </w:p>
        </w:tc>
        <w:tc>
          <w:tcPr>
            <w:tcW w:w="6327" w:type="dxa"/>
          </w:tcPr>
          <w:p w14:paraId="07391969" w14:textId="77777777" w:rsidR="00A21C01" w:rsidRPr="002B66D1" w:rsidRDefault="00A21C01">
            <w:pPr>
              <w:pStyle w:val="NormalWeb"/>
              <w:spacing w:before="40" w:beforeAutospacing="0" w:after="40" w:afterAutospacing="0" w:line="276" w:lineRule="auto"/>
              <w:rPr>
                <w:rFonts w:ascii="Arial" w:eastAsiaTheme="minorEastAsia" w:hAnsi="Arial" w:cs="Arial"/>
                <w:color w:val="000000" w:themeColor="text1"/>
                <w:kern w:val="24"/>
                <w:sz w:val="22"/>
                <w:szCs w:val="22"/>
              </w:rPr>
            </w:pPr>
            <w:r w:rsidRPr="002B66D1">
              <w:rPr>
                <w:rFonts w:ascii="Arial" w:eastAsiaTheme="minorEastAsia" w:hAnsi="Arial" w:cs="Arial"/>
                <w:color w:val="000000" w:themeColor="text1"/>
                <w:kern w:val="24"/>
                <w:sz w:val="22"/>
                <w:szCs w:val="22"/>
              </w:rPr>
              <w:t>Factors to be taken into account are:</w:t>
            </w:r>
          </w:p>
          <w:p w14:paraId="0B816A09" w14:textId="48978830" w:rsidR="006F5FBA" w:rsidRPr="002B66D1" w:rsidRDefault="006F5FBA" w:rsidP="009176C5">
            <w:pPr>
              <w:pStyle w:val="ListParagraph"/>
              <w:numPr>
                <w:ilvl w:val="0"/>
                <w:numId w:val="14"/>
              </w:numPr>
              <w:spacing w:after="0" w:line="276" w:lineRule="auto"/>
              <w:ind w:left="357" w:hanging="357"/>
              <w:rPr>
                <w:rFonts w:eastAsiaTheme="minorEastAsia" w:cs="Arial"/>
                <w:color w:val="000000" w:themeColor="text1"/>
                <w:kern w:val="24"/>
                <w:sz w:val="22"/>
                <w:szCs w:val="22"/>
              </w:rPr>
            </w:pPr>
            <w:r w:rsidRPr="002B66D1">
              <w:rPr>
                <w:rFonts w:eastAsiaTheme="minorEastAsia" w:cs="Arial"/>
                <w:color w:val="000000" w:themeColor="text1"/>
                <w:kern w:val="24"/>
                <w:sz w:val="22"/>
                <w:szCs w:val="22"/>
              </w:rPr>
              <w:t>differences in costs between the goods that are subject to the applicable order or finding and the completed/assembled like goods or the slightly modified like goods;</w:t>
            </w:r>
          </w:p>
          <w:p w14:paraId="2A36AED5" w14:textId="153C690E" w:rsidR="006F5FBA" w:rsidRPr="002B66D1" w:rsidRDefault="006F5FBA" w:rsidP="009176C5">
            <w:pPr>
              <w:pStyle w:val="ListParagraph"/>
              <w:numPr>
                <w:ilvl w:val="0"/>
                <w:numId w:val="14"/>
              </w:numPr>
              <w:spacing w:after="0" w:line="276" w:lineRule="auto"/>
              <w:ind w:left="357" w:hanging="357"/>
              <w:rPr>
                <w:rFonts w:eastAsiaTheme="minorEastAsia" w:cs="Arial"/>
                <w:color w:val="000000" w:themeColor="text1"/>
                <w:kern w:val="24"/>
                <w:sz w:val="22"/>
                <w:szCs w:val="22"/>
              </w:rPr>
            </w:pPr>
            <w:r w:rsidRPr="002B66D1">
              <w:rPr>
                <w:rFonts w:eastAsiaTheme="minorEastAsia" w:cs="Arial"/>
                <w:color w:val="000000" w:themeColor="text1"/>
                <w:kern w:val="24"/>
                <w:sz w:val="22"/>
                <w:szCs w:val="22"/>
              </w:rPr>
              <w:t>any sales, in a country other than Canada, of the</w:t>
            </w:r>
            <w:r w:rsidR="009176C5" w:rsidRPr="002B66D1">
              <w:rPr>
                <w:rFonts w:eastAsiaTheme="minorEastAsia" w:cs="Arial"/>
                <w:color w:val="000000" w:themeColor="text1"/>
                <w:kern w:val="24"/>
                <w:sz w:val="22"/>
                <w:szCs w:val="22"/>
              </w:rPr>
              <w:t xml:space="preserve"> </w:t>
            </w:r>
            <w:r w:rsidRPr="002B66D1">
              <w:rPr>
                <w:rFonts w:eastAsiaTheme="minorEastAsia" w:cs="Arial"/>
                <w:color w:val="000000" w:themeColor="text1"/>
                <w:kern w:val="24"/>
                <w:sz w:val="22"/>
                <w:szCs w:val="22"/>
              </w:rPr>
              <w:t>like goods that have been completed or assembled in the third country,</w:t>
            </w:r>
            <w:r w:rsidR="000D1C6E" w:rsidRPr="002B66D1">
              <w:rPr>
                <w:rFonts w:eastAsiaTheme="minorEastAsia" w:cs="Arial"/>
                <w:color w:val="000000" w:themeColor="text1"/>
                <w:kern w:val="24"/>
                <w:sz w:val="22"/>
                <w:szCs w:val="22"/>
              </w:rPr>
              <w:t xml:space="preserve"> </w:t>
            </w:r>
            <w:r w:rsidRPr="002B66D1">
              <w:rPr>
                <w:rFonts w:eastAsiaTheme="minorEastAsia" w:cs="Arial"/>
                <w:color w:val="000000" w:themeColor="text1"/>
                <w:kern w:val="24"/>
                <w:sz w:val="22"/>
                <w:szCs w:val="22"/>
              </w:rPr>
              <w:t xml:space="preserve">parts or components that are being sold to Canada or the third county for assembly/completion, or; slightly modified goods; </w:t>
            </w:r>
          </w:p>
          <w:p w14:paraId="287BAB15" w14:textId="32CCCE8F" w:rsidR="00A21C01" w:rsidRPr="002B66D1" w:rsidRDefault="006F5FBA" w:rsidP="009176C5">
            <w:pPr>
              <w:pStyle w:val="ListParagraph"/>
              <w:numPr>
                <w:ilvl w:val="0"/>
                <w:numId w:val="14"/>
              </w:numPr>
              <w:spacing w:after="0" w:line="276" w:lineRule="auto"/>
              <w:ind w:left="357" w:hanging="357"/>
              <w:rPr>
                <w:rFonts w:eastAsiaTheme="minorEastAsia" w:cs="Arial"/>
                <w:color w:val="000000" w:themeColor="text1"/>
                <w:kern w:val="24"/>
                <w:sz w:val="22"/>
                <w:szCs w:val="22"/>
              </w:rPr>
            </w:pPr>
            <w:r w:rsidRPr="002B66D1">
              <w:rPr>
                <w:rFonts w:eastAsiaTheme="minorEastAsia" w:cs="Arial"/>
                <w:color w:val="000000" w:themeColor="text1"/>
                <w:kern w:val="24"/>
                <w:sz w:val="22"/>
                <w:szCs w:val="22"/>
              </w:rPr>
              <w:t>any other factor that is relevant in the circumstances</w:t>
            </w:r>
          </w:p>
        </w:tc>
      </w:tr>
    </w:tbl>
    <w:p w14:paraId="5AC9EF77" w14:textId="694A3843" w:rsidR="00A21C01" w:rsidRPr="00834C11" w:rsidRDefault="00A21C01" w:rsidP="0B87AE61">
      <w:pPr>
        <w:pStyle w:val="Heading3"/>
        <w:rPr>
          <w:rFonts w:cs="Arial"/>
          <w:b w:val="0"/>
        </w:rPr>
      </w:pPr>
      <w:bookmarkStart w:id="184" w:name="_Toc1805097879"/>
      <w:bookmarkStart w:id="185" w:name="_Toc118465322"/>
      <w:r w:rsidRPr="0B87AE61">
        <w:rPr>
          <w:rFonts w:cs="Arial"/>
        </w:rPr>
        <w:t>Further observations based on past scope reviews</w:t>
      </w:r>
      <w:bookmarkEnd w:id="184"/>
      <w:bookmarkEnd w:id="185"/>
    </w:p>
    <w:p w14:paraId="0FF482F9" w14:textId="38177E6C" w:rsidR="00A21C01" w:rsidRPr="000451D7" w:rsidRDefault="00A21C01" w:rsidP="00A21C01">
      <w:pPr>
        <w:rPr>
          <w:rFonts w:cs="Arial"/>
          <w:szCs w:val="24"/>
        </w:rPr>
      </w:pPr>
      <w:r w:rsidRPr="000451D7">
        <w:rPr>
          <w:rFonts w:cs="Arial"/>
          <w:szCs w:val="24"/>
        </w:rPr>
        <w:t xml:space="preserve">Prior to 2018, matters related to circumvention were primarily addressed by the </w:t>
      </w:r>
      <w:r w:rsidR="00157772">
        <w:rPr>
          <w:rFonts w:cs="Arial"/>
          <w:szCs w:val="24"/>
        </w:rPr>
        <w:t xml:space="preserve">Canada </w:t>
      </w:r>
      <w:r w:rsidRPr="000451D7">
        <w:rPr>
          <w:rFonts w:cs="Arial"/>
          <w:szCs w:val="24"/>
        </w:rPr>
        <w:t xml:space="preserve">Border Services Agency (CBSA) in scope </w:t>
      </w:r>
      <w:r w:rsidR="00157772">
        <w:rPr>
          <w:rFonts w:cs="Arial"/>
          <w:szCs w:val="24"/>
        </w:rPr>
        <w:t>advance rulings</w:t>
      </w:r>
      <w:r w:rsidR="00157772" w:rsidRPr="000451D7">
        <w:rPr>
          <w:rFonts w:cs="Arial"/>
          <w:szCs w:val="24"/>
        </w:rPr>
        <w:t xml:space="preserve"> </w:t>
      </w:r>
      <w:r w:rsidRPr="000451D7">
        <w:rPr>
          <w:rFonts w:cs="Arial"/>
          <w:szCs w:val="24"/>
        </w:rPr>
        <w:t xml:space="preserve">or anti-dumping or countervailing duty expiry reviews or by the Canadian </w:t>
      </w:r>
      <w:r>
        <w:rPr>
          <w:rFonts w:cs="Arial"/>
          <w:szCs w:val="24"/>
        </w:rPr>
        <w:t>I</w:t>
      </w:r>
      <w:r w:rsidRPr="000451D7">
        <w:rPr>
          <w:rFonts w:cs="Arial"/>
          <w:szCs w:val="24"/>
        </w:rPr>
        <w:t>nternational Trade Tribunal (CITT), also in expiry reviews. Although circumvention was rarely relied on in these cases, the approach of both the CBSA and CITT bore similarities to those used elsewhere, with a focus on the timing of trade flows and whether admitting or not admitting a product within the scope of an inquiry would undermine the remedy.</w:t>
      </w:r>
    </w:p>
    <w:p w14:paraId="32513CA9" w14:textId="32F2DDDE" w:rsidR="00A21C01" w:rsidRPr="000451D7" w:rsidRDefault="00A21C01" w:rsidP="00A21C01">
      <w:pPr>
        <w:rPr>
          <w:rFonts w:cs="Arial"/>
          <w:szCs w:val="24"/>
        </w:rPr>
      </w:pPr>
      <w:r w:rsidRPr="000451D7">
        <w:rPr>
          <w:rFonts w:cs="Arial"/>
          <w:szCs w:val="24"/>
        </w:rPr>
        <w:t>Rulings made by the CBSA and the CITT point to factors that need to be demonstrated to show circumvention</w:t>
      </w:r>
      <w:r>
        <w:rPr>
          <w:rFonts w:cs="Arial"/>
          <w:szCs w:val="24"/>
        </w:rPr>
        <w:t>:</w:t>
      </w:r>
    </w:p>
    <w:p w14:paraId="7190EDB1" w14:textId="76A7EB19" w:rsidR="00A21C01" w:rsidRDefault="00A21C01" w:rsidP="00A21C01">
      <w:pPr>
        <w:pStyle w:val="ListParagraph"/>
        <w:numPr>
          <w:ilvl w:val="0"/>
          <w:numId w:val="14"/>
        </w:numPr>
        <w:spacing w:after="0" w:line="360" w:lineRule="auto"/>
        <w:ind w:left="357" w:hanging="357"/>
        <w:rPr>
          <w:rFonts w:cs="Arial"/>
          <w:sz w:val="24"/>
          <w:szCs w:val="24"/>
        </w:rPr>
      </w:pPr>
      <w:r w:rsidRPr="000451D7">
        <w:rPr>
          <w:rFonts w:cs="Arial"/>
          <w:sz w:val="24"/>
          <w:szCs w:val="24"/>
        </w:rPr>
        <w:t xml:space="preserve">In its </w:t>
      </w:r>
      <w:r w:rsidRPr="002D3BEB">
        <w:rPr>
          <w:rFonts w:cs="Arial"/>
          <w:i/>
          <w:iCs/>
          <w:sz w:val="24"/>
          <w:szCs w:val="24"/>
        </w:rPr>
        <w:t>Scope Ruling on Oil Country Tubular Goods</w:t>
      </w:r>
      <w:r w:rsidRPr="000451D7">
        <w:rPr>
          <w:rFonts w:cs="Arial"/>
          <w:sz w:val="24"/>
          <w:szCs w:val="24"/>
        </w:rPr>
        <w:t xml:space="preserve"> </w:t>
      </w:r>
      <w:r w:rsidRPr="002D3BEB">
        <w:rPr>
          <w:rFonts w:cs="Arial"/>
          <w:i/>
          <w:iCs/>
          <w:sz w:val="24"/>
          <w:szCs w:val="24"/>
        </w:rPr>
        <w:t xml:space="preserve">originating in or exported from </w:t>
      </w:r>
      <w:r w:rsidR="002406F0">
        <w:rPr>
          <w:rFonts w:cs="Arial"/>
          <w:i/>
          <w:iCs/>
          <w:sz w:val="24"/>
          <w:szCs w:val="24"/>
        </w:rPr>
        <w:t>PRC</w:t>
      </w:r>
      <w:r w:rsidRPr="002D3BEB">
        <w:rPr>
          <w:rFonts w:cs="Arial"/>
          <w:i/>
          <w:iCs/>
          <w:sz w:val="24"/>
          <w:szCs w:val="24"/>
        </w:rPr>
        <w:t xml:space="preserve"> (2019), </w:t>
      </w:r>
      <w:r w:rsidRPr="000451D7">
        <w:rPr>
          <w:rFonts w:cs="Arial"/>
          <w:sz w:val="24"/>
          <w:szCs w:val="24"/>
        </w:rPr>
        <w:t xml:space="preserve">the CBSA responded to concerns about slight modification of goods or their assembly or completion in Canada by directing interested parties to the circumvention process under SIMA. </w:t>
      </w:r>
    </w:p>
    <w:p w14:paraId="5FFB9862" w14:textId="529541F5" w:rsidR="00A21C01" w:rsidRDefault="00A21C01" w:rsidP="00A21C01">
      <w:pPr>
        <w:pStyle w:val="ListParagraph"/>
        <w:numPr>
          <w:ilvl w:val="0"/>
          <w:numId w:val="14"/>
        </w:numPr>
        <w:spacing w:after="0" w:line="360" w:lineRule="auto"/>
        <w:ind w:left="357" w:hanging="357"/>
        <w:rPr>
          <w:rFonts w:cs="Arial"/>
          <w:sz w:val="24"/>
          <w:szCs w:val="24"/>
        </w:rPr>
      </w:pPr>
      <w:r w:rsidRPr="000451D7">
        <w:rPr>
          <w:rFonts w:cs="Arial"/>
          <w:sz w:val="24"/>
          <w:szCs w:val="24"/>
        </w:rPr>
        <w:t xml:space="preserve">In </w:t>
      </w:r>
      <w:r w:rsidRPr="002D3BEB">
        <w:rPr>
          <w:rFonts w:cs="Arial"/>
          <w:i/>
          <w:iCs/>
          <w:sz w:val="24"/>
          <w:szCs w:val="24"/>
        </w:rPr>
        <w:t xml:space="preserve">Certain </w:t>
      </w:r>
      <w:r w:rsidR="00150255" w:rsidRPr="002D3BEB">
        <w:rPr>
          <w:rFonts w:cs="Arial"/>
          <w:i/>
          <w:iCs/>
          <w:sz w:val="24"/>
          <w:szCs w:val="24"/>
        </w:rPr>
        <w:t>Aluminium</w:t>
      </w:r>
      <w:r w:rsidRPr="002D3BEB">
        <w:rPr>
          <w:rFonts w:cs="Arial"/>
          <w:i/>
          <w:iCs/>
          <w:sz w:val="24"/>
          <w:szCs w:val="24"/>
        </w:rPr>
        <w:t xml:space="preserve"> Extrusions from </w:t>
      </w:r>
      <w:r w:rsidR="002406F0">
        <w:rPr>
          <w:rFonts w:cs="Arial"/>
          <w:i/>
          <w:iCs/>
          <w:sz w:val="24"/>
          <w:szCs w:val="24"/>
        </w:rPr>
        <w:t>PRC</w:t>
      </w:r>
      <w:r w:rsidRPr="000451D7">
        <w:rPr>
          <w:rFonts w:cs="Arial"/>
          <w:sz w:val="24"/>
          <w:szCs w:val="24"/>
        </w:rPr>
        <w:t xml:space="preserve"> (2019), the CBSA relied on evidence of circumvention</w:t>
      </w:r>
      <w:r w:rsidR="00157772">
        <w:rPr>
          <w:rFonts w:cs="Arial"/>
          <w:sz w:val="24"/>
          <w:szCs w:val="24"/>
        </w:rPr>
        <w:t xml:space="preserve">/ </w:t>
      </w:r>
      <w:r w:rsidRPr="000451D7">
        <w:rPr>
          <w:rFonts w:cs="Arial"/>
          <w:sz w:val="24"/>
          <w:szCs w:val="24"/>
        </w:rPr>
        <w:t xml:space="preserve">transhipment and circumvention findings in the </w:t>
      </w:r>
      <w:r>
        <w:rPr>
          <w:rFonts w:cs="Arial"/>
          <w:sz w:val="24"/>
          <w:szCs w:val="24"/>
        </w:rPr>
        <w:t>United States</w:t>
      </w:r>
      <w:r w:rsidRPr="000451D7">
        <w:rPr>
          <w:rFonts w:cs="Arial"/>
          <w:sz w:val="24"/>
          <w:szCs w:val="24"/>
        </w:rPr>
        <w:t xml:space="preserve"> and Australia</w:t>
      </w:r>
      <w:r w:rsidR="00157772">
        <w:rPr>
          <w:rFonts w:cs="Arial"/>
          <w:sz w:val="24"/>
          <w:szCs w:val="24"/>
        </w:rPr>
        <w:t>,</w:t>
      </w:r>
      <w:r w:rsidRPr="000451D7">
        <w:rPr>
          <w:rFonts w:cs="Arial"/>
          <w:sz w:val="24"/>
          <w:szCs w:val="24"/>
        </w:rPr>
        <w:t xml:space="preserve"> in support of finding</w:t>
      </w:r>
      <w:r w:rsidR="00157772">
        <w:rPr>
          <w:rFonts w:cs="Arial"/>
          <w:sz w:val="24"/>
          <w:szCs w:val="24"/>
        </w:rPr>
        <w:t>s</w:t>
      </w:r>
      <w:r w:rsidRPr="000451D7">
        <w:rPr>
          <w:rFonts w:cs="Arial"/>
          <w:sz w:val="24"/>
          <w:szCs w:val="24"/>
        </w:rPr>
        <w:t xml:space="preserve"> that dumping was likely to resume.   </w:t>
      </w:r>
    </w:p>
    <w:p w14:paraId="5211D5D2" w14:textId="310DC051" w:rsidR="00A21C01" w:rsidRDefault="00A21C01" w:rsidP="00A21C01">
      <w:pPr>
        <w:pStyle w:val="ListParagraph"/>
        <w:numPr>
          <w:ilvl w:val="0"/>
          <w:numId w:val="14"/>
        </w:numPr>
        <w:spacing w:after="0" w:line="360" w:lineRule="auto"/>
        <w:ind w:left="357" w:hanging="357"/>
        <w:rPr>
          <w:rFonts w:cs="Arial"/>
          <w:sz w:val="24"/>
          <w:szCs w:val="24"/>
        </w:rPr>
      </w:pPr>
      <w:r w:rsidRPr="000451D7">
        <w:rPr>
          <w:rFonts w:cs="Arial"/>
          <w:sz w:val="24"/>
          <w:szCs w:val="24"/>
        </w:rPr>
        <w:t xml:space="preserve">In </w:t>
      </w:r>
      <w:r w:rsidRPr="002D3BEB">
        <w:rPr>
          <w:rFonts w:cs="Arial"/>
          <w:i/>
          <w:iCs/>
          <w:sz w:val="24"/>
          <w:szCs w:val="24"/>
        </w:rPr>
        <w:t xml:space="preserve">Certain Waterproof Footwear from </w:t>
      </w:r>
      <w:r w:rsidR="002406F0">
        <w:rPr>
          <w:rFonts w:cs="Arial"/>
          <w:i/>
          <w:iCs/>
          <w:sz w:val="24"/>
          <w:szCs w:val="24"/>
        </w:rPr>
        <w:t>PRC</w:t>
      </w:r>
      <w:r w:rsidRPr="002D3BEB">
        <w:rPr>
          <w:rFonts w:cs="Arial"/>
          <w:i/>
          <w:iCs/>
          <w:sz w:val="24"/>
          <w:szCs w:val="24"/>
        </w:rPr>
        <w:t xml:space="preserve"> (2005),</w:t>
      </w:r>
      <w:r w:rsidRPr="000451D7">
        <w:rPr>
          <w:rFonts w:cs="Arial"/>
          <w:sz w:val="24"/>
          <w:szCs w:val="24"/>
        </w:rPr>
        <w:t xml:space="preserve"> </w:t>
      </w:r>
      <w:r>
        <w:rPr>
          <w:rFonts w:cs="Arial"/>
          <w:sz w:val="24"/>
          <w:szCs w:val="24"/>
        </w:rPr>
        <w:t xml:space="preserve">the CITT </w:t>
      </w:r>
      <w:r w:rsidRPr="000451D7">
        <w:rPr>
          <w:rFonts w:cs="Arial"/>
          <w:sz w:val="24"/>
          <w:szCs w:val="24"/>
        </w:rPr>
        <w:t xml:space="preserve">relied on evidence of circumvention through slight modification (modifications that made the footwear not waterproof) in support of </w:t>
      </w:r>
      <w:r>
        <w:rPr>
          <w:rFonts w:cs="Arial"/>
          <w:sz w:val="24"/>
          <w:szCs w:val="24"/>
        </w:rPr>
        <w:t xml:space="preserve">its </w:t>
      </w:r>
      <w:r w:rsidRPr="000451D7">
        <w:rPr>
          <w:rFonts w:cs="Arial"/>
          <w:sz w:val="24"/>
          <w:szCs w:val="24"/>
        </w:rPr>
        <w:t xml:space="preserve">finding that dumping was likely to resume. </w:t>
      </w:r>
    </w:p>
    <w:p w14:paraId="1144BA8D" w14:textId="133C0BC4" w:rsidR="00A21C01" w:rsidRDefault="00A21C01" w:rsidP="00A21C01">
      <w:pPr>
        <w:pStyle w:val="ListParagraph"/>
        <w:numPr>
          <w:ilvl w:val="0"/>
          <w:numId w:val="14"/>
        </w:numPr>
        <w:spacing w:after="0" w:line="360" w:lineRule="auto"/>
        <w:ind w:left="357" w:hanging="357"/>
        <w:rPr>
          <w:rFonts w:cs="Arial"/>
          <w:sz w:val="24"/>
          <w:szCs w:val="24"/>
        </w:rPr>
      </w:pPr>
      <w:r w:rsidRPr="000451D7">
        <w:rPr>
          <w:rFonts w:cs="Arial"/>
          <w:sz w:val="24"/>
          <w:szCs w:val="24"/>
        </w:rPr>
        <w:t xml:space="preserve">In </w:t>
      </w:r>
      <w:r w:rsidRPr="002D3BEB">
        <w:rPr>
          <w:rFonts w:cs="Arial"/>
          <w:i/>
          <w:iCs/>
          <w:sz w:val="24"/>
          <w:szCs w:val="24"/>
        </w:rPr>
        <w:t xml:space="preserve">Mattress Innerspring Units originating in </w:t>
      </w:r>
      <w:r w:rsidR="002406F0">
        <w:rPr>
          <w:rFonts w:cs="Arial"/>
          <w:i/>
          <w:iCs/>
          <w:sz w:val="24"/>
          <w:szCs w:val="24"/>
        </w:rPr>
        <w:t>PRC</w:t>
      </w:r>
      <w:r w:rsidRPr="002D3BEB">
        <w:rPr>
          <w:rFonts w:cs="Arial"/>
          <w:i/>
          <w:iCs/>
          <w:sz w:val="24"/>
          <w:szCs w:val="24"/>
        </w:rPr>
        <w:t xml:space="preserve"> (2014),</w:t>
      </w:r>
      <w:r w:rsidRPr="000451D7">
        <w:rPr>
          <w:rFonts w:cs="Arial"/>
          <w:sz w:val="24"/>
          <w:szCs w:val="24"/>
        </w:rPr>
        <w:t xml:space="preserve"> the CITT set aside circumvention concerns relating to Malaysia on the grounds that trade data showed only a limited role of Malaysian imports in the Chinese market.</w:t>
      </w:r>
    </w:p>
    <w:p w14:paraId="14B55DDC" w14:textId="5D2AFD30" w:rsidR="00A21C01" w:rsidRDefault="00A21C01" w:rsidP="00A21C01">
      <w:pPr>
        <w:pStyle w:val="ListParagraph"/>
        <w:numPr>
          <w:ilvl w:val="0"/>
          <w:numId w:val="14"/>
        </w:numPr>
        <w:spacing w:after="0" w:line="360" w:lineRule="auto"/>
        <w:ind w:left="357" w:hanging="357"/>
        <w:rPr>
          <w:rFonts w:cs="Arial"/>
          <w:sz w:val="24"/>
          <w:szCs w:val="24"/>
        </w:rPr>
      </w:pPr>
      <w:r w:rsidRPr="000451D7">
        <w:rPr>
          <w:rFonts w:cs="Arial"/>
          <w:sz w:val="24"/>
          <w:szCs w:val="24"/>
        </w:rPr>
        <w:t xml:space="preserve">In </w:t>
      </w:r>
      <w:r w:rsidRPr="002D3BEB">
        <w:rPr>
          <w:rFonts w:cs="Arial"/>
          <w:i/>
          <w:iCs/>
          <w:sz w:val="24"/>
          <w:szCs w:val="24"/>
        </w:rPr>
        <w:t>Bicycles and</w:t>
      </w:r>
      <w:r>
        <w:rPr>
          <w:rFonts w:cs="Arial"/>
          <w:i/>
          <w:iCs/>
          <w:sz w:val="24"/>
          <w:szCs w:val="24"/>
        </w:rPr>
        <w:t xml:space="preserve"> F</w:t>
      </w:r>
      <w:r w:rsidRPr="002D3BEB">
        <w:rPr>
          <w:rFonts w:cs="Arial"/>
          <w:i/>
          <w:iCs/>
          <w:sz w:val="24"/>
          <w:szCs w:val="24"/>
        </w:rPr>
        <w:t xml:space="preserve">rames originating in Taiwan </w:t>
      </w:r>
      <w:r>
        <w:rPr>
          <w:rFonts w:cs="Arial"/>
          <w:i/>
          <w:iCs/>
          <w:sz w:val="24"/>
          <w:szCs w:val="24"/>
        </w:rPr>
        <w:t>and</w:t>
      </w:r>
      <w:r w:rsidRPr="002D3BEB">
        <w:rPr>
          <w:rFonts w:cs="Arial"/>
          <w:i/>
          <w:iCs/>
          <w:sz w:val="24"/>
          <w:szCs w:val="24"/>
        </w:rPr>
        <w:t xml:space="preserve"> </w:t>
      </w:r>
      <w:r w:rsidR="002406F0">
        <w:rPr>
          <w:rFonts w:cs="Arial"/>
          <w:i/>
          <w:iCs/>
          <w:sz w:val="24"/>
          <w:szCs w:val="24"/>
        </w:rPr>
        <w:t>PRC</w:t>
      </w:r>
      <w:r w:rsidRPr="002D3BEB">
        <w:rPr>
          <w:rFonts w:cs="Arial"/>
          <w:i/>
          <w:iCs/>
          <w:sz w:val="24"/>
          <w:szCs w:val="24"/>
        </w:rPr>
        <w:t xml:space="preserve"> (2007),</w:t>
      </w:r>
      <w:r w:rsidRPr="000451D7">
        <w:rPr>
          <w:rFonts w:cs="Arial"/>
          <w:sz w:val="24"/>
          <w:szCs w:val="24"/>
        </w:rPr>
        <w:t xml:space="preserve"> the CITT decided not to continue the finding against certain cheaper frames </w:t>
      </w:r>
      <w:r>
        <w:rPr>
          <w:rFonts w:cs="Arial"/>
          <w:sz w:val="24"/>
          <w:szCs w:val="24"/>
        </w:rPr>
        <w:t>which</w:t>
      </w:r>
      <w:r w:rsidRPr="000451D7">
        <w:rPr>
          <w:rFonts w:cs="Arial"/>
          <w:sz w:val="24"/>
          <w:szCs w:val="24"/>
        </w:rPr>
        <w:t xml:space="preserve"> could be used in assembling bikes in Canada on the basis of evidence that showed it was unlikely that the finding would be circumvented in this manner. </w:t>
      </w:r>
    </w:p>
    <w:p w14:paraId="0CDE81F7" w14:textId="1625AFE8" w:rsidR="00A21C01" w:rsidRPr="000451D7" w:rsidRDefault="00A21C01" w:rsidP="00A21C01">
      <w:pPr>
        <w:pStyle w:val="ListParagraph"/>
        <w:numPr>
          <w:ilvl w:val="0"/>
          <w:numId w:val="14"/>
        </w:numPr>
        <w:spacing w:after="0" w:line="360" w:lineRule="auto"/>
        <w:ind w:left="357" w:hanging="357"/>
        <w:rPr>
          <w:rFonts w:cs="Arial"/>
          <w:sz w:val="24"/>
          <w:szCs w:val="24"/>
        </w:rPr>
      </w:pPr>
      <w:r w:rsidRPr="000451D7">
        <w:rPr>
          <w:rFonts w:cs="Arial"/>
          <w:sz w:val="24"/>
          <w:szCs w:val="24"/>
        </w:rPr>
        <w:t xml:space="preserve">In </w:t>
      </w:r>
      <w:r w:rsidRPr="002D3BEB">
        <w:rPr>
          <w:rFonts w:cs="Arial"/>
          <w:i/>
          <w:iCs/>
          <w:sz w:val="24"/>
          <w:szCs w:val="24"/>
        </w:rPr>
        <w:t xml:space="preserve">Paint Brushes and Heads imported from </w:t>
      </w:r>
      <w:r w:rsidR="002406F0">
        <w:rPr>
          <w:rFonts w:cs="Arial"/>
          <w:i/>
          <w:iCs/>
          <w:sz w:val="24"/>
          <w:szCs w:val="24"/>
        </w:rPr>
        <w:t>PRC</w:t>
      </w:r>
      <w:r w:rsidRPr="002D3BEB">
        <w:rPr>
          <w:rFonts w:cs="Arial"/>
          <w:i/>
          <w:iCs/>
          <w:sz w:val="24"/>
          <w:szCs w:val="24"/>
        </w:rPr>
        <w:t xml:space="preserve"> (1999),</w:t>
      </w:r>
      <w:r w:rsidRPr="000451D7">
        <w:rPr>
          <w:rFonts w:cs="Arial"/>
          <w:sz w:val="24"/>
          <w:szCs w:val="24"/>
        </w:rPr>
        <w:t xml:space="preserve"> the CI</w:t>
      </w:r>
      <w:r>
        <w:rPr>
          <w:rFonts w:cs="Arial"/>
          <w:sz w:val="24"/>
          <w:szCs w:val="24"/>
        </w:rPr>
        <w:t>T</w:t>
      </w:r>
      <w:r w:rsidRPr="000451D7">
        <w:rPr>
          <w:rFonts w:cs="Arial"/>
          <w:sz w:val="24"/>
          <w:szCs w:val="24"/>
        </w:rPr>
        <w:t xml:space="preserve">T rejected the submission that new products, such as brushes based on a blend of synthetic and natural filaments, should be included in the order </w:t>
      </w:r>
      <w:r>
        <w:rPr>
          <w:rFonts w:cs="Arial"/>
          <w:sz w:val="24"/>
          <w:szCs w:val="24"/>
        </w:rPr>
        <w:t>as</w:t>
      </w:r>
      <w:r w:rsidRPr="000451D7">
        <w:rPr>
          <w:rFonts w:cs="Arial"/>
          <w:sz w:val="24"/>
          <w:szCs w:val="24"/>
        </w:rPr>
        <w:t xml:space="preserve"> these innovations could be construed to be a natural part of product evolution.  </w:t>
      </w:r>
    </w:p>
    <w:p w14:paraId="4F2C8751" w14:textId="6EAAA58E" w:rsidR="00A21C01" w:rsidRDefault="00A21C01" w:rsidP="00A21C01">
      <w:pPr>
        <w:spacing w:before="240"/>
        <w:rPr>
          <w:rFonts w:cs="Arial"/>
          <w:szCs w:val="24"/>
        </w:rPr>
      </w:pPr>
      <w:r>
        <w:rPr>
          <w:rFonts w:cs="Arial"/>
          <w:szCs w:val="24"/>
        </w:rPr>
        <w:t xml:space="preserve">In line with comments made by the DOC and the EC, the CBSA stated that it would expect to consult a range of evidence in circumvention cases, with the nature of that evidence depending on the specifics of the case. The CBSA would be open to consulting outside experts on particular matters. </w:t>
      </w:r>
    </w:p>
    <w:p w14:paraId="63354A0C" w14:textId="77777777" w:rsidR="00A21C01" w:rsidRDefault="00A21C01" w:rsidP="00A21C01"/>
    <w:p w14:paraId="6E5AB1C9" w14:textId="3772B714" w:rsidR="00A21C01" w:rsidRDefault="00A21C01" w:rsidP="00573DDB">
      <w:pPr>
        <w:pStyle w:val="NoSpacing"/>
        <w:rPr>
          <w:rFonts w:cs="Arial"/>
          <w:b/>
          <w:bCs/>
          <w:sz w:val="36"/>
          <w:szCs w:val="36"/>
        </w:rPr>
      </w:pPr>
    </w:p>
    <w:p w14:paraId="215B35B2" w14:textId="77777777" w:rsidR="00A21C01" w:rsidRDefault="00A21C01" w:rsidP="00573DDB">
      <w:pPr>
        <w:pStyle w:val="NoSpacing"/>
        <w:rPr>
          <w:rFonts w:cs="Arial"/>
          <w:b/>
          <w:bCs/>
          <w:sz w:val="36"/>
          <w:szCs w:val="36"/>
        </w:rPr>
        <w:sectPr w:rsidR="00A21C01" w:rsidSect="00F21AB1">
          <w:pgSz w:w="11906" w:h="16838"/>
          <w:pgMar w:top="1440" w:right="1440" w:bottom="1440" w:left="1440" w:header="708" w:footer="708" w:gutter="0"/>
          <w:cols w:space="708"/>
          <w:docGrid w:linePitch="360"/>
        </w:sectPr>
      </w:pPr>
    </w:p>
    <w:p w14:paraId="00DBBD3F" w14:textId="75AE53D8" w:rsidR="00A21C01" w:rsidRPr="00DB7AE8" w:rsidRDefault="00A21C01" w:rsidP="0B87AE61">
      <w:pPr>
        <w:pStyle w:val="Heading1"/>
        <w:rPr>
          <w:rFonts w:cs="Arial"/>
        </w:rPr>
      </w:pPr>
      <w:bookmarkStart w:id="186" w:name="_Toc1849523850"/>
      <w:bookmarkStart w:id="187" w:name="_Toc118465323"/>
      <w:r w:rsidRPr="0B87AE61">
        <w:rPr>
          <w:rFonts w:cs="Arial"/>
        </w:rPr>
        <w:t xml:space="preserve">Annex 2 – </w:t>
      </w:r>
      <w:r w:rsidR="00FC1367" w:rsidRPr="0B87AE61">
        <w:rPr>
          <w:rFonts w:cs="Arial"/>
        </w:rPr>
        <w:t>D</w:t>
      </w:r>
      <w:r w:rsidRPr="0B87AE61">
        <w:rPr>
          <w:rFonts w:cs="Arial"/>
        </w:rPr>
        <w:t>ata on anti-circumvention actions in other jurisdictions</w:t>
      </w:r>
      <w:bookmarkEnd w:id="186"/>
      <w:bookmarkEnd w:id="187"/>
    </w:p>
    <w:p w14:paraId="3B506714" w14:textId="527F9C8E" w:rsidR="008E1F6D" w:rsidRDefault="008E1F6D" w:rsidP="008E1F6D">
      <w:pPr>
        <w:pStyle w:val="NoSpacing"/>
        <w:spacing w:line="360" w:lineRule="auto"/>
        <w:rPr>
          <w:rFonts w:cs="Arial"/>
          <w:szCs w:val="24"/>
        </w:rPr>
      </w:pPr>
      <w:r>
        <w:rPr>
          <w:rFonts w:cs="Arial"/>
          <w:szCs w:val="24"/>
        </w:rPr>
        <w:fldChar w:fldCharType="begin"/>
      </w:r>
      <w:r>
        <w:rPr>
          <w:rFonts w:cs="Arial"/>
          <w:szCs w:val="24"/>
        </w:rPr>
        <w:instrText xml:space="preserve"> REF _Ref109646296 \h </w:instrText>
      </w:r>
      <w:r>
        <w:rPr>
          <w:rFonts w:cs="Arial"/>
          <w:szCs w:val="24"/>
        </w:rPr>
      </w:r>
      <w:r>
        <w:rPr>
          <w:rFonts w:cs="Arial"/>
          <w:szCs w:val="24"/>
        </w:rPr>
        <w:fldChar w:fldCharType="separate"/>
      </w:r>
      <w:r w:rsidR="003B27AB">
        <w:t xml:space="preserve">Table </w:t>
      </w:r>
      <w:r w:rsidR="003B27AB">
        <w:rPr>
          <w:noProof/>
        </w:rPr>
        <w:t>14</w:t>
      </w:r>
      <w:r>
        <w:rPr>
          <w:rFonts w:cs="Arial"/>
          <w:szCs w:val="24"/>
        </w:rPr>
        <w:fldChar w:fldCharType="end"/>
      </w:r>
      <w:r>
        <w:rPr>
          <w:rFonts w:cs="Arial"/>
          <w:szCs w:val="24"/>
        </w:rPr>
        <w:t xml:space="preserve"> to </w:t>
      </w:r>
      <w:r>
        <w:rPr>
          <w:rFonts w:cs="Arial"/>
          <w:szCs w:val="24"/>
        </w:rPr>
        <w:fldChar w:fldCharType="begin"/>
      </w:r>
      <w:r>
        <w:rPr>
          <w:rFonts w:cs="Arial"/>
          <w:szCs w:val="24"/>
        </w:rPr>
        <w:instrText xml:space="preserve"> REF _Ref109646353 \h </w:instrText>
      </w:r>
      <w:r>
        <w:rPr>
          <w:rFonts w:cs="Arial"/>
          <w:szCs w:val="24"/>
        </w:rPr>
      </w:r>
      <w:r>
        <w:rPr>
          <w:rFonts w:cs="Arial"/>
          <w:szCs w:val="24"/>
        </w:rPr>
        <w:fldChar w:fldCharType="separate"/>
      </w:r>
      <w:r w:rsidR="00C5132C" w:rsidRPr="00D66D81">
        <w:rPr>
          <w:sz w:val="22"/>
          <w:szCs w:val="22"/>
        </w:rPr>
        <w:t>Table</w:t>
      </w:r>
      <w:r w:rsidR="00993A48">
        <w:rPr>
          <w:sz w:val="22"/>
          <w:szCs w:val="22"/>
        </w:rPr>
        <w:t xml:space="preserve"> 18</w:t>
      </w:r>
      <w:r w:rsidR="00C5132C" w:rsidRPr="00D66D81">
        <w:rPr>
          <w:sz w:val="22"/>
          <w:szCs w:val="22"/>
        </w:rPr>
        <w:t xml:space="preserve"> </w:t>
      </w:r>
      <w:r>
        <w:rPr>
          <w:rFonts w:cs="Arial"/>
          <w:szCs w:val="24"/>
        </w:rPr>
        <w:fldChar w:fldCharType="end"/>
      </w:r>
      <w:r>
        <w:rPr>
          <w:rFonts w:cs="Arial"/>
          <w:szCs w:val="24"/>
        </w:rPr>
        <w:t xml:space="preserve"> present information on anti-circumvention actions that have led to the imposition of duties in Turkey, Mexico, Brazil, India and Argentina since 2009.</w:t>
      </w:r>
    </w:p>
    <w:p w14:paraId="168F4395" w14:textId="52173564" w:rsidR="008E1F6D" w:rsidRDefault="008E1F6D" w:rsidP="008E1F6D">
      <w:r>
        <w:t xml:space="preserve">Of these countries, Turkey is by far the biggest user of anti-circumvention duties. Its cases are overwhelmingly related to transhipment, with </w:t>
      </w:r>
      <w:r w:rsidR="002406F0">
        <w:t>PRC</w:t>
      </w:r>
      <w:r>
        <w:t xml:space="preserve"> as the main circumventor, mainly via South-East Asia and, to a lesser extent, via EU member states. Turkey’s anti-circumvention framework essentially replicates that of the EU, with which it shares a customs union.</w:t>
      </w:r>
    </w:p>
    <w:p w14:paraId="11207264" w14:textId="77777777" w:rsidR="008E1F6D" w:rsidRPr="001519DE" w:rsidRDefault="008E1F6D" w:rsidP="008E1F6D">
      <w:r>
        <w:t xml:space="preserve">As observed, some of Turkey’s circumvention cases target transhipment via countries in the EU such as Bulgaria, Greece, Italy, Poland and Spain. The customs union may incentivise exporters who face anti-dumping duties in Turkey to tranship their goods via the EU, as the probability of detecting circumvention is lower due to customs unions’ laxer border checks. Specifically, </w:t>
      </w:r>
      <w:r w:rsidRPr="001519DE">
        <w:t xml:space="preserve">within the customs union, once goods </w:t>
      </w:r>
      <w:r>
        <w:t xml:space="preserve">entering from outside the customs union </w:t>
      </w:r>
      <w:r w:rsidRPr="001519DE">
        <w:t>have cleared c</w:t>
      </w:r>
      <w:r>
        <w:t xml:space="preserve">ustoms, they are deemed to be in free circulation. Free circulation principles do not apply under FTAs such as the EU-UK Trade and Cooperation Agreement. However, Turkey’s experience could shed some light on the potential issues created by the special arrangements between the Republic of Ireland and Northern Ireland, and on-going uncertainty as to the implementation of these and of controls specifically. </w:t>
      </w:r>
    </w:p>
    <w:p w14:paraId="24D10FD7" w14:textId="3A1F1DD5" w:rsidR="008E1F6D" w:rsidRDefault="008E1F6D" w:rsidP="008E1F6D">
      <w:r>
        <w:t xml:space="preserve">Products which feature cases show a relatively wide range of dispersion. Compared to the EU, textiles and clothing appears to be a particular sector of focus for Turkey, which could be related to the intensity of competition between Turkey and </w:t>
      </w:r>
      <w:r w:rsidR="002406F0">
        <w:t>PRC</w:t>
      </w:r>
      <w:r>
        <w:t xml:space="preserve"> in trade in these products. </w:t>
      </w:r>
    </w:p>
    <w:p w14:paraId="035976B6" w14:textId="77777777" w:rsidR="008E1F6D" w:rsidRDefault="008E1F6D" w:rsidP="008E1F6D">
      <w:r>
        <w:t xml:space="preserve">Iron and steel products feature regularly in the countries concerned, notably Brazil and Mexico. Products of light manufacturing feature slightly more prominently than they do </w:t>
      </w:r>
      <w:r w:rsidRPr="00944DD2">
        <w:t xml:space="preserve">in </w:t>
      </w:r>
      <w:r w:rsidRPr="00B25A27">
        <w:t>deep-dive</w:t>
      </w:r>
      <w:r w:rsidRPr="00944DD2">
        <w:t xml:space="preserve"> countries</w:t>
      </w:r>
      <w:r>
        <w:t>, perhaps reflecting differences in trade structure relative to these countries.</w:t>
      </w:r>
    </w:p>
    <w:p w14:paraId="133513F9" w14:textId="77777777" w:rsidR="00FB2409" w:rsidRDefault="008E1F6D" w:rsidP="008E1F6D">
      <w:pPr>
        <w:sectPr w:rsidR="00FB2409" w:rsidSect="00F21AB1">
          <w:pgSz w:w="11906" w:h="16838"/>
          <w:pgMar w:top="1440" w:right="1440" w:bottom="1440" w:left="1440" w:header="708" w:footer="708" w:gutter="0"/>
          <w:cols w:space="708"/>
          <w:docGrid w:linePitch="360"/>
        </w:sectPr>
      </w:pPr>
      <w:r>
        <w:t xml:space="preserve">Apart from Mexico, which implemented anti-circumvention actions in the 1990s, the countries covered in this subsection developed their anti-circumvention frameworks in the first decade of the 2000s. This may reflect an increasing focus on </w:t>
      </w:r>
      <w:r w:rsidR="002406F0">
        <w:t>PRC</w:t>
      </w:r>
      <w:r>
        <w:t xml:space="preserve"> – the main target of anti-circumvention actions across countries – since its accession to the WTO in late 2001, and the subsequent rapid growth in its share of world trade.</w:t>
      </w:r>
    </w:p>
    <w:p w14:paraId="08F7D229" w14:textId="52A1AA08" w:rsidR="00A21C01" w:rsidRDefault="00A21C01" w:rsidP="00A21C01">
      <w:pPr>
        <w:pStyle w:val="Caption"/>
        <w:rPr>
          <w:rFonts w:cs="Arial"/>
          <w:szCs w:val="24"/>
        </w:rPr>
      </w:pPr>
      <w:bookmarkStart w:id="188" w:name="_Ref109646296"/>
      <w:bookmarkStart w:id="189" w:name="_Ref94866682"/>
      <w:r>
        <w:t xml:space="preserve">Table </w:t>
      </w:r>
      <w:r>
        <w:fldChar w:fldCharType="begin"/>
      </w:r>
      <w:r>
        <w:instrText>SEQ Table \* ARABIC</w:instrText>
      </w:r>
      <w:r>
        <w:fldChar w:fldCharType="separate"/>
      </w:r>
      <w:r w:rsidR="001C580B">
        <w:rPr>
          <w:noProof/>
        </w:rPr>
        <w:t>14</w:t>
      </w:r>
      <w:r>
        <w:fldChar w:fldCharType="end"/>
      </w:r>
      <w:bookmarkEnd w:id="188"/>
      <w:r>
        <w:rPr>
          <w:noProof/>
        </w:rPr>
        <w:t xml:space="preserve">: </w:t>
      </w:r>
      <w:r w:rsidRPr="008C4920">
        <w:t>Overview of anti-circumvention cases in which duties were imposed (2009 to 2021), Turkey</w:t>
      </w:r>
    </w:p>
    <w:tbl>
      <w:tblPr>
        <w:tblStyle w:val="TableGrid"/>
        <w:tblW w:w="0" w:type="auto"/>
        <w:tblLayout w:type="fixed"/>
        <w:tblLook w:val="04A0" w:firstRow="1" w:lastRow="0" w:firstColumn="1" w:lastColumn="0" w:noHBand="0" w:noVBand="1"/>
      </w:tblPr>
      <w:tblGrid>
        <w:gridCol w:w="2547"/>
        <w:gridCol w:w="850"/>
        <w:gridCol w:w="1418"/>
        <w:gridCol w:w="1276"/>
        <w:gridCol w:w="992"/>
        <w:gridCol w:w="1984"/>
        <w:gridCol w:w="2552"/>
        <w:gridCol w:w="2268"/>
      </w:tblGrid>
      <w:tr w:rsidR="00FB2409" w:rsidRPr="00D66D81" w14:paraId="11063A5B" w14:textId="77777777" w:rsidTr="00FB2409">
        <w:trPr>
          <w:trHeight w:val="552"/>
        </w:trPr>
        <w:tc>
          <w:tcPr>
            <w:tcW w:w="2547" w:type="dxa"/>
            <w:vMerge w:val="restart"/>
            <w:hideMark/>
          </w:tcPr>
          <w:p w14:paraId="2646322F" w14:textId="1E9C35FA" w:rsidR="00A21C01" w:rsidRPr="00D66D81" w:rsidRDefault="00A21C01">
            <w:pPr>
              <w:spacing w:line="240" w:lineRule="auto"/>
              <w:rPr>
                <w:rFonts w:cs="Arial"/>
                <w:b/>
                <w:bCs/>
                <w:sz w:val="22"/>
              </w:rPr>
            </w:pPr>
            <w:r w:rsidRPr="00D66D81">
              <w:rPr>
                <w:rFonts w:cs="Arial"/>
                <w:b/>
                <w:bCs/>
                <w:sz w:val="22"/>
                <w:lang w:val="fr-CH"/>
              </w:rPr>
              <w:t>Type of product</w:t>
            </w:r>
            <w:r w:rsidR="007F7575">
              <w:rPr>
                <w:rFonts w:cs="Arial"/>
                <w:b/>
                <w:bCs/>
                <w:sz w:val="22"/>
                <w:lang w:val="fr-CH"/>
              </w:rPr>
              <w:t xml:space="preserve"> (circumventor)</w:t>
            </w:r>
          </w:p>
        </w:tc>
        <w:tc>
          <w:tcPr>
            <w:tcW w:w="850" w:type="dxa"/>
            <w:vMerge w:val="restart"/>
            <w:shd w:val="clear" w:color="auto" w:fill="DEEAF6" w:themeFill="accent5" w:themeFillTint="33"/>
            <w:hideMark/>
          </w:tcPr>
          <w:p w14:paraId="6DFFF865" w14:textId="77777777" w:rsidR="00A21C01" w:rsidRPr="00D66D81" w:rsidRDefault="00A21C01">
            <w:pPr>
              <w:spacing w:line="240" w:lineRule="auto"/>
              <w:rPr>
                <w:rFonts w:cs="Arial"/>
                <w:b/>
                <w:bCs/>
                <w:sz w:val="22"/>
              </w:rPr>
            </w:pPr>
            <w:r w:rsidRPr="00D66D81">
              <w:rPr>
                <w:rFonts w:cs="Arial"/>
                <w:b/>
                <w:bCs/>
                <w:sz w:val="22"/>
              </w:rPr>
              <w:t>Total</w:t>
            </w:r>
            <w:r w:rsidRPr="00D66D81">
              <w:rPr>
                <w:rStyle w:val="FootnoteReference"/>
                <w:rFonts w:cs="Arial"/>
                <w:b/>
                <w:bCs/>
                <w:sz w:val="22"/>
              </w:rPr>
              <w:footnoteReference w:id="129"/>
            </w:r>
          </w:p>
        </w:tc>
        <w:tc>
          <w:tcPr>
            <w:tcW w:w="5670" w:type="dxa"/>
            <w:gridSpan w:val="4"/>
          </w:tcPr>
          <w:p w14:paraId="0FE92F8C" w14:textId="17599D1A" w:rsidR="00A21C01" w:rsidRPr="00D66D81" w:rsidRDefault="00A21C01">
            <w:pPr>
              <w:spacing w:line="240" w:lineRule="auto"/>
              <w:jc w:val="center"/>
              <w:rPr>
                <w:rFonts w:cs="Arial"/>
                <w:b/>
                <w:bCs/>
                <w:sz w:val="22"/>
              </w:rPr>
            </w:pPr>
            <w:r w:rsidRPr="00D66D81">
              <w:rPr>
                <w:rFonts w:cs="Arial"/>
                <w:b/>
                <w:bCs/>
                <w:sz w:val="22"/>
              </w:rPr>
              <w:t>Mode of circumvention</w:t>
            </w:r>
          </w:p>
          <w:p w14:paraId="7FD1B87D" w14:textId="77777777" w:rsidR="00A21C01" w:rsidRPr="00D66D81" w:rsidRDefault="00A21C01">
            <w:pPr>
              <w:spacing w:line="240" w:lineRule="auto"/>
              <w:jc w:val="center"/>
              <w:rPr>
                <w:rFonts w:cs="Arial"/>
                <w:b/>
                <w:bCs/>
                <w:sz w:val="22"/>
              </w:rPr>
            </w:pPr>
          </w:p>
        </w:tc>
        <w:tc>
          <w:tcPr>
            <w:tcW w:w="2552" w:type="dxa"/>
            <w:vMerge w:val="restart"/>
            <w:hideMark/>
          </w:tcPr>
          <w:p w14:paraId="2B9FA12D" w14:textId="63ECBD6B" w:rsidR="00A21C01" w:rsidRPr="00D66D81" w:rsidRDefault="00A21C01">
            <w:pPr>
              <w:spacing w:line="240" w:lineRule="auto"/>
              <w:rPr>
                <w:rFonts w:cs="Arial"/>
                <w:b/>
                <w:bCs/>
                <w:sz w:val="22"/>
              </w:rPr>
            </w:pPr>
            <w:r w:rsidRPr="00D66D81">
              <w:rPr>
                <w:rFonts w:cs="Arial"/>
                <w:b/>
                <w:bCs/>
                <w:sz w:val="22"/>
              </w:rPr>
              <w:t>Targeted country</w:t>
            </w:r>
          </w:p>
        </w:tc>
        <w:tc>
          <w:tcPr>
            <w:tcW w:w="2268" w:type="dxa"/>
            <w:vMerge w:val="restart"/>
            <w:hideMark/>
          </w:tcPr>
          <w:p w14:paraId="25F7084D" w14:textId="0030B90C" w:rsidR="00A21C01" w:rsidRPr="00D66D81" w:rsidRDefault="00A21C01">
            <w:pPr>
              <w:spacing w:line="240" w:lineRule="auto"/>
              <w:rPr>
                <w:rFonts w:cs="Arial"/>
                <w:b/>
                <w:bCs/>
                <w:sz w:val="22"/>
              </w:rPr>
            </w:pPr>
            <w:r w:rsidRPr="00D66D81">
              <w:rPr>
                <w:rFonts w:cs="Arial"/>
                <w:b/>
                <w:bCs/>
                <w:sz w:val="22"/>
              </w:rPr>
              <w:t>Commodity code(s)</w:t>
            </w:r>
          </w:p>
        </w:tc>
      </w:tr>
      <w:tr w:rsidR="00FB2409" w:rsidRPr="00D66D81" w14:paraId="0617BE79" w14:textId="77777777" w:rsidTr="00FB2409">
        <w:trPr>
          <w:trHeight w:val="552"/>
        </w:trPr>
        <w:tc>
          <w:tcPr>
            <w:tcW w:w="2547" w:type="dxa"/>
            <w:vMerge/>
          </w:tcPr>
          <w:p w14:paraId="36F97A5E" w14:textId="77777777" w:rsidR="00A21C01" w:rsidRPr="00D66D81" w:rsidRDefault="00A21C01">
            <w:pPr>
              <w:spacing w:line="240" w:lineRule="auto"/>
              <w:rPr>
                <w:rFonts w:cs="Arial"/>
                <w:b/>
                <w:bCs/>
                <w:sz w:val="22"/>
                <w:lang w:val="fr-CH"/>
              </w:rPr>
            </w:pPr>
          </w:p>
        </w:tc>
        <w:tc>
          <w:tcPr>
            <w:tcW w:w="850" w:type="dxa"/>
            <w:vMerge/>
            <w:shd w:val="clear" w:color="auto" w:fill="DEEAF6" w:themeFill="accent5" w:themeFillTint="33"/>
          </w:tcPr>
          <w:p w14:paraId="1BD842AA" w14:textId="77777777" w:rsidR="00A21C01" w:rsidRPr="00D66D81" w:rsidRDefault="00A21C01">
            <w:pPr>
              <w:spacing w:line="240" w:lineRule="auto"/>
              <w:rPr>
                <w:rFonts w:cs="Arial"/>
                <w:b/>
                <w:bCs/>
                <w:sz w:val="22"/>
              </w:rPr>
            </w:pPr>
          </w:p>
        </w:tc>
        <w:tc>
          <w:tcPr>
            <w:tcW w:w="1418" w:type="dxa"/>
          </w:tcPr>
          <w:p w14:paraId="5282376B" w14:textId="6837BF9F" w:rsidR="00A21C01" w:rsidRPr="00D66D81" w:rsidRDefault="00A21C01">
            <w:pPr>
              <w:spacing w:line="240" w:lineRule="auto"/>
              <w:rPr>
                <w:rFonts w:cs="Arial"/>
                <w:b/>
                <w:bCs/>
                <w:sz w:val="22"/>
              </w:rPr>
            </w:pPr>
            <w:r w:rsidRPr="00D66D81">
              <w:rPr>
                <w:rFonts w:cs="Arial"/>
                <w:b/>
                <w:bCs/>
                <w:sz w:val="22"/>
              </w:rPr>
              <w:t>Third-party assembly</w:t>
            </w:r>
          </w:p>
        </w:tc>
        <w:tc>
          <w:tcPr>
            <w:tcW w:w="1276" w:type="dxa"/>
          </w:tcPr>
          <w:p w14:paraId="6894DE88" w14:textId="654F2093" w:rsidR="00A21C01" w:rsidRPr="00D66D81" w:rsidRDefault="00A21C01">
            <w:pPr>
              <w:spacing w:line="240" w:lineRule="auto"/>
              <w:rPr>
                <w:rFonts w:cs="Arial"/>
                <w:b/>
                <w:bCs/>
                <w:sz w:val="22"/>
              </w:rPr>
            </w:pPr>
            <w:r w:rsidRPr="00D66D81">
              <w:rPr>
                <w:rFonts w:cs="Arial"/>
                <w:b/>
                <w:bCs/>
                <w:sz w:val="22"/>
              </w:rPr>
              <w:t>Transhi</w:t>
            </w:r>
            <w:r w:rsidR="00B77229">
              <w:rPr>
                <w:rFonts w:cs="Arial"/>
                <w:b/>
                <w:bCs/>
                <w:sz w:val="22"/>
              </w:rPr>
              <w:t>p</w:t>
            </w:r>
            <w:r w:rsidR="0047241F">
              <w:rPr>
                <w:rFonts w:cs="Arial"/>
                <w:b/>
                <w:bCs/>
                <w:sz w:val="22"/>
              </w:rPr>
              <w:t>-</w:t>
            </w:r>
            <w:r w:rsidRPr="00D66D81">
              <w:rPr>
                <w:rFonts w:cs="Arial"/>
                <w:b/>
                <w:bCs/>
                <w:sz w:val="22"/>
              </w:rPr>
              <w:t>ment</w:t>
            </w:r>
          </w:p>
        </w:tc>
        <w:tc>
          <w:tcPr>
            <w:tcW w:w="992" w:type="dxa"/>
          </w:tcPr>
          <w:p w14:paraId="3229FF5E" w14:textId="77777777" w:rsidR="00A21C01" w:rsidRPr="00D66D81" w:rsidRDefault="00A21C01">
            <w:pPr>
              <w:spacing w:line="240" w:lineRule="auto"/>
              <w:rPr>
                <w:rFonts w:cs="Arial"/>
                <w:b/>
                <w:bCs/>
                <w:sz w:val="22"/>
              </w:rPr>
            </w:pPr>
            <w:r w:rsidRPr="00D66D81">
              <w:rPr>
                <w:rFonts w:cs="Arial"/>
                <w:b/>
                <w:bCs/>
                <w:sz w:val="22"/>
              </w:rPr>
              <w:t>Modifi-cation</w:t>
            </w:r>
          </w:p>
        </w:tc>
        <w:tc>
          <w:tcPr>
            <w:tcW w:w="1984" w:type="dxa"/>
          </w:tcPr>
          <w:p w14:paraId="10368B93" w14:textId="207DD6BE" w:rsidR="00A21C01" w:rsidRPr="00D66D81" w:rsidRDefault="00A21C01">
            <w:pPr>
              <w:spacing w:line="240" w:lineRule="auto"/>
              <w:rPr>
                <w:rFonts w:cs="Arial"/>
                <w:b/>
                <w:bCs/>
                <w:sz w:val="22"/>
              </w:rPr>
            </w:pPr>
            <w:r w:rsidRPr="00D66D81">
              <w:rPr>
                <w:rFonts w:cs="Arial"/>
                <w:b/>
                <w:bCs/>
                <w:sz w:val="22"/>
              </w:rPr>
              <w:t>Later</w:t>
            </w:r>
            <w:r w:rsidR="00FB2409">
              <w:rPr>
                <w:rFonts w:cs="Arial"/>
                <w:b/>
                <w:bCs/>
                <w:sz w:val="22"/>
              </w:rPr>
              <w:t xml:space="preserve"> </w:t>
            </w:r>
            <w:r w:rsidRPr="00D66D81">
              <w:rPr>
                <w:rFonts w:cs="Arial"/>
                <w:b/>
                <w:bCs/>
                <w:sz w:val="22"/>
              </w:rPr>
              <w:t>developed merchandise</w:t>
            </w:r>
          </w:p>
        </w:tc>
        <w:tc>
          <w:tcPr>
            <w:tcW w:w="2552" w:type="dxa"/>
            <w:vMerge/>
          </w:tcPr>
          <w:p w14:paraId="17953263" w14:textId="77777777" w:rsidR="00A21C01" w:rsidRPr="00D66D81" w:rsidRDefault="00A21C01">
            <w:pPr>
              <w:spacing w:line="240" w:lineRule="auto"/>
              <w:rPr>
                <w:rFonts w:cs="Arial"/>
                <w:b/>
                <w:bCs/>
                <w:sz w:val="22"/>
              </w:rPr>
            </w:pPr>
          </w:p>
        </w:tc>
        <w:tc>
          <w:tcPr>
            <w:tcW w:w="2268" w:type="dxa"/>
            <w:vMerge/>
          </w:tcPr>
          <w:p w14:paraId="51BACB58" w14:textId="77777777" w:rsidR="00A21C01" w:rsidRPr="00D66D81" w:rsidRDefault="00A21C01">
            <w:pPr>
              <w:spacing w:line="240" w:lineRule="auto"/>
              <w:rPr>
                <w:rFonts w:cs="Arial"/>
                <w:b/>
                <w:bCs/>
                <w:sz w:val="22"/>
              </w:rPr>
            </w:pPr>
          </w:p>
        </w:tc>
      </w:tr>
      <w:tr w:rsidR="00FB2409" w:rsidRPr="00D66D81" w14:paraId="78F74DD5" w14:textId="77777777" w:rsidTr="00FB2409">
        <w:trPr>
          <w:trHeight w:val="172"/>
        </w:trPr>
        <w:tc>
          <w:tcPr>
            <w:tcW w:w="2547" w:type="dxa"/>
            <w:hideMark/>
          </w:tcPr>
          <w:p w14:paraId="57F2D0B8" w14:textId="116A015C" w:rsidR="00A21C01" w:rsidRPr="00D66D81" w:rsidRDefault="00A21C01">
            <w:pPr>
              <w:spacing w:line="240" w:lineRule="auto"/>
              <w:rPr>
                <w:rFonts w:cs="Arial"/>
                <w:sz w:val="22"/>
              </w:rPr>
            </w:pPr>
            <w:r w:rsidRPr="00D66D81">
              <w:rPr>
                <w:rFonts w:cs="Arial"/>
                <w:sz w:val="22"/>
              </w:rPr>
              <w:t>Aluminium offset printing plates</w:t>
            </w:r>
            <w:r w:rsidR="007F7575">
              <w:rPr>
                <w:rFonts w:cs="Arial"/>
                <w:sz w:val="22"/>
              </w:rPr>
              <w:t xml:space="preserve"> (PRC)</w:t>
            </w:r>
          </w:p>
        </w:tc>
        <w:tc>
          <w:tcPr>
            <w:tcW w:w="850" w:type="dxa"/>
            <w:shd w:val="clear" w:color="auto" w:fill="DEEAF6" w:themeFill="accent5" w:themeFillTint="33"/>
            <w:hideMark/>
          </w:tcPr>
          <w:p w14:paraId="193DF57E" w14:textId="77777777" w:rsidR="00A21C01" w:rsidRPr="00D66D81" w:rsidRDefault="00A21C01">
            <w:pPr>
              <w:spacing w:line="240" w:lineRule="auto"/>
              <w:jc w:val="right"/>
              <w:rPr>
                <w:rFonts w:cs="Arial"/>
                <w:sz w:val="22"/>
              </w:rPr>
            </w:pPr>
            <w:r w:rsidRPr="00D66D81">
              <w:rPr>
                <w:rFonts w:cs="Arial"/>
                <w:sz w:val="22"/>
              </w:rPr>
              <w:t>1</w:t>
            </w:r>
          </w:p>
        </w:tc>
        <w:tc>
          <w:tcPr>
            <w:tcW w:w="1418" w:type="dxa"/>
            <w:hideMark/>
          </w:tcPr>
          <w:p w14:paraId="78FFA3A8" w14:textId="77777777" w:rsidR="00A21C01" w:rsidRPr="00D66D81" w:rsidRDefault="00A21C01">
            <w:pPr>
              <w:spacing w:line="240" w:lineRule="auto"/>
              <w:jc w:val="right"/>
              <w:rPr>
                <w:rFonts w:cs="Arial"/>
                <w:sz w:val="22"/>
              </w:rPr>
            </w:pPr>
          </w:p>
        </w:tc>
        <w:tc>
          <w:tcPr>
            <w:tcW w:w="1276" w:type="dxa"/>
            <w:hideMark/>
          </w:tcPr>
          <w:p w14:paraId="02366FC7" w14:textId="77777777" w:rsidR="00A21C01" w:rsidRPr="00D66D81" w:rsidRDefault="00A21C01">
            <w:pPr>
              <w:spacing w:line="240" w:lineRule="auto"/>
              <w:jc w:val="right"/>
              <w:rPr>
                <w:rFonts w:cs="Arial"/>
                <w:sz w:val="22"/>
              </w:rPr>
            </w:pPr>
            <w:r w:rsidRPr="00D66D81">
              <w:rPr>
                <w:rFonts w:cs="Arial"/>
                <w:sz w:val="22"/>
              </w:rPr>
              <w:t>1</w:t>
            </w:r>
          </w:p>
        </w:tc>
        <w:tc>
          <w:tcPr>
            <w:tcW w:w="992" w:type="dxa"/>
            <w:hideMark/>
          </w:tcPr>
          <w:p w14:paraId="7D6ACFA0" w14:textId="77777777" w:rsidR="00A21C01" w:rsidRPr="00D66D81" w:rsidRDefault="00A21C01">
            <w:pPr>
              <w:spacing w:line="240" w:lineRule="auto"/>
              <w:jc w:val="right"/>
              <w:rPr>
                <w:rFonts w:cs="Arial"/>
                <w:sz w:val="22"/>
              </w:rPr>
            </w:pPr>
          </w:p>
        </w:tc>
        <w:tc>
          <w:tcPr>
            <w:tcW w:w="1984" w:type="dxa"/>
            <w:hideMark/>
          </w:tcPr>
          <w:p w14:paraId="05AC1F06" w14:textId="77777777" w:rsidR="00A21C01" w:rsidRPr="00D66D81" w:rsidRDefault="00A21C01">
            <w:pPr>
              <w:spacing w:line="240" w:lineRule="auto"/>
              <w:jc w:val="right"/>
              <w:rPr>
                <w:rFonts w:cs="Arial"/>
                <w:sz w:val="22"/>
              </w:rPr>
            </w:pPr>
          </w:p>
        </w:tc>
        <w:tc>
          <w:tcPr>
            <w:tcW w:w="2552" w:type="dxa"/>
            <w:hideMark/>
          </w:tcPr>
          <w:p w14:paraId="372ED0F8" w14:textId="77777777" w:rsidR="00A21C01" w:rsidRPr="00D66D81" w:rsidRDefault="00A21C01">
            <w:pPr>
              <w:spacing w:line="240" w:lineRule="auto"/>
              <w:rPr>
                <w:rFonts w:cs="Arial"/>
                <w:sz w:val="22"/>
              </w:rPr>
            </w:pPr>
            <w:r w:rsidRPr="00D66D81">
              <w:rPr>
                <w:rFonts w:cs="Arial"/>
                <w:sz w:val="22"/>
              </w:rPr>
              <w:t>Malaysia</w:t>
            </w:r>
          </w:p>
        </w:tc>
        <w:tc>
          <w:tcPr>
            <w:tcW w:w="2268" w:type="dxa"/>
            <w:hideMark/>
          </w:tcPr>
          <w:p w14:paraId="1A137EE1" w14:textId="77777777" w:rsidR="00A21C01" w:rsidRPr="00D66D81" w:rsidRDefault="00A21C01">
            <w:pPr>
              <w:spacing w:line="240" w:lineRule="auto"/>
              <w:jc w:val="right"/>
              <w:rPr>
                <w:rFonts w:cs="Arial"/>
                <w:sz w:val="22"/>
              </w:rPr>
            </w:pPr>
            <w:r w:rsidRPr="00D66D81">
              <w:rPr>
                <w:rFonts w:cs="Arial"/>
                <w:sz w:val="22"/>
              </w:rPr>
              <w:t>370130000029</w:t>
            </w:r>
          </w:p>
        </w:tc>
      </w:tr>
      <w:tr w:rsidR="00FB2409" w:rsidRPr="00D66D81" w14:paraId="4BA22236" w14:textId="77777777" w:rsidTr="00FB2409">
        <w:trPr>
          <w:trHeight w:val="388"/>
        </w:trPr>
        <w:tc>
          <w:tcPr>
            <w:tcW w:w="2547" w:type="dxa"/>
            <w:hideMark/>
          </w:tcPr>
          <w:p w14:paraId="4271EB40" w14:textId="24170FA6" w:rsidR="00A21C01" w:rsidRPr="00D66D81" w:rsidRDefault="00A21C01">
            <w:pPr>
              <w:spacing w:line="240" w:lineRule="auto"/>
              <w:rPr>
                <w:rFonts w:cs="Arial"/>
                <w:sz w:val="22"/>
              </w:rPr>
            </w:pPr>
            <w:r w:rsidRPr="00D66D81">
              <w:rPr>
                <w:rFonts w:cs="Arial"/>
                <w:sz w:val="22"/>
              </w:rPr>
              <w:t>Certain plywood</w:t>
            </w:r>
            <w:r w:rsidR="00577383">
              <w:rPr>
                <w:rFonts w:cs="Arial"/>
                <w:sz w:val="22"/>
              </w:rPr>
              <w:t xml:space="preserve"> (PRC)</w:t>
            </w:r>
          </w:p>
        </w:tc>
        <w:tc>
          <w:tcPr>
            <w:tcW w:w="850" w:type="dxa"/>
            <w:shd w:val="clear" w:color="auto" w:fill="DEEAF6" w:themeFill="accent5" w:themeFillTint="33"/>
            <w:hideMark/>
          </w:tcPr>
          <w:p w14:paraId="275ACE4B" w14:textId="77777777" w:rsidR="00A21C01" w:rsidRPr="00D66D81" w:rsidRDefault="00A21C01">
            <w:pPr>
              <w:spacing w:line="240" w:lineRule="auto"/>
              <w:jc w:val="right"/>
              <w:rPr>
                <w:rFonts w:cs="Arial"/>
                <w:sz w:val="22"/>
              </w:rPr>
            </w:pPr>
            <w:r w:rsidRPr="00D66D81">
              <w:rPr>
                <w:rFonts w:cs="Arial"/>
                <w:sz w:val="22"/>
              </w:rPr>
              <w:t>1</w:t>
            </w:r>
          </w:p>
        </w:tc>
        <w:tc>
          <w:tcPr>
            <w:tcW w:w="1418" w:type="dxa"/>
            <w:hideMark/>
          </w:tcPr>
          <w:p w14:paraId="61A8D721" w14:textId="77777777" w:rsidR="00A21C01" w:rsidRPr="00D66D81" w:rsidRDefault="00A21C01">
            <w:pPr>
              <w:spacing w:line="240" w:lineRule="auto"/>
              <w:jc w:val="right"/>
              <w:rPr>
                <w:rFonts w:cs="Arial"/>
                <w:sz w:val="22"/>
              </w:rPr>
            </w:pPr>
          </w:p>
        </w:tc>
        <w:tc>
          <w:tcPr>
            <w:tcW w:w="1276" w:type="dxa"/>
            <w:hideMark/>
          </w:tcPr>
          <w:p w14:paraId="2551FC8F" w14:textId="77777777" w:rsidR="00A21C01" w:rsidRPr="00D66D81" w:rsidRDefault="00A21C01">
            <w:pPr>
              <w:spacing w:line="240" w:lineRule="auto"/>
              <w:jc w:val="right"/>
              <w:rPr>
                <w:rFonts w:cs="Arial"/>
                <w:sz w:val="22"/>
              </w:rPr>
            </w:pPr>
            <w:r w:rsidRPr="00D66D81">
              <w:rPr>
                <w:rFonts w:cs="Arial"/>
                <w:sz w:val="22"/>
              </w:rPr>
              <w:t>1</w:t>
            </w:r>
          </w:p>
        </w:tc>
        <w:tc>
          <w:tcPr>
            <w:tcW w:w="992" w:type="dxa"/>
            <w:hideMark/>
          </w:tcPr>
          <w:p w14:paraId="5552BF2F" w14:textId="77777777" w:rsidR="00A21C01" w:rsidRPr="00D66D81" w:rsidRDefault="00A21C01">
            <w:pPr>
              <w:spacing w:line="240" w:lineRule="auto"/>
              <w:jc w:val="right"/>
              <w:rPr>
                <w:rFonts w:cs="Arial"/>
                <w:sz w:val="22"/>
              </w:rPr>
            </w:pPr>
          </w:p>
        </w:tc>
        <w:tc>
          <w:tcPr>
            <w:tcW w:w="1984" w:type="dxa"/>
            <w:hideMark/>
          </w:tcPr>
          <w:p w14:paraId="627D419E" w14:textId="77777777" w:rsidR="00A21C01" w:rsidRPr="00D66D81" w:rsidRDefault="00A21C01">
            <w:pPr>
              <w:spacing w:line="240" w:lineRule="auto"/>
              <w:jc w:val="right"/>
              <w:rPr>
                <w:rFonts w:cs="Arial"/>
                <w:sz w:val="22"/>
              </w:rPr>
            </w:pPr>
          </w:p>
        </w:tc>
        <w:tc>
          <w:tcPr>
            <w:tcW w:w="2552" w:type="dxa"/>
            <w:hideMark/>
          </w:tcPr>
          <w:p w14:paraId="7A4B388A" w14:textId="77777777" w:rsidR="00A21C01" w:rsidRPr="00D66D81" w:rsidRDefault="00A21C01">
            <w:pPr>
              <w:spacing w:line="240" w:lineRule="auto"/>
              <w:rPr>
                <w:rFonts w:cs="Arial"/>
                <w:sz w:val="22"/>
              </w:rPr>
            </w:pPr>
            <w:r w:rsidRPr="00D66D81">
              <w:rPr>
                <w:rFonts w:cs="Arial"/>
                <w:sz w:val="22"/>
              </w:rPr>
              <w:t>Bulgaria, Vietnam</w:t>
            </w:r>
          </w:p>
        </w:tc>
        <w:tc>
          <w:tcPr>
            <w:tcW w:w="2268" w:type="dxa"/>
            <w:hideMark/>
          </w:tcPr>
          <w:p w14:paraId="32C506C9" w14:textId="77777777" w:rsidR="00A21C01" w:rsidRPr="00D66D81" w:rsidRDefault="00A21C01">
            <w:pPr>
              <w:spacing w:line="240" w:lineRule="auto"/>
              <w:jc w:val="right"/>
              <w:rPr>
                <w:rFonts w:cs="Arial"/>
                <w:sz w:val="22"/>
              </w:rPr>
            </w:pPr>
            <w:r w:rsidRPr="00D66D81">
              <w:rPr>
                <w:rFonts w:cs="Arial"/>
                <w:sz w:val="22"/>
              </w:rPr>
              <w:t>441210, 441231, 441232, 441239</w:t>
            </w:r>
          </w:p>
        </w:tc>
      </w:tr>
      <w:tr w:rsidR="00FB2409" w:rsidRPr="00D66D81" w14:paraId="009C285E" w14:textId="77777777" w:rsidTr="00FB2409">
        <w:trPr>
          <w:trHeight w:val="667"/>
        </w:trPr>
        <w:tc>
          <w:tcPr>
            <w:tcW w:w="2547" w:type="dxa"/>
            <w:hideMark/>
          </w:tcPr>
          <w:p w14:paraId="26075F9D" w14:textId="211F3B6B" w:rsidR="00A21C01" w:rsidRPr="00D66D81" w:rsidRDefault="00A21C01">
            <w:pPr>
              <w:spacing w:line="240" w:lineRule="auto"/>
              <w:rPr>
                <w:rFonts w:cs="Arial"/>
                <w:sz w:val="22"/>
              </w:rPr>
            </w:pPr>
            <w:r w:rsidRPr="00D66D81">
              <w:rPr>
                <w:rFonts w:cs="Arial"/>
                <w:sz w:val="22"/>
              </w:rPr>
              <w:t>Polyester partially oriented yarn</w:t>
            </w:r>
            <w:r w:rsidR="00577383">
              <w:rPr>
                <w:rFonts w:cs="Arial"/>
                <w:sz w:val="22"/>
              </w:rPr>
              <w:t xml:space="preserve"> (PRC, Taiwan, Indonesia, India, Malaysia, Thailand, Vietnam)</w:t>
            </w:r>
          </w:p>
        </w:tc>
        <w:tc>
          <w:tcPr>
            <w:tcW w:w="850" w:type="dxa"/>
            <w:shd w:val="clear" w:color="auto" w:fill="DEEAF6" w:themeFill="accent5" w:themeFillTint="33"/>
            <w:hideMark/>
          </w:tcPr>
          <w:p w14:paraId="03EBD664" w14:textId="77777777" w:rsidR="00A21C01" w:rsidRPr="00D66D81" w:rsidRDefault="00A21C01">
            <w:pPr>
              <w:spacing w:line="240" w:lineRule="auto"/>
              <w:jc w:val="right"/>
              <w:rPr>
                <w:rFonts w:cs="Arial"/>
                <w:sz w:val="22"/>
              </w:rPr>
            </w:pPr>
            <w:r w:rsidRPr="00D66D81">
              <w:rPr>
                <w:rFonts w:cs="Arial"/>
                <w:sz w:val="22"/>
              </w:rPr>
              <w:t>1</w:t>
            </w:r>
          </w:p>
        </w:tc>
        <w:tc>
          <w:tcPr>
            <w:tcW w:w="1418" w:type="dxa"/>
            <w:hideMark/>
          </w:tcPr>
          <w:p w14:paraId="098C7154" w14:textId="77777777" w:rsidR="00A21C01" w:rsidRPr="00D66D81" w:rsidRDefault="00A21C01">
            <w:pPr>
              <w:spacing w:line="240" w:lineRule="auto"/>
              <w:jc w:val="right"/>
              <w:rPr>
                <w:rFonts w:cs="Arial"/>
                <w:sz w:val="22"/>
              </w:rPr>
            </w:pPr>
          </w:p>
        </w:tc>
        <w:tc>
          <w:tcPr>
            <w:tcW w:w="1276" w:type="dxa"/>
            <w:hideMark/>
          </w:tcPr>
          <w:p w14:paraId="6BE4636D" w14:textId="77777777" w:rsidR="00A21C01" w:rsidRPr="00D66D81" w:rsidRDefault="00A21C01">
            <w:pPr>
              <w:spacing w:line="240" w:lineRule="auto"/>
              <w:jc w:val="right"/>
              <w:rPr>
                <w:rFonts w:cs="Arial"/>
                <w:sz w:val="22"/>
              </w:rPr>
            </w:pPr>
          </w:p>
        </w:tc>
        <w:tc>
          <w:tcPr>
            <w:tcW w:w="992" w:type="dxa"/>
            <w:hideMark/>
          </w:tcPr>
          <w:p w14:paraId="33C74A7A" w14:textId="77777777" w:rsidR="00A21C01" w:rsidRPr="00D66D81" w:rsidRDefault="00A21C01">
            <w:pPr>
              <w:spacing w:line="240" w:lineRule="auto"/>
              <w:jc w:val="right"/>
              <w:rPr>
                <w:rFonts w:cs="Arial"/>
                <w:sz w:val="22"/>
              </w:rPr>
            </w:pPr>
            <w:r w:rsidRPr="00D66D81">
              <w:rPr>
                <w:rFonts w:cs="Arial"/>
                <w:sz w:val="22"/>
              </w:rPr>
              <w:t>1</w:t>
            </w:r>
          </w:p>
        </w:tc>
        <w:tc>
          <w:tcPr>
            <w:tcW w:w="1984" w:type="dxa"/>
            <w:hideMark/>
          </w:tcPr>
          <w:p w14:paraId="7F810A26" w14:textId="77777777" w:rsidR="00A21C01" w:rsidRPr="00D66D81" w:rsidRDefault="00A21C01">
            <w:pPr>
              <w:spacing w:line="240" w:lineRule="auto"/>
              <w:jc w:val="right"/>
              <w:rPr>
                <w:rFonts w:cs="Arial"/>
                <w:sz w:val="22"/>
              </w:rPr>
            </w:pPr>
          </w:p>
        </w:tc>
        <w:tc>
          <w:tcPr>
            <w:tcW w:w="2552" w:type="dxa"/>
            <w:hideMark/>
          </w:tcPr>
          <w:p w14:paraId="146F6039" w14:textId="336E3201" w:rsidR="00A21C01" w:rsidRPr="00D66D81" w:rsidRDefault="00192BF6">
            <w:pPr>
              <w:spacing w:line="240" w:lineRule="auto"/>
              <w:rPr>
                <w:rFonts w:cs="Arial"/>
                <w:sz w:val="22"/>
              </w:rPr>
            </w:pPr>
            <w:r>
              <w:rPr>
                <w:rFonts w:cs="Arial"/>
                <w:sz w:val="22"/>
              </w:rPr>
              <w:t>PRC</w:t>
            </w:r>
            <w:r w:rsidR="00A21C01" w:rsidRPr="00D66D81">
              <w:rPr>
                <w:rFonts w:cs="Arial"/>
                <w:sz w:val="22"/>
              </w:rPr>
              <w:t>, Taiwan, Indonesia, India, Malaysia, Thailand, and Vietnam</w:t>
            </w:r>
          </w:p>
        </w:tc>
        <w:tc>
          <w:tcPr>
            <w:tcW w:w="2268" w:type="dxa"/>
            <w:hideMark/>
          </w:tcPr>
          <w:p w14:paraId="0FCB2D79" w14:textId="77777777" w:rsidR="00A21C01" w:rsidRPr="00D66D81" w:rsidRDefault="00A21C01">
            <w:pPr>
              <w:spacing w:line="240" w:lineRule="auto"/>
              <w:jc w:val="right"/>
              <w:rPr>
                <w:rFonts w:cs="Arial"/>
                <w:sz w:val="22"/>
              </w:rPr>
            </w:pPr>
            <w:r w:rsidRPr="00D66D81">
              <w:rPr>
                <w:rFonts w:cs="Arial"/>
                <w:sz w:val="22"/>
              </w:rPr>
              <w:t>540246</w:t>
            </w:r>
          </w:p>
        </w:tc>
      </w:tr>
      <w:tr w:rsidR="00FB2409" w:rsidRPr="00D66D81" w14:paraId="28F3DF3E" w14:textId="77777777" w:rsidTr="00FB2409">
        <w:trPr>
          <w:trHeight w:val="388"/>
        </w:trPr>
        <w:tc>
          <w:tcPr>
            <w:tcW w:w="2547" w:type="dxa"/>
            <w:hideMark/>
          </w:tcPr>
          <w:p w14:paraId="01C5547A" w14:textId="6C118D19" w:rsidR="00A21C01" w:rsidRPr="00D66D81" w:rsidRDefault="00A21C01">
            <w:pPr>
              <w:spacing w:line="240" w:lineRule="auto"/>
              <w:rPr>
                <w:rFonts w:cs="Arial"/>
                <w:sz w:val="22"/>
              </w:rPr>
            </w:pPr>
            <w:r w:rsidRPr="00D66D81">
              <w:rPr>
                <w:rFonts w:cs="Arial"/>
                <w:sz w:val="22"/>
              </w:rPr>
              <w:t xml:space="preserve">Certain woven fabrics </w:t>
            </w:r>
            <w:r w:rsidR="008A525A">
              <w:rPr>
                <w:rFonts w:cs="Arial"/>
                <w:sz w:val="22"/>
              </w:rPr>
              <w:t>(PRC)</w:t>
            </w:r>
          </w:p>
        </w:tc>
        <w:tc>
          <w:tcPr>
            <w:tcW w:w="850" w:type="dxa"/>
            <w:shd w:val="clear" w:color="auto" w:fill="DEEAF6" w:themeFill="accent5" w:themeFillTint="33"/>
            <w:hideMark/>
          </w:tcPr>
          <w:p w14:paraId="0A4673E3" w14:textId="77777777" w:rsidR="00A21C01" w:rsidRPr="00D66D81" w:rsidRDefault="00A21C01">
            <w:pPr>
              <w:spacing w:line="240" w:lineRule="auto"/>
              <w:jc w:val="right"/>
              <w:rPr>
                <w:rFonts w:cs="Arial"/>
                <w:sz w:val="22"/>
              </w:rPr>
            </w:pPr>
            <w:r w:rsidRPr="00D66D81">
              <w:rPr>
                <w:rFonts w:cs="Arial"/>
                <w:sz w:val="22"/>
              </w:rPr>
              <w:t>1</w:t>
            </w:r>
          </w:p>
        </w:tc>
        <w:tc>
          <w:tcPr>
            <w:tcW w:w="1418" w:type="dxa"/>
            <w:hideMark/>
          </w:tcPr>
          <w:p w14:paraId="4BD886D8" w14:textId="77777777" w:rsidR="00A21C01" w:rsidRPr="00D66D81" w:rsidRDefault="00A21C01">
            <w:pPr>
              <w:spacing w:line="240" w:lineRule="auto"/>
              <w:jc w:val="right"/>
              <w:rPr>
                <w:rFonts w:cs="Arial"/>
                <w:sz w:val="22"/>
              </w:rPr>
            </w:pPr>
          </w:p>
        </w:tc>
        <w:tc>
          <w:tcPr>
            <w:tcW w:w="1276" w:type="dxa"/>
            <w:hideMark/>
          </w:tcPr>
          <w:p w14:paraId="4CB9E096" w14:textId="77777777" w:rsidR="00A21C01" w:rsidRPr="00D66D81" w:rsidRDefault="00A21C01">
            <w:pPr>
              <w:spacing w:line="240" w:lineRule="auto"/>
              <w:jc w:val="right"/>
              <w:rPr>
                <w:rFonts w:cs="Arial"/>
                <w:sz w:val="22"/>
              </w:rPr>
            </w:pPr>
            <w:r w:rsidRPr="00D66D81">
              <w:rPr>
                <w:rFonts w:cs="Arial"/>
                <w:sz w:val="22"/>
              </w:rPr>
              <w:t>1</w:t>
            </w:r>
          </w:p>
        </w:tc>
        <w:tc>
          <w:tcPr>
            <w:tcW w:w="992" w:type="dxa"/>
            <w:hideMark/>
          </w:tcPr>
          <w:p w14:paraId="11E9AC3E" w14:textId="77777777" w:rsidR="00A21C01" w:rsidRPr="00D66D81" w:rsidRDefault="00A21C01">
            <w:pPr>
              <w:spacing w:line="240" w:lineRule="auto"/>
              <w:jc w:val="right"/>
              <w:rPr>
                <w:rFonts w:cs="Arial"/>
                <w:sz w:val="22"/>
              </w:rPr>
            </w:pPr>
          </w:p>
        </w:tc>
        <w:tc>
          <w:tcPr>
            <w:tcW w:w="1984" w:type="dxa"/>
            <w:hideMark/>
          </w:tcPr>
          <w:p w14:paraId="4C818084" w14:textId="77777777" w:rsidR="00A21C01" w:rsidRPr="00D66D81" w:rsidRDefault="00A21C01">
            <w:pPr>
              <w:spacing w:line="240" w:lineRule="auto"/>
              <w:jc w:val="right"/>
              <w:rPr>
                <w:rFonts w:cs="Arial"/>
                <w:sz w:val="22"/>
              </w:rPr>
            </w:pPr>
          </w:p>
        </w:tc>
        <w:tc>
          <w:tcPr>
            <w:tcW w:w="2552" w:type="dxa"/>
            <w:hideMark/>
          </w:tcPr>
          <w:p w14:paraId="1F2C386C" w14:textId="77777777" w:rsidR="00A21C01" w:rsidRPr="00D66D81" w:rsidRDefault="00A21C01">
            <w:pPr>
              <w:spacing w:line="240" w:lineRule="auto"/>
              <w:rPr>
                <w:rFonts w:cs="Arial"/>
                <w:sz w:val="22"/>
              </w:rPr>
            </w:pPr>
            <w:r w:rsidRPr="00D66D81">
              <w:rPr>
                <w:rFonts w:cs="Arial"/>
                <w:sz w:val="22"/>
              </w:rPr>
              <w:t>Greece</w:t>
            </w:r>
          </w:p>
        </w:tc>
        <w:tc>
          <w:tcPr>
            <w:tcW w:w="2268" w:type="dxa"/>
            <w:hideMark/>
          </w:tcPr>
          <w:p w14:paraId="7E7D535C" w14:textId="77777777" w:rsidR="00A21C01" w:rsidRPr="00D66D81" w:rsidRDefault="00A21C01">
            <w:pPr>
              <w:spacing w:line="240" w:lineRule="auto"/>
              <w:jc w:val="right"/>
              <w:rPr>
                <w:rFonts w:cs="Arial"/>
                <w:sz w:val="22"/>
              </w:rPr>
            </w:pPr>
            <w:r w:rsidRPr="00D66D81">
              <w:rPr>
                <w:rFonts w:cs="Arial"/>
                <w:sz w:val="22"/>
              </w:rPr>
              <w:t>5513, 5514, 5515, 5516</w:t>
            </w:r>
          </w:p>
        </w:tc>
      </w:tr>
      <w:tr w:rsidR="00FB2409" w:rsidRPr="00D66D81" w14:paraId="0F97E29B" w14:textId="77777777" w:rsidTr="00FB2409">
        <w:trPr>
          <w:trHeight w:val="388"/>
        </w:trPr>
        <w:tc>
          <w:tcPr>
            <w:tcW w:w="2547" w:type="dxa"/>
            <w:hideMark/>
          </w:tcPr>
          <w:p w14:paraId="2EC819E0" w14:textId="560BE5C3" w:rsidR="00A21C01" w:rsidRPr="00D66D81" w:rsidRDefault="00A21C01">
            <w:pPr>
              <w:spacing w:line="240" w:lineRule="auto"/>
              <w:rPr>
                <w:rFonts w:cs="Arial"/>
                <w:sz w:val="22"/>
              </w:rPr>
            </w:pPr>
            <w:r w:rsidRPr="00D66D81">
              <w:rPr>
                <w:rFonts w:cs="Arial"/>
                <w:sz w:val="22"/>
              </w:rPr>
              <w:t xml:space="preserve">Woven fabrics of synthetic filament yarn </w:t>
            </w:r>
            <w:r w:rsidR="008A525A">
              <w:rPr>
                <w:rFonts w:cs="Arial"/>
                <w:sz w:val="22"/>
              </w:rPr>
              <w:t>(PRC)</w:t>
            </w:r>
          </w:p>
        </w:tc>
        <w:tc>
          <w:tcPr>
            <w:tcW w:w="850" w:type="dxa"/>
            <w:shd w:val="clear" w:color="auto" w:fill="DEEAF6" w:themeFill="accent5" w:themeFillTint="33"/>
            <w:hideMark/>
          </w:tcPr>
          <w:p w14:paraId="4D9583BC" w14:textId="77777777" w:rsidR="00A21C01" w:rsidRPr="00D66D81" w:rsidRDefault="00A21C01">
            <w:pPr>
              <w:spacing w:line="240" w:lineRule="auto"/>
              <w:jc w:val="right"/>
              <w:rPr>
                <w:rFonts w:cs="Arial"/>
                <w:sz w:val="22"/>
              </w:rPr>
            </w:pPr>
            <w:r w:rsidRPr="00D66D81">
              <w:rPr>
                <w:rFonts w:cs="Arial"/>
                <w:sz w:val="22"/>
              </w:rPr>
              <w:t>1</w:t>
            </w:r>
          </w:p>
        </w:tc>
        <w:tc>
          <w:tcPr>
            <w:tcW w:w="1418" w:type="dxa"/>
            <w:hideMark/>
          </w:tcPr>
          <w:p w14:paraId="7BEBA992" w14:textId="77777777" w:rsidR="00A21C01" w:rsidRPr="00D66D81" w:rsidRDefault="00A21C01">
            <w:pPr>
              <w:spacing w:line="240" w:lineRule="auto"/>
              <w:jc w:val="right"/>
              <w:rPr>
                <w:rFonts w:cs="Arial"/>
                <w:sz w:val="22"/>
              </w:rPr>
            </w:pPr>
          </w:p>
        </w:tc>
        <w:tc>
          <w:tcPr>
            <w:tcW w:w="1276" w:type="dxa"/>
            <w:hideMark/>
          </w:tcPr>
          <w:p w14:paraId="1AD543EC" w14:textId="77777777" w:rsidR="00A21C01" w:rsidRPr="00D66D81" w:rsidRDefault="00A21C01">
            <w:pPr>
              <w:spacing w:line="240" w:lineRule="auto"/>
              <w:jc w:val="right"/>
              <w:rPr>
                <w:rFonts w:cs="Arial"/>
                <w:sz w:val="22"/>
              </w:rPr>
            </w:pPr>
            <w:r w:rsidRPr="00D66D81">
              <w:rPr>
                <w:rFonts w:cs="Arial"/>
                <w:sz w:val="22"/>
              </w:rPr>
              <w:t>1</w:t>
            </w:r>
          </w:p>
        </w:tc>
        <w:tc>
          <w:tcPr>
            <w:tcW w:w="992" w:type="dxa"/>
            <w:hideMark/>
          </w:tcPr>
          <w:p w14:paraId="029B6E35" w14:textId="77777777" w:rsidR="00A21C01" w:rsidRPr="00D66D81" w:rsidRDefault="00A21C01">
            <w:pPr>
              <w:spacing w:line="240" w:lineRule="auto"/>
              <w:jc w:val="right"/>
              <w:rPr>
                <w:rFonts w:cs="Arial"/>
                <w:sz w:val="22"/>
              </w:rPr>
            </w:pPr>
          </w:p>
        </w:tc>
        <w:tc>
          <w:tcPr>
            <w:tcW w:w="1984" w:type="dxa"/>
            <w:hideMark/>
          </w:tcPr>
          <w:p w14:paraId="1FDFA6F2" w14:textId="77777777" w:rsidR="00A21C01" w:rsidRPr="00D66D81" w:rsidRDefault="00A21C01">
            <w:pPr>
              <w:spacing w:line="240" w:lineRule="auto"/>
              <w:jc w:val="right"/>
              <w:rPr>
                <w:rFonts w:cs="Arial"/>
                <w:sz w:val="22"/>
              </w:rPr>
            </w:pPr>
          </w:p>
        </w:tc>
        <w:tc>
          <w:tcPr>
            <w:tcW w:w="2552" w:type="dxa"/>
            <w:hideMark/>
          </w:tcPr>
          <w:p w14:paraId="62145487" w14:textId="77777777" w:rsidR="00A21C01" w:rsidRPr="00D66D81" w:rsidRDefault="00A21C01">
            <w:pPr>
              <w:spacing w:line="240" w:lineRule="auto"/>
              <w:rPr>
                <w:rFonts w:cs="Arial"/>
                <w:sz w:val="22"/>
              </w:rPr>
            </w:pPr>
            <w:r w:rsidRPr="00D66D81">
              <w:rPr>
                <w:rFonts w:cs="Arial"/>
                <w:sz w:val="22"/>
              </w:rPr>
              <w:t>Bulgaria</w:t>
            </w:r>
          </w:p>
        </w:tc>
        <w:tc>
          <w:tcPr>
            <w:tcW w:w="2268" w:type="dxa"/>
            <w:hideMark/>
          </w:tcPr>
          <w:p w14:paraId="40FB9BE1" w14:textId="77777777" w:rsidR="00A21C01" w:rsidRPr="00D66D81" w:rsidRDefault="00A21C01">
            <w:pPr>
              <w:spacing w:line="240" w:lineRule="auto"/>
              <w:jc w:val="right"/>
              <w:rPr>
                <w:rFonts w:cs="Arial"/>
                <w:sz w:val="22"/>
              </w:rPr>
            </w:pPr>
            <w:r w:rsidRPr="00D66D81">
              <w:rPr>
                <w:rFonts w:cs="Arial"/>
                <w:sz w:val="22"/>
              </w:rPr>
              <w:t>5407</w:t>
            </w:r>
          </w:p>
        </w:tc>
      </w:tr>
      <w:tr w:rsidR="00FB2409" w:rsidRPr="00D66D81" w14:paraId="4A296DC7" w14:textId="77777777" w:rsidTr="00FB2409">
        <w:trPr>
          <w:trHeight w:val="388"/>
        </w:trPr>
        <w:tc>
          <w:tcPr>
            <w:tcW w:w="2547" w:type="dxa"/>
            <w:hideMark/>
          </w:tcPr>
          <w:p w14:paraId="50DCFBF2" w14:textId="1319C1D5" w:rsidR="00A21C01" w:rsidRPr="00D66D81" w:rsidRDefault="00A21C01">
            <w:pPr>
              <w:spacing w:line="240" w:lineRule="auto"/>
              <w:rPr>
                <w:rFonts w:cs="Arial"/>
                <w:sz w:val="22"/>
              </w:rPr>
            </w:pPr>
            <w:r w:rsidRPr="00D66D81">
              <w:rPr>
                <w:rFonts w:cs="Arial"/>
                <w:sz w:val="22"/>
              </w:rPr>
              <w:t>Yarn of man-made or synthetic or artificial staple fibres</w:t>
            </w:r>
            <w:r w:rsidR="008A525A">
              <w:rPr>
                <w:rFonts w:cs="Arial"/>
                <w:sz w:val="22"/>
              </w:rPr>
              <w:t xml:space="preserve"> (PRC)</w:t>
            </w:r>
          </w:p>
        </w:tc>
        <w:tc>
          <w:tcPr>
            <w:tcW w:w="850" w:type="dxa"/>
            <w:shd w:val="clear" w:color="auto" w:fill="DEEAF6" w:themeFill="accent5" w:themeFillTint="33"/>
            <w:hideMark/>
          </w:tcPr>
          <w:p w14:paraId="48BA5020" w14:textId="77777777" w:rsidR="00A21C01" w:rsidRPr="00D66D81" w:rsidRDefault="00A21C01">
            <w:pPr>
              <w:spacing w:line="240" w:lineRule="auto"/>
              <w:jc w:val="right"/>
              <w:rPr>
                <w:rFonts w:cs="Arial"/>
                <w:sz w:val="22"/>
              </w:rPr>
            </w:pPr>
            <w:r w:rsidRPr="00D66D81">
              <w:rPr>
                <w:rFonts w:cs="Arial"/>
                <w:sz w:val="22"/>
              </w:rPr>
              <w:t>2</w:t>
            </w:r>
          </w:p>
        </w:tc>
        <w:tc>
          <w:tcPr>
            <w:tcW w:w="1418" w:type="dxa"/>
            <w:hideMark/>
          </w:tcPr>
          <w:p w14:paraId="2EA0B3F8" w14:textId="77777777" w:rsidR="00A21C01" w:rsidRPr="00D66D81" w:rsidRDefault="00A21C01">
            <w:pPr>
              <w:spacing w:line="240" w:lineRule="auto"/>
              <w:jc w:val="right"/>
              <w:rPr>
                <w:rFonts w:cs="Arial"/>
                <w:sz w:val="22"/>
              </w:rPr>
            </w:pPr>
          </w:p>
        </w:tc>
        <w:tc>
          <w:tcPr>
            <w:tcW w:w="1276" w:type="dxa"/>
            <w:hideMark/>
          </w:tcPr>
          <w:p w14:paraId="6624EA7D" w14:textId="77777777" w:rsidR="00A21C01" w:rsidRPr="00D66D81" w:rsidRDefault="00A21C01">
            <w:pPr>
              <w:spacing w:line="240" w:lineRule="auto"/>
              <w:jc w:val="right"/>
              <w:rPr>
                <w:rFonts w:cs="Arial"/>
                <w:sz w:val="22"/>
              </w:rPr>
            </w:pPr>
            <w:r w:rsidRPr="00D66D81">
              <w:rPr>
                <w:rFonts w:cs="Arial"/>
                <w:sz w:val="22"/>
              </w:rPr>
              <w:t>2</w:t>
            </w:r>
          </w:p>
        </w:tc>
        <w:tc>
          <w:tcPr>
            <w:tcW w:w="992" w:type="dxa"/>
            <w:hideMark/>
          </w:tcPr>
          <w:p w14:paraId="31449C7F" w14:textId="77777777" w:rsidR="00A21C01" w:rsidRPr="00D66D81" w:rsidRDefault="00A21C01">
            <w:pPr>
              <w:spacing w:line="240" w:lineRule="auto"/>
              <w:jc w:val="right"/>
              <w:rPr>
                <w:rFonts w:cs="Arial"/>
                <w:sz w:val="22"/>
              </w:rPr>
            </w:pPr>
          </w:p>
        </w:tc>
        <w:tc>
          <w:tcPr>
            <w:tcW w:w="1984" w:type="dxa"/>
            <w:hideMark/>
          </w:tcPr>
          <w:p w14:paraId="30347ADF" w14:textId="77777777" w:rsidR="00A21C01" w:rsidRPr="00D66D81" w:rsidRDefault="00A21C01">
            <w:pPr>
              <w:spacing w:line="240" w:lineRule="auto"/>
              <w:jc w:val="right"/>
              <w:rPr>
                <w:rFonts w:cs="Arial"/>
                <w:sz w:val="22"/>
              </w:rPr>
            </w:pPr>
          </w:p>
        </w:tc>
        <w:tc>
          <w:tcPr>
            <w:tcW w:w="2552" w:type="dxa"/>
            <w:hideMark/>
          </w:tcPr>
          <w:p w14:paraId="685A8278" w14:textId="2F612A0C" w:rsidR="00A21C01" w:rsidRPr="00D66D81" w:rsidRDefault="00A21C01">
            <w:pPr>
              <w:spacing w:line="240" w:lineRule="auto"/>
              <w:rPr>
                <w:rFonts w:cs="Arial"/>
                <w:sz w:val="22"/>
              </w:rPr>
            </w:pPr>
            <w:r w:rsidRPr="00D66D81">
              <w:rPr>
                <w:rFonts w:cs="Arial"/>
                <w:sz w:val="22"/>
              </w:rPr>
              <w:t>Bangladesh</w:t>
            </w:r>
          </w:p>
        </w:tc>
        <w:tc>
          <w:tcPr>
            <w:tcW w:w="2268" w:type="dxa"/>
            <w:hideMark/>
          </w:tcPr>
          <w:p w14:paraId="734C1E0A" w14:textId="77777777" w:rsidR="00A21C01" w:rsidRPr="00D66D81" w:rsidRDefault="00A21C01">
            <w:pPr>
              <w:spacing w:line="240" w:lineRule="auto"/>
              <w:jc w:val="right"/>
              <w:rPr>
                <w:rFonts w:cs="Arial"/>
                <w:sz w:val="22"/>
              </w:rPr>
            </w:pPr>
            <w:r w:rsidRPr="00D66D81">
              <w:rPr>
                <w:rFonts w:cs="Arial"/>
                <w:sz w:val="22"/>
              </w:rPr>
              <w:t>5508, 5509, 5510, 5511</w:t>
            </w:r>
          </w:p>
        </w:tc>
      </w:tr>
      <w:tr w:rsidR="00FB2409" w:rsidRPr="00D66D81" w14:paraId="078A5B29" w14:textId="77777777" w:rsidTr="00FB2409">
        <w:trPr>
          <w:trHeight w:val="388"/>
        </w:trPr>
        <w:tc>
          <w:tcPr>
            <w:tcW w:w="2547" w:type="dxa"/>
            <w:hideMark/>
          </w:tcPr>
          <w:p w14:paraId="326546C8" w14:textId="1F46A86F" w:rsidR="00A21C01" w:rsidRPr="00D66D81" w:rsidRDefault="00A21C01">
            <w:pPr>
              <w:spacing w:line="240" w:lineRule="auto"/>
              <w:rPr>
                <w:rFonts w:cs="Arial"/>
                <w:sz w:val="22"/>
              </w:rPr>
            </w:pPr>
            <w:r w:rsidRPr="00D66D81">
              <w:rPr>
                <w:rFonts w:cs="Arial"/>
                <w:sz w:val="22"/>
              </w:rPr>
              <w:t>Granites</w:t>
            </w:r>
            <w:r w:rsidR="008A525A">
              <w:rPr>
                <w:rFonts w:cs="Arial"/>
                <w:sz w:val="22"/>
              </w:rPr>
              <w:t xml:space="preserve"> (PRC)</w:t>
            </w:r>
          </w:p>
        </w:tc>
        <w:tc>
          <w:tcPr>
            <w:tcW w:w="850" w:type="dxa"/>
            <w:shd w:val="clear" w:color="auto" w:fill="DEEAF6" w:themeFill="accent5" w:themeFillTint="33"/>
            <w:hideMark/>
          </w:tcPr>
          <w:p w14:paraId="7259382D" w14:textId="77777777" w:rsidR="00A21C01" w:rsidRPr="00D66D81" w:rsidRDefault="00A21C01">
            <w:pPr>
              <w:spacing w:line="240" w:lineRule="auto"/>
              <w:jc w:val="right"/>
              <w:rPr>
                <w:rFonts w:cs="Arial"/>
                <w:sz w:val="22"/>
              </w:rPr>
            </w:pPr>
            <w:r w:rsidRPr="00D66D81">
              <w:rPr>
                <w:rFonts w:cs="Arial"/>
                <w:sz w:val="22"/>
              </w:rPr>
              <w:t>2</w:t>
            </w:r>
          </w:p>
        </w:tc>
        <w:tc>
          <w:tcPr>
            <w:tcW w:w="1418" w:type="dxa"/>
            <w:hideMark/>
          </w:tcPr>
          <w:p w14:paraId="63CD0829" w14:textId="77777777" w:rsidR="00A21C01" w:rsidRPr="00D66D81" w:rsidRDefault="00A21C01">
            <w:pPr>
              <w:spacing w:line="240" w:lineRule="auto"/>
              <w:jc w:val="right"/>
              <w:rPr>
                <w:rFonts w:cs="Arial"/>
                <w:sz w:val="22"/>
              </w:rPr>
            </w:pPr>
          </w:p>
        </w:tc>
        <w:tc>
          <w:tcPr>
            <w:tcW w:w="1276" w:type="dxa"/>
            <w:hideMark/>
          </w:tcPr>
          <w:p w14:paraId="4BBF09CD" w14:textId="77777777" w:rsidR="00A21C01" w:rsidRPr="00D66D81" w:rsidRDefault="00A21C01">
            <w:pPr>
              <w:spacing w:line="240" w:lineRule="auto"/>
              <w:jc w:val="right"/>
              <w:rPr>
                <w:rFonts w:cs="Arial"/>
                <w:sz w:val="22"/>
              </w:rPr>
            </w:pPr>
            <w:r w:rsidRPr="00D66D81">
              <w:rPr>
                <w:rFonts w:cs="Arial"/>
                <w:sz w:val="22"/>
              </w:rPr>
              <w:t>2</w:t>
            </w:r>
          </w:p>
        </w:tc>
        <w:tc>
          <w:tcPr>
            <w:tcW w:w="992" w:type="dxa"/>
            <w:hideMark/>
          </w:tcPr>
          <w:p w14:paraId="7AE7CF71" w14:textId="77777777" w:rsidR="00A21C01" w:rsidRPr="00D66D81" w:rsidRDefault="00A21C01">
            <w:pPr>
              <w:spacing w:line="240" w:lineRule="auto"/>
              <w:jc w:val="right"/>
              <w:rPr>
                <w:rFonts w:cs="Arial"/>
                <w:sz w:val="22"/>
              </w:rPr>
            </w:pPr>
          </w:p>
        </w:tc>
        <w:tc>
          <w:tcPr>
            <w:tcW w:w="1984" w:type="dxa"/>
            <w:hideMark/>
          </w:tcPr>
          <w:p w14:paraId="2A0E1751" w14:textId="77777777" w:rsidR="00A21C01" w:rsidRPr="00D66D81" w:rsidRDefault="00A21C01">
            <w:pPr>
              <w:spacing w:line="240" w:lineRule="auto"/>
              <w:jc w:val="right"/>
              <w:rPr>
                <w:rFonts w:cs="Arial"/>
                <w:sz w:val="22"/>
              </w:rPr>
            </w:pPr>
          </w:p>
        </w:tc>
        <w:tc>
          <w:tcPr>
            <w:tcW w:w="2552" w:type="dxa"/>
            <w:hideMark/>
          </w:tcPr>
          <w:p w14:paraId="79A13C3D" w14:textId="77777777" w:rsidR="00A21C01" w:rsidRPr="00D66D81" w:rsidRDefault="00A21C01">
            <w:pPr>
              <w:spacing w:line="240" w:lineRule="auto"/>
              <w:rPr>
                <w:rFonts w:cs="Arial"/>
                <w:sz w:val="22"/>
              </w:rPr>
            </w:pPr>
            <w:r w:rsidRPr="00D66D81">
              <w:rPr>
                <w:rFonts w:cs="Arial"/>
                <w:sz w:val="22"/>
              </w:rPr>
              <w:t>Iran</w:t>
            </w:r>
          </w:p>
        </w:tc>
        <w:tc>
          <w:tcPr>
            <w:tcW w:w="2268" w:type="dxa"/>
            <w:hideMark/>
          </w:tcPr>
          <w:p w14:paraId="3990EABE" w14:textId="77777777" w:rsidR="00A21C01" w:rsidRPr="00D66D81" w:rsidRDefault="00A21C01">
            <w:pPr>
              <w:spacing w:line="240" w:lineRule="auto"/>
              <w:jc w:val="right"/>
              <w:rPr>
                <w:rFonts w:cs="Arial"/>
                <w:sz w:val="22"/>
              </w:rPr>
            </w:pPr>
            <w:r w:rsidRPr="00D66D81">
              <w:rPr>
                <w:rFonts w:cs="Arial"/>
                <w:sz w:val="22"/>
              </w:rPr>
              <w:t>680223, 680293</w:t>
            </w:r>
          </w:p>
        </w:tc>
      </w:tr>
      <w:tr w:rsidR="00FB2409" w:rsidRPr="00D66D81" w14:paraId="2698BFAC" w14:textId="77777777" w:rsidTr="00FB2409">
        <w:trPr>
          <w:trHeight w:val="388"/>
        </w:trPr>
        <w:tc>
          <w:tcPr>
            <w:tcW w:w="2547" w:type="dxa"/>
            <w:hideMark/>
          </w:tcPr>
          <w:p w14:paraId="61D7E918" w14:textId="34E2A804" w:rsidR="00A21C01" w:rsidRPr="00D66D81" w:rsidRDefault="00A21C01">
            <w:pPr>
              <w:spacing w:line="240" w:lineRule="auto"/>
              <w:rPr>
                <w:rFonts w:cs="Arial"/>
                <w:sz w:val="22"/>
              </w:rPr>
            </w:pPr>
            <w:r w:rsidRPr="00D66D81">
              <w:rPr>
                <w:rFonts w:cs="Arial"/>
                <w:sz w:val="22"/>
              </w:rPr>
              <w:t>Welded stainless steel tubes and pipes and profiles</w:t>
            </w:r>
            <w:r w:rsidR="008A525A">
              <w:rPr>
                <w:rFonts w:cs="Arial"/>
                <w:sz w:val="22"/>
              </w:rPr>
              <w:t xml:space="preserve"> (PRC, Taiwan)</w:t>
            </w:r>
          </w:p>
        </w:tc>
        <w:tc>
          <w:tcPr>
            <w:tcW w:w="850" w:type="dxa"/>
            <w:shd w:val="clear" w:color="auto" w:fill="DEEAF6" w:themeFill="accent5" w:themeFillTint="33"/>
            <w:hideMark/>
          </w:tcPr>
          <w:p w14:paraId="33161636" w14:textId="77777777" w:rsidR="00A21C01" w:rsidRPr="00D66D81" w:rsidRDefault="00A21C01">
            <w:pPr>
              <w:spacing w:line="240" w:lineRule="auto"/>
              <w:jc w:val="right"/>
              <w:rPr>
                <w:rFonts w:cs="Arial"/>
                <w:sz w:val="22"/>
              </w:rPr>
            </w:pPr>
            <w:r w:rsidRPr="00D66D81">
              <w:rPr>
                <w:rFonts w:cs="Arial"/>
                <w:sz w:val="22"/>
              </w:rPr>
              <w:t>1</w:t>
            </w:r>
          </w:p>
        </w:tc>
        <w:tc>
          <w:tcPr>
            <w:tcW w:w="1418" w:type="dxa"/>
            <w:hideMark/>
          </w:tcPr>
          <w:p w14:paraId="715EDCF2" w14:textId="77777777" w:rsidR="00A21C01" w:rsidRPr="00D66D81" w:rsidRDefault="00A21C01">
            <w:pPr>
              <w:spacing w:line="240" w:lineRule="auto"/>
              <w:jc w:val="right"/>
              <w:rPr>
                <w:rFonts w:cs="Arial"/>
                <w:sz w:val="22"/>
              </w:rPr>
            </w:pPr>
          </w:p>
        </w:tc>
        <w:tc>
          <w:tcPr>
            <w:tcW w:w="1276" w:type="dxa"/>
            <w:hideMark/>
          </w:tcPr>
          <w:p w14:paraId="5F4F2D1E" w14:textId="77777777" w:rsidR="00A21C01" w:rsidRPr="00D66D81" w:rsidRDefault="00A21C01">
            <w:pPr>
              <w:spacing w:line="240" w:lineRule="auto"/>
              <w:jc w:val="right"/>
              <w:rPr>
                <w:rFonts w:cs="Arial"/>
                <w:sz w:val="22"/>
              </w:rPr>
            </w:pPr>
            <w:r w:rsidRPr="00D66D81">
              <w:rPr>
                <w:rFonts w:cs="Arial"/>
                <w:sz w:val="22"/>
              </w:rPr>
              <w:t>1</w:t>
            </w:r>
          </w:p>
        </w:tc>
        <w:tc>
          <w:tcPr>
            <w:tcW w:w="992" w:type="dxa"/>
            <w:hideMark/>
          </w:tcPr>
          <w:p w14:paraId="7B82C5D1" w14:textId="77777777" w:rsidR="00A21C01" w:rsidRPr="00D66D81" w:rsidRDefault="00A21C01">
            <w:pPr>
              <w:spacing w:line="240" w:lineRule="auto"/>
              <w:jc w:val="right"/>
              <w:rPr>
                <w:rFonts w:cs="Arial"/>
                <w:sz w:val="22"/>
              </w:rPr>
            </w:pPr>
          </w:p>
        </w:tc>
        <w:tc>
          <w:tcPr>
            <w:tcW w:w="1984" w:type="dxa"/>
            <w:hideMark/>
          </w:tcPr>
          <w:p w14:paraId="62EBCEAC" w14:textId="77777777" w:rsidR="00A21C01" w:rsidRPr="00D66D81" w:rsidRDefault="00A21C01">
            <w:pPr>
              <w:spacing w:line="240" w:lineRule="auto"/>
              <w:jc w:val="right"/>
              <w:rPr>
                <w:rFonts w:cs="Arial"/>
                <w:sz w:val="22"/>
              </w:rPr>
            </w:pPr>
          </w:p>
        </w:tc>
        <w:tc>
          <w:tcPr>
            <w:tcW w:w="2552" w:type="dxa"/>
            <w:hideMark/>
          </w:tcPr>
          <w:p w14:paraId="0B647E1F" w14:textId="77777777" w:rsidR="00A21C01" w:rsidRPr="00D66D81" w:rsidRDefault="00A21C01">
            <w:pPr>
              <w:spacing w:line="240" w:lineRule="auto"/>
              <w:rPr>
                <w:rFonts w:cs="Arial"/>
                <w:sz w:val="22"/>
              </w:rPr>
            </w:pPr>
            <w:r w:rsidRPr="00D66D81">
              <w:rPr>
                <w:rFonts w:cs="Arial"/>
                <w:sz w:val="22"/>
              </w:rPr>
              <w:t>Malaysia, Vietnam</w:t>
            </w:r>
          </w:p>
        </w:tc>
        <w:tc>
          <w:tcPr>
            <w:tcW w:w="2268" w:type="dxa"/>
            <w:hideMark/>
          </w:tcPr>
          <w:p w14:paraId="29471260" w14:textId="77777777" w:rsidR="00A21C01" w:rsidRPr="00D66D81" w:rsidRDefault="00A21C01">
            <w:pPr>
              <w:spacing w:line="240" w:lineRule="auto"/>
              <w:jc w:val="right"/>
              <w:rPr>
                <w:rFonts w:cs="Arial"/>
                <w:sz w:val="22"/>
              </w:rPr>
            </w:pPr>
            <w:r w:rsidRPr="00D66D81">
              <w:rPr>
                <w:rFonts w:cs="Arial"/>
                <w:sz w:val="22"/>
              </w:rPr>
              <w:t>730640209000, 730640809000, 730661100000</w:t>
            </w:r>
          </w:p>
        </w:tc>
      </w:tr>
      <w:tr w:rsidR="00FB2409" w:rsidRPr="00D66D81" w14:paraId="6421AF15" w14:textId="77777777" w:rsidTr="00FB2409">
        <w:trPr>
          <w:trHeight w:val="388"/>
        </w:trPr>
        <w:tc>
          <w:tcPr>
            <w:tcW w:w="2547" w:type="dxa"/>
            <w:hideMark/>
          </w:tcPr>
          <w:p w14:paraId="4CFDF84F" w14:textId="621029C4" w:rsidR="00A21C01" w:rsidRPr="00D66D81" w:rsidRDefault="00A21C01">
            <w:pPr>
              <w:spacing w:line="240" w:lineRule="auto"/>
              <w:rPr>
                <w:rFonts w:cs="Arial"/>
                <w:sz w:val="22"/>
                <w:lang w:val="it-IT"/>
              </w:rPr>
            </w:pPr>
            <w:r w:rsidRPr="00D66D81">
              <w:rPr>
                <w:rFonts w:cs="Arial"/>
                <w:sz w:val="22"/>
                <w:lang w:val="it-IT"/>
              </w:rPr>
              <w:t>Fittings</w:t>
            </w:r>
            <w:r w:rsidR="00A1303A">
              <w:rPr>
                <w:rFonts w:cs="Arial"/>
                <w:sz w:val="22"/>
                <w:lang w:val="it-IT"/>
              </w:rPr>
              <w:t xml:space="preserve"> (Brazil, Bulgaria, PRC, India, Indonesia, Thailand)</w:t>
            </w:r>
          </w:p>
        </w:tc>
        <w:tc>
          <w:tcPr>
            <w:tcW w:w="850" w:type="dxa"/>
            <w:shd w:val="clear" w:color="auto" w:fill="DEEAF6" w:themeFill="accent5" w:themeFillTint="33"/>
            <w:hideMark/>
          </w:tcPr>
          <w:p w14:paraId="462BCBD6" w14:textId="77777777" w:rsidR="00A21C01" w:rsidRPr="00D66D81" w:rsidRDefault="00A21C01">
            <w:pPr>
              <w:spacing w:line="240" w:lineRule="auto"/>
              <w:jc w:val="right"/>
              <w:rPr>
                <w:rFonts w:cs="Arial"/>
                <w:sz w:val="22"/>
              </w:rPr>
            </w:pPr>
            <w:r w:rsidRPr="00D66D81">
              <w:rPr>
                <w:rFonts w:cs="Arial"/>
                <w:sz w:val="22"/>
              </w:rPr>
              <w:t>1</w:t>
            </w:r>
          </w:p>
        </w:tc>
        <w:tc>
          <w:tcPr>
            <w:tcW w:w="1418" w:type="dxa"/>
            <w:hideMark/>
          </w:tcPr>
          <w:p w14:paraId="1937A21E" w14:textId="77777777" w:rsidR="00A21C01" w:rsidRPr="00D66D81" w:rsidRDefault="00A21C01">
            <w:pPr>
              <w:spacing w:line="240" w:lineRule="auto"/>
              <w:jc w:val="right"/>
              <w:rPr>
                <w:rFonts w:cs="Arial"/>
                <w:sz w:val="22"/>
              </w:rPr>
            </w:pPr>
          </w:p>
        </w:tc>
        <w:tc>
          <w:tcPr>
            <w:tcW w:w="1276" w:type="dxa"/>
            <w:hideMark/>
          </w:tcPr>
          <w:p w14:paraId="0653166B" w14:textId="77777777" w:rsidR="00A21C01" w:rsidRPr="00D66D81" w:rsidRDefault="00A21C01">
            <w:pPr>
              <w:spacing w:line="240" w:lineRule="auto"/>
              <w:jc w:val="right"/>
              <w:rPr>
                <w:rFonts w:cs="Arial"/>
                <w:sz w:val="22"/>
              </w:rPr>
            </w:pPr>
            <w:r w:rsidRPr="00D66D81">
              <w:rPr>
                <w:rFonts w:cs="Arial"/>
                <w:sz w:val="22"/>
              </w:rPr>
              <w:t>1</w:t>
            </w:r>
          </w:p>
        </w:tc>
        <w:tc>
          <w:tcPr>
            <w:tcW w:w="992" w:type="dxa"/>
            <w:hideMark/>
          </w:tcPr>
          <w:p w14:paraId="3C8FBF38" w14:textId="77777777" w:rsidR="00A21C01" w:rsidRPr="00D66D81" w:rsidRDefault="00A21C01">
            <w:pPr>
              <w:spacing w:line="240" w:lineRule="auto"/>
              <w:jc w:val="right"/>
              <w:rPr>
                <w:rFonts w:cs="Arial"/>
                <w:sz w:val="22"/>
              </w:rPr>
            </w:pPr>
          </w:p>
        </w:tc>
        <w:tc>
          <w:tcPr>
            <w:tcW w:w="1984" w:type="dxa"/>
            <w:hideMark/>
          </w:tcPr>
          <w:p w14:paraId="71A79198" w14:textId="77777777" w:rsidR="00A21C01" w:rsidRPr="00D66D81" w:rsidRDefault="00A21C01">
            <w:pPr>
              <w:spacing w:line="240" w:lineRule="auto"/>
              <w:jc w:val="right"/>
              <w:rPr>
                <w:rFonts w:cs="Arial"/>
                <w:sz w:val="22"/>
              </w:rPr>
            </w:pPr>
          </w:p>
        </w:tc>
        <w:tc>
          <w:tcPr>
            <w:tcW w:w="2552" w:type="dxa"/>
            <w:hideMark/>
          </w:tcPr>
          <w:p w14:paraId="448974A5" w14:textId="77777777" w:rsidR="00A21C01" w:rsidRPr="00D66D81" w:rsidRDefault="00A21C01">
            <w:pPr>
              <w:spacing w:line="240" w:lineRule="auto"/>
              <w:rPr>
                <w:rFonts w:cs="Arial"/>
                <w:sz w:val="22"/>
              </w:rPr>
            </w:pPr>
            <w:r w:rsidRPr="00D66D81">
              <w:rPr>
                <w:rFonts w:cs="Arial"/>
                <w:sz w:val="22"/>
              </w:rPr>
              <w:t>Taiwan</w:t>
            </w:r>
          </w:p>
        </w:tc>
        <w:tc>
          <w:tcPr>
            <w:tcW w:w="2268" w:type="dxa"/>
            <w:hideMark/>
          </w:tcPr>
          <w:p w14:paraId="684CC4AA" w14:textId="77777777" w:rsidR="00A21C01" w:rsidRPr="00D66D81" w:rsidRDefault="00A21C01">
            <w:pPr>
              <w:spacing w:line="240" w:lineRule="auto"/>
              <w:jc w:val="right"/>
              <w:rPr>
                <w:rFonts w:cs="Arial"/>
                <w:sz w:val="22"/>
              </w:rPr>
            </w:pPr>
            <w:r w:rsidRPr="00D66D81">
              <w:rPr>
                <w:rFonts w:cs="Arial"/>
                <w:sz w:val="22"/>
              </w:rPr>
              <w:t>730719</w:t>
            </w:r>
          </w:p>
        </w:tc>
      </w:tr>
      <w:tr w:rsidR="00FB2409" w:rsidRPr="00D66D81" w14:paraId="63D030CB" w14:textId="77777777" w:rsidTr="00FB2409">
        <w:trPr>
          <w:trHeight w:val="479"/>
        </w:trPr>
        <w:tc>
          <w:tcPr>
            <w:tcW w:w="2547" w:type="dxa"/>
            <w:hideMark/>
          </w:tcPr>
          <w:p w14:paraId="7B46A619" w14:textId="26F49951" w:rsidR="00A21C01" w:rsidRPr="00D66D81" w:rsidRDefault="00A21C01">
            <w:pPr>
              <w:spacing w:line="240" w:lineRule="auto"/>
              <w:rPr>
                <w:rFonts w:cs="Arial"/>
                <w:sz w:val="22"/>
              </w:rPr>
            </w:pPr>
            <w:r w:rsidRPr="00D66D81">
              <w:rPr>
                <w:rFonts w:cs="Arial"/>
                <w:sz w:val="22"/>
              </w:rPr>
              <w:t>Articulated link chain and parts</w:t>
            </w:r>
            <w:r w:rsidR="00A1303A">
              <w:rPr>
                <w:rFonts w:cs="Arial"/>
                <w:sz w:val="22"/>
              </w:rPr>
              <w:t xml:space="preserve"> (PRC)</w:t>
            </w:r>
          </w:p>
        </w:tc>
        <w:tc>
          <w:tcPr>
            <w:tcW w:w="850" w:type="dxa"/>
            <w:shd w:val="clear" w:color="auto" w:fill="DEEAF6" w:themeFill="accent5" w:themeFillTint="33"/>
            <w:hideMark/>
          </w:tcPr>
          <w:p w14:paraId="605EF561" w14:textId="77777777" w:rsidR="00A21C01" w:rsidRPr="00D66D81" w:rsidRDefault="00A21C01">
            <w:pPr>
              <w:spacing w:line="240" w:lineRule="auto"/>
              <w:jc w:val="right"/>
              <w:rPr>
                <w:rFonts w:cs="Arial"/>
                <w:sz w:val="22"/>
              </w:rPr>
            </w:pPr>
            <w:r w:rsidRPr="00D66D81">
              <w:rPr>
                <w:rFonts w:cs="Arial"/>
                <w:sz w:val="22"/>
              </w:rPr>
              <w:t>2</w:t>
            </w:r>
          </w:p>
        </w:tc>
        <w:tc>
          <w:tcPr>
            <w:tcW w:w="1418" w:type="dxa"/>
            <w:hideMark/>
          </w:tcPr>
          <w:p w14:paraId="35F88472" w14:textId="77777777" w:rsidR="00A21C01" w:rsidRPr="00D66D81" w:rsidRDefault="00A21C01">
            <w:pPr>
              <w:spacing w:line="240" w:lineRule="auto"/>
              <w:jc w:val="right"/>
              <w:rPr>
                <w:rFonts w:cs="Arial"/>
                <w:sz w:val="22"/>
              </w:rPr>
            </w:pPr>
          </w:p>
        </w:tc>
        <w:tc>
          <w:tcPr>
            <w:tcW w:w="1276" w:type="dxa"/>
            <w:hideMark/>
          </w:tcPr>
          <w:p w14:paraId="19FDED12" w14:textId="77777777" w:rsidR="00A21C01" w:rsidRPr="00D66D81" w:rsidRDefault="00A21C01">
            <w:pPr>
              <w:spacing w:line="240" w:lineRule="auto"/>
              <w:jc w:val="right"/>
              <w:rPr>
                <w:rFonts w:cs="Arial"/>
                <w:sz w:val="22"/>
              </w:rPr>
            </w:pPr>
            <w:r w:rsidRPr="00D66D81">
              <w:rPr>
                <w:rFonts w:cs="Arial"/>
                <w:sz w:val="22"/>
              </w:rPr>
              <w:t>2</w:t>
            </w:r>
          </w:p>
        </w:tc>
        <w:tc>
          <w:tcPr>
            <w:tcW w:w="992" w:type="dxa"/>
            <w:hideMark/>
          </w:tcPr>
          <w:p w14:paraId="3D7C9558" w14:textId="77777777" w:rsidR="00A21C01" w:rsidRPr="00D66D81" w:rsidRDefault="00A21C01">
            <w:pPr>
              <w:spacing w:line="240" w:lineRule="auto"/>
              <w:jc w:val="right"/>
              <w:rPr>
                <w:rFonts w:cs="Arial"/>
                <w:sz w:val="22"/>
              </w:rPr>
            </w:pPr>
          </w:p>
        </w:tc>
        <w:tc>
          <w:tcPr>
            <w:tcW w:w="1984" w:type="dxa"/>
            <w:hideMark/>
          </w:tcPr>
          <w:p w14:paraId="6F7A2795" w14:textId="77777777" w:rsidR="00A21C01" w:rsidRPr="00D66D81" w:rsidRDefault="00A21C01">
            <w:pPr>
              <w:spacing w:line="240" w:lineRule="auto"/>
              <w:jc w:val="right"/>
              <w:rPr>
                <w:rFonts w:cs="Arial"/>
                <w:sz w:val="22"/>
              </w:rPr>
            </w:pPr>
          </w:p>
        </w:tc>
        <w:tc>
          <w:tcPr>
            <w:tcW w:w="2552" w:type="dxa"/>
            <w:hideMark/>
          </w:tcPr>
          <w:p w14:paraId="3C4D7E6F" w14:textId="77777777" w:rsidR="00A21C01" w:rsidRPr="00D66D81" w:rsidRDefault="00A21C01">
            <w:pPr>
              <w:spacing w:line="240" w:lineRule="auto"/>
              <w:rPr>
                <w:rFonts w:cs="Arial"/>
                <w:sz w:val="22"/>
              </w:rPr>
            </w:pPr>
            <w:r w:rsidRPr="00D66D81">
              <w:rPr>
                <w:rFonts w:cs="Arial"/>
                <w:sz w:val="22"/>
              </w:rPr>
              <w:t>Malaysia, Taiwan, South Korea</w:t>
            </w:r>
          </w:p>
        </w:tc>
        <w:tc>
          <w:tcPr>
            <w:tcW w:w="2268" w:type="dxa"/>
            <w:hideMark/>
          </w:tcPr>
          <w:p w14:paraId="03F8332E" w14:textId="77777777" w:rsidR="00A21C01" w:rsidRPr="00D66D81" w:rsidRDefault="00A21C01">
            <w:pPr>
              <w:spacing w:line="240" w:lineRule="auto"/>
              <w:jc w:val="right"/>
              <w:rPr>
                <w:rFonts w:cs="Arial"/>
                <w:sz w:val="22"/>
              </w:rPr>
            </w:pPr>
            <w:r w:rsidRPr="00D66D81">
              <w:rPr>
                <w:rFonts w:cs="Arial"/>
                <w:sz w:val="22"/>
              </w:rPr>
              <w:t>731511900011, 731511900019, 731512000011, 731512000019, 731519000000</w:t>
            </w:r>
          </w:p>
        </w:tc>
      </w:tr>
      <w:tr w:rsidR="00FB2409" w:rsidRPr="00D66D81" w14:paraId="44AC5CE0" w14:textId="77777777" w:rsidTr="00FB2409">
        <w:trPr>
          <w:trHeight w:val="337"/>
        </w:trPr>
        <w:tc>
          <w:tcPr>
            <w:tcW w:w="2547" w:type="dxa"/>
            <w:hideMark/>
          </w:tcPr>
          <w:p w14:paraId="44ECC7B8" w14:textId="63F52FCB" w:rsidR="00A21C01" w:rsidRPr="00D66D81" w:rsidRDefault="00A21C01">
            <w:pPr>
              <w:spacing w:line="240" w:lineRule="auto"/>
              <w:rPr>
                <w:rFonts w:cs="Arial"/>
                <w:sz w:val="22"/>
              </w:rPr>
            </w:pPr>
            <w:r w:rsidRPr="00D66D81">
              <w:rPr>
                <w:rFonts w:cs="Arial"/>
                <w:sz w:val="22"/>
              </w:rPr>
              <w:t xml:space="preserve">Certain furniture accessories of metal </w:t>
            </w:r>
            <w:r w:rsidR="00A1303A">
              <w:rPr>
                <w:rFonts w:cs="Arial"/>
                <w:sz w:val="22"/>
              </w:rPr>
              <w:t>(PRC)</w:t>
            </w:r>
          </w:p>
        </w:tc>
        <w:tc>
          <w:tcPr>
            <w:tcW w:w="850" w:type="dxa"/>
            <w:shd w:val="clear" w:color="auto" w:fill="DEEAF6" w:themeFill="accent5" w:themeFillTint="33"/>
            <w:hideMark/>
          </w:tcPr>
          <w:p w14:paraId="4AB6ADDE" w14:textId="77777777" w:rsidR="00A21C01" w:rsidRPr="00D66D81" w:rsidRDefault="00A21C01">
            <w:pPr>
              <w:spacing w:line="240" w:lineRule="auto"/>
              <w:jc w:val="right"/>
              <w:rPr>
                <w:rFonts w:cs="Arial"/>
                <w:sz w:val="22"/>
              </w:rPr>
            </w:pPr>
            <w:r w:rsidRPr="00D66D81">
              <w:rPr>
                <w:rFonts w:cs="Arial"/>
                <w:sz w:val="22"/>
              </w:rPr>
              <w:t>1</w:t>
            </w:r>
          </w:p>
        </w:tc>
        <w:tc>
          <w:tcPr>
            <w:tcW w:w="1418" w:type="dxa"/>
            <w:hideMark/>
          </w:tcPr>
          <w:p w14:paraId="5D38F730" w14:textId="77777777" w:rsidR="00A21C01" w:rsidRPr="00D66D81" w:rsidRDefault="00A21C01">
            <w:pPr>
              <w:spacing w:line="240" w:lineRule="auto"/>
              <w:jc w:val="right"/>
              <w:rPr>
                <w:rFonts w:cs="Arial"/>
                <w:sz w:val="22"/>
              </w:rPr>
            </w:pPr>
          </w:p>
        </w:tc>
        <w:tc>
          <w:tcPr>
            <w:tcW w:w="1276" w:type="dxa"/>
            <w:hideMark/>
          </w:tcPr>
          <w:p w14:paraId="6D6FC899" w14:textId="77777777" w:rsidR="00A21C01" w:rsidRPr="00D66D81" w:rsidRDefault="00A21C01">
            <w:pPr>
              <w:spacing w:line="240" w:lineRule="auto"/>
              <w:jc w:val="right"/>
              <w:rPr>
                <w:rFonts w:cs="Arial"/>
                <w:sz w:val="22"/>
              </w:rPr>
            </w:pPr>
            <w:r w:rsidRPr="00D66D81">
              <w:rPr>
                <w:rFonts w:cs="Arial"/>
                <w:sz w:val="22"/>
              </w:rPr>
              <w:t>1</w:t>
            </w:r>
          </w:p>
        </w:tc>
        <w:tc>
          <w:tcPr>
            <w:tcW w:w="992" w:type="dxa"/>
            <w:hideMark/>
          </w:tcPr>
          <w:p w14:paraId="746F7F74" w14:textId="77777777" w:rsidR="00A21C01" w:rsidRPr="00D66D81" w:rsidRDefault="00A21C01">
            <w:pPr>
              <w:spacing w:line="240" w:lineRule="auto"/>
              <w:jc w:val="right"/>
              <w:rPr>
                <w:rFonts w:cs="Arial"/>
                <w:sz w:val="22"/>
              </w:rPr>
            </w:pPr>
          </w:p>
        </w:tc>
        <w:tc>
          <w:tcPr>
            <w:tcW w:w="1984" w:type="dxa"/>
            <w:hideMark/>
          </w:tcPr>
          <w:p w14:paraId="7479784D" w14:textId="77777777" w:rsidR="00A21C01" w:rsidRPr="00D66D81" w:rsidRDefault="00A21C01">
            <w:pPr>
              <w:spacing w:line="240" w:lineRule="auto"/>
              <w:jc w:val="right"/>
              <w:rPr>
                <w:rFonts w:cs="Arial"/>
                <w:sz w:val="22"/>
              </w:rPr>
            </w:pPr>
          </w:p>
        </w:tc>
        <w:tc>
          <w:tcPr>
            <w:tcW w:w="2552" w:type="dxa"/>
            <w:hideMark/>
          </w:tcPr>
          <w:p w14:paraId="73092937" w14:textId="77777777" w:rsidR="00A21C01" w:rsidRPr="00D66D81" w:rsidRDefault="00A21C01">
            <w:pPr>
              <w:spacing w:line="240" w:lineRule="auto"/>
              <w:rPr>
                <w:rFonts w:cs="Arial"/>
                <w:sz w:val="22"/>
              </w:rPr>
            </w:pPr>
            <w:r w:rsidRPr="00D66D81">
              <w:rPr>
                <w:rFonts w:cs="Arial"/>
                <w:sz w:val="22"/>
              </w:rPr>
              <w:t>Spain, Italy, Greece, Thailand</w:t>
            </w:r>
          </w:p>
        </w:tc>
        <w:tc>
          <w:tcPr>
            <w:tcW w:w="2268" w:type="dxa"/>
            <w:hideMark/>
          </w:tcPr>
          <w:p w14:paraId="417F1DF0" w14:textId="77777777" w:rsidR="00A21C01" w:rsidRPr="00D66D81" w:rsidRDefault="00A21C01">
            <w:pPr>
              <w:spacing w:line="240" w:lineRule="auto"/>
              <w:jc w:val="right"/>
              <w:rPr>
                <w:rFonts w:cs="Arial"/>
                <w:sz w:val="22"/>
              </w:rPr>
            </w:pPr>
          </w:p>
        </w:tc>
      </w:tr>
      <w:tr w:rsidR="00FB2409" w:rsidRPr="00D66D81" w14:paraId="50E7CC3C" w14:textId="77777777" w:rsidTr="00FB2409">
        <w:trPr>
          <w:trHeight w:val="172"/>
        </w:trPr>
        <w:tc>
          <w:tcPr>
            <w:tcW w:w="2547" w:type="dxa"/>
            <w:hideMark/>
          </w:tcPr>
          <w:p w14:paraId="2373CB4D" w14:textId="7A6398A3" w:rsidR="00A21C01" w:rsidRPr="00D66D81" w:rsidRDefault="00A21C01">
            <w:pPr>
              <w:spacing w:line="240" w:lineRule="auto"/>
              <w:rPr>
                <w:rFonts w:cs="Arial"/>
                <w:sz w:val="22"/>
              </w:rPr>
            </w:pPr>
            <w:r w:rsidRPr="00D66D81">
              <w:rPr>
                <w:rFonts w:cs="Arial"/>
                <w:sz w:val="22"/>
              </w:rPr>
              <w:t>Wall type split air conditioners</w:t>
            </w:r>
            <w:r w:rsidR="00A1303A">
              <w:rPr>
                <w:rFonts w:cs="Arial"/>
                <w:sz w:val="22"/>
              </w:rPr>
              <w:t xml:space="preserve"> (PRC)</w:t>
            </w:r>
          </w:p>
        </w:tc>
        <w:tc>
          <w:tcPr>
            <w:tcW w:w="850" w:type="dxa"/>
            <w:shd w:val="clear" w:color="auto" w:fill="DEEAF6" w:themeFill="accent5" w:themeFillTint="33"/>
            <w:hideMark/>
          </w:tcPr>
          <w:p w14:paraId="2C4B1F37" w14:textId="77777777" w:rsidR="00A21C01" w:rsidRPr="00D66D81" w:rsidRDefault="00A21C01">
            <w:pPr>
              <w:spacing w:line="240" w:lineRule="auto"/>
              <w:jc w:val="right"/>
              <w:rPr>
                <w:rFonts w:cs="Arial"/>
                <w:sz w:val="22"/>
              </w:rPr>
            </w:pPr>
            <w:r w:rsidRPr="00D66D81">
              <w:rPr>
                <w:rFonts w:cs="Arial"/>
                <w:sz w:val="22"/>
              </w:rPr>
              <w:t>1</w:t>
            </w:r>
          </w:p>
        </w:tc>
        <w:tc>
          <w:tcPr>
            <w:tcW w:w="1418" w:type="dxa"/>
            <w:hideMark/>
          </w:tcPr>
          <w:p w14:paraId="58F95D71" w14:textId="77777777" w:rsidR="00A21C01" w:rsidRPr="00D66D81" w:rsidRDefault="00A21C01">
            <w:pPr>
              <w:spacing w:line="240" w:lineRule="auto"/>
              <w:jc w:val="right"/>
              <w:rPr>
                <w:rFonts w:cs="Arial"/>
                <w:sz w:val="22"/>
              </w:rPr>
            </w:pPr>
          </w:p>
        </w:tc>
        <w:tc>
          <w:tcPr>
            <w:tcW w:w="1276" w:type="dxa"/>
            <w:hideMark/>
          </w:tcPr>
          <w:p w14:paraId="7182976F" w14:textId="77777777" w:rsidR="00A21C01" w:rsidRPr="00D66D81" w:rsidRDefault="00A21C01">
            <w:pPr>
              <w:spacing w:line="240" w:lineRule="auto"/>
              <w:jc w:val="right"/>
              <w:rPr>
                <w:rFonts w:cs="Arial"/>
                <w:sz w:val="22"/>
              </w:rPr>
            </w:pPr>
            <w:r w:rsidRPr="00D66D81">
              <w:rPr>
                <w:rFonts w:cs="Arial"/>
                <w:sz w:val="22"/>
              </w:rPr>
              <w:t>1</w:t>
            </w:r>
          </w:p>
        </w:tc>
        <w:tc>
          <w:tcPr>
            <w:tcW w:w="992" w:type="dxa"/>
            <w:hideMark/>
          </w:tcPr>
          <w:p w14:paraId="39F85FEE" w14:textId="77777777" w:rsidR="00A21C01" w:rsidRPr="00D66D81" w:rsidRDefault="00A21C01">
            <w:pPr>
              <w:spacing w:line="240" w:lineRule="auto"/>
              <w:jc w:val="right"/>
              <w:rPr>
                <w:rFonts w:cs="Arial"/>
                <w:sz w:val="22"/>
              </w:rPr>
            </w:pPr>
          </w:p>
        </w:tc>
        <w:tc>
          <w:tcPr>
            <w:tcW w:w="1984" w:type="dxa"/>
            <w:hideMark/>
          </w:tcPr>
          <w:p w14:paraId="088508CD" w14:textId="77777777" w:rsidR="00A21C01" w:rsidRPr="00D66D81" w:rsidRDefault="00A21C01">
            <w:pPr>
              <w:spacing w:line="240" w:lineRule="auto"/>
              <w:jc w:val="right"/>
              <w:rPr>
                <w:rFonts w:cs="Arial"/>
                <w:sz w:val="22"/>
              </w:rPr>
            </w:pPr>
          </w:p>
        </w:tc>
        <w:tc>
          <w:tcPr>
            <w:tcW w:w="2552" w:type="dxa"/>
            <w:hideMark/>
          </w:tcPr>
          <w:p w14:paraId="72AF640E" w14:textId="331C9D84" w:rsidR="00A21C01" w:rsidRPr="00D66D81" w:rsidRDefault="00A21C01">
            <w:pPr>
              <w:spacing w:line="240" w:lineRule="auto"/>
              <w:rPr>
                <w:rFonts w:cs="Arial"/>
                <w:sz w:val="22"/>
              </w:rPr>
            </w:pPr>
            <w:r w:rsidRPr="00D66D81">
              <w:rPr>
                <w:rFonts w:cs="Arial"/>
                <w:sz w:val="22"/>
              </w:rPr>
              <w:t>Vietnam, Indonesia, Philippines, Pakistan, Egypt</w:t>
            </w:r>
          </w:p>
        </w:tc>
        <w:tc>
          <w:tcPr>
            <w:tcW w:w="2268" w:type="dxa"/>
            <w:hideMark/>
          </w:tcPr>
          <w:p w14:paraId="4D9E6725" w14:textId="77777777" w:rsidR="00A21C01" w:rsidRPr="00D66D81" w:rsidRDefault="00A21C01">
            <w:pPr>
              <w:spacing w:line="240" w:lineRule="auto"/>
              <w:jc w:val="right"/>
              <w:rPr>
                <w:rFonts w:cs="Arial"/>
                <w:sz w:val="22"/>
              </w:rPr>
            </w:pPr>
            <w:r w:rsidRPr="00D66D81">
              <w:rPr>
                <w:rFonts w:cs="Arial"/>
                <w:sz w:val="22"/>
              </w:rPr>
              <w:t>84151090, 841581, 841582</w:t>
            </w:r>
          </w:p>
        </w:tc>
      </w:tr>
      <w:tr w:rsidR="00FB2409" w:rsidRPr="00D66D81" w14:paraId="73B4A628" w14:textId="77777777" w:rsidTr="00FB2409">
        <w:trPr>
          <w:trHeight w:val="172"/>
        </w:trPr>
        <w:tc>
          <w:tcPr>
            <w:tcW w:w="2547" w:type="dxa"/>
            <w:hideMark/>
          </w:tcPr>
          <w:p w14:paraId="6792F2CF" w14:textId="3A92F70E" w:rsidR="00A21C01" w:rsidRPr="00D66D81" w:rsidRDefault="00A21C01">
            <w:pPr>
              <w:spacing w:line="240" w:lineRule="auto"/>
              <w:rPr>
                <w:rFonts w:cs="Arial"/>
                <w:sz w:val="22"/>
              </w:rPr>
            </w:pPr>
            <w:r w:rsidRPr="00D66D81">
              <w:rPr>
                <w:rFonts w:cs="Arial"/>
                <w:sz w:val="22"/>
              </w:rPr>
              <w:t>Slide fasteners</w:t>
            </w:r>
            <w:r w:rsidR="00A1303A">
              <w:rPr>
                <w:rFonts w:cs="Arial"/>
                <w:sz w:val="22"/>
              </w:rPr>
              <w:t xml:space="preserve"> (PRC)</w:t>
            </w:r>
          </w:p>
        </w:tc>
        <w:tc>
          <w:tcPr>
            <w:tcW w:w="850" w:type="dxa"/>
            <w:shd w:val="clear" w:color="auto" w:fill="DEEAF6" w:themeFill="accent5" w:themeFillTint="33"/>
            <w:hideMark/>
          </w:tcPr>
          <w:p w14:paraId="0B79E750" w14:textId="77777777" w:rsidR="00A21C01" w:rsidRPr="00D66D81" w:rsidRDefault="00A21C01">
            <w:pPr>
              <w:spacing w:line="240" w:lineRule="auto"/>
              <w:jc w:val="right"/>
              <w:rPr>
                <w:rFonts w:cs="Arial"/>
                <w:sz w:val="22"/>
              </w:rPr>
            </w:pPr>
            <w:r w:rsidRPr="00D66D81">
              <w:rPr>
                <w:rFonts w:cs="Arial"/>
                <w:sz w:val="22"/>
              </w:rPr>
              <w:t>1</w:t>
            </w:r>
          </w:p>
        </w:tc>
        <w:tc>
          <w:tcPr>
            <w:tcW w:w="1418" w:type="dxa"/>
            <w:hideMark/>
          </w:tcPr>
          <w:p w14:paraId="5EABA20E" w14:textId="77777777" w:rsidR="00A21C01" w:rsidRPr="00D66D81" w:rsidRDefault="00A21C01">
            <w:pPr>
              <w:spacing w:line="240" w:lineRule="auto"/>
              <w:jc w:val="right"/>
              <w:rPr>
                <w:rFonts w:cs="Arial"/>
                <w:sz w:val="22"/>
              </w:rPr>
            </w:pPr>
          </w:p>
        </w:tc>
        <w:tc>
          <w:tcPr>
            <w:tcW w:w="1276" w:type="dxa"/>
            <w:hideMark/>
          </w:tcPr>
          <w:p w14:paraId="7974E38D" w14:textId="77777777" w:rsidR="00A21C01" w:rsidRPr="00D66D81" w:rsidRDefault="00A21C01">
            <w:pPr>
              <w:spacing w:line="240" w:lineRule="auto"/>
              <w:jc w:val="right"/>
              <w:rPr>
                <w:rFonts w:cs="Arial"/>
                <w:sz w:val="22"/>
              </w:rPr>
            </w:pPr>
            <w:r w:rsidRPr="00D66D81">
              <w:rPr>
                <w:rFonts w:cs="Arial"/>
                <w:sz w:val="22"/>
              </w:rPr>
              <w:t>1</w:t>
            </w:r>
          </w:p>
        </w:tc>
        <w:tc>
          <w:tcPr>
            <w:tcW w:w="992" w:type="dxa"/>
            <w:hideMark/>
          </w:tcPr>
          <w:p w14:paraId="144A8AB7" w14:textId="77777777" w:rsidR="00A21C01" w:rsidRPr="00D66D81" w:rsidRDefault="00A21C01">
            <w:pPr>
              <w:spacing w:line="240" w:lineRule="auto"/>
              <w:jc w:val="right"/>
              <w:rPr>
                <w:rFonts w:cs="Arial"/>
                <w:sz w:val="22"/>
              </w:rPr>
            </w:pPr>
          </w:p>
        </w:tc>
        <w:tc>
          <w:tcPr>
            <w:tcW w:w="1984" w:type="dxa"/>
            <w:hideMark/>
          </w:tcPr>
          <w:p w14:paraId="0AB856F1" w14:textId="77777777" w:rsidR="00A21C01" w:rsidRPr="00D66D81" w:rsidRDefault="00A21C01">
            <w:pPr>
              <w:spacing w:line="240" w:lineRule="auto"/>
              <w:jc w:val="right"/>
              <w:rPr>
                <w:rFonts w:cs="Arial"/>
                <w:sz w:val="22"/>
              </w:rPr>
            </w:pPr>
          </w:p>
        </w:tc>
        <w:tc>
          <w:tcPr>
            <w:tcW w:w="2552" w:type="dxa"/>
            <w:hideMark/>
          </w:tcPr>
          <w:p w14:paraId="5CEC0177" w14:textId="77777777" w:rsidR="00A21C01" w:rsidRPr="00D66D81" w:rsidRDefault="00A21C01">
            <w:pPr>
              <w:spacing w:line="240" w:lineRule="auto"/>
              <w:rPr>
                <w:rFonts w:cs="Arial"/>
                <w:sz w:val="22"/>
              </w:rPr>
            </w:pPr>
            <w:r w:rsidRPr="00D66D81">
              <w:rPr>
                <w:rFonts w:cs="Arial"/>
                <w:sz w:val="22"/>
              </w:rPr>
              <w:t>Indonesia</w:t>
            </w:r>
          </w:p>
        </w:tc>
        <w:tc>
          <w:tcPr>
            <w:tcW w:w="2268" w:type="dxa"/>
            <w:hideMark/>
          </w:tcPr>
          <w:p w14:paraId="6501089F" w14:textId="77777777" w:rsidR="00A21C01" w:rsidRPr="00D66D81" w:rsidRDefault="00A21C01">
            <w:pPr>
              <w:spacing w:line="240" w:lineRule="auto"/>
              <w:jc w:val="right"/>
              <w:rPr>
                <w:rFonts w:cs="Arial"/>
                <w:sz w:val="22"/>
              </w:rPr>
            </w:pPr>
            <w:r w:rsidRPr="00D66D81">
              <w:rPr>
                <w:rFonts w:cs="Arial"/>
                <w:sz w:val="22"/>
              </w:rPr>
              <w:t>960711, 960719</w:t>
            </w:r>
          </w:p>
        </w:tc>
      </w:tr>
      <w:tr w:rsidR="00FB2409" w:rsidRPr="00D66D81" w14:paraId="0C23A2E3" w14:textId="77777777" w:rsidTr="00FB2409">
        <w:trPr>
          <w:trHeight w:val="172"/>
        </w:trPr>
        <w:tc>
          <w:tcPr>
            <w:tcW w:w="2547" w:type="dxa"/>
            <w:hideMark/>
          </w:tcPr>
          <w:p w14:paraId="74574A09" w14:textId="77777777" w:rsidR="00A21C01" w:rsidRPr="00D66D81" w:rsidRDefault="00A21C01">
            <w:pPr>
              <w:spacing w:line="240" w:lineRule="auto"/>
              <w:rPr>
                <w:rFonts w:cs="Arial"/>
                <w:sz w:val="22"/>
              </w:rPr>
            </w:pPr>
            <w:r w:rsidRPr="00D66D81">
              <w:rPr>
                <w:rFonts w:cs="Arial"/>
                <w:b/>
                <w:bCs/>
                <w:sz w:val="22"/>
              </w:rPr>
              <w:t>Total</w:t>
            </w:r>
          </w:p>
        </w:tc>
        <w:tc>
          <w:tcPr>
            <w:tcW w:w="850" w:type="dxa"/>
            <w:shd w:val="clear" w:color="auto" w:fill="DEEAF6" w:themeFill="accent5" w:themeFillTint="33"/>
            <w:hideMark/>
          </w:tcPr>
          <w:p w14:paraId="53C01EB3" w14:textId="77777777" w:rsidR="00A21C01" w:rsidRPr="00D66D81" w:rsidRDefault="00A21C01">
            <w:pPr>
              <w:spacing w:line="240" w:lineRule="auto"/>
              <w:jc w:val="right"/>
              <w:rPr>
                <w:rFonts w:cs="Arial"/>
                <w:sz w:val="22"/>
              </w:rPr>
            </w:pPr>
            <w:r w:rsidRPr="00D66D81">
              <w:rPr>
                <w:rFonts w:cs="Arial"/>
                <w:sz w:val="22"/>
              </w:rPr>
              <w:t>16</w:t>
            </w:r>
          </w:p>
        </w:tc>
        <w:tc>
          <w:tcPr>
            <w:tcW w:w="1418" w:type="dxa"/>
            <w:hideMark/>
          </w:tcPr>
          <w:p w14:paraId="0C66945E" w14:textId="77777777" w:rsidR="00A21C01" w:rsidRPr="00D66D81" w:rsidRDefault="00A21C01">
            <w:pPr>
              <w:spacing w:line="240" w:lineRule="auto"/>
              <w:jc w:val="right"/>
              <w:rPr>
                <w:rFonts w:cs="Arial"/>
                <w:sz w:val="22"/>
              </w:rPr>
            </w:pPr>
          </w:p>
        </w:tc>
        <w:tc>
          <w:tcPr>
            <w:tcW w:w="1276" w:type="dxa"/>
            <w:hideMark/>
          </w:tcPr>
          <w:p w14:paraId="56569DBC" w14:textId="77777777" w:rsidR="00A21C01" w:rsidRPr="00D66D81" w:rsidRDefault="00A21C01">
            <w:pPr>
              <w:spacing w:line="240" w:lineRule="auto"/>
              <w:jc w:val="right"/>
              <w:rPr>
                <w:rFonts w:cs="Arial"/>
                <w:sz w:val="22"/>
              </w:rPr>
            </w:pPr>
            <w:r w:rsidRPr="00D66D81">
              <w:rPr>
                <w:rFonts w:cs="Arial"/>
                <w:sz w:val="22"/>
              </w:rPr>
              <w:t>15</w:t>
            </w:r>
          </w:p>
        </w:tc>
        <w:tc>
          <w:tcPr>
            <w:tcW w:w="992" w:type="dxa"/>
            <w:hideMark/>
          </w:tcPr>
          <w:p w14:paraId="53EE08FE" w14:textId="77777777" w:rsidR="00A21C01" w:rsidRPr="00D66D81" w:rsidRDefault="00A21C01">
            <w:pPr>
              <w:spacing w:line="240" w:lineRule="auto"/>
              <w:jc w:val="right"/>
              <w:rPr>
                <w:rFonts w:cs="Arial"/>
                <w:sz w:val="22"/>
              </w:rPr>
            </w:pPr>
            <w:r w:rsidRPr="00D66D81">
              <w:rPr>
                <w:rFonts w:cs="Arial"/>
                <w:sz w:val="22"/>
              </w:rPr>
              <w:t>1</w:t>
            </w:r>
          </w:p>
        </w:tc>
        <w:tc>
          <w:tcPr>
            <w:tcW w:w="1984" w:type="dxa"/>
            <w:hideMark/>
          </w:tcPr>
          <w:p w14:paraId="6DDBCDFD" w14:textId="77777777" w:rsidR="00A21C01" w:rsidRPr="00D66D81" w:rsidRDefault="00A21C01">
            <w:pPr>
              <w:spacing w:line="240" w:lineRule="auto"/>
              <w:jc w:val="right"/>
              <w:rPr>
                <w:rFonts w:cs="Arial"/>
                <w:sz w:val="22"/>
              </w:rPr>
            </w:pPr>
          </w:p>
        </w:tc>
        <w:tc>
          <w:tcPr>
            <w:tcW w:w="2552" w:type="dxa"/>
            <w:hideMark/>
          </w:tcPr>
          <w:p w14:paraId="247A5B52" w14:textId="77777777" w:rsidR="00A21C01" w:rsidRPr="00D66D81" w:rsidRDefault="00A21C01">
            <w:pPr>
              <w:spacing w:line="240" w:lineRule="auto"/>
              <w:rPr>
                <w:rFonts w:cs="Arial"/>
                <w:sz w:val="22"/>
              </w:rPr>
            </w:pPr>
          </w:p>
        </w:tc>
        <w:tc>
          <w:tcPr>
            <w:tcW w:w="2268" w:type="dxa"/>
            <w:hideMark/>
          </w:tcPr>
          <w:p w14:paraId="050E2EBC" w14:textId="77777777" w:rsidR="00A21C01" w:rsidRPr="00D66D81" w:rsidRDefault="00A21C01">
            <w:pPr>
              <w:spacing w:line="240" w:lineRule="auto"/>
              <w:jc w:val="both"/>
              <w:rPr>
                <w:rFonts w:cs="Arial"/>
                <w:sz w:val="22"/>
              </w:rPr>
            </w:pPr>
          </w:p>
        </w:tc>
      </w:tr>
    </w:tbl>
    <w:p w14:paraId="4E2CA7F8" w14:textId="77777777" w:rsidR="00A21C01" w:rsidRPr="006426BD" w:rsidRDefault="00A21C01" w:rsidP="00A21C01">
      <w:pPr>
        <w:pStyle w:val="Tablesource"/>
      </w:pPr>
      <w:r w:rsidRPr="006426BD">
        <w:t>Source: Research by Aksel Erbahar</w:t>
      </w:r>
      <w:r>
        <w:t>.</w:t>
      </w:r>
    </w:p>
    <w:bookmarkEnd w:id="189"/>
    <w:p w14:paraId="5B3EABF3" w14:textId="1ED5B06C" w:rsidR="00A21C01" w:rsidRPr="007E4067" w:rsidRDefault="00A21C01" w:rsidP="007E4067">
      <w:pPr>
        <w:pStyle w:val="Caption"/>
      </w:pPr>
      <w:r>
        <w:br w:type="page"/>
        <w:t xml:space="preserve">Table </w:t>
      </w:r>
      <w:r>
        <w:fldChar w:fldCharType="begin"/>
      </w:r>
      <w:r>
        <w:instrText>SEQ Table \* ARABIC</w:instrText>
      </w:r>
      <w:r>
        <w:fldChar w:fldCharType="separate"/>
      </w:r>
      <w:r w:rsidR="001C580B">
        <w:t>15</w:t>
      </w:r>
      <w:r>
        <w:fldChar w:fldCharType="end"/>
      </w:r>
      <w:r>
        <w:t xml:space="preserve">: </w:t>
      </w:r>
      <w:r w:rsidRPr="008C4920">
        <w:t>Overview of anti-circumvention cases in which duties were imposed (2009 to 2021), Mexico</w:t>
      </w:r>
    </w:p>
    <w:tbl>
      <w:tblPr>
        <w:tblStyle w:val="TableGrid"/>
        <w:tblW w:w="15021" w:type="dxa"/>
        <w:tblLayout w:type="fixed"/>
        <w:tblLook w:val="04A0" w:firstRow="1" w:lastRow="0" w:firstColumn="1" w:lastColumn="0" w:noHBand="0" w:noVBand="1"/>
      </w:tblPr>
      <w:tblGrid>
        <w:gridCol w:w="4248"/>
        <w:gridCol w:w="709"/>
        <w:gridCol w:w="1701"/>
        <w:gridCol w:w="1275"/>
        <w:gridCol w:w="993"/>
        <w:gridCol w:w="1984"/>
        <w:gridCol w:w="1559"/>
        <w:gridCol w:w="2552"/>
      </w:tblGrid>
      <w:tr w:rsidR="00E64444" w:rsidRPr="00D66D81" w14:paraId="641BAB95" w14:textId="77777777" w:rsidTr="003C7769">
        <w:trPr>
          <w:trHeight w:val="552"/>
        </w:trPr>
        <w:tc>
          <w:tcPr>
            <w:tcW w:w="4248" w:type="dxa"/>
            <w:vMerge w:val="restart"/>
            <w:hideMark/>
          </w:tcPr>
          <w:p w14:paraId="0E5778ED" w14:textId="1A28FBD5" w:rsidR="00A21C01" w:rsidRPr="00D66D81" w:rsidRDefault="00A21C01">
            <w:pPr>
              <w:spacing w:line="240" w:lineRule="auto"/>
              <w:rPr>
                <w:rFonts w:cs="Arial"/>
                <w:b/>
                <w:bCs/>
                <w:sz w:val="22"/>
              </w:rPr>
            </w:pPr>
            <w:r w:rsidRPr="00D66D81">
              <w:rPr>
                <w:rFonts w:cs="Arial"/>
                <w:b/>
                <w:bCs/>
                <w:sz w:val="22"/>
                <w:lang w:val="fr-CH"/>
              </w:rPr>
              <w:t>Type of product</w:t>
            </w:r>
          </w:p>
        </w:tc>
        <w:tc>
          <w:tcPr>
            <w:tcW w:w="709" w:type="dxa"/>
            <w:vMerge w:val="restart"/>
            <w:shd w:val="clear" w:color="auto" w:fill="DEEAF6" w:themeFill="accent5" w:themeFillTint="33"/>
            <w:hideMark/>
          </w:tcPr>
          <w:p w14:paraId="4CC6C1F0" w14:textId="77777777" w:rsidR="00A21C01" w:rsidRPr="00D66D81" w:rsidRDefault="00A21C01">
            <w:pPr>
              <w:spacing w:line="240" w:lineRule="auto"/>
              <w:rPr>
                <w:rFonts w:cs="Arial"/>
                <w:b/>
                <w:bCs/>
                <w:sz w:val="22"/>
              </w:rPr>
            </w:pPr>
            <w:r w:rsidRPr="00D66D81">
              <w:rPr>
                <w:rFonts w:cs="Arial"/>
                <w:b/>
                <w:bCs/>
                <w:sz w:val="22"/>
              </w:rPr>
              <w:t>Total</w:t>
            </w:r>
            <w:r w:rsidRPr="00D66D81">
              <w:rPr>
                <w:rStyle w:val="FootnoteReference"/>
                <w:rFonts w:cs="Arial"/>
                <w:b/>
                <w:bCs/>
                <w:sz w:val="22"/>
              </w:rPr>
              <w:footnoteReference w:id="130"/>
            </w:r>
          </w:p>
        </w:tc>
        <w:tc>
          <w:tcPr>
            <w:tcW w:w="5953" w:type="dxa"/>
            <w:gridSpan w:val="4"/>
          </w:tcPr>
          <w:p w14:paraId="3CCAC631" w14:textId="44A09360" w:rsidR="00A21C01" w:rsidRPr="00D66D81" w:rsidRDefault="00A21C01" w:rsidP="003C7769">
            <w:pPr>
              <w:spacing w:line="240" w:lineRule="auto"/>
              <w:jc w:val="center"/>
              <w:rPr>
                <w:rFonts w:cs="Arial"/>
                <w:b/>
                <w:bCs/>
                <w:sz w:val="22"/>
              </w:rPr>
            </w:pPr>
            <w:r w:rsidRPr="00D66D81">
              <w:rPr>
                <w:rFonts w:cs="Arial"/>
                <w:b/>
                <w:bCs/>
                <w:sz w:val="22"/>
              </w:rPr>
              <w:t>Mode of circumvention</w:t>
            </w:r>
          </w:p>
        </w:tc>
        <w:tc>
          <w:tcPr>
            <w:tcW w:w="1559" w:type="dxa"/>
            <w:vMerge w:val="restart"/>
            <w:hideMark/>
          </w:tcPr>
          <w:p w14:paraId="4A221C92" w14:textId="4D9C5B10" w:rsidR="00A21C01" w:rsidRPr="00D66D81" w:rsidRDefault="00A21C01">
            <w:pPr>
              <w:spacing w:line="240" w:lineRule="auto"/>
              <w:rPr>
                <w:rFonts w:cs="Arial"/>
                <w:b/>
                <w:bCs/>
                <w:sz w:val="22"/>
              </w:rPr>
            </w:pPr>
            <w:r w:rsidRPr="00D66D81">
              <w:rPr>
                <w:rFonts w:cs="Arial"/>
                <w:b/>
                <w:bCs/>
                <w:sz w:val="22"/>
              </w:rPr>
              <w:t>Targeted country</w:t>
            </w:r>
          </w:p>
        </w:tc>
        <w:tc>
          <w:tcPr>
            <w:tcW w:w="2552" w:type="dxa"/>
            <w:vMerge w:val="restart"/>
            <w:hideMark/>
          </w:tcPr>
          <w:p w14:paraId="19AEDB31" w14:textId="7912D648" w:rsidR="00A21C01" w:rsidRPr="00D66D81" w:rsidRDefault="00A21C01">
            <w:pPr>
              <w:spacing w:line="240" w:lineRule="auto"/>
              <w:rPr>
                <w:rFonts w:cs="Arial"/>
                <w:b/>
                <w:bCs/>
                <w:sz w:val="22"/>
              </w:rPr>
            </w:pPr>
            <w:r w:rsidRPr="00D66D81">
              <w:rPr>
                <w:rFonts w:cs="Arial"/>
                <w:b/>
                <w:bCs/>
                <w:sz w:val="22"/>
              </w:rPr>
              <w:t>Commodity code(s)</w:t>
            </w:r>
          </w:p>
        </w:tc>
      </w:tr>
      <w:tr w:rsidR="000F4439" w:rsidRPr="00D66D81" w14:paraId="73D55329" w14:textId="77777777" w:rsidTr="003C7769">
        <w:trPr>
          <w:trHeight w:val="365"/>
        </w:trPr>
        <w:tc>
          <w:tcPr>
            <w:tcW w:w="4248" w:type="dxa"/>
            <w:vMerge/>
          </w:tcPr>
          <w:p w14:paraId="14926998" w14:textId="77777777" w:rsidR="00A21C01" w:rsidRPr="00D66D81" w:rsidRDefault="00A21C01">
            <w:pPr>
              <w:spacing w:line="240" w:lineRule="auto"/>
              <w:rPr>
                <w:rFonts w:cs="Arial"/>
                <w:b/>
                <w:bCs/>
                <w:sz w:val="22"/>
                <w:lang w:val="fr-CH"/>
              </w:rPr>
            </w:pPr>
          </w:p>
        </w:tc>
        <w:tc>
          <w:tcPr>
            <w:tcW w:w="709" w:type="dxa"/>
            <w:vMerge/>
            <w:shd w:val="clear" w:color="auto" w:fill="DEEAF6" w:themeFill="accent5" w:themeFillTint="33"/>
          </w:tcPr>
          <w:p w14:paraId="4FE9A65D" w14:textId="77777777" w:rsidR="00A21C01" w:rsidRPr="00D66D81" w:rsidRDefault="00A21C01">
            <w:pPr>
              <w:spacing w:line="240" w:lineRule="auto"/>
              <w:rPr>
                <w:rFonts w:cs="Arial"/>
                <w:b/>
                <w:bCs/>
                <w:sz w:val="22"/>
              </w:rPr>
            </w:pPr>
          </w:p>
        </w:tc>
        <w:tc>
          <w:tcPr>
            <w:tcW w:w="1701" w:type="dxa"/>
          </w:tcPr>
          <w:p w14:paraId="51A015D3" w14:textId="62B388A9" w:rsidR="00A21C01" w:rsidRPr="00D66D81" w:rsidRDefault="00A21C01">
            <w:pPr>
              <w:spacing w:line="240" w:lineRule="auto"/>
              <w:rPr>
                <w:rFonts w:cs="Arial"/>
                <w:b/>
                <w:bCs/>
                <w:sz w:val="22"/>
              </w:rPr>
            </w:pPr>
            <w:r w:rsidRPr="00D66D81">
              <w:rPr>
                <w:rFonts w:cs="Arial"/>
                <w:b/>
                <w:bCs/>
                <w:sz w:val="22"/>
              </w:rPr>
              <w:t>Third-party assembly</w:t>
            </w:r>
          </w:p>
        </w:tc>
        <w:tc>
          <w:tcPr>
            <w:tcW w:w="1275" w:type="dxa"/>
          </w:tcPr>
          <w:p w14:paraId="057229E8" w14:textId="77777777" w:rsidR="00A21C01" w:rsidRPr="00D66D81" w:rsidRDefault="00A21C01">
            <w:pPr>
              <w:spacing w:line="240" w:lineRule="auto"/>
              <w:rPr>
                <w:rFonts w:cs="Arial"/>
                <w:b/>
                <w:bCs/>
                <w:sz w:val="22"/>
              </w:rPr>
            </w:pPr>
            <w:r w:rsidRPr="00D66D81">
              <w:rPr>
                <w:rFonts w:cs="Arial"/>
                <w:b/>
                <w:bCs/>
                <w:sz w:val="22"/>
              </w:rPr>
              <w:t>Tranship-ment</w:t>
            </w:r>
          </w:p>
        </w:tc>
        <w:tc>
          <w:tcPr>
            <w:tcW w:w="993" w:type="dxa"/>
          </w:tcPr>
          <w:p w14:paraId="07BE4C20" w14:textId="77777777" w:rsidR="00A21C01" w:rsidRPr="00D66D81" w:rsidRDefault="00A21C01">
            <w:pPr>
              <w:spacing w:line="240" w:lineRule="auto"/>
              <w:rPr>
                <w:rFonts w:cs="Arial"/>
                <w:b/>
                <w:bCs/>
                <w:sz w:val="22"/>
              </w:rPr>
            </w:pPr>
            <w:r w:rsidRPr="00D66D81">
              <w:rPr>
                <w:rFonts w:cs="Arial"/>
                <w:b/>
                <w:bCs/>
                <w:sz w:val="22"/>
              </w:rPr>
              <w:t>Modifi-cation</w:t>
            </w:r>
          </w:p>
        </w:tc>
        <w:tc>
          <w:tcPr>
            <w:tcW w:w="1984" w:type="dxa"/>
          </w:tcPr>
          <w:p w14:paraId="2A7B2CDC" w14:textId="3F1D4AA8" w:rsidR="00A21C01" w:rsidRPr="00D66D81" w:rsidRDefault="00A21C01">
            <w:pPr>
              <w:spacing w:line="240" w:lineRule="auto"/>
              <w:rPr>
                <w:rFonts w:cs="Arial"/>
                <w:b/>
                <w:bCs/>
                <w:sz w:val="22"/>
              </w:rPr>
            </w:pPr>
            <w:r w:rsidRPr="00D66D81">
              <w:rPr>
                <w:rFonts w:cs="Arial"/>
                <w:b/>
                <w:bCs/>
                <w:sz w:val="22"/>
              </w:rPr>
              <w:t>Later</w:t>
            </w:r>
            <w:r w:rsidR="00FB2409">
              <w:rPr>
                <w:rFonts w:cs="Arial"/>
                <w:b/>
                <w:bCs/>
                <w:sz w:val="22"/>
              </w:rPr>
              <w:t xml:space="preserve"> </w:t>
            </w:r>
            <w:r w:rsidRPr="00D66D81">
              <w:rPr>
                <w:rFonts w:cs="Arial"/>
                <w:b/>
                <w:bCs/>
                <w:sz w:val="22"/>
              </w:rPr>
              <w:t>developed merchandise</w:t>
            </w:r>
          </w:p>
        </w:tc>
        <w:tc>
          <w:tcPr>
            <w:tcW w:w="1559" w:type="dxa"/>
            <w:vMerge/>
          </w:tcPr>
          <w:p w14:paraId="5274C777" w14:textId="77777777" w:rsidR="00A21C01" w:rsidRPr="00D66D81" w:rsidRDefault="00A21C01">
            <w:pPr>
              <w:spacing w:line="240" w:lineRule="auto"/>
              <w:rPr>
                <w:rFonts w:cs="Arial"/>
                <w:b/>
                <w:bCs/>
                <w:sz w:val="22"/>
              </w:rPr>
            </w:pPr>
          </w:p>
        </w:tc>
        <w:tc>
          <w:tcPr>
            <w:tcW w:w="2552" w:type="dxa"/>
            <w:vMerge/>
          </w:tcPr>
          <w:p w14:paraId="65150E60" w14:textId="77777777" w:rsidR="00A21C01" w:rsidRPr="00D66D81" w:rsidRDefault="00A21C01">
            <w:pPr>
              <w:spacing w:line="240" w:lineRule="auto"/>
              <w:rPr>
                <w:rFonts w:cs="Arial"/>
                <w:b/>
                <w:bCs/>
                <w:sz w:val="22"/>
              </w:rPr>
            </w:pPr>
          </w:p>
        </w:tc>
      </w:tr>
      <w:tr w:rsidR="000F4439" w:rsidRPr="00D66D81" w14:paraId="13ADEAA1" w14:textId="77777777" w:rsidTr="003C7769">
        <w:trPr>
          <w:trHeight w:val="415"/>
        </w:trPr>
        <w:tc>
          <w:tcPr>
            <w:tcW w:w="4248" w:type="dxa"/>
            <w:hideMark/>
          </w:tcPr>
          <w:p w14:paraId="59E44760" w14:textId="431E1A5C" w:rsidR="00A21C01" w:rsidRPr="00D66D81" w:rsidRDefault="00A21C01">
            <w:pPr>
              <w:spacing w:line="240" w:lineRule="auto"/>
              <w:rPr>
                <w:rFonts w:cs="Arial"/>
                <w:sz w:val="22"/>
              </w:rPr>
            </w:pPr>
            <w:r w:rsidRPr="00D66D81">
              <w:rPr>
                <w:rFonts w:cs="Arial"/>
                <w:sz w:val="22"/>
                <w:lang w:val="fr-CH"/>
              </w:rPr>
              <w:t>Ammonium sulfate</w:t>
            </w:r>
            <w:r w:rsidR="00A1303A">
              <w:rPr>
                <w:rFonts w:cs="Arial"/>
                <w:sz w:val="22"/>
                <w:lang w:val="fr-CH"/>
              </w:rPr>
              <w:t xml:space="preserve"> (PRC)</w:t>
            </w:r>
          </w:p>
        </w:tc>
        <w:tc>
          <w:tcPr>
            <w:tcW w:w="709" w:type="dxa"/>
            <w:shd w:val="clear" w:color="auto" w:fill="DEEAF6" w:themeFill="accent5" w:themeFillTint="33"/>
            <w:hideMark/>
          </w:tcPr>
          <w:p w14:paraId="259314E7" w14:textId="77777777" w:rsidR="00A21C01" w:rsidRPr="00D66D81" w:rsidRDefault="00A21C01">
            <w:pPr>
              <w:spacing w:line="240" w:lineRule="auto"/>
              <w:jc w:val="right"/>
              <w:rPr>
                <w:rFonts w:cs="Arial"/>
                <w:sz w:val="22"/>
              </w:rPr>
            </w:pPr>
            <w:r w:rsidRPr="00D66D81">
              <w:rPr>
                <w:rFonts w:cs="Arial"/>
                <w:sz w:val="22"/>
              </w:rPr>
              <w:t>1</w:t>
            </w:r>
          </w:p>
        </w:tc>
        <w:tc>
          <w:tcPr>
            <w:tcW w:w="1701" w:type="dxa"/>
            <w:hideMark/>
          </w:tcPr>
          <w:p w14:paraId="1695B265" w14:textId="77777777" w:rsidR="00A21C01" w:rsidRPr="00D66D81" w:rsidRDefault="00A21C01">
            <w:pPr>
              <w:spacing w:line="240" w:lineRule="auto"/>
              <w:jc w:val="right"/>
              <w:rPr>
                <w:rFonts w:cs="Arial"/>
                <w:sz w:val="22"/>
              </w:rPr>
            </w:pPr>
          </w:p>
        </w:tc>
        <w:tc>
          <w:tcPr>
            <w:tcW w:w="1275" w:type="dxa"/>
            <w:hideMark/>
          </w:tcPr>
          <w:p w14:paraId="07E98351" w14:textId="77777777" w:rsidR="00A21C01" w:rsidRPr="00D66D81" w:rsidRDefault="00A21C01">
            <w:pPr>
              <w:spacing w:line="240" w:lineRule="auto"/>
              <w:jc w:val="right"/>
              <w:rPr>
                <w:rFonts w:cs="Arial"/>
                <w:sz w:val="22"/>
              </w:rPr>
            </w:pPr>
          </w:p>
        </w:tc>
        <w:tc>
          <w:tcPr>
            <w:tcW w:w="993" w:type="dxa"/>
            <w:hideMark/>
          </w:tcPr>
          <w:p w14:paraId="245F7DDD" w14:textId="77777777" w:rsidR="00A21C01" w:rsidRPr="00D66D81" w:rsidRDefault="00A21C01">
            <w:pPr>
              <w:spacing w:line="240" w:lineRule="auto"/>
              <w:jc w:val="right"/>
              <w:rPr>
                <w:rFonts w:cs="Arial"/>
                <w:sz w:val="22"/>
              </w:rPr>
            </w:pPr>
            <w:r w:rsidRPr="00D66D81">
              <w:rPr>
                <w:rFonts w:cs="Arial"/>
                <w:sz w:val="22"/>
                <w:lang w:val="fr-CH"/>
              </w:rPr>
              <w:t>1</w:t>
            </w:r>
          </w:p>
        </w:tc>
        <w:tc>
          <w:tcPr>
            <w:tcW w:w="1984" w:type="dxa"/>
            <w:hideMark/>
          </w:tcPr>
          <w:p w14:paraId="7E6C4D0A" w14:textId="77777777" w:rsidR="00A21C01" w:rsidRPr="00D66D81" w:rsidRDefault="00A21C01">
            <w:pPr>
              <w:spacing w:line="240" w:lineRule="auto"/>
              <w:jc w:val="right"/>
              <w:rPr>
                <w:rFonts w:cs="Arial"/>
                <w:sz w:val="22"/>
              </w:rPr>
            </w:pPr>
          </w:p>
        </w:tc>
        <w:tc>
          <w:tcPr>
            <w:tcW w:w="1559" w:type="dxa"/>
            <w:hideMark/>
          </w:tcPr>
          <w:p w14:paraId="1BD47CF5" w14:textId="5A375700" w:rsidR="00A21C01" w:rsidRPr="00D66D81" w:rsidRDefault="00192BF6">
            <w:pPr>
              <w:spacing w:line="240" w:lineRule="auto"/>
              <w:jc w:val="both"/>
              <w:rPr>
                <w:rFonts w:cs="Arial"/>
                <w:sz w:val="22"/>
              </w:rPr>
            </w:pPr>
            <w:r>
              <w:rPr>
                <w:rFonts w:cs="Arial"/>
                <w:sz w:val="22"/>
              </w:rPr>
              <w:t>PRC</w:t>
            </w:r>
          </w:p>
        </w:tc>
        <w:tc>
          <w:tcPr>
            <w:tcW w:w="2552" w:type="dxa"/>
            <w:hideMark/>
          </w:tcPr>
          <w:p w14:paraId="41CA9474" w14:textId="77777777" w:rsidR="00A21C01" w:rsidRPr="00D66D81" w:rsidRDefault="00A21C01">
            <w:pPr>
              <w:spacing w:line="240" w:lineRule="auto"/>
              <w:jc w:val="right"/>
              <w:rPr>
                <w:rFonts w:cs="Arial"/>
                <w:sz w:val="22"/>
              </w:rPr>
            </w:pPr>
            <w:r w:rsidRPr="00D66D81">
              <w:rPr>
                <w:rFonts w:cs="Arial"/>
                <w:sz w:val="22"/>
              </w:rPr>
              <w:t>3105.90.99</w:t>
            </w:r>
          </w:p>
        </w:tc>
      </w:tr>
      <w:tr w:rsidR="000F4439" w:rsidRPr="00D66D81" w14:paraId="0D6A969E" w14:textId="77777777" w:rsidTr="003C7769">
        <w:trPr>
          <w:trHeight w:val="415"/>
        </w:trPr>
        <w:tc>
          <w:tcPr>
            <w:tcW w:w="4248" w:type="dxa"/>
            <w:hideMark/>
          </w:tcPr>
          <w:p w14:paraId="120ED6B7" w14:textId="45962182" w:rsidR="00A21C01" w:rsidRPr="00D66D81" w:rsidRDefault="00A21C01">
            <w:pPr>
              <w:spacing w:line="240" w:lineRule="auto"/>
              <w:rPr>
                <w:rFonts w:cs="Arial"/>
                <w:sz w:val="22"/>
              </w:rPr>
            </w:pPr>
            <w:r w:rsidRPr="00D66D81">
              <w:rPr>
                <w:rFonts w:cs="Arial"/>
                <w:sz w:val="22"/>
              </w:rPr>
              <w:t>Bond paper</w:t>
            </w:r>
            <w:r w:rsidR="00A1303A">
              <w:rPr>
                <w:rFonts w:cs="Arial"/>
                <w:sz w:val="22"/>
              </w:rPr>
              <w:t xml:space="preserve"> (Brazil)</w:t>
            </w:r>
          </w:p>
        </w:tc>
        <w:tc>
          <w:tcPr>
            <w:tcW w:w="709" w:type="dxa"/>
            <w:shd w:val="clear" w:color="auto" w:fill="DEEAF6" w:themeFill="accent5" w:themeFillTint="33"/>
            <w:hideMark/>
          </w:tcPr>
          <w:p w14:paraId="5E4FF51C" w14:textId="77777777" w:rsidR="00A21C01" w:rsidRPr="00D66D81" w:rsidRDefault="00A21C01">
            <w:pPr>
              <w:spacing w:line="240" w:lineRule="auto"/>
              <w:jc w:val="right"/>
              <w:rPr>
                <w:rFonts w:cs="Arial"/>
                <w:sz w:val="22"/>
              </w:rPr>
            </w:pPr>
            <w:r w:rsidRPr="00D66D81">
              <w:rPr>
                <w:rFonts w:cs="Arial"/>
                <w:sz w:val="22"/>
              </w:rPr>
              <w:t>1</w:t>
            </w:r>
          </w:p>
        </w:tc>
        <w:tc>
          <w:tcPr>
            <w:tcW w:w="1701" w:type="dxa"/>
            <w:hideMark/>
          </w:tcPr>
          <w:p w14:paraId="3C7B09B7" w14:textId="77777777" w:rsidR="00A21C01" w:rsidRPr="00D66D81" w:rsidRDefault="00A21C01">
            <w:pPr>
              <w:spacing w:line="240" w:lineRule="auto"/>
              <w:jc w:val="right"/>
              <w:rPr>
                <w:rFonts w:cs="Arial"/>
                <w:sz w:val="22"/>
              </w:rPr>
            </w:pPr>
          </w:p>
        </w:tc>
        <w:tc>
          <w:tcPr>
            <w:tcW w:w="1275" w:type="dxa"/>
            <w:hideMark/>
          </w:tcPr>
          <w:p w14:paraId="57308373" w14:textId="77777777" w:rsidR="00A21C01" w:rsidRPr="00D66D81" w:rsidRDefault="00A21C01">
            <w:pPr>
              <w:spacing w:line="240" w:lineRule="auto"/>
              <w:jc w:val="right"/>
              <w:rPr>
                <w:rFonts w:cs="Arial"/>
                <w:sz w:val="22"/>
              </w:rPr>
            </w:pPr>
          </w:p>
        </w:tc>
        <w:tc>
          <w:tcPr>
            <w:tcW w:w="993" w:type="dxa"/>
            <w:hideMark/>
          </w:tcPr>
          <w:p w14:paraId="7B2FC809" w14:textId="77777777" w:rsidR="00A21C01" w:rsidRPr="00D66D81" w:rsidRDefault="00A21C01">
            <w:pPr>
              <w:spacing w:line="240" w:lineRule="auto"/>
              <w:jc w:val="right"/>
              <w:rPr>
                <w:rFonts w:cs="Arial"/>
                <w:sz w:val="22"/>
              </w:rPr>
            </w:pPr>
            <w:r w:rsidRPr="00D66D81">
              <w:rPr>
                <w:rFonts w:cs="Arial"/>
                <w:sz w:val="22"/>
                <w:lang w:val="fr-CH"/>
              </w:rPr>
              <w:t>1</w:t>
            </w:r>
          </w:p>
        </w:tc>
        <w:tc>
          <w:tcPr>
            <w:tcW w:w="1984" w:type="dxa"/>
            <w:hideMark/>
          </w:tcPr>
          <w:p w14:paraId="731A0BBC" w14:textId="77777777" w:rsidR="00A21C01" w:rsidRPr="00D66D81" w:rsidRDefault="00A21C01">
            <w:pPr>
              <w:spacing w:line="240" w:lineRule="auto"/>
              <w:jc w:val="right"/>
              <w:rPr>
                <w:rFonts w:cs="Arial"/>
                <w:sz w:val="22"/>
              </w:rPr>
            </w:pPr>
          </w:p>
        </w:tc>
        <w:tc>
          <w:tcPr>
            <w:tcW w:w="1559" w:type="dxa"/>
            <w:hideMark/>
          </w:tcPr>
          <w:p w14:paraId="49411EE9" w14:textId="77777777" w:rsidR="00A21C01" w:rsidRPr="00D66D81" w:rsidRDefault="00A21C01">
            <w:pPr>
              <w:spacing w:line="240" w:lineRule="auto"/>
              <w:jc w:val="both"/>
              <w:rPr>
                <w:rFonts w:cs="Arial"/>
                <w:sz w:val="22"/>
              </w:rPr>
            </w:pPr>
            <w:r w:rsidRPr="00D66D81">
              <w:rPr>
                <w:rFonts w:cs="Arial"/>
                <w:sz w:val="22"/>
              </w:rPr>
              <w:t>Brazil</w:t>
            </w:r>
          </w:p>
        </w:tc>
        <w:tc>
          <w:tcPr>
            <w:tcW w:w="2552" w:type="dxa"/>
            <w:hideMark/>
          </w:tcPr>
          <w:p w14:paraId="624BB4F9" w14:textId="77777777" w:rsidR="00A21C01" w:rsidRPr="00D66D81" w:rsidRDefault="00A21C01">
            <w:pPr>
              <w:spacing w:line="240" w:lineRule="auto"/>
              <w:jc w:val="right"/>
              <w:rPr>
                <w:rFonts w:cs="Arial"/>
                <w:sz w:val="22"/>
              </w:rPr>
            </w:pPr>
            <w:r w:rsidRPr="00D66D81">
              <w:rPr>
                <w:rFonts w:cs="Arial"/>
                <w:sz w:val="22"/>
              </w:rPr>
              <w:t>4802.55.01</w:t>
            </w:r>
          </w:p>
        </w:tc>
      </w:tr>
      <w:tr w:rsidR="000F4439" w:rsidRPr="00D66D81" w14:paraId="094EC3AC" w14:textId="77777777" w:rsidTr="003C7769">
        <w:trPr>
          <w:trHeight w:val="522"/>
        </w:trPr>
        <w:tc>
          <w:tcPr>
            <w:tcW w:w="4248" w:type="dxa"/>
            <w:hideMark/>
          </w:tcPr>
          <w:p w14:paraId="4D20DCED" w14:textId="454EB3B6" w:rsidR="00A21C01" w:rsidRPr="00D66D81" w:rsidRDefault="00A21C01">
            <w:pPr>
              <w:spacing w:line="240" w:lineRule="auto"/>
              <w:rPr>
                <w:rFonts w:cs="Arial"/>
                <w:sz w:val="22"/>
              </w:rPr>
            </w:pPr>
            <w:r w:rsidRPr="00D66D81">
              <w:rPr>
                <w:rFonts w:cs="Arial"/>
                <w:sz w:val="22"/>
                <w:lang w:val="fr-CH"/>
              </w:rPr>
              <w:t>Carbon steel Plates</w:t>
            </w:r>
            <w:r w:rsidR="00A1303A">
              <w:rPr>
                <w:rFonts w:cs="Arial"/>
                <w:sz w:val="22"/>
                <w:lang w:val="fr-CH"/>
              </w:rPr>
              <w:t xml:space="preserve"> (Russia)</w:t>
            </w:r>
          </w:p>
        </w:tc>
        <w:tc>
          <w:tcPr>
            <w:tcW w:w="709" w:type="dxa"/>
            <w:shd w:val="clear" w:color="auto" w:fill="DEEAF6" w:themeFill="accent5" w:themeFillTint="33"/>
            <w:hideMark/>
          </w:tcPr>
          <w:p w14:paraId="00C84C6A" w14:textId="77777777" w:rsidR="00A21C01" w:rsidRPr="00D66D81" w:rsidRDefault="00A21C01">
            <w:pPr>
              <w:spacing w:line="240" w:lineRule="auto"/>
              <w:jc w:val="right"/>
              <w:rPr>
                <w:rFonts w:cs="Arial"/>
                <w:sz w:val="22"/>
              </w:rPr>
            </w:pPr>
            <w:r w:rsidRPr="00D66D81">
              <w:rPr>
                <w:rFonts w:cs="Arial"/>
                <w:sz w:val="22"/>
              </w:rPr>
              <w:t>1</w:t>
            </w:r>
          </w:p>
        </w:tc>
        <w:tc>
          <w:tcPr>
            <w:tcW w:w="1701" w:type="dxa"/>
            <w:hideMark/>
          </w:tcPr>
          <w:p w14:paraId="1F282998" w14:textId="77777777" w:rsidR="00A21C01" w:rsidRPr="00D66D81" w:rsidRDefault="00A21C01">
            <w:pPr>
              <w:spacing w:line="240" w:lineRule="auto"/>
              <w:jc w:val="right"/>
              <w:rPr>
                <w:rFonts w:cs="Arial"/>
                <w:sz w:val="22"/>
              </w:rPr>
            </w:pPr>
          </w:p>
        </w:tc>
        <w:tc>
          <w:tcPr>
            <w:tcW w:w="1275" w:type="dxa"/>
            <w:hideMark/>
          </w:tcPr>
          <w:p w14:paraId="62D070B4" w14:textId="77777777" w:rsidR="00A21C01" w:rsidRPr="00D66D81" w:rsidRDefault="00A21C01">
            <w:pPr>
              <w:spacing w:line="240" w:lineRule="auto"/>
              <w:jc w:val="right"/>
              <w:rPr>
                <w:rFonts w:cs="Arial"/>
                <w:sz w:val="22"/>
              </w:rPr>
            </w:pPr>
          </w:p>
        </w:tc>
        <w:tc>
          <w:tcPr>
            <w:tcW w:w="993" w:type="dxa"/>
            <w:hideMark/>
          </w:tcPr>
          <w:p w14:paraId="71808F7A" w14:textId="77777777" w:rsidR="00A21C01" w:rsidRPr="00D66D81" w:rsidRDefault="00A21C01">
            <w:pPr>
              <w:spacing w:line="240" w:lineRule="auto"/>
              <w:jc w:val="right"/>
              <w:rPr>
                <w:rFonts w:cs="Arial"/>
                <w:sz w:val="22"/>
              </w:rPr>
            </w:pPr>
            <w:r w:rsidRPr="00D66D81">
              <w:rPr>
                <w:rFonts w:cs="Arial"/>
                <w:sz w:val="22"/>
                <w:lang w:val="fr-CH"/>
              </w:rPr>
              <w:t>1</w:t>
            </w:r>
          </w:p>
        </w:tc>
        <w:tc>
          <w:tcPr>
            <w:tcW w:w="1984" w:type="dxa"/>
            <w:hideMark/>
          </w:tcPr>
          <w:p w14:paraId="6C0D3AFF" w14:textId="77777777" w:rsidR="00A21C01" w:rsidRPr="00D66D81" w:rsidRDefault="00A21C01">
            <w:pPr>
              <w:spacing w:line="240" w:lineRule="auto"/>
              <w:jc w:val="right"/>
              <w:rPr>
                <w:rFonts w:cs="Arial"/>
                <w:sz w:val="22"/>
              </w:rPr>
            </w:pPr>
          </w:p>
        </w:tc>
        <w:tc>
          <w:tcPr>
            <w:tcW w:w="1559" w:type="dxa"/>
            <w:hideMark/>
          </w:tcPr>
          <w:p w14:paraId="529D3642" w14:textId="77777777" w:rsidR="00A21C01" w:rsidRPr="00D66D81" w:rsidRDefault="00A21C01">
            <w:pPr>
              <w:spacing w:line="240" w:lineRule="auto"/>
              <w:jc w:val="both"/>
              <w:rPr>
                <w:rFonts w:cs="Arial"/>
                <w:sz w:val="22"/>
              </w:rPr>
            </w:pPr>
            <w:r w:rsidRPr="00D66D81">
              <w:rPr>
                <w:rFonts w:cs="Arial"/>
                <w:sz w:val="22"/>
              </w:rPr>
              <w:t>Russia</w:t>
            </w:r>
          </w:p>
        </w:tc>
        <w:tc>
          <w:tcPr>
            <w:tcW w:w="2552" w:type="dxa"/>
            <w:hideMark/>
          </w:tcPr>
          <w:p w14:paraId="743751EC" w14:textId="77777777" w:rsidR="00A21C01" w:rsidRPr="00D66D81" w:rsidRDefault="00A21C01">
            <w:pPr>
              <w:spacing w:line="240" w:lineRule="auto"/>
              <w:jc w:val="right"/>
              <w:rPr>
                <w:rFonts w:cs="Arial"/>
                <w:sz w:val="22"/>
              </w:rPr>
            </w:pPr>
            <w:r w:rsidRPr="00D66D81">
              <w:rPr>
                <w:rFonts w:cs="Arial"/>
                <w:sz w:val="22"/>
              </w:rPr>
              <w:t>7225.4001, 7225.4002</w:t>
            </w:r>
          </w:p>
        </w:tc>
      </w:tr>
      <w:tr w:rsidR="000F4439" w:rsidRPr="00D66D81" w14:paraId="78D73D57" w14:textId="77777777" w:rsidTr="003C7769">
        <w:trPr>
          <w:trHeight w:val="767"/>
        </w:trPr>
        <w:tc>
          <w:tcPr>
            <w:tcW w:w="4248" w:type="dxa"/>
            <w:hideMark/>
          </w:tcPr>
          <w:p w14:paraId="2DB5578E" w14:textId="3B869D62" w:rsidR="00A21C01" w:rsidRPr="00D66D81" w:rsidRDefault="00A21C01">
            <w:pPr>
              <w:spacing w:line="240" w:lineRule="auto"/>
              <w:rPr>
                <w:rFonts w:cs="Arial"/>
                <w:sz w:val="22"/>
              </w:rPr>
            </w:pPr>
            <w:r w:rsidRPr="00D66D81">
              <w:rPr>
                <w:rFonts w:cs="Arial"/>
                <w:sz w:val="22"/>
              </w:rPr>
              <w:t>Hot-rolled steel</w:t>
            </w:r>
            <w:r w:rsidR="00A1303A">
              <w:rPr>
                <w:rFonts w:cs="Arial"/>
                <w:sz w:val="22"/>
              </w:rPr>
              <w:t xml:space="preserve"> (Russia)</w:t>
            </w:r>
          </w:p>
        </w:tc>
        <w:tc>
          <w:tcPr>
            <w:tcW w:w="709" w:type="dxa"/>
            <w:shd w:val="clear" w:color="auto" w:fill="DEEAF6" w:themeFill="accent5" w:themeFillTint="33"/>
            <w:hideMark/>
          </w:tcPr>
          <w:p w14:paraId="20ECB3A9" w14:textId="77777777" w:rsidR="00A21C01" w:rsidRPr="00D66D81" w:rsidRDefault="00A21C01">
            <w:pPr>
              <w:spacing w:line="240" w:lineRule="auto"/>
              <w:jc w:val="right"/>
              <w:rPr>
                <w:rFonts w:cs="Arial"/>
                <w:sz w:val="22"/>
              </w:rPr>
            </w:pPr>
            <w:r w:rsidRPr="00D66D81">
              <w:rPr>
                <w:rFonts w:cs="Arial"/>
                <w:sz w:val="22"/>
              </w:rPr>
              <w:t>1</w:t>
            </w:r>
          </w:p>
        </w:tc>
        <w:tc>
          <w:tcPr>
            <w:tcW w:w="1701" w:type="dxa"/>
            <w:hideMark/>
          </w:tcPr>
          <w:p w14:paraId="33B52267" w14:textId="77777777" w:rsidR="00A21C01" w:rsidRPr="00D66D81" w:rsidRDefault="00A21C01">
            <w:pPr>
              <w:spacing w:line="240" w:lineRule="auto"/>
              <w:jc w:val="right"/>
              <w:rPr>
                <w:rFonts w:cs="Arial"/>
                <w:sz w:val="22"/>
              </w:rPr>
            </w:pPr>
          </w:p>
        </w:tc>
        <w:tc>
          <w:tcPr>
            <w:tcW w:w="1275" w:type="dxa"/>
            <w:hideMark/>
          </w:tcPr>
          <w:p w14:paraId="46F59240" w14:textId="77777777" w:rsidR="00A21C01" w:rsidRPr="00D66D81" w:rsidRDefault="00A21C01">
            <w:pPr>
              <w:spacing w:line="240" w:lineRule="auto"/>
              <w:jc w:val="right"/>
              <w:rPr>
                <w:rFonts w:cs="Arial"/>
                <w:sz w:val="22"/>
              </w:rPr>
            </w:pPr>
          </w:p>
        </w:tc>
        <w:tc>
          <w:tcPr>
            <w:tcW w:w="993" w:type="dxa"/>
            <w:hideMark/>
          </w:tcPr>
          <w:p w14:paraId="55F86A01" w14:textId="77777777" w:rsidR="00A21C01" w:rsidRPr="00D66D81" w:rsidRDefault="00A21C01">
            <w:pPr>
              <w:spacing w:line="240" w:lineRule="auto"/>
              <w:jc w:val="right"/>
              <w:rPr>
                <w:rFonts w:cs="Arial"/>
                <w:sz w:val="22"/>
              </w:rPr>
            </w:pPr>
            <w:r w:rsidRPr="00D66D81">
              <w:rPr>
                <w:rFonts w:cs="Arial"/>
                <w:sz w:val="22"/>
              </w:rPr>
              <w:t>1</w:t>
            </w:r>
          </w:p>
        </w:tc>
        <w:tc>
          <w:tcPr>
            <w:tcW w:w="1984" w:type="dxa"/>
            <w:hideMark/>
          </w:tcPr>
          <w:p w14:paraId="36079084" w14:textId="77777777" w:rsidR="00A21C01" w:rsidRPr="00D66D81" w:rsidRDefault="00A21C01">
            <w:pPr>
              <w:spacing w:line="240" w:lineRule="auto"/>
              <w:jc w:val="right"/>
              <w:rPr>
                <w:rFonts w:cs="Arial"/>
                <w:sz w:val="22"/>
              </w:rPr>
            </w:pPr>
          </w:p>
        </w:tc>
        <w:tc>
          <w:tcPr>
            <w:tcW w:w="1559" w:type="dxa"/>
            <w:hideMark/>
          </w:tcPr>
          <w:p w14:paraId="5B3FDDDC" w14:textId="77777777" w:rsidR="00A21C01" w:rsidRPr="00D66D81" w:rsidRDefault="00A21C01">
            <w:pPr>
              <w:spacing w:line="240" w:lineRule="auto"/>
              <w:jc w:val="both"/>
              <w:rPr>
                <w:rFonts w:cs="Arial"/>
                <w:sz w:val="22"/>
              </w:rPr>
            </w:pPr>
            <w:r w:rsidRPr="00D66D81">
              <w:rPr>
                <w:rFonts w:cs="Arial"/>
                <w:sz w:val="22"/>
              </w:rPr>
              <w:t>Russia</w:t>
            </w:r>
          </w:p>
        </w:tc>
        <w:tc>
          <w:tcPr>
            <w:tcW w:w="2552" w:type="dxa"/>
            <w:hideMark/>
          </w:tcPr>
          <w:p w14:paraId="3C2F2CD2" w14:textId="77777777" w:rsidR="00A21C01" w:rsidRPr="00D66D81" w:rsidRDefault="00A21C01">
            <w:pPr>
              <w:spacing w:line="240" w:lineRule="auto"/>
              <w:jc w:val="right"/>
              <w:rPr>
                <w:rFonts w:cs="Arial"/>
                <w:sz w:val="22"/>
              </w:rPr>
            </w:pPr>
            <w:r w:rsidRPr="00D66D81">
              <w:rPr>
                <w:rFonts w:cs="Arial"/>
                <w:sz w:val="22"/>
              </w:rPr>
              <w:t>7208.1099, 7208.2601, 7208.2701, 7208.3801, 7208.3901</w:t>
            </w:r>
          </w:p>
        </w:tc>
      </w:tr>
      <w:tr w:rsidR="000F4439" w:rsidRPr="00D66D81" w14:paraId="6D7DC4D1" w14:textId="77777777" w:rsidTr="003C7769">
        <w:trPr>
          <w:trHeight w:val="522"/>
        </w:trPr>
        <w:tc>
          <w:tcPr>
            <w:tcW w:w="4248" w:type="dxa"/>
            <w:hideMark/>
          </w:tcPr>
          <w:p w14:paraId="745936A0" w14:textId="08EC7DED" w:rsidR="00A21C01" w:rsidRPr="00D66D81" w:rsidRDefault="00A21C01">
            <w:pPr>
              <w:spacing w:line="240" w:lineRule="auto"/>
              <w:rPr>
                <w:rFonts w:cs="Arial"/>
                <w:sz w:val="22"/>
              </w:rPr>
            </w:pPr>
            <w:r w:rsidRPr="00D66D81">
              <w:rPr>
                <w:rFonts w:cs="Arial"/>
                <w:sz w:val="22"/>
              </w:rPr>
              <w:t>Cold-rolled steel</w:t>
            </w:r>
            <w:r w:rsidR="00A1303A">
              <w:rPr>
                <w:rFonts w:cs="Arial"/>
                <w:sz w:val="22"/>
              </w:rPr>
              <w:t xml:space="preserve"> (PRC)</w:t>
            </w:r>
          </w:p>
        </w:tc>
        <w:tc>
          <w:tcPr>
            <w:tcW w:w="709" w:type="dxa"/>
            <w:shd w:val="clear" w:color="auto" w:fill="DEEAF6" w:themeFill="accent5" w:themeFillTint="33"/>
            <w:hideMark/>
          </w:tcPr>
          <w:p w14:paraId="1D919A6D" w14:textId="77777777" w:rsidR="00A21C01" w:rsidRPr="00D66D81" w:rsidRDefault="00A21C01">
            <w:pPr>
              <w:spacing w:line="240" w:lineRule="auto"/>
              <w:jc w:val="right"/>
              <w:rPr>
                <w:rFonts w:cs="Arial"/>
                <w:sz w:val="22"/>
              </w:rPr>
            </w:pPr>
            <w:r w:rsidRPr="00D66D81">
              <w:rPr>
                <w:rFonts w:cs="Arial"/>
                <w:sz w:val="22"/>
              </w:rPr>
              <w:t>1</w:t>
            </w:r>
          </w:p>
        </w:tc>
        <w:tc>
          <w:tcPr>
            <w:tcW w:w="1701" w:type="dxa"/>
            <w:hideMark/>
          </w:tcPr>
          <w:p w14:paraId="75DE1CA3" w14:textId="77777777" w:rsidR="00A21C01" w:rsidRPr="00D66D81" w:rsidRDefault="00A21C01">
            <w:pPr>
              <w:spacing w:line="240" w:lineRule="auto"/>
              <w:jc w:val="right"/>
              <w:rPr>
                <w:rFonts w:cs="Arial"/>
                <w:sz w:val="22"/>
              </w:rPr>
            </w:pPr>
          </w:p>
        </w:tc>
        <w:tc>
          <w:tcPr>
            <w:tcW w:w="1275" w:type="dxa"/>
            <w:hideMark/>
          </w:tcPr>
          <w:p w14:paraId="64FD9FA2" w14:textId="77777777" w:rsidR="00A21C01" w:rsidRPr="00D66D81" w:rsidRDefault="00A21C01">
            <w:pPr>
              <w:spacing w:line="240" w:lineRule="auto"/>
              <w:jc w:val="right"/>
              <w:rPr>
                <w:rFonts w:cs="Arial"/>
                <w:sz w:val="22"/>
              </w:rPr>
            </w:pPr>
          </w:p>
        </w:tc>
        <w:tc>
          <w:tcPr>
            <w:tcW w:w="993" w:type="dxa"/>
            <w:hideMark/>
          </w:tcPr>
          <w:p w14:paraId="70E204F5" w14:textId="77777777" w:rsidR="00A21C01" w:rsidRPr="00D66D81" w:rsidRDefault="00A21C01">
            <w:pPr>
              <w:spacing w:line="240" w:lineRule="auto"/>
              <w:jc w:val="right"/>
              <w:rPr>
                <w:rFonts w:cs="Arial"/>
                <w:sz w:val="22"/>
              </w:rPr>
            </w:pPr>
            <w:r w:rsidRPr="00D66D81">
              <w:rPr>
                <w:rFonts w:cs="Arial"/>
                <w:sz w:val="22"/>
              </w:rPr>
              <w:t>1</w:t>
            </w:r>
          </w:p>
        </w:tc>
        <w:tc>
          <w:tcPr>
            <w:tcW w:w="1984" w:type="dxa"/>
            <w:hideMark/>
          </w:tcPr>
          <w:p w14:paraId="29E5158E" w14:textId="77777777" w:rsidR="00A21C01" w:rsidRPr="00D66D81" w:rsidRDefault="00A21C01">
            <w:pPr>
              <w:spacing w:line="240" w:lineRule="auto"/>
              <w:jc w:val="right"/>
              <w:rPr>
                <w:rFonts w:cs="Arial"/>
                <w:sz w:val="22"/>
              </w:rPr>
            </w:pPr>
          </w:p>
        </w:tc>
        <w:tc>
          <w:tcPr>
            <w:tcW w:w="1559" w:type="dxa"/>
            <w:hideMark/>
          </w:tcPr>
          <w:p w14:paraId="5478A773" w14:textId="1836F6B3" w:rsidR="00A21C01" w:rsidRPr="00D66D81" w:rsidRDefault="00192BF6">
            <w:pPr>
              <w:spacing w:line="240" w:lineRule="auto"/>
              <w:jc w:val="both"/>
              <w:rPr>
                <w:rFonts w:cs="Arial"/>
                <w:sz w:val="22"/>
              </w:rPr>
            </w:pPr>
            <w:r>
              <w:rPr>
                <w:rFonts w:cs="Arial"/>
                <w:sz w:val="22"/>
              </w:rPr>
              <w:t>PRC</w:t>
            </w:r>
          </w:p>
        </w:tc>
        <w:tc>
          <w:tcPr>
            <w:tcW w:w="2552" w:type="dxa"/>
            <w:hideMark/>
          </w:tcPr>
          <w:p w14:paraId="33BCCFD4" w14:textId="77777777" w:rsidR="00A21C01" w:rsidRPr="00D66D81" w:rsidRDefault="00A21C01">
            <w:pPr>
              <w:spacing w:line="240" w:lineRule="auto"/>
              <w:jc w:val="right"/>
              <w:rPr>
                <w:rFonts w:cs="Arial"/>
                <w:sz w:val="22"/>
              </w:rPr>
            </w:pPr>
            <w:r w:rsidRPr="00D66D81">
              <w:rPr>
                <w:rFonts w:cs="Arial"/>
                <w:sz w:val="22"/>
              </w:rPr>
              <w:t>7209.1601, 7209.1701</w:t>
            </w:r>
          </w:p>
        </w:tc>
      </w:tr>
      <w:tr w:rsidR="000F4439" w:rsidRPr="00D66D81" w14:paraId="257199A2" w14:textId="77777777" w:rsidTr="003C7769">
        <w:trPr>
          <w:trHeight w:val="415"/>
        </w:trPr>
        <w:tc>
          <w:tcPr>
            <w:tcW w:w="4248" w:type="dxa"/>
            <w:hideMark/>
          </w:tcPr>
          <w:p w14:paraId="0CF466BD" w14:textId="3B8C3D92" w:rsidR="00A21C01" w:rsidRPr="00D66D81" w:rsidRDefault="00A21C01">
            <w:pPr>
              <w:spacing w:line="240" w:lineRule="auto"/>
              <w:rPr>
                <w:rFonts w:cs="Arial"/>
                <w:sz w:val="22"/>
              </w:rPr>
            </w:pPr>
            <w:r w:rsidRPr="00D66D81">
              <w:rPr>
                <w:rFonts w:cs="Arial"/>
                <w:sz w:val="22"/>
              </w:rPr>
              <w:t>Graphite electrodes for electric arc ovens</w:t>
            </w:r>
            <w:r w:rsidR="00A1303A">
              <w:rPr>
                <w:rFonts w:cs="Arial"/>
                <w:sz w:val="22"/>
              </w:rPr>
              <w:t xml:space="preserve"> (</w:t>
            </w:r>
            <w:r w:rsidR="000F1043">
              <w:rPr>
                <w:rFonts w:cs="Arial"/>
                <w:sz w:val="22"/>
              </w:rPr>
              <w:t>PRC)</w:t>
            </w:r>
          </w:p>
        </w:tc>
        <w:tc>
          <w:tcPr>
            <w:tcW w:w="709" w:type="dxa"/>
            <w:shd w:val="clear" w:color="auto" w:fill="DEEAF6" w:themeFill="accent5" w:themeFillTint="33"/>
            <w:hideMark/>
          </w:tcPr>
          <w:p w14:paraId="171607DA" w14:textId="77777777" w:rsidR="00A21C01" w:rsidRPr="00D66D81" w:rsidRDefault="00A21C01">
            <w:pPr>
              <w:spacing w:line="240" w:lineRule="auto"/>
              <w:jc w:val="right"/>
              <w:rPr>
                <w:rFonts w:cs="Arial"/>
                <w:sz w:val="22"/>
              </w:rPr>
            </w:pPr>
            <w:r w:rsidRPr="00D66D81">
              <w:rPr>
                <w:rFonts w:cs="Arial"/>
                <w:sz w:val="22"/>
              </w:rPr>
              <w:t>1</w:t>
            </w:r>
          </w:p>
        </w:tc>
        <w:tc>
          <w:tcPr>
            <w:tcW w:w="1701" w:type="dxa"/>
            <w:hideMark/>
          </w:tcPr>
          <w:p w14:paraId="4337E999" w14:textId="77777777" w:rsidR="00A21C01" w:rsidRPr="00D66D81" w:rsidRDefault="00A21C01">
            <w:pPr>
              <w:spacing w:line="240" w:lineRule="auto"/>
              <w:jc w:val="right"/>
              <w:rPr>
                <w:rFonts w:cs="Arial"/>
                <w:sz w:val="22"/>
              </w:rPr>
            </w:pPr>
          </w:p>
        </w:tc>
        <w:tc>
          <w:tcPr>
            <w:tcW w:w="1275" w:type="dxa"/>
            <w:hideMark/>
          </w:tcPr>
          <w:p w14:paraId="53095D49" w14:textId="77777777" w:rsidR="00A21C01" w:rsidRPr="00D66D81" w:rsidRDefault="00A21C01">
            <w:pPr>
              <w:spacing w:line="240" w:lineRule="auto"/>
              <w:jc w:val="right"/>
              <w:rPr>
                <w:rFonts w:cs="Arial"/>
                <w:sz w:val="22"/>
              </w:rPr>
            </w:pPr>
            <w:r w:rsidRPr="00D66D81">
              <w:rPr>
                <w:rFonts w:cs="Arial"/>
                <w:sz w:val="22"/>
              </w:rPr>
              <w:t>1</w:t>
            </w:r>
          </w:p>
        </w:tc>
        <w:tc>
          <w:tcPr>
            <w:tcW w:w="993" w:type="dxa"/>
            <w:hideMark/>
          </w:tcPr>
          <w:p w14:paraId="294C9708" w14:textId="77777777" w:rsidR="00A21C01" w:rsidRPr="00D66D81" w:rsidRDefault="00A21C01">
            <w:pPr>
              <w:spacing w:line="240" w:lineRule="auto"/>
              <w:jc w:val="right"/>
              <w:rPr>
                <w:rFonts w:cs="Arial"/>
                <w:sz w:val="22"/>
              </w:rPr>
            </w:pPr>
          </w:p>
        </w:tc>
        <w:tc>
          <w:tcPr>
            <w:tcW w:w="1984" w:type="dxa"/>
            <w:hideMark/>
          </w:tcPr>
          <w:p w14:paraId="7A4ADBC1" w14:textId="77777777" w:rsidR="00A21C01" w:rsidRPr="00D66D81" w:rsidRDefault="00A21C01">
            <w:pPr>
              <w:spacing w:line="240" w:lineRule="auto"/>
              <w:jc w:val="right"/>
              <w:rPr>
                <w:rFonts w:cs="Arial"/>
                <w:sz w:val="22"/>
              </w:rPr>
            </w:pPr>
          </w:p>
        </w:tc>
        <w:tc>
          <w:tcPr>
            <w:tcW w:w="1559" w:type="dxa"/>
            <w:hideMark/>
          </w:tcPr>
          <w:p w14:paraId="24DD70C1" w14:textId="0FA2EACD" w:rsidR="00A21C01" w:rsidRPr="00D66D81" w:rsidRDefault="00192BF6">
            <w:pPr>
              <w:spacing w:line="240" w:lineRule="auto"/>
              <w:jc w:val="both"/>
              <w:rPr>
                <w:rFonts w:cs="Arial"/>
                <w:sz w:val="22"/>
              </w:rPr>
            </w:pPr>
            <w:r>
              <w:rPr>
                <w:rFonts w:cs="Arial"/>
                <w:sz w:val="22"/>
              </w:rPr>
              <w:t>PRC</w:t>
            </w:r>
          </w:p>
        </w:tc>
        <w:tc>
          <w:tcPr>
            <w:tcW w:w="2552" w:type="dxa"/>
            <w:hideMark/>
          </w:tcPr>
          <w:p w14:paraId="5E3B567B" w14:textId="77777777" w:rsidR="00A21C01" w:rsidRPr="00D66D81" w:rsidRDefault="00A21C01">
            <w:pPr>
              <w:spacing w:line="240" w:lineRule="auto"/>
              <w:jc w:val="right"/>
              <w:rPr>
                <w:rFonts w:cs="Arial"/>
                <w:sz w:val="22"/>
              </w:rPr>
            </w:pPr>
            <w:r w:rsidRPr="00D66D81">
              <w:rPr>
                <w:rFonts w:cs="Arial"/>
                <w:sz w:val="22"/>
              </w:rPr>
              <w:t>8545.1101</w:t>
            </w:r>
          </w:p>
        </w:tc>
      </w:tr>
      <w:tr w:rsidR="000F4439" w:rsidRPr="00D66D81" w14:paraId="189F417D" w14:textId="77777777" w:rsidTr="000F1043">
        <w:trPr>
          <w:trHeight w:val="415"/>
        </w:trPr>
        <w:tc>
          <w:tcPr>
            <w:tcW w:w="4248" w:type="dxa"/>
            <w:hideMark/>
          </w:tcPr>
          <w:p w14:paraId="121F9360" w14:textId="08C46F38" w:rsidR="00A21C01" w:rsidRPr="00D66D81" w:rsidRDefault="00A21C01">
            <w:pPr>
              <w:spacing w:line="240" w:lineRule="auto"/>
              <w:rPr>
                <w:rFonts w:cs="Arial"/>
                <w:sz w:val="22"/>
              </w:rPr>
            </w:pPr>
            <w:r w:rsidRPr="00D66D81">
              <w:rPr>
                <w:rFonts w:cs="Arial"/>
                <w:sz w:val="22"/>
              </w:rPr>
              <w:t>Iron and steel valves</w:t>
            </w:r>
            <w:r w:rsidR="000F1043">
              <w:rPr>
                <w:rFonts w:cs="Arial"/>
                <w:sz w:val="22"/>
              </w:rPr>
              <w:t xml:space="preserve"> (PRC)</w:t>
            </w:r>
          </w:p>
        </w:tc>
        <w:tc>
          <w:tcPr>
            <w:tcW w:w="709" w:type="dxa"/>
            <w:shd w:val="clear" w:color="auto" w:fill="DEEAF6" w:themeFill="accent5" w:themeFillTint="33"/>
            <w:hideMark/>
          </w:tcPr>
          <w:p w14:paraId="60659434" w14:textId="77777777" w:rsidR="00A21C01" w:rsidRPr="00D66D81" w:rsidRDefault="00A21C01">
            <w:pPr>
              <w:spacing w:line="240" w:lineRule="auto"/>
              <w:jc w:val="right"/>
              <w:rPr>
                <w:rFonts w:cs="Arial"/>
                <w:sz w:val="22"/>
              </w:rPr>
            </w:pPr>
            <w:r w:rsidRPr="00D66D81">
              <w:rPr>
                <w:rFonts w:cs="Arial"/>
                <w:sz w:val="22"/>
              </w:rPr>
              <w:t>1</w:t>
            </w:r>
          </w:p>
        </w:tc>
        <w:tc>
          <w:tcPr>
            <w:tcW w:w="1701" w:type="dxa"/>
            <w:hideMark/>
          </w:tcPr>
          <w:p w14:paraId="33F36FEC" w14:textId="77777777" w:rsidR="00A21C01" w:rsidRPr="00D66D81" w:rsidRDefault="00A21C01">
            <w:pPr>
              <w:spacing w:line="240" w:lineRule="auto"/>
              <w:jc w:val="right"/>
              <w:rPr>
                <w:rFonts w:cs="Arial"/>
                <w:sz w:val="22"/>
              </w:rPr>
            </w:pPr>
            <w:r w:rsidRPr="00D66D81">
              <w:rPr>
                <w:rFonts w:cs="Arial"/>
                <w:sz w:val="22"/>
              </w:rPr>
              <w:t>1</w:t>
            </w:r>
          </w:p>
        </w:tc>
        <w:tc>
          <w:tcPr>
            <w:tcW w:w="1275" w:type="dxa"/>
            <w:hideMark/>
          </w:tcPr>
          <w:p w14:paraId="1D199331" w14:textId="77777777" w:rsidR="00A21C01" w:rsidRPr="00D66D81" w:rsidRDefault="00A21C01">
            <w:pPr>
              <w:spacing w:line="240" w:lineRule="auto"/>
              <w:jc w:val="right"/>
              <w:rPr>
                <w:rFonts w:cs="Arial"/>
                <w:sz w:val="22"/>
              </w:rPr>
            </w:pPr>
          </w:p>
        </w:tc>
        <w:tc>
          <w:tcPr>
            <w:tcW w:w="993" w:type="dxa"/>
            <w:hideMark/>
          </w:tcPr>
          <w:p w14:paraId="79308C33" w14:textId="77777777" w:rsidR="00A21C01" w:rsidRPr="00D66D81" w:rsidRDefault="00A21C01">
            <w:pPr>
              <w:spacing w:line="240" w:lineRule="auto"/>
              <w:jc w:val="right"/>
              <w:rPr>
                <w:rFonts w:cs="Arial"/>
                <w:sz w:val="22"/>
              </w:rPr>
            </w:pPr>
          </w:p>
        </w:tc>
        <w:tc>
          <w:tcPr>
            <w:tcW w:w="1984" w:type="dxa"/>
            <w:hideMark/>
          </w:tcPr>
          <w:p w14:paraId="567F72B8" w14:textId="77777777" w:rsidR="00A21C01" w:rsidRPr="00D66D81" w:rsidRDefault="00A21C01">
            <w:pPr>
              <w:spacing w:line="240" w:lineRule="auto"/>
              <w:jc w:val="right"/>
              <w:rPr>
                <w:rFonts w:cs="Arial"/>
                <w:sz w:val="22"/>
              </w:rPr>
            </w:pPr>
          </w:p>
        </w:tc>
        <w:tc>
          <w:tcPr>
            <w:tcW w:w="1559" w:type="dxa"/>
          </w:tcPr>
          <w:p w14:paraId="7260CFC9" w14:textId="44BB04FE" w:rsidR="00A21C01" w:rsidRPr="00B63912" w:rsidRDefault="00A21C01">
            <w:pPr>
              <w:spacing w:line="240" w:lineRule="auto"/>
              <w:jc w:val="both"/>
              <w:rPr>
                <w:rFonts w:cs="Arial"/>
                <w:i/>
                <w:iCs/>
                <w:sz w:val="22"/>
              </w:rPr>
            </w:pPr>
          </w:p>
        </w:tc>
        <w:tc>
          <w:tcPr>
            <w:tcW w:w="2552" w:type="dxa"/>
          </w:tcPr>
          <w:p w14:paraId="07105526" w14:textId="1A297D5C" w:rsidR="00A21C01" w:rsidRPr="00B63912" w:rsidRDefault="00A21C01">
            <w:pPr>
              <w:spacing w:line="240" w:lineRule="auto"/>
              <w:jc w:val="right"/>
              <w:rPr>
                <w:rFonts w:cs="Arial"/>
                <w:i/>
                <w:iCs/>
                <w:sz w:val="22"/>
              </w:rPr>
            </w:pPr>
          </w:p>
        </w:tc>
      </w:tr>
      <w:tr w:rsidR="000F4439" w:rsidRPr="00D66D81" w14:paraId="11C3477C" w14:textId="77777777" w:rsidTr="000F1043">
        <w:trPr>
          <w:trHeight w:val="415"/>
        </w:trPr>
        <w:tc>
          <w:tcPr>
            <w:tcW w:w="4248" w:type="dxa"/>
            <w:hideMark/>
          </w:tcPr>
          <w:p w14:paraId="30A0121B" w14:textId="058766B7" w:rsidR="00A21C01" w:rsidRPr="00D66D81" w:rsidRDefault="00A21C01">
            <w:pPr>
              <w:spacing w:line="240" w:lineRule="auto"/>
              <w:rPr>
                <w:rFonts w:cs="Arial"/>
                <w:sz w:val="22"/>
              </w:rPr>
            </w:pPr>
            <w:r w:rsidRPr="00D66D81">
              <w:rPr>
                <w:rFonts w:cs="Arial"/>
                <w:sz w:val="22"/>
              </w:rPr>
              <w:t>Three</w:t>
            </w:r>
            <w:r w:rsidR="00F53BAA" w:rsidRPr="00D66D81">
              <w:rPr>
                <w:rFonts w:cs="Arial"/>
                <w:sz w:val="22"/>
              </w:rPr>
              <w:t>-</w:t>
            </w:r>
            <w:r w:rsidRPr="00D66D81">
              <w:rPr>
                <w:rFonts w:cs="Arial"/>
                <w:sz w:val="22"/>
              </w:rPr>
              <w:t>layer cement paper sacks</w:t>
            </w:r>
            <w:r w:rsidR="005A28EA">
              <w:rPr>
                <w:rFonts w:cs="Arial"/>
                <w:sz w:val="22"/>
              </w:rPr>
              <w:t xml:space="preserve"> (USA)</w:t>
            </w:r>
          </w:p>
        </w:tc>
        <w:tc>
          <w:tcPr>
            <w:tcW w:w="709" w:type="dxa"/>
            <w:shd w:val="clear" w:color="auto" w:fill="DEEAF6" w:themeFill="accent5" w:themeFillTint="33"/>
            <w:hideMark/>
          </w:tcPr>
          <w:p w14:paraId="07E36A68" w14:textId="77777777" w:rsidR="00A21C01" w:rsidRPr="00D66D81" w:rsidRDefault="00A21C01">
            <w:pPr>
              <w:spacing w:line="240" w:lineRule="auto"/>
              <w:jc w:val="right"/>
              <w:rPr>
                <w:rFonts w:cs="Arial"/>
                <w:sz w:val="22"/>
              </w:rPr>
            </w:pPr>
            <w:r w:rsidRPr="00D66D81">
              <w:rPr>
                <w:rFonts w:cs="Arial"/>
                <w:sz w:val="22"/>
              </w:rPr>
              <w:t>1</w:t>
            </w:r>
          </w:p>
        </w:tc>
        <w:tc>
          <w:tcPr>
            <w:tcW w:w="1701" w:type="dxa"/>
            <w:hideMark/>
          </w:tcPr>
          <w:p w14:paraId="3A75CE08" w14:textId="6E9439F4" w:rsidR="00A21C01" w:rsidRPr="00D66D81" w:rsidRDefault="00A21C01">
            <w:pPr>
              <w:spacing w:line="240" w:lineRule="auto"/>
              <w:jc w:val="right"/>
              <w:rPr>
                <w:rFonts w:cs="Arial"/>
                <w:sz w:val="22"/>
              </w:rPr>
            </w:pPr>
          </w:p>
        </w:tc>
        <w:tc>
          <w:tcPr>
            <w:tcW w:w="1275" w:type="dxa"/>
            <w:hideMark/>
          </w:tcPr>
          <w:p w14:paraId="546DCFDD" w14:textId="77777777" w:rsidR="00A21C01" w:rsidRPr="00D66D81" w:rsidRDefault="00A21C01">
            <w:pPr>
              <w:spacing w:line="240" w:lineRule="auto"/>
              <w:jc w:val="right"/>
              <w:rPr>
                <w:rFonts w:cs="Arial"/>
                <w:sz w:val="22"/>
              </w:rPr>
            </w:pPr>
          </w:p>
        </w:tc>
        <w:tc>
          <w:tcPr>
            <w:tcW w:w="993" w:type="dxa"/>
            <w:hideMark/>
          </w:tcPr>
          <w:p w14:paraId="13CC2BA7" w14:textId="634EB832" w:rsidR="00A21C01" w:rsidRPr="00D66D81" w:rsidRDefault="009176C5">
            <w:pPr>
              <w:spacing w:line="240" w:lineRule="auto"/>
              <w:jc w:val="right"/>
              <w:rPr>
                <w:rFonts w:cs="Arial"/>
                <w:sz w:val="22"/>
              </w:rPr>
            </w:pPr>
            <w:r w:rsidRPr="00D66D81">
              <w:rPr>
                <w:rFonts w:cs="Arial"/>
                <w:sz w:val="22"/>
              </w:rPr>
              <w:t>1</w:t>
            </w:r>
          </w:p>
        </w:tc>
        <w:tc>
          <w:tcPr>
            <w:tcW w:w="1984" w:type="dxa"/>
            <w:hideMark/>
          </w:tcPr>
          <w:p w14:paraId="1AB35B65" w14:textId="77777777" w:rsidR="00A21C01" w:rsidRPr="00D66D81" w:rsidRDefault="00A21C01">
            <w:pPr>
              <w:spacing w:line="240" w:lineRule="auto"/>
              <w:jc w:val="right"/>
              <w:rPr>
                <w:rFonts w:cs="Arial"/>
                <w:sz w:val="22"/>
              </w:rPr>
            </w:pPr>
          </w:p>
        </w:tc>
        <w:tc>
          <w:tcPr>
            <w:tcW w:w="1559" w:type="dxa"/>
          </w:tcPr>
          <w:p w14:paraId="6DC5EE3B" w14:textId="110D8517" w:rsidR="00A21C01" w:rsidRPr="00B63912" w:rsidRDefault="00A21C01">
            <w:pPr>
              <w:spacing w:line="240" w:lineRule="auto"/>
              <w:jc w:val="both"/>
              <w:rPr>
                <w:rFonts w:cs="Arial"/>
                <w:i/>
                <w:iCs/>
                <w:sz w:val="22"/>
              </w:rPr>
            </w:pPr>
          </w:p>
        </w:tc>
        <w:tc>
          <w:tcPr>
            <w:tcW w:w="2552" w:type="dxa"/>
          </w:tcPr>
          <w:p w14:paraId="5D5144A5" w14:textId="55BB648E" w:rsidR="00A21C01" w:rsidRPr="00B63912" w:rsidRDefault="00A21C01">
            <w:pPr>
              <w:spacing w:line="240" w:lineRule="auto"/>
              <w:jc w:val="right"/>
              <w:rPr>
                <w:rFonts w:cs="Arial"/>
                <w:i/>
                <w:iCs/>
                <w:sz w:val="22"/>
              </w:rPr>
            </w:pPr>
          </w:p>
        </w:tc>
      </w:tr>
      <w:tr w:rsidR="000F4439" w:rsidRPr="00D66D81" w14:paraId="313FEF6F" w14:textId="77777777" w:rsidTr="003C7769">
        <w:trPr>
          <w:trHeight w:val="172"/>
        </w:trPr>
        <w:tc>
          <w:tcPr>
            <w:tcW w:w="4248" w:type="dxa"/>
            <w:hideMark/>
          </w:tcPr>
          <w:p w14:paraId="0B9A15D9" w14:textId="77777777" w:rsidR="00A21C01" w:rsidRPr="00D66D81" w:rsidRDefault="00A21C01">
            <w:pPr>
              <w:spacing w:line="240" w:lineRule="auto"/>
              <w:rPr>
                <w:rFonts w:cs="Arial"/>
                <w:sz w:val="22"/>
              </w:rPr>
            </w:pPr>
            <w:r w:rsidRPr="00D66D81">
              <w:rPr>
                <w:rFonts w:cs="Arial"/>
                <w:b/>
                <w:bCs/>
                <w:sz w:val="22"/>
              </w:rPr>
              <w:t>Total</w:t>
            </w:r>
          </w:p>
        </w:tc>
        <w:tc>
          <w:tcPr>
            <w:tcW w:w="709" w:type="dxa"/>
            <w:shd w:val="clear" w:color="auto" w:fill="DEEAF6" w:themeFill="accent5" w:themeFillTint="33"/>
            <w:hideMark/>
          </w:tcPr>
          <w:p w14:paraId="3144E958" w14:textId="77777777" w:rsidR="00A21C01" w:rsidRPr="00D66D81" w:rsidRDefault="00A21C01">
            <w:pPr>
              <w:spacing w:line="240" w:lineRule="auto"/>
              <w:jc w:val="right"/>
              <w:rPr>
                <w:rFonts w:cs="Arial"/>
                <w:sz w:val="22"/>
              </w:rPr>
            </w:pPr>
            <w:r w:rsidRPr="00D66D81">
              <w:rPr>
                <w:rFonts w:cs="Arial"/>
                <w:sz w:val="22"/>
              </w:rPr>
              <w:t>8</w:t>
            </w:r>
          </w:p>
        </w:tc>
        <w:tc>
          <w:tcPr>
            <w:tcW w:w="1701" w:type="dxa"/>
            <w:hideMark/>
          </w:tcPr>
          <w:p w14:paraId="3BB8A1B2" w14:textId="206CBBC3" w:rsidR="00A21C01" w:rsidRPr="00D66D81" w:rsidRDefault="00A21C01">
            <w:pPr>
              <w:spacing w:line="240" w:lineRule="auto"/>
              <w:jc w:val="right"/>
              <w:rPr>
                <w:rFonts w:cs="Arial"/>
                <w:sz w:val="22"/>
              </w:rPr>
            </w:pPr>
            <w:r w:rsidRPr="00D66D81" w:rsidDel="009176C5">
              <w:rPr>
                <w:rFonts w:cs="Arial"/>
                <w:sz w:val="22"/>
              </w:rPr>
              <w:t>1</w:t>
            </w:r>
          </w:p>
        </w:tc>
        <w:tc>
          <w:tcPr>
            <w:tcW w:w="1275" w:type="dxa"/>
            <w:hideMark/>
          </w:tcPr>
          <w:p w14:paraId="35200381" w14:textId="77777777" w:rsidR="00A21C01" w:rsidRPr="00D66D81" w:rsidRDefault="00A21C01">
            <w:pPr>
              <w:spacing w:line="240" w:lineRule="auto"/>
              <w:jc w:val="right"/>
              <w:rPr>
                <w:rFonts w:cs="Arial"/>
                <w:sz w:val="22"/>
              </w:rPr>
            </w:pPr>
            <w:r w:rsidRPr="00D66D81">
              <w:rPr>
                <w:rFonts w:cs="Arial"/>
                <w:sz w:val="22"/>
              </w:rPr>
              <w:t>1</w:t>
            </w:r>
          </w:p>
        </w:tc>
        <w:tc>
          <w:tcPr>
            <w:tcW w:w="993" w:type="dxa"/>
            <w:hideMark/>
          </w:tcPr>
          <w:p w14:paraId="28333D89" w14:textId="7456323F" w:rsidR="00A21C01" w:rsidRPr="00D66D81" w:rsidRDefault="009176C5">
            <w:pPr>
              <w:spacing w:line="240" w:lineRule="auto"/>
              <w:jc w:val="right"/>
              <w:rPr>
                <w:rFonts w:cs="Arial"/>
                <w:sz w:val="22"/>
              </w:rPr>
            </w:pPr>
            <w:r w:rsidRPr="00D66D81">
              <w:rPr>
                <w:rFonts w:cs="Arial"/>
                <w:sz w:val="22"/>
              </w:rPr>
              <w:t>6</w:t>
            </w:r>
          </w:p>
        </w:tc>
        <w:tc>
          <w:tcPr>
            <w:tcW w:w="1984" w:type="dxa"/>
            <w:hideMark/>
          </w:tcPr>
          <w:p w14:paraId="50CC8A29" w14:textId="77777777" w:rsidR="00A21C01" w:rsidRPr="00D66D81" w:rsidRDefault="00A21C01">
            <w:pPr>
              <w:spacing w:line="240" w:lineRule="auto"/>
              <w:jc w:val="right"/>
              <w:rPr>
                <w:rFonts w:cs="Arial"/>
                <w:sz w:val="22"/>
              </w:rPr>
            </w:pPr>
          </w:p>
        </w:tc>
        <w:tc>
          <w:tcPr>
            <w:tcW w:w="1559" w:type="dxa"/>
            <w:hideMark/>
          </w:tcPr>
          <w:p w14:paraId="51DD151E" w14:textId="77777777" w:rsidR="00A21C01" w:rsidRPr="00D66D81" w:rsidRDefault="00A21C01">
            <w:pPr>
              <w:spacing w:line="240" w:lineRule="auto"/>
              <w:jc w:val="both"/>
              <w:rPr>
                <w:rFonts w:cs="Arial"/>
                <w:sz w:val="22"/>
              </w:rPr>
            </w:pPr>
          </w:p>
        </w:tc>
        <w:tc>
          <w:tcPr>
            <w:tcW w:w="2552" w:type="dxa"/>
            <w:hideMark/>
          </w:tcPr>
          <w:p w14:paraId="29801204" w14:textId="77777777" w:rsidR="00A21C01" w:rsidRPr="00D66D81" w:rsidRDefault="00A21C01">
            <w:pPr>
              <w:spacing w:line="240" w:lineRule="auto"/>
              <w:jc w:val="right"/>
              <w:rPr>
                <w:rFonts w:cs="Arial"/>
                <w:sz w:val="22"/>
              </w:rPr>
            </w:pPr>
          </w:p>
        </w:tc>
      </w:tr>
    </w:tbl>
    <w:p w14:paraId="239BF981" w14:textId="17760423" w:rsidR="0046319F" w:rsidRDefault="00A21C01" w:rsidP="00E64444">
      <w:pPr>
        <w:pStyle w:val="Tablesource"/>
      </w:pPr>
      <w:r w:rsidRPr="00D66D81">
        <w:t xml:space="preserve">Source: Global Trade Alert, Uruchurt, G. (2016), “Anti-Circumvention of Anti-Dumping Measures: Mexico”, </w:t>
      </w:r>
      <w:r w:rsidRPr="00D66D81">
        <w:rPr>
          <w:iCs/>
        </w:rPr>
        <w:t>Global Trade and Customs Journal, 11(11/12)</w:t>
      </w:r>
      <w:r w:rsidRPr="00D66D81">
        <w:t>: 515-520.</w:t>
      </w:r>
    </w:p>
    <w:p w14:paraId="211FA2AB" w14:textId="3B12AA6B" w:rsidR="00A21C01" w:rsidRPr="00D66D81" w:rsidRDefault="0046319F" w:rsidP="005A28EA">
      <w:pPr>
        <w:pStyle w:val="Caption"/>
        <w:rPr>
          <w:rFonts w:cs="Arial"/>
          <w:sz w:val="22"/>
        </w:rPr>
      </w:pPr>
      <w:r>
        <w:br w:type="page"/>
      </w:r>
      <w:r w:rsidR="00A21C01" w:rsidRPr="005A28EA">
        <w:t xml:space="preserve">Table </w:t>
      </w:r>
      <w:r w:rsidR="00A21C01" w:rsidRPr="005A28EA">
        <w:fldChar w:fldCharType="begin"/>
      </w:r>
      <w:r w:rsidR="00A21C01" w:rsidRPr="005A28EA">
        <w:instrText>SEQ Table \* ARABIC</w:instrText>
      </w:r>
      <w:r w:rsidR="00A21C01" w:rsidRPr="005A28EA">
        <w:fldChar w:fldCharType="separate"/>
      </w:r>
      <w:r w:rsidR="001C580B" w:rsidRPr="005A28EA">
        <w:t>16</w:t>
      </w:r>
      <w:r w:rsidR="00A21C01" w:rsidRPr="005A28EA">
        <w:fldChar w:fldCharType="end"/>
      </w:r>
      <w:r w:rsidR="00A21C01" w:rsidRPr="005A28EA">
        <w:t>: Overview of anti-circumvention cases in which duties were imposed (2009 to 2021), Brazil</w:t>
      </w:r>
    </w:p>
    <w:tbl>
      <w:tblPr>
        <w:tblStyle w:val="TableGrid"/>
        <w:tblW w:w="13603" w:type="dxa"/>
        <w:tblLook w:val="04A0" w:firstRow="1" w:lastRow="0" w:firstColumn="1" w:lastColumn="0" w:noHBand="0" w:noVBand="1"/>
      </w:tblPr>
      <w:tblGrid>
        <w:gridCol w:w="3211"/>
        <w:gridCol w:w="976"/>
        <w:gridCol w:w="1610"/>
        <w:gridCol w:w="1263"/>
        <w:gridCol w:w="979"/>
        <w:gridCol w:w="1997"/>
        <w:gridCol w:w="1246"/>
        <w:gridCol w:w="2321"/>
      </w:tblGrid>
      <w:tr w:rsidR="00A21C01" w:rsidRPr="00D66D81" w14:paraId="114A6A28" w14:textId="77777777" w:rsidTr="005A28EA">
        <w:trPr>
          <w:trHeight w:val="678"/>
        </w:trPr>
        <w:tc>
          <w:tcPr>
            <w:tcW w:w="3211" w:type="dxa"/>
            <w:vMerge w:val="restart"/>
            <w:hideMark/>
          </w:tcPr>
          <w:p w14:paraId="55B03C22" w14:textId="0CF6FAD7" w:rsidR="00A21C01" w:rsidRPr="00D66D81" w:rsidRDefault="00A21C01">
            <w:pPr>
              <w:spacing w:line="240" w:lineRule="auto"/>
              <w:rPr>
                <w:rFonts w:cs="Arial"/>
                <w:b/>
                <w:bCs/>
                <w:sz w:val="22"/>
              </w:rPr>
            </w:pPr>
            <w:r w:rsidRPr="00D66D81">
              <w:rPr>
                <w:rFonts w:cs="Arial"/>
                <w:b/>
                <w:bCs/>
                <w:sz w:val="22"/>
                <w:lang w:val="fr-CH"/>
              </w:rPr>
              <w:t>Type of product</w:t>
            </w:r>
          </w:p>
        </w:tc>
        <w:tc>
          <w:tcPr>
            <w:tcW w:w="976" w:type="dxa"/>
            <w:vMerge w:val="restart"/>
            <w:shd w:val="clear" w:color="auto" w:fill="DEEAF6" w:themeFill="accent5" w:themeFillTint="33"/>
            <w:hideMark/>
          </w:tcPr>
          <w:p w14:paraId="64FFBF2A" w14:textId="77777777" w:rsidR="00A21C01" w:rsidRPr="00D66D81" w:rsidRDefault="00A21C01">
            <w:pPr>
              <w:spacing w:line="240" w:lineRule="auto"/>
              <w:rPr>
                <w:rFonts w:cs="Arial"/>
                <w:b/>
                <w:bCs/>
                <w:sz w:val="22"/>
              </w:rPr>
            </w:pPr>
            <w:r w:rsidRPr="00D66D81">
              <w:rPr>
                <w:rFonts w:cs="Arial"/>
                <w:b/>
                <w:bCs/>
                <w:sz w:val="22"/>
              </w:rPr>
              <w:t>Total</w:t>
            </w:r>
            <w:r w:rsidRPr="00D66D81">
              <w:rPr>
                <w:rStyle w:val="FootnoteReference"/>
                <w:rFonts w:cs="Arial"/>
                <w:b/>
                <w:bCs/>
                <w:sz w:val="22"/>
              </w:rPr>
              <w:footnoteReference w:id="131"/>
            </w:r>
          </w:p>
        </w:tc>
        <w:tc>
          <w:tcPr>
            <w:tcW w:w="5849" w:type="dxa"/>
            <w:gridSpan w:val="4"/>
          </w:tcPr>
          <w:p w14:paraId="672D6EEC" w14:textId="235DAC3E" w:rsidR="00A21C01" w:rsidRPr="00D66D81" w:rsidRDefault="00A21C01" w:rsidP="003C7769">
            <w:pPr>
              <w:spacing w:line="240" w:lineRule="auto"/>
              <w:jc w:val="center"/>
              <w:rPr>
                <w:rFonts w:cs="Arial"/>
                <w:b/>
                <w:bCs/>
                <w:sz w:val="22"/>
              </w:rPr>
            </w:pPr>
            <w:r w:rsidRPr="00D66D81">
              <w:rPr>
                <w:rFonts w:cs="Arial"/>
                <w:b/>
                <w:bCs/>
                <w:sz w:val="22"/>
              </w:rPr>
              <w:t>Mode of circumvention</w:t>
            </w:r>
          </w:p>
        </w:tc>
        <w:tc>
          <w:tcPr>
            <w:tcW w:w="1246" w:type="dxa"/>
            <w:vMerge w:val="restart"/>
            <w:hideMark/>
          </w:tcPr>
          <w:p w14:paraId="55054D31" w14:textId="0862C54B" w:rsidR="00A21C01" w:rsidRPr="00D66D81" w:rsidRDefault="00A21C01">
            <w:pPr>
              <w:spacing w:line="240" w:lineRule="auto"/>
              <w:rPr>
                <w:rFonts w:cs="Arial"/>
                <w:b/>
                <w:bCs/>
                <w:sz w:val="22"/>
              </w:rPr>
            </w:pPr>
            <w:r w:rsidRPr="00D66D81">
              <w:rPr>
                <w:rFonts w:cs="Arial"/>
                <w:b/>
                <w:bCs/>
                <w:sz w:val="22"/>
              </w:rPr>
              <w:t>Targeted country</w:t>
            </w:r>
          </w:p>
        </w:tc>
        <w:tc>
          <w:tcPr>
            <w:tcW w:w="2321" w:type="dxa"/>
            <w:vMerge w:val="restart"/>
            <w:hideMark/>
          </w:tcPr>
          <w:p w14:paraId="476F3B80" w14:textId="7A649FCD" w:rsidR="00A21C01" w:rsidRPr="00D66D81" w:rsidRDefault="00A21C01">
            <w:pPr>
              <w:spacing w:line="240" w:lineRule="auto"/>
              <w:rPr>
                <w:rFonts w:cs="Arial"/>
                <w:b/>
                <w:bCs/>
                <w:sz w:val="22"/>
              </w:rPr>
            </w:pPr>
            <w:r w:rsidRPr="00D66D81">
              <w:rPr>
                <w:rFonts w:cs="Arial"/>
                <w:b/>
                <w:bCs/>
                <w:sz w:val="22"/>
              </w:rPr>
              <w:t>Commodity code(s)</w:t>
            </w:r>
          </w:p>
        </w:tc>
      </w:tr>
      <w:tr w:rsidR="00A21C01" w:rsidRPr="00D66D81" w14:paraId="07D8426C" w14:textId="77777777" w:rsidTr="005A28EA">
        <w:trPr>
          <w:trHeight w:val="535"/>
        </w:trPr>
        <w:tc>
          <w:tcPr>
            <w:tcW w:w="3211" w:type="dxa"/>
            <w:vMerge/>
          </w:tcPr>
          <w:p w14:paraId="6ED72D09" w14:textId="77777777" w:rsidR="00A21C01" w:rsidRPr="00D66D81" w:rsidRDefault="00A21C01">
            <w:pPr>
              <w:spacing w:line="240" w:lineRule="auto"/>
              <w:rPr>
                <w:rFonts w:cs="Arial"/>
                <w:b/>
                <w:bCs/>
                <w:sz w:val="22"/>
                <w:lang w:val="fr-CH"/>
              </w:rPr>
            </w:pPr>
          </w:p>
        </w:tc>
        <w:tc>
          <w:tcPr>
            <w:tcW w:w="976" w:type="dxa"/>
            <w:vMerge/>
            <w:shd w:val="clear" w:color="auto" w:fill="DEEAF6" w:themeFill="accent5" w:themeFillTint="33"/>
          </w:tcPr>
          <w:p w14:paraId="4FE7AE6D" w14:textId="77777777" w:rsidR="00A21C01" w:rsidRPr="00D66D81" w:rsidRDefault="00A21C01">
            <w:pPr>
              <w:spacing w:line="240" w:lineRule="auto"/>
              <w:rPr>
                <w:rFonts w:cs="Arial"/>
                <w:b/>
                <w:bCs/>
                <w:sz w:val="22"/>
              </w:rPr>
            </w:pPr>
          </w:p>
        </w:tc>
        <w:tc>
          <w:tcPr>
            <w:tcW w:w="1610" w:type="dxa"/>
          </w:tcPr>
          <w:p w14:paraId="061B64B1" w14:textId="0153765C" w:rsidR="00A21C01" w:rsidRPr="00D66D81" w:rsidRDefault="00A21C01">
            <w:pPr>
              <w:spacing w:line="240" w:lineRule="auto"/>
              <w:rPr>
                <w:rFonts w:cs="Arial"/>
                <w:b/>
                <w:bCs/>
                <w:sz w:val="22"/>
              </w:rPr>
            </w:pPr>
            <w:r w:rsidRPr="00D66D81">
              <w:rPr>
                <w:rFonts w:cs="Arial"/>
                <w:b/>
                <w:bCs/>
                <w:sz w:val="22"/>
              </w:rPr>
              <w:t>Third-party assembly</w:t>
            </w:r>
          </w:p>
        </w:tc>
        <w:tc>
          <w:tcPr>
            <w:tcW w:w="1263" w:type="dxa"/>
          </w:tcPr>
          <w:p w14:paraId="63F28CA7" w14:textId="77777777" w:rsidR="00A21C01" w:rsidRPr="00D66D81" w:rsidRDefault="00A21C01">
            <w:pPr>
              <w:spacing w:line="240" w:lineRule="auto"/>
              <w:rPr>
                <w:rFonts w:cs="Arial"/>
                <w:b/>
                <w:bCs/>
                <w:sz w:val="22"/>
              </w:rPr>
            </w:pPr>
            <w:r w:rsidRPr="00D66D81">
              <w:rPr>
                <w:rFonts w:cs="Arial"/>
                <w:b/>
                <w:bCs/>
                <w:sz w:val="22"/>
              </w:rPr>
              <w:t>Tranship-ment</w:t>
            </w:r>
          </w:p>
        </w:tc>
        <w:tc>
          <w:tcPr>
            <w:tcW w:w="979" w:type="dxa"/>
          </w:tcPr>
          <w:p w14:paraId="6B0ABEE7" w14:textId="77777777" w:rsidR="00A21C01" w:rsidRPr="00D66D81" w:rsidRDefault="00A21C01">
            <w:pPr>
              <w:spacing w:line="240" w:lineRule="auto"/>
              <w:rPr>
                <w:rFonts w:cs="Arial"/>
                <w:b/>
                <w:bCs/>
                <w:sz w:val="22"/>
              </w:rPr>
            </w:pPr>
            <w:r w:rsidRPr="00D66D81">
              <w:rPr>
                <w:rFonts w:cs="Arial"/>
                <w:b/>
                <w:bCs/>
                <w:sz w:val="22"/>
              </w:rPr>
              <w:t>Modifi-cation</w:t>
            </w:r>
          </w:p>
        </w:tc>
        <w:tc>
          <w:tcPr>
            <w:tcW w:w="1997" w:type="dxa"/>
          </w:tcPr>
          <w:p w14:paraId="164A94C3" w14:textId="7CC383B2" w:rsidR="00A21C01" w:rsidRPr="00D66D81" w:rsidRDefault="00A21C01">
            <w:pPr>
              <w:spacing w:line="240" w:lineRule="auto"/>
              <w:rPr>
                <w:rFonts w:cs="Arial"/>
                <w:b/>
                <w:bCs/>
                <w:sz w:val="22"/>
              </w:rPr>
            </w:pPr>
            <w:r w:rsidRPr="00D66D81">
              <w:rPr>
                <w:rFonts w:cs="Arial"/>
                <w:b/>
                <w:bCs/>
                <w:sz w:val="22"/>
              </w:rPr>
              <w:t>Later developed merchandise</w:t>
            </w:r>
          </w:p>
        </w:tc>
        <w:tc>
          <w:tcPr>
            <w:tcW w:w="1246" w:type="dxa"/>
            <w:vMerge/>
          </w:tcPr>
          <w:p w14:paraId="4639C598" w14:textId="77777777" w:rsidR="00A21C01" w:rsidRPr="00D66D81" w:rsidRDefault="00A21C01">
            <w:pPr>
              <w:spacing w:line="240" w:lineRule="auto"/>
              <w:rPr>
                <w:rFonts w:cs="Arial"/>
                <w:b/>
                <w:bCs/>
                <w:sz w:val="22"/>
              </w:rPr>
            </w:pPr>
          </w:p>
        </w:tc>
        <w:tc>
          <w:tcPr>
            <w:tcW w:w="2321" w:type="dxa"/>
            <w:vMerge/>
          </w:tcPr>
          <w:p w14:paraId="315E405F" w14:textId="77777777" w:rsidR="00A21C01" w:rsidRPr="00D66D81" w:rsidRDefault="00A21C01">
            <w:pPr>
              <w:spacing w:line="240" w:lineRule="auto"/>
              <w:rPr>
                <w:rFonts w:cs="Arial"/>
                <w:b/>
                <w:bCs/>
                <w:sz w:val="22"/>
              </w:rPr>
            </w:pPr>
          </w:p>
        </w:tc>
      </w:tr>
      <w:tr w:rsidR="00A21C01" w:rsidRPr="00D66D81" w14:paraId="3DA24F88" w14:textId="77777777" w:rsidTr="005A28EA">
        <w:trPr>
          <w:trHeight w:val="461"/>
        </w:trPr>
        <w:tc>
          <w:tcPr>
            <w:tcW w:w="3211" w:type="dxa"/>
            <w:hideMark/>
          </w:tcPr>
          <w:p w14:paraId="0E78EEC5" w14:textId="1E8E8746" w:rsidR="00A21C01" w:rsidRPr="00D66D81" w:rsidRDefault="00A21C01">
            <w:pPr>
              <w:spacing w:line="240" w:lineRule="auto"/>
              <w:rPr>
                <w:rFonts w:cs="Arial"/>
                <w:sz w:val="22"/>
              </w:rPr>
            </w:pPr>
            <w:r w:rsidRPr="00192BF6">
              <w:rPr>
                <w:rFonts w:cs="Arial"/>
                <w:sz w:val="22"/>
              </w:rPr>
              <w:t xml:space="preserve">Synthetic fibre blankets </w:t>
            </w:r>
            <w:r w:rsidR="005A28EA">
              <w:rPr>
                <w:rFonts w:cs="Arial"/>
                <w:sz w:val="22"/>
              </w:rPr>
              <w:t>(PRC)</w:t>
            </w:r>
          </w:p>
        </w:tc>
        <w:tc>
          <w:tcPr>
            <w:tcW w:w="976" w:type="dxa"/>
            <w:shd w:val="clear" w:color="auto" w:fill="DEEAF6" w:themeFill="accent5" w:themeFillTint="33"/>
            <w:hideMark/>
          </w:tcPr>
          <w:p w14:paraId="506CC49F" w14:textId="77777777" w:rsidR="00A21C01" w:rsidRPr="00D66D81" w:rsidRDefault="00A21C01">
            <w:pPr>
              <w:spacing w:line="240" w:lineRule="auto"/>
              <w:jc w:val="right"/>
              <w:rPr>
                <w:rFonts w:cs="Arial"/>
                <w:sz w:val="22"/>
              </w:rPr>
            </w:pPr>
            <w:r w:rsidRPr="00D66D81">
              <w:rPr>
                <w:rFonts w:cs="Arial"/>
                <w:sz w:val="22"/>
              </w:rPr>
              <w:t>1</w:t>
            </w:r>
          </w:p>
        </w:tc>
        <w:tc>
          <w:tcPr>
            <w:tcW w:w="1610" w:type="dxa"/>
            <w:hideMark/>
          </w:tcPr>
          <w:p w14:paraId="77BFE56B" w14:textId="77777777" w:rsidR="00A21C01" w:rsidRPr="00D66D81" w:rsidRDefault="00A21C01">
            <w:pPr>
              <w:spacing w:line="240" w:lineRule="auto"/>
              <w:jc w:val="right"/>
              <w:rPr>
                <w:rFonts w:cs="Arial"/>
                <w:sz w:val="22"/>
              </w:rPr>
            </w:pPr>
            <w:r w:rsidRPr="00D66D81">
              <w:rPr>
                <w:rFonts w:cs="Arial"/>
                <w:sz w:val="22"/>
                <w:lang w:val="fr-CH"/>
              </w:rPr>
              <w:t>1</w:t>
            </w:r>
          </w:p>
        </w:tc>
        <w:tc>
          <w:tcPr>
            <w:tcW w:w="1263" w:type="dxa"/>
            <w:hideMark/>
          </w:tcPr>
          <w:p w14:paraId="17D13C06" w14:textId="77777777" w:rsidR="00A21C01" w:rsidRPr="00D66D81" w:rsidRDefault="00A21C01">
            <w:pPr>
              <w:spacing w:line="240" w:lineRule="auto"/>
              <w:jc w:val="right"/>
              <w:rPr>
                <w:rFonts w:cs="Arial"/>
                <w:sz w:val="22"/>
              </w:rPr>
            </w:pPr>
          </w:p>
        </w:tc>
        <w:tc>
          <w:tcPr>
            <w:tcW w:w="979" w:type="dxa"/>
            <w:hideMark/>
          </w:tcPr>
          <w:p w14:paraId="50F87949" w14:textId="77777777" w:rsidR="00A21C01" w:rsidRPr="00D66D81" w:rsidRDefault="00A21C01">
            <w:pPr>
              <w:spacing w:line="240" w:lineRule="auto"/>
              <w:jc w:val="right"/>
              <w:rPr>
                <w:rFonts w:cs="Arial"/>
                <w:sz w:val="22"/>
              </w:rPr>
            </w:pPr>
          </w:p>
        </w:tc>
        <w:tc>
          <w:tcPr>
            <w:tcW w:w="1997" w:type="dxa"/>
            <w:hideMark/>
          </w:tcPr>
          <w:p w14:paraId="6751CDD1" w14:textId="77777777" w:rsidR="00A21C01" w:rsidRPr="00D66D81" w:rsidRDefault="00A21C01">
            <w:pPr>
              <w:spacing w:line="240" w:lineRule="auto"/>
              <w:jc w:val="right"/>
              <w:rPr>
                <w:rFonts w:cs="Arial"/>
                <w:sz w:val="22"/>
              </w:rPr>
            </w:pPr>
          </w:p>
        </w:tc>
        <w:tc>
          <w:tcPr>
            <w:tcW w:w="1246" w:type="dxa"/>
            <w:hideMark/>
          </w:tcPr>
          <w:p w14:paraId="4851C522" w14:textId="7508AB89" w:rsidR="00A21C01" w:rsidRPr="00D66D81" w:rsidRDefault="00192BF6">
            <w:pPr>
              <w:spacing w:line="240" w:lineRule="auto"/>
              <w:jc w:val="both"/>
              <w:rPr>
                <w:rFonts w:cs="Arial"/>
                <w:sz w:val="22"/>
              </w:rPr>
            </w:pPr>
            <w:r>
              <w:rPr>
                <w:rFonts w:cs="Arial"/>
                <w:sz w:val="22"/>
              </w:rPr>
              <w:t>PRC</w:t>
            </w:r>
          </w:p>
        </w:tc>
        <w:tc>
          <w:tcPr>
            <w:tcW w:w="2321" w:type="dxa"/>
            <w:hideMark/>
          </w:tcPr>
          <w:p w14:paraId="04048D03" w14:textId="77777777" w:rsidR="00A21C01" w:rsidRPr="00D66D81" w:rsidRDefault="00A21C01">
            <w:pPr>
              <w:spacing w:line="240" w:lineRule="auto"/>
              <w:jc w:val="right"/>
              <w:rPr>
                <w:rFonts w:cs="Arial"/>
                <w:sz w:val="22"/>
              </w:rPr>
            </w:pPr>
            <w:r w:rsidRPr="00D66D81">
              <w:rPr>
                <w:rFonts w:cs="Arial"/>
                <w:sz w:val="22"/>
              </w:rPr>
              <w:t xml:space="preserve">6301.4, 6001.102 </w:t>
            </w:r>
          </w:p>
        </w:tc>
      </w:tr>
      <w:tr w:rsidR="00A21C01" w:rsidRPr="00D66D81" w14:paraId="56B17316" w14:textId="77777777" w:rsidTr="005A28EA">
        <w:trPr>
          <w:trHeight w:val="461"/>
        </w:trPr>
        <w:tc>
          <w:tcPr>
            <w:tcW w:w="3211" w:type="dxa"/>
            <w:hideMark/>
          </w:tcPr>
          <w:p w14:paraId="16D1EB07" w14:textId="336686DD" w:rsidR="00A21C01" w:rsidRPr="00D66D81" w:rsidRDefault="00A21C01">
            <w:pPr>
              <w:spacing w:line="240" w:lineRule="auto"/>
              <w:rPr>
                <w:rFonts w:cs="Arial"/>
                <w:sz w:val="22"/>
              </w:rPr>
            </w:pPr>
            <w:r w:rsidRPr="00192BF6">
              <w:rPr>
                <w:rFonts w:cs="Arial"/>
                <w:sz w:val="22"/>
              </w:rPr>
              <w:t>Hot-rolled steel</w:t>
            </w:r>
            <w:r w:rsidR="005A28EA">
              <w:rPr>
                <w:rFonts w:cs="Arial"/>
                <w:sz w:val="22"/>
              </w:rPr>
              <w:t xml:space="preserve"> (PRC)</w:t>
            </w:r>
          </w:p>
        </w:tc>
        <w:tc>
          <w:tcPr>
            <w:tcW w:w="976" w:type="dxa"/>
            <w:shd w:val="clear" w:color="auto" w:fill="DEEAF6" w:themeFill="accent5" w:themeFillTint="33"/>
            <w:hideMark/>
          </w:tcPr>
          <w:p w14:paraId="0E321E1F" w14:textId="77777777" w:rsidR="00A21C01" w:rsidRPr="00D66D81" w:rsidRDefault="00A21C01">
            <w:pPr>
              <w:spacing w:line="240" w:lineRule="auto"/>
              <w:jc w:val="right"/>
              <w:rPr>
                <w:rFonts w:cs="Arial"/>
                <w:sz w:val="22"/>
              </w:rPr>
            </w:pPr>
            <w:r w:rsidRPr="00D66D81">
              <w:rPr>
                <w:rFonts w:cs="Arial"/>
                <w:sz w:val="22"/>
              </w:rPr>
              <w:t>1</w:t>
            </w:r>
          </w:p>
        </w:tc>
        <w:tc>
          <w:tcPr>
            <w:tcW w:w="1610" w:type="dxa"/>
            <w:hideMark/>
          </w:tcPr>
          <w:p w14:paraId="33BA560B" w14:textId="77777777" w:rsidR="00A21C01" w:rsidRPr="00D66D81" w:rsidRDefault="00A21C01">
            <w:pPr>
              <w:spacing w:line="240" w:lineRule="auto"/>
              <w:jc w:val="right"/>
              <w:rPr>
                <w:rFonts w:cs="Arial"/>
                <w:sz w:val="22"/>
              </w:rPr>
            </w:pPr>
          </w:p>
        </w:tc>
        <w:tc>
          <w:tcPr>
            <w:tcW w:w="1263" w:type="dxa"/>
            <w:hideMark/>
          </w:tcPr>
          <w:p w14:paraId="0E83A21D" w14:textId="77777777" w:rsidR="00A21C01" w:rsidRPr="00D66D81" w:rsidRDefault="00A21C01">
            <w:pPr>
              <w:spacing w:line="240" w:lineRule="auto"/>
              <w:jc w:val="right"/>
              <w:rPr>
                <w:rFonts w:cs="Arial"/>
                <w:sz w:val="22"/>
              </w:rPr>
            </w:pPr>
          </w:p>
        </w:tc>
        <w:tc>
          <w:tcPr>
            <w:tcW w:w="979" w:type="dxa"/>
            <w:hideMark/>
          </w:tcPr>
          <w:p w14:paraId="6AEEFC43" w14:textId="77777777" w:rsidR="00A21C01" w:rsidRPr="00D66D81" w:rsidRDefault="00A21C01">
            <w:pPr>
              <w:spacing w:line="240" w:lineRule="auto"/>
              <w:jc w:val="right"/>
              <w:rPr>
                <w:rFonts w:cs="Arial"/>
                <w:sz w:val="22"/>
              </w:rPr>
            </w:pPr>
            <w:r w:rsidRPr="00D66D81">
              <w:rPr>
                <w:rFonts w:cs="Arial"/>
                <w:sz w:val="22"/>
                <w:lang w:val="fr-CH"/>
              </w:rPr>
              <w:t>1</w:t>
            </w:r>
          </w:p>
        </w:tc>
        <w:tc>
          <w:tcPr>
            <w:tcW w:w="1997" w:type="dxa"/>
            <w:hideMark/>
          </w:tcPr>
          <w:p w14:paraId="6D508C59" w14:textId="77777777" w:rsidR="00A21C01" w:rsidRPr="00D66D81" w:rsidRDefault="00A21C01">
            <w:pPr>
              <w:spacing w:line="240" w:lineRule="auto"/>
              <w:jc w:val="right"/>
              <w:rPr>
                <w:rFonts w:cs="Arial"/>
                <w:sz w:val="22"/>
              </w:rPr>
            </w:pPr>
          </w:p>
        </w:tc>
        <w:tc>
          <w:tcPr>
            <w:tcW w:w="1246" w:type="dxa"/>
            <w:hideMark/>
          </w:tcPr>
          <w:p w14:paraId="462535D5" w14:textId="1C8793B4" w:rsidR="00A21C01" w:rsidRPr="00D66D81" w:rsidRDefault="00192BF6">
            <w:pPr>
              <w:spacing w:line="240" w:lineRule="auto"/>
              <w:jc w:val="both"/>
              <w:rPr>
                <w:rFonts w:cs="Arial"/>
                <w:sz w:val="22"/>
              </w:rPr>
            </w:pPr>
            <w:r>
              <w:rPr>
                <w:rFonts w:cs="Arial"/>
                <w:sz w:val="22"/>
              </w:rPr>
              <w:t>PRC</w:t>
            </w:r>
          </w:p>
        </w:tc>
        <w:tc>
          <w:tcPr>
            <w:tcW w:w="2321" w:type="dxa"/>
            <w:hideMark/>
          </w:tcPr>
          <w:p w14:paraId="1C8EFDD4" w14:textId="77777777" w:rsidR="00A21C01" w:rsidRPr="00D66D81" w:rsidRDefault="00A21C01">
            <w:pPr>
              <w:spacing w:line="240" w:lineRule="auto"/>
              <w:jc w:val="right"/>
              <w:rPr>
                <w:rFonts w:cs="Arial"/>
                <w:sz w:val="22"/>
              </w:rPr>
            </w:pPr>
            <w:r w:rsidRPr="00D66D81">
              <w:rPr>
                <w:rFonts w:cs="Arial"/>
                <w:sz w:val="22"/>
              </w:rPr>
              <w:t>720851</w:t>
            </w:r>
          </w:p>
          <w:p w14:paraId="34AC7280" w14:textId="77777777" w:rsidR="00A21C01" w:rsidRPr="00D66D81" w:rsidRDefault="00A21C01">
            <w:pPr>
              <w:spacing w:line="240" w:lineRule="auto"/>
              <w:jc w:val="right"/>
              <w:rPr>
                <w:rFonts w:cs="Arial"/>
                <w:sz w:val="22"/>
              </w:rPr>
            </w:pPr>
            <w:r w:rsidRPr="00D66D81">
              <w:rPr>
                <w:rFonts w:cs="Arial"/>
                <w:sz w:val="22"/>
              </w:rPr>
              <w:t>720852</w:t>
            </w:r>
          </w:p>
        </w:tc>
      </w:tr>
      <w:tr w:rsidR="00A21C01" w:rsidRPr="00D66D81" w14:paraId="4C625624" w14:textId="77777777" w:rsidTr="005A28EA">
        <w:trPr>
          <w:trHeight w:val="461"/>
        </w:trPr>
        <w:tc>
          <w:tcPr>
            <w:tcW w:w="3211" w:type="dxa"/>
            <w:hideMark/>
          </w:tcPr>
          <w:p w14:paraId="709903FB" w14:textId="42318986" w:rsidR="00A21C01" w:rsidRPr="00D66D81" w:rsidRDefault="00A21C01">
            <w:pPr>
              <w:spacing w:line="240" w:lineRule="auto"/>
              <w:rPr>
                <w:rFonts w:cs="Arial"/>
                <w:sz w:val="22"/>
              </w:rPr>
            </w:pPr>
            <w:r w:rsidRPr="00D66D81">
              <w:rPr>
                <w:rFonts w:cs="Arial"/>
                <w:sz w:val="22"/>
                <w:lang w:val="fr-CH"/>
              </w:rPr>
              <w:t>Heavy plates</w:t>
            </w:r>
            <w:r w:rsidR="005A28EA">
              <w:rPr>
                <w:rFonts w:cs="Arial"/>
                <w:sz w:val="22"/>
                <w:lang w:val="fr-CH"/>
              </w:rPr>
              <w:t xml:space="preserve"> (PRC)</w:t>
            </w:r>
          </w:p>
        </w:tc>
        <w:tc>
          <w:tcPr>
            <w:tcW w:w="976" w:type="dxa"/>
            <w:shd w:val="clear" w:color="auto" w:fill="DEEAF6" w:themeFill="accent5" w:themeFillTint="33"/>
            <w:hideMark/>
          </w:tcPr>
          <w:p w14:paraId="393AB117" w14:textId="77777777" w:rsidR="00A21C01" w:rsidRPr="00D66D81" w:rsidRDefault="00A21C01">
            <w:pPr>
              <w:spacing w:line="240" w:lineRule="auto"/>
              <w:jc w:val="right"/>
              <w:rPr>
                <w:rFonts w:cs="Arial"/>
                <w:sz w:val="22"/>
              </w:rPr>
            </w:pPr>
            <w:r w:rsidRPr="00D66D81">
              <w:rPr>
                <w:rFonts w:cs="Arial"/>
                <w:sz w:val="22"/>
              </w:rPr>
              <w:t>2</w:t>
            </w:r>
          </w:p>
        </w:tc>
        <w:tc>
          <w:tcPr>
            <w:tcW w:w="1610" w:type="dxa"/>
            <w:hideMark/>
          </w:tcPr>
          <w:p w14:paraId="1BA89168" w14:textId="77777777" w:rsidR="00A21C01" w:rsidRPr="00D66D81" w:rsidRDefault="00A21C01">
            <w:pPr>
              <w:spacing w:line="240" w:lineRule="auto"/>
              <w:jc w:val="right"/>
              <w:rPr>
                <w:rFonts w:cs="Arial"/>
                <w:sz w:val="22"/>
              </w:rPr>
            </w:pPr>
          </w:p>
        </w:tc>
        <w:tc>
          <w:tcPr>
            <w:tcW w:w="1263" w:type="dxa"/>
            <w:hideMark/>
          </w:tcPr>
          <w:p w14:paraId="2CDEF24A" w14:textId="77777777" w:rsidR="00A21C01" w:rsidRPr="00D66D81" w:rsidRDefault="00A21C01">
            <w:pPr>
              <w:spacing w:line="240" w:lineRule="auto"/>
              <w:jc w:val="right"/>
              <w:rPr>
                <w:rFonts w:cs="Arial"/>
                <w:sz w:val="22"/>
              </w:rPr>
            </w:pPr>
          </w:p>
        </w:tc>
        <w:tc>
          <w:tcPr>
            <w:tcW w:w="979" w:type="dxa"/>
            <w:hideMark/>
          </w:tcPr>
          <w:p w14:paraId="0001BA82" w14:textId="77777777" w:rsidR="00A21C01" w:rsidRPr="00D66D81" w:rsidRDefault="00A21C01">
            <w:pPr>
              <w:spacing w:line="240" w:lineRule="auto"/>
              <w:jc w:val="right"/>
              <w:rPr>
                <w:rFonts w:cs="Arial"/>
                <w:sz w:val="22"/>
              </w:rPr>
            </w:pPr>
            <w:r w:rsidRPr="00D66D81">
              <w:rPr>
                <w:rFonts w:cs="Arial"/>
                <w:sz w:val="22"/>
                <w:lang w:val="fr-CH"/>
              </w:rPr>
              <w:t>1</w:t>
            </w:r>
          </w:p>
        </w:tc>
        <w:tc>
          <w:tcPr>
            <w:tcW w:w="1997" w:type="dxa"/>
            <w:hideMark/>
          </w:tcPr>
          <w:p w14:paraId="5D5CB47D" w14:textId="77777777" w:rsidR="00A21C01" w:rsidRPr="00D66D81" w:rsidRDefault="00A21C01">
            <w:pPr>
              <w:spacing w:line="240" w:lineRule="auto"/>
              <w:jc w:val="right"/>
              <w:rPr>
                <w:rFonts w:cs="Arial"/>
                <w:sz w:val="22"/>
              </w:rPr>
            </w:pPr>
            <w:r w:rsidRPr="00D66D81">
              <w:rPr>
                <w:rFonts w:cs="Arial"/>
                <w:sz w:val="22"/>
                <w:lang w:val="fr-CH"/>
              </w:rPr>
              <w:t>1</w:t>
            </w:r>
          </w:p>
        </w:tc>
        <w:tc>
          <w:tcPr>
            <w:tcW w:w="1246" w:type="dxa"/>
            <w:hideMark/>
          </w:tcPr>
          <w:p w14:paraId="48850025" w14:textId="05A1B4FB" w:rsidR="00A21C01" w:rsidRPr="00D66D81" w:rsidRDefault="00192BF6">
            <w:pPr>
              <w:spacing w:line="240" w:lineRule="auto"/>
              <w:jc w:val="both"/>
              <w:rPr>
                <w:rFonts w:cs="Arial"/>
                <w:sz w:val="22"/>
              </w:rPr>
            </w:pPr>
            <w:r>
              <w:rPr>
                <w:rFonts w:cs="Arial"/>
                <w:sz w:val="22"/>
              </w:rPr>
              <w:t>PRC</w:t>
            </w:r>
          </w:p>
        </w:tc>
        <w:tc>
          <w:tcPr>
            <w:tcW w:w="2321" w:type="dxa"/>
            <w:hideMark/>
          </w:tcPr>
          <w:p w14:paraId="31635FE3" w14:textId="77777777" w:rsidR="00A21C01" w:rsidRPr="00D66D81" w:rsidRDefault="00A21C01">
            <w:pPr>
              <w:spacing w:line="240" w:lineRule="auto"/>
              <w:jc w:val="right"/>
              <w:rPr>
                <w:rFonts w:cs="Arial"/>
                <w:sz w:val="22"/>
              </w:rPr>
            </w:pPr>
            <w:r w:rsidRPr="00D66D81">
              <w:rPr>
                <w:rFonts w:cs="Arial"/>
                <w:sz w:val="22"/>
              </w:rPr>
              <w:t>7208.361, 7208.369, 7208.37, 7225.3</w:t>
            </w:r>
          </w:p>
        </w:tc>
      </w:tr>
      <w:tr w:rsidR="00A21C01" w:rsidRPr="00D66D81" w14:paraId="0BDA2514" w14:textId="77777777" w:rsidTr="005A28EA">
        <w:trPr>
          <w:trHeight w:val="461"/>
        </w:trPr>
        <w:tc>
          <w:tcPr>
            <w:tcW w:w="3211" w:type="dxa"/>
            <w:hideMark/>
          </w:tcPr>
          <w:p w14:paraId="738F7246" w14:textId="5CB63182" w:rsidR="00A21C01" w:rsidRPr="00D66D81" w:rsidRDefault="00A21C01">
            <w:pPr>
              <w:spacing w:line="240" w:lineRule="auto"/>
              <w:rPr>
                <w:rFonts w:cs="Arial"/>
                <w:sz w:val="22"/>
              </w:rPr>
            </w:pPr>
            <w:r w:rsidRPr="00D66D81">
              <w:rPr>
                <w:rFonts w:cs="Arial"/>
                <w:sz w:val="22"/>
              </w:rPr>
              <w:t>Heavy plates</w:t>
            </w:r>
            <w:r w:rsidR="005A28EA">
              <w:rPr>
                <w:rFonts w:cs="Arial"/>
                <w:sz w:val="22"/>
              </w:rPr>
              <w:t xml:space="preserve"> (PRC and Ukraine)</w:t>
            </w:r>
          </w:p>
        </w:tc>
        <w:tc>
          <w:tcPr>
            <w:tcW w:w="976" w:type="dxa"/>
            <w:shd w:val="clear" w:color="auto" w:fill="DEEAF6" w:themeFill="accent5" w:themeFillTint="33"/>
            <w:hideMark/>
          </w:tcPr>
          <w:p w14:paraId="611FE768" w14:textId="77777777" w:rsidR="00A21C01" w:rsidRPr="00D66D81" w:rsidRDefault="00A21C01">
            <w:pPr>
              <w:spacing w:line="240" w:lineRule="auto"/>
              <w:jc w:val="right"/>
              <w:rPr>
                <w:rFonts w:cs="Arial"/>
                <w:sz w:val="22"/>
              </w:rPr>
            </w:pPr>
            <w:r w:rsidRPr="00D66D81">
              <w:rPr>
                <w:rFonts w:cs="Arial"/>
                <w:sz w:val="22"/>
              </w:rPr>
              <w:t>1</w:t>
            </w:r>
          </w:p>
        </w:tc>
        <w:tc>
          <w:tcPr>
            <w:tcW w:w="1610" w:type="dxa"/>
            <w:hideMark/>
          </w:tcPr>
          <w:p w14:paraId="1FFD63EA" w14:textId="77777777" w:rsidR="00A21C01" w:rsidRPr="00D66D81" w:rsidRDefault="00A21C01">
            <w:pPr>
              <w:spacing w:line="240" w:lineRule="auto"/>
              <w:jc w:val="right"/>
              <w:rPr>
                <w:rFonts w:cs="Arial"/>
                <w:sz w:val="22"/>
              </w:rPr>
            </w:pPr>
          </w:p>
        </w:tc>
        <w:tc>
          <w:tcPr>
            <w:tcW w:w="1263" w:type="dxa"/>
            <w:hideMark/>
          </w:tcPr>
          <w:p w14:paraId="56EEC765" w14:textId="77777777" w:rsidR="00A21C01" w:rsidRPr="00D66D81" w:rsidRDefault="00A21C01">
            <w:pPr>
              <w:spacing w:line="240" w:lineRule="auto"/>
              <w:jc w:val="right"/>
              <w:rPr>
                <w:rFonts w:cs="Arial"/>
                <w:sz w:val="22"/>
              </w:rPr>
            </w:pPr>
          </w:p>
        </w:tc>
        <w:tc>
          <w:tcPr>
            <w:tcW w:w="979" w:type="dxa"/>
            <w:hideMark/>
          </w:tcPr>
          <w:p w14:paraId="21646128" w14:textId="77777777" w:rsidR="00A21C01" w:rsidRPr="00D66D81" w:rsidRDefault="00A21C01">
            <w:pPr>
              <w:spacing w:line="240" w:lineRule="auto"/>
              <w:jc w:val="right"/>
              <w:rPr>
                <w:rFonts w:cs="Arial"/>
                <w:sz w:val="22"/>
              </w:rPr>
            </w:pPr>
            <w:r w:rsidRPr="00D66D81">
              <w:rPr>
                <w:rFonts w:cs="Arial"/>
                <w:sz w:val="22"/>
                <w:lang w:val="fr-CH"/>
              </w:rPr>
              <w:t>1</w:t>
            </w:r>
          </w:p>
        </w:tc>
        <w:tc>
          <w:tcPr>
            <w:tcW w:w="1997" w:type="dxa"/>
            <w:hideMark/>
          </w:tcPr>
          <w:p w14:paraId="22F011DA" w14:textId="77777777" w:rsidR="00A21C01" w:rsidRPr="00D66D81" w:rsidRDefault="00A21C01">
            <w:pPr>
              <w:spacing w:line="240" w:lineRule="auto"/>
              <w:jc w:val="right"/>
              <w:rPr>
                <w:rFonts w:cs="Arial"/>
                <w:sz w:val="22"/>
              </w:rPr>
            </w:pPr>
          </w:p>
        </w:tc>
        <w:tc>
          <w:tcPr>
            <w:tcW w:w="1246" w:type="dxa"/>
            <w:hideMark/>
          </w:tcPr>
          <w:p w14:paraId="6EE99542" w14:textId="2CDF3922" w:rsidR="00A21C01" w:rsidRPr="00D66D81" w:rsidRDefault="00192BF6">
            <w:pPr>
              <w:spacing w:line="240" w:lineRule="auto"/>
              <w:jc w:val="both"/>
              <w:rPr>
                <w:rFonts w:cs="Arial"/>
                <w:sz w:val="22"/>
              </w:rPr>
            </w:pPr>
            <w:r>
              <w:rPr>
                <w:rFonts w:cs="Arial"/>
                <w:sz w:val="22"/>
              </w:rPr>
              <w:t>PRC</w:t>
            </w:r>
            <w:r w:rsidR="00A21C01" w:rsidRPr="00D66D81">
              <w:rPr>
                <w:rFonts w:cs="Arial"/>
                <w:sz w:val="22"/>
              </w:rPr>
              <w:t>, Ukraine</w:t>
            </w:r>
          </w:p>
        </w:tc>
        <w:tc>
          <w:tcPr>
            <w:tcW w:w="2321" w:type="dxa"/>
            <w:hideMark/>
          </w:tcPr>
          <w:p w14:paraId="1210069B" w14:textId="77777777" w:rsidR="00A21C01" w:rsidRPr="00D66D81" w:rsidRDefault="00A21C01">
            <w:pPr>
              <w:spacing w:line="240" w:lineRule="auto"/>
              <w:jc w:val="right"/>
              <w:rPr>
                <w:rFonts w:cs="Arial"/>
                <w:sz w:val="22"/>
              </w:rPr>
            </w:pPr>
            <w:r w:rsidRPr="00D66D81">
              <w:rPr>
                <w:rFonts w:cs="Arial"/>
                <w:sz w:val="22"/>
              </w:rPr>
              <w:t>7208.361, 7208.369, 7208.37, 7225.3</w:t>
            </w:r>
          </w:p>
        </w:tc>
      </w:tr>
      <w:tr w:rsidR="00A21C01" w:rsidRPr="00D66D81" w14:paraId="14D65312" w14:textId="77777777" w:rsidTr="005A28EA">
        <w:trPr>
          <w:trHeight w:val="461"/>
        </w:trPr>
        <w:tc>
          <w:tcPr>
            <w:tcW w:w="3211" w:type="dxa"/>
            <w:hideMark/>
          </w:tcPr>
          <w:p w14:paraId="4ACD2FA8" w14:textId="398C9A81" w:rsidR="00A21C01" w:rsidRPr="00D66D81" w:rsidRDefault="00A21C01">
            <w:pPr>
              <w:spacing w:line="240" w:lineRule="auto"/>
              <w:rPr>
                <w:rFonts w:cs="Arial"/>
                <w:sz w:val="22"/>
              </w:rPr>
            </w:pPr>
            <w:r w:rsidRPr="00D66D81">
              <w:rPr>
                <w:rFonts w:cs="Arial"/>
                <w:sz w:val="22"/>
                <w:lang w:val="fr-CH"/>
              </w:rPr>
              <w:t xml:space="preserve">Graphite </w:t>
            </w:r>
            <w:r w:rsidR="001C233D">
              <w:rPr>
                <w:rFonts w:cs="Arial"/>
                <w:sz w:val="22"/>
                <w:lang w:val="fr-CH"/>
              </w:rPr>
              <w:t>e</w:t>
            </w:r>
            <w:r w:rsidR="005A28EA">
              <w:rPr>
                <w:rFonts w:cs="Arial"/>
                <w:sz w:val="22"/>
                <w:lang w:val="fr-CH"/>
              </w:rPr>
              <w:t>lectrodes (PRC)</w:t>
            </w:r>
          </w:p>
        </w:tc>
        <w:tc>
          <w:tcPr>
            <w:tcW w:w="976" w:type="dxa"/>
            <w:shd w:val="clear" w:color="auto" w:fill="DEEAF6" w:themeFill="accent5" w:themeFillTint="33"/>
            <w:hideMark/>
          </w:tcPr>
          <w:p w14:paraId="3CAA0D22" w14:textId="77777777" w:rsidR="00A21C01" w:rsidRPr="00D66D81" w:rsidRDefault="00A21C01">
            <w:pPr>
              <w:spacing w:line="240" w:lineRule="auto"/>
              <w:jc w:val="right"/>
              <w:rPr>
                <w:rFonts w:cs="Arial"/>
                <w:sz w:val="22"/>
              </w:rPr>
            </w:pPr>
            <w:r w:rsidRPr="00D66D81">
              <w:rPr>
                <w:rFonts w:cs="Arial"/>
                <w:sz w:val="22"/>
              </w:rPr>
              <w:t>1</w:t>
            </w:r>
          </w:p>
        </w:tc>
        <w:tc>
          <w:tcPr>
            <w:tcW w:w="1610" w:type="dxa"/>
            <w:hideMark/>
          </w:tcPr>
          <w:p w14:paraId="62C6A7AB" w14:textId="77777777" w:rsidR="00A21C01" w:rsidRPr="00D66D81" w:rsidRDefault="00A21C01">
            <w:pPr>
              <w:spacing w:line="240" w:lineRule="auto"/>
              <w:jc w:val="right"/>
              <w:rPr>
                <w:rFonts w:cs="Arial"/>
                <w:sz w:val="22"/>
              </w:rPr>
            </w:pPr>
          </w:p>
        </w:tc>
        <w:tc>
          <w:tcPr>
            <w:tcW w:w="1263" w:type="dxa"/>
            <w:hideMark/>
          </w:tcPr>
          <w:p w14:paraId="7A1B2E8C" w14:textId="77777777" w:rsidR="00A21C01" w:rsidRPr="00D66D81" w:rsidRDefault="00A21C01">
            <w:pPr>
              <w:spacing w:line="240" w:lineRule="auto"/>
              <w:jc w:val="right"/>
              <w:rPr>
                <w:rFonts w:cs="Arial"/>
                <w:sz w:val="22"/>
              </w:rPr>
            </w:pPr>
            <w:r w:rsidRPr="00D66D81">
              <w:rPr>
                <w:rFonts w:cs="Arial"/>
                <w:sz w:val="22"/>
                <w:lang w:val="fr-CH"/>
              </w:rPr>
              <w:t>1</w:t>
            </w:r>
          </w:p>
        </w:tc>
        <w:tc>
          <w:tcPr>
            <w:tcW w:w="979" w:type="dxa"/>
            <w:hideMark/>
          </w:tcPr>
          <w:p w14:paraId="7FD5B27B" w14:textId="77777777" w:rsidR="00A21C01" w:rsidRPr="00D66D81" w:rsidRDefault="00A21C01">
            <w:pPr>
              <w:spacing w:line="240" w:lineRule="auto"/>
              <w:jc w:val="right"/>
              <w:rPr>
                <w:rFonts w:cs="Arial"/>
                <w:sz w:val="22"/>
              </w:rPr>
            </w:pPr>
          </w:p>
        </w:tc>
        <w:tc>
          <w:tcPr>
            <w:tcW w:w="1997" w:type="dxa"/>
            <w:hideMark/>
          </w:tcPr>
          <w:p w14:paraId="442D222D" w14:textId="77777777" w:rsidR="00A21C01" w:rsidRPr="00D66D81" w:rsidRDefault="00A21C01">
            <w:pPr>
              <w:spacing w:line="240" w:lineRule="auto"/>
              <w:jc w:val="right"/>
              <w:rPr>
                <w:rFonts w:cs="Arial"/>
                <w:sz w:val="22"/>
              </w:rPr>
            </w:pPr>
          </w:p>
        </w:tc>
        <w:tc>
          <w:tcPr>
            <w:tcW w:w="1246" w:type="dxa"/>
            <w:hideMark/>
          </w:tcPr>
          <w:p w14:paraId="1284FE2E" w14:textId="7B7DD2D1" w:rsidR="00A21C01" w:rsidRPr="00D66D81" w:rsidRDefault="00A21C01">
            <w:pPr>
              <w:spacing w:line="240" w:lineRule="auto"/>
              <w:jc w:val="both"/>
              <w:rPr>
                <w:rFonts w:cs="Arial"/>
                <w:sz w:val="22"/>
              </w:rPr>
            </w:pPr>
            <w:r w:rsidRPr="00D66D81">
              <w:rPr>
                <w:rFonts w:cs="Arial"/>
                <w:sz w:val="22"/>
              </w:rPr>
              <w:t>UK, UAE</w:t>
            </w:r>
          </w:p>
        </w:tc>
        <w:tc>
          <w:tcPr>
            <w:tcW w:w="2321" w:type="dxa"/>
            <w:hideMark/>
          </w:tcPr>
          <w:p w14:paraId="1317D86C" w14:textId="77777777" w:rsidR="00A21C01" w:rsidRPr="00D66D81" w:rsidRDefault="00A21C01">
            <w:pPr>
              <w:spacing w:line="240" w:lineRule="auto"/>
              <w:jc w:val="right"/>
              <w:rPr>
                <w:rFonts w:cs="Arial"/>
                <w:sz w:val="22"/>
              </w:rPr>
            </w:pPr>
            <w:r w:rsidRPr="00D66D81">
              <w:rPr>
                <w:rFonts w:cs="Arial"/>
                <w:sz w:val="22"/>
              </w:rPr>
              <w:t xml:space="preserve">8545.11, 3801.1 </w:t>
            </w:r>
          </w:p>
        </w:tc>
      </w:tr>
      <w:tr w:rsidR="00A21C01" w:rsidRPr="00D66D81" w14:paraId="49C4550C" w14:textId="77777777" w:rsidTr="005A28EA">
        <w:trPr>
          <w:trHeight w:val="461"/>
        </w:trPr>
        <w:tc>
          <w:tcPr>
            <w:tcW w:w="3211" w:type="dxa"/>
            <w:hideMark/>
          </w:tcPr>
          <w:p w14:paraId="7D3D96FA" w14:textId="795ACCE3" w:rsidR="00A21C01" w:rsidRPr="00D66D81" w:rsidRDefault="00A21C01">
            <w:pPr>
              <w:spacing w:line="240" w:lineRule="auto"/>
              <w:rPr>
                <w:rFonts w:cs="Arial"/>
                <w:sz w:val="22"/>
              </w:rPr>
            </w:pPr>
            <w:r w:rsidRPr="00D66D81">
              <w:rPr>
                <w:rFonts w:cs="Arial"/>
                <w:sz w:val="22"/>
                <w:lang w:val="fr-CH"/>
              </w:rPr>
              <w:t>Footwear</w:t>
            </w:r>
            <w:r w:rsidR="005A28EA">
              <w:rPr>
                <w:rFonts w:cs="Arial"/>
                <w:sz w:val="22"/>
                <w:lang w:val="fr-CH"/>
              </w:rPr>
              <w:t xml:space="preserve"> (PRC)</w:t>
            </w:r>
          </w:p>
        </w:tc>
        <w:tc>
          <w:tcPr>
            <w:tcW w:w="976" w:type="dxa"/>
            <w:shd w:val="clear" w:color="auto" w:fill="DEEAF6" w:themeFill="accent5" w:themeFillTint="33"/>
            <w:hideMark/>
          </w:tcPr>
          <w:p w14:paraId="3ED5F2ED" w14:textId="77777777" w:rsidR="00A21C01" w:rsidRPr="00D66D81" w:rsidRDefault="00A21C01">
            <w:pPr>
              <w:spacing w:line="240" w:lineRule="auto"/>
              <w:jc w:val="right"/>
              <w:rPr>
                <w:rFonts w:cs="Arial"/>
                <w:sz w:val="22"/>
              </w:rPr>
            </w:pPr>
            <w:r w:rsidRPr="00D66D81">
              <w:rPr>
                <w:rFonts w:cs="Arial"/>
                <w:sz w:val="22"/>
              </w:rPr>
              <w:t>1</w:t>
            </w:r>
          </w:p>
        </w:tc>
        <w:tc>
          <w:tcPr>
            <w:tcW w:w="1610" w:type="dxa"/>
            <w:hideMark/>
          </w:tcPr>
          <w:p w14:paraId="30D53C8D" w14:textId="77777777" w:rsidR="00A21C01" w:rsidRPr="00D66D81" w:rsidRDefault="00A21C01">
            <w:pPr>
              <w:spacing w:line="240" w:lineRule="auto"/>
              <w:jc w:val="right"/>
              <w:rPr>
                <w:rFonts w:cs="Arial"/>
                <w:sz w:val="22"/>
              </w:rPr>
            </w:pPr>
            <w:r w:rsidRPr="00D66D81">
              <w:rPr>
                <w:rFonts w:cs="Arial"/>
                <w:sz w:val="22"/>
                <w:lang w:val="fr-CH"/>
              </w:rPr>
              <w:t>1</w:t>
            </w:r>
          </w:p>
        </w:tc>
        <w:tc>
          <w:tcPr>
            <w:tcW w:w="1263" w:type="dxa"/>
            <w:hideMark/>
          </w:tcPr>
          <w:p w14:paraId="7F80A783" w14:textId="77777777" w:rsidR="00A21C01" w:rsidRPr="00D66D81" w:rsidRDefault="00A21C01">
            <w:pPr>
              <w:spacing w:line="240" w:lineRule="auto"/>
              <w:jc w:val="right"/>
              <w:rPr>
                <w:rFonts w:cs="Arial"/>
                <w:sz w:val="22"/>
              </w:rPr>
            </w:pPr>
          </w:p>
        </w:tc>
        <w:tc>
          <w:tcPr>
            <w:tcW w:w="979" w:type="dxa"/>
            <w:hideMark/>
          </w:tcPr>
          <w:p w14:paraId="05A758EF" w14:textId="77777777" w:rsidR="00A21C01" w:rsidRPr="00D66D81" w:rsidRDefault="00A21C01">
            <w:pPr>
              <w:spacing w:line="240" w:lineRule="auto"/>
              <w:jc w:val="right"/>
              <w:rPr>
                <w:rFonts w:cs="Arial"/>
                <w:sz w:val="22"/>
              </w:rPr>
            </w:pPr>
          </w:p>
        </w:tc>
        <w:tc>
          <w:tcPr>
            <w:tcW w:w="1997" w:type="dxa"/>
            <w:hideMark/>
          </w:tcPr>
          <w:p w14:paraId="000B848C" w14:textId="77777777" w:rsidR="00A21C01" w:rsidRPr="00D66D81" w:rsidRDefault="00A21C01">
            <w:pPr>
              <w:spacing w:line="240" w:lineRule="auto"/>
              <w:jc w:val="right"/>
              <w:rPr>
                <w:rFonts w:cs="Arial"/>
                <w:sz w:val="22"/>
              </w:rPr>
            </w:pPr>
          </w:p>
        </w:tc>
        <w:tc>
          <w:tcPr>
            <w:tcW w:w="1246" w:type="dxa"/>
          </w:tcPr>
          <w:p w14:paraId="54E8996B" w14:textId="0353DBFB" w:rsidR="00A21C01" w:rsidRPr="00D66D81" w:rsidRDefault="00A21C01">
            <w:pPr>
              <w:spacing w:line="240" w:lineRule="auto"/>
              <w:jc w:val="both"/>
              <w:rPr>
                <w:rFonts w:cs="Arial"/>
                <w:sz w:val="22"/>
              </w:rPr>
            </w:pPr>
          </w:p>
        </w:tc>
        <w:tc>
          <w:tcPr>
            <w:tcW w:w="2321" w:type="dxa"/>
          </w:tcPr>
          <w:p w14:paraId="7A527E4D" w14:textId="69126FB2" w:rsidR="00A21C01" w:rsidRPr="00D66D81" w:rsidRDefault="00A21C01">
            <w:pPr>
              <w:spacing w:line="240" w:lineRule="auto"/>
              <w:jc w:val="both"/>
              <w:rPr>
                <w:rFonts w:cs="Arial"/>
                <w:sz w:val="22"/>
              </w:rPr>
            </w:pPr>
          </w:p>
        </w:tc>
      </w:tr>
      <w:tr w:rsidR="00A21C01" w:rsidRPr="00D66D81" w14:paraId="76121D8C" w14:textId="77777777" w:rsidTr="005A28EA">
        <w:trPr>
          <w:trHeight w:val="461"/>
        </w:trPr>
        <w:tc>
          <w:tcPr>
            <w:tcW w:w="3211" w:type="dxa"/>
            <w:hideMark/>
          </w:tcPr>
          <w:p w14:paraId="0BFF779E" w14:textId="1D4E2C51" w:rsidR="00A21C01" w:rsidRPr="00D66D81" w:rsidRDefault="00A21C01">
            <w:pPr>
              <w:spacing w:line="240" w:lineRule="auto"/>
              <w:rPr>
                <w:rFonts w:cs="Arial"/>
                <w:sz w:val="22"/>
              </w:rPr>
            </w:pPr>
            <w:r w:rsidRPr="00D66D81">
              <w:rPr>
                <w:rFonts w:cs="Arial"/>
                <w:sz w:val="22"/>
                <w:lang w:val="fr-CH"/>
              </w:rPr>
              <w:t>Footwear</w:t>
            </w:r>
            <w:r w:rsidR="005A28EA">
              <w:rPr>
                <w:rFonts w:cs="Arial"/>
                <w:sz w:val="22"/>
                <w:lang w:val="fr-CH"/>
              </w:rPr>
              <w:t xml:space="preserve"> (PRC)</w:t>
            </w:r>
          </w:p>
        </w:tc>
        <w:tc>
          <w:tcPr>
            <w:tcW w:w="976" w:type="dxa"/>
            <w:shd w:val="clear" w:color="auto" w:fill="DEEAF6" w:themeFill="accent5" w:themeFillTint="33"/>
            <w:hideMark/>
          </w:tcPr>
          <w:p w14:paraId="629C9C19" w14:textId="77777777" w:rsidR="00A21C01" w:rsidRPr="00D66D81" w:rsidRDefault="00A21C01">
            <w:pPr>
              <w:spacing w:line="240" w:lineRule="auto"/>
              <w:jc w:val="right"/>
              <w:rPr>
                <w:rFonts w:cs="Arial"/>
                <w:sz w:val="22"/>
              </w:rPr>
            </w:pPr>
            <w:r w:rsidRPr="00D66D81">
              <w:rPr>
                <w:rFonts w:cs="Arial"/>
                <w:sz w:val="22"/>
              </w:rPr>
              <w:t>1</w:t>
            </w:r>
          </w:p>
        </w:tc>
        <w:tc>
          <w:tcPr>
            <w:tcW w:w="1610" w:type="dxa"/>
            <w:hideMark/>
          </w:tcPr>
          <w:p w14:paraId="2D1D51A9" w14:textId="77777777" w:rsidR="00A21C01" w:rsidRPr="00D66D81" w:rsidRDefault="00A21C01">
            <w:pPr>
              <w:spacing w:line="240" w:lineRule="auto"/>
              <w:jc w:val="right"/>
              <w:rPr>
                <w:rFonts w:cs="Arial"/>
                <w:sz w:val="22"/>
              </w:rPr>
            </w:pPr>
          </w:p>
        </w:tc>
        <w:tc>
          <w:tcPr>
            <w:tcW w:w="1263" w:type="dxa"/>
            <w:hideMark/>
          </w:tcPr>
          <w:p w14:paraId="58D28D6B" w14:textId="77777777" w:rsidR="00A21C01" w:rsidRPr="00D66D81" w:rsidRDefault="00A21C01">
            <w:pPr>
              <w:spacing w:line="240" w:lineRule="auto"/>
              <w:jc w:val="right"/>
              <w:rPr>
                <w:rFonts w:cs="Arial"/>
                <w:sz w:val="22"/>
              </w:rPr>
            </w:pPr>
          </w:p>
        </w:tc>
        <w:tc>
          <w:tcPr>
            <w:tcW w:w="979" w:type="dxa"/>
            <w:hideMark/>
          </w:tcPr>
          <w:p w14:paraId="20883796" w14:textId="77777777" w:rsidR="00A21C01" w:rsidRPr="00D66D81" w:rsidRDefault="00A21C01">
            <w:pPr>
              <w:spacing w:line="240" w:lineRule="auto"/>
              <w:jc w:val="right"/>
              <w:rPr>
                <w:rFonts w:cs="Arial"/>
                <w:sz w:val="22"/>
              </w:rPr>
            </w:pPr>
          </w:p>
        </w:tc>
        <w:tc>
          <w:tcPr>
            <w:tcW w:w="1997" w:type="dxa"/>
            <w:hideMark/>
          </w:tcPr>
          <w:p w14:paraId="24C936AF" w14:textId="77777777" w:rsidR="00A21C01" w:rsidRPr="00D66D81" w:rsidRDefault="00A21C01">
            <w:pPr>
              <w:spacing w:line="240" w:lineRule="auto"/>
              <w:jc w:val="right"/>
              <w:rPr>
                <w:rFonts w:cs="Arial"/>
                <w:sz w:val="22"/>
              </w:rPr>
            </w:pPr>
            <w:r w:rsidRPr="00D66D81">
              <w:rPr>
                <w:rFonts w:cs="Arial"/>
                <w:sz w:val="22"/>
                <w:lang w:val="fr-CH"/>
              </w:rPr>
              <w:t>1</w:t>
            </w:r>
          </w:p>
        </w:tc>
        <w:tc>
          <w:tcPr>
            <w:tcW w:w="1246" w:type="dxa"/>
          </w:tcPr>
          <w:p w14:paraId="56438C19" w14:textId="5D91368D" w:rsidR="00A21C01" w:rsidRPr="00D66D81" w:rsidRDefault="00A21C01">
            <w:pPr>
              <w:spacing w:line="240" w:lineRule="auto"/>
              <w:jc w:val="both"/>
              <w:rPr>
                <w:rFonts w:cs="Arial"/>
                <w:sz w:val="22"/>
              </w:rPr>
            </w:pPr>
          </w:p>
        </w:tc>
        <w:tc>
          <w:tcPr>
            <w:tcW w:w="2321" w:type="dxa"/>
          </w:tcPr>
          <w:p w14:paraId="78628195" w14:textId="432AD744" w:rsidR="00A21C01" w:rsidRPr="00D66D81" w:rsidRDefault="00A21C01">
            <w:pPr>
              <w:spacing w:line="240" w:lineRule="auto"/>
              <w:jc w:val="both"/>
              <w:rPr>
                <w:rFonts w:cs="Arial"/>
                <w:sz w:val="22"/>
              </w:rPr>
            </w:pPr>
          </w:p>
        </w:tc>
      </w:tr>
      <w:tr w:rsidR="00A21C01" w:rsidRPr="00D66D81" w14:paraId="16739865" w14:textId="77777777" w:rsidTr="005A28EA">
        <w:trPr>
          <w:trHeight w:val="461"/>
        </w:trPr>
        <w:tc>
          <w:tcPr>
            <w:tcW w:w="3211" w:type="dxa"/>
            <w:hideMark/>
          </w:tcPr>
          <w:p w14:paraId="30047DC5" w14:textId="35751E26" w:rsidR="00A21C01" w:rsidRPr="00D66D81" w:rsidRDefault="00A21C01">
            <w:pPr>
              <w:spacing w:line="240" w:lineRule="auto"/>
              <w:rPr>
                <w:rFonts w:cs="Arial"/>
                <w:sz w:val="22"/>
              </w:rPr>
            </w:pPr>
            <w:r w:rsidRPr="00192BF6">
              <w:rPr>
                <w:rFonts w:cs="Arial"/>
                <w:sz w:val="22"/>
              </w:rPr>
              <w:t>Terry fabric rolls</w:t>
            </w:r>
            <w:r w:rsidR="005A28EA">
              <w:rPr>
                <w:rFonts w:cs="Arial"/>
                <w:sz w:val="22"/>
              </w:rPr>
              <w:t xml:space="preserve"> (PRC)</w:t>
            </w:r>
          </w:p>
        </w:tc>
        <w:tc>
          <w:tcPr>
            <w:tcW w:w="976" w:type="dxa"/>
            <w:shd w:val="clear" w:color="auto" w:fill="DEEAF6" w:themeFill="accent5" w:themeFillTint="33"/>
            <w:hideMark/>
          </w:tcPr>
          <w:p w14:paraId="3759B66C" w14:textId="77777777" w:rsidR="00A21C01" w:rsidRPr="00D66D81" w:rsidRDefault="00A21C01">
            <w:pPr>
              <w:spacing w:line="240" w:lineRule="auto"/>
              <w:jc w:val="right"/>
              <w:rPr>
                <w:rFonts w:cs="Arial"/>
                <w:sz w:val="22"/>
              </w:rPr>
            </w:pPr>
            <w:r w:rsidRPr="00D66D81">
              <w:rPr>
                <w:rFonts w:cs="Arial"/>
                <w:sz w:val="22"/>
              </w:rPr>
              <w:t>1</w:t>
            </w:r>
          </w:p>
        </w:tc>
        <w:tc>
          <w:tcPr>
            <w:tcW w:w="1610" w:type="dxa"/>
            <w:hideMark/>
          </w:tcPr>
          <w:p w14:paraId="07B82E7F" w14:textId="77777777" w:rsidR="00A21C01" w:rsidRPr="00D66D81" w:rsidRDefault="00A21C01">
            <w:pPr>
              <w:spacing w:line="240" w:lineRule="auto"/>
              <w:jc w:val="right"/>
              <w:rPr>
                <w:rFonts w:cs="Arial"/>
                <w:sz w:val="22"/>
              </w:rPr>
            </w:pPr>
          </w:p>
        </w:tc>
        <w:tc>
          <w:tcPr>
            <w:tcW w:w="1263" w:type="dxa"/>
            <w:hideMark/>
          </w:tcPr>
          <w:p w14:paraId="3FDC68C5" w14:textId="77777777" w:rsidR="00A21C01" w:rsidRPr="00D66D81" w:rsidRDefault="00A21C01">
            <w:pPr>
              <w:spacing w:line="240" w:lineRule="auto"/>
              <w:jc w:val="right"/>
              <w:rPr>
                <w:rFonts w:cs="Arial"/>
                <w:sz w:val="22"/>
              </w:rPr>
            </w:pPr>
          </w:p>
        </w:tc>
        <w:tc>
          <w:tcPr>
            <w:tcW w:w="979" w:type="dxa"/>
            <w:hideMark/>
          </w:tcPr>
          <w:p w14:paraId="05AC34F9" w14:textId="77777777" w:rsidR="00A21C01" w:rsidRPr="00D66D81" w:rsidRDefault="00A21C01">
            <w:pPr>
              <w:spacing w:line="240" w:lineRule="auto"/>
              <w:jc w:val="right"/>
              <w:rPr>
                <w:rFonts w:cs="Arial"/>
                <w:sz w:val="22"/>
              </w:rPr>
            </w:pPr>
          </w:p>
        </w:tc>
        <w:tc>
          <w:tcPr>
            <w:tcW w:w="1997" w:type="dxa"/>
            <w:hideMark/>
          </w:tcPr>
          <w:p w14:paraId="3A78DB0C" w14:textId="77777777" w:rsidR="00A21C01" w:rsidRPr="00D66D81" w:rsidRDefault="00A21C01">
            <w:pPr>
              <w:spacing w:line="240" w:lineRule="auto"/>
              <w:jc w:val="right"/>
              <w:rPr>
                <w:rFonts w:cs="Arial"/>
                <w:sz w:val="22"/>
              </w:rPr>
            </w:pPr>
            <w:r w:rsidRPr="00D66D81">
              <w:rPr>
                <w:rFonts w:cs="Arial"/>
                <w:sz w:val="22"/>
                <w:lang w:val="fr-CH"/>
              </w:rPr>
              <w:t>1</w:t>
            </w:r>
          </w:p>
        </w:tc>
        <w:tc>
          <w:tcPr>
            <w:tcW w:w="1246" w:type="dxa"/>
          </w:tcPr>
          <w:p w14:paraId="497823BD" w14:textId="7B1A037C" w:rsidR="00A21C01" w:rsidRPr="00D66D81" w:rsidRDefault="00A21C01">
            <w:pPr>
              <w:spacing w:line="240" w:lineRule="auto"/>
              <w:jc w:val="both"/>
              <w:rPr>
                <w:rFonts w:cs="Arial"/>
                <w:sz w:val="22"/>
              </w:rPr>
            </w:pPr>
          </w:p>
        </w:tc>
        <w:tc>
          <w:tcPr>
            <w:tcW w:w="2321" w:type="dxa"/>
          </w:tcPr>
          <w:p w14:paraId="20FFF556" w14:textId="26E6B0D1" w:rsidR="00A21C01" w:rsidRPr="00D66D81" w:rsidRDefault="00A21C01">
            <w:pPr>
              <w:spacing w:line="240" w:lineRule="auto"/>
              <w:jc w:val="both"/>
              <w:rPr>
                <w:rFonts w:cs="Arial"/>
                <w:sz w:val="22"/>
              </w:rPr>
            </w:pPr>
          </w:p>
        </w:tc>
      </w:tr>
      <w:tr w:rsidR="00A21C01" w:rsidRPr="00D66D81" w14:paraId="0ED69D04" w14:textId="77777777" w:rsidTr="005A28EA">
        <w:trPr>
          <w:trHeight w:val="461"/>
        </w:trPr>
        <w:tc>
          <w:tcPr>
            <w:tcW w:w="3211" w:type="dxa"/>
            <w:hideMark/>
          </w:tcPr>
          <w:p w14:paraId="6BAA1E59" w14:textId="77777777" w:rsidR="00A21C01" w:rsidRPr="00D66D81" w:rsidRDefault="00A21C01">
            <w:pPr>
              <w:spacing w:line="240" w:lineRule="auto"/>
              <w:rPr>
                <w:rFonts w:cs="Arial"/>
                <w:sz w:val="22"/>
              </w:rPr>
            </w:pPr>
            <w:r w:rsidRPr="00D66D81">
              <w:rPr>
                <w:rFonts w:cs="Arial"/>
                <w:b/>
                <w:bCs/>
                <w:sz w:val="22"/>
              </w:rPr>
              <w:t>Total</w:t>
            </w:r>
          </w:p>
        </w:tc>
        <w:tc>
          <w:tcPr>
            <w:tcW w:w="976" w:type="dxa"/>
            <w:shd w:val="clear" w:color="auto" w:fill="DEEAF6" w:themeFill="accent5" w:themeFillTint="33"/>
            <w:hideMark/>
          </w:tcPr>
          <w:p w14:paraId="785B3D5B" w14:textId="77777777" w:rsidR="00A21C01" w:rsidRPr="00D66D81" w:rsidRDefault="00A21C01">
            <w:pPr>
              <w:spacing w:line="240" w:lineRule="auto"/>
              <w:jc w:val="right"/>
              <w:rPr>
                <w:rFonts w:cs="Arial"/>
                <w:b/>
                <w:sz w:val="22"/>
              </w:rPr>
            </w:pPr>
            <w:r w:rsidRPr="00D66D81">
              <w:rPr>
                <w:rFonts w:cs="Arial"/>
                <w:b/>
                <w:sz w:val="22"/>
              </w:rPr>
              <w:t>9</w:t>
            </w:r>
          </w:p>
        </w:tc>
        <w:tc>
          <w:tcPr>
            <w:tcW w:w="1610" w:type="dxa"/>
            <w:hideMark/>
          </w:tcPr>
          <w:p w14:paraId="5F4DC42B" w14:textId="77777777" w:rsidR="00A21C01" w:rsidRPr="00D66D81" w:rsidRDefault="00A21C01">
            <w:pPr>
              <w:spacing w:line="240" w:lineRule="auto"/>
              <w:jc w:val="right"/>
              <w:rPr>
                <w:rFonts w:cs="Arial"/>
                <w:b/>
                <w:sz w:val="22"/>
              </w:rPr>
            </w:pPr>
            <w:r w:rsidRPr="00D66D81">
              <w:rPr>
                <w:rFonts w:cs="Arial"/>
                <w:b/>
                <w:sz w:val="22"/>
              </w:rPr>
              <w:t>2</w:t>
            </w:r>
          </w:p>
        </w:tc>
        <w:tc>
          <w:tcPr>
            <w:tcW w:w="1263" w:type="dxa"/>
            <w:hideMark/>
          </w:tcPr>
          <w:p w14:paraId="456B860E" w14:textId="77777777" w:rsidR="00A21C01" w:rsidRPr="00D66D81" w:rsidRDefault="00A21C01">
            <w:pPr>
              <w:spacing w:line="240" w:lineRule="auto"/>
              <w:jc w:val="right"/>
              <w:rPr>
                <w:rFonts w:cs="Arial"/>
                <w:b/>
                <w:sz w:val="22"/>
              </w:rPr>
            </w:pPr>
            <w:r w:rsidRPr="00D66D81">
              <w:rPr>
                <w:rFonts w:cs="Arial"/>
                <w:b/>
                <w:sz w:val="22"/>
              </w:rPr>
              <w:t>1</w:t>
            </w:r>
          </w:p>
        </w:tc>
        <w:tc>
          <w:tcPr>
            <w:tcW w:w="979" w:type="dxa"/>
            <w:hideMark/>
          </w:tcPr>
          <w:p w14:paraId="49029828" w14:textId="77777777" w:rsidR="00A21C01" w:rsidRPr="00D66D81" w:rsidRDefault="00A21C01">
            <w:pPr>
              <w:spacing w:line="240" w:lineRule="auto"/>
              <w:jc w:val="right"/>
              <w:rPr>
                <w:rFonts w:cs="Arial"/>
                <w:b/>
                <w:sz w:val="22"/>
              </w:rPr>
            </w:pPr>
            <w:r w:rsidRPr="00D66D81">
              <w:rPr>
                <w:rFonts w:cs="Arial"/>
                <w:b/>
                <w:sz w:val="22"/>
              </w:rPr>
              <w:t>3</w:t>
            </w:r>
          </w:p>
        </w:tc>
        <w:tc>
          <w:tcPr>
            <w:tcW w:w="1997" w:type="dxa"/>
            <w:hideMark/>
          </w:tcPr>
          <w:p w14:paraId="039424E8" w14:textId="77777777" w:rsidR="00A21C01" w:rsidRPr="00D66D81" w:rsidRDefault="00A21C01">
            <w:pPr>
              <w:spacing w:line="240" w:lineRule="auto"/>
              <w:jc w:val="right"/>
              <w:rPr>
                <w:rFonts w:cs="Arial"/>
                <w:b/>
                <w:sz w:val="22"/>
              </w:rPr>
            </w:pPr>
            <w:r w:rsidRPr="00D66D81">
              <w:rPr>
                <w:rFonts w:cs="Arial"/>
                <w:b/>
                <w:sz w:val="22"/>
              </w:rPr>
              <w:t>3</w:t>
            </w:r>
          </w:p>
        </w:tc>
        <w:tc>
          <w:tcPr>
            <w:tcW w:w="1246" w:type="dxa"/>
            <w:hideMark/>
          </w:tcPr>
          <w:p w14:paraId="65587ABF" w14:textId="77777777" w:rsidR="00A21C01" w:rsidRPr="00D66D81" w:rsidRDefault="00A21C01">
            <w:pPr>
              <w:spacing w:line="240" w:lineRule="auto"/>
              <w:jc w:val="both"/>
              <w:rPr>
                <w:rFonts w:cs="Arial"/>
                <w:sz w:val="22"/>
              </w:rPr>
            </w:pPr>
          </w:p>
        </w:tc>
        <w:tc>
          <w:tcPr>
            <w:tcW w:w="2321" w:type="dxa"/>
            <w:hideMark/>
          </w:tcPr>
          <w:p w14:paraId="0E69E082" w14:textId="77777777" w:rsidR="00A21C01" w:rsidRPr="00D66D81" w:rsidRDefault="00A21C01">
            <w:pPr>
              <w:spacing w:line="240" w:lineRule="auto"/>
              <w:jc w:val="both"/>
              <w:rPr>
                <w:rFonts w:cs="Arial"/>
                <w:sz w:val="22"/>
              </w:rPr>
            </w:pPr>
          </w:p>
        </w:tc>
      </w:tr>
    </w:tbl>
    <w:p w14:paraId="5A52685C" w14:textId="77777777" w:rsidR="00A21C01" w:rsidRPr="00D66D81" w:rsidRDefault="00A21C01" w:rsidP="00A21C01">
      <w:pPr>
        <w:pStyle w:val="Tablesource"/>
      </w:pPr>
      <w:r w:rsidRPr="00D66D81">
        <w:t>Source: Global Trade Alert Database.</w:t>
      </w:r>
    </w:p>
    <w:p w14:paraId="44267BD8" w14:textId="0B057560" w:rsidR="00A21C01" w:rsidRPr="00D66D81" w:rsidRDefault="00A21C01" w:rsidP="00A21C01">
      <w:pPr>
        <w:pStyle w:val="Caption"/>
        <w:rPr>
          <w:rFonts w:cs="Arial"/>
          <w:sz w:val="22"/>
          <w:szCs w:val="22"/>
        </w:rPr>
      </w:pPr>
      <w:r w:rsidRPr="005A28EA">
        <w:t xml:space="preserve">Table </w:t>
      </w:r>
      <w:r w:rsidRPr="005A28EA">
        <w:fldChar w:fldCharType="begin"/>
      </w:r>
      <w:r w:rsidRPr="005A28EA">
        <w:instrText>SEQ Table \* ARABIC</w:instrText>
      </w:r>
      <w:r w:rsidRPr="005A28EA">
        <w:fldChar w:fldCharType="separate"/>
      </w:r>
      <w:r w:rsidR="001C580B" w:rsidRPr="005A28EA">
        <w:t>17</w:t>
      </w:r>
      <w:r w:rsidRPr="005A28EA">
        <w:fldChar w:fldCharType="end"/>
      </w:r>
      <w:r w:rsidRPr="005A28EA">
        <w:t>: Overview of anti-circumvention cases in which duties were imposed (2009 to 2021), India</w:t>
      </w:r>
    </w:p>
    <w:tbl>
      <w:tblPr>
        <w:tblStyle w:val="TableGrid"/>
        <w:tblW w:w="0" w:type="auto"/>
        <w:tblLook w:val="04A0" w:firstRow="1" w:lastRow="0" w:firstColumn="1" w:lastColumn="0" w:noHBand="0" w:noVBand="1"/>
      </w:tblPr>
      <w:tblGrid>
        <w:gridCol w:w="2623"/>
        <w:gridCol w:w="976"/>
        <w:gridCol w:w="1492"/>
        <w:gridCol w:w="1219"/>
        <w:gridCol w:w="937"/>
        <w:gridCol w:w="1962"/>
        <w:gridCol w:w="1843"/>
        <w:gridCol w:w="1426"/>
      </w:tblGrid>
      <w:tr w:rsidR="00A21C01" w:rsidRPr="00D66D81" w14:paraId="424DD694" w14:textId="77777777" w:rsidTr="000A1D06">
        <w:trPr>
          <w:trHeight w:val="552"/>
        </w:trPr>
        <w:tc>
          <w:tcPr>
            <w:tcW w:w="2623" w:type="dxa"/>
            <w:vMerge w:val="restart"/>
            <w:hideMark/>
          </w:tcPr>
          <w:p w14:paraId="1369EB22" w14:textId="20733A6A" w:rsidR="00A21C01" w:rsidRPr="00D66D81" w:rsidRDefault="00A21C01">
            <w:pPr>
              <w:spacing w:line="240" w:lineRule="auto"/>
              <w:rPr>
                <w:rFonts w:cs="Arial"/>
                <w:b/>
                <w:bCs/>
                <w:sz w:val="22"/>
              </w:rPr>
            </w:pPr>
            <w:r w:rsidRPr="00D66D81">
              <w:rPr>
                <w:rFonts w:cs="Arial"/>
                <w:b/>
                <w:bCs/>
                <w:sz w:val="22"/>
                <w:lang w:val="fr-CH"/>
              </w:rPr>
              <w:t xml:space="preserve">Type of product </w:t>
            </w:r>
          </w:p>
        </w:tc>
        <w:tc>
          <w:tcPr>
            <w:tcW w:w="976" w:type="dxa"/>
            <w:vMerge w:val="restart"/>
            <w:shd w:val="clear" w:color="auto" w:fill="DEEAF6" w:themeFill="accent5" w:themeFillTint="33"/>
            <w:hideMark/>
          </w:tcPr>
          <w:p w14:paraId="616E2CC6" w14:textId="77777777" w:rsidR="00A21C01" w:rsidRPr="00D66D81" w:rsidRDefault="00A21C01">
            <w:pPr>
              <w:spacing w:line="240" w:lineRule="auto"/>
              <w:rPr>
                <w:rFonts w:cs="Arial"/>
                <w:b/>
                <w:bCs/>
                <w:sz w:val="22"/>
              </w:rPr>
            </w:pPr>
            <w:r w:rsidRPr="00D66D81">
              <w:rPr>
                <w:rFonts w:cs="Arial"/>
                <w:b/>
                <w:bCs/>
                <w:sz w:val="22"/>
              </w:rPr>
              <w:t>Total</w:t>
            </w:r>
            <w:r w:rsidRPr="00D66D81">
              <w:rPr>
                <w:rStyle w:val="FootnoteReference"/>
                <w:rFonts w:cs="Arial"/>
                <w:b/>
                <w:bCs/>
                <w:sz w:val="22"/>
              </w:rPr>
              <w:footnoteReference w:id="132"/>
            </w:r>
          </w:p>
        </w:tc>
        <w:tc>
          <w:tcPr>
            <w:tcW w:w="5610" w:type="dxa"/>
            <w:gridSpan w:val="4"/>
          </w:tcPr>
          <w:p w14:paraId="7645727B" w14:textId="5C637590" w:rsidR="00A21C01" w:rsidRPr="00D66D81" w:rsidRDefault="00A21C01" w:rsidP="00A12C73">
            <w:pPr>
              <w:spacing w:line="240" w:lineRule="auto"/>
              <w:jc w:val="center"/>
              <w:rPr>
                <w:rFonts w:cs="Arial"/>
                <w:b/>
                <w:bCs/>
                <w:sz w:val="22"/>
              </w:rPr>
            </w:pPr>
            <w:r w:rsidRPr="00D66D81">
              <w:rPr>
                <w:rFonts w:cs="Arial"/>
                <w:b/>
                <w:bCs/>
                <w:sz w:val="22"/>
              </w:rPr>
              <w:t>Mode of circumvention</w:t>
            </w:r>
          </w:p>
        </w:tc>
        <w:tc>
          <w:tcPr>
            <w:tcW w:w="1843" w:type="dxa"/>
            <w:vMerge w:val="restart"/>
            <w:hideMark/>
          </w:tcPr>
          <w:p w14:paraId="6145D703" w14:textId="3D484A28" w:rsidR="00A21C01" w:rsidRPr="00D66D81" w:rsidRDefault="00A21C01">
            <w:pPr>
              <w:spacing w:line="240" w:lineRule="auto"/>
              <w:rPr>
                <w:rFonts w:cs="Arial"/>
                <w:b/>
                <w:bCs/>
                <w:sz w:val="22"/>
              </w:rPr>
            </w:pPr>
            <w:r w:rsidRPr="00D66D81">
              <w:rPr>
                <w:rFonts w:cs="Arial"/>
                <w:b/>
                <w:bCs/>
                <w:sz w:val="22"/>
              </w:rPr>
              <w:t>Targeted country</w:t>
            </w:r>
          </w:p>
        </w:tc>
        <w:tc>
          <w:tcPr>
            <w:tcW w:w="1276" w:type="dxa"/>
            <w:vMerge w:val="restart"/>
            <w:hideMark/>
          </w:tcPr>
          <w:p w14:paraId="4F567185" w14:textId="70985279" w:rsidR="00A21C01" w:rsidRPr="00D66D81" w:rsidRDefault="00A21C01">
            <w:pPr>
              <w:spacing w:line="240" w:lineRule="auto"/>
              <w:rPr>
                <w:rFonts w:cs="Arial"/>
                <w:b/>
                <w:bCs/>
                <w:sz w:val="22"/>
              </w:rPr>
            </w:pPr>
            <w:r w:rsidRPr="00D66D81">
              <w:rPr>
                <w:rFonts w:cs="Arial"/>
                <w:b/>
                <w:bCs/>
                <w:sz w:val="22"/>
              </w:rPr>
              <w:t>Commodity code(s)</w:t>
            </w:r>
          </w:p>
        </w:tc>
      </w:tr>
      <w:tr w:rsidR="00A21C01" w:rsidRPr="00D66D81" w14:paraId="5CB7563D" w14:textId="77777777" w:rsidTr="000A1D06">
        <w:trPr>
          <w:trHeight w:val="552"/>
        </w:trPr>
        <w:tc>
          <w:tcPr>
            <w:tcW w:w="2623" w:type="dxa"/>
            <w:vMerge/>
          </w:tcPr>
          <w:p w14:paraId="3F2DCEBF" w14:textId="77777777" w:rsidR="00A21C01" w:rsidRPr="00D66D81" w:rsidRDefault="00A21C01">
            <w:pPr>
              <w:spacing w:line="240" w:lineRule="auto"/>
              <w:rPr>
                <w:rFonts w:cs="Arial"/>
                <w:b/>
                <w:bCs/>
                <w:sz w:val="22"/>
                <w:lang w:val="fr-CH"/>
              </w:rPr>
            </w:pPr>
          </w:p>
        </w:tc>
        <w:tc>
          <w:tcPr>
            <w:tcW w:w="976" w:type="dxa"/>
            <w:vMerge/>
            <w:shd w:val="clear" w:color="auto" w:fill="DEEAF6" w:themeFill="accent5" w:themeFillTint="33"/>
          </w:tcPr>
          <w:p w14:paraId="5B614D34" w14:textId="77777777" w:rsidR="00A21C01" w:rsidRPr="00D66D81" w:rsidRDefault="00A21C01">
            <w:pPr>
              <w:spacing w:line="240" w:lineRule="auto"/>
              <w:rPr>
                <w:rFonts w:cs="Arial"/>
                <w:b/>
                <w:bCs/>
                <w:sz w:val="22"/>
              </w:rPr>
            </w:pPr>
          </w:p>
        </w:tc>
        <w:tc>
          <w:tcPr>
            <w:tcW w:w="1492" w:type="dxa"/>
          </w:tcPr>
          <w:p w14:paraId="3EDB993C" w14:textId="1EA0DCE0" w:rsidR="00A21C01" w:rsidRPr="00D66D81" w:rsidRDefault="00A21C01">
            <w:pPr>
              <w:spacing w:line="240" w:lineRule="auto"/>
              <w:rPr>
                <w:rFonts w:cs="Arial"/>
                <w:b/>
                <w:bCs/>
                <w:sz w:val="22"/>
              </w:rPr>
            </w:pPr>
            <w:r w:rsidRPr="00D66D81">
              <w:rPr>
                <w:rFonts w:cs="Arial"/>
                <w:b/>
                <w:bCs/>
                <w:sz w:val="22"/>
              </w:rPr>
              <w:t>Third-party assembly</w:t>
            </w:r>
          </w:p>
        </w:tc>
        <w:tc>
          <w:tcPr>
            <w:tcW w:w="1219" w:type="dxa"/>
          </w:tcPr>
          <w:p w14:paraId="0992685E" w14:textId="77777777" w:rsidR="00A21C01" w:rsidRPr="00D66D81" w:rsidRDefault="00A21C01">
            <w:pPr>
              <w:spacing w:line="240" w:lineRule="auto"/>
              <w:rPr>
                <w:rFonts w:cs="Arial"/>
                <w:b/>
                <w:bCs/>
                <w:sz w:val="22"/>
              </w:rPr>
            </w:pPr>
            <w:r w:rsidRPr="00D66D81">
              <w:rPr>
                <w:rFonts w:cs="Arial"/>
                <w:b/>
                <w:bCs/>
                <w:sz w:val="22"/>
              </w:rPr>
              <w:t>Tranship-ment</w:t>
            </w:r>
          </w:p>
        </w:tc>
        <w:tc>
          <w:tcPr>
            <w:tcW w:w="937" w:type="dxa"/>
          </w:tcPr>
          <w:p w14:paraId="50BAA242" w14:textId="77777777" w:rsidR="00A21C01" w:rsidRPr="00D66D81" w:rsidRDefault="00A21C01">
            <w:pPr>
              <w:spacing w:line="240" w:lineRule="auto"/>
              <w:rPr>
                <w:rFonts w:cs="Arial"/>
                <w:b/>
                <w:bCs/>
                <w:sz w:val="22"/>
              </w:rPr>
            </w:pPr>
            <w:r w:rsidRPr="00D66D81">
              <w:rPr>
                <w:rFonts w:cs="Arial"/>
                <w:b/>
                <w:bCs/>
                <w:sz w:val="22"/>
              </w:rPr>
              <w:t>Modifi-cation</w:t>
            </w:r>
          </w:p>
        </w:tc>
        <w:tc>
          <w:tcPr>
            <w:tcW w:w="1962" w:type="dxa"/>
          </w:tcPr>
          <w:p w14:paraId="22EF9C17" w14:textId="77937BA9" w:rsidR="00A21C01" w:rsidRPr="00D66D81" w:rsidRDefault="00A21C01">
            <w:pPr>
              <w:spacing w:line="240" w:lineRule="auto"/>
              <w:rPr>
                <w:rFonts w:cs="Arial"/>
                <w:b/>
                <w:bCs/>
                <w:sz w:val="22"/>
              </w:rPr>
            </w:pPr>
            <w:r w:rsidRPr="00D66D81">
              <w:rPr>
                <w:rFonts w:cs="Arial"/>
                <w:b/>
                <w:bCs/>
                <w:sz w:val="22"/>
              </w:rPr>
              <w:t>Later-developed merchandise</w:t>
            </w:r>
          </w:p>
        </w:tc>
        <w:tc>
          <w:tcPr>
            <w:tcW w:w="1843" w:type="dxa"/>
            <w:vMerge/>
          </w:tcPr>
          <w:p w14:paraId="5D43D739" w14:textId="77777777" w:rsidR="00A21C01" w:rsidRPr="00D66D81" w:rsidRDefault="00A21C01">
            <w:pPr>
              <w:spacing w:line="240" w:lineRule="auto"/>
              <w:rPr>
                <w:rFonts w:cs="Arial"/>
                <w:b/>
                <w:bCs/>
                <w:sz w:val="22"/>
              </w:rPr>
            </w:pPr>
          </w:p>
        </w:tc>
        <w:tc>
          <w:tcPr>
            <w:tcW w:w="1276" w:type="dxa"/>
            <w:vMerge/>
          </w:tcPr>
          <w:p w14:paraId="0EA4A0BE" w14:textId="77777777" w:rsidR="00A21C01" w:rsidRPr="00D66D81" w:rsidRDefault="00A21C01">
            <w:pPr>
              <w:spacing w:line="240" w:lineRule="auto"/>
              <w:rPr>
                <w:rFonts w:cs="Arial"/>
                <w:b/>
                <w:bCs/>
                <w:sz w:val="22"/>
              </w:rPr>
            </w:pPr>
          </w:p>
        </w:tc>
      </w:tr>
      <w:tr w:rsidR="00A21C01" w:rsidRPr="00D66D81" w14:paraId="4FD37B04" w14:textId="77777777" w:rsidTr="000A1D06">
        <w:trPr>
          <w:trHeight w:val="461"/>
        </w:trPr>
        <w:tc>
          <w:tcPr>
            <w:tcW w:w="2623" w:type="dxa"/>
            <w:hideMark/>
          </w:tcPr>
          <w:p w14:paraId="00744B5D" w14:textId="4D688D2F" w:rsidR="00A21C01" w:rsidRPr="00D66D81" w:rsidRDefault="00A21C01">
            <w:pPr>
              <w:spacing w:line="240" w:lineRule="auto"/>
              <w:rPr>
                <w:rFonts w:cs="Arial"/>
                <w:sz w:val="22"/>
              </w:rPr>
            </w:pPr>
            <w:r w:rsidRPr="00D66D81">
              <w:rPr>
                <w:rFonts w:cs="Arial"/>
                <w:sz w:val="22"/>
              </w:rPr>
              <w:t>Cold-rolled flat products of stainless steel</w:t>
            </w:r>
            <w:r w:rsidR="005A28EA">
              <w:rPr>
                <w:rFonts w:cs="Arial"/>
                <w:sz w:val="22"/>
              </w:rPr>
              <w:t xml:space="preserve"> (PRC, </w:t>
            </w:r>
            <w:r w:rsidR="006B1773">
              <w:rPr>
                <w:rFonts w:cs="Arial"/>
                <w:sz w:val="22"/>
              </w:rPr>
              <w:t xml:space="preserve">South </w:t>
            </w:r>
            <w:r w:rsidR="005A28EA">
              <w:rPr>
                <w:rFonts w:cs="Arial"/>
                <w:sz w:val="22"/>
              </w:rPr>
              <w:t xml:space="preserve">Korea, </w:t>
            </w:r>
            <w:r w:rsidR="006B1773">
              <w:rPr>
                <w:rFonts w:cs="Arial"/>
                <w:sz w:val="22"/>
              </w:rPr>
              <w:t>EU, South Africa, Taiwan, Thailand, USA)</w:t>
            </w:r>
          </w:p>
        </w:tc>
        <w:tc>
          <w:tcPr>
            <w:tcW w:w="976" w:type="dxa"/>
            <w:shd w:val="clear" w:color="auto" w:fill="DEEAF6" w:themeFill="accent5" w:themeFillTint="33"/>
            <w:hideMark/>
          </w:tcPr>
          <w:p w14:paraId="087BE32A" w14:textId="77777777" w:rsidR="00A21C01" w:rsidRPr="00D66D81" w:rsidRDefault="00A21C01">
            <w:pPr>
              <w:spacing w:line="240" w:lineRule="auto"/>
              <w:jc w:val="right"/>
              <w:rPr>
                <w:rFonts w:cs="Arial"/>
                <w:sz w:val="22"/>
              </w:rPr>
            </w:pPr>
            <w:r w:rsidRPr="00D66D81">
              <w:rPr>
                <w:rFonts w:cs="Arial"/>
                <w:sz w:val="22"/>
              </w:rPr>
              <w:t>1</w:t>
            </w:r>
          </w:p>
        </w:tc>
        <w:tc>
          <w:tcPr>
            <w:tcW w:w="1492" w:type="dxa"/>
            <w:hideMark/>
          </w:tcPr>
          <w:p w14:paraId="13C67477" w14:textId="77777777" w:rsidR="00A21C01" w:rsidRPr="00D66D81" w:rsidRDefault="00A21C01">
            <w:pPr>
              <w:spacing w:line="240" w:lineRule="auto"/>
              <w:jc w:val="right"/>
              <w:rPr>
                <w:rFonts w:cs="Arial"/>
                <w:sz w:val="22"/>
              </w:rPr>
            </w:pPr>
          </w:p>
        </w:tc>
        <w:tc>
          <w:tcPr>
            <w:tcW w:w="1219" w:type="dxa"/>
            <w:hideMark/>
          </w:tcPr>
          <w:p w14:paraId="3F6EACAB" w14:textId="77777777" w:rsidR="00A21C01" w:rsidRPr="00D66D81" w:rsidRDefault="00A21C01">
            <w:pPr>
              <w:spacing w:line="240" w:lineRule="auto"/>
              <w:jc w:val="right"/>
              <w:rPr>
                <w:rFonts w:cs="Arial"/>
                <w:sz w:val="22"/>
              </w:rPr>
            </w:pPr>
          </w:p>
        </w:tc>
        <w:tc>
          <w:tcPr>
            <w:tcW w:w="937" w:type="dxa"/>
            <w:hideMark/>
          </w:tcPr>
          <w:p w14:paraId="13E2FD7E" w14:textId="77777777" w:rsidR="00A21C01" w:rsidRPr="00D66D81" w:rsidRDefault="00A21C01">
            <w:pPr>
              <w:spacing w:line="240" w:lineRule="auto"/>
              <w:jc w:val="right"/>
              <w:rPr>
                <w:rFonts w:cs="Arial"/>
                <w:sz w:val="22"/>
              </w:rPr>
            </w:pPr>
            <w:r w:rsidRPr="00D66D81">
              <w:rPr>
                <w:rFonts w:cs="Arial"/>
                <w:sz w:val="22"/>
                <w:lang w:val="fr-CH"/>
              </w:rPr>
              <w:t>1</w:t>
            </w:r>
          </w:p>
        </w:tc>
        <w:tc>
          <w:tcPr>
            <w:tcW w:w="1962" w:type="dxa"/>
            <w:hideMark/>
          </w:tcPr>
          <w:p w14:paraId="06239302" w14:textId="77777777" w:rsidR="00A21C01" w:rsidRPr="00D66D81" w:rsidRDefault="00A21C01">
            <w:pPr>
              <w:spacing w:line="240" w:lineRule="auto"/>
              <w:jc w:val="right"/>
              <w:rPr>
                <w:rFonts w:cs="Arial"/>
                <w:sz w:val="22"/>
              </w:rPr>
            </w:pPr>
          </w:p>
        </w:tc>
        <w:tc>
          <w:tcPr>
            <w:tcW w:w="1843" w:type="dxa"/>
            <w:hideMark/>
          </w:tcPr>
          <w:p w14:paraId="1DCB6B1A" w14:textId="3EFD2675" w:rsidR="00A21C01" w:rsidRPr="00D66D81" w:rsidRDefault="00192BF6">
            <w:pPr>
              <w:spacing w:line="240" w:lineRule="auto"/>
              <w:rPr>
                <w:rFonts w:cs="Arial"/>
                <w:sz w:val="22"/>
              </w:rPr>
            </w:pPr>
            <w:r>
              <w:rPr>
                <w:rFonts w:cs="Arial"/>
                <w:sz w:val="22"/>
              </w:rPr>
              <w:t>PRC</w:t>
            </w:r>
            <w:r w:rsidR="00A21C01" w:rsidRPr="00D66D81">
              <w:rPr>
                <w:rFonts w:cs="Arial"/>
                <w:sz w:val="22"/>
              </w:rPr>
              <w:t>, South Korea, EU, South Africa, Taiwan, Thailand, US</w:t>
            </w:r>
            <w:r w:rsidR="006B1773">
              <w:rPr>
                <w:rFonts w:cs="Arial"/>
                <w:sz w:val="22"/>
              </w:rPr>
              <w:t>A</w:t>
            </w:r>
          </w:p>
        </w:tc>
        <w:tc>
          <w:tcPr>
            <w:tcW w:w="1276" w:type="dxa"/>
            <w:hideMark/>
          </w:tcPr>
          <w:p w14:paraId="1FD880D7" w14:textId="77777777" w:rsidR="00A21C01" w:rsidRPr="00D66D81" w:rsidRDefault="00A21C01">
            <w:pPr>
              <w:spacing w:line="240" w:lineRule="auto"/>
              <w:jc w:val="right"/>
              <w:rPr>
                <w:rFonts w:cs="Arial"/>
                <w:sz w:val="22"/>
              </w:rPr>
            </w:pPr>
          </w:p>
        </w:tc>
      </w:tr>
      <w:tr w:rsidR="00A21C01" w:rsidRPr="00D66D81" w14:paraId="753CA49D" w14:textId="77777777" w:rsidTr="000A1D06">
        <w:trPr>
          <w:trHeight w:val="461"/>
        </w:trPr>
        <w:tc>
          <w:tcPr>
            <w:tcW w:w="2623" w:type="dxa"/>
            <w:hideMark/>
          </w:tcPr>
          <w:p w14:paraId="7F232A28" w14:textId="49B6BE59" w:rsidR="00A21C01" w:rsidRPr="00D66D81" w:rsidRDefault="00A21C01">
            <w:pPr>
              <w:spacing w:line="240" w:lineRule="auto"/>
              <w:rPr>
                <w:rFonts w:cs="Arial"/>
                <w:sz w:val="22"/>
              </w:rPr>
            </w:pPr>
            <w:r w:rsidRPr="00D66D81">
              <w:rPr>
                <w:rFonts w:cs="Arial"/>
                <w:sz w:val="22"/>
                <w:lang w:val="fr-CH"/>
              </w:rPr>
              <w:t xml:space="preserve">Diclofenac sodium </w:t>
            </w:r>
            <w:r w:rsidR="000A1D06">
              <w:rPr>
                <w:rFonts w:cs="Arial"/>
                <w:sz w:val="22"/>
                <w:lang w:val="fr-CH"/>
              </w:rPr>
              <w:t>(PRC)</w:t>
            </w:r>
          </w:p>
        </w:tc>
        <w:tc>
          <w:tcPr>
            <w:tcW w:w="976" w:type="dxa"/>
            <w:shd w:val="clear" w:color="auto" w:fill="DEEAF6" w:themeFill="accent5" w:themeFillTint="33"/>
            <w:hideMark/>
          </w:tcPr>
          <w:p w14:paraId="03153B58" w14:textId="77777777" w:rsidR="00A21C01" w:rsidRPr="00D66D81" w:rsidRDefault="00A21C01">
            <w:pPr>
              <w:spacing w:line="240" w:lineRule="auto"/>
              <w:jc w:val="right"/>
              <w:rPr>
                <w:rFonts w:cs="Arial"/>
                <w:sz w:val="22"/>
              </w:rPr>
            </w:pPr>
            <w:r w:rsidRPr="00D66D81">
              <w:rPr>
                <w:rFonts w:cs="Arial"/>
                <w:sz w:val="22"/>
              </w:rPr>
              <w:t>1</w:t>
            </w:r>
          </w:p>
        </w:tc>
        <w:tc>
          <w:tcPr>
            <w:tcW w:w="1492" w:type="dxa"/>
            <w:hideMark/>
          </w:tcPr>
          <w:p w14:paraId="6092475A" w14:textId="77777777" w:rsidR="00A21C01" w:rsidRPr="00D66D81" w:rsidRDefault="00A21C01">
            <w:pPr>
              <w:spacing w:line="240" w:lineRule="auto"/>
              <w:jc w:val="right"/>
              <w:rPr>
                <w:rFonts w:cs="Arial"/>
                <w:sz w:val="22"/>
              </w:rPr>
            </w:pPr>
          </w:p>
        </w:tc>
        <w:tc>
          <w:tcPr>
            <w:tcW w:w="1219" w:type="dxa"/>
            <w:hideMark/>
          </w:tcPr>
          <w:p w14:paraId="66C8443A" w14:textId="77777777" w:rsidR="00A21C01" w:rsidRPr="00D66D81" w:rsidRDefault="00A21C01">
            <w:pPr>
              <w:spacing w:line="240" w:lineRule="auto"/>
              <w:jc w:val="right"/>
              <w:rPr>
                <w:rFonts w:cs="Arial"/>
                <w:sz w:val="22"/>
              </w:rPr>
            </w:pPr>
          </w:p>
        </w:tc>
        <w:tc>
          <w:tcPr>
            <w:tcW w:w="937" w:type="dxa"/>
            <w:hideMark/>
          </w:tcPr>
          <w:p w14:paraId="2BEE5191" w14:textId="77777777" w:rsidR="00A21C01" w:rsidRPr="00D66D81" w:rsidRDefault="00A21C01">
            <w:pPr>
              <w:spacing w:line="240" w:lineRule="auto"/>
              <w:jc w:val="right"/>
              <w:rPr>
                <w:rFonts w:cs="Arial"/>
                <w:sz w:val="22"/>
              </w:rPr>
            </w:pPr>
          </w:p>
        </w:tc>
        <w:tc>
          <w:tcPr>
            <w:tcW w:w="1962" w:type="dxa"/>
            <w:hideMark/>
          </w:tcPr>
          <w:p w14:paraId="70BC021D" w14:textId="77777777" w:rsidR="00A21C01" w:rsidRPr="00D66D81" w:rsidRDefault="00A21C01">
            <w:pPr>
              <w:spacing w:line="240" w:lineRule="auto"/>
              <w:jc w:val="right"/>
              <w:rPr>
                <w:rFonts w:cs="Arial"/>
                <w:sz w:val="22"/>
              </w:rPr>
            </w:pPr>
            <w:r w:rsidRPr="00D66D81">
              <w:rPr>
                <w:rFonts w:cs="Arial"/>
                <w:sz w:val="22"/>
                <w:lang w:val="fr-CH"/>
              </w:rPr>
              <w:t>1</w:t>
            </w:r>
          </w:p>
        </w:tc>
        <w:tc>
          <w:tcPr>
            <w:tcW w:w="1843" w:type="dxa"/>
          </w:tcPr>
          <w:p w14:paraId="77A9F596" w14:textId="67583AC6" w:rsidR="00A21C01" w:rsidRPr="00D66D81" w:rsidRDefault="00A21C01">
            <w:pPr>
              <w:spacing w:line="240" w:lineRule="auto"/>
              <w:rPr>
                <w:rFonts w:cs="Arial"/>
                <w:sz w:val="22"/>
              </w:rPr>
            </w:pPr>
          </w:p>
        </w:tc>
        <w:tc>
          <w:tcPr>
            <w:tcW w:w="1276" w:type="dxa"/>
            <w:hideMark/>
          </w:tcPr>
          <w:p w14:paraId="4E3F80CA" w14:textId="77777777" w:rsidR="00A21C01" w:rsidRPr="00D66D81" w:rsidRDefault="00A21C01">
            <w:pPr>
              <w:spacing w:line="240" w:lineRule="auto"/>
              <w:jc w:val="right"/>
              <w:rPr>
                <w:rFonts w:cs="Arial"/>
                <w:sz w:val="22"/>
              </w:rPr>
            </w:pPr>
            <w:r w:rsidRPr="00D66D81">
              <w:rPr>
                <w:rFonts w:cs="Arial"/>
                <w:sz w:val="22"/>
              </w:rPr>
              <w:t>29420090</w:t>
            </w:r>
          </w:p>
        </w:tc>
      </w:tr>
      <w:tr w:rsidR="00A21C01" w:rsidRPr="00D66D81" w14:paraId="0C1F03BC" w14:textId="77777777" w:rsidTr="000A1D06">
        <w:trPr>
          <w:trHeight w:val="461"/>
        </w:trPr>
        <w:tc>
          <w:tcPr>
            <w:tcW w:w="2623" w:type="dxa"/>
            <w:hideMark/>
          </w:tcPr>
          <w:p w14:paraId="32841612" w14:textId="10174254" w:rsidR="00A21C01" w:rsidRPr="00D66D81" w:rsidRDefault="00A21C01">
            <w:pPr>
              <w:spacing w:line="240" w:lineRule="auto"/>
              <w:rPr>
                <w:rFonts w:cs="Arial"/>
                <w:sz w:val="22"/>
              </w:rPr>
            </w:pPr>
            <w:r w:rsidRPr="00D66D81">
              <w:rPr>
                <w:rFonts w:cs="Arial"/>
                <w:sz w:val="22"/>
              </w:rPr>
              <w:t>Polytetrafluoroethylene</w:t>
            </w:r>
            <w:r w:rsidR="000A1D06">
              <w:rPr>
                <w:rFonts w:cs="Arial"/>
                <w:sz w:val="22"/>
              </w:rPr>
              <w:t xml:space="preserve"> (Russia)</w:t>
            </w:r>
            <w:r w:rsidRPr="00D66D81">
              <w:rPr>
                <w:rFonts w:cs="Arial"/>
                <w:sz w:val="22"/>
              </w:rPr>
              <w:t xml:space="preserve"> </w:t>
            </w:r>
          </w:p>
        </w:tc>
        <w:tc>
          <w:tcPr>
            <w:tcW w:w="976" w:type="dxa"/>
            <w:shd w:val="clear" w:color="auto" w:fill="DEEAF6" w:themeFill="accent5" w:themeFillTint="33"/>
            <w:hideMark/>
          </w:tcPr>
          <w:p w14:paraId="104F6DE9" w14:textId="77777777" w:rsidR="00A21C01" w:rsidRPr="00D66D81" w:rsidRDefault="00A21C01">
            <w:pPr>
              <w:spacing w:line="240" w:lineRule="auto"/>
              <w:jc w:val="right"/>
              <w:rPr>
                <w:rFonts w:cs="Arial"/>
                <w:sz w:val="22"/>
              </w:rPr>
            </w:pPr>
            <w:r w:rsidRPr="00D66D81">
              <w:rPr>
                <w:rFonts w:cs="Arial"/>
                <w:sz w:val="22"/>
              </w:rPr>
              <w:t>1</w:t>
            </w:r>
          </w:p>
        </w:tc>
        <w:tc>
          <w:tcPr>
            <w:tcW w:w="1492" w:type="dxa"/>
            <w:hideMark/>
          </w:tcPr>
          <w:p w14:paraId="52382E0E" w14:textId="77777777" w:rsidR="00A21C01" w:rsidRPr="00D66D81" w:rsidRDefault="00A21C01">
            <w:pPr>
              <w:spacing w:line="240" w:lineRule="auto"/>
              <w:jc w:val="right"/>
              <w:rPr>
                <w:rFonts w:cs="Arial"/>
                <w:sz w:val="22"/>
              </w:rPr>
            </w:pPr>
          </w:p>
        </w:tc>
        <w:tc>
          <w:tcPr>
            <w:tcW w:w="1219" w:type="dxa"/>
            <w:hideMark/>
          </w:tcPr>
          <w:p w14:paraId="504BA195" w14:textId="77777777" w:rsidR="00A21C01" w:rsidRPr="00D66D81" w:rsidRDefault="00A21C01">
            <w:pPr>
              <w:spacing w:line="240" w:lineRule="auto"/>
              <w:jc w:val="right"/>
              <w:rPr>
                <w:rFonts w:cs="Arial"/>
                <w:sz w:val="22"/>
              </w:rPr>
            </w:pPr>
            <w:r w:rsidRPr="00D66D81">
              <w:rPr>
                <w:rFonts w:cs="Arial"/>
                <w:sz w:val="22"/>
                <w:lang w:val="fr-CH"/>
              </w:rPr>
              <w:t>1</w:t>
            </w:r>
          </w:p>
        </w:tc>
        <w:tc>
          <w:tcPr>
            <w:tcW w:w="937" w:type="dxa"/>
            <w:hideMark/>
          </w:tcPr>
          <w:p w14:paraId="0082AA73" w14:textId="77777777" w:rsidR="00A21C01" w:rsidRPr="00D66D81" w:rsidRDefault="00A21C01">
            <w:pPr>
              <w:spacing w:line="240" w:lineRule="auto"/>
              <w:jc w:val="right"/>
              <w:rPr>
                <w:rFonts w:cs="Arial"/>
                <w:sz w:val="22"/>
              </w:rPr>
            </w:pPr>
          </w:p>
        </w:tc>
        <w:tc>
          <w:tcPr>
            <w:tcW w:w="1962" w:type="dxa"/>
            <w:hideMark/>
          </w:tcPr>
          <w:p w14:paraId="2FD19EAC" w14:textId="77777777" w:rsidR="00A21C01" w:rsidRPr="00D66D81" w:rsidRDefault="00A21C01">
            <w:pPr>
              <w:spacing w:line="240" w:lineRule="auto"/>
              <w:jc w:val="right"/>
              <w:rPr>
                <w:rFonts w:cs="Arial"/>
                <w:sz w:val="22"/>
              </w:rPr>
            </w:pPr>
          </w:p>
        </w:tc>
        <w:tc>
          <w:tcPr>
            <w:tcW w:w="1843" w:type="dxa"/>
          </w:tcPr>
          <w:p w14:paraId="17C0FC5D" w14:textId="3ED3A8DA" w:rsidR="00A21C01" w:rsidRPr="00D66D81" w:rsidRDefault="00A21C01">
            <w:pPr>
              <w:spacing w:line="240" w:lineRule="auto"/>
              <w:rPr>
                <w:rFonts w:cs="Arial"/>
                <w:sz w:val="22"/>
              </w:rPr>
            </w:pPr>
          </w:p>
        </w:tc>
        <w:tc>
          <w:tcPr>
            <w:tcW w:w="1276" w:type="dxa"/>
            <w:hideMark/>
          </w:tcPr>
          <w:p w14:paraId="619E2C86" w14:textId="77777777" w:rsidR="00A21C01" w:rsidRPr="00D66D81" w:rsidRDefault="00A21C01">
            <w:pPr>
              <w:spacing w:line="240" w:lineRule="auto"/>
              <w:jc w:val="right"/>
              <w:rPr>
                <w:rFonts w:cs="Arial"/>
                <w:sz w:val="22"/>
              </w:rPr>
            </w:pPr>
            <w:r w:rsidRPr="00D66D81">
              <w:rPr>
                <w:rFonts w:cs="Arial"/>
                <w:sz w:val="22"/>
              </w:rPr>
              <w:t>3904.61.00</w:t>
            </w:r>
          </w:p>
        </w:tc>
      </w:tr>
      <w:tr w:rsidR="00A21C01" w:rsidRPr="00D66D81" w14:paraId="5F2E626F" w14:textId="77777777" w:rsidTr="000A1D06">
        <w:trPr>
          <w:trHeight w:val="461"/>
        </w:trPr>
        <w:tc>
          <w:tcPr>
            <w:tcW w:w="2623" w:type="dxa"/>
            <w:hideMark/>
          </w:tcPr>
          <w:p w14:paraId="1CDF066F" w14:textId="77777777" w:rsidR="00A21C01" w:rsidRPr="00D66D81" w:rsidRDefault="00A21C01">
            <w:pPr>
              <w:spacing w:line="240" w:lineRule="auto"/>
              <w:rPr>
                <w:rFonts w:cs="Arial"/>
                <w:b/>
                <w:bCs/>
                <w:sz w:val="22"/>
              </w:rPr>
            </w:pPr>
            <w:r w:rsidRPr="00D66D81">
              <w:rPr>
                <w:rFonts w:cs="Arial"/>
                <w:b/>
                <w:bCs/>
                <w:sz w:val="22"/>
              </w:rPr>
              <w:t>Total</w:t>
            </w:r>
          </w:p>
        </w:tc>
        <w:tc>
          <w:tcPr>
            <w:tcW w:w="976" w:type="dxa"/>
            <w:shd w:val="clear" w:color="auto" w:fill="DEEAF6" w:themeFill="accent5" w:themeFillTint="33"/>
            <w:hideMark/>
          </w:tcPr>
          <w:p w14:paraId="3306A093" w14:textId="77777777" w:rsidR="00A21C01" w:rsidRPr="00D66D81" w:rsidRDefault="00A21C01">
            <w:pPr>
              <w:spacing w:line="240" w:lineRule="auto"/>
              <w:jc w:val="right"/>
              <w:rPr>
                <w:rFonts w:cs="Arial"/>
                <w:b/>
                <w:bCs/>
                <w:sz w:val="22"/>
              </w:rPr>
            </w:pPr>
            <w:r w:rsidRPr="00D66D81">
              <w:rPr>
                <w:rFonts w:cs="Arial"/>
                <w:b/>
                <w:bCs/>
                <w:sz w:val="22"/>
              </w:rPr>
              <w:t>3</w:t>
            </w:r>
          </w:p>
        </w:tc>
        <w:tc>
          <w:tcPr>
            <w:tcW w:w="1492" w:type="dxa"/>
            <w:hideMark/>
          </w:tcPr>
          <w:p w14:paraId="204AEF7C" w14:textId="77777777" w:rsidR="00A21C01" w:rsidRPr="00D66D81" w:rsidRDefault="00A21C01">
            <w:pPr>
              <w:spacing w:line="240" w:lineRule="auto"/>
              <w:jc w:val="right"/>
              <w:rPr>
                <w:rFonts w:cs="Arial"/>
                <w:b/>
                <w:bCs/>
                <w:sz w:val="22"/>
              </w:rPr>
            </w:pPr>
          </w:p>
        </w:tc>
        <w:tc>
          <w:tcPr>
            <w:tcW w:w="1219" w:type="dxa"/>
            <w:hideMark/>
          </w:tcPr>
          <w:p w14:paraId="75D237D8" w14:textId="77777777" w:rsidR="00A21C01" w:rsidRPr="00D66D81" w:rsidRDefault="00A21C01">
            <w:pPr>
              <w:spacing w:line="240" w:lineRule="auto"/>
              <w:jc w:val="right"/>
              <w:rPr>
                <w:rFonts w:cs="Arial"/>
                <w:b/>
                <w:bCs/>
                <w:sz w:val="22"/>
              </w:rPr>
            </w:pPr>
            <w:r w:rsidRPr="00D66D81">
              <w:rPr>
                <w:rFonts w:cs="Arial"/>
                <w:b/>
                <w:bCs/>
                <w:sz w:val="22"/>
              </w:rPr>
              <w:t>1</w:t>
            </w:r>
          </w:p>
        </w:tc>
        <w:tc>
          <w:tcPr>
            <w:tcW w:w="937" w:type="dxa"/>
            <w:hideMark/>
          </w:tcPr>
          <w:p w14:paraId="1CB54478" w14:textId="77777777" w:rsidR="00A21C01" w:rsidRPr="00D66D81" w:rsidRDefault="00A21C01">
            <w:pPr>
              <w:spacing w:line="240" w:lineRule="auto"/>
              <w:jc w:val="right"/>
              <w:rPr>
                <w:rFonts w:cs="Arial"/>
                <w:b/>
                <w:bCs/>
                <w:sz w:val="22"/>
              </w:rPr>
            </w:pPr>
            <w:r w:rsidRPr="00D66D81">
              <w:rPr>
                <w:rFonts w:cs="Arial"/>
                <w:b/>
                <w:bCs/>
                <w:sz w:val="22"/>
              </w:rPr>
              <w:t>1</w:t>
            </w:r>
          </w:p>
        </w:tc>
        <w:tc>
          <w:tcPr>
            <w:tcW w:w="1962" w:type="dxa"/>
            <w:hideMark/>
          </w:tcPr>
          <w:p w14:paraId="711071C1" w14:textId="77777777" w:rsidR="00A21C01" w:rsidRPr="00D66D81" w:rsidRDefault="00A21C01">
            <w:pPr>
              <w:spacing w:line="240" w:lineRule="auto"/>
              <w:jc w:val="right"/>
              <w:rPr>
                <w:rFonts w:cs="Arial"/>
                <w:b/>
                <w:bCs/>
                <w:sz w:val="22"/>
              </w:rPr>
            </w:pPr>
            <w:r w:rsidRPr="00D66D81">
              <w:rPr>
                <w:rFonts w:cs="Arial"/>
                <w:b/>
                <w:bCs/>
                <w:sz w:val="22"/>
              </w:rPr>
              <w:t>1</w:t>
            </w:r>
          </w:p>
        </w:tc>
        <w:tc>
          <w:tcPr>
            <w:tcW w:w="1843" w:type="dxa"/>
            <w:hideMark/>
          </w:tcPr>
          <w:p w14:paraId="1EE8E1DE" w14:textId="77777777" w:rsidR="00A21C01" w:rsidRPr="00D66D81" w:rsidRDefault="00A21C01">
            <w:pPr>
              <w:spacing w:line="240" w:lineRule="auto"/>
              <w:rPr>
                <w:rFonts w:cs="Arial"/>
                <w:b/>
                <w:bCs/>
                <w:sz w:val="22"/>
              </w:rPr>
            </w:pPr>
          </w:p>
        </w:tc>
        <w:tc>
          <w:tcPr>
            <w:tcW w:w="1276" w:type="dxa"/>
            <w:hideMark/>
          </w:tcPr>
          <w:p w14:paraId="672DB2B9" w14:textId="77777777" w:rsidR="00A21C01" w:rsidRPr="00D66D81" w:rsidRDefault="00A21C01">
            <w:pPr>
              <w:spacing w:line="240" w:lineRule="auto"/>
              <w:jc w:val="right"/>
              <w:rPr>
                <w:rFonts w:cs="Arial"/>
                <w:sz w:val="22"/>
              </w:rPr>
            </w:pPr>
          </w:p>
        </w:tc>
      </w:tr>
    </w:tbl>
    <w:p w14:paraId="11832680" w14:textId="03F34CC4" w:rsidR="00A21C01" w:rsidRPr="00D66D81" w:rsidRDefault="00A21C01" w:rsidP="00A21C01">
      <w:pPr>
        <w:pStyle w:val="Tablesource"/>
      </w:pPr>
      <w:r w:rsidRPr="00D66D81">
        <w:t>Source: Global Trade Alert, Sud, Juhi Dion (2016), “Circumvention of Anti-Dumping Measures: Law and Practice of India”,  Global Trade and Customs Journal, Volume 11, Issue 11/12 (2016), p. 508-514.</w:t>
      </w:r>
    </w:p>
    <w:p w14:paraId="6F68BEBC" w14:textId="61D3CF6B" w:rsidR="007E4067" w:rsidRDefault="007E4067">
      <w:pPr>
        <w:spacing w:after="160" w:line="259" w:lineRule="auto"/>
        <w:rPr>
          <w:rFonts w:cs="Arial"/>
          <w:sz w:val="22"/>
        </w:rPr>
      </w:pPr>
      <w:r>
        <w:rPr>
          <w:rFonts w:cs="Arial"/>
          <w:sz w:val="22"/>
        </w:rPr>
        <w:br w:type="page"/>
      </w:r>
    </w:p>
    <w:p w14:paraId="206A2204" w14:textId="27D4B786" w:rsidR="00A21C01" w:rsidRPr="00D66D81" w:rsidRDefault="00A21C01" w:rsidP="00A21C01">
      <w:pPr>
        <w:pStyle w:val="Caption"/>
        <w:rPr>
          <w:rFonts w:cs="Arial"/>
          <w:sz w:val="22"/>
          <w:szCs w:val="22"/>
        </w:rPr>
      </w:pPr>
      <w:bookmarkStart w:id="190" w:name="_Ref109646353"/>
      <w:r w:rsidRPr="00D66D81">
        <w:rPr>
          <w:sz w:val="22"/>
          <w:szCs w:val="22"/>
        </w:rPr>
        <w:t xml:space="preserve">Table </w:t>
      </w:r>
      <w:r w:rsidRPr="00D66D81">
        <w:rPr>
          <w:sz w:val="22"/>
          <w:szCs w:val="22"/>
        </w:rPr>
        <w:fldChar w:fldCharType="begin"/>
      </w:r>
      <w:r w:rsidRPr="00D66D81">
        <w:rPr>
          <w:sz w:val="22"/>
          <w:szCs w:val="22"/>
        </w:rPr>
        <w:instrText>SEQ Table \* ARABIC</w:instrText>
      </w:r>
      <w:r w:rsidRPr="00D66D81">
        <w:rPr>
          <w:sz w:val="22"/>
          <w:szCs w:val="22"/>
        </w:rPr>
        <w:fldChar w:fldCharType="separate"/>
      </w:r>
      <w:r w:rsidR="001C580B" w:rsidRPr="00D66D81">
        <w:rPr>
          <w:noProof/>
          <w:sz w:val="22"/>
          <w:szCs w:val="22"/>
        </w:rPr>
        <w:t>18</w:t>
      </w:r>
      <w:r w:rsidRPr="00D66D81">
        <w:rPr>
          <w:sz w:val="22"/>
          <w:szCs w:val="22"/>
        </w:rPr>
        <w:fldChar w:fldCharType="end"/>
      </w:r>
      <w:bookmarkEnd w:id="190"/>
      <w:r w:rsidRPr="00D66D81">
        <w:rPr>
          <w:noProof/>
          <w:sz w:val="22"/>
          <w:szCs w:val="22"/>
        </w:rPr>
        <w:t xml:space="preserve">: </w:t>
      </w:r>
      <w:r w:rsidRPr="00D66D81">
        <w:rPr>
          <w:sz w:val="22"/>
          <w:szCs w:val="22"/>
        </w:rPr>
        <w:t>Overview of anti-circumvention cases in which duties were imposed (2009 to 2021), Argentina</w:t>
      </w:r>
    </w:p>
    <w:tbl>
      <w:tblPr>
        <w:tblStyle w:val="TableGrid"/>
        <w:tblW w:w="14884" w:type="dxa"/>
        <w:tblInd w:w="-5" w:type="dxa"/>
        <w:tblLayout w:type="fixed"/>
        <w:tblLook w:val="04A0" w:firstRow="1" w:lastRow="0" w:firstColumn="1" w:lastColumn="0" w:noHBand="0" w:noVBand="1"/>
      </w:tblPr>
      <w:tblGrid>
        <w:gridCol w:w="3544"/>
        <w:gridCol w:w="851"/>
        <w:gridCol w:w="1275"/>
        <w:gridCol w:w="1276"/>
        <w:gridCol w:w="992"/>
        <w:gridCol w:w="1560"/>
        <w:gridCol w:w="1417"/>
        <w:gridCol w:w="1276"/>
        <w:gridCol w:w="2693"/>
      </w:tblGrid>
      <w:tr w:rsidR="00CF4520" w:rsidRPr="00D66D81" w14:paraId="01D7F722" w14:textId="77777777" w:rsidTr="000A1D06">
        <w:trPr>
          <w:trHeight w:val="552"/>
        </w:trPr>
        <w:tc>
          <w:tcPr>
            <w:tcW w:w="3544" w:type="dxa"/>
            <w:vMerge w:val="restart"/>
            <w:hideMark/>
          </w:tcPr>
          <w:p w14:paraId="22A7C6B3" w14:textId="0557F857" w:rsidR="00A21C01" w:rsidRPr="00D66D81" w:rsidRDefault="00A21C01">
            <w:pPr>
              <w:spacing w:line="240" w:lineRule="auto"/>
              <w:rPr>
                <w:rFonts w:cs="Arial"/>
                <w:b/>
                <w:bCs/>
                <w:sz w:val="22"/>
              </w:rPr>
            </w:pPr>
            <w:r w:rsidRPr="00D66D81">
              <w:rPr>
                <w:rFonts w:cs="Arial"/>
                <w:b/>
                <w:bCs/>
                <w:sz w:val="22"/>
                <w:lang w:val="fr-CH"/>
              </w:rPr>
              <w:t>Type of product</w:t>
            </w:r>
          </w:p>
        </w:tc>
        <w:tc>
          <w:tcPr>
            <w:tcW w:w="851" w:type="dxa"/>
            <w:vMerge w:val="restart"/>
            <w:shd w:val="clear" w:color="auto" w:fill="DEEAF6" w:themeFill="accent5" w:themeFillTint="33"/>
            <w:hideMark/>
          </w:tcPr>
          <w:p w14:paraId="197E934D" w14:textId="77777777" w:rsidR="00A21C01" w:rsidRPr="00D66D81" w:rsidRDefault="00A21C01">
            <w:pPr>
              <w:spacing w:line="240" w:lineRule="auto"/>
              <w:rPr>
                <w:rFonts w:cs="Arial"/>
                <w:b/>
                <w:bCs/>
                <w:sz w:val="22"/>
              </w:rPr>
            </w:pPr>
            <w:r w:rsidRPr="00D66D81">
              <w:rPr>
                <w:rFonts w:cs="Arial"/>
                <w:b/>
                <w:bCs/>
                <w:sz w:val="22"/>
              </w:rPr>
              <w:t>Total</w:t>
            </w:r>
            <w:r w:rsidRPr="00D66D81">
              <w:rPr>
                <w:rStyle w:val="FootnoteReference"/>
                <w:rFonts w:cs="Arial"/>
                <w:b/>
                <w:bCs/>
                <w:sz w:val="22"/>
              </w:rPr>
              <w:footnoteReference w:id="133"/>
            </w:r>
          </w:p>
        </w:tc>
        <w:tc>
          <w:tcPr>
            <w:tcW w:w="6520" w:type="dxa"/>
            <w:gridSpan w:val="5"/>
          </w:tcPr>
          <w:p w14:paraId="326C4439" w14:textId="190D47E1" w:rsidR="00A21C01" w:rsidRPr="00D66D81" w:rsidRDefault="00A21C01" w:rsidP="00CF4520">
            <w:pPr>
              <w:spacing w:line="240" w:lineRule="auto"/>
              <w:jc w:val="center"/>
              <w:rPr>
                <w:rFonts w:cs="Arial"/>
                <w:b/>
                <w:bCs/>
                <w:sz w:val="22"/>
              </w:rPr>
            </w:pPr>
            <w:r w:rsidRPr="00D66D81">
              <w:rPr>
                <w:rFonts w:cs="Arial"/>
                <w:b/>
                <w:bCs/>
                <w:sz w:val="22"/>
              </w:rPr>
              <w:t>Mode of circumvention</w:t>
            </w:r>
          </w:p>
        </w:tc>
        <w:tc>
          <w:tcPr>
            <w:tcW w:w="1276" w:type="dxa"/>
            <w:vMerge w:val="restart"/>
            <w:hideMark/>
          </w:tcPr>
          <w:p w14:paraId="7E820D74" w14:textId="3FA4DD00" w:rsidR="00A21C01" w:rsidRPr="00D66D81" w:rsidRDefault="00A21C01">
            <w:pPr>
              <w:spacing w:line="240" w:lineRule="auto"/>
              <w:rPr>
                <w:rFonts w:cs="Arial"/>
                <w:b/>
                <w:bCs/>
                <w:sz w:val="22"/>
              </w:rPr>
            </w:pPr>
            <w:r w:rsidRPr="00D66D81">
              <w:rPr>
                <w:rFonts w:cs="Arial"/>
                <w:b/>
                <w:bCs/>
                <w:sz w:val="22"/>
              </w:rPr>
              <w:t>Targeted country</w:t>
            </w:r>
          </w:p>
        </w:tc>
        <w:tc>
          <w:tcPr>
            <w:tcW w:w="2693" w:type="dxa"/>
            <w:vMerge w:val="restart"/>
            <w:hideMark/>
          </w:tcPr>
          <w:p w14:paraId="5E4B17AC" w14:textId="5DDE6C51" w:rsidR="00A21C01" w:rsidRPr="00D66D81" w:rsidRDefault="00A21C01">
            <w:pPr>
              <w:spacing w:line="240" w:lineRule="auto"/>
              <w:rPr>
                <w:rFonts w:cs="Arial"/>
                <w:b/>
                <w:bCs/>
                <w:sz w:val="22"/>
              </w:rPr>
            </w:pPr>
            <w:r w:rsidRPr="00D66D81">
              <w:rPr>
                <w:rFonts w:cs="Arial"/>
                <w:b/>
                <w:bCs/>
                <w:sz w:val="22"/>
              </w:rPr>
              <w:t>Commodity code(s)</w:t>
            </w:r>
          </w:p>
        </w:tc>
      </w:tr>
      <w:tr w:rsidR="00CF4520" w:rsidRPr="00D66D81" w14:paraId="3B617D0E" w14:textId="77777777" w:rsidTr="000A1D06">
        <w:trPr>
          <w:trHeight w:val="552"/>
        </w:trPr>
        <w:tc>
          <w:tcPr>
            <w:tcW w:w="3544" w:type="dxa"/>
            <w:vMerge/>
          </w:tcPr>
          <w:p w14:paraId="55307811" w14:textId="77777777" w:rsidR="00A21C01" w:rsidRPr="00D66D81" w:rsidRDefault="00A21C01">
            <w:pPr>
              <w:spacing w:line="240" w:lineRule="auto"/>
              <w:rPr>
                <w:rFonts w:cs="Arial"/>
                <w:b/>
                <w:bCs/>
                <w:sz w:val="22"/>
                <w:lang w:val="fr-CH"/>
              </w:rPr>
            </w:pPr>
          </w:p>
        </w:tc>
        <w:tc>
          <w:tcPr>
            <w:tcW w:w="851" w:type="dxa"/>
            <w:vMerge/>
            <w:shd w:val="clear" w:color="auto" w:fill="DEEAF6" w:themeFill="accent5" w:themeFillTint="33"/>
          </w:tcPr>
          <w:p w14:paraId="3F7AFE2B" w14:textId="77777777" w:rsidR="00A21C01" w:rsidRPr="00D66D81" w:rsidRDefault="00A21C01">
            <w:pPr>
              <w:spacing w:line="240" w:lineRule="auto"/>
              <w:rPr>
                <w:rFonts w:cs="Arial"/>
                <w:b/>
                <w:bCs/>
                <w:sz w:val="22"/>
              </w:rPr>
            </w:pPr>
          </w:p>
        </w:tc>
        <w:tc>
          <w:tcPr>
            <w:tcW w:w="1275" w:type="dxa"/>
          </w:tcPr>
          <w:p w14:paraId="6C7587DE" w14:textId="352A6F71" w:rsidR="00A21C01" w:rsidRPr="00D66D81" w:rsidRDefault="00A21C01">
            <w:pPr>
              <w:spacing w:line="240" w:lineRule="auto"/>
              <w:rPr>
                <w:rFonts w:cs="Arial"/>
                <w:b/>
                <w:bCs/>
                <w:sz w:val="22"/>
              </w:rPr>
            </w:pPr>
            <w:r w:rsidRPr="00D66D81">
              <w:rPr>
                <w:rFonts w:cs="Arial"/>
                <w:b/>
                <w:bCs/>
                <w:sz w:val="22"/>
              </w:rPr>
              <w:t>Third</w:t>
            </w:r>
            <w:r w:rsidRPr="00D66D81" w:rsidDel="009176C5">
              <w:rPr>
                <w:rFonts w:cs="Arial"/>
                <w:b/>
                <w:bCs/>
                <w:sz w:val="22"/>
              </w:rPr>
              <w:t>-</w:t>
            </w:r>
            <w:r w:rsidRPr="00D66D81">
              <w:rPr>
                <w:rFonts w:cs="Arial"/>
                <w:b/>
                <w:bCs/>
                <w:sz w:val="22"/>
              </w:rPr>
              <w:t>party asse</w:t>
            </w:r>
            <w:r w:rsidRPr="00D66D81" w:rsidDel="009176C5">
              <w:rPr>
                <w:rFonts w:cs="Arial"/>
                <w:b/>
                <w:bCs/>
                <w:sz w:val="22"/>
              </w:rPr>
              <w:t>m</w:t>
            </w:r>
            <w:r w:rsidRPr="00D66D81">
              <w:rPr>
                <w:rFonts w:cs="Arial"/>
                <w:b/>
                <w:bCs/>
                <w:sz w:val="22"/>
              </w:rPr>
              <w:t>bly</w:t>
            </w:r>
          </w:p>
        </w:tc>
        <w:tc>
          <w:tcPr>
            <w:tcW w:w="1276" w:type="dxa"/>
          </w:tcPr>
          <w:p w14:paraId="73EA3E17" w14:textId="00F6EB9F" w:rsidR="00A21C01" w:rsidRPr="00D66D81" w:rsidRDefault="00A21C01">
            <w:pPr>
              <w:spacing w:line="240" w:lineRule="auto"/>
              <w:rPr>
                <w:rFonts w:cs="Arial"/>
                <w:b/>
                <w:bCs/>
                <w:sz w:val="22"/>
              </w:rPr>
            </w:pPr>
            <w:r w:rsidRPr="00D66D81">
              <w:rPr>
                <w:rFonts w:cs="Arial"/>
                <w:b/>
                <w:bCs/>
                <w:sz w:val="22"/>
              </w:rPr>
              <w:t>Tran</w:t>
            </w:r>
            <w:r w:rsidR="009176C5" w:rsidRPr="00D66D81">
              <w:rPr>
                <w:rFonts w:cs="Arial"/>
                <w:b/>
                <w:bCs/>
                <w:sz w:val="22"/>
              </w:rPr>
              <w:t>s-</w:t>
            </w:r>
            <w:r w:rsidRPr="00D66D81">
              <w:rPr>
                <w:rFonts w:cs="Arial"/>
                <w:b/>
                <w:bCs/>
                <w:sz w:val="22"/>
              </w:rPr>
              <w:t>shi</w:t>
            </w:r>
            <w:r w:rsidR="009176C5" w:rsidRPr="00D66D81">
              <w:rPr>
                <w:rFonts w:cs="Arial"/>
                <w:b/>
                <w:bCs/>
                <w:sz w:val="22"/>
              </w:rPr>
              <w:t>p</w:t>
            </w:r>
            <w:r w:rsidRPr="00D66D81">
              <w:rPr>
                <w:rFonts w:cs="Arial"/>
                <w:b/>
                <w:bCs/>
                <w:sz w:val="22"/>
              </w:rPr>
              <w:t>ment</w:t>
            </w:r>
          </w:p>
        </w:tc>
        <w:tc>
          <w:tcPr>
            <w:tcW w:w="992" w:type="dxa"/>
          </w:tcPr>
          <w:p w14:paraId="7C5CEEAA" w14:textId="4C373BBF" w:rsidR="00A21C01" w:rsidRPr="00D66D81" w:rsidRDefault="00A21C01">
            <w:pPr>
              <w:spacing w:line="240" w:lineRule="auto"/>
              <w:rPr>
                <w:rFonts w:cs="Arial"/>
                <w:b/>
                <w:bCs/>
                <w:sz w:val="22"/>
              </w:rPr>
            </w:pPr>
            <w:r w:rsidRPr="00D66D81">
              <w:rPr>
                <w:rFonts w:cs="Arial"/>
                <w:b/>
                <w:bCs/>
                <w:sz w:val="22"/>
              </w:rPr>
              <w:t xml:space="preserve">Modifi-cation </w:t>
            </w:r>
          </w:p>
        </w:tc>
        <w:tc>
          <w:tcPr>
            <w:tcW w:w="1560" w:type="dxa"/>
          </w:tcPr>
          <w:p w14:paraId="143CE8C5" w14:textId="46A17139" w:rsidR="00A21C01" w:rsidRPr="00D66D81" w:rsidRDefault="00A21C01">
            <w:pPr>
              <w:spacing w:line="240" w:lineRule="auto"/>
              <w:rPr>
                <w:rFonts w:cs="Arial"/>
                <w:b/>
                <w:bCs/>
                <w:sz w:val="22"/>
              </w:rPr>
            </w:pPr>
            <w:r w:rsidRPr="00D66D81">
              <w:rPr>
                <w:rFonts w:cs="Arial"/>
                <w:b/>
                <w:bCs/>
                <w:sz w:val="22"/>
              </w:rPr>
              <w:t>Assembly operations in Argentina</w:t>
            </w:r>
          </w:p>
        </w:tc>
        <w:tc>
          <w:tcPr>
            <w:tcW w:w="1417" w:type="dxa"/>
          </w:tcPr>
          <w:p w14:paraId="7FBA8E87" w14:textId="2C27C4DC" w:rsidR="00A21C01" w:rsidRPr="00D66D81" w:rsidRDefault="00A21C01">
            <w:pPr>
              <w:spacing w:line="240" w:lineRule="auto"/>
              <w:rPr>
                <w:rFonts w:cs="Arial"/>
                <w:b/>
                <w:bCs/>
                <w:sz w:val="22"/>
              </w:rPr>
            </w:pPr>
            <w:r w:rsidRPr="00D66D81">
              <w:rPr>
                <w:rFonts w:cs="Arial"/>
                <w:b/>
                <w:bCs/>
                <w:sz w:val="22"/>
              </w:rPr>
              <w:t>False declaration</w:t>
            </w:r>
            <w:r w:rsidR="007D0097">
              <w:rPr>
                <w:rFonts w:cs="Arial"/>
                <w:b/>
                <w:bCs/>
                <w:sz w:val="22"/>
              </w:rPr>
              <w:t xml:space="preserve"> </w:t>
            </w:r>
            <w:r w:rsidRPr="00D66D81">
              <w:rPr>
                <w:rFonts w:cs="Arial"/>
                <w:b/>
                <w:bCs/>
                <w:sz w:val="22"/>
              </w:rPr>
              <w:t>of origin</w:t>
            </w:r>
          </w:p>
        </w:tc>
        <w:tc>
          <w:tcPr>
            <w:tcW w:w="1276" w:type="dxa"/>
            <w:vMerge/>
          </w:tcPr>
          <w:p w14:paraId="32FABD64" w14:textId="77777777" w:rsidR="00A21C01" w:rsidRPr="00D66D81" w:rsidRDefault="00A21C01">
            <w:pPr>
              <w:spacing w:line="240" w:lineRule="auto"/>
              <w:rPr>
                <w:rFonts w:cs="Arial"/>
                <w:b/>
                <w:bCs/>
                <w:sz w:val="22"/>
              </w:rPr>
            </w:pPr>
          </w:p>
        </w:tc>
        <w:tc>
          <w:tcPr>
            <w:tcW w:w="2693" w:type="dxa"/>
            <w:vMerge/>
          </w:tcPr>
          <w:p w14:paraId="584071FB" w14:textId="77777777" w:rsidR="00A21C01" w:rsidRPr="00D66D81" w:rsidRDefault="00A21C01">
            <w:pPr>
              <w:spacing w:line="240" w:lineRule="auto"/>
              <w:rPr>
                <w:rFonts w:cs="Arial"/>
                <w:b/>
                <w:bCs/>
                <w:sz w:val="22"/>
              </w:rPr>
            </w:pPr>
          </w:p>
        </w:tc>
      </w:tr>
      <w:tr w:rsidR="00CF4520" w:rsidRPr="00D66D81" w14:paraId="7F033840" w14:textId="77777777" w:rsidTr="000A1D06">
        <w:trPr>
          <w:trHeight w:val="557"/>
        </w:trPr>
        <w:tc>
          <w:tcPr>
            <w:tcW w:w="3544" w:type="dxa"/>
            <w:hideMark/>
          </w:tcPr>
          <w:p w14:paraId="260757E1" w14:textId="03669309" w:rsidR="00A21C01" w:rsidRPr="00D66D81" w:rsidRDefault="00A21C01">
            <w:pPr>
              <w:spacing w:line="240" w:lineRule="auto"/>
              <w:rPr>
                <w:rFonts w:cs="Arial"/>
                <w:sz w:val="22"/>
              </w:rPr>
            </w:pPr>
            <w:r w:rsidRPr="00D66D81">
              <w:rPr>
                <w:rFonts w:cs="Arial"/>
                <w:sz w:val="22"/>
              </w:rPr>
              <w:t xml:space="preserve">Certain types of coated paper and paperboard </w:t>
            </w:r>
            <w:r w:rsidR="000A1D06">
              <w:rPr>
                <w:rFonts w:cs="Arial"/>
                <w:sz w:val="22"/>
              </w:rPr>
              <w:t>(Finland and PRC)</w:t>
            </w:r>
          </w:p>
        </w:tc>
        <w:tc>
          <w:tcPr>
            <w:tcW w:w="851" w:type="dxa"/>
            <w:shd w:val="clear" w:color="auto" w:fill="DEEAF6" w:themeFill="accent5" w:themeFillTint="33"/>
            <w:hideMark/>
          </w:tcPr>
          <w:p w14:paraId="02C32BC2" w14:textId="77777777" w:rsidR="00A21C01" w:rsidRPr="00D66D81" w:rsidRDefault="00A21C01">
            <w:pPr>
              <w:spacing w:line="240" w:lineRule="auto"/>
              <w:jc w:val="right"/>
              <w:rPr>
                <w:rFonts w:cs="Arial"/>
                <w:sz w:val="22"/>
              </w:rPr>
            </w:pPr>
            <w:r w:rsidRPr="00D66D81">
              <w:rPr>
                <w:rFonts w:cs="Arial"/>
                <w:sz w:val="22"/>
              </w:rPr>
              <w:t>1</w:t>
            </w:r>
          </w:p>
        </w:tc>
        <w:tc>
          <w:tcPr>
            <w:tcW w:w="1275" w:type="dxa"/>
            <w:hideMark/>
          </w:tcPr>
          <w:p w14:paraId="14725CDD" w14:textId="77777777" w:rsidR="00A21C01" w:rsidRPr="00D66D81" w:rsidRDefault="00A21C01">
            <w:pPr>
              <w:spacing w:line="240" w:lineRule="auto"/>
              <w:jc w:val="right"/>
              <w:rPr>
                <w:rFonts w:cs="Arial"/>
                <w:sz w:val="22"/>
              </w:rPr>
            </w:pPr>
          </w:p>
        </w:tc>
        <w:tc>
          <w:tcPr>
            <w:tcW w:w="1276" w:type="dxa"/>
            <w:hideMark/>
          </w:tcPr>
          <w:p w14:paraId="02614449" w14:textId="77777777" w:rsidR="00A21C01" w:rsidRPr="00D66D81" w:rsidRDefault="00A21C01">
            <w:pPr>
              <w:spacing w:line="240" w:lineRule="auto"/>
              <w:jc w:val="right"/>
              <w:rPr>
                <w:rFonts w:cs="Arial"/>
                <w:sz w:val="22"/>
              </w:rPr>
            </w:pPr>
          </w:p>
        </w:tc>
        <w:tc>
          <w:tcPr>
            <w:tcW w:w="992" w:type="dxa"/>
            <w:hideMark/>
          </w:tcPr>
          <w:p w14:paraId="68855F43" w14:textId="77777777" w:rsidR="00A21C01" w:rsidRPr="00D66D81" w:rsidRDefault="00A21C01">
            <w:pPr>
              <w:spacing w:line="240" w:lineRule="auto"/>
              <w:jc w:val="right"/>
              <w:rPr>
                <w:rFonts w:cs="Arial"/>
                <w:sz w:val="22"/>
              </w:rPr>
            </w:pPr>
          </w:p>
        </w:tc>
        <w:tc>
          <w:tcPr>
            <w:tcW w:w="1560" w:type="dxa"/>
            <w:hideMark/>
          </w:tcPr>
          <w:p w14:paraId="5FA476C4" w14:textId="77777777" w:rsidR="00A21C01" w:rsidRPr="00D66D81" w:rsidRDefault="00A21C01">
            <w:pPr>
              <w:spacing w:line="240" w:lineRule="auto"/>
              <w:jc w:val="right"/>
              <w:rPr>
                <w:rFonts w:cs="Arial"/>
                <w:sz w:val="22"/>
              </w:rPr>
            </w:pPr>
          </w:p>
        </w:tc>
        <w:tc>
          <w:tcPr>
            <w:tcW w:w="1417" w:type="dxa"/>
            <w:hideMark/>
          </w:tcPr>
          <w:p w14:paraId="436D1D7C" w14:textId="77777777" w:rsidR="00A21C01" w:rsidRPr="00D66D81" w:rsidRDefault="00A21C01">
            <w:pPr>
              <w:spacing w:line="240" w:lineRule="auto"/>
              <w:jc w:val="right"/>
              <w:rPr>
                <w:rFonts w:cs="Arial"/>
                <w:sz w:val="22"/>
              </w:rPr>
            </w:pPr>
            <w:r w:rsidRPr="00D66D81">
              <w:rPr>
                <w:rFonts w:cs="Arial"/>
                <w:sz w:val="22"/>
                <w:lang w:val="fr-CH"/>
              </w:rPr>
              <w:t>1</w:t>
            </w:r>
          </w:p>
        </w:tc>
        <w:tc>
          <w:tcPr>
            <w:tcW w:w="1276" w:type="dxa"/>
            <w:hideMark/>
          </w:tcPr>
          <w:p w14:paraId="4C11078C" w14:textId="4CEF4BD9" w:rsidR="00A21C01" w:rsidRPr="00D66D81" w:rsidRDefault="00A21C01">
            <w:pPr>
              <w:spacing w:line="240" w:lineRule="auto"/>
              <w:rPr>
                <w:rFonts w:cs="Arial"/>
                <w:sz w:val="22"/>
              </w:rPr>
            </w:pPr>
            <w:r w:rsidRPr="00D66D81">
              <w:rPr>
                <w:rFonts w:cs="Arial"/>
                <w:sz w:val="22"/>
              </w:rPr>
              <w:t>Finland</w:t>
            </w:r>
            <w:r w:rsidR="00B60B96">
              <w:rPr>
                <w:rFonts w:cs="Arial"/>
                <w:sz w:val="22"/>
              </w:rPr>
              <w:t>,</w:t>
            </w:r>
            <w:r w:rsidR="00192BF6">
              <w:rPr>
                <w:rFonts w:cs="Arial"/>
                <w:sz w:val="22"/>
              </w:rPr>
              <w:t xml:space="preserve"> PRC</w:t>
            </w:r>
          </w:p>
        </w:tc>
        <w:tc>
          <w:tcPr>
            <w:tcW w:w="2693" w:type="dxa"/>
            <w:hideMark/>
          </w:tcPr>
          <w:p w14:paraId="445B561C" w14:textId="77777777" w:rsidR="00A21C01" w:rsidRPr="00D66D81" w:rsidRDefault="00A21C01">
            <w:pPr>
              <w:spacing w:line="240" w:lineRule="auto"/>
              <w:jc w:val="right"/>
              <w:rPr>
                <w:rFonts w:cs="Arial"/>
                <w:sz w:val="22"/>
              </w:rPr>
            </w:pPr>
            <w:r w:rsidRPr="00D66D81">
              <w:rPr>
                <w:rFonts w:cs="Arial"/>
                <w:sz w:val="22"/>
              </w:rPr>
              <w:t>4810.29.10</w:t>
            </w:r>
          </w:p>
        </w:tc>
      </w:tr>
      <w:tr w:rsidR="00CF4520" w:rsidRPr="00D66D81" w14:paraId="4B3228A1" w14:textId="77777777" w:rsidTr="000A1D06">
        <w:trPr>
          <w:trHeight w:val="830"/>
        </w:trPr>
        <w:tc>
          <w:tcPr>
            <w:tcW w:w="3544" w:type="dxa"/>
            <w:hideMark/>
          </w:tcPr>
          <w:p w14:paraId="3991E56A" w14:textId="2FACE35B" w:rsidR="00A21C01" w:rsidRPr="00D66D81" w:rsidRDefault="00A21C01">
            <w:pPr>
              <w:spacing w:line="240" w:lineRule="auto"/>
              <w:rPr>
                <w:rFonts w:cs="Arial"/>
                <w:sz w:val="22"/>
              </w:rPr>
            </w:pPr>
            <w:r w:rsidRPr="00D66D81">
              <w:rPr>
                <w:rFonts w:cs="Arial"/>
                <w:sz w:val="22"/>
              </w:rPr>
              <w:t xml:space="preserve">Parts of bicycles </w:t>
            </w:r>
            <w:r w:rsidR="000A1D06">
              <w:rPr>
                <w:rFonts w:cs="Arial"/>
                <w:sz w:val="22"/>
              </w:rPr>
              <w:t>(PRC and Taiwan)</w:t>
            </w:r>
          </w:p>
        </w:tc>
        <w:tc>
          <w:tcPr>
            <w:tcW w:w="851" w:type="dxa"/>
            <w:shd w:val="clear" w:color="auto" w:fill="DEEAF6" w:themeFill="accent5" w:themeFillTint="33"/>
            <w:hideMark/>
          </w:tcPr>
          <w:p w14:paraId="2D1AD838" w14:textId="77777777" w:rsidR="00A21C01" w:rsidRPr="00D66D81" w:rsidRDefault="00A21C01">
            <w:pPr>
              <w:spacing w:line="240" w:lineRule="auto"/>
              <w:jc w:val="right"/>
              <w:rPr>
                <w:rFonts w:cs="Arial"/>
                <w:sz w:val="22"/>
              </w:rPr>
            </w:pPr>
            <w:r w:rsidRPr="00D66D81">
              <w:rPr>
                <w:rFonts w:cs="Arial"/>
                <w:sz w:val="22"/>
              </w:rPr>
              <w:t>1</w:t>
            </w:r>
          </w:p>
        </w:tc>
        <w:tc>
          <w:tcPr>
            <w:tcW w:w="1275" w:type="dxa"/>
            <w:hideMark/>
          </w:tcPr>
          <w:p w14:paraId="79E5A578" w14:textId="77777777" w:rsidR="00A21C01" w:rsidRPr="00D66D81" w:rsidRDefault="00A21C01">
            <w:pPr>
              <w:spacing w:line="240" w:lineRule="auto"/>
              <w:jc w:val="right"/>
              <w:rPr>
                <w:rFonts w:cs="Arial"/>
                <w:sz w:val="22"/>
              </w:rPr>
            </w:pPr>
          </w:p>
        </w:tc>
        <w:tc>
          <w:tcPr>
            <w:tcW w:w="1276" w:type="dxa"/>
            <w:hideMark/>
          </w:tcPr>
          <w:p w14:paraId="7A09F795" w14:textId="77777777" w:rsidR="00A21C01" w:rsidRPr="00D66D81" w:rsidRDefault="00A21C01">
            <w:pPr>
              <w:spacing w:line="240" w:lineRule="auto"/>
              <w:jc w:val="right"/>
              <w:rPr>
                <w:rFonts w:cs="Arial"/>
                <w:sz w:val="22"/>
              </w:rPr>
            </w:pPr>
          </w:p>
        </w:tc>
        <w:tc>
          <w:tcPr>
            <w:tcW w:w="992" w:type="dxa"/>
            <w:hideMark/>
          </w:tcPr>
          <w:p w14:paraId="6B6C0D3B" w14:textId="77777777" w:rsidR="00A21C01" w:rsidRPr="00D66D81" w:rsidRDefault="00A21C01">
            <w:pPr>
              <w:spacing w:line="240" w:lineRule="auto"/>
              <w:jc w:val="right"/>
              <w:rPr>
                <w:rFonts w:cs="Arial"/>
                <w:sz w:val="22"/>
              </w:rPr>
            </w:pPr>
          </w:p>
        </w:tc>
        <w:tc>
          <w:tcPr>
            <w:tcW w:w="1560" w:type="dxa"/>
            <w:hideMark/>
          </w:tcPr>
          <w:p w14:paraId="2B448540" w14:textId="77777777" w:rsidR="00A21C01" w:rsidRPr="00D66D81" w:rsidRDefault="00A21C01">
            <w:pPr>
              <w:spacing w:line="240" w:lineRule="auto"/>
              <w:jc w:val="right"/>
              <w:rPr>
                <w:rFonts w:cs="Arial"/>
                <w:sz w:val="22"/>
              </w:rPr>
            </w:pPr>
            <w:r w:rsidRPr="00D66D81">
              <w:rPr>
                <w:rFonts w:cs="Arial"/>
                <w:sz w:val="22"/>
                <w:lang w:val="fr-CH"/>
              </w:rPr>
              <w:t>1</w:t>
            </w:r>
          </w:p>
        </w:tc>
        <w:tc>
          <w:tcPr>
            <w:tcW w:w="1417" w:type="dxa"/>
            <w:hideMark/>
          </w:tcPr>
          <w:p w14:paraId="7EB8A29E" w14:textId="77777777" w:rsidR="00A21C01" w:rsidRPr="00D66D81" w:rsidRDefault="00A21C01">
            <w:pPr>
              <w:spacing w:line="240" w:lineRule="auto"/>
              <w:jc w:val="right"/>
              <w:rPr>
                <w:rFonts w:cs="Arial"/>
                <w:sz w:val="22"/>
              </w:rPr>
            </w:pPr>
          </w:p>
        </w:tc>
        <w:tc>
          <w:tcPr>
            <w:tcW w:w="1276" w:type="dxa"/>
            <w:hideMark/>
          </w:tcPr>
          <w:p w14:paraId="0C437459" w14:textId="0EFD2EE1" w:rsidR="00A21C01" w:rsidRPr="00D66D81" w:rsidRDefault="00192BF6">
            <w:pPr>
              <w:spacing w:line="240" w:lineRule="auto"/>
              <w:rPr>
                <w:rFonts w:cs="Arial"/>
                <w:sz w:val="22"/>
              </w:rPr>
            </w:pPr>
            <w:r>
              <w:rPr>
                <w:rFonts w:cs="Arial"/>
                <w:sz w:val="22"/>
              </w:rPr>
              <w:t>PRC</w:t>
            </w:r>
            <w:r w:rsidR="00A21C01" w:rsidRPr="00D66D81">
              <w:rPr>
                <w:rFonts w:cs="Arial"/>
                <w:sz w:val="22"/>
              </w:rPr>
              <w:t>, Taiwan</w:t>
            </w:r>
          </w:p>
        </w:tc>
        <w:tc>
          <w:tcPr>
            <w:tcW w:w="2693" w:type="dxa"/>
            <w:hideMark/>
          </w:tcPr>
          <w:p w14:paraId="12D33202" w14:textId="77777777" w:rsidR="00A21C01" w:rsidRPr="00D66D81" w:rsidRDefault="00A21C01">
            <w:pPr>
              <w:spacing w:line="240" w:lineRule="auto"/>
              <w:jc w:val="right"/>
              <w:rPr>
                <w:rFonts w:cs="Arial"/>
                <w:sz w:val="22"/>
              </w:rPr>
            </w:pPr>
            <w:r w:rsidRPr="00D66D81">
              <w:rPr>
                <w:rFonts w:cs="Arial"/>
                <w:sz w:val="22"/>
              </w:rPr>
              <w:t>4810.29.10</w:t>
            </w:r>
          </w:p>
        </w:tc>
      </w:tr>
      <w:tr w:rsidR="00CF4520" w:rsidRPr="00D66D81" w14:paraId="66BC2ED9" w14:textId="77777777" w:rsidTr="000A1D06">
        <w:trPr>
          <w:trHeight w:val="830"/>
        </w:trPr>
        <w:tc>
          <w:tcPr>
            <w:tcW w:w="3544" w:type="dxa"/>
            <w:hideMark/>
          </w:tcPr>
          <w:p w14:paraId="5E4D8147" w14:textId="61847C8A" w:rsidR="00A21C01" w:rsidRPr="00D66D81" w:rsidRDefault="00A21C01">
            <w:pPr>
              <w:spacing w:line="240" w:lineRule="auto"/>
              <w:rPr>
                <w:rFonts w:cs="Arial"/>
                <w:sz w:val="22"/>
              </w:rPr>
            </w:pPr>
            <w:r w:rsidRPr="00D66D81">
              <w:rPr>
                <w:rFonts w:cs="Arial"/>
                <w:sz w:val="22"/>
                <w:lang w:val="fr-CH"/>
              </w:rPr>
              <w:t xml:space="preserve">Footwear </w:t>
            </w:r>
            <w:r w:rsidR="000A1D06">
              <w:rPr>
                <w:rFonts w:cs="Arial"/>
                <w:sz w:val="22"/>
                <w:lang w:val="fr-CH"/>
              </w:rPr>
              <w:t>(PRC)</w:t>
            </w:r>
          </w:p>
        </w:tc>
        <w:tc>
          <w:tcPr>
            <w:tcW w:w="851" w:type="dxa"/>
            <w:shd w:val="clear" w:color="auto" w:fill="DEEAF6" w:themeFill="accent5" w:themeFillTint="33"/>
            <w:hideMark/>
          </w:tcPr>
          <w:p w14:paraId="5E6563FF" w14:textId="77777777" w:rsidR="00A21C01" w:rsidRPr="00D66D81" w:rsidRDefault="00A21C01">
            <w:pPr>
              <w:spacing w:line="240" w:lineRule="auto"/>
              <w:jc w:val="right"/>
              <w:rPr>
                <w:rFonts w:cs="Arial"/>
                <w:sz w:val="22"/>
              </w:rPr>
            </w:pPr>
            <w:r w:rsidRPr="00D66D81">
              <w:rPr>
                <w:rFonts w:cs="Arial"/>
                <w:sz w:val="22"/>
              </w:rPr>
              <w:t>1</w:t>
            </w:r>
          </w:p>
        </w:tc>
        <w:tc>
          <w:tcPr>
            <w:tcW w:w="1275" w:type="dxa"/>
            <w:hideMark/>
          </w:tcPr>
          <w:p w14:paraId="72BA1A5B" w14:textId="77777777" w:rsidR="00A21C01" w:rsidRPr="00D66D81" w:rsidRDefault="00A21C01">
            <w:pPr>
              <w:spacing w:line="240" w:lineRule="auto"/>
              <w:jc w:val="right"/>
              <w:rPr>
                <w:rFonts w:cs="Arial"/>
                <w:sz w:val="22"/>
              </w:rPr>
            </w:pPr>
          </w:p>
        </w:tc>
        <w:tc>
          <w:tcPr>
            <w:tcW w:w="1276" w:type="dxa"/>
            <w:hideMark/>
          </w:tcPr>
          <w:p w14:paraId="68920466" w14:textId="77777777" w:rsidR="00A21C01" w:rsidRPr="00D66D81" w:rsidRDefault="00A21C01">
            <w:pPr>
              <w:spacing w:line="240" w:lineRule="auto"/>
              <w:jc w:val="right"/>
              <w:rPr>
                <w:rFonts w:cs="Arial"/>
                <w:sz w:val="22"/>
              </w:rPr>
            </w:pPr>
          </w:p>
        </w:tc>
        <w:tc>
          <w:tcPr>
            <w:tcW w:w="992" w:type="dxa"/>
            <w:hideMark/>
          </w:tcPr>
          <w:p w14:paraId="44BFBA43" w14:textId="77777777" w:rsidR="00A21C01" w:rsidRPr="00D66D81" w:rsidRDefault="00A21C01">
            <w:pPr>
              <w:spacing w:line="240" w:lineRule="auto"/>
              <w:jc w:val="right"/>
              <w:rPr>
                <w:rFonts w:cs="Arial"/>
                <w:sz w:val="22"/>
              </w:rPr>
            </w:pPr>
          </w:p>
        </w:tc>
        <w:tc>
          <w:tcPr>
            <w:tcW w:w="1560" w:type="dxa"/>
            <w:hideMark/>
          </w:tcPr>
          <w:p w14:paraId="0A5963D3" w14:textId="77777777" w:rsidR="00A21C01" w:rsidRPr="00D66D81" w:rsidRDefault="00A21C01">
            <w:pPr>
              <w:spacing w:line="240" w:lineRule="auto"/>
              <w:jc w:val="right"/>
              <w:rPr>
                <w:rFonts w:cs="Arial"/>
                <w:sz w:val="22"/>
              </w:rPr>
            </w:pPr>
          </w:p>
        </w:tc>
        <w:tc>
          <w:tcPr>
            <w:tcW w:w="1417" w:type="dxa"/>
            <w:hideMark/>
          </w:tcPr>
          <w:p w14:paraId="22575412" w14:textId="77777777" w:rsidR="00A21C01" w:rsidRPr="00D66D81" w:rsidRDefault="00A21C01">
            <w:pPr>
              <w:spacing w:line="240" w:lineRule="auto"/>
              <w:jc w:val="right"/>
              <w:rPr>
                <w:rFonts w:cs="Arial"/>
                <w:sz w:val="22"/>
              </w:rPr>
            </w:pPr>
            <w:r w:rsidRPr="00D66D81">
              <w:rPr>
                <w:rFonts w:cs="Arial"/>
                <w:sz w:val="22"/>
                <w:lang w:val="fr-CH"/>
              </w:rPr>
              <w:t>1</w:t>
            </w:r>
          </w:p>
        </w:tc>
        <w:tc>
          <w:tcPr>
            <w:tcW w:w="1276" w:type="dxa"/>
            <w:hideMark/>
          </w:tcPr>
          <w:p w14:paraId="0B40F5C8" w14:textId="77777777" w:rsidR="00A21C01" w:rsidRPr="00D66D81" w:rsidRDefault="00A21C01">
            <w:pPr>
              <w:spacing w:line="240" w:lineRule="auto"/>
              <w:rPr>
                <w:rFonts w:cs="Arial"/>
                <w:sz w:val="22"/>
              </w:rPr>
            </w:pPr>
            <w:r w:rsidRPr="00D66D81">
              <w:rPr>
                <w:rFonts w:cs="Arial"/>
                <w:sz w:val="22"/>
              </w:rPr>
              <w:t>Malaysia</w:t>
            </w:r>
          </w:p>
        </w:tc>
        <w:tc>
          <w:tcPr>
            <w:tcW w:w="2693" w:type="dxa"/>
            <w:hideMark/>
          </w:tcPr>
          <w:p w14:paraId="5621B8D2" w14:textId="77777777" w:rsidR="00A21C01" w:rsidRPr="00D66D81" w:rsidRDefault="00A21C01">
            <w:pPr>
              <w:spacing w:line="240" w:lineRule="auto"/>
              <w:jc w:val="right"/>
              <w:rPr>
                <w:rFonts w:cs="Arial"/>
                <w:sz w:val="22"/>
              </w:rPr>
            </w:pPr>
            <w:r w:rsidRPr="00D66D81">
              <w:rPr>
                <w:rFonts w:cs="Arial"/>
                <w:sz w:val="22"/>
              </w:rPr>
              <w:t>6404.19.00, 6404.99.90</w:t>
            </w:r>
          </w:p>
        </w:tc>
      </w:tr>
      <w:tr w:rsidR="00CF4520" w:rsidRPr="00D66D81" w14:paraId="736DF30D" w14:textId="77777777" w:rsidTr="000A1D06">
        <w:trPr>
          <w:trHeight w:val="383"/>
        </w:trPr>
        <w:tc>
          <w:tcPr>
            <w:tcW w:w="3544" w:type="dxa"/>
            <w:hideMark/>
          </w:tcPr>
          <w:p w14:paraId="5C5E1D83" w14:textId="6BC4BC86" w:rsidR="00A21C01" w:rsidRPr="00D66D81" w:rsidRDefault="00A21C01">
            <w:pPr>
              <w:spacing w:line="240" w:lineRule="auto"/>
              <w:rPr>
                <w:rFonts w:cs="Arial"/>
                <w:sz w:val="22"/>
              </w:rPr>
            </w:pPr>
            <w:r w:rsidRPr="00D66D81">
              <w:rPr>
                <w:rFonts w:cs="Arial"/>
                <w:sz w:val="22"/>
              </w:rPr>
              <w:t xml:space="preserve">Certain types of electric fans </w:t>
            </w:r>
            <w:r w:rsidR="000A1D06">
              <w:rPr>
                <w:rFonts w:cs="Arial"/>
                <w:sz w:val="22"/>
              </w:rPr>
              <w:t>(PRC)</w:t>
            </w:r>
          </w:p>
        </w:tc>
        <w:tc>
          <w:tcPr>
            <w:tcW w:w="851" w:type="dxa"/>
            <w:shd w:val="clear" w:color="auto" w:fill="DEEAF6" w:themeFill="accent5" w:themeFillTint="33"/>
            <w:hideMark/>
          </w:tcPr>
          <w:p w14:paraId="219F0CE6" w14:textId="77777777" w:rsidR="00A21C01" w:rsidRPr="00D66D81" w:rsidRDefault="00A21C01">
            <w:pPr>
              <w:spacing w:line="240" w:lineRule="auto"/>
              <w:jc w:val="right"/>
              <w:rPr>
                <w:rFonts w:cs="Arial"/>
                <w:sz w:val="22"/>
              </w:rPr>
            </w:pPr>
            <w:r w:rsidRPr="00D66D81">
              <w:rPr>
                <w:rFonts w:cs="Arial"/>
                <w:sz w:val="22"/>
              </w:rPr>
              <w:t>1</w:t>
            </w:r>
          </w:p>
        </w:tc>
        <w:tc>
          <w:tcPr>
            <w:tcW w:w="1275" w:type="dxa"/>
            <w:hideMark/>
          </w:tcPr>
          <w:p w14:paraId="6DBE9304" w14:textId="77777777" w:rsidR="00A21C01" w:rsidRPr="00D66D81" w:rsidRDefault="00A21C01">
            <w:pPr>
              <w:spacing w:line="240" w:lineRule="auto"/>
              <w:jc w:val="right"/>
              <w:rPr>
                <w:rFonts w:cs="Arial"/>
                <w:sz w:val="22"/>
              </w:rPr>
            </w:pPr>
          </w:p>
        </w:tc>
        <w:tc>
          <w:tcPr>
            <w:tcW w:w="1276" w:type="dxa"/>
            <w:hideMark/>
          </w:tcPr>
          <w:p w14:paraId="431AFAE3" w14:textId="77777777" w:rsidR="00A21C01" w:rsidRPr="00D66D81" w:rsidRDefault="00A21C01">
            <w:pPr>
              <w:spacing w:line="240" w:lineRule="auto"/>
              <w:jc w:val="right"/>
              <w:rPr>
                <w:rFonts w:cs="Arial"/>
                <w:sz w:val="22"/>
              </w:rPr>
            </w:pPr>
          </w:p>
        </w:tc>
        <w:tc>
          <w:tcPr>
            <w:tcW w:w="992" w:type="dxa"/>
            <w:hideMark/>
          </w:tcPr>
          <w:p w14:paraId="7D17A8CF" w14:textId="77777777" w:rsidR="00A21C01" w:rsidRPr="00D66D81" w:rsidRDefault="00A21C01">
            <w:pPr>
              <w:spacing w:line="240" w:lineRule="auto"/>
              <w:jc w:val="right"/>
              <w:rPr>
                <w:rFonts w:cs="Arial"/>
                <w:sz w:val="22"/>
              </w:rPr>
            </w:pPr>
          </w:p>
        </w:tc>
        <w:tc>
          <w:tcPr>
            <w:tcW w:w="1560" w:type="dxa"/>
            <w:hideMark/>
          </w:tcPr>
          <w:p w14:paraId="0FB3FEF2" w14:textId="77777777" w:rsidR="00A21C01" w:rsidRPr="00D66D81" w:rsidRDefault="00A21C01">
            <w:pPr>
              <w:spacing w:line="240" w:lineRule="auto"/>
              <w:jc w:val="right"/>
              <w:rPr>
                <w:rFonts w:cs="Arial"/>
                <w:sz w:val="22"/>
              </w:rPr>
            </w:pPr>
          </w:p>
        </w:tc>
        <w:tc>
          <w:tcPr>
            <w:tcW w:w="1417" w:type="dxa"/>
            <w:hideMark/>
          </w:tcPr>
          <w:p w14:paraId="07483334" w14:textId="77777777" w:rsidR="00A21C01" w:rsidRPr="00D66D81" w:rsidRDefault="00A21C01">
            <w:pPr>
              <w:spacing w:line="240" w:lineRule="auto"/>
              <w:jc w:val="right"/>
              <w:rPr>
                <w:rFonts w:cs="Arial"/>
                <w:sz w:val="22"/>
              </w:rPr>
            </w:pPr>
            <w:r w:rsidRPr="00D66D81">
              <w:rPr>
                <w:rFonts w:cs="Arial"/>
                <w:sz w:val="22"/>
                <w:lang w:val="fr-CH"/>
              </w:rPr>
              <w:t>1</w:t>
            </w:r>
          </w:p>
        </w:tc>
        <w:tc>
          <w:tcPr>
            <w:tcW w:w="1276" w:type="dxa"/>
            <w:hideMark/>
          </w:tcPr>
          <w:p w14:paraId="77E10896" w14:textId="77777777" w:rsidR="00A21C01" w:rsidRPr="00D66D81" w:rsidRDefault="00A21C01">
            <w:pPr>
              <w:spacing w:line="240" w:lineRule="auto"/>
              <w:rPr>
                <w:rFonts w:cs="Arial"/>
                <w:sz w:val="22"/>
              </w:rPr>
            </w:pPr>
            <w:r w:rsidRPr="00D66D81">
              <w:rPr>
                <w:rFonts w:cs="Arial"/>
                <w:sz w:val="22"/>
              </w:rPr>
              <w:t>Vietnam</w:t>
            </w:r>
          </w:p>
        </w:tc>
        <w:tc>
          <w:tcPr>
            <w:tcW w:w="2693" w:type="dxa"/>
            <w:hideMark/>
          </w:tcPr>
          <w:p w14:paraId="0F135343" w14:textId="77777777" w:rsidR="00A21C01" w:rsidRPr="00D66D81" w:rsidRDefault="00A21C01">
            <w:pPr>
              <w:spacing w:line="240" w:lineRule="auto"/>
              <w:jc w:val="right"/>
              <w:rPr>
                <w:rFonts w:cs="Arial"/>
                <w:sz w:val="22"/>
              </w:rPr>
            </w:pPr>
            <w:r w:rsidRPr="00D66D81">
              <w:rPr>
                <w:rFonts w:cs="Arial"/>
                <w:sz w:val="22"/>
              </w:rPr>
              <w:t>8414.511, 8414.519, 8414.599</w:t>
            </w:r>
          </w:p>
        </w:tc>
      </w:tr>
      <w:tr w:rsidR="00CF4520" w:rsidRPr="00D66D81" w14:paraId="61D462F0" w14:textId="77777777" w:rsidTr="000A1D06">
        <w:trPr>
          <w:trHeight w:val="70"/>
        </w:trPr>
        <w:tc>
          <w:tcPr>
            <w:tcW w:w="3544" w:type="dxa"/>
            <w:hideMark/>
          </w:tcPr>
          <w:p w14:paraId="5C121F06" w14:textId="3BAB8202" w:rsidR="00A21C01" w:rsidRPr="00D66D81" w:rsidRDefault="00A21C01">
            <w:pPr>
              <w:spacing w:line="240" w:lineRule="auto"/>
              <w:rPr>
                <w:rFonts w:cs="Arial"/>
                <w:sz w:val="22"/>
              </w:rPr>
            </w:pPr>
            <w:r w:rsidRPr="00D66D81">
              <w:rPr>
                <w:rFonts w:cs="Arial"/>
                <w:sz w:val="22"/>
              </w:rPr>
              <w:t>Steel butt-welded pipe fittings</w:t>
            </w:r>
            <w:r w:rsidR="000A1D06">
              <w:rPr>
                <w:rFonts w:cs="Arial"/>
                <w:sz w:val="22"/>
              </w:rPr>
              <w:t xml:space="preserve"> (PRC)</w:t>
            </w:r>
          </w:p>
        </w:tc>
        <w:tc>
          <w:tcPr>
            <w:tcW w:w="851" w:type="dxa"/>
            <w:shd w:val="clear" w:color="auto" w:fill="DEEAF6" w:themeFill="accent5" w:themeFillTint="33"/>
            <w:hideMark/>
          </w:tcPr>
          <w:p w14:paraId="3E3D1933" w14:textId="77777777" w:rsidR="00A21C01" w:rsidRPr="00D66D81" w:rsidRDefault="00A21C01">
            <w:pPr>
              <w:spacing w:line="240" w:lineRule="auto"/>
              <w:jc w:val="right"/>
              <w:rPr>
                <w:rFonts w:cs="Arial"/>
                <w:sz w:val="22"/>
              </w:rPr>
            </w:pPr>
            <w:r w:rsidRPr="00D66D81">
              <w:rPr>
                <w:rFonts w:cs="Arial"/>
                <w:sz w:val="22"/>
              </w:rPr>
              <w:t>1</w:t>
            </w:r>
          </w:p>
        </w:tc>
        <w:tc>
          <w:tcPr>
            <w:tcW w:w="1275" w:type="dxa"/>
            <w:hideMark/>
          </w:tcPr>
          <w:p w14:paraId="48FC8235" w14:textId="77777777" w:rsidR="00A21C01" w:rsidRPr="00D66D81" w:rsidRDefault="00A21C01">
            <w:pPr>
              <w:spacing w:line="240" w:lineRule="auto"/>
              <w:jc w:val="right"/>
              <w:rPr>
                <w:rFonts w:cs="Arial"/>
                <w:sz w:val="22"/>
              </w:rPr>
            </w:pPr>
          </w:p>
        </w:tc>
        <w:tc>
          <w:tcPr>
            <w:tcW w:w="1276" w:type="dxa"/>
            <w:hideMark/>
          </w:tcPr>
          <w:p w14:paraId="1A1C0C70" w14:textId="77777777" w:rsidR="00A21C01" w:rsidRPr="00D66D81" w:rsidRDefault="00A21C01">
            <w:pPr>
              <w:spacing w:line="240" w:lineRule="auto"/>
              <w:jc w:val="right"/>
              <w:rPr>
                <w:rFonts w:cs="Arial"/>
                <w:sz w:val="22"/>
              </w:rPr>
            </w:pPr>
          </w:p>
        </w:tc>
        <w:tc>
          <w:tcPr>
            <w:tcW w:w="992" w:type="dxa"/>
            <w:hideMark/>
          </w:tcPr>
          <w:p w14:paraId="4115EEB8" w14:textId="77777777" w:rsidR="00A21C01" w:rsidRPr="00D66D81" w:rsidRDefault="00A21C01">
            <w:pPr>
              <w:spacing w:line="240" w:lineRule="auto"/>
              <w:jc w:val="right"/>
              <w:rPr>
                <w:rFonts w:cs="Arial"/>
                <w:sz w:val="22"/>
              </w:rPr>
            </w:pPr>
          </w:p>
        </w:tc>
        <w:tc>
          <w:tcPr>
            <w:tcW w:w="1560" w:type="dxa"/>
            <w:hideMark/>
          </w:tcPr>
          <w:p w14:paraId="0173CE02" w14:textId="77777777" w:rsidR="00A21C01" w:rsidRPr="00D66D81" w:rsidRDefault="00A21C01">
            <w:pPr>
              <w:spacing w:line="240" w:lineRule="auto"/>
              <w:jc w:val="right"/>
              <w:rPr>
                <w:rFonts w:cs="Arial"/>
                <w:sz w:val="22"/>
              </w:rPr>
            </w:pPr>
          </w:p>
        </w:tc>
        <w:tc>
          <w:tcPr>
            <w:tcW w:w="1417" w:type="dxa"/>
            <w:hideMark/>
          </w:tcPr>
          <w:p w14:paraId="52B2C8F0" w14:textId="77777777" w:rsidR="00A21C01" w:rsidRPr="00D66D81" w:rsidRDefault="00A21C01">
            <w:pPr>
              <w:spacing w:line="240" w:lineRule="auto"/>
              <w:jc w:val="right"/>
              <w:rPr>
                <w:rFonts w:cs="Arial"/>
                <w:sz w:val="22"/>
              </w:rPr>
            </w:pPr>
            <w:r w:rsidRPr="00D66D81">
              <w:rPr>
                <w:rFonts w:cs="Arial"/>
                <w:sz w:val="22"/>
                <w:lang w:val="fr-CH"/>
              </w:rPr>
              <w:t>1</w:t>
            </w:r>
          </w:p>
        </w:tc>
        <w:tc>
          <w:tcPr>
            <w:tcW w:w="1276" w:type="dxa"/>
            <w:hideMark/>
          </w:tcPr>
          <w:p w14:paraId="2FD39175" w14:textId="77777777" w:rsidR="00A21C01" w:rsidRPr="00D66D81" w:rsidRDefault="00A21C01">
            <w:pPr>
              <w:spacing w:line="240" w:lineRule="auto"/>
              <w:rPr>
                <w:rFonts w:cs="Arial"/>
                <w:sz w:val="22"/>
              </w:rPr>
            </w:pPr>
            <w:r w:rsidRPr="00D66D81">
              <w:rPr>
                <w:rFonts w:cs="Arial"/>
                <w:sz w:val="22"/>
              </w:rPr>
              <w:t>Cambodia</w:t>
            </w:r>
          </w:p>
        </w:tc>
        <w:tc>
          <w:tcPr>
            <w:tcW w:w="2693" w:type="dxa"/>
            <w:hideMark/>
          </w:tcPr>
          <w:p w14:paraId="627FF484" w14:textId="77777777" w:rsidR="00A21C01" w:rsidRPr="00D66D81" w:rsidRDefault="00A21C01">
            <w:pPr>
              <w:spacing w:line="240" w:lineRule="auto"/>
              <w:jc w:val="right"/>
              <w:rPr>
                <w:rFonts w:cs="Arial"/>
                <w:sz w:val="22"/>
              </w:rPr>
            </w:pPr>
            <w:r w:rsidRPr="00D66D81">
              <w:rPr>
                <w:rFonts w:cs="Arial"/>
                <w:sz w:val="22"/>
              </w:rPr>
              <w:t>7307.93.00</w:t>
            </w:r>
          </w:p>
        </w:tc>
      </w:tr>
      <w:tr w:rsidR="00CF4520" w:rsidRPr="00D66D81" w14:paraId="14969BA5" w14:textId="77777777" w:rsidTr="000A1D06">
        <w:trPr>
          <w:trHeight w:val="491"/>
        </w:trPr>
        <w:tc>
          <w:tcPr>
            <w:tcW w:w="3544" w:type="dxa"/>
            <w:hideMark/>
          </w:tcPr>
          <w:p w14:paraId="2BE47C1D" w14:textId="43749A80" w:rsidR="00A21C01" w:rsidRPr="00D66D81" w:rsidRDefault="00A21C01">
            <w:pPr>
              <w:spacing w:line="240" w:lineRule="auto"/>
              <w:rPr>
                <w:rFonts w:cs="Arial"/>
                <w:sz w:val="22"/>
              </w:rPr>
            </w:pPr>
            <w:r w:rsidRPr="00D66D81">
              <w:rPr>
                <w:rFonts w:cs="Arial"/>
                <w:sz w:val="22"/>
              </w:rPr>
              <w:t>Certain types of eyewear</w:t>
            </w:r>
            <w:r w:rsidR="000A1D06">
              <w:rPr>
                <w:rFonts w:cs="Arial"/>
                <w:sz w:val="22"/>
              </w:rPr>
              <w:t xml:space="preserve"> (PRC)</w:t>
            </w:r>
          </w:p>
        </w:tc>
        <w:tc>
          <w:tcPr>
            <w:tcW w:w="851" w:type="dxa"/>
            <w:shd w:val="clear" w:color="auto" w:fill="DEEAF6" w:themeFill="accent5" w:themeFillTint="33"/>
            <w:hideMark/>
          </w:tcPr>
          <w:p w14:paraId="777A1FBA" w14:textId="77777777" w:rsidR="00A21C01" w:rsidRPr="00D66D81" w:rsidRDefault="00A21C01">
            <w:pPr>
              <w:spacing w:line="240" w:lineRule="auto"/>
              <w:jc w:val="right"/>
              <w:rPr>
                <w:rFonts w:cs="Arial"/>
                <w:sz w:val="22"/>
              </w:rPr>
            </w:pPr>
            <w:r w:rsidRPr="00D66D81">
              <w:rPr>
                <w:rFonts w:cs="Arial"/>
                <w:sz w:val="22"/>
              </w:rPr>
              <w:t>1</w:t>
            </w:r>
          </w:p>
        </w:tc>
        <w:tc>
          <w:tcPr>
            <w:tcW w:w="1275" w:type="dxa"/>
            <w:hideMark/>
          </w:tcPr>
          <w:p w14:paraId="23200F71" w14:textId="77777777" w:rsidR="00A21C01" w:rsidRPr="00D66D81" w:rsidRDefault="00A21C01">
            <w:pPr>
              <w:spacing w:line="240" w:lineRule="auto"/>
              <w:jc w:val="right"/>
              <w:rPr>
                <w:rFonts w:cs="Arial"/>
                <w:sz w:val="22"/>
              </w:rPr>
            </w:pPr>
          </w:p>
        </w:tc>
        <w:tc>
          <w:tcPr>
            <w:tcW w:w="1276" w:type="dxa"/>
            <w:hideMark/>
          </w:tcPr>
          <w:p w14:paraId="1FFD390B" w14:textId="77777777" w:rsidR="00A21C01" w:rsidRPr="00D66D81" w:rsidRDefault="00A21C01">
            <w:pPr>
              <w:spacing w:line="240" w:lineRule="auto"/>
              <w:jc w:val="right"/>
              <w:rPr>
                <w:rFonts w:cs="Arial"/>
                <w:sz w:val="22"/>
              </w:rPr>
            </w:pPr>
          </w:p>
        </w:tc>
        <w:tc>
          <w:tcPr>
            <w:tcW w:w="992" w:type="dxa"/>
            <w:hideMark/>
          </w:tcPr>
          <w:p w14:paraId="5082306A" w14:textId="77777777" w:rsidR="00A21C01" w:rsidRPr="00D66D81" w:rsidRDefault="00A21C01">
            <w:pPr>
              <w:spacing w:line="240" w:lineRule="auto"/>
              <w:jc w:val="right"/>
              <w:rPr>
                <w:rFonts w:cs="Arial"/>
                <w:sz w:val="22"/>
              </w:rPr>
            </w:pPr>
          </w:p>
        </w:tc>
        <w:tc>
          <w:tcPr>
            <w:tcW w:w="1560" w:type="dxa"/>
            <w:hideMark/>
          </w:tcPr>
          <w:p w14:paraId="2D882F0C" w14:textId="77777777" w:rsidR="00A21C01" w:rsidRPr="00D66D81" w:rsidRDefault="00A21C01">
            <w:pPr>
              <w:spacing w:line="240" w:lineRule="auto"/>
              <w:jc w:val="right"/>
              <w:rPr>
                <w:rFonts w:cs="Arial"/>
                <w:sz w:val="22"/>
              </w:rPr>
            </w:pPr>
          </w:p>
        </w:tc>
        <w:tc>
          <w:tcPr>
            <w:tcW w:w="1417" w:type="dxa"/>
            <w:hideMark/>
          </w:tcPr>
          <w:p w14:paraId="5C819F59" w14:textId="77777777" w:rsidR="00A21C01" w:rsidRPr="00D66D81" w:rsidRDefault="00A21C01">
            <w:pPr>
              <w:spacing w:line="240" w:lineRule="auto"/>
              <w:jc w:val="right"/>
              <w:rPr>
                <w:rFonts w:cs="Arial"/>
                <w:sz w:val="22"/>
              </w:rPr>
            </w:pPr>
            <w:r w:rsidRPr="00D66D81">
              <w:rPr>
                <w:rFonts w:cs="Arial"/>
                <w:sz w:val="22"/>
                <w:lang w:val="fr-CH"/>
              </w:rPr>
              <w:t>1</w:t>
            </w:r>
          </w:p>
        </w:tc>
        <w:tc>
          <w:tcPr>
            <w:tcW w:w="1276" w:type="dxa"/>
            <w:hideMark/>
          </w:tcPr>
          <w:p w14:paraId="73CAF7D0" w14:textId="77777777" w:rsidR="00A21C01" w:rsidRPr="00D66D81" w:rsidRDefault="00A21C01">
            <w:pPr>
              <w:spacing w:line="240" w:lineRule="auto"/>
              <w:rPr>
                <w:rFonts w:cs="Arial"/>
                <w:sz w:val="22"/>
              </w:rPr>
            </w:pPr>
            <w:r w:rsidRPr="00D66D81">
              <w:rPr>
                <w:rFonts w:cs="Arial"/>
                <w:sz w:val="22"/>
              </w:rPr>
              <w:t>Japan</w:t>
            </w:r>
          </w:p>
        </w:tc>
        <w:tc>
          <w:tcPr>
            <w:tcW w:w="2693" w:type="dxa"/>
            <w:hideMark/>
          </w:tcPr>
          <w:p w14:paraId="4C91E8A3" w14:textId="77777777" w:rsidR="00A21C01" w:rsidRPr="00D66D81" w:rsidRDefault="00A21C01">
            <w:pPr>
              <w:spacing w:line="240" w:lineRule="auto"/>
              <w:jc w:val="right"/>
              <w:rPr>
                <w:rFonts w:cs="Arial"/>
                <w:sz w:val="22"/>
              </w:rPr>
            </w:pPr>
            <w:r w:rsidRPr="00D66D81">
              <w:rPr>
                <w:rFonts w:cs="Arial"/>
                <w:sz w:val="22"/>
              </w:rPr>
              <w:t>9003.11.00, 9003.19.10, 9003.19.90, 9004.10.00</w:t>
            </w:r>
          </w:p>
        </w:tc>
      </w:tr>
      <w:tr w:rsidR="00CF4520" w:rsidRPr="00D66D81" w14:paraId="2F405789" w14:textId="77777777" w:rsidTr="000A1D06">
        <w:trPr>
          <w:trHeight w:val="420"/>
        </w:trPr>
        <w:tc>
          <w:tcPr>
            <w:tcW w:w="3544" w:type="dxa"/>
            <w:hideMark/>
          </w:tcPr>
          <w:p w14:paraId="70DDC807" w14:textId="77777777" w:rsidR="00A21C01" w:rsidRPr="00D66D81" w:rsidRDefault="00A21C01">
            <w:pPr>
              <w:spacing w:line="240" w:lineRule="auto"/>
              <w:rPr>
                <w:rFonts w:cs="Arial"/>
                <w:b/>
                <w:bCs/>
                <w:sz w:val="22"/>
              </w:rPr>
            </w:pPr>
            <w:r w:rsidRPr="00D66D81">
              <w:rPr>
                <w:rFonts w:cs="Arial"/>
                <w:b/>
                <w:bCs/>
                <w:sz w:val="22"/>
              </w:rPr>
              <w:t>Total</w:t>
            </w:r>
          </w:p>
        </w:tc>
        <w:tc>
          <w:tcPr>
            <w:tcW w:w="851" w:type="dxa"/>
            <w:shd w:val="clear" w:color="auto" w:fill="DEEAF6" w:themeFill="accent5" w:themeFillTint="33"/>
            <w:hideMark/>
          </w:tcPr>
          <w:p w14:paraId="074FB280" w14:textId="77777777" w:rsidR="00A21C01" w:rsidRPr="00D66D81" w:rsidRDefault="00A21C01">
            <w:pPr>
              <w:spacing w:line="240" w:lineRule="auto"/>
              <w:jc w:val="right"/>
              <w:rPr>
                <w:rFonts w:cs="Arial"/>
                <w:b/>
                <w:bCs/>
                <w:sz w:val="22"/>
              </w:rPr>
            </w:pPr>
            <w:r w:rsidRPr="00D66D81">
              <w:rPr>
                <w:rFonts w:cs="Arial"/>
                <w:b/>
                <w:bCs/>
                <w:sz w:val="22"/>
              </w:rPr>
              <w:t>6</w:t>
            </w:r>
          </w:p>
        </w:tc>
        <w:tc>
          <w:tcPr>
            <w:tcW w:w="1275" w:type="dxa"/>
            <w:hideMark/>
          </w:tcPr>
          <w:p w14:paraId="177F9904" w14:textId="77777777" w:rsidR="00A21C01" w:rsidRPr="00D66D81" w:rsidRDefault="00A21C01">
            <w:pPr>
              <w:spacing w:line="240" w:lineRule="auto"/>
              <w:jc w:val="right"/>
              <w:rPr>
                <w:rFonts w:cs="Arial"/>
                <w:b/>
                <w:bCs/>
                <w:sz w:val="22"/>
              </w:rPr>
            </w:pPr>
          </w:p>
        </w:tc>
        <w:tc>
          <w:tcPr>
            <w:tcW w:w="1276" w:type="dxa"/>
            <w:hideMark/>
          </w:tcPr>
          <w:p w14:paraId="151DF0FE" w14:textId="77777777" w:rsidR="00A21C01" w:rsidRPr="00D66D81" w:rsidRDefault="00A21C01">
            <w:pPr>
              <w:spacing w:line="240" w:lineRule="auto"/>
              <w:jc w:val="right"/>
              <w:rPr>
                <w:rFonts w:cs="Arial"/>
                <w:b/>
                <w:bCs/>
                <w:sz w:val="22"/>
              </w:rPr>
            </w:pPr>
          </w:p>
        </w:tc>
        <w:tc>
          <w:tcPr>
            <w:tcW w:w="992" w:type="dxa"/>
            <w:hideMark/>
          </w:tcPr>
          <w:p w14:paraId="38B2FF24" w14:textId="77777777" w:rsidR="00A21C01" w:rsidRPr="00D66D81" w:rsidRDefault="00A21C01">
            <w:pPr>
              <w:spacing w:line="240" w:lineRule="auto"/>
              <w:jc w:val="right"/>
              <w:rPr>
                <w:rFonts w:cs="Arial"/>
                <w:b/>
                <w:bCs/>
                <w:sz w:val="22"/>
              </w:rPr>
            </w:pPr>
          </w:p>
        </w:tc>
        <w:tc>
          <w:tcPr>
            <w:tcW w:w="1560" w:type="dxa"/>
            <w:hideMark/>
          </w:tcPr>
          <w:p w14:paraId="45F2CAC4" w14:textId="77777777" w:rsidR="00A21C01" w:rsidRPr="00D66D81" w:rsidRDefault="00A21C01">
            <w:pPr>
              <w:spacing w:line="240" w:lineRule="auto"/>
              <w:jc w:val="right"/>
              <w:rPr>
                <w:rFonts w:cs="Arial"/>
                <w:b/>
                <w:bCs/>
                <w:sz w:val="22"/>
              </w:rPr>
            </w:pPr>
            <w:r w:rsidRPr="00D66D81">
              <w:rPr>
                <w:rFonts w:cs="Arial"/>
                <w:b/>
                <w:bCs/>
                <w:sz w:val="22"/>
              </w:rPr>
              <w:t>1</w:t>
            </w:r>
          </w:p>
        </w:tc>
        <w:tc>
          <w:tcPr>
            <w:tcW w:w="1417" w:type="dxa"/>
            <w:hideMark/>
          </w:tcPr>
          <w:p w14:paraId="0E598E02" w14:textId="77777777" w:rsidR="00A21C01" w:rsidRPr="00D66D81" w:rsidRDefault="00A21C01">
            <w:pPr>
              <w:spacing w:line="240" w:lineRule="auto"/>
              <w:jc w:val="right"/>
              <w:rPr>
                <w:rFonts w:cs="Arial"/>
                <w:b/>
                <w:bCs/>
                <w:sz w:val="22"/>
              </w:rPr>
            </w:pPr>
            <w:r w:rsidRPr="00D66D81">
              <w:rPr>
                <w:rFonts w:cs="Arial"/>
                <w:b/>
                <w:bCs/>
                <w:sz w:val="22"/>
              </w:rPr>
              <w:t>5</w:t>
            </w:r>
          </w:p>
        </w:tc>
        <w:tc>
          <w:tcPr>
            <w:tcW w:w="1276" w:type="dxa"/>
            <w:hideMark/>
          </w:tcPr>
          <w:p w14:paraId="1CA99D2C" w14:textId="77777777" w:rsidR="00A21C01" w:rsidRPr="00D66D81" w:rsidRDefault="00A21C01">
            <w:pPr>
              <w:spacing w:line="240" w:lineRule="auto"/>
              <w:rPr>
                <w:rFonts w:cs="Arial"/>
                <w:b/>
                <w:bCs/>
                <w:sz w:val="22"/>
              </w:rPr>
            </w:pPr>
          </w:p>
        </w:tc>
        <w:tc>
          <w:tcPr>
            <w:tcW w:w="2693" w:type="dxa"/>
            <w:hideMark/>
          </w:tcPr>
          <w:p w14:paraId="31FF6E89" w14:textId="77777777" w:rsidR="00A21C01" w:rsidRPr="00D66D81" w:rsidRDefault="00A21C01">
            <w:pPr>
              <w:spacing w:line="240" w:lineRule="auto"/>
              <w:jc w:val="right"/>
              <w:rPr>
                <w:rFonts w:cs="Arial"/>
                <w:b/>
                <w:bCs/>
                <w:sz w:val="22"/>
              </w:rPr>
            </w:pPr>
          </w:p>
        </w:tc>
      </w:tr>
    </w:tbl>
    <w:p w14:paraId="3C4EDE49" w14:textId="38C531DD" w:rsidR="00A21C01" w:rsidRDefault="00A21C01" w:rsidP="001E1259">
      <w:pPr>
        <w:pStyle w:val="Tablesource"/>
        <w:rPr>
          <w:rFonts w:cs="Arial"/>
          <w:b/>
          <w:bCs/>
          <w:sz w:val="36"/>
          <w:szCs w:val="36"/>
        </w:rPr>
      </w:pPr>
      <w:r w:rsidRPr="006426BD">
        <w:t>Source:</w:t>
      </w:r>
      <w:r>
        <w:t xml:space="preserve"> Global Trade Alert Database,</w:t>
      </w:r>
      <w:r w:rsidRPr="006426BD">
        <w:t xml:space="preserve"> </w:t>
      </w:r>
      <w:r>
        <w:t>Arnolt, P. (2016), “</w:t>
      </w:r>
      <w:r w:rsidRPr="001519DE">
        <w:t>Anti-Circumvention of Anti-Dumping Measures: Law</w:t>
      </w:r>
      <w:r>
        <w:t xml:space="preserve"> </w:t>
      </w:r>
      <w:r w:rsidRPr="001519DE">
        <w:t>and Practice of Argentina</w:t>
      </w:r>
      <w:r>
        <w:t xml:space="preserve">”,  </w:t>
      </w:r>
      <w:r w:rsidRPr="001519DE">
        <w:t>Global Trade and Customs Journal, 11</w:t>
      </w:r>
      <w:r>
        <w:t>(</w:t>
      </w:r>
      <w:r w:rsidRPr="001519DE">
        <w:t>11/12</w:t>
      </w:r>
      <w:r>
        <w:t xml:space="preserve">): 473-478.  </w:t>
      </w:r>
    </w:p>
    <w:p w14:paraId="286432D9" w14:textId="77777777" w:rsidR="00B062F9" w:rsidRDefault="00B062F9" w:rsidP="0B87AE61">
      <w:pPr>
        <w:pStyle w:val="Heading1"/>
        <w:rPr>
          <w:rFonts w:cs="Arial"/>
        </w:rPr>
        <w:sectPr w:rsidR="00B062F9" w:rsidSect="00FB2409">
          <w:pgSz w:w="16838" w:h="11906" w:orient="landscape"/>
          <w:pgMar w:top="1440" w:right="1440" w:bottom="1440" w:left="1440" w:header="708" w:footer="708" w:gutter="0"/>
          <w:cols w:space="708"/>
          <w:docGrid w:linePitch="360"/>
        </w:sectPr>
      </w:pPr>
      <w:bookmarkStart w:id="191" w:name="_Toc1375598796"/>
      <w:bookmarkStart w:id="192" w:name="_Toc118465324"/>
    </w:p>
    <w:p w14:paraId="0E5117F5" w14:textId="2231D015" w:rsidR="00353BB8" w:rsidRPr="00FC1367" w:rsidRDefault="00353BB8" w:rsidP="0B87AE61">
      <w:pPr>
        <w:pStyle w:val="Heading1"/>
        <w:rPr>
          <w:rFonts w:cs="Arial"/>
        </w:rPr>
      </w:pPr>
      <w:r w:rsidRPr="0B87AE61">
        <w:rPr>
          <w:rFonts w:cs="Arial"/>
        </w:rPr>
        <w:t xml:space="preserve">Annex </w:t>
      </w:r>
      <w:r w:rsidR="00A21C01" w:rsidRPr="0B87AE61">
        <w:rPr>
          <w:rFonts w:cs="Arial"/>
        </w:rPr>
        <w:t>3</w:t>
      </w:r>
      <w:r w:rsidRPr="0B87AE61">
        <w:rPr>
          <w:rFonts w:cs="Arial"/>
        </w:rPr>
        <w:t xml:space="preserve"> – Quantity analysis from Example 1: </w:t>
      </w:r>
      <w:r w:rsidR="00F77802" w:rsidRPr="0B87AE61">
        <w:rPr>
          <w:rFonts w:cs="Arial"/>
        </w:rPr>
        <w:t>T</w:t>
      </w:r>
      <w:r w:rsidRPr="0B87AE61">
        <w:rPr>
          <w:rFonts w:cs="Arial"/>
        </w:rPr>
        <w:t>he application of UN Comtrade data to a past EU transhipment case</w:t>
      </w:r>
      <w:bookmarkEnd w:id="135"/>
      <w:bookmarkEnd w:id="191"/>
      <w:bookmarkEnd w:id="192"/>
    </w:p>
    <w:p w14:paraId="5810C22F" w14:textId="77777777" w:rsidR="00353BB8" w:rsidRPr="007E750E" w:rsidRDefault="00353BB8" w:rsidP="00353BB8"/>
    <w:tbl>
      <w:tblPr>
        <w:tblStyle w:val="TableGrid"/>
        <w:tblW w:w="0" w:type="auto"/>
        <w:tblLook w:val="04A0" w:firstRow="1" w:lastRow="0" w:firstColumn="1" w:lastColumn="0" w:noHBand="0" w:noVBand="1"/>
      </w:tblPr>
      <w:tblGrid>
        <w:gridCol w:w="9016"/>
      </w:tblGrid>
      <w:tr w:rsidR="00353BB8" w:rsidRPr="00F7615F" w14:paraId="26763643" w14:textId="77777777" w:rsidTr="00FE5F09">
        <w:tc>
          <w:tcPr>
            <w:tcW w:w="9016" w:type="dxa"/>
            <w:tcBorders>
              <w:bottom w:val="single" w:sz="4" w:space="0" w:color="auto"/>
            </w:tcBorders>
            <w:shd w:val="clear" w:color="auto" w:fill="24135F"/>
          </w:tcPr>
          <w:p w14:paraId="15F6570C" w14:textId="1525E57D" w:rsidR="00353BB8" w:rsidRPr="007E750E" w:rsidRDefault="00353BB8" w:rsidP="00C378F2">
            <w:pPr>
              <w:pStyle w:val="Caption"/>
              <w:spacing w:after="0" w:line="276" w:lineRule="auto"/>
              <w:rPr>
                <w:rFonts w:cs="Arial"/>
                <w:i w:val="0"/>
                <w:iCs w:val="0"/>
                <w:szCs w:val="24"/>
              </w:rPr>
            </w:pPr>
            <w:bookmarkStart w:id="193" w:name="_Ref112843438"/>
            <w:bookmarkStart w:id="194" w:name="_Ref100593584"/>
            <w:r w:rsidRPr="00766BA4">
              <w:rPr>
                <w:i w:val="0"/>
                <w:iCs w:val="0"/>
              </w:rPr>
              <w:t xml:space="preserve">Figure </w:t>
            </w:r>
            <w:r w:rsidR="00337849">
              <w:rPr>
                <w:i w:val="0"/>
                <w:iCs w:val="0"/>
              </w:rPr>
              <w:fldChar w:fldCharType="begin"/>
            </w:r>
            <w:r w:rsidR="00337849">
              <w:rPr>
                <w:i w:val="0"/>
                <w:iCs w:val="0"/>
              </w:rPr>
              <w:instrText xml:space="preserve"> SEQ Figure \* ARABIC </w:instrText>
            </w:r>
            <w:r w:rsidR="00337849">
              <w:rPr>
                <w:i w:val="0"/>
                <w:iCs w:val="0"/>
              </w:rPr>
              <w:fldChar w:fldCharType="separate"/>
            </w:r>
            <w:r w:rsidR="00625A64">
              <w:rPr>
                <w:i w:val="0"/>
                <w:iCs w:val="0"/>
                <w:noProof/>
              </w:rPr>
              <w:t>26</w:t>
            </w:r>
            <w:r w:rsidR="00337849">
              <w:rPr>
                <w:i w:val="0"/>
                <w:iCs w:val="0"/>
              </w:rPr>
              <w:fldChar w:fldCharType="end"/>
            </w:r>
            <w:bookmarkEnd w:id="193"/>
            <w:bookmarkEnd w:id="194"/>
            <w:r w:rsidRPr="00766BA4">
              <w:rPr>
                <w:i w:val="0"/>
                <w:iCs w:val="0"/>
              </w:rPr>
              <w:t xml:space="preserve">: </w:t>
            </w:r>
            <w:r w:rsidRPr="00C378F2">
              <w:t>Quantity of monthly imports into the EU from</w:t>
            </w:r>
            <w:r w:rsidR="00B60B96" w:rsidRPr="00C378F2">
              <w:t xml:space="preserve"> </w:t>
            </w:r>
            <w:r w:rsidR="005E036D">
              <w:t xml:space="preserve">the </w:t>
            </w:r>
            <w:r w:rsidR="002406F0" w:rsidRPr="00C378F2">
              <w:t>PRC</w:t>
            </w:r>
            <w:r w:rsidRPr="00C378F2">
              <w:t xml:space="preserve"> and Malaysia for glass fibres (certain open mesh fabrics) for 2010 to 2013</w:t>
            </w:r>
          </w:p>
        </w:tc>
      </w:tr>
      <w:tr w:rsidR="00353BB8" w:rsidRPr="00F7615F" w14:paraId="38EF9BFE" w14:textId="77777777" w:rsidTr="00FE5F09">
        <w:trPr>
          <w:trHeight w:val="5525"/>
        </w:trPr>
        <w:tc>
          <w:tcPr>
            <w:tcW w:w="9016" w:type="dxa"/>
            <w:tcBorders>
              <w:bottom w:val="single" w:sz="4" w:space="0" w:color="auto"/>
            </w:tcBorders>
          </w:tcPr>
          <w:p w14:paraId="200C6615" w14:textId="77777777" w:rsidR="00353BB8" w:rsidRPr="009275A8" w:rsidRDefault="00353BB8" w:rsidP="00FE5F09">
            <w:pPr>
              <w:tabs>
                <w:tab w:val="center" w:pos="4400"/>
              </w:tabs>
              <w:jc w:val="center"/>
              <w:rPr>
                <w:rFonts w:cs="Arial"/>
                <w:noProof/>
                <w:sz w:val="12"/>
                <w:szCs w:val="12"/>
              </w:rPr>
            </w:pPr>
          </w:p>
          <w:p w14:paraId="16B500E2" w14:textId="4B631BF8" w:rsidR="00353BB8" w:rsidRPr="00F7615F" w:rsidRDefault="00116D3F" w:rsidP="00FE5F09">
            <w:pPr>
              <w:tabs>
                <w:tab w:val="center" w:pos="4400"/>
              </w:tabs>
              <w:jc w:val="center"/>
              <w:rPr>
                <w:rFonts w:cs="Arial"/>
                <w:szCs w:val="24"/>
              </w:rPr>
            </w:pPr>
            <w:r>
              <w:rPr>
                <w:noProof/>
              </w:rPr>
              <w:drawing>
                <wp:inline distT="0" distB="0" distL="0" distR="0" wp14:anchorId="67A46F8C" wp14:editId="19C31C7D">
                  <wp:extent cx="5292870" cy="344805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b="4970"/>
                          <a:stretch/>
                        </pic:blipFill>
                        <pic:spPr bwMode="auto">
                          <a:xfrm>
                            <a:off x="0" y="0"/>
                            <a:ext cx="5293468" cy="34484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53BB8" w:rsidRPr="00BC5820" w14:paraId="4A0F9CE1" w14:textId="77777777" w:rsidTr="00FE5F09">
        <w:tc>
          <w:tcPr>
            <w:tcW w:w="9016" w:type="dxa"/>
            <w:tcBorders>
              <w:top w:val="single" w:sz="4" w:space="0" w:color="auto"/>
              <w:left w:val="nil"/>
              <w:bottom w:val="nil"/>
              <w:right w:val="nil"/>
            </w:tcBorders>
          </w:tcPr>
          <w:p w14:paraId="5B403A76" w14:textId="5D4915F9" w:rsidR="00353BB8" w:rsidRPr="00BC5820" w:rsidRDefault="00353BB8" w:rsidP="00FE5F09">
            <w:pPr>
              <w:pStyle w:val="Tablesource"/>
              <w:rPr>
                <w:iCs/>
                <w:color w:val="005EA5"/>
                <w:u w:val="single"/>
              </w:rPr>
            </w:pPr>
            <w:r w:rsidRPr="00BC5820">
              <w:t xml:space="preserve">Source: </w:t>
            </w:r>
            <w:r>
              <w:t>Frontier Economics analysis of UN Comtrade data</w:t>
            </w:r>
            <w:r w:rsidR="00B14C9A">
              <w:t>.</w:t>
            </w:r>
          </w:p>
        </w:tc>
      </w:tr>
    </w:tbl>
    <w:p w14:paraId="54023FAD" w14:textId="22557DAC" w:rsidR="00D66D81" w:rsidRDefault="00D66D81" w:rsidP="00353BB8">
      <w:pPr>
        <w:pStyle w:val="Caption"/>
        <w:keepNext/>
      </w:pPr>
      <w:r>
        <w:br w:type="page"/>
      </w:r>
    </w:p>
    <w:p w14:paraId="44C2FACA" w14:textId="77777777" w:rsidR="00353BB8" w:rsidRDefault="00353BB8" w:rsidP="00353BB8">
      <w:pPr>
        <w:pStyle w:val="Caption"/>
        <w:keepNext/>
      </w:pPr>
    </w:p>
    <w:tbl>
      <w:tblPr>
        <w:tblStyle w:val="TableGrid"/>
        <w:tblW w:w="0" w:type="auto"/>
        <w:tblLook w:val="04A0" w:firstRow="1" w:lastRow="0" w:firstColumn="1" w:lastColumn="0" w:noHBand="0" w:noVBand="1"/>
      </w:tblPr>
      <w:tblGrid>
        <w:gridCol w:w="9016"/>
      </w:tblGrid>
      <w:tr w:rsidR="00353BB8" w:rsidRPr="00F7615F" w14:paraId="582CBF04" w14:textId="77777777" w:rsidTr="00FE5F09">
        <w:tc>
          <w:tcPr>
            <w:tcW w:w="9016" w:type="dxa"/>
            <w:tcBorders>
              <w:bottom w:val="single" w:sz="4" w:space="0" w:color="auto"/>
            </w:tcBorders>
            <w:shd w:val="clear" w:color="auto" w:fill="24135F"/>
          </w:tcPr>
          <w:p w14:paraId="7551A4D0" w14:textId="11D3D9F8" w:rsidR="00353BB8" w:rsidRPr="007E750E" w:rsidRDefault="00353BB8" w:rsidP="00C378F2">
            <w:pPr>
              <w:pStyle w:val="Caption"/>
              <w:spacing w:after="0" w:line="276" w:lineRule="auto"/>
              <w:rPr>
                <w:rFonts w:cs="Arial"/>
                <w:i w:val="0"/>
                <w:iCs w:val="0"/>
                <w:szCs w:val="24"/>
              </w:rPr>
            </w:pPr>
            <w:r w:rsidRPr="00766BA4">
              <w:rPr>
                <w:i w:val="0"/>
                <w:iCs w:val="0"/>
              </w:rPr>
              <w:t xml:space="preserve">Figure </w:t>
            </w:r>
            <w:r w:rsidR="00337849">
              <w:rPr>
                <w:i w:val="0"/>
                <w:iCs w:val="0"/>
              </w:rPr>
              <w:fldChar w:fldCharType="begin"/>
            </w:r>
            <w:r w:rsidR="00337849">
              <w:rPr>
                <w:i w:val="0"/>
                <w:iCs w:val="0"/>
              </w:rPr>
              <w:instrText xml:space="preserve"> SEQ Figure \* ARABIC </w:instrText>
            </w:r>
            <w:r w:rsidR="00337849">
              <w:rPr>
                <w:i w:val="0"/>
                <w:iCs w:val="0"/>
              </w:rPr>
              <w:fldChar w:fldCharType="separate"/>
            </w:r>
            <w:r w:rsidR="00625A64">
              <w:rPr>
                <w:i w:val="0"/>
                <w:iCs w:val="0"/>
                <w:noProof/>
              </w:rPr>
              <w:t>27</w:t>
            </w:r>
            <w:r w:rsidR="00337849">
              <w:rPr>
                <w:i w:val="0"/>
                <w:iCs w:val="0"/>
              </w:rPr>
              <w:fldChar w:fldCharType="end"/>
            </w:r>
            <w:r w:rsidRPr="00766BA4">
              <w:rPr>
                <w:i w:val="0"/>
                <w:iCs w:val="0"/>
              </w:rPr>
              <w:t xml:space="preserve">: </w:t>
            </w:r>
            <w:r w:rsidRPr="00C378F2">
              <w:t xml:space="preserve">Quantity of monthly exports from </w:t>
            </w:r>
            <w:r w:rsidR="005E036D">
              <w:t xml:space="preserve">the </w:t>
            </w:r>
            <w:r w:rsidR="002406F0" w:rsidRPr="00C378F2">
              <w:t>PRC</w:t>
            </w:r>
            <w:r w:rsidRPr="00C378F2">
              <w:t xml:space="preserve"> to Malaysia for glass fibres (certain open mesh fabrics) for 2010 to 2013</w:t>
            </w:r>
          </w:p>
        </w:tc>
      </w:tr>
      <w:tr w:rsidR="00353BB8" w:rsidRPr="00F7615F" w14:paraId="10B5624B" w14:textId="77777777" w:rsidTr="00FE5F09">
        <w:trPr>
          <w:trHeight w:val="5525"/>
        </w:trPr>
        <w:tc>
          <w:tcPr>
            <w:tcW w:w="9016" w:type="dxa"/>
            <w:tcBorders>
              <w:bottom w:val="single" w:sz="4" w:space="0" w:color="auto"/>
            </w:tcBorders>
          </w:tcPr>
          <w:p w14:paraId="47A8D53E" w14:textId="77777777" w:rsidR="00353BB8" w:rsidRPr="009275A8" w:rsidRDefault="00353BB8" w:rsidP="00FE5F09">
            <w:pPr>
              <w:tabs>
                <w:tab w:val="center" w:pos="4400"/>
              </w:tabs>
              <w:jc w:val="center"/>
              <w:rPr>
                <w:rFonts w:cs="Arial"/>
                <w:noProof/>
                <w:sz w:val="12"/>
                <w:szCs w:val="12"/>
              </w:rPr>
            </w:pPr>
          </w:p>
          <w:p w14:paraId="33098EBB" w14:textId="34896072" w:rsidR="00353BB8" w:rsidRPr="00F7615F" w:rsidRDefault="006F7B58" w:rsidP="006F7B58">
            <w:pPr>
              <w:tabs>
                <w:tab w:val="center" w:pos="4400"/>
              </w:tabs>
              <w:jc w:val="center"/>
              <w:rPr>
                <w:rFonts w:cs="Arial"/>
                <w:szCs w:val="24"/>
              </w:rPr>
            </w:pPr>
            <w:r>
              <w:rPr>
                <w:noProof/>
              </w:rPr>
              <w:drawing>
                <wp:inline distT="0" distB="0" distL="0" distR="0" wp14:anchorId="4BDB65C8" wp14:editId="4AA53E4F">
                  <wp:extent cx="5315095" cy="3457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b="4990"/>
                          <a:stretch/>
                        </pic:blipFill>
                        <pic:spPr bwMode="auto">
                          <a:xfrm>
                            <a:off x="0" y="0"/>
                            <a:ext cx="5315701" cy="34579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53BB8" w:rsidRPr="00BC5820" w14:paraId="2977A7C4" w14:textId="77777777" w:rsidTr="00FE5F09">
        <w:tc>
          <w:tcPr>
            <w:tcW w:w="9016" w:type="dxa"/>
            <w:tcBorders>
              <w:top w:val="single" w:sz="4" w:space="0" w:color="auto"/>
              <w:left w:val="nil"/>
              <w:bottom w:val="nil"/>
              <w:right w:val="nil"/>
            </w:tcBorders>
          </w:tcPr>
          <w:p w14:paraId="1988A03B" w14:textId="4E235B33" w:rsidR="00353BB8" w:rsidRPr="00BC5820" w:rsidRDefault="00353BB8" w:rsidP="00FE5F09">
            <w:pPr>
              <w:pStyle w:val="Tablesource"/>
              <w:rPr>
                <w:iCs/>
                <w:color w:val="005EA5"/>
                <w:u w:val="single"/>
              </w:rPr>
            </w:pPr>
            <w:r w:rsidRPr="00BC5820">
              <w:t xml:space="preserve">Source: </w:t>
            </w:r>
            <w:r>
              <w:t>Frontier Economics analysis of UN Comtrade data</w:t>
            </w:r>
            <w:r w:rsidR="00B14C9A">
              <w:t>.</w:t>
            </w:r>
          </w:p>
        </w:tc>
      </w:tr>
    </w:tbl>
    <w:p w14:paraId="37416369" w14:textId="5369E741" w:rsidR="00D66D81" w:rsidRDefault="00D66D81" w:rsidP="00353BB8">
      <w:pPr>
        <w:pStyle w:val="Caption"/>
        <w:keepNext/>
      </w:pPr>
      <w:r>
        <w:br w:type="page"/>
      </w:r>
    </w:p>
    <w:tbl>
      <w:tblPr>
        <w:tblStyle w:val="TableGrid"/>
        <w:tblW w:w="0" w:type="auto"/>
        <w:tblLook w:val="04A0" w:firstRow="1" w:lastRow="0" w:firstColumn="1" w:lastColumn="0" w:noHBand="0" w:noVBand="1"/>
      </w:tblPr>
      <w:tblGrid>
        <w:gridCol w:w="9016"/>
      </w:tblGrid>
      <w:tr w:rsidR="00353BB8" w:rsidRPr="00F7615F" w14:paraId="340A204B" w14:textId="77777777" w:rsidTr="00FE5F09">
        <w:tc>
          <w:tcPr>
            <w:tcW w:w="9016" w:type="dxa"/>
            <w:tcBorders>
              <w:bottom w:val="single" w:sz="4" w:space="0" w:color="auto"/>
            </w:tcBorders>
            <w:shd w:val="clear" w:color="auto" w:fill="24135F"/>
          </w:tcPr>
          <w:p w14:paraId="628F71B5" w14:textId="420B0943" w:rsidR="00353BB8" w:rsidRPr="007E750E" w:rsidRDefault="00353BB8" w:rsidP="00C378F2">
            <w:pPr>
              <w:pStyle w:val="Caption"/>
              <w:spacing w:after="0" w:line="276" w:lineRule="auto"/>
              <w:rPr>
                <w:rFonts w:cs="Arial"/>
                <w:i w:val="0"/>
                <w:iCs w:val="0"/>
                <w:szCs w:val="24"/>
              </w:rPr>
            </w:pPr>
            <w:bookmarkStart w:id="195" w:name="_Ref112843450"/>
            <w:bookmarkStart w:id="196" w:name="_Ref100593586"/>
            <w:r w:rsidRPr="00766BA4">
              <w:rPr>
                <w:i w:val="0"/>
                <w:iCs w:val="0"/>
              </w:rPr>
              <w:t xml:space="preserve">Figure </w:t>
            </w:r>
            <w:r w:rsidR="00337849">
              <w:rPr>
                <w:i w:val="0"/>
                <w:iCs w:val="0"/>
              </w:rPr>
              <w:fldChar w:fldCharType="begin"/>
            </w:r>
            <w:r w:rsidR="00337849">
              <w:rPr>
                <w:i w:val="0"/>
                <w:iCs w:val="0"/>
              </w:rPr>
              <w:instrText xml:space="preserve"> SEQ Figure \* ARABIC </w:instrText>
            </w:r>
            <w:r w:rsidR="00337849">
              <w:rPr>
                <w:i w:val="0"/>
                <w:iCs w:val="0"/>
              </w:rPr>
              <w:fldChar w:fldCharType="separate"/>
            </w:r>
            <w:r w:rsidR="00625A64">
              <w:rPr>
                <w:i w:val="0"/>
                <w:iCs w:val="0"/>
                <w:noProof/>
              </w:rPr>
              <w:t>28</w:t>
            </w:r>
            <w:r w:rsidR="00337849">
              <w:rPr>
                <w:i w:val="0"/>
                <w:iCs w:val="0"/>
              </w:rPr>
              <w:fldChar w:fldCharType="end"/>
            </w:r>
            <w:bookmarkEnd w:id="195"/>
            <w:bookmarkEnd w:id="196"/>
            <w:r w:rsidRPr="00766BA4">
              <w:rPr>
                <w:i w:val="0"/>
                <w:iCs w:val="0"/>
              </w:rPr>
              <w:t>:</w:t>
            </w:r>
            <w:r w:rsidRPr="00766BA4">
              <w:rPr>
                <w:rFonts w:cs="Arial"/>
                <w:i w:val="0"/>
                <w:iCs w:val="0"/>
              </w:rPr>
              <w:t xml:space="preserve"> </w:t>
            </w:r>
            <w:r w:rsidRPr="00C378F2">
              <w:rPr>
                <w:rFonts w:cs="Arial"/>
              </w:rPr>
              <w:t>Quantity</w:t>
            </w:r>
            <w:r w:rsidRPr="00C378F2">
              <w:t xml:space="preserve"> of monthly imports into Malaysia from</w:t>
            </w:r>
            <w:r w:rsidR="00B60B96" w:rsidRPr="00C378F2">
              <w:t xml:space="preserve"> </w:t>
            </w:r>
            <w:r w:rsidR="005E036D">
              <w:t xml:space="preserve">the </w:t>
            </w:r>
            <w:r w:rsidR="002406F0" w:rsidRPr="00C378F2">
              <w:t>PRC</w:t>
            </w:r>
            <w:r w:rsidRPr="00C378F2">
              <w:t xml:space="preserve"> for glass fibres (certain open mesh fabrics) for 2010 to 2013</w:t>
            </w:r>
          </w:p>
        </w:tc>
      </w:tr>
      <w:tr w:rsidR="00353BB8" w:rsidRPr="00F7615F" w14:paraId="2A0D921F" w14:textId="77777777" w:rsidTr="00FE5F09">
        <w:trPr>
          <w:trHeight w:val="5525"/>
        </w:trPr>
        <w:tc>
          <w:tcPr>
            <w:tcW w:w="9016" w:type="dxa"/>
            <w:tcBorders>
              <w:bottom w:val="single" w:sz="4" w:space="0" w:color="auto"/>
            </w:tcBorders>
          </w:tcPr>
          <w:p w14:paraId="0385BA89" w14:textId="77777777" w:rsidR="00353BB8" w:rsidRPr="009275A8" w:rsidRDefault="00353BB8" w:rsidP="00FE5F09">
            <w:pPr>
              <w:tabs>
                <w:tab w:val="center" w:pos="4400"/>
              </w:tabs>
              <w:jc w:val="center"/>
              <w:rPr>
                <w:rFonts w:cs="Arial"/>
                <w:noProof/>
                <w:sz w:val="12"/>
                <w:szCs w:val="12"/>
              </w:rPr>
            </w:pPr>
          </w:p>
          <w:p w14:paraId="3C51D2B7" w14:textId="23EA941A" w:rsidR="00353BB8" w:rsidRPr="00F7615F" w:rsidRDefault="006F7B58" w:rsidP="00FE5F09">
            <w:pPr>
              <w:tabs>
                <w:tab w:val="center" w:pos="4400"/>
              </w:tabs>
              <w:jc w:val="center"/>
              <w:rPr>
                <w:rFonts w:cs="Arial"/>
                <w:noProof/>
                <w:szCs w:val="24"/>
              </w:rPr>
            </w:pPr>
            <w:r>
              <w:rPr>
                <w:noProof/>
              </w:rPr>
              <w:drawing>
                <wp:inline distT="0" distB="0" distL="0" distR="0" wp14:anchorId="510F7A0A" wp14:editId="7EF8DAD8">
                  <wp:extent cx="5283561" cy="3429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b="5213"/>
                          <a:stretch/>
                        </pic:blipFill>
                        <pic:spPr bwMode="auto">
                          <a:xfrm>
                            <a:off x="0" y="0"/>
                            <a:ext cx="5284153" cy="34293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53BB8" w:rsidRPr="00BC5820" w14:paraId="7BCF54A1" w14:textId="77777777" w:rsidTr="00FE5F09">
        <w:tc>
          <w:tcPr>
            <w:tcW w:w="9016" w:type="dxa"/>
            <w:tcBorders>
              <w:top w:val="single" w:sz="4" w:space="0" w:color="auto"/>
              <w:left w:val="nil"/>
              <w:bottom w:val="nil"/>
              <w:right w:val="nil"/>
            </w:tcBorders>
          </w:tcPr>
          <w:p w14:paraId="65AB685B" w14:textId="73873807" w:rsidR="00353BB8" w:rsidRPr="00BC5820" w:rsidRDefault="00353BB8" w:rsidP="00FE5F09">
            <w:pPr>
              <w:pStyle w:val="Tablesource"/>
              <w:rPr>
                <w:iCs/>
                <w:color w:val="005EA5"/>
                <w:u w:val="single"/>
              </w:rPr>
            </w:pPr>
            <w:r w:rsidRPr="00BC5820">
              <w:t xml:space="preserve">Source: </w:t>
            </w:r>
            <w:r>
              <w:t>Frontier Economics analysis of UN Comtrade data</w:t>
            </w:r>
            <w:r w:rsidR="00B14C9A">
              <w:t>.</w:t>
            </w:r>
          </w:p>
        </w:tc>
      </w:tr>
    </w:tbl>
    <w:p w14:paraId="5BEEA211" w14:textId="77777777" w:rsidR="00353BB8" w:rsidRDefault="00353BB8" w:rsidP="00353BB8">
      <w:pPr>
        <w:rPr>
          <w:rFonts w:cs="Arial"/>
          <w:szCs w:val="24"/>
        </w:rPr>
      </w:pPr>
    </w:p>
    <w:p w14:paraId="6CCC507F" w14:textId="77777777" w:rsidR="00353BB8" w:rsidRDefault="00353BB8" w:rsidP="00353BB8">
      <w:pPr>
        <w:rPr>
          <w:rFonts w:cs="Arial"/>
          <w:szCs w:val="24"/>
        </w:rPr>
      </w:pPr>
      <w:r>
        <w:rPr>
          <w:rFonts w:cs="Arial"/>
          <w:szCs w:val="24"/>
        </w:rPr>
        <w:br w:type="page"/>
      </w:r>
    </w:p>
    <w:p w14:paraId="75390EAC" w14:textId="3C3A88D4" w:rsidR="00353BB8" w:rsidRDefault="00353BB8" w:rsidP="0B87AE61">
      <w:pPr>
        <w:pStyle w:val="Heading1"/>
        <w:rPr>
          <w:rFonts w:cs="Arial"/>
          <w:b w:val="0"/>
        </w:rPr>
      </w:pPr>
      <w:bookmarkStart w:id="197" w:name="_Toc101182687"/>
      <w:bookmarkStart w:id="198" w:name="_Toc69940522"/>
      <w:bookmarkStart w:id="199" w:name="_Toc118465325"/>
      <w:r w:rsidRPr="0B87AE61">
        <w:rPr>
          <w:rFonts w:cs="Arial"/>
        </w:rPr>
        <w:t xml:space="preserve">Annex </w:t>
      </w:r>
      <w:r w:rsidR="00FC1367" w:rsidRPr="0B87AE61">
        <w:rPr>
          <w:rFonts w:cs="Arial"/>
        </w:rPr>
        <w:t>4</w:t>
      </w:r>
      <w:r w:rsidRPr="0B87AE61">
        <w:rPr>
          <w:rFonts w:cs="Arial"/>
        </w:rPr>
        <w:t xml:space="preserve"> – Supplementary charts from Example 2: </w:t>
      </w:r>
      <w:r w:rsidR="00F77802" w:rsidRPr="0B87AE61">
        <w:rPr>
          <w:rFonts w:cs="Arial"/>
        </w:rPr>
        <w:t>P</w:t>
      </w:r>
      <w:r w:rsidRPr="0B87AE61">
        <w:rPr>
          <w:rFonts w:cs="Arial"/>
        </w:rPr>
        <w:t xml:space="preserve">otential extension of trade remedy duties to continuous glass fibre from </w:t>
      </w:r>
      <w:r w:rsidR="002406F0" w:rsidRPr="0B87AE61">
        <w:rPr>
          <w:rFonts w:cs="Arial"/>
        </w:rPr>
        <w:t>PRC</w:t>
      </w:r>
      <w:bookmarkEnd w:id="197"/>
      <w:bookmarkEnd w:id="198"/>
      <w:bookmarkEnd w:id="199"/>
    </w:p>
    <w:tbl>
      <w:tblPr>
        <w:tblStyle w:val="TableGrid"/>
        <w:tblW w:w="0" w:type="auto"/>
        <w:tblLook w:val="04A0" w:firstRow="1" w:lastRow="0" w:firstColumn="1" w:lastColumn="0" w:noHBand="0" w:noVBand="1"/>
      </w:tblPr>
      <w:tblGrid>
        <w:gridCol w:w="9016"/>
      </w:tblGrid>
      <w:tr w:rsidR="00353BB8" w:rsidRPr="00F7615F" w14:paraId="121EF6CC" w14:textId="77777777" w:rsidTr="00FE5F09">
        <w:tc>
          <w:tcPr>
            <w:tcW w:w="9016" w:type="dxa"/>
            <w:tcBorders>
              <w:bottom w:val="single" w:sz="4" w:space="0" w:color="auto"/>
            </w:tcBorders>
            <w:shd w:val="clear" w:color="auto" w:fill="24135F"/>
          </w:tcPr>
          <w:p w14:paraId="5114481A" w14:textId="35F99513" w:rsidR="00353BB8" w:rsidRPr="00C57E0F" w:rsidRDefault="00353BB8" w:rsidP="00FE5F09">
            <w:pPr>
              <w:pStyle w:val="Caption"/>
            </w:pPr>
            <w:bookmarkStart w:id="200" w:name="_Ref112862363"/>
            <w:r w:rsidRPr="00A2245D">
              <w:rPr>
                <w:i w:val="0"/>
                <w:iCs w:val="0"/>
              </w:rPr>
              <w:t xml:space="preserve">Figure </w:t>
            </w:r>
            <w:r w:rsidR="00947A92" w:rsidRPr="00A2245D">
              <w:rPr>
                <w:i w:val="0"/>
                <w:iCs w:val="0"/>
              </w:rPr>
              <w:fldChar w:fldCharType="begin"/>
            </w:r>
            <w:r w:rsidR="00947A92" w:rsidRPr="00A2245D">
              <w:rPr>
                <w:i w:val="0"/>
                <w:iCs w:val="0"/>
              </w:rPr>
              <w:instrText xml:space="preserve"> SEQ Figure \* ARABIC </w:instrText>
            </w:r>
            <w:r w:rsidR="00947A92" w:rsidRPr="00A2245D">
              <w:rPr>
                <w:i w:val="0"/>
                <w:iCs w:val="0"/>
              </w:rPr>
              <w:fldChar w:fldCharType="separate"/>
            </w:r>
            <w:r w:rsidR="00625A64">
              <w:rPr>
                <w:i w:val="0"/>
                <w:iCs w:val="0"/>
                <w:noProof/>
              </w:rPr>
              <w:t>29</w:t>
            </w:r>
            <w:r w:rsidR="00947A92" w:rsidRPr="00A2245D">
              <w:rPr>
                <w:i w:val="0"/>
                <w:iCs w:val="0"/>
                <w:noProof/>
              </w:rPr>
              <w:fldChar w:fldCharType="end"/>
            </w:r>
            <w:bookmarkEnd w:id="200"/>
            <w:r w:rsidRPr="00A2245D">
              <w:rPr>
                <w:i w:val="0"/>
                <w:iCs w:val="0"/>
              </w:rPr>
              <w:t>:</w:t>
            </w:r>
            <w:r>
              <w:t xml:space="preserve"> </w:t>
            </w:r>
            <w:r w:rsidRPr="00C57E0F">
              <w:t>Value of monthly imports into the EU</w:t>
            </w:r>
            <w:r>
              <w:t xml:space="preserve">-28 </w:t>
            </w:r>
            <w:r w:rsidRPr="00C57E0F">
              <w:t>from</w:t>
            </w:r>
            <w:r w:rsidR="00B60B96">
              <w:t xml:space="preserve"> </w:t>
            </w:r>
            <w:r w:rsidR="005E036D">
              <w:t xml:space="preserve">the </w:t>
            </w:r>
            <w:r w:rsidR="002406F0">
              <w:t>PRC</w:t>
            </w:r>
            <w:r>
              <w:t xml:space="preserve">, </w:t>
            </w:r>
            <w:r w:rsidR="00F110AE">
              <w:t>South-East</w:t>
            </w:r>
            <w:r>
              <w:t xml:space="preserve"> Asia, Taiwan, Hong Kong and India </w:t>
            </w:r>
            <w:r w:rsidRPr="00C57E0F">
              <w:t xml:space="preserve">for </w:t>
            </w:r>
            <w:r>
              <w:t>CN code: 7019 12 00 for 2015 to 2020</w:t>
            </w:r>
          </w:p>
        </w:tc>
      </w:tr>
      <w:tr w:rsidR="00353BB8" w:rsidRPr="00F7615F" w14:paraId="0D58A201" w14:textId="77777777" w:rsidTr="00FE5F09">
        <w:trPr>
          <w:trHeight w:val="5525"/>
        </w:trPr>
        <w:tc>
          <w:tcPr>
            <w:tcW w:w="9016" w:type="dxa"/>
            <w:tcBorders>
              <w:bottom w:val="single" w:sz="4" w:space="0" w:color="auto"/>
            </w:tcBorders>
          </w:tcPr>
          <w:p w14:paraId="48EEB26C" w14:textId="77777777" w:rsidR="00353BB8" w:rsidRPr="00AD25FF" w:rsidRDefault="00353BB8" w:rsidP="00FE5F09">
            <w:pPr>
              <w:tabs>
                <w:tab w:val="center" w:pos="4400"/>
              </w:tabs>
              <w:jc w:val="center"/>
              <w:rPr>
                <w:rFonts w:cs="Arial"/>
                <w:noProof/>
                <w:sz w:val="10"/>
                <w:szCs w:val="10"/>
              </w:rPr>
            </w:pPr>
          </w:p>
          <w:p w14:paraId="083FA990" w14:textId="014D729D" w:rsidR="00353BB8" w:rsidRPr="00F7615F" w:rsidRDefault="00C53C6D" w:rsidP="00FE5F09">
            <w:pPr>
              <w:tabs>
                <w:tab w:val="center" w:pos="4400"/>
              </w:tabs>
              <w:jc w:val="center"/>
              <w:rPr>
                <w:rFonts w:cs="Arial"/>
                <w:szCs w:val="24"/>
              </w:rPr>
            </w:pPr>
            <w:r>
              <w:rPr>
                <w:noProof/>
              </w:rPr>
              <w:drawing>
                <wp:inline distT="0" distB="0" distL="0" distR="0" wp14:anchorId="19B3FDB3" wp14:editId="6A4E14C1">
                  <wp:extent cx="5188964" cy="3352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b="5630"/>
                          <a:stretch/>
                        </pic:blipFill>
                        <pic:spPr bwMode="auto">
                          <a:xfrm>
                            <a:off x="0" y="0"/>
                            <a:ext cx="5189512" cy="33531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53BB8" w:rsidRPr="00BC5820" w14:paraId="1D1FC939" w14:textId="77777777" w:rsidTr="00FE5F09">
        <w:tc>
          <w:tcPr>
            <w:tcW w:w="9016" w:type="dxa"/>
            <w:tcBorders>
              <w:top w:val="single" w:sz="4" w:space="0" w:color="auto"/>
              <w:left w:val="nil"/>
              <w:bottom w:val="nil"/>
              <w:right w:val="nil"/>
            </w:tcBorders>
          </w:tcPr>
          <w:p w14:paraId="03F5A23D" w14:textId="77777777" w:rsidR="00AF4614" w:rsidRDefault="00AF4614" w:rsidP="00AF4614">
            <w:pPr>
              <w:pStyle w:val="Tablenote"/>
            </w:pPr>
            <w:r>
              <w:t xml:space="preserve">Note: </w:t>
            </w:r>
            <w:r w:rsidRPr="00AD25FF">
              <w:t>Data presented is a three-month moving average.</w:t>
            </w:r>
            <w:r>
              <w:t xml:space="preserve"> Not all South-East Asian countries are included, as data was not available.</w:t>
            </w:r>
          </w:p>
          <w:p w14:paraId="1C4BA5AE" w14:textId="244867F9" w:rsidR="00B25A27" w:rsidRPr="00BC5820" w:rsidRDefault="00B25A27" w:rsidP="00FE5F09">
            <w:pPr>
              <w:pStyle w:val="Tablesource"/>
              <w:rPr>
                <w:iCs/>
                <w:color w:val="005EA5"/>
                <w:u w:val="single"/>
              </w:rPr>
            </w:pPr>
            <w:r w:rsidRPr="00BC5820">
              <w:t xml:space="preserve">Source: </w:t>
            </w:r>
            <w:r>
              <w:t>Frontier Economics analysis of Eurostat data</w:t>
            </w:r>
            <w:r w:rsidRPr="00AD25FF">
              <w:t xml:space="preserve">. </w:t>
            </w:r>
          </w:p>
        </w:tc>
      </w:tr>
    </w:tbl>
    <w:p w14:paraId="1FD03BB6" w14:textId="77777777" w:rsidR="00F43626" w:rsidRDefault="00F43626" w:rsidP="00353BB8">
      <w:pPr>
        <w:sectPr w:rsidR="00F43626" w:rsidSect="00B062F9">
          <w:pgSz w:w="11906" w:h="16838"/>
          <w:pgMar w:top="1440" w:right="1440" w:bottom="1440" w:left="1440" w:header="708" w:footer="708" w:gutter="0"/>
          <w:cols w:space="708"/>
          <w:docGrid w:linePitch="360"/>
        </w:sectPr>
      </w:pPr>
    </w:p>
    <w:p w14:paraId="67774E58" w14:textId="7D32C583" w:rsidR="00353BB8" w:rsidRDefault="00353BB8" w:rsidP="00353BB8"/>
    <w:tbl>
      <w:tblPr>
        <w:tblStyle w:val="TableGrid"/>
        <w:tblW w:w="0" w:type="auto"/>
        <w:tblLook w:val="04A0" w:firstRow="1" w:lastRow="0" w:firstColumn="1" w:lastColumn="0" w:noHBand="0" w:noVBand="1"/>
      </w:tblPr>
      <w:tblGrid>
        <w:gridCol w:w="9016"/>
      </w:tblGrid>
      <w:tr w:rsidR="00353BB8" w:rsidRPr="00F7615F" w14:paraId="591EA17C" w14:textId="77777777" w:rsidTr="00FE5F09">
        <w:tc>
          <w:tcPr>
            <w:tcW w:w="9016" w:type="dxa"/>
            <w:tcBorders>
              <w:bottom w:val="single" w:sz="4" w:space="0" w:color="auto"/>
            </w:tcBorders>
            <w:shd w:val="clear" w:color="auto" w:fill="24135F"/>
          </w:tcPr>
          <w:p w14:paraId="67058079" w14:textId="42D8D970" w:rsidR="00353BB8" w:rsidRPr="00C57E0F" w:rsidRDefault="00353BB8" w:rsidP="00FE5F09">
            <w:pPr>
              <w:pStyle w:val="Caption"/>
            </w:pPr>
            <w:bookmarkStart w:id="201" w:name="_Ref112862376"/>
            <w:bookmarkStart w:id="202" w:name="_Ref100671500"/>
            <w:r w:rsidRPr="00A2245D">
              <w:rPr>
                <w:i w:val="0"/>
                <w:iCs w:val="0"/>
              </w:rPr>
              <w:t xml:space="preserve">Figure </w:t>
            </w:r>
            <w:r w:rsidR="00947A92" w:rsidRPr="00A2245D">
              <w:rPr>
                <w:i w:val="0"/>
                <w:iCs w:val="0"/>
              </w:rPr>
              <w:fldChar w:fldCharType="begin"/>
            </w:r>
            <w:r w:rsidR="00947A92" w:rsidRPr="00A2245D">
              <w:rPr>
                <w:i w:val="0"/>
                <w:iCs w:val="0"/>
              </w:rPr>
              <w:instrText xml:space="preserve"> SEQ Figure \* ARABIC </w:instrText>
            </w:r>
            <w:r w:rsidR="00947A92" w:rsidRPr="00A2245D">
              <w:rPr>
                <w:i w:val="0"/>
                <w:iCs w:val="0"/>
              </w:rPr>
              <w:fldChar w:fldCharType="separate"/>
            </w:r>
            <w:r w:rsidR="00625A64">
              <w:rPr>
                <w:i w:val="0"/>
                <w:iCs w:val="0"/>
                <w:noProof/>
              </w:rPr>
              <w:t>30</w:t>
            </w:r>
            <w:r w:rsidR="00947A92" w:rsidRPr="00A2245D">
              <w:rPr>
                <w:i w:val="0"/>
                <w:iCs w:val="0"/>
                <w:noProof/>
              </w:rPr>
              <w:fldChar w:fldCharType="end"/>
            </w:r>
            <w:bookmarkEnd w:id="201"/>
            <w:bookmarkEnd w:id="202"/>
            <w:r>
              <w:t xml:space="preserve">: </w:t>
            </w:r>
            <w:r w:rsidRPr="00C57E0F">
              <w:t xml:space="preserve">Value of monthly imports into </w:t>
            </w:r>
            <w:r>
              <w:t xml:space="preserve">the UK </w:t>
            </w:r>
            <w:r w:rsidR="00B60B96">
              <w:t xml:space="preserve">from the </w:t>
            </w:r>
            <w:r w:rsidR="00C53C6D">
              <w:t>PRC</w:t>
            </w:r>
            <w:r>
              <w:t>, South</w:t>
            </w:r>
            <w:r w:rsidR="00F77802">
              <w:t>-</w:t>
            </w:r>
            <w:r>
              <w:t xml:space="preserve">East Asia, Taiwan, Hong Kong and India </w:t>
            </w:r>
            <w:r w:rsidRPr="00C57E0F">
              <w:t xml:space="preserve">for </w:t>
            </w:r>
            <w:r>
              <w:t>CN code: 7019 12 00 for 2015 to 2020</w:t>
            </w:r>
          </w:p>
        </w:tc>
      </w:tr>
      <w:tr w:rsidR="00353BB8" w:rsidRPr="00F7615F" w14:paraId="78929C93" w14:textId="77777777" w:rsidTr="00FE5F09">
        <w:trPr>
          <w:trHeight w:val="5525"/>
        </w:trPr>
        <w:tc>
          <w:tcPr>
            <w:tcW w:w="9016" w:type="dxa"/>
            <w:tcBorders>
              <w:bottom w:val="single" w:sz="4" w:space="0" w:color="auto"/>
            </w:tcBorders>
          </w:tcPr>
          <w:p w14:paraId="0725F1BC" w14:textId="77777777" w:rsidR="00353BB8" w:rsidRPr="00AD25FF" w:rsidRDefault="00353BB8" w:rsidP="00FE5F09">
            <w:pPr>
              <w:tabs>
                <w:tab w:val="center" w:pos="4400"/>
              </w:tabs>
              <w:jc w:val="center"/>
              <w:rPr>
                <w:rFonts w:cs="Arial"/>
                <w:noProof/>
                <w:sz w:val="10"/>
                <w:szCs w:val="10"/>
              </w:rPr>
            </w:pPr>
          </w:p>
          <w:p w14:paraId="55B76B0C" w14:textId="4F7D5FFD" w:rsidR="00353BB8" w:rsidRPr="00F7615F" w:rsidRDefault="00C53C6D" w:rsidP="00FE5F09">
            <w:pPr>
              <w:tabs>
                <w:tab w:val="center" w:pos="4400"/>
              </w:tabs>
              <w:jc w:val="center"/>
              <w:rPr>
                <w:rFonts w:cs="Arial"/>
                <w:szCs w:val="24"/>
              </w:rPr>
            </w:pPr>
            <w:r>
              <w:rPr>
                <w:noProof/>
              </w:rPr>
              <w:drawing>
                <wp:inline distT="0" distB="0" distL="0" distR="0" wp14:anchorId="58A12932" wp14:editId="0C179D49">
                  <wp:extent cx="5188964" cy="33718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b="5094"/>
                          <a:stretch/>
                        </pic:blipFill>
                        <pic:spPr bwMode="auto">
                          <a:xfrm>
                            <a:off x="0" y="0"/>
                            <a:ext cx="5189512" cy="33722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53BB8" w:rsidRPr="00BC5820" w14:paraId="7313D6F3" w14:textId="77777777" w:rsidTr="00FE5F09">
        <w:tc>
          <w:tcPr>
            <w:tcW w:w="9016" w:type="dxa"/>
            <w:tcBorders>
              <w:top w:val="single" w:sz="4" w:space="0" w:color="auto"/>
              <w:left w:val="nil"/>
              <w:bottom w:val="nil"/>
              <w:right w:val="nil"/>
            </w:tcBorders>
          </w:tcPr>
          <w:p w14:paraId="2DDA6C4E" w14:textId="0C501B4E" w:rsidR="00353BB8" w:rsidRDefault="00B25A27" w:rsidP="00B25A27">
            <w:pPr>
              <w:pStyle w:val="Tablenote"/>
            </w:pPr>
            <w:r>
              <w:t xml:space="preserve">Note: </w:t>
            </w:r>
            <w:r w:rsidR="00353BB8" w:rsidRPr="00AD25FF">
              <w:t>Data presented is a three-month moving average.</w:t>
            </w:r>
            <w:r w:rsidR="00353BB8">
              <w:t xml:space="preserve"> Not all South</w:t>
            </w:r>
            <w:r w:rsidR="00F77802">
              <w:t>-</w:t>
            </w:r>
            <w:r w:rsidR="00353BB8">
              <w:t>East Asian countries are included, as data was not available.</w:t>
            </w:r>
          </w:p>
          <w:p w14:paraId="2B8D9EDA" w14:textId="0C701504" w:rsidR="00B25A27" w:rsidRPr="00BC5820" w:rsidRDefault="00B25A27" w:rsidP="00B25A27">
            <w:pPr>
              <w:pStyle w:val="Tablenote"/>
              <w:rPr>
                <w:iCs/>
                <w:color w:val="005EA5"/>
                <w:u w:val="single"/>
              </w:rPr>
            </w:pPr>
            <w:r w:rsidRPr="00BC5820">
              <w:t xml:space="preserve">Source: </w:t>
            </w:r>
            <w:r>
              <w:t>Frontier Economics analysis of Eurostat data</w:t>
            </w:r>
            <w:r w:rsidRPr="00AD25FF">
              <w:t>.</w:t>
            </w:r>
          </w:p>
        </w:tc>
      </w:tr>
    </w:tbl>
    <w:p w14:paraId="250245FE" w14:textId="77777777" w:rsidR="00F43626" w:rsidRDefault="00F43626" w:rsidP="00353BB8">
      <w:pPr>
        <w:sectPr w:rsidR="00F43626" w:rsidSect="00F21AB1">
          <w:pgSz w:w="11906" w:h="16838"/>
          <w:pgMar w:top="1440" w:right="1440" w:bottom="1440" w:left="1440" w:header="708" w:footer="708" w:gutter="0"/>
          <w:cols w:space="708"/>
          <w:docGrid w:linePitch="360"/>
        </w:sectPr>
      </w:pPr>
    </w:p>
    <w:p w14:paraId="5B2A2C99" w14:textId="128F782E" w:rsidR="00353BB8" w:rsidRDefault="00353BB8" w:rsidP="00353BB8"/>
    <w:tbl>
      <w:tblPr>
        <w:tblStyle w:val="TableGrid"/>
        <w:tblW w:w="0" w:type="auto"/>
        <w:tblLook w:val="04A0" w:firstRow="1" w:lastRow="0" w:firstColumn="1" w:lastColumn="0" w:noHBand="0" w:noVBand="1"/>
      </w:tblPr>
      <w:tblGrid>
        <w:gridCol w:w="9016"/>
      </w:tblGrid>
      <w:tr w:rsidR="00353BB8" w:rsidRPr="00C57E0F" w14:paraId="55BCA42D" w14:textId="77777777" w:rsidTr="00FE5F09">
        <w:tc>
          <w:tcPr>
            <w:tcW w:w="9016" w:type="dxa"/>
            <w:tcBorders>
              <w:bottom w:val="single" w:sz="4" w:space="0" w:color="auto"/>
            </w:tcBorders>
            <w:shd w:val="clear" w:color="auto" w:fill="24135F"/>
          </w:tcPr>
          <w:p w14:paraId="7BFDE164" w14:textId="52EC0169" w:rsidR="00353BB8" w:rsidRPr="00C57E0F" w:rsidRDefault="00353BB8" w:rsidP="00FE5F09">
            <w:pPr>
              <w:pStyle w:val="Caption"/>
            </w:pPr>
            <w:bookmarkStart w:id="203" w:name="_Ref112862386"/>
            <w:bookmarkStart w:id="204" w:name="_Ref100671517"/>
            <w:r w:rsidRPr="00A2245D">
              <w:rPr>
                <w:i w:val="0"/>
                <w:iCs w:val="0"/>
              </w:rPr>
              <w:t xml:space="preserve">Figure </w:t>
            </w:r>
            <w:r w:rsidR="00947A92" w:rsidRPr="00A2245D">
              <w:rPr>
                <w:i w:val="0"/>
                <w:iCs w:val="0"/>
              </w:rPr>
              <w:fldChar w:fldCharType="begin"/>
            </w:r>
            <w:r w:rsidR="00947A92" w:rsidRPr="00A2245D">
              <w:rPr>
                <w:i w:val="0"/>
                <w:iCs w:val="0"/>
              </w:rPr>
              <w:instrText xml:space="preserve"> SEQ Figure \* ARABIC </w:instrText>
            </w:r>
            <w:r w:rsidR="00947A92" w:rsidRPr="00A2245D">
              <w:rPr>
                <w:i w:val="0"/>
                <w:iCs w:val="0"/>
              </w:rPr>
              <w:fldChar w:fldCharType="separate"/>
            </w:r>
            <w:r w:rsidR="00625A64">
              <w:rPr>
                <w:i w:val="0"/>
                <w:iCs w:val="0"/>
                <w:noProof/>
              </w:rPr>
              <w:t>31</w:t>
            </w:r>
            <w:r w:rsidR="00947A92" w:rsidRPr="00A2245D">
              <w:rPr>
                <w:i w:val="0"/>
                <w:iCs w:val="0"/>
                <w:noProof/>
              </w:rPr>
              <w:fldChar w:fldCharType="end"/>
            </w:r>
            <w:bookmarkEnd w:id="203"/>
            <w:bookmarkEnd w:id="204"/>
            <w:r>
              <w:t xml:space="preserve">: </w:t>
            </w:r>
            <w:r w:rsidRPr="00C57E0F">
              <w:t>Value of monthly imports into the EU</w:t>
            </w:r>
            <w:r>
              <w:t xml:space="preserve">-28 </w:t>
            </w:r>
            <w:r w:rsidRPr="00C57E0F">
              <w:t>from</w:t>
            </w:r>
            <w:r w:rsidR="00B60B96">
              <w:t xml:space="preserve"> </w:t>
            </w:r>
            <w:r w:rsidR="005E036D">
              <w:t>the</w:t>
            </w:r>
            <w:r w:rsidR="00B60B96">
              <w:t xml:space="preserve"> </w:t>
            </w:r>
            <w:r w:rsidR="002406F0">
              <w:t>PRC</w:t>
            </w:r>
            <w:r>
              <w:t>, South</w:t>
            </w:r>
            <w:r w:rsidR="00F77802">
              <w:t>-</w:t>
            </w:r>
            <w:r>
              <w:t xml:space="preserve">East Asia, Taiwan, Hong Kong and India </w:t>
            </w:r>
            <w:r w:rsidRPr="00C57E0F">
              <w:t xml:space="preserve">for </w:t>
            </w:r>
            <w:r>
              <w:t>CN code: 7019 31 00 for 2015 to 2020</w:t>
            </w:r>
          </w:p>
        </w:tc>
      </w:tr>
      <w:tr w:rsidR="00353BB8" w:rsidRPr="00F7615F" w14:paraId="6F7EA53F" w14:textId="77777777" w:rsidTr="00FE5F09">
        <w:trPr>
          <w:trHeight w:val="5525"/>
        </w:trPr>
        <w:tc>
          <w:tcPr>
            <w:tcW w:w="9016" w:type="dxa"/>
            <w:tcBorders>
              <w:bottom w:val="single" w:sz="4" w:space="0" w:color="auto"/>
            </w:tcBorders>
          </w:tcPr>
          <w:p w14:paraId="40F32D16" w14:textId="77777777" w:rsidR="00353BB8" w:rsidRPr="00AD25FF" w:rsidRDefault="00353BB8" w:rsidP="00FE5F09">
            <w:pPr>
              <w:tabs>
                <w:tab w:val="center" w:pos="4400"/>
              </w:tabs>
              <w:jc w:val="center"/>
              <w:rPr>
                <w:rFonts w:cs="Arial"/>
                <w:noProof/>
                <w:sz w:val="10"/>
                <w:szCs w:val="10"/>
              </w:rPr>
            </w:pPr>
          </w:p>
          <w:p w14:paraId="4C157D8F" w14:textId="19DAFFBD" w:rsidR="00353BB8" w:rsidRPr="00F7615F" w:rsidRDefault="00C53C6D" w:rsidP="00FE5F09">
            <w:pPr>
              <w:tabs>
                <w:tab w:val="center" w:pos="4400"/>
              </w:tabs>
              <w:jc w:val="center"/>
              <w:rPr>
                <w:rFonts w:cs="Arial"/>
                <w:szCs w:val="24"/>
              </w:rPr>
            </w:pPr>
            <w:r>
              <w:rPr>
                <w:noProof/>
              </w:rPr>
              <w:drawing>
                <wp:inline distT="0" distB="0" distL="0" distR="0" wp14:anchorId="149CB3CE" wp14:editId="2780F21A">
                  <wp:extent cx="5230699" cy="3390900"/>
                  <wp:effectExtent l="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b="5319"/>
                          <a:stretch/>
                        </pic:blipFill>
                        <pic:spPr bwMode="auto">
                          <a:xfrm>
                            <a:off x="0" y="0"/>
                            <a:ext cx="5231575" cy="33914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53BB8" w:rsidRPr="006069AF" w14:paraId="6B2CCA50" w14:textId="77777777" w:rsidTr="00FE5F09">
        <w:tc>
          <w:tcPr>
            <w:tcW w:w="9016" w:type="dxa"/>
            <w:tcBorders>
              <w:top w:val="single" w:sz="4" w:space="0" w:color="auto"/>
              <w:left w:val="nil"/>
              <w:bottom w:val="nil"/>
              <w:right w:val="nil"/>
            </w:tcBorders>
          </w:tcPr>
          <w:p w14:paraId="0A2E9AD3" w14:textId="77777777" w:rsidR="00AF4614" w:rsidRDefault="00AF4614" w:rsidP="00AF4614">
            <w:pPr>
              <w:pStyle w:val="Tablenote"/>
            </w:pPr>
            <w:r>
              <w:t xml:space="preserve">Note: </w:t>
            </w:r>
            <w:r w:rsidRPr="00AD25FF">
              <w:t>Data presented is a three-month moving average.</w:t>
            </w:r>
            <w:r>
              <w:t xml:space="preserve"> Not all South-East Asian countries are included, as data was not available.</w:t>
            </w:r>
          </w:p>
          <w:p w14:paraId="68965AF8" w14:textId="1734E8F1" w:rsidR="00B25A27" w:rsidRPr="006069AF" w:rsidRDefault="00B25A27" w:rsidP="00FE5F09">
            <w:pPr>
              <w:pStyle w:val="Tablesource"/>
              <w:rPr>
                <w:i w:val="0"/>
              </w:rPr>
            </w:pPr>
            <w:r w:rsidRPr="00BC5820">
              <w:t xml:space="preserve">Source: </w:t>
            </w:r>
            <w:r>
              <w:t>Frontier Economics analysis of Eurostat data</w:t>
            </w:r>
            <w:r w:rsidRPr="00AD25FF">
              <w:t>.</w:t>
            </w:r>
          </w:p>
        </w:tc>
      </w:tr>
    </w:tbl>
    <w:p w14:paraId="305A4052" w14:textId="77777777" w:rsidR="00353BB8" w:rsidRDefault="00353BB8" w:rsidP="00353BB8"/>
    <w:p w14:paraId="11625AF1" w14:textId="77777777" w:rsidR="00353BB8" w:rsidRDefault="00353BB8" w:rsidP="00353BB8">
      <w:r>
        <w:br w:type="page"/>
      </w:r>
    </w:p>
    <w:tbl>
      <w:tblPr>
        <w:tblStyle w:val="TableGrid"/>
        <w:tblW w:w="0" w:type="auto"/>
        <w:tblLook w:val="04A0" w:firstRow="1" w:lastRow="0" w:firstColumn="1" w:lastColumn="0" w:noHBand="0" w:noVBand="1"/>
      </w:tblPr>
      <w:tblGrid>
        <w:gridCol w:w="9016"/>
      </w:tblGrid>
      <w:tr w:rsidR="00353BB8" w:rsidRPr="00C57E0F" w14:paraId="21D9A7F8" w14:textId="77777777" w:rsidTr="00FE5F09">
        <w:tc>
          <w:tcPr>
            <w:tcW w:w="9016" w:type="dxa"/>
            <w:tcBorders>
              <w:bottom w:val="single" w:sz="4" w:space="0" w:color="auto"/>
            </w:tcBorders>
            <w:shd w:val="clear" w:color="auto" w:fill="24135F"/>
          </w:tcPr>
          <w:p w14:paraId="0547782A" w14:textId="42FEEE0A" w:rsidR="00353BB8" w:rsidRPr="00C57E0F" w:rsidRDefault="00353BB8" w:rsidP="00FE5F09">
            <w:pPr>
              <w:pStyle w:val="Caption"/>
            </w:pPr>
            <w:bookmarkStart w:id="205" w:name="_Ref112862394"/>
            <w:bookmarkStart w:id="206" w:name="_Ref100671520"/>
            <w:r w:rsidRPr="00A2245D">
              <w:rPr>
                <w:i w:val="0"/>
                <w:iCs w:val="0"/>
              </w:rPr>
              <w:t xml:space="preserve">Figure </w:t>
            </w:r>
            <w:r w:rsidR="00947A92" w:rsidRPr="00A2245D">
              <w:rPr>
                <w:i w:val="0"/>
                <w:iCs w:val="0"/>
              </w:rPr>
              <w:fldChar w:fldCharType="begin"/>
            </w:r>
            <w:r w:rsidR="00947A92" w:rsidRPr="00A2245D">
              <w:rPr>
                <w:i w:val="0"/>
                <w:iCs w:val="0"/>
              </w:rPr>
              <w:instrText xml:space="preserve"> SEQ Figure \* ARABIC </w:instrText>
            </w:r>
            <w:r w:rsidR="00947A92" w:rsidRPr="00A2245D">
              <w:rPr>
                <w:i w:val="0"/>
                <w:iCs w:val="0"/>
              </w:rPr>
              <w:fldChar w:fldCharType="separate"/>
            </w:r>
            <w:r w:rsidR="00625A64">
              <w:rPr>
                <w:i w:val="0"/>
                <w:iCs w:val="0"/>
                <w:noProof/>
              </w:rPr>
              <w:t>32</w:t>
            </w:r>
            <w:r w:rsidR="00947A92" w:rsidRPr="00A2245D">
              <w:rPr>
                <w:i w:val="0"/>
                <w:iCs w:val="0"/>
                <w:noProof/>
              </w:rPr>
              <w:fldChar w:fldCharType="end"/>
            </w:r>
            <w:bookmarkEnd w:id="205"/>
            <w:bookmarkEnd w:id="206"/>
            <w:r w:rsidRPr="00A2245D">
              <w:rPr>
                <w:i w:val="0"/>
                <w:iCs w:val="0"/>
              </w:rPr>
              <w:t>:</w:t>
            </w:r>
            <w:r>
              <w:t xml:space="preserve"> </w:t>
            </w:r>
            <w:r w:rsidRPr="00C57E0F">
              <w:t xml:space="preserve">Value of monthly imports into </w:t>
            </w:r>
            <w:r>
              <w:t xml:space="preserve">the UK </w:t>
            </w:r>
            <w:r w:rsidRPr="00C57E0F">
              <w:t xml:space="preserve">from </w:t>
            </w:r>
            <w:r w:rsidR="00B60B96">
              <w:t>the</w:t>
            </w:r>
            <w:r w:rsidR="005E036D">
              <w:t xml:space="preserve"> </w:t>
            </w:r>
            <w:r w:rsidR="00C53C6D">
              <w:t>PRC</w:t>
            </w:r>
            <w:r>
              <w:t>, South</w:t>
            </w:r>
            <w:r w:rsidR="00F77802">
              <w:t>-</w:t>
            </w:r>
            <w:r>
              <w:t xml:space="preserve">East Asia, Taiwan, Hong Kong and India </w:t>
            </w:r>
            <w:r w:rsidRPr="00C57E0F">
              <w:t xml:space="preserve">for </w:t>
            </w:r>
            <w:r>
              <w:t>CN code: 7019 31 00 for 2015 to 2020</w:t>
            </w:r>
          </w:p>
        </w:tc>
      </w:tr>
      <w:tr w:rsidR="00353BB8" w:rsidRPr="00F7615F" w14:paraId="00B41BEA" w14:textId="77777777" w:rsidTr="00FE5F09">
        <w:trPr>
          <w:trHeight w:val="5525"/>
        </w:trPr>
        <w:tc>
          <w:tcPr>
            <w:tcW w:w="9016" w:type="dxa"/>
            <w:tcBorders>
              <w:bottom w:val="single" w:sz="4" w:space="0" w:color="auto"/>
            </w:tcBorders>
          </w:tcPr>
          <w:p w14:paraId="360D9E3A" w14:textId="77777777" w:rsidR="00353BB8" w:rsidRDefault="00353BB8" w:rsidP="00FE5F09">
            <w:pPr>
              <w:tabs>
                <w:tab w:val="center" w:pos="4400"/>
              </w:tabs>
              <w:rPr>
                <w:rFonts w:cs="Arial"/>
                <w:szCs w:val="24"/>
              </w:rPr>
            </w:pPr>
          </w:p>
          <w:p w14:paraId="437BD556" w14:textId="118C1640" w:rsidR="00353BB8" w:rsidRPr="00F7615F" w:rsidRDefault="00C53C6D" w:rsidP="00FE5F09">
            <w:pPr>
              <w:tabs>
                <w:tab w:val="center" w:pos="4400"/>
              </w:tabs>
              <w:jc w:val="center"/>
              <w:rPr>
                <w:rFonts w:cs="Arial"/>
                <w:szCs w:val="24"/>
              </w:rPr>
            </w:pPr>
            <w:r>
              <w:rPr>
                <w:noProof/>
              </w:rPr>
              <w:drawing>
                <wp:inline distT="0" distB="0" distL="0" distR="0" wp14:anchorId="2B4E9903" wp14:editId="4B181AD3">
                  <wp:extent cx="5273040" cy="3409950"/>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b="5552"/>
                          <a:stretch/>
                        </pic:blipFill>
                        <pic:spPr bwMode="auto">
                          <a:xfrm>
                            <a:off x="0" y="0"/>
                            <a:ext cx="5273638" cy="34103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53BB8" w:rsidRPr="006069AF" w14:paraId="3A26AD89" w14:textId="77777777" w:rsidTr="00FE5F09">
        <w:tc>
          <w:tcPr>
            <w:tcW w:w="9016" w:type="dxa"/>
            <w:tcBorders>
              <w:top w:val="single" w:sz="4" w:space="0" w:color="auto"/>
              <w:left w:val="nil"/>
              <w:bottom w:val="nil"/>
              <w:right w:val="nil"/>
            </w:tcBorders>
          </w:tcPr>
          <w:p w14:paraId="34B3D07A" w14:textId="77777777" w:rsidR="00AF4614" w:rsidRDefault="00AF4614" w:rsidP="00AF4614">
            <w:pPr>
              <w:pStyle w:val="Tablenote"/>
            </w:pPr>
            <w:r>
              <w:t xml:space="preserve">Note: </w:t>
            </w:r>
            <w:r w:rsidRPr="00AD25FF">
              <w:t>Data presented is a three-month moving average.</w:t>
            </w:r>
            <w:r>
              <w:t xml:space="preserve"> Not all South-East Asian countries are included, as data was not available.</w:t>
            </w:r>
          </w:p>
          <w:p w14:paraId="189F810E" w14:textId="78376A6A" w:rsidR="00B25A27" w:rsidRPr="006069AF" w:rsidRDefault="00B25A27" w:rsidP="00FE5F09">
            <w:pPr>
              <w:pStyle w:val="Tablesource"/>
              <w:rPr>
                <w:i w:val="0"/>
              </w:rPr>
            </w:pPr>
            <w:r w:rsidRPr="00BC5820">
              <w:t xml:space="preserve">Source: </w:t>
            </w:r>
            <w:r>
              <w:t>Frontier Economics analysis of Eurostat data</w:t>
            </w:r>
            <w:r w:rsidRPr="00AD25FF">
              <w:t>.</w:t>
            </w:r>
          </w:p>
        </w:tc>
      </w:tr>
    </w:tbl>
    <w:p w14:paraId="78DC2FA1" w14:textId="77777777" w:rsidR="00353BB8" w:rsidRDefault="00353BB8" w:rsidP="00353BB8"/>
    <w:p w14:paraId="321C2754" w14:textId="77777777" w:rsidR="00353BB8" w:rsidRDefault="00353BB8" w:rsidP="00353BB8">
      <w:r>
        <w:br w:type="page"/>
      </w:r>
    </w:p>
    <w:p w14:paraId="7D1D9475" w14:textId="68055C36" w:rsidR="00353BB8" w:rsidRDefault="00353BB8" w:rsidP="0B87AE61">
      <w:pPr>
        <w:pStyle w:val="Heading1"/>
        <w:rPr>
          <w:rFonts w:cs="Arial"/>
          <w:b w:val="0"/>
        </w:rPr>
      </w:pPr>
      <w:bookmarkStart w:id="207" w:name="_Toc101182688"/>
      <w:bookmarkStart w:id="208" w:name="_Toc315099032"/>
      <w:bookmarkStart w:id="209" w:name="_Toc118465326"/>
      <w:r w:rsidRPr="0B87AE61">
        <w:rPr>
          <w:rFonts w:cs="Arial"/>
        </w:rPr>
        <w:t xml:space="preserve">Annex </w:t>
      </w:r>
      <w:r w:rsidR="00FC1367" w:rsidRPr="0B87AE61">
        <w:rPr>
          <w:rFonts w:cs="Arial"/>
        </w:rPr>
        <w:t>5</w:t>
      </w:r>
      <w:r w:rsidRPr="0B87AE61">
        <w:rPr>
          <w:rFonts w:cs="Arial"/>
        </w:rPr>
        <w:t xml:space="preserve"> – Supplementary charts and discussion from Example 3: </w:t>
      </w:r>
      <w:r w:rsidR="001C38CE" w:rsidRPr="0B87AE61">
        <w:rPr>
          <w:rFonts w:cs="Arial"/>
        </w:rPr>
        <w:t>P</w:t>
      </w:r>
      <w:r w:rsidRPr="0B87AE61">
        <w:rPr>
          <w:rFonts w:cs="Arial"/>
        </w:rPr>
        <w:t>otential extension of trade remedy duties to biodiesel from the United States and Canada</w:t>
      </w:r>
      <w:bookmarkEnd w:id="207"/>
      <w:bookmarkEnd w:id="208"/>
      <w:bookmarkEnd w:id="209"/>
    </w:p>
    <w:p w14:paraId="7C5CA887" w14:textId="59ECDC99" w:rsidR="00353BB8" w:rsidRDefault="00C5132C" w:rsidP="00016CC0">
      <w:r>
        <w:fldChar w:fldCharType="begin"/>
      </w:r>
      <w:r>
        <w:instrText xml:space="preserve"> REF _Ref112842859 \h </w:instrText>
      </w:r>
      <w:r>
        <w:fldChar w:fldCharType="separate"/>
      </w:r>
      <w:r>
        <w:t xml:space="preserve">Figure </w:t>
      </w:r>
      <w:r>
        <w:rPr>
          <w:noProof/>
        </w:rPr>
        <w:t>33</w:t>
      </w:r>
      <w:r>
        <w:fldChar w:fldCharType="end"/>
      </w:r>
      <w:r w:rsidR="00353BB8">
        <w:t xml:space="preserve"> presents a similar analysis (to that included in the main body of the text) for CN code 3824 99 92. This is a new code that was introduced in 2017, which is why trade values are presented from 2017 onwards.</w:t>
      </w:r>
      <w:r w:rsidR="00353BB8">
        <w:rPr>
          <w:rStyle w:val="FootnoteReference"/>
          <w:rFonts w:eastAsiaTheme="majorEastAsia"/>
        </w:rPr>
        <w:footnoteReference w:id="134"/>
      </w:r>
      <w:r w:rsidR="00353BB8">
        <w:t xml:space="preserve"> In contrast to code 3826 00 10, the </w:t>
      </w:r>
      <w:r w:rsidR="0058401A">
        <w:t>United States</w:t>
      </w:r>
      <w:r w:rsidR="00353BB8">
        <w:t xml:space="preserve"> is the top exporter into the EU-28. Along with </w:t>
      </w:r>
      <w:r w:rsidR="002406F0">
        <w:t>PRC</w:t>
      </w:r>
      <w:r w:rsidR="00353BB8">
        <w:t xml:space="preserve">, which is the second largest exporter into the EU-28, total imports trend upwards over the period. Imports from other countries in the top </w:t>
      </w:r>
      <w:r w:rsidR="001C38CE">
        <w:t>five</w:t>
      </w:r>
      <w:r w:rsidR="00353BB8">
        <w:t xml:space="preserve"> remain relatively flat over the period. For the UK</w:t>
      </w:r>
      <w:r w:rsidR="001C38CE">
        <w:t>,</w:t>
      </w:r>
      <w:r w:rsidR="00353BB8">
        <w:t xml:space="preserve"> in </w:t>
      </w:r>
      <w:r w:rsidR="00353BB8">
        <w:fldChar w:fldCharType="begin"/>
      </w:r>
      <w:r w:rsidR="00353BB8">
        <w:instrText xml:space="preserve"> REF _Ref100741266 \h </w:instrText>
      </w:r>
      <w:r w:rsidR="00353BB8">
        <w:fldChar w:fldCharType="separate"/>
      </w:r>
      <w:r w:rsidR="00625A64" w:rsidRPr="00A2245D">
        <w:t xml:space="preserve">Figure </w:t>
      </w:r>
      <w:r w:rsidR="00625A64">
        <w:rPr>
          <w:i/>
          <w:iCs/>
          <w:noProof/>
        </w:rPr>
        <w:t>34</w:t>
      </w:r>
      <w:r w:rsidR="00353BB8">
        <w:fldChar w:fldCharType="end"/>
      </w:r>
      <w:r w:rsidR="0015784B">
        <w:t>44</w:t>
      </w:r>
      <w:r w:rsidR="001C38CE">
        <w:t>,</w:t>
      </w:r>
      <w:r w:rsidR="00353BB8">
        <w:t xml:space="preserve"> we see a similar trend, although Chinese imports play a proportionately bigger role than the </w:t>
      </w:r>
      <w:r w:rsidR="0058401A">
        <w:t>United States</w:t>
      </w:r>
      <w:r w:rsidR="00353BB8">
        <w:t xml:space="preserve">, supplanting those from the </w:t>
      </w:r>
      <w:r w:rsidR="0058401A">
        <w:t>United States</w:t>
      </w:r>
      <w:r w:rsidR="00353BB8">
        <w:t xml:space="preserve"> in 2019. </w:t>
      </w:r>
    </w:p>
    <w:tbl>
      <w:tblPr>
        <w:tblStyle w:val="TableGrid"/>
        <w:tblW w:w="0" w:type="auto"/>
        <w:tblLook w:val="04A0" w:firstRow="1" w:lastRow="0" w:firstColumn="1" w:lastColumn="0" w:noHBand="0" w:noVBand="1"/>
      </w:tblPr>
      <w:tblGrid>
        <w:gridCol w:w="9016"/>
      </w:tblGrid>
      <w:tr w:rsidR="00353BB8" w:rsidRPr="00F7615F" w14:paraId="4AA40EC5" w14:textId="77777777" w:rsidTr="00FE5F09">
        <w:tc>
          <w:tcPr>
            <w:tcW w:w="9016" w:type="dxa"/>
            <w:tcBorders>
              <w:bottom w:val="single" w:sz="4" w:space="0" w:color="auto"/>
            </w:tcBorders>
            <w:shd w:val="clear" w:color="auto" w:fill="24135F"/>
          </w:tcPr>
          <w:p w14:paraId="09BA498B" w14:textId="6ED7BDE9" w:rsidR="00353BB8" w:rsidRPr="00C57E0F" w:rsidRDefault="00353BB8" w:rsidP="00FE5F09">
            <w:pPr>
              <w:pStyle w:val="Caption"/>
            </w:pPr>
            <w:bookmarkStart w:id="210" w:name="_Ref112842859"/>
            <w:r w:rsidRPr="00A2245D">
              <w:rPr>
                <w:i w:val="0"/>
                <w:iCs w:val="0"/>
              </w:rPr>
              <w:t xml:space="preserve">Figure </w:t>
            </w:r>
            <w:r w:rsidR="00947A92" w:rsidRPr="00A2245D">
              <w:rPr>
                <w:i w:val="0"/>
                <w:iCs w:val="0"/>
              </w:rPr>
              <w:fldChar w:fldCharType="begin"/>
            </w:r>
            <w:r w:rsidR="00947A92" w:rsidRPr="00A2245D">
              <w:rPr>
                <w:i w:val="0"/>
                <w:iCs w:val="0"/>
              </w:rPr>
              <w:instrText xml:space="preserve"> SEQ Figure \* ARABIC </w:instrText>
            </w:r>
            <w:r w:rsidR="00947A92" w:rsidRPr="00A2245D">
              <w:rPr>
                <w:i w:val="0"/>
                <w:iCs w:val="0"/>
              </w:rPr>
              <w:fldChar w:fldCharType="separate"/>
            </w:r>
            <w:r w:rsidR="00625A64">
              <w:rPr>
                <w:i w:val="0"/>
                <w:iCs w:val="0"/>
                <w:noProof/>
              </w:rPr>
              <w:t>33</w:t>
            </w:r>
            <w:r w:rsidR="00947A92" w:rsidRPr="00A2245D">
              <w:rPr>
                <w:i w:val="0"/>
                <w:iCs w:val="0"/>
                <w:noProof/>
              </w:rPr>
              <w:fldChar w:fldCharType="end"/>
            </w:r>
            <w:bookmarkEnd w:id="210"/>
            <w:r w:rsidRPr="00A2245D">
              <w:rPr>
                <w:i w:val="0"/>
                <w:iCs w:val="0"/>
              </w:rPr>
              <w:t xml:space="preserve">: </w:t>
            </w:r>
            <w:r w:rsidRPr="00C57E0F">
              <w:t>Value of monthly imports into the EU</w:t>
            </w:r>
            <w:r>
              <w:t xml:space="preserve">-28 </w:t>
            </w:r>
            <w:r w:rsidRPr="00C57E0F">
              <w:t xml:space="preserve">from </w:t>
            </w:r>
            <w:r>
              <w:t xml:space="preserve">the top </w:t>
            </w:r>
            <w:r w:rsidR="001C38CE">
              <w:t>five</w:t>
            </w:r>
            <w:r>
              <w:t xml:space="preserve"> exporters into the EU-28 </w:t>
            </w:r>
            <w:r w:rsidRPr="00C57E0F">
              <w:t xml:space="preserve">for </w:t>
            </w:r>
            <w:r>
              <w:t xml:space="preserve">CN code: </w:t>
            </w:r>
            <w:r w:rsidRPr="003D3DFB">
              <w:t>3824</w:t>
            </w:r>
            <w:r>
              <w:t xml:space="preserve"> </w:t>
            </w:r>
            <w:r w:rsidRPr="003D3DFB">
              <w:t>99</w:t>
            </w:r>
            <w:r>
              <w:t xml:space="preserve"> </w:t>
            </w:r>
            <w:r w:rsidRPr="003D3DFB">
              <w:t>92</w:t>
            </w:r>
            <w:r>
              <w:t xml:space="preserve"> for 2015 to 2020</w:t>
            </w:r>
          </w:p>
        </w:tc>
      </w:tr>
      <w:tr w:rsidR="00353BB8" w:rsidRPr="00F7615F" w14:paraId="21E68955" w14:textId="77777777" w:rsidTr="00FE5F09">
        <w:trPr>
          <w:trHeight w:val="5525"/>
        </w:trPr>
        <w:tc>
          <w:tcPr>
            <w:tcW w:w="9016" w:type="dxa"/>
            <w:tcBorders>
              <w:bottom w:val="single" w:sz="4" w:space="0" w:color="auto"/>
            </w:tcBorders>
          </w:tcPr>
          <w:p w14:paraId="6F977EC0" w14:textId="3027DB5C" w:rsidR="00353BB8" w:rsidRPr="00F7615F" w:rsidRDefault="003A3BD6" w:rsidP="00FE5F09">
            <w:pPr>
              <w:tabs>
                <w:tab w:val="center" w:pos="4400"/>
              </w:tabs>
              <w:jc w:val="center"/>
              <w:rPr>
                <w:rFonts w:cs="Arial"/>
                <w:szCs w:val="24"/>
              </w:rPr>
            </w:pPr>
            <w:r>
              <w:rPr>
                <w:rFonts w:cs="Arial"/>
                <w:noProof/>
                <w:szCs w:val="24"/>
              </w:rPr>
              <w:drawing>
                <wp:inline distT="0" distB="0" distL="0" distR="0" wp14:anchorId="703B52CA" wp14:editId="3902A5D3">
                  <wp:extent cx="4870874" cy="3160800"/>
                  <wp:effectExtent l="0" t="0" r="635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b="5340"/>
                          <a:stretch/>
                        </pic:blipFill>
                        <pic:spPr bwMode="auto">
                          <a:xfrm>
                            <a:off x="0" y="0"/>
                            <a:ext cx="4870874" cy="3160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53BB8" w:rsidRPr="00BC5820" w14:paraId="44971947" w14:textId="77777777" w:rsidTr="00FE5F09">
        <w:tc>
          <w:tcPr>
            <w:tcW w:w="9016" w:type="dxa"/>
            <w:tcBorders>
              <w:top w:val="single" w:sz="4" w:space="0" w:color="auto"/>
              <w:left w:val="nil"/>
              <w:bottom w:val="nil"/>
              <w:right w:val="nil"/>
            </w:tcBorders>
          </w:tcPr>
          <w:p w14:paraId="35061597" w14:textId="1D76A56F" w:rsidR="00353BB8" w:rsidRDefault="00B25A27" w:rsidP="00B25A27">
            <w:pPr>
              <w:pStyle w:val="Tablenote"/>
            </w:pPr>
            <w:r>
              <w:t xml:space="preserve">Note: </w:t>
            </w:r>
            <w:r w:rsidR="00353BB8" w:rsidRPr="00AD25FF">
              <w:t>Data presented is a three-month moving average.</w:t>
            </w:r>
          </w:p>
          <w:p w14:paraId="242F45D7" w14:textId="0BD90611" w:rsidR="00B25A27" w:rsidRPr="00BC5820" w:rsidRDefault="006451DC" w:rsidP="006451DC">
            <w:pPr>
              <w:pStyle w:val="Tablenote"/>
              <w:rPr>
                <w:iCs/>
                <w:color w:val="005EA5"/>
                <w:u w:val="single"/>
              </w:rPr>
            </w:pPr>
            <w:r w:rsidRPr="00BC5820">
              <w:t xml:space="preserve">Source: </w:t>
            </w:r>
            <w:r>
              <w:t>Frontier Economics analysis of Eurostat data</w:t>
            </w:r>
            <w:r w:rsidRPr="00AD25FF">
              <w:t>.</w:t>
            </w:r>
          </w:p>
        </w:tc>
      </w:tr>
    </w:tbl>
    <w:p w14:paraId="73B1A044" w14:textId="77777777" w:rsidR="00353BB8" w:rsidRDefault="00353BB8" w:rsidP="00353BB8">
      <w:pPr>
        <w:pStyle w:val="NoSpacing"/>
        <w:spacing w:line="360" w:lineRule="auto"/>
        <w:rPr>
          <w:rFonts w:eastAsiaTheme="majorEastAsia"/>
        </w:rPr>
      </w:pPr>
    </w:p>
    <w:tbl>
      <w:tblPr>
        <w:tblStyle w:val="TableGrid"/>
        <w:tblW w:w="0" w:type="auto"/>
        <w:tblLook w:val="04A0" w:firstRow="1" w:lastRow="0" w:firstColumn="1" w:lastColumn="0" w:noHBand="0" w:noVBand="1"/>
      </w:tblPr>
      <w:tblGrid>
        <w:gridCol w:w="9016"/>
      </w:tblGrid>
      <w:tr w:rsidR="00353BB8" w:rsidRPr="00F7615F" w14:paraId="3C6F902C" w14:textId="77777777" w:rsidTr="00FE5F09">
        <w:tc>
          <w:tcPr>
            <w:tcW w:w="9016" w:type="dxa"/>
            <w:tcBorders>
              <w:bottom w:val="single" w:sz="4" w:space="0" w:color="auto"/>
            </w:tcBorders>
            <w:shd w:val="clear" w:color="auto" w:fill="24135F"/>
          </w:tcPr>
          <w:p w14:paraId="005E4AFE" w14:textId="09CB62E0" w:rsidR="00353BB8" w:rsidRPr="00C57E0F" w:rsidRDefault="00353BB8" w:rsidP="00FE5F09">
            <w:pPr>
              <w:pStyle w:val="Caption"/>
            </w:pPr>
            <w:bookmarkStart w:id="211" w:name="_Ref100741266"/>
            <w:r w:rsidRPr="00A2245D">
              <w:rPr>
                <w:i w:val="0"/>
                <w:iCs w:val="0"/>
              </w:rPr>
              <w:t xml:space="preserve">Figure </w:t>
            </w:r>
            <w:r w:rsidR="00947A92" w:rsidRPr="00A2245D">
              <w:rPr>
                <w:i w:val="0"/>
                <w:iCs w:val="0"/>
              </w:rPr>
              <w:fldChar w:fldCharType="begin"/>
            </w:r>
            <w:r w:rsidR="00947A92" w:rsidRPr="00A2245D">
              <w:rPr>
                <w:i w:val="0"/>
                <w:iCs w:val="0"/>
              </w:rPr>
              <w:instrText xml:space="preserve"> SEQ Figure \* ARABIC </w:instrText>
            </w:r>
            <w:r w:rsidR="00947A92" w:rsidRPr="00A2245D">
              <w:rPr>
                <w:i w:val="0"/>
                <w:iCs w:val="0"/>
              </w:rPr>
              <w:fldChar w:fldCharType="separate"/>
            </w:r>
            <w:r w:rsidR="00625A64">
              <w:rPr>
                <w:i w:val="0"/>
                <w:iCs w:val="0"/>
                <w:noProof/>
              </w:rPr>
              <w:t>34</w:t>
            </w:r>
            <w:r w:rsidR="00947A92" w:rsidRPr="00A2245D">
              <w:rPr>
                <w:i w:val="0"/>
                <w:iCs w:val="0"/>
                <w:noProof/>
              </w:rPr>
              <w:fldChar w:fldCharType="end"/>
            </w:r>
            <w:bookmarkEnd w:id="211"/>
            <w:r w:rsidRPr="00A2245D">
              <w:rPr>
                <w:i w:val="0"/>
                <w:iCs w:val="0"/>
              </w:rPr>
              <w:t>:</w:t>
            </w:r>
            <w:r>
              <w:t xml:space="preserve"> </w:t>
            </w:r>
            <w:r w:rsidRPr="00C57E0F">
              <w:t xml:space="preserve">Value of monthly imports into </w:t>
            </w:r>
            <w:r>
              <w:t xml:space="preserve">the UK </w:t>
            </w:r>
            <w:r w:rsidRPr="00C57E0F">
              <w:t xml:space="preserve">from </w:t>
            </w:r>
            <w:r>
              <w:t xml:space="preserve">the top </w:t>
            </w:r>
            <w:r w:rsidR="001C38CE">
              <w:t>five</w:t>
            </w:r>
            <w:r>
              <w:t xml:space="preserve"> exporters into the UK</w:t>
            </w:r>
            <w:r w:rsidRPr="00C57E0F">
              <w:t xml:space="preserve"> for </w:t>
            </w:r>
            <w:r>
              <w:t xml:space="preserve">CN code: </w:t>
            </w:r>
            <w:r w:rsidRPr="003D3DFB">
              <w:t>3824</w:t>
            </w:r>
            <w:r>
              <w:t xml:space="preserve"> </w:t>
            </w:r>
            <w:r w:rsidRPr="003D3DFB">
              <w:t>99</w:t>
            </w:r>
            <w:r>
              <w:t xml:space="preserve"> </w:t>
            </w:r>
            <w:r w:rsidRPr="003D3DFB">
              <w:t>92</w:t>
            </w:r>
            <w:r>
              <w:t xml:space="preserve"> for 2015 to 2020</w:t>
            </w:r>
          </w:p>
        </w:tc>
      </w:tr>
      <w:tr w:rsidR="00353BB8" w:rsidRPr="00F7615F" w14:paraId="27672520" w14:textId="77777777" w:rsidTr="00FE5F09">
        <w:trPr>
          <w:trHeight w:val="5525"/>
        </w:trPr>
        <w:tc>
          <w:tcPr>
            <w:tcW w:w="9016" w:type="dxa"/>
            <w:tcBorders>
              <w:bottom w:val="single" w:sz="4" w:space="0" w:color="auto"/>
            </w:tcBorders>
          </w:tcPr>
          <w:p w14:paraId="1EFAADAC" w14:textId="77777777" w:rsidR="00353BB8" w:rsidRPr="00AD25FF" w:rsidRDefault="00353BB8" w:rsidP="00FE5F09">
            <w:pPr>
              <w:tabs>
                <w:tab w:val="center" w:pos="4400"/>
              </w:tabs>
              <w:jc w:val="center"/>
              <w:rPr>
                <w:rFonts w:cs="Arial"/>
                <w:noProof/>
                <w:sz w:val="10"/>
                <w:szCs w:val="10"/>
              </w:rPr>
            </w:pPr>
          </w:p>
          <w:p w14:paraId="11E55E81" w14:textId="53A881E4" w:rsidR="00353BB8" w:rsidRPr="00F7615F" w:rsidRDefault="00F15EF1" w:rsidP="00FE5F09">
            <w:pPr>
              <w:tabs>
                <w:tab w:val="center" w:pos="4400"/>
              </w:tabs>
              <w:jc w:val="center"/>
              <w:rPr>
                <w:rFonts w:cs="Arial"/>
                <w:szCs w:val="24"/>
              </w:rPr>
            </w:pPr>
            <w:r>
              <w:rPr>
                <w:noProof/>
              </w:rPr>
              <w:drawing>
                <wp:inline distT="0" distB="0" distL="0" distR="0" wp14:anchorId="5B497F47" wp14:editId="7BB40D1C">
                  <wp:extent cx="4853264" cy="3153600"/>
                  <wp:effectExtent l="0" t="0" r="508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b="5097"/>
                          <a:stretch/>
                        </pic:blipFill>
                        <pic:spPr bwMode="auto">
                          <a:xfrm>
                            <a:off x="0" y="0"/>
                            <a:ext cx="4853264" cy="3153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53BB8" w:rsidRPr="00BC5820" w14:paraId="3D2249A2" w14:textId="77777777" w:rsidTr="00FE5F09">
        <w:tc>
          <w:tcPr>
            <w:tcW w:w="9016" w:type="dxa"/>
            <w:tcBorders>
              <w:top w:val="single" w:sz="4" w:space="0" w:color="auto"/>
              <w:left w:val="nil"/>
              <w:bottom w:val="nil"/>
              <w:right w:val="nil"/>
            </w:tcBorders>
          </w:tcPr>
          <w:p w14:paraId="3A618D20" w14:textId="4027E397" w:rsidR="00353BB8" w:rsidRDefault="00B25A27" w:rsidP="00B25A27">
            <w:pPr>
              <w:pStyle w:val="Tablenote"/>
            </w:pPr>
            <w:r>
              <w:t xml:space="preserve">Note: </w:t>
            </w:r>
            <w:r w:rsidR="00353BB8" w:rsidRPr="00AD25FF">
              <w:t>Data presented is a three-month moving average.</w:t>
            </w:r>
          </w:p>
          <w:p w14:paraId="3B08012F" w14:textId="1C11C085" w:rsidR="00B25A27" w:rsidRPr="00BC5820" w:rsidRDefault="00B25A27" w:rsidP="00FE5F09">
            <w:pPr>
              <w:pStyle w:val="Tablesource"/>
              <w:rPr>
                <w:iCs/>
                <w:color w:val="005EA5"/>
                <w:u w:val="single"/>
              </w:rPr>
            </w:pPr>
            <w:r w:rsidRPr="00BC5820">
              <w:t xml:space="preserve">Source: </w:t>
            </w:r>
            <w:r>
              <w:t>Frontier Economics analysis of Eurostat data</w:t>
            </w:r>
            <w:r w:rsidRPr="00AD25FF">
              <w:t>.</w:t>
            </w:r>
          </w:p>
        </w:tc>
      </w:tr>
    </w:tbl>
    <w:p w14:paraId="3E4EAA57" w14:textId="38776C3F" w:rsidR="006451DC" w:rsidRDefault="00C5132C" w:rsidP="00016CC0">
      <w:r>
        <w:fldChar w:fldCharType="begin"/>
      </w:r>
      <w:r>
        <w:instrText xml:space="preserve"> REF _Ref112842888 \h </w:instrText>
      </w:r>
      <w:r>
        <w:fldChar w:fldCharType="separate"/>
      </w:r>
      <w:r>
        <w:t xml:space="preserve">Figure </w:t>
      </w:r>
      <w:r>
        <w:rPr>
          <w:noProof/>
        </w:rPr>
        <w:t>35</w:t>
      </w:r>
      <w:r>
        <w:fldChar w:fldCharType="end"/>
      </w:r>
      <w:r>
        <w:t xml:space="preserve"> </w:t>
      </w:r>
      <w:r w:rsidR="00353BB8">
        <w:t xml:space="preserve">and </w:t>
      </w:r>
      <w:r>
        <w:fldChar w:fldCharType="begin"/>
      </w:r>
      <w:r>
        <w:instrText xml:space="preserve"> REF _Ref112842900 \h </w:instrText>
      </w:r>
      <w:r>
        <w:fldChar w:fldCharType="separate"/>
      </w:r>
      <w:r>
        <w:t xml:space="preserve">Figure </w:t>
      </w:r>
      <w:r>
        <w:rPr>
          <w:noProof/>
        </w:rPr>
        <w:t>36</w:t>
      </w:r>
      <w:r>
        <w:fldChar w:fldCharType="end"/>
      </w:r>
      <w:r>
        <w:t xml:space="preserve"> </w:t>
      </w:r>
      <w:r w:rsidR="00353BB8">
        <w:t xml:space="preserve">show the top </w:t>
      </w:r>
      <w:r w:rsidR="00411611">
        <w:t>five</w:t>
      </w:r>
      <w:r w:rsidR="00353BB8">
        <w:t xml:space="preserve"> export destinations for HS code 3824 99 from the </w:t>
      </w:r>
      <w:r w:rsidR="0058401A">
        <w:t>United States</w:t>
      </w:r>
      <w:r w:rsidR="00353BB8">
        <w:t xml:space="preserve"> and Canada respectively. For the </w:t>
      </w:r>
      <w:r w:rsidR="0058401A">
        <w:t>United States</w:t>
      </w:r>
      <w:r w:rsidR="00353BB8">
        <w:t xml:space="preserve">, we see a much more varied set of export destinations, ranging from Canada and Mexico to </w:t>
      </w:r>
      <w:r w:rsidR="002406F0">
        <w:t>PRC</w:t>
      </w:r>
      <w:r w:rsidR="00353BB8">
        <w:t xml:space="preserve"> and Germany. Of particular note is the fact </w:t>
      </w:r>
      <w:r w:rsidR="00411611">
        <w:t xml:space="preserve">that </w:t>
      </w:r>
      <w:r w:rsidR="00353BB8">
        <w:t xml:space="preserve">exports trend upwards for all countries over the period (particularly so for Germany). </w:t>
      </w:r>
      <w:r w:rsidR="00411611">
        <w:t xml:space="preserve">It is </w:t>
      </w:r>
      <w:r w:rsidR="00353BB8">
        <w:t>worth noting</w:t>
      </w:r>
      <w:r w:rsidR="00411611">
        <w:t>,</w:t>
      </w:r>
      <w:r w:rsidR="00353BB8">
        <w:t xml:space="preserve"> however</w:t>
      </w:r>
      <w:r w:rsidR="00411611">
        <w:t>,</w:t>
      </w:r>
      <w:r w:rsidR="00353BB8">
        <w:t xml:space="preserve"> that the less granular product definition available in the UN Comtrade data in </w:t>
      </w:r>
      <w:r>
        <w:fldChar w:fldCharType="begin"/>
      </w:r>
      <w:r>
        <w:instrText xml:space="preserve"> REF _Ref112842888 \h </w:instrText>
      </w:r>
      <w:r>
        <w:fldChar w:fldCharType="separate"/>
      </w:r>
      <w:r>
        <w:t xml:space="preserve">Figure </w:t>
      </w:r>
      <w:r>
        <w:rPr>
          <w:noProof/>
        </w:rPr>
        <w:t>35</w:t>
      </w:r>
      <w:r>
        <w:fldChar w:fldCharType="end"/>
      </w:r>
      <w:r w:rsidR="00353BB8">
        <w:t xml:space="preserve"> and </w:t>
      </w:r>
      <w:r>
        <w:fldChar w:fldCharType="begin"/>
      </w:r>
      <w:r>
        <w:instrText xml:space="preserve"> REF _Ref112842900 \h </w:instrText>
      </w:r>
      <w:r>
        <w:fldChar w:fldCharType="separate"/>
      </w:r>
      <w:r>
        <w:t xml:space="preserve">Figure </w:t>
      </w:r>
      <w:r>
        <w:rPr>
          <w:noProof/>
        </w:rPr>
        <w:t>36</w:t>
      </w:r>
      <w:r>
        <w:fldChar w:fldCharType="end"/>
      </w:r>
      <w:r w:rsidR="00353BB8">
        <w:t xml:space="preserve"> (the Eurostat import data is at the 8-digit </w:t>
      </w:r>
      <w:r w:rsidR="009641A2">
        <w:t xml:space="preserve">(CN) </w:t>
      </w:r>
      <w:r w:rsidR="00353BB8">
        <w:t xml:space="preserve">level) means </w:t>
      </w:r>
      <w:r w:rsidR="00692A5E">
        <w:t>that</w:t>
      </w:r>
      <w:r w:rsidR="00353BB8">
        <w:t xml:space="preserve"> the very large trade values with Germany (c</w:t>
      </w:r>
      <w:r w:rsidR="00692A5E">
        <w:t xml:space="preserve">. </w:t>
      </w:r>
      <w:r w:rsidR="00411611">
        <w:t>US</w:t>
      </w:r>
      <w:r w:rsidR="00353BB8">
        <w:t>$400</w:t>
      </w:r>
      <w:r w:rsidR="00411611">
        <w:t xml:space="preserve"> </w:t>
      </w:r>
      <w:r w:rsidR="00353BB8">
        <w:t>m</w:t>
      </w:r>
      <w:r w:rsidR="00411611">
        <w:t>illion</w:t>
      </w:r>
      <w:r w:rsidR="00353BB8">
        <w:t xml:space="preserve"> in 2021) are not reflected in EU-28 imports in</w:t>
      </w:r>
      <w:r>
        <w:t xml:space="preserve"> </w:t>
      </w:r>
      <w:r>
        <w:fldChar w:fldCharType="begin"/>
      </w:r>
      <w:r>
        <w:instrText xml:space="preserve"> REF _Ref112842859 \h </w:instrText>
      </w:r>
      <w:r>
        <w:fldChar w:fldCharType="separate"/>
      </w:r>
      <w:r>
        <w:t xml:space="preserve">Figure </w:t>
      </w:r>
      <w:r>
        <w:rPr>
          <w:noProof/>
        </w:rPr>
        <w:t>33</w:t>
      </w:r>
      <w:r>
        <w:fldChar w:fldCharType="end"/>
      </w:r>
      <w:r w:rsidR="00353BB8">
        <w:t xml:space="preserve">. Looking at Canadian exports, we see much less diversification, with the vast majority of exports to the </w:t>
      </w:r>
      <w:r w:rsidR="0058401A">
        <w:t>United States</w:t>
      </w:r>
      <w:r w:rsidR="00353BB8">
        <w:t xml:space="preserve"> (although Germany does appear in the top </w:t>
      </w:r>
      <w:r w:rsidR="00411611">
        <w:t>five</w:t>
      </w:r>
      <w:r w:rsidR="00353BB8">
        <w:t xml:space="preserve"> export destinations).</w:t>
      </w:r>
      <w:r w:rsidR="006451DC">
        <w:br w:type="page"/>
      </w:r>
    </w:p>
    <w:p w14:paraId="564A8973" w14:textId="77777777" w:rsidR="00353BB8" w:rsidRDefault="00353BB8" w:rsidP="00016CC0"/>
    <w:tbl>
      <w:tblPr>
        <w:tblStyle w:val="TableGrid"/>
        <w:tblW w:w="0" w:type="auto"/>
        <w:tblLook w:val="04A0" w:firstRow="1" w:lastRow="0" w:firstColumn="1" w:lastColumn="0" w:noHBand="0" w:noVBand="1"/>
      </w:tblPr>
      <w:tblGrid>
        <w:gridCol w:w="9016"/>
      </w:tblGrid>
      <w:tr w:rsidR="00353BB8" w:rsidRPr="00F7615F" w14:paraId="76ABBE26" w14:textId="77777777" w:rsidTr="00FE5F09">
        <w:trPr>
          <w:trHeight w:val="557"/>
        </w:trPr>
        <w:tc>
          <w:tcPr>
            <w:tcW w:w="9016" w:type="dxa"/>
            <w:tcBorders>
              <w:bottom w:val="single" w:sz="4" w:space="0" w:color="auto"/>
            </w:tcBorders>
            <w:shd w:val="clear" w:color="auto" w:fill="24135F"/>
          </w:tcPr>
          <w:p w14:paraId="1EC7EBBF" w14:textId="71313C6F" w:rsidR="00353BB8" w:rsidRPr="00C57E0F" w:rsidRDefault="00353BB8" w:rsidP="00FE5F09">
            <w:pPr>
              <w:pStyle w:val="Caption"/>
            </w:pPr>
            <w:bookmarkStart w:id="212" w:name="_Ref112842888"/>
            <w:r w:rsidRPr="00A2245D">
              <w:rPr>
                <w:i w:val="0"/>
                <w:iCs w:val="0"/>
              </w:rPr>
              <w:t xml:space="preserve">Figure </w:t>
            </w:r>
            <w:r w:rsidR="00947A92" w:rsidRPr="00A2245D">
              <w:rPr>
                <w:i w:val="0"/>
                <w:iCs w:val="0"/>
              </w:rPr>
              <w:fldChar w:fldCharType="begin"/>
            </w:r>
            <w:r w:rsidR="00947A92" w:rsidRPr="00A2245D">
              <w:rPr>
                <w:i w:val="0"/>
                <w:iCs w:val="0"/>
              </w:rPr>
              <w:instrText xml:space="preserve"> SEQ Figure \* ARABIC </w:instrText>
            </w:r>
            <w:r w:rsidR="00947A92" w:rsidRPr="00A2245D">
              <w:rPr>
                <w:i w:val="0"/>
                <w:iCs w:val="0"/>
              </w:rPr>
              <w:fldChar w:fldCharType="separate"/>
            </w:r>
            <w:r w:rsidR="00625A64">
              <w:rPr>
                <w:i w:val="0"/>
                <w:iCs w:val="0"/>
                <w:noProof/>
              </w:rPr>
              <w:t>35</w:t>
            </w:r>
            <w:r w:rsidR="00947A92" w:rsidRPr="00A2245D">
              <w:rPr>
                <w:i w:val="0"/>
                <w:iCs w:val="0"/>
                <w:noProof/>
              </w:rPr>
              <w:fldChar w:fldCharType="end"/>
            </w:r>
            <w:bookmarkEnd w:id="212"/>
            <w:r>
              <w:t xml:space="preserve">: Top </w:t>
            </w:r>
            <w:r w:rsidR="001C38CE">
              <w:t>five</w:t>
            </w:r>
            <w:r>
              <w:t xml:space="preserve"> export destinations by v</w:t>
            </w:r>
            <w:r w:rsidRPr="00C57E0F">
              <w:t xml:space="preserve">alue of </w:t>
            </w:r>
            <w:r>
              <w:t xml:space="preserve">annual exports from the </w:t>
            </w:r>
            <w:r w:rsidR="0058401A">
              <w:t>United States</w:t>
            </w:r>
            <w:r>
              <w:t xml:space="preserve"> </w:t>
            </w:r>
            <w:r w:rsidRPr="00C57E0F">
              <w:t xml:space="preserve">for </w:t>
            </w:r>
            <w:r>
              <w:t xml:space="preserve">HS code: </w:t>
            </w:r>
            <w:r w:rsidRPr="003D3DFB">
              <w:t>382</w:t>
            </w:r>
            <w:r>
              <w:t>4 99 for 2015 to 2021</w:t>
            </w:r>
          </w:p>
        </w:tc>
      </w:tr>
      <w:tr w:rsidR="00353BB8" w:rsidRPr="00F7615F" w14:paraId="5C8C7DE9" w14:textId="77777777" w:rsidTr="00FE5F09">
        <w:trPr>
          <w:trHeight w:val="5525"/>
        </w:trPr>
        <w:tc>
          <w:tcPr>
            <w:tcW w:w="9016" w:type="dxa"/>
            <w:tcBorders>
              <w:bottom w:val="single" w:sz="4" w:space="0" w:color="auto"/>
            </w:tcBorders>
          </w:tcPr>
          <w:p w14:paraId="35AAA7C0" w14:textId="77777777" w:rsidR="00353BB8" w:rsidRPr="00AD25FF" w:rsidRDefault="00353BB8" w:rsidP="00FE5F09">
            <w:pPr>
              <w:tabs>
                <w:tab w:val="center" w:pos="4400"/>
              </w:tabs>
              <w:jc w:val="center"/>
              <w:rPr>
                <w:rFonts w:cs="Arial"/>
                <w:noProof/>
                <w:sz w:val="10"/>
                <w:szCs w:val="10"/>
              </w:rPr>
            </w:pPr>
          </w:p>
          <w:p w14:paraId="6EF2329C" w14:textId="6B478271" w:rsidR="008C526E" w:rsidRPr="00F7615F" w:rsidRDefault="00F15EF1" w:rsidP="008C526E">
            <w:pPr>
              <w:tabs>
                <w:tab w:val="center" w:pos="4400"/>
              </w:tabs>
              <w:jc w:val="center"/>
              <w:rPr>
                <w:rFonts w:cs="Arial"/>
                <w:noProof/>
                <w:szCs w:val="24"/>
              </w:rPr>
            </w:pPr>
            <w:r>
              <w:rPr>
                <w:noProof/>
              </w:rPr>
              <w:drawing>
                <wp:inline distT="0" distB="0" distL="0" distR="0" wp14:anchorId="2A7A12CF" wp14:editId="6E27ED9C">
                  <wp:extent cx="4846409" cy="3157200"/>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b="4854"/>
                          <a:stretch/>
                        </pic:blipFill>
                        <pic:spPr bwMode="auto">
                          <a:xfrm>
                            <a:off x="0" y="0"/>
                            <a:ext cx="4846409" cy="3157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69505CB" w14:textId="77777777" w:rsidR="00D66D81" w:rsidRDefault="00D66D81" w:rsidP="00D66D81">
      <w:pPr>
        <w:pStyle w:val="Tablesource"/>
        <w:rPr>
          <w:i w:val="0"/>
        </w:rPr>
      </w:pPr>
      <w:r w:rsidRPr="00BC5820">
        <w:t xml:space="preserve">Source: </w:t>
      </w:r>
      <w:r>
        <w:t>Frontier Economics analysis of UN Comtrade data</w:t>
      </w:r>
      <w:r w:rsidRPr="00AD25FF">
        <w:t>.</w:t>
      </w:r>
    </w:p>
    <w:p w14:paraId="5BDA73B0" w14:textId="77777777" w:rsidR="00D66D81" w:rsidRDefault="00D66D81">
      <w:pPr>
        <w:rPr>
          <w:i/>
        </w:rPr>
      </w:pPr>
    </w:p>
    <w:p w14:paraId="406F8322" w14:textId="422335F9" w:rsidR="00D66D81" w:rsidRDefault="00D66D81">
      <w:r>
        <w:rPr>
          <w:i/>
        </w:rPr>
        <w:br w:type="page"/>
      </w:r>
    </w:p>
    <w:tbl>
      <w:tblPr>
        <w:tblStyle w:val="TableGrid"/>
        <w:tblW w:w="0" w:type="auto"/>
        <w:tblLook w:val="04A0" w:firstRow="1" w:lastRow="0" w:firstColumn="1" w:lastColumn="0" w:noHBand="0" w:noVBand="1"/>
      </w:tblPr>
      <w:tblGrid>
        <w:gridCol w:w="9016"/>
      </w:tblGrid>
      <w:tr w:rsidR="00353BB8" w:rsidRPr="00F7615F" w14:paraId="25DB7E4E" w14:textId="77777777" w:rsidTr="00D66D81">
        <w:tc>
          <w:tcPr>
            <w:tcW w:w="9016" w:type="dxa"/>
            <w:tcBorders>
              <w:bottom w:val="single" w:sz="4" w:space="0" w:color="auto"/>
            </w:tcBorders>
            <w:shd w:val="clear" w:color="auto" w:fill="24135F"/>
          </w:tcPr>
          <w:p w14:paraId="12D8E525" w14:textId="5C6CA940" w:rsidR="00353BB8" w:rsidRPr="00C57E0F" w:rsidRDefault="00353BB8" w:rsidP="00FE5F09">
            <w:pPr>
              <w:pStyle w:val="Caption"/>
            </w:pPr>
            <w:bookmarkStart w:id="213" w:name="_Ref112842900"/>
            <w:bookmarkStart w:id="214" w:name="_Ref100744456"/>
            <w:r w:rsidRPr="00A2245D">
              <w:rPr>
                <w:i w:val="0"/>
                <w:iCs w:val="0"/>
              </w:rPr>
              <w:t xml:space="preserve">Figure </w:t>
            </w:r>
            <w:r w:rsidR="00947A92" w:rsidRPr="00A2245D">
              <w:rPr>
                <w:i w:val="0"/>
                <w:iCs w:val="0"/>
              </w:rPr>
              <w:fldChar w:fldCharType="begin"/>
            </w:r>
            <w:r w:rsidR="00947A92" w:rsidRPr="00A2245D">
              <w:rPr>
                <w:i w:val="0"/>
                <w:iCs w:val="0"/>
              </w:rPr>
              <w:instrText xml:space="preserve"> SEQ Figure \* ARABIC </w:instrText>
            </w:r>
            <w:r w:rsidR="00947A92" w:rsidRPr="00A2245D">
              <w:rPr>
                <w:i w:val="0"/>
                <w:iCs w:val="0"/>
              </w:rPr>
              <w:fldChar w:fldCharType="separate"/>
            </w:r>
            <w:r w:rsidR="00625A64">
              <w:rPr>
                <w:i w:val="0"/>
                <w:iCs w:val="0"/>
                <w:noProof/>
              </w:rPr>
              <w:t>36</w:t>
            </w:r>
            <w:r w:rsidR="00947A92" w:rsidRPr="00A2245D">
              <w:rPr>
                <w:i w:val="0"/>
                <w:iCs w:val="0"/>
                <w:noProof/>
              </w:rPr>
              <w:fldChar w:fldCharType="end"/>
            </w:r>
            <w:bookmarkEnd w:id="213"/>
            <w:bookmarkEnd w:id="214"/>
            <w:r>
              <w:t xml:space="preserve">: Top </w:t>
            </w:r>
            <w:r w:rsidR="001C38CE">
              <w:t>five</w:t>
            </w:r>
            <w:r>
              <w:t xml:space="preserve"> export destinations by v</w:t>
            </w:r>
            <w:r w:rsidRPr="00C57E0F">
              <w:t xml:space="preserve">alue of </w:t>
            </w:r>
            <w:r>
              <w:t xml:space="preserve">annual exports from Canada </w:t>
            </w:r>
            <w:r w:rsidRPr="00C57E0F">
              <w:t xml:space="preserve">for </w:t>
            </w:r>
            <w:r>
              <w:t xml:space="preserve">HS code: </w:t>
            </w:r>
            <w:r w:rsidRPr="003D3DFB">
              <w:t>382</w:t>
            </w:r>
            <w:r>
              <w:t>4 99 for 2015 to 2021</w:t>
            </w:r>
          </w:p>
        </w:tc>
      </w:tr>
      <w:tr w:rsidR="00353BB8" w:rsidRPr="00F7615F" w14:paraId="3ED32A32" w14:textId="77777777" w:rsidTr="00D66D81">
        <w:trPr>
          <w:trHeight w:val="5458"/>
        </w:trPr>
        <w:tc>
          <w:tcPr>
            <w:tcW w:w="9016" w:type="dxa"/>
            <w:tcBorders>
              <w:bottom w:val="single" w:sz="4" w:space="0" w:color="auto"/>
            </w:tcBorders>
          </w:tcPr>
          <w:p w14:paraId="70894336" w14:textId="13504ECC" w:rsidR="00353BB8" w:rsidRPr="00AD25FF" w:rsidRDefault="00353BB8" w:rsidP="00FE5F09">
            <w:pPr>
              <w:tabs>
                <w:tab w:val="center" w:pos="4400"/>
              </w:tabs>
              <w:jc w:val="center"/>
              <w:rPr>
                <w:rFonts w:cs="Arial"/>
                <w:noProof/>
                <w:sz w:val="10"/>
                <w:szCs w:val="10"/>
              </w:rPr>
            </w:pPr>
          </w:p>
          <w:p w14:paraId="5CE45664" w14:textId="41CFAF0F" w:rsidR="00353BB8" w:rsidRPr="00F7615F" w:rsidRDefault="000D36BB" w:rsidP="004E3F33">
            <w:pPr>
              <w:tabs>
                <w:tab w:val="center" w:pos="4400"/>
              </w:tabs>
              <w:jc w:val="center"/>
              <w:rPr>
                <w:rFonts w:cs="Arial"/>
                <w:noProof/>
                <w:szCs w:val="24"/>
              </w:rPr>
            </w:pPr>
            <w:r>
              <w:rPr>
                <w:noProof/>
              </w:rPr>
              <w:drawing>
                <wp:inline distT="0" distB="0" distL="0" distR="0" wp14:anchorId="2999C255" wp14:editId="5107FD6E">
                  <wp:extent cx="4859778" cy="3153600"/>
                  <wp:effectExtent l="0" t="0" r="0"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b="5340"/>
                          <a:stretch/>
                        </pic:blipFill>
                        <pic:spPr bwMode="auto">
                          <a:xfrm>
                            <a:off x="0" y="0"/>
                            <a:ext cx="4859778" cy="3153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53BB8" w:rsidRPr="00BC5820" w14:paraId="0765BD7F" w14:textId="77777777" w:rsidTr="00D66D81">
        <w:tc>
          <w:tcPr>
            <w:tcW w:w="9016" w:type="dxa"/>
            <w:tcBorders>
              <w:top w:val="single" w:sz="4" w:space="0" w:color="auto"/>
              <w:left w:val="nil"/>
              <w:bottom w:val="nil"/>
              <w:right w:val="nil"/>
            </w:tcBorders>
          </w:tcPr>
          <w:p w14:paraId="4606A145" w14:textId="77777777" w:rsidR="00353BB8" w:rsidRPr="00BC5820" w:rsidRDefault="00353BB8" w:rsidP="00FE5F09">
            <w:pPr>
              <w:pStyle w:val="Tablesource"/>
              <w:rPr>
                <w:iCs/>
                <w:color w:val="005EA5"/>
                <w:u w:val="single"/>
              </w:rPr>
            </w:pPr>
            <w:r w:rsidRPr="00BC5820">
              <w:t xml:space="preserve">Source: </w:t>
            </w:r>
            <w:r>
              <w:t>Frontier Economics analysis of UN Comtrade data</w:t>
            </w:r>
            <w:r w:rsidRPr="00AD25FF">
              <w:t>.</w:t>
            </w:r>
          </w:p>
        </w:tc>
      </w:tr>
    </w:tbl>
    <w:p w14:paraId="6523540D" w14:textId="5C90AFC8" w:rsidR="00353BB8" w:rsidRDefault="00353BB8" w:rsidP="00016CC0">
      <w:r>
        <w:t>Looking now at EU-28 and UK imports for CN code 1518 00 91 in</w:t>
      </w:r>
      <w:r w:rsidR="00C5132C">
        <w:t>, respectively,</w:t>
      </w:r>
      <w:r>
        <w:t xml:space="preserve"> </w:t>
      </w:r>
      <w:r w:rsidR="00C5132C">
        <w:fldChar w:fldCharType="begin"/>
      </w:r>
      <w:r w:rsidR="00C5132C">
        <w:instrText xml:space="preserve"> REF _Ref112843036 \h </w:instrText>
      </w:r>
      <w:r w:rsidR="00C5132C">
        <w:fldChar w:fldCharType="separate"/>
      </w:r>
      <w:r w:rsidR="00C5132C">
        <w:t xml:space="preserve">Figure </w:t>
      </w:r>
      <w:r w:rsidR="00C5132C">
        <w:rPr>
          <w:noProof/>
        </w:rPr>
        <w:t>37</w:t>
      </w:r>
      <w:r w:rsidR="00C5132C">
        <w:fldChar w:fldCharType="end"/>
      </w:r>
      <w:r w:rsidR="00C5132C">
        <w:t xml:space="preserve"> </w:t>
      </w:r>
      <w:r>
        <w:t xml:space="preserve">and </w:t>
      </w:r>
      <w:r w:rsidR="00C5132C">
        <w:fldChar w:fldCharType="begin"/>
      </w:r>
      <w:r w:rsidR="00C5132C">
        <w:instrText xml:space="preserve"> REF _Ref112843050 \h </w:instrText>
      </w:r>
      <w:r w:rsidR="00C5132C">
        <w:fldChar w:fldCharType="separate"/>
      </w:r>
      <w:r w:rsidR="00C5132C">
        <w:t xml:space="preserve">Figure </w:t>
      </w:r>
      <w:r w:rsidR="00C5132C">
        <w:rPr>
          <w:noProof/>
        </w:rPr>
        <w:t>38</w:t>
      </w:r>
      <w:r w:rsidR="00C5132C">
        <w:fldChar w:fldCharType="end"/>
      </w:r>
      <w:r>
        <w:t>, a different picture emerges. For the EU-28, almost all imports of this product are from Indonesia, with highly volatile trade flows seen from 2017 onwards (following the expiry of duties). For the UK</w:t>
      </w:r>
      <w:r w:rsidRPr="001C38CE">
        <w:t xml:space="preserve">, </w:t>
      </w:r>
      <w:r w:rsidRPr="00EF1908">
        <w:t>whil</w:t>
      </w:r>
      <w:r w:rsidR="001C38CE" w:rsidRPr="00EF1908">
        <w:t>e</w:t>
      </w:r>
      <w:r w:rsidRPr="001C38CE">
        <w:t xml:space="preserve"> most</w:t>
      </w:r>
      <w:r>
        <w:t xml:space="preserve"> imports are from the </w:t>
      </w:r>
      <w:r w:rsidR="0058401A">
        <w:t>United States</w:t>
      </w:r>
      <w:r>
        <w:t xml:space="preserve">, the value of the trade flows are relatively immaterial (below </w:t>
      </w:r>
      <w:r>
        <w:rPr>
          <w:rFonts w:cs="Arial"/>
        </w:rPr>
        <w:t>€</w:t>
      </w:r>
      <w:r>
        <w:t xml:space="preserve">100,000 annually). </w:t>
      </w:r>
    </w:p>
    <w:p w14:paraId="72D31606" w14:textId="68E74E1B" w:rsidR="00D66D81" w:rsidRDefault="00D66D81" w:rsidP="00016CC0">
      <w:r>
        <w:br w:type="page"/>
      </w:r>
    </w:p>
    <w:tbl>
      <w:tblPr>
        <w:tblStyle w:val="TableGrid"/>
        <w:tblW w:w="0" w:type="auto"/>
        <w:tblLook w:val="04A0" w:firstRow="1" w:lastRow="0" w:firstColumn="1" w:lastColumn="0" w:noHBand="0" w:noVBand="1"/>
      </w:tblPr>
      <w:tblGrid>
        <w:gridCol w:w="9016"/>
      </w:tblGrid>
      <w:tr w:rsidR="00353BB8" w:rsidRPr="00F7615F" w14:paraId="66FE9DDA" w14:textId="77777777" w:rsidTr="00FE5F09">
        <w:tc>
          <w:tcPr>
            <w:tcW w:w="9016" w:type="dxa"/>
            <w:tcBorders>
              <w:bottom w:val="single" w:sz="4" w:space="0" w:color="auto"/>
            </w:tcBorders>
            <w:shd w:val="clear" w:color="auto" w:fill="24135F"/>
          </w:tcPr>
          <w:p w14:paraId="4F400B4E" w14:textId="24E6DE02" w:rsidR="00353BB8" w:rsidRPr="00C57E0F" w:rsidRDefault="00353BB8" w:rsidP="00FE5F09">
            <w:pPr>
              <w:pStyle w:val="Caption"/>
            </w:pPr>
            <w:bookmarkStart w:id="215" w:name="_Ref112843036"/>
            <w:r w:rsidRPr="00A2245D">
              <w:rPr>
                <w:i w:val="0"/>
                <w:iCs w:val="0"/>
              </w:rPr>
              <w:t xml:space="preserve">Figure </w:t>
            </w:r>
            <w:r w:rsidR="00947A92" w:rsidRPr="00A2245D">
              <w:rPr>
                <w:i w:val="0"/>
                <w:iCs w:val="0"/>
              </w:rPr>
              <w:fldChar w:fldCharType="begin"/>
            </w:r>
            <w:r w:rsidR="00947A92" w:rsidRPr="00A2245D">
              <w:rPr>
                <w:i w:val="0"/>
                <w:iCs w:val="0"/>
              </w:rPr>
              <w:instrText xml:space="preserve"> SEQ Figure \* ARABIC </w:instrText>
            </w:r>
            <w:r w:rsidR="00947A92" w:rsidRPr="00A2245D">
              <w:rPr>
                <w:i w:val="0"/>
                <w:iCs w:val="0"/>
              </w:rPr>
              <w:fldChar w:fldCharType="separate"/>
            </w:r>
            <w:r w:rsidR="00625A64">
              <w:rPr>
                <w:i w:val="0"/>
                <w:iCs w:val="0"/>
                <w:noProof/>
              </w:rPr>
              <w:t>37</w:t>
            </w:r>
            <w:r w:rsidR="00947A92" w:rsidRPr="00A2245D">
              <w:rPr>
                <w:i w:val="0"/>
                <w:iCs w:val="0"/>
                <w:noProof/>
              </w:rPr>
              <w:fldChar w:fldCharType="end"/>
            </w:r>
            <w:bookmarkEnd w:id="215"/>
            <w:r>
              <w:t xml:space="preserve">: </w:t>
            </w:r>
            <w:r w:rsidRPr="00C57E0F">
              <w:t>Value of monthly imports into the EU</w:t>
            </w:r>
            <w:r>
              <w:t xml:space="preserve">-28 </w:t>
            </w:r>
            <w:r w:rsidRPr="00C57E0F">
              <w:t xml:space="preserve">from </w:t>
            </w:r>
            <w:r>
              <w:t xml:space="preserve">the top </w:t>
            </w:r>
            <w:r w:rsidR="001C38CE">
              <w:t>five</w:t>
            </w:r>
            <w:r>
              <w:t xml:space="preserve"> exporters into the EU-28 </w:t>
            </w:r>
            <w:r w:rsidRPr="00C57E0F">
              <w:t xml:space="preserve">for </w:t>
            </w:r>
            <w:r>
              <w:t xml:space="preserve">CN code: </w:t>
            </w:r>
            <w:r w:rsidRPr="003D3DFB">
              <w:t>1518</w:t>
            </w:r>
            <w:r>
              <w:t xml:space="preserve"> </w:t>
            </w:r>
            <w:r w:rsidRPr="003D3DFB">
              <w:t>00</w:t>
            </w:r>
            <w:r>
              <w:t xml:space="preserve"> </w:t>
            </w:r>
            <w:r w:rsidRPr="003D3DFB">
              <w:t>91</w:t>
            </w:r>
            <w:r>
              <w:t xml:space="preserve"> for 2015 to 2020</w:t>
            </w:r>
          </w:p>
        </w:tc>
      </w:tr>
      <w:tr w:rsidR="00353BB8" w:rsidRPr="00F7615F" w14:paraId="6EAE8971" w14:textId="77777777" w:rsidTr="00FE5F09">
        <w:trPr>
          <w:trHeight w:val="5525"/>
        </w:trPr>
        <w:tc>
          <w:tcPr>
            <w:tcW w:w="9016" w:type="dxa"/>
            <w:tcBorders>
              <w:bottom w:val="single" w:sz="4" w:space="0" w:color="auto"/>
            </w:tcBorders>
          </w:tcPr>
          <w:p w14:paraId="50FAB153" w14:textId="2FCC65C2" w:rsidR="00353BB8" w:rsidRPr="00AD25FF" w:rsidRDefault="00353BB8" w:rsidP="00FE5F09">
            <w:pPr>
              <w:tabs>
                <w:tab w:val="center" w:pos="4400"/>
              </w:tabs>
              <w:jc w:val="center"/>
              <w:rPr>
                <w:rFonts w:cs="Arial"/>
                <w:noProof/>
                <w:sz w:val="10"/>
                <w:szCs w:val="10"/>
              </w:rPr>
            </w:pPr>
          </w:p>
          <w:p w14:paraId="3C71A408" w14:textId="7A6FDBBD" w:rsidR="00353BB8" w:rsidRPr="00F7615F" w:rsidRDefault="00F15EF1" w:rsidP="00FE5F09">
            <w:pPr>
              <w:tabs>
                <w:tab w:val="center" w:pos="4400"/>
              </w:tabs>
              <w:jc w:val="center"/>
              <w:rPr>
                <w:rFonts w:cs="Arial"/>
                <w:szCs w:val="24"/>
              </w:rPr>
            </w:pPr>
            <w:r>
              <w:rPr>
                <w:noProof/>
              </w:rPr>
              <w:drawing>
                <wp:inline distT="0" distB="0" distL="0" distR="0" wp14:anchorId="691A6E74" wp14:editId="3881D668">
                  <wp:extent cx="4846409" cy="3157200"/>
                  <wp:effectExtent l="0" t="0" r="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b="4854"/>
                          <a:stretch/>
                        </pic:blipFill>
                        <pic:spPr bwMode="auto">
                          <a:xfrm>
                            <a:off x="0" y="0"/>
                            <a:ext cx="4846409" cy="3157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53BB8" w:rsidRPr="00BC5820" w14:paraId="5B9421EA" w14:textId="77777777" w:rsidTr="00FE5F09">
        <w:tc>
          <w:tcPr>
            <w:tcW w:w="9016" w:type="dxa"/>
            <w:tcBorders>
              <w:top w:val="single" w:sz="4" w:space="0" w:color="auto"/>
              <w:left w:val="nil"/>
              <w:bottom w:val="nil"/>
              <w:right w:val="nil"/>
            </w:tcBorders>
          </w:tcPr>
          <w:p w14:paraId="4EB5F1BD" w14:textId="1AC74B51" w:rsidR="00353BB8" w:rsidRDefault="00B25A27" w:rsidP="00B25A27">
            <w:pPr>
              <w:pStyle w:val="Tablenote"/>
            </w:pPr>
            <w:r>
              <w:t xml:space="preserve">Note: </w:t>
            </w:r>
            <w:r w:rsidR="00353BB8" w:rsidRPr="00AD25FF">
              <w:t>Data presented is a three-month moving average.</w:t>
            </w:r>
          </w:p>
          <w:p w14:paraId="38DB9948" w14:textId="070F52BE" w:rsidR="00B25A27" w:rsidRPr="00BC5820" w:rsidRDefault="00B25A27" w:rsidP="00FE5F09">
            <w:pPr>
              <w:pStyle w:val="Tablesource"/>
              <w:rPr>
                <w:iCs/>
                <w:color w:val="005EA5"/>
                <w:u w:val="single"/>
              </w:rPr>
            </w:pPr>
            <w:r w:rsidRPr="00BC5820">
              <w:t xml:space="preserve">Source: </w:t>
            </w:r>
            <w:r>
              <w:t>Frontier Economics analysis of Eurostat data</w:t>
            </w:r>
            <w:r w:rsidRPr="00AD25FF">
              <w:t>.</w:t>
            </w:r>
          </w:p>
        </w:tc>
      </w:tr>
    </w:tbl>
    <w:p w14:paraId="5CE60824" w14:textId="37AD9D93" w:rsidR="00D66D81" w:rsidRDefault="00D66D81" w:rsidP="00353BB8">
      <w:pPr>
        <w:pStyle w:val="NoSpacing"/>
        <w:spacing w:line="360" w:lineRule="auto"/>
        <w:rPr>
          <w:rFonts w:eastAsiaTheme="majorEastAsia"/>
        </w:rPr>
      </w:pPr>
      <w:r>
        <w:rPr>
          <w:rFonts w:eastAsiaTheme="majorEastAsia"/>
        </w:rPr>
        <w:br w:type="page"/>
      </w:r>
    </w:p>
    <w:tbl>
      <w:tblPr>
        <w:tblStyle w:val="TableGrid"/>
        <w:tblW w:w="0" w:type="auto"/>
        <w:tblLook w:val="04A0" w:firstRow="1" w:lastRow="0" w:firstColumn="1" w:lastColumn="0" w:noHBand="0" w:noVBand="1"/>
      </w:tblPr>
      <w:tblGrid>
        <w:gridCol w:w="9016"/>
      </w:tblGrid>
      <w:tr w:rsidR="00353BB8" w:rsidRPr="00F7615F" w14:paraId="62F61220" w14:textId="77777777" w:rsidTr="00FE5F09">
        <w:tc>
          <w:tcPr>
            <w:tcW w:w="9016" w:type="dxa"/>
            <w:tcBorders>
              <w:bottom w:val="single" w:sz="4" w:space="0" w:color="auto"/>
            </w:tcBorders>
            <w:shd w:val="clear" w:color="auto" w:fill="24135F"/>
          </w:tcPr>
          <w:p w14:paraId="7FD329C3" w14:textId="0EF3E018" w:rsidR="00353BB8" w:rsidRPr="00C57E0F" w:rsidRDefault="00353BB8" w:rsidP="00FE5F09">
            <w:pPr>
              <w:pStyle w:val="Caption"/>
            </w:pPr>
            <w:bookmarkStart w:id="216" w:name="_Ref112843050"/>
            <w:bookmarkStart w:id="217" w:name="_Ref100744597"/>
            <w:r w:rsidRPr="00A2245D">
              <w:rPr>
                <w:i w:val="0"/>
                <w:iCs w:val="0"/>
              </w:rPr>
              <w:t xml:space="preserve">Figure </w:t>
            </w:r>
            <w:r w:rsidR="00947A92" w:rsidRPr="00A2245D">
              <w:rPr>
                <w:i w:val="0"/>
                <w:iCs w:val="0"/>
              </w:rPr>
              <w:fldChar w:fldCharType="begin"/>
            </w:r>
            <w:r w:rsidR="00947A92" w:rsidRPr="00A2245D">
              <w:rPr>
                <w:i w:val="0"/>
                <w:iCs w:val="0"/>
              </w:rPr>
              <w:instrText xml:space="preserve"> SEQ Figure \* ARABIC </w:instrText>
            </w:r>
            <w:r w:rsidR="00947A92" w:rsidRPr="00A2245D">
              <w:rPr>
                <w:i w:val="0"/>
                <w:iCs w:val="0"/>
              </w:rPr>
              <w:fldChar w:fldCharType="separate"/>
            </w:r>
            <w:r w:rsidR="00625A64">
              <w:rPr>
                <w:i w:val="0"/>
                <w:iCs w:val="0"/>
                <w:noProof/>
              </w:rPr>
              <w:t>38</w:t>
            </w:r>
            <w:r w:rsidR="00947A92" w:rsidRPr="00A2245D">
              <w:rPr>
                <w:i w:val="0"/>
                <w:iCs w:val="0"/>
                <w:noProof/>
              </w:rPr>
              <w:fldChar w:fldCharType="end"/>
            </w:r>
            <w:bookmarkEnd w:id="216"/>
            <w:bookmarkEnd w:id="217"/>
            <w:r>
              <w:t xml:space="preserve">: </w:t>
            </w:r>
            <w:r w:rsidRPr="00C57E0F">
              <w:t xml:space="preserve">Value of monthly imports into the </w:t>
            </w:r>
            <w:r>
              <w:t xml:space="preserve">UK </w:t>
            </w:r>
            <w:r w:rsidRPr="00C57E0F">
              <w:t xml:space="preserve">from </w:t>
            </w:r>
            <w:r>
              <w:t xml:space="preserve">the top </w:t>
            </w:r>
            <w:r w:rsidR="001C38CE">
              <w:t>five</w:t>
            </w:r>
            <w:r>
              <w:t xml:space="preserve"> exporters into the UK</w:t>
            </w:r>
            <w:r w:rsidRPr="00C57E0F">
              <w:t xml:space="preserve"> for </w:t>
            </w:r>
            <w:r>
              <w:t xml:space="preserve">CN code: </w:t>
            </w:r>
            <w:r w:rsidRPr="003D3DFB">
              <w:t>1518</w:t>
            </w:r>
            <w:r>
              <w:t xml:space="preserve"> </w:t>
            </w:r>
            <w:r w:rsidRPr="003D3DFB">
              <w:t>00</w:t>
            </w:r>
            <w:r>
              <w:t xml:space="preserve"> </w:t>
            </w:r>
            <w:r w:rsidRPr="003D3DFB">
              <w:t>91</w:t>
            </w:r>
            <w:r>
              <w:t xml:space="preserve"> for 2015 to 2020</w:t>
            </w:r>
          </w:p>
        </w:tc>
      </w:tr>
      <w:tr w:rsidR="00353BB8" w:rsidRPr="00F7615F" w14:paraId="471F9993" w14:textId="77777777" w:rsidTr="00793586">
        <w:trPr>
          <w:trHeight w:val="5525"/>
        </w:trPr>
        <w:tc>
          <w:tcPr>
            <w:tcW w:w="9016" w:type="dxa"/>
            <w:tcBorders>
              <w:bottom w:val="single" w:sz="4" w:space="0" w:color="auto"/>
            </w:tcBorders>
          </w:tcPr>
          <w:p w14:paraId="1522523C" w14:textId="1267E08F" w:rsidR="00353BB8" w:rsidRPr="003B4AF3" w:rsidRDefault="00353BB8" w:rsidP="008159BA">
            <w:pPr>
              <w:tabs>
                <w:tab w:val="center" w:pos="4400"/>
              </w:tabs>
              <w:jc w:val="center"/>
              <w:rPr>
                <w:rFonts w:cs="Arial"/>
                <w:sz w:val="12"/>
                <w:szCs w:val="12"/>
              </w:rPr>
            </w:pPr>
          </w:p>
          <w:p w14:paraId="60B97DE5" w14:textId="5A805B31" w:rsidR="00353BB8" w:rsidRPr="008159BA" w:rsidRDefault="00F15EF1" w:rsidP="008159BA">
            <w:pPr>
              <w:tabs>
                <w:tab w:val="center" w:pos="4400"/>
              </w:tabs>
              <w:jc w:val="center"/>
              <w:rPr>
                <w:rFonts w:cs="Arial"/>
                <w:szCs w:val="24"/>
              </w:rPr>
            </w:pPr>
            <w:r>
              <w:rPr>
                <w:noProof/>
              </w:rPr>
              <w:drawing>
                <wp:inline distT="0" distB="0" distL="0" distR="0" wp14:anchorId="156081C8" wp14:editId="21E5F9CB">
                  <wp:extent cx="4871263" cy="3157200"/>
                  <wp:effectExtent l="0" t="0" r="5715"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b="5340"/>
                          <a:stretch/>
                        </pic:blipFill>
                        <pic:spPr bwMode="auto">
                          <a:xfrm>
                            <a:off x="0" y="0"/>
                            <a:ext cx="4871263" cy="3157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E5F09" w:rsidRPr="00F7615F" w14:paraId="7C805082" w14:textId="77777777" w:rsidTr="00793586">
        <w:trPr>
          <w:trHeight w:val="782"/>
        </w:trPr>
        <w:tc>
          <w:tcPr>
            <w:tcW w:w="9016" w:type="dxa"/>
            <w:tcBorders>
              <w:left w:val="nil"/>
              <w:bottom w:val="nil"/>
              <w:right w:val="nil"/>
            </w:tcBorders>
          </w:tcPr>
          <w:p w14:paraId="254BEE93" w14:textId="4806995F" w:rsidR="00FE5F09" w:rsidRDefault="00B25A27" w:rsidP="00B25A27">
            <w:pPr>
              <w:pStyle w:val="Tablenote"/>
            </w:pPr>
            <w:r>
              <w:t xml:space="preserve">Note: </w:t>
            </w:r>
            <w:r w:rsidR="00FE5F09" w:rsidRPr="00FE5F09">
              <w:t>Data presented is a three-month moving average.</w:t>
            </w:r>
          </w:p>
          <w:p w14:paraId="28450FEA" w14:textId="52D234DF" w:rsidR="00B25A27" w:rsidRDefault="00B25A27" w:rsidP="00FE5F09">
            <w:pPr>
              <w:pStyle w:val="Tablesource"/>
              <w:rPr>
                <w:rFonts w:cs="Arial"/>
                <w:noProof/>
                <w:szCs w:val="24"/>
              </w:rPr>
            </w:pPr>
            <w:r w:rsidRPr="00FE5F09">
              <w:t>Source: Frontier Economics analysis of Eurostat data.</w:t>
            </w:r>
          </w:p>
        </w:tc>
      </w:tr>
    </w:tbl>
    <w:p w14:paraId="1529A2B0" w14:textId="0E7F8310" w:rsidR="00353BB8" w:rsidRDefault="00353BB8" w:rsidP="00016CC0">
      <w:pPr>
        <w:spacing w:before="240"/>
      </w:pPr>
      <w:r>
        <w:t xml:space="preserve">Looking at the export destinations for the </w:t>
      </w:r>
      <w:r w:rsidR="0058401A">
        <w:t>United States</w:t>
      </w:r>
      <w:r>
        <w:t xml:space="preserve"> and Canada in </w:t>
      </w:r>
      <w:r w:rsidR="00C5132C">
        <w:fldChar w:fldCharType="begin"/>
      </w:r>
      <w:r w:rsidR="00C5132C">
        <w:instrText xml:space="preserve"> REF _Ref112843069 \h </w:instrText>
      </w:r>
      <w:r w:rsidR="00C5132C">
        <w:fldChar w:fldCharType="separate"/>
      </w:r>
      <w:r w:rsidR="00C5132C">
        <w:t xml:space="preserve">Figure </w:t>
      </w:r>
      <w:r w:rsidR="00C5132C">
        <w:rPr>
          <w:noProof/>
        </w:rPr>
        <w:t>39</w:t>
      </w:r>
      <w:r w:rsidR="00C5132C">
        <w:fldChar w:fldCharType="end"/>
      </w:r>
      <w:r w:rsidR="00C5132C">
        <w:t xml:space="preserve"> </w:t>
      </w:r>
      <w:r>
        <w:t xml:space="preserve">and </w:t>
      </w:r>
      <w:r w:rsidR="00C5132C">
        <w:fldChar w:fldCharType="begin"/>
      </w:r>
      <w:r w:rsidR="00C5132C">
        <w:instrText xml:space="preserve"> REF _Ref112843079 \h </w:instrText>
      </w:r>
      <w:r w:rsidR="00C5132C">
        <w:fldChar w:fldCharType="separate"/>
      </w:r>
      <w:r w:rsidR="00C5132C">
        <w:t xml:space="preserve">Figure </w:t>
      </w:r>
      <w:r w:rsidR="00C5132C">
        <w:rPr>
          <w:noProof/>
        </w:rPr>
        <w:t>40</w:t>
      </w:r>
      <w:r w:rsidR="00C5132C">
        <w:fldChar w:fldCharType="end"/>
      </w:r>
      <w:r>
        <w:t xml:space="preserve">, for both countries </w:t>
      </w:r>
      <w:r w:rsidR="001C38CE">
        <w:t xml:space="preserve">we see </w:t>
      </w:r>
      <w:r>
        <w:t xml:space="preserve">a significant increase in exports to Singapore over the period. Given </w:t>
      </w:r>
      <w:r w:rsidR="00A31B90">
        <w:t xml:space="preserve">that </w:t>
      </w:r>
      <w:r>
        <w:t xml:space="preserve">Singapore was originally part of the anti-circumvention investigation (but was later exonerated), this is potentially significant. </w:t>
      </w:r>
      <w:r w:rsidR="00A31B90">
        <w:t>As</w:t>
      </w:r>
      <w:r>
        <w:t xml:space="preserve"> imports from Singapore do not increase in the EU-28 or the UK</w:t>
      </w:r>
      <w:r w:rsidR="00A31B90">
        <w:t>, this</w:t>
      </w:r>
      <w:r>
        <w:t xml:space="preserve"> suggests that circumvention is unlikely to be present. For Canada, there is also a significant increase in exports to the </w:t>
      </w:r>
      <w:r w:rsidR="0058401A">
        <w:t>United States</w:t>
      </w:r>
      <w:r>
        <w:t xml:space="preserve">. For the </w:t>
      </w:r>
      <w:r w:rsidR="0058401A">
        <w:t>United States</w:t>
      </w:r>
      <w:r>
        <w:t xml:space="preserve">, we also see an increase over the period in exports to the UK. For the same reason outlined in the previous paragraph, the expansion in exports from the </w:t>
      </w:r>
      <w:r w:rsidR="0058401A">
        <w:t>United States</w:t>
      </w:r>
      <w:r>
        <w:t xml:space="preserve"> to the UK does not appear in </w:t>
      </w:r>
      <w:r w:rsidR="00C5132C">
        <w:fldChar w:fldCharType="begin"/>
      </w:r>
      <w:r w:rsidR="00C5132C">
        <w:instrText xml:space="preserve"> REF _Ref112843050 \h </w:instrText>
      </w:r>
      <w:r w:rsidR="00C5132C">
        <w:fldChar w:fldCharType="separate"/>
      </w:r>
      <w:r w:rsidR="00C5132C">
        <w:t xml:space="preserve">Figure </w:t>
      </w:r>
      <w:r w:rsidR="00C5132C">
        <w:rPr>
          <w:noProof/>
        </w:rPr>
        <w:t>38</w:t>
      </w:r>
      <w:r w:rsidR="00C5132C">
        <w:fldChar w:fldCharType="end"/>
      </w:r>
      <w:r>
        <w:t xml:space="preserve">. </w:t>
      </w:r>
    </w:p>
    <w:p w14:paraId="1CFFBB4C" w14:textId="75181E49" w:rsidR="00D66D81" w:rsidRDefault="00D66D81" w:rsidP="00016CC0">
      <w:pPr>
        <w:spacing w:before="240"/>
      </w:pPr>
      <w:r>
        <w:br w:type="page"/>
      </w:r>
    </w:p>
    <w:tbl>
      <w:tblPr>
        <w:tblStyle w:val="TableGrid"/>
        <w:tblW w:w="0" w:type="auto"/>
        <w:tblLook w:val="04A0" w:firstRow="1" w:lastRow="0" w:firstColumn="1" w:lastColumn="0" w:noHBand="0" w:noVBand="1"/>
      </w:tblPr>
      <w:tblGrid>
        <w:gridCol w:w="9016"/>
      </w:tblGrid>
      <w:tr w:rsidR="00353BB8" w:rsidRPr="00F7615F" w14:paraId="735666D9" w14:textId="77777777" w:rsidTr="00FE5F09">
        <w:tc>
          <w:tcPr>
            <w:tcW w:w="9016" w:type="dxa"/>
            <w:tcBorders>
              <w:bottom w:val="single" w:sz="4" w:space="0" w:color="auto"/>
            </w:tcBorders>
            <w:shd w:val="clear" w:color="auto" w:fill="24135F"/>
          </w:tcPr>
          <w:p w14:paraId="7EE35C3C" w14:textId="182B5F47" w:rsidR="00353BB8" w:rsidRPr="00C57E0F" w:rsidRDefault="00353BB8" w:rsidP="00FE5F09">
            <w:pPr>
              <w:pStyle w:val="Caption"/>
            </w:pPr>
            <w:bookmarkStart w:id="218" w:name="_Ref112843069"/>
            <w:r w:rsidRPr="00A2245D">
              <w:rPr>
                <w:i w:val="0"/>
                <w:iCs w:val="0"/>
              </w:rPr>
              <w:t xml:space="preserve">Figure </w:t>
            </w:r>
            <w:r w:rsidR="00947A92" w:rsidRPr="00A2245D">
              <w:rPr>
                <w:i w:val="0"/>
                <w:iCs w:val="0"/>
              </w:rPr>
              <w:fldChar w:fldCharType="begin"/>
            </w:r>
            <w:r w:rsidR="00947A92" w:rsidRPr="00A2245D">
              <w:rPr>
                <w:i w:val="0"/>
                <w:iCs w:val="0"/>
              </w:rPr>
              <w:instrText xml:space="preserve"> SEQ Figure \* ARABIC </w:instrText>
            </w:r>
            <w:r w:rsidR="00947A92" w:rsidRPr="00A2245D">
              <w:rPr>
                <w:i w:val="0"/>
                <w:iCs w:val="0"/>
              </w:rPr>
              <w:fldChar w:fldCharType="separate"/>
            </w:r>
            <w:r w:rsidR="00625A64">
              <w:rPr>
                <w:i w:val="0"/>
                <w:iCs w:val="0"/>
                <w:noProof/>
              </w:rPr>
              <w:t>39</w:t>
            </w:r>
            <w:r w:rsidR="00947A92" w:rsidRPr="00A2245D">
              <w:rPr>
                <w:i w:val="0"/>
                <w:iCs w:val="0"/>
                <w:noProof/>
              </w:rPr>
              <w:fldChar w:fldCharType="end"/>
            </w:r>
            <w:bookmarkEnd w:id="218"/>
            <w:r>
              <w:t xml:space="preserve">: Top </w:t>
            </w:r>
            <w:r w:rsidR="004F2736">
              <w:t>five</w:t>
            </w:r>
            <w:r>
              <w:t xml:space="preserve"> export destinations by v</w:t>
            </w:r>
            <w:r w:rsidRPr="00C57E0F">
              <w:t xml:space="preserve">alue of </w:t>
            </w:r>
            <w:r>
              <w:t xml:space="preserve">annual exports from the </w:t>
            </w:r>
            <w:r w:rsidR="0058401A">
              <w:t>United States</w:t>
            </w:r>
            <w:r>
              <w:t xml:space="preserve"> </w:t>
            </w:r>
            <w:r w:rsidRPr="00C57E0F">
              <w:t xml:space="preserve">for </w:t>
            </w:r>
            <w:r>
              <w:t>HS code: 1518 00 for 2015 to 2021</w:t>
            </w:r>
          </w:p>
        </w:tc>
      </w:tr>
      <w:tr w:rsidR="00353BB8" w:rsidRPr="00F7615F" w14:paraId="5B716ED8" w14:textId="77777777" w:rsidTr="00FE5F09">
        <w:trPr>
          <w:trHeight w:val="5525"/>
        </w:trPr>
        <w:tc>
          <w:tcPr>
            <w:tcW w:w="9016" w:type="dxa"/>
            <w:tcBorders>
              <w:bottom w:val="single" w:sz="4" w:space="0" w:color="auto"/>
            </w:tcBorders>
          </w:tcPr>
          <w:p w14:paraId="54B4992D" w14:textId="41DEF48B" w:rsidR="00353BB8" w:rsidRPr="00AD25FF" w:rsidRDefault="00353BB8" w:rsidP="00FE5F09">
            <w:pPr>
              <w:tabs>
                <w:tab w:val="center" w:pos="4400"/>
              </w:tabs>
              <w:jc w:val="center"/>
              <w:rPr>
                <w:rFonts w:cs="Arial"/>
                <w:noProof/>
                <w:sz w:val="10"/>
                <w:szCs w:val="10"/>
              </w:rPr>
            </w:pPr>
          </w:p>
          <w:p w14:paraId="2F65476A" w14:textId="73AB2FAF" w:rsidR="00353BB8" w:rsidRPr="00F7615F" w:rsidRDefault="008C526E" w:rsidP="00FE5F09">
            <w:pPr>
              <w:tabs>
                <w:tab w:val="center" w:pos="4400"/>
              </w:tabs>
              <w:jc w:val="center"/>
              <w:rPr>
                <w:rFonts w:cs="Arial"/>
                <w:noProof/>
                <w:szCs w:val="24"/>
              </w:rPr>
            </w:pPr>
            <w:r>
              <w:rPr>
                <w:noProof/>
              </w:rPr>
              <w:drawing>
                <wp:inline distT="0" distB="0" distL="0" distR="0" wp14:anchorId="61E36BCF" wp14:editId="404A5101">
                  <wp:extent cx="4859655" cy="316850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b="4774"/>
                          <a:stretch/>
                        </pic:blipFill>
                        <pic:spPr bwMode="auto">
                          <a:xfrm>
                            <a:off x="0" y="0"/>
                            <a:ext cx="4860000" cy="316872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55FFBCB" w14:textId="47BE6148" w:rsidR="00D66D81" w:rsidRPr="00B00E25" w:rsidRDefault="00D66D81">
      <w:pPr>
        <w:rPr>
          <w:i/>
          <w:sz w:val="22"/>
        </w:rPr>
      </w:pPr>
      <w:r w:rsidRPr="00B00E25">
        <w:rPr>
          <w:i/>
          <w:sz w:val="22"/>
        </w:rPr>
        <w:t xml:space="preserve">Source: Frontier Economics </w:t>
      </w:r>
      <w:r w:rsidR="00B00E25">
        <w:rPr>
          <w:i/>
          <w:sz w:val="22"/>
        </w:rPr>
        <w:t>a</w:t>
      </w:r>
      <w:r w:rsidRPr="00B00E25">
        <w:rPr>
          <w:i/>
          <w:sz w:val="22"/>
        </w:rPr>
        <w:t xml:space="preserve">nalysis of </w:t>
      </w:r>
      <w:r w:rsidR="00B00E25">
        <w:rPr>
          <w:i/>
          <w:sz w:val="22"/>
        </w:rPr>
        <w:t xml:space="preserve">UN </w:t>
      </w:r>
      <w:r w:rsidRPr="00B00E25">
        <w:rPr>
          <w:i/>
          <w:sz w:val="22"/>
        </w:rPr>
        <w:t>Comtrade data</w:t>
      </w:r>
      <w:r w:rsidR="00B00E25">
        <w:rPr>
          <w:i/>
          <w:sz w:val="22"/>
        </w:rPr>
        <w:t>.</w:t>
      </w:r>
    </w:p>
    <w:p w14:paraId="44D70204" w14:textId="0E635FD4" w:rsidR="00D66D81" w:rsidRDefault="00D66D81">
      <w:r>
        <w:rPr>
          <w:i/>
        </w:rPr>
        <w:br w:type="page"/>
      </w:r>
    </w:p>
    <w:tbl>
      <w:tblPr>
        <w:tblStyle w:val="TableGrid"/>
        <w:tblW w:w="0" w:type="auto"/>
        <w:tblLook w:val="04A0" w:firstRow="1" w:lastRow="0" w:firstColumn="1" w:lastColumn="0" w:noHBand="0" w:noVBand="1"/>
      </w:tblPr>
      <w:tblGrid>
        <w:gridCol w:w="9016"/>
      </w:tblGrid>
      <w:tr w:rsidR="00353BB8" w:rsidRPr="00F7615F" w14:paraId="01BA27FF" w14:textId="77777777" w:rsidTr="00D66D81">
        <w:tc>
          <w:tcPr>
            <w:tcW w:w="9016" w:type="dxa"/>
            <w:tcBorders>
              <w:bottom w:val="single" w:sz="4" w:space="0" w:color="auto"/>
            </w:tcBorders>
            <w:shd w:val="clear" w:color="auto" w:fill="24135F"/>
          </w:tcPr>
          <w:p w14:paraId="6DA583B2" w14:textId="2DF9956A" w:rsidR="00353BB8" w:rsidRPr="00C57E0F" w:rsidRDefault="00353BB8" w:rsidP="00FE5F09">
            <w:pPr>
              <w:pStyle w:val="Caption"/>
            </w:pPr>
            <w:bookmarkStart w:id="219" w:name="_Ref112843079"/>
            <w:bookmarkStart w:id="220" w:name="_Ref100744733"/>
            <w:r w:rsidRPr="00A2245D">
              <w:rPr>
                <w:i w:val="0"/>
                <w:iCs w:val="0"/>
              </w:rPr>
              <w:t xml:space="preserve">Figure </w:t>
            </w:r>
            <w:r w:rsidR="00947A92" w:rsidRPr="00A2245D">
              <w:rPr>
                <w:i w:val="0"/>
                <w:iCs w:val="0"/>
              </w:rPr>
              <w:fldChar w:fldCharType="begin"/>
            </w:r>
            <w:r w:rsidR="00947A92" w:rsidRPr="00A2245D">
              <w:rPr>
                <w:i w:val="0"/>
                <w:iCs w:val="0"/>
              </w:rPr>
              <w:instrText xml:space="preserve"> SEQ Figure \* ARABIC </w:instrText>
            </w:r>
            <w:r w:rsidR="00947A92" w:rsidRPr="00A2245D">
              <w:rPr>
                <w:i w:val="0"/>
                <w:iCs w:val="0"/>
              </w:rPr>
              <w:fldChar w:fldCharType="separate"/>
            </w:r>
            <w:r w:rsidR="00625A64">
              <w:rPr>
                <w:i w:val="0"/>
                <w:iCs w:val="0"/>
                <w:noProof/>
              </w:rPr>
              <w:t>40</w:t>
            </w:r>
            <w:r w:rsidR="00947A92" w:rsidRPr="00A2245D">
              <w:rPr>
                <w:i w:val="0"/>
                <w:iCs w:val="0"/>
                <w:noProof/>
              </w:rPr>
              <w:fldChar w:fldCharType="end"/>
            </w:r>
            <w:bookmarkEnd w:id="219"/>
            <w:bookmarkEnd w:id="220"/>
            <w:r>
              <w:t xml:space="preserve">: Top </w:t>
            </w:r>
            <w:r w:rsidR="004F2736">
              <w:t>five</w:t>
            </w:r>
            <w:r>
              <w:t xml:space="preserve"> export destinations by v</w:t>
            </w:r>
            <w:r w:rsidRPr="00C57E0F">
              <w:t xml:space="preserve">alue of </w:t>
            </w:r>
            <w:r>
              <w:t xml:space="preserve">annual exports from Canada </w:t>
            </w:r>
            <w:r w:rsidRPr="00C57E0F">
              <w:t xml:space="preserve">for </w:t>
            </w:r>
            <w:r>
              <w:t>HS code: 1518 00 for 2015 to 2021</w:t>
            </w:r>
          </w:p>
        </w:tc>
      </w:tr>
      <w:tr w:rsidR="00353BB8" w:rsidRPr="00F7615F" w14:paraId="5F31F466" w14:textId="77777777" w:rsidTr="00D66D81">
        <w:trPr>
          <w:trHeight w:val="5525"/>
        </w:trPr>
        <w:tc>
          <w:tcPr>
            <w:tcW w:w="9016" w:type="dxa"/>
            <w:tcBorders>
              <w:bottom w:val="single" w:sz="4" w:space="0" w:color="auto"/>
            </w:tcBorders>
          </w:tcPr>
          <w:p w14:paraId="5D9D1D81" w14:textId="303D71B3" w:rsidR="00353BB8" w:rsidRPr="00AD25FF" w:rsidRDefault="00353BB8" w:rsidP="00FE5F09">
            <w:pPr>
              <w:tabs>
                <w:tab w:val="center" w:pos="4400"/>
              </w:tabs>
              <w:jc w:val="center"/>
              <w:rPr>
                <w:rFonts w:cs="Arial"/>
                <w:noProof/>
                <w:sz w:val="10"/>
                <w:szCs w:val="10"/>
              </w:rPr>
            </w:pPr>
          </w:p>
          <w:p w14:paraId="6F81BCB9" w14:textId="0F3A7D33" w:rsidR="00353BB8" w:rsidRPr="00F7615F" w:rsidRDefault="004E3F33" w:rsidP="00FE5F09">
            <w:pPr>
              <w:tabs>
                <w:tab w:val="center" w:pos="4400"/>
              </w:tabs>
              <w:jc w:val="center"/>
              <w:rPr>
                <w:rFonts w:cs="Arial"/>
                <w:noProof/>
                <w:szCs w:val="24"/>
              </w:rPr>
            </w:pPr>
            <w:r>
              <w:rPr>
                <w:noProof/>
              </w:rPr>
              <w:drawing>
                <wp:inline distT="0" distB="0" distL="0" distR="0" wp14:anchorId="6936F7AA" wp14:editId="7CC82765">
                  <wp:extent cx="4859655" cy="316589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b="4853"/>
                          <a:stretch/>
                        </pic:blipFill>
                        <pic:spPr bwMode="auto">
                          <a:xfrm>
                            <a:off x="0" y="0"/>
                            <a:ext cx="4860000" cy="31661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53BB8" w:rsidRPr="00BC5820" w14:paraId="50006C22" w14:textId="77777777" w:rsidTr="00D66D81">
        <w:tc>
          <w:tcPr>
            <w:tcW w:w="9016" w:type="dxa"/>
            <w:tcBorders>
              <w:top w:val="single" w:sz="4" w:space="0" w:color="auto"/>
              <w:left w:val="nil"/>
              <w:bottom w:val="nil"/>
              <w:right w:val="nil"/>
            </w:tcBorders>
          </w:tcPr>
          <w:p w14:paraId="1A79DC2D" w14:textId="77777777" w:rsidR="00353BB8" w:rsidRPr="00BC5820" w:rsidRDefault="00353BB8" w:rsidP="00FE5F09">
            <w:pPr>
              <w:pStyle w:val="Tablesource"/>
              <w:rPr>
                <w:iCs/>
                <w:color w:val="005EA5"/>
                <w:u w:val="single"/>
              </w:rPr>
            </w:pPr>
            <w:r w:rsidRPr="00BC5820">
              <w:t xml:space="preserve">Source: </w:t>
            </w:r>
            <w:r>
              <w:t>Frontier Economics analysis of UN Comtrade data</w:t>
            </w:r>
            <w:r w:rsidRPr="00AD25FF">
              <w:t>.</w:t>
            </w:r>
          </w:p>
        </w:tc>
      </w:tr>
    </w:tbl>
    <w:p w14:paraId="5158FFA8" w14:textId="2B16E07C" w:rsidR="00353BB8" w:rsidRDefault="00353BB8" w:rsidP="00016CC0">
      <w:r>
        <w:t xml:space="preserve">Turning now to the final CN code, </w:t>
      </w:r>
      <w:r w:rsidR="00C5132C">
        <w:fldChar w:fldCharType="begin"/>
      </w:r>
      <w:r w:rsidR="00C5132C">
        <w:instrText xml:space="preserve"> REF _Ref112843161 \h </w:instrText>
      </w:r>
      <w:r w:rsidR="00C5132C">
        <w:fldChar w:fldCharType="separate"/>
      </w:r>
      <w:r w:rsidR="00C5132C">
        <w:t xml:space="preserve">Figure </w:t>
      </w:r>
      <w:r w:rsidR="00C5132C">
        <w:rPr>
          <w:noProof/>
        </w:rPr>
        <w:t>41</w:t>
      </w:r>
      <w:r w:rsidR="00C5132C">
        <w:fldChar w:fldCharType="end"/>
      </w:r>
      <w:r>
        <w:t xml:space="preserve"> and</w:t>
      </w:r>
      <w:r w:rsidR="00565B94">
        <w:t xml:space="preserve"> </w:t>
      </w:r>
      <w:r w:rsidR="00C5132C">
        <w:fldChar w:fldCharType="begin"/>
      </w:r>
      <w:r w:rsidR="00C5132C">
        <w:instrText xml:space="preserve"> REF _Ref112843170 \h </w:instrText>
      </w:r>
      <w:r w:rsidR="00C5132C">
        <w:fldChar w:fldCharType="separate"/>
      </w:r>
      <w:r w:rsidR="00C5132C">
        <w:t xml:space="preserve">Figure </w:t>
      </w:r>
      <w:r w:rsidR="00C5132C">
        <w:rPr>
          <w:noProof/>
        </w:rPr>
        <w:t>42</w:t>
      </w:r>
      <w:r w:rsidR="00C5132C">
        <w:fldChar w:fldCharType="end"/>
      </w:r>
      <w:r w:rsidDel="00C5132C">
        <w:t xml:space="preserve"> </w:t>
      </w:r>
      <w:r>
        <w:t xml:space="preserve">present the top </w:t>
      </w:r>
      <w:r w:rsidR="00A31B90">
        <w:t>five</w:t>
      </w:r>
      <w:r>
        <w:t xml:space="preserve"> exporters into the EU-28 and UK respectively for code 1516 20 98. Here we see trade dominated by Indonesia, Malaysia and the </w:t>
      </w:r>
      <w:r w:rsidR="0058401A">
        <w:t>United States</w:t>
      </w:r>
      <w:r>
        <w:t xml:space="preserve">, with trade relatively stable until 2019. After 2019, imports from the </w:t>
      </w:r>
      <w:r w:rsidR="0058401A">
        <w:t>United States</w:t>
      </w:r>
      <w:r>
        <w:t xml:space="preserve"> decline and those from Malaysia more than double. For the UK, imports are mainly sourced from Malaysia until 2018 when a large increase in imports from Indonesia takes place (again, following the expiry of duties). </w:t>
      </w:r>
    </w:p>
    <w:p w14:paraId="05DCF0FB" w14:textId="3D8812F6" w:rsidR="00D66D81" w:rsidRDefault="00D66D81" w:rsidP="00016CC0">
      <w:r>
        <w:br w:type="page"/>
      </w:r>
    </w:p>
    <w:tbl>
      <w:tblPr>
        <w:tblStyle w:val="TableGrid"/>
        <w:tblW w:w="0" w:type="auto"/>
        <w:tblLook w:val="04A0" w:firstRow="1" w:lastRow="0" w:firstColumn="1" w:lastColumn="0" w:noHBand="0" w:noVBand="1"/>
      </w:tblPr>
      <w:tblGrid>
        <w:gridCol w:w="9016"/>
      </w:tblGrid>
      <w:tr w:rsidR="00353BB8" w:rsidRPr="00F7615F" w14:paraId="0F4FB07A" w14:textId="77777777" w:rsidTr="00FE5F09">
        <w:tc>
          <w:tcPr>
            <w:tcW w:w="9016" w:type="dxa"/>
            <w:tcBorders>
              <w:bottom w:val="single" w:sz="4" w:space="0" w:color="auto"/>
            </w:tcBorders>
            <w:shd w:val="clear" w:color="auto" w:fill="24135F"/>
          </w:tcPr>
          <w:p w14:paraId="74417C6F" w14:textId="6395CBCD" w:rsidR="00353BB8" w:rsidRPr="00C57E0F" w:rsidRDefault="00353BB8" w:rsidP="00FE5F09">
            <w:pPr>
              <w:pStyle w:val="Caption"/>
            </w:pPr>
            <w:bookmarkStart w:id="221" w:name="_Ref112843161"/>
            <w:r w:rsidRPr="00A2245D">
              <w:rPr>
                <w:i w:val="0"/>
                <w:iCs w:val="0"/>
              </w:rPr>
              <w:t xml:space="preserve">Figure </w:t>
            </w:r>
            <w:r w:rsidR="00337849" w:rsidRPr="00A2245D">
              <w:rPr>
                <w:i w:val="0"/>
                <w:iCs w:val="0"/>
              </w:rPr>
              <w:fldChar w:fldCharType="begin"/>
            </w:r>
            <w:r w:rsidR="00337849" w:rsidRPr="00A2245D">
              <w:rPr>
                <w:i w:val="0"/>
                <w:iCs w:val="0"/>
              </w:rPr>
              <w:instrText xml:space="preserve"> SEQ Figure \* ARABIC </w:instrText>
            </w:r>
            <w:r w:rsidR="00337849" w:rsidRPr="00A2245D">
              <w:rPr>
                <w:i w:val="0"/>
                <w:iCs w:val="0"/>
              </w:rPr>
              <w:fldChar w:fldCharType="separate"/>
            </w:r>
            <w:r w:rsidR="00625A64">
              <w:rPr>
                <w:i w:val="0"/>
                <w:iCs w:val="0"/>
                <w:noProof/>
              </w:rPr>
              <w:t>41</w:t>
            </w:r>
            <w:r w:rsidR="00337849" w:rsidRPr="00A2245D">
              <w:rPr>
                <w:i w:val="0"/>
                <w:iCs w:val="0"/>
              </w:rPr>
              <w:fldChar w:fldCharType="end"/>
            </w:r>
            <w:bookmarkEnd w:id="221"/>
            <w:r>
              <w:t xml:space="preserve">: </w:t>
            </w:r>
            <w:r w:rsidRPr="00C57E0F">
              <w:t xml:space="preserve">Value of monthly imports into the </w:t>
            </w:r>
            <w:r>
              <w:t xml:space="preserve">EU-28 </w:t>
            </w:r>
            <w:r w:rsidRPr="00C57E0F">
              <w:t xml:space="preserve">from </w:t>
            </w:r>
            <w:r>
              <w:t xml:space="preserve">the top </w:t>
            </w:r>
            <w:r w:rsidR="004F2736">
              <w:t>five</w:t>
            </w:r>
            <w:r>
              <w:t xml:space="preserve"> exporters into the EU-28 </w:t>
            </w:r>
            <w:r w:rsidRPr="00C57E0F">
              <w:t xml:space="preserve">for </w:t>
            </w:r>
            <w:r>
              <w:t xml:space="preserve">CN code: </w:t>
            </w:r>
            <w:r w:rsidRPr="003D3DFB">
              <w:t>151</w:t>
            </w:r>
            <w:r>
              <w:t xml:space="preserve">6 20 </w:t>
            </w:r>
            <w:r w:rsidRPr="003D3DFB">
              <w:t>9</w:t>
            </w:r>
            <w:r>
              <w:t>8 for 2015 to 2020</w:t>
            </w:r>
          </w:p>
        </w:tc>
      </w:tr>
      <w:tr w:rsidR="00353BB8" w:rsidRPr="00F7615F" w14:paraId="5460AB66" w14:textId="77777777" w:rsidTr="00FE5F09">
        <w:trPr>
          <w:trHeight w:val="5525"/>
        </w:trPr>
        <w:tc>
          <w:tcPr>
            <w:tcW w:w="9016" w:type="dxa"/>
            <w:tcBorders>
              <w:bottom w:val="single" w:sz="4" w:space="0" w:color="auto"/>
            </w:tcBorders>
          </w:tcPr>
          <w:p w14:paraId="7F31FF6C" w14:textId="57F1DC51" w:rsidR="00353BB8" w:rsidRPr="00AD25FF" w:rsidRDefault="00353BB8" w:rsidP="00FE5F09">
            <w:pPr>
              <w:tabs>
                <w:tab w:val="center" w:pos="4400"/>
              </w:tabs>
              <w:jc w:val="center"/>
              <w:rPr>
                <w:rFonts w:cs="Arial"/>
                <w:noProof/>
                <w:sz w:val="10"/>
                <w:szCs w:val="10"/>
              </w:rPr>
            </w:pPr>
          </w:p>
          <w:p w14:paraId="3C20E0E6" w14:textId="76B6FDFB" w:rsidR="00353BB8" w:rsidRPr="00F7615F" w:rsidRDefault="008159BA" w:rsidP="00FE5F09">
            <w:pPr>
              <w:tabs>
                <w:tab w:val="center" w:pos="4400"/>
              </w:tabs>
              <w:jc w:val="center"/>
              <w:rPr>
                <w:rFonts w:cs="Arial"/>
                <w:szCs w:val="24"/>
              </w:rPr>
            </w:pPr>
            <w:r>
              <w:rPr>
                <w:noProof/>
              </w:rPr>
              <w:drawing>
                <wp:inline distT="0" distB="0" distL="0" distR="0" wp14:anchorId="220AD763" wp14:editId="517410C7">
                  <wp:extent cx="4859655" cy="313898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b="5661"/>
                          <a:stretch/>
                        </pic:blipFill>
                        <pic:spPr bwMode="auto">
                          <a:xfrm>
                            <a:off x="0" y="0"/>
                            <a:ext cx="4860000" cy="31392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53BB8" w:rsidRPr="00BC5820" w14:paraId="56114EEC" w14:textId="77777777" w:rsidTr="00FE5F09">
        <w:tc>
          <w:tcPr>
            <w:tcW w:w="9016" w:type="dxa"/>
            <w:tcBorders>
              <w:top w:val="single" w:sz="4" w:space="0" w:color="auto"/>
              <w:left w:val="nil"/>
              <w:bottom w:val="nil"/>
              <w:right w:val="nil"/>
            </w:tcBorders>
          </w:tcPr>
          <w:p w14:paraId="14EEAEBA" w14:textId="55787ED8" w:rsidR="00353BB8" w:rsidRDefault="00B25A27" w:rsidP="00B25A27">
            <w:pPr>
              <w:pStyle w:val="Tablenote"/>
            </w:pPr>
            <w:r>
              <w:t xml:space="preserve">Note: </w:t>
            </w:r>
            <w:r w:rsidR="00353BB8" w:rsidRPr="00AD25FF">
              <w:t>Data presented is a three-month moving average.</w:t>
            </w:r>
          </w:p>
          <w:p w14:paraId="1B9C4BB6" w14:textId="56C7F306" w:rsidR="00B25A27" w:rsidRPr="00BC5820" w:rsidRDefault="00B25A27" w:rsidP="00B25A27">
            <w:pPr>
              <w:pStyle w:val="Tablenote"/>
              <w:rPr>
                <w:iCs/>
                <w:color w:val="005EA5"/>
                <w:u w:val="single"/>
              </w:rPr>
            </w:pPr>
            <w:r w:rsidRPr="00BC5820">
              <w:t xml:space="preserve">Source: </w:t>
            </w:r>
            <w:r>
              <w:t>Frontier Economics analysis of Eurostat data</w:t>
            </w:r>
            <w:r w:rsidRPr="00AD25FF">
              <w:t>.</w:t>
            </w:r>
          </w:p>
        </w:tc>
      </w:tr>
    </w:tbl>
    <w:p w14:paraId="710D8A59" w14:textId="423C1F54" w:rsidR="00D66D81" w:rsidRDefault="00D66D81" w:rsidP="00353BB8">
      <w:pPr>
        <w:pStyle w:val="NoSpacing"/>
        <w:spacing w:line="360" w:lineRule="auto"/>
        <w:rPr>
          <w:rFonts w:eastAsiaTheme="majorEastAsia"/>
        </w:rPr>
      </w:pPr>
      <w:r>
        <w:rPr>
          <w:rFonts w:eastAsiaTheme="majorEastAsia"/>
        </w:rPr>
        <w:br w:type="page"/>
      </w:r>
    </w:p>
    <w:tbl>
      <w:tblPr>
        <w:tblStyle w:val="TableGrid"/>
        <w:tblW w:w="0" w:type="auto"/>
        <w:tblLook w:val="04A0" w:firstRow="1" w:lastRow="0" w:firstColumn="1" w:lastColumn="0" w:noHBand="0" w:noVBand="1"/>
      </w:tblPr>
      <w:tblGrid>
        <w:gridCol w:w="9016"/>
      </w:tblGrid>
      <w:tr w:rsidR="00353BB8" w:rsidRPr="00F7615F" w14:paraId="14D77312" w14:textId="77777777" w:rsidTr="00FE5F09">
        <w:tc>
          <w:tcPr>
            <w:tcW w:w="9016" w:type="dxa"/>
            <w:tcBorders>
              <w:bottom w:val="single" w:sz="4" w:space="0" w:color="auto"/>
            </w:tcBorders>
            <w:shd w:val="clear" w:color="auto" w:fill="24135F"/>
          </w:tcPr>
          <w:p w14:paraId="2F8177A3" w14:textId="738585EC" w:rsidR="00353BB8" w:rsidRPr="00C57E0F" w:rsidRDefault="00353BB8" w:rsidP="00FE5F09">
            <w:pPr>
              <w:pStyle w:val="Caption"/>
            </w:pPr>
            <w:bookmarkStart w:id="222" w:name="_Ref112843170"/>
            <w:bookmarkStart w:id="223" w:name="_Ref100744894"/>
            <w:r w:rsidRPr="00A2245D">
              <w:rPr>
                <w:i w:val="0"/>
                <w:iCs w:val="0"/>
              </w:rPr>
              <w:t xml:space="preserve">Figure </w:t>
            </w:r>
            <w:r w:rsidR="00337849" w:rsidRPr="00A2245D">
              <w:rPr>
                <w:i w:val="0"/>
                <w:iCs w:val="0"/>
              </w:rPr>
              <w:fldChar w:fldCharType="begin"/>
            </w:r>
            <w:r w:rsidR="00337849" w:rsidRPr="00A2245D">
              <w:rPr>
                <w:i w:val="0"/>
                <w:iCs w:val="0"/>
              </w:rPr>
              <w:instrText xml:space="preserve"> SEQ Figure \* ARABIC </w:instrText>
            </w:r>
            <w:r w:rsidR="00337849" w:rsidRPr="00A2245D">
              <w:rPr>
                <w:i w:val="0"/>
                <w:iCs w:val="0"/>
              </w:rPr>
              <w:fldChar w:fldCharType="separate"/>
            </w:r>
            <w:r w:rsidR="00625A64">
              <w:rPr>
                <w:i w:val="0"/>
                <w:iCs w:val="0"/>
                <w:noProof/>
              </w:rPr>
              <w:t>42</w:t>
            </w:r>
            <w:r w:rsidR="00337849" w:rsidRPr="00A2245D">
              <w:rPr>
                <w:i w:val="0"/>
                <w:iCs w:val="0"/>
              </w:rPr>
              <w:fldChar w:fldCharType="end"/>
            </w:r>
            <w:bookmarkEnd w:id="222"/>
            <w:bookmarkEnd w:id="223"/>
            <w:r>
              <w:t xml:space="preserve">: </w:t>
            </w:r>
            <w:r w:rsidRPr="00C57E0F">
              <w:t xml:space="preserve">Value of monthly imports into </w:t>
            </w:r>
            <w:r>
              <w:t xml:space="preserve">the UK </w:t>
            </w:r>
            <w:r w:rsidRPr="00C57E0F">
              <w:t xml:space="preserve">from </w:t>
            </w:r>
            <w:r>
              <w:t xml:space="preserve">the top </w:t>
            </w:r>
            <w:r w:rsidR="004F2736">
              <w:t>five</w:t>
            </w:r>
            <w:r>
              <w:t xml:space="preserve"> exporters into the UK</w:t>
            </w:r>
            <w:r w:rsidRPr="00C57E0F">
              <w:t xml:space="preserve"> for </w:t>
            </w:r>
            <w:r>
              <w:t xml:space="preserve">CN code: </w:t>
            </w:r>
            <w:r w:rsidRPr="003D3DFB">
              <w:t>151</w:t>
            </w:r>
            <w:r>
              <w:t xml:space="preserve">6 20 </w:t>
            </w:r>
            <w:r w:rsidRPr="003D3DFB">
              <w:t>9</w:t>
            </w:r>
            <w:r>
              <w:t>8 for 2015 to 2020</w:t>
            </w:r>
          </w:p>
        </w:tc>
      </w:tr>
      <w:tr w:rsidR="00353BB8" w:rsidRPr="00F7615F" w14:paraId="61E90D52" w14:textId="77777777" w:rsidTr="00FE5F09">
        <w:trPr>
          <w:trHeight w:val="5525"/>
        </w:trPr>
        <w:tc>
          <w:tcPr>
            <w:tcW w:w="9016" w:type="dxa"/>
            <w:tcBorders>
              <w:bottom w:val="single" w:sz="4" w:space="0" w:color="auto"/>
            </w:tcBorders>
          </w:tcPr>
          <w:p w14:paraId="757D45BB" w14:textId="102E6221" w:rsidR="00353BB8" w:rsidRPr="00F7615F" w:rsidRDefault="008159BA" w:rsidP="00FE5F09">
            <w:pPr>
              <w:tabs>
                <w:tab w:val="center" w:pos="4400"/>
              </w:tabs>
              <w:jc w:val="center"/>
              <w:rPr>
                <w:rFonts w:cs="Arial"/>
                <w:szCs w:val="24"/>
              </w:rPr>
            </w:pPr>
            <w:r>
              <w:rPr>
                <w:noProof/>
              </w:rPr>
              <w:drawing>
                <wp:inline distT="0" distB="0" distL="0" distR="0" wp14:anchorId="0C47B7A0" wp14:editId="21E36AB1">
                  <wp:extent cx="4859655" cy="3157870"/>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b="5093"/>
                          <a:stretch/>
                        </pic:blipFill>
                        <pic:spPr bwMode="auto">
                          <a:xfrm>
                            <a:off x="0" y="0"/>
                            <a:ext cx="4860000" cy="31580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53BB8" w:rsidRPr="00BC5820" w14:paraId="50015EAD" w14:textId="77777777" w:rsidTr="00FE5F09">
        <w:tc>
          <w:tcPr>
            <w:tcW w:w="9016" w:type="dxa"/>
            <w:tcBorders>
              <w:top w:val="single" w:sz="4" w:space="0" w:color="auto"/>
              <w:left w:val="nil"/>
              <w:bottom w:val="nil"/>
              <w:right w:val="nil"/>
            </w:tcBorders>
          </w:tcPr>
          <w:p w14:paraId="13307526" w14:textId="4DEE9AF1" w:rsidR="00353BB8" w:rsidRPr="00B25A27" w:rsidRDefault="00B25A27" w:rsidP="00B25A27">
            <w:pPr>
              <w:pStyle w:val="Tablenote"/>
            </w:pPr>
            <w:r>
              <w:t xml:space="preserve">Note: </w:t>
            </w:r>
            <w:r w:rsidR="00353BB8" w:rsidRPr="00AD25FF">
              <w:t>Data presented is a three-month moving average.</w:t>
            </w:r>
          </w:p>
          <w:p w14:paraId="44B0DC54" w14:textId="7755E310" w:rsidR="00B25A27" w:rsidRPr="00BC5820" w:rsidRDefault="00B25A27" w:rsidP="00FE5F09">
            <w:pPr>
              <w:pStyle w:val="Tablesource"/>
              <w:rPr>
                <w:iCs/>
                <w:color w:val="005EA5"/>
                <w:u w:val="single"/>
              </w:rPr>
            </w:pPr>
            <w:r w:rsidRPr="00BC5820">
              <w:t xml:space="preserve">Source: </w:t>
            </w:r>
            <w:r>
              <w:t>Frontier Economics analysis of Eurostat data</w:t>
            </w:r>
            <w:r w:rsidRPr="00AD25FF">
              <w:t>.</w:t>
            </w:r>
          </w:p>
        </w:tc>
      </w:tr>
    </w:tbl>
    <w:p w14:paraId="318111EF" w14:textId="1E09674E" w:rsidR="00353BB8" w:rsidRDefault="00565B94" w:rsidP="00016CC0">
      <w:r>
        <w:fldChar w:fldCharType="begin"/>
      </w:r>
      <w:r>
        <w:instrText xml:space="preserve"> REF _Ref112843188 \h </w:instrText>
      </w:r>
      <w:r>
        <w:fldChar w:fldCharType="separate"/>
      </w:r>
      <w:r>
        <w:t xml:space="preserve">Figure </w:t>
      </w:r>
      <w:r>
        <w:rPr>
          <w:noProof/>
        </w:rPr>
        <w:t>43</w:t>
      </w:r>
      <w:r>
        <w:fldChar w:fldCharType="end"/>
      </w:r>
      <w:r>
        <w:t xml:space="preserve"> </w:t>
      </w:r>
      <w:r w:rsidR="00353BB8">
        <w:t xml:space="preserve">and </w:t>
      </w:r>
      <w:r>
        <w:fldChar w:fldCharType="begin"/>
      </w:r>
      <w:r>
        <w:instrText xml:space="preserve"> REF _Ref112843197 \h </w:instrText>
      </w:r>
      <w:r>
        <w:fldChar w:fldCharType="separate"/>
      </w:r>
      <w:r>
        <w:t xml:space="preserve">Figure </w:t>
      </w:r>
      <w:r>
        <w:rPr>
          <w:noProof/>
        </w:rPr>
        <w:t>44</w:t>
      </w:r>
      <w:r>
        <w:fldChar w:fldCharType="end"/>
      </w:r>
      <w:r w:rsidR="00353BB8">
        <w:t xml:space="preserve"> present the top </w:t>
      </w:r>
      <w:r w:rsidR="00A31B90">
        <w:t>five</w:t>
      </w:r>
      <w:r w:rsidR="00353BB8">
        <w:t xml:space="preserve"> export destinations for the </w:t>
      </w:r>
      <w:r w:rsidR="0058401A">
        <w:t>United States</w:t>
      </w:r>
      <w:r w:rsidR="00353BB8">
        <w:t xml:space="preserve"> and Canada. For the </w:t>
      </w:r>
      <w:r w:rsidR="0058401A">
        <w:t>United States</w:t>
      </w:r>
      <w:r w:rsidR="00353BB8">
        <w:t xml:space="preserve">, there </w:t>
      </w:r>
      <w:r w:rsidR="003C1F17">
        <w:t xml:space="preserve">is </w:t>
      </w:r>
      <w:r w:rsidR="00353BB8">
        <w:t xml:space="preserve">a variety of different trade partners, with the largest being Canada and Mexico – the former suffering a year-on-year decline until 2019. The only EU-28 member in the top </w:t>
      </w:r>
      <w:r w:rsidR="00A31B90">
        <w:t>five</w:t>
      </w:r>
      <w:r w:rsidR="00353BB8">
        <w:t xml:space="preserve"> export destinations is the Netherlands, where trade drops sharply in 2016, and then remains at a low level until 2021. For Canada, again</w:t>
      </w:r>
      <w:r w:rsidR="00A31B90">
        <w:t>,</w:t>
      </w:r>
      <w:r w:rsidR="00353BB8">
        <w:t xml:space="preserve"> we see that the </w:t>
      </w:r>
      <w:r w:rsidR="0058401A">
        <w:t>United States</w:t>
      </w:r>
      <w:r w:rsidR="00353BB8">
        <w:t xml:space="preserve"> is by far its largest export market, although a large drop in exports is seen between 2019 and 2021</w:t>
      </w:r>
      <w:r w:rsidR="00A31B90">
        <w:t>,</w:t>
      </w:r>
      <w:r w:rsidR="00353BB8">
        <w:t xml:space="preserve"> with no corresponding increase seen for other countries. </w:t>
      </w:r>
    </w:p>
    <w:p w14:paraId="187A7382" w14:textId="7FC5DF31" w:rsidR="00D66D81" w:rsidRDefault="00D66D81" w:rsidP="00016CC0">
      <w:r>
        <w:br w:type="page"/>
      </w:r>
    </w:p>
    <w:tbl>
      <w:tblPr>
        <w:tblStyle w:val="TableGrid"/>
        <w:tblW w:w="0" w:type="auto"/>
        <w:tblLook w:val="04A0" w:firstRow="1" w:lastRow="0" w:firstColumn="1" w:lastColumn="0" w:noHBand="0" w:noVBand="1"/>
      </w:tblPr>
      <w:tblGrid>
        <w:gridCol w:w="9016"/>
      </w:tblGrid>
      <w:tr w:rsidR="00353BB8" w:rsidRPr="00F7615F" w14:paraId="13AD635A" w14:textId="77777777" w:rsidTr="00FE5F09">
        <w:tc>
          <w:tcPr>
            <w:tcW w:w="9016" w:type="dxa"/>
            <w:tcBorders>
              <w:bottom w:val="single" w:sz="4" w:space="0" w:color="auto"/>
            </w:tcBorders>
            <w:shd w:val="clear" w:color="auto" w:fill="24135F"/>
          </w:tcPr>
          <w:p w14:paraId="0BF3666F" w14:textId="1E82FDC1" w:rsidR="00353BB8" w:rsidRPr="00C57E0F" w:rsidRDefault="00353BB8" w:rsidP="00FE5F09">
            <w:pPr>
              <w:pStyle w:val="Caption"/>
            </w:pPr>
            <w:bookmarkStart w:id="224" w:name="_Ref112843188"/>
            <w:r w:rsidRPr="00A2245D">
              <w:rPr>
                <w:i w:val="0"/>
                <w:iCs w:val="0"/>
              </w:rPr>
              <w:t xml:space="preserve">Figure </w:t>
            </w:r>
            <w:r w:rsidR="00337849" w:rsidRPr="00A2245D">
              <w:rPr>
                <w:i w:val="0"/>
                <w:iCs w:val="0"/>
              </w:rPr>
              <w:fldChar w:fldCharType="begin"/>
            </w:r>
            <w:r w:rsidR="00337849" w:rsidRPr="00A2245D">
              <w:rPr>
                <w:i w:val="0"/>
                <w:iCs w:val="0"/>
              </w:rPr>
              <w:instrText xml:space="preserve"> SEQ Figure \* ARABIC </w:instrText>
            </w:r>
            <w:r w:rsidR="00337849" w:rsidRPr="00A2245D">
              <w:rPr>
                <w:i w:val="0"/>
                <w:iCs w:val="0"/>
              </w:rPr>
              <w:fldChar w:fldCharType="separate"/>
            </w:r>
            <w:r w:rsidR="00625A64">
              <w:rPr>
                <w:i w:val="0"/>
                <w:iCs w:val="0"/>
                <w:noProof/>
              </w:rPr>
              <w:t>43</w:t>
            </w:r>
            <w:r w:rsidR="00337849" w:rsidRPr="00A2245D">
              <w:rPr>
                <w:i w:val="0"/>
                <w:iCs w:val="0"/>
              </w:rPr>
              <w:fldChar w:fldCharType="end"/>
            </w:r>
            <w:bookmarkEnd w:id="224"/>
            <w:r>
              <w:t xml:space="preserve">: Top </w:t>
            </w:r>
            <w:r w:rsidR="004F2736">
              <w:t>five</w:t>
            </w:r>
            <w:r>
              <w:t xml:space="preserve"> export destinations by v</w:t>
            </w:r>
            <w:r w:rsidRPr="00C57E0F">
              <w:t xml:space="preserve">alue of </w:t>
            </w:r>
            <w:r>
              <w:t xml:space="preserve">annual exports from the </w:t>
            </w:r>
            <w:r w:rsidR="0058401A">
              <w:t>United States</w:t>
            </w:r>
            <w:r>
              <w:t xml:space="preserve"> </w:t>
            </w:r>
            <w:r w:rsidRPr="00C57E0F">
              <w:t xml:space="preserve">for </w:t>
            </w:r>
            <w:r>
              <w:t>HS code: 1516 20 for 2015 to 2021</w:t>
            </w:r>
          </w:p>
        </w:tc>
      </w:tr>
      <w:tr w:rsidR="00353BB8" w:rsidRPr="00F7615F" w14:paraId="78B57576" w14:textId="77777777" w:rsidTr="00FE5F09">
        <w:trPr>
          <w:trHeight w:val="5525"/>
        </w:trPr>
        <w:tc>
          <w:tcPr>
            <w:tcW w:w="9016" w:type="dxa"/>
            <w:tcBorders>
              <w:bottom w:val="single" w:sz="4" w:space="0" w:color="auto"/>
            </w:tcBorders>
          </w:tcPr>
          <w:p w14:paraId="0EDE078A" w14:textId="77777777" w:rsidR="00017E4A" w:rsidRPr="00017E4A" w:rsidRDefault="00017E4A" w:rsidP="00FE5F09">
            <w:pPr>
              <w:tabs>
                <w:tab w:val="center" w:pos="4400"/>
              </w:tabs>
              <w:jc w:val="center"/>
              <w:rPr>
                <w:noProof/>
                <w:sz w:val="10"/>
                <w:szCs w:val="10"/>
              </w:rPr>
            </w:pPr>
          </w:p>
          <w:p w14:paraId="2CF2C67D" w14:textId="1CF0D30C" w:rsidR="00353BB8" w:rsidRPr="00F7615F" w:rsidRDefault="00017E4A" w:rsidP="00017E4A">
            <w:pPr>
              <w:tabs>
                <w:tab w:val="center" w:pos="4400"/>
              </w:tabs>
              <w:jc w:val="center"/>
              <w:rPr>
                <w:rFonts w:cs="Arial"/>
                <w:noProof/>
                <w:szCs w:val="24"/>
              </w:rPr>
            </w:pPr>
            <w:r>
              <w:rPr>
                <w:noProof/>
              </w:rPr>
              <w:drawing>
                <wp:inline distT="0" distB="0" distL="0" distR="0" wp14:anchorId="73895A63" wp14:editId="54E6C06C">
                  <wp:extent cx="4859655" cy="3157870"/>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b="5093"/>
                          <a:stretch/>
                        </pic:blipFill>
                        <pic:spPr bwMode="auto">
                          <a:xfrm>
                            <a:off x="0" y="0"/>
                            <a:ext cx="4860000" cy="31580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53BB8" w:rsidRPr="00BC5820" w14:paraId="0862BE65" w14:textId="77777777" w:rsidTr="00FE5F09">
        <w:tc>
          <w:tcPr>
            <w:tcW w:w="9016" w:type="dxa"/>
            <w:tcBorders>
              <w:top w:val="single" w:sz="4" w:space="0" w:color="auto"/>
              <w:left w:val="nil"/>
              <w:bottom w:val="nil"/>
              <w:right w:val="nil"/>
            </w:tcBorders>
          </w:tcPr>
          <w:p w14:paraId="646817B7" w14:textId="77777777" w:rsidR="00353BB8" w:rsidRPr="00BC5820" w:rsidRDefault="00353BB8" w:rsidP="00FE5F09">
            <w:pPr>
              <w:pStyle w:val="Tablesource"/>
              <w:rPr>
                <w:iCs/>
                <w:color w:val="005EA5"/>
                <w:u w:val="single"/>
              </w:rPr>
            </w:pPr>
            <w:r w:rsidRPr="00BC5820">
              <w:t xml:space="preserve">Source: </w:t>
            </w:r>
            <w:r>
              <w:t>Frontier Economics analysis of UN Comtrade data</w:t>
            </w:r>
            <w:r w:rsidRPr="00AD25FF">
              <w:t>.</w:t>
            </w:r>
          </w:p>
        </w:tc>
      </w:tr>
    </w:tbl>
    <w:p w14:paraId="4F2EE648" w14:textId="3D3D5161" w:rsidR="00353BB8" w:rsidRDefault="00353BB8" w:rsidP="00353BB8">
      <w:pPr>
        <w:rPr>
          <w:sz w:val="2"/>
          <w:szCs w:val="2"/>
        </w:rPr>
      </w:pPr>
    </w:p>
    <w:p w14:paraId="7467BD1E" w14:textId="074B0A51" w:rsidR="002B66D1" w:rsidRDefault="002B66D1" w:rsidP="00353BB8">
      <w:pPr>
        <w:rPr>
          <w:sz w:val="2"/>
          <w:szCs w:val="2"/>
        </w:rPr>
      </w:pPr>
      <w:r>
        <w:rPr>
          <w:sz w:val="2"/>
          <w:szCs w:val="2"/>
        </w:rPr>
        <w:br w:type="page"/>
      </w:r>
    </w:p>
    <w:p w14:paraId="64D7888F" w14:textId="77777777" w:rsidR="002B66D1" w:rsidRPr="00D04C5F" w:rsidRDefault="002B66D1" w:rsidP="00353BB8">
      <w:pPr>
        <w:rPr>
          <w:sz w:val="2"/>
          <w:szCs w:val="2"/>
        </w:rPr>
      </w:pPr>
    </w:p>
    <w:tbl>
      <w:tblPr>
        <w:tblStyle w:val="TableGrid"/>
        <w:tblW w:w="0" w:type="auto"/>
        <w:tblLook w:val="04A0" w:firstRow="1" w:lastRow="0" w:firstColumn="1" w:lastColumn="0" w:noHBand="0" w:noVBand="1"/>
      </w:tblPr>
      <w:tblGrid>
        <w:gridCol w:w="9016"/>
      </w:tblGrid>
      <w:tr w:rsidR="00353BB8" w:rsidRPr="00F7615F" w14:paraId="5C6200E0" w14:textId="77777777" w:rsidTr="00FE5F09">
        <w:tc>
          <w:tcPr>
            <w:tcW w:w="9016" w:type="dxa"/>
            <w:tcBorders>
              <w:bottom w:val="single" w:sz="4" w:space="0" w:color="auto"/>
            </w:tcBorders>
            <w:shd w:val="clear" w:color="auto" w:fill="24135F"/>
          </w:tcPr>
          <w:p w14:paraId="55453DD5" w14:textId="4734AC26" w:rsidR="00353BB8" w:rsidRPr="00C57E0F" w:rsidRDefault="00353BB8" w:rsidP="00FE5F09">
            <w:pPr>
              <w:pStyle w:val="Caption"/>
            </w:pPr>
            <w:bookmarkStart w:id="225" w:name="_Ref112843197"/>
            <w:bookmarkStart w:id="226" w:name="_Ref100745021"/>
            <w:r w:rsidRPr="00A2245D">
              <w:rPr>
                <w:i w:val="0"/>
                <w:iCs w:val="0"/>
              </w:rPr>
              <w:t xml:space="preserve">Figure </w:t>
            </w:r>
            <w:r w:rsidR="00337849" w:rsidRPr="00A2245D">
              <w:rPr>
                <w:i w:val="0"/>
                <w:iCs w:val="0"/>
              </w:rPr>
              <w:fldChar w:fldCharType="begin"/>
            </w:r>
            <w:r w:rsidR="00337849" w:rsidRPr="00A2245D">
              <w:rPr>
                <w:i w:val="0"/>
                <w:iCs w:val="0"/>
              </w:rPr>
              <w:instrText xml:space="preserve"> SEQ Figure \* ARABIC </w:instrText>
            </w:r>
            <w:r w:rsidR="00337849" w:rsidRPr="00A2245D">
              <w:rPr>
                <w:i w:val="0"/>
                <w:iCs w:val="0"/>
              </w:rPr>
              <w:fldChar w:fldCharType="separate"/>
            </w:r>
            <w:r w:rsidR="00625A64">
              <w:rPr>
                <w:i w:val="0"/>
                <w:iCs w:val="0"/>
                <w:noProof/>
              </w:rPr>
              <w:t>44</w:t>
            </w:r>
            <w:r w:rsidR="00337849" w:rsidRPr="00A2245D">
              <w:rPr>
                <w:i w:val="0"/>
                <w:iCs w:val="0"/>
              </w:rPr>
              <w:fldChar w:fldCharType="end"/>
            </w:r>
            <w:bookmarkEnd w:id="225"/>
            <w:bookmarkEnd w:id="226"/>
            <w:r>
              <w:t xml:space="preserve">: Top </w:t>
            </w:r>
            <w:r w:rsidR="004F2736">
              <w:t>five</w:t>
            </w:r>
            <w:r>
              <w:t xml:space="preserve"> export destinations by v</w:t>
            </w:r>
            <w:r w:rsidRPr="00C57E0F">
              <w:t xml:space="preserve">alue of </w:t>
            </w:r>
            <w:r>
              <w:t xml:space="preserve">annual exports from Canada </w:t>
            </w:r>
            <w:r w:rsidRPr="00C57E0F">
              <w:t xml:space="preserve">for </w:t>
            </w:r>
            <w:r>
              <w:t>HS code: 1516 20 for 2015 to 2021</w:t>
            </w:r>
          </w:p>
        </w:tc>
      </w:tr>
      <w:tr w:rsidR="00353BB8" w:rsidRPr="00F7615F" w14:paraId="5394A52F" w14:textId="77777777" w:rsidTr="00FE5F09">
        <w:trPr>
          <w:trHeight w:val="5525"/>
        </w:trPr>
        <w:tc>
          <w:tcPr>
            <w:tcW w:w="9016" w:type="dxa"/>
            <w:tcBorders>
              <w:bottom w:val="single" w:sz="4" w:space="0" w:color="auto"/>
            </w:tcBorders>
          </w:tcPr>
          <w:p w14:paraId="41DCED9E" w14:textId="2923EF90" w:rsidR="00353BB8" w:rsidRPr="00F7615F" w:rsidRDefault="000D36BB" w:rsidP="00FE5F09">
            <w:pPr>
              <w:tabs>
                <w:tab w:val="center" w:pos="4400"/>
              </w:tabs>
              <w:jc w:val="center"/>
              <w:rPr>
                <w:rFonts w:cs="Arial"/>
                <w:noProof/>
                <w:szCs w:val="24"/>
              </w:rPr>
            </w:pPr>
            <w:r>
              <w:rPr>
                <w:noProof/>
              </w:rPr>
              <w:drawing>
                <wp:inline distT="0" distB="0" distL="0" distR="0" wp14:anchorId="7DA73842" wp14:editId="7A0587A3">
                  <wp:extent cx="4863950" cy="31644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b="5097"/>
                          <a:stretch/>
                        </pic:blipFill>
                        <pic:spPr bwMode="auto">
                          <a:xfrm>
                            <a:off x="0" y="0"/>
                            <a:ext cx="4863950" cy="3164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53BB8" w:rsidRPr="00BC5820" w14:paraId="5C7DB28D" w14:textId="77777777" w:rsidTr="00FE5F09">
        <w:tc>
          <w:tcPr>
            <w:tcW w:w="9016" w:type="dxa"/>
            <w:tcBorders>
              <w:top w:val="single" w:sz="4" w:space="0" w:color="auto"/>
              <w:left w:val="nil"/>
              <w:bottom w:val="nil"/>
              <w:right w:val="nil"/>
            </w:tcBorders>
          </w:tcPr>
          <w:p w14:paraId="0891CD4D" w14:textId="097DC1CC" w:rsidR="00353BB8" w:rsidRPr="00BC5820" w:rsidRDefault="00353BB8" w:rsidP="00FE5F09">
            <w:pPr>
              <w:pStyle w:val="Tablesource"/>
              <w:rPr>
                <w:iCs/>
                <w:color w:val="005EA5"/>
                <w:u w:val="single"/>
              </w:rPr>
            </w:pPr>
            <w:r w:rsidRPr="00BC5820">
              <w:t xml:space="preserve">Source: </w:t>
            </w:r>
            <w:r>
              <w:t xml:space="preserve">Frontier </w:t>
            </w:r>
            <w:r w:rsidRPr="00B54211">
              <w:t>Economics</w:t>
            </w:r>
            <w:r>
              <w:t xml:space="preserve"> analysis of UN Comtrade data</w:t>
            </w:r>
            <w:r w:rsidR="002D51D8">
              <w:t>.</w:t>
            </w:r>
          </w:p>
        </w:tc>
      </w:tr>
    </w:tbl>
    <w:p w14:paraId="472ADC03" w14:textId="6BBC19D8" w:rsidR="008831D2" w:rsidRDefault="008831D2" w:rsidP="00016CC0">
      <w:pPr>
        <w:rPr>
          <w:rFonts w:cs="Arial"/>
          <w:szCs w:val="24"/>
        </w:rPr>
      </w:pPr>
    </w:p>
    <w:sectPr w:rsidR="008831D2" w:rsidSect="00F21AB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1CF49" w14:textId="77777777" w:rsidR="00EB6B03" w:rsidRDefault="00EB6B03" w:rsidP="008904F9">
      <w:pPr>
        <w:spacing w:line="240" w:lineRule="auto"/>
      </w:pPr>
      <w:r>
        <w:separator/>
      </w:r>
    </w:p>
  </w:endnote>
  <w:endnote w:type="continuationSeparator" w:id="0">
    <w:p w14:paraId="3291716A" w14:textId="77777777" w:rsidR="00EB6B03" w:rsidRDefault="00EB6B03" w:rsidP="008904F9">
      <w:pPr>
        <w:spacing w:line="240" w:lineRule="auto"/>
      </w:pPr>
      <w:r>
        <w:continuationSeparator/>
      </w:r>
    </w:p>
  </w:endnote>
  <w:endnote w:type="continuationNotice" w:id="1">
    <w:p w14:paraId="1C5EC984" w14:textId="77777777" w:rsidR="00EB6B03" w:rsidRDefault="00EB6B0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238DA" w14:textId="77777777" w:rsidR="0033726E" w:rsidRDefault="003372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6972695"/>
      <w:docPartObj>
        <w:docPartGallery w:val="Page Numbers (Bottom of Page)"/>
        <w:docPartUnique/>
      </w:docPartObj>
    </w:sdtPr>
    <w:sdtEndPr>
      <w:rPr>
        <w:noProof/>
      </w:rPr>
    </w:sdtEndPr>
    <w:sdtContent>
      <w:p w14:paraId="04AA10F2" w14:textId="70B28201" w:rsidR="002D4F82" w:rsidRDefault="00D72AAE" w:rsidP="00D72AAE">
        <w:pPr>
          <w:pStyle w:val="Footer"/>
          <w:jc w:val="center"/>
        </w:pPr>
        <w:r w:rsidRPr="00D72AAE">
          <w:rPr>
            <w:rFonts w:cs="Arial"/>
          </w:rPr>
          <w:fldChar w:fldCharType="begin"/>
        </w:r>
        <w:r w:rsidRPr="00D72AAE">
          <w:rPr>
            <w:rFonts w:cs="Arial"/>
          </w:rPr>
          <w:instrText xml:space="preserve"> PAGE   \* MERGEFORMAT </w:instrText>
        </w:r>
        <w:r w:rsidRPr="00D72AAE">
          <w:rPr>
            <w:rFonts w:cs="Arial"/>
          </w:rPr>
          <w:fldChar w:fldCharType="separate"/>
        </w:r>
        <w:r w:rsidRPr="00D72AAE">
          <w:rPr>
            <w:rFonts w:cs="Arial"/>
            <w:noProof/>
          </w:rPr>
          <w:t>2</w:t>
        </w:r>
        <w:r w:rsidRPr="00D72AAE">
          <w:rPr>
            <w:rFonts w:cs="Arial"/>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23285" w14:textId="3CF8F22B" w:rsidR="002D4F82" w:rsidRPr="006A7BF6" w:rsidRDefault="002D4F82" w:rsidP="006A7BF6">
    <w:pPr>
      <w:pStyle w:val="Footer"/>
      <w:jc w:val="center"/>
      <w:rPr>
        <w:rFonts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8971452"/>
      <w:docPartObj>
        <w:docPartGallery w:val="Page Numbers (Bottom of Page)"/>
        <w:docPartUnique/>
      </w:docPartObj>
    </w:sdtPr>
    <w:sdtEndPr>
      <w:rPr>
        <w:noProof/>
      </w:rPr>
    </w:sdtEndPr>
    <w:sdtContent>
      <w:p w14:paraId="0813D0DD" w14:textId="77777777" w:rsidR="00D72AAE" w:rsidRDefault="00D72AAE" w:rsidP="00D72AAE">
        <w:pPr>
          <w:pStyle w:val="Footer"/>
          <w:jc w:val="center"/>
        </w:pPr>
        <w:r w:rsidRPr="00D72AAE">
          <w:rPr>
            <w:rFonts w:cs="Arial"/>
          </w:rPr>
          <w:fldChar w:fldCharType="begin"/>
        </w:r>
        <w:r w:rsidRPr="00D72AAE">
          <w:rPr>
            <w:rFonts w:cs="Arial"/>
          </w:rPr>
          <w:instrText xml:space="preserve"> PAGE   \* MERGEFORMAT </w:instrText>
        </w:r>
        <w:r w:rsidRPr="00D72AAE">
          <w:rPr>
            <w:rFonts w:cs="Arial"/>
          </w:rPr>
          <w:fldChar w:fldCharType="separate"/>
        </w:r>
        <w:r w:rsidRPr="00D72AAE">
          <w:rPr>
            <w:rFonts w:cs="Arial"/>
            <w:noProof/>
          </w:rPr>
          <w:t>2</w:t>
        </w:r>
        <w:r w:rsidRPr="00D72AAE">
          <w:rPr>
            <w:rFonts w:cs="Arial"/>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90FD7" w14:textId="77777777" w:rsidR="00EB6B03" w:rsidRDefault="00EB6B03" w:rsidP="008904F9">
      <w:pPr>
        <w:spacing w:line="240" w:lineRule="auto"/>
      </w:pPr>
      <w:r>
        <w:separator/>
      </w:r>
    </w:p>
  </w:footnote>
  <w:footnote w:type="continuationSeparator" w:id="0">
    <w:p w14:paraId="1D909AB7" w14:textId="77777777" w:rsidR="00EB6B03" w:rsidRDefault="00EB6B03" w:rsidP="008904F9">
      <w:pPr>
        <w:spacing w:line="240" w:lineRule="auto"/>
      </w:pPr>
      <w:r>
        <w:continuationSeparator/>
      </w:r>
    </w:p>
  </w:footnote>
  <w:footnote w:type="continuationNotice" w:id="1">
    <w:p w14:paraId="4F3FEBA5" w14:textId="77777777" w:rsidR="00EB6B03" w:rsidRDefault="00EB6B03">
      <w:pPr>
        <w:spacing w:line="240" w:lineRule="auto"/>
      </w:pPr>
    </w:p>
  </w:footnote>
  <w:footnote w:id="2">
    <w:p w14:paraId="0EB92209" w14:textId="77777777" w:rsidR="001C580B" w:rsidRPr="00E16C5E" w:rsidRDefault="001C580B" w:rsidP="001C580B">
      <w:pPr>
        <w:pStyle w:val="Footnote"/>
      </w:pPr>
      <w:r>
        <w:rPr>
          <w:rStyle w:val="FootnoteReference"/>
        </w:rPr>
        <w:footnoteRef/>
      </w:r>
      <w:r>
        <w:t xml:space="preserve"> That is the country subject to the original duties.</w:t>
      </w:r>
    </w:p>
  </w:footnote>
  <w:footnote w:id="3">
    <w:p w14:paraId="0ABCACF7" w14:textId="7DFA72BB" w:rsidR="002D4F82" w:rsidRPr="006623F9" w:rsidRDefault="002D4F82" w:rsidP="0094366D">
      <w:pPr>
        <w:pStyle w:val="Footnote"/>
      </w:pPr>
      <w:r w:rsidRPr="006623F9">
        <w:rPr>
          <w:rStyle w:val="FootnoteReference"/>
        </w:rPr>
        <w:footnoteRef/>
      </w:r>
      <w:r w:rsidRPr="006623F9">
        <w:t xml:space="preserve"> </w:t>
      </w:r>
      <w:bookmarkStart w:id="8" w:name="_Hlk103317049"/>
      <w:bookmarkStart w:id="9" w:name="_Hlk103317224"/>
      <w:r w:rsidR="00EC5D72" w:rsidRPr="006623F9">
        <w:t>Puccio, L</w:t>
      </w:r>
      <w:r w:rsidR="00EF1908">
        <w:t>. and</w:t>
      </w:r>
      <w:r w:rsidR="00EC5D72" w:rsidRPr="006623F9">
        <w:t xml:space="preserve"> Erbahar, A</w:t>
      </w:r>
      <w:r w:rsidR="00EF1908">
        <w:t>.</w:t>
      </w:r>
      <w:r w:rsidR="002976FE">
        <w:t xml:space="preserve"> </w:t>
      </w:r>
      <w:r w:rsidR="00EC5D72" w:rsidRPr="006623F9">
        <w:t>(2016)</w:t>
      </w:r>
      <w:r w:rsidR="00FA7F91">
        <w:t>,</w:t>
      </w:r>
      <w:r w:rsidR="00EC5D72" w:rsidRPr="006623F9">
        <w:t xml:space="preserve"> </w:t>
      </w:r>
      <w:r w:rsidR="00EF1908">
        <w:t>“</w:t>
      </w:r>
      <w:r w:rsidR="00EC5D72" w:rsidRPr="006623F9">
        <w:t>Circumvention of Anti-dumping: A Law and Economics Analysis of Proportionality in EU Rules</w:t>
      </w:r>
      <w:r w:rsidR="00EF1908">
        <w:t>”</w:t>
      </w:r>
      <w:r w:rsidR="00FA7F91">
        <w:t>,</w:t>
      </w:r>
      <w:r w:rsidR="00EC5D72" w:rsidRPr="006623F9">
        <w:t xml:space="preserve"> </w:t>
      </w:r>
      <w:r w:rsidR="00EC5D72" w:rsidRPr="00EF1908">
        <w:rPr>
          <w:i/>
          <w:iCs/>
        </w:rPr>
        <w:t>Journal of World Trade</w:t>
      </w:r>
      <w:r w:rsidR="00EF1908">
        <w:t>,</w:t>
      </w:r>
      <w:r w:rsidR="00EC5D72" w:rsidRPr="006623F9">
        <w:t xml:space="preserve"> 50</w:t>
      </w:r>
      <w:r w:rsidR="00EF1908">
        <w:t>(</w:t>
      </w:r>
      <w:r w:rsidR="00EC5D72" w:rsidRPr="006623F9">
        <w:t>3</w:t>
      </w:r>
      <w:r w:rsidR="00EF1908">
        <w:t>)</w:t>
      </w:r>
      <w:r w:rsidR="00EC5D72" w:rsidRPr="006623F9">
        <w:t>: 391</w:t>
      </w:r>
      <w:r w:rsidR="00EF1908">
        <w:t>-</w:t>
      </w:r>
      <w:r w:rsidR="00EC5D72" w:rsidRPr="006623F9">
        <w:t>416</w:t>
      </w:r>
      <w:bookmarkEnd w:id="8"/>
      <w:r w:rsidR="00EC5D72" w:rsidRPr="006623F9">
        <w:t>.</w:t>
      </w:r>
      <w:bookmarkEnd w:id="9"/>
    </w:p>
  </w:footnote>
  <w:footnote w:id="4">
    <w:p w14:paraId="5CBC7B16" w14:textId="71F38FE7" w:rsidR="00780A84" w:rsidRPr="006623F9" w:rsidRDefault="00780A84" w:rsidP="00F032D1">
      <w:pPr>
        <w:pStyle w:val="Footnote"/>
      </w:pPr>
      <w:r w:rsidRPr="006623F9">
        <w:rPr>
          <w:rStyle w:val="FootnoteReference"/>
        </w:rPr>
        <w:footnoteRef/>
      </w:r>
      <w:r w:rsidRPr="006623F9">
        <w:t xml:space="preserve"> </w:t>
      </w:r>
      <w:r w:rsidR="0094366D">
        <w:t xml:space="preserve"> </w:t>
      </w:r>
      <w:bookmarkStart w:id="10" w:name="_Hlk103317068"/>
      <w:bookmarkStart w:id="11" w:name="_Hlk103317665"/>
      <w:r w:rsidRPr="006623F9">
        <w:t>Bown, C</w:t>
      </w:r>
      <w:r w:rsidR="008B3E44">
        <w:t>.</w:t>
      </w:r>
      <w:r w:rsidRPr="006623F9">
        <w:t>P, and Crowley</w:t>
      </w:r>
      <w:r w:rsidR="008B3E44">
        <w:t>, M.A.</w:t>
      </w:r>
      <w:r w:rsidRPr="006623F9">
        <w:t xml:space="preserve"> (2006)</w:t>
      </w:r>
      <w:r w:rsidR="00FA7F91">
        <w:t>,</w:t>
      </w:r>
      <w:r w:rsidRPr="006623F9">
        <w:t xml:space="preserve"> “Policy Externalities: How U.S. Antidumping Affects Japanese Exports to the EU”</w:t>
      </w:r>
      <w:r w:rsidR="00FA7F91">
        <w:t>,</w:t>
      </w:r>
      <w:r w:rsidRPr="006623F9">
        <w:t xml:space="preserve"> </w:t>
      </w:r>
      <w:r w:rsidRPr="008B3E44">
        <w:rPr>
          <w:i/>
          <w:iCs/>
        </w:rPr>
        <w:t>European Journal of Political Economy</w:t>
      </w:r>
      <w:r w:rsidRPr="006623F9">
        <w:t>, 22</w:t>
      </w:r>
      <w:r w:rsidR="008B3E44">
        <w:t>:</w:t>
      </w:r>
      <w:r w:rsidRPr="006623F9">
        <w:t xml:space="preserve"> 696-714</w:t>
      </w:r>
      <w:r w:rsidR="00FA7F91">
        <w:t xml:space="preserve">; </w:t>
      </w:r>
      <w:r w:rsidRPr="006623F9">
        <w:t>Bown, C</w:t>
      </w:r>
      <w:r w:rsidR="008B3E44">
        <w:t>.</w:t>
      </w:r>
      <w:r w:rsidRPr="006623F9">
        <w:t>P</w:t>
      </w:r>
      <w:r w:rsidR="008B3E44">
        <w:t>.</w:t>
      </w:r>
      <w:r w:rsidRPr="006623F9">
        <w:t>, and Crowley</w:t>
      </w:r>
      <w:r w:rsidR="008B3E44">
        <w:t>, M.A.</w:t>
      </w:r>
      <w:r w:rsidRPr="006623F9">
        <w:t xml:space="preserve"> (2007)</w:t>
      </w:r>
      <w:r w:rsidR="00FA7F91">
        <w:t>,</w:t>
      </w:r>
      <w:r w:rsidRPr="006623F9">
        <w:t xml:space="preserve"> “Trade Deflection and Trade Depression”</w:t>
      </w:r>
      <w:r w:rsidR="00FA7F91">
        <w:t>,</w:t>
      </w:r>
      <w:r w:rsidRPr="006623F9">
        <w:t xml:space="preserve"> </w:t>
      </w:r>
      <w:r w:rsidRPr="008B3E44">
        <w:rPr>
          <w:i/>
          <w:iCs/>
        </w:rPr>
        <w:t>Journal of International Economics</w:t>
      </w:r>
      <w:r w:rsidRPr="006623F9">
        <w:t>, 72</w:t>
      </w:r>
      <w:r w:rsidR="008B3E44">
        <w:t>:</w:t>
      </w:r>
      <w:r w:rsidRPr="006623F9">
        <w:t xml:space="preserve"> 176-201</w:t>
      </w:r>
      <w:r w:rsidR="00B83DA4">
        <w:t> </w:t>
      </w:r>
      <w:r w:rsidR="00B83DA4" w:rsidRPr="00B83DA4">
        <w:t xml:space="preserve">; </w:t>
      </w:r>
      <w:r w:rsidR="00B83DA4">
        <w:t xml:space="preserve">Kommerscollegium (2009), </w:t>
      </w:r>
      <w:r w:rsidR="00B83DA4" w:rsidRPr="00B83DA4">
        <w:rPr>
          <w:i/>
          <w:iCs/>
        </w:rPr>
        <w:t>Do EU Producers and the EU Economy Really Benefit from Anti-Dumping Policy</w:t>
      </w:r>
      <w:r w:rsidR="00B83DA4">
        <w:t>; Paul Brenton (2014), “</w:t>
      </w:r>
      <w:r w:rsidR="00B83DA4" w:rsidRPr="00B83DA4">
        <w:t>Anti-</w:t>
      </w:r>
      <w:r w:rsidR="00B83DA4">
        <w:t>d</w:t>
      </w:r>
      <w:r w:rsidR="00B83DA4" w:rsidRPr="00B83DA4">
        <w:t xml:space="preserve">umping </w:t>
      </w:r>
      <w:r w:rsidR="00B83DA4">
        <w:t>p</w:t>
      </w:r>
      <w:r w:rsidR="00B83DA4" w:rsidRPr="00B83DA4">
        <w:t xml:space="preserve">olicies in the EU and </w:t>
      </w:r>
      <w:r w:rsidR="00B83DA4">
        <w:t>t</w:t>
      </w:r>
      <w:r w:rsidR="00B83DA4" w:rsidRPr="00B83DA4">
        <w:t xml:space="preserve">rade </w:t>
      </w:r>
      <w:r w:rsidR="00B83DA4">
        <w:t>d</w:t>
      </w:r>
      <w:r w:rsidR="00B83DA4" w:rsidRPr="00B83DA4">
        <w:t>iversion</w:t>
      </w:r>
      <w:r w:rsidR="00B83DA4">
        <w:t xml:space="preserve">”, in Paul Brenton (ed), </w:t>
      </w:r>
      <w:r w:rsidR="00B83DA4" w:rsidRPr="00B83DA4">
        <w:rPr>
          <w:i/>
          <w:iCs/>
        </w:rPr>
        <w:t>International Trade, Distribution and Development, Emp</w:t>
      </w:r>
      <w:r w:rsidR="00B83DA4">
        <w:rPr>
          <w:i/>
          <w:iCs/>
        </w:rPr>
        <w:t>irical Studies of Trade Policies,</w:t>
      </w:r>
      <w:r w:rsidR="00B83DA4" w:rsidRPr="00B83DA4">
        <w:rPr>
          <w:i/>
          <w:iCs/>
        </w:rPr>
        <w:t>l</w:t>
      </w:r>
      <w:bookmarkEnd w:id="10"/>
    </w:p>
    <w:bookmarkEnd w:id="11"/>
  </w:footnote>
  <w:footnote w:id="5">
    <w:p w14:paraId="5056B28E" w14:textId="35B9E359" w:rsidR="004B0925" w:rsidRPr="006623F9" w:rsidRDefault="004B0925" w:rsidP="00F032D1">
      <w:pPr>
        <w:pStyle w:val="Footnote"/>
      </w:pPr>
      <w:r w:rsidRPr="006623F9">
        <w:rPr>
          <w:rStyle w:val="FootnoteReference"/>
        </w:rPr>
        <w:footnoteRef/>
      </w:r>
      <w:r w:rsidR="694EFD0E" w:rsidRPr="006623F9">
        <w:t xml:space="preserve"> The </w:t>
      </w:r>
      <w:r w:rsidR="694EFD0E">
        <w:t>e</w:t>
      </w:r>
      <w:r w:rsidR="694EFD0E" w:rsidRPr="006623F9">
        <w:t xml:space="preserve">conomic </w:t>
      </w:r>
      <w:r w:rsidR="694EFD0E">
        <w:t>i</w:t>
      </w:r>
      <w:r w:rsidR="694EFD0E" w:rsidRPr="006623F9">
        <w:t xml:space="preserve">nterest </w:t>
      </w:r>
      <w:r w:rsidR="694EFD0E">
        <w:t>t</w:t>
      </w:r>
      <w:r w:rsidR="694EFD0E" w:rsidRPr="006623F9">
        <w:t xml:space="preserve">est </w:t>
      </w:r>
      <w:r w:rsidR="694EFD0E">
        <w:t xml:space="preserve">(EIT) </w:t>
      </w:r>
      <w:r w:rsidR="694EFD0E" w:rsidRPr="006623F9">
        <w:t xml:space="preserve">as provided for in UK </w:t>
      </w:r>
      <w:r w:rsidR="694EFD0E">
        <w:t>trade remedy</w:t>
      </w:r>
      <w:r w:rsidR="694EFD0E" w:rsidRPr="006623F9">
        <w:t xml:space="preserve"> legislation could mitigate some of these costs by requiring that authorities consider a broader set of interests than import-competing producers. </w:t>
      </w:r>
      <w:r w:rsidR="694EFD0E">
        <w:t xml:space="preserve">But the EIT is not a full net-benefits test. Some export behaviours caught by anti-dumping rules could still be </w:t>
      </w:r>
      <w:r w:rsidR="694EFD0E" w:rsidRPr="006623F9">
        <w:t>commercially rational behaviour (notably price discrimination by multi-market, multi-product firms)</w:t>
      </w:r>
      <w:r w:rsidR="694EFD0E">
        <w:t>.</w:t>
      </w:r>
      <w:r w:rsidR="694EFD0E" w:rsidRPr="006623F9">
        <w:t xml:space="preserve"> </w:t>
      </w:r>
      <w:r w:rsidR="694EFD0E">
        <w:t>Moreover, some of the “costs” captured by the EIT could, rather, be a displacement by imports of activity in which the UK does not have a comparative advantage. If that is the case, duties, and their extension via unwarranted anti-circumvention action, would prevent resource reallocation from less productive activities to more productive ones</w:t>
      </w:r>
      <w:r w:rsidR="694EFD0E" w:rsidRPr="006623F9">
        <w:t xml:space="preserve">. </w:t>
      </w:r>
    </w:p>
  </w:footnote>
  <w:footnote w:id="6">
    <w:p w14:paraId="324DE75E" w14:textId="7AA6028F" w:rsidR="007A7FDC" w:rsidRPr="006623F9" w:rsidRDefault="007A7FDC" w:rsidP="00FA7F91">
      <w:pPr>
        <w:pStyle w:val="FootnoteText"/>
        <w:spacing w:after="60"/>
      </w:pPr>
      <w:r w:rsidRPr="006623F9">
        <w:rPr>
          <w:rStyle w:val="FootnoteReference"/>
          <w:rFonts w:cs="Arial"/>
        </w:rPr>
        <w:footnoteRef/>
      </w:r>
      <w:r w:rsidRPr="006623F9">
        <w:rPr>
          <w:rFonts w:cs="Arial"/>
        </w:rPr>
        <w:t xml:space="preserve"> </w:t>
      </w:r>
      <w:bookmarkStart w:id="12" w:name="_Hlk103317690"/>
      <w:bookmarkStart w:id="13" w:name="_Hlk103317090"/>
      <w:r w:rsidRPr="006623F9">
        <w:rPr>
          <w:rFonts w:cs="Arial"/>
        </w:rPr>
        <w:t xml:space="preserve">Productivity Commission </w:t>
      </w:r>
      <w:r w:rsidR="008B3E44">
        <w:rPr>
          <w:rFonts w:cs="Arial"/>
        </w:rPr>
        <w:t>(</w:t>
      </w:r>
      <w:r w:rsidRPr="006623F9">
        <w:rPr>
          <w:rFonts w:cs="Arial"/>
        </w:rPr>
        <w:t>2016</w:t>
      </w:r>
      <w:r w:rsidR="008B3E44">
        <w:rPr>
          <w:rFonts w:cs="Arial"/>
        </w:rPr>
        <w:t>)</w:t>
      </w:r>
      <w:r w:rsidR="00FA7F91">
        <w:rPr>
          <w:rFonts w:cs="Arial"/>
        </w:rPr>
        <w:t>,</w:t>
      </w:r>
      <w:r w:rsidRPr="006623F9">
        <w:rPr>
          <w:rFonts w:cs="Arial"/>
        </w:rPr>
        <w:t xml:space="preserve"> </w:t>
      </w:r>
      <w:r w:rsidR="008B3E44">
        <w:rPr>
          <w:rFonts w:cs="Arial"/>
        </w:rPr>
        <w:t>“</w:t>
      </w:r>
      <w:r w:rsidRPr="008B3E44">
        <w:rPr>
          <w:rFonts w:cs="Arial"/>
        </w:rPr>
        <w:t>Developments in Anti-Dumping Arrangements</w:t>
      </w:r>
      <w:r w:rsidR="008B3E44">
        <w:rPr>
          <w:rFonts w:cs="Arial"/>
        </w:rPr>
        <w:t>”</w:t>
      </w:r>
      <w:r w:rsidR="00FA7F91">
        <w:rPr>
          <w:rFonts w:cs="Arial"/>
        </w:rPr>
        <w:t>,</w:t>
      </w:r>
      <w:r w:rsidR="008B3E44">
        <w:rPr>
          <w:rFonts w:cs="Arial"/>
        </w:rPr>
        <w:t xml:space="preserve"> </w:t>
      </w:r>
      <w:r w:rsidRPr="006623F9">
        <w:t>Commission Research Paper, Canberra, p 25</w:t>
      </w:r>
      <w:r w:rsidR="008B3E44">
        <w:t>;</w:t>
      </w:r>
      <w:r w:rsidRPr="006623F9">
        <w:t xml:space="preserve">  </w:t>
      </w:r>
      <w:bookmarkEnd w:id="12"/>
      <w:r w:rsidRPr="006623F9">
        <w:t xml:space="preserve">Blonigen, B. and Prusa, T. </w:t>
      </w:r>
      <w:r w:rsidR="008B3E44">
        <w:t>(</w:t>
      </w:r>
      <w:r w:rsidRPr="006623F9">
        <w:t>2003</w:t>
      </w:r>
      <w:r w:rsidR="008B3E44">
        <w:t>)</w:t>
      </w:r>
      <w:r w:rsidRPr="006623F9">
        <w:t xml:space="preserve"> </w:t>
      </w:r>
      <w:r w:rsidR="008B3E44">
        <w:t>“</w:t>
      </w:r>
      <w:r w:rsidRPr="006623F9">
        <w:t xml:space="preserve">The </w:t>
      </w:r>
      <w:r w:rsidR="008B3E44">
        <w:t>C</w:t>
      </w:r>
      <w:r w:rsidRPr="006623F9">
        <w:t xml:space="preserve">ost of </w:t>
      </w:r>
      <w:r w:rsidR="008B3E44">
        <w:t>A</w:t>
      </w:r>
      <w:r w:rsidRPr="006623F9">
        <w:t xml:space="preserve">ntidumping: </w:t>
      </w:r>
      <w:r w:rsidR="008B3E44">
        <w:t>T</w:t>
      </w:r>
      <w:r w:rsidRPr="006623F9">
        <w:t xml:space="preserve">he </w:t>
      </w:r>
      <w:r w:rsidR="008B3E44">
        <w:t>D</w:t>
      </w:r>
      <w:r w:rsidRPr="006623F9">
        <w:t xml:space="preserve">evil is in the </w:t>
      </w:r>
      <w:r w:rsidR="008B3E44">
        <w:t>D</w:t>
      </w:r>
      <w:r w:rsidRPr="006623F9">
        <w:t xml:space="preserve">etails’, </w:t>
      </w:r>
      <w:r w:rsidRPr="006623F9">
        <w:rPr>
          <w:i/>
          <w:iCs/>
        </w:rPr>
        <w:t>Journal of Economic Policy Reform</w:t>
      </w:r>
      <w:r w:rsidRPr="006623F9">
        <w:t>, 6</w:t>
      </w:r>
      <w:r w:rsidR="008B3E44">
        <w:t>(</w:t>
      </w:r>
      <w:r w:rsidRPr="006623F9">
        <w:t>4</w:t>
      </w:r>
      <w:r w:rsidR="008B3E44">
        <w:t>):</w:t>
      </w:r>
      <w:r w:rsidRPr="006623F9">
        <w:t xml:space="preserve"> 233</w:t>
      </w:r>
      <w:r w:rsidR="008B3E44">
        <w:t>-</w:t>
      </w:r>
      <w:r w:rsidRPr="006623F9">
        <w:t>245; and Barattieri</w:t>
      </w:r>
      <w:r w:rsidR="00FA7F91">
        <w:t>, A.</w:t>
      </w:r>
      <w:r w:rsidRPr="006623F9">
        <w:t xml:space="preserve"> and Cacciatore,</w:t>
      </w:r>
      <w:r w:rsidR="00FA7F91">
        <w:t xml:space="preserve"> M.</w:t>
      </w:r>
      <w:r w:rsidRPr="006623F9">
        <w:t xml:space="preserve"> </w:t>
      </w:r>
      <w:r w:rsidR="00FA7F91">
        <w:t>(</w:t>
      </w:r>
      <w:r w:rsidRPr="006623F9">
        <w:t>2020</w:t>
      </w:r>
      <w:r w:rsidR="00FA7F91">
        <w:t>)</w:t>
      </w:r>
      <w:r w:rsidRPr="006623F9">
        <w:t xml:space="preserve">, </w:t>
      </w:r>
      <w:r w:rsidR="00FA7F91">
        <w:t>“</w:t>
      </w:r>
      <w:r w:rsidRPr="006623F9">
        <w:t>Self-Harming Trade Policy? Protectionism and Production Networks</w:t>
      </w:r>
      <w:r w:rsidR="00FA7F91">
        <w:t>”,</w:t>
      </w:r>
      <w:r w:rsidRPr="006623F9">
        <w:t xml:space="preserve"> NBER Working Paper 27630.</w:t>
      </w:r>
    </w:p>
    <w:bookmarkEnd w:id="13"/>
  </w:footnote>
  <w:footnote w:id="7">
    <w:p w14:paraId="44A6A505" w14:textId="73CFAAC2" w:rsidR="007A7FDC" w:rsidRPr="006623F9" w:rsidRDefault="007A7FDC" w:rsidP="00F032D1">
      <w:pPr>
        <w:pStyle w:val="Footnote"/>
      </w:pPr>
      <w:r w:rsidRPr="006623F9">
        <w:rPr>
          <w:rStyle w:val="FootnoteReference"/>
        </w:rPr>
        <w:footnoteRef/>
      </w:r>
      <w:r w:rsidRPr="006623F9">
        <w:t xml:space="preserve"> </w:t>
      </w:r>
      <w:bookmarkStart w:id="14" w:name="_Hlk103317102"/>
      <w:r w:rsidRPr="006623F9">
        <w:t>Erbahar, A</w:t>
      </w:r>
      <w:r w:rsidR="00FA7F91">
        <w:t>.</w:t>
      </w:r>
      <w:r w:rsidRPr="006623F9">
        <w:t xml:space="preserve"> </w:t>
      </w:r>
      <w:r w:rsidR="00FA7F91">
        <w:t>and</w:t>
      </w:r>
      <w:r w:rsidRPr="006623F9">
        <w:t xml:space="preserve"> Zi, Y</w:t>
      </w:r>
      <w:r w:rsidR="00FA7F91">
        <w:t>.</w:t>
      </w:r>
      <w:r w:rsidRPr="006623F9">
        <w:t xml:space="preserve"> </w:t>
      </w:r>
      <w:r w:rsidR="00FA7F91">
        <w:t>(</w:t>
      </w:r>
      <w:r w:rsidRPr="006623F9">
        <w:t>2017</w:t>
      </w:r>
      <w:r w:rsidR="00FA7F91">
        <w:t>),</w:t>
      </w:r>
      <w:r w:rsidRPr="006623F9">
        <w:t xml:space="preserve"> "Cascading </w:t>
      </w:r>
      <w:r w:rsidR="00FA7F91">
        <w:t>T</w:t>
      </w:r>
      <w:r w:rsidRPr="006623F9">
        <w:t xml:space="preserve">rade </w:t>
      </w:r>
      <w:r w:rsidR="00FA7F91">
        <w:t>P</w:t>
      </w:r>
      <w:r w:rsidRPr="006623F9">
        <w:t xml:space="preserve">rotection: Evidence from the </w:t>
      </w:r>
      <w:r w:rsidR="00403A85" w:rsidRPr="006623F9">
        <w:t>United States</w:t>
      </w:r>
      <w:r w:rsidRPr="006623F9">
        <w:t>"</w:t>
      </w:r>
      <w:r w:rsidR="00FA7F91">
        <w:t>,</w:t>
      </w:r>
      <w:r w:rsidRPr="006623F9">
        <w:t xml:space="preserve"> </w:t>
      </w:r>
      <w:r w:rsidRPr="00FA7F91">
        <w:rPr>
          <w:i/>
          <w:iCs/>
        </w:rPr>
        <w:t>Journal of International Economics</w:t>
      </w:r>
      <w:r w:rsidRPr="006623F9">
        <w:t>, 108(C)</w:t>
      </w:r>
      <w:r w:rsidR="00FA7F91">
        <w:t>:</w:t>
      </w:r>
      <w:r w:rsidRPr="006623F9">
        <w:t xml:space="preserve"> 274-299;  Bown, </w:t>
      </w:r>
      <w:r w:rsidR="00680189">
        <w:t xml:space="preserve">C.P., </w:t>
      </w:r>
      <w:r w:rsidRPr="006623F9">
        <w:t xml:space="preserve">Conconi, </w:t>
      </w:r>
      <w:r w:rsidR="00680189">
        <w:t xml:space="preserve">P., </w:t>
      </w:r>
      <w:r w:rsidRPr="006623F9">
        <w:t xml:space="preserve">Erbahar, </w:t>
      </w:r>
      <w:r w:rsidR="00680189">
        <w:t xml:space="preserve">A. </w:t>
      </w:r>
      <w:r w:rsidRPr="006623F9">
        <w:t xml:space="preserve">and Trimarchi, </w:t>
      </w:r>
      <w:r w:rsidR="00680189">
        <w:t>L. (</w:t>
      </w:r>
      <w:r w:rsidRPr="006623F9">
        <w:t>2021</w:t>
      </w:r>
      <w:r w:rsidR="00680189">
        <w:t>)</w:t>
      </w:r>
      <w:r w:rsidRPr="006623F9">
        <w:t xml:space="preserve">, </w:t>
      </w:r>
      <w:r w:rsidR="00680189">
        <w:t>“</w:t>
      </w:r>
      <w:r w:rsidRPr="006623F9">
        <w:t>Trade Protection Along Supply Chains</w:t>
      </w:r>
      <w:r w:rsidR="00680189">
        <w:t>”</w:t>
      </w:r>
      <w:r w:rsidRPr="006623F9">
        <w:t>, CEPR Discussion Paper 15648</w:t>
      </w:r>
      <w:bookmarkEnd w:id="14"/>
      <w:r w:rsidRPr="006623F9">
        <w:t>.</w:t>
      </w:r>
    </w:p>
  </w:footnote>
  <w:footnote w:id="8">
    <w:p w14:paraId="16CA5B52" w14:textId="2F3936A0" w:rsidR="00D20603" w:rsidRPr="00D61E2C" w:rsidRDefault="00D20603" w:rsidP="00F032D1">
      <w:pPr>
        <w:pStyle w:val="Footnote"/>
      </w:pPr>
      <w:r w:rsidRPr="00A05965">
        <w:rPr>
          <w:rStyle w:val="FootnoteReference"/>
        </w:rPr>
        <w:footnoteRef/>
      </w:r>
      <w:r w:rsidRPr="00D61E2C">
        <w:t xml:space="preserve"> </w:t>
      </w:r>
      <w:r w:rsidR="00F032D1">
        <w:t xml:space="preserve"> </w:t>
      </w:r>
      <w:bookmarkStart w:id="15" w:name="_Hlk103317910"/>
      <w:r w:rsidRPr="00D61E2C">
        <w:t xml:space="preserve">See TRA (2022), </w:t>
      </w:r>
      <w:r w:rsidR="00680189">
        <w:t>“</w:t>
      </w:r>
      <w:r w:rsidRPr="00D61E2C">
        <w:t>How We Apply the Economic Interest Test</w:t>
      </w:r>
      <w:r w:rsidR="00680189">
        <w:t xml:space="preserve">”, available </w:t>
      </w:r>
      <w:r w:rsidR="007849B3">
        <w:t>from:</w:t>
      </w:r>
      <w:r w:rsidRPr="00D61E2C">
        <w:t xml:space="preserve"> </w:t>
      </w:r>
      <w:hyperlink r:id="rId1" w:history="1">
        <w:r w:rsidRPr="00D81270">
          <w:rPr>
            <w:rStyle w:val="Hyperlink"/>
            <w:sz w:val="20"/>
          </w:rPr>
          <w:t>https://www.gov.uk/government/publications/the-uk-trade-remedies-investigations-process/how-we-apply-the-economic-interest-test</w:t>
        </w:r>
      </w:hyperlink>
      <w:bookmarkEnd w:id="15"/>
    </w:p>
  </w:footnote>
  <w:footnote w:id="9">
    <w:p w14:paraId="172216ED" w14:textId="30D9F781" w:rsidR="00AC3C2D" w:rsidRPr="00D61E2C" w:rsidRDefault="00AC3C2D" w:rsidP="00F032D1">
      <w:pPr>
        <w:pStyle w:val="Footnote"/>
      </w:pPr>
      <w:r w:rsidRPr="00D61E2C">
        <w:rPr>
          <w:rStyle w:val="FootnoteReference"/>
        </w:rPr>
        <w:footnoteRef/>
      </w:r>
      <w:r w:rsidRPr="00D61E2C">
        <w:t xml:space="preserve"> See notably </w:t>
      </w:r>
      <w:hyperlink r:id="rId2" w:history="1">
        <w:r w:rsidRPr="00D81270">
          <w:rPr>
            <w:rStyle w:val="Hyperlink"/>
            <w:sz w:val="20"/>
          </w:rPr>
          <w:t>https://eur-lex.europa.eu/legal-content/EN/TXT/HTML/?uri=CELEX:31987R1761&amp;from=DE</w:t>
        </w:r>
      </w:hyperlink>
    </w:p>
  </w:footnote>
  <w:footnote w:id="10">
    <w:p w14:paraId="3F41908A" w14:textId="09B29F11" w:rsidR="00381EBA" w:rsidRPr="00D61E2C" w:rsidRDefault="00381EBA" w:rsidP="00F032D1">
      <w:pPr>
        <w:pStyle w:val="Footnote"/>
      </w:pPr>
      <w:r w:rsidRPr="00D61E2C">
        <w:rPr>
          <w:rStyle w:val="FootnoteReference"/>
        </w:rPr>
        <w:footnoteRef/>
      </w:r>
      <w:r w:rsidRPr="00D61E2C">
        <w:t xml:space="preserve"> </w:t>
      </w:r>
      <w:hyperlink r:id="rId3" w:history="1">
        <w:r w:rsidRPr="00D81270">
          <w:rPr>
            <w:rStyle w:val="Hyperlink"/>
            <w:sz w:val="20"/>
          </w:rPr>
          <w:t>https://home.treasury.gov/system/files/206/authorizing-statute.pdf</w:t>
        </w:r>
      </w:hyperlink>
    </w:p>
  </w:footnote>
  <w:footnote w:id="11">
    <w:p w14:paraId="71E019A6" w14:textId="36FF8582" w:rsidR="00352D9D" w:rsidRPr="006623F9" w:rsidRDefault="00352D9D" w:rsidP="00F032D1">
      <w:pPr>
        <w:pStyle w:val="Footnote"/>
      </w:pPr>
      <w:r w:rsidRPr="006623F9">
        <w:rPr>
          <w:rStyle w:val="FootnoteReference"/>
        </w:rPr>
        <w:footnoteRef/>
      </w:r>
      <w:r w:rsidRPr="006623F9">
        <w:t xml:space="preserve"> Coskun, </w:t>
      </w:r>
      <w:r w:rsidR="00680189">
        <w:t xml:space="preserve">S., </w:t>
      </w:r>
      <w:r w:rsidRPr="006623F9">
        <w:t xml:space="preserve">Kreier, </w:t>
      </w:r>
      <w:r w:rsidR="00680189">
        <w:t xml:space="preserve">J. and </w:t>
      </w:r>
      <w:r w:rsidRPr="006623F9">
        <w:t xml:space="preserve">Hiromi </w:t>
      </w:r>
      <w:r w:rsidR="00680189">
        <w:t>,</w:t>
      </w:r>
      <w:r w:rsidRPr="006623F9">
        <w:t>Y</w:t>
      </w:r>
      <w:r w:rsidR="00680189">
        <w:t>.</w:t>
      </w:r>
      <w:r w:rsidRPr="006623F9">
        <w:t xml:space="preserve"> (2016), </w:t>
      </w:r>
      <w:r w:rsidRPr="004424B3">
        <w:t>“Anti-Circumvention in the Multilateral System: Plus ça Change“,</w:t>
      </w:r>
      <w:r w:rsidRPr="007A4A6B">
        <w:rPr>
          <w:i/>
        </w:rPr>
        <w:t>Global Trade and Customs Journal</w:t>
      </w:r>
      <w:r w:rsidRPr="00995B95">
        <w:t>, 11</w:t>
      </w:r>
      <w:r w:rsidR="00680189">
        <w:t>(</w:t>
      </w:r>
      <w:r w:rsidRPr="00995B95">
        <w:t>11/12</w:t>
      </w:r>
      <w:r w:rsidR="00680189">
        <w:t>):</w:t>
      </w:r>
      <w:r w:rsidRPr="00995B95">
        <w:t xml:space="preserve"> 461</w:t>
      </w:r>
      <w:r w:rsidR="00680189">
        <w:t>-</w:t>
      </w:r>
      <w:r w:rsidRPr="00995B95">
        <w:t>472</w:t>
      </w:r>
      <w:r w:rsidR="00D81270">
        <w:t>.</w:t>
      </w:r>
    </w:p>
  </w:footnote>
  <w:footnote w:id="12">
    <w:p w14:paraId="712A94A9" w14:textId="05FFFEB6" w:rsidR="00963085" w:rsidRPr="002637CA" w:rsidRDefault="00963085" w:rsidP="00F032D1">
      <w:pPr>
        <w:pStyle w:val="Footnote"/>
        <w:rPr>
          <w:lang w:val="nl-NL"/>
        </w:rPr>
      </w:pPr>
      <w:r w:rsidRPr="006623F9">
        <w:rPr>
          <w:rStyle w:val="FootnoteReference"/>
        </w:rPr>
        <w:footnoteRef/>
      </w:r>
      <w:r w:rsidRPr="002637CA">
        <w:rPr>
          <w:lang w:val="nl-NL"/>
        </w:rPr>
        <w:t xml:space="preserve"> </w:t>
      </w:r>
      <w:bookmarkStart w:id="24" w:name="_Hlk103318059"/>
      <w:r w:rsidRPr="002637CA">
        <w:rPr>
          <w:lang w:val="nl-NL"/>
        </w:rPr>
        <w:t>Coskun et al., op.cit</w:t>
      </w:r>
      <w:r w:rsidR="00D81270" w:rsidRPr="002637CA">
        <w:rPr>
          <w:lang w:val="nl-NL"/>
        </w:rPr>
        <w:t>.</w:t>
      </w:r>
      <w:bookmarkEnd w:id="24"/>
    </w:p>
  </w:footnote>
  <w:footnote w:id="13">
    <w:p w14:paraId="3933621D" w14:textId="50C4B45E" w:rsidR="00963085" w:rsidRPr="006623F9" w:rsidRDefault="00963085" w:rsidP="00F032D1">
      <w:pPr>
        <w:pStyle w:val="Footnote"/>
      </w:pPr>
      <w:r w:rsidRPr="006623F9">
        <w:rPr>
          <w:rStyle w:val="FootnoteReference"/>
        </w:rPr>
        <w:footnoteRef/>
      </w:r>
      <w:r w:rsidRPr="006623F9">
        <w:t xml:space="preserve"> See</w:t>
      </w:r>
      <w:r w:rsidR="00680189">
        <w:t>,</w:t>
      </w:r>
      <w:r w:rsidRPr="006623F9">
        <w:t xml:space="preserve"> for example</w:t>
      </w:r>
      <w:r w:rsidR="00680189">
        <w:t>:</w:t>
      </w:r>
      <w:r w:rsidRPr="006623F9">
        <w:t xml:space="preserve"> Canada (1997)</w:t>
      </w:r>
      <w:r w:rsidR="00680189">
        <w:t>,</w:t>
      </w:r>
      <w:r w:rsidRPr="006623F9">
        <w:t xml:space="preserve"> “An </w:t>
      </w:r>
      <w:r w:rsidR="00680189">
        <w:t>A</w:t>
      </w:r>
      <w:r w:rsidRPr="006623F9">
        <w:t xml:space="preserve">pproach to the </w:t>
      </w:r>
      <w:r w:rsidR="00680189">
        <w:t>D</w:t>
      </w:r>
      <w:r w:rsidRPr="006623F9">
        <w:t xml:space="preserve">efinition of </w:t>
      </w:r>
      <w:r w:rsidR="00680189">
        <w:t>C</w:t>
      </w:r>
      <w:r w:rsidRPr="006623F9">
        <w:t>ircumvention”,  Communication to the Committee on Anti-Dumping Practices, Informal Group on Anti-Circumvention, G/ADP/IG/W/3; European Community (1997)</w:t>
      </w:r>
      <w:r w:rsidR="00680189">
        <w:t>,</w:t>
      </w:r>
      <w:r w:rsidRPr="006623F9">
        <w:t xml:space="preserve"> “What </w:t>
      </w:r>
      <w:r w:rsidR="00680189">
        <w:t>C</w:t>
      </w:r>
      <w:r w:rsidRPr="006623F9">
        <w:t xml:space="preserve">onstitutes </w:t>
      </w:r>
      <w:r w:rsidR="00680189">
        <w:t>C</w:t>
      </w:r>
      <w:r w:rsidRPr="006623F9">
        <w:t xml:space="preserve">ircumvention”, Communication to the Committee on Anti-Dumping Practices, Informal Group on Anti-Circumvention, G/ADP/IG/W/1;  United States (1997), “What </w:t>
      </w:r>
      <w:r w:rsidR="00A302DC">
        <w:t>C</w:t>
      </w:r>
      <w:r w:rsidRPr="006623F9">
        <w:t xml:space="preserve">onstitutes </w:t>
      </w:r>
      <w:r w:rsidR="00A302DC">
        <w:t>C</w:t>
      </w:r>
      <w:r w:rsidRPr="006623F9">
        <w:t>ircumvention”, Communication to the Committee on Anti-Dumping Practices, Informal Group on Anti-Circumvention, G/ADP/IG/W/2</w:t>
      </w:r>
      <w:r w:rsidR="00D81270">
        <w:t>.</w:t>
      </w:r>
    </w:p>
  </w:footnote>
  <w:footnote w:id="14">
    <w:p w14:paraId="66B02AB2" w14:textId="332A0436" w:rsidR="00892170" w:rsidRPr="006623F9" w:rsidRDefault="00892170" w:rsidP="00F032D1">
      <w:pPr>
        <w:pStyle w:val="Footnote"/>
      </w:pPr>
      <w:r w:rsidRPr="006623F9">
        <w:rPr>
          <w:rStyle w:val="FootnoteReference"/>
        </w:rPr>
        <w:footnoteRef/>
      </w:r>
      <w:r w:rsidRPr="006623F9">
        <w:t xml:space="preserve"> </w:t>
      </w:r>
      <w:r w:rsidR="002F5769" w:rsidRPr="006623F9">
        <w:t xml:space="preserve">At the WTO, since 1997 Hong Kong </w:t>
      </w:r>
      <w:r w:rsidR="00A6382A">
        <w:t>has been</w:t>
      </w:r>
      <w:r w:rsidR="00A6382A" w:rsidRPr="006623F9">
        <w:t xml:space="preserve"> </w:t>
      </w:r>
      <w:r w:rsidR="002F5769" w:rsidRPr="006623F9">
        <w:t xml:space="preserve">referred to as </w:t>
      </w:r>
      <w:r w:rsidR="00A6382A">
        <w:t>“</w:t>
      </w:r>
      <w:r w:rsidR="002F5769" w:rsidRPr="006623F9">
        <w:t xml:space="preserve">Hong Kong, </w:t>
      </w:r>
      <w:r w:rsidR="002406F0">
        <w:t>PRC</w:t>
      </w:r>
      <w:r w:rsidR="00A6382A">
        <w:t>”</w:t>
      </w:r>
      <w:r w:rsidR="002F5769" w:rsidRPr="006623F9">
        <w:t xml:space="preserve"> to denote both its status as a special administrative region of </w:t>
      </w:r>
      <w:r w:rsidR="002406F0">
        <w:t>PRC</w:t>
      </w:r>
      <w:r w:rsidR="002F5769" w:rsidRPr="006623F9">
        <w:t xml:space="preserve"> and its status as a separate customs territory and therefore separate WTO membership. For clarity of exposition we refer simply to “Hong Kong” in this report.</w:t>
      </w:r>
    </w:p>
  </w:footnote>
  <w:footnote w:id="15">
    <w:p w14:paraId="660284C0" w14:textId="366BF97A" w:rsidR="00963085" w:rsidRPr="006623F9" w:rsidRDefault="00963085" w:rsidP="00F032D1">
      <w:pPr>
        <w:pStyle w:val="Footnote"/>
      </w:pPr>
      <w:r w:rsidRPr="006623F9">
        <w:rPr>
          <w:rStyle w:val="FootnoteReference"/>
        </w:rPr>
        <w:footnoteRef/>
      </w:r>
      <w:r w:rsidRPr="006623F9">
        <w:t xml:space="preserve"> See</w:t>
      </w:r>
      <w:r w:rsidR="00A302DC">
        <w:t>,</w:t>
      </w:r>
      <w:r w:rsidRPr="006623F9">
        <w:t xml:space="preserve"> for example</w:t>
      </w:r>
      <w:r w:rsidR="00A302DC">
        <w:t>:</w:t>
      </w:r>
      <w:r w:rsidRPr="006623F9">
        <w:t xml:space="preserve"> Republic of Korea (1999)</w:t>
      </w:r>
      <w:r w:rsidR="00A302DC">
        <w:t>,</w:t>
      </w:r>
      <w:r w:rsidRPr="006623F9">
        <w:t xml:space="preserve"> “What </w:t>
      </w:r>
      <w:r w:rsidR="00A302DC">
        <w:t>C</w:t>
      </w:r>
      <w:r w:rsidRPr="006623F9">
        <w:t xml:space="preserve">onstitutes </w:t>
      </w:r>
      <w:r w:rsidR="00A302DC">
        <w:t>C</w:t>
      </w:r>
      <w:r w:rsidRPr="006623F9">
        <w:t xml:space="preserve">ircumvention”, Communication to the Committee on Anti-Dumping Practices, Informal Group on Anti-Circumvention, G/ADP/IG/W/17; Hong Kong, </w:t>
      </w:r>
      <w:r w:rsidR="002406F0">
        <w:t>PRC</w:t>
      </w:r>
      <w:r w:rsidRPr="006623F9">
        <w:t xml:space="preserve"> (1998)</w:t>
      </w:r>
      <w:r w:rsidR="00A302DC">
        <w:t>,</w:t>
      </w:r>
      <w:r w:rsidRPr="006623F9">
        <w:t xml:space="preserve"> “What </w:t>
      </w:r>
      <w:r w:rsidR="00A302DC">
        <w:t>C</w:t>
      </w:r>
      <w:r w:rsidRPr="006623F9">
        <w:t xml:space="preserve">onstitutes </w:t>
      </w:r>
      <w:r w:rsidR="00A302DC">
        <w:t>C</w:t>
      </w:r>
      <w:r w:rsidRPr="006623F9">
        <w:t>ircumvention”, Communication to the Committee on Anti-Dumping Practices, Informal Group on Anti-Circumvention, G/ADP/IG/W/8</w:t>
      </w:r>
      <w:r w:rsidR="00D81270">
        <w:t>.</w:t>
      </w:r>
    </w:p>
  </w:footnote>
  <w:footnote w:id="16">
    <w:p w14:paraId="63E6652B" w14:textId="2DD53B9A" w:rsidR="002D4F82" w:rsidRPr="006623F9" w:rsidRDefault="002D4F82" w:rsidP="00EA71C7">
      <w:pPr>
        <w:pStyle w:val="Footnote"/>
      </w:pPr>
      <w:r w:rsidRPr="006623F9">
        <w:rPr>
          <w:rStyle w:val="FootnoteReference"/>
        </w:rPr>
        <w:footnoteRef/>
      </w:r>
      <w:r w:rsidRPr="006623F9">
        <w:t xml:space="preserve"> This rule states that</w:t>
      </w:r>
      <w:r w:rsidR="00230C6F">
        <w:t>:</w:t>
      </w:r>
      <w:r w:rsidRPr="006623F9">
        <w:t xml:space="preserve"> “Any reference in a heading to an article shall be taken to include a reference to that article incomplete or unfinished, provided that, as presented, the incomplete or unfinished article has the essential character of the complete or finished article. It shall also be taken to include a reference to that article complete or finished (or falling to be classified as complete or finished by virtue of this rule), presented unassembled or disassembled”</w:t>
      </w:r>
      <w:r w:rsidR="00D81270">
        <w:t>.</w:t>
      </w:r>
    </w:p>
  </w:footnote>
  <w:footnote w:id="17">
    <w:p w14:paraId="50260B38" w14:textId="1E147347" w:rsidR="00963085" w:rsidRPr="00CD7F57" w:rsidRDefault="00963085" w:rsidP="00EA71C7">
      <w:pPr>
        <w:pStyle w:val="Footnote"/>
        <w:rPr>
          <w:lang w:val="de-DE"/>
        </w:rPr>
      </w:pPr>
      <w:r w:rsidRPr="006623F9">
        <w:rPr>
          <w:rStyle w:val="FootnoteReference"/>
        </w:rPr>
        <w:footnoteRef/>
      </w:r>
      <w:r w:rsidRPr="006623F9">
        <w:t xml:space="preserve"> See for example, United States (2002), “Topic 3. To </w:t>
      </w:r>
      <w:r w:rsidR="00A302DC">
        <w:t>W</w:t>
      </w:r>
      <w:r w:rsidRPr="006623F9">
        <w:t xml:space="preserve">hat </w:t>
      </w:r>
      <w:r w:rsidR="00A302DC">
        <w:t>E</w:t>
      </w:r>
      <w:r w:rsidRPr="006623F9">
        <w:t xml:space="preserve">xtent </w:t>
      </w:r>
      <w:r w:rsidR="00A302DC">
        <w:t>C</w:t>
      </w:r>
      <w:r w:rsidRPr="006623F9">
        <w:t xml:space="preserve">an </w:t>
      </w:r>
      <w:r w:rsidR="00A302DC">
        <w:t>C</w:t>
      </w:r>
      <w:r w:rsidRPr="006623F9">
        <w:t xml:space="preserve">ircumvention </w:t>
      </w:r>
      <w:r w:rsidR="00A302DC">
        <w:t>B</w:t>
      </w:r>
      <w:r w:rsidRPr="006623F9">
        <w:t xml:space="preserve">e </w:t>
      </w:r>
      <w:r w:rsidR="00A302DC">
        <w:t>D</w:t>
      </w:r>
      <w:r w:rsidRPr="006623F9">
        <w:t>eal</w:t>
      </w:r>
      <w:r w:rsidR="0089686F" w:rsidRPr="006623F9">
        <w:t>t</w:t>
      </w:r>
      <w:r w:rsidRPr="006623F9">
        <w:t xml:space="preserve"> with under </w:t>
      </w:r>
      <w:r w:rsidR="00A302DC">
        <w:t>R</w:t>
      </w:r>
      <w:r w:rsidRPr="006623F9">
        <w:t xml:space="preserve">elevant WTO Rules? To </w:t>
      </w:r>
      <w:r w:rsidR="00A302DC">
        <w:t>W</w:t>
      </w:r>
      <w:r w:rsidRPr="006623F9">
        <w:t xml:space="preserve">hat </w:t>
      </w:r>
      <w:r w:rsidR="00A302DC">
        <w:t>E</w:t>
      </w:r>
      <w:r w:rsidRPr="006623F9">
        <w:t xml:space="preserve">xtent </w:t>
      </w:r>
      <w:r w:rsidR="00A302DC">
        <w:t>C</w:t>
      </w:r>
      <w:r w:rsidRPr="006623F9">
        <w:t xml:space="preserve">an </w:t>
      </w:r>
      <w:r w:rsidR="00A302DC">
        <w:t>I</w:t>
      </w:r>
      <w:r w:rsidRPr="006623F9">
        <w:t xml:space="preserve">t </w:t>
      </w:r>
      <w:r w:rsidR="00A302DC">
        <w:t>N</w:t>
      </w:r>
      <w:r w:rsidRPr="006623F9">
        <w:t xml:space="preserve">ot? What </w:t>
      </w:r>
      <w:r w:rsidR="00A302DC">
        <w:t>O</w:t>
      </w:r>
      <w:r w:rsidRPr="006623F9">
        <w:t xml:space="preserve">ther </w:t>
      </w:r>
      <w:r w:rsidR="00A302DC">
        <w:t>O</w:t>
      </w:r>
      <w:r w:rsidRPr="006623F9">
        <w:t xml:space="preserve">ptions </w:t>
      </w:r>
      <w:r w:rsidR="00A302DC">
        <w:t>M</w:t>
      </w:r>
      <w:r w:rsidRPr="006623F9">
        <w:t xml:space="preserve">ay </w:t>
      </w:r>
      <w:r w:rsidR="00A302DC">
        <w:t>B</w:t>
      </w:r>
      <w:r w:rsidRPr="006623F9">
        <w:t xml:space="preserve">e </w:t>
      </w:r>
      <w:r w:rsidR="00A302DC">
        <w:t>D</w:t>
      </w:r>
      <w:r w:rsidRPr="006623F9">
        <w:t xml:space="preserve">eemed </w:t>
      </w:r>
      <w:r w:rsidR="00A302DC">
        <w:t>N</w:t>
      </w:r>
      <w:r w:rsidRPr="006623F9">
        <w:t xml:space="preserve">ecessary?” </w:t>
      </w:r>
      <w:r w:rsidRPr="00CD7F57">
        <w:rPr>
          <w:lang w:val="de-DE"/>
        </w:rPr>
        <w:t>G/ADP/IG/W/44</w:t>
      </w:r>
      <w:r w:rsidR="00D81270" w:rsidRPr="00CD7F57">
        <w:rPr>
          <w:lang w:val="de-DE"/>
        </w:rPr>
        <w:t>.</w:t>
      </w:r>
    </w:p>
  </w:footnote>
  <w:footnote w:id="18">
    <w:p w14:paraId="326D632A" w14:textId="68BEACF1" w:rsidR="0097406B" w:rsidRPr="00CD7F57" w:rsidRDefault="0097406B" w:rsidP="00EA71C7">
      <w:pPr>
        <w:pStyle w:val="Footnote"/>
        <w:rPr>
          <w:lang w:val="de-DE"/>
        </w:rPr>
      </w:pPr>
      <w:r w:rsidRPr="007301EB">
        <w:rPr>
          <w:rStyle w:val="FootnoteReference"/>
        </w:rPr>
        <w:footnoteRef/>
      </w:r>
      <w:r w:rsidRPr="00CD7F57">
        <w:rPr>
          <w:lang w:val="de-DE"/>
        </w:rPr>
        <w:t xml:space="preserve"> </w:t>
      </w:r>
      <w:hyperlink r:id="rId4" w:history="1">
        <w:r w:rsidRPr="00CD7F57">
          <w:rPr>
            <w:rStyle w:val="Hyperlink"/>
            <w:sz w:val="20"/>
            <w:lang w:val="de-DE"/>
          </w:rPr>
          <w:t>https://www.worldbank.org/en/data/interactive/2021/03/02/temporary-trade-barriers-database</w:t>
        </w:r>
      </w:hyperlink>
    </w:p>
  </w:footnote>
  <w:footnote w:id="19">
    <w:p w14:paraId="1A51D417" w14:textId="77777777" w:rsidR="006E706D" w:rsidRPr="00AA5DD0" w:rsidRDefault="006E706D" w:rsidP="00EA71C7">
      <w:pPr>
        <w:pStyle w:val="Footnote"/>
      </w:pPr>
      <w:r w:rsidRPr="00AA5DD0">
        <w:rPr>
          <w:rStyle w:val="FootnoteReference"/>
        </w:rPr>
        <w:footnoteRef/>
      </w:r>
      <w:r w:rsidRPr="00AA5DD0">
        <w:t xml:space="preserve"> It is calculated by taking a weighted average unit price and volume of imported goods (taken from the Australian Border Force), with 2017 set as the base year for most goods.</w:t>
      </w:r>
    </w:p>
  </w:footnote>
  <w:footnote w:id="20">
    <w:p w14:paraId="4C875465" w14:textId="583BD8E9" w:rsidR="00B61C58" w:rsidRPr="00D61E2C" w:rsidRDefault="00B61C58" w:rsidP="00EA71C7">
      <w:pPr>
        <w:pStyle w:val="Footnote"/>
      </w:pPr>
      <w:r w:rsidRPr="00F30A46">
        <w:rPr>
          <w:rStyle w:val="FootnoteReference"/>
        </w:rPr>
        <w:footnoteRef/>
      </w:r>
      <w:r w:rsidRPr="00D61E2C">
        <w:t xml:space="preserve"> </w:t>
      </w:r>
      <w:hyperlink r:id="rId5" w:history="1">
        <w:r w:rsidRPr="006D75B4">
          <w:rPr>
            <w:rStyle w:val="Hyperlink"/>
            <w:sz w:val="20"/>
          </w:rPr>
          <w:t>https://stat.unido.org/content/dataset_description/indstat-4-2021%252c-isic-revision-4</w:t>
        </w:r>
      </w:hyperlink>
    </w:p>
  </w:footnote>
  <w:footnote w:id="21">
    <w:p w14:paraId="21B42C0E" w14:textId="67AD3448" w:rsidR="000D3CB2" w:rsidRPr="00251DD5" w:rsidRDefault="000D3CB2" w:rsidP="00EA71C7">
      <w:pPr>
        <w:pStyle w:val="Footnote"/>
      </w:pPr>
      <w:r w:rsidRPr="00602F71">
        <w:rPr>
          <w:rStyle w:val="FootnoteReference"/>
        </w:rPr>
        <w:footnoteRef/>
      </w:r>
      <w:r w:rsidRPr="00D61E2C">
        <w:t xml:space="preserve"> </w:t>
      </w:r>
      <w:hyperlink r:id="rId6" w:history="1">
        <w:r w:rsidRPr="006D75B4">
          <w:rPr>
            <w:rStyle w:val="Hyperlink"/>
            <w:sz w:val="20"/>
          </w:rPr>
          <w:t>https://ec.europa.eu/eurostat/web/prodcom/data/database</w:t>
        </w:r>
      </w:hyperlink>
      <w:r w:rsidR="00251DD5">
        <w:rPr>
          <w:rStyle w:val="Hyperlink"/>
          <w:sz w:val="20"/>
        </w:rPr>
        <w:t xml:space="preserve">.  </w:t>
      </w:r>
      <w:r w:rsidR="00251DD5">
        <w:rPr>
          <w:rStyle w:val="Hyperlink"/>
          <w:color w:val="auto"/>
          <w:sz w:val="20"/>
          <w:u w:val="none"/>
        </w:rPr>
        <w:t xml:space="preserve">Prodcom stands for “Production Communautaire”*. </w:t>
      </w:r>
    </w:p>
  </w:footnote>
  <w:footnote w:id="22">
    <w:p w14:paraId="5E4DA6DB" w14:textId="3CF6AA6C" w:rsidR="007B4299" w:rsidRPr="007B4299" w:rsidRDefault="007B4299">
      <w:pPr>
        <w:pStyle w:val="FootnoteText"/>
      </w:pPr>
      <w:r w:rsidRPr="00602F71">
        <w:rPr>
          <w:rStyle w:val="FootnoteReference"/>
          <w:rFonts w:cs="Arial"/>
        </w:rPr>
        <w:footnoteRef/>
      </w:r>
      <w:r w:rsidRPr="00D61E2C">
        <w:rPr>
          <w:rFonts w:cs="Arial"/>
        </w:rPr>
        <w:t xml:space="preserve"> Eurostat (2021), </w:t>
      </w:r>
      <w:r w:rsidRPr="00D61E2C">
        <w:rPr>
          <w:rFonts w:cs="Arial"/>
          <w:i/>
        </w:rPr>
        <w:t>European Business Statistics User Manual for PRODCOM</w:t>
      </w:r>
      <w:r w:rsidRPr="00D61E2C">
        <w:rPr>
          <w:rFonts w:cs="Arial"/>
        </w:rPr>
        <w:t>, p</w:t>
      </w:r>
      <w:r w:rsidR="000E4C31">
        <w:rPr>
          <w:rFonts w:cs="Arial"/>
        </w:rPr>
        <w:t xml:space="preserve"> </w:t>
      </w:r>
      <w:r w:rsidRPr="00D61E2C">
        <w:rPr>
          <w:rFonts w:cs="Arial"/>
        </w:rPr>
        <w:t>10.</w:t>
      </w:r>
    </w:p>
  </w:footnote>
  <w:footnote w:id="23">
    <w:p w14:paraId="33ACB9C9" w14:textId="6594F3F8" w:rsidR="008D3D1B" w:rsidRPr="008D3D1B" w:rsidRDefault="008D3D1B" w:rsidP="00B25A27">
      <w:pPr>
        <w:pStyle w:val="Footnote"/>
      </w:pPr>
      <w:r>
        <w:rPr>
          <w:rStyle w:val="FootnoteReference"/>
        </w:rPr>
        <w:footnoteRef/>
      </w:r>
      <w:r w:rsidR="00D92C4D">
        <w:t> </w:t>
      </w:r>
      <w:hyperlink r:id="rId7" w:anchor=":~:text=Total%20employees%20engaged%20in%20the,3.5%20per%20cent%20or%20RM247" w:history="1">
        <w:r w:rsidRPr="006D75B4">
          <w:rPr>
            <w:rStyle w:val="Hyperlink"/>
            <w:sz w:val="20"/>
          </w:rPr>
          <w:t>https://www.dosm.gov.my/v1/index.php?r=column/cthemeByCat&amp;cat=90&amp;bul_id=cnE4U01Qc0xjb0JCdWtKQU5LZGdtdz09&amp;menu_id=SjgwNXdiM0JlT3Q2TDBlWXdKdUVldz09#:~:text=Total%20employees%20engaged%20in%20the,3.5%20per%20cent%20or%20RM247</w:t>
        </w:r>
      </w:hyperlink>
    </w:p>
  </w:footnote>
  <w:footnote w:id="24">
    <w:p w14:paraId="52B7227F" w14:textId="770386E1" w:rsidR="008D3D1B" w:rsidRPr="008D3D1B" w:rsidRDefault="008D3D1B" w:rsidP="00B25A27">
      <w:pPr>
        <w:pStyle w:val="Footnote"/>
      </w:pPr>
      <w:r>
        <w:rPr>
          <w:rStyle w:val="FootnoteReference"/>
        </w:rPr>
        <w:footnoteRef/>
      </w:r>
      <w:r>
        <w:t xml:space="preserve"> </w:t>
      </w:r>
      <w:hyperlink r:id="rId8" w:history="1">
        <w:r w:rsidRPr="006D75B4">
          <w:rPr>
            <w:rStyle w:val="Hyperlink"/>
            <w:sz w:val="20"/>
          </w:rPr>
          <w:t>https://www.moea.gov.tw/MNS/english/content/ContentMenu.aspx?menu_id=32928</w:t>
        </w:r>
      </w:hyperlink>
    </w:p>
  </w:footnote>
  <w:footnote w:id="25">
    <w:p w14:paraId="7D27EBC3" w14:textId="1D768D02" w:rsidR="00172F38" w:rsidRPr="00172F38" w:rsidRDefault="00172F38" w:rsidP="00260F24">
      <w:pPr>
        <w:pStyle w:val="Footnote"/>
      </w:pPr>
      <w:r>
        <w:rPr>
          <w:rStyle w:val="FootnoteReference"/>
        </w:rPr>
        <w:footnoteRef/>
      </w:r>
      <w:r>
        <w:t xml:space="preserve"> </w:t>
      </w:r>
      <w:hyperlink r:id="rId9" w:history="1">
        <w:r w:rsidRPr="006D75B4">
          <w:rPr>
            <w:rStyle w:val="Hyperlink"/>
            <w:sz w:val="20"/>
          </w:rPr>
          <w:t>https://tablebuilder.singstat.gov.sg/table/TS/M354851#!</w:t>
        </w:r>
      </w:hyperlink>
    </w:p>
  </w:footnote>
  <w:footnote w:id="26">
    <w:p w14:paraId="25746A9B" w14:textId="43FBDB4C" w:rsidR="00172F38" w:rsidRPr="00172F38" w:rsidRDefault="00172F38" w:rsidP="00260F24">
      <w:pPr>
        <w:pStyle w:val="Footnote"/>
      </w:pPr>
      <w:r>
        <w:rPr>
          <w:rStyle w:val="FootnoteReference"/>
        </w:rPr>
        <w:footnoteRef/>
      </w:r>
      <w:r>
        <w:t xml:space="preserve"> </w:t>
      </w:r>
      <w:hyperlink r:id="rId10" w:history="1">
        <w:r w:rsidRPr="006D75B4">
          <w:rPr>
            <w:rStyle w:val="Hyperlink"/>
            <w:sz w:val="20"/>
          </w:rPr>
          <w:t>https://tablebuilder.singstat.gov.sg/table/TS/M355272</w:t>
        </w:r>
      </w:hyperlink>
    </w:p>
  </w:footnote>
  <w:footnote w:id="27">
    <w:p w14:paraId="78C2CFF4" w14:textId="38B9827C" w:rsidR="00172F38" w:rsidRPr="00172F38" w:rsidRDefault="00172F38" w:rsidP="00260F24">
      <w:pPr>
        <w:pStyle w:val="Footnote"/>
      </w:pPr>
      <w:r>
        <w:rPr>
          <w:rStyle w:val="FootnoteReference"/>
        </w:rPr>
        <w:footnoteRef/>
      </w:r>
      <w:r>
        <w:t xml:space="preserve"> </w:t>
      </w:r>
      <w:hyperlink r:id="rId11" w:history="1">
        <w:r w:rsidRPr="006D75B4">
          <w:rPr>
            <w:rStyle w:val="Hyperlink"/>
            <w:sz w:val="20"/>
          </w:rPr>
          <w:t>https://www.bps.go.id/subject/9/industri-besar-dan-sedang.html#subjekViewTab3</w:t>
        </w:r>
      </w:hyperlink>
    </w:p>
  </w:footnote>
  <w:footnote w:id="28">
    <w:p w14:paraId="77D5BD99" w14:textId="229D9AFE" w:rsidR="00172F38" w:rsidRPr="00172F38" w:rsidRDefault="00172F38" w:rsidP="00260F24">
      <w:pPr>
        <w:pStyle w:val="Footnote"/>
      </w:pPr>
      <w:r>
        <w:rPr>
          <w:rStyle w:val="FootnoteReference"/>
        </w:rPr>
        <w:footnoteRef/>
      </w:r>
      <w:r>
        <w:t xml:space="preserve"> </w:t>
      </w:r>
      <w:hyperlink r:id="rId12" w:history="1">
        <w:r w:rsidRPr="006D75B4">
          <w:rPr>
            <w:rStyle w:val="Hyperlink"/>
            <w:sz w:val="20"/>
          </w:rPr>
          <w:t>https://www.bps.go.id/subject/170/industri-mikro-dan-kecil.html#subjekViewTab3</w:t>
        </w:r>
      </w:hyperlink>
    </w:p>
  </w:footnote>
  <w:footnote w:id="29">
    <w:p w14:paraId="0E96D3E7" w14:textId="76B0CB44" w:rsidR="00172F38" w:rsidRPr="00172F38" w:rsidRDefault="00172F38" w:rsidP="00260F24">
      <w:pPr>
        <w:pStyle w:val="Footnote"/>
      </w:pPr>
      <w:r>
        <w:rPr>
          <w:rStyle w:val="FootnoteReference"/>
        </w:rPr>
        <w:footnoteRef/>
      </w:r>
      <w:r>
        <w:t xml:space="preserve"> </w:t>
      </w:r>
      <w:hyperlink r:id="rId13" w:history="1">
        <w:r w:rsidRPr="006D75B4">
          <w:rPr>
            <w:rStyle w:val="Hyperlink"/>
            <w:sz w:val="20"/>
          </w:rPr>
          <w:t>https://www.bps.go.id/indicator/9/2077/1/monthly-production-index-of-large-and-medium-manufacturing-by-subsector-kbli-2009-2010-100-.html</w:t>
        </w:r>
      </w:hyperlink>
    </w:p>
  </w:footnote>
  <w:footnote w:id="30">
    <w:p w14:paraId="3B11CAC3" w14:textId="56D37F96" w:rsidR="00172F38" w:rsidRPr="00172F38" w:rsidRDefault="00172F38" w:rsidP="00260F24">
      <w:pPr>
        <w:pStyle w:val="Footnote"/>
      </w:pPr>
      <w:r>
        <w:rPr>
          <w:rStyle w:val="FootnoteReference"/>
        </w:rPr>
        <w:footnoteRef/>
      </w:r>
      <w:r>
        <w:t xml:space="preserve"> </w:t>
      </w:r>
      <w:hyperlink r:id="rId14" w:history="1">
        <w:r w:rsidRPr="006D75B4">
          <w:rPr>
            <w:rStyle w:val="Hyperlink"/>
            <w:sz w:val="20"/>
          </w:rPr>
          <w:t>https://www.bps.go.id/indicator/9/2084/1/quarterly-production-index-of-large-and-medium-manufacturing-by-subsector-kbli-2009-2010-100-.html</w:t>
        </w:r>
      </w:hyperlink>
    </w:p>
  </w:footnote>
  <w:footnote w:id="31">
    <w:p w14:paraId="734633C1" w14:textId="716C17C1" w:rsidR="00172F38" w:rsidRPr="00172F38" w:rsidRDefault="00172F38" w:rsidP="00260F24">
      <w:pPr>
        <w:pStyle w:val="Footnote"/>
      </w:pPr>
      <w:r>
        <w:rPr>
          <w:rStyle w:val="FootnoteReference"/>
        </w:rPr>
        <w:footnoteRef/>
      </w:r>
      <w:r>
        <w:t xml:space="preserve"> </w:t>
      </w:r>
      <w:hyperlink r:id="rId15" w:history="1">
        <w:r w:rsidRPr="006D75B4">
          <w:rPr>
            <w:rStyle w:val="Hyperlink"/>
            <w:sz w:val="20"/>
          </w:rPr>
          <w:t>https://www.gso.gov.vn/en/px-web/?pxid=E0701&amp;theme=Industry</w:t>
        </w:r>
      </w:hyperlink>
    </w:p>
  </w:footnote>
  <w:footnote w:id="32">
    <w:p w14:paraId="4B62D5B1" w14:textId="09E00527" w:rsidR="00172F38" w:rsidRPr="00172F38" w:rsidRDefault="00172F38" w:rsidP="00260F24">
      <w:pPr>
        <w:pStyle w:val="Footnote"/>
      </w:pPr>
      <w:r>
        <w:rPr>
          <w:rStyle w:val="FootnoteReference"/>
        </w:rPr>
        <w:footnoteRef/>
      </w:r>
      <w:r>
        <w:t xml:space="preserve"> </w:t>
      </w:r>
      <w:hyperlink r:id="rId16" w:history="1">
        <w:r w:rsidRPr="006D75B4">
          <w:rPr>
            <w:rStyle w:val="Hyperlink"/>
            <w:sz w:val="20"/>
          </w:rPr>
          <w:t>https://www.gso.gov.vn/en/px-web/?pxid=E0705&amp;theme=Industry</w:t>
        </w:r>
      </w:hyperlink>
    </w:p>
  </w:footnote>
  <w:footnote w:id="33">
    <w:p w14:paraId="6C2A9D4D" w14:textId="601DA345" w:rsidR="00172F38" w:rsidRPr="00172F38" w:rsidRDefault="00172F38" w:rsidP="00260F24">
      <w:pPr>
        <w:pStyle w:val="Footnote"/>
      </w:pPr>
      <w:r>
        <w:rPr>
          <w:rStyle w:val="FootnoteReference"/>
        </w:rPr>
        <w:footnoteRef/>
      </w:r>
      <w:r>
        <w:t xml:space="preserve"> </w:t>
      </w:r>
      <w:hyperlink r:id="rId17" w:history="1">
        <w:r w:rsidRPr="006D75B4">
          <w:rPr>
            <w:rStyle w:val="Hyperlink"/>
            <w:sz w:val="20"/>
          </w:rPr>
          <w:t>http://www.statistics.gov.lk/Industry/StaticalInformation/IndexIndustrialProduction</w:t>
        </w:r>
      </w:hyperlink>
    </w:p>
  </w:footnote>
  <w:footnote w:id="34">
    <w:p w14:paraId="22E6B1B0" w14:textId="7175CF72" w:rsidR="006E706D" w:rsidRPr="006623F9" w:rsidRDefault="006E706D" w:rsidP="00260F24">
      <w:pPr>
        <w:pStyle w:val="Footnote"/>
      </w:pPr>
      <w:r w:rsidRPr="006623F9">
        <w:rPr>
          <w:rStyle w:val="FootnoteReference"/>
        </w:rPr>
        <w:footnoteRef/>
      </w:r>
      <w:r w:rsidRPr="006623F9">
        <w:t xml:space="preserve"> The analysis using volume data is included in </w:t>
      </w:r>
      <w:r w:rsidRPr="008C222B">
        <w:t xml:space="preserve">Annex </w:t>
      </w:r>
      <w:r w:rsidR="00FC1367">
        <w:t>3</w:t>
      </w:r>
      <w:r w:rsidRPr="008C222B">
        <w:t xml:space="preserve"> (</w:t>
      </w:r>
      <w:r w:rsidRPr="00CF13A0">
        <w:t xml:space="preserve">covering </w:t>
      </w:r>
      <w:r w:rsidR="00A624A2" w:rsidRPr="00A624A2">
        <w:fldChar w:fldCharType="begin"/>
      </w:r>
      <w:r w:rsidR="00A624A2" w:rsidRPr="00A624A2">
        <w:instrText xml:space="preserve"> REF _Ref112843438 \h  \* MERGEFORMAT </w:instrText>
      </w:r>
      <w:r w:rsidR="00A624A2" w:rsidRPr="00A624A2">
        <w:fldChar w:fldCharType="separate"/>
      </w:r>
      <w:r w:rsidR="00A624A2" w:rsidRPr="00A624A2">
        <w:t xml:space="preserve">Figure </w:t>
      </w:r>
      <w:r w:rsidR="00A624A2" w:rsidRPr="00A624A2">
        <w:rPr>
          <w:noProof/>
        </w:rPr>
        <w:t>26</w:t>
      </w:r>
      <w:r w:rsidR="00A624A2" w:rsidRPr="00A624A2">
        <w:fldChar w:fldCharType="end"/>
      </w:r>
      <w:r w:rsidRPr="00CF13A0">
        <w:t xml:space="preserve"> to </w:t>
      </w:r>
      <w:r w:rsidR="00CF13A0" w:rsidRPr="00CF13A0">
        <w:fldChar w:fldCharType="begin"/>
      </w:r>
      <w:r w:rsidR="00CF13A0" w:rsidRPr="00CF13A0">
        <w:instrText xml:space="preserve"> REF _Ref112843450 \h  \* MERGEFORMAT </w:instrText>
      </w:r>
      <w:r w:rsidR="00CF13A0" w:rsidRPr="00CF13A0">
        <w:fldChar w:fldCharType="separate"/>
      </w:r>
      <w:r w:rsidR="00CF13A0" w:rsidRPr="00CF13A0">
        <w:t xml:space="preserve">Figure </w:t>
      </w:r>
      <w:r w:rsidR="00CF13A0" w:rsidRPr="00CF13A0">
        <w:rPr>
          <w:noProof/>
        </w:rPr>
        <w:t>28</w:t>
      </w:r>
      <w:r w:rsidR="00CF13A0" w:rsidRPr="00CF13A0">
        <w:fldChar w:fldCharType="end"/>
      </w:r>
      <w:r w:rsidR="00CF13A0" w:rsidRPr="00CF13A0">
        <w:t>)</w:t>
      </w:r>
      <w:r w:rsidR="00CF13A0">
        <w:t xml:space="preserve">. </w:t>
      </w:r>
      <w:r w:rsidRPr="006623F9">
        <w:t>It does not lead to material changes to the inferences drawn.</w:t>
      </w:r>
    </w:p>
  </w:footnote>
  <w:footnote w:id="35">
    <w:p w14:paraId="073B67E9" w14:textId="54B8D874" w:rsidR="006E706D" w:rsidRDefault="006E706D" w:rsidP="00260F24">
      <w:pPr>
        <w:pStyle w:val="Footnote"/>
      </w:pPr>
      <w:r w:rsidRPr="00D17CCD">
        <w:rPr>
          <w:rStyle w:val="FootnoteReference"/>
        </w:rPr>
        <w:footnoteRef/>
      </w:r>
      <w:r>
        <w:t xml:space="preserve"> </w:t>
      </w:r>
      <w:r w:rsidRPr="00D17CCD">
        <w:t xml:space="preserve">While annual data does exist, the values of imports from Malaysia were extremely small </w:t>
      </w:r>
      <w:r w:rsidR="00BC56D9">
        <w:t>–</w:t>
      </w:r>
      <w:r w:rsidRPr="00D17CCD">
        <w:t xml:space="preserve"> </w:t>
      </w:r>
      <w:r w:rsidR="00993211">
        <w:t>US</w:t>
      </w:r>
      <w:r w:rsidRPr="00D17CCD">
        <w:t xml:space="preserve">$5,645 in 2009 and </w:t>
      </w:r>
      <w:r w:rsidR="00993211">
        <w:t>US</w:t>
      </w:r>
      <w:r w:rsidRPr="00D17CCD">
        <w:t>$44 in 2008.</w:t>
      </w:r>
    </w:p>
  </w:footnote>
  <w:footnote w:id="36">
    <w:p w14:paraId="0D0E0740" w14:textId="5C4A3060" w:rsidR="006E706D" w:rsidRPr="00F708F4" w:rsidRDefault="006E706D" w:rsidP="00260F24">
      <w:pPr>
        <w:pStyle w:val="Footnote"/>
      </w:pPr>
      <w:r w:rsidRPr="00F708F4">
        <w:rPr>
          <w:rStyle w:val="FootnoteReference"/>
        </w:rPr>
        <w:footnoteRef/>
      </w:r>
      <w:r w:rsidRPr="00F708F4">
        <w:t xml:space="preserve"> We extended the series to 2014 to include the impact of the anti-circumvention measures imposed on Thailand.</w:t>
      </w:r>
    </w:p>
  </w:footnote>
  <w:footnote w:id="37">
    <w:p w14:paraId="6E38DF2A" w14:textId="49D9764B" w:rsidR="006E706D" w:rsidRPr="006623F9" w:rsidRDefault="006E706D" w:rsidP="00260F24">
      <w:pPr>
        <w:pStyle w:val="Footnote"/>
      </w:pPr>
      <w:r w:rsidRPr="006623F9">
        <w:rPr>
          <w:rStyle w:val="FootnoteReference"/>
        </w:rPr>
        <w:footnoteRef/>
      </w:r>
      <w:r w:rsidRPr="006623F9">
        <w:t xml:space="preserve">  If we assume that the imposition of duties in the EU raised EU prices above world prices, and that producers in Malaysia faced world prices normally, then they would have incentives to sell to the EU at prices above world prices but below the duty-marked-up price in the EU. In a situation of imperfect competition in Malaysia, a reduction in quantity supplied at home (because of a re</w:t>
      </w:r>
      <w:r w:rsidR="00373652">
        <w:t>-</w:t>
      </w:r>
      <w:r w:rsidRPr="006623F9">
        <w:t xml:space="preserve">routing of production) would increase prices at home as well (the opportunity cost for Malaysian producers of selling at home is now the higher EU price). Residual demand could then be met by </w:t>
      </w:r>
      <w:r w:rsidR="002406F0">
        <w:t>PRC</w:t>
      </w:r>
      <w:r w:rsidRPr="006623F9">
        <w:t>.</w:t>
      </w:r>
    </w:p>
  </w:footnote>
  <w:footnote w:id="38">
    <w:p w14:paraId="5381C109" w14:textId="7566FD86" w:rsidR="00AE5606" w:rsidRPr="006623F9" w:rsidRDefault="00AE5606" w:rsidP="00260F24">
      <w:pPr>
        <w:pStyle w:val="Footnote"/>
      </w:pPr>
      <w:r w:rsidRPr="006623F9">
        <w:rPr>
          <w:rStyle w:val="FootnoteReference"/>
        </w:rPr>
        <w:footnoteRef/>
      </w:r>
      <w:r w:rsidRPr="006623F9">
        <w:t xml:space="preserve"> Liu and Shi (2019), op.</w:t>
      </w:r>
      <w:r w:rsidR="004B394C">
        <w:t xml:space="preserve"> </w:t>
      </w:r>
      <w:r w:rsidRPr="006623F9">
        <w:t>cit</w:t>
      </w:r>
      <w:r w:rsidR="004B394C">
        <w:t>.</w:t>
      </w:r>
      <w:r w:rsidRPr="006623F9">
        <w:t xml:space="preserve"> </w:t>
      </w:r>
    </w:p>
  </w:footnote>
  <w:footnote w:id="39">
    <w:p w14:paraId="16D641F3" w14:textId="77777777" w:rsidR="006E706D" w:rsidRDefault="006E706D" w:rsidP="00260F24">
      <w:pPr>
        <w:pStyle w:val="Footnote"/>
      </w:pPr>
      <w:r>
        <w:rPr>
          <w:rStyle w:val="FootnoteReference"/>
        </w:rPr>
        <w:footnoteRef/>
      </w:r>
      <w:r>
        <w:t xml:space="preserve"> </w:t>
      </w:r>
      <w:r w:rsidRPr="006623F9">
        <w:t xml:space="preserve">See Official Journal of the European Union, Commission Implementing Regulation </w:t>
      </w:r>
      <w:r>
        <w:t>EU</w:t>
      </w:r>
      <w:r w:rsidRPr="00B52A83">
        <w:t xml:space="preserve"> 812/2010 of 15 September 2010</w:t>
      </w:r>
      <w:r w:rsidRPr="006623F9">
        <w:t>.</w:t>
      </w:r>
    </w:p>
  </w:footnote>
  <w:footnote w:id="40">
    <w:p w14:paraId="34ACCC23" w14:textId="15407C23" w:rsidR="006E706D" w:rsidRDefault="006E706D" w:rsidP="00260F24">
      <w:pPr>
        <w:pStyle w:val="Footnote"/>
      </w:pPr>
      <w:r>
        <w:rPr>
          <w:rStyle w:val="FootnoteReference"/>
        </w:rPr>
        <w:footnoteRef/>
      </w:r>
      <w:r>
        <w:t xml:space="preserve"> </w:t>
      </w:r>
      <w:r w:rsidRPr="006623F9">
        <w:t xml:space="preserve">See Official Journal of the European Union, Commission Implementing Regulation </w:t>
      </w:r>
      <w:r>
        <w:t>EU</w:t>
      </w:r>
      <w:r w:rsidRPr="00B52A83">
        <w:t xml:space="preserve"> 248/2011 of 9 March 2011</w:t>
      </w:r>
      <w:r w:rsidR="006D75B4">
        <w:t>.</w:t>
      </w:r>
    </w:p>
  </w:footnote>
  <w:footnote w:id="41">
    <w:p w14:paraId="642031C8" w14:textId="77777777" w:rsidR="006E706D" w:rsidRDefault="006E706D" w:rsidP="00260F24">
      <w:pPr>
        <w:pStyle w:val="Footnote"/>
      </w:pPr>
      <w:r>
        <w:rPr>
          <w:rStyle w:val="FootnoteReference"/>
        </w:rPr>
        <w:footnoteRef/>
      </w:r>
      <w:r>
        <w:t xml:space="preserve"> </w:t>
      </w:r>
      <w:r w:rsidRPr="006623F9">
        <w:t xml:space="preserve">See Official Journal of the European Union, Commission Implementing Regulation </w:t>
      </w:r>
      <w:r>
        <w:t>EU</w:t>
      </w:r>
      <w:r w:rsidRPr="00B52A83">
        <w:t xml:space="preserve"> 1379/2014</w:t>
      </w:r>
      <w:r>
        <w:t xml:space="preserve"> of 16 December 2014.</w:t>
      </w:r>
    </w:p>
  </w:footnote>
  <w:footnote w:id="42">
    <w:p w14:paraId="4222A20B" w14:textId="77777777" w:rsidR="006E706D" w:rsidRPr="006623F9" w:rsidRDefault="006E706D" w:rsidP="00260F24">
      <w:pPr>
        <w:pStyle w:val="Footnote"/>
      </w:pPr>
      <w:r w:rsidRPr="006623F9">
        <w:rPr>
          <w:rStyle w:val="FootnoteReference"/>
        </w:rPr>
        <w:footnoteRef/>
      </w:r>
      <w:r w:rsidRPr="006623F9">
        <w:t xml:space="preserve"> See Official Journal of the European Union, Commission Implementing Regulation EU 2017/724 of 24 April 2017. </w:t>
      </w:r>
    </w:p>
  </w:footnote>
  <w:footnote w:id="43">
    <w:p w14:paraId="45AF5869" w14:textId="77777777" w:rsidR="006E706D" w:rsidRPr="00A90945" w:rsidRDefault="006E706D" w:rsidP="00260F24">
      <w:pPr>
        <w:pStyle w:val="Footnote"/>
      </w:pPr>
      <w:r w:rsidRPr="00A90945">
        <w:rPr>
          <w:rStyle w:val="FootnoteReference"/>
        </w:rPr>
        <w:footnoteRef/>
      </w:r>
      <w:r w:rsidRPr="00A90945">
        <w:t xml:space="preserve"> For these instances, it may not be possible to detect changes in the underlying categories, as the higher-level grouping may include many additional categories not subject to the anti-dumping duties.</w:t>
      </w:r>
    </w:p>
  </w:footnote>
  <w:footnote w:id="44">
    <w:p w14:paraId="72DF9ADE" w14:textId="5BB51E56" w:rsidR="006E706D" w:rsidRPr="006623F9" w:rsidRDefault="006E706D" w:rsidP="00260F24">
      <w:pPr>
        <w:pStyle w:val="Footnote"/>
      </w:pPr>
      <w:r w:rsidRPr="006623F9">
        <w:rPr>
          <w:rStyle w:val="FootnoteReference"/>
        </w:rPr>
        <w:footnoteRef/>
      </w:r>
      <w:r w:rsidRPr="006623F9">
        <w:t xml:space="preserve"> </w:t>
      </w:r>
      <w:r>
        <w:t>T</w:t>
      </w:r>
      <w:r w:rsidRPr="006623F9">
        <w:t xml:space="preserve">here is no guarantee that goods recorded as entering the UK are used there. This is because </w:t>
      </w:r>
      <w:r>
        <w:t>there is</w:t>
      </w:r>
      <w:r w:rsidRPr="006623F9">
        <w:t xml:space="preserve"> freedom of movement of goods </w:t>
      </w:r>
      <w:r>
        <w:t>within</w:t>
      </w:r>
      <w:r w:rsidRPr="006623F9">
        <w:t xml:space="preserve"> the EU. It does</w:t>
      </w:r>
      <w:r w:rsidR="000E614C">
        <w:t>,</w:t>
      </w:r>
      <w:r w:rsidRPr="006623F9">
        <w:t xml:space="preserve"> however</w:t>
      </w:r>
      <w:r w:rsidR="000E614C">
        <w:t>,</w:t>
      </w:r>
      <w:r w:rsidRPr="006623F9">
        <w:t xml:space="preserve"> provide a useful proxy.</w:t>
      </w:r>
    </w:p>
  </w:footnote>
  <w:footnote w:id="45">
    <w:p w14:paraId="074537FA" w14:textId="1AF03DD1" w:rsidR="006E706D" w:rsidRPr="00810BBD" w:rsidRDefault="006E706D" w:rsidP="00260F24">
      <w:pPr>
        <w:pStyle w:val="Footnote"/>
      </w:pPr>
      <w:r w:rsidRPr="00810BBD">
        <w:rPr>
          <w:rStyle w:val="FootnoteReference"/>
        </w:rPr>
        <w:footnoteRef/>
      </w:r>
      <w:r w:rsidRPr="00810BBD">
        <w:t xml:space="preserve"> Sunset </w:t>
      </w:r>
      <w:r w:rsidR="00354DFE">
        <w:t>r</w:t>
      </w:r>
      <w:r w:rsidRPr="00810BBD">
        <w:t xml:space="preserve">eview investigation relating to </w:t>
      </w:r>
      <w:r w:rsidR="00354DFE">
        <w:t>a</w:t>
      </w:r>
      <w:r w:rsidRPr="00810BBD">
        <w:t>nti-</w:t>
      </w:r>
      <w:r w:rsidR="00354DFE">
        <w:t>d</w:t>
      </w:r>
      <w:r w:rsidRPr="00810BBD">
        <w:t xml:space="preserve">umping </w:t>
      </w:r>
      <w:r w:rsidR="00354DFE">
        <w:t>d</w:t>
      </w:r>
      <w:r w:rsidRPr="00810BBD">
        <w:t xml:space="preserve">uties imposed on imports of </w:t>
      </w:r>
      <w:r w:rsidR="00354DFE">
        <w:t>“</w:t>
      </w:r>
      <w:r w:rsidRPr="00810BBD">
        <w:t>certain glass fibre and articles thereof</w:t>
      </w:r>
      <w:r w:rsidR="00354DFE">
        <w:t>”</w:t>
      </w:r>
      <w:r w:rsidRPr="00810BBD">
        <w:t xml:space="preserve"> originating in or exported from </w:t>
      </w:r>
      <w:r w:rsidR="002406F0">
        <w:t>PRC</w:t>
      </w:r>
      <w:r w:rsidRPr="00810BBD">
        <w:t xml:space="preserve"> PR (2016), Ministry of Commerce &amp; Industry. Available </w:t>
      </w:r>
      <w:r w:rsidR="007849B3">
        <w:t>from:</w:t>
      </w:r>
      <w:r w:rsidRPr="00810BBD">
        <w:t xml:space="preserve"> </w:t>
      </w:r>
      <w:hyperlink r:id="rId18" w:history="1">
        <w:r w:rsidRPr="00810BBD">
          <w:rPr>
            <w:rStyle w:val="Hyperlink"/>
            <w:sz w:val="20"/>
          </w:rPr>
          <w:t>https://www.dgtr.gov.in/sites/default/files/MOC636034220573714323_adfin_SSR_glass_fibre_articles_ChinaPR.pdf</w:t>
        </w:r>
      </w:hyperlink>
      <w:r w:rsidRPr="00810BBD">
        <w:t xml:space="preserve"> </w:t>
      </w:r>
    </w:p>
  </w:footnote>
  <w:footnote w:id="46">
    <w:p w14:paraId="05813915" w14:textId="0D8BC889" w:rsidR="006E706D" w:rsidRDefault="006E706D" w:rsidP="00260F24">
      <w:pPr>
        <w:pStyle w:val="Footnote"/>
      </w:pPr>
      <w:r w:rsidRPr="00810BBD">
        <w:rPr>
          <w:rStyle w:val="FootnoteReference"/>
        </w:rPr>
        <w:footnoteRef/>
      </w:r>
      <w:r w:rsidRPr="00810BBD">
        <w:t xml:space="preserve"> Anti- circumvention investigation concerning the alleged circumvention of antidumping duty imposed on the imports of “</w:t>
      </w:r>
      <w:r w:rsidR="00354DFE">
        <w:t>g</w:t>
      </w:r>
      <w:r w:rsidRPr="00810BBD">
        <w:t xml:space="preserve">lass </w:t>
      </w:r>
      <w:r w:rsidR="00354DFE">
        <w:t>f</w:t>
      </w:r>
      <w:r w:rsidRPr="00810BBD">
        <w:t xml:space="preserve">ibre”, originating and exported from </w:t>
      </w:r>
      <w:r w:rsidR="002406F0">
        <w:t>PRC</w:t>
      </w:r>
      <w:r w:rsidRPr="00810BBD">
        <w:t xml:space="preserve"> PR vide Customs Notification No. 48/2016-Customs dated 1 September 2016, 2018, Ministry of Commerce &amp; </w:t>
      </w:r>
      <w:r w:rsidR="00354DFE">
        <w:t>I</w:t>
      </w:r>
      <w:r w:rsidRPr="00810BBD">
        <w:t xml:space="preserve">ndustry. Available </w:t>
      </w:r>
      <w:r w:rsidR="007849B3">
        <w:t>from:</w:t>
      </w:r>
      <w:r w:rsidRPr="00810BBD">
        <w:t xml:space="preserve"> </w:t>
      </w:r>
      <w:hyperlink r:id="rId19" w:history="1">
        <w:r w:rsidRPr="006D75B4">
          <w:rPr>
            <w:rStyle w:val="Hyperlink"/>
            <w:sz w:val="20"/>
          </w:rPr>
          <w:t>https://www.dgtr.gov.in/sites/default/files/Final_Finding%204.pdf</w:t>
        </w:r>
      </w:hyperlink>
    </w:p>
  </w:footnote>
  <w:footnote w:id="47">
    <w:p w14:paraId="17D1FB65" w14:textId="38750302" w:rsidR="00995BE5" w:rsidRPr="00995BE5" w:rsidRDefault="00995BE5" w:rsidP="00260F24">
      <w:pPr>
        <w:pStyle w:val="Footnote"/>
      </w:pPr>
      <w:r>
        <w:rPr>
          <w:rStyle w:val="FootnoteReference"/>
        </w:rPr>
        <w:footnoteRef/>
      </w:r>
      <w:r>
        <w:t xml:space="preserve"> </w:t>
      </w:r>
      <w:hyperlink r:id="rId20" w:history="1">
        <w:r w:rsidRPr="006D75B4">
          <w:rPr>
            <w:rStyle w:val="Hyperlink"/>
            <w:sz w:val="20"/>
          </w:rPr>
          <w:t>https://www.marketsandmarkets.com/Market-Reports/fiberglass-market-6124844.html#:~:text=The%20global%20fiberglass%20market%20is%20estimated%20to%20be%20USD%2011.5,at%20a%20CAGR%20of%204.5%25</w:t>
        </w:r>
      </w:hyperlink>
    </w:p>
  </w:footnote>
  <w:footnote w:id="48">
    <w:p w14:paraId="1B55A9B6" w14:textId="3F3F81D9" w:rsidR="00995BE5" w:rsidRPr="00573DDB" w:rsidRDefault="00995BE5" w:rsidP="00260F24">
      <w:pPr>
        <w:pStyle w:val="Footnote"/>
        <w:rPr>
          <w:lang w:val="es-ES"/>
        </w:rPr>
      </w:pPr>
      <w:r>
        <w:rPr>
          <w:rStyle w:val="FootnoteReference"/>
        </w:rPr>
        <w:footnoteRef/>
      </w:r>
      <w:r w:rsidRPr="00573DDB">
        <w:rPr>
          <w:lang w:val="es-ES"/>
        </w:rPr>
        <w:t xml:space="preserve"> Ibid</w:t>
      </w:r>
      <w:r w:rsidR="006D75B4">
        <w:rPr>
          <w:lang w:val="es-ES"/>
        </w:rPr>
        <w:t>.</w:t>
      </w:r>
    </w:p>
  </w:footnote>
  <w:footnote w:id="49">
    <w:p w14:paraId="49778424" w14:textId="455743C2" w:rsidR="006E706D" w:rsidRPr="00573DDB" w:rsidRDefault="006E706D" w:rsidP="00260F24">
      <w:pPr>
        <w:pStyle w:val="Footnote"/>
        <w:rPr>
          <w:lang w:val="es-ES"/>
        </w:rPr>
      </w:pPr>
      <w:r w:rsidRPr="006623F9">
        <w:rPr>
          <w:rStyle w:val="FootnoteReference"/>
        </w:rPr>
        <w:footnoteRef/>
      </w:r>
      <w:r w:rsidRPr="00573DDB">
        <w:rPr>
          <w:lang w:val="es-ES"/>
        </w:rPr>
        <w:t xml:space="preserve"> </w:t>
      </w:r>
      <w:hyperlink r:id="rId21" w:history="1">
        <w:r w:rsidRPr="006D75B4">
          <w:rPr>
            <w:rStyle w:val="Hyperlink"/>
            <w:sz w:val="20"/>
            <w:lang w:val="es-ES"/>
          </w:rPr>
          <w:t>https://www.prnewswire.com/news-releases/global-and-china-glass-fiber-industry-report-2012-2015-185273212.html</w:t>
        </w:r>
      </w:hyperlink>
    </w:p>
  </w:footnote>
  <w:footnote w:id="50">
    <w:p w14:paraId="091524AF" w14:textId="07E24F59" w:rsidR="006E706D" w:rsidRPr="006623F9" w:rsidRDefault="006E706D" w:rsidP="00260F24">
      <w:pPr>
        <w:pStyle w:val="Footnote"/>
      </w:pPr>
      <w:r w:rsidRPr="006623F9">
        <w:rPr>
          <w:rStyle w:val="FootnoteReference"/>
        </w:rPr>
        <w:footnoteRef/>
      </w:r>
      <w:r w:rsidRPr="006623F9">
        <w:t xml:space="preserve"> See for </w:t>
      </w:r>
      <w:hyperlink r:id="rId22" w:history="1">
        <w:r w:rsidRPr="006D75B4">
          <w:rPr>
            <w:rStyle w:val="Hyperlink"/>
            <w:sz w:val="20"/>
          </w:rPr>
          <w:t>example https://www.researchandmarkets.com/reports/5414921/glass-fiber-market-report-trends-forecast-and#relc0-5314014</w:t>
        </w:r>
      </w:hyperlink>
    </w:p>
  </w:footnote>
  <w:footnote w:id="51">
    <w:p w14:paraId="0B2D0B9E" w14:textId="77777777" w:rsidR="006E706D" w:rsidRDefault="006E706D" w:rsidP="00260F24">
      <w:pPr>
        <w:pStyle w:val="Footnote"/>
      </w:pPr>
      <w:r>
        <w:rPr>
          <w:rStyle w:val="FootnoteReference"/>
        </w:rPr>
        <w:footnoteRef/>
      </w:r>
      <w:r>
        <w:t xml:space="preserve"> </w:t>
      </w:r>
      <w:r w:rsidRPr="006623F9">
        <w:t>See Official Journal of the European Union, Commission Implementing Regulation</w:t>
      </w:r>
      <w:r>
        <w:t xml:space="preserve"> EU </w:t>
      </w:r>
      <w:r w:rsidRPr="00E019BA">
        <w:t>599/2009 of 7 July 2009</w:t>
      </w:r>
      <w:r w:rsidRPr="006623F9">
        <w:t>.</w:t>
      </w:r>
    </w:p>
  </w:footnote>
  <w:footnote w:id="52">
    <w:p w14:paraId="5A236F29" w14:textId="77777777" w:rsidR="006E706D" w:rsidRDefault="006E706D" w:rsidP="00260F24">
      <w:pPr>
        <w:pStyle w:val="Footnote"/>
      </w:pPr>
      <w:r>
        <w:rPr>
          <w:rStyle w:val="FootnoteReference"/>
        </w:rPr>
        <w:footnoteRef/>
      </w:r>
      <w:r>
        <w:t xml:space="preserve"> </w:t>
      </w:r>
      <w:r w:rsidRPr="006623F9">
        <w:t>See Official Journal of the European Union, Commission Implementing Regulation</w:t>
      </w:r>
      <w:r>
        <w:t xml:space="preserve"> EU 194/2009 of 11 March 2009.</w:t>
      </w:r>
    </w:p>
  </w:footnote>
  <w:footnote w:id="53">
    <w:p w14:paraId="1C6C4BAB" w14:textId="77777777" w:rsidR="006E706D" w:rsidRPr="00E019BA" w:rsidRDefault="006E706D" w:rsidP="00260F24">
      <w:pPr>
        <w:pStyle w:val="Footnote"/>
      </w:pPr>
      <w:r>
        <w:rPr>
          <w:rStyle w:val="FootnoteReference"/>
        </w:rPr>
        <w:footnoteRef/>
      </w:r>
      <w:r>
        <w:t xml:space="preserve"> </w:t>
      </w:r>
      <w:r w:rsidRPr="006623F9">
        <w:t>See Official Journal of the European Union, Commission Implementing Regulation</w:t>
      </w:r>
      <w:r>
        <w:t xml:space="preserve"> EU </w:t>
      </w:r>
      <w:r w:rsidRPr="00E019BA">
        <w:t>721/2010</w:t>
      </w:r>
    </w:p>
    <w:p w14:paraId="019F9573" w14:textId="77777777" w:rsidR="006E706D" w:rsidRDefault="006E706D" w:rsidP="00260F24">
      <w:pPr>
        <w:pStyle w:val="Footnote"/>
      </w:pPr>
      <w:r w:rsidRPr="00E019BA">
        <w:t>of 11 August 2010</w:t>
      </w:r>
      <w:r>
        <w:t>.</w:t>
      </w:r>
    </w:p>
  </w:footnote>
  <w:footnote w:id="54">
    <w:p w14:paraId="62350456" w14:textId="77777777" w:rsidR="006E706D" w:rsidRPr="00F8021C" w:rsidRDefault="006E706D" w:rsidP="00260F24">
      <w:pPr>
        <w:pStyle w:val="Footnote"/>
      </w:pPr>
      <w:r w:rsidRPr="00F8021C">
        <w:rPr>
          <w:rStyle w:val="FootnoteReference"/>
        </w:rPr>
        <w:footnoteRef/>
      </w:r>
      <w:r w:rsidRPr="00F8021C">
        <w:t xml:space="preserve"> </w:t>
      </w:r>
      <w:r w:rsidRPr="006623F9">
        <w:t>See Official Journal of the European Union, Commission Implementing Regulation</w:t>
      </w:r>
      <w:r>
        <w:t xml:space="preserve"> EU </w:t>
      </w:r>
      <w:r w:rsidRPr="00E019BA">
        <w:t>443/2011 of 5 May 2011</w:t>
      </w:r>
      <w:r>
        <w:t>.</w:t>
      </w:r>
    </w:p>
  </w:footnote>
  <w:footnote w:id="55">
    <w:p w14:paraId="26F453DA" w14:textId="2CAED2DC" w:rsidR="006E706D" w:rsidRPr="00830A07" w:rsidRDefault="006E706D" w:rsidP="00260F24">
      <w:pPr>
        <w:pStyle w:val="Footnote"/>
      </w:pPr>
      <w:r w:rsidRPr="00830A07">
        <w:rPr>
          <w:rStyle w:val="FootnoteReference"/>
        </w:rPr>
        <w:footnoteRef/>
      </w:r>
      <w:r w:rsidRPr="00830A07">
        <w:t xml:space="preserve"> Council Implementing Regulation (EU) No 1194/2013, 2013, Official Journal of the European Union. Available </w:t>
      </w:r>
      <w:r w:rsidR="007849B3">
        <w:t>from:</w:t>
      </w:r>
      <w:r w:rsidRPr="00830A07">
        <w:t xml:space="preserve"> </w:t>
      </w:r>
      <w:hyperlink r:id="rId23" w:history="1">
        <w:r w:rsidRPr="00BA1E53">
          <w:rPr>
            <w:rStyle w:val="Hyperlink"/>
            <w:sz w:val="20"/>
          </w:rPr>
          <w:t>https://trade.ec.europa.eu/tdi/case_history.cfm?init=1893</w:t>
        </w:r>
      </w:hyperlink>
      <w:r w:rsidR="003F6055">
        <w:t>.</w:t>
      </w:r>
    </w:p>
  </w:footnote>
  <w:footnote w:id="56">
    <w:p w14:paraId="064193C3" w14:textId="49AD80D5" w:rsidR="006E706D" w:rsidRPr="006623F9" w:rsidRDefault="006E706D" w:rsidP="00260F24">
      <w:pPr>
        <w:pStyle w:val="Footnote"/>
      </w:pPr>
      <w:r w:rsidRPr="006623F9">
        <w:rPr>
          <w:rStyle w:val="FootnoteReference"/>
        </w:rPr>
        <w:footnoteRef/>
      </w:r>
      <w:r w:rsidRPr="006623F9">
        <w:t xml:space="preserve"> This HS code is not included in </w:t>
      </w:r>
      <w:r w:rsidR="00BF139B">
        <w:fldChar w:fldCharType="begin"/>
      </w:r>
      <w:r w:rsidR="00BF139B">
        <w:instrText xml:space="preserve"> REF _Ref103868984 \h </w:instrText>
      </w:r>
      <w:r w:rsidR="00BF139B">
        <w:fldChar w:fldCharType="separate"/>
      </w:r>
      <w:r w:rsidR="00BF139B">
        <w:t xml:space="preserve">Table </w:t>
      </w:r>
      <w:r w:rsidR="00BF139B">
        <w:rPr>
          <w:noProof/>
        </w:rPr>
        <w:t>4</w:t>
      </w:r>
      <w:r w:rsidR="00BF139B">
        <w:fldChar w:fldCharType="end"/>
      </w:r>
      <w:r w:rsidRPr="006623F9">
        <w:t xml:space="preserve"> as it was superseded in 2017 by a set of </w:t>
      </w:r>
      <w:r w:rsidR="001F134A">
        <w:t>seven</w:t>
      </w:r>
      <w:r w:rsidRPr="006623F9">
        <w:t xml:space="preserve"> new HS codes. Some of </w:t>
      </w:r>
      <w:r w:rsidR="001F134A">
        <w:t xml:space="preserve">the </w:t>
      </w:r>
      <w:r w:rsidRPr="006623F9">
        <w:t xml:space="preserve">new HS codes are included in </w:t>
      </w:r>
      <w:r w:rsidR="00BF139B">
        <w:fldChar w:fldCharType="begin"/>
      </w:r>
      <w:r w:rsidR="00BF139B">
        <w:instrText xml:space="preserve"> REF _Ref103868984 \h </w:instrText>
      </w:r>
      <w:r w:rsidR="00BF139B">
        <w:fldChar w:fldCharType="separate"/>
      </w:r>
      <w:r w:rsidR="00BF139B">
        <w:t xml:space="preserve">Table </w:t>
      </w:r>
      <w:r w:rsidR="00BF139B">
        <w:rPr>
          <w:noProof/>
        </w:rPr>
        <w:t>4</w:t>
      </w:r>
      <w:r w:rsidR="00BF139B">
        <w:fldChar w:fldCharType="end"/>
      </w:r>
      <w:r w:rsidRPr="006623F9">
        <w:t>but not all.</w:t>
      </w:r>
      <w:r>
        <w:t xml:space="preserve"> Further, it is worth noting that t</w:t>
      </w:r>
      <w:r w:rsidRPr="006623F9">
        <w:t xml:space="preserve">he </w:t>
      </w:r>
      <w:r w:rsidR="00236BD2">
        <w:t>EC’s</w:t>
      </w:r>
      <w:r w:rsidRPr="006623F9">
        <w:t xml:space="preserve"> analysis in the anti-circumvention investigation was performed for CN code 3824 90 91, </w:t>
      </w:r>
      <w:r w:rsidR="001F134A">
        <w:t>but</w:t>
      </w:r>
      <w:r w:rsidR="001F134A" w:rsidRPr="006623F9">
        <w:t xml:space="preserve"> </w:t>
      </w:r>
      <w:r>
        <w:t xml:space="preserve">UN </w:t>
      </w:r>
      <w:r w:rsidRPr="006623F9">
        <w:t>Comtrade data is only available at the 6</w:t>
      </w:r>
      <w:r w:rsidR="00752B4E">
        <w:t>-</w:t>
      </w:r>
      <w:r w:rsidRPr="006623F9">
        <w:t>digit level.</w:t>
      </w:r>
      <w:r>
        <w:t xml:space="preserve"> We use UN Comtrade data as the Eurostat data had relatively poor coverage of this CN code.  </w:t>
      </w:r>
    </w:p>
  </w:footnote>
  <w:footnote w:id="57">
    <w:p w14:paraId="1CCE50D8" w14:textId="38DF4626" w:rsidR="006E706D" w:rsidRPr="003A5EBC" w:rsidRDefault="006E706D" w:rsidP="00260F24">
      <w:pPr>
        <w:pStyle w:val="Footnote"/>
      </w:pPr>
      <w:r>
        <w:rPr>
          <w:rStyle w:val="FootnoteReference"/>
        </w:rPr>
        <w:footnoteRef/>
      </w:r>
      <w:r>
        <w:t xml:space="preserve"> </w:t>
      </w:r>
      <w:hyperlink r:id="rId24" w:history="1">
        <w:r w:rsidRPr="00BA1E53">
          <w:rPr>
            <w:rStyle w:val="Hyperlink"/>
            <w:sz w:val="20"/>
          </w:rPr>
          <w:t>https://www.iea.org/reports/renewables-2021/biofuels?mode=transport&amp;region=World&amp;publication=2021&amp;flow=Consumption&amp;product=Renewable+Diesel</w:t>
        </w:r>
      </w:hyperlink>
    </w:p>
  </w:footnote>
  <w:footnote w:id="58">
    <w:p w14:paraId="3200405E" w14:textId="3BB30625" w:rsidR="006E706D" w:rsidRPr="00D9596C" w:rsidRDefault="006E706D" w:rsidP="00260F24">
      <w:pPr>
        <w:pStyle w:val="Footnote"/>
      </w:pPr>
      <w:r>
        <w:rPr>
          <w:rStyle w:val="FootnoteReference"/>
        </w:rPr>
        <w:footnoteRef/>
      </w:r>
      <w:r>
        <w:t xml:space="preserve"> </w:t>
      </w:r>
      <w:r w:rsidRPr="00573DDB">
        <w:t>OECD- FAO Agricultural Outlook</w:t>
      </w:r>
      <w:r w:rsidR="00F11B10">
        <w:t xml:space="preserve">, available </w:t>
      </w:r>
      <w:r w:rsidR="007849B3">
        <w:t>from:</w:t>
      </w:r>
      <w:r w:rsidRPr="00573DDB">
        <w:t xml:space="preserve"> </w:t>
      </w:r>
      <w:hyperlink r:id="rId25" w:history="1">
        <w:r w:rsidRPr="00BA1E53">
          <w:rPr>
            <w:rStyle w:val="Hyperlink"/>
            <w:sz w:val="20"/>
          </w:rPr>
          <w:t>https://stats.oecd.org/Index.aspx?QueryId=36348</w:t>
        </w:r>
      </w:hyperlink>
    </w:p>
  </w:footnote>
  <w:footnote w:id="59">
    <w:p w14:paraId="248A3B6C" w14:textId="3B620E5F" w:rsidR="00A764C4" w:rsidRPr="00A764C4" w:rsidRDefault="00A764C4" w:rsidP="00260F24">
      <w:pPr>
        <w:pStyle w:val="Footnote"/>
      </w:pPr>
      <w:r>
        <w:rPr>
          <w:rStyle w:val="FootnoteReference"/>
        </w:rPr>
        <w:footnoteRef/>
      </w:r>
      <w:r>
        <w:t xml:space="preserve"> </w:t>
      </w:r>
      <w:r w:rsidRPr="00573DDB">
        <w:t>In addition to the examples mentioned in the context of the case studies, other sources include the World Steel Association (</w:t>
      </w:r>
      <w:hyperlink r:id="rId26" w:history="1">
        <w:r w:rsidRPr="00573DDB">
          <w:rPr>
            <w:rStyle w:val="Hyperlink"/>
            <w:sz w:val="20"/>
          </w:rPr>
          <w:t>https://worldsteel.org/steel-by-topic/statistics/about-our-statistics/</w:t>
        </w:r>
      </w:hyperlink>
      <w:r w:rsidRPr="00573DDB">
        <w:t>) and the International Aluminium Institute (</w:t>
      </w:r>
      <w:hyperlink r:id="rId27" w:history="1">
        <w:r w:rsidR="00FB77DD" w:rsidRPr="00E62CCF">
          <w:rPr>
            <w:rStyle w:val="Hyperlink"/>
            <w:sz w:val="20"/>
          </w:rPr>
          <w:t>https://international-aluminium.org/statistics/primary-aluminium-production/</w:t>
        </w:r>
      </w:hyperlink>
      <w:r w:rsidRPr="00573DDB">
        <w:t>)</w:t>
      </w:r>
      <w:r w:rsidR="00BF57EB">
        <w:t>.</w:t>
      </w:r>
    </w:p>
  </w:footnote>
  <w:footnote w:id="60">
    <w:p w14:paraId="0207D6E2" w14:textId="1E55CBBE" w:rsidR="00D1599E" w:rsidRPr="00D1599E" w:rsidRDefault="00D1599E" w:rsidP="00260F24">
      <w:pPr>
        <w:pStyle w:val="Footnote"/>
      </w:pPr>
      <w:r>
        <w:rPr>
          <w:rStyle w:val="FootnoteReference"/>
        </w:rPr>
        <w:footnoteRef/>
      </w:r>
      <w:r>
        <w:t xml:space="preserve"> </w:t>
      </w:r>
      <w:bookmarkStart w:id="124" w:name="_Hlk103319272"/>
      <w:r w:rsidRPr="00573DDB">
        <w:t>Farrington, D</w:t>
      </w:r>
      <w:r w:rsidR="00F11B10">
        <w:t>.</w:t>
      </w:r>
      <w:r w:rsidRPr="00573DDB">
        <w:t xml:space="preserve">,  Gottfredson, </w:t>
      </w:r>
      <w:r w:rsidR="00F11B10">
        <w:t xml:space="preserve">D.C., </w:t>
      </w:r>
      <w:r w:rsidRPr="00573DDB">
        <w:t xml:space="preserve">Sherman, </w:t>
      </w:r>
      <w:r w:rsidR="00F11B10">
        <w:t xml:space="preserve">L.W. and </w:t>
      </w:r>
      <w:r w:rsidRPr="00573DDB">
        <w:t>Welsh</w:t>
      </w:r>
      <w:r w:rsidR="00F11B10">
        <w:t>, B.C.</w:t>
      </w:r>
      <w:r w:rsidRPr="00573DDB">
        <w:t xml:space="preserve"> (2002)</w:t>
      </w:r>
      <w:r w:rsidR="00F11B10">
        <w:t>,</w:t>
      </w:r>
      <w:r w:rsidRPr="00573DDB">
        <w:t xml:space="preserve"> “The Maryland Scientiﬁc Methods Scale” in Farrington, D</w:t>
      </w:r>
      <w:r w:rsidR="00F11B10">
        <w:t>.</w:t>
      </w:r>
      <w:r w:rsidRPr="00573DDB">
        <w:t xml:space="preserve">,  Gottfredson, </w:t>
      </w:r>
      <w:r w:rsidR="00F11B10">
        <w:t>D.C.,</w:t>
      </w:r>
      <w:r w:rsidRPr="00573DDB">
        <w:t xml:space="preserve"> Sherman, </w:t>
      </w:r>
      <w:r w:rsidR="00F11B10">
        <w:t xml:space="preserve">L.W. and </w:t>
      </w:r>
      <w:r w:rsidRPr="00573DDB">
        <w:t>Welsh</w:t>
      </w:r>
      <w:r w:rsidR="00F11B10">
        <w:t>, B.C.</w:t>
      </w:r>
      <w:r w:rsidRPr="00573DDB">
        <w:t xml:space="preserve"> (eds), </w:t>
      </w:r>
      <w:r w:rsidRPr="00573DDB">
        <w:rPr>
          <w:i/>
          <w:iCs/>
        </w:rPr>
        <w:t>Evidence-Based Crime Prevention</w:t>
      </w:r>
      <w:r w:rsidR="00E344EA">
        <w:rPr>
          <w:i/>
          <w:iCs/>
        </w:rPr>
        <w:t>.</w:t>
      </w:r>
    </w:p>
    <w:bookmarkEnd w:id="124"/>
  </w:footnote>
  <w:footnote w:id="61">
    <w:p w14:paraId="25CEFCB5" w14:textId="6673DA3B" w:rsidR="00F33140" w:rsidRPr="006623F9" w:rsidRDefault="00F33140" w:rsidP="00260F24">
      <w:pPr>
        <w:pStyle w:val="Footnote"/>
      </w:pPr>
      <w:r w:rsidRPr="006623F9">
        <w:rPr>
          <w:rStyle w:val="FootnoteReference"/>
        </w:rPr>
        <w:footnoteRef/>
      </w:r>
      <w:r w:rsidRPr="006623F9">
        <w:t xml:space="preserve"> National Audit Office (2013), </w:t>
      </w:r>
      <w:r w:rsidR="00F11B10">
        <w:t>“</w:t>
      </w:r>
      <w:r w:rsidRPr="006623F9">
        <w:t>Evaluation in Government, Part Two</w:t>
      </w:r>
      <w:r w:rsidR="00F11B10">
        <w:t>”</w:t>
      </w:r>
      <w:r w:rsidRPr="006623F9">
        <w:t>, p 21</w:t>
      </w:r>
      <w:r w:rsidR="00E344EA">
        <w:t>.</w:t>
      </w:r>
    </w:p>
  </w:footnote>
  <w:footnote w:id="62">
    <w:p w14:paraId="450CA763" w14:textId="3B3D13B6" w:rsidR="00B523E5" w:rsidRPr="00B523E5" w:rsidRDefault="00B523E5">
      <w:pPr>
        <w:pStyle w:val="FootnoteText"/>
      </w:pPr>
      <w:r>
        <w:rPr>
          <w:rStyle w:val="FootnoteReference"/>
        </w:rPr>
        <w:footnoteRef/>
      </w:r>
      <w:r>
        <w:t xml:space="preserve"> OECD (2020), Mobilising Evidence for Good Governance: Taking Stock of Principles and Standards for Policy Design, Implementation and Evaluation, p.89 </w:t>
      </w:r>
    </w:p>
  </w:footnote>
  <w:footnote w:id="63">
    <w:p w14:paraId="71BC416F" w14:textId="7AAFEB00" w:rsidR="00E03E98" w:rsidRPr="006623F9" w:rsidRDefault="00E03E98" w:rsidP="00260F24">
      <w:pPr>
        <w:pStyle w:val="Footnote"/>
      </w:pPr>
      <w:r w:rsidRPr="006623F9">
        <w:rPr>
          <w:rStyle w:val="FootnoteReference"/>
        </w:rPr>
        <w:footnoteRef/>
      </w:r>
      <w:r w:rsidRPr="006623F9">
        <w:t xml:space="preserve"> Liu</w:t>
      </w:r>
      <w:r w:rsidR="00F11B10">
        <w:t>, X.</w:t>
      </w:r>
      <w:r w:rsidRPr="006623F9">
        <w:t xml:space="preserve"> and Shi</w:t>
      </w:r>
      <w:r w:rsidR="00F11B10">
        <w:t>, H</w:t>
      </w:r>
      <w:r w:rsidRPr="006623F9">
        <w:t xml:space="preserve"> (2019)</w:t>
      </w:r>
      <w:r w:rsidR="00F11B10">
        <w:t>,</w:t>
      </w:r>
      <w:r w:rsidRPr="006623F9">
        <w:t xml:space="preserve"> </w:t>
      </w:r>
      <w:r w:rsidR="00F11B10">
        <w:t>“</w:t>
      </w:r>
      <w:r w:rsidRPr="00F11B10">
        <w:t>Anti-dumping Circumventing through Trade Re-routing: Evidence from Chinese Exporters</w:t>
      </w:r>
      <w:r w:rsidR="00F11B10">
        <w:t>”</w:t>
      </w:r>
      <w:r w:rsidRPr="006623F9">
        <w:t xml:space="preserve">, </w:t>
      </w:r>
      <w:r w:rsidRPr="00F11B10">
        <w:rPr>
          <w:i/>
          <w:iCs/>
        </w:rPr>
        <w:t>World Economy</w:t>
      </w:r>
      <w:r w:rsidRPr="006623F9">
        <w:t>, 42</w:t>
      </w:r>
      <w:r w:rsidR="00F11B10">
        <w:t>(</w:t>
      </w:r>
      <w:r w:rsidRPr="006623F9">
        <w:t>5</w:t>
      </w:r>
      <w:r w:rsidR="00F11B10">
        <w:t>):</w:t>
      </w:r>
      <w:r w:rsidRPr="006623F9">
        <w:t xml:space="preserve"> 1427-1466</w:t>
      </w:r>
      <w:r w:rsidR="00B14C9A">
        <w:t>.</w:t>
      </w:r>
    </w:p>
  </w:footnote>
  <w:footnote w:id="64">
    <w:p w14:paraId="5F4AB5F7" w14:textId="6D116C1B" w:rsidR="00F674D6" w:rsidRPr="006623F9" w:rsidRDefault="00F674D6" w:rsidP="00260F24">
      <w:pPr>
        <w:pStyle w:val="Footnote"/>
      </w:pPr>
      <w:r w:rsidRPr="006623F9">
        <w:rPr>
          <w:rStyle w:val="FootnoteReference"/>
        </w:rPr>
        <w:footnoteRef/>
      </w:r>
      <w:r w:rsidRPr="006623F9">
        <w:t xml:space="preserve"> </w:t>
      </w:r>
      <w:hyperlink r:id="rId28" w:history="1">
        <w:r w:rsidRPr="00BA1E53">
          <w:rPr>
            <w:rStyle w:val="Hyperlink"/>
            <w:sz w:val="20"/>
          </w:rPr>
          <w:t>https://ilostat.ilo.org/topics/wages/</w:t>
        </w:r>
      </w:hyperlink>
    </w:p>
  </w:footnote>
  <w:footnote w:id="65">
    <w:p w14:paraId="05B5E028" w14:textId="69796731" w:rsidR="00BE0FC1" w:rsidRPr="00D61E2C" w:rsidRDefault="00BE0FC1" w:rsidP="00260F24">
      <w:pPr>
        <w:pStyle w:val="Footnote"/>
      </w:pPr>
      <w:r w:rsidRPr="00FF4163">
        <w:rPr>
          <w:rStyle w:val="FootnoteReference"/>
        </w:rPr>
        <w:footnoteRef/>
      </w:r>
      <w:r w:rsidRPr="00D61E2C">
        <w:t xml:space="preserve"> This can be attempted in markets where high frequency can be accessed. For example, in the </w:t>
      </w:r>
      <w:r w:rsidR="00B60E7B">
        <w:t>telecoms</w:t>
      </w:r>
      <w:r w:rsidR="00B60E7B" w:rsidRPr="00D61E2C">
        <w:t xml:space="preserve"> </w:t>
      </w:r>
      <w:r w:rsidRPr="00D61E2C">
        <w:t>or retail sector. See for example, Werden</w:t>
      </w:r>
      <w:r w:rsidR="00B60E7B">
        <w:t>,</w:t>
      </w:r>
      <w:r w:rsidRPr="00D61E2C">
        <w:t xml:space="preserve"> G</w:t>
      </w:r>
      <w:r w:rsidR="00B60E7B">
        <w:t>.</w:t>
      </w:r>
      <w:r w:rsidRPr="00D61E2C">
        <w:t xml:space="preserve"> and Froeb</w:t>
      </w:r>
      <w:r w:rsidR="00B60E7B">
        <w:t>, L.</w:t>
      </w:r>
      <w:r w:rsidRPr="00D61E2C">
        <w:t xml:space="preserve"> (1995), “The </w:t>
      </w:r>
      <w:r w:rsidR="00B60E7B">
        <w:t>E</w:t>
      </w:r>
      <w:r w:rsidRPr="00D61E2C">
        <w:t xml:space="preserve">ffects of </w:t>
      </w:r>
      <w:r w:rsidR="00B60E7B">
        <w:t>M</w:t>
      </w:r>
      <w:r w:rsidRPr="00D61E2C">
        <w:t xml:space="preserve">ergers in </w:t>
      </w:r>
      <w:r w:rsidR="00B60E7B">
        <w:t>D</w:t>
      </w:r>
      <w:r w:rsidRPr="00D61E2C">
        <w:t xml:space="preserve">ifferentiated </w:t>
      </w:r>
      <w:r w:rsidR="00B60E7B">
        <w:t>P</w:t>
      </w:r>
      <w:r w:rsidRPr="00D61E2C">
        <w:t xml:space="preserve">roducts </w:t>
      </w:r>
      <w:r w:rsidR="00B60E7B">
        <w:t>I</w:t>
      </w:r>
      <w:r w:rsidRPr="00D61E2C">
        <w:t xml:space="preserve">njuries: Logit </w:t>
      </w:r>
      <w:r w:rsidR="00B60E7B">
        <w:t>D</w:t>
      </w:r>
      <w:r w:rsidRPr="00D61E2C">
        <w:t xml:space="preserve">emand and </w:t>
      </w:r>
      <w:r w:rsidR="00B60E7B">
        <w:t>M</w:t>
      </w:r>
      <w:r w:rsidRPr="00D61E2C">
        <w:t xml:space="preserve">erger </w:t>
      </w:r>
      <w:r w:rsidR="00B60E7B">
        <w:t>P</w:t>
      </w:r>
      <w:r w:rsidRPr="00D61E2C">
        <w:t>olicy”</w:t>
      </w:r>
      <w:r w:rsidR="00B60E7B">
        <w:t>,</w:t>
      </w:r>
      <w:r w:rsidRPr="00D61E2C">
        <w:t xml:space="preserve"> </w:t>
      </w:r>
      <w:r w:rsidRPr="00B60E7B">
        <w:rPr>
          <w:i/>
          <w:iCs/>
        </w:rPr>
        <w:t>Journal of Law, Economics and Organisation</w:t>
      </w:r>
      <w:r w:rsidRPr="00D61E2C">
        <w:t>, 10</w:t>
      </w:r>
      <w:r w:rsidR="00B60E7B">
        <w:t>(</w:t>
      </w:r>
      <w:r w:rsidRPr="00D61E2C">
        <w:t>2</w:t>
      </w:r>
      <w:r w:rsidR="00B60E7B">
        <w:t>);</w:t>
      </w:r>
      <w:r w:rsidRPr="00D61E2C">
        <w:t xml:space="preserve"> Nevo, A</w:t>
      </w:r>
      <w:r w:rsidR="00B60E7B">
        <w:t>.</w:t>
      </w:r>
      <w:r w:rsidRPr="00D61E2C">
        <w:t xml:space="preserve"> (2000), “Mergers with </w:t>
      </w:r>
      <w:r w:rsidR="00B60E7B">
        <w:t>D</w:t>
      </w:r>
      <w:r w:rsidRPr="00D61E2C">
        <w:t xml:space="preserve">ifferentiated </w:t>
      </w:r>
      <w:r w:rsidR="00B60E7B">
        <w:t>P</w:t>
      </w:r>
      <w:r w:rsidRPr="00D61E2C">
        <w:t xml:space="preserve">roducts: The </w:t>
      </w:r>
      <w:r w:rsidR="00B60E7B">
        <w:t>C</w:t>
      </w:r>
      <w:r w:rsidRPr="00D61E2C">
        <w:t xml:space="preserve">ase of the </w:t>
      </w:r>
      <w:r w:rsidR="00B60E7B">
        <w:t>R</w:t>
      </w:r>
      <w:r w:rsidRPr="00D61E2C">
        <w:t xml:space="preserve">eady-to-eat </w:t>
      </w:r>
      <w:r w:rsidR="00B60E7B">
        <w:t>C</w:t>
      </w:r>
      <w:r w:rsidRPr="00D61E2C">
        <w:t xml:space="preserve">ereal </w:t>
      </w:r>
      <w:r w:rsidR="00B60E7B">
        <w:t>I</w:t>
      </w:r>
      <w:r w:rsidRPr="00D61E2C">
        <w:t>ndustry”</w:t>
      </w:r>
      <w:r w:rsidR="00B60E7B">
        <w:t>,</w:t>
      </w:r>
      <w:r w:rsidRPr="00D61E2C">
        <w:t xml:space="preserve"> 31</w:t>
      </w:r>
      <w:r w:rsidR="00B60E7B">
        <w:t>(</w:t>
      </w:r>
      <w:r w:rsidRPr="00D61E2C">
        <w:t>3</w:t>
      </w:r>
      <w:r w:rsidR="00B60E7B">
        <w:t>):</w:t>
      </w:r>
      <w:r w:rsidRPr="00D61E2C">
        <w:t xml:space="preserve"> 395</w:t>
      </w:r>
      <w:r w:rsidR="00B60E7B">
        <w:t>-</w:t>
      </w:r>
      <w:r w:rsidRPr="00D61E2C">
        <w:t>421</w:t>
      </w:r>
      <w:r w:rsidR="00B14C9A">
        <w:t>.</w:t>
      </w:r>
    </w:p>
  </w:footnote>
  <w:footnote w:id="66">
    <w:p w14:paraId="5DAE3534" w14:textId="6DD841A6" w:rsidR="00BE7569" w:rsidRPr="006623F9" w:rsidRDefault="00BE7569" w:rsidP="00260F24">
      <w:pPr>
        <w:pStyle w:val="Footnote"/>
      </w:pPr>
      <w:r w:rsidRPr="006623F9">
        <w:rPr>
          <w:rStyle w:val="FootnoteReference"/>
        </w:rPr>
        <w:footnoteRef/>
      </w:r>
      <w:r w:rsidRPr="006623F9">
        <w:t xml:space="preserve"> See</w:t>
      </w:r>
      <w:r w:rsidR="00B60E7B">
        <w:t>,</w:t>
      </w:r>
      <w:r w:rsidRPr="006623F9">
        <w:t xml:space="preserve"> notably</w:t>
      </w:r>
      <w:r w:rsidR="00B60E7B">
        <w:t>,</w:t>
      </w:r>
      <w:r w:rsidRPr="006623F9">
        <w:t xml:space="preserve"> </w:t>
      </w:r>
      <w:r w:rsidR="000630E5">
        <w:t>L</w:t>
      </w:r>
      <w:r w:rsidRPr="006623F9">
        <w:t xml:space="preserve">acovides, </w:t>
      </w:r>
      <w:r w:rsidR="00B60E7B" w:rsidRPr="006623F9">
        <w:t>M</w:t>
      </w:r>
      <w:r w:rsidR="00B60E7B">
        <w:t>.</w:t>
      </w:r>
      <w:r w:rsidR="00B60E7B" w:rsidRPr="006623F9">
        <w:t xml:space="preserve"> </w:t>
      </w:r>
      <w:r w:rsidRPr="006623F9">
        <w:t>and Jansen, M. (2017)</w:t>
      </w:r>
      <w:r w:rsidR="00B60E7B">
        <w:t>,</w:t>
      </w:r>
      <w:r w:rsidRPr="006623F9">
        <w:t xml:space="preserve"> “Lost in </w:t>
      </w:r>
      <w:r w:rsidR="00B60E7B">
        <w:t>T</w:t>
      </w:r>
      <w:r w:rsidRPr="006623F9">
        <w:t xml:space="preserve">ranslation: Communication and </w:t>
      </w:r>
      <w:r w:rsidR="00B60E7B">
        <w:t>I</w:t>
      </w:r>
      <w:r w:rsidRPr="006623F9">
        <w:t xml:space="preserve">nterpretation </w:t>
      </w:r>
      <w:r w:rsidR="00B60E7B">
        <w:t>C</w:t>
      </w:r>
      <w:r w:rsidRPr="006623F9">
        <w:t xml:space="preserve">hallenges </w:t>
      </w:r>
      <w:r w:rsidR="00B60E7B">
        <w:t>R</w:t>
      </w:r>
      <w:r w:rsidRPr="006623F9">
        <w:t xml:space="preserve">elated to </w:t>
      </w:r>
      <w:r w:rsidR="00B60E7B">
        <w:t>E</w:t>
      </w:r>
      <w:r w:rsidRPr="006623F9">
        <w:t xml:space="preserve">conomic </w:t>
      </w:r>
      <w:r w:rsidR="00B60E7B">
        <w:t>E</w:t>
      </w:r>
      <w:r w:rsidRPr="006623F9">
        <w:t xml:space="preserve">vidence in </w:t>
      </w:r>
      <w:r w:rsidR="00B60E7B">
        <w:t>T</w:t>
      </w:r>
      <w:r w:rsidRPr="006623F9">
        <w:t xml:space="preserve">rade </w:t>
      </w:r>
      <w:r w:rsidR="00B60E7B">
        <w:t>D</w:t>
      </w:r>
      <w:r w:rsidRPr="006623F9">
        <w:t>isputes”, in Jansen, M., Pauwellyn J. and Carpenter, T. (eds)</w:t>
      </w:r>
      <w:r w:rsidR="00B60E7B">
        <w:t>,</w:t>
      </w:r>
      <w:r w:rsidRPr="006623F9">
        <w:t xml:space="preserve"> </w:t>
      </w:r>
      <w:r w:rsidRPr="006623F9">
        <w:rPr>
          <w:i/>
          <w:iCs/>
        </w:rPr>
        <w:t>The Use of Economics in International Trade and Investment Disputes</w:t>
      </w:r>
      <w:r w:rsidRPr="006623F9">
        <w:t>, p</w:t>
      </w:r>
      <w:r w:rsidR="00B60E7B">
        <w:t>p</w:t>
      </w:r>
      <w:r w:rsidRPr="006623F9">
        <w:t xml:space="preserve"> 164-191.  </w:t>
      </w:r>
    </w:p>
  </w:footnote>
  <w:footnote w:id="67">
    <w:p w14:paraId="56D8E53E" w14:textId="30AA419A" w:rsidR="00CF433C" w:rsidRPr="006623F9" w:rsidRDefault="00CF433C" w:rsidP="00260F24">
      <w:pPr>
        <w:pStyle w:val="Footnote"/>
      </w:pPr>
      <w:r w:rsidRPr="006623F9">
        <w:rPr>
          <w:rStyle w:val="FootnoteReference"/>
        </w:rPr>
        <w:footnoteRef/>
      </w:r>
      <w:r w:rsidRPr="006623F9">
        <w:t xml:space="preserve"> Posner,</w:t>
      </w:r>
      <w:r w:rsidR="009051BC" w:rsidRPr="006623F9">
        <w:t xml:space="preserve"> </w:t>
      </w:r>
      <w:r w:rsidR="00B60E7B" w:rsidRPr="006623F9">
        <w:t>R</w:t>
      </w:r>
      <w:r w:rsidR="00B60E7B">
        <w:t>.</w:t>
      </w:r>
      <w:r w:rsidR="009051BC" w:rsidRPr="006623F9">
        <w:t>A.</w:t>
      </w:r>
      <w:r w:rsidR="00B60E7B">
        <w:t xml:space="preserve"> (1999),</w:t>
      </w:r>
      <w:r w:rsidRPr="006623F9">
        <w:t xml:space="preserve"> </w:t>
      </w:r>
      <w:r w:rsidR="00B60E7B">
        <w:t>“</w:t>
      </w:r>
      <w:r w:rsidRPr="006623F9">
        <w:t>The Law and Economics of the Economic Expert Witness</w:t>
      </w:r>
      <w:r w:rsidR="00B60E7B">
        <w:t>”</w:t>
      </w:r>
      <w:r w:rsidRPr="006623F9">
        <w:t xml:space="preserve">, </w:t>
      </w:r>
      <w:r w:rsidRPr="006623F9">
        <w:rPr>
          <w:i/>
          <w:iCs/>
        </w:rPr>
        <w:t>Journal</w:t>
      </w:r>
      <w:r w:rsidR="00CD3871">
        <w:rPr>
          <w:i/>
          <w:iCs/>
        </w:rPr>
        <w:t xml:space="preserve"> </w:t>
      </w:r>
      <w:r w:rsidRPr="006623F9">
        <w:rPr>
          <w:i/>
          <w:iCs/>
        </w:rPr>
        <w:t>of Economic Perspectives</w:t>
      </w:r>
      <w:r w:rsidR="00B60E7B">
        <w:t xml:space="preserve">, </w:t>
      </w:r>
      <w:r w:rsidR="00B60E7B" w:rsidRPr="006623F9">
        <w:t>13(2)</w:t>
      </w:r>
      <w:r w:rsidR="00B60E7B">
        <w:t>: pp</w:t>
      </w:r>
      <w:r w:rsidRPr="006623F9">
        <w:t xml:space="preserve"> 91-99</w:t>
      </w:r>
      <w:r w:rsidR="00CD3871">
        <w:t>.</w:t>
      </w:r>
    </w:p>
  </w:footnote>
  <w:footnote w:id="68">
    <w:p w14:paraId="2F29CDDA" w14:textId="34BB8462" w:rsidR="00B478E0" w:rsidRPr="006623F9" w:rsidRDefault="00B478E0" w:rsidP="002A10C4">
      <w:pPr>
        <w:pStyle w:val="FootnoteText"/>
        <w:spacing w:after="0"/>
      </w:pPr>
      <w:r w:rsidRPr="006623F9">
        <w:rPr>
          <w:rStyle w:val="FootnoteReference"/>
          <w:rFonts w:cs="Arial"/>
        </w:rPr>
        <w:footnoteRef/>
      </w:r>
      <w:r w:rsidRPr="006623F9">
        <w:rPr>
          <w:rFonts w:cs="Arial"/>
        </w:rPr>
        <w:t xml:space="preserve"> See</w:t>
      </w:r>
      <w:r w:rsidR="00B60E7B">
        <w:rPr>
          <w:rFonts w:cs="Arial"/>
        </w:rPr>
        <w:t>,</w:t>
      </w:r>
      <w:r w:rsidRPr="006623F9">
        <w:rPr>
          <w:rFonts w:cs="Arial"/>
        </w:rPr>
        <w:t xml:space="preserve"> notably, Lohmann, J. (2011)</w:t>
      </w:r>
      <w:r w:rsidR="00B60E7B">
        <w:rPr>
          <w:rFonts w:cs="Arial"/>
        </w:rPr>
        <w:t>,</w:t>
      </w:r>
      <w:r w:rsidRPr="006623F9">
        <w:rPr>
          <w:rFonts w:cs="Arial"/>
        </w:rPr>
        <w:t xml:space="preserve"> </w:t>
      </w:r>
      <w:r w:rsidR="00B60E7B">
        <w:rPr>
          <w:rFonts w:cs="Arial"/>
        </w:rPr>
        <w:t>“</w:t>
      </w:r>
      <w:r w:rsidRPr="006623F9">
        <w:rPr>
          <w:rFonts w:cs="Arial"/>
        </w:rPr>
        <w:t xml:space="preserve">Do </w:t>
      </w:r>
      <w:r w:rsidR="00B60E7B">
        <w:rPr>
          <w:rFonts w:cs="Arial"/>
        </w:rPr>
        <w:t>L</w:t>
      </w:r>
      <w:r w:rsidRPr="006623F9">
        <w:rPr>
          <w:rFonts w:cs="Arial"/>
        </w:rPr>
        <w:t xml:space="preserve">anguage </w:t>
      </w:r>
      <w:r w:rsidR="00B60E7B">
        <w:rPr>
          <w:rFonts w:cs="Arial"/>
        </w:rPr>
        <w:t>B</w:t>
      </w:r>
      <w:r w:rsidRPr="006623F9">
        <w:rPr>
          <w:rFonts w:cs="Arial"/>
        </w:rPr>
        <w:t xml:space="preserve">arriers </w:t>
      </w:r>
      <w:r w:rsidR="00B60E7B">
        <w:rPr>
          <w:rFonts w:cs="Arial"/>
        </w:rPr>
        <w:t>A</w:t>
      </w:r>
      <w:r w:rsidRPr="006623F9">
        <w:rPr>
          <w:rFonts w:cs="Arial"/>
        </w:rPr>
        <w:t xml:space="preserve">ffect </w:t>
      </w:r>
      <w:r w:rsidR="00B60E7B">
        <w:rPr>
          <w:rFonts w:cs="Arial"/>
        </w:rPr>
        <w:t>T</w:t>
      </w:r>
      <w:r w:rsidRPr="006623F9">
        <w:rPr>
          <w:rFonts w:cs="Arial"/>
        </w:rPr>
        <w:t>rade?</w:t>
      </w:r>
      <w:r w:rsidR="00B60E7B">
        <w:rPr>
          <w:rFonts w:cs="Arial"/>
        </w:rPr>
        <w:t>”.</w:t>
      </w:r>
      <w:r w:rsidRPr="006623F9">
        <w:rPr>
          <w:rFonts w:cs="Arial"/>
        </w:rPr>
        <w:t xml:space="preserve"> </w:t>
      </w:r>
      <w:r w:rsidRPr="00B60E7B">
        <w:rPr>
          <w:rFonts w:cs="Arial"/>
          <w:i/>
          <w:iCs/>
        </w:rPr>
        <w:t>Economics Letters</w:t>
      </w:r>
      <w:r w:rsidR="00B60E7B">
        <w:rPr>
          <w:rFonts w:cs="Arial"/>
        </w:rPr>
        <w:t>,</w:t>
      </w:r>
      <w:r w:rsidRPr="006623F9">
        <w:rPr>
          <w:rFonts w:cs="Arial"/>
        </w:rPr>
        <w:t xml:space="preserve"> 110(2)</w:t>
      </w:r>
      <w:r w:rsidR="00900F0A">
        <w:rPr>
          <w:rFonts w:cs="Arial"/>
        </w:rPr>
        <w:t xml:space="preserve">: </w:t>
      </w:r>
      <w:r w:rsidRPr="006623F9">
        <w:t>159</w:t>
      </w:r>
      <w:r w:rsidR="00900F0A">
        <w:t>-</w:t>
      </w:r>
      <w:r w:rsidRPr="006623F9">
        <w:t>162</w:t>
      </w:r>
      <w:r w:rsidR="00900F0A">
        <w:t>;</w:t>
      </w:r>
      <w:r w:rsidRPr="006623F9">
        <w:t xml:space="preserve"> Mélitz, J. and Toubal</w:t>
      </w:r>
      <w:r w:rsidR="00900F0A">
        <w:t>, F.</w:t>
      </w:r>
      <w:r w:rsidRPr="006623F9">
        <w:t xml:space="preserve"> (2012)</w:t>
      </w:r>
      <w:r w:rsidR="00900F0A">
        <w:t>,</w:t>
      </w:r>
      <w:r w:rsidRPr="006623F9">
        <w:t xml:space="preserve"> </w:t>
      </w:r>
      <w:r w:rsidR="00900F0A">
        <w:t>“</w:t>
      </w:r>
      <w:r w:rsidRPr="006623F9">
        <w:t xml:space="preserve">Native </w:t>
      </w:r>
      <w:r w:rsidR="00900F0A">
        <w:t>L</w:t>
      </w:r>
      <w:r w:rsidRPr="006623F9">
        <w:t xml:space="preserve">anguage, </w:t>
      </w:r>
      <w:r w:rsidR="00900F0A">
        <w:t>S</w:t>
      </w:r>
      <w:r w:rsidRPr="006623F9">
        <w:t xml:space="preserve">poken </w:t>
      </w:r>
      <w:r w:rsidR="00900F0A">
        <w:t>L</w:t>
      </w:r>
      <w:r w:rsidRPr="006623F9">
        <w:t xml:space="preserve">anguage, </w:t>
      </w:r>
      <w:r w:rsidR="00900F0A">
        <w:t>T</w:t>
      </w:r>
      <w:r w:rsidRPr="006623F9">
        <w:t xml:space="preserve">ranslation and </w:t>
      </w:r>
      <w:r w:rsidR="00900F0A">
        <w:t>T</w:t>
      </w:r>
      <w:r w:rsidRPr="006623F9">
        <w:t>rade</w:t>
      </w:r>
      <w:r w:rsidR="00900F0A">
        <w:t>”,</w:t>
      </w:r>
      <w:r w:rsidR="006F60A7">
        <w:t xml:space="preserve"> </w:t>
      </w:r>
      <w:r w:rsidRPr="006623F9">
        <w:t>CEPR Discussion Paper No. 8994</w:t>
      </w:r>
      <w:r w:rsidR="00BA1E53">
        <w:t>.</w:t>
      </w:r>
    </w:p>
  </w:footnote>
  <w:footnote w:id="69">
    <w:p w14:paraId="0B512D4D" w14:textId="4BF54F96" w:rsidR="00B478E0" w:rsidRPr="006623F9" w:rsidRDefault="00B478E0" w:rsidP="00260F24">
      <w:pPr>
        <w:pStyle w:val="Footnote"/>
      </w:pPr>
      <w:r w:rsidRPr="006623F9">
        <w:rPr>
          <w:rStyle w:val="FootnoteReference"/>
        </w:rPr>
        <w:footnoteRef/>
      </w:r>
      <w:r w:rsidRPr="006623F9">
        <w:t xml:space="preserve"> </w:t>
      </w:r>
      <w:hyperlink r:id="rId29" w:history="1">
        <w:r w:rsidR="000630E5" w:rsidRPr="001F3F19">
          <w:rPr>
            <w:rStyle w:val="Hyperlink"/>
            <w:sz w:val="20"/>
          </w:rPr>
          <w:t>https://lpi.worldbank.org/</w:t>
        </w:r>
      </w:hyperlink>
      <w:r w:rsidRPr="006623F9">
        <w:t xml:space="preserve"> and </w:t>
      </w:r>
      <w:hyperlink r:id="rId30" w:history="1">
        <w:r w:rsidRPr="00BA1E53">
          <w:rPr>
            <w:rStyle w:val="Hyperlink"/>
            <w:sz w:val="20"/>
          </w:rPr>
          <w:t>https://global-express.org/index.php?id=904</w:t>
        </w:r>
      </w:hyperlink>
    </w:p>
  </w:footnote>
  <w:footnote w:id="70">
    <w:p w14:paraId="74350D3C" w14:textId="70B3CABC" w:rsidR="009051BC" w:rsidRPr="006623F9" w:rsidRDefault="009051BC" w:rsidP="00260F24">
      <w:pPr>
        <w:pStyle w:val="Footnote"/>
      </w:pPr>
      <w:r w:rsidRPr="006623F9">
        <w:rPr>
          <w:rStyle w:val="FootnoteReference"/>
        </w:rPr>
        <w:footnoteRef/>
      </w:r>
      <w:r w:rsidRPr="006623F9">
        <w:t xml:space="preserve"> </w:t>
      </w:r>
      <w:hyperlink r:id="rId31" w:history="1">
        <w:r w:rsidRPr="00BA1E53">
          <w:rPr>
            <w:rStyle w:val="Hyperlink"/>
            <w:sz w:val="20"/>
          </w:rPr>
          <w:t>https://global-express.org/index.php?id=271</w:t>
        </w:r>
      </w:hyperlink>
    </w:p>
  </w:footnote>
  <w:footnote w:id="71">
    <w:p w14:paraId="3CB193CD" w14:textId="7CC709A8" w:rsidR="0023596F" w:rsidRPr="0023596F" w:rsidRDefault="0023596F" w:rsidP="00260F24">
      <w:pPr>
        <w:pStyle w:val="Footnote"/>
      </w:pPr>
      <w:r>
        <w:rPr>
          <w:rStyle w:val="FootnoteReference"/>
        </w:rPr>
        <w:footnoteRef/>
      </w:r>
      <w:r>
        <w:t xml:space="preserve"> That is, respectively 73(2)(a) and 73(2)(b)</w:t>
      </w:r>
      <w:r w:rsidR="00BA1E53">
        <w:t>.</w:t>
      </w:r>
    </w:p>
  </w:footnote>
  <w:footnote w:id="72">
    <w:p w14:paraId="6A005DEB" w14:textId="20ED2ABC" w:rsidR="00E16C5E" w:rsidRPr="00E16C5E" w:rsidRDefault="00E16C5E" w:rsidP="00260F24">
      <w:pPr>
        <w:pStyle w:val="Footnote"/>
      </w:pPr>
      <w:r>
        <w:rPr>
          <w:rStyle w:val="FootnoteReference"/>
        </w:rPr>
        <w:footnoteRef/>
      </w:r>
      <w:r>
        <w:t xml:space="preserve"> That is the country subject to the original duties</w:t>
      </w:r>
      <w:r w:rsidR="00BA1E53">
        <w:t>.</w:t>
      </w:r>
    </w:p>
  </w:footnote>
  <w:footnote w:id="73">
    <w:p w14:paraId="7C089E29" w14:textId="2D2144C5" w:rsidR="00A21C01" w:rsidRPr="006623F9" w:rsidRDefault="00A21C01" w:rsidP="00A21C01">
      <w:pPr>
        <w:pStyle w:val="Footnote"/>
      </w:pPr>
      <w:r w:rsidRPr="006623F9">
        <w:rPr>
          <w:rStyle w:val="FootnoteReference"/>
        </w:rPr>
        <w:footnoteRef/>
      </w:r>
      <w:r>
        <w:t xml:space="preserve"> </w:t>
      </w:r>
      <w:r w:rsidRPr="006623F9">
        <w:t xml:space="preserve">Regulation (EU) 2016/1036 </w:t>
      </w:r>
      <w:r w:rsidR="0076174F">
        <w:t>of the</w:t>
      </w:r>
      <w:r w:rsidRPr="006623F9">
        <w:t xml:space="preserve"> European Parliament and of the Council, of 8 June 2016, on </w:t>
      </w:r>
      <w:r>
        <w:t>P</w:t>
      </w:r>
      <w:r w:rsidRPr="006623F9">
        <w:t xml:space="preserve">rotection </w:t>
      </w:r>
      <w:r>
        <w:t>A</w:t>
      </w:r>
      <w:r w:rsidRPr="006623F9">
        <w:t xml:space="preserve">gainst </w:t>
      </w:r>
      <w:r>
        <w:t>D</w:t>
      </w:r>
      <w:r w:rsidRPr="006623F9">
        <w:t xml:space="preserve">umped </w:t>
      </w:r>
      <w:r>
        <w:t>I</w:t>
      </w:r>
      <w:r w:rsidRPr="006623F9">
        <w:t xml:space="preserve">mports from </w:t>
      </w:r>
      <w:r>
        <w:t>C</w:t>
      </w:r>
      <w:r w:rsidRPr="006623F9">
        <w:t xml:space="preserve">ountries </w:t>
      </w:r>
      <w:r>
        <w:t>N</w:t>
      </w:r>
      <w:r w:rsidRPr="006623F9">
        <w:t xml:space="preserve">ot </w:t>
      </w:r>
      <w:r>
        <w:t>M</w:t>
      </w:r>
      <w:r w:rsidRPr="006623F9">
        <w:t>embers of the European Union</w:t>
      </w:r>
      <w:r>
        <w:t>, available</w:t>
      </w:r>
      <w:r w:rsidRPr="006623F9">
        <w:t xml:space="preserve"> </w:t>
      </w:r>
      <w:r>
        <w:t>from:</w:t>
      </w:r>
      <w:r w:rsidRPr="006623F9">
        <w:t xml:space="preserve"> </w:t>
      </w:r>
      <w:hyperlink r:id="rId32" w:history="1">
        <w:r w:rsidRPr="006623F9">
          <w:rPr>
            <w:rStyle w:val="Hyperlink"/>
            <w:sz w:val="20"/>
          </w:rPr>
          <w:t>https://eur-lex.europa.eu/legal-content/EN/TXT/HTML/?uri=CELEX:32016R1036&amp;from=EN</w:t>
        </w:r>
      </w:hyperlink>
      <w:r>
        <w:rPr>
          <w:rStyle w:val="Hyperlink"/>
          <w:sz w:val="20"/>
        </w:rPr>
        <w:t>;</w:t>
      </w:r>
      <w:r w:rsidRPr="006623F9">
        <w:t xml:space="preserve"> Regulation (EU) 2016/1037 of the European Parliament and of the Council of 8 June 2016 on </w:t>
      </w:r>
      <w:r>
        <w:t>P</w:t>
      </w:r>
      <w:r w:rsidRPr="006623F9">
        <w:t xml:space="preserve">rotection </w:t>
      </w:r>
      <w:r>
        <w:t>A</w:t>
      </w:r>
      <w:r w:rsidRPr="006623F9">
        <w:t xml:space="preserve">gainst </w:t>
      </w:r>
      <w:r>
        <w:t>S</w:t>
      </w:r>
      <w:r w:rsidRPr="006623F9">
        <w:t xml:space="preserve">ubsidised </w:t>
      </w:r>
      <w:r>
        <w:t>I</w:t>
      </w:r>
      <w:r w:rsidRPr="006623F9">
        <w:t xml:space="preserve">mports from </w:t>
      </w:r>
      <w:r>
        <w:t>C</w:t>
      </w:r>
      <w:r w:rsidRPr="006623F9">
        <w:t xml:space="preserve">ountries </w:t>
      </w:r>
      <w:r>
        <w:t>N</w:t>
      </w:r>
      <w:r w:rsidRPr="006623F9">
        <w:t xml:space="preserve">ot </w:t>
      </w:r>
      <w:r>
        <w:t>M</w:t>
      </w:r>
      <w:r w:rsidRPr="006623F9">
        <w:t>embers of the European Union</w:t>
      </w:r>
      <w:r>
        <w:t>,</w:t>
      </w:r>
      <w:r w:rsidRPr="006623F9">
        <w:t xml:space="preserve"> </w:t>
      </w:r>
      <w:r>
        <w:t>available</w:t>
      </w:r>
      <w:r w:rsidRPr="006623F9">
        <w:t xml:space="preserve"> </w:t>
      </w:r>
      <w:r>
        <w:t>from:</w:t>
      </w:r>
      <w:r w:rsidRPr="006623F9">
        <w:t xml:space="preserve"> </w:t>
      </w:r>
      <w:hyperlink r:id="rId33" w:history="1">
        <w:r w:rsidRPr="006623F9">
          <w:rPr>
            <w:rStyle w:val="Hyperlink"/>
            <w:sz w:val="20"/>
          </w:rPr>
          <w:t>https://eur-lex.europa.eu/legal-content/EN/TXT/?uri=celex%3A32016R1037</w:t>
        </w:r>
      </w:hyperlink>
      <w:r>
        <w:t>.</w:t>
      </w:r>
    </w:p>
    <w:p w14:paraId="71A87A3C" w14:textId="77777777" w:rsidR="00A21C01" w:rsidRPr="006623F9" w:rsidRDefault="00A21C01" w:rsidP="00A21C01">
      <w:pPr>
        <w:pStyle w:val="Footnote"/>
      </w:pPr>
    </w:p>
  </w:footnote>
  <w:footnote w:id="74">
    <w:p w14:paraId="67664D00" w14:textId="77777777" w:rsidR="00A21C01" w:rsidRPr="006623F9" w:rsidRDefault="00A21C01" w:rsidP="00A21C01">
      <w:pPr>
        <w:pStyle w:val="Footnote"/>
      </w:pPr>
      <w:r w:rsidRPr="006623F9">
        <w:rPr>
          <w:rStyle w:val="FootnoteReference"/>
        </w:rPr>
        <w:footnoteRef/>
      </w:r>
      <w:r w:rsidRPr="006623F9">
        <w:t xml:space="preserve"> See Vermulst</w:t>
      </w:r>
      <w:r>
        <w:t>, E.</w:t>
      </w:r>
      <w:r w:rsidRPr="006623F9">
        <w:t xml:space="preserve"> (2016), </w:t>
      </w:r>
      <w:r>
        <w:t>“</w:t>
      </w:r>
      <w:r w:rsidRPr="006623F9">
        <w:t xml:space="preserve">Circumvention of </w:t>
      </w:r>
      <w:r>
        <w:t>A</w:t>
      </w:r>
      <w:r w:rsidRPr="006623F9">
        <w:t xml:space="preserve">nti-dumping </w:t>
      </w:r>
      <w:r>
        <w:t>M</w:t>
      </w:r>
      <w:r w:rsidRPr="006623F9">
        <w:t xml:space="preserve">easures: Law and </w:t>
      </w:r>
      <w:r>
        <w:t>P</w:t>
      </w:r>
      <w:r w:rsidRPr="006623F9">
        <w:t xml:space="preserve">ractice of the European Union”, </w:t>
      </w:r>
      <w:r w:rsidRPr="006623F9">
        <w:rPr>
          <w:i/>
          <w:iCs/>
        </w:rPr>
        <w:t>Global Trade and Customs Journal</w:t>
      </w:r>
      <w:r w:rsidRPr="006623F9">
        <w:t>, 11</w:t>
      </w:r>
      <w:r>
        <w:t>(</w:t>
      </w:r>
      <w:r w:rsidRPr="006623F9">
        <w:t>11/12</w:t>
      </w:r>
      <w:r>
        <w:t>):</w:t>
      </w:r>
      <w:r w:rsidRPr="006623F9">
        <w:t xml:space="preserve"> 499-507</w:t>
      </w:r>
      <w:r>
        <w:t>.</w:t>
      </w:r>
    </w:p>
  </w:footnote>
  <w:footnote w:id="75">
    <w:p w14:paraId="1EA15F0E" w14:textId="346D89B5" w:rsidR="00CE4E84" w:rsidRDefault="00CE4E84">
      <w:pPr>
        <w:pStyle w:val="FootnoteText"/>
      </w:pPr>
      <w:r>
        <w:rPr>
          <w:rStyle w:val="FootnoteReference"/>
        </w:rPr>
        <w:footnoteRef/>
      </w:r>
      <w:r>
        <w:t xml:space="preserve"> TARIC stands for </w:t>
      </w:r>
      <w:r>
        <w:rPr>
          <w:rFonts w:cs="Arial"/>
          <w:color w:val="202124"/>
          <w:shd w:val="clear" w:color="auto" w:fill="FFFFFF"/>
        </w:rPr>
        <w:t xml:space="preserve">TARif Intégré Communautaire; </w:t>
      </w:r>
      <w:r w:rsidR="00A01ADC">
        <w:rPr>
          <w:rFonts w:cs="Arial"/>
          <w:color w:val="202124"/>
          <w:shd w:val="clear" w:color="auto" w:fill="FFFFFF"/>
        </w:rPr>
        <w:t xml:space="preserve">or </w:t>
      </w:r>
      <w:r>
        <w:rPr>
          <w:rFonts w:cs="Arial"/>
          <w:color w:val="202124"/>
          <w:shd w:val="clear" w:color="auto" w:fill="FFFFFF"/>
        </w:rPr>
        <w:t>Integrated Tariff of the European Communities</w:t>
      </w:r>
      <w:r w:rsidR="00F732CE">
        <w:rPr>
          <w:rFonts w:cs="Arial"/>
          <w:color w:val="202124"/>
          <w:shd w:val="clear" w:color="auto" w:fill="FFFFFF"/>
        </w:rPr>
        <w:t>.</w:t>
      </w:r>
    </w:p>
  </w:footnote>
  <w:footnote w:id="76">
    <w:p w14:paraId="5AA4E6EB" w14:textId="77777777" w:rsidR="00A21C01" w:rsidRPr="006623F9" w:rsidRDefault="00A21C01" w:rsidP="00A21C01">
      <w:pPr>
        <w:pStyle w:val="Footnote"/>
      </w:pPr>
      <w:r w:rsidRPr="006623F9">
        <w:rPr>
          <w:rStyle w:val="FootnoteReference"/>
        </w:rPr>
        <w:footnoteRef/>
      </w:r>
      <w:r w:rsidRPr="006623F9">
        <w:t xml:space="preserve"> See</w:t>
      </w:r>
      <w:r>
        <w:t>,</w:t>
      </w:r>
      <w:r w:rsidRPr="006623F9">
        <w:t xml:space="preserve"> notably</w:t>
      </w:r>
      <w:r>
        <w:t>,</w:t>
      </w:r>
      <w:r w:rsidRPr="006623F9">
        <w:t xml:space="preserve"> Case 26/88, Brother International GmbH v. Hauptzollamt Giessen, [1989] ECR 4253, cited in </w:t>
      </w:r>
      <w:r w:rsidRPr="006623F9">
        <w:tab/>
        <w:t xml:space="preserve">Vermulst, E. (2015), “EU </w:t>
      </w:r>
      <w:r>
        <w:t>A</w:t>
      </w:r>
      <w:r w:rsidRPr="006623F9">
        <w:t>nti-circumvention</w:t>
      </w:r>
      <w:r>
        <w:t xml:space="preserve"> R</w:t>
      </w:r>
      <w:r w:rsidRPr="006623F9">
        <w:t xml:space="preserve">ules: Do </w:t>
      </w:r>
      <w:r>
        <w:t>T</w:t>
      </w:r>
      <w:r w:rsidRPr="006623F9">
        <w:t xml:space="preserve">hey </w:t>
      </w:r>
      <w:r>
        <w:t>B</w:t>
      </w:r>
      <w:r w:rsidRPr="006623F9">
        <w:t xml:space="preserve">eat the </w:t>
      </w:r>
      <w:r>
        <w:t>A</w:t>
      </w:r>
      <w:r w:rsidRPr="006623F9">
        <w:t>lternative”, EUI Working Paper RSCAS 2015/57, pp 13-14.</w:t>
      </w:r>
    </w:p>
  </w:footnote>
  <w:footnote w:id="77">
    <w:p w14:paraId="033BB11F" w14:textId="77777777" w:rsidR="00A21C01" w:rsidRPr="003532C9" w:rsidRDefault="00A21C01" w:rsidP="00A21C01">
      <w:pPr>
        <w:pStyle w:val="Footnote"/>
        <w:rPr>
          <w:lang w:val="nl-NL"/>
        </w:rPr>
      </w:pPr>
      <w:r w:rsidRPr="006623F9">
        <w:rPr>
          <w:rStyle w:val="FootnoteReference"/>
        </w:rPr>
        <w:footnoteRef/>
      </w:r>
      <w:r w:rsidRPr="003532C9">
        <w:rPr>
          <w:lang w:val="nl-NL"/>
        </w:rPr>
        <w:t xml:space="preserve"> Vermulst, E. (2016), op.cit</w:t>
      </w:r>
      <w:r>
        <w:rPr>
          <w:lang w:val="nl-NL"/>
        </w:rPr>
        <w:t>.</w:t>
      </w:r>
      <w:r w:rsidRPr="003532C9">
        <w:rPr>
          <w:lang w:val="nl-NL"/>
        </w:rPr>
        <w:t xml:space="preserve"> pp 507-509</w:t>
      </w:r>
      <w:r>
        <w:rPr>
          <w:lang w:val="nl-NL"/>
        </w:rPr>
        <w:t>.</w:t>
      </w:r>
    </w:p>
  </w:footnote>
  <w:footnote w:id="78">
    <w:p w14:paraId="2406AD62" w14:textId="77777777" w:rsidR="00A21C01" w:rsidRPr="003532C9" w:rsidRDefault="00A21C01" w:rsidP="00A21C01">
      <w:pPr>
        <w:pStyle w:val="Footnote"/>
        <w:rPr>
          <w:lang w:val="nl-NL"/>
        </w:rPr>
      </w:pPr>
      <w:r w:rsidRPr="006623F9">
        <w:rPr>
          <w:rStyle w:val="FootnoteReference"/>
        </w:rPr>
        <w:footnoteRef/>
      </w:r>
      <w:r w:rsidRPr="003532C9">
        <w:rPr>
          <w:lang w:val="nl-NL"/>
        </w:rPr>
        <w:t xml:space="preserve"> Vermulst, E. (2015), op.cit, p14</w:t>
      </w:r>
      <w:r>
        <w:rPr>
          <w:lang w:val="nl-NL"/>
        </w:rPr>
        <w:t>.</w:t>
      </w:r>
    </w:p>
  </w:footnote>
  <w:footnote w:id="79">
    <w:p w14:paraId="2F364825" w14:textId="3093A8DE" w:rsidR="00A21C01" w:rsidRPr="00D61E2C" w:rsidRDefault="00A21C01" w:rsidP="00A21C01">
      <w:pPr>
        <w:pStyle w:val="Footnote"/>
      </w:pPr>
      <w:r w:rsidRPr="007C5FA9">
        <w:rPr>
          <w:rStyle w:val="FootnoteReference"/>
        </w:rPr>
        <w:footnoteRef/>
      </w:r>
      <w:r w:rsidRPr="00D61E2C">
        <w:t xml:space="preserve"> Rules of </w:t>
      </w:r>
      <w:r>
        <w:t>o</w:t>
      </w:r>
      <w:r w:rsidRPr="00D61E2C">
        <w:t>rigin are criteria set by a jurisdiction in the context of customs administration to determine whether an imported good can be classified as originating in a particular country. It arises because goods often contain embodied inputs sourced from different countries. Preferential rules of origin are used to determine whether an import is eligible for preferential tariff treatment</w:t>
      </w:r>
      <w:r>
        <w:t>,</w:t>
      </w:r>
      <w:r w:rsidRPr="00D61E2C">
        <w:t xml:space="preserve"> e.g. in the context of FTAs or under unilateral preference schemes. Criteria can vary by product and typically involve the notion of substantial transformation, often defined as the minimum amount of value added that needs </w:t>
      </w:r>
      <w:r>
        <w:t xml:space="preserve">to </w:t>
      </w:r>
      <w:r w:rsidRPr="00D61E2C">
        <w:t>originate in countries covered by the preferential arrangement.</w:t>
      </w:r>
    </w:p>
  </w:footnote>
  <w:footnote w:id="80">
    <w:p w14:paraId="507A7F1E" w14:textId="77777777" w:rsidR="00A21C01" w:rsidRPr="001E7105" w:rsidRDefault="00A21C01" w:rsidP="00A21C01">
      <w:pPr>
        <w:pStyle w:val="Footnote"/>
      </w:pPr>
      <w:r w:rsidRPr="006623F9">
        <w:rPr>
          <w:rStyle w:val="FootnoteReference"/>
        </w:rPr>
        <w:footnoteRef/>
      </w:r>
      <w:r w:rsidRPr="00A129DD">
        <w:t xml:space="preserve"> See Puccio and Erba</w:t>
      </w:r>
      <w:r w:rsidRPr="001E7105">
        <w:t>har (2016), op.cit</w:t>
      </w:r>
      <w:r>
        <w:t>.</w:t>
      </w:r>
    </w:p>
  </w:footnote>
  <w:footnote w:id="81">
    <w:p w14:paraId="066B8D46" w14:textId="77777777" w:rsidR="00A21C01" w:rsidRPr="006623F9" w:rsidRDefault="00A21C01" w:rsidP="00A21C01">
      <w:pPr>
        <w:pStyle w:val="Footnote"/>
      </w:pPr>
      <w:r w:rsidRPr="006623F9">
        <w:rPr>
          <w:rStyle w:val="FootnoteReference"/>
        </w:rPr>
        <w:footnoteRef/>
      </w:r>
      <w:r w:rsidRPr="006623F9">
        <w:t xml:space="preserve"> See </w:t>
      </w:r>
      <w:hyperlink r:id="rId34" w:history="1">
        <w:r w:rsidRPr="006623F9">
          <w:rPr>
            <w:rStyle w:val="Hyperlink"/>
            <w:sz w:val="20"/>
          </w:rPr>
          <w:t>https://trade.ec.europa.eu/tdi/case_history.cfm?init=388</w:t>
        </w:r>
      </w:hyperlink>
      <w:r w:rsidRPr="006623F9">
        <w:t xml:space="preserve"> for case history</w:t>
      </w:r>
      <w:r>
        <w:t>.</w:t>
      </w:r>
    </w:p>
  </w:footnote>
  <w:footnote w:id="82">
    <w:p w14:paraId="67177511" w14:textId="77777777" w:rsidR="00A21C01" w:rsidRPr="006623F9" w:rsidRDefault="00A21C01" w:rsidP="00A21C01">
      <w:pPr>
        <w:pStyle w:val="Footnote"/>
      </w:pPr>
      <w:r w:rsidRPr="006623F9">
        <w:rPr>
          <w:rStyle w:val="FootnoteReference"/>
        </w:rPr>
        <w:footnoteRef/>
      </w:r>
      <w:r w:rsidRPr="006623F9">
        <w:t xml:space="preserve"> See </w:t>
      </w:r>
      <w:hyperlink r:id="rId35" w:history="1">
        <w:r w:rsidRPr="006623F9">
          <w:rPr>
            <w:rStyle w:val="Hyperlink"/>
            <w:sz w:val="20"/>
          </w:rPr>
          <w:t>https://trade.ec.europa.eu/tdi/case_history.cfm?init=647</w:t>
        </w:r>
      </w:hyperlink>
      <w:r w:rsidRPr="006623F9">
        <w:t xml:space="preserve"> for case history</w:t>
      </w:r>
      <w:r>
        <w:t>.</w:t>
      </w:r>
    </w:p>
  </w:footnote>
  <w:footnote w:id="83">
    <w:p w14:paraId="09F307B0" w14:textId="77777777" w:rsidR="00A21C01" w:rsidRPr="006623F9" w:rsidRDefault="00A21C01" w:rsidP="00A21C01">
      <w:pPr>
        <w:pStyle w:val="Footnote"/>
      </w:pPr>
      <w:r w:rsidRPr="006623F9">
        <w:rPr>
          <w:rStyle w:val="FootnoteReference"/>
        </w:rPr>
        <w:footnoteRef/>
      </w:r>
      <w:r w:rsidRPr="006623F9">
        <w:t xml:space="preserve"> See </w:t>
      </w:r>
      <w:hyperlink r:id="rId36" w:history="1">
        <w:r w:rsidRPr="006623F9">
          <w:rPr>
            <w:rStyle w:val="Hyperlink"/>
            <w:sz w:val="20"/>
          </w:rPr>
          <w:t>https://trade.ec.europa.eu/tdi/case_history.cfm?init=1060</w:t>
        </w:r>
      </w:hyperlink>
      <w:r w:rsidRPr="006623F9">
        <w:t xml:space="preserve"> for case history</w:t>
      </w:r>
      <w:r>
        <w:t>.</w:t>
      </w:r>
    </w:p>
  </w:footnote>
  <w:footnote w:id="84">
    <w:p w14:paraId="4B7A9DBD" w14:textId="77777777" w:rsidR="00A21C01" w:rsidRPr="006623F9" w:rsidRDefault="00A21C01" w:rsidP="00A21C01">
      <w:pPr>
        <w:pStyle w:val="Footnote"/>
      </w:pPr>
      <w:r w:rsidRPr="006623F9">
        <w:rPr>
          <w:rStyle w:val="FootnoteReference"/>
        </w:rPr>
        <w:footnoteRef/>
      </w:r>
      <w:r w:rsidRPr="006623F9">
        <w:t xml:space="preserve"> See </w:t>
      </w:r>
      <w:hyperlink r:id="rId37" w:history="1">
        <w:r w:rsidRPr="006623F9">
          <w:rPr>
            <w:rStyle w:val="Hyperlink"/>
            <w:sz w:val="20"/>
          </w:rPr>
          <w:t>https://trade.ec.europa.eu/tdi/case_history.cfm?init=293</w:t>
        </w:r>
      </w:hyperlink>
      <w:r w:rsidRPr="006623F9">
        <w:t xml:space="preserve"> for case history</w:t>
      </w:r>
      <w:r>
        <w:t>.</w:t>
      </w:r>
    </w:p>
  </w:footnote>
  <w:footnote w:id="85">
    <w:p w14:paraId="3A023B58" w14:textId="316F6D17" w:rsidR="00A21C01" w:rsidRPr="006623F9" w:rsidRDefault="00A21C01" w:rsidP="00A21C01">
      <w:pPr>
        <w:pStyle w:val="Footnote"/>
      </w:pPr>
      <w:r w:rsidRPr="006623F9">
        <w:rPr>
          <w:rStyle w:val="FootnoteReference"/>
        </w:rPr>
        <w:footnoteRef/>
      </w:r>
      <w:r w:rsidRPr="006623F9">
        <w:t xml:space="preserve"> See </w:t>
      </w:r>
      <w:hyperlink r:id="rId38" w:history="1">
        <w:r w:rsidRPr="00E932C2">
          <w:rPr>
            <w:rStyle w:val="Hyperlink"/>
            <w:sz w:val="20"/>
          </w:rPr>
          <w:t>https://trade.ec.europa.eu/tdi/case_history.cfm?init=647</w:t>
        </w:r>
      </w:hyperlink>
      <w:r>
        <w:t xml:space="preserve"> </w:t>
      </w:r>
      <w:r w:rsidRPr="006623F9">
        <w:t>for case history</w:t>
      </w:r>
      <w:r>
        <w:t>.</w:t>
      </w:r>
    </w:p>
  </w:footnote>
  <w:footnote w:id="86">
    <w:p w14:paraId="02AB7717" w14:textId="77777777" w:rsidR="00A21C01" w:rsidRPr="006623F9" w:rsidRDefault="00A21C01" w:rsidP="00A21C01">
      <w:pPr>
        <w:pStyle w:val="Footnote"/>
      </w:pPr>
      <w:r w:rsidRPr="006623F9">
        <w:rPr>
          <w:rStyle w:val="FootnoteReference"/>
        </w:rPr>
        <w:footnoteRef/>
      </w:r>
      <w:r w:rsidRPr="006623F9">
        <w:t xml:space="preserve"> See </w:t>
      </w:r>
      <w:hyperlink r:id="rId39" w:history="1">
        <w:r w:rsidRPr="006623F9">
          <w:rPr>
            <w:rStyle w:val="Hyperlink"/>
            <w:sz w:val="20"/>
          </w:rPr>
          <w:t>https://trade.ec.europa.eu/tdi/case_history.cfm?init=355</w:t>
        </w:r>
      </w:hyperlink>
      <w:r>
        <w:rPr>
          <w:rStyle w:val="Hyperlink"/>
          <w:sz w:val="20"/>
        </w:rPr>
        <w:t xml:space="preserve"> </w:t>
      </w:r>
      <w:r w:rsidRPr="00D81270">
        <w:rPr>
          <w:rStyle w:val="Hyperlink"/>
          <w:color w:val="auto"/>
          <w:sz w:val="20"/>
          <w:u w:val="none"/>
        </w:rPr>
        <w:t>for case history.</w:t>
      </w:r>
    </w:p>
  </w:footnote>
  <w:footnote w:id="87">
    <w:p w14:paraId="070451D9" w14:textId="77777777" w:rsidR="00A21C01" w:rsidRPr="006623F9" w:rsidRDefault="00A21C01" w:rsidP="00A21C01">
      <w:pPr>
        <w:pStyle w:val="Footnote"/>
      </w:pPr>
      <w:r w:rsidRPr="006623F9">
        <w:rPr>
          <w:rStyle w:val="FootnoteReference"/>
        </w:rPr>
        <w:footnoteRef/>
      </w:r>
      <w:r w:rsidRPr="006623F9">
        <w:t xml:space="preserve"> See </w:t>
      </w:r>
      <w:hyperlink r:id="rId40" w:history="1">
        <w:r w:rsidRPr="006623F9">
          <w:rPr>
            <w:rStyle w:val="Hyperlink"/>
            <w:sz w:val="20"/>
          </w:rPr>
          <w:t>https://trade.ec.europa.eu/tdi/case_history.cfm?id=2429&amp;init=1532</w:t>
        </w:r>
      </w:hyperlink>
      <w:r w:rsidRPr="006623F9">
        <w:t xml:space="preserve"> for case history</w:t>
      </w:r>
      <w:r>
        <w:t>.</w:t>
      </w:r>
    </w:p>
    <w:p w14:paraId="4BC4B6EB" w14:textId="77777777" w:rsidR="00A21C01" w:rsidRPr="006623F9" w:rsidRDefault="00A21C01" w:rsidP="00A21C01">
      <w:pPr>
        <w:pStyle w:val="Footnote"/>
      </w:pPr>
    </w:p>
  </w:footnote>
  <w:footnote w:id="88">
    <w:p w14:paraId="54AA31F9" w14:textId="77777777" w:rsidR="00A21C01" w:rsidRPr="00217466" w:rsidRDefault="00A21C01" w:rsidP="00A21C01">
      <w:pPr>
        <w:pStyle w:val="Footnote"/>
      </w:pPr>
      <w:r>
        <w:rPr>
          <w:rStyle w:val="FootnoteReference"/>
        </w:rPr>
        <w:footnoteRef/>
      </w:r>
      <w:r>
        <w:t xml:space="preserve"> Inorganic chemicals; organic or inorganic compounds of precious metals, of rare-earth metals, of radioactive elements or of isotopes.</w:t>
      </w:r>
    </w:p>
  </w:footnote>
  <w:footnote w:id="89">
    <w:p w14:paraId="204BFB7F" w14:textId="77777777" w:rsidR="00A21C01" w:rsidRPr="00217466" w:rsidRDefault="00A21C01" w:rsidP="00A21C01">
      <w:pPr>
        <w:pStyle w:val="Footnote"/>
      </w:pPr>
      <w:r>
        <w:rPr>
          <w:rStyle w:val="FootnoteReference"/>
        </w:rPr>
        <w:footnoteRef/>
      </w:r>
      <w:r>
        <w:t xml:space="preserve"> Organic chemicals.</w:t>
      </w:r>
    </w:p>
  </w:footnote>
  <w:footnote w:id="90">
    <w:p w14:paraId="1DFBE90B" w14:textId="77777777" w:rsidR="00A21C01" w:rsidRPr="00217466" w:rsidRDefault="00A21C01" w:rsidP="00A21C01">
      <w:pPr>
        <w:pStyle w:val="Footnote"/>
      </w:pPr>
      <w:r>
        <w:rPr>
          <w:rStyle w:val="FootnoteReference"/>
        </w:rPr>
        <w:footnoteRef/>
      </w:r>
      <w:r>
        <w:t xml:space="preserve"> </w:t>
      </w:r>
      <w:r w:rsidRPr="007250CB">
        <w:t>Miscellaneous chemical products</w:t>
      </w:r>
      <w:r>
        <w:t>.</w:t>
      </w:r>
    </w:p>
  </w:footnote>
  <w:footnote w:id="91">
    <w:p w14:paraId="6427FD6C" w14:textId="77777777" w:rsidR="00A21C01" w:rsidRPr="00D61E2C" w:rsidRDefault="00A21C01" w:rsidP="00A21C01">
      <w:pPr>
        <w:pStyle w:val="Footnote"/>
      </w:pPr>
      <w:r w:rsidRPr="00B00C57">
        <w:rPr>
          <w:rStyle w:val="FootnoteReference"/>
        </w:rPr>
        <w:footnoteRef/>
      </w:r>
      <w:r w:rsidRPr="00D61E2C">
        <w:t xml:space="preserve"> Articles of stone, plaster, cement, asbestos, mica or similar materials</w:t>
      </w:r>
      <w:r>
        <w:t>.</w:t>
      </w:r>
    </w:p>
  </w:footnote>
  <w:footnote w:id="92">
    <w:p w14:paraId="6D31FB70" w14:textId="77777777" w:rsidR="00A21C01" w:rsidRPr="00D61E2C" w:rsidRDefault="00A21C01" w:rsidP="00A21C01">
      <w:pPr>
        <w:pStyle w:val="Footnote"/>
      </w:pPr>
      <w:r w:rsidRPr="00B00C57">
        <w:rPr>
          <w:rStyle w:val="FootnoteReference"/>
        </w:rPr>
        <w:footnoteRef/>
      </w:r>
      <w:r w:rsidRPr="00D61E2C">
        <w:t xml:space="preserve"> Glass and glassware</w:t>
      </w:r>
      <w:r>
        <w:t>.</w:t>
      </w:r>
    </w:p>
  </w:footnote>
  <w:footnote w:id="93">
    <w:p w14:paraId="3187E469" w14:textId="77777777" w:rsidR="00A21C01" w:rsidRPr="00D61E2C" w:rsidRDefault="00A21C01" w:rsidP="00A21C01">
      <w:pPr>
        <w:pStyle w:val="Footnote"/>
      </w:pPr>
      <w:r w:rsidRPr="00B00C57">
        <w:rPr>
          <w:rStyle w:val="FootnoteReference"/>
        </w:rPr>
        <w:footnoteRef/>
      </w:r>
      <w:r w:rsidRPr="00D61E2C">
        <w:t xml:space="preserve"> Iron and steel</w:t>
      </w:r>
      <w:r>
        <w:t>.</w:t>
      </w:r>
    </w:p>
  </w:footnote>
  <w:footnote w:id="94">
    <w:p w14:paraId="45525933" w14:textId="689645BF" w:rsidR="00A21C01" w:rsidRPr="00D61E2C" w:rsidRDefault="00A21C01" w:rsidP="00A21C01">
      <w:pPr>
        <w:pStyle w:val="Footnote"/>
      </w:pPr>
      <w:r w:rsidRPr="00B00C57">
        <w:rPr>
          <w:rStyle w:val="FootnoteReference"/>
        </w:rPr>
        <w:footnoteRef/>
      </w:r>
      <w:r w:rsidRPr="00D61E2C">
        <w:t xml:space="preserve"> Articles of </w:t>
      </w:r>
      <w:r>
        <w:t>i</w:t>
      </w:r>
      <w:r w:rsidRPr="00D61E2C">
        <w:t xml:space="preserve">ron and </w:t>
      </w:r>
      <w:r>
        <w:t>s</w:t>
      </w:r>
      <w:r w:rsidRPr="00D61E2C">
        <w:t>teel</w:t>
      </w:r>
      <w:r>
        <w:t>.</w:t>
      </w:r>
    </w:p>
  </w:footnote>
  <w:footnote w:id="95">
    <w:p w14:paraId="0334D731" w14:textId="77777777" w:rsidR="00A21C01" w:rsidRDefault="00A21C01" w:rsidP="00A21C01">
      <w:pPr>
        <w:pStyle w:val="Footnote"/>
      </w:pPr>
      <w:r w:rsidRPr="00B00C57">
        <w:rPr>
          <w:rStyle w:val="FootnoteReference"/>
        </w:rPr>
        <w:footnoteRef/>
      </w:r>
      <w:r w:rsidRPr="00D61E2C">
        <w:t xml:space="preserve"> Other base metals; cermets; articles thereof</w:t>
      </w:r>
      <w:r>
        <w:t>.</w:t>
      </w:r>
    </w:p>
  </w:footnote>
  <w:footnote w:id="96">
    <w:p w14:paraId="1D30283A" w14:textId="1C246C0B" w:rsidR="00C172FC" w:rsidRPr="00D61E2C" w:rsidRDefault="00C172FC" w:rsidP="00A21C01">
      <w:pPr>
        <w:pStyle w:val="Footnote"/>
      </w:pPr>
      <w:r w:rsidRPr="004666ED">
        <w:rPr>
          <w:rStyle w:val="FootnoteReference"/>
        </w:rPr>
        <w:footnoteRef/>
      </w:r>
      <w:r w:rsidRPr="00D61E2C">
        <w:t xml:space="preserve"> Hyperlinks link to Global Trade Alert, </w:t>
      </w:r>
      <w:r>
        <w:t>apart from</w:t>
      </w:r>
      <w:r w:rsidRPr="00D61E2C">
        <w:t xml:space="preserve"> cases where more relevant information can be found on the EC website (i.e. where information for the exact case cannot be found on Global Trade Alert)</w:t>
      </w:r>
      <w:r>
        <w:t>.</w:t>
      </w:r>
    </w:p>
  </w:footnote>
  <w:footnote w:id="97">
    <w:p w14:paraId="5B84001A" w14:textId="77777777" w:rsidR="00A21C01" w:rsidRPr="00D61E2C" w:rsidRDefault="00A21C01" w:rsidP="00A21C01">
      <w:pPr>
        <w:pStyle w:val="Footnote"/>
      </w:pPr>
      <w:r w:rsidRPr="00CD05F2">
        <w:rPr>
          <w:rStyle w:val="FootnoteReference"/>
        </w:rPr>
        <w:footnoteRef/>
      </w:r>
      <w:r w:rsidRPr="00D61E2C">
        <w:t xml:space="preserve"> Anti-circumvention case is not listed on the EC website but appears on Global Trade Alert</w:t>
      </w:r>
      <w:r>
        <w:t>.</w:t>
      </w:r>
    </w:p>
  </w:footnote>
  <w:footnote w:id="98">
    <w:p w14:paraId="7204DDC7" w14:textId="7424649B" w:rsidR="00A21C01" w:rsidRPr="006623F9" w:rsidRDefault="00A21C01" w:rsidP="00A21C01">
      <w:pPr>
        <w:pStyle w:val="Footnote"/>
      </w:pPr>
      <w:r w:rsidRPr="006623F9">
        <w:rPr>
          <w:rStyle w:val="FootnoteReference"/>
        </w:rPr>
        <w:footnoteRef/>
      </w:r>
      <w:r w:rsidRPr="006623F9">
        <w:t xml:space="preserve"> These effects may also stimulate demand for trade remedies in other jurisdiction</w:t>
      </w:r>
      <w:r>
        <w:t>s</w:t>
      </w:r>
      <w:r w:rsidRPr="006623F9">
        <w:t xml:space="preserve"> as lower trade costs increase the exposure of local industries to competition from </w:t>
      </w:r>
      <w:r w:rsidR="002406F0">
        <w:t>PRC</w:t>
      </w:r>
      <w:r w:rsidRPr="006623F9">
        <w:t xml:space="preserve">. </w:t>
      </w:r>
    </w:p>
  </w:footnote>
  <w:footnote w:id="99">
    <w:p w14:paraId="3FBD108E" w14:textId="77777777" w:rsidR="00A21C01" w:rsidRPr="00217466" w:rsidRDefault="00A21C01" w:rsidP="00A21C01">
      <w:pPr>
        <w:pStyle w:val="Footnote"/>
      </w:pPr>
      <w:r>
        <w:rPr>
          <w:rStyle w:val="FootnoteReference"/>
        </w:rPr>
        <w:footnoteRef/>
      </w:r>
      <w:r>
        <w:t xml:space="preserve"> CIF – cost, insurance and freight is the price of the good delivered at the frontier of the importing country. </w:t>
      </w:r>
    </w:p>
  </w:footnote>
  <w:footnote w:id="100">
    <w:p w14:paraId="5914A678" w14:textId="77777777" w:rsidR="007B7B2A" w:rsidRPr="00B379EB" w:rsidRDefault="007B7B2A" w:rsidP="007B7B2A">
      <w:pPr>
        <w:pStyle w:val="FootnoteText"/>
        <w:rPr>
          <w:lang w:val="en-US"/>
        </w:rPr>
      </w:pPr>
      <w:r>
        <w:rPr>
          <w:rStyle w:val="FootnoteReference"/>
        </w:rPr>
        <w:footnoteRef/>
      </w:r>
      <w:r>
        <w:t xml:space="preserve"> </w:t>
      </w:r>
      <w:r w:rsidRPr="00C7554B">
        <w:rPr>
          <w:rFonts w:cstheme="minorHAnsi"/>
        </w:rPr>
        <w:t xml:space="preserve">See 19 CFR 351.226 (d)(1)(ii) referencing 19 CFR 351.226 (c) which </w:t>
      </w:r>
      <w:r>
        <w:rPr>
          <w:rFonts w:cstheme="minorHAnsi"/>
        </w:rPr>
        <w:t xml:space="preserve">requires </w:t>
      </w:r>
      <w:r w:rsidRPr="00B379EB">
        <w:rPr>
          <w:rFonts w:asciiTheme="minorHAnsi" w:hAnsiTheme="minorHAnsi" w:cstheme="minorHAnsi"/>
        </w:rPr>
        <w:t xml:space="preserve">each circumvention inquiry request </w:t>
      </w:r>
      <w:r>
        <w:rPr>
          <w:rFonts w:cstheme="minorHAnsi"/>
        </w:rPr>
        <w:t xml:space="preserve">to </w:t>
      </w:r>
      <w:r w:rsidRPr="00B379EB">
        <w:rPr>
          <w:rFonts w:asciiTheme="minorHAnsi" w:hAnsiTheme="minorHAnsi" w:cstheme="minorHAnsi"/>
        </w:rPr>
        <w:t>provide evidence of the elements necessary for a circumvention determination that</w:t>
      </w:r>
      <w:r>
        <w:rPr>
          <w:rFonts w:cstheme="minorHAnsi"/>
        </w:rPr>
        <w:t xml:space="preserve"> i</w:t>
      </w:r>
      <w:r w:rsidRPr="00B379EB">
        <w:rPr>
          <w:rFonts w:asciiTheme="minorHAnsi" w:hAnsiTheme="minorHAnsi" w:cstheme="minorHAnsi"/>
        </w:rPr>
        <w:t>s reasonably available to the interested party making the request</w:t>
      </w:r>
      <w:r w:rsidRPr="00C7554B">
        <w:rPr>
          <w:rFonts w:cstheme="minorHAnsi"/>
        </w:rPr>
        <w:t>.</w:t>
      </w:r>
    </w:p>
  </w:footnote>
  <w:footnote w:id="101">
    <w:p w14:paraId="5330FBC4" w14:textId="762948E2" w:rsidR="00A21C01" w:rsidRPr="006623F9" w:rsidRDefault="00A21C01" w:rsidP="00A21C01">
      <w:pPr>
        <w:pStyle w:val="Footnote"/>
      </w:pPr>
      <w:r w:rsidRPr="006623F9">
        <w:rPr>
          <w:rStyle w:val="FootnoteReference"/>
        </w:rPr>
        <w:footnoteRef/>
      </w:r>
      <w:r w:rsidRPr="006623F9">
        <w:t xml:space="preserve"> See</w:t>
      </w:r>
      <w:r>
        <w:t>,</w:t>
      </w:r>
      <w:r w:rsidRPr="006623F9">
        <w:t xml:space="preserve"> notably</w:t>
      </w:r>
      <w:r>
        <w:t>,</w:t>
      </w:r>
      <w:r w:rsidRPr="006623F9">
        <w:t xml:space="preserve"> Japan </w:t>
      </w:r>
      <w:r>
        <w:t>–</w:t>
      </w:r>
      <w:r w:rsidRPr="006623F9">
        <w:t xml:space="preserve"> Taxes on Alcoholic Beverages, and Canada — Certain Measures Concerning Periodicals. The jurisprudence states that likeness should be assessed narrowly, on a case</w:t>
      </w:r>
      <w:r>
        <w:t>-</w:t>
      </w:r>
      <w:r w:rsidRPr="006623F9">
        <w:t>by</w:t>
      </w:r>
      <w:r>
        <w:t>-</w:t>
      </w:r>
      <w:r w:rsidRPr="006623F9">
        <w:t xml:space="preserve">case basis, taking account </w:t>
      </w:r>
      <w:r>
        <w:t xml:space="preserve">of </w:t>
      </w:r>
      <w:r w:rsidRPr="006623F9">
        <w:t>relevant factors including: (i) the product's end-uses in a given market; (ii) consumers' tastes and habits; and (iii) the product's properties, nature and quality.</w:t>
      </w:r>
    </w:p>
  </w:footnote>
  <w:footnote w:id="102">
    <w:p w14:paraId="1937626D" w14:textId="77777777" w:rsidR="00A21C01" w:rsidRPr="00F032D1" w:rsidRDefault="00A21C01" w:rsidP="00A21C01">
      <w:pPr>
        <w:pStyle w:val="Footnote"/>
      </w:pPr>
      <w:r>
        <w:rPr>
          <w:rStyle w:val="FootnoteReference"/>
        </w:rPr>
        <w:footnoteRef/>
      </w:r>
      <w:r>
        <w:t xml:space="preserve"> </w:t>
      </w:r>
      <w:r w:rsidRPr="00F032D1">
        <w:t>Access is via the International Trade Administration’s ACCESS database</w:t>
      </w:r>
      <w:r>
        <w:t>,</w:t>
      </w:r>
      <w:r w:rsidRPr="00F032D1">
        <w:t xml:space="preserve"> </w:t>
      </w:r>
      <w:hyperlink r:id="rId41" w:history="1">
        <w:r w:rsidRPr="00C9279D">
          <w:rPr>
            <w:color w:val="2F5496" w:themeColor="accent1" w:themeShade="BF"/>
          </w:rPr>
          <w:t>https://access.trade.gov/login.aspx</w:t>
        </w:r>
      </w:hyperlink>
    </w:p>
  </w:footnote>
  <w:footnote w:id="103">
    <w:p w14:paraId="7CC7A95D" w14:textId="7FEAA4C0" w:rsidR="00A21C01" w:rsidRPr="006623F9" w:rsidRDefault="00A21C01" w:rsidP="00A21C01">
      <w:pPr>
        <w:pStyle w:val="Footnote"/>
      </w:pPr>
      <w:r w:rsidRPr="006623F9">
        <w:rPr>
          <w:rStyle w:val="FootnoteReference"/>
        </w:rPr>
        <w:footnoteRef/>
      </w:r>
      <w:r w:rsidRPr="006623F9">
        <w:t xml:space="preserve"> Department of Commerce, International Trade Administration (2021)</w:t>
      </w:r>
      <w:r>
        <w:t>,</w:t>
      </w:r>
      <w:r w:rsidRPr="006623F9">
        <w:t xml:space="preserve"> </w:t>
      </w:r>
      <w:r>
        <w:t>“</w:t>
      </w:r>
      <w:r w:rsidRPr="006623F9">
        <w:t xml:space="preserve">Certain Uncoated Paper from Brazil, the People’s Republic of </w:t>
      </w:r>
      <w:r w:rsidR="002406F0">
        <w:t>PRC</w:t>
      </w:r>
      <w:r w:rsidRPr="006623F9">
        <w:t>, and Indonesia: Affirmative Final Determinations of Circumvention of the Antidumping Duty Orders and Countervailing Duty Orders for Certain Uncoated Paper Rolls</w:t>
      </w:r>
      <w:r>
        <w:t>”.</w:t>
      </w:r>
    </w:p>
  </w:footnote>
  <w:footnote w:id="104">
    <w:p w14:paraId="12B956B7" w14:textId="32975B37" w:rsidR="00A21C01" w:rsidRPr="006623F9" w:rsidRDefault="00A21C01" w:rsidP="00A21C01">
      <w:pPr>
        <w:pStyle w:val="Footnote"/>
      </w:pPr>
      <w:r w:rsidRPr="006623F9">
        <w:rPr>
          <w:rStyle w:val="FootnoteReference"/>
        </w:rPr>
        <w:footnoteRef/>
      </w:r>
      <w:r w:rsidRPr="006623F9">
        <w:t xml:space="preserve"> Department of Commerce, International Trade Administration (2021), </w:t>
      </w:r>
      <w:r>
        <w:t>“</w:t>
      </w:r>
      <w:r w:rsidRPr="006623F9">
        <w:t xml:space="preserve">Oil Country Tubular Goods from the People’s Republic of </w:t>
      </w:r>
      <w:r w:rsidR="002406F0">
        <w:t>PRC</w:t>
      </w:r>
      <w:r w:rsidRPr="006623F9">
        <w:t>: Issues and Decision Memorandum for Final Affirmative Determinations of Circumvention</w:t>
      </w:r>
      <w:r>
        <w:t>”.</w:t>
      </w:r>
    </w:p>
  </w:footnote>
  <w:footnote w:id="105">
    <w:p w14:paraId="6B405CC1" w14:textId="6C345B44" w:rsidR="00A21C01" w:rsidRPr="006623F9" w:rsidRDefault="00A21C01" w:rsidP="00A21C01">
      <w:pPr>
        <w:pStyle w:val="Footnote"/>
      </w:pPr>
      <w:r w:rsidRPr="006623F9">
        <w:rPr>
          <w:rStyle w:val="FootnoteReference"/>
        </w:rPr>
        <w:footnoteRef/>
      </w:r>
      <w:r w:rsidRPr="006623F9">
        <w:t xml:space="preserve"> Department of Commerce, International Trade Administration (2012), </w:t>
      </w:r>
      <w:r>
        <w:t>“</w:t>
      </w:r>
      <w:r w:rsidRPr="006623F9">
        <w:t xml:space="preserve">Small Diameter Graphite Electrodes from the People’s Republic of </w:t>
      </w:r>
      <w:r w:rsidR="002406F0">
        <w:t>PRC</w:t>
      </w:r>
      <w:r w:rsidRPr="006623F9">
        <w:t>: Affirmative Final Determination of Circumvention of the Antidumping Duty Order</w:t>
      </w:r>
      <w:r>
        <w:t>”,</w:t>
      </w:r>
      <w:r w:rsidRPr="006623F9">
        <w:t xml:space="preserve"> cited in Spicer, </w:t>
      </w:r>
      <w:r>
        <w:t xml:space="preserve">M., </w:t>
      </w:r>
      <w:r w:rsidRPr="006623F9">
        <w:t>Clarke</w:t>
      </w:r>
      <w:r>
        <w:t>, P.</w:t>
      </w:r>
      <w:r w:rsidRPr="006623F9">
        <w:t xml:space="preserve"> and Horlick,</w:t>
      </w:r>
      <w:r>
        <w:t xml:space="preserve"> G. </w:t>
      </w:r>
      <w:r w:rsidRPr="006623F9">
        <w:t>(2016)</w:t>
      </w:r>
      <w:r>
        <w:t>,</w:t>
      </w:r>
      <w:r w:rsidRPr="006623F9">
        <w:t xml:space="preserve"> “Anti-circumvention of </w:t>
      </w:r>
      <w:r>
        <w:t>A</w:t>
      </w:r>
      <w:r w:rsidRPr="006623F9">
        <w:t xml:space="preserve">nti-dumping </w:t>
      </w:r>
      <w:r>
        <w:t>M</w:t>
      </w:r>
      <w:r w:rsidRPr="006623F9">
        <w:t xml:space="preserve">easures: Law and </w:t>
      </w:r>
      <w:r>
        <w:t>P</w:t>
      </w:r>
      <w:r w:rsidRPr="006623F9">
        <w:t xml:space="preserve">ractice of the United States”, </w:t>
      </w:r>
      <w:r w:rsidRPr="006623F9">
        <w:rPr>
          <w:i/>
          <w:iCs/>
        </w:rPr>
        <w:t>Global Trade and Customs Law</w:t>
      </w:r>
      <w:r w:rsidRPr="006623F9">
        <w:t>, 11</w:t>
      </w:r>
      <w:r>
        <w:t>(</w:t>
      </w:r>
      <w:r w:rsidRPr="006623F9">
        <w:t>11-12</w:t>
      </w:r>
      <w:r>
        <w:t>):</w:t>
      </w:r>
      <w:r w:rsidRPr="006623F9">
        <w:t xml:space="preserve"> 537</w:t>
      </w:r>
      <w:r>
        <w:t>.</w:t>
      </w:r>
    </w:p>
  </w:footnote>
  <w:footnote w:id="106">
    <w:p w14:paraId="1F3353BF" w14:textId="77777777" w:rsidR="00A21C01" w:rsidRPr="006623F9" w:rsidRDefault="00A21C01" w:rsidP="00A21C01">
      <w:pPr>
        <w:pStyle w:val="Footnote"/>
      </w:pPr>
      <w:r w:rsidRPr="006623F9">
        <w:rPr>
          <w:rStyle w:val="FootnoteReference"/>
        </w:rPr>
        <w:footnoteRef/>
      </w:r>
      <w:r w:rsidRPr="006623F9">
        <w:t xml:space="preserve"> Department of Commerce, International Trade Administration (2011)</w:t>
      </w:r>
      <w:r>
        <w:t>,</w:t>
      </w:r>
      <w:r w:rsidRPr="006623F9">
        <w:t xml:space="preserve"> </w:t>
      </w:r>
      <w:r>
        <w:t>“</w:t>
      </w:r>
      <w:r w:rsidRPr="006623F9">
        <w:t>Polyethylene Terephthalate Film, Sheet, and Strip from the United Arab Emirates: Negative Final Determination of Circumvention of the Antidumping Duty Order</w:t>
      </w:r>
      <w:r>
        <w:t>”</w:t>
      </w:r>
      <w:r w:rsidRPr="006623F9">
        <w:t xml:space="preserve">, cited in Spicer et al. 2016, </w:t>
      </w:r>
      <w:r w:rsidRPr="00EF4802">
        <w:t>op.cit.</w:t>
      </w:r>
    </w:p>
  </w:footnote>
  <w:footnote w:id="107">
    <w:p w14:paraId="0F209524" w14:textId="77777777" w:rsidR="00A21C01" w:rsidRPr="006623F9" w:rsidRDefault="00A21C01" w:rsidP="00A21C01">
      <w:pPr>
        <w:pStyle w:val="Footnote"/>
      </w:pPr>
      <w:r w:rsidRPr="006623F9">
        <w:rPr>
          <w:rStyle w:val="FootnoteReference"/>
        </w:rPr>
        <w:footnoteRef/>
      </w:r>
      <w:r w:rsidRPr="006623F9">
        <w:t xml:space="preserve"> Department of Commerce, International Trade Administration (2020), </w:t>
      </w:r>
      <w:r>
        <w:t>“</w:t>
      </w:r>
      <w:r w:rsidRPr="006623F9">
        <w:t>Steel Concrete Reinforcing Bar From Mexico: Final Affirmative Determination of Circumvention of the Antidumping Duty Order</w:t>
      </w:r>
      <w:r>
        <w:t>”.</w:t>
      </w:r>
    </w:p>
  </w:footnote>
  <w:footnote w:id="108">
    <w:p w14:paraId="700635E1" w14:textId="77777777" w:rsidR="00A21C01" w:rsidRPr="006623F9" w:rsidRDefault="00A21C01" w:rsidP="00A21C01">
      <w:pPr>
        <w:pStyle w:val="Footnote"/>
      </w:pPr>
      <w:r w:rsidRPr="006623F9">
        <w:rPr>
          <w:rStyle w:val="FootnoteReference"/>
        </w:rPr>
        <w:footnoteRef/>
      </w:r>
      <w:r w:rsidRPr="006623F9">
        <w:t xml:space="preserve"> Department of Commerce, International Trade Administration (2013)</w:t>
      </w:r>
      <w:r>
        <w:t>,</w:t>
      </w:r>
      <w:r w:rsidRPr="006623F9">
        <w:t xml:space="preserve"> </w:t>
      </w:r>
      <w:r>
        <w:t>“</w:t>
      </w:r>
      <w:r w:rsidRPr="006623F9">
        <w:t>Carbon and Certain Alloy Steel Wire Rod from Mexico: Affirmative Final Determination of Circumvention of the Antidumping Duty Order</w:t>
      </w:r>
      <w:r>
        <w:t>”</w:t>
      </w:r>
      <w:r w:rsidRPr="006623F9">
        <w:t xml:space="preserve">, cited in Spicer et al. </w:t>
      </w:r>
      <w:r>
        <w:t>(</w:t>
      </w:r>
      <w:r w:rsidRPr="006623F9">
        <w:t>2016</w:t>
      </w:r>
      <w:r>
        <w:t>)</w:t>
      </w:r>
      <w:r w:rsidRPr="006623F9">
        <w:t>, op.cit, p 538</w:t>
      </w:r>
      <w:r>
        <w:t>.</w:t>
      </w:r>
    </w:p>
  </w:footnote>
  <w:footnote w:id="109">
    <w:p w14:paraId="394DF498" w14:textId="6118664A" w:rsidR="00A21C01" w:rsidRPr="006623F9" w:rsidRDefault="00A21C01" w:rsidP="00A21C01">
      <w:pPr>
        <w:pStyle w:val="Footnote"/>
      </w:pPr>
      <w:r w:rsidRPr="006623F9">
        <w:rPr>
          <w:rStyle w:val="FootnoteReference"/>
        </w:rPr>
        <w:footnoteRef/>
      </w:r>
      <w:r w:rsidRPr="006623F9">
        <w:t xml:space="preserve"> Department of Commerce, International Trade Administration (2006), </w:t>
      </w:r>
      <w:r>
        <w:t>“</w:t>
      </w:r>
      <w:r w:rsidRPr="006623F9">
        <w:t xml:space="preserve">Later-Developed Merchandise Anti-Circumvention Inquiry of the Anti-dumping Order on Petroleum Wax Candles from the People’s Republic of </w:t>
      </w:r>
      <w:r w:rsidR="002406F0">
        <w:t>PRC</w:t>
      </w:r>
      <w:r w:rsidRPr="006623F9">
        <w:t>: Affirmative Final Determination of Circumvention of the Anti-dumping Duty Order</w:t>
      </w:r>
      <w:r>
        <w:t>”</w:t>
      </w:r>
      <w:r w:rsidRPr="006623F9">
        <w:t>,</w:t>
      </w:r>
      <w:r>
        <w:t xml:space="preserve"> </w:t>
      </w:r>
      <w:r w:rsidRPr="006623F9">
        <w:t>cited in Spicer et al. 2016, op.cit, p 538</w:t>
      </w:r>
      <w:r>
        <w:t>.</w:t>
      </w:r>
    </w:p>
  </w:footnote>
  <w:footnote w:id="110">
    <w:p w14:paraId="7EAD4ECC" w14:textId="77777777" w:rsidR="00E72524" w:rsidRPr="00D13CBB" w:rsidRDefault="00E72524" w:rsidP="00A21C01">
      <w:pPr>
        <w:pStyle w:val="Footnote"/>
      </w:pPr>
      <w:r w:rsidRPr="00D13CBB">
        <w:rPr>
          <w:rStyle w:val="FootnoteReference"/>
        </w:rPr>
        <w:footnoteRef/>
      </w:r>
      <w:r w:rsidRPr="00D61E2C">
        <w:t xml:space="preserve"> This column is the total of the columns to the right</w:t>
      </w:r>
      <w:r>
        <w:t>.</w:t>
      </w:r>
    </w:p>
  </w:footnote>
  <w:footnote w:id="111">
    <w:p w14:paraId="59B4D14F" w14:textId="5E5A7E0D" w:rsidR="00D97C52" w:rsidRPr="006623F9" w:rsidRDefault="00D97C52" w:rsidP="00A21C01">
      <w:pPr>
        <w:pStyle w:val="Footnote"/>
      </w:pPr>
      <w:r w:rsidRPr="006623F9">
        <w:rPr>
          <w:rStyle w:val="FootnoteReference"/>
        </w:rPr>
        <w:footnoteRef/>
      </w:r>
      <w:r w:rsidRPr="006623F9">
        <w:t xml:space="preserve"> There are two separate cases for </w:t>
      </w:r>
      <w:r w:rsidR="002406F0">
        <w:t>PRC</w:t>
      </w:r>
      <w:r w:rsidRPr="006623F9">
        <w:t>, one modification, and one third</w:t>
      </w:r>
      <w:r>
        <w:t>-</w:t>
      </w:r>
      <w:r w:rsidRPr="006623F9">
        <w:t>party assembly</w:t>
      </w:r>
      <w:r>
        <w:t>.</w:t>
      </w:r>
    </w:p>
  </w:footnote>
  <w:footnote w:id="112">
    <w:p w14:paraId="08CE9E71" w14:textId="77777777" w:rsidR="00D97C52" w:rsidRPr="006623F9" w:rsidRDefault="00D97C52" w:rsidP="00A21C01">
      <w:pPr>
        <w:pStyle w:val="Footnote"/>
      </w:pPr>
      <w:r w:rsidRPr="006623F9">
        <w:rPr>
          <w:rStyle w:val="FootnoteReference"/>
        </w:rPr>
        <w:footnoteRef/>
      </w:r>
      <w:r w:rsidRPr="006623F9">
        <w:t xml:space="preserve"> Two separate cases</w:t>
      </w:r>
      <w:r>
        <w:t>.</w:t>
      </w:r>
    </w:p>
  </w:footnote>
  <w:footnote w:id="113">
    <w:p w14:paraId="79A10740" w14:textId="77777777" w:rsidR="00A21C01" w:rsidRPr="006623F9" w:rsidRDefault="00A21C01" w:rsidP="00A21C01">
      <w:pPr>
        <w:pStyle w:val="Footnote"/>
      </w:pPr>
      <w:r w:rsidRPr="006623F9">
        <w:rPr>
          <w:rStyle w:val="FootnoteReference"/>
        </w:rPr>
        <w:footnoteRef/>
      </w:r>
      <w:r w:rsidRPr="006623F9">
        <w:t xml:space="preserve"> </w:t>
      </w:r>
      <w:hyperlink r:id="rId42" w:history="1">
        <w:r w:rsidRPr="004B7560">
          <w:rPr>
            <w:rStyle w:val="Hyperlink"/>
            <w:sz w:val="20"/>
          </w:rPr>
          <w:t>https://www.wto.org/english/tratop_e/adp_e/AD_Sectoral_MeasuresByRepMem.xlsx</w:t>
        </w:r>
      </w:hyperlink>
      <w:r w:rsidRPr="006623F9">
        <w:t xml:space="preserve"> accessed on 3 December 2021</w:t>
      </w:r>
      <w:r>
        <w:t>.</w:t>
      </w:r>
    </w:p>
  </w:footnote>
  <w:footnote w:id="114">
    <w:p w14:paraId="62F69BD9" w14:textId="77777777" w:rsidR="00C378E7" w:rsidRDefault="00C378E7" w:rsidP="00C378E7">
      <w:pPr>
        <w:pStyle w:val="Footnote"/>
        <w:rPr>
          <w:lang w:val="en-US"/>
        </w:rPr>
      </w:pPr>
      <w:r>
        <w:rPr>
          <w:rStyle w:val="FootnoteReference"/>
        </w:rPr>
        <w:footnoteRef/>
      </w:r>
      <w:r>
        <w:t xml:space="preserve"> </w:t>
      </w:r>
      <w:r>
        <w:rPr>
          <w:lang w:val="en-US"/>
        </w:rPr>
        <w:t xml:space="preserve">The relevant amendments to the </w:t>
      </w:r>
      <w:r>
        <w:rPr>
          <w:i/>
          <w:lang w:val="en-US"/>
        </w:rPr>
        <w:t xml:space="preserve">Customs Act 1901 </w:t>
      </w:r>
      <w:r>
        <w:rPr>
          <w:lang w:val="en-US"/>
        </w:rPr>
        <w:t xml:space="preserve">were made by the </w:t>
      </w:r>
      <w:hyperlink r:id="rId43" w:history="1">
        <w:r>
          <w:rPr>
            <w:rStyle w:val="Hyperlink"/>
            <w:i/>
            <w:sz w:val="20"/>
            <w:lang w:val="en-US"/>
          </w:rPr>
          <w:t>Customs Amendment (Anti</w:t>
        </w:r>
        <w:r>
          <w:rPr>
            <w:rStyle w:val="Hyperlink"/>
            <w:i/>
            <w:sz w:val="20"/>
            <w:lang w:val="en-US"/>
          </w:rPr>
          <w:noBreakHyphen/>
          <w:t>dumping Improvements) Act (No. 3)</w:t>
        </w:r>
        <w:r>
          <w:rPr>
            <w:rStyle w:val="Hyperlink"/>
            <w:sz w:val="20"/>
            <w:lang w:val="en-US"/>
          </w:rPr>
          <w:t xml:space="preserve"> </w:t>
        </w:r>
        <w:r>
          <w:rPr>
            <w:rStyle w:val="Hyperlink"/>
            <w:i/>
            <w:sz w:val="20"/>
            <w:lang w:val="en-US"/>
          </w:rPr>
          <w:t>2012</w:t>
        </w:r>
      </w:hyperlink>
      <w:r>
        <w:rPr>
          <w:lang w:val="en-US"/>
        </w:rPr>
        <w:t>.</w:t>
      </w:r>
    </w:p>
  </w:footnote>
  <w:footnote w:id="115">
    <w:p w14:paraId="659BE1CD" w14:textId="60D19F35" w:rsidR="00A21C01" w:rsidRPr="006623F9" w:rsidRDefault="00A21C01" w:rsidP="00A21C01">
      <w:pPr>
        <w:pStyle w:val="Footnote"/>
      </w:pPr>
      <w:r w:rsidRPr="006623F9">
        <w:rPr>
          <w:rStyle w:val="FootnoteReference"/>
        </w:rPr>
        <w:footnoteRef/>
      </w:r>
      <w:r w:rsidRPr="006623F9">
        <w:t xml:space="preserve"> Productivity Commission </w:t>
      </w:r>
      <w:r>
        <w:t>(</w:t>
      </w:r>
      <w:r w:rsidRPr="006623F9">
        <w:t>2016</w:t>
      </w:r>
      <w:r>
        <w:t>)</w:t>
      </w:r>
      <w:r w:rsidRPr="006623F9">
        <w:t xml:space="preserve">, </w:t>
      </w:r>
      <w:r>
        <w:t>“</w:t>
      </w:r>
      <w:r w:rsidRPr="006623F9">
        <w:t>Developments in Anti-Dumping Arrangements</w:t>
      </w:r>
      <w:r>
        <w:t xml:space="preserve">”, </w:t>
      </w:r>
      <w:r w:rsidRPr="006623F9">
        <w:t>Commission Research Paper, Canberra, p 25.</w:t>
      </w:r>
    </w:p>
  </w:footnote>
  <w:footnote w:id="116">
    <w:p w14:paraId="129A4D5C" w14:textId="77777777" w:rsidR="00C378E7" w:rsidRPr="00BF07E5" w:rsidRDefault="00C378E7" w:rsidP="00C378E7">
      <w:pPr>
        <w:pStyle w:val="Footnote"/>
        <w:rPr>
          <w:lang w:val="en-AU"/>
        </w:rPr>
      </w:pPr>
      <w:r>
        <w:rPr>
          <w:rStyle w:val="FootnoteReference"/>
        </w:rPr>
        <w:footnoteRef/>
      </w:r>
      <w:r>
        <w:t xml:space="preserve"> </w:t>
      </w:r>
      <w:r w:rsidRPr="0097424E">
        <w:t xml:space="preserve">BlueScope </w:t>
      </w:r>
      <w:r>
        <w:t>Steel Limited (2015), “</w:t>
      </w:r>
      <w:hyperlink r:id="rId44" w:history="1">
        <w:r w:rsidRPr="00DE509B">
          <w:rPr>
            <w:rStyle w:val="Hyperlink"/>
            <w:sz w:val="20"/>
          </w:rPr>
          <w:t>Application for an Anti-Circumvention Inquiry – Zinc Coated (Galvanised) Steel</w:t>
        </w:r>
      </w:hyperlink>
      <w:r>
        <w:t xml:space="preserve">”, pp 5-7 and </w:t>
      </w:r>
      <w:r w:rsidRPr="0097424E">
        <w:t>Austube Mills Pty Ltd</w:t>
      </w:r>
      <w:r>
        <w:t xml:space="preserve"> (2015), “</w:t>
      </w:r>
      <w:hyperlink r:id="rId45" w:history="1">
        <w:r w:rsidRPr="00DE509B">
          <w:rPr>
            <w:rStyle w:val="Hyperlink"/>
            <w:sz w:val="20"/>
          </w:rPr>
          <w:t>Application for an Anti-Circumvention Inquiry – Hollow Structural Sections</w:t>
        </w:r>
      </w:hyperlink>
      <w:r>
        <w:t>”, pp 5-8.</w:t>
      </w:r>
    </w:p>
  </w:footnote>
  <w:footnote w:id="117">
    <w:p w14:paraId="6F4C07F1" w14:textId="77777777" w:rsidR="00834268" w:rsidRPr="006623F9" w:rsidRDefault="00834268" w:rsidP="00834268">
      <w:pPr>
        <w:pStyle w:val="Footnote"/>
      </w:pPr>
      <w:r w:rsidRPr="006623F9">
        <w:rPr>
          <w:rStyle w:val="FootnoteReference"/>
        </w:rPr>
        <w:footnoteRef/>
      </w:r>
      <w:r w:rsidRPr="006623F9">
        <w:t xml:space="preserve"> Moulis</w:t>
      </w:r>
      <w:r>
        <w:t>, D.</w:t>
      </w:r>
      <w:r w:rsidRPr="006623F9">
        <w:t xml:space="preserve"> (2016), “Anti-circumvention of </w:t>
      </w:r>
      <w:r>
        <w:t>A</w:t>
      </w:r>
      <w:r w:rsidRPr="006623F9">
        <w:t xml:space="preserve">nti-dumping measures: Law and </w:t>
      </w:r>
      <w:r>
        <w:t>P</w:t>
      </w:r>
      <w:r w:rsidRPr="006623F9">
        <w:t xml:space="preserve">ractice of Ten World Trade Organization Members – Australia”, </w:t>
      </w:r>
      <w:r w:rsidRPr="00A82B6A">
        <w:rPr>
          <w:i/>
          <w:iCs/>
        </w:rPr>
        <w:t>Global Trade and Customs Journal</w:t>
      </w:r>
      <w:r w:rsidRPr="006623F9">
        <w:t>, 11</w:t>
      </w:r>
      <w:r>
        <w:t>(</w:t>
      </w:r>
      <w:r w:rsidRPr="006623F9">
        <w:t>11/12</w:t>
      </w:r>
      <w:r>
        <w:t>):</w:t>
      </w:r>
      <w:r w:rsidRPr="006623F9">
        <w:t xml:space="preserve"> 482</w:t>
      </w:r>
      <w:r>
        <w:t>.</w:t>
      </w:r>
    </w:p>
  </w:footnote>
  <w:footnote w:id="118">
    <w:p w14:paraId="3132B288" w14:textId="77777777" w:rsidR="00A21C01" w:rsidRPr="00505762" w:rsidRDefault="00A21C01" w:rsidP="00A21C01">
      <w:pPr>
        <w:pStyle w:val="Footnote"/>
      </w:pPr>
      <w:r w:rsidRPr="00505762">
        <w:rPr>
          <w:rStyle w:val="FootnoteReference"/>
        </w:rPr>
        <w:footnoteRef/>
      </w:r>
      <w:r w:rsidRPr="00505762">
        <w:t xml:space="preserve"> </w:t>
      </w:r>
      <w:hyperlink r:id="rId46" w:history="1">
        <w:r w:rsidRPr="00260F24">
          <w:rPr>
            <w:rStyle w:val="Hyperlink"/>
            <w:sz w:val="20"/>
          </w:rPr>
          <w:t>https://www.industry.gov.au/data-and-publications/trade-remedy-index</w:t>
        </w:r>
      </w:hyperlink>
    </w:p>
  </w:footnote>
  <w:footnote w:id="119">
    <w:p w14:paraId="34A350B2" w14:textId="77777777" w:rsidR="00A21C01" w:rsidRPr="006623F9" w:rsidRDefault="00A21C01" w:rsidP="00A21C01">
      <w:pPr>
        <w:pStyle w:val="Footnote"/>
      </w:pPr>
      <w:r w:rsidRPr="006623F9">
        <w:rPr>
          <w:rStyle w:val="FootnoteReference"/>
        </w:rPr>
        <w:footnoteRef/>
      </w:r>
      <w:r w:rsidRPr="006623F9">
        <w:t xml:space="preserve"> Moulis</w:t>
      </w:r>
      <w:r>
        <w:t>, D.</w:t>
      </w:r>
      <w:r w:rsidRPr="006623F9">
        <w:t xml:space="preserve"> (2016), op.cit</w:t>
      </w:r>
      <w:r>
        <w:t>.</w:t>
      </w:r>
      <w:r w:rsidRPr="006623F9">
        <w:t>, p</w:t>
      </w:r>
      <w:r>
        <w:t xml:space="preserve"> </w:t>
      </w:r>
      <w:r w:rsidRPr="006623F9">
        <w:t>482</w:t>
      </w:r>
      <w:r>
        <w:t>.</w:t>
      </w:r>
    </w:p>
  </w:footnote>
  <w:footnote w:id="120">
    <w:p w14:paraId="785B9261" w14:textId="77777777" w:rsidR="00A21C01" w:rsidRPr="006623F9" w:rsidRDefault="00A21C01" w:rsidP="00A21C01">
      <w:pPr>
        <w:pStyle w:val="Footnote"/>
      </w:pPr>
      <w:r w:rsidRPr="006623F9">
        <w:rPr>
          <w:rStyle w:val="FootnoteReference"/>
        </w:rPr>
        <w:footnoteRef/>
      </w:r>
      <w:r w:rsidRPr="006623F9">
        <w:t xml:space="preserve"> Productivity Commission (2016), op.cit</w:t>
      </w:r>
      <w:r>
        <w:t>.</w:t>
      </w:r>
      <w:r w:rsidRPr="006623F9">
        <w:t xml:space="preserve">, p 53. </w:t>
      </w:r>
    </w:p>
  </w:footnote>
  <w:footnote w:id="121">
    <w:p w14:paraId="6C0B8BA5" w14:textId="77777777" w:rsidR="00A21C01" w:rsidRPr="006623F9" w:rsidRDefault="00A21C01" w:rsidP="00A21C01">
      <w:pPr>
        <w:pStyle w:val="Footnote"/>
      </w:pPr>
      <w:r w:rsidRPr="006623F9">
        <w:rPr>
          <w:rStyle w:val="FootnoteReference"/>
        </w:rPr>
        <w:footnoteRef/>
      </w:r>
      <w:r w:rsidRPr="006623F9">
        <w:t xml:space="preserve"> Productivity Commission (2016), op.cit</w:t>
      </w:r>
      <w:r>
        <w:t>.</w:t>
      </w:r>
      <w:r w:rsidRPr="006623F9">
        <w:t>, p</w:t>
      </w:r>
      <w:r>
        <w:t xml:space="preserve"> </w:t>
      </w:r>
      <w:r w:rsidRPr="006623F9">
        <w:t>72</w:t>
      </w:r>
      <w:r>
        <w:t>.</w:t>
      </w:r>
    </w:p>
  </w:footnote>
  <w:footnote w:id="122">
    <w:p w14:paraId="207C98EA" w14:textId="3520EE1E" w:rsidR="00A21C01" w:rsidRPr="006623F9" w:rsidRDefault="00A21C01" w:rsidP="00A21C01">
      <w:pPr>
        <w:pStyle w:val="Footnote"/>
      </w:pPr>
      <w:r w:rsidRPr="006623F9">
        <w:rPr>
          <w:rStyle w:val="FootnoteReference"/>
        </w:rPr>
        <w:footnoteRef/>
      </w:r>
      <w:r w:rsidRPr="006623F9">
        <w:t xml:space="preserve"> Productivity Commission </w:t>
      </w:r>
      <w:r>
        <w:t>(</w:t>
      </w:r>
      <w:r w:rsidRPr="006623F9">
        <w:t>2009</w:t>
      </w:r>
      <w:r>
        <w:t>)</w:t>
      </w:r>
      <w:r w:rsidRPr="006623F9">
        <w:t xml:space="preserve">, </w:t>
      </w:r>
      <w:r>
        <w:t>“</w:t>
      </w:r>
      <w:r w:rsidRPr="006623F9">
        <w:t>Australia’s Anti-dumping and Countervailing System</w:t>
      </w:r>
      <w:r>
        <w:t>”</w:t>
      </w:r>
      <w:r w:rsidRPr="006623F9">
        <w:t>,</w:t>
      </w:r>
      <w:r>
        <w:t xml:space="preserve"> </w:t>
      </w:r>
      <w:r w:rsidRPr="006623F9">
        <w:t>Report no. 48, Canberra</w:t>
      </w:r>
      <w:r>
        <w:t>.</w:t>
      </w:r>
    </w:p>
  </w:footnote>
  <w:footnote w:id="123">
    <w:p w14:paraId="6703197B" w14:textId="77777777" w:rsidR="00A21C01" w:rsidRDefault="00A21C01" w:rsidP="00A21C01">
      <w:pPr>
        <w:pStyle w:val="Footnote"/>
      </w:pPr>
      <w:r>
        <w:rPr>
          <w:rStyle w:val="FootnoteReference"/>
        </w:rPr>
        <w:footnoteRef/>
      </w:r>
      <w:r>
        <w:t xml:space="preserve"> This column is the total of the columns to the right.</w:t>
      </w:r>
    </w:p>
  </w:footnote>
  <w:footnote w:id="124">
    <w:p w14:paraId="26DE294A" w14:textId="22F50B0A" w:rsidR="00C378E7" w:rsidRPr="00C378E7" w:rsidRDefault="00C378E7">
      <w:pPr>
        <w:pStyle w:val="FootnoteText"/>
      </w:pPr>
      <w:r>
        <w:rPr>
          <w:rStyle w:val="FootnoteReference"/>
        </w:rPr>
        <w:footnoteRef/>
      </w:r>
      <w:r>
        <w:t xml:space="preserve"> The investigation also involved South Korea but circumvention was not found in its case.</w:t>
      </w:r>
    </w:p>
  </w:footnote>
  <w:footnote w:id="125">
    <w:p w14:paraId="7CF560AB" w14:textId="77777777" w:rsidR="00A21C01" w:rsidRPr="006623F9" w:rsidRDefault="00A21C01" w:rsidP="00A21C01">
      <w:pPr>
        <w:pStyle w:val="Footnote"/>
      </w:pPr>
      <w:r w:rsidRPr="006623F9">
        <w:rPr>
          <w:rStyle w:val="FootnoteReference"/>
        </w:rPr>
        <w:footnoteRef/>
      </w:r>
      <w:r w:rsidRPr="006623F9">
        <w:t xml:space="preserve"> Grattan Institute (2014), “Less </w:t>
      </w:r>
      <w:r>
        <w:t>C</w:t>
      </w:r>
      <w:r w:rsidRPr="006623F9">
        <w:t xml:space="preserve">ost, </w:t>
      </w:r>
      <w:r>
        <w:t>L</w:t>
      </w:r>
      <w:r w:rsidRPr="006623F9">
        <w:t xml:space="preserve">ess </w:t>
      </w:r>
      <w:r>
        <w:t>C</w:t>
      </w:r>
      <w:r w:rsidRPr="006623F9">
        <w:t xml:space="preserve">oal: </w:t>
      </w:r>
      <w:r>
        <w:t>W</w:t>
      </w:r>
      <w:r w:rsidRPr="006623F9">
        <w:t xml:space="preserve">hy </w:t>
      </w:r>
      <w:r>
        <w:t>G</w:t>
      </w:r>
      <w:r w:rsidRPr="006623F9">
        <w:t xml:space="preserve">lobal </w:t>
      </w:r>
      <w:r>
        <w:t>R</w:t>
      </w:r>
      <w:r w:rsidRPr="006623F9">
        <w:t xml:space="preserve">ivals </w:t>
      </w:r>
      <w:r>
        <w:t>A</w:t>
      </w:r>
      <w:r w:rsidRPr="006623F9">
        <w:t xml:space="preserve">re </w:t>
      </w:r>
      <w:r>
        <w:t>K</w:t>
      </w:r>
      <w:r w:rsidRPr="006623F9">
        <w:t xml:space="preserve">illing Australian </w:t>
      </w:r>
      <w:r>
        <w:t>A</w:t>
      </w:r>
      <w:r w:rsidRPr="006623F9">
        <w:t>luminium”</w:t>
      </w:r>
      <w:r>
        <w:t>, available from:</w:t>
      </w:r>
      <w:r w:rsidRPr="006623F9">
        <w:t xml:space="preserve"> </w:t>
      </w:r>
      <w:hyperlink r:id="rId47" w:history="1">
        <w:r w:rsidRPr="006D75B4">
          <w:rPr>
            <w:rStyle w:val="Hyperlink"/>
            <w:sz w:val="20"/>
          </w:rPr>
          <w:t>https://grattan.edu.au/news/less-cost-less-coal-why-global-rivals-are-killing-australian-aluminium/</w:t>
        </w:r>
      </w:hyperlink>
    </w:p>
  </w:footnote>
  <w:footnote w:id="126">
    <w:p w14:paraId="6C8A69EB" w14:textId="1911BD20" w:rsidR="00A21C01" w:rsidRPr="006623F9" w:rsidRDefault="00A21C01" w:rsidP="00A21C01">
      <w:pPr>
        <w:pStyle w:val="Footnote"/>
      </w:pPr>
      <w:r w:rsidRPr="006623F9">
        <w:rPr>
          <w:rStyle w:val="FootnoteReference"/>
        </w:rPr>
        <w:footnoteRef/>
      </w:r>
      <w:r w:rsidRPr="006623F9">
        <w:t xml:space="preserve"> The criticisms have been echoed by the Australian Competition and Consumer Commission, which in 2019 initiated action in the Federal Court against Bluescope Steel and its then chairman, on the grounds that it was engaged in price fixing and anti-competitive behaviour. Part of the statement of claims pointed to threats made by Bluescope to foreign competitors that it would undertake anti-dumping action if the competitors did not raise prices to acceptable levels. (</w:t>
      </w:r>
      <w:r>
        <w:t>S</w:t>
      </w:r>
      <w:r w:rsidRPr="006623F9">
        <w:t xml:space="preserve">ee Federal Court of Australia (2019), </w:t>
      </w:r>
      <w:r>
        <w:t>“</w:t>
      </w:r>
      <w:r w:rsidRPr="006623F9">
        <w:t>Notice of filing, AUSTRALIAN COMPETITION AND CONSUMER COMMISSION v BLUESCOPE STEEL LIMITED &amp; ANOR</w:t>
      </w:r>
      <w:r>
        <w:t>”</w:t>
      </w:r>
      <w:r w:rsidRPr="006623F9">
        <w:t>, p 4</w:t>
      </w:r>
      <w:r>
        <w:t>.</w:t>
      </w:r>
    </w:p>
  </w:footnote>
  <w:footnote w:id="127">
    <w:p w14:paraId="150E487F" w14:textId="77777777" w:rsidR="00A21C01" w:rsidRPr="00D61E2C" w:rsidRDefault="00A21C01" w:rsidP="00A21C01">
      <w:pPr>
        <w:pStyle w:val="Footnote"/>
      </w:pPr>
      <w:r w:rsidRPr="00857ACE">
        <w:rPr>
          <w:rStyle w:val="FootnoteReference"/>
        </w:rPr>
        <w:footnoteRef/>
      </w:r>
      <w:r w:rsidRPr="00D61E2C">
        <w:t xml:space="preserve"> </w:t>
      </w:r>
      <w:hyperlink r:id="rId48" w:history="1">
        <w:r w:rsidRPr="004B7560">
          <w:rPr>
            <w:rStyle w:val="Hyperlink"/>
            <w:sz w:val="20"/>
          </w:rPr>
          <w:t>https://laws-lois.justice.gc.ca/eng/acts/s-15/</w:t>
        </w:r>
      </w:hyperlink>
    </w:p>
  </w:footnote>
  <w:footnote w:id="128">
    <w:p w14:paraId="5FFFE7CF" w14:textId="77777777" w:rsidR="00A21C01" w:rsidRPr="00E64373" w:rsidRDefault="00A21C01" w:rsidP="00A21C01">
      <w:pPr>
        <w:pStyle w:val="Footnote"/>
      </w:pPr>
      <w:r w:rsidRPr="00857ACE">
        <w:rPr>
          <w:rStyle w:val="FootnoteReference"/>
        </w:rPr>
        <w:footnoteRef/>
      </w:r>
      <w:r w:rsidRPr="00D61E2C">
        <w:t xml:space="preserve"> </w:t>
      </w:r>
      <w:hyperlink r:id="rId49" w:history="1">
        <w:r w:rsidRPr="006D75B4">
          <w:rPr>
            <w:rStyle w:val="Hyperlink"/>
            <w:sz w:val="20"/>
          </w:rPr>
          <w:t>https://laws-lois.justice.gc.ca/eng/regulations/sor-84-927/</w:t>
        </w:r>
      </w:hyperlink>
    </w:p>
  </w:footnote>
  <w:footnote w:id="129">
    <w:p w14:paraId="1782E43A" w14:textId="77777777" w:rsidR="00A21C01" w:rsidRDefault="00A21C01" w:rsidP="00A21C01">
      <w:pPr>
        <w:pStyle w:val="Footnote"/>
      </w:pPr>
      <w:r>
        <w:rPr>
          <w:rStyle w:val="FootnoteReference"/>
        </w:rPr>
        <w:footnoteRef/>
      </w:r>
      <w:r>
        <w:t xml:space="preserve"> This column is the total of the columns to the right.</w:t>
      </w:r>
    </w:p>
  </w:footnote>
  <w:footnote w:id="130">
    <w:p w14:paraId="137A42E4" w14:textId="77777777" w:rsidR="00A21C01" w:rsidRDefault="00A21C01" w:rsidP="00A21C01">
      <w:pPr>
        <w:pStyle w:val="Footnote"/>
      </w:pPr>
      <w:r>
        <w:rPr>
          <w:rStyle w:val="FootnoteReference"/>
        </w:rPr>
        <w:footnoteRef/>
      </w:r>
      <w:r>
        <w:t xml:space="preserve"> This column is the total of the columns to the right.</w:t>
      </w:r>
    </w:p>
  </w:footnote>
  <w:footnote w:id="131">
    <w:p w14:paraId="5464D2AF" w14:textId="737B7627" w:rsidR="00A21C01" w:rsidRDefault="00A21C01" w:rsidP="00A21C01">
      <w:pPr>
        <w:pStyle w:val="Footnote"/>
      </w:pPr>
      <w:r>
        <w:rPr>
          <w:rStyle w:val="FootnoteReference"/>
        </w:rPr>
        <w:footnoteRef/>
      </w:r>
      <w:r>
        <w:t xml:space="preserve"> This column is the total of the columns to the right. There is one case where the mode of circumvention is unknown.</w:t>
      </w:r>
    </w:p>
  </w:footnote>
  <w:footnote w:id="132">
    <w:p w14:paraId="3AF363B5" w14:textId="77777777" w:rsidR="00A21C01" w:rsidRDefault="00A21C01" w:rsidP="00A21C01">
      <w:pPr>
        <w:pStyle w:val="Footnote"/>
      </w:pPr>
      <w:r>
        <w:rPr>
          <w:rStyle w:val="FootnoteReference"/>
        </w:rPr>
        <w:footnoteRef/>
      </w:r>
      <w:r>
        <w:t xml:space="preserve"> This column is the total of the columns to the right.</w:t>
      </w:r>
    </w:p>
  </w:footnote>
  <w:footnote w:id="133">
    <w:p w14:paraId="2644F251" w14:textId="77777777" w:rsidR="00A21C01" w:rsidRDefault="00A21C01" w:rsidP="00A21C01">
      <w:pPr>
        <w:pStyle w:val="Footnote"/>
      </w:pPr>
      <w:r>
        <w:rPr>
          <w:rStyle w:val="FootnoteReference"/>
        </w:rPr>
        <w:footnoteRef/>
      </w:r>
      <w:r>
        <w:t xml:space="preserve"> This column is the total of the columns to the right.</w:t>
      </w:r>
    </w:p>
  </w:footnote>
  <w:footnote w:id="134">
    <w:p w14:paraId="4488A3F5" w14:textId="5CF7467E" w:rsidR="00353BB8" w:rsidRPr="006623F9" w:rsidRDefault="00353BB8" w:rsidP="00260F24">
      <w:pPr>
        <w:pStyle w:val="Footnote"/>
      </w:pPr>
      <w:r w:rsidRPr="006623F9">
        <w:rPr>
          <w:rStyle w:val="FootnoteReference"/>
        </w:rPr>
        <w:footnoteRef/>
      </w:r>
      <w:r w:rsidRPr="006623F9">
        <w:t xml:space="preserve"> </w:t>
      </w:r>
      <w:hyperlink r:id="rId50" w:history="1">
        <w:r w:rsidRPr="00BA1E53">
          <w:rPr>
            <w:rStyle w:val="Hyperlink"/>
            <w:sz w:val="20"/>
          </w:rPr>
          <w:t>https://unstats.un.org/unsd/classifications/Econ/Structure/Detail/EN/2089/382499</w:t>
        </w:r>
      </w:hyperlink>
      <w:r w:rsidRPr="006623F9">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230AD" w14:textId="77777777" w:rsidR="0033726E" w:rsidRDefault="003372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8C975" w14:textId="77777777" w:rsidR="0033726E" w:rsidRDefault="003372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8EF7D" w14:textId="77777777" w:rsidR="0033726E" w:rsidRDefault="003372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852"/>
    <w:multiLevelType w:val="hybridMultilevel"/>
    <w:tmpl w:val="7D70CC30"/>
    <w:lvl w:ilvl="0" w:tplc="FFFFFFFF">
      <w:start w:val="1"/>
      <w:numFmt w:val="decimal"/>
      <w:pStyle w:val="ParagraphText"/>
      <w:lvlText w:val="%1."/>
      <w:lvlJc w:val="left"/>
      <w:pPr>
        <w:ind w:left="720" w:hanging="720"/>
      </w:pPr>
      <w:rPr>
        <w:b w:val="0"/>
        <w:bCs/>
        <w:i w:val="0"/>
        <w:iCs w:val="0"/>
        <w:color w:val="auto"/>
        <w:sz w:val="24"/>
        <w:szCs w:val="24"/>
        <w:vertAlign w:val="baseline"/>
      </w:rPr>
    </w:lvl>
    <w:lvl w:ilvl="1" w:tplc="6268B0EE">
      <w:start w:val="1"/>
      <w:numFmt w:val="lowerLetter"/>
      <w:lvlText w:val="(%2)"/>
      <w:lvlJc w:val="left"/>
      <w:pPr>
        <w:tabs>
          <w:tab w:val="num" w:pos="1015"/>
        </w:tabs>
        <w:ind w:left="1015" w:hanging="720"/>
      </w:pPr>
    </w:lvl>
    <w:lvl w:ilvl="2" w:tplc="15F81590">
      <w:start w:val="1"/>
      <w:numFmt w:val="lowerRoman"/>
      <w:lvlText w:val="(%3)"/>
      <w:lvlJc w:val="left"/>
      <w:pPr>
        <w:ind w:left="1735" w:hanging="720"/>
      </w:pPr>
    </w:lvl>
    <w:lvl w:ilvl="3" w:tplc="9E38343E">
      <w:start w:val="1"/>
      <w:numFmt w:val="decimal"/>
      <w:lvlText w:val="(%4)"/>
      <w:lvlJc w:val="left"/>
      <w:pPr>
        <w:ind w:left="1015" w:hanging="360"/>
      </w:pPr>
      <w:rPr>
        <w:b w:val="0"/>
        <w:bCs/>
      </w:rPr>
    </w:lvl>
    <w:lvl w:ilvl="4" w:tplc="7BA4E1DC">
      <w:start w:val="1"/>
      <w:numFmt w:val="lowerLetter"/>
      <w:lvlText w:val="(%5)"/>
      <w:lvlJc w:val="left"/>
      <w:pPr>
        <w:ind w:left="1375" w:hanging="360"/>
      </w:pPr>
    </w:lvl>
    <w:lvl w:ilvl="5" w:tplc="48321AF0">
      <w:start w:val="1"/>
      <w:numFmt w:val="lowerRoman"/>
      <w:lvlText w:val="(%6)"/>
      <w:lvlJc w:val="left"/>
      <w:pPr>
        <w:ind w:left="1735" w:hanging="360"/>
      </w:pPr>
    </w:lvl>
    <w:lvl w:ilvl="6" w:tplc="C45A2798">
      <w:start w:val="1"/>
      <w:numFmt w:val="decimal"/>
      <w:lvlText w:val="%7."/>
      <w:lvlJc w:val="left"/>
      <w:pPr>
        <w:ind w:left="2095" w:hanging="360"/>
      </w:pPr>
    </w:lvl>
    <w:lvl w:ilvl="7" w:tplc="5AD4EC22">
      <w:start w:val="1"/>
      <w:numFmt w:val="lowerLetter"/>
      <w:lvlText w:val="%8."/>
      <w:lvlJc w:val="left"/>
      <w:pPr>
        <w:ind w:left="2455" w:hanging="360"/>
      </w:pPr>
    </w:lvl>
    <w:lvl w:ilvl="8" w:tplc="57FA6D90">
      <w:start w:val="1"/>
      <w:numFmt w:val="lowerRoman"/>
      <w:lvlText w:val="%9."/>
      <w:lvlJc w:val="left"/>
      <w:pPr>
        <w:ind w:left="2815" w:hanging="360"/>
      </w:pPr>
    </w:lvl>
  </w:abstractNum>
  <w:abstractNum w:abstractNumId="1" w15:restartNumberingAfterBreak="0">
    <w:nsid w:val="06453901"/>
    <w:multiLevelType w:val="hybridMultilevel"/>
    <w:tmpl w:val="4A446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E41A22"/>
    <w:multiLevelType w:val="hybridMultilevel"/>
    <w:tmpl w:val="93966B20"/>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3" w15:restartNumberingAfterBreak="0">
    <w:nsid w:val="0DA829F1"/>
    <w:multiLevelType w:val="hybridMultilevel"/>
    <w:tmpl w:val="7A4C57AE"/>
    <w:lvl w:ilvl="0" w:tplc="36D4B0F8">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055B7C"/>
    <w:multiLevelType w:val="hybridMultilevel"/>
    <w:tmpl w:val="F692F8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59713E"/>
    <w:multiLevelType w:val="hybridMultilevel"/>
    <w:tmpl w:val="28C8DB80"/>
    <w:lvl w:ilvl="0" w:tplc="2ECEF70C">
      <w:start w:val="1"/>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194001D"/>
    <w:multiLevelType w:val="hybridMultilevel"/>
    <w:tmpl w:val="E02CB8FC"/>
    <w:lvl w:ilvl="0" w:tplc="94CE260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DA7DFB"/>
    <w:multiLevelType w:val="hybridMultilevel"/>
    <w:tmpl w:val="8B1E7386"/>
    <w:lvl w:ilvl="0" w:tplc="45402E8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E74528"/>
    <w:multiLevelType w:val="hybridMultilevel"/>
    <w:tmpl w:val="834441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77C1BDC"/>
    <w:multiLevelType w:val="hybridMultilevel"/>
    <w:tmpl w:val="430EF708"/>
    <w:lvl w:ilvl="0" w:tplc="2DD6E282">
      <w:numFmt w:val="bullet"/>
      <w:lvlText w:val="-"/>
      <w:lvlJc w:val="left"/>
      <w:pPr>
        <w:ind w:left="360" w:hanging="360"/>
      </w:pPr>
      <w:rPr>
        <w:rFonts w:ascii="Calibri" w:eastAsiaTheme="minorHAns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8A8181E"/>
    <w:multiLevelType w:val="hybridMultilevel"/>
    <w:tmpl w:val="CBAC45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08E18AD"/>
    <w:multiLevelType w:val="hybridMultilevel"/>
    <w:tmpl w:val="A5D8C432"/>
    <w:lvl w:ilvl="0" w:tplc="BB22788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AE733F"/>
    <w:multiLevelType w:val="hybridMultilevel"/>
    <w:tmpl w:val="18085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E60A97"/>
    <w:multiLevelType w:val="hybridMultilevel"/>
    <w:tmpl w:val="F02C6B82"/>
    <w:lvl w:ilvl="0" w:tplc="4CCE049A">
      <w:start w:val="1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DF579C"/>
    <w:multiLevelType w:val="hybridMultilevel"/>
    <w:tmpl w:val="788609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64A0615"/>
    <w:multiLevelType w:val="hybridMultilevel"/>
    <w:tmpl w:val="E9F04B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6A758F4"/>
    <w:multiLevelType w:val="hybridMultilevel"/>
    <w:tmpl w:val="C2D4C2DA"/>
    <w:lvl w:ilvl="0" w:tplc="4F9A2F4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90F20D7"/>
    <w:multiLevelType w:val="hybridMultilevel"/>
    <w:tmpl w:val="259647AA"/>
    <w:lvl w:ilvl="0" w:tplc="BB227888">
      <w:start w:val="1"/>
      <w:numFmt w:val="bullet"/>
      <w:lvlText w:val="-"/>
      <w:lvlJc w:val="left"/>
      <w:pPr>
        <w:ind w:left="36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3BD80C07"/>
    <w:multiLevelType w:val="hybridMultilevel"/>
    <w:tmpl w:val="0FDE305E"/>
    <w:lvl w:ilvl="0" w:tplc="15F81590">
      <w:start w:val="1"/>
      <w:numFmt w:val="lowerRoman"/>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DD97F44"/>
    <w:multiLevelType w:val="hybridMultilevel"/>
    <w:tmpl w:val="6C30C7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1AE744D"/>
    <w:multiLevelType w:val="hybridMultilevel"/>
    <w:tmpl w:val="4006ABC8"/>
    <w:lvl w:ilvl="0" w:tplc="B07CF7A4">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E51F70"/>
    <w:multiLevelType w:val="hybridMultilevel"/>
    <w:tmpl w:val="F5685D02"/>
    <w:lvl w:ilvl="0" w:tplc="C272323E">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41D5402"/>
    <w:multiLevelType w:val="hybridMultilevel"/>
    <w:tmpl w:val="4BD801D6"/>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3" w15:restartNumberingAfterBreak="0">
    <w:nsid w:val="44E30430"/>
    <w:multiLevelType w:val="hybridMultilevel"/>
    <w:tmpl w:val="A5C2A3B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6A737C4"/>
    <w:multiLevelType w:val="hybridMultilevel"/>
    <w:tmpl w:val="0FDE305E"/>
    <w:lvl w:ilvl="0" w:tplc="15F81590">
      <w:start w:val="1"/>
      <w:numFmt w:val="lowerRoman"/>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73740BF"/>
    <w:multiLevelType w:val="hybridMultilevel"/>
    <w:tmpl w:val="3862980A"/>
    <w:lvl w:ilvl="0" w:tplc="BB227888">
      <w:start w:val="1"/>
      <w:numFmt w:val="bullet"/>
      <w:lvlText w:val="-"/>
      <w:lvlJc w:val="left"/>
      <w:pPr>
        <w:ind w:left="360" w:hanging="360"/>
      </w:pPr>
      <w:rPr>
        <w:rFonts w:ascii="Arial" w:eastAsiaTheme="minorHAnsi" w:hAnsi="Arial" w:cs="Arial" w:hint="default"/>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4A765D67"/>
    <w:multiLevelType w:val="hybridMultilevel"/>
    <w:tmpl w:val="1CB6B602"/>
    <w:lvl w:ilvl="0" w:tplc="15F81590">
      <w:start w:val="1"/>
      <w:numFmt w:val="lowerRoman"/>
      <w:lvlText w:val="(%1)"/>
      <w:lvlJc w:val="left"/>
      <w:pPr>
        <w:ind w:left="720" w:hanging="720"/>
      </w:pPr>
      <w:rPr>
        <w:b w:val="0"/>
        <w:bCs/>
        <w:i w:val="0"/>
        <w:iCs w:val="0"/>
        <w:color w:val="auto"/>
        <w:sz w:val="24"/>
        <w:szCs w:val="24"/>
        <w:vertAlign w:val="baseline"/>
      </w:rPr>
    </w:lvl>
    <w:lvl w:ilvl="1" w:tplc="6268B0EE">
      <w:start w:val="1"/>
      <w:numFmt w:val="lowerLetter"/>
      <w:lvlText w:val="(%2)"/>
      <w:lvlJc w:val="left"/>
      <w:pPr>
        <w:tabs>
          <w:tab w:val="num" w:pos="1015"/>
        </w:tabs>
        <w:ind w:left="1015" w:hanging="720"/>
      </w:pPr>
    </w:lvl>
    <w:lvl w:ilvl="2" w:tplc="15F81590">
      <w:start w:val="1"/>
      <w:numFmt w:val="lowerRoman"/>
      <w:lvlText w:val="(%3)"/>
      <w:lvlJc w:val="left"/>
      <w:pPr>
        <w:ind w:left="1735" w:hanging="720"/>
      </w:pPr>
    </w:lvl>
    <w:lvl w:ilvl="3" w:tplc="9E38343E">
      <w:start w:val="1"/>
      <w:numFmt w:val="decimal"/>
      <w:lvlText w:val="(%4)"/>
      <w:lvlJc w:val="left"/>
      <w:pPr>
        <w:ind w:left="1015" w:hanging="360"/>
      </w:pPr>
      <w:rPr>
        <w:b w:val="0"/>
        <w:bCs/>
      </w:rPr>
    </w:lvl>
    <w:lvl w:ilvl="4" w:tplc="7BA4E1DC">
      <w:start w:val="1"/>
      <w:numFmt w:val="lowerLetter"/>
      <w:lvlText w:val="(%5)"/>
      <w:lvlJc w:val="left"/>
      <w:pPr>
        <w:ind w:left="1375" w:hanging="360"/>
      </w:pPr>
    </w:lvl>
    <w:lvl w:ilvl="5" w:tplc="48321AF0">
      <w:start w:val="1"/>
      <w:numFmt w:val="lowerRoman"/>
      <w:lvlText w:val="(%6)"/>
      <w:lvlJc w:val="left"/>
      <w:pPr>
        <w:ind w:left="1735" w:hanging="360"/>
      </w:pPr>
    </w:lvl>
    <w:lvl w:ilvl="6" w:tplc="C45A2798">
      <w:start w:val="1"/>
      <w:numFmt w:val="decimal"/>
      <w:lvlText w:val="%7."/>
      <w:lvlJc w:val="left"/>
      <w:pPr>
        <w:ind w:left="2095" w:hanging="360"/>
      </w:pPr>
    </w:lvl>
    <w:lvl w:ilvl="7" w:tplc="5AD4EC22">
      <w:start w:val="1"/>
      <w:numFmt w:val="lowerLetter"/>
      <w:lvlText w:val="%8."/>
      <w:lvlJc w:val="left"/>
      <w:pPr>
        <w:ind w:left="2455" w:hanging="360"/>
      </w:pPr>
    </w:lvl>
    <w:lvl w:ilvl="8" w:tplc="57FA6D90">
      <w:start w:val="1"/>
      <w:numFmt w:val="lowerRoman"/>
      <w:lvlText w:val="%9."/>
      <w:lvlJc w:val="left"/>
      <w:pPr>
        <w:ind w:left="2815" w:hanging="360"/>
      </w:pPr>
    </w:lvl>
  </w:abstractNum>
  <w:abstractNum w:abstractNumId="27" w15:restartNumberingAfterBreak="0">
    <w:nsid w:val="4E1119FD"/>
    <w:multiLevelType w:val="hybridMultilevel"/>
    <w:tmpl w:val="839EE91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16C759E"/>
    <w:multiLevelType w:val="hybridMultilevel"/>
    <w:tmpl w:val="250496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1CA0A24"/>
    <w:multiLevelType w:val="hybridMultilevel"/>
    <w:tmpl w:val="4BB86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192DF9"/>
    <w:multiLevelType w:val="hybridMultilevel"/>
    <w:tmpl w:val="BCAA5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78717A"/>
    <w:multiLevelType w:val="hybridMultilevel"/>
    <w:tmpl w:val="058AED56"/>
    <w:lvl w:ilvl="0" w:tplc="B24C8B56">
      <w:start w:val="1"/>
      <w:numFmt w:val="lowerRoman"/>
      <w:lvlText w:val="(%1)"/>
      <w:lvlJc w:val="left"/>
      <w:pPr>
        <w:ind w:left="3602" w:hanging="720"/>
      </w:pPr>
      <w:rPr>
        <w:rFonts w:hint="default"/>
      </w:rPr>
    </w:lvl>
    <w:lvl w:ilvl="1" w:tplc="08090019" w:tentative="1">
      <w:start w:val="1"/>
      <w:numFmt w:val="lowerLetter"/>
      <w:lvlText w:val="%2."/>
      <w:lvlJc w:val="left"/>
      <w:pPr>
        <w:ind w:left="3962" w:hanging="360"/>
      </w:pPr>
    </w:lvl>
    <w:lvl w:ilvl="2" w:tplc="0809001B" w:tentative="1">
      <w:start w:val="1"/>
      <w:numFmt w:val="lowerRoman"/>
      <w:lvlText w:val="%3."/>
      <w:lvlJc w:val="right"/>
      <w:pPr>
        <w:ind w:left="4682" w:hanging="180"/>
      </w:pPr>
    </w:lvl>
    <w:lvl w:ilvl="3" w:tplc="0809000F" w:tentative="1">
      <w:start w:val="1"/>
      <w:numFmt w:val="decimal"/>
      <w:lvlText w:val="%4."/>
      <w:lvlJc w:val="left"/>
      <w:pPr>
        <w:ind w:left="5402" w:hanging="360"/>
      </w:pPr>
    </w:lvl>
    <w:lvl w:ilvl="4" w:tplc="08090019" w:tentative="1">
      <w:start w:val="1"/>
      <w:numFmt w:val="lowerLetter"/>
      <w:lvlText w:val="%5."/>
      <w:lvlJc w:val="left"/>
      <w:pPr>
        <w:ind w:left="6122" w:hanging="360"/>
      </w:pPr>
    </w:lvl>
    <w:lvl w:ilvl="5" w:tplc="0809001B" w:tentative="1">
      <w:start w:val="1"/>
      <w:numFmt w:val="lowerRoman"/>
      <w:lvlText w:val="%6."/>
      <w:lvlJc w:val="right"/>
      <w:pPr>
        <w:ind w:left="6842" w:hanging="180"/>
      </w:pPr>
    </w:lvl>
    <w:lvl w:ilvl="6" w:tplc="0809000F" w:tentative="1">
      <w:start w:val="1"/>
      <w:numFmt w:val="decimal"/>
      <w:lvlText w:val="%7."/>
      <w:lvlJc w:val="left"/>
      <w:pPr>
        <w:ind w:left="7562" w:hanging="360"/>
      </w:pPr>
    </w:lvl>
    <w:lvl w:ilvl="7" w:tplc="08090019" w:tentative="1">
      <w:start w:val="1"/>
      <w:numFmt w:val="lowerLetter"/>
      <w:lvlText w:val="%8."/>
      <w:lvlJc w:val="left"/>
      <w:pPr>
        <w:ind w:left="8282" w:hanging="360"/>
      </w:pPr>
    </w:lvl>
    <w:lvl w:ilvl="8" w:tplc="0809001B" w:tentative="1">
      <w:start w:val="1"/>
      <w:numFmt w:val="lowerRoman"/>
      <w:lvlText w:val="%9."/>
      <w:lvlJc w:val="right"/>
      <w:pPr>
        <w:ind w:left="9002" w:hanging="180"/>
      </w:pPr>
    </w:lvl>
  </w:abstractNum>
  <w:abstractNum w:abstractNumId="32" w15:restartNumberingAfterBreak="0">
    <w:nsid w:val="570A50D0"/>
    <w:multiLevelType w:val="hybridMultilevel"/>
    <w:tmpl w:val="4DCE47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B284983"/>
    <w:multiLevelType w:val="hybridMultilevel"/>
    <w:tmpl w:val="DA382D9C"/>
    <w:lvl w:ilvl="0" w:tplc="36D4B0F8">
      <w:start w:val="1"/>
      <w:numFmt w:val="bullet"/>
      <w:lvlText w:val="-"/>
      <w:lvlJc w:val="left"/>
      <w:pPr>
        <w:tabs>
          <w:tab w:val="num" w:pos="607"/>
        </w:tabs>
        <w:ind w:left="607" w:hanging="360"/>
      </w:pPr>
      <w:rPr>
        <w:rFonts w:ascii="Times New Roman" w:hAnsi="Times New Roman" w:hint="default"/>
      </w:rPr>
    </w:lvl>
    <w:lvl w:ilvl="1" w:tplc="A8541156" w:tentative="1">
      <w:start w:val="1"/>
      <w:numFmt w:val="bullet"/>
      <w:lvlText w:val="-"/>
      <w:lvlJc w:val="left"/>
      <w:pPr>
        <w:tabs>
          <w:tab w:val="num" w:pos="1327"/>
        </w:tabs>
        <w:ind w:left="1327" w:hanging="360"/>
      </w:pPr>
      <w:rPr>
        <w:rFonts w:ascii="Times New Roman" w:hAnsi="Times New Roman" w:hint="default"/>
      </w:rPr>
    </w:lvl>
    <w:lvl w:ilvl="2" w:tplc="966AD038" w:tentative="1">
      <w:start w:val="1"/>
      <w:numFmt w:val="bullet"/>
      <w:lvlText w:val="-"/>
      <w:lvlJc w:val="left"/>
      <w:pPr>
        <w:tabs>
          <w:tab w:val="num" w:pos="2047"/>
        </w:tabs>
        <w:ind w:left="2047" w:hanging="360"/>
      </w:pPr>
      <w:rPr>
        <w:rFonts w:ascii="Times New Roman" w:hAnsi="Times New Roman" w:hint="default"/>
      </w:rPr>
    </w:lvl>
    <w:lvl w:ilvl="3" w:tplc="7E203084" w:tentative="1">
      <w:start w:val="1"/>
      <w:numFmt w:val="bullet"/>
      <w:lvlText w:val="-"/>
      <w:lvlJc w:val="left"/>
      <w:pPr>
        <w:tabs>
          <w:tab w:val="num" w:pos="2767"/>
        </w:tabs>
        <w:ind w:left="2767" w:hanging="360"/>
      </w:pPr>
      <w:rPr>
        <w:rFonts w:ascii="Times New Roman" w:hAnsi="Times New Roman" w:hint="default"/>
      </w:rPr>
    </w:lvl>
    <w:lvl w:ilvl="4" w:tplc="8A6A8D0C" w:tentative="1">
      <w:start w:val="1"/>
      <w:numFmt w:val="bullet"/>
      <w:lvlText w:val="-"/>
      <w:lvlJc w:val="left"/>
      <w:pPr>
        <w:tabs>
          <w:tab w:val="num" w:pos="3487"/>
        </w:tabs>
        <w:ind w:left="3487" w:hanging="360"/>
      </w:pPr>
      <w:rPr>
        <w:rFonts w:ascii="Times New Roman" w:hAnsi="Times New Roman" w:hint="default"/>
      </w:rPr>
    </w:lvl>
    <w:lvl w:ilvl="5" w:tplc="A6800916" w:tentative="1">
      <w:start w:val="1"/>
      <w:numFmt w:val="bullet"/>
      <w:lvlText w:val="-"/>
      <w:lvlJc w:val="left"/>
      <w:pPr>
        <w:tabs>
          <w:tab w:val="num" w:pos="4207"/>
        </w:tabs>
        <w:ind w:left="4207" w:hanging="360"/>
      </w:pPr>
      <w:rPr>
        <w:rFonts w:ascii="Times New Roman" w:hAnsi="Times New Roman" w:hint="default"/>
      </w:rPr>
    </w:lvl>
    <w:lvl w:ilvl="6" w:tplc="F1B41D3E" w:tentative="1">
      <w:start w:val="1"/>
      <w:numFmt w:val="bullet"/>
      <w:lvlText w:val="-"/>
      <w:lvlJc w:val="left"/>
      <w:pPr>
        <w:tabs>
          <w:tab w:val="num" w:pos="4927"/>
        </w:tabs>
        <w:ind w:left="4927" w:hanging="360"/>
      </w:pPr>
      <w:rPr>
        <w:rFonts w:ascii="Times New Roman" w:hAnsi="Times New Roman" w:hint="default"/>
      </w:rPr>
    </w:lvl>
    <w:lvl w:ilvl="7" w:tplc="2516115E" w:tentative="1">
      <w:start w:val="1"/>
      <w:numFmt w:val="bullet"/>
      <w:lvlText w:val="-"/>
      <w:lvlJc w:val="left"/>
      <w:pPr>
        <w:tabs>
          <w:tab w:val="num" w:pos="5647"/>
        </w:tabs>
        <w:ind w:left="5647" w:hanging="360"/>
      </w:pPr>
      <w:rPr>
        <w:rFonts w:ascii="Times New Roman" w:hAnsi="Times New Roman" w:hint="default"/>
      </w:rPr>
    </w:lvl>
    <w:lvl w:ilvl="8" w:tplc="CA6E6E92" w:tentative="1">
      <w:start w:val="1"/>
      <w:numFmt w:val="bullet"/>
      <w:lvlText w:val="-"/>
      <w:lvlJc w:val="left"/>
      <w:pPr>
        <w:tabs>
          <w:tab w:val="num" w:pos="6367"/>
        </w:tabs>
        <w:ind w:left="6367" w:hanging="360"/>
      </w:pPr>
      <w:rPr>
        <w:rFonts w:ascii="Times New Roman" w:hAnsi="Times New Roman" w:hint="default"/>
      </w:rPr>
    </w:lvl>
  </w:abstractNum>
  <w:abstractNum w:abstractNumId="34" w15:restartNumberingAfterBreak="0">
    <w:nsid w:val="5B8D7DFE"/>
    <w:multiLevelType w:val="hybridMultilevel"/>
    <w:tmpl w:val="82CC6C96"/>
    <w:lvl w:ilvl="0" w:tplc="BB227888">
      <w:start w:val="1"/>
      <w:numFmt w:val="bullet"/>
      <w:lvlText w:val="-"/>
      <w:lvlJc w:val="left"/>
      <w:pPr>
        <w:ind w:left="720" w:hanging="720"/>
      </w:pPr>
      <w:rPr>
        <w:rFonts w:ascii="Arial" w:eastAsiaTheme="minorHAnsi" w:hAnsi="Arial" w:cs="Aria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5CCE19DE"/>
    <w:multiLevelType w:val="hybridMultilevel"/>
    <w:tmpl w:val="2736C78C"/>
    <w:lvl w:ilvl="0" w:tplc="F0266ADC">
      <w:start w:val="1"/>
      <w:numFmt w:val="bullet"/>
      <w:lvlText w:val=""/>
      <w:lvlJc w:val="left"/>
      <w:pPr>
        <w:tabs>
          <w:tab w:val="num" w:pos="720"/>
        </w:tabs>
        <w:ind w:left="720" w:hanging="360"/>
      </w:pPr>
      <w:rPr>
        <w:rFonts w:ascii="Wingdings" w:hAnsi="Wingdings" w:hint="default"/>
      </w:rPr>
    </w:lvl>
    <w:lvl w:ilvl="1" w:tplc="0F7C88C4" w:tentative="1">
      <w:start w:val="1"/>
      <w:numFmt w:val="bullet"/>
      <w:lvlText w:val=""/>
      <w:lvlJc w:val="left"/>
      <w:pPr>
        <w:tabs>
          <w:tab w:val="num" w:pos="1440"/>
        </w:tabs>
        <w:ind w:left="1440" w:hanging="360"/>
      </w:pPr>
      <w:rPr>
        <w:rFonts w:ascii="Wingdings" w:hAnsi="Wingdings" w:hint="default"/>
      </w:rPr>
    </w:lvl>
    <w:lvl w:ilvl="2" w:tplc="49D4A92A">
      <w:start w:val="1"/>
      <w:numFmt w:val="bullet"/>
      <w:lvlText w:val=""/>
      <w:lvlJc w:val="left"/>
      <w:pPr>
        <w:tabs>
          <w:tab w:val="num" w:pos="2160"/>
        </w:tabs>
        <w:ind w:left="2160" w:hanging="360"/>
      </w:pPr>
      <w:rPr>
        <w:rFonts w:ascii="Wingdings" w:hAnsi="Wingdings" w:hint="default"/>
      </w:rPr>
    </w:lvl>
    <w:lvl w:ilvl="3" w:tplc="4B44BFC4" w:tentative="1">
      <w:start w:val="1"/>
      <w:numFmt w:val="bullet"/>
      <w:lvlText w:val=""/>
      <w:lvlJc w:val="left"/>
      <w:pPr>
        <w:tabs>
          <w:tab w:val="num" w:pos="2880"/>
        </w:tabs>
        <w:ind w:left="2880" w:hanging="360"/>
      </w:pPr>
      <w:rPr>
        <w:rFonts w:ascii="Wingdings" w:hAnsi="Wingdings" w:hint="default"/>
      </w:rPr>
    </w:lvl>
    <w:lvl w:ilvl="4" w:tplc="71006C8C" w:tentative="1">
      <w:start w:val="1"/>
      <w:numFmt w:val="bullet"/>
      <w:lvlText w:val=""/>
      <w:lvlJc w:val="left"/>
      <w:pPr>
        <w:tabs>
          <w:tab w:val="num" w:pos="3600"/>
        </w:tabs>
        <w:ind w:left="3600" w:hanging="360"/>
      </w:pPr>
      <w:rPr>
        <w:rFonts w:ascii="Wingdings" w:hAnsi="Wingdings" w:hint="default"/>
      </w:rPr>
    </w:lvl>
    <w:lvl w:ilvl="5" w:tplc="BBE2677C" w:tentative="1">
      <w:start w:val="1"/>
      <w:numFmt w:val="bullet"/>
      <w:lvlText w:val=""/>
      <w:lvlJc w:val="left"/>
      <w:pPr>
        <w:tabs>
          <w:tab w:val="num" w:pos="4320"/>
        </w:tabs>
        <w:ind w:left="4320" w:hanging="360"/>
      </w:pPr>
      <w:rPr>
        <w:rFonts w:ascii="Wingdings" w:hAnsi="Wingdings" w:hint="default"/>
      </w:rPr>
    </w:lvl>
    <w:lvl w:ilvl="6" w:tplc="9DE26C18" w:tentative="1">
      <w:start w:val="1"/>
      <w:numFmt w:val="bullet"/>
      <w:lvlText w:val=""/>
      <w:lvlJc w:val="left"/>
      <w:pPr>
        <w:tabs>
          <w:tab w:val="num" w:pos="5040"/>
        </w:tabs>
        <w:ind w:left="5040" w:hanging="360"/>
      </w:pPr>
      <w:rPr>
        <w:rFonts w:ascii="Wingdings" w:hAnsi="Wingdings" w:hint="default"/>
      </w:rPr>
    </w:lvl>
    <w:lvl w:ilvl="7" w:tplc="49E8A348" w:tentative="1">
      <w:start w:val="1"/>
      <w:numFmt w:val="bullet"/>
      <w:lvlText w:val=""/>
      <w:lvlJc w:val="left"/>
      <w:pPr>
        <w:tabs>
          <w:tab w:val="num" w:pos="5760"/>
        </w:tabs>
        <w:ind w:left="5760" w:hanging="360"/>
      </w:pPr>
      <w:rPr>
        <w:rFonts w:ascii="Wingdings" w:hAnsi="Wingdings" w:hint="default"/>
      </w:rPr>
    </w:lvl>
    <w:lvl w:ilvl="8" w:tplc="7BC4A40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DB23F04"/>
    <w:multiLevelType w:val="hybridMultilevel"/>
    <w:tmpl w:val="8A821328"/>
    <w:lvl w:ilvl="0" w:tplc="3DC2A84E">
      <w:start w:val="1"/>
      <w:numFmt w:val="bullet"/>
      <w:lvlText w:val=""/>
      <w:lvlJc w:val="left"/>
      <w:pPr>
        <w:tabs>
          <w:tab w:val="num" w:pos="720"/>
        </w:tabs>
        <w:ind w:left="720" w:hanging="360"/>
      </w:pPr>
      <w:rPr>
        <w:rFonts w:ascii="Wingdings" w:hAnsi="Wingdings" w:hint="default"/>
      </w:rPr>
    </w:lvl>
    <w:lvl w:ilvl="1" w:tplc="4386F648">
      <w:start w:val="1"/>
      <w:numFmt w:val="bullet"/>
      <w:lvlText w:val=""/>
      <w:lvlJc w:val="left"/>
      <w:pPr>
        <w:tabs>
          <w:tab w:val="num" w:pos="1440"/>
        </w:tabs>
        <w:ind w:left="1440" w:hanging="360"/>
      </w:pPr>
      <w:rPr>
        <w:rFonts w:ascii="Wingdings" w:hAnsi="Wingdings" w:hint="default"/>
      </w:rPr>
    </w:lvl>
    <w:lvl w:ilvl="2" w:tplc="D3029302" w:tentative="1">
      <w:start w:val="1"/>
      <w:numFmt w:val="bullet"/>
      <w:lvlText w:val=""/>
      <w:lvlJc w:val="left"/>
      <w:pPr>
        <w:tabs>
          <w:tab w:val="num" w:pos="2160"/>
        </w:tabs>
        <w:ind w:left="2160" w:hanging="360"/>
      </w:pPr>
      <w:rPr>
        <w:rFonts w:ascii="Wingdings" w:hAnsi="Wingdings" w:hint="default"/>
      </w:rPr>
    </w:lvl>
    <w:lvl w:ilvl="3" w:tplc="51383E12" w:tentative="1">
      <w:start w:val="1"/>
      <w:numFmt w:val="bullet"/>
      <w:lvlText w:val=""/>
      <w:lvlJc w:val="left"/>
      <w:pPr>
        <w:tabs>
          <w:tab w:val="num" w:pos="2880"/>
        </w:tabs>
        <w:ind w:left="2880" w:hanging="360"/>
      </w:pPr>
      <w:rPr>
        <w:rFonts w:ascii="Wingdings" w:hAnsi="Wingdings" w:hint="default"/>
      </w:rPr>
    </w:lvl>
    <w:lvl w:ilvl="4" w:tplc="A356C4CE" w:tentative="1">
      <w:start w:val="1"/>
      <w:numFmt w:val="bullet"/>
      <w:lvlText w:val=""/>
      <w:lvlJc w:val="left"/>
      <w:pPr>
        <w:tabs>
          <w:tab w:val="num" w:pos="3600"/>
        </w:tabs>
        <w:ind w:left="3600" w:hanging="360"/>
      </w:pPr>
      <w:rPr>
        <w:rFonts w:ascii="Wingdings" w:hAnsi="Wingdings" w:hint="default"/>
      </w:rPr>
    </w:lvl>
    <w:lvl w:ilvl="5" w:tplc="97EA8F5A" w:tentative="1">
      <w:start w:val="1"/>
      <w:numFmt w:val="bullet"/>
      <w:lvlText w:val=""/>
      <w:lvlJc w:val="left"/>
      <w:pPr>
        <w:tabs>
          <w:tab w:val="num" w:pos="4320"/>
        </w:tabs>
        <w:ind w:left="4320" w:hanging="360"/>
      </w:pPr>
      <w:rPr>
        <w:rFonts w:ascii="Wingdings" w:hAnsi="Wingdings" w:hint="default"/>
      </w:rPr>
    </w:lvl>
    <w:lvl w:ilvl="6" w:tplc="DB028A84" w:tentative="1">
      <w:start w:val="1"/>
      <w:numFmt w:val="bullet"/>
      <w:lvlText w:val=""/>
      <w:lvlJc w:val="left"/>
      <w:pPr>
        <w:tabs>
          <w:tab w:val="num" w:pos="5040"/>
        </w:tabs>
        <w:ind w:left="5040" w:hanging="360"/>
      </w:pPr>
      <w:rPr>
        <w:rFonts w:ascii="Wingdings" w:hAnsi="Wingdings" w:hint="default"/>
      </w:rPr>
    </w:lvl>
    <w:lvl w:ilvl="7" w:tplc="9490F368" w:tentative="1">
      <w:start w:val="1"/>
      <w:numFmt w:val="bullet"/>
      <w:lvlText w:val=""/>
      <w:lvlJc w:val="left"/>
      <w:pPr>
        <w:tabs>
          <w:tab w:val="num" w:pos="5760"/>
        </w:tabs>
        <w:ind w:left="5760" w:hanging="360"/>
      </w:pPr>
      <w:rPr>
        <w:rFonts w:ascii="Wingdings" w:hAnsi="Wingdings" w:hint="default"/>
      </w:rPr>
    </w:lvl>
    <w:lvl w:ilvl="8" w:tplc="8B8A8FE4"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0F856AF"/>
    <w:multiLevelType w:val="hybridMultilevel"/>
    <w:tmpl w:val="9BCC470A"/>
    <w:lvl w:ilvl="0" w:tplc="BB227888">
      <w:start w:val="1"/>
      <w:numFmt w:val="bullet"/>
      <w:lvlText w:val="-"/>
      <w:lvlJc w:val="left"/>
      <w:pPr>
        <w:ind w:left="36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616659DE"/>
    <w:multiLevelType w:val="hybridMultilevel"/>
    <w:tmpl w:val="BBCE72E0"/>
    <w:lvl w:ilvl="0" w:tplc="08090001">
      <w:start w:val="1"/>
      <w:numFmt w:val="bullet"/>
      <w:lvlText w:val=""/>
      <w:lvlJc w:val="left"/>
      <w:pPr>
        <w:ind w:left="855" w:hanging="360"/>
      </w:pPr>
      <w:rPr>
        <w:rFonts w:ascii="Symbol" w:hAnsi="Symbol" w:hint="default"/>
      </w:rPr>
    </w:lvl>
    <w:lvl w:ilvl="1" w:tplc="08090003">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39" w15:restartNumberingAfterBreak="0">
    <w:nsid w:val="63EB7CBF"/>
    <w:multiLevelType w:val="hybridMultilevel"/>
    <w:tmpl w:val="1DC8CA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99830B6"/>
    <w:multiLevelType w:val="hybridMultilevel"/>
    <w:tmpl w:val="E1A8866A"/>
    <w:lvl w:ilvl="0" w:tplc="06204112">
      <w:start w:val="3"/>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41" w15:restartNumberingAfterBreak="0">
    <w:nsid w:val="6A701828"/>
    <w:multiLevelType w:val="hybridMultilevel"/>
    <w:tmpl w:val="B802A09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02B6A6E"/>
    <w:multiLevelType w:val="hybridMultilevel"/>
    <w:tmpl w:val="A53EEB58"/>
    <w:lvl w:ilvl="0" w:tplc="5680EC30">
      <w:start w:val="1"/>
      <w:numFmt w:val="bullet"/>
      <w:lvlText w:val=""/>
      <w:lvlJc w:val="left"/>
      <w:pPr>
        <w:tabs>
          <w:tab w:val="num" w:pos="720"/>
        </w:tabs>
        <w:ind w:left="720" w:hanging="360"/>
      </w:pPr>
      <w:rPr>
        <w:rFonts w:ascii="Wingdings" w:hAnsi="Wingdings" w:hint="default"/>
      </w:rPr>
    </w:lvl>
    <w:lvl w:ilvl="1" w:tplc="87A444C4">
      <w:start w:val="1"/>
      <w:numFmt w:val="bullet"/>
      <w:lvlText w:val=""/>
      <w:lvlJc w:val="left"/>
      <w:pPr>
        <w:tabs>
          <w:tab w:val="num" w:pos="1440"/>
        </w:tabs>
        <w:ind w:left="1440" w:hanging="360"/>
      </w:pPr>
      <w:rPr>
        <w:rFonts w:ascii="Wingdings" w:hAnsi="Wingdings" w:hint="default"/>
      </w:rPr>
    </w:lvl>
    <w:lvl w:ilvl="2" w:tplc="85C8EAF6" w:tentative="1">
      <w:start w:val="1"/>
      <w:numFmt w:val="bullet"/>
      <w:lvlText w:val=""/>
      <w:lvlJc w:val="left"/>
      <w:pPr>
        <w:tabs>
          <w:tab w:val="num" w:pos="2160"/>
        </w:tabs>
        <w:ind w:left="2160" w:hanging="360"/>
      </w:pPr>
      <w:rPr>
        <w:rFonts w:ascii="Wingdings" w:hAnsi="Wingdings" w:hint="default"/>
      </w:rPr>
    </w:lvl>
    <w:lvl w:ilvl="3" w:tplc="A6F4601A" w:tentative="1">
      <w:start w:val="1"/>
      <w:numFmt w:val="bullet"/>
      <w:lvlText w:val=""/>
      <w:lvlJc w:val="left"/>
      <w:pPr>
        <w:tabs>
          <w:tab w:val="num" w:pos="2880"/>
        </w:tabs>
        <w:ind w:left="2880" w:hanging="360"/>
      </w:pPr>
      <w:rPr>
        <w:rFonts w:ascii="Wingdings" w:hAnsi="Wingdings" w:hint="default"/>
      </w:rPr>
    </w:lvl>
    <w:lvl w:ilvl="4" w:tplc="3984EDF6" w:tentative="1">
      <w:start w:val="1"/>
      <w:numFmt w:val="bullet"/>
      <w:lvlText w:val=""/>
      <w:lvlJc w:val="left"/>
      <w:pPr>
        <w:tabs>
          <w:tab w:val="num" w:pos="3600"/>
        </w:tabs>
        <w:ind w:left="3600" w:hanging="360"/>
      </w:pPr>
      <w:rPr>
        <w:rFonts w:ascii="Wingdings" w:hAnsi="Wingdings" w:hint="default"/>
      </w:rPr>
    </w:lvl>
    <w:lvl w:ilvl="5" w:tplc="B7EC4626" w:tentative="1">
      <w:start w:val="1"/>
      <w:numFmt w:val="bullet"/>
      <w:lvlText w:val=""/>
      <w:lvlJc w:val="left"/>
      <w:pPr>
        <w:tabs>
          <w:tab w:val="num" w:pos="4320"/>
        </w:tabs>
        <w:ind w:left="4320" w:hanging="360"/>
      </w:pPr>
      <w:rPr>
        <w:rFonts w:ascii="Wingdings" w:hAnsi="Wingdings" w:hint="default"/>
      </w:rPr>
    </w:lvl>
    <w:lvl w:ilvl="6" w:tplc="B40A88D8" w:tentative="1">
      <w:start w:val="1"/>
      <w:numFmt w:val="bullet"/>
      <w:lvlText w:val=""/>
      <w:lvlJc w:val="left"/>
      <w:pPr>
        <w:tabs>
          <w:tab w:val="num" w:pos="5040"/>
        </w:tabs>
        <w:ind w:left="5040" w:hanging="360"/>
      </w:pPr>
      <w:rPr>
        <w:rFonts w:ascii="Wingdings" w:hAnsi="Wingdings" w:hint="default"/>
      </w:rPr>
    </w:lvl>
    <w:lvl w:ilvl="7" w:tplc="5A38A4B8" w:tentative="1">
      <w:start w:val="1"/>
      <w:numFmt w:val="bullet"/>
      <w:lvlText w:val=""/>
      <w:lvlJc w:val="left"/>
      <w:pPr>
        <w:tabs>
          <w:tab w:val="num" w:pos="5760"/>
        </w:tabs>
        <w:ind w:left="5760" w:hanging="360"/>
      </w:pPr>
      <w:rPr>
        <w:rFonts w:ascii="Wingdings" w:hAnsi="Wingdings" w:hint="default"/>
      </w:rPr>
    </w:lvl>
    <w:lvl w:ilvl="8" w:tplc="CFB86FC6"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33C1EC3"/>
    <w:multiLevelType w:val="hybridMultilevel"/>
    <w:tmpl w:val="71589BBE"/>
    <w:lvl w:ilvl="0" w:tplc="BB227888">
      <w:start w:val="1"/>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50505A1"/>
    <w:multiLevelType w:val="hybridMultilevel"/>
    <w:tmpl w:val="5394DBDE"/>
    <w:lvl w:ilvl="0" w:tplc="36D4B0F8">
      <w:start w:val="1"/>
      <w:numFmt w:val="bullet"/>
      <w:lvlText w:val="-"/>
      <w:lvlJc w:val="left"/>
      <w:pPr>
        <w:ind w:left="363" w:hanging="360"/>
      </w:pPr>
      <w:rPr>
        <w:rFonts w:ascii="Times New Roman" w:hAnsi="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5" w15:restartNumberingAfterBreak="0">
    <w:nsid w:val="78D60690"/>
    <w:multiLevelType w:val="hybridMultilevel"/>
    <w:tmpl w:val="E36C4504"/>
    <w:lvl w:ilvl="0" w:tplc="F770489E">
      <w:start w:val="1"/>
      <w:numFmt w:val="bullet"/>
      <w:lvlText w:val=""/>
      <w:lvlJc w:val="left"/>
      <w:pPr>
        <w:tabs>
          <w:tab w:val="num" w:pos="720"/>
        </w:tabs>
        <w:ind w:left="720" w:hanging="360"/>
      </w:pPr>
      <w:rPr>
        <w:rFonts w:ascii="Wingdings" w:hAnsi="Wingdings" w:hint="default"/>
      </w:rPr>
    </w:lvl>
    <w:lvl w:ilvl="1" w:tplc="2EC21582">
      <w:start w:val="1"/>
      <w:numFmt w:val="bullet"/>
      <w:lvlText w:val=""/>
      <w:lvlJc w:val="left"/>
      <w:pPr>
        <w:tabs>
          <w:tab w:val="num" w:pos="1440"/>
        </w:tabs>
        <w:ind w:left="1440" w:hanging="360"/>
      </w:pPr>
      <w:rPr>
        <w:rFonts w:ascii="Wingdings" w:hAnsi="Wingdings" w:hint="default"/>
      </w:rPr>
    </w:lvl>
    <w:lvl w:ilvl="2" w:tplc="868073DE" w:tentative="1">
      <w:start w:val="1"/>
      <w:numFmt w:val="bullet"/>
      <w:lvlText w:val=""/>
      <w:lvlJc w:val="left"/>
      <w:pPr>
        <w:tabs>
          <w:tab w:val="num" w:pos="2160"/>
        </w:tabs>
        <w:ind w:left="2160" w:hanging="360"/>
      </w:pPr>
      <w:rPr>
        <w:rFonts w:ascii="Wingdings" w:hAnsi="Wingdings" w:hint="default"/>
      </w:rPr>
    </w:lvl>
    <w:lvl w:ilvl="3" w:tplc="8CC83D42" w:tentative="1">
      <w:start w:val="1"/>
      <w:numFmt w:val="bullet"/>
      <w:lvlText w:val=""/>
      <w:lvlJc w:val="left"/>
      <w:pPr>
        <w:tabs>
          <w:tab w:val="num" w:pos="2880"/>
        </w:tabs>
        <w:ind w:left="2880" w:hanging="360"/>
      </w:pPr>
      <w:rPr>
        <w:rFonts w:ascii="Wingdings" w:hAnsi="Wingdings" w:hint="default"/>
      </w:rPr>
    </w:lvl>
    <w:lvl w:ilvl="4" w:tplc="6ACC97BC" w:tentative="1">
      <w:start w:val="1"/>
      <w:numFmt w:val="bullet"/>
      <w:lvlText w:val=""/>
      <w:lvlJc w:val="left"/>
      <w:pPr>
        <w:tabs>
          <w:tab w:val="num" w:pos="3600"/>
        </w:tabs>
        <w:ind w:left="3600" w:hanging="360"/>
      </w:pPr>
      <w:rPr>
        <w:rFonts w:ascii="Wingdings" w:hAnsi="Wingdings" w:hint="default"/>
      </w:rPr>
    </w:lvl>
    <w:lvl w:ilvl="5" w:tplc="9648EC7A" w:tentative="1">
      <w:start w:val="1"/>
      <w:numFmt w:val="bullet"/>
      <w:lvlText w:val=""/>
      <w:lvlJc w:val="left"/>
      <w:pPr>
        <w:tabs>
          <w:tab w:val="num" w:pos="4320"/>
        </w:tabs>
        <w:ind w:left="4320" w:hanging="360"/>
      </w:pPr>
      <w:rPr>
        <w:rFonts w:ascii="Wingdings" w:hAnsi="Wingdings" w:hint="default"/>
      </w:rPr>
    </w:lvl>
    <w:lvl w:ilvl="6" w:tplc="AC50157E" w:tentative="1">
      <w:start w:val="1"/>
      <w:numFmt w:val="bullet"/>
      <w:lvlText w:val=""/>
      <w:lvlJc w:val="left"/>
      <w:pPr>
        <w:tabs>
          <w:tab w:val="num" w:pos="5040"/>
        </w:tabs>
        <w:ind w:left="5040" w:hanging="360"/>
      </w:pPr>
      <w:rPr>
        <w:rFonts w:ascii="Wingdings" w:hAnsi="Wingdings" w:hint="default"/>
      </w:rPr>
    </w:lvl>
    <w:lvl w:ilvl="7" w:tplc="DF58AEF0" w:tentative="1">
      <w:start w:val="1"/>
      <w:numFmt w:val="bullet"/>
      <w:lvlText w:val=""/>
      <w:lvlJc w:val="left"/>
      <w:pPr>
        <w:tabs>
          <w:tab w:val="num" w:pos="5760"/>
        </w:tabs>
        <w:ind w:left="5760" w:hanging="360"/>
      </w:pPr>
      <w:rPr>
        <w:rFonts w:ascii="Wingdings" w:hAnsi="Wingdings" w:hint="default"/>
      </w:rPr>
    </w:lvl>
    <w:lvl w:ilvl="8" w:tplc="B8D67532"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9365F08"/>
    <w:multiLevelType w:val="hybridMultilevel"/>
    <w:tmpl w:val="116251EA"/>
    <w:lvl w:ilvl="0" w:tplc="BB227888">
      <w:start w:val="1"/>
      <w:numFmt w:val="bullet"/>
      <w:lvlText w:val="-"/>
      <w:lvlJc w:val="left"/>
      <w:pPr>
        <w:ind w:left="360" w:hanging="360"/>
      </w:pPr>
      <w:rPr>
        <w:rFonts w:ascii="Arial" w:eastAsiaTheme="minorHAnsi" w:hAnsi="Arial" w:cs="Aria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7C0F1CA5"/>
    <w:multiLevelType w:val="hybridMultilevel"/>
    <w:tmpl w:val="E8B2A6A6"/>
    <w:lvl w:ilvl="0" w:tplc="153CEF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C81463A"/>
    <w:multiLevelType w:val="hybridMultilevel"/>
    <w:tmpl w:val="CFEAF422"/>
    <w:lvl w:ilvl="0" w:tplc="15F81590">
      <w:start w:val="1"/>
      <w:numFmt w:val="lowerRoman"/>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22"/>
  </w:num>
  <w:num w:numId="3">
    <w:abstractNumId w:val="12"/>
  </w:num>
  <w:num w:numId="4">
    <w:abstractNumId w:val="1"/>
  </w:num>
  <w:num w:numId="5">
    <w:abstractNumId w:val="28"/>
  </w:num>
  <w:num w:numId="6">
    <w:abstractNumId w:val="0"/>
  </w:num>
  <w:num w:numId="7">
    <w:abstractNumId w:val="10"/>
  </w:num>
  <w:num w:numId="8">
    <w:abstractNumId w:val="19"/>
  </w:num>
  <w:num w:numId="9">
    <w:abstractNumId w:val="4"/>
  </w:num>
  <w:num w:numId="10">
    <w:abstractNumId w:val="8"/>
  </w:num>
  <w:num w:numId="11">
    <w:abstractNumId w:val="30"/>
  </w:num>
  <w:num w:numId="12">
    <w:abstractNumId w:val="27"/>
  </w:num>
  <w:num w:numId="13">
    <w:abstractNumId w:val="39"/>
  </w:num>
  <w:num w:numId="14">
    <w:abstractNumId w:val="43"/>
  </w:num>
  <w:num w:numId="15">
    <w:abstractNumId w:val="33"/>
  </w:num>
  <w:num w:numId="16">
    <w:abstractNumId w:val="36"/>
  </w:num>
  <w:num w:numId="17">
    <w:abstractNumId w:val="42"/>
  </w:num>
  <w:num w:numId="18">
    <w:abstractNumId w:val="45"/>
  </w:num>
  <w:num w:numId="19">
    <w:abstractNumId w:val="47"/>
  </w:num>
  <w:num w:numId="20">
    <w:abstractNumId w:val="21"/>
  </w:num>
  <w:num w:numId="21">
    <w:abstractNumId w:val="38"/>
  </w:num>
  <w:num w:numId="22">
    <w:abstractNumId w:val="24"/>
  </w:num>
  <w:num w:numId="23">
    <w:abstractNumId w:val="26"/>
  </w:num>
  <w:num w:numId="24">
    <w:abstractNumId w:val="41"/>
  </w:num>
  <w:num w:numId="25">
    <w:abstractNumId w:val="35"/>
  </w:num>
  <w:num w:numId="26">
    <w:abstractNumId w:val="23"/>
  </w:num>
  <w:num w:numId="27">
    <w:abstractNumId w:val="15"/>
  </w:num>
  <w:num w:numId="28">
    <w:abstractNumId w:val="5"/>
  </w:num>
  <w:num w:numId="29">
    <w:abstractNumId w:val="2"/>
  </w:num>
  <w:num w:numId="30">
    <w:abstractNumId w:val="31"/>
  </w:num>
  <w:num w:numId="31">
    <w:abstractNumId w:val="9"/>
  </w:num>
  <w:num w:numId="32">
    <w:abstractNumId w:val="14"/>
  </w:num>
  <w:num w:numId="33">
    <w:abstractNumId w:val="32"/>
  </w:num>
  <w:num w:numId="34">
    <w:abstractNumId w:val="6"/>
  </w:num>
  <w:num w:numId="35">
    <w:abstractNumId w:val="7"/>
  </w:num>
  <w:num w:numId="36">
    <w:abstractNumId w:val="18"/>
  </w:num>
  <w:num w:numId="37">
    <w:abstractNumId w:val="48"/>
  </w:num>
  <w:num w:numId="38">
    <w:abstractNumId w:val="13"/>
  </w:num>
  <w:num w:numId="39">
    <w:abstractNumId w:val="40"/>
  </w:num>
  <w:num w:numId="40">
    <w:abstractNumId w:val="44"/>
  </w:num>
  <w:num w:numId="41">
    <w:abstractNumId w:val="16"/>
  </w:num>
  <w:num w:numId="42">
    <w:abstractNumId w:val="3"/>
  </w:num>
  <w:num w:numId="43">
    <w:abstractNumId w:val="29"/>
  </w:num>
  <w:num w:numId="44">
    <w:abstractNumId w:val="34"/>
  </w:num>
  <w:num w:numId="45">
    <w:abstractNumId w:val="46"/>
  </w:num>
  <w:num w:numId="46">
    <w:abstractNumId w:val="25"/>
  </w:num>
  <w:num w:numId="47">
    <w:abstractNumId w:val="11"/>
  </w:num>
  <w:num w:numId="48">
    <w:abstractNumId w:val="17"/>
  </w:num>
  <w:num w:numId="4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27E"/>
    <w:rsid w:val="00000008"/>
    <w:rsid w:val="00000149"/>
    <w:rsid w:val="00000370"/>
    <w:rsid w:val="0000104E"/>
    <w:rsid w:val="0000185D"/>
    <w:rsid w:val="00001B18"/>
    <w:rsid w:val="000022C3"/>
    <w:rsid w:val="000023A7"/>
    <w:rsid w:val="000026B2"/>
    <w:rsid w:val="000030AB"/>
    <w:rsid w:val="000032AF"/>
    <w:rsid w:val="00003496"/>
    <w:rsid w:val="00003947"/>
    <w:rsid w:val="00003A15"/>
    <w:rsid w:val="00003AFC"/>
    <w:rsid w:val="00003CBB"/>
    <w:rsid w:val="00003E78"/>
    <w:rsid w:val="00004384"/>
    <w:rsid w:val="0000463B"/>
    <w:rsid w:val="000046EF"/>
    <w:rsid w:val="00004D33"/>
    <w:rsid w:val="00004DA6"/>
    <w:rsid w:val="00005717"/>
    <w:rsid w:val="000057BD"/>
    <w:rsid w:val="000072D1"/>
    <w:rsid w:val="0000785E"/>
    <w:rsid w:val="00007CDF"/>
    <w:rsid w:val="00007DDD"/>
    <w:rsid w:val="000100AA"/>
    <w:rsid w:val="000104BC"/>
    <w:rsid w:val="0001123B"/>
    <w:rsid w:val="000113C8"/>
    <w:rsid w:val="000114D0"/>
    <w:rsid w:val="00011C79"/>
    <w:rsid w:val="00012155"/>
    <w:rsid w:val="00012188"/>
    <w:rsid w:val="00012782"/>
    <w:rsid w:val="000128F0"/>
    <w:rsid w:val="00012AB9"/>
    <w:rsid w:val="00013274"/>
    <w:rsid w:val="000135A3"/>
    <w:rsid w:val="00013967"/>
    <w:rsid w:val="00013D4E"/>
    <w:rsid w:val="000141D0"/>
    <w:rsid w:val="0001459E"/>
    <w:rsid w:val="00015783"/>
    <w:rsid w:val="000157FB"/>
    <w:rsid w:val="000158F2"/>
    <w:rsid w:val="0001637F"/>
    <w:rsid w:val="00016ABB"/>
    <w:rsid w:val="00016CC0"/>
    <w:rsid w:val="00017179"/>
    <w:rsid w:val="00017237"/>
    <w:rsid w:val="00017939"/>
    <w:rsid w:val="00017B55"/>
    <w:rsid w:val="00017E4A"/>
    <w:rsid w:val="000209EE"/>
    <w:rsid w:val="00020A49"/>
    <w:rsid w:val="00021216"/>
    <w:rsid w:val="000213E4"/>
    <w:rsid w:val="0002195F"/>
    <w:rsid w:val="00021B88"/>
    <w:rsid w:val="00021BAA"/>
    <w:rsid w:val="00021CBD"/>
    <w:rsid w:val="000222F0"/>
    <w:rsid w:val="0002331C"/>
    <w:rsid w:val="000233D5"/>
    <w:rsid w:val="000239E0"/>
    <w:rsid w:val="00024792"/>
    <w:rsid w:val="000253E3"/>
    <w:rsid w:val="00025D07"/>
    <w:rsid w:val="00025D38"/>
    <w:rsid w:val="00025F34"/>
    <w:rsid w:val="00025F5B"/>
    <w:rsid w:val="00025FA9"/>
    <w:rsid w:val="00026457"/>
    <w:rsid w:val="000274F7"/>
    <w:rsid w:val="0002788D"/>
    <w:rsid w:val="00027DE3"/>
    <w:rsid w:val="00027E0A"/>
    <w:rsid w:val="000300D3"/>
    <w:rsid w:val="00030C8B"/>
    <w:rsid w:val="000310D6"/>
    <w:rsid w:val="00031228"/>
    <w:rsid w:val="00031861"/>
    <w:rsid w:val="00031AAC"/>
    <w:rsid w:val="00031B5A"/>
    <w:rsid w:val="00031DF4"/>
    <w:rsid w:val="000321D6"/>
    <w:rsid w:val="00032377"/>
    <w:rsid w:val="0003297D"/>
    <w:rsid w:val="00032F7F"/>
    <w:rsid w:val="0003344D"/>
    <w:rsid w:val="00034128"/>
    <w:rsid w:val="0003424B"/>
    <w:rsid w:val="00034474"/>
    <w:rsid w:val="00034C26"/>
    <w:rsid w:val="000359E3"/>
    <w:rsid w:val="00035BD4"/>
    <w:rsid w:val="000361B5"/>
    <w:rsid w:val="000362DB"/>
    <w:rsid w:val="00036538"/>
    <w:rsid w:val="0003685A"/>
    <w:rsid w:val="00036BB1"/>
    <w:rsid w:val="000374EE"/>
    <w:rsid w:val="000376B3"/>
    <w:rsid w:val="00037AE8"/>
    <w:rsid w:val="000400B9"/>
    <w:rsid w:val="000408DA"/>
    <w:rsid w:val="00040A7D"/>
    <w:rsid w:val="00040B84"/>
    <w:rsid w:val="00041049"/>
    <w:rsid w:val="00041189"/>
    <w:rsid w:val="00041461"/>
    <w:rsid w:val="00041B5C"/>
    <w:rsid w:val="00041B8A"/>
    <w:rsid w:val="00041D56"/>
    <w:rsid w:val="00041DC8"/>
    <w:rsid w:val="0004214A"/>
    <w:rsid w:val="000422D2"/>
    <w:rsid w:val="00043003"/>
    <w:rsid w:val="00043306"/>
    <w:rsid w:val="0004397A"/>
    <w:rsid w:val="00044211"/>
    <w:rsid w:val="000442D8"/>
    <w:rsid w:val="000444C8"/>
    <w:rsid w:val="00044558"/>
    <w:rsid w:val="00045113"/>
    <w:rsid w:val="000451D7"/>
    <w:rsid w:val="000458C2"/>
    <w:rsid w:val="0004634E"/>
    <w:rsid w:val="00046712"/>
    <w:rsid w:val="0004677F"/>
    <w:rsid w:val="0004699E"/>
    <w:rsid w:val="00046B57"/>
    <w:rsid w:val="00046BEF"/>
    <w:rsid w:val="0004787C"/>
    <w:rsid w:val="00047DE1"/>
    <w:rsid w:val="0005039F"/>
    <w:rsid w:val="00050706"/>
    <w:rsid w:val="00051361"/>
    <w:rsid w:val="00051867"/>
    <w:rsid w:val="000522E9"/>
    <w:rsid w:val="00052414"/>
    <w:rsid w:val="0005279D"/>
    <w:rsid w:val="00052A10"/>
    <w:rsid w:val="00052E33"/>
    <w:rsid w:val="00052FD8"/>
    <w:rsid w:val="00053605"/>
    <w:rsid w:val="000536E6"/>
    <w:rsid w:val="0005371C"/>
    <w:rsid w:val="00053DBC"/>
    <w:rsid w:val="00054832"/>
    <w:rsid w:val="00055847"/>
    <w:rsid w:val="00055A34"/>
    <w:rsid w:val="0005605B"/>
    <w:rsid w:val="00056424"/>
    <w:rsid w:val="000565DE"/>
    <w:rsid w:val="00056D19"/>
    <w:rsid w:val="00056FFB"/>
    <w:rsid w:val="00057410"/>
    <w:rsid w:val="0005768B"/>
    <w:rsid w:val="0005797A"/>
    <w:rsid w:val="00057C41"/>
    <w:rsid w:val="00061073"/>
    <w:rsid w:val="0006185A"/>
    <w:rsid w:val="00061A1F"/>
    <w:rsid w:val="00061DBF"/>
    <w:rsid w:val="00062693"/>
    <w:rsid w:val="00062710"/>
    <w:rsid w:val="00062B7E"/>
    <w:rsid w:val="00062D7A"/>
    <w:rsid w:val="000630E5"/>
    <w:rsid w:val="000630E9"/>
    <w:rsid w:val="00063782"/>
    <w:rsid w:val="00064289"/>
    <w:rsid w:val="000643C6"/>
    <w:rsid w:val="00064A07"/>
    <w:rsid w:val="000650A8"/>
    <w:rsid w:val="00065A78"/>
    <w:rsid w:val="00066099"/>
    <w:rsid w:val="000667D5"/>
    <w:rsid w:val="00066882"/>
    <w:rsid w:val="00066917"/>
    <w:rsid w:val="00066AEB"/>
    <w:rsid w:val="00066C3A"/>
    <w:rsid w:val="000670CA"/>
    <w:rsid w:val="0006716D"/>
    <w:rsid w:val="00067A1F"/>
    <w:rsid w:val="00067A3A"/>
    <w:rsid w:val="00070215"/>
    <w:rsid w:val="0007027D"/>
    <w:rsid w:val="00070317"/>
    <w:rsid w:val="000706E3"/>
    <w:rsid w:val="00070879"/>
    <w:rsid w:val="00070F97"/>
    <w:rsid w:val="00073129"/>
    <w:rsid w:val="00073893"/>
    <w:rsid w:val="00073A3D"/>
    <w:rsid w:val="00074945"/>
    <w:rsid w:val="000760F5"/>
    <w:rsid w:val="00076431"/>
    <w:rsid w:val="00076523"/>
    <w:rsid w:val="00076574"/>
    <w:rsid w:val="000767A0"/>
    <w:rsid w:val="00076E81"/>
    <w:rsid w:val="000774C8"/>
    <w:rsid w:val="0007776A"/>
    <w:rsid w:val="00077867"/>
    <w:rsid w:val="00077D64"/>
    <w:rsid w:val="0008091A"/>
    <w:rsid w:val="0008099F"/>
    <w:rsid w:val="00080B7B"/>
    <w:rsid w:val="000815D6"/>
    <w:rsid w:val="00081788"/>
    <w:rsid w:val="00081AD3"/>
    <w:rsid w:val="00081C67"/>
    <w:rsid w:val="00081C9D"/>
    <w:rsid w:val="00081CB4"/>
    <w:rsid w:val="000826DC"/>
    <w:rsid w:val="00082B2B"/>
    <w:rsid w:val="00082FFC"/>
    <w:rsid w:val="00083407"/>
    <w:rsid w:val="000834A2"/>
    <w:rsid w:val="00083803"/>
    <w:rsid w:val="00083BBE"/>
    <w:rsid w:val="000840AA"/>
    <w:rsid w:val="00084C2A"/>
    <w:rsid w:val="00085292"/>
    <w:rsid w:val="00085598"/>
    <w:rsid w:val="00085905"/>
    <w:rsid w:val="00086544"/>
    <w:rsid w:val="000873DD"/>
    <w:rsid w:val="00087AD3"/>
    <w:rsid w:val="000904A5"/>
    <w:rsid w:val="00090714"/>
    <w:rsid w:val="00090E02"/>
    <w:rsid w:val="00090F68"/>
    <w:rsid w:val="00091152"/>
    <w:rsid w:val="00091411"/>
    <w:rsid w:val="00091AD4"/>
    <w:rsid w:val="00091FDA"/>
    <w:rsid w:val="00092197"/>
    <w:rsid w:val="000931CF"/>
    <w:rsid w:val="00093605"/>
    <w:rsid w:val="00093768"/>
    <w:rsid w:val="00093794"/>
    <w:rsid w:val="00093E2F"/>
    <w:rsid w:val="00094E45"/>
    <w:rsid w:val="0009554C"/>
    <w:rsid w:val="0009576F"/>
    <w:rsid w:val="0009587E"/>
    <w:rsid w:val="00096301"/>
    <w:rsid w:val="00096946"/>
    <w:rsid w:val="00096BBB"/>
    <w:rsid w:val="00096EC1"/>
    <w:rsid w:val="00096F12"/>
    <w:rsid w:val="00097213"/>
    <w:rsid w:val="0009726A"/>
    <w:rsid w:val="00097945"/>
    <w:rsid w:val="00097D0C"/>
    <w:rsid w:val="00097DFB"/>
    <w:rsid w:val="00097E9C"/>
    <w:rsid w:val="000A0C46"/>
    <w:rsid w:val="000A1837"/>
    <w:rsid w:val="000A1D06"/>
    <w:rsid w:val="000A20FE"/>
    <w:rsid w:val="000A2B88"/>
    <w:rsid w:val="000A3711"/>
    <w:rsid w:val="000A394B"/>
    <w:rsid w:val="000A3A25"/>
    <w:rsid w:val="000A3BA3"/>
    <w:rsid w:val="000A4021"/>
    <w:rsid w:val="000A4623"/>
    <w:rsid w:val="000A46A4"/>
    <w:rsid w:val="000A4B1A"/>
    <w:rsid w:val="000A5369"/>
    <w:rsid w:val="000A5872"/>
    <w:rsid w:val="000A6049"/>
    <w:rsid w:val="000A6644"/>
    <w:rsid w:val="000A70AE"/>
    <w:rsid w:val="000A7127"/>
    <w:rsid w:val="000A7952"/>
    <w:rsid w:val="000A7E03"/>
    <w:rsid w:val="000B0227"/>
    <w:rsid w:val="000B0324"/>
    <w:rsid w:val="000B0331"/>
    <w:rsid w:val="000B1434"/>
    <w:rsid w:val="000B14BD"/>
    <w:rsid w:val="000B16C1"/>
    <w:rsid w:val="000B1C01"/>
    <w:rsid w:val="000B20BB"/>
    <w:rsid w:val="000B2361"/>
    <w:rsid w:val="000B3758"/>
    <w:rsid w:val="000B3A0B"/>
    <w:rsid w:val="000B405A"/>
    <w:rsid w:val="000B4163"/>
    <w:rsid w:val="000B44BF"/>
    <w:rsid w:val="000B4AB9"/>
    <w:rsid w:val="000B4F62"/>
    <w:rsid w:val="000B51FC"/>
    <w:rsid w:val="000B520E"/>
    <w:rsid w:val="000B536E"/>
    <w:rsid w:val="000B57A9"/>
    <w:rsid w:val="000B5C7E"/>
    <w:rsid w:val="000B5CAD"/>
    <w:rsid w:val="000B610E"/>
    <w:rsid w:val="000B61DD"/>
    <w:rsid w:val="000B6628"/>
    <w:rsid w:val="000B67A8"/>
    <w:rsid w:val="000B6811"/>
    <w:rsid w:val="000B7193"/>
    <w:rsid w:val="000B799A"/>
    <w:rsid w:val="000C0536"/>
    <w:rsid w:val="000C0B47"/>
    <w:rsid w:val="000C1D5B"/>
    <w:rsid w:val="000C1EAC"/>
    <w:rsid w:val="000C20D8"/>
    <w:rsid w:val="000C2364"/>
    <w:rsid w:val="000C2522"/>
    <w:rsid w:val="000C25D2"/>
    <w:rsid w:val="000C2D2C"/>
    <w:rsid w:val="000C2D71"/>
    <w:rsid w:val="000C3321"/>
    <w:rsid w:val="000C38CD"/>
    <w:rsid w:val="000C4474"/>
    <w:rsid w:val="000C4F58"/>
    <w:rsid w:val="000C5035"/>
    <w:rsid w:val="000C56BA"/>
    <w:rsid w:val="000C6041"/>
    <w:rsid w:val="000C6A9F"/>
    <w:rsid w:val="000C6F42"/>
    <w:rsid w:val="000C716D"/>
    <w:rsid w:val="000C72D3"/>
    <w:rsid w:val="000C7F41"/>
    <w:rsid w:val="000D06F6"/>
    <w:rsid w:val="000D0977"/>
    <w:rsid w:val="000D146E"/>
    <w:rsid w:val="000D1AB9"/>
    <w:rsid w:val="000D1B20"/>
    <w:rsid w:val="000D1C2A"/>
    <w:rsid w:val="000D1C6E"/>
    <w:rsid w:val="000D1D83"/>
    <w:rsid w:val="000D23F0"/>
    <w:rsid w:val="000D2B70"/>
    <w:rsid w:val="000D2D1C"/>
    <w:rsid w:val="000D2F17"/>
    <w:rsid w:val="000D325A"/>
    <w:rsid w:val="000D36BB"/>
    <w:rsid w:val="000D3763"/>
    <w:rsid w:val="000D3AA3"/>
    <w:rsid w:val="000D3B29"/>
    <w:rsid w:val="000D3CB2"/>
    <w:rsid w:val="000D3FAA"/>
    <w:rsid w:val="000D444B"/>
    <w:rsid w:val="000D4817"/>
    <w:rsid w:val="000D4A04"/>
    <w:rsid w:val="000D6231"/>
    <w:rsid w:val="000D63E1"/>
    <w:rsid w:val="000D6505"/>
    <w:rsid w:val="000D68F4"/>
    <w:rsid w:val="000D6DE1"/>
    <w:rsid w:val="000D7267"/>
    <w:rsid w:val="000D7B11"/>
    <w:rsid w:val="000D7E1C"/>
    <w:rsid w:val="000E01BF"/>
    <w:rsid w:val="000E06AE"/>
    <w:rsid w:val="000E0A1D"/>
    <w:rsid w:val="000E113A"/>
    <w:rsid w:val="000E12C0"/>
    <w:rsid w:val="000E189E"/>
    <w:rsid w:val="000E1E15"/>
    <w:rsid w:val="000E1F7A"/>
    <w:rsid w:val="000E23DE"/>
    <w:rsid w:val="000E25E4"/>
    <w:rsid w:val="000E29C9"/>
    <w:rsid w:val="000E2C98"/>
    <w:rsid w:val="000E2D87"/>
    <w:rsid w:val="000E2E58"/>
    <w:rsid w:val="000E3B83"/>
    <w:rsid w:val="000E425C"/>
    <w:rsid w:val="000E4BBC"/>
    <w:rsid w:val="000E4C31"/>
    <w:rsid w:val="000E501E"/>
    <w:rsid w:val="000E5328"/>
    <w:rsid w:val="000E5375"/>
    <w:rsid w:val="000E5AD9"/>
    <w:rsid w:val="000E609E"/>
    <w:rsid w:val="000E610A"/>
    <w:rsid w:val="000E614C"/>
    <w:rsid w:val="000E671B"/>
    <w:rsid w:val="000E69FE"/>
    <w:rsid w:val="000E6EB9"/>
    <w:rsid w:val="000E7057"/>
    <w:rsid w:val="000E73C9"/>
    <w:rsid w:val="000E7461"/>
    <w:rsid w:val="000F0019"/>
    <w:rsid w:val="000F00C9"/>
    <w:rsid w:val="000F03E3"/>
    <w:rsid w:val="000F04CC"/>
    <w:rsid w:val="000F085A"/>
    <w:rsid w:val="000F0BC4"/>
    <w:rsid w:val="000F1043"/>
    <w:rsid w:val="000F109A"/>
    <w:rsid w:val="000F1708"/>
    <w:rsid w:val="000F1F31"/>
    <w:rsid w:val="000F2312"/>
    <w:rsid w:val="000F2427"/>
    <w:rsid w:val="000F27B3"/>
    <w:rsid w:val="000F2AFB"/>
    <w:rsid w:val="000F2C57"/>
    <w:rsid w:val="000F31ED"/>
    <w:rsid w:val="000F3213"/>
    <w:rsid w:val="000F385A"/>
    <w:rsid w:val="000F3981"/>
    <w:rsid w:val="000F3ACA"/>
    <w:rsid w:val="000F3F97"/>
    <w:rsid w:val="000F42C4"/>
    <w:rsid w:val="000F442E"/>
    <w:rsid w:val="000F4439"/>
    <w:rsid w:val="000F497D"/>
    <w:rsid w:val="000F4A70"/>
    <w:rsid w:val="000F4E87"/>
    <w:rsid w:val="000F57F5"/>
    <w:rsid w:val="000F5D5D"/>
    <w:rsid w:val="000F64D7"/>
    <w:rsid w:val="000F64FF"/>
    <w:rsid w:val="000F7264"/>
    <w:rsid w:val="000F7692"/>
    <w:rsid w:val="000F7D7B"/>
    <w:rsid w:val="00100060"/>
    <w:rsid w:val="001007CF"/>
    <w:rsid w:val="00100B57"/>
    <w:rsid w:val="0010100F"/>
    <w:rsid w:val="00101223"/>
    <w:rsid w:val="00101276"/>
    <w:rsid w:val="001017AA"/>
    <w:rsid w:val="0010223E"/>
    <w:rsid w:val="00102757"/>
    <w:rsid w:val="00103D8E"/>
    <w:rsid w:val="00103D9C"/>
    <w:rsid w:val="001041CC"/>
    <w:rsid w:val="00104BEC"/>
    <w:rsid w:val="00104F46"/>
    <w:rsid w:val="001051CC"/>
    <w:rsid w:val="00105530"/>
    <w:rsid w:val="00105845"/>
    <w:rsid w:val="00105C53"/>
    <w:rsid w:val="00106366"/>
    <w:rsid w:val="001065DF"/>
    <w:rsid w:val="0010687A"/>
    <w:rsid w:val="00106969"/>
    <w:rsid w:val="001079ED"/>
    <w:rsid w:val="00107D1D"/>
    <w:rsid w:val="00107FE6"/>
    <w:rsid w:val="001109A6"/>
    <w:rsid w:val="00110B49"/>
    <w:rsid w:val="00110E59"/>
    <w:rsid w:val="00111DCA"/>
    <w:rsid w:val="00111ED1"/>
    <w:rsid w:val="0011285E"/>
    <w:rsid w:val="0011304D"/>
    <w:rsid w:val="0011306E"/>
    <w:rsid w:val="001132B1"/>
    <w:rsid w:val="00113E67"/>
    <w:rsid w:val="00114084"/>
    <w:rsid w:val="001141CA"/>
    <w:rsid w:val="00114B78"/>
    <w:rsid w:val="00114D69"/>
    <w:rsid w:val="00114DA2"/>
    <w:rsid w:val="00115BC5"/>
    <w:rsid w:val="00116033"/>
    <w:rsid w:val="001163E9"/>
    <w:rsid w:val="00116D3F"/>
    <w:rsid w:val="00116E07"/>
    <w:rsid w:val="001172E9"/>
    <w:rsid w:val="00120041"/>
    <w:rsid w:val="001204EE"/>
    <w:rsid w:val="0012088A"/>
    <w:rsid w:val="00121264"/>
    <w:rsid w:val="00121834"/>
    <w:rsid w:val="001239D5"/>
    <w:rsid w:val="001242B6"/>
    <w:rsid w:val="00124D6A"/>
    <w:rsid w:val="00125260"/>
    <w:rsid w:val="00125A3E"/>
    <w:rsid w:val="00125B74"/>
    <w:rsid w:val="00125CB7"/>
    <w:rsid w:val="00126083"/>
    <w:rsid w:val="001262F8"/>
    <w:rsid w:val="0012673F"/>
    <w:rsid w:val="001268A8"/>
    <w:rsid w:val="00126A13"/>
    <w:rsid w:val="001273B7"/>
    <w:rsid w:val="001277E8"/>
    <w:rsid w:val="00127B10"/>
    <w:rsid w:val="00127E6B"/>
    <w:rsid w:val="00130047"/>
    <w:rsid w:val="0013084C"/>
    <w:rsid w:val="001315A9"/>
    <w:rsid w:val="00131B2B"/>
    <w:rsid w:val="00131E25"/>
    <w:rsid w:val="0013244D"/>
    <w:rsid w:val="00132B85"/>
    <w:rsid w:val="00133615"/>
    <w:rsid w:val="001336B1"/>
    <w:rsid w:val="00133B75"/>
    <w:rsid w:val="00133C10"/>
    <w:rsid w:val="00134382"/>
    <w:rsid w:val="0013463E"/>
    <w:rsid w:val="001348C4"/>
    <w:rsid w:val="00134A00"/>
    <w:rsid w:val="00134A1F"/>
    <w:rsid w:val="00134ACD"/>
    <w:rsid w:val="00134B29"/>
    <w:rsid w:val="00134D40"/>
    <w:rsid w:val="00134DBF"/>
    <w:rsid w:val="00134DD2"/>
    <w:rsid w:val="00134E31"/>
    <w:rsid w:val="00135321"/>
    <w:rsid w:val="0013538E"/>
    <w:rsid w:val="00135647"/>
    <w:rsid w:val="0013575D"/>
    <w:rsid w:val="00135AFA"/>
    <w:rsid w:val="00135CFD"/>
    <w:rsid w:val="00135EF1"/>
    <w:rsid w:val="0013617C"/>
    <w:rsid w:val="00136795"/>
    <w:rsid w:val="0013783A"/>
    <w:rsid w:val="001408AD"/>
    <w:rsid w:val="00140D77"/>
    <w:rsid w:val="0014227D"/>
    <w:rsid w:val="001424B2"/>
    <w:rsid w:val="00142651"/>
    <w:rsid w:val="00142B3A"/>
    <w:rsid w:val="00143105"/>
    <w:rsid w:val="00143385"/>
    <w:rsid w:val="00143514"/>
    <w:rsid w:val="001439A5"/>
    <w:rsid w:val="001439BE"/>
    <w:rsid w:val="00143AE0"/>
    <w:rsid w:val="00143DFD"/>
    <w:rsid w:val="00143F39"/>
    <w:rsid w:val="00144F6F"/>
    <w:rsid w:val="00144FDF"/>
    <w:rsid w:val="001453EA"/>
    <w:rsid w:val="0014541C"/>
    <w:rsid w:val="00145889"/>
    <w:rsid w:val="00145ADC"/>
    <w:rsid w:val="00145AEE"/>
    <w:rsid w:val="001461EB"/>
    <w:rsid w:val="00146CDA"/>
    <w:rsid w:val="00147060"/>
    <w:rsid w:val="00147192"/>
    <w:rsid w:val="00147C84"/>
    <w:rsid w:val="00150255"/>
    <w:rsid w:val="001503E9"/>
    <w:rsid w:val="0015056F"/>
    <w:rsid w:val="00151119"/>
    <w:rsid w:val="001519DE"/>
    <w:rsid w:val="00151D15"/>
    <w:rsid w:val="001524D8"/>
    <w:rsid w:val="001531DB"/>
    <w:rsid w:val="001534E6"/>
    <w:rsid w:val="001549E4"/>
    <w:rsid w:val="00154D5E"/>
    <w:rsid w:val="00154FBA"/>
    <w:rsid w:val="00155968"/>
    <w:rsid w:val="00155C45"/>
    <w:rsid w:val="00155EE3"/>
    <w:rsid w:val="00157772"/>
    <w:rsid w:val="0015784B"/>
    <w:rsid w:val="00161058"/>
    <w:rsid w:val="001612CE"/>
    <w:rsid w:val="00161965"/>
    <w:rsid w:val="0016253B"/>
    <w:rsid w:val="00162770"/>
    <w:rsid w:val="001628D1"/>
    <w:rsid w:val="00162DE1"/>
    <w:rsid w:val="00162E40"/>
    <w:rsid w:val="00163035"/>
    <w:rsid w:val="0016362D"/>
    <w:rsid w:val="00163A78"/>
    <w:rsid w:val="001643A0"/>
    <w:rsid w:val="0016470F"/>
    <w:rsid w:val="001647F0"/>
    <w:rsid w:val="00164B3D"/>
    <w:rsid w:val="00164D9D"/>
    <w:rsid w:val="00165103"/>
    <w:rsid w:val="0016580D"/>
    <w:rsid w:val="00166109"/>
    <w:rsid w:val="00166464"/>
    <w:rsid w:val="001666F7"/>
    <w:rsid w:val="0016676C"/>
    <w:rsid w:val="00166FE6"/>
    <w:rsid w:val="001673C6"/>
    <w:rsid w:val="00167A30"/>
    <w:rsid w:val="00167D8D"/>
    <w:rsid w:val="00170551"/>
    <w:rsid w:val="00170664"/>
    <w:rsid w:val="001707DB"/>
    <w:rsid w:val="00170C89"/>
    <w:rsid w:val="001717F9"/>
    <w:rsid w:val="00171B67"/>
    <w:rsid w:val="00172CA9"/>
    <w:rsid w:val="00172F38"/>
    <w:rsid w:val="00173044"/>
    <w:rsid w:val="00173605"/>
    <w:rsid w:val="00174B4A"/>
    <w:rsid w:val="00174D69"/>
    <w:rsid w:val="00174DD3"/>
    <w:rsid w:val="001752AF"/>
    <w:rsid w:val="001752B0"/>
    <w:rsid w:val="001755AD"/>
    <w:rsid w:val="00175675"/>
    <w:rsid w:val="00175850"/>
    <w:rsid w:val="00175F88"/>
    <w:rsid w:val="001761B7"/>
    <w:rsid w:val="00176540"/>
    <w:rsid w:val="001766CC"/>
    <w:rsid w:val="001767D1"/>
    <w:rsid w:val="001767D3"/>
    <w:rsid w:val="0017787A"/>
    <w:rsid w:val="0018015F"/>
    <w:rsid w:val="001804FC"/>
    <w:rsid w:val="0018057C"/>
    <w:rsid w:val="00180728"/>
    <w:rsid w:val="001808D0"/>
    <w:rsid w:val="001816F2"/>
    <w:rsid w:val="001821A0"/>
    <w:rsid w:val="00182C86"/>
    <w:rsid w:val="00182ED2"/>
    <w:rsid w:val="001832E9"/>
    <w:rsid w:val="001834F0"/>
    <w:rsid w:val="00183AC1"/>
    <w:rsid w:val="00183B49"/>
    <w:rsid w:val="00183DA6"/>
    <w:rsid w:val="001841BD"/>
    <w:rsid w:val="0018450B"/>
    <w:rsid w:val="001848AA"/>
    <w:rsid w:val="001851A4"/>
    <w:rsid w:val="001852EE"/>
    <w:rsid w:val="001854E0"/>
    <w:rsid w:val="001861E4"/>
    <w:rsid w:val="00186B35"/>
    <w:rsid w:val="00186B41"/>
    <w:rsid w:val="00186C9D"/>
    <w:rsid w:val="00186DBD"/>
    <w:rsid w:val="001870C2"/>
    <w:rsid w:val="00187157"/>
    <w:rsid w:val="001876CC"/>
    <w:rsid w:val="001878BE"/>
    <w:rsid w:val="00187F02"/>
    <w:rsid w:val="00190715"/>
    <w:rsid w:val="0019165A"/>
    <w:rsid w:val="00191715"/>
    <w:rsid w:val="00191EC7"/>
    <w:rsid w:val="0019283F"/>
    <w:rsid w:val="00192BF6"/>
    <w:rsid w:val="0019329C"/>
    <w:rsid w:val="001935D9"/>
    <w:rsid w:val="00193838"/>
    <w:rsid w:val="0019428C"/>
    <w:rsid w:val="00194486"/>
    <w:rsid w:val="001949CB"/>
    <w:rsid w:val="001949DC"/>
    <w:rsid w:val="00195037"/>
    <w:rsid w:val="00195E55"/>
    <w:rsid w:val="0019606D"/>
    <w:rsid w:val="00196782"/>
    <w:rsid w:val="00196A70"/>
    <w:rsid w:val="00196D97"/>
    <w:rsid w:val="001973E6"/>
    <w:rsid w:val="001975E6"/>
    <w:rsid w:val="001979DA"/>
    <w:rsid w:val="001A006A"/>
    <w:rsid w:val="001A01CB"/>
    <w:rsid w:val="001A0285"/>
    <w:rsid w:val="001A07BF"/>
    <w:rsid w:val="001A087B"/>
    <w:rsid w:val="001A165F"/>
    <w:rsid w:val="001A1EAD"/>
    <w:rsid w:val="001A2023"/>
    <w:rsid w:val="001A2686"/>
    <w:rsid w:val="001A2EC6"/>
    <w:rsid w:val="001A3F3C"/>
    <w:rsid w:val="001A4B22"/>
    <w:rsid w:val="001A4DE5"/>
    <w:rsid w:val="001A4EB0"/>
    <w:rsid w:val="001A5830"/>
    <w:rsid w:val="001A5DE4"/>
    <w:rsid w:val="001A5EAD"/>
    <w:rsid w:val="001A60B0"/>
    <w:rsid w:val="001A6382"/>
    <w:rsid w:val="001A66C3"/>
    <w:rsid w:val="001A6AB5"/>
    <w:rsid w:val="001A6B7F"/>
    <w:rsid w:val="001A719C"/>
    <w:rsid w:val="001A73A6"/>
    <w:rsid w:val="001A7467"/>
    <w:rsid w:val="001A7959"/>
    <w:rsid w:val="001A7D24"/>
    <w:rsid w:val="001A7E36"/>
    <w:rsid w:val="001B046A"/>
    <w:rsid w:val="001B121D"/>
    <w:rsid w:val="001B1226"/>
    <w:rsid w:val="001B1761"/>
    <w:rsid w:val="001B1C44"/>
    <w:rsid w:val="001B3018"/>
    <w:rsid w:val="001B32FF"/>
    <w:rsid w:val="001B368F"/>
    <w:rsid w:val="001B3C5A"/>
    <w:rsid w:val="001B3D61"/>
    <w:rsid w:val="001B45F0"/>
    <w:rsid w:val="001B4858"/>
    <w:rsid w:val="001B5346"/>
    <w:rsid w:val="001B5478"/>
    <w:rsid w:val="001B5561"/>
    <w:rsid w:val="001B55B2"/>
    <w:rsid w:val="001B667D"/>
    <w:rsid w:val="001B72FE"/>
    <w:rsid w:val="001B74B2"/>
    <w:rsid w:val="001C00BC"/>
    <w:rsid w:val="001C02F2"/>
    <w:rsid w:val="001C03CF"/>
    <w:rsid w:val="001C0421"/>
    <w:rsid w:val="001C060C"/>
    <w:rsid w:val="001C09C5"/>
    <w:rsid w:val="001C0D2B"/>
    <w:rsid w:val="001C1100"/>
    <w:rsid w:val="001C1482"/>
    <w:rsid w:val="001C19F5"/>
    <w:rsid w:val="001C1A4C"/>
    <w:rsid w:val="001C1CE9"/>
    <w:rsid w:val="001C1DED"/>
    <w:rsid w:val="001C21A0"/>
    <w:rsid w:val="001C233D"/>
    <w:rsid w:val="001C240D"/>
    <w:rsid w:val="001C2470"/>
    <w:rsid w:val="001C305A"/>
    <w:rsid w:val="001C334B"/>
    <w:rsid w:val="001C33AB"/>
    <w:rsid w:val="001C38B4"/>
    <w:rsid w:val="001C38CE"/>
    <w:rsid w:val="001C39DD"/>
    <w:rsid w:val="001C4169"/>
    <w:rsid w:val="001C43C2"/>
    <w:rsid w:val="001C57B9"/>
    <w:rsid w:val="001C580B"/>
    <w:rsid w:val="001C5828"/>
    <w:rsid w:val="001C5953"/>
    <w:rsid w:val="001C5A7A"/>
    <w:rsid w:val="001C5AD9"/>
    <w:rsid w:val="001C5B15"/>
    <w:rsid w:val="001C5DBB"/>
    <w:rsid w:val="001C60BB"/>
    <w:rsid w:val="001C6332"/>
    <w:rsid w:val="001C6CA1"/>
    <w:rsid w:val="001C6FF9"/>
    <w:rsid w:val="001C70B2"/>
    <w:rsid w:val="001C73B6"/>
    <w:rsid w:val="001C7D00"/>
    <w:rsid w:val="001D0686"/>
    <w:rsid w:val="001D078F"/>
    <w:rsid w:val="001D0B13"/>
    <w:rsid w:val="001D0CA4"/>
    <w:rsid w:val="001D0D51"/>
    <w:rsid w:val="001D1EBA"/>
    <w:rsid w:val="001D2C4E"/>
    <w:rsid w:val="001D2F02"/>
    <w:rsid w:val="001D3C65"/>
    <w:rsid w:val="001D3F9F"/>
    <w:rsid w:val="001D4518"/>
    <w:rsid w:val="001D470E"/>
    <w:rsid w:val="001D4745"/>
    <w:rsid w:val="001D5987"/>
    <w:rsid w:val="001D5E05"/>
    <w:rsid w:val="001D6071"/>
    <w:rsid w:val="001D63BF"/>
    <w:rsid w:val="001D645C"/>
    <w:rsid w:val="001D64E7"/>
    <w:rsid w:val="001D6E89"/>
    <w:rsid w:val="001D7006"/>
    <w:rsid w:val="001D72EA"/>
    <w:rsid w:val="001D79F1"/>
    <w:rsid w:val="001E08C7"/>
    <w:rsid w:val="001E0DA0"/>
    <w:rsid w:val="001E1259"/>
    <w:rsid w:val="001E1681"/>
    <w:rsid w:val="001E1B20"/>
    <w:rsid w:val="001E252B"/>
    <w:rsid w:val="001E2CB6"/>
    <w:rsid w:val="001E2CBB"/>
    <w:rsid w:val="001E4598"/>
    <w:rsid w:val="001E482B"/>
    <w:rsid w:val="001E490B"/>
    <w:rsid w:val="001E4F3F"/>
    <w:rsid w:val="001E55E8"/>
    <w:rsid w:val="001E585C"/>
    <w:rsid w:val="001E5EAA"/>
    <w:rsid w:val="001E61C4"/>
    <w:rsid w:val="001E6516"/>
    <w:rsid w:val="001E662B"/>
    <w:rsid w:val="001E7105"/>
    <w:rsid w:val="001E7922"/>
    <w:rsid w:val="001E7A76"/>
    <w:rsid w:val="001F07EF"/>
    <w:rsid w:val="001F134A"/>
    <w:rsid w:val="001F1531"/>
    <w:rsid w:val="001F1701"/>
    <w:rsid w:val="001F17C5"/>
    <w:rsid w:val="001F20E6"/>
    <w:rsid w:val="001F223B"/>
    <w:rsid w:val="001F22AA"/>
    <w:rsid w:val="001F25CC"/>
    <w:rsid w:val="001F2DBD"/>
    <w:rsid w:val="001F4ADA"/>
    <w:rsid w:val="001F4C26"/>
    <w:rsid w:val="001F4FC3"/>
    <w:rsid w:val="001F5C18"/>
    <w:rsid w:val="001F651F"/>
    <w:rsid w:val="001F688A"/>
    <w:rsid w:val="001F7E05"/>
    <w:rsid w:val="002003AA"/>
    <w:rsid w:val="002004B8"/>
    <w:rsid w:val="002005A8"/>
    <w:rsid w:val="00201DEA"/>
    <w:rsid w:val="002021ED"/>
    <w:rsid w:val="002024D6"/>
    <w:rsid w:val="0020274F"/>
    <w:rsid w:val="00202CF2"/>
    <w:rsid w:val="002032D6"/>
    <w:rsid w:val="0020338F"/>
    <w:rsid w:val="002039A6"/>
    <w:rsid w:val="00203B5D"/>
    <w:rsid w:val="0020454A"/>
    <w:rsid w:val="00204566"/>
    <w:rsid w:val="00204AD0"/>
    <w:rsid w:val="00204C1A"/>
    <w:rsid w:val="00204E1B"/>
    <w:rsid w:val="00205013"/>
    <w:rsid w:val="00205601"/>
    <w:rsid w:val="00205E8C"/>
    <w:rsid w:val="00206E81"/>
    <w:rsid w:val="002071EB"/>
    <w:rsid w:val="00207228"/>
    <w:rsid w:val="0020723E"/>
    <w:rsid w:val="00207A57"/>
    <w:rsid w:val="00210081"/>
    <w:rsid w:val="0021065E"/>
    <w:rsid w:val="0021073B"/>
    <w:rsid w:val="00210E19"/>
    <w:rsid w:val="00212233"/>
    <w:rsid w:val="002122EF"/>
    <w:rsid w:val="00212867"/>
    <w:rsid w:val="002130AA"/>
    <w:rsid w:val="002133AE"/>
    <w:rsid w:val="002136D5"/>
    <w:rsid w:val="00214393"/>
    <w:rsid w:val="00214A52"/>
    <w:rsid w:val="00214BB8"/>
    <w:rsid w:val="0021554F"/>
    <w:rsid w:val="00215B96"/>
    <w:rsid w:val="00215CBB"/>
    <w:rsid w:val="00215F27"/>
    <w:rsid w:val="002162AB"/>
    <w:rsid w:val="00216857"/>
    <w:rsid w:val="00216F3B"/>
    <w:rsid w:val="00217466"/>
    <w:rsid w:val="00217B6F"/>
    <w:rsid w:val="00217DF8"/>
    <w:rsid w:val="00217E70"/>
    <w:rsid w:val="00220017"/>
    <w:rsid w:val="00220415"/>
    <w:rsid w:val="00220617"/>
    <w:rsid w:val="00220676"/>
    <w:rsid w:val="0022081F"/>
    <w:rsid w:val="00220C5A"/>
    <w:rsid w:val="00220F84"/>
    <w:rsid w:val="002214A9"/>
    <w:rsid w:val="00221F22"/>
    <w:rsid w:val="00222A10"/>
    <w:rsid w:val="00222FC4"/>
    <w:rsid w:val="00222FE6"/>
    <w:rsid w:val="002235FA"/>
    <w:rsid w:val="002236D5"/>
    <w:rsid w:val="00223BE7"/>
    <w:rsid w:val="00224149"/>
    <w:rsid w:val="00224318"/>
    <w:rsid w:val="0022455C"/>
    <w:rsid w:val="002245EA"/>
    <w:rsid w:val="00224CF9"/>
    <w:rsid w:val="00225145"/>
    <w:rsid w:val="00227120"/>
    <w:rsid w:val="00227334"/>
    <w:rsid w:val="002273F7"/>
    <w:rsid w:val="00230C6F"/>
    <w:rsid w:val="00230D99"/>
    <w:rsid w:val="00231373"/>
    <w:rsid w:val="00231476"/>
    <w:rsid w:val="00231637"/>
    <w:rsid w:val="00231B1C"/>
    <w:rsid w:val="00232016"/>
    <w:rsid w:val="00232241"/>
    <w:rsid w:val="002324AA"/>
    <w:rsid w:val="00232E34"/>
    <w:rsid w:val="0023327E"/>
    <w:rsid w:val="002332C6"/>
    <w:rsid w:val="002335DE"/>
    <w:rsid w:val="00233CDD"/>
    <w:rsid w:val="002342BA"/>
    <w:rsid w:val="002347E1"/>
    <w:rsid w:val="00234BAA"/>
    <w:rsid w:val="00234D39"/>
    <w:rsid w:val="00234E4E"/>
    <w:rsid w:val="00234EB5"/>
    <w:rsid w:val="00235731"/>
    <w:rsid w:val="0023596F"/>
    <w:rsid w:val="00236539"/>
    <w:rsid w:val="002365D3"/>
    <w:rsid w:val="002368FE"/>
    <w:rsid w:val="002369BE"/>
    <w:rsid w:val="00236B7A"/>
    <w:rsid w:val="00236BD2"/>
    <w:rsid w:val="00236C30"/>
    <w:rsid w:val="002378B4"/>
    <w:rsid w:val="00237AE3"/>
    <w:rsid w:val="00237B08"/>
    <w:rsid w:val="00237FE2"/>
    <w:rsid w:val="002406F0"/>
    <w:rsid w:val="002408DF"/>
    <w:rsid w:val="00240AC5"/>
    <w:rsid w:val="002413AA"/>
    <w:rsid w:val="002418CB"/>
    <w:rsid w:val="00241A76"/>
    <w:rsid w:val="00241DDE"/>
    <w:rsid w:val="00241FE8"/>
    <w:rsid w:val="00242274"/>
    <w:rsid w:val="00242396"/>
    <w:rsid w:val="0024257D"/>
    <w:rsid w:val="002429F5"/>
    <w:rsid w:val="00242F8E"/>
    <w:rsid w:val="00242FD1"/>
    <w:rsid w:val="00242FFB"/>
    <w:rsid w:val="002431BA"/>
    <w:rsid w:val="00243A9C"/>
    <w:rsid w:val="00243AAB"/>
    <w:rsid w:val="00244134"/>
    <w:rsid w:val="002446B3"/>
    <w:rsid w:val="002446F1"/>
    <w:rsid w:val="00245904"/>
    <w:rsid w:val="002459C9"/>
    <w:rsid w:val="00245D21"/>
    <w:rsid w:val="00245D6F"/>
    <w:rsid w:val="00245F12"/>
    <w:rsid w:val="00246074"/>
    <w:rsid w:val="0024633D"/>
    <w:rsid w:val="0024671C"/>
    <w:rsid w:val="00246953"/>
    <w:rsid w:val="00246B9A"/>
    <w:rsid w:val="00246CD1"/>
    <w:rsid w:val="00246D8B"/>
    <w:rsid w:val="002470C0"/>
    <w:rsid w:val="00247121"/>
    <w:rsid w:val="0024731B"/>
    <w:rsid w:val="00247542"/>
    <w:rsid w:val="002478EA"/>
    <w:rsid w:val="00247E1D"/>
    <w:rsid w:val="00250C1D"/>
    <w:rsid w:val="00250FFC"/>
    <w:rsid w:val="00251305"/>
    <w:rsid w:val="00251412"/>
    <w:rsid w:val="00251859"/>
    <w:rsid w:val="0025192B"/>
    <w:rsid w:val="00251DD5"/>
    <w:rsid w:val="002522D5"/>
    <w:rsid w:val="00252985"/>
    <w:rsid w:val="002534FA"/>
    <w:rsid w:val="0025391A"/>
    <w:rsid w:val="00253C27"/>
    <w:rsid w:val="0025525F"/>
    <w:rsid w:val="00255B5A"/>
    <w:rsid w:val="00255E58"/>
    <w:rsid w:val="002567E0"/>
    <w:rsid w:val="00256C6F"/>
    <w:rsid w:val="00256EF1"/>
    <w:rsid w:val="00256F23"/>
    <w:rsid w:val="0025721B"/>
    <w:rsid w:val="00257E7B"/>
    <w:rsid w:val="00260152"/>
    <w:rsid w:val="00260BC5"/>
    <w:rsid w:val="00260E17"/>
    <w:rsid w:val="00260F24"/>
    <w:rsid w:val="002615AE"/>
    <w:rsid w:val="00261A09"/>
    <w:rsid w:val="00261D01"/>
    <w:rsid w:val="00261DB6"/>
    <w:rsid w:val="00261FE3"/>
    <w:rsid w:val="002620BC"/>
    <w:rsid w:val="00262220"/>
    <w:rsid w:val="0026280C"/>
    <w:rsid w:val="00262B5E"/>
    <w:rsid w:val="0026368F"/>
    <w:rsid w:val="002637CA"/>
    <w:rsid w:val="002639BF"/>
    <w:rsid w:val="00263A29"/>
    <w:rsid w:val="00263D5F"/>
    <w:rsid w:val="0026417B"/>
    <w:rsid w:val="00264218"/>
    <w:rsid w:val="00264522"/>
    <w:rsid w:val="00264813"/>
    <w:rsid w:val="00265144"/>
    <w:rsid w:val="00265186"/>
    <w:rsid w:val="00265469"/>
    <w:rsid w:val="00265BC8"/>
    <w:rsid w:val="00266535"/>
    <w:rsid w:val="0026664D"/>
    <w:rsid w:val="00266779"/>
    <w:rsid w:val="002675C0"/>
    <w:rsid w:val="0026781D"/>
    <w:rsid w:val="00267E9F"/>
    <w:rsid w:val="0027029E"/>
    <w:rsid w:val="0027096B"/>
    <w:rsid w:val="002709B5"/>
    <w:rsid w:val="00271243"/>
    <w:rsid w:val="00271604"/>
    <w:rsid w:val="00271BCE"/>
    <w:rsid w:val="00271E05"/>
    <w:rsid w:val="00272177"/>
    <w:rsid w:val="0027261A"/>
    <w:rsid w:val="00272B0C"/>
    <w:rsid w:val="00273A30"/>
    <w:rsid w:val="00273BE9"/>
    <w:rsid w:val="00273EC6"/>
    <w:rsid w:val="00274356"/>
    <w:rsid w:val="00274423"/>
    <w:rsid w:val="00274449"/>
    <w:rsid w:val="00274D2B"/>
    <w:rsid w:val="0027547B"/>
    <w:rsid w:val="00275C5B"/>
    <w:rsid w:val="00276085"/>
    <w:rsid w:val="0027612A"/>
    <w:rsid w:val="00276A87"/>
    <w:rsid w:val="0027741D"/>
    <w:rsid w:val="0027755E"/>
    <w:rsid w:val="002775A3"/>
    <w:rsid w:val="00277B61"/>
    <w:rsid w:val="0028035D"/>
    <w:rsid w:val="00280947"/>
    <w:rsid w:val="00280C85"/>
    <w:rsid w:val="00280D4C"/>
    <w:rsid w:val="00280E17"/>
    <w:rsid w:val="0028137D"/>
    <w:rsid w:val="00281571"/>
    <w:rsid w:val="00281572"/>
    <w:rsid w:val="00281678"/>
    <w:rsid w:val="0028215A"/>
    <w:rsid w:val="00282810"/>
    <w:rsid w:val="002829BA"/>
    <w:rsid w:val="00282EB9"/>
    <w:rsid w:val="00282FA4"/>
    <w:rsid w:val="002833E1"/>
    <w:rsid w:val="00283A4B"/>
    <w:rsid w:val="002849C2"/>
    <w:rsid w:val="00284FA1"/>
    <w:rsid w:val="00285C5E"/>
    <w:rsid w:val="002860A0"/>
    <w:rsid w:val="00286CA0"/>
    <w:rsid w:val="00286CC6"/>
    <w:rsid w:val="00286DD8"/>
    <w:rsid w:val="00286F07"/>
    <w:rsid w:val="002874AB"/>
    <w:rsid w:val="002878E2"/>
    <w:rsid w:val="00287A7E"/>
    <w:rsid w:val="0029015B"/>
    <w:rsid w:val="00290909"/>
    <w:rsid w:val="00290CBD"/>
    <w:rsid w:val="00290EDF"/>
    <w:rsid w:val="00292246"/>
    <w:rsid w:val="00292843"/>
    <w:rsid w:val="00292ED0"/>
    <w:rsid w:val="0029317E"/>
    <w:rsid w:val="0029335F"/>
    <w:rsid w:val="00293478"/>
    <w:rsid w:val="00293DA6"/>
    <w:rsid w:val="00294421"/>
    <w:rsid w:val="0029450B"/>
    <w:rsid w:val="00294836"/>
    <w:rsid w:val="00294BFC"/>
    <w:rsid w:val="00294C61"/>
    <w:rsid w:val="00295003"/>
    <w:rsid w:val="0029533F"/>
    <w:rsid w:val="00295437"/>
    <w:rsid w:val="00295AF0"/>
    <w:rsid w:val="00296080"/>
    <w:rsid w:val="0029665D"/>
    <w:rsid w:val="00296684"/>
    <w:rsid w:val="0029685E"/>
    <w:rsid w:val="00296E35"/>
    <w:rsid w:val="002974CD"/>
    <w:rsid w:val="002976FE"/>
    <w:rsid w:val="00297AC6"/>
    <w:rsid w:val="00297B94"/>
    <w:rsid w:val="00297E2A"/>
    <w:rsid w:val="002A002C"/>
    <w:rsid w:val="002A0215"/>
    <w:rsid w:val="002A060F"/>
    <w:rsid w:val="002A0E23"/>
    <w:rsid w:val="002A10C4"/>
    <w:rsid w:val="002A177A"/>
    <w:rsid w:val="002A1821"/>
    <w:rsid w:val="002A1A14"/>
    <w:rsid w:val="002A387B"/>
    <w:rsid w:val="002A3BA7"/>
    <w:rsid w:val="002A3D68"/>
    <w:rsid w:val="002A3E76"/>
    <w:rsid w:val="002A4663"/>
    <w:rsid w:val="002A4FAD"/>
    <w:rsid w:val="002A5299"/>
    <w:rsid w:val="002A54D6"/>
    <w:rsid w:val="002A56ED"/>
    <w:rsid w:val="002A5709"/>
    <w:rsid w:val="002A6507"/>
    <w:rsid w:val="002A6680"/>
    <w:rsid w:val="002A7372"/>
    <w:rsid w:val="002A7F19"/>
    <w:rsid w:val="002B0495"/>
    <w:rsid w:val="002B0B94"/>
    <w:rsid w:val="002B159F"/>
    <w:rsid w:val="002B1AA9"/>
    <w:rsid w:val="002B1ACE"/>
    <w:rsid w:val="002B1AEC"/>
    <w:rsid w:val="002B1EAD"/>
    <w:rsid w:val="002B3012"/>
    <w:rsid w:val="002B3700"/>
    <w:rsid w:val="002B3B72"/>
    <w:rsid w:val="002B3E2A"/>
    <w:rsid w:val="002B406C"/>
    <w:rsid w:val="002B40BF"/>
    <w:rsid w:val="002B422A"/>
    <w:rsid w:val="002B4485"/>
    <w:rsid w:val="002B4BA7"/>
    <w:rsid w:val="002B56C3"/>
    <w:rsid w:val="002B56D9"/>
    <w:rsid w:val="002B66D1"/>
    <w:rsid w:val="002B6A12"/>
    <w:rsid w:val="002B6E50"/>
    <w:rsid w:val="002B7459"/>
    <w:rsid w:val="002B7621"/>
    <w:rsid w:val="002B7DFC"/>
    <w:rsid w:val="002C069F"/>
    <w:rsid w:val="002C0975"/>
    <w:rsid w:val="002C0B6A"/>
    <w:rsid w:val="002C0C75"/>
    <w:rsid w:val="002C1282"/>
    <w:rsid w:val="002C14AE"/>
    <w:rsid w:val="002C1F08"/>
    <w:rsid w:val="002C2279"/>
    <w:rsid w:val="002C2298"/>
    <w:rsid w:val="002C23D7"/>
    <w:rsid w:val="002C2516"/>
    <w:rsid w:val="002C289A"/>
    <w:rsid w:val="002C2AA7"/>
    <w:rsid w:val="002C2C29"/>
    <w:rsid w:val="002C2E2F"/>
    <w:rsid w:val="002C2FAC"/>
    <w:rsid w:val="002C330A"/>
    <w:rsid w:val="002C3754"/>
    <w:rsid w:val="002C4AC0"/>
    <w:rsid w:val="002C4CD9"/>
    <w:rsid w:val="002C4E0F"/>
    <w:rsid w:val="002C5D3E"/>
    <w:rsid w:val="002C6727"/>
    <w:rsid w:val="002C6AA3"/>
    <w:rsid w:val="002C6D78"/>
    <w:rsid w:val="002C6EF6"/>
    <w:rsid w:val="002C7008"/>
    <w:rsid w:val="002C7BF9"/>
    <w:rsid w:val="002C7EEC"/>
    <w:rsid w:val="002C7FF1"/>
    <w:rsid w:val="002D0355"/>
    <w:rsid w:val="002D06F8"/>
    <w:rsid w:val="002D0D9B"/>
    <w:rsid w:val="002D1504"/>
    <w:rsid w:val="002D157D"/>
    <w:rsid w:val="002D15E3"/>
    <w:rsid w:val="002D1967"/>
    <w:rsid w:val="002D1B86"/>
    <w:rsid w:val="002D327F"/>
    <w:rsid w:val="002D38CC"/>
    <w:rsid w:val="002D3A29"/>
    <w:rsid w:val="002D3BEB"/>
    <w:rsid w:val="002D3FAA"/>
    <w:rsid w:val="002D4025"/>
    <w:rsid w:val="002D4885"/>
    <w:rsid w:val="002D48D1"/>
    <w:rsid w:val="002D49C9"/>
    <w:rsid w:val="002D4F82"/>
    <w:rsid w:val="002D4F8A"/>
    <w:rsid w:val="002D5179"/>
    <w:rsid w:val="002D51A4"/>
    <w:rsid w:val="002D51D8"/>
    <w:rsid w:val="002D6403"/>
    <w:rsid w:val="002D6E82"/>
    <w:rsid w:val="002D760D"/>
    <w:rsid w:val="002D7894"/>
    <w:rsid w:val="002D7B14"/>
    <w:rsid w:val="002D7E99"/>
    <w:rsid w:val="002E0E99"/>
    <w:rsid w:val="002E17BB"/>
    <w:rsid w:val="002E17CE"/>
    <w:rsid w:val="002E1878"/>
    <w:rsid w:val="002E1F83"/>
    <w:rsid w:val="002E2978"/>
    <w:rsid w:val="002E2C50"/>
    <w:rsid w:val="002E3080"/>
    <w:rsid w:val="002E31B8"/>
    <w:rsid w:val="002E31E9"/>
    <w:rsid w:val="002E3375"/>
    <w:rsid w:val="002E3395"/>
    <w:rsid w:val="002E376A"/>
    <w:rsid w:val="002E394A"/>
    <w:rsid w:val="002E3C17"/>
    <w:rsid w:val="002E5292"/>
    <w:rsid w:val="002E5730"/>
    <w:rsid w:val="002E5929"/>
    <w:rsid w:val="002E5CAA"/>
    <w:rsid w:val="002E600C"/>
    <w:rsid w:val="002E6618"/>
    <w:rsid w:val="002E6922"/>
    <w:rsid w:val="002E6C3C"/>
    <w:rsid w:val="002E7080"/>
    <w:rsid w:val="002E7B1A"/>
    <w:rsid w:val="002F0068"/>
    <w:rsid w:val="002F01DA"/>
    <w:rsid w:val="002F04F5"/>
    <w:rsid w:val="002F0AE0"/>
    <w:rsid w:val="002F0D32"/>
    <w:rsid w:val="002F1149"/>
    <w:rsid w:val="002F1716"/>
    <w:rsid w:val="002F1719"/>
    <w:rsid w:val="002F18E4"/>
    <w:rsid w:val="002F1CC8"/>
    <w:rsid w:val="002F1D62"/>
    <w:rsid w:val="002F1D9D"/>
    <w:rsid w:val="002F1E88"/>
    <w:rsid w:val="002F1F90"/>
    <w:rsid w:val="002F2732"/>
    <w:rsid w:val="002F28A1"/>
    <w:rsid w:val="002F320F"/>
    <w:rsid w:val="002F3B96"/>
    <w:rsid w:val="002F411C"/>
    <w:rsid w:val="002F449F"/>
    <w:rsid w:val="002F454B"/>
    <w:rsid w:val="002F47DC"/>
    <w:rsid w:val="002F4818"/>
    <w:rsid w:val="002F4DA2"/>
    <w:rsid w:val="002F4DEB"/>
    <w:rsid w:val="002F5012"/>
    <w:rsid w:val="002F50DE"/>
    <w:rsid w:val="002F5769"/>
    <w:rsid w:val="002F5B83"/>
    <w:rsid w:val="002F5ED5"/>
    <w:rsid w:val="002F6E66"/>
    <w:rsid w:val="002F72F6"/>
    <w:rsid w:val="002F74A8"/>
    <w:rsid w:val="002F75D2"/>
    <w:rsid w:val="002F781E"/>
    <w:rsid w:val="002F78F9"/>
    <w:rsid w:val="003006D1"/>
    <w:rsid w:val="003007BF"/>
    <w:rsid w:val="00300C97"/>
    <w:rsid w:val="00300EED"/>
    <w:rsid w:val="00301891"/>
    <w:rsid w:val="00303387"/>
    <w:rsid w:val="00303EA5"/>
    <w:rsid w:val="00303F5B"/>
    <w:rsid w:val="00304668"/>
    <w:rsid w:val="0030479F"/>
    <w:rsid w:val="003049C2"/>
    <w:rsid w:val="0030513C"/>
    <w:rsid w:val="0030515F"/>
    <w:rsid w:val="00305796"/>
    <w:rsid w:val="00305947"/>
    <w:rsid w:val="00305969"/>
    <w:rsid w:val="00305DC1"/>
    <w:rsid w:val="0030604A"/>
    <w:rsid w:val="00306407"/>
    <w:rsid w:val="00306AFB"/>
    <w:rsid w:val="00306B6F"/>
    <w:rsid w:val="00307057"/>
    <w:rsid w:val="003076C8"/>
    <w:rsid w:val="003076FF"/>
    <w:rsid w:val="00307DCA"/>
    <w:rsid w:val="00307F1C"/>
    <w:rsid w:val="003104AA"/>
    <w:rsid w:val="003106DA"/>
    <w:rsid w:val="00310955"/>
    <w:rsid w:val="00310AED"/>
    <w:rsid w:val="00310F78"/>
    <w:rsid w:val="00311486"/>
    <w:rsid w:val="00311935"/>
    <w:rsid w:val="003122C9"/>
    <w:rsid w:val="00312BF3"/>
    <w:rsid w:val="00312FCD"/>
    <w:rsid w:val="003138EE"/>
    <w:rsid w:val="00313A78"/>
    <w:rsid w:val="00313A97"/>
    <w:rsid w:val="0031465C"/>
    <w:rsid w:val="00314843"/>
    <w:rsid w:val="00314E39"/>
    <w:rsid w:val="0031535C"/>
    <w:rsid w:val="00315407"/>
    <w:rsid w:val="00315785"/>
    <w:rsid w:val="00315898"/>
    <w:rsid w:val="003161B7"/>
    <w:rsid w:val="003172BB"/>
    <w:rsid w:val="003172D3"/>
    <w:rsid w:val="00317560"/>
    <w:rsid w:val="00320456"/>
    <w:rsid w:val="0032047C"/>
    <w:rsid w:val="00321BC7"/>
    <w:rsid w:val="00321F67"/>
    <w:rsid w:val="00321FB1"/>
    <w:rsid w:val="00322E39"/>
    <w:rsid w:val="00322EE7"/>
    <w:rsid w:val="00323A79"/>
    <w:rsid w:val="00323C8E"/>
    <w:rsid w:val="00324482"/>
    <w:rsid w:val="003244DB"/>
    <w:rsid w:val="00324B3B"/>
    <w:rsid w:val="003252B2"/>
    <w:rsid w:val="00325A06"/>
    <w:rsid w:val="00325E95"/>
    <w:rsid w:val="00326135"/>
    <w:rsid w:val="0032667A"/>
    <w:rsid w:val="00326CB9"/>
    <w:rsid w:val="00327011"/>
    <w:rsid w:val="00327404"/>
    <w:rsid w:val="003276BF"/>
    <w:rsid w:val="00327A29"/>
    <w:rsid w:val="00327FA6"/>
    <w:rsid w:val="00330051"/>
    <w:rsid w:val="003301F8"/>
    <w:rsid w:val="00330835"/>
    <w:rsid w:val="003308CB"/>
    <w:rsid w:val="00330D25"/>
    <w:rsid w:val="00330D94"/>
    <w:rsid w:val="00330EAB"/>
    <w:rsid w:val="00330FA9"/>
    <w:rsid w:val="003321D0"/>
    <w:rsid w:val="00332208"/>
    <w:rsid w:val="00332218"/>
    <w:rsid w:val="003327EA"/>
    <w:rsid w:val="00332915"/>
    <w:rsid w:val="00333736"/>
    <w:rsid w:val="00333740"/>
    <w:rsid w:val="00334A29"/>
    <w:rsid w:val="003354BF"/>
    <w:rsid w:val="003354CE"/>
    <w:rsid w:val="00335798"/>
    <w:rsid w:val="003362A5"/>
    <w:rsid w:val="00336A60"/>
    <w:rsid w:val="0033726E"/>
    <w:rsid w:val="00337849"/>
    <w:rsid w:val="00340A87"/>
    <w:rsid w:val="00341412"/>
    <w:rsid w:val="00341546"/>
    <w:rsid w:val="00341EA0"/>
    <w:rsid w:val="0034208E"/>
    <w:rsid w:val="003425C4"/>
    <w:rsid w:val="00342666"/>
    <w:rsid w:val="00342676"/>
    <w:rsid w:val="00342B90"/>
    <w:rsid w:val="0034320D"/>
    <w:rsid w:val="00343488"/>
    <w:rsid w:val="00343688"/>
    <w:rsid w:val="00343D4A"/>
    <w:rsid w:val="00344246"/>
    <w:rsid w:val="00344442"/>
    <w:rsid w:val="00344888"/>
    <w:rsid w:val="003448CB"/>
    <w:rsid w:val="00344C7D"/>
    <w:rsid w:val="00344D91"/>
    <w:rsid w:val="00344F0F"/>
    <w:rsid w:val="0034505D"/>
    <w:rsid w:val="0034556D"/>
    <w:rsid w:val="00345C2B"/>
    <w:rsid w:val="00346350"/>
    <w:rsid w:val="0034644C"/>
    <w:rsid w:val="003464D7"/>
    <w:rsid w:val="00346912"/>
    <w:rsid w:val="003469BE"/>
    <w:rsid w:val="00346B99"/>
    <w:rsid w:val="00346E2E"/>
    <w:rsid w:val="00347B07"/>
    <w:rsid w:val="00350408"/>
    <w:rsid w:val="00350718"/>
    <w:rsid w:val="0035098F"/>
    <w:rsid w:val="00350B58"/>
    <w:rsid w:val="0035181E"/>
    <w:rsid w:val="00351BD3"/>
    <w:rsid w:val="00351F46"/>
    <w:rsid w:val="003525B5"/>
    <w:rsid w:val="0035288B"/>
    <w:rsid w:val="00352D9D"/>
    <w:rsid w:val="00352E60"/>
    <w:rsid w:val="00352ED4"/>
    <w:rsid w:val="003532C9"/>
    <w:rsid w:val="003533D6"/>
    <w:rsid w:val="00353BB8"/>
    <w:rsid w:val="00354DFE"/>
    <w:rsid w:val="003550A8"/>
    <w:rsid w:val="003553D0"/>
    <w:rsid w:val="00356198"/>
    <w:rsid w:val="003568E3"/>
    <w:rsid w:val="00356C20"/>
    <w:rsid w:val="0035702E"/>
    <w:rsid w:val="003570DF"/>
    <w:rsid w:val="003574D8"/>
    <w:rsid w:val="00357725"/>
    <w:rsid w:val="00357A2C"/>
    <w:rsid w:val="00357A51"/>
    <w:rsid w:val="00360BB6"/>
    <w:rsid w:val="003617AF"/>
    <w:rsid w:val="00362379"/>
    <w:rsid w:val="003623EA"/>
    <w:rsid w:val="003625DE"/>
    <w:rsid w:val="00362617"/>
    <w:rsid w:val="003627D4"/>
    <w:rsid w:val="00362948"/>
    <w:rsid w:val="00362B07"/>
    <w:rsid w:val="003633CC"/>
    <w:rsid w:val="00363725"/>
    <w:rsid w:val="00363C1B"/>
    <w:rsid w:val="0036430F"/>
    <w:rsid w:val="003645CD"/>
    <w:rsid w:val="00364B39"/>
    <w:rsid w:val="00364B66"/>
    <w:rsid w:val="003659FE"/>
    <w:rsid w:val="003661B1"/>
    <w:rsid w:val="00366287"/>
    <w:rsid w:val="00366E6C"/>
    <w:rsid w:val="00366F3C"/>
    <w:rsid w:val="0036732B"/>
    <w:rsid w:val="00367850"/>
    <w:rsid w:val="00370034"/>
    <w:rsid w:val="003701F4"/>
    <w:rsid w:val="003705C7"/>
    <w:rsid w:val="00371093"/>
    <w:rsid w:val="003713A7"/>
    <w:rsid w:val="0037204E"/>
    <w:rsid w:val="003728BB"/>
    <w:rsid w:val="00373652"/>
    <w:rsid w:val="003737C3"/>
    <w:rsid w:val="00373921"/>
    <w:rsid w:val="00374183"/>
    <w:rsid w:val="00375531"/>
    <w:rsid w:val="0037573C"/>
    <w:rsid w:val="00375F07"/>
    <w:rsid w:val="00375F53"/>
    <w:rsid w:val="0037608E"/>
    <w:rsid w:val="00376100"/>
    <w:rsid w:val="003762B1"/>
    <w:rsid w:val="003765D2"/>
    <w:rsid w:val="00376B7E"/>
    <w:rsid w:val="00377544"/>
    <w:rsid w:val="00377A51"/>
    <w:rsid w:val="0038024E"/>
    <w:rsid w:val="00381302"/>
    <w:rsid w:val="0038156B"/>
    <w:rsid w:val="00381EBA"/>
    <w:rsid w:val="00382756"/>
    <w:rsid w:val="00382863"/>
    <w:rsid w:val="00383533"/>
    <w:rsid w:val="00383911"/>
    <w:rsid w:val="00383BA0"/>
    <w:rsid w:val="00384EB5"/>
    <w:rsid w:val="003851D7"/>
    <w:rsid w:val="0038573D"/>
    <w:rsid w:val="00386014"/>
    <w:rsid w:val="00386122"/>
    <w:rsid w:val="0038666D"/>
    <w:rsid w:val="00386FC7"/>
    <w:rsid w:val="0038725D"/>
    <w:rsid w:val="00387A5E"/>
    <w:rsid w:val="00387C00"/>
    <w:rsid w:val="003906E6"/>
    <w:rsid w:val="00390C4A"/>
    <w:rsid w:val="003914BA"/>
    <w:rsid w:val="0039160F"/>
    <w:rsid w:val="00391633"/>
    <w:rsid w:val="0039163C"/>
    <w:rsid w:val="0039195E"/>
    <w:rsid w:val="003919F4"/>
    <w:rsid w:val="00391CA8"/>
    <w:rsid w:val="00392481"/>
    <w:rsid w:val="003924BC"/>
    <w:rsid w:val="003927ED"/>
    <w:rsid w:val="00392A01"/>
    <w:rsid w:val="00392CFF"/>
    <w:rsid w:val="0039362D"/>
    <w:rsid w:val="003938EF"/>
    <w:rsid w:val="00394AB6"/>
    <w:rsid w:val="003952D1"/>
    <w:rsid w:val="00395A98"/>
    <w:rsid w:val="00396062"/>
    <w:rsid w:val="00396393"/>
    <w:rsid w:val="00396596"/>
    <w:rsid w:val="003965DF"/>
    <w:rsid w:val="003966D4"/>
    <w:rsid w:val="003967A0"/>
    <w:rsid w:val="00396DDE"/>
    <w:rsid w:val="003A1D81"/>
    <w:rsid w:val="003A1DF5"/>
    <w:rsid w:val="003A1EBE"/>
    <w:rsid w:val="003A1FFE"/>
    <w:rsid w:val="003A2A8D"/>
    <w:rsid w:val="003A2B72"/>
    <w:rsid w:val="003A30D2"/>
    <w:rsid w:val="003A32A7"/>
    <w:rsid w:val="003A3B71"/>
    <w:rsid w:val="003A3BD6"/>
    <w:rsid w:val="003A3C40"/>
    <w:rsid w:val="003A4976"/>
    <w:rsid w:val="003A5462"/>
    <w:rsid w:val="003A5C31"/>
    <w:rsid w:val="003A5DA7"/>
    <w:rsid w:val="003A5EBC"/>
    <w:rsid w:val="003A5FF6"/>
    <w:rsid w:val="003A61A3"/>
    <w:rsid w:val="003A694B"/>
    <w:rsid w:val="003A6D40"/>
    <w:rsid w:val="003A765D"/>
    <w:rsid w:val="003A7B3D"/>
    <w:rsid w:val="003A7F32"/>
    <w:rsid w:val="003B072E"/>
    <w:rsid w:val="003B1712"/>
    <w:rsid w:val="003B196C"/>
    <w:rsid w:val="003B1E21"/>
    <w:rsid w:val="003B1FDC"/>
    <w:rsid w:val="003B24B4"/>
    <w:rsid w:val="003B26C0"/>
    <w:rsid w:val="003B27AB"/>
    <w:rsid w:val="003B307E"/>
    <w:rsid w:val="003B345A"/>
    <w:rsid w:val="003B38CA"/>
    <w:rsid w:val="003B39B2"/>
    <w:rsid w:val="003B3AE6"/>
    <w:rsid w:val="003B3DA9"/>
    <w:rsid w:val="003B4055"/>
    <w:rsid w:val="003B47A2"/>
    <w:rsid w:val="003B47ED"/>
    <w:rsid w:val="003B4DC4"/>
    <w:rsid w:val="003B4F0E"/>
    <w:rsid w:val="003B4F8B"/>
    <w:rsid w:val="003B4FE0"/>
    <w:rsid w:val="003B5483"/>
    <w:rsid w:val="003B5724"/>
    <w:rsid w:val="003B6038"/>
    <w:rsid w:val="003B652B"/>
    <w:rsid w:val="003B6836"/>
    <w:rsid w:val="003B6BA1"/>
    <w:rsid w:val="003B6FDA"/>
    <w:rsid w:val="003B7416"/>
    <w:rsid w:val="003B7B3D"/>
    <w:rsid w:val="003C03D9"/>
    <w:rsid w:val="003C13BF"/>
    <w:rsid w:val="003C1C4B"/>
    <w:rsid w:val="003C1E5B"/>
    <w:rsid w:val="003C1F17"/>
    <w:rsid w:val="003C1FB9"/>
    <w:rsid w:val="003C26C1"/>
    <w:rsid w:val="003C2712"/>
    <w:rsid w:val="003C2776"/>
    <w:rsid w:val="003C2897"/>
    <w:rsid w:val="003C2B32"/>
    <w:rsid w:val="003C2E62"/>
    <w:rsid w:val="003C2EE0"/>
    <w:rsid w:val="003C3274"/>
    <w:rsid w:val="003C34F4"/>
    <w:rsid w:val="003C3592"/>
    <w:rsid w:val="003C3656"/>
    <w:rsid w:val="003C3AE1"/>
    <w:rsid w:val="003C3EA5"/>
    <w:rsid w:val="003C4393"/>
    <w:rsid w:val="003C566B"/>
    <w:rsid w:val="003C5C8A"/>
    <w:rsid w:val="003C6E11"/>
    <w:rsid w:val="003C6FD7"/>
    <w:rsid w:val="003C75F1"/>
    <w:rsid w:val="003C7653"/>
    <w:rsid w:val="003C7769"/>
    <w:rsid w:val="003C77A3"/>
    <w:rsid w:val="003C7CA5"/>
    <w:rsid w:val="003D002C"/>
    <w:rsid w:val="003D0165"/>
    <w:rsid w:val="003D0182"/>
    <w:rsid w:val="003D0567"/>
    <w:rsid w:val="003D0BC9"/>
    <w:rsid w:val="003D0E6B"/>
    <w:rsid w:val="003D0EF0"/>
    <w:rsid w:val="003D1047"/>
    <w:rsid w:val="003D1110"/>
    <w:rsid w:val="003D149C"/>
    <w:rsid w:val="003D1B45"/>
    <w:rsid w:val="003D2499"/>
    <w:rsid w:val="003D24AF"/>
    <w:rsid w:val="003D25AA"/>
    <w:rsid w:val="003D25D0"/>
    <w:rsid w:val="003D32CB"/>
    <w:rsid w:val="003D3B75"/>
    <w:rsid w:val="003D3C11"/>
    <w:rsid w:val="003D3DFA"/>
    <w:rsid w:val="003D3DFB"/>
    <w:rsid w:val="003D3FA5"/>
    <w:rsid w:val="003D4104"/>
    <w:rsid w:val="003D449A"/>
    <w:rsid w:val="003D4FF8"/>
    <w:rsid w:val="003D5088"/>
    <w:rsid w:val="003D56EF"/>
    <w:rsid w:val="003D5ED9"/>
    <w:rsid w:val="003D5FA1"/>
    <w:rsid w:val="003D69FC"/>
    <w:rsid w:val="003D7382"/>
    <w:rsid w:val="003D747E"/>
    <w:rsid w:val="003D75FA"/>
    <w:rsid w:val="003D7CC6"/>
    <w:rsid w:val="003E0A7C"/>
    <w:rsid w:val="003E1236"/>
    <w:rsid w:val="003E1499"/>
    <w:rsid w:val="003E1587"/>
    <w:rsid w:val="003E170E"/>
    <w:rsid w:val="003E190A"/>
    <w:rsid w:val="003E2139"/>
    <w:rsid w:val="003E352E"/>
    <w:rsid w:val="003E41C4"/>
    <w:rsid w:val="003E4423"/>
    <w:rsid w:val="003E4ACC"/>
    <w:rsid w:val="003E4E04"/>
    <w:rsid w:val="003E4EA3"/>
    <w:rsid w:val="003E5759"/>
    <w:rsid w:val="003E580E"/>
    <w:rsid w:val="003E58DA"/>
    <w:rsid w:val="003E5BFD"/>
    <w:rsid w:val="003E5F9D"/>
    <w:rsid w:val="003E60DD"/>
    <w:rsid w:val="003E6E97"/>
    <w:rsid w:val="003E700A"/>
    <w:rsid w:val="003E709F"/>
    <w:rsid w:val="003E7613"/>
    <w:rsid w:val="003F0A01"/>
    <w:rsid w:val="003F0F3F"/>
    <w:rsid w:val="003F1848"/>
    <w:rsid w:val="003F18FF"/>
    <w:rsid w:val="003F216F"/>
    <w:rsid w:val="003F2498"/>
    <w:rsid w:val="003F295A"/>
    <w:rsid w:val="003F29C3"/>
    <w:rsid w:val="003F2D47"/>
    <w:rsid w:val="003F2D6E"/>
    <w:rsid w:val="003F3354"/>
    <w:rsid w:val="003F3461"/>
    <w:rsid w:val="003F359E"/>
    <w:rsid w:val="003F379D"/>
    <w:rsid w:val="003F3875"/>
    <w:rsid w:val="003F3B2C"/>
    <w:rsid w:val="003F3CA1"/>
    <w:rsid w:val="003F3CE5"/>
    <w:rsid w:val="003F3F01"/>
    <w:rsid w:val="003F46E6"/>
    <w:rsid w:val="003F48AE"/>
    <w:rsid w:val="003F4A89"/>
    <w:rsid w:val="003F4D10"/>
    <w:rsid w:val="003F581D"/>
    <w:rsid w:val="003F5921"/>
    <w:rsid w:val="003F599D"/>
    <w:rsid w:val="003F6055"/>
    <w:rsid w:val="003F6392"/>
    <w:rsid w:val="003F672F"/>
    <w:rsid w:val="003F6E61"/>
    <w:rsid w:val="003F7FE9"/>
    <w:rsid w:val="004004B2"/>
    <w:rsid w:val="00400E38"/>
    <w:rsid w:val="00400FD1"/>
    <w:rsid w:val="0040142C"/>
    <w:rsid w:val="004016A8"/>
    <w:rsid w:val="00401C7C"/>
    <w:rsid w:val="00401DE8"/>
    <w:rsid w:val="00401EB7"/>
    <w:rsid w:val="00401FCA"/>
    <w:rsid w:val="00402189"/>
    <w:rsid w:val="00402AF9"/>
    <w:rsid w:val="00402DE2"/>
    <w:rsid w:val="0040321B"/>
    <w:rsid w:val="00403370"/>
    <w:rsid w:val="00403572"/>
    <w:rsid w:val="004036B1"/>
    <w:rsid w:val="00403A1E"/>
    <w:rsid w:val="00403A85"/>
    <w:rsid w:val="00403DD3"/>
    <w:rsid w:val="00403DDD"/>
    <w:rsid w:val="00404143"/>
    <w:rsid w:val="00404586"/>
    <w:rsid w:val="00404C0C"/>
    <w:rsid w:val="00404F09"/>
    <w:rsid w:val="0040504B"/>
    <w:rsid w:val="004059D0"/>
    <w:rsid w:val="00405A88"/>
    <w:rsid w:val="00405AB5"/>
    <w:rsid w:val="00405AD5"/>
    <w:rsid w:val="00406F21"/>
    <w:rsid w:val="004074C8"/>
    <w:rsid w:val="004100B6"/>
    <w:rsid w:val="004100CE"/>
    <w:rsid w:val="00410327"/>
    <w:rsid w:val="00410635"/>
    <w:rsid w:val="00410C96"/>
    <w:rsid w:val="00411309"/>
    <w:rsid w:val="00411611"/>
    <w:rsid w:val="00412623"/>
    <w:rsid w:val="004127AF"/>
    <w:rsid w:val="00412FF3"/>
    <w:rsid w:val="0041320F"/>
    <w:rsid w:val="00413375"/>
    <w:rsid w:val="0041367A"/>
    <w:rsid w:val="00413D11"/>
    <w:rsid w:val="00413D4E"/>
    <w:rsid w:val="00413E36"/>
    <w:rsid w:val="0041488F"/>
    <w:rsid w:val="004149A3"/>
    <w:rsid w:val="004149E6"/>
    <w:rsid w:val="00414C38"/>
    <w:rsid w:val="00414C53"/>
    <w:rsid w:val="0041534A"/>
    <w:rsid w:val="00415A92"/>
    <w:rsid w:val="00415C3B"/>
    <w:rsid w:val="00415D8A"/>
    <w:rsid w:val="0041607F"/>
    <w:rsid w:val="00416B54"/>
    <w:rsid w:val="00416CDE"/>
    <w:rsid w:val="00416DB3"/>
    <w:rsid w:val="00417078"/>
    <w:rsid w:val="0041708A"/>
    <w:rsid w:val="004170F4"/>
    <w:rsid w:val="00417435"/>
    <w:rsid w:val="004178A6"/>
    <w:rsid w:val="00417C90"/>
    <w:rsid w:val="0042047B"/>
    <w:rsid w:val="00421111"/>
    <w:rsid w:val="00421425"/>
    <w:rsid w:val="00421969"/>
    <w:rsid w:val="00421CCC"/>
    <w:rsid w:val="004226C5"/>
    <w:rsid w:val="00422901"/>
    <w:rsid w:val="00422AC8"/>
    <w:rsid w:val="00422ADD"/>
    <w:rsid w:val="00422B54"/>
    <w:rsid w:val="00422E9F"/>
    <w:rsid w:val="00422EE2"/>
    <w:rsid w:val="00423223"/>
    <w:rsid w:val="004237E8"/>
    <w:rsid w:val="0042386C"/>
    <w:rsid w:val="00424482"/>
    <w:rsid w:val="004247DE"/>
    <w:rsid w:val="0042496A"/>
    <w:rsid w:val="00424C36"/>
    <w:rsid w:val="00425045"/>
    <w:rsid w:val="0042558A"/>
    <w:rsid w:val="00425836"/>
    <w:rsid w:val="00426054"/>
    <w:rsid w:val="00426210"/>
    <w:rsid w:val="004265FB"/>
    <w:rsid w:val="004269BA"/>
    <w:rsid w:val="00426D38"/>
    <w:rsid w:val="00426DE4"/>
    <w:rsid w:val="004271D4"/>
    <w:rsid w:val="00427EC5"/>
    <w:rsid w:val="0043015A"/>
    <w:rsid w:val="004304AF"/>
    <w:rsid w:val="00430F6B"/>
    <w:rsid w:val="00431C1D"/>
    <w:rsid w:val="00433487"/>
    <w:rsid w:val="00433587"/>
    <w:rsid w:val="004343F6"/>
    <w:rsid w:val="00434D00"/>
    <w:rsid w:val="004351B1"/>
    <w:rsid w:val="0043597F"/>
    <w:rsid w:val="00435F0D"/>
    <w:rsid w:val="004363EC"/>
    <w:rsid w:val="0043666F"/>
    <w:rsid w:val="004369A3"/>
    <w:rsid w:val="00436D0F"/>
    <w:rsid w:val="00437193"/>
    <w:rsid w:val="00437362"/>
    <w:rsid w:val="004374C1"/>
    <w:rsid w:val="00437783"/>
    <w:rsid w:val="00437CED"/>
    <w:rsid w:val="004400CF"/>
    <w:rsid w:val="004401F7"/>
    <w:rsid w:val="00440204"/>
    <w:rsid w:val="004406F9"/>
    <w:rsid w:val="00440755"/>
    <w:rsid w:val="0044094A"/>
    <w:rsid w:val="004412CB"/>
    <w:rsid w:val="00441307"/>
    <w:rsid w:val="004414A9"/>
    <w:rsid w:val="004420D0"/>
    <w:rsid w:val="004424B3"/>
    <w:rsid w:val="004426F2"/>
    <w:rsid w:val="004427E8"/>
    <w:rsid w:val="004431AE"/>
    <w:rsid w:val="00443214"/>
    <w:rsid w:val="00443618"/>
    <w:rsid w:val="00443EA3"/>
    <w:rsid w:val="00444A13"/>
    <w:rsid w:val="00445239"/>
    <w:rsid w:val="00445479"/>
    <w:rsid w:val="004455BD"/>
    <w:rsid w:val="0044581E"/>
    <w:rsid w:val="00445E8E"/>
    <w:rsid w:val="00446E14"/>
    <w:rsid w:val="00446EA7"/>
    <w:rsid w:val="004470D7"/>
    <w:rsid w:val="00447593"/>
    <w:rsid w:val="00447B46"/>
    <w:rsid w:val="00450454"/>
    <w:rsid w:val="004506D1"/>
    <w:rsid w:val="00450841"/>
    <w:rsid w:val="00450A7A"/>
    <w:rsid w:val="00450B23"/>
    <w:rsid w:val="00450D0C"/>
    <w:rsid w:val="00450E88"/>
    <w:rsid w:val="00452A41"/>
    <w:rsid w:val="00452B21"/>
    <w:rsid w:val="00452BD4"/>
    <w:rsid w:val="00454152"/>
    <w:rsid w:val="00454309"/>
    <w:rsid w:val="00454CEA"/>
    <w:rsid w:val="00454D59"/>
    <w:rsid w:val="00454E8B"/>
    <w:rsid w:val="00455652"/>
    <w:rsid w:val="0045579F"/>
    <w:rsid w:val="00455917"/>
    <w:rsid w:val="004563C7"/>
    <w:rsid w:val="00456B92"/>
    <w:rsid w:val="0045721F"/>
    <w:rsid w:val="004573EB"/>
    <w:rsid w:val="00457639"/>
    <w:rsid w:val="004601D2"/>
    <w:rsid w:val="00460A97"/>
    <w:rsid w:val="00460DBD"/>
    <w:rsid w:val="00461261"/>
    <w:rsid w:val="0046181B"/>
    <w:rsid w:val="0046244E"/>
    <w:rsid w:val="0046285C"/>
    <w:rsid w:val="00462D0C"/>
    <w:rsid w:val="00462EB3"/>
    <w:rsid w:val="0046319F"/>
    <w:rsid w:val="004631D8"/>
    <w:rsid w:val="00463222"/>
    <w:rsid w:val="004632C5"/>
    <w:rsid w:val="00463439"/>
    <w:rsid w:val="004636DF"/>
    <w:rsid w:val="00463DF2"/>
    <w:rsid w:val="004640BE"/>
    <w:rsid w:val="00464720"/>
    <w:rsid w:val="0046490C"/>
    <w:rsid w:val="004653F0"/>
    <w:rsid w:val="00465676"/>
    <w:rsid w:val="00465CF7"/>
    <w:rsid w:val="00465E39"/>
    <w:rsid w:val="00465FAB"/>
    <w:rsid w:val="00466161"/>
    <w:rsid w:val="0046663E"/>
    <w:rsid w:val="004666ED"/>
    <w:rsid w:val="00466958"/>
    <w:rsid w:val="004670D6"/>
    <w:rsid w:val="004672C1"/>
    <w:rsid w:val="00467C30"/>
    <w:rsid w:val="0047068D"/>
    <w:rsid w:val="00470A75"/>
    <w:rsid w:val="00470E28"/>
    <w:rsid w:val="00470E2E"/>
    <w:rsid w:val="00471229"/>
    <w:rsid w:val="00471816"/>
    <w:rsid w:val="004721F1"/>
    <w:rsid w:val="00472206"/>
    <w:rsid w:val="0047241F"/>
    <w:rsid w:val="00472C8C"/>
    <w:rsid w:val="0047308D"/>
    <w:rsid w:val="0047381D"/>
    <w:rsid w:val="0047381E"/>
    <w:rsid w:val="00473AC1"/>
    <w:rsid w:val="0047471B"/>
    <w:rsid w:val="00474917"/>
    <w:rsid w:val="00475665"/>
    <w:rsid w:val="004760D5"/>
    <w:rsid w:val="004761F8"/>
    <w:rsid w:val="0047729D"/>
    <w:rsid w:val="00477806"/>
    <w:rsid w:val="00477D5A"/>
    <w:rsid w:val="004801D4"/>
    <w:rsid w:val="00480318"/>
    <w:rsid w:val="00480F37"/>
    <w:rsid w:val="004815CD"/>
    <w:rsid w:val="00482500"/>
    <w:rsid w:val="00482B08"/>
    <w:rsid w:val="00482F14"/>
    <w:rsid w:val="004832B5"/>
    <w:rsid w:val="0048371F"/>
    <w:rsid w:val="004839AA"/>
    <w:rsid w:val="004843BB"/>
    <w:rsid w:val="004844F5"/>
    <w:rsid w:val="00484620"/>
    <w:rsid w:val="004849BB"/>
    <w:rsid w:val="0048542E"/>
    <w:rsid w:val="00485946"/>
    <w:rsid w:val="00485BB6"/>
    <w:rsid w:val="00485D61"/>
    <w:rsid w:val="00485F1E"/>
    <w:rsid w:val="00485FD6"/>
    <w:rsid w:val="00486577"/>
    <w:rsid w:val="004866D8"/>
    <w:rsid w:val="0048699A"/>
    <w:rsid w:val="00486ACB"/>
    <w:rsid w:val="00486E06"/>
    <w:rsid w:val="004871C9"/>
    <w:rsid w:val="0048722F"/>
    <w:rsid w:val="0048739C"/>
    <w:rsid w:val="004900E2"/>
    <w:rsid w:val="0049016C"/>
    <w:rsid w:val="00490529"/>
    <w:rsid w:val="00490742"/>
    <w:rsid w:val="004907ED"/>
    <w:rsid w:val="004915C6"/>
    <w:rsid w:val="00491CFE"/>
    <w:rsid w:val="00491F4B"/>
    <w:rsid w:val="00492116"/>
    <w:rsid w:val="004928C2"/>
    <w:rsid w:val="00492ADD"/>
    <w:rsid w:val="0049365C"/>
    <w:rsid w:val="0049389F"/>
    <w:rsid w:val="004939D7"/>
    <w:rsid w:val="00493C26"/>
    <w:rsid w:val="00495519"/>
    <w:rsid w:val="004959A5"/>
    <w:rsid w:val="00496326"/>
    <w:rsid w:val="0049713C"/>
    <w:rsid w:val="004A0388"/>
    <w:rsid w:val="004A0932"/>
    <w:rsid w:val="004A09CD"/>
    <w:rsid w:val="004A1143"/>
    <w:rsid w:val="004A126B"/>
    <w:rsid w:val="004A18D2"/>
    <w:rsid w:val="004A21BA"/>
    <w:rsid w:val="004A2348"/>
    <w:rsid w:val="004A290F"/>
    <w:rsid w:val="004A2BB1"/>
    <w:rsid w:val="004A2D96"/>
    <w:rsid w:val="004A2E0A"/>
    <w:rsid w:val="004A41FC"/>
    <w:rsid w:val="004A42F3"/>
    <w:rsid w:val="004A4424"/>
    <w:rsid w:val="004A44D9"/>
    <w:rsid w:val="004A4911"/>
    <w:rsid w:val="004A4FE5"/>
    <w:rsid w:val="004A50B1"/>
    <w:rsid w:val="004A5953"/>
    <w:rsid w:val="004A5C16"/>
    <w:rsid w:val="004A5CD7"/>
    <w:rsid w:val="004A6295"/>
    <w:rsid w:val="004A643F"/>
    <w:rsid w:val="004A6B02"/>
    <w:rsid w:val="004A6CF2"/>
    <w:rsid w:val="004A6E70"/>
    <w:rsid w:val="004A6E8A"/>
    <w:rsid w:val="004A7A4E"/>
    <w:rsid w:val="004B036A"/>
    <w:rsid w:val="004B0925"/>
    <w:rsid w:val="004B1388"/>
    <w:rsid w:val="004B1ACA"/>
    <w:rsid w:val="004B1D61"/>
    <w:rsid w:val="004B1F72"/>
    <w:rsid w:val="004B2104"/>
    <w:rsid w:val="004B2189"/>
    <w:rsid w:val="004B21FC"/>
    <w:rsid w:val="004B321E"/>
    <w:rsid w:val="004B3309"/>
    <w:rsid w:val="004B394C"/>
    <w:rsid w:val="004B3A58"/>
    <w:rsid w:val="004B3B69"/>
    <w:rsid w:val="004B3C82"/>
    <w:rsid w:val="004B40FA"/>
    <w:rsid w:val="004B4536"/>
    <w:rsid w:val="004B4F00"/>
    <w:rsid w:val="004B54E1"/>
    <w:rsid w:val="004B56B3"/>
    <w:rsid w:val="004B5A06"/>
    <w:rsid w:val="004B6428"/>
    <w:rsid w:val="004B6576"/>
    <w:rsid w:val="004B68F8"/>
    <w:rsid w:val="004B6E48"/>
    <w:rsid w:val="004B7321"/>
    <w:rsid w:val="004B78E2"/>
    <w:rsid w:val="004B7B07"/>
    <w:rsid w:val="004B7B44"/>
    <w:rsid w:val="004C084A"/>
    <w:rsid w:val="004C14F4"/>
    <w:rsid w:val="004C1636"/>
    <w:rsid w:val="004C16B8"/>
    <w:rsid w:val="004C1E7D"/>
    <w:rsid w:val="004C1E9B"/>
    <w:rsid w:val="004C2186"/>
    <w:rsid w:val="004C218E"/>
    <w:rsid w:val="004C2674"/>
    <w:rsid w:val="004C2A8A"/>
    <w:rsid w:val="004C2CB8"/>
    <w:rsid w:val="004C2FB8"/>
    <w:rsid w:val="004C33DF"/>
    <w:rsid w:val="004C396F"/>
    <w:rsid w:val="004C4489"/>
    <w:rsid w:val="004C4584"/>
    <w:rsid w:val="004C4D57"/>
    <w:rsid w:val="004C614F"/>
    <w:rsid w:val="004C6297"/>
    <w:rsid w:val="004C640B"/>
    <w:rsid w:val="004C6F8B"/>
    <w:rsid w:val="004C6FBF"/>
    <w:rsid w:val="004C70FF"/>
    <w:rsid w:val="004C72CF"/>
    <w:rsid w:val="004C7305"/>
    <w:rsid w:val="004C7496"/>
    <w:rsid w:val="004C762E"/>
    <w:rsid w:val="004C798B"/>
    <w:rsid w:val="004D0013"/>
    <w:rsid w:val="004D06EC"/>
    <w:rsid w:val="004D0745"/>
    <w:rsid w:val="004D10FC"/>
    <w:rsid w:val="004D140E"/>
    <w:rsid w:val="004D1641"/>
    <w:rsid w:val="004D190D"/>
    <w:rsid w:val="004D1AF7"/>
    <w:rsid w:val="004D2914"/>
    <w:rsid w:val="004D2A0B"/>
    <w:rsid w:val="004D2A27"/>
    <w:rsid w:val="004D2B62"/>
    <w:rsid w:val="004D34C6"/>
    <w:rsid w:val="004D3628"/>
    <w:rsid w:val="004D3979"/>
    <w:rsid w:val="004D3CF6"/>
    <w:rsid w:val="004D3D38"/>
    <w:rsid w:val="004D5097"/>
    <w:rsid w:val="004D5317"/>
    <w:rsid w:val="004D5588"/>
    <w:rsid w:val="004D607B"/>
    <w:rsid w:val="004D6515"/>
    <w:rsid w:val="004D7118"/>
    <w:rsid w:val="004D7160"/>
    <w:rsid w:val="004D737A"/>
    <w:rsid w:val="004D74C6"/>
    <w:rsid w:val="004D764B"/>
    <w:rsid w:val="004D7DB1"/>
    <w:rsid w:val="004E02FC"/>
    <w:rsid w:val="004E046A"/>
    <w:rsid w:val="004E08A5"/>
    <w:rsid w:val="004E1A07"/>
    <w:rsid w:val="004E23D2"/>
    <w:rsid w:val="004E24D1"/>
    <w:rsid w:val="004E2551"/>
    <w:rsid w:val="004E29EE"/>
    <w:rsid w:val="004E2FFF"/>
    <w:rsid w:val="004E3BC7"/>
    <w:rsid w:val="004E3F33"/>
    <w:rsid w:val="004E44E7"/>
    <w:rsid w:val="004E47F7"/>
    <w:rsid w:val="004E4AC1"/>
    <w:rsid w:val="004E4B25"/>
    <w:rsid w:val="004E4E25"/>
    <w:rsid w:val="004E5086"/>
    <w:rsid w:val="004E531F"/>
    <w:rsid w:val="004E5515"/>
    <w:rsid w:val="004E5CC1"/>
    <w:rsid w:val="004E5FE8"/>
    <w:rsid w:val="004E5FED"/>
    <w:rsid w:val="004E6857"/>
    <w:rsid w:val="004E687F"/>
    <w:rsid w:val="004E6BAD"/>
    <w:rsid w:val="004E6DA2"/>
    <w:rsid w:val="004E6FBF"/>
    <w:rsid w:val="004E7342"/>
    <w:rsid w:val="004E7A07"/>
    <w:rsid w:val="004E7B88"/>
    <w:rsid w:val="004E7BC2"/>
    <w:rsid w:val="004E7FE9"/>
    <w:rsid w:val="004F00B3"/>
    <w:rsid w:val="004F04CB"/>
    <w:rsid w:val="004F0C15"/>
    <w:rsid w:val="004F0C2B"/>
    <w:rsid w:val="004F17B0"/>
    <w:rsid w:val="004F1D8B"/>
    <w:rsid w:val="004F2453"/>
    <w:rsid w:val="004F2736"/>
    <w:rsid w:val="004F2A8B"/>
    <w:rsid w:val="004F2EBF"/>
    <w:rsid w:val="004F3012"/>
    <w:rsid w:val="004F3526"/>
    <w:rsid w:val="004F3CAC"/>
    <w:rsid w:val="004F3EE6"/>
    <w:rsid w:val="004F481F"/>
    <w:rsid w:val="004F4918"/>
    <w:rsid w:val="004F4B44"/>
    <w:rsid w:val="004F52AE"/>
    <w:rsid w:val="004F539C"/>
    <w:rsid w:val="004F57F8"/>
    <w:rsid w:val="004F5855"/>
    <w:rsid w:val="004F5F08"/>
    <w:rsid w:val="004F628F"/>
    <w:rsid w:val="004F6BD8"/>
    <w:rsid w:val="004F753C"/>
    <w:rsid w:val="004F7854"/>
    <w:rsid w:val="004F7B75"/>
    <w:rsid w:val="004F7B82"/>
    <w:rsid w:val="00500A83"/>
    <w:rsid w:val="00501534"/>
    <w:rsid w:val="005016CD"/>
    <w:rsid w:val="00501819"/>
    <w:rsid w:val="00501B4E"/>
    <w:rsid w:val="00501B69"/>
    <w:rsid w:val="00501C3A"/>
    <w:rsid w:val="005026BD"/>
    <w:rsid w:val="0050272E"/>
    <w:rsid w:val="00502FE6"/>
    <w:rsid w:val="00503202"/>
    <w:rsid w:val="005033B5"/>
    <w:rsid w:val="00503463"/>
    <w:rsid w:val="0050373D"/>
    <w:rsid w:val="005042B7"/>
    <w:rsid w:val="00504542"/>
    <w:rsid w:val="00505716"/>
    <w:rsid w:val="00505762"/>
    <w:rsid w:val="00505DD8"/>
    <w:rsid w:val="00506596"/>
    <w:rsid w:val="00506618"/>
    <w:rsid w:val="00506733"/>
    <w:rsid w:val="0050679C"/>
    <w:rsid w:val="00506839"/>
    <w:rsid w:val="00506B6A"/>
    <w:rsid w:val="00506BBB"/>
    <w:rsid w:val="005071E3"/>
    <w:rsid w:val="00507362"/>
    <w:rsid w:val="005075B8"/>
    <w:rsid w:val="0050764B"/>
    <w:rsid w:val="00507689"/>
    <w:rsid w:val="00507CAA"/>
    <w:rsid w:val="00507CC6"/>
    <w:rsid w:val="0051007B"/>
    <w:rsid w:val="005100B7"/>
    <w:rsid w:val="0051068C"/>
    <w:rsid w:val="00511166"/>
    <w:rsid w:val="005114E2"/>
    <w:rsid w:val="0051198F"/>
    <w:rsid w:val="0051255F"/>
    <w:rsid w:val="00512BB2"/>
    <w:rsid w:val="00513242"/>
    <w:rsid w:val="005132FB"/>
    <w:rsid w:val="0051393B"/>
    <w:rsid w:val="005141F3"/>
    <w:rsid w:val="005142DC"/>
    <w:rsid w:val="00514904"/>
    <w:rsid w:val="00514B68"/>
    <w:rsid w:val="00514D3F"/>
    <w:rsid w:val="0051513C"/>
    <w:rsid w:val="00515240"/>
    <w:rsid w:val="005158A0"/>
    <w:rsid w:val="00515B83"/>
    <w:rsid w:val="00515F4A"/>
    <w:rsid w:val="0051630E"/>
    <w:rsid w:val="005165E5"/>
    <w:rsid w:val="005167AE"/>
    <w:rsid w:val="005169C1"/>
    <w:rsid w:val="005171A1"/>
    <w:rsid w:val="0051749F"/>
    <w:rsid w:val="00517BCA"/>
    <w:rsid w:val="00517D03"/>
    <w:rsid w:val="005202A7"/>
    <w:rsid w:val="00520440"/>
    <w:rsid w:val="0052048F"/>
    <w:rsid w:val="00521361"/>
    <w:rsid w:val="0052179A"/>
    <w:rsid w:val="005221F8"/>
    <w:rsid w:val="00522478"/>
    <w:rsid w:val="00522497"/>
    <w:rsid w:val="00522551"/>
    <w:rsid w:val="00522B48"/>
    <w:rsid w:val="00522BF0"/>
    <w:rsid w:val="00522DA5"/>
    <w:rsid w:val="0052355D"/>
    <w:rsid w:val="0052363E"/>
    <w:rsid w:val="00524827"/>
    <w:rsid w:val="00524F5C"/>
    <w:rsid w:val="00525488"/>
    <w:rsid w:val="005258FB"/>
    <w:rsid w:val="00525E1A"/>
    <w:rsid w:val="005268E5"/>
    <w:rsid w:val="00526E12"/>
    <w:rsid w:val="00526EDE"/>
    <w:rsid w:val="00526FD1"/>
    <w:rsid w:val="00527826"/>
    <w:rsid w:val="00527DED"/>
    <w:rsid w:val="00527E3E"/>
    <w:rsid w:val="00531D1B"/>
    <w:rsid w:val="005323DB"/>
    <w:rsid w:val="00532549"/>
    <w:rsid w:val="00532EF8"/>
    <w:rsid w:val="0053307D"/>
    <w:rsid w:val="005331BB"/>
    <w:rsid w:val="00533452"/>
    <w:rsid w:val="00533689"/>
    <w:rsid w:val="00533976"/>
    <w:rsid w:val="00533A77"/>
    <w:rsid w:val="0053407F"/>
    <w:rsid w:val="00534783"/>
    <w:rsid w:val="005348A0"/>
    <w:rsid w:val="00534992"/>
    <w:rsid w:val="005351F8"/>
    <w:rsid w:val="0053582D"/>
    <w:rsid w:val="00535979"/>
    <w:rsid w:val="005359FA"/>
    <w:rsid w:val="00535FF4"/>
    <w:rsid w:val="005366F1"/>
    <w:rsid w:val="00536737"/>
    <w:rsid w:val="00536C0F"/>
    <w:rsid w:val="00536D1B"/>
    <w:rsid w:val="00536EDA"/>
    <w:rsid w:val="005371F0"/>
    <w:rsid w:val="005375C8"/>
    <w:rsid w:val="00537A2C"/>
    <w:rsid w:val="00537D22"/>
    <w:rsid w:val="00540664"/>
    <w:rsid w:val="005406DA"/>
    <w:rsid w:val="00540922"/>
    <w:rsid w:val="00541644"/>
    <w:rsid w:val="0054177C"/>
    <w:rsid w:val="005418A0"/>
    <w:rsid w:val="00541B88"/>
    <w:rsid w:val="00541D7A"/>
    <w:rsid w:val="00542239"/>
    <w:rsid w:val="0054249A"/>
    <w:rsid w:val="0054275C"/>
    <w:rsid w:val="00542942"/>
    <w:rsid w:val="00542A48"/>
    <w:rsid w:val="00542B0D"/>
    <w:rsid w:val="00542E7D"/>
    <w:rsid w:val="00543632"/>
    <w:rsid w:val="00543EC4"/>
    <w:rsid w:val="00544B36"/>
    <w:rsid w:val="00544CCD"/>
    <w:rsid w:val="00544D8E"/>
    <w:rsid w:val="005450C0"/>
    <w:rsid w:val="005451FD"/>
    <w:rsid w:val="005457C0"/>
    <w:rsid w:val="00546202"/>
    <w:rsid w:val="005462F3"/>
    <w:rsid w:val="00546404"/>
    <w:rsid w:val="00546554"/>
    <w:rsid w:val="00546721"/>
    <w:rsid w:val="00546A38"/>
    <w:rsid w:val="00547167"/>
    <w:rsid w:val="005478DF"/>
    <w:rsid w:val="00547A09"/>
    <w:rsid w:val="005503D9"/>
    <w:rsid w:val="005506D5"/>
    <w:rsid w:val="00550DA9"/>
    <w:rsid w:val="00550FF4"/>
    <w:rsid w:val="0055107F"/>
    <w:rsid w:val="00551324"/>
    <w:rsid w:val="005523E0"/>
    <w:rsid w:val="0055240F"/>
    <w:rsid w:val="0055375C"/>
    <w:rsid w:val="00553970"/>
    <w:rsid w:val="00553B89"/>
    <w:rsid w:val="005546D2"/>
    <w:rsid w:val="00554B37"/>
    <w:rsid w:val="00554D3A"/>
    <w:rsid w:val="00555153"/>
    <w:rsid w:val="005554A1"/>
    <w:rsid w:val="005554EE"/>
    <w:rsid w:val="00555859"/>
    <w:rsid w:val="0055586E"/>
    <w:rsid w:val="0055599F"/>
    <w:rsid w:val="00555EB6"/>
    <w:rsid w:val="00555ECF"/>
    <w:rsid w:val="005560F9"/>
    <w:rsid w:val="00556F63"/>
    <w:rsid w:val="00557158"/>
    <w:rsid w:val="00557734"/>
    <w:rsid w:val="00557944"/>
    <w:rsid w:val="00557B5B"/>
    <w:rsid w:val="00557C63"/>
    <w:rsid w:val="005616F3"/>
    <w:rsid w:val="00561BAA"/>
    <w:rsid w:val="00561C5A"/>
    <w:rsid w:val="00562309"/>
    <w:rsid w:val="00562627"/>
    <w:rsid w:val="0056290A"/>
    <w:rsid w:val="00563413"/>
    <w:rsid w:val="005636B0"/>
    <w:rsid w:val="00563D16"/>
    <w:rsid w:val="00563E88"/>
    <w:rsid w:val="0056451A"/>
    <w:rsid w:val="005647CD"/>
    <w:rsid w:val="005647E2"/>
    <w:rsid w:val="005655C5"/>
    <w:rsid w:val="00565B94"/>
    <w:rsid w:val="00565C29"/>
    <w:rsid w:val="00565E2F"/>
    <w:rsid w:val="0056602D"/>
    <w:rsid w:val="00566BEF"/>
    <w:rsid w:val="005670C9"/>
    <w:rsid w:val="005671CB"/>
    <w:rsid w:val="00567561"/>
    <w:rsid w:val="00567A90"/>
    <w:rsid w:val="00567C4B"/>
    <w:rsid w:val="0057030C"/>
    <w:rsid w:val="00570330"/>
    <w:rsid w:val="00570901"/>
    <w:rsid w:val="00570F22"/>
    <w:rsid w:val="0057141A"/>
    <w:rsid w:val="005720AB"/>
    <w:rsid w:val="00572430"/>
    <w:rsid w:val="00573A05"/>
    <w:rsid w:val="00573C47"/>
    <w:rsid w:val="00573DDB"/>
    <w:rsid w:val="005745EA"/>
    <w:rsid w:val="00574715"/>
    <w:rsid w:val="0057487F"/>
    <w:rsid w:val="005756C9"/>
    <w:rsid w:val="00575AB9"/>
    <w:rsid w:val="00576C2F"/>
    <w:rsid w:val="00576E26"/>
    <w:rsid w:val="00576E5D"/>
    <w:rsid w:val="00577383"/>
    <w:rsid w:val="00577825"/>
    <w:rsid w:val="00577DBE"/>
    <w:rsid w:val="005801C4"/>
    <w:rsid w:val="00580898"/>
    <w:rsid w:val="0058117F"/>
    <w:rsid w:val="00581480"/>
    <w:rsid w:val="005821E3"/>
    <w:rsid w:val="005826C3"/>
    <w:rsid w:val="005827CF"/>
    <w:rsid w:val="00582A72"/>
    <w:rsid w:val="00582B76"/>
    <w:rsid w:val="0058304A"/>
    <w:rsid w:val="0058368F"/>
    <w:rsid w:val="0058375A"/>
    <w:rsid w:val="00583A6C"/>
    <w:rsid w:val="00583EF4"/>
    <w:rsid w:val="0058401A"/>
    <w:rsid w:val="0058434B"/>
    <w:rsid w:val="00584638"/>
    <w:rsid w:val="005846EE"/>
    <w:rsid w:val="005849E4"/>
    <w:rsid w:val="00585721"/>
    <w:rsid w:val="00585F20"/>
    <w:rsid w:val="005861C1"/>
    <w:rsid w:val="0058686C"/>
    <w:rsid w:val="0058698C"/>
    <w:rsid w:val="00586EE8"/>
    <w:rsid w:val="00587194"/>
    <w:rsid w:val="005879C4"/>
    <w:rsid w:val="005910CB"/>
    <w:rsid w:val="00591716"/>
    <w:rsid w:val="0059237E"/>
    <w:rsid w:val="00593036"/>
    <w:rsid w:val="0059346A"/>
    <w:rsid w:val="005934B0"/>
    <w:rsid w:val="005934E5"/>
    <w:rsid w:val="005936B2"/>
    <w:rsid w:val="00593FBB"/>
    <w:rsid w:val="0059402A"/>
    <w:rsid w:val="005940A6"/>
    <w:rsid w:val="005949BC"/>
    <w:rsid w:val="00594BFA"/>
    <w:rsid w:val="00595B5E"/>
    <w:rsid w:val="00595E7B"/>
    <w:rsid w:val="00596043"/>
    <w:rsid w:val="00596182"/>
    <w:rsid w:val="00597087"/>
    <w:rsid w:val="005977BE"/>
    <w:rsid w:val="00597B83"/>
    <w:rsid w:val="005A00EF"/>
    <w:rsid w:val="005A1278"/>
    <w:rsid w:val="005A13DD"/>
    <w:rsid w:val="005A152B"/>
    <w:rsid w:val="005A1815"/>
    <w:rsid w:val="005A28EA"/>
    <w:rsid w:val="005A31EA"/>
    <w:rsid w:val="005A3A30"/>
    <w:rsid w:val="005A3BAA"/>
    <w:rsid w:val="005A3C15"/>
    <w:rsid w:val="005A3FB4"/>
    <w:rsid w:val="005A49F7"/>
    <w:rsid w:val="005A4B94"/>
    <w:rsid w:val="005A4FFF"/>
    <w:rsid w:val="005A5BBC"/>
    <w:rsid w:val="005A5D71"/>
    <w:rsid w:val="005A5F6E"/>
    <w:rsid w:val="005A741E"/>
    <w:rsid w:val="005B0205"/>
    <w:rsid w:val="005B0589"/>
    <w:rsid w:val="005B0737"/>
    <w:rsid w:val="005B0892"/>
    <w:rsid w:val="005B0D43"/>
    <w:rsid w:val="005B11B6"/>
    <w:rsid w:val="005B1350"/>
    <w:rsid w:val="005B14B3"/>
    <w:rsid w:val="005B165E"/>
    <w:rsid w:val="005B1FE3"/>
    <w:rsid w:val="005B2772"/>
    <w:rsid w:val="005B2C64"/>
    <w:rsid w:val="005B329B"/>
    <w:rsid w:val="005B3CB5"/>
    <w:rsid w:val="005B3EE4"/>
    <w:rsid w:val="005B41BB"/>
    <w:rsid w:val="005B4DFA"/>
    <w:rsid w:val="005B4E0E"/>
    <w:rsid w:val="005B5020"/>
    <w:rsid w:val="005B5183"/>
    <w:rsid w:val="005B5355"/>
    <w:rsid w:val="005B570A"/>
    <w:rsid w:val="005B5A9D"/>
    <w:rsid w:val="005B5B4C"/>
    <w:rsid w:val="005B5EBC"/>
    <w:rsid w:val="005B6795"/>
    <w:rsid w:val="005B6911"/>
    <w:rsid w:val="005B6C05"/>
    <w:rsid w:val="005B771B"/>
    <w:rsid w:val="005C06A4"/>
    <w:rsid w:val="005C07E8"/>
    <w:rsid w:val="005C0AE6"/>
    <w:rsid w:val="005C0EE4"/>
    <w:rsid w:val="005C138C"/>
    <w:rsid w:val="005C15FD"/>
    <w:rsid w:val="005C1D8A"/>
    <w:rsid w:val="005C1FF2"/>
    <w:rsid w:val="005C336E"/>
    <w:rsid w:val="005C342A"/>
    <w:rsid w:val="005C3634"/>
    <w:rsid w:val="005C38F6"/>
    <w:rsid w:val="005C3935"/>
    <w:rsid w:val="005C3F66"/>
    <w:rsid w:val="005C4258"/>
    <w:rsid w:val="005C43EF"/>
    <w:rsid w:val="005C5631"/>
    <w:rsid w:val="005C5760"/>
    <w:rsid w:val="005C585D"/>
    <w:rsid w:val="005C5AE1"/>
    <w:rsid w:val="005C6013"/>
    <w:rsid w:val="005C684F"/>
    <w:rsid w:val="005C69BD"/>
    <w:rsid w:val="005C6A82"/>
    <w:rsid w:val="005C6D0B"/>
    <w:rsid w:val="005C6E06"/>
    <w:rsid w:val="005C714E"/>
    <w:rsid w:val="005C7C60"/>
    <w:rsid w:val="005C7F25"/>
    <w:rsid w:val="005D0644"/>
    <w:rsid w:val="005D0816"/>
    <w:rsid w:val="005D0B2C"/>
    <w:rsid w:val="005D1867"/>
    <w:rsid w:val="005D1B0A"/>
    <w:rsid w:val="005D1DD1"/>
    <w:rsid w:val="005D2293"/>
    <w:rsid w:val="005D24BC"/>
    <w:rsid w:val="005D27E5"/>
    <w:rsid w:val="005D36B0"/>
    <w:rsid w:val="005D3C7D"/>
    <w:rsid w:val="005D3E10"/>
    <w:rsid w:val="005D3E4F"/>
    <w:rsid w:val="005D450E"/>
    <w:rsid w:val="005D47BB"/>
    <w:rsid w:val="005D4B12"/>
    <w:rsid w:val="005D5127"/>
    <w:rsid w:val="005D52CF"/>
    <w:rsid w:val="005D530F"/>
    <w:rsid w:val="005D589B"/>
    <w:rsid w:val="005D58B0"/>
    <w:rsid w:val="005D59D6"/>
    <w:rsid w:val="005D5CC7"/>
    <w:rsid w:val="005D72D3"/>
    <w:rsid w:val="005D74A2"/>
    <w:rsid w:val="005D74A5"/>
    <w:rsid w:val="005D78C8"/>
    <w:rsid w:val="005D7932"/>
    <w:rsid w:val="005D7D2F"/>
    <w:rsid w:val="005D7F01"/>
    <w:rsid w:val="005E0174"/>
    <w:rsid w:val="005E036D"/>
    <w:rsid w:val="005E07CE"/>
    <w:rsid w:val="005E0A9E"/>
    <w:rsid w:val="005E1529"/>
    <w:rsid w:val="005E20E0"/>
    <w:rsid w:val="005E212C"/>
    <w:rsid w:val="005E2649"/>
    <w:rsid w:val="005E2808"/>
    <w:rsid w:val="005E2894"/>
    <w:rsid w:val="005E2B63"/>
    <w:rsid w:val="005E2CCB"/>
    <w:rsid w:val="005E2D52"/>
    <w:rsid w:val="005E3019"/>
    <w:rsid w:val="005E31B4"/>
    <w:rsid w:val="005E3616"/>
    <w:rsid w:val="005E3CA5"/>
    <w:rsid w:val="005E3DE5"/>
    <w:rsid w:val="005E40A9"/>
    <w:rsid w:val="005E4846"/>
    <w:rsid w:val="005E48B6"/>
    <w:rsid w:val="005E51CE"/>
    <w:rsid w:val="005E5CC9"/>
    <w:rsid w:val="005E5FFE"/>
    <w:rsid w:val="005E6020"/>
    <w:rsid w:val="005E65CB"/>
    <w:rsid w:val="005E6755"/>
    <w:rsid w:val="005E67E6"/>
    <w:rsid w:val="005E68AF"/>
    <w:rsid w:val="005E6D6E"/>
    <w:rsid w:val="005E6D90"/>
    <w:rsid w:val="005E7251"/>
    <w:rsid w:val="005E7338"/>
    <w:rsid w:val="005E7BDC"/>
    <w:rsid w:val="005E7EC7"/>
    <w:rsid w:val="005F0010"/>
    <w:rsid w:val="005F0772"/>
    <w:rsid w:val="005F187E"/>
    <w:rsid w:val="005F1E1A"/>
    <w:rsid w:val="005F2628"/>
    <w:rsid w:val="005F27BA"/>
    <w:rsid w:val="005F2824"/>
    <w:rsid w:val="005F290A"/>
    <w:rsid w:val="005F29C7"/>
    <w:rsid w:val="005F2E78"/>
    <w:rsid w:val="005F2FC8"/>
    <w:rsid w:val="005F3357"/>
    <w:rsid w:val="005F33A9"/>
    <w:rsid w:val="005F3699"/>
    <w:rsid w:val="005F479A"/>
    <w:rsid w:val="005F5AA0"/>
    <w:rsid w:val="005F5F58"/>
    <w:rsid w:val="005F6203"/>
    <w:rsid w:val="005F62BE"/>
    <w:rsid w:val="005F64EE"/>
    <w:rsid w:val="005F67CC"/>
    <w:rsid w:val="005F6CE6"/>
    <w:rsid w:val="005F6EFF"/>
    <w:rsid w:val="005F7D90"/>
    <w:rsid w:val="006004BA"/>
    <w:rsid w:val="00600841"/>
    <w:rsid w:val="00600916"/>
    <w:rsid w:val="00600ABB"/>
    <w:rsid w:val="00601630"/>
    <w:rsid w:val="00601955"/>
    <w:rsid w:val="00601A23"/>
    <w:rsid w:val="00602261"/>
    <w:rsid w:val="00602C97"/>
    <w:rsid w:val="00602F71"/>
    <w:rsid w:val="006031A2"/>
    <w:rsid w:val="00603245"/>
    <w:rsid w:val="00603498"/>
    <w:rsid w:val="00603633"/>
    <w:rsid w:val="0060390C"/>
    <w:rsid w:val="00603A98"/>
    <w:rsid w:val="00603FD3"/>
    <w:rsid w:val="00604E1A"/>
    <w:rsid w:val="00604FAC"/>
    <w:rsid w:val="00604FF1"/>
    <w:rsid w:val="0060588B"/>
    <w:rsid w:val="00605916"/>
    <w:rsid w:val="00606A41"/>
    <w:rsid w:val="00606B2C"/>
    <w:rsid w:val="00606C3F"/>
    <w:rsid w:val="006074A3"/>
    <w:rsid w:val="00607595"/>
    <w:rsid w:val="006075A7"/>
    <w:rsid w:val="00607C05"/>
    <w:rsid w:val="00607FE4"/>
    <w:rsid w:val="006104E7"/>
    <w:rsid w:val="00610939"/>
    <w:rsid w:val="00610A34"/>
    <w:rsid w:val="00611053"/>
    <w:rsid w:val="0061141D"/>
    <w:rsid w:val="0061172A"/>
    <w:rsid w:val="00611772"/>
    <w:rsid w:val="006126AE"/>
    <w:rsid w:val="00612861"/>
    <w:rsid w:val="006128C2"/>
    <w:rsid w:val="006135F5"/>
    <w:rsid w:val="00614262"/>
    <w:rsid w:val="006144E0"/>
    <w:rsid w:val="00614C7B"/>
    <w:rsid w:val="006152BB"/>
    <w:rsid w:val="00615AE4"/>
    <w:rsid w:val="00615ECB"/>
    <w:rsid w:val="00615F4F"/>
    <w:rsid w:val="00617226"/>
    <w:rsid w:val="00617515"/>
    <w:rsid w:val="00617C9F"/>
    <w:rsid w:val="00617CFF"/>
    <w:rsid w:val="006207DD"/>
    <w:rsid w:val="006209A7"/>
    <w:rsid w:val="00620C3A"/>
    <w:rsid w:val="006210CB"/>
    <w:rsid w:val="0062110B"/>
    <w:rsid w:val="00621FC8"/>
    <w:rsid w:val="006224A5"/>
    <w:rsid w:val="006227C7"/>
    <w:rsid w:val="00622A33"/>
    <w:rsid w:val="00622BFC"/>
    <w:rsid w:val="00622EE3"/>
    <w:rsid w:val="006235BF"/>
    <w:rsid w:val="006236D5"/>
    <w:rsid w:val="0062398B"/>
    <w:rsid w:val="00623A52"/>
    <w:rsid w:val="00623C8C"/>
    <w:rsid w:val="00624344"/>
    <w:rsid w:val="006245B5"/>
    <w:rsid w:val="006247FD"/>
    <w:rsid w:val="0062576D"/>
    <w:rsid w:val="00625A38"/>
    <w:rsid w:val="00625A64"/>
    <w:rsid w:val="00625ADB"/>
    <w:rsid w:val="00626060"/>
    <w:rsid w:val="0062630E"/>
    <w:rsid w:val="006263E5"/>
    <w:rsid w:val="00626A7E"/>
    <w:rsid w:val="00626D7A"/>
    <w:rsid w:val="00627087"/>
    <w:rsid w:val="00627E7D"/>
    <w:rsid w:val="00627FC6"/>
    <w:rsid w:val="006301B6"/>
    <w:rsid w:val="006302F8"/>
    <w:rsid w:val="0063092C"/>
    <w:rsid w:val="00630EEB"/>
    <w:rsid w:val="0063124D"/>
    <w:rsid w:val="0063135E"/>
    <w:rsid w:val="00631392"/>
    <w:rsid w:val="00631E32"/>
    <w:rsid w:val="00631EC0"/>
    <w:rsid w:val="0063213F"/>
    <w:rsid w:val="0063224A"/>
    <w:rsid w:val="006323E9"/>
    <w:rsid w:val="00632538"/>
    <w:rsid w:val="00633F4C"/>
    <w:rsid w:val="0063463D"/>
    <w:rsid w:val="006347C3"/>
    <w:rsid w:val="00635723"/>
    <w:rsid w:val="00635BDA"/>
    <w:rsid w:val="00635EBF"/>
    <w:rsid w:val="006364C9"/>
    <w:rsid w:val="0063739B"/>
    <w:rsid w:val="00637575"/>
    <w:rsid w:val="00637D28"/>
    <w:rsid w:val="006401CE"/>
    <w:rsid w:val="00640B76"/>
    <w:rsid w:val="00640FDD"/>
    <w:rsid w:val="006411B8"/>
    <w:rsid w:val="00641602"/>
    <w:rsid w:val="006419DE"/>
    <w:rsid w:val="006426BD"/>
    <w:rsid w:val="006426BE"/>
    <w:rsid w:val="00643638"/>
    <w:rsid w:val="006436CC"/>
    <w:rsid w:val="00644012"/>
    <w:rsid w:val="0064406E"/>
    <w:rsid w:val="00644320"/>
    <w:rsid w:val="006446A2"/>
    <w:rsid w:val="0064475C"/>
    <w:rsid w:val="006449AD"/>
    <w:rsid w:val="006451DC"/>
    <w:rsid w:val="00646267"/>
    <w:rsid w:val="0064647F"/>
    <w:rsid w:val="00646B20"/>
    <w:rsid w:val="0064739D"/>
    <w:rsid w:val="006475F8"/>
    <w:rsid w:val="00647825"/>
    <w:rsid w:val="00647AD8"/>
    <w:rsid w:val="00647ED4"/>
    <w:rsid w:val="00650BC8"/>
    <w:rsid w:val="00651285"/>
    <w:rsid w:val="0065191C"/>
    <w:rsid w:val="00651DB3"/>
    <w:rsid w:val="00651FA5"/>
    <w:rsid w:val="0065241D"/>
    <w:rsid w:val="00652429"/>
    <w:rsid w:val="00652E22"/>
    <w:rsid w:val="006544F8"/>
    <w:rsid w:val="00654812"/>
    <w:rsid w:val="00654F7D"/>
    <w:rsid w:val="006550A3"/>
    <w:rsid w:val="006553DA"/>
    <w:rsid w:val="00655621"/>
    <w:rsid w:val="006558BE"/>
    <w:rsid w:val="006560A0"/>
    <w:rsid w:val="006568B8"/>
    <w:rsid w:val="00656A67"/>
    <w:rsid w:val="00656B31"/>
    <w:rsid w:val="00656C07"/>
    <w:rsid w:val="00656FAF"/>
    <w:rsid w:val="00657009"/>
    <w:rsid w:val="006570F5"/>
    <w:rsid w:val="00657AF6"/>
    <w:rsid w:val="00657DEF"/>
    <w:rsid w:val="00660C6D"/>
    <w:rsid w:val="00660E49"/>
    <w:rsid w:val="00660F02"/>
    <w:rsid w:val="006615A3"/>
    <w:rsid w:val="00661E5B"/>
    <w:rsid w:val="00661FCE"/>
    <w:rsid w:val="006623F9"/>
    <w:rsid w:val="0066263F"/>
    <w:rsid w:val="00662896"/>
    <w:rsid w:val="00662BDC"/>
    <w:rsid w:val="006632D5"/>
    <w:rsid w:val="00663309"/>
    <w:rsid w:val="00663803"/>
    <w:rsid w:val="006643EA"/>
    <w:rsid w:val="0066450B"/>
    <w:rsid w:val="006646F9"/>
    <w:rsid w:val="00664B6E"/>
    <w:rsid w:val="006651C1"/>
    <w:rsid w:val="006659DA"/>
    <w:rsid w:val="00665D36"/>
    <w:rsid w:val="00665FA9"/>
    <w:rsid w:val="00666A86"/>
    <w:rsid w:val="00666AE9"/>
    <w:rsid w:val="00667083"/>
    <w:rsid w:val="00667712"/>
    <w:rsid w:val="00667D5F"/>
    <w:rsid w:val="006702FA"/>
    <w:rsid w:val="006703DB"/>
    <w:rsid w:val="0067078F"/>
    <w:rsid w:val="00670E97"/>
    <w:rsid w:val="006712B6"/>
    <w:rsid w:val="006715C4"/>
    <w:rsid w:val="00671B11"/>
    <w:rsid w:val="00671BE5"/>
    <w:rsid w:val="0067217D"/>
    <w:rsid w:val="0067218D"/>
    <w:rsid w:val="00672496"/>
    <w:rsid w:val="00672952"/>
    <w:rsid w:val="00672E7B"/>
    <w:rsid w:val="0067324A"/>
    <w:rsid w:val="0067347E"/>
    <w:rsid w:val="006737D5"/>
    <w:rsid w:val="00673D35"/>
    <w:rsid w:val="00673D6C"/>
    <w:rsid w:val="00674053"/>
    <w:rsid w:val="00674587"/>
    <w:rsid w:val="00674654"/>
    <w:rsid w:val="00674682"/>
    <w:rsid w:val="006746CA"/>
    <w:rsid w:val="00674E87"/>
    <w:rsid w:val="00675495"/>
    <w:rsid w:val="00675ADA"/>
    <w:rsid w:val="00675D3D"/>
    <w:rsid w:val="00675F86"/>
    <w:rsid w:val="006761AE"/>
    <w:rsid w:val="00676293"/>
    <w:rsid w:val="0067650C"/>
    <w:rsid w:val="006766B8"/>
    <w:rsid w:val="0067689A"/>
    <w:rsid w:val="00676F10"/>
    <w:rsid w:val="00677228"/>
    <w:rsid w:val="0067768B"/>
    <w:rsid w:val="00677BF6"/>
    <w:rsid w:val="00677F7A"/>
    <w:rsid w:val="00677FAF"/>
    <w:rsid w:val="00680070"/>
    <w:rsid w:val="00680189"/>
    <w:rsid w:val="00681B6E"/>
    <w:rsid w:val="00681DA0"/>
    <w:rsid w:val="006825D0"/>
    <w:rsid w:val="00682CCB"/>
    <w:rsid w:val="00682D14"/>
    <w:rsid w:val="00683268"/>
    <w:rsid w:val="0068377C"/>
    <w:rsid w:val="006837B8"/>
    <w:rsid w:val="006839F8"/>
    <w:rsid w:val="00683C9D"/>
    <w:rsid w:val="0068430D"/>
    <w:rsid w:val="00684489"/>
    <w:rsid w:val="006846F0"/>
    <w:rsid w:val="00684763"/>
    <w:rsid w:val="006849DD"/>
    <w:rsid w:val="00684B9D"/>
    <w:rsid w:val="00684CBF"/>
    <w:rsid w:val="00685108"/>
    <w:rsid w:val="0068567F"/>
    <w:rsid w:val="00685ABB"/>
    <w:rsid w:val="00686247"/>
    <w:rsid w:val="00686593"/>
    <w:rsid w:val="006867D9"/>
    <w:rsid w:val="00686849"/>
    <w:rsid w:val="00686AF4"/>
    <w:rsid w:val="0068716A"/>
    <w:rsid w:val="00687A95"/>
    <w:rsid w:val="00690701"/>
    <w:rsid w:val="00690894"/>
    <w:rsid w:val="00691C21"/>
    <w:rsid w:val="00691E24"/>
    <w:rsid w:val="00692537"/>
    <w:rsid w:val="00692848"/>
    <w:rsid w:val="006928AE"/>
    <w:rsid w:val="00692A5E"/>
    <w:rsid w:val="006930FA"/>
    <w:rsid w:val="00693129"/>
    <w:rsid w:val="006935EF"/>
    <w:rsid w:val="00693804"/>
    <w:rsid w:val="0069382D"/>
    <w:rsid w:val="00693973"/>
    <w:rsid w:val="00694194"/>
    <w:rsid w:val="0069438F"/>
    <w:rsid w:val="006948FB"/>
    <w:rsid w:val="006949DE"/>
    <w:rsid w:val="00695274"/>
    <w:rsid w:val="006960A1"/>
    <w:rsid w:val="00696DC6"/>
    <w:rsid w:val="00696E06"/>
    <w:rsid w:val="0069708A"/>
    <w:rsid w:val="00697804"/>
    <w:rsid w:val="00697A7B"/>
    <w:rsid w:val="00697E1E"/>
    <w:rsid w:val="006A022F"/>
    <w:rsid w:val="006A028A"/>
    <w:rsid w:val="006A058E"/>
    <w:rsid w:val="006A0B4C"/>
    <w:rsid w:val="006A0F09"/>
    <w:rsid w:val="006A145F"/>
    <w:rsid w:val="006A1C38"/>
    <w:rsid w:val="006A1F5E"/>
    <w:rsid w:val="006A24B5"/>
    <w:rsid w:val="006A277F"/>
    <w:rsid w:val="006A302F"/>
    <w:rsid w:val="006A4734"/>
    <w:rsid w:val="006A4934"/>
    <w:rsid w:val="006A4E54"/>
    <w:rsid w:val="006A4F12"/>
    <w:rsid w:val="006A5269"/>
    <w:rsid w:val="006A5342"/>
    <w:rsid w:val="006A58C6"/>
    <w:rsid w:val="006A59D5"/>
    <w:rsid w:val="006A5C48"/>
    <w:rsid w:val="006A5D23"/>
    <w:rsid w:val="006A65D5"/>
    <w:rsid w:val="006A6D3D"/>
    <w:rsid w:val="006A7311"/>
    <w:rsid w:val="006A781E"/>
    <w:rsid w:val="006A7BF6"/>
    <w:rsid w:val="006B032F"/>
    <w:rsid w:val="006B0DEB"/>
    <w:rsid w:val="006B1773"/>
    <w:rsid w:val="006B1EE9"/>
    <w:rsid w:val="006B283A"/>
    <w:rsid w:val="006B299E"/>
    <w:rsid w:val="006B2AE4"/>
    <w:rsid w:val="006B33D2"/>
    <w:rsid w:val="006B3418"/>
    <w:rsid w:val="006B3444"/>
    <w:rsid w:val="006B358B"/>
    <w:rsid w:val="006B4E9E"/>
    <w:rsid w:val="006B510A"/>
    <w:rsid w:val="006B5736"/>
    <w:rsid w:val="006B591F"/>
    <w:rsid w:val="006B5E79"/>
    <w:rsid w:val="006B6657"/>
    <w:rsid w:val="006B6677"/>
    <w:rsid w:val="006B67E6"/>
    <w:rsid w:val="006B6DD6"/>
    <w:rsid w:val="006B73BB"/>
    <w:rsid w:val="006B789B"/>
    <w:rsid w:val="006B79F2"/>
    <w:rsid w:val="006C08AB"/>
    <w:rsid w:val="006C0A8C"/>
    <w:rsid w:val="006C1028"/>
    <w:rsid w:val="006C1932"/>
    <w:rsid w:val="006C29A2"/>
    <w:rsid w:val="006C2BC9"/>
    <w:rsid w:val="006C2CB7"/>
    <w:rsid w:val="006C2D7B"/>
    <w:rsid w:val="006C2E7C"/>
    <w:rsid w:val="006C3090"/>
    <w:rsid w:val="006C31FC"/>
    <w:rsid w:val="006C3358"/>
    <w:rsid w:val="006C33C2"/>
    <w:rsid w:val="006C3550"/>
    <w:rsid w:val="006C355B"/>
    <w:rsid w:val="006C3EFB"/>
    <w:rsid w:val="006C42C0"/>
    <w:rsid w:val="006C435C"/>
    <w:rsid w:val="006C5CD3"/>
    <w:rsid w:val="006C5F8E"/>
    <w:rsid w:val="006C69B9"/>
    <w:rsid w:val="006C7202"/>
    <w:rsid w:val="006C75A4"/>
    <w:rsid w:val="006C7A50"/>
    <w:rsid w:val="006C7B72"/>
    <w:rsid w:val="006C7F3D"/>
    <w:rsid w:val="006D0088"/>
    <w:rsid w:val="006D0393"/>
    <w:rsid w:val="006D06DE"/>
    <w:rsid w:val="006D0BF7"/>
    <w:rsid w:val="006D0F11"/>
    <w:rsid w:val="006D1C3E"/>
    <w:rsid w:val="006D1F0D"/>
    <w:rsid w:val="006D281E"/>
    <w:rsid w:val="006D29A4"/>
    <w:rsid w:val="006D2D6F"/>
    <w:rsid w:val="006D2D98"/>
    <w:rsid w:val="006D321C"/>
    <w:rsid w:val="006D41B4"/>
    <w:rsid w:val="006D4801"/>
    <w:rsid w:val="006D4FEC"/>
    <w:rsid w:val="006D57EE"/>
    <w:rsid w:val="006D5946"/>
    <w:rsid w:val="006D5C64"/>
    <w:rsid w:val="006D6195"/>
    <w:rsid w:val="006D66A9"/>
    <w:rsid w:val="006D6E39"/>
    <w:rsid w:val="006D6FD0"/>
    <w:rsid w:val="006D709A"/>
    <w:rsid w:val="006D7542"/>
    <w:rsid w:val="006D75B4"/>
    <w:rsid w:val="006D78CD"/>
    <w:rsid w:val="006E0524"/>
    <w:rsid w:val="006E0602"/>
    <w:rsid w:val="006E0757"/>
    <w:rsid w:val="006E0778"/>
    <w:rsid w:val="006E08D4"/>
    <w:rsid w:val="006E098D"/>
    <w:rsid w:val="006E0BB5"/>
    <w:rsid w:val="006E130A"/>
    <w:rsid w:val="006E1434"/>
    <w:rsid w:val="006E1CA6"/>
    <w:rsid w:val="006E1D5E"/>
    <w:rsid w:val="006E1DD0"/>
    <w:rsid w:val="006E1F8E"/>
    <w:rsid w:val="006E2287"/>
    <w:rsid w:val="006E23A3"/>
    <w:rsid w:val="006E3139"/>
    <w:rsid w:val="006E3692"/>
    <w:rsid w:val="006E3882"/>
    <w:rsid w:val="006E3A59"/>
    <w:rsid w:val="006E3AF9"/>
    <w:rsid w:val="006E3D43"/>
    <w:rsid w:val="006E4542"/>
    <w:rsid w:val="006E45DA"/>
    <w:rsid w:val="006E4910"/>
    <w:rsid w:val="006E4DD2"/>
    <w:rsid w:val="006E5D53"/>
    <w:rsid w:val="006E664C"/>
    <w:rsid w:val="006E6863"/>
    <w:rsid w:val="006E6992"/>
    <w:rsid w:val="006E6D5A"/>
    <w:rsid w:val="006E706D"/>
    <w:rsid w:val="006E742E"/>
    <w:rsid w:val="006E7F75"/>
    <w:rsid w:val="006F07A6"/>
    <w:rsid w:val="006F0B0C"/>
    <w:rsid w:val="006F0B6A"/>
    <w:rsid w:val="006F0CFC"/>
    <w:rsid w:val="006F0FCE"/>
    <w:rsid w:val="006F10F9"/>
    <w:rsid w:val="006F124C"/>
    <w:rsid w:val="006F15D9"/>
    <w:rsid w:val="006F1B5A"/>
    <w:rsid w:val="006F1BA0"/>
    <w:rsid w:val="006F1EA3"/>
    <w:rsid w:val="006F25AD"/>
    <w:rsid w:val="006F2792"/>
    <w:rsid w:val="006F2BAA"/>
    <w:rsid w:val="006F33AF"/>
    <w:rsid w:val="006F3CA7"/>
    <w:rsid w:val="006F431D"/>
    <w:rsid w:val="006F499C"/>
    <w:rsid w:val="006F4DE6"/>
    <w:rsid w:val="006F4E25"/>
    <w:rsid w:val="006F5C77"/>
    <w:rsid w:val="006F5FBA"/>
    <w:rsid w:val="006F60A7"/>
    <w:rsid w:val="006F6383"/>
    <w:rsid w:val="006F715B"/>
    <w:rsid w:val="006F77D3"/>
    <w:rsid w:val="006F791C"/>
    <w:rsid w:val="006F7A9B"/>
    <w:rsid w:val="006F7B58"/>
    <w:rsid w:val="006F7BC0"/>
    <w:rsid w:val="006F7E13"/>
    <w:rsid w:val="006F7E41"/>
    <w:rsid w:val="00700131"/>
    <w:rsid w:val="00700511"/>
    <w:rsid w:val="007005C0"/>
    <w:rsid w:val="00700BA5"/>
    <w:rsid w:val="007011B4"/>
    <w:rsid w:val="0070121E"/>
    <w:rsid w:val="00701608"/>
    <w:rsid w:val="00701BA1"/>
    <w:rsid w:val="00701BB2"/>
    <w:rsid w:val="00701ED6"/>
    <w:rsid w:val="00702055"/>
    <w:rsid w:val="007025ED"/>
    <w:rsid w:val="0070299B"/>
    <w:rsid w:val="00702AF7"/>
    <w:rsid w:val="00703C75"/>
    <w:rsid w:val="00703F05"/>
    <w:rsid w:val="0070430C"/>
    <w:rsid w:val="007044C6"/>
    <w:rsid w:val="00704DFA"/>
    <w:rsid w:val="00704E72"/>
    <w:rsid w:val="00704FCF"/>
    <w:rsid w:val="00705737"/>
    <w:rsid w:val="00706074"/>
    <w:rsid w:val="007062B5"/>
    <w:rsid w:val="007065BD"/>
    <w:rsid w:val="00706BC4"/>
    <w:rsid w:val="007078CD"/>
    <w:rsid w:val="00710347"/>
    <w:rsid w:val="007103B0"/>
    <w:rsid w:val="007106BD"/>
    <w:rsid w:val="00710B72"/>
    <w:rsid w:val="00710C22"/>
    <w:rsid w:val="007110AB"/>
    <w:rsid w:val="0071125F"/>
    <w:rsid w:val="00711923"/>
    <w:rsid w:val="0071193F"/>
    <w:rsid w:val="00711C97"/>
    <w:rsid w:val="00712091"/>
    <w:rsid w:val="0071267A"/>
    <w:rsid w:val="007127CA"/>
    <w:rsid w:val="007127F5"/>
    <w:rsid w:val="00712C22"/>
    <w:rsid w:val="00712C70"/>
    <w:rsid w:val="00712D25"/>
    <w:rsid w:val="00712FAC"/>
    <w:rsid w:val="00713421"/>
    <w:rsid w:val="0071365E"/>
    <w:rsid w:val="0071384B"/>
    <w:rsid w:val="007138FA"/>
    <w:rsid w:val="00713A3F"/>
    <w:rsid w:val="00713BBD"/>
    <w:rsid w:val="00713E5E"/>
    <w:rsid w:val="00714669"/>
    <w:rsid w:val="007148FF"/>
    <w:rsid w:val="00714BDB"/>
    <w:rsid w:val="00714C99"/>
    <w:rsid w:val="00715D7F"/>
    <w:rsid w:val="00716A72"/>
    <w:rsid w:val="00716B62"/>
    <w:rsid w:val="00716FDE"/>
    <w:rsid w:val="007170DB"/>
    <w:rsid w:val="007171DF"/>
    <w:rsid w:val="0071720F"/>
    <w:rsid w:val="00717567"/>
    <w:rsid w:val="007175B4"/>
    <w:rsid w:val="007176A9"/>
    <w:rsid w:val="0072009C"/>
    <w:rsid w:val="00720B72"/>
    <w:rsid w:val="00720C13"/>
    <w:rsid w:val="00720ED5"/>
    <w:rsid w:val="00721144"/>
    <w:rsid w:val="007215A5"/>
    <w:rsid w:val="00721754"/>
    <w:rsid w:val="00721A82"/>
    <w:rsid w:val="00721E7A"/>
    <w:rsid w:val="007233A6"/>
    <w:rsid w:val="007233D1"/>
    <w:rsid w:val="007235EE"/>
    <w:rsid w:val="00723906"/>
    <w:rsid w:val="00723D48"/>
    <w:rsid w:val="00723F96"/>
    <w:rsid w:val="007250CB"/>
    <w:rsid w:val="0072533F"/>
    <w:rsid w:val="00725AA2"/>
    <w:rsid w:val="00725AF1"/>
    <w:rsid w:val="00726602"/>
    <w:rsid w:val="007266C9"/>
    <w:rsid w:val="00726E1A"/>
    <w:rsid w:val="0072704A"/>
    <w:rsid w:val="00727144"/>
    <w:rsid w:val="00727406"/>
    <w:rsid w:val="007279A3"/>
    <w:rsid w:val="00727C66"/>
    <w:rsid w:val="007300C4"/>
    <w:rsid w:val="007301EB"/>
    <w:rsid w:val="00730ADF"/>
    <w:rsid w:val="00730FA2"/>
    <w:rsid w:val="00730FBE"/>
    <w:rsid w:val="00731D8E"/>
    <w:rsid w:val="00732023"/>
    <w:rsid w:val="00732309"/>
    <w:rsid w:val="007328CF"/>
    <w:rsid w:val="00732935"/>
    <w:rsid w:val="00732AA1"/>
    <w:rsid w:val="00732FEA"/>
    <w:rsid w:val="00733483"/>
    <w:rsid w:val="007336BF"/>
    <w:rsid w:val="00733994"/>
    <w:rsid w:val="00733D4A"/>
    <w:rsid w:val="0073424B"/>
    <w:rsid w:val="00734437"/>
    <w:rsid w:val="00734445"/>
    <w:rsid w:val="0073454D"/>
    <w:rsid w:val="00734BD8"/>
    <w:rsid w:val="00734BDB"/>
    <w:rsid w:val="00735089"/>
    <w:rsid w:val="00735C58"/>
    <w:rsid w:val="00736527"/>
    <w:rsid w:val="007369C4"/>
    <w:rsid w:val="00737038"/>
    <w:rsid w:val="0073716B"/>
    <w:rsid w:val="007371B2"/>
    <w:rsid w:val="0073787E"/>
    <w:rsid w:val="00737B2B"/>
    <w:rsid w:val="00737B59"/>
    <w:rsid w:val="0074027E"/>
    <w:rsid w:val="00740404"/>
    <w:rsid w:val="007408CB"/>
    <w:rsid w:val="00740DEB"/>
    <w:rsid w:val="0074109A"/>
    <w:rsid w:val="0074113C"/>
    <w:rsid w:val="007417E6"/>
    <w:rsid w:val="00741F2E"/>
    <w:rsid w:val="00742337"/>
    <w:rsid w:val="0074255B"/>
    <w:rsid w:val="00742568"/>
    <w:rsid w:val="007427CE"/>
    <w:rsid w:val="00743866"/>
    <w:rsid w:val="00744CD1"/>
    <w:rsid w:val="00745742"/>
    <w:rsid w:val="00745EF5"/>
    <w:rsid w:val="00746A9D"/>
    <w:rsid w:val="00746D5A"/>
    <w:rsid w:val="00746D7E"/>
    <w:rsid w:val="00746E7C"/>
    <w:rsid w:val="00746E7E"/>
    <w:rsid w:val="00747881"/>
    <w:rsid w:val="00750433"/>
    <w:rsid w:val="00750747"/>
    <w:rsid w:val="007517BE"/>
    <w:rsid w:val="007519D8"/>
    <w:rsid w:val="00751C50"/>
    <w:rsid w:val="00751F12"/>
    <w:rsid w:val="00752B4E"/>
    <w:rsid w:val="00752EDE"/>
    <w:rsid w:val="00753505"/>
    <w:rsid w:val="00753DCF"/>
    <w:rsid w:val="00754044"/>
    <w:rsid w:val="00754966"/>
    <w:rsid w:val="00754DA5"/>
    <w:rsid w:val="0075544E"/>
    <w:rsid w:val="00755840"/>
    <w:rsid w:val="0075628E"/>
    <w:rsid w:val="0075677E"/>
    <w:rsid w:val="00756823"/>
    <w:rsid w:val="00756874"/>
    <w:rsid w:val="007569EA"/>
    <w:rsid w:val="00756E5B"/>
    <w:rsid w:val="00757294"/>
    <w:rsid w:val="00757856"/>
    <w:rsid w:val="00760481"/>
    <w:rsid w:val="007606CC"/>
    <w:rsid w:val="00760C20"/>
    <w:rsid w:val="0076117B"/>
    <w:rsid w:val="0076147D"/>
    <w:rsid w:val="0076174F"/>
    <w:rsid w:val="00761820"/>
    <w:rsid w:val="00761E06"/>
    <w:rsid w:val="00761F93"/>
    <w:rsid w:val="00762D6A"/>
    <w:rsid w:val="00762EE7"/>
    <w:rsid w:val="0076348E"/>
    <w:rsid w:val="007634C5"/>
    <w:rsid w:val="00763803"/>
    <w:rsid w:val="00763ECC"/>
    <w:rsid w:val="00763F12"/>
    <w:rsid w:val="00763F6F"/>
    <w:rsid w:val="00764043"/>
    <w:rsid w:val="007641C8"/>
    <w:rsid w:val="0076474A"/>
    <w:rsid w:val="00765325"/>
    <w:rsid w:val="0076587D"/>
    <w:rsid w:val="00765AFF"/>
    <w:rsid w:val="00766431"/>
    <w:rsid w:val="0076649A"/>
    <w:rsid w:val="00766DFB"/>
    <w:rsid w:val="00767704"/>
    <w:rsid w:val="00770431"/>
    <w:rsid w:val="00770815"/>
    <w:rsid w:val="00770D63"/>
    <w:rsid w:val="00771298"/>
    <w:rsid w:val="00771625"/>
    <w:rsid w:val="0077190A"/>
    <w:rsid w:val="00772085"/>
    <w:rsid w:val="007721E2"/>
    <w:rsid w:val="007723A4"/>
    <w:rsid w:val="0077241C"/>
    <w:rsid w:val="0077267D"/>
    <w:rsid w:val="00772DC2"/>
    <w:rsid w:val="00772E8E"/>
    <w:rsid w:val="007736D2"/>
    <w:rsid w:val="00774204"/>
    <w:rsid w:val="00774B23"/>
    <w:rsid w:val="00774F8C"/>
    <w:rsid w:val="00774FAF"/>
    <w:rsid w:val="00774FFE"/>
    <w:rsid w:val="00775152"/>
    <w:rsid w:val="0077566B"/>
    <w:rsid w:val="007758C3"/>
    <w:rsid w:val="00775F48"/>
    <w:rsid w:val="00776223"/>
    <w:rsid w:val="00776321"/>
    <w:rsid w:val="0077677C"/>
    <w:rsid w:val="00776A58"/>
    <w:rsid w:val="00776CA0"/>
    <w:rsid w:val="0077717D"/>
    <w:rsid w:val="0077757E"/>
    <w:rsid w:val="00777C89"/>
    <w:rsid w:val="0078048A"/>
    <w:rsid w:val="007805B3"/>
    <w:rsid w:val="00780A84"/>
    <w:rsid w:val="00780BC5"/>
    <w:rsid w:val="00780EA1"/>
    <w:rsid w:val="00781707"/>
    <w:rsid w:val="00781740"/>
    <w:rsid w:val="00781F27"/>
    <w:rsid w:val="00782C0B"/>
    <w:rsid w:val="00782E77"/>
    <w:rsid w:val="00783350"/>
    <w:rsid w:val="00783539"/>
    <w:rsid w:val="00783817"/>
    <w:rsid w:val="00783C5F"/>
    <w:rsid w:val="00784137"/>
    <w:rsid w:val="00784330"/>
    <w:rsid w:val="007849AA"/>
    <w:rsid w:val="007849B3"/>
    <w:rsid w:val="00784DD9"/>
    <w:rsid w:val="00784DDD"/>
    <w:rsid w:val="0078530E"/>
    <w:rsid w:val="0078556F"/>
    <w:rsid w:val="00786380"/>
    <w:rsid w:val="00786827"/>
    <w:rsid w:val="00786AA6"/>
    <w:rsid w:val="00786CFF"/>
    <w:rsid w:val="007870BC"/>
    <w:rsid w:val="0078778A"/>
    <w:rsid w:val="00787BD7"/>
    <w:rsid w:val="00787DC3"/>
    <w:rsid w:val="00787F7F"/>
    <w:rsid w:val="00791392"/>
    <w:rsid w:val="007913E7"/>
    <w:rsid w:val="00791D2F"/>
    <w:rsid w:val="00791FCC"/>
    <w:rsid w:val="00793331"/>
    <w:rsid w:val="00793586"/>
    <w:rsid w:val="00793675"/>
    <w:rsid w:val="0079392B"/>
    <w:rsid w:val="00793A0D"/>
    <w:rsid w:val="00793CF7"/>
    <w:rsid w:val="007943E2"/>
    <w:rsid w:val="00794EEF"/>
    <w:rsid w:val="007953FB"/>
    <w:rsid w:val="00795CF0"/>
    <w:rsid w:val="007961A6"/>
    <w:rsid w:val="00796D38"/>
    <w:rsid w:val="00797212"/>
    <w:rsid w:val="0079734E"/>
    <w:rsid w:val="00797F00"/>
    <w:rsid w:val="007A0895"/>
    <w:rsid w:val="007A0A68"/>
    <w:rsid w:val="007A110B"/>
    <w:rsid w:val="007A155A"/>
    <w:rsid w:val="007A1966"/>
    <w:rsid w:val="007A1973"/>
    <w:rsid w:val="007A20F2"/>
    <w:rsid w:val="007A26CD"/>
    <w:rsid w:val="007A3AB3"/>
    <w:rsid w:val="007A3C74"/>
    <w:rsid w:val="007A47E2"/>
    <w:rsid w:val="007A49D7"/>
    <w:rsid w:val="007A4A6B"/>
    <w:rsid w:val="007A4CA0"/>
    <w:rsid w:val="007A6386"/>
    <w:rsid w:val="007A6A84"/>
    <w:rsid w:val="007A7178"/>
    <w:rsid w:val="007A77D8"/>
    <w:rsid w:val="007A7F82"/>
    <w:rsid w:val="007A7FDC"/>
    <w:rsid w:val="007B0256"/>
    <w:rsid w:val="007B0552"/>
    <w:rsid w:val="007B074A"/>
    <w:rsid w:val="007B0778"/>
    <w:rsid w:val="007B0C1E"/>
    <w:rsid w:val="007B1140"/>
    <w:rsid w:val="007B198D"/>
    <w:rsid w:val="007B238A"/>
    <w:rsid w:val="007B251E"/>
    <w:rsid w:val="007B253D"/>
    <w:rsid w:val="007B27F3"/>
    <w:rsid w:val="007B30B8"/>
    <w:rsid w:val="007B3456"/>
    <w:rsid w:val="007B36FC"/>
    <w:rsid w:val="007B3C33"/>
    <w:rsid w:val="007B4299"/>
    <w:rsid w:val="007B432E"/>
    <w:rsid w:val="007B5578"/>
    <w:rsid w:val="007B646E"/>
    <w:rsid w:val="007B7027"/>
    <w:rsid w:val="007B7B2A"/>
    <w:rsid w:val="007B7BCF"/>
    <w:rsid w:val="007C0068"/>
    <w:rsid w:val="007C0531"/>
    <w:rsid w:val="007C0BD2"/>
    <w:rsid w:val="007C0C78"/>
    <w:rsid w:val="007C0D22"/>
    <w:rsid w:val="007C0EDB"/>
    <w:rsid w:val="007C1B81"/>
    <w:rsid w:val="007C1C2F"/>
    <w:rsid w:val="007C1D00"/>
    <w:rsid w:val="007C1F63"/>
    <w:rsid w:val="007C23C0"/>
    <w:rsid w:val="007C2B3A"/>
    <w:rsid w:val="007C2B55"/>
    <w:rsid w:val="007C3E67"/>
    <w:rsid w:val="007C3F40"/>
    <w:rsid w:val="007C427A"/>
    <w:rsid w:val="007C46AE"/>
    <w:rsid w:val="007C4E8C"/>
    <w:rsid w:val="007C4EA0"/>
    <w:rsid w:val="007C4F60"/>
    <w:rsid w:val="007C5E8F"/>
    <w:rsid w:val="007C5FA9"/>
    <w:rsid w:val="007C6C49"/>
    <w:rsid w:val="007C785A"/>
    <w:rsid w:val="007C7E3F"/>
    <w:rsid w:val="007C7EA1"/>
    <w:rsid w:val="007D0097"/>
    <w:rsid w:val="007D009E"/>
    <w:rsid w:val="007D0593"/>
    <w:rsid w:val="007D0730"/>
    <w:rsid w:val="007D0F85"/>
    <w:rsid w:val="007D18CC"/>
    <w:rsid w:val="007D1F01"/>
    <w:rsid w:val="007D2019"/>
    <w:rsid w:val="007D3427"/>
    <w:rsid w:val="007D4190"/>
    <w:rsid w:val="007D4D22"/>
    <w:rsid w:val="007D5369"/>
    <w:rsid w:val="007D54AB"/>
    <w:rsid w:val="007D6134"/>
    <w:rsid w:val="007D66D3"/>
    <w:rsid w:val="007D67DC"/>
    <w:rsid w:val="007D7017"/>
    <w:rsid w:val="007D73B3"/>
    <w:rsid w:val="007D755F"/>
    <w:rsid w:val="007D7CFD"/>
    <w:rsid w:val="007E0123"/>
    <w:rsid w:val="007E084D"/>
    <w:rsid w:val="007E0D0A"/>
    <w:rsid w:val="007E1252"/>
    <w:rsid w:val="007E144E"/>
    <w:rsid w:val="007E192A"/>
    <w:rsid w:val="007E1991"/>
    <w:rsid w:val="007E24C4"/>
    <w:rsid w:val="007E25F4"/>
    <w:rsid w:val="007E2799"/>
    <w:rsid w:val="007E2BB6"/>
    <w:rsid w:val="007E2CD7"/>
    <w:rsid w:val="007E2EAD"/>
    <w:rsid w:val="007E30D0"/>
    <w:rsid w:val="007E325F"/>
    <w:rsid w:val="007E35D8"/>
    <w:rsid w:val="007E3864"/>
    <w:rsid w:val="007E3E48"/>
    <w:rsid w:val="007E4067"/>
    <w:rsid w:val="007E442C"/>
    <w:rsid w:val="007E4649"/>
    <w:rsid w:val="007E4A21"/>
    <w:rsid w:val="007E4AAC"/>
    <w:rsid w:val="007E4F2C"/>
    <w:rsid w:val="007E4F58"/>
    <w:rsid w:val="007E5A21"/>
    <w:rsid w:val="007E5F75"/>
    <w:rsid w:val="007E66C1"/>
    <w:rsid w:val="007E670B"/>
    <w:rsid w:val="007E6F58"/>
    <w:rsid w:val="007E7512"/>
    <w:rsid w:val="007E7629"/>
    <w:rsid w:val="007E7716"/>
    <w:rsid w:val="007E79B5"/>
    <w:rsid w:val="007E7B13"/>
    <w:rsid w:val="007E7FD4"/>
    <w:rsid w:val="007F07FB"/>
    <w:rsid w:val="007F0D28"/>
    <w:rsid w:val="007F0F2A"/>
    <w:rsid w:val="007F144B"/>
    <w:rsid w:val="007F1524"/>
    <w:rsid w:val="007F1BD7"/>
    <w:rsid w:val="007F1FEA"/>
    <w:rsid w:val="007F1FF7"/>
    <w:rsid w:val="007F2326"/>
    <w:rsid w:val="007F26C8"/>
    <w:rsid w:val="007F2955"/>
    <w:rsid w:val="007F361C"/>
    <w:rsid w:val="007F36C2"/>
    <w:rsid w:val="007F3899"/>
    <w:rsid w:val="007F408D"/>
    <w:rsid w:val="007F4F34"/>
    <w:rsid w:val="007F5012"/>
    <w:rsid w:val="007F5029"/>
    <w:rsid w:val="007F59F2"/>
    <w:rsid w:val="007F6173"/>
    <w:rsid w:val="007F6392"/>
    <w:rsid w:val="007F6BAA"/>
    <w:rsid w:val="007F7394"/>
    <w:rsid w:val="007F7575"/>
    <w:rsid w:val="007F7744"/>
    <w:rsid w:val="007F792D"/>
    <w:rsid w:val="00800850"/>
    <w:rsid w:val="00800B08"/>
    <w:rsid w:val="008012A6"/>
    <w:rsid w:val="0080142E"/>
    <w:rsid w:val="00801B1D"/>
    <w:rsid w:val="00801B62"/>
    <w:rsid w:val="00801F74"/>
    <w:rsid w:val="008022C5"/>
    <w:rsid w:val="00802EF2"/>
    <w:rsid w:val="00803700"/>
    <w:rsid w:val="00803E42"/>
    <w:rsid w:val="00804B7B"/>
    <w:rsid w:val="0080507E"/>
    <w:rsid w:val="008051BC"/>
    <w:rsid w:val="00805317"/>
    <w:rsid w:val="0080583D"/>
    <w:rsid w:val="00805FD6"/>
    <w:rsid w:val="00806AA8"/>
    <w:rsid w:val="008070C3"/>
    <w:rsid w:val="00807DAA"/>
    <w:rsid w:val="00810483"/>
    <w:rsid w:val="0081053D"/>
    <w:rsid w:val="008106CF"/>
    <w:rsid w:val="00810A5C"/>
    <w:rsid w:val="00810BBD"/>
    <w:rsid w:val="00811675"/>
    <w:rsid w:val="00811F11"/>
    <w:rsid w:val="00811F1C"/>
    <w:rsid w:val="00812277"/>
    <w:rsid w:val="008125EF"/>
    <w:rsid w:val="00812830"/>
    <w:rsid w:val="00812F46"/>
    <w:rsid w:val="00813883"/>
    <w:rsid w:val="00813B18"/>
    <w:rsid w:val="00814635"/>
    <w:rsid w:val="00814E46"/>
    <w:rsid w:val="00814F80"/>
    <w:rsid w:val="008159BA"/>
    <w:rsid w:val="00815EAB"/>
    <w:rsid w:val="008164EE"/>
    <w:rsid w:val="0081770E"/>
    <w:rsid w:val="00817EE3"/>
    <w:rsid w:val="008206A1"/>
    <w:rsid w:val="00820DA6"/>
    <w:rsid w:val="008210F5"/>
    <w:rsid w:val="00821885"/>
    <w:rsid w:val="0082197A"/>
    <w:rsid w:val="00821C1B"/>
    <w:rsid w:val="00821FE2"/>
    <w:rsid w:val="00822737"/>
    <w:rsid w:val="00822B31"/>
    <w:rsid w:val="008231AA"/>
    <w:rsid w:val="008231B7"/>
    <w:rsid w:val="00823346"/>
    <w:rsid w:val="008239EF"/>
    <w:rsid w:val="00823A15"/>
    <w:rsid w:val="00823B8A"/>
    <w:rsid w:val="008241BE"/>
    <w:rsid w:val="00824625"/>
    <w:rsid w:val="00824AAF"/>
    <w:rsid w:val="00825552"/>
    <w:rsid w:val="00825A79"/>
    <w:rsid w:val="00825DCA"/>
    <w:rsid w:val="00826155"/>
    <w:rsid w:val="008262C9"/>
    <w:rsid w:val="00826DBE"/>
    <w:rsid w:val="00827260"/>
    <w:rsid w:val="008276B1"/>
    <w:rsid w:val="00827DFC"/>
    <w:rsid w:val="00827F8F"/>
    <w:rsid w:val="00827FB6"/>
    <w:rsid w:val="00830072"/>
    <w:rsid w:val="00830254"/>
    <w:rsid w:val="00830456"/>
    <w:rsid w:val="00830A07"/>
    <w:rsid w:val="00831243"/>
    <w:rsid w:val="008312D9"/>
    <w:rsid w:val="0083131A"/>
    <w:rsid w:val="00831C4F"/>
    <w:rsid w:val="00831CF4"/>
    <w:rsid w:val="0083228E"/>
    <w:rsid w:val="0083274D"/>
    <w:rsid w:val="0083277B"/>
    <w:rsid w:val="00832942"/>
    <w:rsid w:val="00832B05"/>
    <w:rsid w:val="00832EDA"/>
    <w:rsid w:val="00833096"/>
    <w:rsid w:val="008333BA"/>
    <w:rsid w:val="008339D6"/>
    <w:rsid w:val="00833A7F"/>
    <w:rsid w:val="00833B8B"/>
    <w:rsid w:val="00833BD2"/>
    <w:rsid w:val="00833CED"/>
    <w:rsid w:val="00834268"/>
    <w:rsid w:val="00834325"/>
    <w:rsid w:val="008349D4"/>
    <w:rsid w:val="00834C11"/>
    <w:rsid w:val="00834F9A"/>
    <w:rsid w:val="008351C0"/>
    <w:rsid w:val="0083530D"/>
    <w:rsid w:val="0083578D"/>
    <w:rsid w:val="008362E4"/>
    <w:rsid w:val="008368F9"/>
    <w:rsid w:val="008368FB"/>
    <w:rsid w:val="008369EF"/>
    <w:rsid w:val="00836E79"/>
    <w:rsid w:val="0083738F"/>
    <w:rsid w:val="00837631"/>
    <w:rsid w:val="00840A8A"/>
    <w:rsid w:val="00841C40"/>
    <w:rsid w:val="00841FDD"/>
    <w:rsid w:val="00842083"/>
    <w:rsid w:val="00842121"/>
    <w:rsid w:val="00842235"/>
    <w:rsid w:val="00842534"/>
    <w:rsid w:val="008427F3"/>
    <w:rsid w:val="008428A0"/>
    <w:rsid w:val="0084327A"/>
    <w:rsid w:val="00843E46"/>
    <w:rsid w:val="00844238"/>
    <w:rsid w:val="008444A4"/>
    <w:rsid w:val="008446FF"/>
    <w:rsid w:val="00844FAD"/>
    <w:rsid w:val="00845812"/>
    <w:rsid w:val="00845E41"/>
    <w:rsid w:val="00845FB5"/>
    <w:rsid w:val="00847525"/>
    <w:rsid w:val="00850DA3"/>
    <w:rsid w:val="00850DB5"/>
    <w:rsid w:val="0085101C"/>
    <w:rsid w:val="00851076"/>
    <w:rsid w:val="008511FB"/>
    <w:rsid w:val="008514E0"/>
    <w:rsid w:val="008517A5"/>
    <w:rsid w:val="00851877"/>
    <w:rsid w:val="00851D6D"/>
    <w:rsid w:val="00851E05"/>
    <w:rsid w:val="0085208C"/>
    <w:rsid w:val="00852519"/>
    <w:rsid w:val="00852814"/>
    <w:rsid w:val="00853EEC"/>
    <w:rsid w:val="00853F8B"/>
    <w:rsid w:val="008547A2"/>
    <w:rsid w:val="0085538B"/>
    <w:rsid w:val="008559F2"/>
    <w:rsid w:val="00855D1E"/>
    <w:rsid w:val="00856181"/>
    <w:rsid w:val="0085637C"/>
    <w:rsid w:val="0085663B"/>
    <w:rsid w:val="008570DB"/>
    <w:rsid w:val="00857331"/>
    <w:rsid w:val="00857ACE"/>
    <w:rsid w:val="00857C99"/>
    <w:rsid w:val="00857DF0"/>
    <w:rsid w:val="008601A6"/>
    <w:rsid w:val="008602AB"/>
    <w:rsid w:val="00860EE0"/>
    <w:rsid w:val="00861554"/>
    <w:rsid w:val="008621EC"/>
    <w:rsid w:val="00862504"/>
    <w:rsid w:val="008625A4"/>
    <w:rsid w:val="0086283C"/>
    <w:rsid w:val="00863179"/>
    <w:rsid w:val="008635FB"/>
    <w:rsid w:val="008643FB"/>
    <w:rsid w:val="00864519"/>
    <w:rsid w:val="00864793"/>
    <w:rsid w:val="0086491D"/>
    <w:rsid w:val="008649C4"/>
    <w:rsid w:val="00865063"/>
    <w:rsid w:val="0086523E"/>
    <w:rsid w:val="00865CDD"/>
    <w:rsid w:val="008660A4"/>
    <w:rsid w:val="00866769"/>
    <w:rsid w:val="008667F2"/>
    <w:rsid w:val="00866E80"/>
    <w:rsid w:val="0086706C"/>
    <w:rsid w:val="008673E5"/>
    <w:rsid w:val="00870342"/>
    <w:rsid w:val="00870565"/>
    <w:rsid w:val="00870B7F"/>
    <w:rsid w:val="00870DEE"/>
    <w:rsid w:val="0087155D"/>
    <w:rsid w:val="008719D8"/>
    <w:rsid w:val="00871EBE"/>
    <w:rsid w:val="00871FB6"/>
    <w:rsid w:val="008729C8"/>
    <w:rsid w:val="00872C7B"/>
    <w:rsid w:val="00872E20"/>
    <w:rsid w:val="00873C6E"/>
    <w:rsid w:val="00873E70"/>
    <w:rsid w:val="00873FC8"/>
    <w:rsid w:val="008741D5"/>
    <w:rsid w:val="008746C8"/>
    <w:rsid w:val="008748C1"/>
    <w:rsid w:val="00874A3A"/>
    <w:rsid w:val="00874B4D"/>
    <w:rsid w:val="00874F8D"/>
    <w:rsid w:val="00875838"/>
    <w:rsid w:val="00875ABB"/>
    <w:rsid w:val="00875E17"/>
    <w:rsid w:val="00875F35"/>
    <w:rsid w:val="00876133"/>
    <w:rsid w:val="00876688"/>
    <w:rsid w:val="00876692"/>
    <w:rsid w:val="00876C98"/>
    <w:rsid w:val="0087732F"/>
    <w:rsid w:val="008774E7"/>
    <w:rsid w:val="00877616"/>
    <w:rsid w:val="008802EB"/>
    <w:rsid w:val="008809FB"/>
    <w:rsid w:val="00881E60"/>
    <w:rsid w:val="00882083"/>
    <w:rsid w:val="008824E2"/>
    <w:rsid w:val="008831D2"/>
    <w:rsid w:val="008833E2"/>
    <w:rsid w:val="00883744"/>
    <w:rsid w:val="008837AC"/>
    <w:rsid w:val="00883932"/>
    <w:rsid w:val="00883A24"/>
    <w:rsid w:val="00884630"/>
    <w:rsid w:val="00884704"/>
    <w:rsid w:val="00885065"/>
    <w:rsid w:val="00885245"/>
    <w:rsid w:val="008856BB"/>
    <w:rsid w:val="00885768"/>
    <w:rsid w:val="00885814"/>
    <w:rsid w:val="00885A08"/>
    <w:rsid w:val="00886053"/>
    <w:rsid w:val="008861FC"/>
    <w:rsid w:val="00886369"/>
    <w:rsid w:val="008876A7"/>
    <w:rsid w:val="00887B64"/>
    <w:rsid w:val="00887F0C"/>
    <w:rsid w:val="008904F9"/>
    <w:rsid w:val="00891268"/>
    <w:rsid w:val="008914F1"/>
    <w:rsid w:val="008915FA"/>
    <w:rsid w:val="00891625"/>
    <w:rsid w:val="00891A01"/>
    <w:rsid w:val="00891CBD"/>
    <w:rsid w:val="00892170"/>
    <w:rsid w:val="00892357"/>
    <w:rsid w:val="0089245D"/>
    <w:rsid w:val="00892C41"/>
    <w:rsid w:val="00892CBD"/>
    <w:rsid w:val="00893537"/>
    <w:rsid w:val="00893C8E"/>
    <w:rsid w:val="00893ECC"/>
    <w:rsid w:val="00894320"/>
    <w:rsid w:val="00894600"/>
    <w:rsid w:val="00894D46"/>
    <w:rsid w:val="0089539A"/>
    <w:rsid w:val="00895611"/>
    <w:rsid w:val="00895669"/>
    <w:rsid w:val="00895E23"/>
    <w:rsid w:val="0089625D"/>
    <w:rsid w:val="00896559"/>
    <w:rsid w:val="0089686F"/>
    <w:rsid w:val="00896D45"/>
    <w:rsid w:val="00896F67"/>
    <w:rsid w:val="00897183"/>
    <w:rsid w:val="00897292"/>
    <w:rsid w:val="008972E3"/>
    <w:rsid w:val="00897324"/>
    <w:rsid w:val="008974FF"/>
    <w:rsid w:val="008A0222"/>
    <w:rsid w:val="008A0629"/>
    <w:rsid w:val="008A0ABD"/>
    <w:rsid w:val="008A12B6"/>
    <w:rsid w:val="008A182B"/>
    <w:rsid w:val="008A241E"/>
    <w:rsid w:val="008A2AB4"/>
    <w:rsid w:val="008A409C"/>
    <w:rsid w:val="008A40F7"/>
    <w:rsid w:val="008A4126"/>
    <w:rsid w:val="008A452D"/>
    <w:rsid w:val="008A48BA"/>
    <w:rsid w:val="008A4BC1"/>
    <w:rsid w:val="008A525A"/>
    <w:rsid w:val="008A59D7"/>
    <w:rsid w:val="008A6238"/>
    <w:rsid w:val="008A69D8"/>
    <w:rsid w:val="008A71BD"/>
    <w:rsid w:val="008A7563"/>
    <w:rsid w:val="008A78D2"/>
    <w:rsid w:val="008A7911"/>
    <w:rsid w:val="008B09B2"/>
    <w:rsid w:val="008B0B97"/>
    <w:rsid w:val="008B0CA3"/>
    <w:rsid w:val="008B1C1E"/>
    <w:rsid w:val="008B1FD1"/>
    <w:rsid w:val="008B20A9"/>
    <w:rsid w:val="008B2781"/>
    <w:rsid w:val="008B2998"/>
    <w:rsid w:val="008B29C8"/>
    <w:rsid w:val="008B2C92"/>
    <w:rsid w:val="008B3603"/>
    <w:rsid w:val="008B3E44"/>
    <w:rsid w:val="008B4684"/>
    <w:rsid w:val="008B4731"/>
    <w:rsid w:val="008B52BD"/>
    <w:rsid w:val="008B5422"/>
    <w:rsid w:val="008B5A05"/>
    <w:rsid w:val="008B619A"/>
    <w:rsid w:val="008B629F"/>
    <w:rsid w:val="008B70C1"/>
    <w:rsid w:val="008B7C05"/>
    <w:rsid w:val="008C04A1"/>
    <w:rsid w:val="008C0B86"/>
    <w:rsid w:val="008C0D6E"/>
    <w:rsid w:val="008C182C"/>
    <w:rsid w:val="008C1C8D"/>
    <w:rsid w:val="008C2EB2"/>
    <w:rsid w:val="008C30E8"/>
    <w:rsid w:val="008C337E"/>
    <w:rsid w:val="008C3891"/>
    <w:rsid w:val="008C39AD"/>
    <w:rsid w:val="008C44A9"/>
    <w:rsid w:val="008C4920"/>
    <w:rsid w:val="008C501B"/>
    <w:rsid w:val="008C526E"/>
    <w:rsid w:val="008C587A"/>
    <w:rsid w:val="008C5A89"/>
    <w:rsid w:val="008C5B7E"/>
    <w:rsid w:val="008C5E0B"/>
    <w:rsid w:val="008C6D0F"/>
    <w:rsid w:val="008C6FC0"/>
    <w:rsid w:val="008C708B"/>
    <w:rsid w:val="008C72AA"/>
    <w:rsid w:val="008C75D8"/>
    <w:rsid w:val="008C78BF"/>
    <w:rsid w:val="008C7FCA"/>
    <w:rsid w:val="008D0458"/>
    <w:rsid w:val="008D086E"/>
    <w:rsid w:val="008D0B59"/>
    <w:rsid w:val="008D0C72"/>
    <w:rsid w:val="008D11AD"/>
    <w:rsid w:val="008D1225"/>
    <w:rsid w:val="008D1F69"/>
    <w:rsid w:val="008D21A3"/>
    <w:rsid w:val="008D29C0"/>
    <w:rsid w:val="008D2FF2"/>
    <w:rsid w:val="008D31AB"/>
    <w:rsid w:val="008D3D1B"/>
    <w:rsid w:val="008D3E90"/>
    <w:rsid w:val="008D47EB"/>
    <w:rsid w:val="008D48B0"/>
    <w:rsid w:val="008D4B2B"/>
    <w:rsid w:val="008D4B5D"/>
    <w:rsid w:val="008D51EA"/>
    <w:rsid w:val="008D56B5"/>
    <w:rsid w:val="008D588B"/>
    <w:rsid w:val="008D5907"/>
    <w:rsid w:val="008D5919"/>
    <w:rsid w:val="008D5C19"/>
    <w:rsid w:val="008D613D"/>
    <w:rsid w:val="008D6870"/>
    <w:rsid w:val="008D6C77"/>
    <w:rsid w:val="008D6EB5"/>
    <w:rsid w:val="008D720C"/>
    <w:rsid w:val="008D7A68"/>
    <w:rsid w:val="008D7B80"/>
    <w:rsid w:val="008E0189"/>
    <w:rsid w:val="008E065B"/>
    <w:rsid w:val="008E06C1"/>
    <w:rsid w:val="008E0DF4"/>
    <w:rsid w:val="008E10A7"/>
    <w:rsid w:val="008E1720"/>
    <w:rsid w:val="008E1E90"/>
    <w:rsid w:val="008E1F2B"/>
    <w:rsid w:val="008E1F6D"/>
    <w:rsid w:val="008E219C"/>
    <w:rsid w:val="008E2D2A"/>
    <w:rsid w:val="008E3174"/>
    <w:rsid w:val="008E41A7"/>
    <w:rsid w:val="008E495D"/>
    <w:rsid w:val="008E55CB"/>
    <w:rsid w:val="008E569D"/>
    <w:rsid w:val="008E5B8D"/>
    <w:rsid w:val="008E69D2"/>
    <w:rsid w:val="008E781B"/>
    <w:rsid w:val="008E7B4A"/>
    <w:rsid w:val="008E7BA7"/>
    <w:rsid w:val="008E7F8D"/>
    <w:rsid w:val="008F04D9"/>
    <w:rsid w:val="008F0B37"/>
    <w:rsid w:val="008F1BCB"/>
    <w:rsid w:val="008F2350"/>
    <w:rsid w:val="008F2752"/>
    <w:rsid w:val="008F2B92"/>
    <w:rsid w:val="008F2BD2"/>
    <w:rsid w:val="008F322F"/>
    <w:rsid w:val="008F399A"/>
    <w:rsid w:val="008F3B54"/>
    <w:rsid w:val="008F3E21"/>
    <w:rsid w:val="008F4178"/>
    <w:rsid w:val="008F4606"/>
    <w:rsid w:val="008F460E"/>
    <w:rsid w:val="008F4A7E"/>
    <w:rsid w:val="008F4BA1"/>
    <w:rsid w:val="008F4C98"/>
    <w:rsid w:val="008F4D82"/>
    <w:rsid w:val="008F5204"/>
    <w:rsid w:val="008F57A1"/>
    <w:rsid w:val="008F582A"/>
    <w:rsid w:val="008F596F"/>
    <w:rsid w:val="008F5D2A"/>
    <w:rsid w:val="008F5DED"/>
    <w:rsid w:val="008F61B2"/>
    <w:rsid w:val="008F65FC"/>
    <w:rsid w:val="008F6FF9"/>
    <w:rsid w:val="008F7240"/>
    <w:rsid w:val="008F73FC"/>
    <w:rsid w:val="008F757E"/>
    <w:rsid w:val="008F7E45"/>
    <w:rsid w:val="00900378"/>
    <w:rsid w:val="0090079F"/>
    <w:rsid w:val="00900908"/>
    <w:rsid w:val="00900B44"/>
    <w:rsid w:val="00900F0A"/>
    <w:rsid w:val="00901169"/>
    <w:rsid w:val="00901853"/>
    <w:rsid w:val="00901A54"/>
    <w:rsid w:val="00901B60"/>
    <w:rsid w:val="00901C96"/>
    <w:rsid w:val="00901DED"/>
    <w:rsid w:val="00901E39"/>
    <w:rsid w:val="00902176"/>
    <w:rsid w:val="00902747"/>
    <w:rsid w:val="0090304A"/>
    <w:rsid w:val="0090346A"/>
    <w:rsid w:val="00903739"/>
    <w:rsid w:val="009039B1"/>
    <w:rsid w:val="00903C86"/>
    <w:rsid w:val="0090412F"/>
    <w:rsid w:val="009041CD"/>
    <w:rsid w:val="00904688"/>
    <w:rsid w:val="009046D7"/>
    <w:rsid w:val="009047BF"/>
    <w:rsid w:val="009051BC"/>
    <w:rsid w:val="00905617"/>
    <w:rsid w:val="00905842"/>
    <w:rsid w:val="00905981"/>
    <w:rsid w:val="00905EED"/>
    <w:rsid w:val="0090653E"/>
    <w:rsid w:val="009069BC"/>
    <w:rsid w:val="00906FC8"/>
    <w:rsid w:val="00907A48"/>
    <w:rsid w:val="00907A7F"/>
    <w:rsid w:val="00907B54"/>
    <w:rsid w:val="009103F0"/>
    <w:rsid w:val="0091053D"/>
    <w:rsid w:val="00910CCA"/>
    <w:rsid w:val="00911436"/>
    <w:rsid w:val="00912381"/>
    <w:rsid w:val="00912F2C"/>
    <w:rsid w:val="009132DF"/>
    <w:rsid w:val="00913C14"/>
    <w:rsid w:val="009143B8"/>
    <w:rsid w:val="0091492A"/>
    <w:rsid w:val="00914C6D"/>
    <w:rsid w:val="00914CFE"/>
    <w:rsid w:val="009157A3"/>
    <w:rsid w:val="0091683D"/>
    <w:rsid w:val="00916A9E"/>
    <w:rsid w:val="00917103"/>
    <w:rsid w:val="00917165"/>
    <w:rsid w:val="009176C5"/>
    <w:rsid w:val="009178BF"/>
    <w:rsid w:val="00920A0C"/>
    <w:rsid w:val="00920CFE"/>
    <w:rsid w:val="00920DB3"/>
    <w:rsid w:val="00921128"/>
    <w:rsid w:val="009212F8"/>
    <w:rsid w:val="00921319"/>
    <w:rsid w:val="009213F6"/>
    <w:rsid w:val="0092187A"/>
    <w:rsid w:val="00922162"/>
    <w:rsid w:val="00922EA6"/>
    <w:rsid w:val="009231DF"/>
    <w:rsid w:val="00923E21"/>
    <w:rsid w:val="00923EDD"/>
    <w:rsid w:val="009240AD"/>
    <w:rsid w:val="0092428D"/>
    <w:rsid w:val="00924329"/>
    <w:rsid w:val="0092465F"/>
    <w:rsid w:val="009249F0"/>
    <w:rsid w:val="00924A2F"/>
    <w:rsid w:val="00924ECF"/>
    <w:rsid w:val="009265D3"/>
    <w:rsid w:val="0092704D"/>
    <w:rsid w:val="00927BE7"/>
    <w:rsid w:val="0093011A"/>
    <w:rsid w:val="00930D3F"/>
    <w:rsid w:val="00931004"/>
    <w:rsid w:val="00931084"/>
    <w:rsid w:val="00931718"/>
    <w:rsid w:val="00931853"/>
    <w:rsid w:val="0093219A"/>
    <w:rsid w:val="009323B3"/>
    <w:rsid w:val="0093287F"/>
    <w:rsid w:val="0093380E"/>
    <w:rsid w:val="00934BC9"/>
    <w:rsid w:val="00935294"/>
    <w:rsid w:val="009358E6"/>
    <w:rsid w:val="00935BC1"/>
    <w:rsid w:val="00935C0B"/>
    <w:rsid w:val="00935F30"/>
    <w:rsid w:val="00936FA0"/>
    <w:rsid w:val="0093740C"/>
    <w:rsid w:val="009379AF"/>
    <w:rsid w:val="00937AD6"/>
    <w:rsid w:val="0094060B"/>
    <w:rsid w:val="00941949"/>
    <w:rsid w:val="00942243"/>
    <w:rsid w:val="009426C6"/>
    <w:rsid w:val="0094302C"/>
    <w:rsid w:val="009432F9"/>
    <w:rsid w:val="009434B3"/>
    <w:rsid w:val="0094366D"/>
    <w:rsid w:val="0094398A"/>
    <w:rsid w:val="00943B6A"/>
    <w:rsid w:val="00943B88"/>
    <w:rsid w:val="00944691"/>
    <w:rsid w:val="009446A4"/>
    <w:rsid w:val="00944706"/>
    <w:rsid w:val="00944834"/>
    <w:rsid w:val="00944C45"/>
    <w:rsid w:val="00944DD2"/>
    <w:rsid w:val="0094511D"/>
    <w:rsid w:val="009457BC"/>
    <w:rsid w:val="00945BE6"/>
    <w:rsid w:val="0094686D"/>
    <w:rsid w:val="00946EA8"/>
    <w:rsid w:val="009470E8"/>
    <w:rsid w:val="00947764"/>
    <w:rsid w:val="00947A92"/>
    <w:rsid w:val="00947BA7"/>
    <w:rsid w:val="00947D72"/>
    <w:rsid w:val="00950F7D"/>
    <w:rsid w:val="0095109B"/>
    <w:rsid w:val="00951C40"/>
    <w:rsid w:val="0095205E"/>
    <w:rsid w:val="0095245E"/>
    <w:rsid w:val="0095285B"/>
    <w:rsid w:val="009533F5"/>
    <w:rsid w:val="00953745"/>
    <w:rsid w:val="00953B5B"/>
    <w:rsid w:val="00954A5A"/>
    <w:rsid w:val="00955916"/>
    <w:rsid w:val="00955AE7"/>
    <w:rsid w:val="00956413"/>
    <w:rsid w:val="009567D2"/>
    <w:rsid w:val="00956B31"/>
    <w:rsid w:val="00956CE3"/>
    <w:rsid w:val="00960414"/>
    <w:rsid w:val="00960672"/>
    <w:rsid w:val="00961277"/>
    <w:rsid w:val="00961AC3"/>
    <w:rsid w:val="00961F15"/>
    <w:rsid w:val="0096290F"/>
    <w:rsid w:val="00962B64"/>
    <w:rsid w:val="00962DEE"/>
    <w:rsid w:val="00963085"/>
    <w:rsid w:val="00963380"/>
    <w:rsid w:val="00963437"/>
    <w:rsid w:val="009639F2"/>
    <w:rsid w:val="009641A2"/>
    <w:rsid w:val="009641F8"/>
    <w:rsid w:val="00964981"/>
    <w:rsid w:val="00967510"/>
    <w:rsid w:val="00967601"/>
    <w:rsid w:val="0096790C"/>
    <w:rsid w:val="00967970"/>
    <w:rsid w:val="00967F89"/>
    <w:rsid w:val="0097005E"/>
    <w:rsid w:val="00970B3D"/>
    <w:rsid w:val="009714A3"/>
    <w:rsid w:val="009719DA"/>
    <w:rsid w:val="00971F0E"/>
    <w:rsid w:val="0097217C"/>
    <w:rsid w:val="00972D3C"/>
    <w:rsid w:val="009731F3"/>
    <w:rsid w:val="00973BF2"/>
    <w:rsid w:val="00973C16"/>
    <w:rsid w:val="00973D74"/>
    <w:rsid w:val="0097406B"/>
    <w:rsid w:val="009741CD"/>
    <w:rsid w:val="0097455B"/>
    <w:rsid w:val="00974D2A"/>
    <w:rsid w:val="00975178"/>
    <w:rsid w:val="0097536D"/>
    <w:rsid w:val="00975591"/>
    <w:rsid w:val="009756C8"/>
    <w:rsid w:val="0097570D"/>
    <w:rsid w:val="0097579D"/>
    <w:rsid w:val="00975C0E"/>
    <w:rsid w:val="00975FCD"/>
    <w:rsid w:val="0097615C"/>
    <w:rsid w:val="00976213"/>
    <w:rsid w:val="009762D3"/>
    <w:rsid w:val="00976B10"/>
    <w:rsid w:val="00981156"/>
    <w:rsid w:val="009816AD"/>
    <w:rsid w:val="0098186D"/>
    <w:rsid w:val="00983151"/>
    <w:rsid w:val="0098336D"/>
    <w:rsid w:val="009834CB"/>
    <w:rsid w:val="0098383A"/>
    <w:rsid w:val="00983E1A"/>
    <w:rsid w:val="00984089"/>
    <w:rsid w:val="009844A8"/>
    <w:rsid w:val="0098453F"/>
    <w:rsid w:val="00984543"/>
    <w:rsid w:val="009846D5"/>
    <w:rsid w:val="0098488E"/>
    <w:rsid w:val="00984D85"/>
    <w:rsid w:val="00985074"/>
    <w:rsid w:val="00985431"/>
    <w:rsid w:val="009854C9"/>
    <w:rsid w:val="009859F2"/>
    <w:rsid w:val="009860A3"/>
    <w:rsid w:val="009867BD"/>
    <w:rsid w:val="00986F82"/>
    <w:rsid w:val="00987100"/>
    <w:rsid w:val="0098713D"/>
    <w:rsid w:val="00990284"/>
    <w:rsid w:val="009903D8"/>
    <w:rsid w:val="009908C9"/>
    <w:rsid w:val="00990AC2"/>
    <w:rsid w:val="009910FA"/>
    <w:rsid w:val="00991620"/>
    <w:rsid w:val="00991642"/>
    <w:rsid w:val="00991808"/>
    <w:rsid w:val="00991D0A"/>
    <w:rsid w:val="009920B3"/>
    <w:rsid w:val="009921D9"/>
    <w:rsid w:val="00992833"/>
    <w:rsid w:val="009929A9"/>
    <w:rsid w:val="00992BD9"/>
    <w:rsid w:val="00992C7B"/>
    <w:rsid w:val="00993043"/>
    <w:rsid w:val="00993211"/>
    <w:rsid w:val="00993534"/>
    <w:rsid w:val="00993679"/>
    <w:rsid w:val="00993A48"/>
    <w:rsid w:val="00993D62"/>
    <w:rsid w:val="00994B41"/>
    <w:rsid w:val="00994F26"/>
    <w:rsid w:val="00995180"/>
    <w:rsid w:val="00995315"/>
    <w:rsid w:val="00995463"/>
    <w:rsid w:val="009958C5"/>
    <w:rsid w:val="00995B40"/>
    <w:rsid w:val="00995B95"/>
    <w:rsid w:val="00995BE5"/>
    <w:rsid w:val="00996110"/>
    <w:rsid w:val="0099638A"/>
    <w:rsid w:val="009965D4"/>
    <w:rsid w:val="009966D4"/>
    <w:rsid w:val="009967E7"/>
    <w:rsid w:val="00996C9F"/>
    <w:rsid w:val="00996E27"/>
    <w:rsid w:val="00997615"/>
    <w:rsid w:val="00997794"/>
    <w:rsid w:val="00997868"/>
    <w:rsid w:val="009A0291"/>
    <w:rsid w:val="009A10FA"/>
    <w:rsid w:val="009A2B10"/>
    <w:rsid w:val="009A2B99"/>
    <w:rsid w:val="009A305C"/>
    <w:rsid w:val="009A316C"/>
    <w:rsid w:val="009A31B2"/>
    <w:rsid w:val="009A35BE"/>
    <w:rsid w:val="009A36E4"/>
    <w:rsid w:val="009A3EE7"/>
    <w:rsid w:val="009A3F03"/>
    <w:rsid w:val="009A422D"/>
    <w:rsid w:val="009A453D"/>
    <w:rsid w:val="009A454D"/>
    <w:rsid w:val="009A47A6"/>
    <w:rsid w:val="009A50C4"/>
    <w:rsid w:val="009A546A"/>
    <w:rsid w:val="009A5ABD"/>
    <w:rsid w:val="009A5B93"/>
    <w:rsid w:val="009A6323"/>
    <w:rsid w:val="009A66AA"/>
    <w:rsid w:val="009A6757"/>
    <w:rsid w:val="009A6DE3"/>
    <w:rsid w:val="009A70F6"/>
    <w:rsid w:val="009A7364"/>
    <w:rsid w:val="009A7B5E"/>
    <w:rsid w:val="009A7F8D"/>
    <w:rsid w:val="009B095E"/>
    <w:rsid w:val="009B0B23"/>
    <w:rsid w:val="009B0CDE"/>
    <w:rsid w:val="009B0F32"/>
    <w:rsid w:val="009B1882"/>
    <w:rsid w:val="009B198C"/>
    <w:rsid w:val="009B1E76"/>
    <w:rsid w:val="009B22EC"/>
    <w:rsid w:val="009B24CB"/>
    <w:rsid w:val="009B2544"/>
    <w:rsid w:val="009B2B71"/>
    <w:rsid w:val="009B2D2B"/>
    <w:rsid w:val="009B2F24"/>
    <w:rsid w:val="009B2F6C"/>
    <w:rsid w:val="009B31C6"/>
    <w:rsid w:val="009B37BD"/>
    <w:rsid w:val="009B3ABD"/>
    <w:rsid w:val="009B3C20"/>
    <w:rsid w:val="009B3CA2"/>
    <w:rsid w:val="009B3E06"/>
    <w:rsid w:val="009B3E13"/>
    <w:rsid w:val="009B43A7"/>
    <w:rsid w:val="009B45B2"/>
    <w:rsid w:val="009B4B1B"/>
    <w:rsid w:val="009B5A5F"/>
    <w:rsid w:val="009B5A82"/>
    <w:rsid w:val="009B5EC8"/>
    <w:rsid w:val="009B66E0"/>
    <w:rsid w:val="009B6784"/>
    <w:rsid w:val="009B6F28"/>
    <w:rsid w:val="009B73AF"/>
    <w:rsid w:val="009B773C"/>
    <w:rsid w:val="009C03FE"/>
    <w:rsid w:val="009C0567"/>
    <w:rsid w:val="009C0DE2"/>
    <w:rsid w:val="009C1F43"/>
    <w:rsid w:val="009C1FED"/>
    <w:rsid w:val="009C20F5"/>
    <w:rsid w:val="009C2A1F"/>
    <w:rsid w:val="009C2EF0"/>
    <w:rsid w:val="009C3265"/>
    <w:rsid w:val="009C337E"/>
    <w:rsid w:val="009C3597"/>
    <w:rsid w:val="009C384D"/>
    <w:rsid w:val="009C3C99"/>
    <w:rsid w:val="009C3D71"/>
    <w:rsid w:val="009C3E74"/>
    <w:rsid w:val="009C4A96"/>
    <w:rsid w:val="009C4F79"/>
    <w:rsid w:val="009C5213"/>
    <w:rsid w:val="009C55BB"/>
    <w:rsid w:val="009C576A"/>
    <w:rsid w:val="009C58C5"/>
    <w:rsid w:val="009C5D5B"/>
    <w:rsid w:val="009C66BE"/>
    <w:rsid w:val="009C77A6"/>
    <w:rsid w:val="009C78CB"/>
    <w:rsid w:val="009C7EE3"/>
    <w:rsid w:val="009D0055"/>
    <w:rsid w:val="009D0734"/>
    <w:rsid w:val="009D088D"/>
    <w:rsid w:val="009D0D2A"/>
    <w:rsid w:val="009D1007"/>
    <w:rsid w:val="009D11DF"/>
    <w:rsid w:val="009D13AC"/>
    <w:rsid w:val="009D13B3"/>
    <w:rsid w:val="009D14B9"/>
    <w:rsid w:val="009D15D3"/>
    <w:rsid w:val="009D1639"/>
    <w:rsid w:val="009D17F5"/>
    <w:rsid w:val="009D20F5"/>
    <w:rsid w:val="009D219A"/>
    <w:rsid w:val="009D2389"/>
    <w:rsid w:val="009D2520"/>
    <w:rsid w:val="009D2965"/>
    <w:rsid w:val="009D2B84"/>
    <w:rsid w:val="009D2BB6"/>
    <w:rsid w:val="009D31CF"/>
    <w:rsid w:val="009D3468"/>
    <w:rsid w:val="009D3896"/>
    <w:rsid w:val="009D38B0"/>
    <w:rsid w:val="009D3924"/>
    <w:rsid w:val="009D3AB8"/>
    <w:rsid w:val="009D45A5"/>
    <w:rsid w:val="009D4763"/>
    <w:rsid w:val="009D4835"/>
    <w:rsid w:val="009D4C2E"/>
    <w:rsid w:val="009D4F49"/>
    <w:rsid w:val="009D51AC"/>
    <w:rsid w:val="009D54B2"/>
    <w:rsid w:val="009D590A"/>
    <w:rsid w:val="009D5DFB"/>
    <w:rsid w:val="009D659D"/>
    <w:rsid w:val="009D744D"/>
    <w:rsid w:val="009D7587"/>
    <w:rsid w:val="009E08FF"/>
    <w:rsid w:val="009E0978"/>
    <w:rsid w:val="009E1250"/>
    <w:rsid w:val="009E1E16"/>
    <w:rsid w:val="009E1E53"/>
    <w:rsid w:val="009E211D"/>
    <w:rsid w:val="009E212B"/>
    <w:rsid w:val="009E33B0"/>
    <w:rsid w:val="009E363A"/>
    <w:rsid w:val="009E383B"/>
    <w:rsid w:val="009E3A1F"/>
    <w:rsid w:val="009E43BA"/>
    <w:rsid w:val="009E43FA"/>
    <w:rsid w:val="009E4F37"/>
    <w:rsid w:val="009E5378"/>
    <w:rsid w:val="009E562C"/>
    <w:rsid w:val="009E587B"/>
    <w:rsid w:val="009E68AA"/>
    <w:rsid w:val="009E7194"/>
    <w:rsid w:val="009E71D0"/>
    <w:rsid w:val="009E7544"/>
    <w:rsid w:val="009E7C84"/>
    <w:rsid w:val="009E7EFC"/>
    <w:rsid w:val="009F0381"/>
    <w:rsid w:val="009F0499"/>
    <w:rsid w:val="009F06B1"/>
    <w:rsid w:val="009F10A9"/>
    <w:rsid w:val="009F10DD"/>
    <w:rsid w:val="009F211B"/>
    <w:rsid w:val="009F22C0"/>
    <w:rsid w:val="009F28E4"/>
    <w:rsid w:val="009F359B"/>
    <w:rsid w:val="009F3B72"/>
    <w:rsid w:val="009F3C00"/>
    <w:rsid w:val="009F3DD3"/>
    <w:rsid w:val="009F4892"/>
    <w:rsid w:val="009F49E7"/>
    <w:rsid w:val="009F4D33"/>
    <w:rsid w:val="009F4F2C"/>
    <w:rsid w:val="009F5225"/>
    <w:rsid w:val="009F5865"/>
    <w:rsid w:val="009F5BA5"/>
    <w:rsid w:val="009F5C51"/>
    <w:rsid w:val="009F6E94"/>
    <w:rsid w:val="009F74FE"/>
    <w:rsid w:val="009F75B3"/>
    <w:rsid w:val="009F79E5"/>
    <w:rsid w:val="009F7DBA"/>
    <w:rsid w:val="00A000E9"/>
    <w:rsid w:val="00A0066D"/>
    <w:rsid w:val="00A00914"/>
    <w:rsid w:val="00A009F9"/>
    <w:rsid w:val="00A016A7"/>
    <w:rsid w:val="00A01791"/>
    <w:rsid w:val="00A01ADC"/>
    <w:rsid w:val="00A01B7C"/>
    <w:rsid w:val="00A01FAC"/>
    <w:rsid w:val="00A0256F"/>
    <w:rsid w:val="00A03B3C"/>
    <w:rsid w:val="00A0465E"/>
    <w:rsid w:val="00A04EB6"/>
    <w:rsid w:val="00A05965"/>
    <w:rsid w:val="00A063A2"/>
    <w:rsid w:val="00A06833"/>
    <w:rsid w:val="00A07A98"/>
    <w:rsid w:val="00A07D35"/>
    <w:rsid w:val="00A10580"/>
    <w:rsid w:val="00A116C5"/>
    <w:rsid w:val="00A11801"/>
    <w:rsid w:val="00A11937"/>
    <w:rsid w:val="00A11B4F"/>
    <w:rsid w:val="00A11D35"/>
    <w:rsid w:val="00A1206B"/>
    <w:rsid w:val="00A1234A"/>
    <w:rsid w:val="00A129DD"/>
    <w:rsid w:val="00A12C67"/>
    <w:rsid w:val="00A12C73"/>
    <w:rsid w:val="00A1300A"/>
    <w:rsid w:val="00A1303A"/>
    <w:rsid w:val="00A132F0"/>
    <w:rsid w:val="00A1357B"/>
    <w:rsid w:val="00A135E2"/>
    <w:rsid w:val="00A13B22"/>
    <w:rsid w:val="00A144A5"/>
    <w:rsid w:val="00A148F0"/>
    <w:rsid w:val="00A14C02"/>
    <w:rsid w:val="00A150DC"/>
    <w:rsid w:val="00A15214"/>
    <w:rsid w:val="00A153B6"/>
    <w:rsid w:val="00A15416"/>
    <w:rsid w:val="00A154AD"/>
    <w:rsid w:val="00A15527"/>
    <w:rsid w:val="00A15841"/>
    <w:rsid w:val="00A163EE"/>
    <w:rsid w:val="00A16AC4"/>
    <w:rsid w:val="00A16C72"/>
    <w:rsid w:val="00A16D1A"/>
    <w:rsid w:val="00A17332"/>
    <w:rsid w:val="00A17AF9"/>
    <w:rsid w:val="00A17BD9"/>
    <w:rsid w:val="00A17F20"/>
    <w:rsid w:val="00A17F70"/>
    <w:rsid w:val="00A2028A"/>
    <w:rsid w:val="00A20420"/>
    <w:rsid w:val="00A20793"/>
    <w:rsid w:val="00A20EB0"/>
    <w:rsid w:val="00A21A20"/>
    <w:rsid w:val="00A21C01"/>
    <w:rsid w:val="00A21E1E"/>
    <w:rsid w:val="00A2208B"/>
    <w:rsid w:val="00A2245D"/>
    <w:rsid w:val="00A226AD"/>
    <w:rsid w:val="00A22DE7"/>
    <w:rsid w:val="00A230FB"/>
    <w:rsid w:val="00A23236"/>
    <w:rsid w:val="00A2324B"/>
    <w:rsid w:val="00A23706"/>
    <w:rsid w:val="00A238B9"/>
    <w:rsid w:val="00A23B0C"/>
    <w:rsid w:val="00A24571"/>
    <w:rsid w:val="00A248C3"/>
    <w:rsid w:val="00A25003"/>
    <w:rsid w:val="00A258B2"/>
    <w:rsid w:val="00A25BF0"/>
    <w:rsid w:val="00A26648"/>
    <w:rsid w:val="00A267A1"/>
    <w:rsid w:val="00A2683F"/>
    <w:rsid w:val="00A269EC"/>
    <w:rsid w:val="00A27326"/>
    <w:rsid w:val="00A27983"/>
    <w:rsid w:val="00A27C85"/>
    <w:rsid w:val="00A30139"/>
    <w:rsid w:val="00A302DC"/>
    <w:rsid w:val="00A31AAB"/>
    <w:rsid w:val="00A31B90"/>
    <w:rsid w:val="00A323B1"/>
    <w:rsid w:val="00A3251A"/>
    <w:rsid w:val="00A327A6"/>
    <w:rsid w:val="00A32A74"/>
    <w:rsid w:val="00A33579"/>
    <w:rsid w:val="00A33C58"/>
    <w:rsid w:val="00A33F85"/>
    <w:rsid w:val="00A34051"/>
    <w:rsid w:val="00A34322"/>
    <w:rsid w:val="00A348B8"/>
    <w:rsid w:val="00A349E2"/>
    <w:rsid w:val="00A34AF0"/>
    <w:rsid w:val="00A34B17"/>
    <w:rsid w:val="00A34D6A"/>
    <w:rsid w:val="00A34D80"/>
    <w:rsid w:val="00A3540A"/>
    <w:rsid w:val="00A36318"/>
    <w:rsid w:val="00A36550"/>
    <w:rsid w:val="00A370F7"/>
    <w:rsid w:val="00A37216"/>
    <w:rsid w:val="00A372D0"/>
    <w:rsid w:val="00A375E2"/>
    <w:rsid w:val="00A37E5B"/>
    <w:rsid w:val="00A403AD"/>
    <w:rsid w:val="00A4078E"/>
    <w:rsid w:val="00A40F34"/>
    <w:rsid w:val="00A41B4E"/>
    <w:rsid w:val="00A41B73"/>
    <w:rsid w:val="00A41C17"/>
    <w:rsid w:val="00A41FF8"/>
    <w:rsid w:val="00A430F7"/>
    <w:rsid w:val="00A438AE"/>
    <w:rsid w:val="00A4491C"/>
    <w:rsid w:val="00A44D48"/>
    <w:rsid w:val="00A454B8"/>
    <w:rsid w:val="00A455F3"/>
    <w:rsid w:val="00A456B9"/>
    <w:rsid w:val="00A46009"/>
    <w:rsid w:val="00A4611D"/>
    <w:rsid w:val="00A46676"/>
    <w:rsid w:val="00A469DC"/>
    <w:rsid w:val="00A46C02"/>
    <w:rsid w:val="00A47F88"/>
    <w:rsid w:val="00A5072F"/>
    <w:rsid w:val="00A50F4B"/>
    <w:rsid w:val="00A5132D"/>
    <w:rsid w:val="00A51DC4"/>
    <w:rsid w:val="00A521F1"/>
    <w:rsid w:val="00A524F2"/>
    <w:rsid w:val="00A53144"/>
    <w:rsid w:val="00A54195"/>
    <w:rsid w:val="00A5426A"/>
    <w:rsid w:val="00A54B6E"/>
    <w:rsid w:val="00A54E60"/>
    <w:rsid w:val="00A55106"/>
    <w:rsid w:val="00A5515B"/>
    <w:rsid w:val="00A555EC"/>
    <w:rsid w:val="00A5562E"/>
    <w:rsid w:val="00A56D7F"/>
    <w:rsid w:val="00A56F65"/>
    <w:rsid w:val="00A57F65"/>
    <w:rsid w:val="00A60304"/>
    <w:rsid w:val="00A60927"/>
    <w:rsid w:val="00A610F0"/>
    <w:rsid w:val="00A6111B"/>
    <w:rsid w:val="00A61227"/>
    <w:rsid w:val="00A6127A"/>
    <w:rsid w:val="00A612F2"/>
    <w:rsid w:val="00A61305"/>
    <w:rsid w:val="00A61E03"/>
    <w:rsid w:val="00A61EB9"/>
    <w:rsid w:val="00A62341"/>
    <w:rsid w:val="00A624A2"/>
    <w:rsid w:val="00A63513"/>
    <w:rsid w:val="00A6382A"/>
    <w:rsid w:val="00A645F3"/>
    <w:rsid w:val="00A64F2E"/>
    <w:rsid w:val="00A64FDE"/>
    <w:rsid w:val="00A651A6"/>
    <w:rsid w:val="00A65477"/>
    <w:rsid w:val="00A65972"/>
    <w:rsid w:val="00A65A56"/>
    <w:rsid w:val="00A65B5E"/>
    <w:rsid w:val="00A661BD"/>
    <w:rsid w:val="00A6663B"/>
    <w:rsid w:val="00A66985"/>
    <w:rsid w:val="00A66AEA"/>
    <w:rsid w:val="00A66BB6"/>
    <w:rsid w:val="00A671D9"/>
    <w:rsid w:val="00A6726F"/>
    <w:rsid w:val="00A67398"/>
    <w:rsid w:val="00A676C1"/>
    <w:rsid w:val="00A67841"/>
    <w:rsid w:val="00A67ADA"/>
    <w:rsid w:val="00A706C7"/>
    <w:rsid w:val="00A70FBD"/>
    <w:rsid w:val="00A72DA2"/>
    <w:rsid w:val="00A72FF4"/>
    <w:rsid w:val="00A73644"/>
    <w:rsid w:val="00A739EF"/>
    <w:rsid w:val="00A73EAC"/>
    <w:rsid w:val="00A7492E"/>
    <w:rsid w:val="00A74A1F"/>
    <w:rsid w:val="00A75C43"/>
    <w:rsid w:val="00A75D13"/>
    <w:rsid w:val="00A76428"/>
    <w:rsid w:val="00A764C4"/>
    <w:rsid w:val="00A767F2"/>
    <w:rsid w:val="00A76D1C"/>
    <w:rsid w:val="00A80104"/>
    <w:rsid w:val="00A80B5D"/>
    <w:rsid w:val="00A80CF0"/>
    <w:rsid w:val="00A81174"/>
    <w:rsid w:val="00A81AFC"/>
    <w:rsid w:val="00A81D13"/>
    <w:rsid w:val="00A81D7B"/>
    <w:rsid w:val="00A82167"/>
    <w:rsid w:val="00A82361"/>
    <w:rsid w:val="00A82B6A"/>
    <w:rsid w:val="00A834CA"/>
    <w:rsid w:val="00A83672"/>
    <w:rsid w:val="00A83D12"/>
    <w:rsid w:val="00A8448B"/>
    <w:rsid w:val="00A844DD"/>
    <w:rsid w:val="00A84D4F"/>
    <w:rsid w:val="00A84DA4"/>
    <w:rsid w:val="00A850BF"/>
    <w:rsid w:val="00A8551F"/>
    <w:rsid w:val="00A859DD"/>
    <w:rsid w:val="00A85CF7"/>
    <w:rsid w:val="00A864D1"/>
    <w:rsid w:val="00A8657E"/>
    <w:rsid w:val="00A87ADE"/>
    <w:rsid w:val="00A9066F"/>
    <w:rsid w:val="00A90945"/>
    <w:rsid w:val="00A90BDD"/>
    <w:rsid w:val="00A92698"/>
    <w:rsid w:val="00A92E82"/>
    <w:rsid w:val="00A9318F"/>
    <w:rsid w:val="00A937A8"/>
    <w:rsid w:val="00A938EF"/>
    <w:rsid w:val="00A94978"/>
    <w:rsid w:val="00A949F7"/>
    <w:rsid w:val="00A951C1"/>
    <w:rsid w:val="00A95479"/>
    <w:rsid w:val="00A95557"/>
    <w:rsid w:val="00A961EF"/>
    <w:rsid w:val="00A961FC"/>
    <w:rsid w:val="00A9686E"/>
    <w:rsid w:val="00A96878"/>
    <w:rsid w:val="00A96C66"/>
    <w:rsid w:val="00A970B3"/>
    <w:rsid w:val="00A971B0"/>
    <w:rsid w:val="00A97D11"/>
    <w:rsid w:val="00A97E4D"/>
    <w:rsid w:val="00AA06EB"/>
    <w:rsid w:val="00AA0945"/>
    <w:rsid w:val="00AA1C41"/>
    <w:rsid w:val="00AA1DC8"/>
    <w:rsid w:val="00AA1FF8"/>
    <w:rsid w:val="00AA2596"/>
    <w:rsid w:val="00AA2DE5"/>
    <w:rsid w:val="00AA2E1A"/>
    <w:rsid w:val="00AA36B0"/>
    <w:rsid w:val="00AA3A8A"/>
    <w:rsid w:val="00AA4CE7"/>
    <w:rsid w:val="00AA4DDC"/>
    <w:rsid w:val="00AA4E45"/>
    <w:rsid w:val="00AA6594"/>
    <w:rsid w:val="00AA6786"/>
    <w:rsid w:val="00AA7446"/>
    <w:rsid w:val="00AA7718"/>
    <w:rsid w:val="00AB0704"/>
    <w:rsid w:val="00AB0B4F"/>
    <w:rsid w:val="00AB0BB1"/>
    <w:rsid w:val="00AB1E06"/>
    <w:rsid w:val="00AB231A"/>
    <w:rsid w:val="00AB321D"/>
    <w:rsid w:val="00AB37A9"/>
    <w:rsid w:val="00AB407C"/>
    <w:rsid w:val="00AB411A"/>
    <w:rsid w:val="00AB45D6"/>
    <w:rsid w:val="00AB4C48"/>
    <w:rsid w:val="00AB4FD0"/>
    <w:rsid w:val="00AB5576"/>
    <w:rsid w:val="00AB65C8"/>
    <w:rsid w:val="00AB7204"/>
    <w:rsid w:val="00AC0D17"/>
    <w:rsid w:val="00AC1125"/>
    <w:rsid w:val="00AC1215"/>
    <w:rsid w:val="00AC1492"/>
    <w:rsid w:val="00AC1CDC"/>
    <w:rsid w:val="00AC2004"/>
    <w:rsid w:val="00AC2325"/>
    <w:rsid w:val="00AC2395"/>
    <w:rsid w:val="00AC28EA"/>
    <w:rsid w:val="00AC291A"/>
    <w:rsid w:val="00AC2A05"/>
    <w:rsid w:val="00AC2B4B"/>
    <w:rsid w:val="00AC2D35"/>
    <w:rsid w:val="00AC2EF1"/>
    <w:rsid w:val="00AC32F9"/>
    <w:rsid w:val="00AC33D5"/>
    <w:rsid w:val="00AC3933"/>
    <w:rsid w:val="00AC3C2D"/>
    <w:rsid w:val="00AC3D04"/>
    <w:rsid w:val="00AC4C59"/>
    <w:rsid w:val="00AC5013"/>
    <w:rsid w:val="00AC505A"/>
    <w:rsid w:val="00AC5172"/>
    <w:rsid w:val="00AC5E41"/>
    <w:rsid w:val="00AC6069"/>
    <w:rsid w:val="00AC66F2"/>
    <w:rsid w:val="00AC6841"/>
    <w:rsid w:val="00AC6A7B"/>
    <w:rsid w:val="00AC71B8"/>
    <w:rsid w:val="00AC71F8"/>
    <w:rsid w:val="00AC724F"/>
    <w:rsid w:val="00AD0110"/>
    <w:rsid w:val="00AD0576"/>
    <w:rsid w:val="00AD1A42"/>
    <w:rsid w:val="00AD1BB2"/>
    <w:rsid w:val="00AD2504"/>
    <w:rsid w:val="00AD25FF"/>
    <w:rsid w:val="00AD28ED"/>
    <w:rsid w:val="00AD3403"/>
    <w:rsid w:val="00AD388F"/>
    <w:rsid w:val="00AD3898"/>
    <w:rsid w:val="00AD3C06"/>
    <w:rsid w:val="00AD411D"/>
    <w:rsid w:val="00AD4619"/>
    <w:rsid w:val="00AD4BC6"/>
    <w:rsid w:val="00AD5412"/>
    <w:rsid w:val="00AD58CB"/>
    <w:rsid w:val="00AD6320"/>
    <w:rsid w:val="00AD634C"/>
    <w:rsid w:val="00AD6472"/>
    <w:rsid w:val="00AD649E"/>
    <w:rsid w:val="00AD6CC5"/>
    <w:rsid w:val="00AD764C"/>
    <w:rsid w:val="00AD78D5"/>
    <w:rsid w:val="00AD7CDB"/>
    <w:rsid w:val="00AE08F6"/>
    <w:rsid w:val="00AE09CE"/>
    <w:rsid w:val="00AE0FBF"/>
    <w:rsid w:val="00AE1D6F"/>
    <w:rsid w:val="00AE22E9"/>
    <w:rsid w:val="00AE2780"/>
    <w:rsid w:val="00AE27ED"/>
    <w:rsid w:val="00AE2A3C"/>
    <w:rsid w:val="00AE3697"/>
    <w:rsid w:val="00AE3786"/>
    <w:rsid w:val="00AE3F7F"/>
    <w:rsid w:val="00AE43FC"/>
    <w:rsid w:val="00AE4AA0"/>
    <w:rsid w:val="00AE51EA"/>
    <w:rsid w:val="00AE529D"/>
    <w:rsid w:val="00AE5606"/>
    <w:rsid w:val="00AE5A07"/>
    <w:rsid w:val="00AE5C41"/>
    <w:rsid w:val="00AE5C6F"/>
    <w:rsid w:val="00AE5EFF"/>
    <w:rsid w:val="00AE62C4"/>
    <w:rsid w:val="00AE62E1"/>
    <w:rsid w:val="00AE6BC7"/>
    <w:rsid w:val="00AE6CA1"/>
    <w:rsid w:val="00AE6FE2"/>
    <w:rsid w:val="00AE7878"/>
    <w:rsid w:val="00AF0306"/>
    <w:rsid w:val="00AF0555"/>
    <w:rsid w:val="00AF07D0"/>
    <w:rsid w:val="00AF13D1"/>
    <w:rsid w:val="00AF251C"/>
    <w:rsid w:val="00AF29AD"/>
    <w:rsid w:val="00AF2A38"/>
    <w:rsid w:val="00AF2A7A"/>
    <w:rsid w:val="00AF2C4B"/>
    <w:rsid w:val="00AF31E7"/>
    <w:rsid w:val="00AF3300"/>
    <w:rsid w:val="00AF36FC"/>
    <w:rsid w:val="00AF3812"/>
    <w:rsid w:val="00AF4559"/>
    <w:rsid w:val="00AF4614"/>
    <w:rsid w:val="00AF4A3E"/>
    <w:rsid w:val="00AF52C4"/>
    <w:rsid w:val="00AF547D"/>
    <w:rsid w:val="00AF5E20"/>
    <w:rsid w:val="00AF65DE"/>
    <w:rsid w:val="00AF6C3D"/>
    <w:rsid w:val="00AF6DDC"/>
    <w:rsid w:val="00AF6DE4"/>
    <w:rsid w:val="00AF6FD9"/>
    <w:rsid w:val="00AF7039"/>
    <w:rsid w:val="00AF76EE"/>
    <w:rsid w:val="00AF7903"/>
    <w:rsid w:val="00AF7CB5"/>
    <w:rsid w:val="00B0004A"/>
    <w:rsid w:val="00B0014D"/>
    <w:rsid w:val="00B001C9"/>
    <w:rsid w:val="00B00C57"/>
    <w:rsid w:val="00B00E25"/>
    <w:rsid w:val="00B01C2F"/>
    <w:rsid w:val="00B020B5"/>
    <w:rsid w:val="00B02514"/>
    <w:rsid w:val="00B02540"/>
    <w:rsid w:val="00B02586"/>
    <w:rsid w:val="00B02A35"/>
    <w:rsid w:val="00B02D11"/>
    <w:rsid w:val="00B02FE7"/>
    <w:rsid w:val="00B0352E"/>
    <w:rsid w:val="00B03B09"/>
    <w:rsid w:val="00B03F6F"/>
    <w:rsid w:val="00B03FAE"/>
    <w:rsid w:val="00B04FF1"/>
    <w:rsid w:val="00B05416"/>
    <w:rsid w:val="00B0554A"/>
    <w:rsid w:val="00B056F8"/>
    <w:rsid w:val="00B0580E"/>
    <w:rsid w:val="00B058D2"/>
    <w:rsid w:val="00B05C6C"/>
    <w:rsid w:val="00B05E9B"/>
    <w:rsid w:val="00B05F88"/>
    <w:rsid w:val="00B05FE3"/>
    <w:rsid w:val="00B062F9"/>
    <w:rsid w:val="00B06A02"/>
    <w:rsid w:val="00B070B4"/>
    <w:rsid w:val="00B070C0"/>
    <w:rsid w:val="00B07822"/>
    <w:rsid w:val="00B07D11"/>
    <w:rsid w:val="00B07F7D"/>
    <w:rsid w:val="00B10115"/>
    <w:rsid w:val="00B102C4"/>
    <w:rsid w:val="00B103F8"/>
    <w:rsid w:val="00B10509"/>
    <w:rsid w:val="00B10ABC"/>
    <w:rsid w:val="00B116D9"/>
    <w:rsid w:val="00B11869"/>
    <w:rsid w:val="00B11B5C"/>
    <w:rsid w:val="00B11D3A"/>
    <w:rsid w:val="00B125CE"/>
    <w:rsid w:val="00B126EE"/>
    <w:rsid w:val="00B127CE"/>
    <w:rsid w:val="00B1301B"/>
    <w:rsid w:val="00B1322D"/>
    <w:rsid w:val="00B13285"/>
    <w:rsid w:val="00B14C9A"/>
    <w:rsid w:val="00B14CA9"/>
    <w:rsid w:val="00B15102"/>
    <w:rsid w:val="00B1510D"/>
    <w:rsid w:val="00B154A0"/>
    <w:rsid w:val="00B155C8"/>
    <w:rsid w:val="00B15608"/>
    <w:rsid w:val="00B15DA4"/>
    <w:rsid w:val="00B163B1"/>
    <w:rsid w:val="00B165FE"/>
    <w:rsid w:val="00B16B5A"/>
    <w:rsid w:val="00B16EC5"/>
    <w:rsid w:val="00B17E46"/>
    <w:rsid w:val="00B205EC"/>
    <w:rsid w:val="00B21279"/>
    <w:rsid w:val="00B212D3"/>
    <w:rsid w:val="00B2169E"/>
    <w:rsid w:val="00B21845"/>
    <w:rsid w:val="00B22234"/>
    <w:rsid w:val="00B224A9"/>
    <w:rsid w:val="00B227C2"/>
    <w:rsid w:val="00B22901"/>
    <w:rsid w:val="00B22A13"/>
    <w:rsid w:val="00B22BEA"/>
    <w:rsid w:val="00B233C6"/>
    <w:rsid w:val="00B23913"/>
    <w:rsid w:val="00B23EC5"/>
    <w:rsid w:val="00B240B3"/>
    <w:rsid w:val="00B24DC6"/>
    <w:rsid w:val="00B259AD"/>
    <w:rsid w:val="00B25A27"/>
    <w:rsid w:val="00B25D39"/>
    <w:rsid w:val="00B25D4B"/>
    <w:rsid w:val="00B2613A"/>
    <w:rsid w:val="00B2617C"/>
    <w:rsid w:val="00B26519"/>
    <w:rsid w:val="00B267AD"/>
    <w:rsid w:val="00B26CF1"/>
    <w:rsid w:val="00B30735"/>
    <w:rsid w:val="00B315B6"/>
    <w:rsid w:val="00B3251D"/>
    <w:rsid w:val="00B3293F"/>
    <w:rsid w:val="00B329FC"/>
    <w:rsid w:val="00B32D5B"/>
    <w:rsid w:val="00B3386C"/>
    <w:rsid w:val="00B33F8A"/>
    <w:rsid w:val="00B34774"/>
    <w:rsid w:val="00B35448"/>
    <w:rsid w:val="00B3559C"/>
    <w:rsid w:val="00B358A9"/>
    <w:rsid w:val="00B35EF6"/>
    <w:rsid w:val="00B35F15"/>
    <w:rsid w:val="00B36608"/>
    <w:rsid w:val="00B36961"/>
    <w:rsid w:val="00B36B9E"/>
    <w:rsid w:val="00B3717F"/>
    <w:rsid w:val="00B371EA"/>
    <w:rsid w:val="00B3771A"/>
    <w:rsid w:val="00B37FBF"/>
    <w:rsid w:val="00B40398"/>
    <w:rsid w:val="00B40F0A"/>
    <w:rsid w:val="00B40F67"/>
    <w:rsid w:val="00B41023"/>
    <w:rsid w:val="00B41186"/>
    <w:rsid w:val="00B411C8"/>
    <w:rsid w:val="00B41646"/>
    <w:rsid w:val="00B4171B"/>
    <w:rsid w:val="00B41798"/>
    <w:rsid w:val="00B41A01"/>
    <w:rsid w:val="00B41BD0"/>
    <w:rsid w:val="00B42169"/>
    <w:rsid w:val="00B42CFD"/>
    <w:rsid w:val="00B434F6"/>
    <w:rsid w:val="00B439D1"/>
    <w:rsid w:val="00B43EF8"/>
    <w:rsid w:val="00B46033"/>
    <w:rsid w:val="00B460B7"/>
    <w:rsid w:val="00B46F16"/>
    <w:rsid w:val="00B4712D"/>
    <w:rsid w:val="00B477F8"/>
    <w:rsid w:val="00B478E0"/>
    <w:rsid w:val="00B47B8F"/>
    <w:rsid w:val="00B47B97"/>
    <w:rsid w:val="00B508CC"/>
    <w:rsid w:val="00B508D7"/>
    <w:rsid w:val="00B50AF4"/>
    <w:rsid w:val="00B50BDD"/>
    <w:rsid w:val="00B5193C"/>
    <w:rsid w:val="00B51A86"/>
    <w:rsid w:val="00B51DFA"/>
    <w:rsid w:val="00B523E5"/>
    <w:rsid w:val="00B52C6B"/>
    <w:rsid w:val="00B52EE2"/>
    <w:rsid w:val="00B5362F"/>
    <w:rsid w:val="00B53E5D"/>
    <w:rsid w:val="00B54188"/>
    <w:rsid w:val="00B54211"/>
    <w:rsid w:val="00B54587"/>
    <w:rsid w:val="00B54EFA"/>
    <w:rsid w:val="00B550E8"/>
    <w:rsid w:val="00B55836"/>
    <w:rsid w:val="00B55F81"/>
    <w:rsid w:val="00B5619A"/>
    <w:rsid w:val="00B57E71"/>
    <w:rsid w:val="00B57EF2"/>
    <w:rsid w:val="00B601AE"/>
    <w:rsid w:val="00B60340"/>
    <w:rsid w:val="00B6090C"/>
    <w:rsid w:val="00B60B96"/>
    <w:rsid w:val="00B60DFE"/>
    <w:rsid w:val="00B60E7B"/>
    <w:rsid w:val="00B6152A"/>
    <w:rsid w:val="00B615CC"/>
    <w:rsid w:val="00B61904"/>
    <w:rsid w:val="00B61B80"/>
    <w:rsid w:val="00B61C58"/>
    <w:rsid w:val="00B61CA0"/>
    <w:rsid w:val="00B620B9"/>
    <w:rsid w:val="00B620F5"/>
    <w:rsid w:val="00B623F2"/>
    <w:rsid w:val="00B62AB5"/>
    <w:rsid w:val="00B63058"/>
    <w:rsid w:val="00B63093"/>
    <w:rsid w:val="00B63138"/>
    <w:rsid w:val="00B63414"/>
    <w:rsid w:val="00B63912"/>
    <w:rsid w:val="00B65264"/>
    <w:rsid w:val="00B65C95"/>
    <w:rsid w:val="00B665B3"/>
    <w:rsid w:val="00B66A8F"/>
    <w:rsid w:val="00B67373"/>
    <w:rsid w:val="00B67B4B"/>
    <w:rsid w:val="00B67DCD"/>
    <w:rsid w:val="00B70096"/>
    <w:rsid w:val="00B7108F"/>
    <w:rsid w:val="00B71884"/>
    <w:rsid w:val="00B718BA"/>
    <w:rsid w:val="00B724E3"/>
    <w:rsid w:val="00B726B6"/>
    <w:rsid w:val="00B72A61"/>
    <w:rsid w:val="00B7369A"/>
    <w:rsid w:val="00B73A31"/>
    <w:rsid w:val="00B73D14"/>
    <w:rsid w:val="00B73E0D"/>
    <w:rsid w:val="00B745E5"/>
    <w:rsid w:val="00B74EB6"/>
    <w:rsid w:val="00B74F34"/>
    <w:rsid w:val="00B7550D"/>
    <w:rsid w:val="00B75AFC"/>
    <w:rsid w:val="00B75B04"/>
    <w:rsid w:val="00B763B5"/>
    <w:rsid w:val="00B765BF"/>
    <w:rsid w:val="00B766E8"/>
    <w:rsid w:val="00B768B5"/>
    <w:rsid w:val="00B76912"/>
    <w:rsid w:val="00B76B8D"/>
    <w:rsid w:val="00B76FB5"/>
    <w:rsid w:val="00B7704C"/>
    <w:rsid w:val="00B77229"/>
    <w:rsid w:val="00B7761E"/>
    <w:rsid w:val="00B7799F"/>
    <w:rsid w:val="00B77DFE"/>
    <w:rsid w:val="00B77E2F"/>
    <w:rsid w:val="00B8045F"/>
    <w:rsid w:val="00B80587"/>
    <w:rsid w:val="00B806DE"/>
    <w:rsid w:val="00B80A5A"/>
    <w:rsid w:val="00B8103E"/>
    <w:rsid w:val="00B822B0"/>
    <w:rsid w:val="00B8282A"/>
    <w:rsid w:val="00B836D6"/>
    <w:rsid w:val="00B83851"/>
    <w:rsid w:val="00B83DA4"/>
    <w:rsid w:val="00B8408C"/>
    <w:rsid w:val="00B841F1"/>
    <w:rsid w:val="00B84947"/>
    <w:rsid w:val="00B84EDA"/>
    <w:rsid w:val="00B85DF3"/>
    <w:rsid w:val="00B85FC6"/>
    <w:rsid w:val="00B864A5"/>
    <w:rsid w:val="00B86C71"/>
    <w:rsid w:val="00B87748"/>
    <w:rsid w:val="00B87B7C"/>
    <w:rsid w:val="00B87BF8"/>
    <w:rsid w:val="00B905C4"/>
    <w:rsid w:val="00B90748"/>
    <w:rsid w:val="00B909B8"/>
    <w:rsid w:val="00B90A4D"/>
    <w:rsid w:val="00B90C47"/>
    <w:rsid w:val="00B90F4E"/>
    <w:rsid w:val="00B910B9"/>
    <w:rsid w:val="00B91435"/>
    <w:rsid w:val="00B91492"/>
    <w:rsid w:val="00B92DBB"/>
    <w:rsid w:val="00B941A5"/>
    <w:rsid w:val="00B95351"/>
    <w:rsid w:val="00B95463"/>
    <w:rsid w:val="00B95DDE"/>
    <w:rsid w:val="00B95E8E"/>
    <w:rsid w:val="00B96406"/>
    <w:rsid w:val="00B96E8D"/>
    <w:rsid w:val="00B975AA"/>
    <w:rsid w:val="00BA0177"/>
    <w:rsid w:val="00BA03D0"/>
    <w:rsid w:val="00BA0794"/>
    <w:rsid w:val="00BA095B"/>
    <w:rsid w:val="00BA0A2B"/>
    <w:rsid w:val="00BA0CF8"/>
    <w:rsid w:val="00BA0D47"/>
    <w:rsid w:val="00BA1E53"/>
    <w:rsid w:val="00BA2102"/>
    <w:rsid w:val="00BA28BB"/>
    <w:rsid w:val="00BA2E0B"/>
    <w:rsid w:val="00BA3B56"/>
    <w:rsid w:val="00BA3C0E"/>
    <w:rsid w:val="00BA3DD4"/>
    <w:rsid w:val="00BA3E7F"/>
    <w:rsid w:val="00BA441C"/>
    <w:rsid w:val="00BA4574"/>
    <w:rsid w:val="00BA45A8"/>
    <w:rsid w:val="00BA4BFE"/>
    <w:rsid w:val="00BA4C08"/>
    <w:rsid w:val="00BA4C9E"/>
    <w:rsid w:val="00BA539D"/>
    <w:rsid w:val="00BA6454"/>
    <w:rsid w:val="00BA6906"/>
    <w:rsid w:val="00BA6CF4"/>
    <w:rsid w:val="00BB017C"/>
    <w:rsid w:val="00BB05E7"/>
    <w:rsid w:val="00BB0981"/>
    <w:rsid w:val="00BB0A4C"/>
    <w:rsid w:val="00BB0A5F"/>
    <w:rsid w:val="00BB1334"/>
    <w:rsid w:val="00BB14AB"/>
    <w:rsid w:val="00BB1684"/>
    <w:rsid w:val="00BB1AAE"/>
    <w:rsid w:val="00BB1C32"/>
    <w:rsid w:val="00BB1FFF"/>
    <w:rsid w:val="00BB24FE"/>
    <w:rsid w:val="00BB2568"/>
    <w:rsid w:val="00BB2B6C"/>
    <w:rsid w:val="00BB2E3B"/>
    <w:rsid w:val="00BB30BE"/>
    <w:rsid w:val="00BB39D8"/>
    <w:rsid w:val="00BB43EE"/>
    <w:rsid w:val="00BB46EA"/>
    <w:rsid w:val="00BB4B18"/>
    <w:rsid w:val="00BB5AB3"/>
    <w:rsid w:val="00BB5D16"/>
    <w:rsid w:val="00BB6149"/>
    <w:rsid w:val="00BB6879"/>
    <w:rsid w:val="00BB6D0E"/>
    <w:rsid w:val="00BB6D92"/>
    <w:rsid w:val="00BB7214"/>
    <w:rsid w:val="00BB7BD8"/>
    <w:rsid w:val="00BB7ECD"/>
    <w:rsid w:val="00BC06BD"/>
    <w:rsid w:val="00BC08E4"/>
    <w:rsid w:val="00BC0A40"/>
    <w:rsid w:val="00BC0BD8"/>
    <w:rsid w:val="00BC0F4D"/>
    <w:rsid w:val="00BC10CC"/>
    <w:rsid w:val="00BC12BF"/>
    <w:rsid w:val="00BC14E6"/>
    <w:rsid w:val="00BC15A4"/>
    <w:rsid w:val="00BC1C5C"/>
    <w:rsid w:val="00BC1ED9"/>
    <w:rsid w:val="00BC2397"/>
    <w:rsid w:val="00BC342E"/>
    <w:rsid w:val="00BC39A1"/>
    <w:rsid w:val="00BC3C28"/>
    <w:rsid w:val="00BC3D8C"/>
    <w:rsid w:val="00BC43A2"/>
    <w:rsid w:val="00BC56D9"/>
    <w:rsid w:val="00BC5820"/>
    <w:rsid w:val="00BC5D9D"/>
    <w:rsid w:val="00BC6A07"/>
    <w:rsid w:val="00BC6AF4"/>
    <w:rsid w:val="00BC71BC"/>
    <w:rsid w:val="00BC7B17"/>
    <w:rsid w:val="00BC7EFC"/>
    <w:rsid w:val="00BD00C2"/>
    <w:rsid w:val="00BD043E"/>
    <w:rsid w:val="00BD07ED"/>
    <w:rsid w:val="00BD0F06"/>
    <w:rsid w:val="00BD17C6"/>
    <w:rsid w:val="00BD18B4"/>
    <w:rsid w:val="00BD1EB6"/>
    <w:rsid w:val="00BD2030"/>
    <w:rsid w:val="00BD27CC"/>
    <w:rsid w:val="00BD2973"/>
    <w:rsid w:val="00BD2A16"/>
    <w:rsid w:val="00BD2B48"/>
    <w:rsid w:val="00BD2E9A"/>
    <w:rsid w:val="00BD3F8B"/>
    <w:rsid w:val="00BD45CE"/>
    <w:rsid w:val="00BD4E6F"/>
    <w:rsid w:val="00BD5AAD"/>
    <w:rsid w:val="00BD65D4"/>
    <w:rsid w:val="00BD679D"/>
    <w:rsid w:val="00BD690F"/>
    <w:rsid w:val="00BD6FE7"/>
    <w:rsid w:val="00BD71B3"/>
    <w:rsid w:val="00BD7306"/>
    <w:rsid w:val="00BD73D0"/>
    <w:rsid w:val="00BD7BA8"/>
    <w:rsid w:val="00BD7DED"/>
    <w:rsid w:val="00BD7E8F"/>
    <w:rsid w:val="00BE0050"/>
    <w:rsid w:val="00BE0CBC"/>
    <w:rsid w:val="00BE0FC1"/>
    <w:rsid w:val="00BE1382"/>
    <w:rsid w:val="00BE1B5B"/>
    <w:rsid w:val="00BE1C31"/>
    <w:rsid w:val="00BE1E7E"/>
    <w:rsid w:val="00BE1F19"/>
    <w:rsid w:val="00BE2A58"/>
    <w:rsid w:val="00BE2C13"/>
    <w:rsid w:val="00BE2E21"/>
    <w:rsid w:val="00BE354B"/>
    <w:rsid w:val="00BE37D7"/>
    <w:rsid w:val="00BE3940"/>
    <w:rsid w:val="00BE3BCC"/>
    <w:rsid w:val="00BE3DFC"/>
    <w:rsid w:val="00BE4477"/>
    <w:rsid w:val="00BE46DA"/>
    <w:rsid w:val="00BE55EF"/>
    <w:rsid w:val="00BE5AC5"/>
    <w:rsid w:val="00BE5B5C"/>
    <w:rsid w:val="00BE638D"/>
    <w:rsid w:val="00BE6F8D"/>
    <w:rsid w:val="00BE719F"/>
    <w:rsid w:val="00BE7242"/>
    <w:rsid w:val="00BE7569"/>
    <w:rsid w:val="00BE77CE"/>
    <w:rsid w:val="00BE7922"/>
    <w:rsid w:val="00BE793B"/>
    <w:rsid w:val="00BE7ADF"/>
    <w:rsid w:val="00BE7B85"/>
    <w:rsid w:val="00BE7FF6"/>
    <w:rsid w:val="00BF0FB8"/>
    <w:rsid w:val="00BF1328"/>
    <w:rsid w:val="00BF1333"/>
    <w:rsid w:val="00BF139B"/>
    <w:rsid w:val="00BF1D78"/>
    <w:rsid w:val="00BF1E69"/>
    <w:rsid w:val="00BF25CE"/>
    <w:rsid w:val="00BF30DE"/>
    <w:rsid w:val="00BF3191"/>
    <w:rsid w:val="00BF4134"/>
    <w:rsid w:val="00BF42B2"/>
    <w:rsid w:val="00BF4961"/>
    <w:rsid w:val="00BF4966"/>
    <w:rsid w:val="00BF4EED"/>
    <w:rsid w:val="00BF50B0"/>
    <w:rsid w:val="00BF5347"/>
    <w:rsid w:val="00BF5630"/>
    <w:rsid w:val="00BF57EB"/>
    <w:rsid w:val="00BF5827"/>
    <w:rsid w:val="00BF5A49"/>
    <w:rsid w:val="00BF6033"/>
    <w:rsid w:val="00BF6334"/>
    <w:rsid w:val="00BF6BFC"/>
    <w:rsid w:val="00BF706B"/>
    <w:rsid w:val="00BF77FB"/>
    <w:rsid w:val="00C00122"/>
    <w:rsid w:val="00C001C7"/>
    <w:rsid w:val="00C001DE"/>
    <w:rsid w:val="00C00376"/>
    <w:rsid w:val="00C00889"/>
    <w:rsid w:val="00C00AEC"/>
    <w:rsid w:val="00C00D5B"/>
    <w:rsid w:val="00C020F9"/>
    <w:rsid w:val="00C026A5"/>
    <w:rsid w:val="00C03577"/>
    <w:rsid w:val="00C03A66"/>
    <w:rsid w:val="00C03E74"/>
    <w:rsid w:val="00C05E3B"/>
    <w:rsid w:val="00C063B2"/>
    <w:rsid w:val="00C06A00"/>
    <w:rsid w:val="00C071B8"/>
    <w:rsid w:val="00C071EE"/>
    <w:rsid w:val="00C074CE"/>
    <w:rsid w:val="00C076C7"/>
    <w:rsid w:val="00C07860"/>
    <w:rsid w:val="00C078B1"/>
    <w:rsid w:val="00C07C5F"/>
    <w:rsid w:val="00C102BD"/>
    <w:rsid w:val="00C10A32"/>
    <w:rsid w:val="00C1198B"/>
    <w:rsid w:val="00C11A9B"/>
    <w:rsid w:val="00C11BE6"/>
    <w:rsid w:val="00C121D4"/>
    <w:rsid w:val="00C1276B"/>
    <w:rsid w:val="00C12A4F"/>
    <w:rsid w:val="00C12CBB"/>
    <w:rsid w:val="00C12CBC"/>
    <w:rsid w:val="00C12D91"/>
    <w:rsid w:val="00C130DD"/>
    <w:rsid w:val="00C134BF"/>
    <w:rsid w:val="00C13685"/>
    <w:rsid w:val="00C13906"/>
    <w:rsid w:val="00C13C83"/>
    <w:rsid w:val="00C14058"/>
    <w:rsid w:val="00C14582"/>
    <w:rsid w:val="00C146C7"/>
    <w:rsid w:val="00C14AE6"/>
    <w:rsid w:val="00C168AD"/>
    <w:rsid w:val="00C168C7"/>
    <w:rsid w:val="00C170DD"/>
    <w:rsid w:val="00C172FC"/>
    <w:rsid w:val="00C17DD6"/>
    <w:rsid w:val="00C20207"/>
    <w:rsid w:val="00C20377"/>
    <w:rsid w:val="00C20B8B"/>
    <w:rsid w:val="00C214E2"/>
    <w:rsid w:val="00C216CB"/>
    <w:rsid w:val="00C21B74"/>
    <w:rsid w:val="00C225E5"/>
    <w:rsid w:val="00C22AAA"/>
    <w:rsid w:val="00C22BC3"/>
    <w:rsid w:val="00C23266"/>
    <w:rsid w:val="00C234C6"/>
    <w:rsid w:val="00C2386F"/>
    <w:rsid w:val="00C239B1"/>
    <w:rsid w:val="00C23A07"/>
    <w:rsid w:val="00C23F88"/>
    <w:rsid w:val="00C24404"/>
    <w:rsid w:val="00C2452A"/>
    <w:rsid w:val="00C2467A"/>
    <w:rsid w:val="00C24FFB"/>
    <w:rsid w:val="00C258BA"/>
    <w:rsid w:val="00C26163"/>
    <w:rsid w:val="00C261C1"/>
    <w:rsid w:val="00C269D6"/>
    <w:rsid w:val="00C26CE8"/>
    <w:rsid w:val="00C2728A"/>
    <w:rsid w:val="00C303F5"/>
    <w:rsid w:val="00C30C83"/>
    <w:rsid w:val="00C30F70"/>
    <w:rsid w:val="00C31C2B"/>
    <w:rsid w:val="00C31D57"/>
    <w:rsid w:val="00C32A1F"/>
    <w:rsid w:val="00C3300F"/>
    <w:rsid w:val="00C3370F"/>
    <w:rsid w:val="00C33721"/>
    <w:rsid w:val="00C33D49"/>
    <w:rsid w:val="00C33EE3"/>
    <w:rsid w:val="00C34062"/>
    <w:rsid w:val="00C344C5"/>
    <w:rsid w:val="00C355B0"/>
    <w:rsid w:val="00C356C7"/>
    <w:rsid w:val="00C35BC0"/>
    <w:rsid w:val="00C3636F"/>
    <w:rsid w:val="00C36390"/>
    <w:rsid w:val="00C364E5"/>
    <w:rsid w:val="00C3666A"/>
    <w:rsid w:val="00C368DB"/>
    <w:rsid w:val="00C36D9B"/>
    <w:rsid w:val="00C36E4A"/>
    <w:rsid w:val="00C36FD7"/>
    <w:rsid w:val="00C37146"/>
    <w:rsid w:val="00C3742C"/>
    <w:rsid w:val="00C3771A"/>
    <w:rsid w:val="00C37809"/>
    <w:rsid w:val="00C378E7"/>
    <w:rsid w:val="00C378F2"/>
    <w:rsid w:val="00C37E40"/>
    <w:rsid w:val="00C40025"/>
    <w:rsid w:val="00C401FC"/>
    <w:rsid w:val="00C40790"/>
    <w:rsid w:val="00C40816"/>
    <w:rsid w:val="00C40A44"/>
    <w:rsid w:val="00C40DE9"/>
    <w:rsid w:val="00C4151F"/>
    <w:rsid w:val="00C41ABB"/>
    <w:rsid w:val="00C41EE1"/>
    <w:rsid w:val="00C422C5"/>
    <w:rsid w:val="00C433E4"/>
    <w:rsid w:val="00C43A41"/>
    <w:rsid w:val="00C442F4"/>
    <w:rsid w:val="00C445FB"/>
    <w:rsid w:val="00C448DB"/>
    <w:rsid w:val="00C44938"/>
    <w:rsid w:val="00C44E3C"/>
    <w:rsid w:val="00C453D2"/>
    <w:rsid w:val="00C46167"/>
    <w:rsid w:val="00C46EE7"/>
    <w:rsid w:val="00C47146"/>
    <w:rsid w:val="00C47B40"/>
    <w:rsid w:val="00C50790"/>
    <w:rsid w:val="00C50EBB"/>
    <w:rsid w:val="00C5132C"/>
    <w:rsid w:val="00C519FC"/>
    <w:rsid w:val="00C51E88"/>
    <w:rsid w:val="00C528CD"/>
    <w:rsid w:val="00C53607"/>
    <w:rsid w:val="00C53C6D"/>
    <w:rsid w:val="00C5525C"/>
    <w:rsid w:val="00C55659"/>
    <w:rsid w:val="00C55779"/>
    <w:rsid w:val="00C55C07"/>
    <w:rsid w:val="00C56290"/>
    <w:rsid w:val="00C56A26"/>
    <w:rsid w:val="00C5715C"/>
    <w:rsid w:val="00C57982"/>
    <w:rsid w:val="00C57AAE"/>
    <w:rsid w:val="00C57E0F"/>
    <w:rsid w:val="00C57E45"/>
    <w:rsid w:val="00C57FD8"/>
    <w:rsid w:val="00C60215"/>
    <w:rsid w:val="00C60D43"/>
    <w:rsid w:val="00C60D71"/>
    <w:rsid w:val="00C61C24"/>
    <w:rsid w:val="00C61D8E"/>
    <w:rsid w:val="00C61EBD"/>
    <w:rsid w:val="00C61F9F"/>
    <w:rsid w:val="00C622E1"/>
    <w:rsid w:val="00C624E9"/>
    <w:rsid w:val="00C626EE"/>
    <w:rsid w:val="00C630C2"/>
    <w:rsid w:val="00C630FE"/>
    <w:rsid w:val="00C63962"/>
    <w:rsid w:val="00C63E1D"/>
    <w:rsid w:val="00C64209"/>
    <w:rsid w:val="00C644DF"/>
    <w:rsid w:val="00C6475C"/>
    <w:rsid w:val="00C64B3B"/>
    <w:rsid w:val="00C64D21"/>
    <w:rsid w:val="00C65198"/>
    <w:rsid w:val="00C65582"/>
    <w:rsid w:val="00C65641"/>
    <w:rsid w:val="00C65BD0"/>
    <w:rsid w:val="00C65EBA"/>
    <w:rsid w:val="00C66108"/>
    <w:rsid w:val="00C662AB"/>
    <w:rsid w:val="00C66844"/>
    <w:rsid w:val="00C66C3E"/>
    <w:rsid w:val="00C66CDF"/>
    <w:rsid w:val="00C67879"/>
    <w:rsid w:val="00C679D2"/>
    <w:rsid w:val="00C70052"/>
    <w:rsid w:val="00C706AB"/>
    <w:rsid w:val="00C706AC"/>
    <w:rsid w:val="00C7082D"/>
    <w:rsid w:val="00C71338"/>
    <w:rsid w:val="00C71C7D"/>
    <w:rsid w:val="00C720CD"/>
    <w:rsid w:val="00C72149"/>
    <w:rsid w:val="00C7317E"/>
    <w:rsid w:val="00C747FB"/>
    <w:rsid w:val="00C74C31"/>
    <w:rsid w:val="00C74D0F"/>
    <w:rsid w:val="00C766D7"/>
    <w:rsid w:val="00C768F8"/>
    <w:rsid w:val="00C7764A"/>
    <w:rsid w:val="00C778FB"/>
    <w:rsid w:val="00C802FA"/>
    <w:rsid w:val="00C80683"/>
    <w:rsid w:val="00C80957"/>
    <w:rsid w:val="00C80A3B"/>
    <w:rsid w:val="00C80C1B"/>
    <w:rsid w:val="00C815CD"/>
    <w:rsid w:val="00C81687"/>
    <w:rsid w:val="00C81B05"/>
    <w:rsid w:val="00C82807"/>
    <w:rsid w:val="00C8283D"/>
    <w:rsid w:val="00C829B9"/>
    <w:rsid w:val="00C82CB6"/>
    <w:rsid w:val="00C83934"/>
    <w:rsid w:val="00C83958"/>
    <w:rsid w:val="00C83B84"/>
    <w:rsid w:val="00C83ED4"/>
    <w:rsid w:val="00C83F32"/>
    <w:rsid w:val="00C84A0F"/>
    <w:rsid w:val="00C84A7F"/>
    <w:rsid w:val="00C85812"/>
    <w:rsid w:val="00C8589B"/>
    <w:rsid w:val="00C858FA"/>
    <w:rsid w:val="00C8590E"/>
    <w:rsid w:val="00C85FAA"/>
    <w:rsid w:val="00C86197"/>
    <w:rsid w:val="00C86737"/>
    <w:rsid w:val="00C8683E"/>
    <w:rsid w:val="00C86F00"/>
    <w:rsid w:val="00C87BD6"/>
    <w:rsid w:val="00C9012C"/>
    <w:rsid w:val="00C90335"/>
    <w:rsid w:val="00C908BB"/>
    <w:rsid w:val="00C90A43"/>
    <w:rsid w:val="00C91A08"/>
    <w:rsid w:val="00C91A42"/>
    <w:rsid w:val="00C91BFB"/>
    <w:rsid w:val="00C91DB1"/>
    <w:rsid w:val="00C92486"/>
    <w:rsid w:val="00C9279D"/>
    <w:rsid w:val="00C92EBC"/>
    <w:rsid w:val="00C92ED0"/>
    <w:rsid w:val="00C933F7"/>
    <w:rsid w:val="00C9374B"/>
    <w:rsid w:val="00C93A52"/>
    <w:rsid w:val="00C94184"/>
    <w:rsid w:val="00C9444D"/>
    <w:rsid w:val="00C948C5"/>
    <w:rsid w:val="00C954CA"/>
    <w:rsid w:val="00C96319"/>
    <w:rsid w:val="00C966B0"/>
    <w:rsid w:val="00C969A5"/>
    <w:rsid w:val="00C96E5A"/>
    <w:rsid w:val="00C97735"/>
    <w:rsid w:val="00C978EE"/>
    <w:rsid w:val="00C97B5A"/>
    <w:rsid w:val="00CA006D"/>
    <w:rsid w:val="00CA05C1"/>
    <w:rsid w:val="00CA07C9"/>
    <w:rsid w:val="00CA0A8E"/>
    <w:rsid w:val="00CA1DCB"/>
    <w:rsid w:val="00CA241A"/>
    <w:rsid w:val="00CA3413"/>
    <w:rsid w:val="00CA37B5"/>
    <w:rsid w:val="00CA3ABD"/>
    <w:rsid w:val="00CA4597"/>
    <w:rsid w:val="00CA4600"/>
    <w:rsid w:val="00CA4C7A"/>
    <w:rsid w:val="00CA4CA5"/>
    <w:rsid w:val="00CA50C9"/>
    <w:rsid w:val="00CA566F"/>
    <w:rsid w:val="00CA5871"/>
    <w:rsid w:val="00CA5BC9"/>
    <w:rsid w:val="00CA6335"/>
    <w:rsid w:val="00CA6479"/>
    <w:rsid w:val="00CA6525"/>
    <w:rsid w:val="00CA6A58"/>
    <w:rsid w:val="00CA6D76"/>
    <w:rsid w:val="00CA6EE5"/>
    <w:rsid w:val="00CA6F78"/>
    <w:rsid w:val="00CA6FC9"/>
    <w:rsid w:val="00CA7A57"/>
    <w:rsid w:val="00CB012B"/>
    <w:rsid w:val="00CB018A"/>
    <w:rsid w:val="00CB021D"/>
    <w:rsid w:val="00CB02DF"/>
    <w:rsid w:val="00CB0B77"/>
    <w:rsid w:val="00CB183A"/>
    <w:rsid w:val="00CB1AA1"/>
    <w:rsid w:val="00CB1BA8"/>
    <w:rsid w:val="00CB269F"/>
    <w:rsid w:val="00CB2F5A"/>
    <w:rsid w:val="00CB3046"/>
    <w:rsid w:val="00CB3AD1"/>
    <w:rsid w:val="00CB3D0A"/>
    <w:rsid w:val="00CB3FF1"/>
    <w:rsid w:val="00CB4E3D"/>
    <w:rsid w:val="00CB5020"/>
    <w:rsid w:val="00CB53B7"/>
    <w:rsid w:val="00CB554F"/>
    <w:rsid w:val="00CB5BA4"/>
    <w:rsid w:val="00CB61F3"/>
    <w:rsid w:val="00CB6720"/>
    <w:rsid w:val="00CB6764"/>
    <w:rsid w:val="00CB6A48"/>
    <w:rsid w:val="00CB710A"/>
    <w:rsid w:val="00CC0087"/>
    <w:rsid w:val="00CC06F5"/>
    <w:rsid w:val="00CC07CE"/>
    <w:rsid w:val="00CC08A1"/>
    <w:rsid w:val="00CC09DA"/>
    <w:rsid w:val="00CC0BDA"/>
    <w:rsid w:val="00CC0D59"/>
    <w:rsid w:val="00CC12DD"/>
    <w:rsid w:val="00CC1852"/>
    <w:rsid w:val="00CC1B72"/>
    <w:rsid w:val="00CC2BB6"/>
    <w:rsid w:val="00CC2EDD"/>
    <w:rsid w:val="00CC3093"/>
    <w:rsid w:val="00CC343A"/>
    <w:rsid w:val="00CC3F5E"/>
    <w:rsid w:val="00CC4763"/>
    <w:rsid w:val="00CC4AD0"/>
    <w:rsid w:val="00CC569C"/>
    <w:rsid w:val="00CC5A65"/>
    <w:rsid w:val="00CC608F"/>
    <w:rsid w:val="00CC67A3"/>
    <w:rsid w:val="00CC695F"/>
    <w:rsid w:val="00CC6AB4"/>
    <w:rsid w:val="00CC6DFC"/>
    <w:rsid w:val="00CC7C7B"/>
    <w:rsid w:val="00CD0435"/>
    <w:rsid w:val="00CD05F2"/>
    <w:rsid w:val="00CD08BC"/>
    <w:rsid w:val="00CD08F2"/>
    <w:rsid w:val="00CD105B"/>
    <w:rsid w:val="00CD1483"/>
    <w:rsid w:val="00CD152D"/>
    <w:rsid w:val="00CD154A"/>
    <w:rsid w:val="00CD166C"/>
    <w:rsid w:val="00CD16BD"/>
    <w:rsid w:val="00CD1BD8"/>
    <w:rsid w:val="00CD1F42"/>
    <w:rsid w:val="00CD1FF0"/>
    <w:rsid w:val="00CD2508"/>
    <w:rsid w:val="00CD2618"/>
    <w:rsid w:val="00CD26EF"/>
    <w:rsid w:val="00CD3600"/>
    <w:rsid w:val="00CD364D"/>
    <w:rsid w:val="00CD3678"/>
    <w:rsid w:val="00CD3871"/>
    <w:rsid w:val="00CD4FC4"/>
    <w:rsid w:val="00CD6471"/>
    <w:rsid w:val="00CD7407"/>
    <w:rsid w:val="00CD7F57"/>
    <w:rsid w:val="00CE03B1"/>
    <w:rsid w:val="00CE1505"/>
    <w:rsid w:val="00CE1CBE"/>
    <w:rsid w:val="00CE2034"/>
    <w:rsid w:val="00CE2A3B"/>
    <w:rsid w:val="00CE2B8D"/>
    <w:rsid w:val="00CE2E70"/>
    <w:rsid w:val="00CE327F"/>
    <w:rsid w:val="00CE3558"/>
    <w:rsid w:val="00CE39A4"/>
    <w:rsid w:val="00CE3A26"/>
    <w:rsid w:val="00CE3C36"/>
    <w:rsid w:val="00CE4310"/>
    <w:rsid w:val="00CE448D"/>
    <w:rsid w:val="00CE4516"/>
    <w:rsid w:val="00CE4612"/>
    <w:rsid w:val="00CE4E84"/>
    <w:rsid w:val="00CE5253"/>
    <w:rsid w:val="00CE5352"/>
    <w:rsid w:val="00CE5810"/>
    <w:rsid w:val="00CE5C21"/>
    <w:rsid w:val="00CE5C4E"/>
    <w:rsid w:val="00CE63D9"/>
    <w:rsid w:val="00CE64EB"/>
    <w:rsid w:val="00CE65C5"/>
    <w:rsid w:val="00CE65C6"/>
    <w:rsid w:val="00CE69DF"/>
    <w:rsid w:val="00CE6B25"/>
    <w:rsid w:val="00CE6D58"/>
    <w:rsid w:val="00CE742D"/>
    <w:rsid w:val="00CE7909"/>
    <w:rsid w:val="00CE7B10"/>
    <w:rsid w:val="00CE7BA5"/>
    <w:rsid w:val="00CE7DF6"/>
    <w:rsid w:val="00CE7E1F"/>
    <w:rsid w:val="00CF01CC"/>
    <w:rsid w:val="00CF0921"/>
    <w:rsid w:val="00CF0C37"/>
    <w:rsid w:val="00CF0FB5"/>
    <w:rsid w:val="00CF13A0"/>
    <w:rsid w:val="00CF1608"/>
    <w:rsid w:val="00CF1D14"/>
    <w:rsid w:val="00CF23DF"/>
    <w:rsid w:val="00CF2527"/>
    <w:rsid w:val="00CF2A88"/>
    <w:rsid w:val="00CF2C19"/>
    <w:rsid w:val="00CF319E"/>
    <w:rsid w:val="00CF3623"/>
    <w:rsid w:val="00CF4187"/>
    <w:rsid w:val="00CF433C"/>
    <w:rsid w:val="00CF4520"/>
    <w:rsid w:val="00CF4BBD"/>
    <w:rsid w:val="00CF4DE0"/>
    <w:rsid w:val="00CF4E94"/>
    <w:rsid w:val="00CF4F36"/>
    <w:rsid w:val="00CF5D03"/>
    <w:rsid w:val="00CF5D9A"/>
    <w:rsid w:val="00CF6347"/>
    <w:rsid w:val="00CF6931"/>
    <w:rsid w:val="00CF7241"/>
    <w:rsid w:val="00CF7D16"/>
    <w:rsid w:val="00CF7D97"/>
    <w:rsid w:val="00CF7E87"/>
    <w:rsid w:val="00D00350"/>
    <w:rsid w:val="00D00703"/>
    <w:rsid w:val="00D008F9"/>
    <w:rsid w:val="00D0094F"/>
    <w:rsid w:val="00D00A78"/>
    <w:rsid w:val="00D01C52"/>
    <w:rsid w:val="00D01CD6"/>
    <w:rsid w:val="00D022A2"/>
    <w:rsid w:val="00D02C51"/>
    <w:rsid w:val="00D02D89"/>
    <w:rsid w:val="00D03515"/>
    <w:rsid w:val="00D036A2"/>
    <w:rsid w:val="00D038EB"/>
    <w:rsid w:val="00D03E02"/>
    <w:rsid w:val="00D042C3"/>
    <w:rsid w:val="00D04395"/>
    <w:rsid w:val="00D05B13"/>
    <w:rsid w:val="00D062FB"/>
    <w:rsid w:val="00D06431"/>
    <w:rsid w:val="00D066AF"/>
    <w:rsid w:val="00D0706E"/>
    <w:rsid w:val="00D07279"/>
    <w:rsid w:val="00D103ED"/>
    <w:rsid w:val="00D1059D"/>
    <w:rsid w:val="00D10A02"/>
    <w:rsid w:val="00D110BF"/>
    <w:rsid w:val="00D116D4"/>
    <w:rsid w:val="00D1172A"/>
    <w:rsid w:val="00D118CC"/>
    <w:rsid w:val="00D11BB0"/>
    <w:rsid w:val="00D11F46"/>
    <w:rsid w:val="00D125C7"/>
    <w:rsid w:val="00D12650"/>
    <w:rsid w:val="00D12D2F"/>
    <w:rsid w:val="00D13C2B"/>
    <w:rsid w:val="00D13CBB"/>
    <w:rsid w:val="00D14874"/>
    <w:rsid w:val="00D1599E"/>
    <w:rsid w:val="00D16CCD"/>
    <w:rsid w:val="00D174DB"/>
    <w:rsid w:val="00D178F5"/>
    <w:rsid w:val="00D17D5B"/>
    <w:rsid w:val="00D20190"/>
    <w:rsid w:val="00D20385"/>
    <w:rsid w:val="00D20603"/>
    <w:rsid w:val="00D2079D"/>
    <w:rsid w:val="00D20A2F"/>
    <w:rsid w:val="00D20E3D"/>
    <w:rsid w:val="00D21176"/>
    <w:rsid w:val="00D212F2"/>
    <w:rsid w:val="00D2186E"/>
    <w:rsid w:val="00D21A31"/>
    <w:rsid w:val="00D21CBE"/>
    <w:rsid w:val="00D21EA6"/>
    <w:rsid w:val="00D22007"/>
    <w:rsid w:val="00D2244B"/>
    <w:rsid w:val="00D22BBB"/>
    <w:rsid w:val="00D232F2"/>
    <w:rsid w:val="00D2359A"/>
    <w:rsid w:val="00D23702"/>
    <w:rsid w:val="00D24569"/>
    <w:rsid w:val="00D24C19"/>
    <w:rsid w:val="00D24D36"/>
    <w:rsid w:val="00D24ED6"/>
    <w:rsid w:val="00D25816"/>
    <w:rsid w:val="00D2638D"/>
    <w:rsid w:val="00D26405"/>
    <w:rsid w:val="00D2683D"/>
    <w:rsid w:val="00D2684F"/>
    <w:rsid w:val="00D26C42"/>
    <w:rsid w:val="00D2743D"/>
    <w:rsid w:val="00D2770D"/>
    <w:rsid w:val="00D27AD2"/>
    <w:rsid w:val="00D27FCB"/>
    <w:rsid w:val="00D30197"/>
    <w:rsid w:val="00D30748"/>
    <w:rsid w:val="00D3094A"/>
    <w:rsid w:val="00D31AE5"/>
    <w:rsid w:val="00D32514"/>
    <w:rsid w:val="00D3277E"/>
    <w:rsid w:val="00D32F67"/>
    <w:rsid w:val="00D33027"/>
    <w:rsid w:val="00D332C2"/>
    <w:rsid w:val="00D34801"/>
    <w:rsid w:val="00D34A64"/>
    <w:rsid w:val="00D34DAE"/>
    <w:rsid w:val="00D3506E"/>
    <w:rsid w:val="00D3595E"/>
    <w:rsid w:val="00D3619E"/>
    <w:rsid w:val="00D362A8"/>
    <w:rsid w:val="00D365C1"/>
    <w:rsid w:val="00D37B1C"/>
    <w:rsid w:val="00D37EE3"/>
    <w:rsid w:val="00D40EE4"/>
    <w:rsid w:val="00D4143E"/>
    <w:rsid w:val="00D4207E"/>
    <w:rsid w:val="00D4297E"/>
    <w:rsid w:val="00D42DFB"/>
    <w:rsid w:val="00D42EB6"/>
    <w:rsid w:val="00D43595"/>
    <w:rsid w:val="00D43740"/>
    <w:rsid w:val="00D4393A"/>
    <w:rsid w:val="00D43B74"/>
    <w:rsid w:val="00D44F0C"/>
    <w:rsid w:val="00D45457"/>
    <w:rsid w:val="00D46AB6"/>
    <w:rsid w:val="00D472EA"/>
    <w:rsid w:val="00D4747C"/>
    <w:rsid w:val="00D475F7"/>
    <w:rsid w:val="00D476E8"/>
    <w:rsid w:val="00D4776B"/>
    <w:rsid w:val="00D47887"/>
    <w:rsid w:val="00D47EC0"/>
    <w:rsid w:val="00D50609"/>
    <w:rsid w:val="00D5091E"/>
    <w:rsid w:val="00D511B1"/>
    <w:rsid w:val="00D514D2"/>
    <w:rsid w:val="00D51F1C"/>
    <w:rsid w:val="00D52269"/>
    <w:rsid w:val="00D5247B"/>
    <w:rsid w:val="00D529C4"/>
    <w:rsid w:val="00D52C8D"/>
    <w:rsid w:val="00D53473"/>
    <w:rsid w:val="00D537E2"/>
    <w:rsid w:val="00D53BB2"/>
    <w:rsid w:val="00D53D50"/>
    <w:rsid w:val="00D54BC8"/>
    <w:rsid w:val="00D553DE"/>
    <w:rsid w:val="00D556D1"/>
    <w:rsid w:val="00D558FA"/>
    <w:rsid w:val="00D55AE2"/>
    <w:rsid w:val="00D55E9D"/>
    <w:rsid w:val="00D55F54"/>
    <w:rsid w:val="00D5623A"/>
    <w:rsid w:val="00D5672A"/>
    <w:rsid w:val="00D56EB0"/>
    <w:rsid w:val="00D572D3"/>
    <w:rsid w:val="00D5771A"/>
    <w:rsid w:val="00D57AB2"/>
    <w:rsid w:val="00D6047E"/>
    <w:rsid w:val="00D60BC5"/>
    <w:rsid w:val="00D60D22"/>
    <w:rsid w:val="00D60DA7"/>
    <w:rsid w:val="00D615BB"/>
    <w:rsid w:val="00D617DE"/>
    <w:rsid w:val="00D6192E"/>
    <w:rsid w:val="00D61E2C"/>
    <w:rsid w:val="00D62D5A"/>
    <w:rsid w:val="00D63026"/>
    <w:rsid w:val="00D64A03"/>
    <w:rsid w:val="00D64A34"/>
    <w:rsid w:val="00D64A38"/>
    <w:rsid w:val="00D64EB1"/>
    <w:rsid w:val="00D64FA1"/>
    <w:rsid w:val="00D651D8"/>
    <w:rsid w:val="00D65396"/>
    <w:rsid w:val="00D654DB"/>
    <w:rsid w:val="00D65D8F"/>
    <w:rsid w:val="00D660A8"/>
    <w:rsid w:val="00D66296"/>
    <w:rsid w:val="00D66607"/>
    <w:rsid w:val="00D6666D"/>
    <w:rsid w:val="00D66D81"/>
    <w:rsid w:val="00D670AD"/>
    <w:rsid w:val="00D6743D"/>
    <w:rsid w:val="00D676D8"/>
    <w:rsid w:val="00D7002A"/>
    <w:rsid w:val="00D7120D"/>
    <w:rsid w:val="00D71434"/>
    <w:rsid w:val="00D718CC"/>
    <w:rsid w:val="00D71C0D"/>
    <w:rsid w:val="00D72AAE"/>
    <w:rsid w:val="00D72C5D"/>
    <w:rsid w:val="00D72CE9"/>
    <w:rsid w:val="00D72D07"/>
    <w:rsid w:val="00D73800"/>
    <w:rsid w:val="00D73911"/>
    <w:rsid w:val="00D739E1"/>
    <w:rsid w:val="00D74797"/>
    <w:rsid w:val="00D7492A"/>
    <w:rsid w:val="00D74C60"/>
    <w:rsid w:val="00D74D98"/>
    <w:rsid w:val="00D751EF"/>
    <w:rsid w:val="00D75A03"/>
    <w:rsid w:val="00D7603D"/>
    <w:rsid w:val="00D765F0"/>
    <w:rsid w:val="00D777ED"/>
    <w:rsid w:val="00D778C1"/>
    <w:rsid w:val="00D77CD6"/>
    <w:rsid w:val="00D77E2A"/>
    <w:rsid w:val="00D81270"/>
    <w:rsid w:val="00D81CB4"/>
    <w:rsid w:val="00D82A59"/>
    <w:rsid w:val="00D83D29"/>
    <w:rsid w:val="00D83DB7"/>
    <w:rsid w:val="00D83E4C"/>
    <w:rsid w:val="00D85A93"/>
    <w:rsid w:val="00D8645C"/>
    <w:rsid w:val="00D86557"/>
    <w:rsid w:val="00D86993"/>
    <w:rsid w:val="00D869BD"/>
    <w:rsid w:val="00D8706F"/>
    <w:rsid w:val="00D873C2"/>
    <w:rsid w:val="00D879D7"/>
    <w:rsid w:val="00D87A1B"/>
    <w:rsid w:val="00D87A88"/>
    <w:rsid w:val="00D87AF3"/>
    <w:rsid w:val="00D9048F"/>
    <w:rsid w:val="00D90626"/>
    <w:rsid w:val="00D9073E"/>
    <w:rsid w:val="00D91AA6"/>
    <w:rsid w:val="00D926BF"/>
    <w:rsid w:val="00D92C4D"/>
    <w:rsid w:val="00D92ED3"/>
    <w:rsid w:val="00D93D9F"/>
    <w:rsid w:val="00D93E48"/>
    <w:rsid w:val="00D9481A"/>
    <w:rsid w:val="00D94EF2"/>
    <w:rsid w:val="00D950E7"/>
    <w:rsid w:val="00D95145"/>
    <w:rsid w:val="00D954DB"/>
    <w:rsid w:val="00D9596C"/>
    <w:rsid w:val="00D95D8C"/>
    <w:rsid w:val="00D95EAA"/>
    <w:rsid w:val="00D96AE0"/>
    <w:rsid w:val="00D96CD9"/>
    <w:rsid w:val="00D9712F"/>
    <w:rsid w:val="00D97A94"/>
    <w:rsid w:val="00D97BE0"/>
    <w:rsid w:val="00D97C52"/>
    <w:rsid w:val="00D97DED"/>
    <w:rsid w:val="00DA010F"/>
    <w:rsid w:val="00DA09BF"/>
    <w:rsid w:val="00DA0B5B"/>
    <w:rsid w:val="00DA13FA"/>
    <w:rsid w:val="00DA19B9"/>
    <w:rsid w:val="00DA205A"/>
    <w:rsid w:val="00DA25A6"/>
    <w:rsid w:val="00DA2F25"/>
    <w:rsid w:val="00DA30DC"/>
    <w:rsid w:val="00DA363E"/>
    <w:rsid w:val="00DA3B5E"/>
    <w:rsid w:val="00DA3F5A"/>
    <w:rsid w:val="00DA44BC"/>
    <w:rsid w:val="00DA463D"/>
    <w:rsid w:val="00DA4D8F"/>
    <w:rsid w:val="00DA4FB8"/>
    <w:rsid w:val="00DA5608"/>
    <w:rsid w:val="00DA5D4B"/>
    <w:rsid w:val="00DA63B4"/>
    <w:rsid w:val="00DA67FE"/>
    <w:rsid w:val="00DA6F38"/>
    <w:rsid w:val="00DA73C5"/>
    <w:rsid w:val="00DA78DA"/>
    <w:rsid w:val="00DA7B1C"/>
    <w:rsid w:val="00DA7F9C"/>
    <w:rsid w:val="00DB00C6"/>
    <w:rsid w:val="00DB131D"/>
    <w:rsid w:val="00DB147C"/>
    <w:rsid w:val="00DB15AF"/>
    <w:rsid w:val="00DB1C0E"/>
    <w:rsid w:val="00DB1F87"/>
    <w:rsid w:val="00DB21A9"/>
    <w:rsid w:val="00DB2E50"/>
    <w:rsid w:val="00DB2E9B"/>
    <w:rsid w:val="00DB3498"/>
    <w:rsid w:val="00DB35E7"/>
    <w:rsid w:val="00DB3954"/>
    <w:rsid w:val="00DB3C89"/>
    <w:rsid w:val="00DB3CDB"/>
    <w:rsid w:val="00DB445D"/>
    <w:rsid w:val="00DB4F7C"/>
    <w:rsid w:val="00DB53B5"/>
    <w:rsid w:val="00DB5599"/>
    <w:rsid w:val="00DB5840"/>
    <w:rsid w:val="00DB5F70"/>
    <w:rsid w:val="00DB6318"/>
    <w:rsid w:val="00DB6E6D"/>
    <w:rsid w:val="00DB7330"/>
    <w:rsid w:val="00DB7ABB"/>
    <w:rsid w:val="00DB7AE8"/>
    <w:rsid w:val="00DB7C47"/>
    <w:rsid w:val="00DB7CE0"/>
    <w:rsid w:val="00DC09F2"/>
    <w:rsid w:val="00DC0AD5"/>
    <w:rsid w:val="00DC13B4"/>
    <w:rsid w:val="00DC187A"/>
    <w:rsid w:val="00DC2110"/>
    <w:rsid w:val="00DC213C"/>
    <w:rsid w:val="00DC2352"/>
    <w:rsid w:val="00DC2626"/>
    <w:rsid w:val="00DC26F0"/>
    <w:rsid w:val="00DC271F"/>
    <w:rsid w:val="00DC30E3"/>
    <w:rsid w:val="00DC3182"/>
    <w:rsid w:val="00DC3314"/>
    <w:rsid w:val="00DC348B"/>
    <w:rsid w:val="00DC4064"/>
    <w:rsid w:val="00DC40A1"/>
    <w:rsid w:val="00DC4BDF"/>
    <w:rsid w:val="00DC4CD0"/>
    <w:rsid w:val="00DC4ED8"/>
    <w:rsid w:val="00DC4F88"/>
    <w:rsid w:val="00DC5014"/>
    <w:rsid w:val="00DC53FA"/>
    <w:rsid w:val="00DC596B"/>
    <w:rsid w:val="00DC5EB0"/>
    <w:rsid w:val="00DC6048"/>
    <w:rsid w:val="00DC6AD0"/>
    <w:rsid w:val="00DC736B"/>
    <w:rsid w:val="00DC7452"/>
    <w:rsid w:val="00DC7483"/>
    <w:rsid w:val="00DC74C3"/>
    <w:rsid w:val="00DC7DAF"/>
    <w:rsid w:val="00DD005D"/>
    <w:rsid w:val="00DD025C"/>
    <w:rsid w:val="00DD0ABB"/>
    <w:rsid w:val="00DD0D75"/>
    <w:rsid w:val="00DD1208"/>
    <w:rsid w:val="00DD19D4"/>
    <w:rsid w:val="00DD1AFF"/>
    <w:rsid w:val="00DD2810"/>
    <w:rsid w:val="00DD2C5A"/>
    <w:rsid w:val="00DD4018"/>
    <w:rsid w:val="00DD48F2"/>
    <w:rsid w:val="00DD5061"/>
    <w:rsid w:val="00DD5BD2"/>
    <w:rsid w:val="00DD5DBE"/>
    <w:rsid w:val="00DD5E31"/>
    <w:rsid w:val="00DD63FE"/>
    <w:rsid w:val="00DD6D66"/>
    <w:rsid w:val="00DD7933"/>
    <w:rsid w:val="00DE1065"/>
    <w:rsid w:val="00DE17F8"/>
    <w:rsid w:val="00DE188B"/>
    <w:rsid w:val="00DE24EA"/>
    <w:rsid w:val="00DE2946"/>
    <w:rsid w:val="00DE2E0E"/>
    <w:rsid w:val="00DE3257"/>
    <w:rsid w:val="00DE33F4"/>
    <w:rsid w:val="00DE395D"/>
    <w:rsid w:val="00DE3BA6"/>
    <w:rsid w:val="00DE44D7"/>
    <w:rsid w:val="00DE5200"/>
    <w:rsid w:val="00DE52F2"/>
    <w:rsid w:val="00DE539B"/>
    <w:rsid w:val="00DE59E6"/>
    <w:rsid w:val="00DE5C83"/>
    <w:rsid w:val="00DE6D0B"/>
    <w:rsid w:val="00DE70EB"/>
    <w:rsid w:val="00DE769D"/>
    <w:rsid w:val="00DF0633"/>
    <w:rsid w:val="00DF073D"/>
    <w:rsid w:val="00DF0965"/>
    <w:rsid w:val="00DF0B48"/>
    <w:rsid w:val="00DF0C37"/>
    <w:rsid w:val="00DF0C4D"/>
    <w:rsid w:val="00DF1261"/>
    <w:rsid w:val="00DF1307"/>
    <w:rsid w:val="00DF1597"/>
    <w:rsid w:val="00DF186D"/>
    <w:rsid w:val="00DF1D15"/>
    <w:rsid w:val="00DF1FE2"/>
    <w:rsid w:val="00DF226C"/>
    <w:rsid w:val="00DF2747"/>
    <w:rsid w:val="00DF2F88"/>
    <w:rsid w:val="00DF41DE"/>
    <w:rsid w:val="00DF47FD"/>
    <w:rsid w:val="00DF4805"/>
    <w:rsid w:val="00DF4819"/>
    <w:rsid w:val="00DF51BB"/>
    <w:rsid w:val="00DF5B7F"/>
    <w:rsid w:val="00DF5D90"/>
    <w:rsid w:val="00DF5E0E"/>
    <w:rsid w:val="00DF68E8"/>
    <w:rsid w:val="00DF6900"/>
    <w:rsid w:val="00DF69E3"/>
    <w:rsid w:val="00DF6D80"/>
    <w:rsid w:val="00DF7148"/>
    <w:rsid w:val="00DF71B1"/>
    <w:rsid w:val="00DF7465"/>
    <w:rsid w:val="00DF74ED"/>
    <w:rsid w:val="00E000F5"/>
    <w:rsid w:val="00E0019C"/>
    <w:rsid w:val="00E0095C"/>
    <w:rsid w:val="00E01054"/>
    <w:rsid w:val="00E01191"/>
    <w:rsid w:val="00E01FC8"/>
    <w:rsid w:val="00E01FF2"/>
    <w:rsid w:val="00E0332B"/>
    <w:rsid w:val="00E03486"/>
    <w:rsid w:val="00E03613"/>
    <w:rsid w:val="00E03848"/>
    <w:rsid w:val="00E038E2"/>
    <w:rsid w:val="00E03A35"/>
    <w:rsid w:val="00E03BE8"/>
    <w:rsid w:val="00E03E98"/>
    <w:rsid w:val="00E048AC"/>
    <w:rsid w:val="00E0525C"/>
    <w:rsid w:val="00E05E78"/>
    <w:rsid w:val="00E06004"/>
    <w:rsid w:val="00E061A5"/>
    <w:rsid w:val="00E06317"/>
    <w:rsid w:val="00E06B6C"/>
    <w:rsid w:val="00E06BFB"/>
    <w:rsid w:val="00E0734F"/>
    <w:rsid w:val="00E07784"/>
    <w:rsid w:val="00E1002E"/>
    <w:rsid w:val="00E10CD0"/>
    <w:rsid w:val="00E11897"/>
    <w:rsid w:val="00E11BC1"/>
    <w:rsid w:val="00E11D83"/>
    <w:rsid w:val="00E1269D"/>
    <w:rsid w:val="00E130C7"/>
    <w:rsid w:val="00E13607"/>
    <w:rsid w:val="00E13BCD"/>
    <w:rsid w:val="00E13C20"/>
    <w:rsid w:val="00E14089"/>
    <w:rsid w:val="00E1489C"/>
    <w:rsid w:val="00E148E8"/>
    <w:rsid w:val="00E149D8"/>
    <w:rsid w:val="00E15232"/>
    <w:rsid w:val="00E15660"/>
    <w:rsid w:val="00E1587A"/>
    <w:rsid w:val="00E15A0C"/>
    <w:rsid w:val="00E16084"/>
    <w:rsid w:val="00E16531"/>
    <w:rsid w:val="00E16C5E"/>
    <w:rsid w:val="00E17161"/>
    <w:rsid w:val="00E1758B"/>
    <w:rsid w:val="00E200C3"/>
    <w:rsid w:val="00E20487"/>
    <w:rsid w:val="00E20E7A"/>
    <w:rsid w:val="00E214C6"/>
    <w:rsid w:val="00E215D3"/>
    <w:rsid w:val="00E22176"/>
    <w:rsid w:val="00E22B76"/>
    <w:rsid w:val="00E22E03"/>
    <w:rsid w:val="00E22F4B"/>
    <w:rsid w:val="00E23409"/>
    <w:rsid w:val="00E23FCF"/>
    <w:rsid w:val="00E248DD"/>
    <w:rsid w:val="00E24EB8"/>
    <w:rsid w:val="00E2559F"/>
    <w:rsid w:val="00E25820"/>
    <w:rsid w:val="00E26356"/>
    <w:rsid w:val="00E26EFE"/>
    <w:rsid w:val="00E270E0"/>
    <w:rsid w:val="00E27486"/>
    <w:rsid w:val="00E27874"/>
    <w:rsid w:val="00E27F49"/>
    <w:rsid w:val="00E27FB3"/>
    <w:rsid w:val="00E30751"/>
    <w:rsid w:val="00E30959"/>
    <w:rsid w:val="00E309C1"/>
    <w:rsid w:val="00E310F5"/>
    <w:rsid w:val="00E31126"/>
    <w:rsid w:val="00E312C9"/>
    <w:rsid w:val="00E313FA"/>
    <w:rsid w:val="00E330E4"/>
    <w:rsid w:val="00E3314A"/>
    <w:rsid w:val="00E33957"/>
    <w:rsid w:val="00E3447A"/>
    <w:rsid w:val="00E344EA"/>
    <w:rsid w:val="00E34540"/>
    <w:rsid w:val="00E3481A"/>
    <w:rsid w:val="00E34D92"/>
    <w:rsid w:val="00E34E2C"/>
    <w:rsid w:val="00E35507"/>
    <w:rsid w:val="00E358B3"/>
    <w:rsid w:val="00E3601A"/>
    <w:rsid w:val="00E36383"/>
    <w:rsid w:val="00E36D75"/>
    <w:rsid w:val="00E37423"/>
    <w:rsid w:val="00E374AD"/>
    <w:rsid w:val="00E37615"/>
    <w:rsid w:val="00E3790B"/>
    <w:rsid w:val="00E37922"/>
    <w:rsid w:val="00E37B65"/>
    <w:rsid w:val="00E37DB1"/>
    <w:rsid w:val="00E40507"/>
    <w:rsid w:val="00E413E4"/>
    <w:rsid w:val="00E414BB"/>
    <w:rsid w:val="00E41E18"/>
    <w:rsid w:val="00E4234F"/>
    <w:rsid w:val="00E42539"/>
    <w:rsid w:val="00E42D16"/>
    <w:rsid w:val="00E437B1"/>
    <w:rsid w:val="00E43CCD"/>
    <w:rsid w:val="00E44001"/>
    <w:rsid w:val="00E44259"/>
    <w:rsid w:val="00E44377"/>
    <w:rsid w:val="00E44DA2"/>
    <w:rsid w:val="00E44DE4"/>
    <w:rsid w:val="00E44FB9"/>
    <w:rsid w:val="00E45162"/>
    <w:rsid w:val="00E45650"/>
    <w:rsid w:val="00E4591F"/>
    <w:rsid w:val="00E462D0"/>
    <w:rsid w:val="00E46C59"/>
    <w:rsid w:val="00E478A6"/>
    <w:rsid w:val="00E47A52"/>
    <w:rsid w:val="00E47DF4"/>
    <w:rsid w:val="00E47F43"/>
    <w:rsid w:val="00E50004"/>
    <w:rsid w:val="00E51123"/>
    <w:rsid w:val="00E51B8B"/>
    <w:rsid w:val="00E51F42"/>
    <w:rsid w:val="00E52904"/>
    <w:rsid w:val="00E53479"/>
    <w:rsid w:val="00E5351D"/>
    <w:rsid w:val="00E535C7"/>
    <w:rsid w:val="00E5381C"/>
    <w:rsid w:val="00E541EC"/>
    <w:rsid w:val="00E54996"/>
    <w:rsid w:val="00E553E1"/>
    <w:rsid w:val="00E55819"/>
    <w:rsid w:val="00E5588F"/>
    <w:rsid w:val="00E55E84"/>
    <w:rsid w:val="00E55F48"/>
    <w:rsid w:val="00E563B2"/>
    <w:rsid w:val="00E564F8"/>
    <w:rsid w:val="00E578A0"/>
    <w:rsid w:val="00E57A43"/>
    <w:rsid w:val="00E57C74"/>
    <w:rsid w:val="00E6110D"/>
    <w:rsid w:val="00E61AD6"/>
    <w:rsid w:val="00E61D4D"/>
    <w:rsid w:val="00E624E7"/>
    <w:rsid w:val="00E62631"/>
    <w:rsid w:val="00E62634"/>
    <w:rsid w:val="00E627A2"/>
    <w:rsid w:val="00E63699"/>
    <w:rsid w:val="00E639EB"/>
    <w:rsid w:val="00E64174"/>
    <w:rsid w:val="00E64373"/>
    <w:rsid w:val="00E64444"/>
    <w:rsid w:val="00E64549"/>
    <w:rsid w:val="00E645C1"/>
    <w:rsid w:val="00E6474C"/>
    <w:rsid w:val="00E64B18"/>
    <w:rsid w:val="00E64D2C"/>
    <w:rsid w:val="00E65511"/>
    <w:rsid w:val="00E65F7E"/>
    <w:rsid w:val="00E6633B"/>
    <w:rsid w:val="00E66456"/>
    <w:rsid w:val="00E66A1D"/>
    <w:rsid w:val="00E67090"/>
    <w:rsid w:val="00E67126"/>
    <w:rsid w:val="00E674E2"/>
    <w:rsid w:val="00E675D7"/>
    <w:rsid w:val="00E67B49"/>
    <w:rsid w:val="00E708A4"/>
    <w:rsid w:val="00E70B7A"/>
    <w:rsid w:val="00E7108D"/>
    <w:rsid w:val="00E71165"/>
    <w:rsid w:val="00E711BE"/>
    <w:rsid w:val="00E714C0"/>
    <w:rsid w:val="00E71A6F"/>
    <w:rsid w:val="00E71EDF"/>
    <w:rsid w:val="00E7241C"/>
    <w:rsid w:val="00E72524"/>
    <w:rsid w:val="00E72564"/>
    <w:rsid w:val="00E726EA"/>
    <w:rsid w:val="00E72CE3"/>
    <w:rsid w:val="00E72E63"/>
    <w:rsid w:val="00E72E98"/>
    <w:rsid w:val="00E7397C"/>
    <w:rsid w:val="00E73AD4"/>
    <w:rsid w:val="00E73DC7"/>
    <w:rsid w:val="00E746D7"/>
    <w:rsid w:val="00E747BA"/>
    <w:rsid w:val="00E7490E"/>
    <w:rsid w:val="00E74AE7"/>
    <w:rsid w:val="00E74D0B"/>
    <w:rsid w:val="00E74EE3"/>
    <w:rsid w:val="00E75394"/>
    <w:rsid w:val="00E75955"/>
    <w:rsid w:val="00E76005"/>
    <w:rsid w:val="00E800B2"/>
    <w:rsid w:val="00E80289"/>
    <w:rsid w:val="00E8085B"/>
    <w:rsid w:val="00E80D79"/>
    <w:rsid w:val="00E8143E"/>
    <w:rsid w:val="00E814F1"/>
    <w:rsid w:val="00E81B6A"/>
    <w:rsid w:val="00E824E1"/>
    <w:rsid w:val="00E825E0"/>
    <w:rsid w:val="00E8290B"/>
    <w:rsid w:val="00E835F2"/>
    <w:rsid w:val="00E836FC"/>
    <w:rsid w:val="00E8374C"/>
    <w:rsid w:val="00E83854"/>
    <w:rsid w:val="00E83FD5"/>
    <w:rsid w:val="00E85032"/>
    <w:rsid w:val="00E8505B"/>
    <w:rsid w:val="00E852F0"/>
    <w:rsid w:val="00E85AC7"/>
    <w:rsid w:val="00E86AB3"/>
    <w:rsid w:val="00E86B4D"/>
    <w:rsid w:val="00E86C78"/>
    <w:rsid w:val="00E86EBC"/>
    <w:rsid w:val="00E870DC"/>
    <w:rsid w:val="00E8744F"/>
    <w:rsid w:val="00E87922"/>
    <w:rsid w:val="00E90222"/>
    <w:rsid w:val="00E9039B"/>
    <w:rsid w:val="00E90BEC"/>
    <w:rsid w:val="00E90F67"/>
    <w:rsid w:val="00E91150"/>
    <w:rsid w:val="00E914AE"/>
    <w:rsid w:val="00E91EA7"/>
    <w:rsid w:val="00E91F2E"/>
    <w:rsid w:val="00E931BF"/>
    <w:rsid w:val="00E94808"/>
    <w:rsid w:val="00E9485C"/>
    <w:rsid w:val="00E949B1"/>
    <w:rsid w:val="00E94DE5"/>
    <w:rsid w:val="00E95065"/>
    <w:rsid w:val="00E9562F"/>
    <w:rsid w:val="00E95697"/>
    <w:rsid w:val="00E958CE"/>
    <w:rsid w:val="00E959EC"/>
    <w:rsid w:val="00E967B4"/>
    <w:rsid w:val="00E9717B"/>
    <w:rsid w:val="00E97205"/>
    <w:rsid w:val="00E97292"/>
    <w:rsid w:val="00E979D0"/>
    <w:rsid w:val="00E97E0B"/>
    <w:rsid w:val="00E97F65"/>
    <w:rsid w:val="00EA046A"/>
    <w:rsid w:val="00EA093F"/>
    <w:rsid w:val="00EA094D"/>
    <w:rsid w:val="00EA0C21"/>
    <w:rsid w:val="00EA0D9C"/>
    <w:rsid w:val="00EA0DAC"/>
    <w:rsid w:val="00EA180E"/>
    <w:rsid w:val="00EA182E"/>
    <w:rsid w:val="00EA1FD5"/>
    <w:rsid w:val="00EA22C9"/>
    <w:rsid w:val="00EA2366"/>
    <w:rsid w:val="00EA2ACC"/>
    <w:rsid w:val="00EA2B83"/>
    <w:rsid w:val="00EA2DB2"/>
    <w:rsid w:val="00EA32BB"/>
    <w:rsid w:val="00EA3C9E"/>
    <w:rsid w:val="00EA42F2"/>
    <w:rsid w:val="00EA4C5C"/>
    <w:rsid w:val="00EA4EA8"/>
    <w:rsid w:val="00EA5171"/>
    <w:rsid w:val="00EA53BD"/>
    <w:rsid w:val="00EA58E9"/>
    <w:rsid w:val="00EA5D8B"/>
    <w:rsid w:val="00EA5E4E"/>
    <w:rsid w:val="00EA6034"/>
    <w:rsid w:val="00EA630D"/>
    <w:rsid w:val="00EA6B95"/>
    <w:rsid w:val="00EA71C7"/>
    <w:rsid w:val="00EA7426"/>
    <w:rsid w:val="00EB0D97"/>
    <w:rsid w:val="00EB17AC"/>
    <w:rsid w:val="00EB18E8"/>
    <w:rsid w:val="00EB1A4F"/>
    <w:rsid w:val="00EB1AD8"/>
    <w:rsid w:val="00EB233D"/>
    <w:rsid w:val="00EB254E"/>
    <w:rsid w:val="00EB2A99"/>
    <w:rsid w:val="00EB2C52"/>
    <w:rsid w:val="00EB2EE4"/>
    <w:rsid w:val="00EB33AD"/>
    <w:rsid w:val="00EB34FC"/>
    <w:rsid w:val="00EB3906"/>
    <w:rsid w:val="00EB3AAA"/>
    <w:rsid w:val="00EB40CA"/>
    <w:rsid w:val="00EB49B3"/>
    <w:rsid w:val="00EB4D76"/>
    <w:rsid w:val="00EB4E1A"/>
    <w:rsid w:val="00EB5F45"/>
    <w:rsid w:val="00EB5FA9"/>
    <w:rsid w:val="00EB61E8"/>
    <w:rsid w:val="00EB6910"/>
    <w:rsid w:val="00EB6A49"/>
    <w:rsid w:val="00EB6B03"/>
    <w:rsid w:val="00EC09C6"/>
    <w:rsid w:val="00EC13BA"/>
    <w:rsid w:val="00EC151F"/>
    <w:rsid w:val="00EC1628"/>
    <w:rsid w:val="00EC1AD9"/>
    <w:rsid w:val="00EC1DAB"/>
    <w:rsid w:val="00EC1FB1"/>
    <w:rsid w:val="00EC266E"/>
    <w:rsid w:val="00EC2F87"/>
    <w:rsid w:val="00EC358B"/>
    <w:rsid w:val="00EC3A76"/>
    <w:rsid w:val="00EC3CDA"/>
    <w:rsid w:val="00EC3DB4"/>
    <w:rsid w:val="00EC4087"/>
    <w:rsid w:val="00EC4910"/>
    <w:rsid w:val="00EC4A5B"/>
    <w:rsid w:val="00EC4CC1"/>
    <w:rsid w:val="00EC57F4"/>
    <w:rsid w:val="00EC5D72"/>
    <w:rsid w:val="00EC5DF5"/>
    <w:rsid w:val="00EC5E97"/>
    <w:rsid w:val="00EC64CF"/>
    <w:rsid w:val="00EC6857"/>
    <w:rsid w:val="00EC703E"/>
    <w:rsid w:val="00EC771F"/>
    <w:rsid w:val="00EC7A00"/>
    <w:rsid w:val="00EC7A97"/>
    <w:rsid w:val="00EC7AB8"/>
    <w:rsid w:val="00ED07EA"/>
    <w:rsid w:val="00ED130C"/>
    <w:rsid w:val="00ED16C2"/>
    <w:rsid w:val="00ED1928"/>
    <w:rsid w:val="00ED1DB4"/>
    <w:rsid w:val="00ED21C9"/>
    <w:rsid w:val="00ED2A84"/>
    <w:rsid w:val="00ED2B74"/>
    <w:rsid w:val="00ED2F72"/>
    <w:rsid w:val="00ED30A8"/>
    <w:rsid w:val="00ED3B5D"/>
    <w:rsid w:val="00ED3FEE"/>
    <w:rsid w:val="00ED46D1"/>
    <w:rsid w:val="00ED4BF0"/>
    <w:rsid w:val="00ED54FE"/>
    <w:rsid w:val="00ED571D"/>
    <w:rsid w:val="00ED5AB9"/>
    <w:rsid w:val="00ED5F29"/>
    <w:rsid w:val="00ED5F9F"/>
    <w:rsid w:val="00ED7415"/>
    <w:rsid w:val="00ED745D"/>
    <w:rsid w:val="00ED7568"/>
    <w:rsid w:val="00ED75D6"/>
    <w:rsid w:val="00ED77F9"/>
    <w:rsid w:val="00ED7AC6"/>
    <w:rsid w:val="00EE0310"/>
    <w:rsid w:val="00EE0489"/>
    <w:rsid w:val="00EE053A"/>
    <w:rsid w:val="00EE0E8A"/>
    <w:rsid w:val="00EE0EF1"/>
    <w:rsid w:val="00EE13CE"/>
    <w:rsid w:val="00EE1B94"/>
    <w:rsid w:val="00EE311C"/>
    <w:rsid w:val="00EE31F6"/>
    <w:rsid w:val="00EE3AA1"/>
    <w:rsid w:val="00EE44E9"/>
    <w:rsid w:val="00EE49F1"/>
    <w:rsid w:val="00EE4B2C"/>
    <w:rsid w:val="00EE4D87"/>
    <w:rsid w:val="00EE527D"/>
    <w:rsid w:val="00EE53EF"/>
    <w:rsid w:val="00EE5AB8"/>
    <w:rsid w:val="00EE6157"/>
    <w:rsid w:val="00EE65E5"/>
    <w:rsid w:val="00EE6C1D"/>
    <w:rsid w:val="00EE6E63"/>
    <w:rsid w:val="00EE73B5"/>
    <w:rsid w:val="00EE73E9"/>
    <w:rsid w:val="00EE7703"/>
    <w:rsid w:val="00EF0260"/>
    <w:rsid w:val="00EF0648"/>
    <w:rsid w:val="00EF0EED"/>
    <w:rsid w:val="00EF1098"/>
    <w:rsid w:val="00EF12CD"/>
    <w:rsid w:val="00EF1908"/>
    <w:rsid w:val="00EF1B0C"/>
    <w:rsid w:val="00EF1FEA"/>
    <w:rsid w:val="00EF2252"/>
    <w:rsid w:val="00EF28C8"/>
    <w:rsid w:val="00EF29F2"/>
    <w:rsid w:val="00EF3108"/>
    <w:rsid w:val="00EF38D9"/>
    <w:rsid w:val="00EF3B14"/>
    <w:rsid w:val="00EF3CFB"/>
    <w:rsid w:val="00EF3E91"/>
    <w:rsid w:val="00EF3F24"/>
    <w:rsid w:val="00EF408E"/>
    <w:rsid w:val="00EF43D9"/>
    <w:rsid w:val="00EF4753"/>
    <w:rsid w:val="00EF47AF"/>
    <w:rsid w:val="00EF4802"/>
    <w:rsid w:val="00EF5328"/>
    <w:rsid w:val="00EF541B"/>
    <w:rsid w:val="00EF58D1"/>
    <w:rsid w:val="00EF5EB3"/>
    <w:rsid w:val="00EF617E"/>
    <w:rsid w:val="00EF6945"/>
    <w:rsid w:val="00EF7B38"/>
    <w:rsid w:val="00EF7B90"/>
    <w:rsid w:val="00F00070"/>
    <w:rsid w:val="00F0021D"/>
    <w:rsid w:val="00F0022E"/>
    <w:rsid w:val="00F00965"/>
    <w:rsid w:val="00F00DDD"/>
    <w:rsid w:val="00F00F89"/>
    <w:rsid w:val="00F01975"/>
    <w:rsid w:val="00F01B25"/>
    <w:rsid w:val="00F02940"/>
    <w:rsid w:val="00F02A5D"/>
    <w:rsid w:val="00F032D1"/>
    <w:rsid w:val="00F034DD"/>
    <w:rsid w:val="00F03B51"/>
    <w:rsid w:val="00F03CA1"/>
    <w:rsid w:val="00F03D2C"/>
    <w:rsid w:val="00F03D6D"/>
    <w:rsid w:val="00F03D7A"/>
    <w:rsid w:val="00F03E99"/>
    <w:rsid w:val="00F0400B"/>
    <w:rsid w:val="00F0417C"/>
    <w:rsid w:val="00F04A9C"/>
    <w:rsid w:val="00F0578B"/>
    <w:rsid w:val="00F05E12"/>
    <w:rsid w:val="00F066D7"/>
    <w:rsid w:val="00F06D39"/>
    <w:rsid w:val="00F07901"/>
    <w:rsid w:val="00F07B10"/>
    <w:rsid w:val="00F07CCE"/>
    <w:rsid w:val="00F104A3"/>
    <w:rsid w:val="00F104CA"/>
    <w:rsid w:val="00F109B4"/>
    <w:rsid w:val="00F10C01"/>
    <w:rsid w:val="00F10C1C"/>
    <w:rsid w:val="00F10CEC"/>
    <w:rsid w:val="00F10DE2"/>
    <w:rsid w:val="00F110AE"/>
    <w:rsid w:val="00F11239"/>
    <w:rsid w:val="00F11B10"/>
    <w:rsid w:val="00F1231D"/>
    <w:rsid w:val="00F123D4"/>
    <w:rsid w:val="00F124A1"/>
    <w:rsid w:val="00F129D7"/>
    <w:rsid w:val="00F12D9C"/>
    <w:rsid w:val="00F130A7"/>
    <w:rsid w:val="00F13321"/>
    <w:rsid w:val="00F13C05"/>
    <w:rsid w:val="00F13F59"/>
    <w:rsid w:val="00F141BB"/>
    <w:rsid w:val="00F1476A"/>
    <w:rsid w:val="00F14875"/>
    <w:rsid w:val="00F14BAE"/>
    <w:rsid w:val="00F15658"/>
    <w:rsid w:val="00F156D6"/>
    <w:rsid w:val="00F15A90"/>
    <w:rsid w:val="00F15E47"/>
    <w:rsid w:val="00F15EF1"/>
    <w:rsid w:val="00F16652"/>
    <w:rsid w:val="00F167B0"/>
    <w:rsid w:val="00F17359"/>
    <w:rsid w:val="00F173F0"/>
    <w:rsid w:val="00F1798A"/>
    <w:rsid w:val="00F17B8A"/>
    <w:rsid w:val="00F20311"/>
    <w:rsid w:val="00F20578"/>
    <w:rsid w:val="00F211CE"/>
    <w:rsid w:val="00F21267"/>
    <w:rsid w:val="00F2186B"/>
    <w:rsid w:val="00F21AB1"/>
    <w:rsid w:val="00F21BCA"/>
    <w:rsid w:val="00F22131"/>
    <w:rsid w:val="00F22466"/>
    <w:rsid w:val="00F22712"/>
    <w:rsid w:val="00F2297B"/>
    <w:rsid w:val="00F229AD"/>
    <w:rsid w:val="00F22CBF"/>
    <w:rsid w:val="00F22D65"/>
    <w:rsid w:val="00F2375E"/>
    <w:rsid w:val="00F238AF"/>
    <w:rsid w:val="00F2395A"/>
    <w:rsid w:val="00F241E9"/>
    <w:rsid w:val="00F2564B"/>
    <w:rsid w:val="00F2582B"/>
    <w:rsid w:val="00F25EE9"/>
    <w:rsid w:val="00F25FF4"/>
    <w:rsid w:val="00F2603D"/>
    <w:rsid w:val="00F27337"/>
    <w:rsid w:val="00F277F6"/>
    <w:rsid w:val="00F27FD3"/>
    <w:rsid w:val="00F303A2"/>
    <w:rsid w:val="00F30490"/>
    <w:rsid w:val="00F30603"/>
    <w:rsid w:val="00F306CA"/>
    <w:rsid w:val="00F307CB"/>
    <w:rsid w:val="00F30A17"/>
    <w:rsid w:val="00F30A46"/>
    <w:rsid w:val="00F311E0"/>
    <w:rsid w:val="00F31755"/>
    <w:rsid w:val="00F31BFD"/>
    <w:rsid w:val="00F31EAA"/>
    <w:rsid w:val="00F321EE"/>
    <w:rsid w:val="00F3244C"/>
    <w:rsid w:val="00F324B5"/>
    <w:rsid w:val="00F329DC"/>
    <w:rsid w:val="00F33023"/>
    <w:rsid w:val="00F33140"/>
    <w:rsid w:val="00F334AE"/>
    <w:rsid w:val="00F33D20"/>
    <w:rsid w:val="00F34779"/>
    <w:rsid w:val="00F34F6C"/>
    <w:rsid w:val="00F35440"/>
    <w:rsid w:val="00F3557D"/>
    <w:rsid w:val="00F35D29"/>
    <w:rsid w:val="00F36BC6"/>
    <w:rsid w:val="00F37035"/>
    <w:rsid w:val="00F37186"/>
    <w:rsid w:val="00F37BA2"/>
    <w:rsid w:val="00F40370"/>
    <w:rsid w:val="00F407D2"/>
    <w:rsid w:val="00F40AE1"/>
    <w:rsid w:val="00F41160"/>
    <w:rsid w:val="00F41810"/>
    <w:rsid w:val="00F41847"/>
    <w:rsid w:val="00F41C80"/>
    <w:rsid w:val="00F41F68"/>
    <w:rsid w:val="00F4200B"/>
    <w:rsid w:val="00F433CF"/>
    <w:rsid w:val="00F43626"/>
    <w:rsid w:val="00F43E99"/>
    <w:rsid w:val="00F43F81"/>
    <w:rsid w:val="00F44221"/>
    <w:rsid w:val="00F446BC"/>
    <w:rsid w:val="00F4502D"/>
    <w:rsid w:val="00F450CB"/>
    <w:rsid w:val="00F458E1"/>
    <w:rsid w:val="00F4608D"/>
    <w:rsid w:val="00F4664A"/>
    <w:rsid w:val="00F469A5"/>
    <w:rsid w:val="00F46B6A"/>
    <w:rsid w:val="00F46CDF"/>
    <w:rsid w:val="00F46DEE"/>
    <w:rsid w:val="00F46F7F"/>
    <w:rsid w:val="00F470ED"/>
    <w:rsid w:val="00F476DA"/>
    <w:rsid w:val="00F502B2"/>
    <w:rsid w:val="00F50E56"/>
    <w:rsid w:val="00F51575"/>
    <w:rsid w:val="00F51577"/>
    <w:rsid w:val="00F52018"/>
    <w:rsid w:val="00F520B2"/>
    <w:rsid w:val="00F5247F"/>
    <w:rsid w:val="00F5336F"/>
    <w:rsid w:val="00F53427"/>
    <w:rsid w:val="00F53BAA"/>
    <w:rsid w:val="00F53E27"/>
    <w:rsid w:val="00F541CE"/>
    <w:rsid w:val="00F544AA"/>
    <w:rsid w:val="00F549D1"/>
    <w:rsid w:val="00F54CE5"/>
    <w:rsid w:val="00F55227"/>
    <w:rsid w:val="00F55AC1"/>
    <w:rsid w:val="00F56509"/>
    <w:rsid w:val="00F56A95"/>
    <w:rsid w:val="00F577DD"/>
    <w:rsid w:val="00F5786A"/>
    <w:rsid w:val="00F57B3C"/>
    <w:rsid w:val="00F602F3"/>
    <w:rsid w:val="00F60372"/>
    <w:rsid w:val="00F60763"/>
    <w:rsid w:val="00F60766"/>
    <w:rsid w:val="00F60A02"/>
    <w:rsid w:val="00F60E00"/>
    <w:rsid w:val="00F612DA"/>
    <w:rsid w:val="00F613FF"/>
    <w:rsid w:val="00F61813"/>
    <w:rsid w:val="00F61FFD"/>
    <w:rsid w:val="00F62111"/>
    <w:rsid w:val="00F626B1"/>
    <w:rsid w:val="00F62D94"/>
    <w:rsid w:val="00F62DCB"/>
    <w:rsid w:val="00F63D31"/>
    <w:rsid w:val="00F64081"/>
    <w:rsid w:val="00F647D5"/>
    <w:rsid w:val="00F64D3B"/>
    <w:rsid w:val="00F658E6"/>
    <w:rsid w:val="00F65CD2"/>
    <w:rsid w:val="00F662E4"/>
    <w:rsid w:val="00F66339"/>
    <w:rsid w:val="00F674D6"/>
    <w:rsid w:val="00F67548"/>
    <w:rsid w:val="00F67754"/>
    <w:rsid w:val="00F67AE2"/>
    <w:rsid w:val="00F67C78"/>
    <w:rsid w:val="00F703F5"/>
    <w:rsid w:val="00F709C1"/>
    <w:rsid w:val="00F71CAC"/>
    <w:rsid w:val="00F71E4F"/>
    <w:rsid w:val="00F72527"/>
    <w:rsid w:val="00F7255D"/>
    <w:rsid w:val="00F727D3"/>
    <w:rsid w:val="00F72995"/>
    <w:rsid w:val="00F729A1"/>
    <w:rsid w:val="00F732CE"/>
    <w:rsid w:val="00F74151"/>
    <w:rsid w:val="00F74196"/>
    <w:rsid w:val="00F74432"/>
    <w:rsid w:val="00F7450E"/>
    <w:rsid w:val="00F745ED"/>
    <w:rsid w:val="00F74815"/>
    <w:rsid w:val="00F75424"/>
    <w:rsid w:val="00F76122"/>
    <w:rsid w:val="00F7615F"/>
    <w:rsid w:val="00F76496"/>
    <w:rsid w:val="00F77056"/>
    <w:rsid w:val="00F77802"/>
    <w:rsid w:val="00F77814"/>
    <w:rsid w:val="00F77878"/>
    <w:rsid w:val="00F77B43"/>
    <w:rsid w:val="00F77C65"/>
    <w:rsid w:val="00F8021C"/>
    <w:rsid w:val="00F80727"/>
    <w:rsid w:val="00F807FB"/>
    <w:rsid w:val="00F81B14"/>
    <w:rsid w:val="00F81F7F"/>
    <w:rsid w:val="00F81FE9"/>
    <w:rsid w:val="00F82152"/>
    <w:rsid w:val="00F82D90"/>
    <w:rsid w:val="00F83123"/>
    <w:rsid w:val="00F8334E"/>
    <w:rsid w:val="00F83779"/>
    <w:rsid w:val="00F839EC"/>
    <w:rsid w:val="00F83B0B"/>
    <w:rsid w:val="00F83B4B"/>
    <w:rsid w:val="00F83D2A"/>
    <w:rsid w:val="00F84755"/>
    <w:rsid w:val="00F84C13"/>
    <w:rsid w:val="00F84FE0"/>
    <w:rsid w:val="00F8594F"/>
    <w:rsid w:val="00F85CCF"/>
    <w:rsid w:val="00F85E31"/>
    <w:rsid w:val="00F86120"/>
    <w:rsid w:val="00F863B8"/>
    <w:rsid w:val="00F86B45"/>
    <w:rsid w:val="00F86E43"/>
    <w:rsid w:val="00F875D5"/>
    <w:rsid w:val="00F87FFE"/>
    <w:rsid w:val="00F9034B"/>
    <w:rsid w:val="00F9038D"/>
    <w:rsid w:val="00F90971"/>
    <w:rsid w:val="00F90EB3"/>
    <w:rsid w:val="00F914FB"/>
    <w:rsid w:val="00F915EC"/>
    <w:rsid w:val="00F928C3"/>
    <w:rsid w:val="00F92DB9"/>
    <w:rsid w:val="00F93158"/>
    <w:rsid w:val="00F9336D"/>
    <w:rsid w:val="00F938D2"/>
    <w:rsid w:val="00F93D15"/>
    <w:rsid w:val="00F93E95"/>
    <w:rsid w:val="00F94375"/>
    <w:rsid w:val="00F95350"/>
    <w:rsid w:val="00F95F69"/>
    <w:rsid w:val="00F96147"/>
    <w:rsid w:val="00F966CF"/>
    <w:rsid w:val="00F97485"/>
    <w:rsid w:val="00F976D1"/>
    <w:rsid w:val="00F97CFE"/>
    <w:rsid w:val="00FA03B5"/>
    <w:rsid w:val="00FA06C4"/>
    <w:rsid w:val="00FA06EB"/>
    <w:rsid w:val="00FA1462"/>
    <w:rsid w:val="00FA14F2"/>
    <w:rsid w:val="00FA19F3"/>
    <w:rsid w:val="00FA1A17"/>
    <w:rsid w:val="00FA1C57"/>
    <w:rsid w:val="00FA1DEF"/>
    <w:rsid w:val="00FA20E4"/>
    <w:rsid w:val="00FA2227"/>
    <w:rsid w:val="00FA236C"/>
    <w:rsid w:val="00FA23C0"/>
    <w:rsid w:val="00FA2567"/>
    <w:rsid w:val="00FA2629"/>
    <w:rsid w:val="00FA2C38"/>
    <w:rsid w:val="00FA2F34"/>
    <w:rsid w:val="00FA327A"/>
    <w:rsid w:val="00FA35CE"/>
    <w:rsid w:val="00FA3890"/>
    <w:rsid w:val="00FA3BBF"/>
    <w:rsid w:val="00FA41BE"/>
    <w:rsid w:val="00FA474D"/>
    <w:rsid w:val="00FA49B6"/>
    <w:rsid w:val="00FA49E0"/>
    <w:rsid w:val="00FA4DA3"/>
    <w:rsid w:val="00FA5496"/>
    <w:rsid w:val="00FA5F9A"/>
    <w:rsid w:val="00FA6B2F"/>
    <w:rsid w:val="00FA7614"/>
    <w:rsid w:val="00FA7A54"/>
    <w:rsid w:val="00FA7CDD"/>
    <w:rsid w:val="00FA7F91"/>
    <w:rsid w:val="00FB0D4F"/>
    <w:rsid w:val="00FB19C9"/>
    <w:rsid w:val="00FB1BC7"/>
    <w:rsid w:val="00FB21B3"/>
    <w:rsid w:val="00FB2409"/>
    <w:rsid w:val="00FB26D1"/>
    <w:rsid w:val="00FB2841"/>
    <w:rsid w:val="00FB2ADE"/>
    <w:rsid w:val="00FB2F40"/>
    <w:rsid w:val="00FB3619"/>
    <w:rsid w:val="00FB37C5"/>
    <w:rsid w:val="00FB3DF0"/>
    <w:rsid w:val="00FB413A"/>
    <w:rsid w:val="00FB457A"/>
    <w:rsid w:val="00FB4862"/>
    <w:rsid w:val="00FB48AE"/>
    <w:rsid w:val="00FB57F0"/>
    <w:rsid w:val="00FB5BBE"/>
    <w:rsid w:val="00FB5C9E"/>
    <w:rsid w:val="00FB6580"/>
    <w:rsid w:val="00FB6C8F"/>
    <w:rsid w:val="00FB6F37"/>
    <w:rsid w:val="00FB77A8"/>
    <w:rsid w:val="00FB77DD"/>
    <w:rsid w:val="00FB7AAF"/>
    <w:rsid w:val="00FC0022"/>
    <w:rsid w:val="00FC05F2"/>
    <w:rsid w:val="00FC0BE7"/>
    <w:rsid w:val="00FC0DF0"/>
    <w:rsid w:val="00FC1367"/>
    <w:rsid w:val="00FC1746"/>
    <w:rsid w:val="00FC1C12"/>
    <w:rsid w:val="00FC1F95"/>
    <w:rsid w:val="00FC289E"/>
    <w:rsid w:val="00FC2DFC"/>
    <w:rsid w:val="00FC2ECC"/>
    <w:rsid w:val="00FC321B"/>
    <w:rsid w:val="00FC345A"/>
    <w:rsid w:val="00FC37FD"/>
    <w:rsid w:val="00FC45F5"/>
    <w:rsid w:val="00FC46B8"/>
    <w:rsid w:val="00FC4EB0"/>
    <w:rsid w:val="00FC503B"/>
    <w:rsid w:val="00FC50F2"/>
    <w:rsid w:val="00FC5835"/>
    <w:rsid w:val="00FC5D43"/>
    <w:rsid w:val="00FC6048"/>
    <w:rsid w:val="00FC633F"/>
    <w:rsid w:val="00FC683F"/>
    <w:rsid w:val="00FC6A34"/>
    <w:rsid w:val="00FC71C3"/>
    <w:rsid w:val="00FC7D35"/>
    <w:rsid w:val="00FC7FB6"/>
    <w:rsid w:val="00FD055B"/>
    <w:rsid w:val="00FD0C1D"/>
    <w:rsid w:val="00FD10FE"/>
    <w:rsid w:val="00FD18B1"/>
    <w:rsid w:val="00FD1D43"/>
    <w:rsid w:val="00FD1EFC"/>
    <w:rsid w:val="00FD237D"/>
    <w:rsid w:val="00FD29E9"/>
    <w:rsid w:val="00FD32B8"/>
    <w:rsid w:val="00FD3EA1"/>
    <w:rsid w:val="00FD407C"/>
    <w:rsid w:val="00FD489F"/>
    <w:rsid w:val="00FD48A8"/>
    <w:rsid w:val="00FD51EE"/>
    <w:rsid w:val="00FD521A"/>
    <w:rsid w:val="00FD5580"/>
    <w:rsid w:val="00FD61D8"/>
    <w:rsid w:val="00FD7590"/>
    <w:rsid w:val="00FD7946"/>
    <w:rsid w:val="00FD7FD9"/>
    <w:rsid w:val="00FD7FF2"/>
    <w:rsid w:val="00FE05B4"/>
    <w:rsid w:val="00FE0621"/>
    <w:rsid w:val="00FE09F9"/>
    <w:rsid w:val="00FE0F3D"/>
    <w:rsid w:val="00FE129B"/>
    <w:rsid w:val="00FE16CE"/>
    <w:rsid w:val="00FE1EF1"/>
    <w:rsid w:val="00FE219B"/>
    <w:rsid w:val="00FE2210"/>
    <w:rsid w:val="00FE339A"/>
    <w:rsid w:val="00FE36AB"/>
    <w:rsid w:val="00FE3DA5"/>
    <w:rsid w:val="00FE40F1"/>
    <w:rsid w:val="00FE40FD"/>
    <w:rsid w:val="00FE4C7A"/>
    <w:rsid w:val="00FE57F4"/>
    <w:rsid w:val="00FE5F09"/>
    <w:rsid w:val="00FE60D6"/>
    <w:rsid w:val="00FE62C0"/>
    <w:rsid w:val="00FE67F3"/>
    <w:rsid w:val="00FE680D"/>
    <w:rsid w:val="00FE7B42"/>
    <w:rsid w:val="00FE7DF6"/>
    <w:rsid w:val="00FF034C"/>
    <w:rsid w:val="00FF09D4"/>
    <w:rsid w:val="00FF0BB4"/>
    <w:rsid w:val="00FF0C45"/>
    <w:rsid w:val="00FF103C"/>
    <w:rsid w:val="00FF1230"/>
    <w:rsid w:val="00FF1FF1"/>
    <w:rsid w:val="00FF3036"/>
    <w:rsid w:val="00FF3AB9"/>
    <w:rsid w:val="00FF3CC1"/>
    <w:rsid w:val="00FF406C"/>
    <w:rsid w:val="00FF4163"/>
    <w:rsid w:val="00FF49E4"/>
    <w:rsid w:val="00FF4D2E"/>
    <w:rsid w:val="00FF4D52"/>
    <w:rsid w:val="00FF5A3A"/>
    <w:rsid w:val="00FF6855"/>
    <w:rsid w:val="00FF6881"/>
    <w:rsid w:val="00FF6DFC"/>
    <w:rsid w:val="00FF6F57"/>
    <w:rsid w:val="018B9985"/>
    <w:rsid w:val="01DA2FC9"/>
    <w:rsid w:val="03AB5E42"/>
    <w:rsid w:val="04A38C06"/>
    <w:rsid w:val="05ED4048"/>
    <w:rsid w:val="06557D81"/>
    <w:rsid w:val="0662ADA3"/>
    <w:rsid w:val="06AA22D9"/>
    <w:rsid w:val="06B59C45"/>
    <w:rsid w:val="0772493A"/>
    <w:rsid w:val="07CC20FE"/>
    <w:rsid w:val="07CE6390"/>
    <w:rsid w:val="08A93DED"/>
    <w:rsid w:val="08D84E51"/>
    <w:rsid w:val="08F36871"/>
    <w:rsid w:val="0918332C"/>
    <w:rsid w:val="09813E35"/>
    <w:rsid w:val="0A8B590D"/>
    <w:rsid w:val="0AF2E673"/>
    <w:rsid w:val="0AF9637D"/>
    <w:rsid w:val="0B87AE61"/>
    <w:rsid w:val="0BB60D2C"/>
    <w:rsid w:val="0BD3852F"/>
    <w:rsid w:val="0C5A27F5"/>
    <w:rsid w:val="0D50866F"/>
    <w:rsid w:val="0E8DBD4E"/>
    <w:rsid w:val="0F82B3AD"/>
    <w:rsid w:val="0FA5CC93"/>
    <w:rsid w:val="105F4CFC"/>
    <w:rsid w:val="10F84CD3"/>
    <w:rsid w:val="1362EB0E"/>
    <w:rsid w:val="1461D288"/>
    <w:rsid w:val="14E40806"/>
    <w:rsid w:val="1562BA61"/>
    <w:rsid w:val="15ECC007"/>
    <w:rsid w:val="1606A5B2"/>
    <w:rsid w:val="16AA4133"/>
    <w:rsid w:val="16DE2F45"/>
    <w:rsid w:val="17530890"/>
    <w:rsid w:val="17968C40"/>
    <w:rsid w:val="18367A52"/>
    <w:rsid w:val="18B810C1"/>
    <w:rsid w:val="1A1C22F0"/>
    <w:rsid w:val="1AA8B2FC"/>
    <w:rsid w:val="1ACCD72A"/>
    <w:rsid w:val="1BC41000"/>
    <w:rsid w:val="1BFE8BF5"/>
    <w:rsid w:val="1CAFFF30"/>
    <w:rsid w:val="1D42C6F9"/>
    <w:rsid w:val="1D9690F4"/>
    <w:rsid w:val="1E36B600"/>
    <w:rsid w:val="1E46E1A7"/>
    <w:rsid w:val="1F8CF231"/>
    <w:rsid w:val="1FDF134E"/>
    <w:rsid w:val="20972560"/>
    <w:rsid w:val="212D1B75"/>
    <w:rsid w:val="239169FD"/>
    <w:rsid w:val="23A49A94"/>
    <w:rsid w:val="23CB52FC"/>
    <w:rsid w:val="2415C5CC"/>
    <w:rsid w:val="24A0456C"/>
    <w:rsid w:val="24CDFE53"/>
    <w:rsid w:val="259C6442"/>
    <w:rsid w:val="25D355D7"/>
    <w:rsid w:val="25FD2D73"/>
    <w:rsid w:val="2622EBAB"/>
    <w:rsid w:val="263A36DC"/>
    <w:rsid w:val="2656B591"/>
    <w:rsid w:val="26DF950E"/>
    <w:rsid w:val="26E1E9A4"/>
    <w:rsid w:val="270A175F"/>
    <w:rsid w:val="2767B035"/>
    <w:rsid w:val="277313CF"/>
    <w:rsid w:val="2917FF8C"/>
    <w:rsid w:val="29D81FD8"/>
    <w:rsid w:val="2B20DBB1"/>
    <w:rsid w:val="2B9CD195"/>
    <w:rsid w:val="2BB6BC2C"/>
    <w:rsid w:val="2C97037B"/>
    <w:rsid w:val="2D107FD0"/>
    <w:rsid w:val="2D89FC25"/>
    <w:rsid w:val="2DC287C5"/>
    <w:rsid w:val="2DDD6CE5"/>
    <w:rsid w:val="2DE76B2D"/>
    <w:rsid w:val="2E38326C"/>
    <w:rsid w:val="2E4CF6C9"/>
    <w:rsid w:val="2EF06120"/>
    <w:rsid w:val="2F4243E9"/>
    <w:rsid w:val="2F4DF06A"/>
    <w:rsid w:val="2F5C797D"/>
    <w:rsid w:val="2F8D71AD"/>
    <w:rsid w:val="30695067"/>
    <w:rsid w:val="317B55B5"/>
    <w:rsid w:val="32684791"/>
    <w:rsid w:val="33557051"/>
    <w:rsid w:val="336BC47C"/>
    <w:rsid w:val="33A38E18"/>
    <w:rsid w:val="33A6FFE1"/>
    <w:rsid w:val="33E12D52"/>
    <w:rsid w:val="3440C7DC"/>
    <w:rsid w:val="3465897E"/>
    <w:rsid w:val="34BE1C2D"/>
    <w:rsid w:val="352EE103"/>
    <w:rsid w:val="35F5565A"/>
    <w:rsid w:val="36A9488E"/>
    <w:rsid w:val="36DBCE23"/>
    <w:rsid w:val="36FAB9AE"/>
    <w:rsid w:val="376AC360"/>
    <w:rsid w:val="37C33BD1"/>
    <w:rsid w:val="3984E863"/>
    <w:rsid w:val="3ADC14F7"/>
    <w:rsid w:val="3C75AB64"/>
    <w:rsid w:val="3DD639E7"/>
    <w:rsid w:val="3FA2D18E"/>
    <w:rsid w:val="3FC9F9F4"/>
    <w:rsid w:val="41102EE4"/>
    <w:rsid w:val="41266E41"/>
    <w:rsid w:val="413D72FF"/>
    <w:rsid w:val="41F91D31"/>
    <w:rsid w:val="4211278B"/>
    <w:rsid w:val="423F7F75"/>
    <w:rsid w:val="42604131"/>
    <w:rsid w:val="42C0B612"/>
    <w:rsid w:val="42F4C8D3"/>
    <w:rsid w:val="430E2F41"/>
    <w:rsid w:val="43874E2A"/>
    <w:rsid w:val="43994EB2"/>
    <w:rsid w:val="44BE7107"/>
    <w:rsid w:val="44CD1ABD"/>
    <w:rsid w:val="45361CDF"/>
    <w:rsid w:val="455321D5"/>
    <w:rsid w:val="47034FF4"/>
    <w:rsid w:val="47FFCCF3"/>
    <w:rsid w:val="4817C214"/>
    <w:rsid w:val="48B83DE5"/>
    <w:rsid w:val="493325B4"/>
    <w:rsid w:val="493B138E"/>
    <w:rsid w:val="49D3DF61"/>
    <w:rsid w:val="4A4AB4CF"/>
    <w:rsid w:val="4B3DC3B4"/>
    <w:rsid w:val="4CB26894"/>
    <w:rsid w:val="4CE0CB49"/>
    <w:rsid w:val="4D66BA17"/>
    <w:rsid w:val="4D71751B"/>
    <w:rsid w:val="4DE99F04"/>
    <w:rsid w:val="4DF46EE2"/>
    <w:rsid w:val="4F2A83BC"/>
    <w:rsid w:val="5171B1AA"/>
    <w:rsid w:val="5184E56A"/>
    <w:rsid w:val="5208EE92"/>
    <w:rsid w:val="5238F3F7"/>
    <w:rsid w:val="529B0B8C"/>
    <w:rsid w:val="52C4486A"/>
    <w:rsid w:val="52DCD532"/>
    <w:rsid w:val="537AB0BE"/>
    <w:rsid w:val="53A8FC48"/>
    <w:rsid w:val="53BC9476"/>
    <w:rsid w:val="53F14B57"/>
    <w:rsid w:val="5475280D"/>
    <w:rsid w:val="54BAEA81"/>
    <w:rsid w:val="5614A142"/>
    <w:rsid w:val="5660A45A"/>
    <w:rsid w:val="599D6028"/>
    <w:rsid w:val="59D73E25"/>
    <w:rsid w:val="5A54FE71"/>
    <w:rsid w:val="5AE7C9E3"/>
    <w:rsid w:val="5B26E8BE"/>
    <w:rsid w:val="5BA0C110"/>
    <w:rsid w:val="5BABD921"/>
    <w:rsid w:val="5CF90A2F"/>
    <w:rsid w:val="5D342C9F"/>
    <w:rsid w:val="5D94FABA"/>
    <w:rsid w:val="5E4C3E4D"/>
    <w:rsid w:val="60C1DFF6"/>
    <w:rsid w:val="60D23EEB"/>
    <w:rsid w:val="613AADB5"/>
    <w:rsid w:val="615E1E1A"/>
    <w:rsid w:val="616075EC"/>
    <w:rsid w:val="61835665"/>
    <w:rsid w:val="6269E6D2"/>
    <w:rsid w:val="62770862"/>
    <w:rsid w:val="627D0A48"/>
    <w:rsid w:val="62895AD5"/>
    <w:rsid w:val="62D3A306"/>
    <w:rsid w:val="63342910"/>
    <w:rsid w:val="64007124"/>
    <w:rsid w:val="644313D8"/>
    <w:rsid w:val="64578170"/>
    <w:rsid w:val="646226DD"/>
    <w:rsid w:val="659FF427"/>
    <w:rsid w:val="669E305E"/>
    <w:rsid w:val="66D42963"/>
    <w:rsid w:val="67193FB4"/>
    <w:rsid w:val="694EFD0E"/>
    <w:rsid w:val="6983EB27"/>
    <w:rsid w:val="69879B51"/>
    <w:rsid w:val="69AC60EE"/>
    <w:rsid w:val="69D368C5"/>
    <w:rsid w:val="6A241227"/>
    <w:rsid w:val="6A99EDA3"/>
    <w:rsid w:val="6BEAD2C8"/>
    <w:rsid w:val="6BF326FE"/>
    <w:rsid w:val="6E1C5F5C"/>
    <w:rsid w:val="6E29BE3A"/>
    <w:rsid w:val="6E65FAB8"/>
    <w:rsid w:val="6F6C93B0"/>
    <w:rsid w:val="6FC9EDCF"/>
    <w:rsid w:val="6FD0EA20"/>
    <w:rsid w:val="6FED33C6"/>
    <w:rsid w:val="71CD53F1"/>
    <w:rsid w:val="71F8AC93"/>
    <w:rsid w:val="74EE9510"/>
    <w:rsid w:val="7516BDAE"/>
    <w:rsid w:val="751A100A"/>
    <w:rsid w:val="767089BE"/>
    <w:rsid w:val="783ECA0F"/>
    <w:rsid w:val="78AF548E"/>
    <w:rsid w:val="797D8D66"/>
    <w:rsid w:val="7A7870DC"/>
    <w:rsid w:val="7A8378B3"/>
    <w:rsid w:val="7A91FF9F"/>
    <w:rsid w:val="7AA18689"/>
    <w:rsid w:val="7B25AA79"/>
    <w:rsid w:val="7B778945"/>
    <w:rsid w:val="7E2E3CB5"/>
    <w:rsid w:val="7E564209"/>
    <w:rsid w:val="7F02CAA7"/>
    <w:rsid w:val="7F608451"/>
    <w:rsid w:val="7FF8A5E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5C4161"/>
  <w15:chartTrackingRefBased/>
  <w15:docId w15:val="{F1071264-4B03-4634-BBC8-1A2A4BC01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CC0"/>
    <w:pPr>
      <w:spacing w:after="240" w:line="360" w:lineRule="auto"/>
    </w:pPr>
    <w:rPr>
      <w:rFonts w:ascii="Arial" w:hAnsi="Arial"/>
      <w:sz w:val="24"/>
    </w:rPr>
  </w:style>
  <w:style w:type="paragraph" w:styleId="Heading1">
    <w:name w:val="heading 1"/>
    <w:basedOn w:val="Normal"/>
    <w:next w:val="Normal"/>
    <w:link w:val="Heading1Char"/>
    <w:uiPriority w:val="9"/>
    <w:qFormat/>
    <w:rsid w:val="000374EE"/>
    <w:pPr>
      <w:keepNext/>
      <w:keepLines/>
      <w:spacing w:line="240" w:lineRule="auto"/>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0374EE"/>
    <w:pPr>
      <w:keepNext/>
      <w:keepLines/>
      <w:spacing w:before="240" w:line="240" w:lineRule="auto"/>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0374EE"/>
    <w:pPr>
      <w:keepNext/>
      <w:keepLines/>
      <w:spacing w:before="240" w:line="240" w:lineRule="auto"/>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016CC0"/>
    <w:pPr>
      <w:keepNext/>
      <w:keepLines/>
      <w:spacing w:line="240" w:lineRule="auto"/>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74EE"/>
    <w:rPr>
      <w:rFonts w:ascii="Arial" w:eastAsiaTheme="majorEastAsia" w:hAnsi="Arial" w:cstheme="majorBidi"/>
      <w:b/>
      <w:sz w:val="36"/>
      <w:szCs w:val="32"/>
    </w:rPr>
  </w:style>
  <w:style w:type="character" w:customStyle="1" w:styleId="Heading2Char">
    <w:name w:val="Heading 2 Char"/>
    <w:basedOn w:val="DefaultParagraphFont"/>
    <w:link w:val="Heading2"/>
    <w:uiPriority w:val="9"/>
    <w:rsid w:val="000374EE"/>
    <w:rPr>
      <w:rFonts w:ascii="Arial" w:eastAsiaTheme="majorEastAsia" w:hAnsi="Arial" w:cstheme="majorBidi"/>
      <w:b/>
      <w:sz w:val="32"/>
      <w:szCs w:val="26"/>
    </w:rPr>
  </w:style>
  <w:style w:type="character" w:styleId="Hyperlink">
    <w:name w:val="Hyperlink"/>
    <w:basedOn w:val="DefaultParagraphFont"/>
    <w:uiPriority w:val="99"/>
    <w:unhideWhenUsed/>
    <w:qFormat/>
    <w:rsid w:val="008904F9"/>
    <w:rPr>
      <w:rFonts w:ascii="Arial" w:hAnsi="Arial"/>
      <w:color w:val="005EA5"/>
      <w:sz w:val="24"/>
      <w:u w:val="single"/>
    </w:rPr>
  </w:style>
  <w:style w:type="character" w:customStyle="1" w:styleId="Heading3Char">
    <w:name w:val="Heading 3 Char"/>
    <w:basedOn w:val="DefaultParagraphFont"/>
    <w:link w:val="Heading3"/>
    <w:uiPriority w:val="9"/>
    <w:rsid w:val="000374EE"/>
    <w:rPr>
      <w:rFonts w:ascii="Arial" w:eastAsiaTheme="majorEastAsia" w:hAnsi="Arial" w:cstheme="majorBidi"/>
      <w:b/>
      <w:sz w:val="28"/>
      <w:szCs w:val="24"/>
    </w:rPr>
  </w:style>
  <w:style w:type="paragraph" w:styleId="ListParagraph">
    <w:name w:val="List Paragraph"/>
    <w:basedOn w:val="Normal"/>
    <w:uiPriority w:val="34"/>
    <w:qFormat/>
    <w:rsid w:val="008904F9"/>
    <w:pPr>
      <w:spacing w:line="240" w:lineRule="auto"/>
      <w:ind w:left="720"/>
    </w:pPr>
    <w:rPr>
      <w:rFonts w:cs="Times New Roman"/>
      <w:sz w:val="20"/>
      <w:szCs w:val="20"/>
    </w:rPr>
  </w:style>
  <w:style w:type="paragraph" w:customStyle="1" w:styleId="Default">
    <w:name w:val="Default"/>
    <w:rsid w:val="008904F9"/>
    <w:pPr>
      <w:autoSpaceDE w:val="0"/>
      <w:autoSpaceDN w:val="0"/>
      <w:adjustRightInd w:val="0"/>
      <w:spacing w:after="0" w:line="240" w:lineRule="auto"/>
    </w:pPr>
    <w:rPr>
      <w:rFonts w:ascii="Arial" w:hAnsi="Arial" w:cs="Arial"/>
      <w:color w:val="000000"/>
      <w:sz w:val="24"/>
      <w:szCs w:val="24"/>
    </w:rPr>
  </w:style>
  <w:style w:type="paragraph" w:styleId="TOCHeading">
    <w:name w:val="TOC Heading"/>
    <w:basedOn w:val="Heading1"/>
    <w:next w:val="Normal"/>
    <w:uiPriority w:val="39"/>
    <w:unhideWhenUsed/>
    <w:qFormat/>
    <w:rsid w:val="008904F9"/>
    <w:pPr>
      <w:outlineLvl w:val="9"/>
    </w:pPr>
    <w:rPr>
      <w:lang w:val="en-US"/>
    </w:rPr>
  </w:style>
  <w:style w:type="paragraph" w:styleId="TOC1">
    <w:name w:val="toc 1"/>
    <w:basedOn w:val="Normal"/>
    <w:next w:val="Normal"/>
    <w:autoRedefine/>
    <w:uiPriority w:val="39"/>
    <w:unhideWhenUsed/>
    <w:rsid w:val="00CE3C36"/>
    <w:pPr>
      <w:tabs>
        <w:tab w:val="right" w:leader="dot" w:pos="9016"/>
      </w:tabs>
      <w:spacing w:after="100"/>
    </w:pPr>
  </w:style>
  <w:style w:type="paragraph" w:styleId="TOC2">
    <w:name w:val="toc 2"/>
    <w:basedOn w:val="Normal"/>
    <w:next w:val="Normal"/>
    <w:autoRedefine/>
    <w:uiPriority w:val="39"/>
    <w:unhideWhenUsed/>
    <w:rsid w:val="00993211"/>
    <w:pPr>
      <w:tabs>
        <w:tab w:val="left" w:pos="880"/>
        <w:tab w:val="right" w:leader="dot" w:pos="9016"/>
      </w:tabs>
      <w:spacing w:after="100"/>
      <w:ind w:left="220"/>
    </w:pPr>
  </w:style>
  <w:style w:type="paragraph" w:styleId="TOC3">
    <w:name w:val="toc 3"/>
    <w:basedOn w:val="Normal"/>
    <w:next w:val="Normal"/>
    <w:autoRedefine/>
    <w:uiPriority w:val="39"/>
    <w:unhideWhenUsed/>
    <w:rsid w:val="0099638A"/>
    <w:pPr>
      <w:tabs>
        <w:tab w:val="left" w:pos="1320"/>
        <w:tab w:val="right" w:leader="dot" w:pos="9016"/>
      </w:tabs>
      <w:spacing w:after="100"/>
      <w:ind w:left="426"/>
    </w:pPr>
  </w:style>
  <w:style w:type="paragraph" w:styleId="Header">
    <w:name w:val="header"/>
    <w:basedOn w:val="Normal"/>
    <w:link w:val="HeaderChar"/>
    <w:uiPriority w:val="99"/>
    <w:unhideWhenUsed/>
    <w:rsid w:val="008904F9"/>
    <w:pPr>
      <w:tabs>
        <w:tab w:val="center" w:pos="4513"/>
        <w:tab w:val="right" w:pos="9026"/>
      </w:tabs>
      <w:spacing w:line="240" w:lineRule="auto"/>
    </w:pPr>
  </w:style>
  <w:style w:type="character" w:customStyle="1" w:styleId="HeaderChar">
    <w:name w:val="Header Char"/>
    <w:basedOn w:val="DefaultParagraphFont"/>
    <w:link w:val="Header"/>
    <w:uiPriority w:val="99"/>
    <w:rsid w:val="008904F9"/>
  </w:style>
  <w:style w:type="paragraph" w:styleId="Footer">
    <w:name w:val="footer"/>
    <w:basedOn w:val="Normal"/>
    <w:link w:val="FooterChar"/>
    <w:uiPriority w:val="99"/>
    <w:unhideWhenUsed/>
    <w:rsid w:val="008904F9"/>
    <w:pPr>
      <w:tabs>
        <w:tab w:val="center" w:pos="4513"/>
        <w:tab w:val="right" w:pos="9026"/>
      </w:tabs>
      <w:spacing w:line="240" w:lineRule="auto"/>
    </w:pPr>
  </w:style>
  <w:style w:type="character" w:customStyle="1" w:styleId="FooterChar">
    <w:name w:val="Footer Char"/>
    <w:basedOn w:val="DefaultParagraphFont"/>
    <w:link w:val="Footer"/>
    <w:uiPriority w:val="99"/>
    <w:rsid w:val="008904F9"/>
  </w:style>
  <w:style w:type="paragraph" w:styleId="NoSpacing">
    <w:name w:val="No Spacing"/>
    <w:link w:val="NoSpacingChar"/>
    <w:uiPriority w:val="1"/>
    <w:qFormat/>
    <w:rsid w:val="002C0975"/>
    <w:pPr>
      <w:spacing w:after="0" w:line="240" w:lineRule="auto"/>
    </w:pPr>
    <w:rPr>
      <w:rFonts w:ascii="Arial" w:hAnsi="Arial"/>
      <w:sz w:val="24"/>
      <w:szCs w:val="20"/>
    </w:rPr>
  </w:style>
  <w:style w:type="paragraph" w:customStyle="1" w:styleId="ParagraphText">
    <w:name w:val="Paragraph Text"/>
    <w:basedOn w:val="Normal"/>
    <w:link w:val="ParagraphTextChar"/>
    <w:qFormat/>
    <w:rsid w:val="00FE4C7A"/>
    <w:pPr>
      <w:numPr>
        <w:numId w:val="6"/>
      </w:numPr>
    </w:pPr>
    <w:rPr>
      <w:rFonts w:cs="Arial"/>
    </w:rPr>
  </w:style>
  <w:style w:type="character" w:customStyle="1" w:styleId="ParagraphTextChar">
    <w:name w:val="Paragraph Text Char"/>
    <w:basedOn w:val="DefaultParagraphFont"/>
    <w:link w:val="ParagraphText"/>
    <w:rsid w:val="00FE4C7A"/>
    <w:rPr>
      <w:rFonts w:ascii="Arial" w:hAnsi="Arial" w:cs="Arial"/>
      <w:sz w:val="24"/>
    </w:rPr>
  </w:style>
  <w:style w:type="paragraph" w:styleId="Caption">
    <w:name w:val="caption"/>
    <w:basedOn w:val="Normal"/>
    <w:next w:val="Normal"/>
    <w:uiPriority w:val="35"/>
    <w:unhideWhenUsed/>
    <w:qFormat/>
    <w:rsid w:val="00FE4C7A"/>
    <w:pPr>
      <w:spacing w:after="200" w:line="240" w:lineRule="auto"/>
    </w:pPr>
    <w:rPr>
      <w:b/>
      <w:i/>
      <w:iCs/>
      <w:szCs w:val="18"/>
    </w:rPr>
  </w:style>
  <w:style w:type="table" w:customStyle="1" w:styleId="TableGrid1">
    <w:name w:val="Table Grid1"/>
    <w:basedOn w:val="TableNormal"/>
    <w:next w:val="TableGrid"/>
    <w:uiPriority w:val="39"/>
    <w:rsid w:val="00FE4C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E4C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A62341"/>
    <w:rPr>
      <w:color w:val="605E5C"/>
      <w:shd w:val="clear" w:color="auto" w:fill="E1DFDD"/>
    </w:rPr>
  </w:style>
  <w:style w:type="paragraph" w:styleId="FootnoteText">
    <w:name w:val="footnote text"/>
    <w:basedOn w:val="Normal"/>
    <w:link w:val="FootnoteTextChar"/>
    <w:uiPriority w:val="99"/>
    <w:unhideWhenUsed/>
    <w:rsid w:val="00D50609"/>
    <w:pPr>
      <w:spacing w:line="240" w:lineRule="auto"/>
    </w:pPr>
    <w:rPr>
      <w:sz w:val="20"/>
      <w:szCs w:val="20"/>
    </w:rPr>
  </w:style>
  <w:style w:type="character" w:customStyle="1" w:styleId="FootnoteTextChar">
    <w:name w:val="Footnote Text Char"/>
    <w:basedOn w:val="DefaultParagraphFont"/>
    <w:link w:val="FootnoteText"/>
    <w:uiPriority w:val="99"/>
    <w:rsid w:val="00D50609"/>
    <w:rPr>
      <w:sz w:val="20"/>
      <w:szCs w:val="20"/>
    </w:rPr>
  </w:style>
  <w:style w:type="character" w:styleId="FootnoteReference">
    <w:name w:val="footnote reference"/>
    <w:basedOn w:val="DefaultParagraphFont"/>
    <w:uiPriority w:val="99"/>
    <w:semiHidden/>
    <w:unhideWhenUsed/>
    <w:rsid w:val="00D50609"/>
    <w:rPr>
      <w:vertAlign w:val="superscript"/>
    </w:rPr>
  </w:style>
  <w:style w:type="character" w:customStyle="1" w:styleId="Heading4Char">
    <w:name w:val="Heading 4 Char"/>
    <w:basedOn w:val="DefaultParagraphFont"/>
    <w:link w:val="Heading4"/>
    <w:uiPriority w:val="9"/>
    <w:rsid w:val="00016CC0"/>
    <w:rPr>
      <w:rFonts w:ascii="Arial" w:eastAsiaTheme="majorEastAsia" w:hAnsi="Arial" w:cstheme="majorBidi"/>
      <w:b/>
      <w:i/>
      <w:iCs/>
      <w:sz w:val="24"/>
    </w:rPr>
  </w:style>
  <w:style w:type="paragraph" w:styleId="NormalWeb">
    <w:name w:val="Normal (Web)"/>
    <w:basedOn w:val="Normal"/>
    <w:uiPriority w:val="99"/>
    <w:unhideWhenUsed/>
    <w:rsid w:val="003D25AA"/>
    <w:pPr>
      <w:spacing w:before="100" w:beforeAutospacing="1" w:after="100" w:afterAutospacing="1" w:line="240" w:lineRule="auto"/>
    </w:pPr>
    <w:rPr>
      <w:rFonts w:ascii="Times New Roman" w:eastAsia="Times New Roman" w:hAnsi="Times New Roman" w:cs="Times New Roman"/>
      <w:szCs w:val="24"/>
      <w:lang w:eastAsia="en-GB"/>
    </w:rPr>
  </w:style>
  <w:style w:type="character" w:styleId="CommentReference">
    <w:name w:val="annotation reference"/>
    <w:basedOn w:val="DefaultParagraphFont"/>
    <w:uiPriority w:val="99"/>
    <w:semiHidden/>
    <w:unhideWhenUsed/>
    <w:rsid w:val="00445E8E"/>
    <w:rPr>
      <w:sz w:val="16"/>
      <w:szCs w:val="16"/>
    </w:rPr>
  </w:style>
  <w:style w:type="paragraph" w:styleId="CommentText">
    <w:name w:val="annotation text"/>
    <w:basedOn w:val="Normal"/>
    <w:link w:val="CommentTextChar"/>
    <w:uiPriority w:val="99"/>
    <w:unhideWhenUsed/>
    <w:rsid w:val="00445E8E"/>
    <w:pPr>
      <w:spacing w:line="240" w:lineRule="auto"/>
    </w:pPr>
    <w:rPr>
      <w:sz w:val="20"/>
      <w:szCs w:val="20"/>
    </w:rPr>
  </w:style>
  <w:style w:type="character" w:customStyle="1" w:styleId="CommentTextChar">
    <w:name w:val="Comment Text Char"/>
    <w:basedOn w:val="DefaultParagraphFont"/>
    <w:link w:val="CommentText"/>
    <w:uiPriority w:val="99"/>
    <w:rsid w:val="00445E8E"/>
    <w:rPr>
      <w:sz w:val="20"/>
      <w:szCs w:val="20"/>
    </w:rPr>
  </w:style>
  <w:style w:type="paragraph" w:styleId="CommentSubject">
    <w:name w:val="annotation subject"/>
    <w:basedOn w:val="CommentText"/>
    <w:next w:val="CommentText"/>
    <w:link w:val="CommentSubjectChar"/>
    <w:uiPriority w:val="99"/>
    <w:semiHidden/>
    <w:unhideWhenUsed/>
    <w:rsid w:val="00445E8E"/>
    <w:rPr>
      <w:b/>
      <w:bCs/>
    </w:rPr>
  </w:style>
  <w:style w:type="character" w:customStyle="1" w:styleId="CommentSubjectChar">
    <w:name w:val="Comment Subject Char"/>
    <w:basedOn w:val="CommentTextChar"/>
    <w:link w:val="CommentSubject"/>
    <w:uiPriority w:val="99"/>
    <w:semiHidden/>
    <w:rsid w:val="00445E8E"/>
    <w:rPr>
      <w:b/>
      <w:bCs/>
      <w:sz w:val="20"/>
      <w:szCs w:val="20"/>
    </w:rPr>
  </w:style>
  <w:style w:type="character" w:styleId="Mention">
    <w:name w:val="Mention"/>
    <w:basedOn w:val="DefaultParagraphFont"/>
    <w:uiPriority w:val="99"/>
    <w:unhideWhenUsed/>
    <w:rsid w:val="00E7108D"/>
    <w:rPr>
      <w:color w:val="2B579A"/>
      <w:shd w:val="clear" w:color="auto" w:fill="E1DFDD"/>
    </w:rPr>
  </w:style>
  <w:style w:type="character" w:styleId="FollowedHyperlink">
    <w:name w:val="FollowedHyperlink"/>
    <w:basedOn w:val="DefaultParagraphFont"/>
    <w:uiPriority w:val="99"/>
    <w:semiHidden/>
    <w:unhideWhenUsed/>
    <w:rsid w:val="00D20603"/>
    <w:rPr>
      <w:color w:val="954F72" w:themeColor="followedHyperlink"/>
      <w:u w:val="single"/>
    </w:rPr>
  </w:style>
  <w:style w:type="paragraph" w:styleId="Revision">
    <w:name w:val="Revision"/>
    <w:hidden/>
    <w:uiPriority w:val="99"/>
    <w:semiHidden/>
    <w:rsid w:val="009470E8"/>
    <w:pPr>
      <w:spacing w:after="0" w:line="240" w:lineRule="auto"/>
    </w:pPr>
  </w:style>
  <w:style w:type="paragraph" w:customStyle="1" w:styleId="Footnote">
    <w:name w:val="Footnote"/>
    <w:basedOn w:val="FootnoteText"/>
    <w:link w:val="FootnoteChar"/>
    <w:qFormat/>
    <w:rsid w:val="0094366D"/>
    <w:pPr>
      <w:spacing w:after="60"/>
    </w:pPr>
    <w:rPr>
      <w:rFonts w:cs="Arial"/>
    </w:rPr>
  </w:style>
  <w:style w:type="character" w:customStyle="1" w:styleId="FootnoteChar">
    <w:name w:val="Footnote Char"/>
    <w:basedOn w:val="FootnoteTextChar"/>
    <w:link w:val="Footnote"/>
    <w:rsid w:val="0094366D"/>
    <w:rPr>
      <w:rFonts w:ascii="Arial" w:hAnsi="Arial" w:cs="Arial"/>
      <w:sz w:val="20"/>
      <w:szCs w:val="20"/>
    </w:rPr>
  </w:style>
  <w:style w:type="paragraph" w:customStyle="1" w:styleId="Tablesource">
    <w:name w:val="Table source"/>
    <w:basedOn w:val="Normal"/>
    <w:qFormat/>
    <w:rsid w:val="00016CC0"/>
    <w:pPr>
      <w:spacing w:before="120" w:line="259" w:lineRule="auto"/>
    </w:pPr>
    <w:rPr>
      <w:i/>
      <w:sz w:val="22"/>
    </w:rPr>
  </w:style>
  <w:style w:type="paragraph" w:customStyle="1" w:styleId="Tablenote">
    <w:name w:val="Table note"/>
    <w:basedOn w:val="Tablesource"/>
    <w:qFormat/>
    <w:rsid w:val="00B25A27"/>
    <w:pPr>
      <w:spacing w:after="120"/>
    </w:pPr>
  </w:style>
  <w:style w:type="paragraph" w:styleId="EndnoteText">
    <w:name w:val="endnote text"/>
    <w:basedOn w:val="Normal"/>
    <w:link w:val="EndnoteTextChar"/>
    <w:uiPriority w:val="99"/>
    <w:semiHidden/>
    <w:unhideWhenUsed/>
    <w:rsid w:val="00B523E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523E5"/>
    <w:rPr>
      <w:rFonts w:ascii="Arial" w:hAnsi="Arial"/>
      <w:sz w:val="20"/>
      <w:szCs w:val="20"/>
    </w:rPr>
  </w:style>
  <w:style w:type="character" w:styleId="EndnoteReference">
    <w:name w:val="endnote reference"/>
    <w:basedOn w:val="DefaultParagraphFont"/>
    <w:uiPriority w:val="99"/>
    <w:semiHidden/>
    <w:unhideWhenUsed/>
    <w:rsid w:val="00B523E5"/>
    <w:rPr>
      <w:vertAlign w:val="superscript"/>
    </w:rPr>
  </w:style>
  <w:style w:type="character" w:customStyle="1" w:styleId="NoSpacingChar">
    <w:name w:val="No Spacing Char"/>
    <w:basedOn w:val="DefaultParagraphFont"/>
    <w:link w:val="NoSpacing"/>
    <w:uiPriority w:val="1"/>
    <w:rsid w:val="00695274"/>
    <w:rPr>
      <w:rFonts w:ascii="Arial" w:hAnsi="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3260">
      <w:bodyDiv w:val="1"/>
      <w:marLeft w:val="0"/>
      <w:marRight w:val="0"/>
      <w:marTop w:val="0"/>
      <w:marBottom w:val="0"/>
      <w:divBdr>
        <w:top w:val="none" w:sz="0" w:space="0" w:color="auto"/>
        <w:left w:val="none" w:sz="0" w:space="0" w:color="auto"/>
        <w:bottom w:val="none" w:sz="0" w:space="0" w:color="auto"/>
        <w:right w:val="none" w:sz="0" w:space="0" w:color="auto"/>
      </w:divBdr>
    </w:div>
    <w:div w:id="27224397">
      <w:bodyDiv w:val="1"/>
      <w:marLeft w:val="0"/>
      <w:marRight w:val="0"/>
      <w:marTop w:val="0"/>
      <w:marBottom w:val="0"/>
      <w:divBdr>
        <w:top w:val="none" w:sz="0" w:space="0" w:color="auto"/>
        <w:left w:val="none" w:sz="0" w:space="0" w:color="auto"/>
        <w:bottom w:val="none" w:sz="0" w:space="0" w:color="auto"/>
        <w:right w:val="none" w:sz="0" w:space="0" w:color="auto"/>
      </w:divBdr>
    </w:div>
    <w:div w:id="143621877">
      <w:bodyDiv w:val="1"/>
      <w:marLeft w:val="0"/>
      <w:marRight w:val="0"/>
      <w:marTop w:val="0"/>
      <w:marBottom w:val="0"/>
      <w:divBdr>
        <w:top w:val="none" w:sz="0" w:space="0" w:color="auto"/>
        <w:left w:val="none" w:sz="0" w:space="0" w:color="auto"/>
        <w:bottom w:val="none" w:sz="0" w:space="0" w:color="auto"/>
        <w:right w:val="none" w:sz="0" w:space="0" w:color="auto"/>
      </w:divBdr>
    </w:div>
    <w:div w:id="397673193">
      <w:bodyDiv w:val="1"/>
      <w:marLeft w:val="0"/>
      <w:marRight w:val="0"/>
      <w:marTop w:val="0"/>
      <w:marBottom w:val="0"/>
      <w:divBdr>
        <w:top w:val="none" w:sz="0" w:space="0" w:color="auto"/>
        <w:left w:val="none" w:sz="0" w:space="0" w:color="auto"/>
        <w:bottom w:val="none" w:sz="0" w:space="0" w:color="auto"/>
        <w:right w:val="none" w:sz="0" w:space="0" w:color="auto"/>
      </w:divBdr>
      <w:divsChild>
        <w:div w:id="405035859">
          <w:marLeft w:val="288"/>
          <w:marRight w:val="0"/>
          <w:marTop w:val="120"/>
          <w:marBottom w:val="0"/>
          <w:divBdr>
            <w:top w:val="none" w:sz="0" w:space="0" w:color="auto"/>
            <w:left w:val="none" w:sz="0" w:space="0" w:color="auto"/>
            <w:bottom w:val="none" w:sz="0" w:space="0" w:color="auto"/>
            <w:right w:val="none" w:sz="0" w:space="0" w:color="auto"/>
          </w:divBdr>
        </w:div>
      </w:divsChild>
    </w:div>
    <w:div w:id="569192934">
      <w:bodyDiv w:val="1"/>
      <w:marLeft w:val="0"/>
      <w:marRight w:val="0"/>
      <w:marTop w:val="0"/>
      <w:marBottom w:val="0"/>
      <w:divBdr>
        <w:top w:val="none" w:sz="0" w:space="0" w:color="auto"/>
        <w:left w:val="none" w:sz="0" w:space="0" w:color="auto"/>
        <w:bottom w:val="none" w:sz="0" w:space="0" w:color="auto"/>
        <w:right w:val="none" w:sz="0" w:space="0" w:color="auto"/>
      </w:divBdr>
      <w:divsChild>
        <w:div w:id="52243020">
          <w:marLeft w:val="0"/>
          <w:marRight w:val="0"/>
          <w:marTop w:val="0"/>
          <w:marBottom w:val="120"/>
          <w:divBdr>
            <w:top w:val="none" w:sz="0" w:space="0" w:color="auto"/>
            <w:left w:val="none" w:sz="0" w:space="0" w:color="auto"/>
            <w:bottom w:val="none" w:sz="0" w:space="0" w:color="auto"/>
            <w:right w:val="none" w:sz="0" w:space="0" w:color="auto"/>
          </w:divBdr>
          <w:divsChild>
            <w:div w:id="2026324513">
              <w:marLeft w:val="0"/>
              <w:marRight w:val="0"/>
              <w:marTop w:val="0"/>
              <w:marBottom w:val="0"/>
              <w:divBdr>
                <w:top w:val="none" w:sz="0" w:space="0" w:color="auto"/>
                <w:left w:val="none" w:sz="0" w:space="0" w:color="auto"/>
                <w:bottom w:val="none" w:sz="0" w:space="0" w:color="auto"/>
                <w:right w:val="none" w:sz="0" w:space="0" w:color="auto"/>
              </w:divBdr>
            </w:div>
          </w:divsChild>
        </w:div>
        <w:div w:id="277765526">
          <w:marLeft w:val="0"/>
          <w:marRight w:val="0"/>
          <w:marTop w:val="0"/>
          <w:marBottom w:val="120"/>
          <w:divBdr>
            <w:top w:val="none" w:sz="0" w:space="0" w:color="auto"/>
            <w:left w:val="none" w:sz="0" w:space="0" w:color="auto"/>
            <w:bottom w:val="none" w:sz="0" w:space="0" w:color="auto"/>
            <w:right w:val="none" w:sz="0" w:space="0" w:color="auto"/>
          </w:divBdr>
          <w:divsChild>
            <w:div w:id="167792332">
              <w:marLeft w:val="0"/>
              <w:marRight w:val="0"/>
              <w:marTop w:val="0"/>
              <w:marBottom w:val="0"/>
              <w:divBdr>
                <w:top w:val="none" w:sz="0" w:space="0" w:color="auto"/>
                <w:left w:val="none" w:sz="0" w:space="0" w:color="auto"/>
                <w:bottom w:val="none" w:sz="0" w:space="0" w:color="auto"/>
                <w:right w:val="none" w:sz="0" w:space="0" w:color="auto"/>
              </w:divBdr>
            </w:div>
          </w:divsChild>
        </w:div>
        <w:div w:id="648099380">
          <w:marLeft w:val="0"/>
          <w:marRight w:val="0"/>
          <w:marTop w:val="0"/>
          <w:marBottom w:val="120"/>
          <w:divBdr>
            <w:top w:val="none" w:sz="0" w:space="0" w:color="auto"/>
            <w:left w:val="none" w:sz="0" w:space="0" w:color="auto"/>
            <w:bottom w:val="none" w:sz="0" w:space="0" w:color="auto"/>
            <w:right w:val="none" w:sz="0" w:space="0" w:color="auto"/>
          </w:divBdr>
          <w:divsChild>
            <w:div w:id="1173374932">
              <w:marLeft w:val="0"/>
              <w:marRight w:val="0"/>
              <w:marTop w:val="0"/>
              <w:marBottom w:val="0"/>
              <w:divBdr>
                <w:top w:val="none" w:sz="0" w:space="0" w:color="auto"/>
                <w:left w:val="none" w:sz="0" w:space="0" w:color="auto"/>
                <w:bottom w:val="none" w:sz="0" w:space="0" w:color="auto"/>
                <w:right w:val="none" w:sz="0" w:space="0" w:color="auto"/>
              </w:divBdr>
            </w:div>
          </w:divsChild>
        </w:div>
        <w:div w:id="669018421">
          <w:marLeft w:val="0"/>
          <w:marRight w:val="0"/>
          <w:marTop w:val="0"/>
          <w:marBottom w:val="120"/>
          <w:divBdr>
            <w:top w:val="none" w:sz="0" w:space="0" w:color="auto"/>
            <w:left w:val="none" w:sz="0" w:space="0" w:color="auto"/>
            <w:bottom w:val="none" w:sz="0" w:space="0" w:color="auto"/>
            <w:right w:val="none" w:sz="0" w:space="0" w:color="auto"/>
          </w:divBdr>
          <w:divsChild>
            <w:div w:id="1430467809">
              <w:marLeft w:val="0"/>
              <w:marRight w:val="0"/>
              <w:marTop w:val="0"/>
              <w:marBottom w:val="0"/>
              <w:divBdr>
                <w:top w:val="none" w:sz="0" w:space="0" w:color="auto"/>
                <w:left w:val="none" w:sz="0" w:space="0" w:color="auto"/>
                <w:bottom w:val="none" w:sz="0" w:space="0" w:color="auto"/>
                <w:right w:val="none" w:sz="0" w:space="0" w:color="auto"/>
              </w:divBdr>
            </w:div>
          </w:divsChild>
        </w:div>
        <w:div w:id="1442381861">
          <w:marLeft w:val="0"/>
          <w:marRight w:val="0"/>
          <w:marTop w:val="0"/>
          <w:marBottom w:val="120"/>
          <w:divBdr>
            <w:top w:val="none" w:sz="0" w:space="0" w:color="auto"/>
            <w:left w:val="none" w:sz="0" w:space="0" w:color="auto"/>
            <w:bottom w:val="none" w:sz="0" w:space="0" w:color="auto"/>
            <w:right w:val="none" w:sz="0" w:space="0" w:color="auto"/>
          </w:divBdr>
          <w:divsChild>
            <w:div w:id="294798553">
              <w:marLeft w:val="0"/>
              <w:marRight w:val="0"/>
              <w:marTop w:val="0"/>
              <w:marBottom w:val="0"/>
              <w:divBdr>
                <w:top w:val="none" w:sz="0" w:space="0" w:color="auto"/>
                <w:left w:val="none" w:sz="0" w:space="0" w:color="auto"/>
                <w:bottom w:val="none" w:sz="0" w:space="0" w:color="auto"/>
                <w:right w:val="none" w:sz="0" w:space="0" w:color="auto"/>
              </w:divBdr>
            </w:div>
          </w:divsChild>
        </w:div>
        <w:div w:id="1746147217">
          <w:marLeft w:val="0"/>
          <w:marRight w:val="0"/>
          <w:marTop w:val="0"/>
          <w:marBottom w:val="120"/>
          <w:divBdr>
            <w:top w:val="none" w:sz="0" w:space="0" w:color="auto"/>
            <w:left w:val="none" w:sz="0" w:space="0" w:color="auto"/>
            <w:bottom w:val="none" w:sz="0" w:space="0" w:color="auto"/>
            <w:right w:val="none" w:sz="0" w:space="0" w:color="auto"/>
          </w:divBdr>
          <w:divsChild>
            <w:div w:id="838232825">
              <w:marLeft w:val="0"/>
              <w:marRight w:val="0"/>
              <w:marTop w:val="0"/>
              <w:marBottom w:val="0"/>
              <w:divBdr>
                <w:top w:val="none" w:sz="0" w:space="0" w:color="auto"/>
                <w:left w:val="none" w:sz="0" w:space="0" w:color="auto"/>
                <w:bottom w:val="none" w:sz="0" w:space="0" w:color="auto"/>
                <w:right w:val="none" w:sz="0" w:space="0" w:color="auto"/>
              </w:divBdr>
            </w:div>
          </w:divsChild>
        </w:div>
        <w:div w:id="1778870494">
          <w:marLeft w:val="0"/>
          <w:marRight w:val="0"/>
          <w:marTop w:val="0"/>
          <w:marBottom w:val="120"/>
          <w:divBdr>
            <w:top w:val="none" w:sz="0" w:space="0" w:color="auto"/>
            <w:left w:val="none" w:sz="0" w:space="0" w:color="auto"/>
            <w:bottom w:val="none" w:sz="0" w:space="0" w:color="auto"/>
            <w:right w:val="none" w:sz="0" w:space="0" w:color="auto"/>
          </w:divBdr>
          <w:divsChild>
            <w:div w:id="80258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363555">
      <w:bodyDiv w:val="1"/>
      <w:marLeft w:val="0"/>
      <w:marRight w:val="0"/>
      <w:marTop w:val="0"/>
      <w:marBottom w:val="0"/>
      <w:divBdr>
        <w:top w:val="none" w:sz="0" w:space="0" w:color="auto"/>
        <w:left w:val="none" w:sz="0" w:space="0" w:color="auto"/>
        <w:bottom w:val="none" w:sz="0" w:space="0" w:color="auto"/>
        <w:right w:val="none" w:sz="0" w:space="0" w:color="auto"/>
      </w:divBdr>
      <w:divsChild>
        <w:div w:id="103352475">
          <w:marLeft w:val="288"/>
          <w:marRight w:val="0"/>
          <w:marTop w:val="0"/>
          <w:marBottom w:val="0"/>
          <w:divBdr>
            <w:top w:val="none" w:sz="0" w:space="0" w:color="auto"/>
            <w:left w:val="none" w:sz="0" w:space="0" w:color="auto"/>
            <w:bottom w:val="none" w:sz="0" w:space="0" w:color="auto"/>
            <w:right w:val="none" w:sz="0" w:space="0" w:color="auto"/>
          </w:divBdr>
        </w:div>
        <w:div w:id="324819071">
          <w:marLeft w:val="288"/>
          <w:marRight w:val="0"/>
          <w:marTop w:val="0"/>
          <w:marBottom w:val="0"/>
          <w:divBdr>
            <w:top w:val="none" w:sz="0" w:space="0" w:color="auto"/>
            <w:left w:val="none" w:sz="0" w:space="0" w:color="auto"/>
            <w:bottom w:val="none" w:sz="0" w:space="0" w:color="auto"/>
            <w:right w:val="none" w:sz="0" w:space="0" w:color="auto"/>
          </w:divBdr>
        </w:div>
        <w:div w:id="363677540">
          <w:marLeft w:val="288"/>
          <w:marRight w:val="0"/>
          <w:marTop w:val="0"/>
          <w:marBottom w:val="0"/>
          <w:divBdr>
            <w:top w:val="none" w:sz="0" w:space="0" w:color="auto"/>
            <w:left w:val="none" w:sz="0" w:space="0" w:color="auto"/>
            <w:bottom w:val="none" w:sz="0" w:space="0" w:color="auto"/>
            <w:right w:val="none" w:sz="0" w:space="0" w:color="auto"/>
          </w:divBdr>
        </w:div>
        <w:div w:id="596449228">
          <w:marLeft w:val="288"/>
          <w:marRight w:val="0"/>
          <w:marTop w:val="0"/>
          <w:marBottom w:val="0"/>
          <w:divBdr>
            <w:top w:val="none" w:sz="0" w:space="0" w:color="auto"/>
            <w:left w:val="none" w:sz="0" w:space="0" w:color="auto"/>
            <w:bottom w:val="none" w:sz="0" w:space="0" w:color="auto"/>
            <w:right w:val="none" w:sz="0" w:space="0" w:color="auto"/>
          </w:divBdr>
        </w:div>
        <w:div w:id="677199429">
          <w:marLeft w:val="288"/>
          <w:marRight w:val="0"/>
          <w:marTop w:val="0"/>
          <w:marBottom w:val="0"/>
          <w:divBdr>
            <w:top w:val="none" w:sz="0" w:space="0" w:color="auto"/>
            <w:left w:val="none" w:sz="0" w:space="0" w:color="auto"/>
            <w:bottom w:val="none" w:sz="0" w:space="0" w:color="auto"/>
            <w:right w:val="none" w:sz="0" w:space="0" w:color="auto"/>
          </w:divBdr>
        </w:div>
        <w:div w:id="1236472805">
          <w:marLeft w:val="288"/>
          <w:marRight w:val="0"/>
          <w:marTop w:val="0"/>
          <w:marBottom w:val="0"/>
          <w:divBdr>
            <w:top w:val="none" w:sz="0" w:space="0" w:color="auto"/>
            <w:left w:val="none" w:sz="0" w:space="0" w:color="auto"/>
            <w:bottom w:val="none" w:sz="0" w:space="0" w:color="auto"/>
            <w:right w:val="none" w:sz="0" w:space="0" w:color="auto"/>
          </w:divBdr>
        </w:div>
        <w:div w:id="1876037430">
          <w:marLeft w:val="288"/>
          <w:marRight w:val="0"/>
          <w:marTop w:val="0"/>
          <w:marBottom w:val="0"/>
          <w:divBdr>
            <w:top w:val="none" w:sz="0" w:space="0" w:color="auto"/>
            <w:left w:val="none" w:sz="0" w:space="0" w:color="auto"/>
            <w:bottom w:val="none" w:sz="0" w:space="0" w:color="auto"/>
            <w:right w:val="none" w:sz="0" w:space="0" w:color="auto"/>
          </w:divBdr>
        </w:div>
      </w:divsChild>
    </w:div>
    <w:div w:id="832136633">
      <w:bodyDiv w:val="1"/>
      <w:marLeft w:val="0"/>
      <w:marRight w:val="0"/>
      <w:marTop w:val="0"/>
      <w:marBottom w:val="0"/>
      <w:divBdr>
        <w:top w:val="none" w:sz="0" w:space="0" w:color="auto"/>
        <w:left w:val="none" w:sz="0" w:space="0" w:color="auto"/>
        <w:bottom w:val="none" w:sz="0" w:space="0" w:color="auto"/>
        <w:right w:val="none" w:sz="0" w:space="0" w:color="auto"/>
      </w:divBdr>
    </w:div>
    <w:div w:id="1397584921">
      <w:bodyDiv w:val="1"/>
      <w:marLeft w:val="0"/>
      <w:marRight w:val="0"/>
      <w:marTop w:val="0"/>
      <w:marBottom w:val="0"/>
      <w:divBdr>
        <w:top w:val="none" w:sz="0" w:space="0" w:color="auto"/>
        <w:left w:val="none" w:sz="0" w:space="0" w:color="auto"/>
        <w:bottom w:val="none" w:sz="0" w:space="0" w:color="auto"/>
        <w:right w:val="none" w:sz="0" w:space="0" w:color="auto"/>
      </w:divBdr>
    </w:div>
    <w:div w:id="1626765813">
      <w:bodyDiv w:val="1"/>
      <w:marLeft w:val="0"/>
      <w:marRight w:val="0"/>
      <w:marTop w:val="0"/>
      <w:marBottom w:val="0"/>
      <w:divBdr>
        <w:top w:val="none" w:sz="0" w:space="0" w:color="auto"/>
        <w:left w:val="none" w:sz="0" w:space="0" w:color="auto"/>
        <w:bottom w:val="none" w:sz="0" w:space="0" w:color="auto"/>
        <w:right w:val="none" w:sz="0" w:space="0" w:color="auto"/>
      </w:divBdr>
      <w:divsChild>
        <w:div w:id="955213333">
          <w:marLeft w:val="274"/>
          <w:marRight w:val="0"/>
          <w:marTop w:val="0"/>
          <w:marBottom w:val="0"/>
          <w:divBdr>
            <w:top w:val="none" w:sz="0" w:space="0" w:color="auto"/>
            <w:left w:val="none" w:sz="0" w:space="0" w:color="auto"/>
            <w:bottom w:val="none" w:sz="0" w:space="0" w:color="auto"/>
            <w:right w:val="none" w:sz="0" w:space="0" w:color="auto"/>
          </w:divBdr>
        </w:div>
        <w:div w:id="1210797500">
          <w:marLeft w:val="274"/>
          <w:marRight w:val="0"/>
          <w:marTop w:val="0"/>
          <w:marBottom w:val="0"/>
          <w:divBdr>
            <w:top w:val="none" w:sz="0" w:space="0" w:color="auto"/>
            <w:left w:val="none" w:sz="0" w:space="0" w:color="auto"/>
            <w:bottom w:val="none" w:sz="0" w:space="0" w:color="auto"/>
            <w:right w:val="none" w:sz="0" w:space="0" w:color="auto"/>
          </w:divBdr>
        </w:div>
        <w:div w:id="1475903076">
          <w:marLeft w:val="274"/>
          <w:marRight w:val="0"/>
          <w:marTop w:val="0"/>
          <w:marBottom w:val="0"/>
          <w:divBdr>
            <w:top w:val="none" w:sz="0" w:space="0" w:color="auto"/>
            <w:left w:val="none" w:sz="0" w:space="0" w:color="auto"/>
            <w:bottom w:val="none" w:sz="0" w:space="0" w:color="auto"/>
            <w:right w:val="none" w:sz="0" w:space="0" w:color="auto"/>
          </w:divBdr>
        </w:div>
        <w:div w:id="1801655774">
          <w:marLeft w:val="274"/>
          <w:marRight w:val="0"/>
          <w:marTop w:val="0"/>
          <w:marBottom w:val="0"/>
          <w:divBdr>
            <w:top w:val="none" w:sz="0" w:space="0" w:color="auto"/>
            <w:left w:val="none" w:sz="0" w:space="0" w:color="auto"/>
            <w:bottom w:val="none" w:sz="0" w:space="0" w:color="auto"/>
            <w:right w:val="none" w:sz="0" w:space="0" w:color="auto"/>
          </w:divBdr>
        </w:div>
        <w:div w:id="1846747736">
          <w:marLeft w:val="274"/>
          <w:marRight w:val="0"/>
          <w:marTop w:val="0"/>
          <w:marBottom w:val="0"/>
          <w:divBdr>
            <w:top w:val="none" w:sz="0" w:space="0" w:color="auto"/>
            <w:left w:val="none" w:sz="0" w:space="0" w:color="auto"/>
            <w:bottom w:val="none" w:sz="0" w:space="0" w:color="auto"/>
            <w:right w:val="none" w:sz="0" w:space="0" w:color="auto"/>
          </w:divBdr>
        </w:div>
        <w:div w:id="2124613681">
          <w:marLeft w:val="274"/>
          <w:marRight w:val="0"/>
          <w:marTop w:val="0"/>
          <w:marBottom w:val="0"/>
          <w:divBdr>
            <w:top w:val="none" w:sz="0" w:space="0" w:color="auto"/>
            <w:left w:val="none" w:sz="0" w:space="0" w:color="auto"/>
            <w:bottom w:val="none" w:sz="0" w:space="0" w:color="auto"/>
            <w:right w:val="none" w:sz="0" w:space="0" w:color="auto"/>
          </w:divBdr>
        </w:div>
      </w:divsChild>
    </w:div>
    <w:div w:id="1656644291">
      <w:bodyDiv w:val="1"/>
      <w:marLeft w:val="0"/>
      <w:marRight w:val="0"/>
      <w:marTop w:val="0"/>
      <w:marBottom w:val="0"/>
      <w:divBdr>
        <w:top w:val="none" w:sz="0" w:space="0" w:color="auto"/>
        <w:left w:val="none" w:sz="0" w:space="0" w:color="auto"/>
        <w:bottom w:val="none" w:sz="0" w:space="0" w:color="auto"/>
        <w:right w:val="none" w:sz="0" w:space="0" w:color="auto"/>
      </w:divBdr>
    </w:div>
    <w:div w:id="1920672355">
      <w:bodyDiv w:val="1"/>
      <w:marLeft w:val="0"/>
      <w:marRight w:val="0"/>
      <w:marTop w:val="0"/>
      <w:marBottom w:val="0"/>
      <w:divBdr>
        <w:top w:val="none" w:sz="0" w:space="0" w:color="auto"/>
        <w:left w:val="none" w:sz="0" w:space="0" w:color="auto"/>
        <w:bottom w:val="none" w:sz="0" w:space="0" w:color="auto"/>
        <w:right w:val="none" w:sz="0" w:space="0" w:color="auto"/>
      </w:divBdr>
      <w:divsChild>
        <w:div w:id="68432694">
          <w:marLeft w:val="288"/>
          <w:marRight w:val="0"/>
          <w:marTop w:val="120"/>
          <w:marBottom w:val="0"/>
          <w:divBdr>
            <w:top w:val="none" w:sz="0" w:space="0" w:color="auto"/>
            <w:left w:val="none" w:sz="0" w:space="0" w:color="auto"/>
            <w:bottom w:val="none" w:sz="0" w:space="0" w:color="auto"/>
            <w:right w:val="none" w:sz="0" w:space="0" w:color="auto"/>
          </w:divBdr>
        </w:div>
        <w:div w:id="597375146">
          <w:marLeft w:val="288"/>
          <w:marRight w:val="0"/>
          <w:marTop w:val="120"/>
          <w:marBottom w:val="0"/>
          <w:divBdr>
            <w:top w:val="none" w:sz="0" w:space="0" w:color="auto"/>
            <w:left w:val="none" w:sz="0" w:space="0" w:color="auto"/>
            <w:bottom w:val="none" w:sz="0" w:space="0" w:color="auto"/>
            <w:right w:val="none" w:sz="0" w:space="0" w:color="auto"/>
          </w:divBdr>
        </w:div>
        <w:div w:id="1026908280">
          <w:marLeft w:val="576"/>
          <w:marRight w:val="0"/>
          <w:marTop w:val="120"/>
          <w:marBottom w:val="0"/>
          <w:divBdr>
            <w:top w:val="none" w:sz="0" w:space="0" w:color="auto"/>
            <w:left w:val="none" w:sz="0" w:space="0" w:color="auto"/>
            <w:bottom w:val="none" w:sz="0" w:space="0" w:color="auto"/>
            <w:right w:val="none" w:sz="0" w:space="0" w:color="auto"/>
          </w:divBdr>
        </w:div>
        <w:div w:id="1369406816">
          <w:marLeft w:val="288"/>
          <w:marRight w:val="0"/>
          <w:marTop w:val="120"/>
          <w:marBottom w:val="0"/>
          <w:divBdr>
            <w:top w:val="none" w:sz="0" w:space="0" w:color="auto"/>
            <w:left w:val="none" w:sz="0" w:space="0" w:color="auto"/>
            <w:bottom w:val="none" w:sz="0" w:space="0" w:color="auto"/>
            <w:right w:val="none" w:sz="0" w:space="0" w:color="auto"/>
          </w:divBdr>
        </w:div>
        <w:div w:id="1435176584">
          <w:marLeft w:val="288"/>
          <w:marRight w:val="0"/>
          <w:marTop w:val="120"/>
          <w:marBottom w:val="0"/>
          <w:divBdr>
            <w:top w:val="none" w:sz="0" w:space="0" w:color="auto"/>
            <w:left w:val="none" w:sz="0" w:space="0" w:color="auto"/>
            <w:bottom w:val="none" w:sz="0" w:space="0" w:color="auto"/>
            <w:right w:val="none" w:sz="0" w:space="0" w:color="auto"/>
          </w:divBdr>
        </w:div>
        <w:div w:id="1792087584">
          <w:marLeft w:val="288"/>
          <w:marRight w:val="0"/>
          <w:marTop w:val="120"/>
          <w:marBottom w:val="0"/>
          <w:divBdr>
            <w:top w:val="none" w:sz="0" w:space="0" w:color="auto"/>
            <w:left w:val="none" w:sz="0" w:space="0" w:color="auto"/>
            <w:bottom w:val="none" w:sz="0" w:space="0" w:color="auto"/>
            <w:right w:val="none" w:sz="0" w:space="0" w:color="auto"/>
          </w:divBdr>
        </w:div>
        <w:div w:id="1965622184">
          <w:marLeft w:val="288"/>
          <w:marRight w:val="0"/>
          <w:marTop w:val="120"/>
          <w:marBottom w:val="0"/>
          <w:divBdr>
            <w:top w:val="none" w:sz="0" w:space="0" w:color="auto"/>
            <w:left w:val="none" w:sz="0" w:space="0" w:color="auto"/>
            <w:bottom w:val="none" w:sz="0" w:space="0" w:color="auto"/>
            <w:right w:val="none" w:sz="0" w:space="0" w:color="auto"/>
          </w:divBdr>
        </w:div>
        <w:div w:id="2110225909">
          <w:marLeft w:val="576"/>
          <w:marRight w:val="0"/>
          <w:marTop w:val="120"/>
          <w:marBottom w:val="0"/>
          <w:divBdr>
            <w:top w:val="none" w:sz="0" w:space="0" w:color="auto"/>
            <w:left w:val="none" w:sz="0" w:space="0" w:color="auto"/>
            <w:bottom w:val="none" w:sz="0" w:space="0" w:color="auto"/>
            <w:right w:val="none" w:sz="0" w:space="0" w:color="auto"/>
          </w:divBdr>
        </w:div>
      </w:divsChild>
    </w:div>
    <w:div w:id="1971936593">
      <w:bodyDiv w:val="1"/>
      <w:marLeft w:val="0"/>
      <w:marRight w:val="0"/>
      <w:marTop w:val="0"/>
      <w:marBottom w:val="0"/>
      <w:divBdr>
        <w:top w:val="none" w:sz="0" w:space="0" w:color="auto"/>
        <w:left w:val="none" w:sz="0" w:space="0" w:color="auto"/>
        <w:bottom w:val="none" w:sz="0" w:space="0" w:color="auto"/>
        <w:right w:val="none" w:sz="0" w:space="0" w:color="auto"/>
      </w:divBdr>
      <w:divsChild>
        <w:div w:id="626817422">
          <w:marLeft w:val="288"/>
          <w:marRight w:val="0"/>
          <w:marTop w:val="120"/>
          <w:marBottom w:val="0"/>
          <w:divBdr>
            <w:top w:val="none" w:sz="0" w:space="0" w:color="auto"/>
            <w:left w:val="none" w:sz="0" w:space="0" w:color="auto"/>
            <w:bottom w:val="none" w:sz="0" w:space="0" w:color="auto"/>
            <w:right w:val="none" w:sz="0" w:space="0" w:color="auto"/>
          </w:divBdr>
        </w:div>
        <w:div w:id="648562240">
          <w:marLeft w:val="288"/>
          <w:marRight w:val="0"/>
          <w:marTop w:val="120"/>
          <w:marBottom w:val="0"/>
          <w:divBdr>
            <w:top w:val="none" w:sz="0" w:space="0" w:color="auto"/>
            <w:left w:val="none" w:sz="0" w:space="0" w:color="auto"/>
            <w:bottom w:val="none" w:sz="0" w:space="0" w:color="auto"/>
            <w:right w:val="none" w:sz="0" w:space="0" w:color="auto"/>
          </w:divBdr>
        </w:div>
      </w:divsChild>
    </w:div>
    <w:div w:id="2130469918">
      <w:bodyDiv w:val="1"/>
      <w:marLeft w:val="0"/>
      <w:marRight w:val="0"/>
      <w:marTop w:val="0"/>
      <w:marBottom w:val="0"/>
      <w:divBdr>
        <w:top w:val="none" w:sz="0" w:space="0" w:color="auto"/>
        <w:left w:val="none" w:sz="0" w:space="0" w:color="auto"/>
        <w:bottom w:val="none" w:sz="0" w:space="0" w:color="auto"/>
        <w:right w:val="none" w:sz="0" w:space="0" w:color="auto"/>
      </w:divBdr>
      <w:divsChild>
        <w:div w:id="1978366264">
          <w:marLeft w:val="288"/>
          <w:marRight w:val="0"/>
          <w:marTop w:val="120"/>
          <w:marBottom w:val="0"/>
          <w:divBdr>
            <w:top w:val="none" w:sz="0" w:space="0" w:color="auto"/>
            <w:left w:val="none" w:sz="0" w:space="0" w:color="auto"/>
            <w:bottom w:val="none" w:sz="0" w:space="0" w:color="auto"/>
            <w:right w:val="none" w:sz="0" w:space="0" w:color="auto"/>
          </w:divBdr>
        </w:div>
        <w:div w:id="2088767455">
          <w:marLeft w:val="288"/>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footer" Target="footer4.xml"/><Relationship Id="rId42" Type="http://schemas.openxmlformats.org/officeDocument/2006/relationships/image" Target="media/image19.png"/><Relationship Id="rId47" Type="http://schemas.openxmlformats.org/officeDocument/2006/relationships/image" Target="media/image21.png"/><Relationship Id="rId63" Type="http://schemas.openxmlformats.org/officeDocument/2006/relationships/hyperlink" Target="https://www.globaltradealert.org/state-act/471/eu-extension-of-definitive-anti-dumping-duty-on-molybdenum-wires-from-china-and-malaysia-following-an-anti-circumvention-investigation" TargetMode="External"/><Relationship Id="rId68" Type="http://schemas.openxmlformats.org/officeDocument/2006/relationships/hyperlink" Target="https://trade.ec.europa.eu/tdi/" TargetMode="External"/><Relationship Id="rId84" Type="http://schemas.openxmlformats.org/officeDocument/2006/relationships/image" Target="media/image33.png"/><Relationship Id="rId89" Type="http://schemas.openxmlformats.org/officeDocument/2006/relationships/image" Target="media/image38.png"/><Relationship Id="rId16" Type="http://schemas.openxmlformats.org/officeDocument/2006/relationships/footer" Target="footer1.xml"/><Relationship Id="rId11" Type="http://schemas.openxmlformats.org/officeDocument/2006/relationships/endnotes" Target="endnotes.xml"/><Relationship Id="rId32" Type="http://schemas.openxmlformats.org/officeDocument/2006/relationships/image" Target="media/image10.png"/><Relationship Id="rId37" Type="http://schemas.openxmlformats.org/officeDocument/2006/relationships/hyperlink" Target="https://www.trade-remedies.service.gov.uk/public/case/TD0004/submission/a8fa1a1e-4ba7-433e-b358-edcbf0d17450/" TargetMode="External"/><Relationship Id="rId53" Type="http://schemas.openxmlformats.org/officeDocument/2006/relationships/hyperlink" Target="https://tron.trade.ec.europa.eu/investigations/case-history?caseId=1844" TargetMode="External"/><Relationship Id="rId58" Type="http://schemas.openxmlformats.org/officeDocument/2006/relationships/hyperlink" Target="https://www.globaltradealert.org/intervention/58572/anti-circumvention/eu-extension-of-antidumping-duty-on-imports-of-steel-ropes-and-cables-from-china-and-from-the-republic-of-korea-and-morocco-following-an-anti-circumvention-investigation-duties-were-terminated-on-imports-from-ukraine-and-moldova" TargetMode="External"/><Relationship Id="rId74" Type="http://schemas.openxmlformats.org/officeDocument/2006/relationships/image" Target="media/image23.png"/><Relationship Id="rId79" Type="http://schemas.openxmlformats.org/officeDocument/2006/relationships/image" Target="media/image28.png"/><Relationship Id="rId5" Type="http://schemas.openxmlformats.org/officeDocument/2006/relationships/customXml" Target="../customXml/item5.xml"/><Relationship Id="rId90" Type="http://schemas.openxmlformats.org/officeDocument/2006/relationships/image" Target="media/image39.png"/><Relationship Id="rId95" Type="http://schemas.microsoft.com/office/2019/05/relationships/documenttasks" Target="documenttasks/documenttasks1.xml"/><Relationship Id="rId22" Type="http://schemas.openxmlformats.org/officeDocument/2006/relationships/chart" Target="charts/chart2.xml"/><Relationship Id="rId27" Type="http://schemas.openxmlformats.org/officeDocument/2006/relationships/image" Target="media/image6.png"/><Relationship Id="rId43" Type="http://schemas.openxmlformats.org/officeDocument/2006/relationships/image" Target="media/image20.png"/><Relationship Id="rId48" Type="http://schemas.openxmlformats.org/officeDocument/2006/relationships/hyperlink" Target="https://www.globaltradealert.org/intervention/58065/anti-circumvention/eu-extension-of-countervailing-duty-on-imports-of-biodiesel-from-the-united-states-of-america-and-from-canada-following-an-anti-circumvention-investigation" TargetMode="External"/><Relationship Id="rId64" Type="http://schemas.openxmlformats.org/officeDocument/2006/relationships/hyperlink" Target="https://tron.trade.ec.europa.eu/investigations/case-history?caseId=274" TargetMode="External"/><Relationship Id="rId69" Type="http://schemas.openxmlformats.org/officeDocument/2006/relationships/hyperlink" Target="https://www.govinfo.gov/app/details/USCODE-2011-title19/USCODE-2011-title19-chap4-subtitleIV-partIV-sec1677j" TargetMode="External"/><Relationship Id="rId8" Type="http://schemas.openxmlformats.org/officeDocument/2006/relationships/settings" Target="settings.xml"/><Relationship Id="rId51" Type="http://schemas.openxmlformats.org/officeDocument/2006/relationships/hyperlink" Target="https://www.globaltradealert.org/state-act/8174/eu-extension-of-definitive-anti-dumping-duty-on-imports-of-citric-acid-from-china-and-from-malaysia-following-an-anti-circumvention-investigation" TargetMode="External"/><Relationship Id="rId72" Type="http://schemas.openxmlformats.org/officeDocument/2006/relationships/hyperlink" Target="https://www.legislation.gov.au/Details/F2022C00131" TargetMode="External"/><Relationship Id="rId80" Type="http://schemas.openxmlformats.org/officeDocument/2006/relationships/image" Target="media/image29.png"/><Relationship Id="rId85" Type="http://schemas.openxmlformats.org/officeDocument/2006/relationships/image" Target="media/image34.pn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chart" Target="charts/chart6.xml"/><Relationship Id="rId59" Type="http://schemas.openxmlformats.org/officeDocument/2006/relationships/hyperlink" Target="https://www.globaltradealert.org/intervention/57650/anti-circumvention/eu-termination-of-definitive-antidumping-duty-on-imports-of-certain-stainless-steel-fasteners-and-parts-thereof-from-china-and-chinese-taipei-as-well-as-on-imports-from-the-philippines-following-the-conclusion-of-an-anti-circumvention-investigatio" TargetMode="External"/><Relationship Id="rId67" Type="http://schemas.openxmlformats.org/officeDocument/2006/relationships/hyperlink" Target="https://www.globaltradealert.org/intervention/16887/anti-circumvention/eu-termination-of-antidumping-duties-on-imports-of-flint-lighters-from-vietnam-following-an-anti-circumvention-investigatio" TargetMode="External"/><Relationship Id="rId20" Type="http://schemas.openxmlformats.org/officeDocument/2006/relationships/chart" Target="charts/chart1.xml"/><Relationship Id="rId41" Type="http://schemas.openxmlformats.org/officeDocument/2006/relationships/image" Target="media/image18.png"/><Relationship Id="rId54" Type="http://schemas.openxmlformats.org/officeDocument/2006/relationships/hyperlink" Target="https://www.globaltradealert.org/state-act/36434/eu-definitive-anti-dumping-duty-on-imports-of-certain-glass-fibre-fabrics-from-china-and-egypt" TargetMode="External"/><Relationship Id="rId62" Type="http://schemas.openxmlformats.org/officeDocument/2006/relationships/hyperlink" Target="https://www.globaltradealert.org/intervention/81264/anti-circumvention/eu-extension-of-definitive-antidumping-duty-on-imports-of-certain-tungsten-electrodes-imported-from-china-and-from-lao-and-thailand-following-an-anti-circumvention-investigation" TargetMode="External"/><Relationship Id="rId70" Type="http://schemas.openxmlformats.org/officeDocument/2006/relationships/hyperlink" Target="https://www.govinfo.gov/app/details/CFR-2001-title19-vol3/CFR-2001-title19-vol3-sec351-225" TargetMode="External"/><Relationship Id="rId75" Type="http://schemas.openxmlformats.org/officeDocument/2006/relationships/image" Target="media/image24.png"/><Relationship Id="rId83" Type="http://schemas.openxmlformats.org/officeDocument/2006/relationships/image" Target="media/image32.png"/><Relationship Id="rId88" Type="http://schemas.openxmlformats.org/officeDocument/2006/relationships/image" Target="media/image37.png"/><Relationship Id="rId91"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chart" Target="charts/chart3.xml"/><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hyperlink" Target="https://www.globaltradealert.org/intervention/78546/anti-circumvention/eu-extension-of-definitive-antidumping-duty-on-imports-of-monosodium-glutamate-from-china" TargetMode="External"/><Relationship Id="rId57" Type="http://schemas.openxmlformats.org/officeDocument/2006/relationships/hyperlink" Target="https://www.globaltradealert.org/intervention/57446/anti-circumvention/eu-extension-of-definitive-antidumping-duties-on-imports-of-certain-seamless-pipes-and-tubes-of-stainless-steel-from-china" TargetMode="External"/><Relationship Id="rId10" Type="http://schemas.openxmlformats.org/officeDocument/2006/relationships/footnotes" Target="footnotes.xml"/><Relationship Id="rId31" Type="http://schemas.openxmlformats.org/officeDocument/2006/relationships/hyperlink" Target="https://www.trade-remedies.service.gov.uk/public/case/TD0008/" TargetMode="External"/><Relationship Id="rId44" Type="http://schemas.openxmlformats.org/officeDocument/2006/relationships/chart" Target="charts/chart4.xml"/><Relationship Id="rId52" Type="http://schemas.openxmlformats.org/officeDocument/2006/relationships/hyperlink" Target="https://www.globaltradealert.org/intervention/16646/anti-dumping/eu-extension-of-antidumping-duty-on-imports-of-silicon-and-from-china-and-south-korea-from-chinese-taipei-following-an-anti-circumvention-investigation" TargetMode="External"/><Relationship Id="rId60" Type="http://schemas.openxmlformats.org/officeDocument/2006/relationships/hyperlink" Target="https://www.globaltradealert.org/intervention/57650/anti-circumvention/eu-termination-of-definitive-antidumping-duty-on-imports-of-certain-stainless-steel-fasteners-and-parts-thereof-from-china-and-chinese-taipei-as-well-as-on-imports-from-the-philippines-following-the-conclusion-of-an-anti-circumvention-investigatio" TargetMode="External"/><Relationship Id="rId65" Type="http://schemas.openxmlformats.org/officeDocument/2006/relationships/hyperlink" Target="https://www.globaltradealert.org/state-act/5807/eu-termination-of-definitive-countervailing-duty-on-imports-of-crystalline-silicon-photovoltaic-modules-and-key-components-from-china-and-from-chinese-taipei-and-malaysia-following-a-countervailing-duty-circumvention-investigation" TargetMode="External"/><Relationship Id="rId73" Type="http://schemas.openxmlformats.org/officeDocument/2006/relationships/image" Target="media/image22.png"/><Relationship Id="rId78" Type="http://schemas.openxmlformats.org/officeDocument/2006/relationships/image" Target="media/image27.png"/><Relationship Id="rId81" Type="http://schemas.openxmlformats.org/officeDocument/2006/relationships/image" Target="media/image30.png"/><Relationship Id="rId86" Type="http://schemas.openxmlformats.org/officeDocument/2006/relationships/image" Target="media/image35.pn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3.xml"/><Relationship Id="rId39" Type="http://schemas.openxmlformats.org/officeDocument/2006/relationships/image" Target="media/image16.png"/><Relationship Id="rId34" Type="http://schemas.openxmlformats.org/officeDocument/2006/relationships/image" Target="media/image12.png"/><Relationship Id="rId50" Type="http://schemas.openxmlformats.org/officeDocument/2006/relationships/hyperlink" Target="https://tron.trade.ec.europa.eu/investigations/case-history?caseId=388" TargetMode="External"/><Relationship Id="rId55" Type="http://schemas.openxmlformats.org/officeDocument/2006/relationships/hyperlink" Target="https://www.globaltradealert.org/state-act/1430/eu-extension-of-definitive-antidumping-duty-imposed-on-imports-of-open-mesh-fabrics-of-glass-fibre-from-china-and-from-malaysia-india-indonesia-thailand-and-chinese-taipei-following-an-anti-circumvention-investigation" TargetMode="External"/><Relationship Id="rId76" Type="http://schemas.openxmlformats.org/officeDocument/2006/relationships/image" Target="media/image25.png"/><Relationship Id="rId7" Type="http://schemas.openxmlformats.org/officeDocument/2006/relationships/styles" Target="styles.xml"/><Relationship Id="rId71" Type="http://schemas.openxmlformats.org/officeDocument/2006/relationships/hyperlink" Target="https://www.legislation.gov.au/Details/C2018C00379" TargetMode="External"/><Relationship Id="rId92" Type="http://schemas.openxmlformats.org/officeDocument/2006/relationships/image" Target="media/image41.png"/><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image" Target="media/image3.png"/><Relationship Id="rId40" Type="http://schemas.openxmlformats.org/officeDocument/2006/relationships/image" Target="media/image17.png"/><Relationship Id="rId45" Type="http://schemas.openxmlformats.org/officeDocument/2006/relationships/chart" Target="charts/chart5.xml"/><Relationship Id="rId66" Type="http://schemas.openxmlformats.org/officeDocument/2006/relationships/hyperlink" Target="https://www.globaltradealert.org/intervention/57646/anti-circumvention/eu-extension-of-definitive-antidumping-duty-on-imports-of-bicycles-from-china-and-from-indonesia-malaysia-sri-lanka-tunisia-cambodia-pakistan-and-the-philippines-following-two-anti-circumvention-investigations" TargetMode="External"/><Relationship Id="rId87" Type="http://schemas.openxmlformats.org/officeDocument/2006/relationships/image" Target="media/image36.png"/><Relationship Id="rId61" Type="http://schemas.openxmlformats.org/officeDocument/2006/relationships/hyperlink" Target="https://www.globaltradealert.org/intervention/99008/anti-circumvention/eu-extension-of-definitive-anti-dumping-duty-on-aluminium-foil-from-china-and-from-thailand-following-to-an-anti-circumvention-investigation-termination-of-duties-concerning-imports-from-armenia-and-brazil" TargetMode="External"/><Relationship Id="rId82" Type="http://schemas.openxmlformats.org/officeDocument/2006/relationships/image" Target="media/image31.png"/><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9.png"/><Relationship Id="rId35" Type="http://schemas.openxmlformats.org/officeDocument/2006/relationships/image" Target="media/image13.png"/><Relationship Id="rId56" Type="http://schemas.openxmlformats.org/officeDocument/2006/relationships/hyperlink" Target="https://tron.trade.ec.europa.eu/investigations/case-history?caseId=2255" TargetMode="External"/><Relationship Id="rId77" Type="http://schemas.openxmlformats.org/officeDocument/2006/relationships/image" Target="media/image26.png"/></Relationships>
</file>

<file path=word/_rels/footnotes.xml.rels><?xml version="1.0" encoding="UTF-8" standalone="yes"?>
<Relationships xmlns="http://schemas.openxmlformats.org/package/2006/relationships"><Relationship Id="rId13" Type="http://schemas.openxmlformats.org/officeDocument/2006/relationships/hyperlink" Target="https://www.bps.go.id/indicator/9/2077/1/monthly-production-index-of-large-and-medium-manufacturing-by-subsector-kbli-2009-2010-100-.html" TargetMode="External"/><Relationship Id="rId18" Type="http://schemas.openxmlformats.org/officeDocument/2006/relationships/hyperlink" Target="https://www.dgtr.gov.in/sites/default/files/MOC636034220573714323_adfin_SSR_glass_fibre_articles_ChinaPR.pdf" TargetMode="External"/><Relationship Id="rId26" Type="http://schemas.openxmlformats.org/officeDocument/2006/relationships/hyperlink" Target="https://worldsteel.org/steel-by-topic/statistics/about-our-statistics/" TargetMode="External"/><Relationship Id="rId39" Type="http://schemas.openxmlformats.org/officeDocument/2006/relationships/hyperlink" Target="https://trade.ec.europa.eu/tdi/case_history.cfm?init=355" TargetMode="External"/><Relationship Id="rId21" Type="http://schemas.openxmlformats.org/officeDocument/2006/relationships/hyperlink" Target="https://www.prnewswire.com/news-releases/global-and-china-glass-fiber-industry-report-2012-2015-185273212.html" TargetMode="External"/><Relationship Id="rId34" Type="http://schemas.openxmlformats.org/officeDocument/2006/relationships/hyperlink" Target="https://trade.ec.europa.eu/tdi/case_history.cfm?init=388" TargetMode="External"/><Relationship Id="rId42" Type="http://schemas.openxmlformats.org/officeDocument/2006/relationships/hyperlink" Target="https://www.wto.org/english/tratop_e/adp_e/AD_Sectoral_MeasuresByRepMem.xlsx" TargetMode="External"/><Relationship Id="rId47" Type="http://schemas.openxmlformats.org/officeDocument/2006/relationships/hyperlink" Target="https://grattan.edu.au/news/less-cost-less-coal-why-global-rivals-are-killing-australian-aluminium/" TargetMode="External"/><Relationship Id="rId50" Type="http://schemas.openxmlformats.org/officeDocument/2006/relationships/hyperlink" Target="https://unstats.un.org/unsd/classifications/Econ/Structure/Detail/EN/2089/382499" TargetMode="External"/><Relationship Id="rId7" Type="http://schemas.openxmlformats.org/officeDocument/2006/relationships/hyperlink" Target="https://www.dosm.gov.my/v1/index.php?r=column/cthemeByCat&amp;cat=90&amp;bul_id=cnE4U01Qc0xjb0JCdWtKQU5LZGdtdz09&amp;menu_id=SjgwNXdiM0JlT3Q2TDBlWXdKdUVldz09" TargetMode="External"/><Relationship Id="rId2" Type="http://schemas.openxmlformats.org/officeDocument/2006/relationships/hyperlink" Target="https://eur-lex.europa.eu/legal-content/EN/TXT/HTML/?uri=CELEX:31987R1761&amp;from=DE" TargetMode="External"/><Relationship Id="rId16" Type="http://schemas.openxmlformats.org/officeDocument/2006/relationships/hyperlink" Target="https://www.gso.gov.vn/en/px-web/?pxid=E0705&amp;theme=Industry" TargetMode="External"/><Relationship Id="rId29" Type="http://schemas.openxmlformats.org/officeDocument/2006/relationships/hyperlink" Target="https://lpi.worldbank.org/" TargetMode="External"/><Relationship Id="rId11" Type="http://schemas.openxmlformats.org/officeDocument/2006/relationships/hyperlink" Target="https://www.bps.go.id/subject/9/industri-besar-dan-sedang.html%23subjekViewTab3" TargetMode="External"/><Relationship Id="rId24" Type="http://schemas.openxmlformats.org/officeDocument/2006/relationships/hyperlink" Target="https://www.iea.org/reports/renewables-2021/biofuels?mode=transport&amp;region=World&amp;publication=2021&amp;flow=Consumption&amp;product=Renewable+Diesel" TargetMode="External"/><Relationship Id="rId32" Type="http://schemas.openxmlformats.org/officeDocument/2006/relationships/hyperlink" Target="https://eur-lex.europa.eu/legal-content/EN/TXT/HTML/?uri=CELEX:32016R1036&amp;from=EN" TargetMode="External"/><Relationship Id="rId37" Type="http://schemas.openxmlformats.org/officeDocument/2006/relationships/hyperlink" Target="https://trade.ec.europa.eu/tdi/case_history.cfm?init=293" TargetMode="External"/><Relationship Id="rId40" Type="http://schemas.openxmlformats.org/officeDocument/2006/relationships/hyperlink" Target="https://trade.ec.europa.eu/tdi/case_history.cfm?id=2429&amp;init=1532" TargetMode="External"/><Relationship Id="rId45" Type="http://schemas.openxmlformats.org/officeDocument/2006/relationships/hyperlink" Target="https://www.industry.gov.au/sites/default/files/adc/public-record/001_-_application_-_australian_industry_-_austube_mills_pty_ltd.pdf" TargetMode="External"/><Relationship Id="rId5" Type="http://schemas.openxmlformats.org/officeDocument/2006/relationships/hyperlink" Target="https://stat.unido.org/content/dataset_description/indstat-4-2021%252c-isic-revision-4" TargetMode="External"/><Relationship Id="rId15" Type="http://schemas.openxmlformats.org/officeDocument/2006/relationships/hyperlink" Target="https://www.gso.gov.vn/en/px-web/?pxid=E0701&amp;theme=Industry" TargetMode="External"/><Relationship Id="rId23" Type="http://schemas.openxmlformats.org/officeDocument/2006/relationships/hyperlink" Target="https://trade.ec.europa.eu/tdi/case_history.cfm?init=1893" TargetMode="External"/><Relationship Id="rId28" Type="http://schemas.openxmlformats.org/officeDocument/2006/relationships/hyperlink" Target="https://ilostat.ilo.org/topics/wages/" TargetMode="External"/><Relationship Id="rId36" Type="http://schemas.openxmlformats.org/officeDocument/2006/relationships/hyperlink" Target="https://trade.ec.europa.eu/tdi/case_history.cfm?init=1060" TargetMode="External"/><Relationship Id="rId49" Type="http://schemas.openxmlformats.org/officeDocument/2006/relationships/hyperlink" Target="https://laws-lois.justice.gc.ca/eng/regulations/sor-84-927/" TargetMode="External"/><Relationship Id="rId10" Type="http://schemas.openxmlformats.org/officeDocument/2006/relationships/hyperlink" Target="https://tablebuilder.singstat.gov.sg/table/TS/M355272" TargetMode="External"/><Relationship Id="rId19" Type="http://schemas.openxmlformats.org/officeDocument/2006/relationships/hyperlink" Target="https://www.dgtr.gov.in/sites/default/files/Final_Finding%204.pdf" TargetMode="External"/><Relationship Id="rId31" Type="http://schemas.openxmlformats.org/officeDocument/2006/relationships/hyperlink" Target="https://global-express.org/index.php?id=271" TargetMode="External"/><Relationship Id="rId44" Type="http://schemas.openxmlformats.org/officeDocument/2006/relationships/hyperlink" Target="https://www.industry.gov.au/sites/default/files/adc/public-record/001_australian_industry_-_bluescope_-_application_for_anti-circumvention_inquiry.pdf" TargetMode="External"/><Relationship Id="rId4" Type="http://schemas.openxmlformats.org/officeDocument/2006/relationships/hyperlink" Target="https://www.worldbank.org/en/data/interactive/2021/03/02/temporary-trade-barriers-database" TargetMode="External"/><Relationship Id="rId9" Type="http://schemas.openxmlformats.org/officeDocument/2006/relationships/hyperlink" Target="https://tablebuilder.singstat.gov.sg/table/TS/M354851%23!" TargetMode="External"/><Relationship Id="rId14" Type="http://schemas.openxmlformats.org/officeDocument/2006/relationships/hyperlink" Target="https://www.bps.go.id/indicator/9/2084/1/quarterly-production-index-of-large-and-medium-manufacturing-by-subsector-kbli-2009-2010-100-.html" TargetMode="External"/><Relationship Id="rId22" Type="http://schemas.openxmlformats.org/officeDocument/2006/relationships/hyperlink" Target="file:///C:/Users/amar.breckenridge/AppData/Local/Microsoft/Windows/INetCache/Content.Outlook/ZJGT042N/example%20https:/www.researchandmarkets.com/reports/5414921/glass-fiber-market-report-trends-forecast-and%23relc0-5314014" TargetMode="External"/><Relationship Id="rId27" Type="http://schemas.openxmlformats.org/officeDocument/2006/relationships/hyperlink" Target="https://international-aluminium.org/statistics/primary-aluminium-production/" TargetMode="External"/><Relationship Id="rId30" Type="http://schemas.openxmlformats.org/officeDocument/2006/relationships/hyperlink" Target="https://global-express.org/index.php?id=904" TargetMode="External"/><Relationship Id="rId35" Type="http://schemas.openxmlformats.org/officeDocument/2006/relationships/hyperlink" Target="https://trade.ec.europa.eu/tdi/case_history.cfm?init=647" TargetMode="External"/><Relationship Id="rId43" Type="http://schemas.openxmlformats.org/officeDocument/2006/relationships/hyperlink" Target="https://www.legislation.gov.au/Details/C2014C00184" TargetMode="External"/><Relationship Id="rId48" Type="http://schemas.openxmlformats.org/officeDocument/2006/relationships/hyperlink" Target="https://laws-lois.justice.gc.ca/eng/acts/s-15/" TargetMode="External"/><Relationship Id="rId8" Type="http://schemas.openxmlformats.org/officeDocument/2006/relationships/hyperlink" Target="https://www.moea.gov.tw/MNS/english/content/ContentMenu.aspx?menu_id=32928" TargetMode="External"/><Relationship Id="rId3" Type="http://schemas.openxmlformats.org/officeDocument/2006/relationships/hyperlink" Target="https://home.treasury.gov/system/files/206/authorizing-statute.pdf" TargetMode="External"/><Relationship Id="rId12" Type="http://schemas.openxmlformats.org/officeDocument/2006/relationships/hyperlink" Target="https://www.bps.go.id/subject/170/industri-mikro-dan-kecil.html%23subjekViewTab3" TargetMode="External"/><Relationship Id="rId17" Type="http://schemas.openxmlformats.org/officeDocument/2006/relationships/hyperlink" Target="http://www.statistics.gov.lk/Industry/StaticalInformation/IndexIndustrialProduction" TargetMode="External"/><Relationship Id="rId25" Type="http://schemas.openxmlformats.org/officeDocument/2006/relationships/hyperlink" Target="https://stats.oecd.org/Index.aspx?QueryId=36348" TargetMode="External"/><Relationship Id="rId33" Type="http://schemas.openxmlformats.org/officeDocument/2006/relationships/hyperlink" Target="https://eur-lex.europa.eu/legal-content/EN/TXT/?uri=celex%3A32016R1037" TargetMode="External"/><Relationship Id="rId38" Type="http://schemas.openxmlformats.org/officeDocument/2006/relationships/hyperlink" Target="https://trade.ec.europa.eu/tdi/case_history.cfm?init=647" TargetMode="External"/><Relationship Id="rId46" Type="http://schemas.openxmlformats.org/officeDocument/2006/relationships/hyperlink" Target="https://www.industry.gov.au/data-and-publications/trade-remedy-index" TargetMode="External"/><Relationship Id="rId20" Type="http://schemas.openxmlformats.org/officeDocument/2006/relationships/hyperlink" Target="https://www.marketsandmarkets.com/Market-Reports/fiberglass-market-6124844.html%23:~:text=The%20global%20fiberglass%20market%20is%20estimated%20to%20be%20USD%2011.5,at%20a%20CAGR%20of%204.5%25" TargetMode="External"/><Relationship Id="rId41" Type="http://schemas.openxmlformats.org/officeDocument/2006/relationships/hyperlink" Target="https://access.trade.gov/login.aspx" TargetMode="External"/><Relationship Id="rId1" Type="http://schemas.openxmlformats.org/officeDocument/2006/relationships/hyperlink" Target="https://www.gov.uk/government/publications/the-uk-trade-remedies-investigations-process/how-we-apply-the-economic-interest-test" TargetMode="External"/><Relationship Id="rId6" Type="http://schemas.openxmlformats.org/officeDocument/2006/relationships/hyperlink" Target="https://ec.europa.eu/eurostat/web/prodcom/data/databas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mar.breckenridge\Documents\DIT%20-%20Anti%20circumvention\SPD-data%20gathering%20template%20circumvention%2002.03.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mar.breckenridge\Documents\DIT%20-%20Anti%20circumvention\SPD-data%20gathering%20template%20circumvention%2002.03.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mar.breckenridge\Documents\DIT%20-%20Anti%20circumvention\SPD-data%20gathering%20template%20circumvention%2002.03.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mar.breckenridge\Documents\DIT%20-%20Anti%20circumvention\70e0838a-5a87-4d18-b0a3-b3c1c5f4c701.xl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mar.breckenridge\Documents\DIT%20-%20Anti%20circumvention\canada%20biodiesel.xls"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mar.breckenridge\Documents\DIT%20-%20Anti%20circumvention\USA%20biodiesel.xls"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'Chart - TB'!$P$32</c:f>
              <c:strCache>
                <c:ptCount val="1"/>
                <c:pt idx="0">
                  <c:v>EU</c:v>
                </c:pt>
              </c:strCache>
            </c:strRef>
          </c:tx>
          <c:spPr>
            <a:solidFill>
              <a:schemeClr val="tx1"/>
            </a:solidFill>
            <a:ln>
              <a:noFill/>
            </a:ln>
            <a:effectLst/>
          </c:spPr>
          <c:invertIfNegative val="0"/>
          <c:cat>
            <c:strRef>
              <c:f>'Chart - TB'!$O$33:$O$45</c:f>
              <c:strCache>
                <c:ptCount val="13"/>
                <c:pt idx="0">
                  <c:v>Food and foodstuffs</c:v>
                </c:pt>
                <c:pt idx="1">
                  <c:v>Minerals and chemicals</c:v>
                </c:pt>
                <c:pt idx="2">
                  <c:v>Plastics</c:v>
                </c:pt>
                <c:pt idx="3">
                  <c:v>Paper</c:v>
                </c:pt>
                <c:pt idx="4">
                  <c:v>Textiles</c:v>
                </c:pt>
                <c:pt idx="5">
                  <c:v>Glassware</c:v>
                </c:pt>
                <c:pt idx="6">
                  <c:v>Iron and steel</c:v>
                </c:pt>
                <c:pt idx="7">
                  <c:v>Articles of iron and steel</c:v>
                </c:pt>
                <c:pt idx="8">
                  <c:v>Other base metals and articles thereof</c:v>
                </c:pt>
                <c:pt idx="9">
                  <c:v>Nuclear and electrical machinery</c:v>
                </c:pt>
                <c:pt idx="10">
                  <c:v>Vehicles</c:v>
                </c:pt>
                <c:pt idx="11">
                  <c:v>Furniture</c:v>
                </c:pt>
                <c:pt idx="12">
                  <c:v>Misc. manufactured articles</c:v>
                </c:pt>
              </c:strCache>
            </c:strRef>
          </c:cat>
          <c:val>
            <c:numRef>
              <c:f>'Chart - TB'!$P$33:$P$45</c:f>
              <c:numCache>
                <c:formatCode>General</c:formatCode>
                <c:ptCount val="13"/>
                <c:pt idx="0">
                  <c:v>6</c:v>
                </c:pt>
                <c:pt idx="1">
                  <c:v>10</c:v>
                </c:pt>
                <c:pt idx="2">
                  <c:v>3</c:v>
                </c:pt>
                <c:pt idx="3">
                  <c:v>45</c:v>
                </c:pt>
                <c:pt idx="4">
                  <c:v>0</c:v>
                </c:pt>
                <c:pt idx="5">
                  <c:v>11</c:v>
                </c:pt>
                <c:pt idx="6">
                  <c:v>0</c:v>
                </c:pt>
                <c:pt idx="7">
                  <c:v>36</c:v>
                </c:pt>
                <c:pt idx="8">
                  <c:v>6</c:v>
                </c:pt>
                <c:pt idx="9">
                  <c:v>14</c:v>
                </c:pt>
                <c:pt idx="10">
                  <c:v>4</c:v>
                </c:pt>
                <c:pt idx="11">
                  <c:v>0</c:v>
                </c:pt>
                <c:pt idx="12">
                  <c:v>1</c:v>
                </c:pt>
              </c:numCache>
            </c:numRef>
          </c:val>
          <c:extLst>
            <c:ext xmlns:c16="http://schemas.microsoft.com/office/drawing/2014/chart" uri="{C3380CC4-5D6E-409C-BE32-E72D297353CC}">
              <c16:uniqueId val="{00000000-FA0F-4876-AB0D-AF197DC36FCF}"/>
            </c:ext>
          </c:extLst>
        </c:ser>
        <c:ser>
          <c:idx val="1"/>
          <c:order val="1"/>
          <c:tx>
            <c:strRef>
              <c:f>'Chart - TB'!$Q$32</c:f>
              <c:strCache>
                <c:ptCount val="1"/>
                <c:pt idx="0">
                  <c:v>United States</c:v>
                </c:pt>
              </c:strCache>
            </c:strRef>
          </c:tx>
          <c:spPr>
            <a:solidFill>
              <a:schemeClr val="accent1"/>
            </a:solidFill>
            <a:ln>
              <a:noFill/>
            </a:ln>
            <a:effectLst/>
          </c:spPr>
          <c:invertIfNegative val="0"/>
          <c:cat>
            <c:strRef>
              <c:f>'Chart - TB'!$O$33:$O$45</c:f>
              <c:strCache>
                <c:ptCount val="13"/>
                <c:pt idx="0">
                  <c:v>Food and foodstuffs</c:v>
                </c:pt>
                <c:pt idx="1">
                  <c:v>Minerals and chemicals</c:v>
                </c:pt>
                <c:pt idx="2">
                  <c:v>Plastics</c:v>
                </c:pt>
                <c:pt idx="3">
                  <c:v>Paper</c:v>
                </c:pt>
                <c:pt idx="4">
                  <c:v>Textiles</c:v>
                </c:pt>
                <c:pt idx="5">
                  <c:v>Glassware</c:v>
                </c:pt>
                <c:pt idx="6">
                  <c:v>Iron and steel</c:v>
                </c:pt>
                <c:pt idx="7">
                  <c:v>Articles of iron and steel</c:v>
                </c:pt>
                <c:pt idx="8">
                  <c:v>Other base metals and articles thereof</c:v>
                </c:pt>
                <c:pt idx="9">
                  <c:v>Nuclear and electrical machinery</c:v>
                </c:pt>
                <c:pt idx="10">
                  <c:v>Vehicles</c:v>
                </c:pt>
                <c:pt idx="11">
                  <c:v>Furniture</c:v>
                </c:pt>
                <c:pt idx="12">
                  <c:v>Misc. manufactured articles</c:v>
                </c:pt>
              </c:strCache>
            </c:strRef>
          </c:cat>
          <c:val>
            <c:numRef>
              <c:f>'Chart - TB'!$Q$33:$Q$45</c:f>
              <c:numCache>
                <c:formatCode>General</c:formatCode>
                <c:ptCount val="13"/>
                <c:pt idx="0">
                  <c:v>2</c:v>
                </c:pt>
                <c:pt idx="1">
                  <c:v>3</c:v>
                </c:pt>
                <c:pt idx="2">
                  <c:v>3</c:v>
                </c:pt>
                <c:pt idx="3">
                  <c:v>1</c:v>
                </c:pt>
                <c:pt idx="4">
                  <c:v>3</c:v>
                </c:pt>
                <c:pt idx="5">
                  <c:v>0</c:v>
                </c:pt>
                <c:pt idx="6">
                  <c:v>5</c:v>
                </c:pt>
                <c:pt idx="7">
                  <c:v>36</c:v>
                </c:pt>
                <c:pt idx="8">
                  <c:v>0</c:v>
                </c:pt>
                <c:pt idx="9">
                  <c:v>7</c:v>
                </c:pt>
                <c:pt idx="10">
                  <c:v>0</c:v>
                </c:pt>
                <c:pt idx="11">
                  <c:v>4</c:v>
                </c:pt>
                <c:pt idx="12">
                  <c:v>2</c:v>
                </c:pt>
              </c:numCache>
            </c:numRef>
          </c:val>
          <c:extLst>
            <c:ext xmlns:c16="http://schemas.microsoft.com/office/drawing/2014/chart" uri="{C3380CC4-5D6E-409C-BE32-E72D297353CC}">
              <c16:uniqueId val="{00000001-FA0F-4876-AB0D-AF197DC36FCF}"/>
            </c:ext>
          </c:extLst>
        </c:ser>
        <c:ser>
          <c:idx val="2"/>
          <c:order val="2"/>
          <c:tx>
            <c:strRef>
              <c:f>'Chart - TB'!$R$32</c:f>
              <c:strCache>
                <c:ptCount val="1"/>
                <c:pt idx="0">
                  <c:v>Australia</c:v>
                </c:pt>
              </c:strCache>
            </c:strRef>
          </c:tx>
          <c:spPr>
            <a:pattFill prst="wdUpDiag">
              <a:fgClr>
                <a:schemeClr val="tx1"/>
              </a:fgClr>
              <a:bgClr>
                <a:schemeClr val="bg1"/>
              </a:bgClr>
            </a:pattFill>
            <a:ln>
              <a:noFill/>
            </a:ln>
            <a:effectLst/>
          </c:spPr>
          <c:invertIfNegative val="0"/>
          <c:cat>
            <c:strRef>
              <c:f>'Chart - TB'!$O$33:$O$45</c:f>
              <c:strCache>
                <c:ptCount val="13"/>
                <c:pt idx="0">
                  <c:v>Food and foodstuffs</c:v>
                </c:pt>
                <c:pt idx="1">
                  <c:v>Minerals and chemicals</c:v>
                </c:pt>
                <c:pt idx="2">
                  <c:v>Plastics</c:v>
                </c:pt>
                <c:pt idx="3">
                  <c:v>Paper</c:v>
                </c:pt>
                <c:pt idx="4">
                  <c:v>Textiles</c:v>
                </c:pt>
                <c:pt idx="5">
                  <c:v>Glassware</c:v>
                </c:pt>
                <c:pt idx="6">
                  <c:v>Iron and steel</c:v>
                </c:pt>
                <c:pt idx="7">
                  <c:v>Articles of iron and steel</c:v>
                </c:pt>
                <c:pt idx="8">
                  <c:v>Other base metals and articles thereof</c:v>
                </c:pt>
                <c:pt idx="9">
                  <c:v>Nuclear and electrical machinery</c:v>
                </c:pt>
                <c:pt idx="10">
                  <c:v>Vehicles</c:v>
                </c:pt>
                <c:pt idx="11">
                  <c:v>Furniture</c:v>
                </c:pt>
                <c:pt idx="12">
                  <c:v>Misc. manufactured articles</c:v>
                </c:pt>
              </c:strCache>
            </c:strRef>
          </c:cat>
          <c:val>
            <c:numRef>
              <c:f>'Chart - TB'!$R$33:$R$45</c:f>
              <c:numCache>
                <c:formatCode>General</c:formatCode>
                <c:ptCount val="13"/>
                <c:pt idx="0">
                  <c:v>0</c:v>
                </c:pt>
                <c:pt idx="1">
                  <c:v>0</c:v>
                </c:pt>
                <c:pt idx="2">
                  <c:v>0</c:v>
                </c:pt>
                <c:pt idx="3">
                  <c:v>0</c:v>
                </c:pt>
                <c:pt idx="4">
                  <c:v>0</c:v>
                </c:pt>
                <c:pt idx="5">
                  <c:v>1</c:v>
                </c:pt>
                <c:pt idx="6">
                  <c:v>16</c:v>
                </c:pt>
                <c:pt idx="7">
                  <c:v>4</c:v>
                </c:pt>
                <c:pt idx="8">
                  <c:v>14</c:v>
                </c:pt>
                <c:pt idx="9">
                  <c:v>0</c:v>
                </c:pt>
                <c:pt idx="10">
                  <c:v>0</c:v>
                </c:pt>
                <c:pt idx="11">
                  <c:v>0</c:v>
                </c:pt>
                <c:pt idx="12">
                  <c:v>0</c:v>
                </c:pt>
              </c:numCache>
            </c:numRef>
          </c:val>
          <c:extLst>
            <c:ext xmlns:c16="http://schemas.microsoft.com/office/drawing/2014/chart" uri="{C3380CC4-5D6E-409C-BE32-E72D297353CC}">
              <c16:uniqueId val="{00000002-FA0F-4876-AB0D-AF197DC36FCF}"/>
            </c:ext>
          </c:extLst>
        </c:ser>
        <c:dLbls>
          <c:showLegendKey val="0"/>
          <c:showVal val="0"/>
          <c:showCatName val="0"/>
          <c:showSerName val="0"/>
          <c:showPercent val="0"/>
          <c:showBubbleSize val="0"/>
        </c:dLbls>
        <c:gapWidth val="150"/>
        <c:overlap val="100"/>
        <c:axId val="2109622447"/>
        <c:axId val="2109622863"/>
      </c:barChart>
      <c:catAx>
        <c:axId val="2109622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09622863"/>
        <c:crosses val="autoZero"/>
        <c:auto val="1"/>
        <c:lblAlgn val="ctr"/>
        <c:lblOffset val="100"/>
        <c:noMultiLvlLbl val="0"/>
      </c:catAx>
      <c:valAx>
        <c:axId val="21096228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sz="1200"/>
                  <a:t>Number of</a:t>
                </a:r>
                <a:r>
                  <a:rPr lang="en-GB" sz="1200" baseline="0"/>
                  <a:t> </a:t>
                </a:r>
                <a:r>
                  <a:rPr lang="en-GB" sz="1200"/>
                  <a:t>AC investigations leading </a:t>
                </a:r>
              </a:p>
              <a:p>
                <a:pPr>
                  <a:defRPr sz="1200"/>
                </a:pPr>
                <a:r>
                  <a:rPr lang="en-GB" sz="1200"/>
                  <a:t>to</a:t>
                </a:r>
                <a:r>
                  <a:rPr lang="en-GB" sz="1200" baseline="0"/>
                  <a:t> duties</a:t>
                </a:r>
                <a:r>
                  <a:rPr lang="en-GB" sz="1200"/>
                  <a:t>  </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2109622447"/>
        <c:crosses val="autoZero"/>
        <c:crossBetween val="between"/>
      </c:valAx>
      <c:spPr>
        <a:solidFill>
          <a:schemeClr val="bg1">
            <a:lumMod val="85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 of cases by</a:t>
            </a:r>
            <a:r>
              <a:rPr lang="en-GB" baseline="0"/>
              <a:t> country</a:t>
            </a:r>
            <a:endParaRPr lang="en-GB"/>
          </a:p>
        </c:rich>
      </c:tx>
      <c:layout>
        <c:manualLayout>
          <c:xMode val="edge"/>
          <c:yMode val="edge"/>
          <c:x val="0.27893744531933512"/>
          <c:y val="0.76388888888888884"/>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209558180227471"/>
          <c:y val="3.2824074074074089E-2"/>
          <c:w val="0.77857108486439197"/>
          <c:h val="0.61498432487605714"/>
        </c:manualLayout>
      </c:layout>
      <c:barChart>
        <c:barDir val="bar"/>
        <c:grouping val="stacked"/>
        <c:varyColors val="0"/>
        <c:ser>
          <c:idx val="0"/>
          <c:order val="0"/>
          <c:tx>
            <c:strRef>
              <c:f>Sheet1!$B$1</c:f>
              <c:strCache>
                <c:ptCount val="1"/>
                <c:pt idx="0">
                  <c:v>PRC</c:v>
                </c:pt>
              </c:strCache>
            </c:strRef>
          </c:tx>
          <c:spPr>
            <a:solidFill>
              <a:schemeClr val="accent1">
                <a:lumMod val="50000"/>
              </a:schemeClr>
            </a:solidFill>
            <a:ln>
              <a:noFill/>
            </a:ln>
            <a:effectLst/>
          </c:spPr>
          <c:invertIfNegative val="0"/>
          <c:cat>
            <c:strRef>
              <c:f>Sheet1!$A$2:$A$4</c:f>
              <c:strCache>
                <c:ptCount val="3"/>
                <c:pt idx="0">
                  <c:v>Australia</c:v>
                </c:pt>
                <c:pt idx="1">
                  <c:v>EU</c:v>
                </c:pt>
                <c:pt idx="2">
                  <c:v>United States</c:v>
                </c:pt>
              </c:strCache>
            </c:strRef>
          </c:cat>
          <c:val>
            <c:numRef>
              <c:f>Sheet1!$B$2:$B$4</c:f>
              <c:numCache>
                <c:formatCode>General</c:formatCode>
                <c:ptCount val="3"/>
                <c:pt idx="0">
                  <c:v>5</c:v>
                </c:pt>
                <c:pt idx="1">
                  <c:v>29</c:v>
                </c:pt>
                <c:pt idx="2">
                  <c:v>22</c:v>
                </c:pt>
              </c:numCache>
            </c:numRef>
          </c:val>
          <c:extLst>
            <c:ext xmlns:c16="http://schemas.microsoft.com/office/drawing/2014/chart" uri="{C3380CC4-5D6E-409C-BE32-E72D297353CC}">
              <c16:uniqueId val="{00000000-955D-4ED4-B1B4-3EAF24A9BC73}"/>
            </c:ext>
          </c:extLst>
        </c:ser>
        <c:ser>
          <c:idx val="1"/>
          <c:order val="1"/>
          <c:tx>
            <c:strRef>
              <c:f>Sheet1!$C$1</c:f>
              <c:strCache>
                <c:ptCount val="1"/>
                <c:pt idx="0">
                  <c:v>Other Asia</c:v>
                </c:pt>
              </c:strCache>
            </c:strRef>
          </c:tx>
          <c:spPr>
            <a:solidFill>
              <a:schemeClr val="accent5">
                <a:lumMod val="60000"/>
                <a:lumOff val="40000"/>
              </a:schemeClr>
            </a:solidFill>
            <a:ln>
              <a:noFill/>
            </a:ln>
            <a:effectLst/>
          </c:spPr>
          <c:invertIfNegative val="0"/>
          <c:cat>
            <c:strRef>
              <c:f>Sheet1!$A$2:$A$4</c:f>
              <c:strCache>
                <c:ptCount val="3"/>
                <c:pt idx="0">
                  <c:v>Australia</c:v>
                </c:pt>
                <c:pt idx="1">
                  <c:v>EU</c:v>
                </c:pt>
                <c:pt idx="2">
                  <c:v>United States</c:v>
                </c:pt>
              </c:strCache>
            </c:strRef>
          </c:cat>
          <c:val>
            <c:numRef>
              <c:f>Sheet1!$C$2:$C$4</c:f>
              <c:numCache>
                <c:formatCode>General</c:formatCode>
                <c:ptCount val="3"/>
                <c:pt idx="0">
                  <c:v>4</c:v>
                </c:pt>
                <c:pt idx="1">
                  <c:v>1</c:v>
                </c:pt>
                <c:pt idx="2">
                  <c:v>4</c:v>
                </c:pt>
              </c:numCache>
            </c:numRef>
          </c:val>
          <c:extLst>
            <c:ext xmlns:c16="http://schemas.microsoft.com/office/drawing/2014/chart" uri="{C3380CC4-5D6E-409C-BE32-E72D297353CC}">
              <c16:uniqueId val="{00000001-955D-4ED4-B1B4-3EAF24A9BC73}"/>
            </c:ext>
          </c:extLst>
        </c:ser>
        <c:ser>
          <c:idx val="2"/>
          <c:order val="2"/>
          <c:tx>
            <c:strRef>
              <c:f>Sheet1!$D$1</c:f>
              <c:strCache>
                <c:ptCount val="1"/>
                <c:pt idx="0">
                  <c:v>MENA</c:v>
                </c:pt>
              </c:strCache>
            </c:strRef>
          </c:tx>
          <c:spPr>
            <a:solidFill>
              <a:schemeClr val="accent5">
                <a:lumMod val="75000"/>
              </a:schemeClr>
            </a:solidFill>
            <a:ln>
              <a:noFill/>
            </a:ln>
            <a:effectLst/>
          </c:spPr>
          <c:invertIfNegative val="0"/>
          <c:cat>
            <c:strRef>
              <c:f>Sheet1!$A$2:$A$4</c:f>
              <c:strCache>
                <c:ptCount val="3"/>
                <c:pt idx="0">
                  <c:v>Australia</c:v>
                </c:pt>
                <c:pt idx="1">
                  <c:v>EU</c:v>
                </c:pt>
                <c:pt idx="2">
                  <c:v>United States</c:v>
                </c:pt>
              </c:strCache>
            </c:strRef>
          </c:cat>
          <c:val>
            <c:numRef>
              <c:f>Sheet1!$D$2:$D$4</c:f>
              <c:numCache>
                <c:formatCode>General</c:formatCode>
                <c:ptCount val="3"/>
                <c:pt idx="1">
                  <c:v>1</c:v>
                </c:pt>
                <c:pt idx="2">
                  <c:v>1</c:v>
                </c:pt>
              </c:numCache>
            </c:numRef>
          </c:val>
          <c:extLst>
            <c:ext xmlns:c16="http://schemas.microsoft.com/office/drawing/2014/chart" uri="{C3380CC4-5D6E-409C-BE32-E72D297353CC}">
              <c16:uniqueId val="{00000002-955D-4ED4-B1B4-3EAF24A9BC73}"/>
            </c:ext>
          </c:extLst>
        </c:ser>
        <c:ser>
          <c:idx val="3"/>
          <c:order val="3"/>
          <c:tx>
            <c:strRef>
              <c:f>Sheet1!$E$1</c:f>
              <c:strCache>
                <c:ptCount val="1"/>
                <c:pt idx="0">
                  <c:v>Other Africa</c:v>
                </c:pt>
              </c:strCache>
            </c:strRef>
          </c:tx>
          <c:spPr>
            <a:pattFill prst="dkDnDiag">
              <a:fgClr>
                <a:schemeClr val="accent1">
                  <a:lumMod val="75000"/>
                </a:schemeClr>
              </a:fgClr>
              <a:bgClr>
                <a:schemeClr val="bg1"/>
              </a:bgClr>
            </a:pattFill>
            <a:ln>
              <a:noFill/>
            </a:ln>
            <a:effectLst/>
          </c:spPr>
          <c:invertIfNegative val="0"/>
          <c:cat>
            <c:strRef>
              <c:f>Sheet1!$A$2:$A$4</c:f>
              <c:strCache>
                <c:ptCount val="3"/>
                <c:pt idx="0">
                  <c:v>Australia</c:v>
                </c:pt>
                <c:pt idx="1">
                  <c:v>EU</c:v>
                </c:pt>
                <c:pt idx="2">
                  <c:v>United States</c:v>
                </c:pt>
              </c:strCache>
            </c:strRef>
          </c:cat>
          <c:val>
            <c:numRef>
              <c:f>Sheet1!$E$2:$E$4</c:f>
              <c:numCache>
                <c:formatCode>General</c:formatCode>
                <c:ptCount val="3"/>
                <c:pt idx="0">
                  <c:v>1</c:v>
                </c:pt>
              </c:numCache>
            </c:numRef>
          </c:val>
          <c:extLst>
            <c:ext xmlns:c16="http://schemas.microsoft.com/office/drawing/2014/chart" uri="{C3380CC4-5D6E-409C-BE32-E72D297353CC}">
              <c16:uniqueId val="{00000003-955D-4ED4-B1B4-3EAF24A9BC73}"/>
            </c:ext>
          </c:extLst>
        </c:ser>
        <c:ser>
          <c:idx val="4"/>
          <c:order val="4"/>
          <c:tx>
            <c:strRef>
              <c:f>Sheet1!$F$1</c:f>
              <c:strCache>
                <c:ptCount val="1"/>
                <c:pt idx="0">
                  <c:v>LATAM</c:v>
                </c:pt>
              </c:strCache>
            </c:strRef>
          </c:tx>
          <c:spPr>
            <a:pattFill prst="narVert">
              <a:fgClr>
                <a:schemeClr val="accent1">
                  <a:lumMod val="60000"/>
                  <a:lumOff val="40000"/>
                </a:schemeClr>
              </a:fgClr>
              <a:bgClr>
                <a:schemeClr val="bg1"/>
              </a:bgClr>
            </a:pattFill>
            <a:ln>
              <a:noFill/>
            </a:ln>
            <a:effectLst/>
          </c:spPr>
          <c:invertIfNegative val="0"/>
          <c:cat>
            <c:strRef>
              <c:f>Sheet1!$A$2:$A$4</c:f>
              <c:strCache>
                <c:ptCount val="3"/>
                <c:pt idx="0">
                  <c:v>Australia</c:v>
                </c:pt>
                <c:pt idx="1">
                  <c:v>EU</c:v>
                </c:pt>
                <c:pt idx="2">
                  <c:v>United States</c:v>
                </c:pt>
              </c:strCache>
            </c:strRef>
          </c:cat>
          <c:val>
            <c:numRef>
              <c:f>Sheet1!$F$2:$F$4</c:f>
              <c:numCache>
                <c:formatCode>General</c:formatCode>
                <c:ptCount val="3"/>
                <c:pt idx="2">
                  <c:v>4</c:v>
                </c:pt>
              </c:numCache>
            </c:numRef>
          </c:val>
          <c:extLst>
            <c:ext xmlns:c16="http://schemas.microsoft.com/office/drawing/2014/chart" uri="{C3380CC4-5D6E-409C-BE32-E72D297353CC}">
              <c16:uniqueId val="{00000004-955D-4ED4-B1B4-3EAF24A9BC73}"/>
            </c:ext>
          </c:extLst>
        </c:ser>
        <c:ser>
          <c:idx val="5"/>
          <c:order val="5"/>
          <c:tx>
            <c:strRef>
              <c:f>Sheet1!$G$1</c:f>
              <c:strCache>
                <c:ptCount val="1"/>
                <c:pt idx="0">
                  <c:v>United States</c:v>
                </c:pt>
              </c:strCache>
            </c:strRef>
          </c:tx>
          <c:spPr>
            <a:pattFill prst="narHorz">
              <a:fgClr>
                <a:schemeClr val="tx1"/>
              </a:fgClr>
              <a:bgClr>
                <a:schemeClr val="bg1"/>
              </a:bgClr>
            </a:pattFill>
            <a:ln>
              <a:noFill/>
            </a:ln>
            <a:effectLst/>
          </c:spPr>
          <c:invertIfNegative val="0"/>
          <c:cat>
            <c:strRef>
              <c:f>Sheet1!$A$2:$A$4</c:f>
              <c:strCache>
                <c:ptCount val="3"/>
                <c:pt idx="0">
                  <c:v>Australia</c:v>
                </c:pt>
                <c:pt idx="1">
                  <c:v>EU</c:v>
                </c:pt>
                <c:pt idx="2">
                  <c:v>United States</c:v>
                </c:pt>
              </c:strCache>
            </c:strRef>
          </c:cat>
          <c:val>
            <c:numRef>
              <c:f>Sheet1!$G$2:$G$4</c:f>
              <c:numCache>
                <c:formatCode>General</c:formatCode>
                <c:ptCount val="3"/>
                <c:pt idx="1">
                  <c:v>2</c:v>
                </c:pt>
              </c:numCache>
            </c:numRef>
          </c:val>
          <c:extLst>
            <c:ext xmlns:c16="http://schemas.microsoft.com/office/drawing/2014/chart" uri="{C3380CC4-5D6E-409C-BE32-E72D297353CC}">
              <c16:uniqueId val="{00000005-955D-4ED4-B1B4-3EAF24A9BC73}"/>
            </c:ext>
          </c:extLst>
        </c:ser>
        <c:ser>
          <c:idx val="6"/>
          <c:order val="6"/>
          <c:tx>
            <c:strRef>
              <c:f>Sheet1!$H$1</c:f>
              <c:strCache>
                <c:ptCount val="1"/>
                <c:pt idx="0">
                  <c:v>Australia</c:v>
                </c:pt>
              </c:strCache>
            </c:strRef>
          </c:tx>
          <c:spPr>
            <a:solidFill>
              <a:schemeClr val="accent1">
                <a:lumMod val="75000"/>
              </a:schemeClr>
            </a:solidFill>
            <a:ln>
              <a:noFill/>
            </a:ln>
            <a:effectLst/>
          </c:spPr>
          <c:invertIfNegative val="0"/>
          <c:cat>
            <c:strRef>
              <c:f>Sheet1!$A$2:$A$4</c:f>
              <c:strCache>
                <c:ptCount val="3"/>
                <c:pt idx="0">
                  <c:v>Australia</c:v>
                </c:pt>
                <c:pt idx="1">
                  <c:v>EU</c:v>
                </c:pt>
                <c:pt idx="2">
                  <c:v>United States</c:v>
                </c:pt>
              </c:strCache>
            </c:strRef>
          </c:cat>
          <c:val>
            <c:numRef>
              <c:f>Sheet1!$H$2:$H$4</c:f>
              <c:numCache>
                <c:formatCode>General</c:formatCode>
                <c:ptCount val="3"/>
                <c:pt idx="2">
                  <c:v>1</c:v>
                </c:pt>
              </c:numCache>
            </c:numRef>
          </c:val>
          <c:extLst>
            <c:ext xmlns:c16="http://schemas.microsoft.com/office/drawing/2014/chart" uri="{C3380CC4-5D6E-409C-BE32-E72D297353CC}">
              <c16:uniqueId val="{00000006-955D-4ED4-B1B4-3EAF24A9BC73}"/>
            </c:ext>
          </c:extLst>
        </c:ser>
        <c:ser>
          <c:idx val="7"/>
          <c:order val="7"/>
          <c:tx>
            <c:strRef>
              <c:f>Sheet1!$I$1</c:f>
              <c:strCache>
                <c:ptCount val="1"/>
                <c:pt idx="0">
                  <c:v>EU member state</c:v>
                </c:pt>
              </c:strCache>
            </c:strRef>
          </c:tx>
          <c:spPr>
            <a:solidFill>
              <a:schemeClr val="tx1"/>
            </a:solidFill>
            <a:ln>
              <a:noFill/>
            </a:ln>
            <a:effectLst/>
          </c:spPr>
          <c:invertIfNegative val="0"/>
          <c:cat>
            <c:strRef>
              <c:f>Sheet1!$A$2:$A$4</c:f>
              <c:strCache>
                <c:ptCount val="3"/>
                <c:pt idx="0">
                  <c:v>Australia</c:v>
                </c:pt>
                <c:pt idx="1">
                  <c:v>EU</c:v>
                </c:pt>
                <c:pt idx="2">
                  <c:v>United States</c:v>
                </c:pt>
              </c:strCache>
            </c:strRef>
          </c:cat>
          <c:val>
            <c:numRef>
              <c:f>Sheet1!$I$2:$I$4</c:f>
              <c:numCache>
                <c:formatCode>General</c:formatCode>
                <c:ptCount val="3"/>
                <c:pt idx="2">
                  <c:v>1</c:v>
                </c:pt>
              </c:numCache>
            </c:numRef>
          </c:val>
          <c:extLst>
            <c:ext xmlns:c16="http://schemas.microsoft.com/office/drawing/2014/chart" uri="{C3380CC4-5D6E-409C-BE32-E72D297353CC}">
              <c16:uniqueId val="{00000007-955D-4ED4-B1B4-3EAF24A9BC73}"/>
            </c:ext>
          </c:extLst>
        </c:ser>
        <c:dLbls>
          <c:showLegendKey val="0"/>
          <c:showVal val="0"/>
          <c:showCatName val="0"/>
          <c:showSerName val="0"/>
          <c:showPercent val="0"/>
          <c:showBubbleSize val="0"/>
        </c:dLbls>
        <c:gapWidth val="150"/>
        <c:overlap val="100"/>
        <c:axId val="1015838431"/>
        <c:axId val="1015845087"/>
      </c:barChart>
      <c:catAx>
        <c:axId val="10158384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5845087"/>
        <c:crosses val="autoZero"/>
        <c:auto val="1"/>
        <c:lblAlgn val="ctr"/>
        <c:lblOffset val="100"/>
        <c:noMultiLvlLbl val="0"/>
      </c:catAx>
      <c:valAx>
        <c:axId val="101584508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58384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2">
        <a:lumMod val="90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Sheet2!$B$24</c:f>
              <c:strCache>
                <c:ptCount val="1"/>
                <c:pt idx="0">
                  <c:v>Modification/ alteration</c:v>
                </c:pt>
              </c:strCache>
            </c:strRef>
          </c:tx>
          <c:spPr>
            <a:solidFill>
              <a:schemeClr val="accent1"/>
            </a:solidFill>
            <a:ln>
              <a:noFill/>
            </a:ln>
            <a:effectLst/>
          </c:spPr>
          <c:invertIfNegative val="0"/>
          <c:cat>
            <c:strRef>
              <c:f>Sheet2!$A$25:$A$27</c:f>
              <c:strCache>
                <c:ptCount val="3"/>
                <c:pt idx="0">
                  <c:v>Australia</c:v>
                </c:pt>
                <c:pt idx="1">
                  <c:v>EU</c:v>
                </c:pt>
                <c:pt idx="2">
                  <c:v>United States</c:v>
                </c:pt>
              </c:strCache>
            </c:strRef>
          </c:cat>
          <c:val>
            <c:numRef>
              <c:f>Sheet2!$B$25:$B$27</c:f>
              <c:numCache>
                <c:formatCode>General</c:formatCode>
                <c:ptCount val="3"/>
                <c:pt idx="0">
                  <c:v>6</c:v>
                </c:pt>
                <c:pt idx="1">
                  <c:v>8</c:v>
                </c:pt>
                <c:pt idx="2">
                  <c:v>10</c:v>
                </c:pt>
              </c:numCache>
            </c:numRef>
          </c:val>
          <c:extLst>
            <c:ext xmlns:c16="http://schemas.microsoft.com/office/drawing/2014/chart" uri="{C3380CC4-5D6E-409C-BE32-E72D297353CC}">
              <c16:uniqueId val="{00000000-B6E5-438D-8756-BFF29C51BFF0}"/>
            </c:ext>
          </c:extLst>
        </c:ser>
        <c:ser>
          <c:idx val="1"/>
          <c:order val="1"/>
          <c:tx>
            <c:strRef>
              <c:f>Sheet2!$C$24</c:f>
              <c:strCache>
                <c:ptCount val="1"/>
                <c:pt idx="0">
                  <c:v>Transhipment</c:v>
                </c:pt>
              </c:strCache>
            </c:strRef>
          </c:tx>
          <c:spPr>
            <a:pattFill prst="wdDnDiag">
              <a:fgClr>
                <a:schemeClr val="accent1">
                  <a:lumMod val="50000"/>
                </a:schemeClr>
              </a:fgClr>
              <a:bgClr>
                <a:schemeClr val="bg1"/>
              </a:bgClr>
            </a:pattFill>
            <a:ln>
              <a:noFill/>
            </a:ln>
            <a:effectLst/>
          </c:spPr>
          <c:invertIfNegative val="0"/>
          <c:cat>
            <c:strRef>
              <c:f>Sheet2!$A$25:$A$27</c:f>
              <c:strCache>
                <c:ptCount val="3"/>
                <c:pt idx="0">
                  <c:v>Australia</c:v>
                </c:pt>
                <c:pt idx="1">
                  <c:v>EU</c:v>
                </c:pt>
                <c:pt idx="2">
                  <c:v>United States</c:v>
                </c:pt>
              </c:strCache>
            </c:strRef>
          </c:cat>
          <c:val>
            <c:numRef>
              <c:f>Sheet2!$C$25:$C$27</c:f>
              <c:numCache>
                <c:formatCode>General</c:formatCode>
                <c:ptCount val="3"/>
                <c:pt idx="0">
                  <c:v>1</c:v>
                </c:pt>
                <c:pt idx="1">
                  <c:v>18</c:v>
                </c:pt>
                <c:pt idx="2">
                  <c:v>0</c:v>
                </c:pt>
              </c:numCache>
            </c:numRef>
          </c:val>
          <c:extLst>
            <c:ext xmlns:c16="http://schemas.microsoft.com/office/drawing/2014/chart" uri="{C3380CC4-5D6E-409C-BE32-E72D297353CC}">
              <c16:uniqueId val="{00000001-B6E5-438D-8756-BFF29C51BFF0}"/>
            </c:ext>
          </c:extLst>
        </c:ser>
        <c:ser>
          <c:idx val="2"/>
          <c:order val="2"/>
          <c:tx>
            <c:strRef>
              <c:f>Sheet2!$D$24</c:f>
              <c:strCache>
                <c:ptCount val="1"/>
                <c:pt idx="0">
                  <c:v>Assembly-3rd party</c:v>
                </c:pt>
              </c:strCache>
            </c:strRef>
          </c:tx>
          <c:spPr>
            <a:solidFill>
              <a:schemeClr val="tx1"/>
            </a:solidFill>
            <a:ln>
              <a:noFill/>
            </a:ln>
            <a:effectLst/>
          </c:spPr>
          <c:invertIfNegative val="0"/>
          <c:cat>
            <c:strRef>
              <c:f>Sheet2!$A$25:$A$27</c:f>
              <c:strCache>
                <c:ptCount val="3"/>
                <c:pt idx="0">
                  <c:v>Australia</c:v>
                </c:pt>
                <c:pt idx="1">
                  <c:v>EU</c:v>
                </c:pt>
                <c:pt idx="2">
                  <c:v>United States</c:v>
                </c:pt>
              </c:strCache>
            </c:strRef>
          </c:cat>
          <c:val>
            <c:numRef>
              <c:f>Sheet2!$D$25:$D$27</c:f>
              <c:numCache>
                <c:formatCode>General</c:formatCode>
                <c:ptCount val="3"/>
                <c:pt idx="0">
                  <c:v>0</c:v>
                </c:pt>
                <c:pt idx="1">
                  <c:v>3</c:v>
                </c:pt>
                <c:pt idx="2">
                  <c:v>17</c:v>
                </c:pt>
              </c:numCache>
            </c:numRef>
          </c:val>
          <c:extLst>
            <c:ext xmlns:c16="http://schemas.microsoft.com/office/drawing/2014/chart" uri="{C3380CC4-5D6E-409C-BE32-E72D297353CC}">
              <c16:uniqueId val="{00000002-B6E5-438D-8756-BFF29C51BFF0}"/>
            </c:ext>
          </c:extLst>
        </c:ser>
        <c:ser>
          <c:idx val="3"/>
          <c:order val="3"/>
          <c:tx>
            <c:strRef>
              <c:f>Sheet2!$E$24</c:f>
              <c:strCache>
                <c:ptCount val="1"/>
                <c:pt idx="0">
                  <c:v>Assembly-domestic</c:v>
                </c:pt>
              </c:strCache>
            </c:strRef>
          </c:tx>
          <c:spPr>
            <a:pattFill prst="horzBrick">
              <a:fgClr>
                <a:schemeClr val="bg2">
                  <a:lumMod val="10000"/>
                </a:schemeClr>
              </a:fgClr>
              <a:bgClr>
                <a:schemeClr val="bg1"/>
              </a:bgClr>
            </a:pattFill>
            <a:ln>
              <a:noFill/>
            </a:ln>
            <a:effectLst/>
          </c:spPr>
          <c:invertIfNegative val="0"/>
          <c:cat>
            <c:strRef>
              <c:f>Sheet2!$A$25:$A$27</c:f>
              <c:strCache>
                <c:ptCount val="3"/>
                <c:pt idx="0">
                  <c:v>Australia</c:v>
                </c:pt>
                <c:pt idx="1">
                  <c:v>EU</c:v>
                </c:pt>
                <c:pt idx="2">
                  <c:v>United States</c:v>
                </c:pt>
              </c:strCache>
            </c:strRef>
          </c:cat>
          <c:val>
            <c:numRef>
              <c:f>Sheet2!$E$25:$E$27</c:f>
              <c:numCache>
                <c:formatCode>General</c:formatCode>
                <c:ptCount val="3"/>
                <c:pt idx="2">
                  <c:v>4</c:v>
                </c:pt>
              </c:numCache>
            </c:numRef>
          </c:val>
          <c:extLst>
            <c:ext xmlns:c16="http://schemas.microsoft.com/office/drawing/2014/chart" uri="{C3380CC4-5D6E-409C-BE32-E72D297353CC}">
              <c16:uniqueId val="{00000003-B6E5-438D-8756-BFF29C51BFF0}"/>
            </c:ext>
          </c:extLst>
        </c:ser>
        <c:ser>
          <c:idx val="4"/>
          <c:order val="4"/>
          <c:tx>
            <c:strRef>
              <c:f>Sheet2!$F$24</c:f>
              <c:strCache>
                <c:ptCount val="1"/>
                <c:pt idx="0">
                  <c:v>Avoidance of intended effect</c:v>
                </c:pt>
              </c:strCache>
            </c:strRef>
          </c:tx>
          <c:spPr>
            <a:pattFill prst="pct50">
              <a:fgClr>
                <a:schemeClr val="tx1"/>
              </a:fgClr>
              <a:bgClr>
                <a:schemeClr val="bg1"/>
              </a:bgClr>
            </a:pattFill>
            <a:ln>
              <a:noFill/>
            </a:ln>
            <a:effectLst/>
          </c:spPr>
          <c:invertIfNegative val="0"/>
          <c:cat>
            <c:strRef>
              <c:f>Sheet2!$A$25:$A$27</c:f>
              <c:strCache>
                <c:ptCount val="3"/>
                <c:pt idx="0">
                  <c:v>Australia</c:v>
                </c:pt>
                <c:pt idx="1">
                  <c:v>EU</c:v>
                </c:pt>
                <c:pt idx="2">
                  <c:v>United States</c:v>
                </c:pt>
              </c:strCache>
            </c:strRef>
          </c:cat>
          <c:val>
            <c:numRef>
              <c:f>Sheet2!$F$25:$F$27</c:f>
              <c:numCache>
                <c:formatCode>General</c:formatCode>
                <c:ptCount val="3"/>
                <c:pt idx="0">
                  <c:v>1</c:v>
                </c:pt>
              </c:numCache>
            </c:numRef>
          </c:val>
          <c:extLst>
            <c:ext xmlns:c16="http://schemas.microsoft.com/office/drawing/2014/chart" uri="{C3380CC4-5D6E-409C-BE32-E72D297353CC}">
              <c16:uniqueId val="{00000004-B6E5-438D-8756-BFF29C51BFF0}"/>
            </c:ext>
          </c:extLst>
        </c:ser>
        <c:ser>
          <c:idx val="5"/>
          <c:order val="5"/>
          <c:tx>
            <c:strRef>
              <c:f>Sheet2!$G$24</c:f>
              <c:strCache>
                <c:ptCount val="1"/>
                <c:pt idx="0">
                  <c:v>Company channelling</c:v>
                </c:pt>
              </c:strCache>
            </c:strRef>
          </c:tx>
          <c:spPr>
            <a:pattFill prst="lgCheck">
              <a:fgClr>
                <a:schemeClr val="bg2">
                  <a:lumMod val="10000"/>
                </a:schemeClr>
              </a:fgClr>
              <a:bgClr>
                <a:schemeClr val="bg1"/>
              </a:bgClr>
            </a:pattFill>
            <a:ln>
              <a:noFill/>
            </a:ln>
            <a:effectLst/>
          </c:spPr>
          <c:invertIfNegative val="0"/>
          <c:cat>
            <c:strRef>
              <c:f>Sheet2!$A$25:$A$27</c:f>
              <c:strCache>
                <c:ptCount val="3"/>
                <c:pt idx="0">
                  <c:v>Australia</c:v>
                </c:pt>
                <c:pt idx="1">
                  <c:v>EU</c:v>
                </c:pt>
                <c:pt idx="2">
                  <c:v>United States</c:v>
                </c:pt>
              </c:strCache>
            </c:strRef>
          </c:cat>
          <c:val>
            <c:numRef>
              <c:f>Sheet2!$G$25:$G$27</c:f>
              <c:numCache>
                <c:formatCode>General</c:formatCode>
                <c:ptCount val="3"/>
                <c:pt idx="1">
                  <c:v>3</c:v>
                </c:pt>
              </c:numCache>
            </c:numRef>
          </c:val>
          <c:extLst>
            <c:ext xmlns:c16="http://schemas.microsoft.com/office/drawing/2014/chart" uri="{C3380CC4-5D6E-409C-BE32-E72D297353CC}">
              <c16:uniqueId val="{00000005-B6E5-438D-8756-BFF29C51BFF0}"/>
            </c:ext>
          </c:extLst>
        </c:ser>
        <c:dLbls>
          <c:showLegendKey val="0"/>
          <c:showVal val="0"/>
          <c:showCatName val="0"/>
          <c:showSerName val="0"/>
          <c:showPercent val="0"/>
          <c:showBubbleSize val="0"/>
        </c:dLbls>
        <c:gapWidth val="150"/>
        <c:overlap val="100"/>
        <c:axId val="961162927"/>
        <c:axId val="961164591"/>
      </c:barChart>
      <c:catAx>
        <c:axId val="9611629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1164591"/>
        <c:crosses val="autoZero"/>
        <c:auto val="1"/>
        <c:lblAlgn val="ctr"/>
        <c:lblOffset val="100"/>
        <c:noMultiLvlLbl val="0"/>
      </c:catAx>
      <c:valAx>
        <c:axId val="96116459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11629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2">
        <a:lumMod val="90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'BIOFUEL - OECD-FAO Agricultural'!$B$12</c:f>
              <c:strCache>
                <c:ptCount val="1"/>
                <c:pt idx="0">
                  <c:v>World</c:v>
                </c:pt>
              </c:strCache>
            </c:strRef>
          </c:tx>
          <c:spPr>
            <a:ln w="28575" cap="rnd">
              <a:solidFill>
                <a:schemeClr val="accent1"/>
              </a:solidFill>
              <a:round/>
            </a:ln>
            <a:effectLst/>
          </c:spPr>
          <c:marker>
            <c:symbol val="none"/>
          </c:marker>
          <c:cat>
            <c:numRef>
              <c:f>'BIOFUEL - OECD-FAO Agricultural'!$C$11:$L$11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'BIOFUEL - OECD-FAO Agricultural'!$C$12:$L$12</c:f>
              <c:numCache>
                <c:formatCode>#,##0.00_ ;\-#,##0.00\ </c:formatCode>
                <c:ptCount val="10"/>
                <c:pt idx="0">
                  <c:v>27447.1672</c:v>
                </c:pt>
                <c:pt idx="1">
                  <c:v>28781.809079999999</c:v>
                </c:pt>
                <c:pt idx="2">
                  <c:v>30540.307980000001</c:v>
                </c:pt>
                <c:pt idx="3">
                  <c:v>32424.421450000002</c:v>
                </c:pt>
                <c:pt idx="4">
                  <c:v>33955.544629999997</c:v>
                </c:pt>
                <c:pt idx="5">
                  <c:v>35445.783060000002</c:v>
                </c:pt>
                <c:pt idx="6">
                  <c:v>36941.266510000001</c:v>
                </c:pt>
                <c:pt idx="7">
                  <c:v>38484.552369999998</c:v>
                </c:pt>
                <c:pt idx="8">
                  <c:v>40158.297339999997</c:v>
                </c:pt>
                <c:pt idx="9">
                  <c:v>41594.985849999997</c:v>
                </c:pt>
              </c:numCache>
            </c:numRef>
          </c:val>
          <c:smooth val="0"/>
          <c:extLst>
            <c:ext xmlns:c16="http://schemas.microsoft.com/office/drawing/2014/chart" uri="{C3380CC4-5D6E-409C-BE32-E72D297353CC}">
              <c16:uniqueId val="{00000000-2B25-4C0B-A1F9-3BBF5A4C7B75}"/>
            </c:ext>
          </c:extLst>
        </c:ser>
        <c:ser>
          <c:idx val="1"/>
          <c:order val="1"/>
          <c:tx>
            <c:strRef>
              <c:f>'BIOFUEL - OECD-FAO Agricultural'!$B$13</c:f>
              <c:strCache>
                <c:ptCount val="1"/>
                <c:pt idx="0">
                  <c:v>United States</c:v>
                </c:pt>
              </c:strCache>
            </c:strRef>
          </c:tx>
          <c:spPr>
            <a:ln w="28575" cap="rnd">
              <a:solidFill>
                <a:sysClr val="windowText" lastClr="000000"/>
              </a:solidFill>
              <a:prstDash val="dash"/>
              <a:round/>
            </a:ln>
            <a:effectLst/>
          </c:spPr>
          <c:marker>
            <c:symbol val="none"/>
          </c:marker>
          <c:cat>
            <c:numRef>
              <c:f>'BIOFUEL - OECD-FAO Agricultural'!$C$11:$L$11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'BIOFUEL - OECD-FAO Agricultural'!$C$13:$L$13</c:f>
              <c:numCache>
                <c:formatCode>#,##0.00_ ;\-#,##0.00\ </c:formatCode>
                <c:ptCount val="10"/>
                <c:pt idx="0">
                  <c:v>4782.0490360000003</c:v>
                </c:pt>
                <c:pt idx="1">
                  <c:v>5001.4546650000002</c:v>
                </c:pt>
                <c:pt idx="2">
                  <c:v>4999.2283420000003</c:v>
                </c:pt>
                <c:pt idx="3">
                  <c:v>4986.9130459999997</c:v>
                </c:pt>
                <c:pt idx="4">
                  <c:v>4983.4570679999997</c:v>
                </c:pt>
                <c:pt idx="5">
                  <c:v>4999.2748140000003</c:v>
                </c:pt>
                <c:pt idx="6">
                  <c:v>5017.7993189999997</c:v>
                </c:pt>
                <c:pt idx="7">
                  <c:v>5042.2658220000003</c:v>
                </c:pt>
                <c:pt idx="8">
                  <c:v>5075.2501920000004</c:v>
                </c:pt>
                <c:pt idx="9">
                  <c:v>5082.8820390000001</c:v>
                </c:pt>
              </c:numCache>
            </c:numRef>
          </c:val>
          <c:smooth val="0"/>
          <c:extLst>
            <c:ext xmlns:c16="http://schemas.microsoft.com/office/drawing/2014/chart" uri="{C3380CC4-5D6E-409C-BE32-E72D297353CC}">
              <c16:uniqueId val="{00000001-2B25-4C0B-A1F9-3BBF5A4C7B75}"/>
            </c:ext>
          </c:extLst>
        </c:ser>
        <c:ser>
          <c:idx val="2"/>
          <c:order val="2"/>
          <c:tx>
            <c:strRef>
              <c:f>'BIOFUEL - OECD-FAO Agricultural'!$B$14</c:f>
              <c:strCache>
                <c:ptCount val="1"/>
                <c:pt idx="0">
                  <c:v>EU27</c:v>
                </c:pt>
              </c:strCache>
            </c:strRef>
          </c:tx>
          <c:spPr>
            <a:ln w="28575" cap="rnd">
              <a:solidFill>
                <a:sysClr val="windowText" lastClr="000000"/>
              </a:solidFill>
              <a:round/>
            </a:ln>
            <a:effectLst/>
          </c:spPr>
          <c:marker>
            <c:symbol val="none"/>
          </c:marker>
          <c:cat>
            <c:numRef>
              <c:f>'BIOFUEL - OECD-FAO Agricultural'!$C$11:$L$11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'BIOFUEL - OECD-FAO Agricultural'!$C$14:$L$14</c:f>
              <c:numCache>
                <c:formatCode>#,##0.00_ ;\-#,##0.00\ </c:formatCode>
                <c:ptCount val="10"/>
                <c:pt idx="0">
                  <c:v>12809.98467</c:v>
                </c:pt>
                <c:pt idx="1">
                  <c:v>13141.67979</c:v>
                </c:pt>
                <c:pt idx="2">
                  <c:v>14133.060450000001</c:v>
                </c:pt>
                <c:pt idx="3">
                  <c:v>15048.25592</c:v>
                </c:pt>
                <c:pt idx="4">
                  <c:v>15805.136210000001</c:v>
                </c:pt>
                <c:pt idx="5">
                  <c:v>16577.311839999998</c:v>
                </c:pt>
                <c:pt idx="6">
                  <c:v>17362.130290000001</c:v>
                </c:pt>
                <c:pt idx="7">
                  <c:v>18196.699069999999</c:v>
                </c:pt>
                <c:pt idx="8">
                  <c:v>19145.49337</c:v>
                </c:pt>
                <c:pt idx="9">
                  <c:v>19864.042700000002</c:v>
                </c:pt>
              </c:numCache>
            </c:numRef>
          </c:val>
          <c:smooth val="0"/>
          <c:extLst>
            <c:ext xmlns:c16="http://schemas.microsoft.com/office/drawing/2014/chart" uri="{C3380CC4-5D6E-409C-BE32-E72D297353CC}">
              <c16:uniqueId val="{00000002-2B25-4C0B-A1F9-3BBF5A4C7B75}"/>
            </c:ext>
          </c:extLst>
        </c:ser>
        <c:ser>
          <c:idx val="3"/>
          <c:order val="3"/>
          <c:tx>
            <c:strRef>
              <c:f>'BIOFUEL - OECD-FAO Agricultural'!$B$15</c:f>
              <c:strCache>
                <c:ptCount val="1"/>
                <c:pt idx="0">
                  <c:v>Canada</c:v>
                </c:pt>
              </c:strCache>
            </c:strRef>
          </c:tx>
          <c:spPr>
            <a:ln w="28575" cap="rnd">
              <a:solidFill>
                <a:schemeClr val="accent1">
                  <a:lumMod val="75000"/>
                </a:schemeClr>
              </a:solidFill>
              <a:prstDash val="sysDot"/>
              <a:round/>
            </a:ln>
            <a:effectLst/>
          </c:spPr>
          <c:marker>
            <c:symbol val="none"/>
          </c:marker>
          <c:cat>
            <c:numRef>
              <c:f>'BIOFUEL - OECD-FAO Agricultural'!$C$11:$L$11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'BIOFUEL - OECD-FAO Agricultural'!$C$15:$L$15</c:f>
              <c:numCache>
                <c:formatCode>#,##0.00_ ;\-#,##0.00\ </c:formatCode>
                <c:ptCount val="10"/>
                <c:pt idx="0">
                  <c:v>230.90211790000001</c:v>
                </c:pt>
                <c:pt idx="1">
                  <c:v>267.34753540000003</c:v>
                </c:pt>
                <c:pt idx="2">
                  <c:v>300.3527833</c:v>
                </c:pt>
                <c:pt idx="3">
                  <c:v>331.34466500000002</c:v>
                </c:pt>
                <c:pt idx="4">
                  <c:v>361.63875359999997</c:v>
                </c:pt>
                <c:pt idx="5">
                  <c:v>392.98228879999999</c:v>
                </c:pt>
                <c:pt idx="6">
                  <c:v>425.7810235</c:v>
                </c:pt>
                <c:pt idx="7">
                  <c:v>457.20941729999998</c:v>
                </c:pt>
                <c:pt idx="8">
                  <c:v>489.1129942</c:v>
                </c:pt>
                <c:pt idx="9">
                  <c:v>521.91602929999999</c:v>
                </c:pt>
              </c:numCache>
            </c:numRef>
          </c:val>
          <c:smooth val="0"/>
          <c:extLst>
            <c:ext xmlns:c16="http://schemas.microsoft.com/office/drawing/2014/chart" uri="{C3380CC4-5D6E-409C-BE32-E72D297353CC}">
              <c16:uniqueId val="{00000003-2B25-4C0B-A1F9-3BBF5A4C7B75}"/>
            </c:ext>
          </c:extLst>
        </c:ser>
        <c:ser>
          <c:idx val="4"/>
          <c:order val="4"/>
          <c:tx>
            <c:strRef>
              <c:f>'BIOFUEL - OECD-FAO Agricultural'!$B$16</c:f>
              <c:strCache>
                <c:ptCount val="1"/>
                <c:pt idx="0">
                  <c:v>Argentina</c:v>
                </c:pt>
              </c:strCache>
            </c:strRef>
          </c:tx>
          <c:spPr>
            <a:ln w="28575" cap="rnd">
              <a:solidFill>
                <a:schemeClr val="accent1">
                  <a:lumMod val="75000"/>
                </a:schemeClr>
              </a:solidFill>
              <a:prstDash val="dash"/>
              <a:round/>
            </a:ln>
            <a:effectLst/>
          </c:spPr>
          <c:marker>
            <c:symbol val="none"/>
          </c:marker>
          <c:cat>
            <c:numRef>
              <c:f>'BIOFUEL - OECD-FAO Agricultural'!$C$11:$L$11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'BIOFUEL - OECD-FAO Agricultural'!$C$16:$L$16</c:f>
              <c:numCache>
                <c:formatCode>#,##0.00_ ;\-#,##0.00\ </c:formatCode>
                <c:ptCount val="10"/>
                <c:pt idx="0">
                  <c:v>3173.9434059999999</c:v>
                </c:pt>
                <c:pt idx="1">
                  <c:v>3282.3613319999999</c:v>
                </c:pt>
                <c:pt idx="2">
                  <c:v>3400.222139</c:v>
                </c:pt>
                <c:pt idx="3">
                  <c:v>3544.9802260000001</c:v>
                </c:pt>
                <c:pt idx="4">
                  <c:v>3696.4282659999999</c:v>
                </c:pt>
                <c:pt idx="5">
                  <c:v>3806.5174240000001</c:v>
                </c:pt>
                <c:pt idx="6">
                  <c:v>3914.1329879999998</c:v>
                </c:pt>
                <c:pt idx="7">
                  <c:v>4007.4561819999999</c:v>
                </c:pt>
                <c:pt idx="8">
                  <c:v>4106.7529439999998</c:v>
                </c:pt>
                <c:pt idx="9">
                  <c:v>4204.2036179999996</c:v>
                </c:pt>
              </c:numCache>
            </c:numRef>
          </c:val>
          <c:smooth val="0"/>
          <c:extLst>
            <c:ext xmlns:c16="http://schemas.microsoft.com/office/drawing/2014/chart" uri="{C3380CC4-5D6E-409C-BE32-E72D297353CC}">
              <c16:uniqueId val="{00000004-2B25-4C0B-A1F9-3BBF5A4C7B75}"/>
            </c:ext>
          </c:extLst>
        </c:ser>
        <c:dLbls>
          <c:showLegendKey val="0"/>
          <c:showVal val="0"/>
          <c:showCatName val="0"/>
          <c:showSerName val="0"/>
          <c:showPercent val="0"/>
          <c:showBubbleSize val="0"/>
        </c:dLbls>
        <c:smooth val="0"/>
        <c:axId val="1471329663"/>
        <c:axId val="1471331743"/>
      </c:lineChart>
      <c:catAx>
        <c:axId val="147132966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1331743"/>
        <c:crosses val="autoZero"/>
        <c:auto val="1"/>
        <c:lblAlgn val="ctr"/>
        <c:lblOffset val="100"/>
        <c:noMultiLvlLbl val="0"/>
      </c:catAx>
      <c:valAx>
        <c:axId val="14713317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sz="1200"/>
                  <a:t>Millions</a:t>
                </a:r>
                <a:r>
                  <a:rPr lang="en-GB" sz="1200" baseline="0"/>
                  <a:t> of litres</a:t>
                </a:r>
                <a:endParaRPr lang="en-GB"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_ ;\-#,##0\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1329663"/>
        <c:crosses val="autoZero"/>
        <c:crossBetween val="between"/>
      </c:valAx>
      <c:spPr>
        <a:solidFill>
          <a:schemeClr val="bg1">
            <a:lumMod val="75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'BIOFUEL - OECD-FAO Agricultural'!$F$17:$G$17</c:f>
              <c:strCache>
                <c:ptCount val="2"/>
                <c:pt idx="0">
                  <c:v>  Production</c:v>
                </c:pt>
              </c:strCache>
            </c:strRef>
          </c:tx>
          <c:spPr>
            <a:ln w="38100" cap="rnd">
              <a:solidFill>
                <a:schemeClr val="accent1"/>
              </a:solidFill>
              <a:round/>
            </a:ln>
            <a:effectLst/>
          </c:spPr>
          <c:marker>
            <c:symbol val="none"/>
          </c:marker>
          <c:cat>
            <c:numRef>
              <c:f>'BIOFUEL - OECD-FAO Agricultural'!$H$16:$Q$16</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'BIOFUEL - OECD-FAO Agricultural'!$H$17:$Q$17</c:f>
              <c:numCache>
                <c:formatCode>#,##0.00_ ;\-#,##0.00\ </c:formatCode>
                <c:ptCount val="10"/>
                <c:pt idx="0">
                  <c:v>230.90211790000001</c:v>
                </c:pt>
                <c:pt idx="1">
                  <c:v>267.34753540000003</c:v>
                </c:pt>
                <c:pt idx="2">
                  <c:v>300.3527833</c:v>
                </c:pt>
                <c:pt idx="3">
                  <c:v>331.34466500000002</c:v>
                </c:pt>
                <c:pt idx="4">
                  <c:v>361.63875359999997</c:v>
                </c:pt>
                <c:pt idx="5">
                  <c:v>392.98228879999999</c:v>
                </c:pt>
                <c:pt idx="6">
                  <c:v>425.7810235</c:v>
                </c:pt>
                <c:pt idx="7">
                  <c:v>457.20941729999998</c:v>
                </c:pt>
                <c:pt idx="8">
                  <c:v>489.1129942</c:v>
                </c:pt>
                <c:pt idx="9">
                  <c:v>521.91602929999999</c:v>
                </c:pt>
              </c:numCache>
            </c:numRef>
          </c:val>
          <c:smooth val="0"/>
          <c:extLst>
            <c:ext xmlns:c16="http://schemas.microsoft.com/office/drawing/2014/chart" uri="{C3380CC4-5D6E-409C-BE32-E72D297353CC}">
              <c16:uniqueId val="{00000000-8083-4946-B75D-418FD3931984}"/>
            </c:ext>
          </c:extLst>
        </c:ser>
        <c:ser>
          <c:idx val="1"/>
          <c:order val="1"/>
          <c:tx>
            <c:strRef>
              <c:f>'BIOFUEL - OECD-FAO Agricultural'!$F$18:$G$18</c:f>
              <c:strCache>
                <c:ptCount val="2"/>
                <c:pt idx="0">
                  <c:v>  Consumption</c:v>
                </c:pt>
              </c:strCache>
            </c:strRef>
          </c:tx>
          <c:spPr>
            <a:ln w="38100" cap="rnd">
              <a:solidFill>
                <a:sysClr val="windowText" lastClr="000000"/>
              </a:solidFill>
              <a:round/>
            </a:ln>
            <a:effectLst/>
          </c:spPr>
          <c:marker>
            <c:symbol val="none"/>
          </c:marker>
          <c:cat>
            <c:numRef>
              <c:f>'BIOFUEL - OECD-FAO Agricultural'!$H$16:$Q$16</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'BIOFUEL - OECD-FAO Agricultural'!$H$18:$Q$18</c:f>
              <c:numCache>
                <c:formatCode>#,##0.00_ ;\-#,##0.00\ </c:formatCode>
                <c:ptCount val="10"/>
                <c:pt idx="0">
                  <c:v>553.41984879999995</c:v>
                </c:pt>
                <c:pt idx="1">
                  <c:v>557.45223480000004</c:v>
                </c:pt>
                <c:pt idx="2">
                  <c:v>560.15625999999997</c:v>
                </c:pt>
                <c:pt idx="3">
                  <c:v>562.73060029999999</c:v>
                </c:pt>
                <c:pt idx="4">
                  <c:v>565.15240089999998</c:v>
                </c:pt>
                <c:pt idx="5">
                  <c:v>567.32917610000004</c:v>
                </c:pt>
                <c:pt idx="6">
                  <c:v>569.51433599999996</c:v>
                </c:pt>
                <c:pt idx="7">
                  <c:v>571.70791220000001</c:v>
                </c:pt>
                <c:pt idx="8">
                  <c:v>573.90993760000003</c:v>
                </c:pt>
                <c:pt idx="9">
                  <c:v>576.12044409999999</c:v>
                </c:pt>
              </c:numCache>
            </c:numRef>
          </c:val>
          <c:smooth val="0"/>
          <c:extLst>
            <c:ext xmlns:c16="http://schemas.microsoft.com/office/drawing/2014/chart" uri="{C3380CC4-5D6E-409C-BE32-E72D297353CC}">
              <c16:uniqueId val="{00000001-8083-4946-B75D-418FD3931984}"/>
            </c:ext>
          </c:extLst>
        </c:ser>
        <c:dLbls>
          <c:showLegendKey val="0"/>
          <c:showVal val="0"/>
          <c:showCatName val="0"/>
          <c:showSerName val="0"/>
          <c:showPercent val="0"/>
          <c:showBubbleSize val="0"/>
        </c:dLbls>
        <c:smooth val="0"/>
        <c:axId val="1024884799"/>
        <c:axId val="1024886879"/>
      </c:lineChart>
      <c:catAx>
        <c:axId val="1024884799"/>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024886879"/>
        <c:crosses val="autoZero"/>
        <c:auto val="1"/>
        <c:lblAlgn val="ctr"/>
        <c:lblOffset val="100"/>
        <c:noMultiLvlLbl val="0"/>
      </c:catAx>
      <c:valAx>
        <c:axId val="1024886879"/>
        <c:scaling>
          <c:orientation val="minMax"/>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r>
                  <a:rPr lang="en-GB" sz="1100">
                    <a:latin typeface="Arial" panose="020B0604020202020204" pitchFamily="34" charset="0"/>
                    <a:cs typeface="Arial" panose="020B0604020202020204" pitchFamily="34" charset="0"/>
                  </a:rPr>
                  <a:t>Millions of litres</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_ ;\-#,##0\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024884799"/>
        <c:crosses val="autoZero"/>
        <c:crossBetween val="between"/>
      </c:valAx>
      <c:spPr>
        <a:solidFill>
          <a:schemeClr val="bg2">
            <a:lumMod val="90000"/>
          </a:schemeClr>
        </a:solidFill>
        <a:ln w="38100">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'BIOFUEL - OECD-FAO Agricultural'!$D$17:$E$17</c:f>
              <c:strCache>
                <c:ptCount val="2"/>
                <c:pt idx="0">
                  <c:v>  Production</c:v>
                </c:pt>
              </c:strCache>
            </c:strRef>
          </c:tx>
          <c:spPr>
            <a:ln w="38100" cap="rnd">
              <a:solidFill>
                <a:schemeClr val="accent1"/>
              </a:solidFill>
              <a:round/>
            </a:ln>
            <a:effectLst/>
          </c:spPr>
          <c:marker>
            <c:symbol val="none"/>
          </c:marker>
          <c:cat>
            <c:numRef>
              <c:f>'BIOFUEL - OECD-FAO Agricultural'!$F$16:$O$16</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'BIOFUEL - OECD-FAO Agricultural'!$F$17:$O$17</c:f>
              <c:numCache>
                <c:formatCode>#,##0.00_ ;\-#,##0.00\ </c:formatCode>
                <c:ptCount val="10"/>
                <c:pt idx="0">
                  <c:v>4782.0490360000003</c:v>
                </c:pt>
                <c:pt idx="1">
                  <c:v>5001.4546650000002</c:v>
                </c:pt>
                <c:pt idx="2">
                  <c:v>4999.2283420000003</c:v>
                </c:pt>
                <c:pt idx="3">
                  <c:v>4986.9130459999997</c:v>
                </c:pt>
                <c:pt idx="4">
                  <c:v>4983.4570679999997</c:v>
                </c:pt>
                <c:pt idx="5">
                  <c:v>4999.2748140000003</c:v>
                </c:pt>
                <c:pt idx="6">
                  <c:v>5017.7993189999997</c:v>
                </c:pt>
                <c:pt idx="7">
                  <c:v>5042.2658220000003</c:v>
                </c:pt>
                <c:pt idx="8">
                  <c:v>5075.2501920000004</c:v>
                </c:pt>
                <c:pt idx="9">
                  <c:v>5082.8820390000001</c:v>
                </c:pt>
              </c:numCache>
            </c:numRef>
          </c:val>
          <c:smooth val="0"/>
          <c:extLst>
            <c:ext xmlns:c16="http://schemas.microsoft.com/office/drawing/2014/chart" uri="{C3380CC4-5D6E-409C-BE32-E72D297353CC}">
              <c16:uniqueId val="{00000000-FBD6-48C5-B3C0-DF5648240D5A}"/>
            </c:ext>
          </c:extLst>
        </c:ser>
        <c:ser>
          <c:idx val="1"/>
          <c:order val="1"/>
          <c:tx>
            <c:strRef>
              <c:f>'BIOFUEL - OECD-FAO Agricultural'!$D$18:$E$18</c:f>
              <c:strCache>
                <c:ptCount val="2"/>
                <c:pt idx="0">
                  <c:v>  Consumption</c:v>
                </c:pt>
              </c:strCache>
            </c:strRef>
          </c:tx>
          <c:spPr>
            <a:ln w="38100" cap="rnd">
              <a:solidFill>
                <a:schemeClr val="tx1"/>
              </a:solidFill>
              <a:round/>
            </a:ln>
            <a:effectLst/>
          </c:spPr>
          <c:marker>
            <c:symbol val="none"/>
          </c:marker>
          <c:cat>
            <c:numRef>
              <c:f>'BIOFUEL - OECD-FAO Agricultural'!$F$16:$O$16</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'BIOFUEL - OECD-FAO Agricultural'!$F$18:$O$18</c:f>
              <c:numCache>
                <c:formatCode>#,##0.00_ ;\-#,##0.00\ </c:formatCode>
                <c:ptCount val="10"/>
                <c:pt idx="0">
                  <c:v>4643.7779979999996</c:v>
                </c:pt>
                <c:pt idx="1">
                  <c:v>4817.4747939999997</c:v>
                </c:pt>
                <c:pt idx="2">
                  <c:v>4835.0835269999998</c:v>
                </c:pt>
                <c:pt idx="3">
                  <c:v>4840.1373899999999</c:v>
                </c:pt>
                <c:pt idx="4">
                  <c:v>4848.6901539999999</c:v>
                </c:pt>
                <c:pt idx="5">
                  <c:v>4864.1050690000002</c:v>
                </c:pt>
                <c:pt idx="6">
                  <c:v>4880.6701009999997</c:v>
                </c:pt>
                <c:pt idx="7">
                  <c:v>4905.8001450000002</c:v>
                </c:pt>
                <c:pt idx="8">
                  <c:v>4942.9944150000001</c:v>
                </c:pt>
                <c:pt idx="9">
                  <c:v>4978.5532649999996</c:v>
                </c:pt>
              </c:numCache>
            </c:numRef>
          </c:val>
          <c:smooth val="0"/>
          <c:extLst>
            <c:ext xmlns:c16="http://schemas.microsoft.com/office/drawing/2014/chart" uri="{C3380CC4-5D6E-409C-BE32-E72D297353CC}">
              <c16:uniqueId val="{00000001-FBD6-48C5-B3C0-DF5648240D5A}"/>
            </c:ext>
          </c:extLst>
        </c:ser>
        <c:dLbls>
          <c:showLegendKey val="0"/>
          <c:showVal val="0"/>
          <c:showCatName val="0"/>
          <c:showSerName val="0"/>
          <c:showPercent val="0"/>
          <c:showBubbleSize val="0"/>
        </c:dLbls>
        <c:smooth val="0"/>
        <c:axId val="823090959"/>
        <c:axId val="823091375"/>
      </c:lineChart>
      <c:catAx>
        <c:axId val="82309095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3091375"/>
        <c:crosses val="autoZero"/>
        <c:auto val="1"/>
        <c:lblAlgn val="ctr"/>
        <c:lblOffset val="100"/>
        <c:noMultiLvlLbl val="0"/>
      </c:catAx>
      <c:valAx>
        <c:axId val="8230913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100" b="1">
                    <a:latin typeface="Arial" panose="020B0604020202020204" pitchFamily="34" charset="0"/>
                    <a:cs typeface="Arial" panose="020B0604020202020204" pitchFamily="34" charset="0"/>
                  </a:rPr>
                  <a:t>Millions of litres</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_ ;\-#,##0\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3090959"/>
        <c:crosses val="autoZero"/>
        <c:crossBetween val="between"/>
      </c:valAx>
      <c:spPr>
        <a:solidFill>
          <a:schemeClr val="bg2">
            <a:lumMod val="90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A554426A-0571-4939-8408-3311116A7A62}">
    <t:Anchor>
      <t:Comment id="638925418"/>
    </t:Anchor>
    <t:History>
      <t:Event id="{D3436DB9-573B-4AC0-B275-784983724DA2}" time="2022-08-08T14:02:22.682Z">
        <t:Attribution userId="S::aproop.bhave@traderemedies.gov.uk::14864c3a-d7bc-4702-84f3-1a47830ab642" userProvider="AD" userName="Aproop Bhave"/>
        <t:Anchor>
          <t:Comment id="162291147"/>
        </t:Anchor>
        <t:Create/>
      </t:Event>
      <t:Event id="{5C5B44AE-51A4-4AC6-BB40-71E94054D2A9}" time="2022-08-08T14:02:22.682Z">
        <t:Attribution userId="S::aproop.bhave@traderemedies.gov.uk::14864c3a-d7bc-4702-84f3-1a47830ab642" userProvider="AD" userName="Aproop Bhave"/>
        <t:Anchor>
          <t:Comment id="162291147"/>
        </t:Anchor>
        <t:Assign userId="S::Ben.Woden@traderemedies.gov.uk::976c6365-6384-44f5-a66d-a3827a17d08a" userProvider="AD" userName="Ben Woden"/>
      </t:Event>
      <t:Event id="{D9578D16-B98A-4ADC-B1BC-C1B38F9106EF}" time="2022-08-08T14:02:22.682Z">
        <t:Attribution userId="S::aproop.bhave@traderemedies.gov.uk::14864c3a-d7bc-4702-84f3-1a47830ab642" userProvider="AD" userName="Aproop Bhave"/>
        <t:Anchor>
          <t:Comment id="162291147"/>
        </t:Anchor>
        <t:SetTitle title="@Ben Woden I suggest wording this more neutrally by replacing &quot;government's own policy watchdog&quot; with &quot;Productivity Commission&quot;. We can make the change ourselves and flag to Frontier. No need for them to do any further work."/>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Analysts Methodology Prep Word Document" ma:contentTypeID="0x010100BD08157E53159745B5B23790F58509580600FF5501E1F923E34CBE0BBB4B776616BA003AF7B5E1B4562949AF437DD5D1BC226F" ma:contentTypeVersion="20" ma:contentTypeDescription="" ma:contentTypeScope="" ma:versionID="92feb3b99f6a287ac48c9981c502a825">
  <xsd:schema xmlns:xsd="http://www.w3.org/2001/XMLSchema" xmlns:xs="http://www.w3.org/2001/XMLSchema" xmlns:p="http://schemas.microsoft.com/office/2006/metadata/properties" xmlns:ns2="c14de8ec-1bbe-45d0-9da6-488d8f109529" xmlns:ns3="ca3a8e5f-87ae-44bc-a796-b11748aeb6fc" xmlns:ns4="7d22c65c-cff3-481d-b6a7-4207fafe9936" targetNamespace="http://schemas.microsoft.com/office/2006/metadata/properties" ma:root="true" ma:fieldsID="454e74584aa488e49154f9ddf6d0a677" ns2:_="" ns3:_="" ns4:_="">
    <xsd:import namespace="c14de8ec-1bbe-45d0-9da6-488d8f109529"/>
    <xsd:import namespace="ca3a8e5f-87ae-44bc-a796-b11748aeb6fc"/>
    <xsd:import namespace="7d22c65c-cff3-481d-b6a7-4207fafe9936"/>
    <xsd:element name="properties">
      <xsd:complexType>
        <xsd:sequence>
          <xsd:element name="documentManagement">
            <xsd:complexType>
              <xsd:all>
                <xsd:element ref="ns2:Classification" minOccurs="0"/>
                <xsd:element ref="ns3:Preperation_x0020_Type" minOccurs="0"/>
                <xsd:element ref="ns4:Category" minOccurs="0"/>
                <xsd:element ref="ns4:Subcategory_x0020_1" minOccurs="0"/>
                <xsd:element ref="ns4:Subcategory_x0020_2" minOccurs="0"/>
                <xsd:element ref="ns2:TaxCatchAll" minOccurs="0"/>
                <xsd:element ref="ns2:TaxCatchAllLabel" minOccurs="0"/>
                <xsd:element ref="ns3:e20ed87ba7ae48a7b522d9aed4cda6ff" minOccurs="0"/>
                <xsd:element ref="ns4:MediaServiceMetadata" minOccurs="0"/>
                <xsd:element ref="ns4:MediaServiceFastMetadata" minOccurs="0"/>
                <xsd:element ref="ns2:g69ac3da6be14936a6d4efc253c7d4fb" minOccurs="0"/>
                <xsd:element ref="ns4:MediaServiceAutoKeyPoints" minOccurs="0"/>
                <xsd:element ref="ns4:MediaServiceKeyPoints" minOccurs="0"/>
                <xsd:element ref="ns3:SharedWithUsers" minOccurs="0"/>
                <xsd:element ref="ns3:SharedWithDetail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4de8ec-1bbe-45d0-9da6-488d8f109529" elementFormDefault="qualified">
    <xsd:import namespace="http://schemas.microsoft.com/office/2006/documentManagement/types"/>
    <xsd:import namespace="http://schemas.microsoft.com/office/infopath/2007/PartnerControls"/>
    <xsd:element name="Classification" ma:index="3" nillable="true" ma:displayName="Classification" ma:format="Dropdown" ma:internalName="Classification" ma:readOnly="false">
      <xsd:simpleType>
        <xsd:restriction base="dms:Choice">
          <xsd:enumeration value="Official"/>
          <xsd:enumeration value="Official-Sensitive [Commercial]"/>
          <xsd:enumeration value="Official-Sensitive [Locsen]"/>
          <xsd:enumeration value="Official-Sensitive [Personal]"/>
        </xsd:restriction>
      </xsd:simpleType>
    </xsd:element>
    <xsd:element name="TaxCatchAll" ma:index="9" nillable="true" ma:displayName="Taxonomy Catch All Column" ma:hidden="true" ma:list="{fe2683cc-5675-4449-aadc-ec3483010e1c}" ma:internalName="TaxCatchAll" ma:readOnly="false" ma:showField="CatchAllData" ma:web="ca3a8e5f-87ae-44bc-a796-b11748aeb6f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e2683cc-5675-4449-aadc-ec3483010e1c}" ma:internalName="TaxCatchAllLabel" ma:readOnly="false" ma:showField="CatchAllDataLabel" ma:web="ca3a8e5f-87ae-44bc-a796-b11748aeb6fc">
      <xsd:complexType>
        <xsd:complexContent>
          <xsd:extension base="dms:MultiChoiceLookup">
            <xsd:sequence>
              <xsd:element name="Value" type="dms:Lookup" maxOccurs="unbounded" minOccurs="0" nillable="true"/>
            </xsd:sequence>
          </xsd:extension>
        </xsd:complexContent>
      </xsd:complexType>
    </xsd:element>
    <xsd:element name="g69ac3da6be14936a6d4efc253c7d4fb" ma:index="20" nillable="true" ma:taxonomy="true" ma:internalName="g69ac3da6be14936a6d4efc253c7d4fb" ma:taxonomyFieldName="DocumentType" ma:displayName="Document Type" ma:readOnly="false" ma:default="" ma:fieldId="{069ac3da-6be1-4936-a6d4-efc253c7d4fb}" ma:sspId="6e40df2b-c156-4e70-b773-96d34ab3705a" ma:termSetId="e97ab188-662b-45da-b4ba-f12a41afe86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3a8e5f-87ae-44bc-a796-b11748aeb6fc" elementFormDefault="qualified">
    <xsd:import namespace="http://schemas.microsoft.com/office/2006/documentManagement/types"/>
    <xsd:import namespace="http://schemas.microsoft.com/office/infopath/2007/PartnerControls"/>
    <xsd:element name="Preperation_x0020_Type" ma:index="5" nillable="true" ma:displayName="Preparation Type" ma:format="Dropdown" ma:internalName="Preperation_x0020_Type" ma:readOnly="false">
      <xsd:complexType>
        <xsd:complexContent>
          <xsd:extension base="dms:MultiChoice">
            <xsd:sequence>
              <xsd:element name="Value" maxOccurs="unbounded" minOccurs="0" nillable="true">
                <xsd:simpleType>
                  <xsd:restriction base="dms:Choice">
                    <xsd:enumeration value="Research"/>
                    <xsd:enumeration value="Background"/>
                  </xsd:restriction>
                </xsd:simpleType>
              </xsd:element>
            </xsd:sequence>
          </xsd:extension>
        </xsd:complexContent>
      </xsd:complexType>
    </xsd:element>
    <xsd:element name="e20ed87ba7ae48a7b522d9aed4cda6ff" ma:index="13" nillable="true" ma:taxonomy="true" ma:internalName="e20ed87ba7ae48a7b522d9aed4cda6ff" ma:taxonomyFieldName="Theme" ma:displayName="Theme" ma:readOnly="false" ma:default="" ma:fieldId="{e20ed87b-a7ae-48a7-b522-d9aed4cda6ff}" ma:sspId="6e40df2b-c156-4e70-b773-96d34ab3705a" ma:termSetId="c58d45fe-d5a9-4747-99bc-cb64f6f1666c" ma:anchorId="00000000-0000-0000-0000-000000000000" ma:open="false" ma:isKeyword="false">
      <xsd:complexType>
        <xsd:sequence>
          <xsd:element ref="pc:Terms" minOccurs="0" maxOccurs="1"/>
        </xsd:sequence>
      </xsd:complexType>
    </xsd:element>
    <xsd:element name="SharedWithUsers" ma:index="2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22c65c-cff3-481d-b6a7-4207fafe9936" elementFormDefault="qualified">
    <xsd:import namespace="http://schemas.microsoft.com/office/2006/documentManagement/types"/>
    <xsd:import namespace="http://schemas.microsoft.com/office/infopath/2007/PartnerControls"/>
    <xsd:element name="Category" ma:index="6" nillable="true" ma:displayName="Category" ma:format="Dropdown" ma:internalName="Category">
      <xsd:simpleType>
        <xsd:restriction base="dms:Choice">
          <xsd:enumeration value="Causation"/>
          <xsd:enumeration value="Dumping"/>
          <xsd:enumeration value="Economic Interest"/>
          <xsd:enumeration value="Injury"/>
          <xsd:enumeration value="Performance Monitoring"/>
          <xsd:enumeration value="PMS"/>
          <xsd:enumeration value="Safeguards"/>
          <xsd:enumeration value="Subsidy"/>
          <xsd:enumeration value="QA and templates"/>
          <xsd:enumeration value="Analytical Briefing"/>
        </xsd:restriction>
      </xsd:simpleType>
    </xsd:element>
    <xsd:element name="Subcategory_x0020_1" ma:index="7" nillable="true" ma:displayName="Subcategory 1" ma:default="None" ma:format="Dropdown" ma:internalName="Subcategory_x0020_1">
      <xsd:simpleType>
        <xsd:restriction base="dms:Choice">
          <xsd:enumeration value="DIT PE Model"/>
          <xsd:enumeration value="LAESI"/>
          <xsd:enumeration value="Model Office"/>
          <xsd:enumeration value="Policy Docs / Additional Questionnaires"/>
          <xsd:enumeration value="Reference Docs"/>
          <xsd:enumeration value="Variables List"/>
          <xsd:enumeration value="None"/>
          <xsd:enumeration value="Verification"/>
          <xsd:enumeration value="Planning"/>
          <xsd:enumeration value="Maps"/>
        </xsd:restriction>
      </xsd:simpleType>
    </xsd:element>
    <xsd:element name="Subcategory_x0020_2" ma:index="8" nillable="true" ma:displayName="Subcategory 2" ma:default="None" ma:format="Dropdown" ma:internalName="Subcategory_x0020_2">
      <xsd:simpleType>
        <xsd:restriction base="dms:Choice">
          <xsd:enumeration value="Data"/>
          <xsd:enumeration value="Docs"/>
          <xsd:enumeration value="Correspondence Tables"/>
          <xsd:enumeration value="Archive"/>
          <xsd:enumeration value="Guidance"/>
          <xsd:enumeration value="None"/>
          <xsd:enumeration value="PID"/>
          <xsd:enumeration value="Team A"/>
          <xsd:enumeration value="Team B"/>
          <xsd:enumeration value="Team C"/>
          <xsd:enumeration value="Downstream"/>
          <xsd:enumeration value="Upstream"/>
          <xsd:enumeration value="EIT SWI"/>
          <xsd:enumeration value="Armington Model"/>
          <xsd:enumeration value="Supply Chain Model FINAL"/>
          <xsd:enumeration value="International Comparisons"/>
          <xsd:enumeration value="RStudio script"/>
          <xsd:enumeration value="Shapefile"/>
        </xsd:restriction>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hidden="true" ma:internalName="MediaServiceKeyPoints" ma:readOnly="true">
      <xsd:simpleType>
        <xsd:restriction base="dms:Note"/>
      </xsd:simpleType>
    </xsd:element>
    <xsd:element name="MediaServiceAutoTags" ma:index="25" nillable="true" ma:displayName="Tags" ma:hidden="true" ma:internalName="MediaServiceAutoTags" ma:readOnly="true">
      <xsd:simpleType>
        <xsd:restriction base="dms:Text"/>
      </xsd:simpleType>
    </xsd:element>
    <xsd:element name="MediaServiceOCR" ma:index="26" nillable="true" ma:displayName="Extracted Text" ma:hidden="true" ma:internalName="MediaServiceOCR" ma:readOnly="true">
      <xsd:simpleType>
        <xsd:restriction base="dms:Note"/>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DateTaken" ma:index="29" nillable="true" ma:displayName="MediaServiceDateTaken" ma:hidden="true" ma:internalName="MediaServiceDateTaken" ma:readOnly="true">
      <xsd:simpleType>
        <xsd:restriction base="dms:Text"/>
      </xsd:simpleType>
    </xsd:element>
    <xsd:element name="MediaLengthInSeconds" ma:index="3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reperation_x0020_Type xmlns="ca3a8e5f-87ae-44bc-a796-b11748aeb6fc" xsi:nil="true"/>
    <e20ed87ba7ae48a7b522d9aed4cda6ff xmlns="ca3a8e5f-87ae-44bc-a796-b11748aeb6fc">
      <Terms xmlns="http://schemas.microsoft.com/office/infopath/2007/PartnerControls"/>
    </e20ed87ba7ae48a7b522d9aed4cda6ff>
    <Classification xmlns="c14de8ec-1bbe-45d0-9da6-488d8f109529" xsi:nil="true"/>
    <TaxCatchAllLabel xmlns="c14de8ec-1bbe-45d0-9da6-488d8f109529" xsi:nil="true"/>
    <Category xmlns="7d22c65c-cff3-481d-b6a7-4207fafe9936" xsi:nil="true"/>
    <Subcategory_x0020_1 xmlns="7d22c65c-cff3-481d-b6a7-4207fafe9936">None</Subcategory_x0020_1>
    <Subcategory_x0020_2 xmlns="7d22c65c-cff3-481d-b6a7-4207fafe9936">None</Subcategory_x0020_2>
    <g69ac3da6be14936a6d4efc253c7d4fb xmlns="c14de8ec-1bbe-45d0-9da6-488d8f109529">
      <Terms xmlns="http://schemas.microsoft.com/office/infopath/2007/PartnerControls"/>
    </g69ac3da6be14936a6d4efc253c7d4fb>
    <TaxCatchAll xmlns="c14de8ec-1bbe-45d0-9da6-488d8f109529" xsi:nil="true"/>
    <SharedWithUsers xmlns="ca3a8e5f-87ae-44bc-a796-b11748aeb6fc">
      <UserInfo>
        <DisplayName>Oliver Slocombe</DisplayName>
        <AccountId>38</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6e40df2b-c156-4e70-b773-96d34ab3705a" ContentTypeId="0x010100BD08157E53159745B5B23790F585095806" PreviousValue="false"/>
</file>

<file path=customXml/itemProps1.xml><?xml version="1.0" encoding="utf-8"?>
<ds:datastoreItem xmlns:ds="http://schemas.openxmlformats.org/officeDocument/2006/customXml" ds:itemID="{D6FD0E1B-1498-4DAF-A04A-E4F707EC38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4de8ec-1bbe-45d0-9da6-488d8f109529"/>
    <ds:schemaRef ds:uri="ca3a8e5f-87ae-44bc-a796-b11748aeb6fc"/>
    <ds:schemaRef ds:uri="7d22c65c-cff3-481d-b6a7-4207fafe99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A9DE7F-C741-4FA1-8E63-F0646AADB070}">
  <ds:schemaRefs>
    <ds:schemaRef ds:uri="http://schemas.openxmlformats.org/officeDocument/2006/bibliography"/>
  </ds:schemaRefs>
</ds:datastoreItem>
</file>

<file path=customXml/itemProps3.xml><?xml version="1.0" encoding="utf-8"?>
<ds:datastoreItem xmlns:ds="http://schemas.openxmlformats.org/officeDocument/2006/customXml" ds:itemID="{EF8972FC-E57A-4D6D-A976-B3503B5ED945}">
  <ds:schemaRefs>
    <ds:schemaRef ds:uri="c14de8ec-1bbe-45d0-9da6-488d8f109529"/>
    <ds:schemaRef ds:uri="http://schemas.microsoft.com/office/infopath/2007/PartnerControls"/>
    <ds:schemaRef ds:uri="http://purl.org/dc/terms/"/>
    <ds:schemaRef ds:uri="http://schemas.microsoft.com/office/2006/documentManagement/types"/>
    <ds:schemaRef ds:uri="7d22c65c-cff3-481d-b6a7-4207fafe9936"/>
    <ds:schemaRef ds:uri="http://www.w3.org/XML/1998/namespace"/>
    <ds:schemaRef ds:uri="http://purl.org/dc/dcmitype/"/>
    <ds:schemaRef ds:uri="http://schemas.microsoft.com/office/2006/metadata/properties"/>
    <ds:schemaRef ds:uri="http://purl.org/dc/elements/1.1/"/>
    <ds:schemaRef ds:uri="ca3a8e5f-87ae-44bc-a796-b11748aeb6fc"/>
    <ds:schemaRef ds:uri="http://schemas.openxmlformats.org/package/2006/metadata/core-properties"/>
  </ds:schemaRefs>
</ds:datastoreItem>
</file>

<file path=customXml/itemProps4.xml><?xml version="1.0" encoding="utf-8"?>
<ds:datastoreItem xmlns:ds="http://schemas.openxmlformats.org/officeDocument/2006/customXml" ds:itemID="{E25AA3BA-883F-4E73-A7A4-FA177597B132}">
  <ds:schemaRefs>
    <ds:schemaRef ds:uri="http://schemas.microsoft.com/sharepoint/v3/contenttype/forms"/>
  </ds:schemaRefs>
</ds:datastoreItem>
</file>

<file path=customXml/itemProps5.xml><?xml version="1.0" encoding="utf-8"?>
<ds:datastoreItem xmlns:ds="http://schemas.openxmlformats.org/officeDocument/2006/customXml" ds:itemID="{6B9BEBAB-4562-41F6-9F81-18943AF01786}">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35910</Words>
  <Characters>204692</Characters>
  <Application>Microsoft Office Word</Application>
  <DocSecurity>0</DocSecurity>
  <Lines>1705</Lines>
  <Paragraphs>480</Paragraphs>
  <ScaleCrop>false</ScaleCrop>
  <Company/>
  <LinksUpToDate>false</LinksUpToDate>
  <CharactersWithSpaces>240122</CharactersWithSpaces>
  <SharedDoc>false</SharedDoc>
  <HLinks>
    <vt:vector size="840" baseType="variant">
      <vt:variant>
        <vt:i4>7798822</vt:i4>
      </vt:variant>
      <vt:variant>
        <vt:i4>696</vt:i4>
      </vt:variant>
      <vt:variant>
        <vt:i4>0</vt:i4>
      </vt:variant>
      <vt:variant>
        <vt:i4>5</vt:i4>
      </vt:variant>
      <vt:variant>
        <vt:lpwstr>https://www.legislation.gov.au/Details/F2022C00131</vt:lpwstr>
      </vt:variant>
      <vt:variant>
        <vt:lpwstr/>
      </vt:variant>
      <vt:variant>
        <vt:i4>7471137</vt:i4>
      </vt:variant>
      <vt:variant>
        <vt:i4>693</vt:i4>
      </vt:variant>
      <vt:variant>
        <vt:i4>0</vt:i4>
      </vt:variant>
      <vt:variant>
        <vt:i4>5</vt:i4>
      </vt:variant>
      <vt:variant>
        <vt:lpwstr>https://www.legislation.gov.au/Details/C2018C00379</vt:lpwstr>
      </vt:variant>
      <vt:variant>
        <vt:lpwstr/>
      </vt:variant>
      <vt:variant>
        <vt:i4>3932256</vt:i4>
      </vt:variant>
      <vt:variant>
        <vt:i4>675</vt:i4>
      </vt:variant>
      <vt:variant>
        <vt:i4>0</vt:i4>
      </vt:variant>
      <vt:variant>
        <vt:i4>5</vt:i4>
      </vt:variant>
      <vt:variant>
        <vt:lpwstr>https://www.govinfo.gov/app/details/CFR-2001-title19-vol3/CFR-2001-title19-vol3-sec351-225</vt:lpwstr>
      </vt:variant>
      <vt:variant>
        <vt:lpwstr/>
      </vt:variant>
      <vt:variant>
        <vt:i4>4194382</vt:i4>
      </vt:variant>
      <vt:variant>
        <vt:i4>672</vt:i4>
      </vt:variant>
      <vt:variant>
        <vt:i4>0</vt:i4>
      </vt:variant>
      <vt:variant>
        <vt:i4>5</vt:i4>
      </vt:variant>
      <vt:variant>
        <vt:lpwstr>https://www.govinfo.gov/app/details/USCODE-2011-title19/USCODE-2011-title19-chap4-subtitleIV-partIV-sec1677j</vt:lpwstr>
      </vt:variant>
      <vt:variant>
        <vt:lpwstr/>
      </vt:variant>
      <vt:variant>
        <vt:i4>7012398</vt:i4>
      </vt:variant>
      <vt:variant>
        <vt:i4>666</vt:i4>
      </vt:variant>
      <vt:variant>
        <vt:i4>0</vt:i4>
      </vt:variant>
      <vt:variant>
        <vt:i4>5</vt:i4>
      </vt:variant>
      <vt:variant>
        <vt:lpwstr>https://trade.ec.europa.eu/tdi/</vt:lpwstr>
      </vt:variant>
      <vt:variant>
        <vt:lpwstr/>
      </vt:variant>
      <vt:variant>
        <vt:i4>3932285</vt:i4>
      </vt:variant>
      <vt:variant>
        <vt:i4>663</vt:i4>
      </vt:variant>
      <vt:variant>
        <vt:i4>0</vt:i4>
      </vt:variant>
      <vt:variant>
        <vt:i4>5</vt:i4>
      </vt:variant>
      <vt:variant>
        <vt:lpwstr>https://www.globaltradealert.org/intervention/16887/anti-circumvention/eu-termination-of-antidumping-duties-on-imports-of-flint-lighters-from-vietnam-following-an-anti-circumvention-investigatio</vt:lpwstr>
      </vt:variant>
      <vt:variant>
        <vt:lpwstr/>
      </vt:variant>
      <vt:variant>
        <vt:i4>7995503</vt:i4>
      </vt:variant>
      <vt:variant>
        <vt:i4>660</vt:i4>
      </vt:variant>
      <vt:variant>
        <vt:i4>0</vt:i4>
      </vt:variant>
      <vt:variant>
        <vt:i4>5</vt:i4>
      </vt:variant>
      <vt:variant>
        <vt:lpwstr>https://www.globaltradealert.org/intervention/57646/anti-circumvention/eu-extension-of-definitive-antidumping-duty-on-imports-of-bicycles-from-china-and-from-indonesia-malaysia-sri-lanka-tunisia-cambodia-pakistan-and-the-philippines-following-two-anti-circumvention-investigations</vt:lpwstr>
      </vt:variant>
      <vt:variant>
        <vt:lpwstr/>
      </vt:variant>
      <vt:variant>
        <vt:i4>6553657</vt:i4>
      </vt:variant>
      <vt:variant>
        <vt:i4>657</vt:i4>
      </vt:variant>
      <vt:variant>
        <vt:i4>0</vt:i4>
      </vt:variant>
      <vt:variant>
        <vt:i4>5</vt:i4>
      </vt:variant>
      <vt:variant>
        <vt:lpwstr>https://www.globaltradealert.org/state-act/5807/eu-termination-of-definitive-countervailing-duty-on-imports-of-crystalline-silicon-photovoltaic-modules-and-key-components-from-china-and-from-chinese-taipei-and-malaysia-following-a-countervailing-duty-circumvention-investigation</vt:lpwstr>
      </vt:variant>
      <vt:variant>
        <vt:lpwstr/>
      </vt:variant>
      <vt:variant>
        <vt:i4>8126500</vt:i4>
      </vt:variant>
      <vt:variant>
        <vt:i4>654</vt:i4>
      </vt:variant>
      <vt:variant>
        <vt:i4>0</vt:i4>
      </vt:variant>
      <vt:variant>
        <vt:i4>5</vt:i4>
      </vt:variant>
      <vt:variant>
        <vt:lpwstr>https://tron.trade.ec.europa.eu/investigations/case-history?caseId=274</vt:lpwstr>
      </vt:variant>
      <vt:variant>
        <vt:lpwstr/>
      </vt:variant>
      <vt:variant>
        <vt:i4>5570644</vt:i4>
      </vt:variant>
      <vt:variant>
        <vt:i4>651</vt:i4>
      </vt:variant>
      <vt:variant>
        <vt:i4>0</vt:i4>
      </vt:variant>
      <vt:variant>
        <vt:i4>5</vt:i4>
      </vt:variant>
      <vt:variant>
        <vt:lpwstr>https://www.globaltradealert.org/state-act/471/eu-extension-of-definitive-anti-dumping-duty-on-molybdenum-wires-from-china-and-malaysia-following-an-anti-circumvention-investigation</vt:lpwstr>
      </vt:variant>
      <vt:variant>
        <vt:lpwstr/>
      </vt:variant>
      <vt:variant>
        <vt:i4>5046280</vt:i4>
      </vt:variant>
      <vt:variant>
        <vt:i4>648</vt:i4>
      </vt:variant>
      <vt:variant>
        <vt:i4>0</vt:i4>
      </vt:variant>
      <vt:variant>
        <vt:i4>5</vt:i4>
      </vt:variant>
      <vt:variant>
        <vt:lpwstr>https://www.globaltradealert.org/intervention/81264/anti-circumvention/eu-extension-of-definitive-antidumping-duty-on-imports-of-certain-tungsten-electrodes-imported-from-china-and-from-lao-and-thailand-following-an-anti-circumvention-investigation</vt:lpwstr>
      </vt:variant>
      <vt:variant>
        <vt:lpwstr/>
      </vt:variant>
      <vt:variant>
        <vt:i4>2490469</vt:i4>
      </vt:variant>
      <vt:variant>
        <vt:i4>645</vt:i4>
      </vt:variant>
      <vt:variant>
        <vt:i4>0</vt:i4>
      </vt:variant>
      <vt:variant>
        <vt:i4>5</vt:i4>
      </vt:variant>
      <vt:variant>
        <vt:lpwstr>https://www.globaltradealert.org/intervention/99008/anti-circumvention/eu-extension-of-definitive-anti-dumping-duty-on-aluminium-foil-from-china-and-from-thailand-following-to-an-anti-circumvention-investigation-termination-of-duties-concerning-imports-from-armenia-and-brazil</vt:lpwstr>
      </vt:variant>
      <vt:variant>
        <vt:lpwstr/>
      </vt:variant>
      <vt:variant>
        <vt:i4>2097265</vt:i4>
      </vt:variant>
      <vt:variant>
        <vt:i4>642</vt:i4>
      </vt:variant>
      <vt:variant>
        <vt:i4>0</vt:i4>
      </vt:variant>
      <vt:variant>
        <vt:i4>5</vt:i4>
      </vt:variant>
      <vt:variant>
        <vt:lpwstr>https://www.globaltradealert.org/intervention/57650/anti-circumvention/eu-termination-of-definitive-antidumping-duty-on-imports-of-certain-stainless-steel-fasteners-and-parts-thereof-from-china-and-chinese-taipei-as-well-as-on-imports-from-the-philippines-following-the-conclusion-of-an-anti-circumvention-investigatio</vt:lpwstr>
      </vt:variant>
      <vt:variant>
        <vt:lpwstr/>
      </vt:variant>
      <vt:variant>
        <vt:i4>2097265</vt:i4>
      </vt:variant>
      <vt:variant>
        <vt:i4>639</vt:i4>
      </vt:variant>
      <vt:variant>
        <vt:i4>0</vt:i4>
      </vt:variant>
      <vt:variant>
        <vt:i4>5</vt:i4>
      </vt:variant>
      <vt:variant>
        <vt:lpwstr>https://www.globaltradealert.org/intervention/57650/anti-circumvention/eu-termination-of-definitive-antidumping-duty-on-imports-of-certain-stainless-steel-fasteners-and-parts-thereof-from-china-and-chinese-taipei-as-well-as-on-imports-from-the-philippines-following-the-conclusion-of-an-anti-circumvention-investigatio</vt:lpwstr>
      </vt:variant>
      <vt:variant>
        <vt:lpwstr/>
      </vt:variant>
      <vt:variant>
        <vt:i4>6488189</vt:i4>
      </vt:variant>
      <vt:variant>
        <vt:i4>636</vt:i4>
      </vt:variant>
      <vt:variant>
        <vt:i4>0</vt:i4>
      </vt:variant>
      <vt:variant>
        <vt:i4>5</vt:i4>
      </vt:variant>
      <vt:variant>
        <vt:lpwstr>https://www.globaltradealert.org/intervention/58572/anti-circumvention/eu-extension-of-antidumping-duty-on-imports-of-steel-ropes-and-cables-from-china-and-from-the-republic-of-korea-and-morocco-following-an-anti-circumvention-investigation-duties-were-terminated-on-imports-from-ukraine-and-moldova</vt:lpwstr>
      </vt:variant>
      <vt:variant>
        <vt:lpwstr/>
      </vt:variant>
      <vt:variant>
        <vt:i4>983133</vt:i4>
      </vt:variant>
      <vt:variant>
        <vt:i4>633</vt:i4>
      </vt:variant>
      <vt:variant>
        <vt:i4>0</vt:i4>
      </vt:variant>
      <vt:variant>
        <vt:i4>5</vt:i4>
      </vt:variant>
      <vt:variant>
        <vt:lpwstr>https://www.globaltradealert.org/intervention/57446/anti-circumvention/eu-extension-of-definitive-antidumping-duties-on-imports-of-certain-seamless-pipes-and-tubes-of-stainless-steel-from-china</vt:lpwstr>
      </vt:variant>
      <vt:variant>
        <vt:lpwstr/>
      </vt:variant>
      <vt:variant>
        <vt:i4>8192033</vt:i4>
      </vt:variant>
      <vt:variant>
        <vt:i4>630</vt:i4>
      </vt:variant>
      <vt:variant>
        <vt:i4>0</vt:i4>
      </vt:variant>
      <vt:variant>
        <vt:i4>5</vt:i4>
      </vt:variant>
      <vt:variant>
        <vt:lpwstr>https://tron.trade.ec.europa.eu/investigations/case-history?caseId=2255</vt:lpwstr>
      </vt:variant>
      <vt:variant>
        <vt:lpwstr/>
      </vt:variant>
      <vt:variant>
        <vt:i4>8257647</vt:i4>
      </vt:variant>
      <vt:variant>
        <vt:i4>627</vt:i4>
      </vt:variant>
      <vt:variant>
        <vt:i4>0</vt:i4>
      </vt:variant>
      <vt:variant>
        <vt:i4>5</vt:i4>
      </vt:variant>
      <vt:variant>
        <vt:lpwstr>https://www.globaltradealert.org/state-act/1430/eu-extension-of-definitive-antidumping-duty-imposed-on-imports-of-open-mesh-fabrics-of-glass-fibre-from-china-and-from-malaysia-india-indonesia-thailand-and-chinese-taipei-following-an-anti-circumvention-investigation</vt:lpwstr>
      </vt:variant>
      <vt:variant>
        <vt:lpwstr/>
      </vt:variant>
      <vt:variant>
        <vt:i4>7733281</vt:i4>
      </vt:variant>
      <vt:variant>
        <vt:i4>624</vt:i4>
      </vt:variant>
      <vt:variant>
        <vt:i4>0</vt:i4>
      </vt:variant>
      <vt:variant>
        <vt:i4>5</vt:i4>
      </vt:variant>
      <vt:variant>
        <vt:lpwstr>https://www.globaltradealert.org/state-act/36434/eu-definitive-anti-dumping-duty-on-imports-of-certain-glass-fibre-fabrics-from-china-and-egypt</vt:lpwstr>
      </vt:variant>
      <vt:variant>
        <vt:lpwstr/>
      </vt:variant>
      <vt:variant>
        <vt:i4>8323115</vt:i4>
      </vt:variant>
      <vt:variant>
        <vt:i4>621</vt:i4>
      </vt:variant>
      <vt:variant>
        <vt:i4>0</vt:i4>
      </vt:variant>
      <vt:variant>
        <vt:i4>5</vt:i4>
      </vt:variant>
      <vt:variant>
        <vt:lpwstr>https://tron.trade.ec.europa.eu/investigations/case-history?caseId=1844</vt:lpwstr>
      </vt:variant>
      <vt:variant>
        <vt:lpwstr/>
      </vt:variant>
      <vt:variant>
        <vt:i4>1310796</vt:i4>
      </vt:variant>
      <vt:variant>
        <vt:i4>618</vt:i4>
      </vt:variant>
      <vt:variant>
        <vt:i4>0</vt:i4>
      </vt:variant>
      <vt:variant>
        <vt:i4>5</vt:i4>
      </vt:variant>
      <vt:variant>
        <vt:lpwstr>https://www.globaltradealert.org/intervention/16646/anti-dumping/eu-extension-of-antidumping-duty-on-imports-of-silicon-and-from-china-and-south-korea-from-chinese-taipei-following-an-anti-circumvention-investigation</vt:lpwstr>
      </vt:variant>
      <vt:variant>
        <vt:lpwstr/>
      </vt:variant>
      <vt:variant>
        <vt:i4>4194388</vt:i4>
      </vt:variant>
      <vt:variant>
        <vt:i4>615</vt:i4>
      </vt:variant>
      <vt:variant>
        <vt:i4>0</vt:i4>
      </vt:variant>
      <vt:variant>
        <vt:i4>5</vt:i4>
      </vt:variant>
      <vt:variant>
        <vt:lpwstr>https://www.globaltradealert.org/state-act/8174/eu-extension-of-definitive-anti-dumping-duty-on-imports-of-citric-acid-from-china-and-from-malaysia-following-an-anti-circumvention-investigation</vt:lpwstr>
      </vt:variant>
      <vt:variant>
        <vt:lpwstr/>
      </vt:variant>
      <vt:variant>
        <vt:i4>7405611</vt:i4>
      </vt:variant>
      <vt:variant>
        <vt:i4>612</vt:i4>
      </vt:variant>
      <vt:variant>
        <vt:i4>0</vt:i4>
      </vt:variant>
      <vt:variant>
        <vt:i4>5</vt:i4>
      </vt:variant>
      <vt:variant>
        <vt:lpwstr>https://tron.trade.ec.europa.eu/investigations/case-history?caseId=388</vt:lpwstr>
      </vt:variant>
      <vt:variant>
        <vt:lpwstr/>
      </vt:variant>
      <vt:variant>
        <vt:i4>4325401</vt:i4>
      </vt:variant>
      <vt:variant>
        <vt:i4>609</vt:i4>
      </vt:variant>
      <vt:variant>
        <vt:i4>0</vt:i4>
      </vt:variant>
      <vt:variant>
        <vt:i4>5</vt:i4>
      </vt:variant>
      <vt:variant>
        <vt:lpwstr>https://www.globaltradealert.org/intervention/78546/anti-circumvention/eu-extension-of-definitive-antidumping-duty-on-imports-of-monosodium-glutamate-from-china</vt:lpwstr>
      </vt:variant>
      <vt:variant>
        <vt:lpwstr/>
      </vt:variant>
      <vt:variant>
        <vt:i4>2359417</vt:i4>
      </vt:variant>
      <vt:variant>
        <vt:i4>606</vt:i4>
      </vt:variant>
      <vt:variant>
        <vt:i4>0</vt:i4>
      </vt:variant>
      <vt:variant>
        <vt:i4>5</vt:i4>
      </vt:variant>
      <vt:variant>
        <vt:lpwstr>https://www.globaltradealert.org/intervention/58065/anti-circumvention/eu-extension-of-countervailing-duty-on-imports-of-biodiesel-from-the-united-states-of-america-and-from-canada-following-an-anti-circumvention-investigation</vt:lpwstr>
      </vt:variant>
      <vt:variant>
        <vt:lpwstr/>
      </vt:variant>
      <vt:variant>
        <vt:i4>4915275</vt:i4>
      </vt:variant>
      <vt:variant>
        <vt:i4>519</vt:i4>
      </vt:variant>
      <vt:variant>
        <vt:i4>0</vt:i4>
      </vt:variant>
      <vt:variant>
        <vt:i4>5</vt:i4>
      </vt:variant>
      <vt:variant>
        <vt:lpwstr>https://www.trade-remedies.service.gov.uk/public/case/TD0004/submission/a8fa1a1e-4ba7-433e-b358-edcbf0d17450/</vt:lpwstr>
      </vt:variant>
      <vt:variant>
        <vt:lpwstr/>
      </vt:variant>
      <vt:variant>
        <vt:i4>393296</vt:i4>
      </vt:variant>
      <vt:variant>
        <vt:i4>462</vt:i4>
      </vt:variant>
      <vt:variant>
        <vt:i4>0</vt:i4>
      </vt:variant>
      <vt:variant>
        <vt:i4>5</vt:i4>
      </vt:variant>
      <vt:variant>
        <vt:lpwstr>https://www.trade-remedies.service.gov.uk/public/case/TD0008/</vt:lpwstr>
      </vt:variant>
      <vt:variant>
        <vt:lpwstr/>
      </vt:variant>
      <vt:variant>
        <vt:i4>1376316</vt:i4>
      </vt:variant>
      <vt:variant>
        <vt:i4>374</vt:i4>
      </vt:variant>
      <vt:variant>
        <vt:i4>0</vt:i4>
      </vt:variant>
      <vt:variant>
        <vt:i4>5</vt:i4>
      </vt:variant>
      <vt:variant>
        <vt:lpwstr/>
      </vt:variant>
      <vt:variant>
        <vt:lpwstr>_Toc118465326</vt:lpwstr>
      </vt:variant>
      <vt:variant>
        <vt:i4>1376316</vt:i4>
      </vt:variant>
      <vt:variant>
        <vt:i4>368</vt:i4>
      </vt:variant>
      <vt:variant>
        <vt:i4>0</vt:i4>
      </vt:variant>
      <vt:variant>
        <vt:i4>5</vt:i4>
      </vt:variant>
      <vt:variant>
        <vt:lpwstr/>
      </vt:variant>
      <vt:variant>
        <vt:lpwstr>_Toc118465325</vt:lpwstr>
      </vt:variant>
      <vt:variant>
        <vt:i4>1376316</vt:i4>
      </vt:variant>
      <vt:variant>
        <vt:i4>362</vt:i4>
      </vt:variant>
      <vt:variant>
        <vt:i4>0</vt:i4>
      </vt:variant>
      <vt:variant>
        <vt:i4>5</vt:i4>
      </vt:variant>
      <vt:variant>
        <vt:lpwstr/>
      </vt:variant>
      <vt:variant>
        <vt:lpwstr>_Toc118465324</vt:lpwstr>
      </vt:variant>
      <vt:variant>
        <vt:i4>1376316</vt:i4>
      </vt:variant>
      <vt:variant>
        <vt:i4>356</vt:i4>
      </vt:variant>
      <vt:variant>
        <vt:i4>0</vt:i4>
      </vt:variant>
      <vt:variant>
        <vt:i4>5</vt:i4>
      </vt:variant>
      <vt:variant>
        <vt:lpwstr/>
      </vt:variant>
      <vt:variant>
        <vt:lpwstr>_Toc118465323</vt:lpwstr>
      </vt:variant>
      <vt:variant>
        <vt:i4>1376316</vt:i4>
      </vt:variant>
      <vt:variant>
        <vt:i4>350</vt:i4>
      </vt:variant>
      <vt:variant>
        <vt:i4>0</vt:i4>
      </vt:variant>
      <vt:variant>
        <vt:i4>5</vt:i4>
      </vt:variant>
      <vt:variant>
        <vt:lpwstr/>
      </vt:variant>
      <vt:variant>
        <vt:lpwstr>_Toc118465322</vt:lpwstr>
      </vt:variant>
      <vt:variant>
        <vt:i4>1376316</vt:i4>
      </vt:variant>
      <vt:variant>
        <vt:i4>344</vt:i4>
      </vt:variant>
      <vt:variant>
        <vt:i4>0</vt:i4>
      </vt:variant>
      <vt:variant>
        <vt:i4>5</vt:i4>
      </vt:variant>
      <vt:variant>
        <vt:lpwstr/>
      </vt:variant>
      <vt:variant>
        <vt:lpwstr>_Toc118465321</vt:lpwstr>
      </vt:variant>
      <vt:variant>
        <vt:i4>1376316</vt:i4>
      </vt:variant>
      <vt:variant>
        <vt:i4>338</vt:i4>
      </vt:variant>
      <vt:variant>
        <vt:i4>0</vt:i4>
      </vt:variant>
      <vt:variant>
        <vt:i4>5</vt:i4>
      </vt:variant>
      <vt:variant>
        <vt:lpwstr/>
      </vt:variant>
      <vt:variant>
        <vt:lpwstr>_Toc118465320</vt:lpwstr>
      </vt:variant>
      <vt:variant>
        <vt:i4>1441852</vt:i4>
      </vt:variant>
      <vt:variant>
        <vt:i4>332</vt:i4>
      </vt:variant>
      <vt:variant>
        <vt:i4>0</vt:i4>
      </vt:variant>
      <vt:variant>
        <vt:i4>5</vt:i4>
      </vt:variant>
      <vt:variant>
        <vt:lpwstr/>
      </vt:variant>
      <vt:variant>
        <vt:lpwstr>_Toc118465319</vt:lpwstr>
      </vt:variant>
      <vt:variant>
        <vt:i4>1441852</vt:i4>
      </vt:variant>
      <vt:variant>
        <vt:i4>326</vt:i4>
      </vt:variant>
      <vt:variant>
        <vt:i4>0</vt:i4>
      </vt:variant>
      <vt:variant>
        <vt:i4>5</vt:i4>
      </vt:variant>
      <vt:variant>
        <vt:lpwstr/>
      </vt:variant>
      <vt:variant>
        <vt:lpwstr>_Toc118465318</vt:lpwstr>
      </vt:variant>
      <vt:variant>
        <vt:i4>1441852</vt:i4>
      </vt:variant>
      <vt:variant>
        <vt:i4>320</vt:i4>
      </vt:variant>
      <vt:variant>
        <vt:i4>0</vt:i4>
      </vt:variant>
      <vt:variant>
        <vt:i4>5</vt:i4>
      </vt:variant>
      <vt:variant>
        <vt:lpwstr/>
      </vt:variant>
      <vt:variant>
        <vt:lpwstr>_Toc118465317</vt:lpwstr>
      </vt:variant>
      <vt:variant>
        <vt:i4>1441852</vt:i4>
      </vt:variant>
      <vt:variant>
        <vt:i4>314</vt:i4>
      </vt:variant>
      <vt:variant>
        <vt:i4>0</vt:i4>
      </vt:variant>
      <vt:variant>
        <vt:i4>5</vt:i4>
      </vt:variant>
      <vt:variant>
        <vt:lpwstr/>
      </vt:variant>
      <vt:variant>
        <vt:lpwstr>_Toc118465316</vt:lpwstr>
      </vt:variant>
      <vt:variant>
        <vt:i4>1441852</vt:i4>
      </vt:variant>
      <vt:variant>
        <vt:i4>308</vt:i4>
      </vt:variant>
      <vt:variant>
        <vt:i4>0</vt:i4>
      </vt:variant>
      <vt:variant>
        <vt:i4>5</vt:i4>
      </vt:variant>
      <vt:variant>
        <vt:lpwstr/>
      </vt:variant>
      <vt:variant>
        <vt:lpwstr>_Toc118465315</vt:lpwstr>
      </vt:variant>
      <vt:variant>
        <vt:i4>1441852</vt:i4>
      </vt:variant>
      <vt:variant>
        <vt:i4>302</vt:i4>
      </vt:variant>
      <vt:variant>
        <vt:i4>0</vt:i4>
      </vt:variant>
      <vt:variant>
        <vt:i4>5</vt:i4>
      </vt:variant>
      <vt:variant>
        <vt:lpwstr/>
      </vt:variant>
      <vt:variant>
        <vt:lpwstr>_Toc118465314</vt:lpwstr>
      </vt:variant>
      <vt:variant>
        <vt:i4>1441852</vt:i4>
      </vt:variant>
      <vt:variant>
        <vt:i4>296</vt:i4>
      </vt:variant>
      <vt:variant>
        <vt:i4>0</vt:i4>
      </vt:variant>
      <vt:variant>
        <vt:i4>5</vt:i4>
      </vt:variant>
      <vt:variant>
        <vt:lpwstr/>
      </vt:variant>
      <vt:variant>
        <vt:lpwstr>_Toc118465313</vt:lpwstr>
      </vt:variant>
      <vt:variant>
        <vt:i4>1441852</vt:i4>
      </vt:variant>
      <vt:variant>
        <vt:i4>290</vt:i4>
      </vt:variant>
      <vt:variant>
        <vt:i4>0</vt:i4>
      </vt:variant>
      <vt:variant>
        <vt:i4>5</vt:i4>
      </vt:variant>
      <vt:variant>
        <vt:lpwstr/>
      </vt:variant>
      <vt:variant>
        <vt:lpwstr>_Toc118465312</vt:lpwstr>
      </vt:variant>
      <vt:variant>
        <vt:i4>1441852</vt:i4>
      </vt:variant>
      <vt:variant>
        <vt:i4>284</vt:i4>
      </vt:variant>
      <vt:variant>
        <vt:i4>0</vt:i4>
      </vt:variant>
      <vt:variant>
        <vt:i4>5</vt:i4>
      </vt:variant>
      <vt:variant>
        <vt:lpwstr/>
      </vt:variant>
      <vt:variant>
        <vt:lpwstr>_Toc118465311</vt:lpwstr>
      </vt:variant>
      <vt:variant>
        <vt:i4>1441852</vt:i4>
      </vt:variant>
      <vt:variant>
        <vt:i4>278</vt:i4>
      </vt:variant>
      <vt:variant>
        <vt:i4>0</vt:i4>
      </vt:variant>
      <vt:variant>
        <vt:i4>5</vt:i4>
      </vt:variant>
      <vt:variant>
        <vt:lpwstr/>
      </vt:variant>
      <vt:variant>
        <vt:lpwstr>_Toc118465310</vt:lpwstr>
      </vt:variant>
      <vt:variant>
        <vt:i4>1507388</vt:i4>
      </vt:variant>
      <vt:variant>
        <vt:i4>272</vt:i4>
      </vt:variant>
      <vt:variant>
        <vt:i4>0</vt:i4>
      </vt:variant>
      <vt:variant>
        <vt:i4>5</vt:i4>
      </vt:variant>
      <vt:variant>
        <vt:lpwstr/>
      </vt:variant>
      <vt:variant>
        <vt:lpwstr>_Toc118465309</vt:lpwstr>
      </vt:variant>
      <vt:variant>
        <vt:i4>1507388</vt:i4>
      </vt:variant>
      <vt:variant>
        <vt:i4>266</vt:i4>
      </vt:variant>
      <vt:variant>
        <vt:i4>0</vt:i4>
      </vt:variant>
      <vt:variant>
        <vt:i4>5</vt:i4>
      </vt:variant>
      <vt:variant>
        <vt:lpwstr/>
      </vt:variant>
      <vt:variant>
        <vt:lpwstr>_Toc118465308</vt:lpwstr>
      </vt:variant>
      <vt:variant>
        <vt:i4>1507388</vt:i4>
      </vt:variant>
      <vt:variant>
        <vt:i4>260</vt:i4>
      </vt:variant>
      <vt:variant>
        <vt:i4>0</vt:i4>
      </vt:variant>
      <vt:variant>
        <vt:i4>5</vt:i4>
      </vt:variant>
      <vt:variant>
        <vt:lpwstr/>
      </vt:variant>
      <vt:variant>
        <vt:lpwstr>_Toc118465307</vt:lpwstr>
      </vt:variant>
      <vt:variant>
        <vt:i4>1507388</vt:i4>
      </vt:variant>
      <vt:variant>
        <vt:i4>254</vt:i4>
      </vt:variant>
      <vt:variant>
        <vt:i4>0</vt:i4>
      </vt:variant>
      <vt:variant>
        <vt:i4>5</vt:i4>
      </vt:variant>
      <vt:variant>
        <vt:lpwstr/>
      </vt:variant>
      <vt:variant>
        <vt:lpwstr>_Toc118465306</vt:lpwstr>
      </vt:variant>
      <vt:variant>
        <vt:i4>1507388</vt:i4>
      </vt:variant>
      <vt:variant>
        <vt:i4>248</vt:i4>
      </vt:variant>
      <vt:variant>
        <vt:i4>0</vt:i4>
      </vt:variant>
      <vt:variant>
        <vt:i4>5</vt:i4>
      </vt:variant>
      <vt:variant>
        <vt:lpwstr/>
      </vt:variant>
      <vt:variant>
        <vt:lpwstr>_Toc118465305</vt:lpwstr>
      </vt:variant>
      <vt:variant>
        <vt:i4>1507388</vt:i4>
      </vt:variant>
      <vt:variant>
        <vt:i4>242</vt:i4>
      </vt:variant>
      <vt:variant>
        <vt:i4>0</vt:i4>
      </vt:variant>
      <vt:variant>
        <vt:i4>5</vt:i4>
      </vt:variant>
      <vt:variant>
        <vt:lpwstr/>
      </vt:variant>
      <vt:variant>
        <vt:lpwstr>_Toc118465304</vt:lpwstr>
      </vt:variant>
      <vt:variant>
        <vt:i4>1507388</vt:i4>
      </vt:variant>
      <vt:variant>
        <vt:i4>236</vt:i4>
      </vt:variant>
      <vt:variant>
        <vt:i4>0</vt:i4>
      </vt:variant>
      <vt:variant>
        <vt:i4>5</vt:i4>
      </vt:variant>
      <vt:variant>
        <vt:lpwstr/>
      </vt:variant>
      <vt:variant>
        <vt:lpwstr>_Toc118465303</vt:lpwstr>
      </vt:variant>
      <vt:variant>
        <vt:i4>1507388</vt:i4>
      </vt:variant>
      <vt:variant>
        <vt:i4>230</vt:i4>
      </vt:variant>
      <vt:variant>
        <vt:i4>0</vt:i4>
      </vt:variant>
      <vt:variant>
        <vt:i4>5</vt:i4>
      </vt:variant>
      <vt:variant>
        <vt:lpwstr/>
      </vt:variant>
      <vt:variant>
        <vt:lpwstr>_Toc118465302</vt:lpwstr>
      </vt:variant>
      <vt:variant>
        <vt:i4>1507388</vt:i4>
      </vt:variant>
      <vt:variant>
        <vt:i4>224</vt:i4>
      </vt:variant>
      <vt:variant>
        <vt:i4>0</vt:i4>
      </vt:variant>
      <vt:variant>
        <vt:i4>5</vt:i4>
      </vt:variant>
      <vt:variant>
        <vt:lpwstr/>
      </vt:variant>
      <vt:variant>
        <vt:lpwstr>_Toc118465301</vt:lpwstr>
      </vt:variant>
      <vt:variant>
        <vt:i4>1507388</vt:i4>
      </vt:variant>
      <vt:variant>
        <vt:i4>218</vt:i4>
      </vt:variant>
      <vt:variant>
        <vt:i4>0</vt:i4>
      </vt:variant>
      <vt:variant>
        <vt:i4>5</vt:i4>
      </vt:variant>
      <vt:variant>
        <vt:lpwstr/>
      </vt:variant>
      <vt:variant>
        <vt:lpwstr>_Toc118465300</vt:lpwstr>
      </vt:variant>
      <vt:variant>
        <vt:i4>1966141</vt:i4>
      </vt:variant>
      <vt:variant>
        <vt:i4>212</vt:i4>
      </vt:variant>
      <vt:variant>
        <vt:i4>0</vt:i4>
      </vt:variant>
      <vt:variant>
        <vt:i4>5</vt:i4>
      </vt:variant>
      <vt:variant>
        <vt:lpwstr/>
      </vt:variant>
      <vt:variant>
        <vt:lpwstr>_Toc118465299</vt:lpwstr>
      </vt:variant>
      <vt:variant>
        <vt:i4>1966141</vt:i4>
      </vt:variant>
      <vt:variant>
        <vt:i4>206</vt:i4>
      </vt:variant>
      <vt:variant>
        <vt:i4>0</vt:i4>
      </vt:variant>
      <vt:variant>
        <vt:i4>5</vt:i4>
      </vt:variant>
      <vt:variant>
        <vt:lpwstr/>
      </vt:variant>
      <vt:variant>
        <vt:lpwstr>_Toc118465298</vt:lpwstr>
      </vt:variant>
      <vt:variant>
        <vt:i4>1966141</vt:i4>
      </vt:variant>
      <vt:variant>
        <vt:i4>200</vt:i4>
      </vt:variant>
      <vt:variant>
        <vt:i4>0</vt:i4>
      </vt:variant>
      <vt:variant>
        <vt:i4>5</vt:i4>
      </vt:variant>
      <vt:variant>
        <vt:lpwstr/>
      </vt:variant>
      <vt:variant>
        <vt:lpwstr>_Toc118465297</vt:lpwstr>
      </vt:variant>
      <vt:variant>
        <vt:i4>1966141</vt:i4>
      </vt:variant>
      <vt:variant>
        <vt:i4>194</vt:i4>
      </vt:variant>
      <vt:variant>
        <vt:i4>0</vt:i4>
      </vt:variant>
      <vt:variant>
        <vt:i4>5</vt:i4>
      </vt:variant>
      <vt:variant>
        <vt:lpwstr/>
      </vt:variant>
      <vt:variant>
        <vt:lpwstr>_Toc118465296</vt:lpwstr>
      </vt:variant>
      <vt:variant>
        <vt:i4>1966141</vt:i4>
      </vt:variant>
      <vt:variant>
        <vt:i4>188</vt:i4>
      </vt:variant>
      <vt:variant>
        <vt:i4>0</vt:i4>
      </vt:variant>
      <vt:variant>
        <vt:i4>5</vt:i4>
      </vt:variant>
      <vt:variant>
        <vt:lpwstr/>
      </vt:variant>
      <vt:variant>
        <vt:lpwstr>_Toc118465295</vt:lpwstr>
      </vt:variant>
      <vt:variant>
        <vt:i4>1966141</vt:i4>
      </vt:variant>
      <vt:variant>
        <vt:i4>182</vt:i4>
      </vt:variant>
      <vt:variant>
        <vt:i4>0</vt:i4>
      </vt:variant>
      <vt:variant>
        <vt:i4>5</vt:i4>
      </vt:variant>
      <vt:variant>
        <vt:lpwstr/>
      </vt:variant>
      <vt:variant>
        <vt:lpwstr>_Toc118465294</vt:lpwstr>
      </vt:variant>
      <vt:variant>
        <vt:i4>1966141</vt:i4>
      </vt:variant>
      <vt:variant>
        <vt:i4>176</vt:i4>
      </vt:variant>
      <vt:variant>
        <vt:i4>0</vt:i4>
      </vt:variant>
      <vt:variant>
        <vt:i4>5</vt:i4>
      </vt:variant>
      <vt:variant>
        <vt:lpwstr/>
      </vt:variant>
      <vt:variant>
        <vt:lpwstr>_Toc118465293</vt:lpwstr>
      </vt:variant>
      <vt:variant>
        <vt:i4>1966141</vt:i4>
      </vt:variant>
      <vt:variant>
        <vt:i4>170</vt:i4>
      </vt:variant>
      <vt:variant>
        <vt:i4>0</vt:i4>
      </vt:variant>
      <vt:variant>
        <vt:i4>5</vt:i4>
      </vt:variant>
      <vt:variant>
        <vt:lpwstr/>
      </vt:variant>
      <vt:variant>
        <vt:lpwstr>_Toc118465292</vt:lpwstr>
      </vt:variant>
      <vt:variant>
        <vt:i4>1966141</vt:i4>
      </vt:variant>
      <vt:variant>
        <vt:i4>164</vt:i4>
      </vt:variant>
      <vt:variant>
        <vt:i4>0</vt:i4>
      </vt:variant>
      <vt:variant>
        <vt:i4>5</vt:i4>
      </vt:variant>
      <vt:variant>
        <vt:lpwstr/>
      </vt:variant>
      <vt:variant>
        <vt:lpwstr>_Toc118465291</vt:lpwstr>
      </vt:variant>
      <vt:variant>
        <vt:i4>1966141</vt:i4>
      </vt:variant>
      <vt:variant>
        <vt:i4>158</vt:i4>
      </vt:variant>
      <vt:variant>
        <vt:i4>0</vt:i4>
      </vt:variant>
      <vt:variant>
        <vt:i4>5</vt:i4>
      </vt:variant>
      <vt:variant>
        <vt:lpwstr/>
      </vt:variant>
      <vt:variant>
        <vt:lpwstr>_Toc118465290</vt:lpwstr>
      </vt:variant>
      <vt:variant>
        <vt:i4>2031677</vt:i4>
      </vt:variant>
      <vt:variant>
        <vt:i4>152</vt:i4>
      </vt:variant>
      <vt:variant>
        <vt:i4>0</vt:i4>
      </vt:variant>
      <vt:variant>
        <vt:i4>5</vt:i4>
      </vt:variant>
      <vt:variant>
        <vt:lpwstr/>
      </vt:variant>
      <vt:variant>
        <vt:lpwstr>_Toc118465289</vt:lpwstr>
      </vt:variant>
      <vt:variant>
        <vt:i4>2031677</vt:i4>
      </vt:variant>
      <vt:variant>
        <vt:i4>146</vt:i4>
      </vt:variant>
      <vt:variant>
        <vt:i4>0</vt:i4>
      </vt:variant>
      <vt:variant>
        <vt:i4>5</vt:i4>
      </vt:variant>
      <vt:variant>
        <vt:lpwstr/>
      </vt:variant>
      <vt:variant>
        <vt:lpwstr>_Toc118465288</vt:lpwstr>
      </vt:variant>
      <vt:variant>
        <vt:i4>2031677</vt:i4>
      </vt:variant>
      <vt:variant>
        <vt:i4>140</vt:i4>
      </vt:variant>
      <vt:variant>
        <vt:i4>0</vt:i4>
      </vt:variant>
      <vt:variant>
        <vt:i4>5</vt:i4>
      </vt:variant>
      <vt:variant>
        <vt:lpwstr/>
      </vt:variant>
      <vt:variant>
        <vt:lpwstr>_Toc118465287</vt:lpwstr>
      </vt:variant>
      <vt:variant>
        <vt:i4>2031677</vt:i4>
      </vt:variant>
      <vt:variant>
        <vt:i4>134</vt:i4>
      </vt:variant>
      <vt:variant>
        <vt:i4>0</vt:i4>
      </vt:variant>
      <vt:variant>
        <vt:i4>5</vt:i4>
      </vt:variant>
      <vt:variant>
        <vt:lpwstr/>
      </vt:variant>
      <vt:variant>
        <vt:lpwstr>_Toc118465286</vt:lpwstr>
      </vt:variant>
      <vt:variant>
        <vt:i4>2031677</vt:i4>
      </vt:variant>
      <vt:variant>
        <vt:i4>128</vt:i4>
      </vt:variant>
      <vt:variant>
        <vt:i4>0</vt:i4>
      </vt:variant>
      <vt:variant>
        <vt:i4>5</vt:i4>
      </vt:variant>
      <vt:variant>
        <vt:lpwstr/>
      </vt:variant>
      <vt:variant>
        <vt:lpwstr>_Toc118465285</vt:lpwstr>
      </vt:variant>
      <vt:variant>
        <vt:i4>2031677</vt:i4>
      </vt:variant>
      <vt:variant>
        <vt:i4>122</vt:i4>
      </vt:variant>
      <vt:variant>
        <vt:i4>0</vt:i4>
      </vt:variant>
      <vt:variant>
        <vt:i4>5</vt:i4>
      </vt:variant>
      <vt:variant>
        <vt:lpwstr/>
      </vt:variant>
      <vt:variant>
        <vt:lpwstr>_Toc118465284</vt:lpwstr>
      </vt:variant>
      <vt:variant>
        <vt:i4>2031677</vt:i4>
      </vt:variant>
      <vt:variant>
        <vt:i4>116</vt:i4>
      </vt:variant>
      <vt:variant>
        <vt:i4>0</vt:i4>
      </vt:variant>
      <vt:variant>
        <vt:i4>5</vt:i4>
      </vt:variant>
      <vt:variant>
        <vt:lpwstr/>
      </vt:variant>
      <vt:variant>
        <vt:lpwstr>_Toc118465283</vt:lpwstr>
      </vt:variant>
      <vt:variant>
        <vt:i4>2031677</vt:i4>
      </vt:variant>
      <vt:variant>
        <vt:i4>110</vt:i4>
      </vt:variant>
      <vt:variant>
        <vt:i4>0</vt:i4>
      </vt:variant>
      <vt:variant>
        <vt:i4>5</vt:i4>
      </vt:variant>
      <vt:variant>
        <vt:lpwstr/>
      </vt:variant>
      <vt:variant>
        <vt:lpwstr>_Toc118465282</vt:lpwstr>
      </vt:variant>
      <vt:variant>
        <vt:i4>2031677</vt:i4>
      </vt:variant>
      <vt:variant>
        <vt:i4>104</vt:i4>
      </vt:variant>
      <vt:variant>
        <vt:i4>0</vt:i4>
      </vt:variant>
      <vt:variant>
        <vt:i4>5</vt:i4>
      </vt:variant>
      <vt:variant>
        <vt:lpwstr/>
      </vt:variant>
      <vt:variant>
        <vt:lpwstr>_Toc118465281</vt:lpwstr>
      </vt:variant>
      <vt:variant>
        <vt:i4>2031677</vt:i4>
      </vt:variant>
      <vt:variant>
        <vt:i4>98</vt:i4>
      </vt:variant>
      <vt:variant>
        <vt:i4>0</vt:i4>
      </vt:variant>
      <vt:variant>
        <vt:i4>5</vt:i4>
      </vt:variant>
      <vt:variant>
        <vt:lpwstr/>
      </vt:variant>
      <vt:variant>
        <vt:lpwstr>_Toc118465280</vt:lpwstr>
      </vt:variant>
      <vt:variant>
        <vt:i4>1048637</vt:i4>
      </vt:variant>
      <vt:variant>
        <vt:i4>92</vt:i4>
      </vt:variant>
      <vt:variant>
        <vt:i4>0</vt:i4>
      </vt:variant>
      <vt:variant>
        <vt:i4>5</vt:i4>
      </vt:variant>
      <vt:variant>
        <vt:lpwstr/>
      </vt:variant>
      <vt:variant>
        <vt:lpwstr>_Toc118465279</vt:lpwstr>
      </vt:variant>
      <vt:variant>
        <vt:i4>1048637</vt:i4>
      </vt:variant>
      <vt:variant>
        <vt:i4>86</vt:i4>
      </vt:variant>
      <vt:variant>
        <vt:i4>0</vt:i4>
      </vt:variant>
      <vt:variant>
        <vt:i4>5</vt:i4>
      </vt:variant>
      <vt:variant>
        <vt:lpwstr/>
      </vt:variant>
      <vt:variant>
        <vt:lpwstr>_Toc118465278</vt:lpwstr>
      </vt:variant>
      <vt:variant>
        <vt:i4>1048637</vt:i4>
      </vt:variant>
      <vt:variant>
        <vt:i4>80</vt:i4>
      </vt:variant>
      <vt:variant>
        <vt:i4>0</vt:i4>
      </vt:variant>
      <vt:variant>
        <vt:i4>5</vt:i4>
      </vt:variant>
      <vt:variant>
        <vt:lpwstr/>
      </vt:variant>
      <vt:variant>
        <vt:lpwstr>_Toc118465277</vt:lpwstr>
      </vt:variant>
      <vt:variant>
        <vt:i4>1048637</vt:i4>
      </vt:variant>
      <vt:variant>
        <vt:i4>74</vt:i4>
      </vt:variant>
      <vt:variant>
        <vt:i4>0</vt:i4>
      </vt:variant>
      <vt:variant>
        <vt:i4>5</vt:i4>
      </vt:variant>
      <vt:variant>
        <vt:lpwstr/>
      </vt:variant>
      <vt:variant>
        <vt:lpwstr>_Toc118465276</vt:lpwstr>
      </vt:variant>
      <vt:variant>
        <vt:i4>1048637</vt:i4>
      </vt:variant>
      <vt:variant>
        <vt:i4>68</vt:i4>
      </vt:variant>
      <vt:variant>
        <vt:i4>0</vt:i4>
      </vt:variant>
      <vt:variant>
        <vt:i4>5</vt:i4>
      </vt:variant>
      <vt:variant>
        <vt:lpwstr/>
      </vt:variant>
      <vt:variant>
        <vt:lpwstr>_Toc118465275</vt:lpwstr>
      </vt:variant>
      <vt:variant>
        <vt:i4>1048637</vt:i4>
      </vt:variant>
      <vt:variant>
        <vt:i4>62</vt:i4>
      </vt:variant>
      <vt:variant>
        <vt:i4>0</vt:i4>
      </vt:variant>
      <vt:variant>
        <vt:i4>5</vt:i4>
      </vt:variant>
      <vt:variant>
        <vt:lpwstr/>
      </vt:variant>
      <vt:variant>
        <vt:lpwstr>_Toc118465274</vt:lpwstr>
      </vt:variant>
      <vt:variant>
        <vt:i4>1048637</vt:i4>
      </vt:variant>
      <vt:variant>
        <vt:i4>56</vt:i4>
      </vt:variant>
      <vt:variant>
        <vt:i4>0</vt:i4>
      </vt:variant>
      <vt:variant>
        <vt:i4>5</vt:i4>
      </vt:variant>
      <vt:variant>
        <vt:lpwstr/>
      </vt:variant>
      <vt:variant>
        <vt:lpwstr>_Toc118465273</vt:lpwstr>
      </vt:variant>
      <vt:variant>
        <vt:i4>1048637</vt:i4>
      </vt:variant>
      <vt:variant>
        <vt:i4>50</vt:i4>
      </vt:variant>
      <vt:variant>
        <vt:i4>0</vt:i4>
      </vt:variant>
      <vt:variant>
        <vt:i4>5</vt:i4>
      </vt:variant>
      <vt:variant>
        <vt:lpwstr/>
      </vt:variant>
      <vt:variant>
        <vt:lpwstr>_Toc118465272</vt:lpwstr>
      </vt:variant>
      <vt:variant>
        <vt:i4>1048637</vt:i4>
      </vt:variant>
      <vt:variant>
        <vt:i4>44</vt:i4>
      </vt:variant>
      <vt:variant>
        <vt:i4>0</vt:i4>
      </vt:variant>
      <vt:variant>
        <vt:i4>5</vt:i4>
      </vt:variant>
      <vt:variant>
        <vt:lpwstr/>
      </vt:variant>
      <vt:variant>
        <vt:lpwstr>_Toc118465271</vt:lpwstr>
      </vt:variant>
      <vt:variant>
        <vt:i4>1048637</vt:i4>
      </vt:variant>
      <vt:variant>
        <vt:i4>38</vt:i4>
      </vt:variant>
      <vt:variant>
        <vt:i4>0</vt:i4>
      </vt:variant>
      <vt:variant>
        <vt:i4>5</vt:i4>
      </vt:variant>
      <vt:variant>
        <vt:lpwstr/>
      </vt:variant>
      <vt:variant>
        <vt:lpwstr>_Toc118465270</vt:lpwstr>
      </vt:variant>
      <vt:variant>
        <vt:i4>1114173</vt:i4>
      </vt:variant>
      <vt:variant>
        <vt:i4>32</vt:i4>
      </vt:variant>
      <vt:variant>
        <vt:i4>0</vt:i4>
      </vt:variant>
      <vt:variant>
        <vt:i4>5</vt:i4>
      </vt:variant>
      <vt:variant>
        <vt:lpwstr/>
      </vt:variant>
      <vt:variant>
        <vt:lpwstr>_Toc118465269</vt:lpwstr>
      </vt:variant>
      <vt:variant>
        <vt:i4>1114173</vt:i4>
      </vt:variant>
      <vt:variant>
        <vt:i4>26</vt:i4>
      </vt:variant>
      <vt:variant>
        <vt:i4>0</vt:i4>
      </vt:variant>
      <vt:variant>
        <vt:i4>5</vt:i4>
      </vt:variant>
      <vt:variant>
        <vt:lpwstr/>
      </vt:variant>
      <vt:variant>
        <vt:lpwstr>_Toc118465268</vt:lpwstr>
      </vt:variant>
      <vt:variant>
        <vt:i4>1114173</vt:i4>
      </vt:variant>
      <vt:variant>
        <vt:i4>20</vt:i4>
      </vt:variant>
      <vt:variant>
        <vt:i4>0</vt:i4>
      </vt:variant>
      <vt:variant>
        <vt:i4>5</vt:i4>
      </vt:variant>
      <vt:variant>
        <vt:lpwstr/>
      </vt:variant>
      <vt:variant>
        <vt:lpwstr>_Toc118465267</vt:lpwstr>
      </vt:variant>
      <vt:variant>
        <vt:i4>1114173</vt:i4>
      </vt:variant>
      <vt:variant>
        <vt:i4>14</vt:i4>
      </vt:variant>
      <vt:variant>
        <vt:i4>0</vt:i4>
      </vt:variant>
      <vt:variant>
        <vt:i4>5</vt:i4>
      </vt:variant>
      <vt:variant>
        <vt:lpwstr/>
      </vt:variant>
      <vt:variant>
        <vt:lpwstr>_Toc118465266</vt:lpwstr>
      </vt:variant>
      <vt:variant>
        <vt:i4>1114173</vt:i4>
      </vt:variant>
      <vt:variant>
        <vt:i4>8</vt:i4>
      </vt:variant>
      <vt:variant>
        <vt:i4>0</vt:i4>
      </vt:variant>
      <vt:variant>
        <vt:i4>5</vt:i4>
      </vt:variant>
      <vt:variant>
        <vt:lpwstr/>
      </vt:variant>
      <vt:variant>
        <vt:lpwstr>_Toc118465265</vt:lpwstr>
      </vt:variant>
      <vt:variant>
        <vt:i4>1114173</vt:i4>
      </vt:variant>
      <vt:variant>
        <vt:i4>2</vt:i4>
      </vt:variant>
      <vt:variant>
        <vt:i4>0</vt:i4>
      </vt:variant>
      <vt:variant>
        <vt:i4>5</vt:i4>
      </vt:variant>
      <vt:variant>
        <vt:lpwstr/>
      </vt:variant>
      <vt:variant>
        <vt:lpwstr>_Toc118465264</vt:lpwstr>
      </vt:variant>
      <vt:variant>
        <vt:i4>2031706</vt:i4>
      </vt:variant>
      <vt:variant>
        <vt:i4>159</vt:i4>
      </vt:variant>
      <vt:variant>
        <vt:i4>0</vt:i4>
      </vt:variant>
      <vt:variant>
        <vt:i4>5</vt:i4>
      </vt:variant>
      <vt:variant>
        <vt:lpwstr>https://unstats.un.org/unsd/classifications/Econ/Structure/Detail/EN/2089/382499</vt:lpwstr>
      </vt:variant>
      <vt:variant>
        <vt:lpwstr/>
      </vt:variant>
      <vt:variant>
        <vt:i4>2818146</vt:i4>
      </vt:variant>
      <vt:variant>
        <vt:i4>156</vt:i4>
      </vt:variant>
      <vt:variant>
        <vt:i4>0</vt:i4>
      </vt:variant>
      <vt:variant>
        <vt:i4>5</vt:i4>
      </vt:variant>
      <vt:variant>
        <vt:lpwstr>https://laws-lois.justice.gc.ca/eng/regulations/sor-84-927/</vt:lpwstr>
      </vt:variant>
      <vt:variant>
        <vt:lpwstr/>
      </vt:variant>
      <vt:variant>
        <vt:i4>7798903</vt:i4>
      </vt:variant>
      <vt:variant>
        <vt:i4>153</vt:i4>
      </vt:variant>
      <vt:variant>
        <vt:i4>0</vt:i4>
      </vt:variant>
      <vt:variant>
        <vt:i4>5</vt:i4>
      </vt:variant>
      <vt:variant>
        <vt:lpwstr>https://laws-lois.justice.gc.ca/eng/acts/s-15/</vt:lpwstr>
      </vt:variant>
      <vt:variant>
        <vt:lpwstr/>
      </vt:variant>
      <vt:variant>
        <vt:i4>2490474</vt:i4>
      </vt:variant>
      <vt:variant>
        <vt:i4>150</vt:i4>
      </vt:variant>
      <vt:variant>
        <vt:i4>0</vt:i4>
      </vt:variant>
      <vt:variant>
        <vt:i4>5</vt:i4>
      </vt:variant>
      <vt:variant>
        <vt:lpwstr>https://grattan.edu.au/news/less-cost-less-coal-why-global-rivals-are-killing-australian-aluminium/</vt:lpwstr>
      </vt:variant>
      <vt:variant>
        <vt:lpwstr/>
      </vt:variant>
      <vt:variant>
        <vt:i4>65559</vt:i4>
      </vt:variant>
      <vt:variant>
        <vt:i4>147</vt:i4>
      </vt:variant>
      <vt:variant>
        <vt:i4>0</vt:i4>
      </vt:variant>
      <vt:variant>
        <vt:i4>5</vt:i4>
      </vt:variant>
      <vt:variant>
        <vt:lpwstr>https://www.industry.gov.au/data-and-publications/trade-remedy-index</vt:lpwstr>
      </vt:variant>
      <vt:variant>
        <vt:lpwstr/>
      </vt:variant>
      <vt:variant>
        <vt:i4>7798901</vt:i4>
      </vt:variant>
      <vt:variant>
        <vt:i4>144</vt:i4>
      </vt:variant>
      <vt:variant>
        <vt:i4>0</vt:i4>
      </vt:variant>
      <vt:variant>
        <vt:i4>5</vt:i4>
      </vt:variant>
      <vt:variant>
        <vt:lpwstr>https://www.industry.gov.au/sites/default/files/adc/public-record/001_-_application_-_australian_industry_-_austube_mills_pty_ltd.pdf</vt:lpwstr>
      </vt:variant>
      <vt:variant>
        <vt:lpwstr/>
      </vt:variant>
      <vt:variant>
        <vt:i4>4980862</vt:i4>
      </vt:variant>
      <vt:variant>
        <vt:i4>141</vt:i4>
      </vt:variant>
      <vt:variant>
        <vt:i4>0</vt:i4>
      </vt:variant>
      <vt:variant>
        <vt:i4>5</vt:i4>
      </vt:variant>
      <vt:variant>
        <vt:lpwstr>https://www.industry.gov.au/sites/default/files/adc/public-record/001_australian_industry_-_bluescope_-_application_for_anti-circumvention_inquiry.pdf</vt:lpwstr>
      </vt:variant>
      <vt:variant>
        <vt:lpwstr/>
      </vt:variant>
      <vt:variant>
        <vt:i4>7405614</vt:i4>
      </vt:variant>
      <vt:variant>
        <vt:i4>138</vt:i4>
      </vt:variant>
      <vt:variant>
        <vt:i4>0</vt:i4>
      </vt:variant>
      <vt:variant>
        <vt:i4>5</vt:i4>
      </vt:variant>
      <vt:variant>
        <vt:lpwstr>https://www.legislation.gov.au/Details/C2014C00184</vt:lpwstr>
      </vt:variant>
      <vt:variant>
        <vt:lpwstr/>
      </vt:variant>
      <vt:variant>
        <vt:i4>6553704</vt:i4>
      </vt:variant>
      <vt:variant>
        <vt:i4>135</vt:i4>
      </vt:variant>
      <vt:variant>
        <vt:i4>0</vt:i4>
      </vt:variant>
      <vt:variant>
        <vt:i4>5</vt:i4>
      </vt:variant>
      <vt:variant>
        <vt:lpwstr>https://www.wto.org/english/tratop_e/adp_e/AD_Sectoral_MeasuresByRepMem.xlsx</vt:lpwstr>
      </vt:variant>
      <vt:variant>
        <vt:lpwstr/>
      </vt:variant>
      <vt:variant>
        <vt:i4>7405628</vt:i4>
      </vt:variant>
      <vt:variant>
        <vt:i4>132</vt:i4>
      </vt:variant>
      <vt:variant>
        <vt:i4>0</vt:i4>
      </vt:variant>
      <vt:variant>
        <vt:i4>5</vt:i4>
      </vt:variant>
      <vt:variant>
        <vt:lpwstr>https://access.trade.gov/login.aspx</vt:lpwstr>
      </vt:variant>
      <vt:variant>
        <vt:lpwstr/>
      </vt:variant>
      <vt:variant>
        <vt:i4>6684759</vt:i4>
      </vt:variant>
      <vt:variant>
        <vt:i4>129</vt:i4>
      </vt:variant>
      <vt:variant>
        <vt:i4>0</vt:i4>
      </vt:variant>
      <vt:variant>
        <vt:i4>5</vt:i4>
      </vt:variant>
      <vt:variant>
        <vt:lpwstr>https://trade.ec.europa.eu/tdi/case_history.cfm?id=2429&amp;init=1532</vt:lpwstr>
      </vt:variant>
      <vt:variant>
        <vt:lpwstr/>
      </vt:variant>
      <vt:variant>
        <vt:i4>2097166</vt:i4>
      </vt:variant>
      <vt:variant>
        <vt:i4>126</vt:i4>
      </vt:variant>
      <vt:variant>
        <vt:i4>0</vt:i4>
      </vt:variant>
      <vt:variant>
        <vt:i4>5</vt:i4>
      </vt:variant>
      <vt:variant>
        <vt:lpwstr>https://trade.ec.europa.eu/tdi/case_history.cfm?init=355</vt:lpwstr>
      </vt:variant>
      <vt:variant>
        <vt:lpwstr/>
      </vt:variant>
      <vt:variant>
        <vt:i4>2555919</vt:i4>
      </vt:variant>
      <vt:variant>
        <vt:i4>123</vt:i4>
      </vt:variant>
      <vt:variant>
        <vt:i4>0</vt:i4>
      </vt:variant>
      <vt:variant>
        <vt:i4>5</vt:i4>
      </vt:variant>
      <vt:variant>
        <vt:lpwstr>https://trade.ec.europa.eu/tdi/case_history.cfm?init=647</vt:lpwstr>
      </vt:variant>
      <vt:variant>
        <vt:lpwstr/>
      </vt:variant>
      <vt:variant>
        <vt:i4>2555906</vt:i4>
      </vt:variant>
      <vt:variant>
        <vt:i4>120</vt:i4>
      </vt:variant>
      <vt:variant>
        <vt:i4>0</vt:i4>
      </vt:variant>
      <vt:variant>
        <vt:i4>5</vt:i4>
      </vt:variant>
      <vt:variant>
        <vt:lpwstr>https://trade.ec.europa.eu/tdi/case_history.cfm?init=293</vt:lpwstr>
      </vt:variant>
      <vt:variant>
        <vt:lpwstr/>
      </vt:variant>
      <vt:variant>
        <vt:i4>2162699</vt:i4>
      </vt:variant>
      <vt:variant>
        <vt:i4>117</vt:i4>
      </vt:variant>
      <vt:variant>
        <vt:i4>0</vt:i4>
      </vt:variant>
      <vt:variant>
        <vt:i4>5</vt:i4>
      </vt:variant>
      <vt:variant>
        <vt:lpwstr>https://trade.ec.europa.eu/tdi/case_history.cfm?init=1060</vt:lpwstr>
      </vt:variant>
      <vt:variant>
        <vt:lpwstr/>
      </vt:variant>
      <vt:variant>
        <vt:i4>2555919</vt:i4>
      </vt:variant>
      <vt:variant>
        <vt:i4>114</vt:i4>
      </vt:variant>
      <vt:variant>
        <vt:i4>0</vt:i4>
      </vt:variant>
      <vt:variant>
        <vt:i4>5</vt:i4>
      </vt:variant>
      <vt:variant>
        <vt:lpwstr>https://trade.ec.europa.eu/tdi/case_history.cfm?init=647</vt:lpwstr>
      </vt:variant>
      <vt:variant>
        <vt:lpwstr/>
      </vt:variant>
      <vt:variant>
        <vt:i4>2949123</vt:i4>
      </vt:variant>
      <vt:variant>
        <vt:i4>111</vt:i4>
      </vt:variant>
      <vt:variant>
        <vt:i4>0</vt:i4>
      </vt:variant>
      <vt:variant>
        <vt:i4>5</vt:i4>
      </vt:variant>
      <vt:variant>
        <vt:lpwstr>https://trade.ec.europa.eu/tdi/case_history.cfm?init=388</vt:lpwstr>
      </vt:variant>
      <vt:variant>
        <vt:lpwstr/>
      </vt:variant>
      <vt:variant>
        <vt:i4>7078006</vt:i4>
      </vt:variant>
      <vt:variant>
        <vt:i4>108</vt:i4>
      </vt:variant>
      <vt:variant>
        <vt:i4>0</vt:i4>
      </vt:variant>
      <vt:variant>
        <vt:i4>5</vt:i4>
      </vt:variant>
      <vt:variant>
        <vt:lpwstr>https://eur-lex.europa.eu/legal-content/EN/TXT/?uri=celex%3A32016R1037</vt:lpwstr>
      </vt:variant>
      <vt:variant>
        <vt:lpwstr/>
      </vt:variant>
      <vt:variant>
        <vt:i4>262152</vt:i4>
      </vt:variant>
      <vt:variant>
        <vt:i4>105</vt:i4>
      </vt:variant>
      <vt:variant>
        <vt:i4>0</vt:i4>
      </vt:variant>
      <vt:variant>
        <vt:i4>5</vt:i4>
      </vt:variant>
      <vt:variant>
        <vt:lpwstr>https://eur-lex.europa.eu/legal-content/EN/TXT/HTML/?uri=CELEX:32016R1036&amp;from=EN</vt:lpwstr>
      </vt:variant>
      <vt:variant>
        <vt:lpwstr/>
      </vt:variant>
      <vt:variant>
        <vt:i4>7209002</vt:i4>
      </vt:variant>
      <vt:variant>
        <vt:i4>102</vt:i4>
      </vt:variant>
      <vt:variant>
        <vt:i4>0</vt:i4>
      </vt:variant>
      <vt:variant>
        <vt:i4>5</vt:i4>
      </vt:variant>
      <vt:variant>
        <vt:lpwstr>https://global-express.org/index.php?id=271</vt:lpwstr>
      </vt:variant>
      <vt:variant>
        <vt:lpwstr/>
      </vt:variant>
      <vt:variant>
        <vt:i4>6881313</vt:i4>
      </vt:variant>
      <vt:variant>
        <vt:i4>99</vt:i4>
      </vt:variant>
      <vt:variant>
        <vt:i4>0</vt:i4>
      </vt:variant>
      <vt:variant>
        <vt:i4>5</vt:i4>
      </vt:variant>
      <vt:variant>
        <vt:lpwstr>https://global-express.org/index.php?id=904</vt:lpwstr>
      </vt:variant>
      <vt:variant>
        <vt:lpwstr/>
      </vt:variant>
      <vt:variant>
        <vt:i4>3342374</vt:i4>
      </vt:variant>
      <vt:variant>
        <vt:i4>96</vt:i4>
      </vt:variant>
      <vt:variant>
        <vt:i4>0</vt:i4>
      </vt:variant>
      <vt:variant>
        <vt:i4>5</vt:i4>
      </vt:variant>
      <vt:variant>
        <vt:lpwstr>https://lpi.worldbank.org/</vt:lpwstr>
      </vt:variant>
      <vt:variant>
        <vt:lpwstr/>
      </vt:variant>
      <vt:variant>
        <vt:i4>4718596</vt:i4>
      </vt:variant>
      <vt:variant>
        <vt:i4>93</vt:i4>
      </vt:variant>
      <vt:variant>
        <vt:i4>0</vt:i4>
      </vt:variant>
      <vt:variant>
        <vt:i4>5</vt:i4>
      </vt:variant>
      <vt:variant>
        <vt:lpwstr>https://ilostat.ilo.org/topics/wages/</vt:lpwstr>
      </vt:variant>
      <vt:variant>
        <vt:lpwstr/>
      </vt:variant>
      <vt:variant>
        <vt:i4>327698</vt:i4>
      </vt:variant>
      <vt:variant>
        <vt:i4>90</vt:i4>
      </vt:variant>
      <vt:variant>
        <vt:i4>0</vt:i4>
      </vt:variant>
      <vt:variant>
        <vt:i4>5</vt:i4>
      </vt:variant>
      <vt:variant>
        <vt:lpwstr>https://international-aluminium.org/statistics/primary-aluminium-production/</vt:lpwstr>
      </vt:variant>
      <vt:variant>
        <vt:lpwstr/>
      </vt:variant>
      <vt:variant>
        <vt:i4>3211305</vt:i4>
      </vt:variant>
      <vt:variant>
        <vt:i4>87</vt:i4>
      </vt:variant>
      <vt:variant>
        <vt:i4>0</vt:i4>
      </vt:variant>
      <vt:variant>
        <vt:i4>5</vt:i4>
      </vt:variant>
      <vt:variant>
        <vt:lpwstr>https://worldsteel.org/steel-by-topic/statistics/about-our-statistics/</vt:lpwstr>
      </vt:variant>
      <vt:variant>
        <vt:lpwstr/>
      </vt:variant>
      <vt:variant>
        <vt:i4>3932281</vt:i4>
      </vt:variant>
      <vt:variant>
        <vt:i4>84</vt:i4>
      </vt:variant>
      <vt:variant>
        <vt:i4>0</vt:i4>
      </vt:variant>
      <vt:variant>
        <vt:i4>5</vt:i4>
      </vt:variant>
      <vt:variant>
        <vt:lpwstr>https://stats.oecd.org/Index.aspx?QueryId=36348</vt:lpwstr>
      </vt:variant>
      <vt:variant>
        <vt:lpwstr/>
      </vt:variant>
      <vt:variant>
        <vt:i4>7405676</vt:i4>
      </vt:variant>
      <vt:variant>
        <vt:i4>81</vt:i4>
      </vt:variant>
      <vt:variant>
        <vt:i4>0</vt:i4>
      </vt:variant>
      <vt:variant>
        <vt:i4>5</vt:i4>
      </vt:variant>
      <vt:variant>
        <vt:lpwstr>https://www.iea.org/reports/renewables-2021/biofuels?mode=transport&amp;region=World&amp;publication=2021&amp;flow=Consumption&amp;product=Renewable+Diesel</vt:lpwstr>
      </vt:variant>
      <vt:variant>
        <vt:lpwstr/>
      </vt:variant>
      <vt:variant>
        <vt:i4>3014659</vt:i4>
      </vt:variant>
      <vt:variant>
        <vt:i4>72</vt:i4>
      </vt:variant>
      <vt:variant>
        <vt:i4>0</vt:i4>
      </vt:variant>
      <vt:variant>
        <vt:i4>5</vt:i4>
      </vt:variant>
      <vt:variant>
        <vt:lpwstr>https://trade.ec.europa.eu/tdi/case_history.cfm?init=1893</vt:lpwstr>
      </vt:variant>
      <vt:variant>
        <vt:lpwstr/>
      </vt:variant>
      <vt:variant>
        <vt:i4>3932216</vt:i4>
      </vt:variant>
      <vt:variant>
        <vt:i4>69</vt:i4>
      </vt:variant>
      <vt:variant>
        <vt:i4>0</vt:i4>
      </vt:variant>
      <vt:variant>
        <vt:i4>5</vt:i4>
      </vt:variant>
      <vt:variant>
        <vt:lpwstr>C:\Users\amar.breckenridge\AppData\Local\Microsoft\Windows\INetCache\Content.Outlook\ZJGT042N\example https:\www.researchandmarkets.com\reports\5414921\glass-fiber-market-report-trends-forecast-and#relc0-5314014</vt:lpwstr>
      </vt:variant>
      <vt:variant>
        <vt:lpwstr/>
      </vt:variant>
      <vt:variant>
        <vt:i4>8126508</vt:i4>
      </vt:variant>
      <vt:variant>
        <vt:i4>66</vt:i4>
      </vt:variant>
      <vt:variant>
        <vt:i4>0</vt:i4>
      </vt:variant>
      <vt:variant>
        <vt:i4>5</vt:i4>
      </vt:variant>
      <vt:variant>
        <vt:lpwstr>https://www.prnewswire.com/news-releases/global-and-china-glass-fiber-industry-report-2012-2015-185273212.html</vt:lpwstr>
      </vt:variant>
      <vt:variant>
        <vt:lpwstr/>
      </vt:variant>
      <vt:variant>
        <vt:i4>2293823</vt:i4>
      </vt:variant>
      <vt:variant>
        <vt:i4>63</vt:i4>
      </vt:variant>
      <vt:variant>
        <vt:i4>0</vt:i4>
      </vt:variant>
      <vt:variant>
        <vt:i4>5</vt:i4>
      </vt:variant>
      <vt:variant>
        <vt:lpwstr>https://www.marketsandmarkets.com/Market-Reports/fiberglass-market-6124844.html%23:~:text=The global fiberglass market is estimated to be USD 11.5,at a CAGR of 4.5%25</vt:lpwstr>
      </vt:variant>
      <vt:variant>
        <vt:lpwstr/>
      </vt:variant>
      <vt:variant>
        <vt:i4>1245305</vt:i4>
      </vt:variant>
      <vt:variant>
        <vt:i4>60</vt:i4>
      </vt:variant>
      <vt:variant>
        <vt:i4>0</vt:i4>
      </vt:variant>
      <vt:variant>
        <vt:i4>5</vt:i4>
      </vt:variant>
      <vt:variant>
        <vt:lpwstr>https://www.dgtr.gov.in/sites/default/files/Final_Finding 4.pdf</vt:lpwstr>
      </vt:variant>
      <vt:variant>
        <vt:lpwstr/>
      </vt:variant>
      <vt:variant>
        <vt:i4>3866735</vt:i4>
      </vt:variant>
      <vt:variant>
        <vt:i4>57</vt:i4>
      </vt:variant>
      <vt:variant>
        <vt:i4>0</vt:i4>
      </vt:variant>
      <vt:variant>
        <vt:i4>5</vt:i4>
      </vt:variant>
      <vt:variant>
        <vt:lpwstr>https://www.dgtr.gov.in/sites/default/files/MOC636034220573714323_adfin_SSR_glass_fibre_articles_ChinaPR.pdf</vt:lpwstr>
      </vt:variant>
      <vt:variant>
        <vt:lpwstr/>
      </vt:variant>
      <vt:variant>
        <vt:i4>2097279</vt:i4>
      </vt:variant>
      <vt:variant>
        <vt:i4>48</vt:i4>
      </vt:variant>
      <vt:variant>
        <vt:i4>0</vt:i4>
      </vt:variant>
      <vt:variant>
        <vt:i4>5</vt:i4>
      </vt:variant>
      <vt:variant>
        <vt:lpwstr>http://www.statistics.gov.lk/Industry/StaticalInformation/IndexIndustrialProduction</vt:lpwstr>
      </vt:variant>
      <vt:variant>
        <vt:lpwstr/>
      </vt:variant>
      <vt:variant>
        <vt:i4>2162732</vt:i4>
      </vt:variant>
      <vt:variant>
        <vt:i4>45</vt:i4>
      </vt:variant>
      <vt:variant>
        <vt:i4>0</vt:i4>
      </vt:variant>
      <vt:variant>
        <vt:i4>5</vt:i4>
      </vt:variant>
      <vt:variant>
        <vt:lpwstr>https://www.gso.gov.vn/en/px-web/?pxid=E0705&amp;theme=Industry</vt:lpwstr>
      </vt:variant>
      <vt:variant>
        <vt:lpwstr/>
      </vt:variant>
      <vt:variant>
        <vt:i4>2424876</vt:i4>
      </vt:variant>
      <vt:variant>
        <vt:i4>42</vt:i4>
      </vt:variant>
      <vt:variant>
        <vt:i4>0</vt:i4>
      </vt:variant>
      <vt:variant>
        <vt:i4>5</vt:i4>
      </vt:variant>
      <vt:variant>
        <vt:lpwstr>https://www.gso.gov.vn/en/px-web/?pxid=E0701&amp;theme=Industry</vt:lpwstr>
      </vt:variant>
      <vt:variant>
        <vt:lpwstr/>
      </vt:variant>
      <vt:variant>
        <vt:i4>7405602</vt:i4>
      </vt:variant>
      <vt:variant>
        <vt:i4>39</vt:i4>
      </vt:variant>
      <vt:variant>
        <vt:i4>0</vt:i4>
      </vt:variant>
      <vt:variant>
        <vt:i4>5</vt:i4>
      </vt:variant>
      <vt:variant>
        <vt:lpwstr>https://www.bps.go.id/indicator/9/2084/1/quarterly-production-index-of-large-and-medium-manufacturing-by-subsector-kbli-2009-2010-100-.html</vt:lpwstr>
      </vt:variant>
      <vt:variant>
        <vt:lpwstr/>
      </vt:variant>
      <vt:variant>
        <vt:i4>983124</vt:i4>
      </vt:variant>
      <vt:variant>
        <vt:i4>36</vt:i4>
      </vt:variant>
      <vt:variant>
        <vt:i4>0</vt:i4>
      </vt:variant>
      <vt:variant>
        <vt:i4>5</vt:i4>
      </vt:variant>
      <vt:variant>
        <vt:lpwstr>https://www.bps.go.id/indicator/9/2077/1/monthly-production-index-of-large-and-medium-manufacturing-by-subsector-kbli-2009-2010-100-.html</vt:lpwstr>
      </vt:variant>
      <vt:variant>
        <vt:lpwstr/>
      </vt:variant>
      <vt:variant>
        <vt:i4>6160479</vt:i4>
      </vt:variant>
      <vt:variant>
        <vt:i4>33</vt:i4>
      </vt:variant>
      <vt:variant>
        <vt:i4>0</vt:i4>
      </vt:variant>
      <vt:variant>
        <vt:i4>5</vt:i4>
      </vt:variant>
      <vt:variant>
        <vt:lpwstr>https://www.bps.go.id/subject/170/industri-mikro-dan-kecil.html%23subjekViewTab3</vt:lpwstr>
      </vt:variant>
      <vt:variant>
        <vt:lpwstr/>
      </vt:variant>
      <vt:variant>
        <vt:i4>2097274</vt:i4>
      </vt:variant>
      <vt:variant>
        <vt:i4>30</vt:i4>
      </vt:variant>
      <vt:variant>
        <vt:i4>0</vt:i4>
      </vt:variant>
      <vt:variant>
        <vt:i4>5</vt:i4>
      </vt:variant>
      <vt:variant>
        <vt:lpwstr>https://www.bps.go.id/subject/9/industri-besar-dan-sedang.html%23subjekViewTab3</vt:lpwstr>
      </vt:variant>
      <vt:variant>
        <vt:lpwstr/>
      </vt:variant>
      <vt:variant>
        <vt:i4>2031641</vt:i4>
      </vt:variant>
      <vt:variant>
        <vt:i4>27</vt:i4>
      </vt:variant>
      <vt:variant>
        <vt:i4>0</vt:i4>
      </vt:variant>
      <vt:variant>
        <vt:i4>5</vt:i4>
      </vt:variant>
      <vt:variant>
        <vt:lpwstr>https://tablebuilder.singstat.gov.sg/table/TS/M355272</vt:lpwstr>
      </vt:variant>
      <vt:variant>
        <vt:lpwstr/>
      </vt:variant>
      <vt:variant>
        <vt:i4>655376</vt:i4>
      </vt:variant>
      <vt:variant>
        <vt:i4>24</vt:i4>
      </vt:variant>
      <vt:variant>
        <vt:i4>0</vt:i4>
      </vt:variant>
      <vt:variant>
        <vt:i4>5</vt:i4>
      </vt:variant>
      <vt:variant>
        <vt:lpwstr>https://tablebuilder.singstat.gov.sg/table/TS/M354851%23!</vt:lpwstr>
      </vt:variant>
      <vt:variant>
        <vt:lpwstr/>
      </vt:variant>
      <vt:variant>
        <vt:i4>1048631</vt:i4>
      </vt:variant>
      <vt:variant>
        <vt:i4>21</vt:i4>
      </vt:variant>
      <vt:variant>
        <vt:i4>0</vt:i4>
      </vt:variant>
      <vt:variant>
        <vt:i4>5</vt:i4>
      </vt:variant>
      <vt:variant>
        <vt:lpwstr>https://www.moea.gov.tw/MNS/english/content/ContentMenu.aspx?menu_id=32928</vt:lpwstr>
      </vt:variant>
      <vt:variant>
        <vt:lpwstr/>
      </vt:variant>
      <vt:variant>
        <vt:i4>8060963</vt:i4>
      </vt:variant>
      <vt:variant>
        <vt:i4>18</vt:i4>
      </vt:variant>
      <vt:variant>
        <vt:i4>0</vt:i4>
      </vt:variant>
      <vt:variant>
        <vt:i4>5</vt:i4>
      </vt:variant>
      <vt:variant>
        <vt:lpwstr>https://www.dosm.gov.my/v1/index.php?r=column/cthemeByCat&amp;cat=90&amp;bul_id=cnE4U01Qc0xjb0JCdWtKQU5LZGdtdz09&amp;menu_id=SjgwNXdiM0JlT3Q2TDBlWXdKdUVldz09</vt:lpwstr>
      </vt:variant>
      <vt:variant>
        <vt:lpwstr>:~:text=Total%20employees%20engaged%20in%20the,3.5%20per%20cent%20or%20RM247</vt:lpwstr>
      </vt:variant>
      <vt:variant>
        <vt:i4>7929978</vt:i4>
      </vt:variant>
      <vt:variant>
        <vt:i4>15</vt:i4>
      </vt:variant>
      <vt:variant>
        <vt:i4>0</vt:i4>
      </vt:variant>
      <vt:variant>
        <vt:i4>5</vt:i4>
      </vt:variant>
      <vt:variant>
        <vt:lpwstr>https://ec.europa.eu/eurostat/web/prodcom/data/database</vt:lpwstr>
      </vt:variant>
      <vt:variant>
        <vt:lpwstr/>
      </vt:variant>
      <vt:variant>
        <vt:i4>2818123</vt:i4>
      </vt:variant>
      <vt:variant>
        <vt:i4>12</vt:i4>
      </vt:variant>
      <vt:variant>
        <vt:i4>0</vt:i4>
      </vt:variant>
      <vt:variant>
        <vt:i4>5</vt:i4>
      </vt:variant>
      <vt:variant>
        <vt:lpwstr>https://stat.unido.org/content/dataset_description/indstat-4-2021%252c-isic-revision-4</vt:lpwstr>
      </vt:variant>
      <vt:variant>
        <vt:lpwstr/>
      </vt:variant>
      <vt:variant>
        <vt:i4>3276909</vt:i4>
      </vt:variant>
      <vt:variant>
        <vt:i4>9</vt:i4>
      </vt:variant>
      <vt:variant>
        <vt:i4>0</vt:i4>
      </vt:variant>
      <vt:variant>
        <vt:i4>5</vt:i4>
      </vt:variant>
      <vt:variant>
        <vt:lpwstr>https://www.worldbank.org/en/data/interactive/2021/03/02/temporary-trade-barriers-database</vt:lpwstr>
      </vt:variant>
      <vt:variant>
        <vt:lpwstr/>
      </vt:variant>
      <vt:variant>
        <vt:i4>7405691</vt:i4>
      </vt:variant>
      <vt:variant>
        <vt:i4>6</vt:i4>
      </vt:variant>
      <vt:variant>
        <vt:i4>0</vt:i4>
      </vt:variant>
      <vt:variant>
        <vt:i4>5</vt:i4>
      </vt:variant>
      <vt:variant>
        <vt:lpwstr>https://home.treasury.gov/system/files/206/authorizing-statute.pdf</vt:lpwstr>
      </vt:variant>
      <vt:variant>
        <vt:lpwstr/>
      </vt:variant>
      <vt:variant>
        <vt:i4>524290</vt:i4>
      </vt:variant>
      <vt:variant>
        <vt:i4>3</vt:i4>
      </vt:variant>
      <vt:variant>
        <vt:i4>0</vt:i4>
      </vt:variant>
      <vt:variant>
        <vt:i4>5</vt:i4>
      </vt:variant>
      <vt:variant>
        <vt:lpwstr>https://eur-lex.europa.eu/legal-content/EN/TXT/HTML/?uri=CELEX:31987R1761&amp;from=DE</vt:lpwstr>
      </vt:variant>
      <vt:variant>
        <vt:lpwstr/>
      </vt:variant>
      <vt:variant>
        <vt:i4>3539006</vt:i4>
      </vt:variant>
      <vt:variant>
        <vt:i4>0</vt:i4>
      </vt:variant>
      <vt:variant>
        <vt:i4>0</vt:i4>
      </vt:variant>
      <vt:variant>
        <vt:i4>5</vt:i4>
      </vt:variant>
      <vt:variant>
        <vt:lpwstr>https://www.gov.uk/government/publications/the-uk-trade-remedies-investigations-process/how-we-apply-the-economic-interest-test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Geoffrey Chapman</dc:creator>
  <cp:keywords/>
  <dc:description/>
  <cp:lastModifiedBy>Lucy Berrie</cp:lastModifiedBy>
  <cp:revision>2</cp:revision>
  <dcterms:created xsi:type="dcterms:W3CDTF">2022-11-16T12:06:00Z</dcterms:created>
  <dcterms:modified xsi:type="dcterms:W3CDTF">2022-11-16T12:06:00Z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150e91-1403-4795-80a4-b7d1f9621190_Enabled">
    <vt:lpwstr>True</vt:lpwstr>
  </property>
  <property fmtid="{D5CDD505-2E9C-101B-9397-08002B2CF9AE}" pid="3" name="MSIP_Label_eb150e91-1403-4795-80a4-b7d1f9621190_SiteId">
    <vt:lpwstr>6d05c462-2956-4ec4-a0d4-480181c849f9</vt:lpwstr>
  </property>
  <property fmtid="{D5CDD505-2E9C-101B-9397-08002B2CF9AE}" pid="4" name="MSIP_Label_eb150e91-1403-4795-80a4-b7d1f9621190_Owner">
    <vt:lpwstr>Geoffrey.Chapman@traderemedies.gov.uk</vt:lpwstr>
  </property>
  <property fmtid="{D5CDD505-2E9C-101B-9397-08002B2CF9AE}" pid="5" name="MSIP_Label_eb150e91-1403-4795-80a4-b7d1f9621190_SetDate">
    <vt:lpwstr>2021-11-22T16:52:50.3605030Z</vt:lpwstr>
  </property>
  <property fmtid="{D5CDD505-2E9C-101B-9397-08002B2CF9AE}" pid="6" name="MSIP_Label_eb150e91-1403-4795-80a4-b7d1f9621190_Name">
    <vt:lpwstr>OFFICIAL</vt:lpwstr>
  </property>
  <property fmtid="{D5CDD505-2E9C-101B-9397-08002B2CF9AE}" pid="7" name="MSIP_Label_eb150e91-1403-4795-80a4-b7d1f9621190_Application">
    <vt:lpwstr>Microsoft Azure Information Protection</vt:lpwstr>
  </property>
  <property fmtid="{D5CDD505-2E9C-101B-9397-08002B2CF9AE}" pid="8" name="MSIP_Label_eb150e91-1403-4795-80a4-b7d1f9621190_ActionId">
    <vt:lpwstr>8b0be029-d792-49a6-9026-fcc9c12f57dd</vt:lpwstr>
  </property>
  <property fmtid="{D5CDD505-2E9C-101B-9397-08002B2CF9AE}" pid="9" name="MSIP_Label_eb150e91-1403-4795-80a4-b7d1f9621190_Extended_MSFT_Method">
    <vt:lpwstr>Automatic</vt:lpwstr>
  </property>
  <property fmtid="{D5CDD505-2E9C-101B-9397-08002B2CF9AE}" pid="10" name="Sensitivity">
    <vt:lpwstr>OFFICIAL</vt:lpwstr>
  </property>
  <property fmtid="{D5CDD505-2E9C-101B-9397-08002B2CF9AE}" pid="11" name="ContentTypeId">
    <vt:lpwstr>0x010100BD08157E53159745B5B23790F58509580600FF5501E1F923E34CBE0BBB4B776616BA003AF7B5E1B4562949AF437DD5D1BC226F</vt:lpwstr>
  </property>
  <property fmtid="{D5CDD505-2E9C-101B-9397-08002B2CF9AE}" pid="12" name="Theme">
    <vt:lpwstr/>
  </property>
  <property fmtid="{D5CDD505-2E9C-101B-9397-08002B2CF9AE}" pid="13" name="DocumentType">
    <vt:lpwstr/>
  </property>
</Properties>
</file>