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B77C" w14:textId="77777777" w:rsidR="000B0589" w:rsidRDefault="000B0589" w:rsidP="00BC2702">
      <w:pPr>
        <w:pStyle w:val="Conditions1"/>
        <w:numPr>
          <w:ilvl w:val="0"/>
          <w:numId w:val="0"/>
        </w:numPr>
      </w:pPr>
      <w:r>
        <w:rPr>
          <w:noProof/>
        </w:rPr>
        <w:drawing>
          <wp:inline distT="0" distB="0" distL="0" distR="0" wp14:anchorId="6C5E31A7" wp14:editId="74A3B9C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1E0E696" w14:textId="77777777" w:rsidR="000B0589" w:rsidRDefault="000B0589" w:rsidP="00A5760C"/>
    <w:p w14:paraId="5BFB00D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F4C1BDB" w14:textId="77777777" w:rsidTr="00EC5F86">
        <w:trPr>
          <w:cantSplit/>
          <w:trHeight w:val="23"/>
        </w:trPr>
        <w:tc>
          <w:tcPr>
            <w:tcW w:w="9356" w:type="dxa"/>
            <w:shd w:val="clear" w:color="auto" w:fill="auto"/>
          </w:tcPr>
          <w:p w14:paraId="475B9411" w14:textId="77777777" w:rsidR="000B0589" w:rsidRPr="00EC5F86" w:rsidRDefault="00EC5F8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26A650AE" w14:textId="77777777" w:rsidTr="00EC5F86">
        <w:trPr>
          <w:cantSplit/>
          <w:trHeight w:val="23"/>
        </w:trPr>
        <w:tc>
          <w:tcPr>
            <w:tcW w:w="9356" w:type="dxa"/>
            <w:shd w:val="clear" w:color="auto" w:fill="auto"/>
            <w:vAlign w:val="center"/>
          </w:tcPr>
          <w:p w14:paraId="3715E0F5" w14:textId="77777777" w:rsidR="00EC5F86" w:rsidRDefault="00EC5F86" w:rsidP="00EC5F86">
            <w:pPr>
              <w:spacing w:before="60"/>
              <w:ind w:left="-108" w:right="34"/>
              <w:rPr>
                <w:color w:val="000000"/>
                <w:szCs w:val="22"/>
              </w:rPr>
            </w:pPr>
            <w:r>
              <w:rPr>
                <w:color w:val="000000"/>
                <w:szCs w:val="22"/>
              </w:rPr>
              <w:t>Inquiry Held on 14 September 2022</w:t>
            </w:r>
          </w:p>
          <w:p w14:paraId="45D56591" w14:textId="5D63E035" w:rsidR="000B0589" w:rsidRPr="00EC5F86" w:rsidRDefault="00EC5F86" w:rsidP="00EC5F86">
            <w:pPr>
              <w:spacing w:before="60"/>
              <w:ind w:left="-108" w:right="34"/>
              <w:rPr>
                <w:color w:val="000000"/>
                <w:szCs w:val="22"/>
              </w:rPr>
            </w:pPr>
            <w:r>
              <w:rPr>
                <w:color w:val="000000"/>
                <w:szCs w:val="22"/>
              </w:rPr>
              <w:t>Site visit made on 13 September 2022</w:t>
            </w:r>
          </w:p>
        </w:tc>
      </w:tr>
      <w:tr w:rsidR="000B0589" w:rsidRPr="00361890" w14:paraId="102B373A" w14:textId="77777777" w:rsidTr="00EC5F86">
        <w:trPr>
          <w:cantSplit/>
          <w:trHeight w:val="23"/>
        </w:trPr>
        <w:tc>
          <w:tcPr>
            <w:tcW w:w="9356" w:type="dxa"/>
            <w:shd w:val="clear" w:color="auto" w:fill="auto"/>
          </w:tcPr>
          <w:p w14:paraId="5571F75B" w14:textId="09CEBBD5" w:rsidR="000B0589" w:rsidRPr="00EC5F86" w:rsidRDefault="00EC5F86" w:rsidP="00EC5F86">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42288572" w14:textId="77777777" w:rsidTr="00EC5F86">
        <w:trPr>
          <w:cantSplit/>
          <w:trHeight w:val="23"/>
        </w:trPr>
        <w:tc>
          <w:tcPr>
            <w:tcW w:w="9356" w:type="dxa"/>
            <w:shd w:val="clear" w:color="auto" w:fill="auto"/>
          </w:tcPr>
          <w:p w14:paraId="64F26563" w14:textId="19B0B0D6" w:rsidR="000B0589" w:rsidRPr="00EC5F86" w:rsidRDefault="00EC5F8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B32E926" w14:textId="77777777" w:rsidTr="00EC5F86">
        <w:trPr>
          <w:cantSplit/>
          <w:trHeight w:val="23"/>
        </w:trPr>
        <w:tc>
          <w:tcPr>
            <w:tcW w:w="9356" w:type="dxa"/>
            <w:shd w:val="clear" w:color="auto" w:fill="auto"/>
          </w:tcPr>
          <w:p w14:paraId="27943145" w14:textId="5BDE9CFC"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16BB9">
              <w:rPr>
                <w:b/>
                <w:color w:val="000000"/>
                <w:sz w:val="16"/>
                <w:szCs w:val="16"/>
              </w:rPr>
              <w:t xml:space="preserve"> 11 October 2022</w:t>
            </w:r>
          </w:p>
        </w:tc>
      </w:tr>
    </w:tbl>
    <w:p w14:paraId="3A344ABE" w14:textId="77777777" w:rsidR="00EC5F86" w:rsidRDefault="00EC5F86" w:rsidP="000B0589"/>
    <w:tbl>
      <w:tblPr>
        <w:tblW w:w="0" w:type="auto"/>
        <w:tblLayout w:type="fixed"/>
        <w:tblLook w:val="0000" w:firstRow="0" w:lastRow="0" w:firstColumn="0" w:lastColumn="0" w:noHBand="0" w:noVBand="0"/>
      </w:tblPr>
      <w:tblGrid>
        <w:gridCol w:w="9520"/>
      </w:tblGrid>
      <w:tr w:rsidR="00EC5F86" w14:paraId="79E287BE" w14:textId="77777777" w:rsidTr="00EC5F86">
        <w:tc>
          <w:tcPr>
            <w:tcW w:w="9520" w:type="dxa"/>
            <w:shd w:val="clear" w:color="auto" w:fill="auto"/>
          </w:tcPr>
          <w:p w14:paraId="1C581321" w14:textId="7C3F25DE" w:rsidR="00EC5F86" w:rsidRPr="00EC5F86" w:rsidRDefault="00EC5F86" w:rsidP="00EC5F86">
            <w:pPr>
              <w:spacing w:after="60"/>
              <w:rPr>
                <w:b/>
                <w:color w:val="000000"/>
              </w:rPr>
            </w:pPr>
            <w:r>
              <w:rPr>
                <w:b/>
                <w:color w:val="000000"/>
              </w:rPr>
              <w:t>Order Ref: ROW/3276730</w:t>
            </w:r>
          </w:p>
        </w:tc>
      </w:tr>
      <w:tr w:rsidR="00EC5F86" w14:paraId="5ABAC64D" w14:textId="77777777" w:rsidTr="00EC5F86">
        <w:tc>
          <w:tcPr>
            <w:tcW w:w="9520" w:type="dxa"/>
            <w:shd w:val="clear" w:color="auto" w:fill="auto"/>
          </w:tcPr>
          <w:p w14:paraId="6B1D3658" w14:textId="57D54068" w:rsidR="00EC5F86" w:rsidRDefault="00EC5F86" w:rsidP="00EC5F86">
            <w:pPr>
              <w:pStyle w:val="TBullet"/>
            </w:pPr>
            <w:r>
              <w:t xml:space="preserve">This Order is made under Section 53 (2) (b) of the Wildlife and Countryside Act 1981 (the 1981 Act) and is known as the </w:t>
            </w:r>
            <w:r w:rsidRPr="00EC5F86">
              <w:t xml:space="preserve">Buckinghamshire County Council (Public Footpath Around </w:t>
            </w:r>
            <w:proofErr w:type="spellStart"/>
            <w:r w:rsidRPr="00EC5F86">
              <w:t>Statters</w:t>
            </w:r>
            <w:proofErr w:type="spellEnd"/>
            <w:r w:rsidRPr="00EC5F86">
              <w:t xml:space="preserve"> Field, Parish of Little Chalfont) Definitive Map Modification Order 2019</w:t>
            </w:r>
            <w:r>
              <w:t>.</w:t>
            </w:r>
          </w:p>
        </w:tc>
      </w:tr>
      <w:tr w:rsidR="00EC5F86" w14:paraId="25EA9F5C" w14:textId="77777777" w:rsidTr="00EC5F86">
        <w:tc>
          <w:tcPr>
            <w:tcW w:w="9520" w:type="dxa"/>
            <w:shd w:val="clear" w:color="auto" w:fill="auto"/>
          </w:tcPr>
          <w:p w14:paraId="0D6990F4" w14:textId="0A9D6F4C" w:rsidR="00EC5F86" w:rsidRDefault="00EC5F86" w:rsidP="00EC5F86">
            <w:pPr>
              <w:pStyle w:val="TBullet"/>
            </w:pPr>
            <w:r>
              <w:t>The Order is dated 25 November 2019 and proposes to modify the Definitive Map and Statement for the area by adding a footpath as shown in the Order plan and described in the Order Schedule.</w:t>
            </w:r>
          </w:p>
        </w:tc>
      </w:tr>
      <w:tr w:rsidR="00EC5F86" w14:paraId="3B6D7E8B" w14:textId="77777777" w:rsidTr="00EC5F86">
        <w:tc>
          <w:tcPr>
            <w:tcW w:w="9520" w:type="dxa"/>
            <w:shd w:val="clear" w:color="auto" w:fill="auto"/>
          </w:tcPr>
          <w:p w14:paraId="42EA8E9A" w14:textId="3B272D55" w:rsidR="00EC5F86" w:rsidRDefault="00EC5F86" w:rsidP="00EC5F86">
            <w:pPr>
              <w:pStyle w:val="TBullet"/>
            </w:pPr>
            <w:r>
              <w:t>There were 21 objections outstanding at the commencement of the Inquiry.</w:t>
            </w:r>
          </w:p>
        </w:tc>
      </w:tr>
      <w:tr w:rsidR="00EC5F86" w14:paraId="7C8DD68D" w14:textId="77777777" w:rsidTr="00EC5F86">
        <w:tc>
          <w:tcPr>
            <w:tcW w:w="9520" w:type="dxa"/>
            <w:shd w:val="clear" w:color="auto" w:fill="auto"/>
          </w:tcPr>
          <w:p w14:paraId="62F56E1A" w14:textId="2235ECEB" w:rsidR="00EC5F86" w:rsidRPr="00EC5F86" w:rsidRDefault="00EC5F86" w:rsidP="00EC5F86">
            <w:pPr>
              <w:spacing w:before="60"/>
              <w:rPr>
                <w:b/>
                <w:color w:val="000000"/>
              </w:rPr>
            </w:pPr>
            <w:r>
              <w:rPr>
                <w:b/>
                <w:color w:val="000000"/>
              </w:rPr>
              <w:t>Summary of Decision: The Order is Confirmed</w:t>
            </w:r>
          </w:p>
        </w:tc>
      </w:tr>
      <w:tr w:rsidR="00EC5F86" w14:paraId="551809E9" w14:textId="77777777" w:rsidTr="00EC5F86">
        <w:tc>
          <w:tcPr>
            <w:tcW w:w="9520" w:type="dxa"/>
            <w:tcBorders>
              <w:bottom w:val="single" w:sz="6" w:space="0" w:color="000000"/>
            </w:tcBorders>
            <w:shd w:val="clear" w:color="auto" w:fill="auto"/>
          </w:tcPr>
          <w:p w14:paraId="0A1EA7CD" w14:textId="77777777" w:rsidR="00EC5F86" w:rsidRPr="00EC5F86" w:rsidRDefault="00EC5F86" w:rsidP="00EC5F86">
            <w:pPr>
              <w:spacing w:before="60"/>
              <w:rPr>
                <w:b/>
                <w:color w:val="000000"/>
                <w:sz w:val="2"/>
              </w:rPr>
            </w:pPr>
            <w:bookmarkStart w:id="1" w:name="bmkReturn"/>
            <w:bookmarkEnd w:id="1"/>
          </w:p>
        </w:tc>
      </w:tr>
    </w:tbl>
    <w:p w14:paraId="560FF04D" w14:textId="77777777" w:rsidR="00EC5F86" w:rsidRDefault="00EC5F86" w:rsidP="00EC5F86">
      <w:pPr>
        <w:pStyle w:val="Heading6blackfont"/>
      </w:pPr>
      <w:r>
        <w:t>Procedural Matters</w:t>
      </w:r>
    </w:p>
    <w:p w14:paraId="66A231D6" w14:textId="3E9A7857" w:rsidR="00315CCC" w:rsidRDefault="00EC5F86" w:rsidP="00EC5F86">
      <w:pPr>
        <w:numPr>
          <w:ilvl w:val="0"/>
          <w:numId w:val="24"/>
        </w:numPr>
        <w:tabs>
          <w:tab w:val="left" w:pos="432"/>
        </w:tabs>
        <w:spacing w:before="180"/>
        <w:outlineLvl w:val="0"/>
        <w:rPr>
          <w:color w:val="000000"/>
          <w:kern w:val="28"/>
        </w:rPr>
      </w:pPr>
      <w:r w:rsidRPr="00EC5F86">
        <w:rPr>
          <w:color w:val="000000"/>
          <w:kern w:val="28"/>
        </w:rPr>
        <w:t xml:space="preserve">The </w:t>
      </w:r>
      <w:r w:rsidR="006D2457">
        <w:rPr>
          <w:color w:val="000000"/>
          <w:kern w:val="28"/>
        </w:rPr>
        <w:t xml:space="preserve">Order </w:t>
      </w:r>
      <w:r w:rsidRPr="00EC5F86">
        <w:rPr>
          <w:color w:val="000000"/>
          <w:kern w:val="28"/>
        </w:rPr>
        <w:t>route is shown between points</w:t>
      </w:r>
      <w:r w:rsidR="006D2457">
        <w:rPr>
          <w:color w:val="000000"/>
          <w:kern w:val="28"/>
        </w:rPr>
        <w:t xml:space="preserve"> A-B-C-D</w:t>
      </w:r>
      <w:r w:rsidR="00DF4CF0">
        <w:rPr>
          <w:color w:val="000000"/>
          <w:kern w:val="28"/>
        </w:rPr>
        <w:t>-</w:t>
      </w:r>
      <w:r w:rsidR="006D2457">
        <w:rPr>
          <w:color w:val="000000"/>
          <w:kern w:val="28"/>
        </w:rPr>
        <w:t>E-F-G</w:t>
      </w:r>
      <w:r w:rsidR="00DF4CF0">
        <w:rPr>
          <w:color w:val="000000"/>
          <w:kern w:val="28"/>
        </w:rPr>
        <w:t>-H-I-B o</w:t>
      </w:r>
      <w:r w:rsidRPr="00EC5F86">
        <w:rPr>
          <w:color w:val="000000"/>
          <w:kern w:val="28"/>
        </w:rPr>
        <w:t>n the Order Plan (see Appendix 1) and</w:t>
      </w:r>
      <w:r w:rsidR="00DF4CF0">
        <w:rPr>
          <w:color w:val="000000"/>
          <w:kern w:val="28"/>
        </w:rPr>
        <w:t xml:space="preserve"> comprises a circular route around an area of land known locally as </w:t>
      </w:r>
      <w:proofErr w:type="spellStart"/>
      <w:r w:rsidR="00DF4CF0">
        <w:rPr>
          <w:color w:val="000000"/>
          <w:kern w:val="28"/>
        </w:rPr>
        <w:t>Statters</w:t>
      </w:r>
      <w:proofErr w:type="spellEnd"/>
      <w:r w:rsidR="00DF4CF0">
        <w:rPr>
          <w:color w:val="000000"/>
          <w:kern w:val="28"/>
        </w:rPr>
        <w:t xml:space="preserve"> Field</w:t>
      </w:r>
      <w:r w:rsidR="00D653DC">
        <w:rPr>
          <w:color w:val="000000"/>
          <w:kern w:val="28"/>
        </w:rPr>
        <w:t xml:space="preserve">.  The </w:t>
      </w:r>
      <w:r w:rsidR="001E2605">
        <w:rPr>
          <w:color w:val="000000"/>
          <w:kern w:val="28"/>
        </w:rPr>
        <w:t>route is</w:t>
      </w:r>
      <w:r w:rsidR="00A6315C">
        <w:rPr>
          <w:color w:val="000000"/>
          <w:kern w:val="28"/>
        </w:rPr>
        <w:t xml:space="preserve"> principally</w:t>
      </w:r>
      <w:r w:rsidR="001E2605">
        <w:rPr>
          <w:color w:val="000000"/>
          <w:kern w:val="28"/>
        </w:rPr>
        <w:t xml:space="preserve"> accessed from</w:t>
      </w:r>
      <w:r w:rsidR="00A614CF">
        <w:rPr>
          <w:color w:val="000000"/>
          <w:kern w:val="28"/>
        </w:rPr>
        <w:t xml:space="preserve"> Public Footpath </w:t>
      </w:r>
      <w:r w:rsidR="00A6315C">
        <w:rPr>
          <w:color w:val="000000"/>
          <w:kern w:val="28"/>
        </w:rPr>
        <w:t xml:space="preserve">LCF/9/1 </w:t>
      </w:r>
      <w:r w:rsidR="00C05192">
        <w:rPr>
          <w:color w:val="000000"/>
          <w:kern w:val="28"/>
        </w:rPr>
        <w:t xml:space="preserve">which in turn is accessed from </w:t>
      </w:r>
      <w:r w:rsidR="001E2605">
        <w:rPr>
          <w:color w:val="000000"/>
          <w:kern w:val="28"/>
        </w:rPr>
        <w:t>Long Walk</w:t>
      </w:r>
      <w:r w:rsidR="00A6315C">
        <w:rPr>
          <w:color w:val="000000"/>
          <w:kern w:val="28"/>
        </w:rPr>
        <w:t>,</w:t>
      </w:r>
      <w:r w:rsidR="001E2605">
        <w:rPr>
          <w:color w:val="000000"/>
          <w:kern w:val="28"/>
        </w:rPr>
        <w:t xml:space="preserve"> a private </w:t>
      </w:r>
      <w:r w:rsidR="00C05192">
        <w:rPr>
          <w:color w:val="000000"/>
          <w:kern w:val="28"/>
        </w:rPr>
        <w:t xml:space="preserve">residential </w:t>
      </w:r>
      <w:r w:rsidR="001E2605">
        <w:rPr>
          <w:color w:val="000000"/>
          <w:kern w:val="28"/>
        </w:rPr>
        <w:t>road running between Burton</w:t>
      </w:r>
      <w:r w:rsidR="00315CCC">
        <w:rPr>
          <w:color w:val="000000"/>
          <w:kern w:val="28"/>
        </w:rPr>
        <w:t xml:space="preserve"> and Lodge Lanes. </w:t>
      </w:r>
    </w:p>
    <w:p w14:paraId="6E6B1366" w14:textId="39D87FA2" w:rsidR="001021CB" w:rsidRDefault="00315CCC" w:rsidP="00087155">
      <w:pPr>
        <w:pStyle w:val="Style1"/>
      </w:pPr>
      <w:r w:rsidRPr="006C69DD">
        <w:t xml:space="preserve">The </w:t>
      </w:r>
      <w:r w:rsidR="00692BCE" w:rsidRPr="006C69DD">
        <w:t xml:space="preserve">application to add the route to the Definitive Map and Statement (DMS) was made </w:t>
      </w:r>
      <w:r w:rsidR="00BE140F" w:rsidRPr="006C69DD">
        <w:t xml:space="preserve">by Little </w:t>
      </w:r>
      <w:r w:rsidR="000D10D9" w:rsidRPr="006C69DD">
        <w:t>Chalfont</w:t>
      </w:r>
      <w:r w:rsidR="00BE140F" w:rsidRPr="006C69DD">
        <w:t xml:space="preserve"> Parish Council </w:t>
      </w:r>
      <w:r w:rsidR="000D10D9" w:rsidRPr="006C69DD">
        <w:t xml:space="preserve">and is dated 21 January 2016.  </w:t>
      </w:r>
      <w:r w:rsidR="00FC2027" w:rsidRPr="006C69DD">
        <w:t xml:space="preserve">The Order was </w:t>
      </w:r>
      <w:r w:rsidR="007A2CE7" w:rsidRPr="006C69DD">
        <w:t>considered</w:t>
      </w:r>
      <w:r w:rsidR="00FC2027" w:rsidRPr="006C69DD">
        <w:t xml:space="preserve"> by Buckinghamshire</w:t>
      </w:r>
      <w:r w:rsidR="007A2CE7" w:rsidRPr="006C69DD">
        <w:t xml:space="preserve"> Council’s </w:t>
      </w:r>
      <w:r w:rsidR="000D2984">
        <w:t>(</w:t>
      </w:r>
      <w:r w:rsidR="0074451F">
        <w:t xml:space="preserve">the Order Making Authority (OMA)) </w:t>
      </w:r>
      <w:r w:rsidR="007A2CE7" w:rsidRPr="006C69DD">
        <w:t xml:space="preserve">Rights of Way Committee on 18 </w:t>
      </w:r>
      <w:r w:rsidR="00515F26" w:rsidRPr="006C69DD">
        <w:t xml:space="preserve">July 2019.  </w:t>
      </w:r>
    </w:p>
    <w:p w14:paraId="0CF50317" w14:textId="5D78C02B" w:rsidR="00315CCC" w:rsidRPr="006C69DD" w:rsidRDefault="009533E2" w:rsidP="00087155">
      <w:pPr>
        <w:pStyle w:val="Style1"/>
      </w:pPr>
      <w:r>
        <w:t>Since 2014 the land has been ow</w:t>
      </w:r>
      <w:r w:rsidR="00513994">
        <w:t xml:space="preserve">ned </w:t>
      </w:r>
      <w:r w:rsidR="00772377" w:rsidRPr="006C69DD">
        <w:t xml:space="preserve">by </w:t>
      </w:r>
      <w:r w:rsidR="00605022" w:rsidRPr="006C69DD">
        <w:t xml:space="preserve">Debra </w:t>
      </w:r>
      <w:proofErr w:type="spellStart"/>
      <w:r w:rsidR="00605022" w:rsidRPr="006C69DD">
        <w:t>Olleveant</w:t>
      </w:r>
      <w:proofErr w:type="spellEnd"/>
      <w:r w:rsidR="00605022" w:rsidRPr="006C69DD">
        <w:t xml:space="preserve"> </w:t>
      </w:r>
      <w:r w:rsidR="004260CB">
        <w:t xml:space="preserve">(the landowner) </w:t>
      </w:r>
      <w:r w:rsidR="00605022" w:rsidRPr="006C69DD">
        <w:t>who opp</w:t>
      </w:r>
      <w:r w:rsidR="006C69DD" w:rsidRPr="006C69DD">
        <w:t xml:space="preserve">oses the </w:t>
      </w:r>
      <w:r w:rsidR="006C69DD">
        <w:t xml:space="preserve">Order. </w:t>
      </w:r>
    </w:p>
    <w:p w14:paraId="702E93A3" w14:textId="1F121BBE" w:rsidR="00EC5F86" w:rsidRPr="00087155" w:rsidRDefault="00EC5F86" w:rsidP="00EC5F86">
      <w:pPr>
        <w:numPr>
          <w:ilvl w:val="0"/>
          <w:numId w:val="24"/>
        </w:numPr>
        <w:tabs>
          <w:tab w:val="left" w:pos="432"/>
        </w:tabs>
        <w:spacing w:before="180"/>
        <w:outlineLvl w:val="0"/>
        <w:rPr>
          <w:color w:val="000000"/>
          <w:kern w:val="28"/>
        </w:rPr>
      </w:pPr>
      <w:r w:rsidRPr="00EC5F86">
        <w:rPr>
          <w:color w:val="000000"/>
          <w:kern w:val="28"/>
        </w:rPr>
        <w:t>I carried out an unaccompanied site visit on</w:t>
      </w:r>
      <w:r>
        <w:rPr>
          <w:color w:val="000000"/>
          <w:kern w:val="28"/>
        </w:rPr>
        <w:t xml:space="preserve"> the evening of 13 September 2022 where I was able to walk the Order route</w:t>
      </w:r>
      <w:r w:rsidR="00E777C6">
        <w:rPr>
          <w:color w:val="000000"/>
          <w:kern w:val="28"/>
        </w:rPr>
        <w:t xml:space="preserve">, save for the </w:t>
      </w:r>
      <w:r w:rsidR="004260CB">
        <w:rPr>
          <w:color w:val="000000"/>
          <w:kern w:val="28"/>
        </w:rPr>
        <w:t xml:space="preserve">fenced off </w:t>
      </w:r>
      <w:r w:rsidR="00E777C6">
        <w:rPr>
          <w:color w:val="000000"/>
          <w:kern w:val="28"/>
        </w:rPr>
        <w:t xml:space="preserve">section </w:t>
      </w:r>
      <w:r w:rsidR="004260CB">
        <w:rPr>
          <w:color w:val="000000"/>
          <w:kern w:val="28"/>
        </w:rPr>
        <w:t>containing the apiary</w:t>
      </w:r>
      <w:r w:rsidR="001021CB">
        <w:rPr>
          <w:color w:val="000000"/>
          <w:kern w:val="28"/>
        </w:rPr>
        <w:t xml:space="preserve">. </w:t>
      </w:r>
      <w:r>
        <w:rPr>
          <w:color w:val="000000"/>
          <w:kern w:val="28"/>
        </w:rPr>
        <w:t xml:space="preserve">  </w:t>
      </w:r>
      <w:r w:rsidRPr="00EC5F86">
        <w:rPr>
          <w:color w:val="000000"/>
          <w:kern w:val="28"/>
        </w:rPr>
        <w:t xml:space="preserve">  </w:t>
      </w:r>
    </w:p>
    <w:p w14:paraId="7AE2E7E9" w14:textId="5B08804B" w:rsidR="00EC5F86" w:rsidRDefault="00EC5F86" w:rsidP="00EC5F86">
      <w:pPr>
        <w:pStyle w:val="Heading6blackfont"/>
      </w:pPr>
      <w:r>
        <w:t>The Main Issues</w:t>
      </w:r>
    </w:p>
    <w:p w14:paraId="4B6CD403" w14:textId="4D1AB42E" w:rsidR="00EC5F86" w:rsidRDefault="00EC5F86" w:rsidP="00EC5F86">
      <w:pPr>
        <w:pStyle w:val="Style1"/>
        <w:numPr>
          <w:ilvl w:val="0"/>
          <w:numId w:val="21"/>
        </w:numPr>
        <w:tabs>
          <w:tab w:val="clear" w:pos="720"/>
        </w:tabs>
      </w:pPr>
      <w:r>
        <w:t>The Order is made under Section 53(2)(b) of the 1981 Act, relying on the occurrence of an event specified in Section 53(3)(c)(i) of the same.  This section requires me to consider whether the evidence discovered by the OMA, when considered with all other relevant evidence, is sufficient to show, on the balance of probabilities, that the right of way described in the Order subsists and that the DMS therefore requires modification.</w:t>
      </w:r>
    </w:p>
    <w:p w14:paraId="290E5FEB" w14:textId="77511DF3" w:rsidR="00EC5F86" w:rsidRDefault="00EC5F86" w:rsidP="00EC5F86">
      <w:pPr>
        <w:pStyle w:val="Style1"/>
        <w:numPr>
          <w:ilvl w:val="0"/>
          <w:numId w:val="21"/>
        </w:numPr>
        <w:tabs>
          <w:tab w:val="clear" w:pos="720"/>
        </w:tabs>
      </w:pPr>
      <w:r>
        <w:t xml:space="preserve">The </w:t>
      </w:r>
      <w:r w:rsidR="0074451F">
        <w:t xml:space="preserve">OMA </w:t>
      </w:r>
      <w:r>
        <w:t xml:space="preserve">rely on statutory dedication of the Order routes under Section 31 of the 1980 </w:t>
      </w:r>
      <w:r w:rsidR="0074451F">
        <w:t>Highway</w:t>
      </w:r>
      <w:r w:rsidR="000A7C8D">
        <w:t>s</w:t>
      </w:r>
      <w:r w:rsidR="0074451F">
        <w:t xml:space="preserve"> </w:t>
      </w:r>
      <w:r>
        <w:t xml:space="preserve">Act.  This provides that where a way, other than a way of such a character that use of it could not give rise at common law to any </w:t>
      </w:r>
      <w:r>
        <w:lastRenderedPageBreak/>
        <w:t xml:space="preserve">presumption of dedication, has been actually enjoyed by the public, as of right and without interruption, for a period of twenty years, the way is deemed to have been dedicated as a highway unless there is sufficient evidence that the landowner demonstrated a lack of any intention during this period to dedicate the route.  </w:t>
      </w:r>
    </w:p>
    <w:p w14:paraId="312D1731" w14:textId="478A3C1B" w:rsidR="00653ABE" w:rsidRDefault="00EC5F86" w:rsidP="00653ABE">
      <w:pPr>
        <w:pStyle w:val="Style1"/>
      </w:pPr>
      <w:r>
        <w:t xml:space="preserve">‘As of right’ is set out in </w:t>
      </w:r>
      <w:r w:rsidRPr="00411A9E">
        <w:rPr>
          <w:i/>
          <w:iCs/>
        </w:rPr>
        <w:t xml:space="preserve">R v Oxfordshire County Council, ex </w:t>
      </w:r>
      <w:proofErr w:type="spellStart"/>
      <w:r w:rsidRPr="00411A9E">
        <w:rPr>
          <w:i/>
          <w:iCs/>
        </w:rPr>
        <w:t>parte</w:t>
      </w:r>
      <w:proofErr w:type="spellEnd"/>
      <w:r w:rsidRPr="00411A9E">
        <w:rPr>
          <w:i/>
          <w:iCs/>
        </w:rPr>
        <w:t xml:space="preserve"> Sunningwell Parish Council </w:t>
      </w:r>
      <w:r>
        <w:t xml:space="preserve">(1999) as being without force, </w:t>
      </w:r>
      <w:proofErr w:type="gramStart"/>
      <w:r>
        <w:t>secrecy</w:t>
      </w:r>
      <w:proofErr w:type="gramEnd"/>
      <w:r>
        <w:t xml:space="preserve"> or permission.  The 20-year period applies retrospectively from the date on which the right of the public to</w:t>
      </w:r>
      <w:r w:rsidR="00653ABE" w:rsidRPr="00653ABE">
        <w:t xml:space="preserve"> </w:t>
      </w:r>
      <w:r w:rsidR="00653ABE">
        <w:t>use the way was brought into question.</w:t>
      </w:r>
    </w:p>
    <w:p w14:paraId="26B7642E" w14:textId="7DF6DFFF" w:rsidR="00EC5F86" w:rsidRDefault="00653ABE" w:rsidP="00653ABE">
      <w:pPr>
        <w:pStyle w:val="Style1"/>
      </w:pPr>
      <w:r w:rsidRPr="00653ABE">
        <w:t xml:space="preserve">In addition to considering the user evidence </w:t>
      </w:r>
      <w:proofErr w:type="gramStart"/>
      <w:r w:rsidRPr="00653ABE">
        <w:t>with regard to</w:t>
      </w:r>
      <w:proofErr w:type="gramEnd"/>
      <w:r w:rsidRPr="00653ABE">
        <w:t xml:space="preserve"> the provisions of section 31 of the 1980 Act, I am also required to consider whether dedication of the claimed route has taken place at common law.  The evidential test to be applied, at common law or under the statutory provisions, is the civil standard of proof; that is, the balance of probabilities.   </w:t>
      </w:r>
    </w:p>
    <w:p w14:paraId="6EED3B11" w14:textId="45E2BE9D" w:rsidR="00EC5F86" w:rsidRDefault="00EC5F86" w:rsidP="00EC5F86">
      <w:pPr>
        <w:pStyle w:val="Heading6blackfont"/>
      </w:pPr>
      <w:r>
        <w:t>Reasons</w:t>
      </w:r>
    </w:p>
    <w:p w14:paraId="6DCBCFED" w14:textId="02FC290F" w:rsidR="00EC5F86" w:rsidRPr="00186D20" w:rsidRDefault="00EC5F86" w:rsidP="00EC5F86">
      <w:pPr>
        <w:tabs>
          <w:tab w:val="left" w:pos="432"/>
        </w:tabs>
        <w:spacing w:before="180"/>
        <w:outlineLvl w:val="0"/>
        <w:rPr>
          <w:b/>
          <w:bCs/>
          <w:i/>
          <w:color w:val="000000"/>
          <w:kern w:val="28"/>
        </w:rPr>
      </w:pPr>
      <w:r w:rsidRPr="00186D20">
        <w:rPr>
          <w:b/>
          <w:bCs/>
          <w:i/>
          <w:color w:val="000000"/>
          <w:kern w:val="28"/>
        </w:rPr>
        <w:t>When the right to use the route was first brought into question</w:t>
      </w:r>
    </w:p>
    <w:p w14:paraId="3AE6283E" w14:textId="53E74BDA" w:rsidR="002E6E3D" w:rsidRDefault="002E6E3D" w:rsidP="002E6E3D">
      <w:pPr>
        <w:pStyle w:val="Style1"/>
      </w:pPr>
      <w:proofErr w:type="gramStart"/>
      <w:r w:rsidRPr="002E6E3D">
        <w:t>In order to</w:t>
      </w:r>
      <w:proofErr w:type="gramEnd"/>
      <w:r w:rsidRPr="002E6E3D">
        <w:t xml:space="preserve"> calculate the relevant 20-year period, it is necessary to establish the point at which the public’s use of the route was called into question.  </w:t>
      </w:r>
      <w:r w:rsidR="005C3C8C">
        <w:t xml:space="preserve">There is no </w:t>
      </w:r>
      <w:r w:rsidR="00516DF4">
        <w:t>dispute</w:t>
      </w:r>
      <w:r w:rsidR="005C3C8C">
        <w:t xml:space="preserve"> that the </w:t>
      </w:r>
      <w:r w:rsidR="00516DF4">
        <w:t>landowner</w:t>
      </w:r>
      <w:r w:rsidR="005C3C8C">
        <w:t xml:space="preserve"> </w:t>
      </w:r>
      <w:r w:rsidR="004C2495">
        <w:t>erected a notice to the gate at point B in March 2014 which read “</w:t>
      </w:r>
      <w:r w:rsidR="004C2495" w:rsidRPr="002E6E3D">
        <w:rPr>
          <w:i/>
          <w:iCs/>
        </w:rPr>
        <w:t>Private Property, No Public Right of Way</w:t>
      </w:r>
      <w:r w:rsidR="00516DF4" w:rsidRPr="002E6E3D">
        <w:rPr>
          <w:i/>
          <w:iCs/>
        </w:rPr>
        <w:t>. Walkers are permitted at their own risk under licence only, which may be withdrawn at any time</w:t>
      </w:r>
      <w:r w:rsidR="00516DF4">
        <w:t xml:space="preserve">”.  </w:t>
      </w:r>
      <w:r w:rsidR="00F275B0" w:rsidRPr="00F275B0">
        <w:t xml:space="preserve">The latest possible 20-year period is therefore </w:t>
      </w:r>
      <w:r w:rsidR="00F275B0">
        <w:t>1994</w:t>
      </w:r>
      <w:r w:rsidR="00F275B0" w:rsidRPr="00F275B0">
        <w:t>-20</w:t>
      </w:r>
      <w:r w:rsidR="00F275B0">
        <w:t>14</w:t>
      </w:r>
      <w:r w:rsidR="005C3C8C">
        <w:t xml:space="preserve"> </w:t>
      </w:r>
    </w:p>
    <w:p w14:paraId="63D5224A" w14:textId="1B6A9D8E" w:rsidR="00EC5F86" w:rsidRDefault="00823F4B" w:rsidP="00EC5F86">
      <w:pPr>
        <w:pStyle w:val="Style1"/>
      </w:pPr>
      <w:r>
        <w:t>It has been</w:t>
      </w:r>
      <w:r w:rsidR="00BD1FC4">
        <w:t xml:space="preserve"> suggested </w:t>
      </w:r>
      <w:r w:rsidR="00436AE4">
        <w:t>that</w:t>
      </w:r>
      <w:r w:rsidR="00154100">
        <w:t xml:space="preserve"> </w:t>
      </w:r>
      <w:r w:rsidR="00307131" w:rsidRPr="00307131">
        <w:t>the</w:t>
      </w:r>
      <w:r w:rsidR="00307131">
        <w:t xml:space="preserve"> previous</w:t>
      </w:r>
      <w:r w:rsidR="00307131" w:rsidRPr="00307131">
        <w:t xml:space="preserve"> landowner made a deposit under </w:t>
      </w:r>
      <w:r w:rsidR="000A7C8D">
        <w:t>S</w:t>
      </w:r>
      <w:r w:rsidR="00307131" w:rsidRPr="00307131">
        <w:t xml:space="preserve">ection 31(6) of the 1980 Act </w:t>
      </w:r>
      <w:r>
        <w:t xml:space="preserve">before the </w:t>
      </w:r>
      <w:r w:rsidR="00307131">
        <w:t xml:space="preserve">land was </w:t>
      </w:r>
      <w:r>
        <w:t>transfer</w:t>
      </w:r>
      <w:r w:rsidR="00307131">
        <w:t>red to</w:t>
      </w:r>
      <w:r w:rsidR="00BD1FC4">
        <w:t xml:space="preserve"> the current landowner</w:t>
      </w:r>
      <w:r>
        <w:t>.  However</w:t>
      </w:r>
      <w:r w:rsidR="00436AE4">
        <w:t>,</w:t>
      </w:r>
      <w:r>
        <w:t xml:space="preserve"> </w:t>
      </w:r>
      <w:r w:rsidR="000A7C8D">
        <w:t>the OMA</w:t>
      </w:r>
      <w:r w:rsidR="00446B0A">
        <w:t xml:space="preserve"> has no record of a deposit being made</w:t>
      </w:r>
      <w:r w:rsidR="00BD1FC4">
        <w:t xml:space="preserve">. </w:t>
      </w:r>
      <w:r w:rsidR="00446B0A">
        <w:t xml:space="preserve"> </w:t>
      </w:r>
      <w:r w:rsidR="00CA3EDD" w:rsidRPr="00CA3EDD">
        <w:t>I therefore find that the relevant 20-year period is 19</w:t>
      </w:r>
      <w:r w:rsidR="00CA3EDD">
        <w:t>94</w:t>
      </w:r>
      <w:r w:rsidR="00CA3EDD" w:rsidRPr="00CA3EDD">
        <w:t>-2</w:t>
      </w:r>
      <w:r w:rsidR="00CA3EDD">
        <w:t>014</w:t>
      </w:r>
      <w:r w:rsidR="00CA3EDD" w:rsidRPr="00CA3EDD">
        <w:t>.</w:t>
      </w:r>
    </w:p>
    <w:p w14:paraId="55E236A3" w14:textId="77777777" w:rsidR="00EC5F86" w:rsidRPr="00186D20" w:rsidRDefault="00EC5F86" w:rsidP="00EC5F86">
      <w:pPr>
        <w:pStyle w:val="Style1"/>
        <w:numPr>
          <w:ilvl w:val="0"/>
          <w:numId w:val="0"/>
        </w:numPr>
        <w:rPr>
          <w:b/>
          <w:bCs/>
          <w:i/>
          <w:iCs/>
        </w:rPr>
      </w:pPr>
      <w:r w:rsidRPr="00186D20">
        <w:rPr>
          <w:b/>
          <w:bCs/>
          <w:i/>
          <w:iCs/>
        </w:rPr>
        <w:t>Whether there has been use by the public for the required period of 20 years</w:t>
      </w:r>
    </w:p>
    <w:p w14:paraId="69B4B689" w14:textId="0DFE0489" w:rsidR="00C83B59" w:rsidRDefault="006344B7" w:rsidP="006344B7">
      <w:pPr>
        <w:pStyle w:val="Style1"/>
        <w:numPr>
          <w:ilvl w:val="0"/>
          <w:numId w:val="25"/>
        </w:numPr>
      </w:pPr>
      <w:proofErr w:type="gramStart"/>
      <w:r w:rsidRPr="006344B7">
        <w:t>In order for</w:t>
      </w:r>
      <w:proofErr w:type="gramEnd"/>
      <w:r w:rsidRPr="006344B7">
        <w:t xml:space="preserve"> a presumption of dedication to arise under Section 31 of the 1980 Act, there must be actual use of the alleged route, and such use must be by the public</w:t>
      </w:r>
      <w:r>
        <w:t xml:space="preserve">. </w:t>
      </w:r>
      <w:r w:rsidR="00C83B59">
        <w:t xml:space="preserve"> </w:t>
      </w:r>
      <w:proofErr w:type="gramStart"/>
      <w:r w:rsidR="00C83B59" w:rsidRPr="00C83B59">
        <w:t>With regard to</w:t>
      </w:r>
      <w:proofErr w:type="gramEnd"/>
      <w:r w:rsidR="00C83B59" w:rsidRPr="00C83B59">
        <w:t xml:space="preserve"> the number of members of the public who must use a route for it to become a public right of way, there is no statutory minimum however use must be by a sufficient number of people to show that it was use by the public</w:t>
      </w:r>
      <w:r w:rsidR="004B60A1">
        <w:t xml:space="preserve">.  </w:t>
      </w:r>
      <w:r w:rsidR="004B60A1" w:rsidRPr="004B60A1">
        <w:t>Use of a way by different persons, each for periods of less than 20 years, will suffice if, taken together, they total a continuous period of 20 years or more</w:t>
      </w:r>
      <w:r w:rsidR="004B60A1">
        <w:t>.</w:t>
      </w:r>
    </w:p>
    <w:p w14:paraId="45CAE920" w14:textId="234E8654" w:rsidR="00B33131" w:rsidRDefault="00E74076" w:rsidP="00582DB5">
      <w:pPr>
        <w:pStyle w:val="Style1"/>
        <w:numPr>
          <w:ilvl w:val="0"/>
          <w:numId w:val="25"/>
        </w:numPr>
      </w:pPr>
      <w:r>
        <w:t xml:space="preserve">27 </w:t>
      </w:r>
      <w:r w:rsidR="00EC5F86">
        <w:t>User Evidence Forms (UEFs)</w:t>
      </w:r>
      <w:r w:rsidR="00EC5F86" w:rsidRPr="00C0273B">
        <w:t xml:space="preserve"> were submitted</w:t>
      </w:r>
      <w:r w:rsidR="00EC5F86">
        <w:t xml:space="preserve"> </w:t>
      </w:r>
      <w:r>
        <w:t>with the application</w:t>
      </w:r>
      <w:r w:rsidR="00F14F02">
        <w:t>,</w:t>
      </w:r>
      <w:r>
        <w:t xml:space="preserve"> 18 of</w:t>
      </w:r>
      <w:r w:rsidR="00F14F02">
        <w:t xml:space="preserve"> </w:t>
      </w:r>
      <w:r>
        <w:t xml:space="preserve">the </w:t>
      </w:r>
      <w:r w:rsidR="00F14F02">
        <w:t>respondents</w:t>
      </w:r>
      <w:r>
        <w:t xml:space="preserve"> were subsequently </w:t>
      </w:r>
      <w:r w:rsidR="00EC5F86" w:rsidRPr="00C0273B">
        <w:t>interviewed by the Council</w:t>
      </w:r>
      <w:r w:rsidR="00EC5F86">
        <w:t>.</w:t>
      </w:r>
      <w:r w:rsidR="00497AFD">
        <w:t xml:space="preserve"> </w:t>
      </w:r>
      <w:r w:rsidR="00B33131">
        <w:t xml:space="preserve"> The </w:t>
      </w:r>
      <w:r w:rsidR="0041462A">
        <w:t xml:space="preserve">evidence contained in the UEFs is </w:t>
      </w:r>
      <w:r w:rsidR="00936480">
        <w:t xml:space="preserve">conveniently </w:t>
      </w:r>
      <w:r w:rsidR="0041462A">
        <w:t xml:space="preserve">summarised at page 388 of the </w:t>
      </w:r>
      <w:r w:rsidR="000A7C8D">
        <w:t>OMA’s</w:t>
      </w:r>
      <w:r w:rsidR="0041462A">
        <w:t xml:space="preserve"> evidence bundle and shows </w:t>
      </w:r>
      <w:r w:rsidR="00CB110A">
        <w:t xml:space="preserve">that six </w:t>
      </w:r>
      <w:r w:rsidR="0034626A">
        <w:t xml:space="preserve">people used the route </w:t>
      </w:r>
      <w:r w:rsidR="00936480">
        <w:t>over the entire</w:t>
      </w:r>
      <w:r w:rsidR="0031792C">
        <w:t>t</w:t>
      </w:r>
      <w:r w:rsidR="00936480">
        <w:t>y of</w:t>
      </w:r>
      <w:r w:rsidR="0034626A">
        <w:t xml:space="preserve"> the 20-year period.</w:t>
      </w:r>
      <w:r w:rsidR="000001F2">
        <w:t xml:space="preserve">  </w:t>
      </w:r>
      <w:proofErr w:type="gramStart"/>
      <w:r w:rsidR="001F1BF0">
        <w:t>The majority of</w:t>
      </w:r>
      <w:proofErr w:type="gramEnd"/>
      <w:r w:rsidR="001F1BF0">
        <w:t xml:space="preserve"> the other users attest to use of the route over a significant proportion of the 20-year period. </w:t>
      </w:r>
      <w:r w:rsidR="0034626A">
        <w:t xml:space="preserve"> </w:t>
      </w:r>
      <w:r w:rsidR="000001F2" w:rsidRPr="000001F2">
        <w:t>Claimed use of the Order route extends as far back as</w:t>
      </w:r>
      <w:r w:rsidR="000A7C8D">
        <w:t xml:space="preserve"> the</w:t>
      </w:r>
      <w:r w:rsidR="000001F2" w:rsidRPr="000001F2">
        <w:t xml:space="preserve"> </w:t>
      </w:r>
      <w:r w:rsidR="00582DB5">
        <w:t>19</w:t>
      </w:r>
      <w:r w:rsidR="003C034A">
        <w:t>7</w:t>
      </w:r>
      <w:r w:rsidR="00582DB5">
        <w:t>0</w:t>
      </w:r>
      <w:r w:rsidR="003C034A">
        <w:t>s.</w:t>
      </w:r>
    </w:p>
    <w:p w14:paraId="1F5A8226" w14:textId="6F0608B3" w:rsidR="00912818" w:rsidRDefault="00E32341" w:rsidP="00912818">
      <w:pPr>
        <w:pStyle w:val="Style1"/>
        <w:numPr>
          <w:ilvl w:val="0"/>
          <w:numId w:val="25"/>
        </w:numPr>
      </w:pPr>
      <w:r>
        <w:t>Aerial photographs taken in 1999, 2003 and 2006 show the same walked route as described in the UEFs an</w:t>
      </w:r>
      <w:r w:rsidR="00936480">
        <w:t xml:space="preserve"> depicted </w:t>
      </w:r>
      <w:r>
        <w:t xml:space="preserve">on the accompanying maps.  </w:t>
      </w:r>
      <w:proofErr w:type="gramStart"/>
      <w:r w:rsidR="00912818">
        <w:t>A number of</w:t>
      </w:r>
      <w:proofErr w:type="gramEnd"/>
      <w:r w:rsidR="00912818">
        <w:t xml:space="preserve"> individuals gave evidence to the inquiry as to their use of the Order route</w:t>
      </w:r>
      <w:r w:rsidR="001C1147">
        <w:t xml:space="preserve"> </w:t>
      </w:r>
      <w:r w:rsidR="001C1147">
        <w:lastRenderedPageBreak/>
        <w:t>including the</w:t>
      </w:r>
      <w:r w:rsidR="000A7C8D">
        <w:t xml:space="preserve"> </w:t>
      </w:r>
      <w:r w:rsidR="001C1147">
        <w:t>landowner</w:t>
      </w:r>
      <w:r w:rsidR="00912818">
        <w:t xml:space="preserve">. </w:t>
      </w:r>
      <w:r w:rsidR="000A7C8D">
        <w:t xml:space="preserve"> </w:t>
      </w:r>
      <w:r w:rsidR="00912818">
        <w:t xml:space="preserve">This was entirely consistent with the information contained in the </w:t>
      </w:r>
      <w:r w:rsidR="000A7C8D">
        <w:t xml:space="preserve">UEFs </w:t>
      </w:r>
      <w:r w:rsidR="00912818">
        <w:t xml:space="preserve">and additional </w:t>
      </w:r>
      <w:r w:rsidR="000A7C8D">
        <w:t xml:space="preserve">interview </w:t>
      </w:r>
      <w:r w:rsidR="00912818">
        <w:t>statements and as such adds weight to those forms.</w:t>
      </w:r>
    </w:p>
    <w:p w14:paraId="4085ED37" w14:textId="03466F93" w:rsidR="00C53ABA" w:rsidRDefault="00530325" w:rsidP="00C53ABA">
      <w:pPr>
        <w:pStyle w:val="Style1"/>
        <w:numPr>
          <w:ilvl w:val="0"/>
          <w:numId w:val="25"/>
        </w:numPr>
      </w:pPr>
      <w:r>
        <w:t xml:space="preserve">There is no suggestion from those </w:t>
      </w:r>
      <w:r w:rsidR="00B33131">
        <w:t>opposing</w:t>
      </w:r>
      <w:r>
        <w:t xml:space="preserve"> the Order that the evidence contained in the UEF’s is in any way inaccurate</w:t>
      </w:r>
      <w:r w:rsidR="0031355D">
        <w:t xml:space="preserve">.  </w:t>
      </w:r>
      <w:r w:rsidR="00430CD6">
        <w:t xml:space="preserve"> </w:t>
      </w:r>
      <w:r w:rsidR="00E772E1">
        <w:t>Whilst the landowner suggested there might have been a gate at point U</w:t>
      </w:r>
      <w:r w:rsidR="001C1147">
        <w:t xml:space="preserve"> prior to 2014</w:t>
      </w:r>
      <w:r w:rsidR="00E772E1">
        <w:t xml:space="preserve">, </w:t>
      </w:r>
      <w:r w:rsidR="001C1147">
        <w:t xml:space="preserve">there is nothing to suggest it was ever locked. </w:t>
      </w:r>
      <w:r w:rsidR="007E3105">
        <w:t xml:space="preserve"> </w:t>
      </w:r>
      <w:r w:rsidR="001C1147">
        <w:t xml:space="preserve">There was also some discussion regarding </w:t>
      </w:r>
      <w:r w:rsidR="00AF52F1">
        <w:t xml:space="preserve">a barb wire fenced that </w:t>
      </w:r>
      <w:r w:rsidR="000A7C8D">
        <w:t xml:space="preserve">marked the boundary between </w:t>
      </w:r>
      <w:proofErr w:type="spellStart"/>
      <w:r w:rsidR="007E3105">
        <w:t>Statters</w:t>
      </w:r>
      <w:proofErr w:type="spellEnd"/>
      <w:r w:rsidR="007E3105">
        <w:t xml:space="preserve"> Field </w:t>
      </w:r>
      <w:r w:rsidR="000A7C8D">
        <w:t>and</w:t>
      </w:r>
      <w:r w:rsidR="00AF52F1">
        <w:t xml:space="preserve"> adjacent residential gardens.  </w:t>
      </w:r>
      <w:r w:rsidR="000A7C8D">
        <w:t>However, w</w:t>
      </w:r>
      <w:r w:rsidR="00AF52F1">
        <w:t xml:space="preserve">hile some users may have accessed the route from </w:t>
      </w:r>
      <w:r w:rsidR="00C33871">
        <w:t>their gardens, there was no suggestion that the barb wire fence</w:t>
      </w:r>
      <w:r w:rsidR="00936480">
        <w:t xml:space="preserve"> </w:t>
      </w:r>
      <w:proofErr w:type="gramStart"/>
      <w:r w:rsidR="00936480">
        <w:t>actually</w:t>
      </w:r>
      <w:r w:rsidR="00C33871">
        <w:t xml:space="preserve"> prevented</w:t>
      </w:r>
      <w:proofErr w:type="gramEnd"/>
      <w:r w:rsidR="00C33871">
        <w:t xml:space="preserve"> the public’s use of the Order route. </w:t>
      </w:r>
      <w:r w:rsidR="001C1147">
        <w:t xml:space="preserve">   </w:t>
      </w:r>
    </w:p>
    <w:p w14:paraId="62158FCF" w14:textId="409A107C" w:rsidR="00A634DA" w:rsidRDefault="00EC5F86" w:rsidP="00A634DA">
      <w:pPr>
        <w:pStyle w:val="Style1"/>
      </w:pPr>
      <w:r>
        <w:t>Many of the witnesses refer to widespread use of the route by other villagers.</w:t>
      </w:r>
      <w:r w:rsidR="00CB336D">
        <w:t xml:space="preserve">  None recall </w:t>
      </w:r>
      <w:r w:rsidR="005F10ED">
        <w:t xml:space="preserve">being challenged about their use of the route nor were any </w:t>
      </w:r>
      <w:r w:rsidR="00CB336D">
        <w:t xml:space="preserve">notices </w:t>
      </w:r>
      <w:r w:rsidR="00CF2995">
        <w:t xml:space="preserve">seen </w:t>
      </w:r>
      <w:r w:rsidR="00CB336D">
        <w:t>prior to 2014</w:t>
      </w:r>
      <w:r w:rsidR="00CF2995">
        <w:t xml:space="preserve">. </w:t>
      </w:r>
      <w:r>
        <w:t xml:space="preserve"> Overwhelmingly, users</w:t>
      </w:r>
      <w:r w:rsidRPr="00CB3CDD">
        <w:t xml:space="preserve"> believed that the </w:t>
      </w:r>
      <w:r>
        <w:t>land</w:t>
      </w:r>
      <w:r w:rsidRPr="00CB3CDD">
        <w:t>owner</w:t>
      </w:r>
      <w:r>
        <w:t xml:space="preserve"> </w:t>
      </w:r>
      <w:r w:rsidR="00343727">
        <w:t xml:space="preserve">was </w:t>
      </w:r>
      <w:r w:rsidRPr="00CB3CDD">
        <w:t>aware that the public</w:t>
      </w:r>
      <w:r>
        <w:t xml:space="preserve"> at large</w:t>
      </w:r>
      <w:r w:rsidRPr="00CB3CDD">
        <w:t xml:space="preserve"> </w:t>
      </w:r>
      <w:r w:rsidR="00343727">
        <w:t xml:space="preserve">was </w:t>
      </w:r>
      <w:r w:rsidRPr="00CB3CDD">
        <w:t xml:space="preserve">using the </w:t>
      </w:r>
      <w:r>
        <w:t xml:space="preserve">route.  </w:t>
      </w:r>
      <w:r w:rsidR="00A634DA">
        <w:t xml:space="preserve">That is </w:t>
      </w:r>
      <w:r w:rsidR="00EA13E1">
        <w:t>supported</w:t>
      </w:r>
      <w:r w:rsidR="00A634DA">
        <w:t xml:space="preserve"> by the </w:t>
      </w:r>
      <w:r w:rsidR="00EA13E1">
        <w:t xml:space="preserve">June 2015 </w:t>
      </w:r>
      <w:r w:rsidR="00A634DA">
        <w:t>letter from</w:t>
      </w:r>
      <w:r w:rsidR="00EA13E1">
        <w:t xml:space="preserve"> the previous landowner (</w:t>
      </w:r>
      <w:r w:rsidR="00A634DA">
        <w:t xml:space="preserve">the </w:t>
      </w:r>
      <w:proofErr w:type="spellStart"/>
      <w:r w:rsidR="00A634DA">
        <w:t>S</w:t>
      </w:r>
      <w:r w:rsidR="00A634DA" w:rsidRPr="00877EB7">
        <w:t>tatter</w:t>
      </w:r>
      <w:proofErr w:type="spellEnd"/>
      <w:r w:rsidR="00A634DA" w:rsidRPr="00877EB7">
        <w:t xml:space="preserve"> and Minerva Sports Club</w:t>
      </w:r>
      <w:r w:rsidR="00EA13E1">
        <w:t>)</w:t>
      </w:r>
      <w:r w:rsidR="00C47A6C">
        <w:t xml:space="preserve"> </w:t>
      </w:r>
      <w:r w:rsidR="00EA13E1">
        <w:t>wh</w:t>
      </w:r>
      <w:r w:rsidR="00C47A6C">
        <w:t xml:space="preserve">ose </w:t>
      </w:r>
      <w:r w:rsidR="00A634DA">
        <w:t xml:space="preserve">Treasurer Mr </w:t>
      </w:r>
      <w:r w:rsidR="00A634DA" w:rsidRPr="00877EB7">
        <w:t>Wilson</w:t>
      </w:r>
      <w:r w:rsidR="00A634DA">
        <w:t xml:space="preserve"> wrote:</w:t>
      </w:r>
    </w:p>
    <w:p w14:paraId="703AE897" w14:textId="77777777" w:rsidR="00A634DA" w:rsidRDefault="00A634DA" w:rsidP="00A634DA">
      <w:pPr>
        <w:pStyle w:val="Style1"/>
        <w:numPr>
          <w:ilvl w:val="0"/>
          <w:numId w:val="0"/>
        </w:numPr>
        <w:ind w:left="431"/>
      </w:pPr>
      <w:r w:rsidRPr="00B946AD">
        <w:rPr>
          <w:i/>
          <w:iCs/>
        </w:rPr>
        <w:t xml:space="preserve">“From 1972 onwards…. there were no formal rights of way across the land, but we were aware and had no problem with </w:t>
      </w:r>
      <w:proofErr w:type="gramStart"/>
      <w:r w:rsidRPr="00B946AD">
        <w:rPr>
          <w:i/>
          <w:iCs/>
        </w:rPr>
        <w:t>local residents</w:t>
      </w:r>
      <w:proofErr w:type="gramEnd"/>
      <w:r w:rsidRPr="00B946AD">
        <w:rPr>
          <w:i/>
          <w:iCs/>
        </w:rPr>
        <w:t xml:space="preserve"> walking their dogs and harvesting blackberries on the property</w:t>
      </w:r>
      <w:r>
        <w:t xml:space="preserve">” </w:t>
      </w:r>
    </w:p>
    <w:p w14:paraId="662C0C15" w14:textId="02273967" w:rsidR="00343727" w:rsidRDefault="00343727" w:rsidP="00343727">
      <w:pPr>
        <w:pStyle w:val="Style1"/>
        <w:numPr>
          <w:ilvl w:val="0"/>
          <w:numId w:val="25"/>
        </w:numPr>
      </w:pPr>
      <w:r>
        <w:t>I consider the level of use during the relevant 20-year period would have been sufficient to “</w:t>
      </w:r>
      <w:r w:rsidRPr="00343727">
        <w:rPr>
          <w:i/>
          <w:iCs/>
        </w:rPr>
        <w:t>bring home to the landowner that a right is being asserted against him</w:t>
      </w:r>
      <w:r>
        <w:t>”</w:t>
      </w:r>
      <w:r w:rsidR="00936480">
        <w:t xml:space="preserve"> (</w:t>
      </w:r>
      <w:r w:rsidR="00936480" w:rsidRPr="00936480">
        <w:rPr>
          <w:i/>
          <w:iCs/>
        </w:rPr>
        <w:t>R (Lewis) v Redcar and Cleveland Borough Council</w:t>
      </w:r>
      <w:r w:rsidR="00936480" w:rsidRPr="00936480">
        <w:t>)</w:t>
      </w:r>
      <w:r w:rsidR="00936480">
        <w:t xml:space="preserve"> </w:t>
      </w:r>
      <w:r>
        <w:t xml:space="preserve">and therefore </w:t>
      </w:r>
      <w:r w:rsidR="006C4424" w:rsidRPr="00266EA7">
        <w:t>weigh</w:t>
      </w:r>
      <w:r>
        <w:t>s</w:t>
      </w:r>
      <w:r w:rsidR="006C4424" w:rsidRPr="00266EA7">
        <w:t xml:space="preserve"> in favour of confirmation. </w:t>
      </w:r>
      <w:r w:rsidR="006C4424">
        <w:t xml:space="preserve"> </w:t>
      </w:r>
      <w:r w:rsidR="006C4424" w:rsidRPr="00266EA7">
        <w:t xml:space="preserve">There is no </w:t>
      </w:r>
      <w:r w:rsidR="001D0496">
        <w:t xml:space="preserve">credible </w:t>
      </w:r>
      <w:r w:rsidR="006C4424" w:rsidRPr="00266EA7">
        <w:t xml:space="preserve">evidence that the use was interrupted or that it was </w:t>
      </w:r>
      <w:r w:rsidRPr="007741CD">
        <w:t>secretive</w:t>
      </w:r>
      <w:r>
        <w:t xml:space="preserve"> or by force</w:t>
      </w:r>
      <w:r w:rsidR="006C4424" w:rsidRPr="00266EA7">
        <w:t>.  Although the level of use varies between the witnesses</w:t>
      </w:r>
      <w:r w:rsidR="006C4424">
        <w:t>, o</w:t>
      </w:r>
      <w:r w:rsidR="006C4424" w:rsidRPr="00266EA7">
        <w:t>verall</w:t>
      </w:r>
      <w:r w:rsidR="006C4424">
        <w:t>,</w:t>
      </w:r>
      <w:r w:rsidR="006C4424" w:rsidRPr="00266EA7">
        <w:t xml:space="preserve"> it has been demonstrated that it was on a regular basis varying from daily, </w:t>
      </w:r>
      <w:proofErr w:type="gramStart"/>
      <w:r w:rsidR="006C4424" w:rsidRPr="00266EA7">
        <w:t>weekly</w:t>
      </w:r>
      <w:proofErr w:type="gramEnd"/>
      <w:r w:rsidR="006C4424" w:rsidRPr="00266EA7">
        <w:t xml:space="preserve"> and monthly depending on the</w:t>
      </w:r>
      <w:r>
        <w:t xml:space="preserve"> </w:t>
      </w:r>
      <w:r w:rsidR="006C4424" w:rsidRPr="00266EA7">
        <w:t>time of year.</w:t>
      </w:r>
    </w:p>
    <w:p w14:paraId="16F14915" w14:textId="22F1C7C6" w:rsidR="0071233F" w:rsidRPr="006C18FD" w:rsidRDefault="0071233F" w:rsidP="0071233F">
      <w:pPr>
        <w:pStyle w:val="Style1"/>
        <w:numPr>
          <w:ilvl w:val="0"/>
          <w:numId w:val="0"/>
        </w:numPr>
        <w:rPr>
          <w:b/>
          <w:bCs/>
          <w:i/>
          <w:iCs/>
        </w:rPr>
      </w:pPr>
      <w:r w:rsidRPr="006C18FD">
        <w:rPr>
          <w:b/>
          <w:bCs/>
          <w:i/>
          <w:iCs/>
        </w:rPr>
        <w:t xml:space="preserve">Lack of intention to dedicate </w:t>
      </w:r>
    </w:p>
    <w:p w14:paraId="418D65BF" w14:textId="265E53C8" w:rsidR="0071233F" w:rsidRDefault="0071233F" w:rsidP="0071233F">
      <w:pPr>
        <w:pStyle w:val="Style1"/>
      </w:pPr>
      <w:r>
        <w:t>The user evidence gives rise to a presumption of dedication and therefore the burden shifts to the landowner to demonstrate a lack of intention to dedicate.   For there to be sufficient evidence of this there must be evidence of some overt acts on the part of the landowner, during the relevant period, to show the public at large that they had no intention to dedicate.  The test is whether a reasonable user would have understood that the landowner was intending to disabuse the user of the notion that the way was public.</w:t>
      </w:r>
    </w:p>
    <w:p w14:paraId="11EFF897" w14:textId="6EC51A4C" w:rsidR="00EC5F86" w:rsidRDefault="0071233F" w:rsidP="00BD651D">
      <w:pPr>
        <w:pStyle w:val="Style1"/>
      </w:pPr>
      <w:r>
        <w:t>I have already</w:t>
      </w:r>
      <w:r w:rsidR="00A527CE">
        <w:t xml:space="preserve"> identified that a </w:t>
      </w:r>
      <w:r w:rsidR="00F53FA2">
        <w:t xml:space="preserve">notice was erected by the landowner in 2014.  </w:t>
      </w:r>
      <w:r w:rsidR="00E56E9D">
        <w:t>However,</w:t>
      </w:r>
      <w:r w:rsidR="00F53FA2">
        <w:t xml:space="preserve"> there is no </w:t>
      </w:r>
      <w:r w:rsidR="00E56E9D">
        <w:t>substantive</w:t>
      </w:r>
      <w:r w:rsidR="00F53FA2">
        <w:t xml:space="preserve"> evidence</w:t>
      </w:r>
      <w:r w:rsidR="00E56E9D">
        <w:t xml:space="preserve"> that the landowner took any </w:t>
      </w:r>
      <w:r>
        <w:t xml:space="preserve">actions </w:t>
      </w:r>
      <w:r w:rsidR="00936480">
        <w:t xml:space="preserve">prior to that </w:t>
      </w:r>
      <w:r>
        <w:t>to demonstrate to the public at large that they had no intention to dedicate the routes during the period 1</w:t>
      </w:r>
      <w:r w:rsidR="00A60B2A">
        <w:t>994</w:t>
      </w:r>
      <w:r>
        <w:t>-20</w:t>
      </w:r>
      <w:r w:rsidR="00A60B2A">
        <w:t>14</w:t>
      </w:r>
      <w:r>
        <w:t xml:space="preserve">.   </w:t>
      </w:r>
    </w:p>
    <w:p w14:paraId="60714064" w14:textId="63050199" w:rsidR="00C110AE" w:rsidRDefault="00C110AE" w:rsidP="00EC5F86">
      <w:pPr>
        <w:pStyle w:val="Heading6blackfont"/>
      </w:pPr>
      <w:r>
        <w:t xml:space="preserve">Common Law Dedication </w:t>
      </w:r>
    </w:p>
    <w:p w14:paraId="0767B57F" w14:textId="141D676A" w:rsidR="00055C6D" w:rsidRDefault="00C110AE" w:rsidP="00C110AE">
      <w:pPr>
        <w:pStyle w:val="Style1"/>
      </w:pPr>
      <w:r w:rsidRPr="00C110AE">
        <w:t xml:space="preserve">An inference that a way has been dedicated for public use may be drawn at common law where the actions of landowners (or lack of action) indicate that they intended a way to be dedicated as a highway and where the public have accepted it.  </w:t>
      </w:r>
      <w:r w:rsidR="00DB674C" w:rsidRPr="00DB674C">
        <w:t xml:space="preserve">At common law, there is no defined minimum period of use that </w:t>
      </w:r>
      <w:proofErr w:type="gramStart"/>
      <w:r w:rsidR="00DB674C" w:rsidRPr="00DB674C">
        <w:t>has to</w:t>
      </w:r>
      <w:proofErr w:type="gramEnd"/>
      <w:r w:rsidR="00DB674C" w:rsidRPr="00DB674C">
        <w:t xml:space="preserve"> be satisfied, nor is there any need for the existence of public rights to be brought into question</w:t>
      </w:r>
      <w:r w:rsidR="00DB674C">
        <w:t>.</w:t>
      </w:r>
    </w:p>
    <w:p w14:paraId="4C62AEBF" w14:textId="3464FFF0" w:rsidR="00467262" w:rsidRDefault="00C110AE" w:rsidP="00F91EC5">
      <w:pPr>
        <w:pStyle w:val="Style1"/>
      </w:pPr>
      <w:r w:rsidRPr="00C110AE">
        <w:lastRenderedPageBreak/>
        <w:t xml:space="preserve">In this case, there is clear evidence </w:t>
      </w:r>
      <w:r w:rsidR="009556DE">
        <w:t xml:space="preserve">from the previous </w:t>
      </w:r>
      <w:r w:rsidR="00D66376">
        <w:t>landowner</w:t>
      </w:r>
      <w:r w:rsidR="009556DE">
        <w:t xml:space="preserve"> that they were aware </w:t>
      </w:r>
      <w:r w:rsidR="000A7C8D">
        <w:t xml:space="preserve">of </w:t>
      </w:r>
      <w:r w:rsidR="009556DE">
        <w:t>public</w:t>
      </w:r>
      <w:r w:rsidR="000A7C8D">
        <w:t xml:space="preserve"> use of the </w:t>
      </w:r>
      <w:r w:rsidR="009556DE">
        <w:t>Order route</w:t>
      </w:r>
      <w:r w:rsidR="00D66376">
        <w:t xml:space="preserve"> from </w:t>
      </w:r>
      <w:r w:rsidR="00467262">
        <w:t>1972 onwards and took no steps to disabuse</w:t>
      </w:r>
      <w:r w:rsidR="00F91EC5" w:rsidRPr="00F91EC5">
        <w:t xml:space="preserve"> user</w:t>
      </w:r>
      <w:r w:rsidR="00F91EC5">
        <w:t>s</w:t>
      </w:r>
      <w:r w:rsidR="00F91EC5" w:rsidRPr="00F91EC5">
        <w:t xml:space="preserve"> of the notion that the way was public</w:t>
      </w:r>
      <w:r w:rsidR="00F91EC5">
        <w:t xml:space="preserve">.  </w:t>
      </w:r>
      <w:r w:rsidR="00467262">
        <w:t>This supports a significant body of user evidence from local people</w:t>
      </w:r>
      <w:r w:rsidR="00C85A55">
        <w:t xml:space="preserve"> as well as the aerial photographs. </w:t>
      </w:r>
      <w:r w:rsidR="000A5713">
        <w:t xml:space="preserve"> </w:t>
      </w:r>
      <w:r w:rsidR="00467262">
        <w:t xml:space="preserve"> </w:t>
      </w:r>
    </w:p>
    <w:p w14:paraId="6248C402" w14:textId="74921CDE" w:rsidR="00C110AE" w:rsidRPr="00C110AE" w:rsidRDefault="00AE0519" w:rsidP="00C110AE">
      <w:pPr>
        <w:pStyle w:val="Style1"/>
      </w:pPr>
      <w:proofErr w:type="gramStart"/>
      <w:r>
        <w:t>In light of</w:t>
      </w:r>
      <w:proofErr w:type="gramEnd"/>
      <w:r>
        <w:t xml:space="preserve"> th</w:t>
      </w:r>
      <w:r w:rsidR="00AB7059">
        <w:t>e</w:t>
      </w:r>
      <w:r>
        <w:t xml:space="preserve"> above I </w:t>
      </w:r>
      <w:r w:rsidR="00AB7059">
        <w:t>f</w:t>
      </w:r>
      <w:r w:rsidR="00614A0D">
        <w:t xml:space="preserve">ind </w:t>
      </w:r>
      <w:r w:rsidR="00671803">
        <w:t xml:space="preserve">it </w:t>
      </w:r>
      <w:r w:rsidR="00614A0D" w:rsidRPr="00614A0D">
        <w:t>possible to infer an intention to dedicate on the part of the landowners, with acceptance being demonstrated by public use of the route.</w:t>
      </w:r>
    </w:p>
    <w:p w14:paraId="2D4CE835" w14:textId="5BDC279A" w:rsidR="00C110AE" w:rsidRDefault="004777AD" w:rsidP="00EC5F86">
      <w:pPr>
        <w:pStyle w:val="Heading6blackfont"/>
      </w:pPr>
      <w:r>
        <w:t>Other Matters</w:t>
      </w:r>
    </w:p>
    <w:p w14:paraId="27E830FD" w14:textId="25EB78AB" w:rsidR="004777AD" w:rsidRPr="004777AD" w:rsidRDefault="000A7C8D" w:rsidP="004777AD">
      <w:pPr>
        <w:pStyle w:val="Style1"/>
      </w:pPr>
      <w:r>
        <w:t>Various i</w:t>
      </w:r>
      <w:r w:rsidR="004777AD">
        <w:t xml:space="preserve">ssues </w:t>
      </w:r>
      <w:r>
        <w:t xml:space="preserve">have been raised by those opposing the Order including, but not limited to, the effect </w:t>
      </w:r>
      <w:r w:rsidR="004777AD">
        <w:t>on</w:t>
      </w:r>
      <w:r>
        <w:t xml:space="preserve"> private</w:t>
      </w:r>
      <w:r w:rsidR="004777AD">
        <w:t xml:space="preserve"> property, local ecology, the potential for anti-social behaviour, safety and security, an increase in footfall and parking along </w:t>
      </w:r>
      <w:r w:rsidR="00FC0B12">
        <w:t>Long</w:t>
      </w:r>
      <w:r w:rsidR="004777AD">
        <w:t xml:space="preserve"> Walk and maintenance and other liabilities. </w:t>
      </w:r>
      <w:r>
        <w:t xml:space="preserve"> </w:t>
      </w:r>
      <w:r w:rsidR="004777AD">
        <w:t>Whil</w:t>
      </w:r>
      <w:r>
        <w:t>e</w:t>
      </w:r>
      <w:r w:rsidR="004777AD">
        <w:t xml:space="preserve"> I note, and can appreciate the genuine concerns, the</w:t>
      </w:r>
      <w:r>
        <w:t xml:space="preserve">se </w:t>
      </w:r>
      <w:r w:rsidR="004777AD">
        <w:t>are not matters which can be taken into consideration under the 1981 Act.</w:t>
      </w:r>
    </w:p>
    <w:p w14:paraId="5C399C64" w14:textId="73C024B3" w:rsidR="00355FCC" w:rsidRDefault="00EC5F86" w:rsidP="00EC5F86">
      <w:pPr>
        <w:pStyle w:val="Heading6blackfont"/>
      </w:pPr>
      <w:r>
        <w:t>Conclusions</w:t>
      </w:r>
    </w:p>
    <w:p w14:paraId="79852DB6" w14:textId="2747E76B" w:rsidR="00B70B59" w:rsidRDefault="00EC5F86" w:rsidP="00EC5F86">
      <w:pPr>
        <w:pStyle w:val="Style1"/>
        <w:numPr>
          <w:ilvl w:val="0"/>
          <w:numId w:val="21"/>
        </w:numPr>
        <w:tabs>
          <w:tab w:val="clear" w:pos="720"/>
        </w:tabs>
      </w:pPr>
      <w:r w:rsidRPr="004D0DA6">
        <w:t>I have found that there is sufficient user evidence to demonstrate use of the Order route</w:t>
      </w:r>
      <w:r w:rsidR="000A7C8D">
        <w:t xml:space="preserve"> </w:t>
      </w:r>
      <w:r w:rsidRPr="004D0DA6">
        <w:t>between 19</w:t>
      </w:r>
      <w:r w:rsidR="00B70B59">
        <w:t>94</w:t>
      </w:r>
      <w:r w:rsidRPr="004D0DA6">
        <w:t xml:space="preserve"> and</w:t>
      </w:r>
      <w:r>
        <w:t xml:space="preserve"> 20</w:t>
      </w:r>
      <w:r w:rsidR="00B70B59">
        <w:t>14</w:t>
      </w:r>
      <w:r w:rsidRPr="004D0DA6">
        <w:t>.  There is no</w:t>
      </w:r>
      <w:r w:rsidR="004C1973">
        <w:t xml:space="preserve"> suggestion nor</w:t>
      </w:r>
      <w:r w:rsidRPr="004D0DA6">
        <w:t xml:space="preserve"> evidence that use was interrupted or that it was not ‘as of right’.  I have not identified any evidence to show a lack of intention to dedicate a public right of way over the Order route within the 20</w:t>
      </w:r>
      <w:r>
        <w:t>-</w:t>
      </w:r>
      <w:r w:rsidRPr="004D0DA6">
        <w:t xml:space="preserve">year period.  </w:t>
      </w:r>
      <w:r w:rsidR="00936480">
        <w:t xml:space="preserve">I am also satisfied that the evidence meets the test for dedication under common law.  </w:t>
      </w:r>
    </w:p>
    <w:p w14:paraId="168744AF" w14:textId="07F9001C" w:rsidR="00EC5F86" w:rsidRDefault="00EC5F86" w:rsidP="00794491">
      <w:pPr>
        <w:pStyle w:val="Style1"/>
        <w:numPr>
          <w:ilvl w:val="0"/>
          <w:numId w:val="21"/>
        </w:numPr>
        <w:tabs>
          <w:tab w:val="clear" w:pos="720"/>
        </w:tabs>
      </w:pPr>
      <w:r w:rsidRPr="004D0DA6">
        <w:t xml:space="preserve">Therefore, on the balance of probabilities, and considering the </w:t>
      </w:r>
      <w:proofErr w:type="gramStart"/>
      <w:r w:rsidRPr="004D0DA6">
        <w:t>evidence as a whole, I</w:t>
      </w:r>
      <w:proofErr w:type="gramEnd"/>
      <w:r w:rsidRPr="004D0DA6">
        <w:t xml:space="preserve"> am satisfied, that the Order route should be recorded as </w:t>
      </w:r>
      <w:r w:rsidR="000A7C8D">
        <w:t xml:space="preserve">a </w:t>
      </w:r>
      <w:r w:rsidRPr="004D0DA6">
        <w:t>public footpath.  Having regard to these and all other matters raised I conclude that the Order should be confirmed</w:t>
      </w:r>
      <w:r>
        <w:t>.</w:t>
      </w:r>
    </w:p>
    <w:p w14:paraId="5E62B67A" w14:textId="77777777" w:rsidR="00EC5F86" w:rsidRPr="008C42E6" w:rsidRDefault="00EC5F86" w:rsidP="00EC5F86">
      <w:pPr>
        <w:pStyle w:val="Style1"/>
        <w:numPr>
          <w:ilvl w:val="0"/>
          <w:numId w:val="0"/>
        </w:numPr>
      </w:pPr>
      <w:r w:rsidRPr="008C42E6">
        <w:rPr>
          <w:b/>
          <w:szCs w:val="22"/>
        </w:rPr>
        <w:t>Formal Decision</w:t>
      </w:r>
    </w:p>
    <w:p w14:paraId="0BFF5C69" w14:textId="77777777" w:rsidR="00EC5F86" w:rsidRPr="008B2556" w:rsidRDefault="00EC5F86" w:rsidP="00EC5F86">
      <w:pPr>
        <w:tabs>
          <w:tab w:val="left" w:pos="426"/>
        </w:tabs>
        <w:ind w:left="425"/>
        <w:rPr>
          <w:sz w:val="16"/>
          <w:szCs w:val="16"/>
        </w:rPr>
      </w:pPr>
    </w:p>
    <w:p w14:paraId="5E88E5CF" w14:textId="77777777" w:rsidR="00EC5F86" w:rsidRDefault="00EC5F86" w:rsidP="00EC5F86">
      <w:pPr>
        <w:pStyle w:val="Style1"/>
        <w:numPr>
          <w:ilvl w:val="0"/>
          <w:numId w:val="21"/>
        </w:numPr>
        <w:tabs>
          <w:tab w:val="clear" w:pos="720"/>
        </w:tabs>
      </w:pPr>
      <w:r>
        <w:t>T</w:t>
      </w:r>
      <w:r w:rsidRPr="008B2556">
        <w:t>he Order</w:t>
      </w:r>
      <w:r>
        <w:t xml:space="preserve"> is confirmed.</w:t>
      </w:r>
    </w:p>
    <w:p w14:paraId="44E522D8" w14:textId="77777777" w:rsidR="00EC5F86" w:rsidRDefault="00EC5F86" w:rsidP="00EC5F86">
      <w:pPr>
        <w:pStyle w:val="Style1"/>
        <w:numPr>
          <w:ilvl w:val="0"/>
          <w:numId w:val="0"/>
        </w:numPr>
      </w:pPr>
    </w:p>
    <w:p w14:paraId="2576A0D9" w14:textId="77777777" w:rsidR="00EC5F86" w:rsidRPr="001D10DF" w:rsidRDefault="00EC5F86" w:rsidP="00EC5F86">
      <w:pPr>
        <w:tabs>
          <w:tab w:val="left" w:pos="432"/>
        </w:tabs>
        <w:spacing w:before="180"/>
        <w:outlineLvl w:val="0"/>
        <w:rPr>
          <w:rFonts w:ascii="Monotype Corsiva" w:hAnsi="Monotype Corsiva"/>
          <w:color w:val="000000"/>
          <w:kern w:val="28"/>
          <w:sz w:val="36"/>
          <w:szCs w:val="36"/>
        </w:rPr>
      </w:pPr>
      <w:r w:rsidRPr="001D10DF">
        <w:rPr>
          <w:rFonts w:ascii="Monotype Corsiva" w:hAnsi="Monotype Corsiva"/>
          <w:color w:val="000000"/>
          <w:kern w:val="28"/>
          <w:sz w:val="36"/>
          <w:szCs w:val="36"/>
        </w:rPr>
        <w:t xml:space="preserve">D. M. Young </w:t>
      </w:r>
    </w:p>
    <w:p w14:paraId="53055948" w14:textId="77777777" w:rsidR="00EC5F86" w:rsidRPr="001D10DF" w:rsidRDefault="00EC5F86" w:rsidP="00EC5F86">
      <w:pPr>
        <w:tabs>
          <w:tab w:val="left" w:pos="432"/>
        </w:tabs>
        <w:spacing w:before="180"/>
        <w:ind w:left="431" w:hanging="431"/>
        <w:outlineLvl w:val="0"/>
        <w:rPr>
          <w:color w:val="000000"/>
          <w:kern w:val="28"/>
        </w:rPr>
      </w:pPr>
      <w:r w:rsidRPr="001D10DF">
        <w:rPr>
          <w:b/>
          <w:color w:val="000000"/>
          <w:kern w:val="28"/>
          <w:szCs w:val="22"/>
        </w:rPr>
        <w:t>Inspector</w:t>
      </w:r>
    </w:p>
    <w:p w14:paraId="05E10535" w14:textId="19A3069E" w:rsidR="00EC5F86" w:rsidRDefault="00EC5F86" w:rsidP="00A84704">
      <w:pPr>
        <w:pStyle w:val="Style1"/>
        <w:numPr>
          <w:ilvl w:val="0"/>
          <w:numId w:val="0"/>
        </w:numPr>
      </w:pPr>
    </w:p>
    <w:p w14:paraId="1E418FC7" w14:textId="21BB6412" w:rsidR="00A84704" w:rsidRDefault="00A84704" w:rsidP="00A84704">
      <w:pPr>
        <w:pStyle w:val="Style1"/>
        <w:numPr>
          <w:ilvl w:val="0"/>
          <w:numId w:val="0"/>
        </w:numPr>
      </w:pPr>
    </w:p>
    <w:p w14:paraId="2CFABDC3" w14:textId="2A4EB6A9" w:rsidR="00936480" w:rsidRDefault="00936480" w:rsidP="00A84704">
      <w:pPr>
        <w:pStyle w:val="Style1"/>
        <w:numPr>
          <w:ilvl w:val="0"/>
          <w:numId w:val="0"/>
        </w:numPr>
      </w:pPr>
    </w:p>
    <w:p w14:paraId="28C23C8D" w14:textId="3E99A7D1" w:rsidR="00936480" w:rsidRDefault="00936480" w:rsidP="00A84704">
      <w:pPr>
        <w:pStyle w:val="Style1"/>
        <w:numPr>
          <w:ilvl w:val="0"/>
          <w:numId w:val="0"/>
        </w:numPr>
      </w:pPr>
    </w:p>
    <w:p w14:paraId="27C7D86A" w14:textId="38C62C08" w:rsidR="00936480" w:rsidRDefault="00936480" w:rsidP="00A84704">
      <w:pPr>
        <w:pStyle w:val="Style1"/>
        <w:numPr>
          <w:ilvl w:val="0"/>
          <w:numId w:val="0"/>
        </w:numPr>
      </w:pPr>
    </w:p>
    <w:p w14:paraId="22361170" w14:textId="42704AC7" w:rsidR="00A84704" w:rsidRDefault="00A84704" w:rsidP="00A84704">
      <w:pPr>
        <w:pStyle w:val="Style1"/>
        <w:numPr>
          <w:ilvl w:val="0"/>
          <w:numId w:val="0"/>
        </w:numPr>
      </w:pPr>
    </w:p>
    <w:p w14:paraId="651AC255" w14:textId="77777777" w:rsidR="00A84704" w:rsidRPr="00B75A21" w:rsidRDefault="00A84704" w:rsidP="00A84704">
      <w:pPr>
        <w:tabs>
          <w:tab w:val="left" w:pos="432"/>
        </w:tabs>
        <w:spacing w:before="180"/>
        <w:outlineLvl w:val="0"/>
        <w:rPr>
          <w:b/>
          <w:bCs/>
          <w:color w:val="000000"/>
          <w:kern w:val="28"/>
        </w:rPr>
      </w:pPr>
      <w:r w:rsidRPr="00B75A21">
        <w:rPr>
          <w:b/>
          <w:bCs/>
          <w:color w:val="000000"/>
          <w:kern w:val="28"/>
        </w:rPr>
        <w:t>APPEARANCES</w:t>
      </w:r>
    </w:p>
    <w:p w14:paraId="4E9E1B48" w14:textId="77777777" w:rsidR="00A84704" w:rsidRPr="00B75A21" w:rsidRDefault="00A84704" w:rsidP="00A84704">
      <w:pPr>
        <w:tabs>
          <w:tab w:val="left" w:pos="432"/>
        </w:tabs>
        <w:spacing w:before="180"/>
        <w:outlineLvl w:val="0"/>
        <w:rPr>
          <w:color w:val="000000"/>
          <w:kern w:val="28"/>
        </w:rPr>
      </w:pPr>
    </w:p>
    <w:p w14:paraId="22898248" w14:textId="67EFED95" w:rsidR="00A84704" w:rsidRPr="00B75A21" w:rsidRDefault="00A84704" w:rsidP="00A84704">
      <w:pPr>
        <w:tabs>
          <w:tab w:val="left" w:pos="432"/>
        </w:tabs>
        <w:spacing w:before="180"/>
        <w:outlineLvl w:val="0"/>
        <w:rPr>
          <w:b/>
          <w:bCs/>
          <w:color w:val="000000"/>
          <w:kern w:val="28"/>
        </w:rPr>
      </w:pPr>
      <w:r w:rsidRPr="008B7F97">
        <w:rPr>
          <w:b/>
          <w:bCs/>
          <w:color w:val="000000"/>
          <w:kern w:val="28"/>
        </w:rPr>
        <w:lastRenderedPageBreak/>
        <w:t xml:space="preserve">For </w:t>
      </w:r>
      <w:r>
        <w:rPr>
          <w:b/>
          <w:bCs/>
          <w:color w:val="000000"/>
          <w:kern w:val="28"/>
        </w:rPr>
        <w:t>Buckinghamshire Council</w:t>
      </w:r>
    </w:p>
    <w:p w14:paraId="1B3DA015" w14:textId="77777777" w:rsidR="00393503" w:rsidRDefault="00393503" w:rsidP="00A84704">
      <w:pPr>
        <w:tabs>
          <w:tab w:val="left" w:pos="432"/>
        </w:tabs>
        <w:spacing w:before="180"/>
        <w:outlineLvl w:val="0"/>
        <w:rPr>
          <w:color w:val="000000"/>
          <w:kern w:val="28"/>
        </w:rPr>
      </w:pPr>
      <w:r>
        <w:rPr>
          <w:color w:val="000000"/>
          <w:kern w:val="28"/>
        </w:rPr>
        <w:t>Daniel Stedman Jones</w:t>
      </w:r>
      <w:r w:rsidR="00A84704">
        <w:rPr>
          <w:color w:val="000000"/>
          <w:kern w:val="28"/>
        </w:rPr>
        <w:t xml:space="preserve"> of Counsel </w:t>
      </w:r>
      <w:r w:rsidR="00A84704" w:rsidRPr="00B75A21">
        <w:rPr>
          <w:color w:val="000000"/>
          <w:kern w:val="28"/>
        </w:rPr>
        <w:t xml:space="preserve"> </w:t>
      </w:r>
    </w:p>
    <w:p w14:paraId="5E11F734" w14:textId="6B10F6B0" w:rsidR="00D9515E" w:rsidRPr="00D9515E" w:rsidRDefault="00393503" w:rsidP="00D9515E">
      <w:pPr>
        <w:tabs>
          <w:tab w:val="left" w:pos="432"/>
        </w:tabs>
        <w:spacing w:before="180"/>
        <w:outlineLvl w:val="0"/>
        <w:rPr>
          <w:color w:val="000000"/>
          <w:kern w:val="28"/>
        </w:rPr>
      </w:pPr>
      <w:r>
        <w:rPr>
          <w:i/>
          <w:iCs/>
          <w:color w:val="000000"/>
          <w:kern w:val="28"/>
        </w:rPr>
        <w:t>H</w:t>
      </w:r>
      <w:r w:rsidR="00A84704" w:rsidRPr="00F0750C">
        <w:rPr>
          <w:i/>
          <w:iCs/>
          <w:color w:val="000000"/>
          <w:kern w:val="28"/>
        </w:rPr>
        <w:t>e called</w:t>
      </w:r>
      <w:r w:rsidR="00D9515E">
        <w:rPr>
          <w:color w:val="000000"/>
          <w:kern w:val="28"/>
        </w:rPr>
        <w:tab/>
      </w:r>
    </w:p>
    <w:p w14:paraId="2B3690C2" w14:textId="097A8871" w:rsidR="00770DCD" w:rsidRDefault="005C2242" w:rsidP="00393503">
      <w:pPr>
        <w:pStyle w:val="Style1"/>
        <w:numPr>
          <w:ilvl w:val="0"/>
          <w:numId w:val="0"/>
        </w:numPr>
      </w:pPr>
      <w:r>
        <w:t>Ann A</w:t>
      </w:r>
      <w:r w:rsidR="00576398">
        <w:t>l</w:t>
      </w:r>
      <w:r>
        <w:t xml:space="preserve">derson </w:t>
      </w:r>
      <w:r w:rsidR="00770DCD">
        <w:tab/>
      </w:r>
      <w:r w:rsidR="00770DCD">
        <w:tab/>
      </w:r>
      <w:r w:rsidR="00770DCD">
        <w:tab/>
      </w:r>
      <w:r w:rsidR="00770DCD">
        <w:tab/>
      </w:r>
      <w:r w:rsidR="00770DCD">
        <w:tab/>
      </w:r>
      <w:r w:rsidR="00770DCD">
        <w:tab/>
      </w:r>
      <w:r w:rsidR="00770DCD" w:rsidRPr="00770DCD">
        <w:t>Local Resident</w:t>
      </w:r>
    </w:p>
    <w:p w14:paraId="09A5BA60" w14:textId="77777777" w:rsidR="00576398" w:rsidRPr="00EC5F86" w:rsidRDefault="00576398" w:rsidP="00576398">
      <w:pPr>
        <w:pStyle w:val="Style1"/>
        <w:numPr>
          <w:ilvl w:val="0"/>
          <w:numId w:val="0"/>
        </w:numPr>
      </w:pPr>
      <w:r>
        <w:t xml:space="preserve">Len Worley </w:t>
      </w:r>
      <w:r>
        <w:tab/>
      </w:r>
      <w:r>
        <w:tab/>
      </w:r>
      <w:r>
        <w:tab/>
      </w:r>
      <w:r>
        <w:tab/>
      </w:r>
      <w:r>
        <w:tab/>
      </w:r>
      <w:r>
        <w:tab/>
      </w:r>
      <w:r>
        <w:tab/>
      </w:r>
      <w:r w:rsidRPr="00402CA7">
        <w:t>Local Resident</w:t>
      </w:r>
    </w:p>
    <w:p w14:paraId="217D37DE" w14:textId="77777777" w:rsidR="00576398" w:rsidRDefault="00576398" w:rsidP="00576398">
      <w:pPr>
        <w:pStyle w:val="Style1"/>
        <w:numPr>
          <w:ilvl w:val="0"/>
          <w:numId w:val="0"/>
        </w:numPr>
        <w:ind w:left="431" w:hanging="431"/>
      </w:pPr>
      <w:r>
        <w:t>Jon Walden</w:t>
      </w:r>
      <w:r w:rsidRPr="0088214F">
        <w:t xml:space="preserve"> </w:t>
      </w:r>
      <w:r>
        <w:tab/>
      </w:r>
      <w:r>
        <w:tab/>
      </w:r>
      <w:r>
        <w:tab/>
      </w:r>
      <w:r>
        <w:tab/>
      </w:r>
      <w:r>
        <w:tab/>
      </w:r>
      <w:r>
        <w:tab/>
      </w:r>
      <w:r>
        <w:tab/>
      </w:r>
      <w:r w:rsidRPr="00402CA7">
        <w:t>Local Resident</w:t>
      </w:r>
    </w:p>
    <w:p w14:paraId="144EDAFD" w14:textId="5B9DAA32" w:rsidR="00576398" w:rsidRDefault="00576398" w:rsidP="00393503">
      <w:pPr>
        <w:pStyle w:val="Style1"/>
        <w:numPr>
          <w:ilvl w:val="0"/>
          <w:numId w:val="0"/>
        </w:numPr>
      </w:pPr>
      <w:r>
        <w:t>Edward Kinsey</w:t>
      </w:r>
      <w:r>
        <w:tab/>
      </w:r>
      <w:r>
        <w:tab/>
      </w:r>
      <w:r>
        <w:tab/>
      </w:r>
      <w:r>
        <w:tab/>
      </w:r>
      <w:r>
        <w:tab/>
      </w:r>
      <w:r>
        <w:tab/>
      </w:r>
      <w:r w:rsidRPr="00402CA7">
        <w:t>Local Resident</w:t>
      </w:r>
    </w:p>
    <w:p w14:paraId="0CB089B4" w14:textId="77777777" w:rsidR="000A7A2A" w:rsidRDefault="000A7A2A" w:rsidP="00393503">
      <w:pPr>
        <w:pStyle w:val="Style1"/>
        <w:numPr>
          <w:ilvl w:val="0"/>
          <w:numId w:val="0"/>
        </w:numPr>
      </w:pPr>
      <w:r>
        <w:t>Jane Maiden</w:t>
      </w:r>
      <w:r>
        <w:tab/>
      </w:r>
      <w:r>
        <w:tab/>
      </w:r>
      <w:r>
        <w:tab/>
      </w:r>
      <w:r>
        <w:tab/>
      </w:r>
      <w:r>
        <w:tab/>
      </w:r>
      <w:r>
        <w:tab/>
      </w:r>
      <w:r>
        <w:tab/>
      </w:r>
      <w:r w:rsidRPr="00402CA7">
        <w:t>Local Resident</w:t>
      </w:r>
      <w:r>
        <w:t xml:space="preserve"> </w:t>
      </w:r>
    </w:p>
    <w:p w14:paraId="2914CFBF" w14:textId="778A38C3" w:rsidR="00393503" w:rsidRDefault="00393503" w:rsidP="00393503">
      <w:pPr>
        <w:pStyle w:val="Style1"/>
        <w:numPr>
          <w:ilvl w:val="0"/>
          <w:numId w:val="0"/>
        </w:numPr>
      </w:pPr>
      <w:r>
        <w:t>Chris Whitby</w:t>
      </w:r>
      <w:r>
        <w:tab/>
      </w:r>
      <w:r>
        <w:tab/>
      </w:r>
      <w:r>
        <w:tab/>
      </w:r>
      <w:r>
        <w:tab/>
      </w:r>
      <w:r>
        <w:tab/>
      </w:r>
      <w:r>
        <w:tab/>
      </w:r>
      <w:r>
        <w:tab/>
      </w:r>
      <w:r w:rsidRPr="00402CA7">
        <w:t>Local Resident</w:t>
      </w:r>
    </w:p>
    <w:p w14:paraId="25F6F9A3" w14:textId="0B654E42" w:rsidR="00393503" w:rsidRDefault="00393503" w:rsidP="000A7A2A">
      <w:pPr>
        <w:pStyle w:val="Style1"/>
        <w:numPr>
          <w:ilvl w:val="0"/>
          <w:numId w:val="0"/>
        </w:numPr>
        <w:ind w:left="431" w:hanging="431"/>
      </w:pPr>
      <w:r>
        <w:t>Patricia Whitworth</w:t>
      </w:r>
      <w:r>
        <w:tab/>
      </w:r>
      <w:r>
        <w:tab/>
      </w:r>
      <w:r>
        <w:tab/>
      </w:r>
      <w:r>
        <w:tab/>
      </w:r>
      <w:r>
        <w:tab/>
      </w:r>
      <w:r w:rsidR="000A7A2A">
        <w:tab/>
      </w:r>
      <w:r w:rsidRPr="00402CA7">
        <w:t>Local Resident</w:t>
      </w:r>
    </w:p>
    <w:p w14:paraId="415568DA" w14:textId="3895DC21" w:rsidR="00A84704" w:rsidRPr="008A35CF" w:rsidRDefault="008A35CF" w:rsidP="008A35CF">
      <w:pPr>
        <w:tabs>
          <w:tab w:val="left" w:pos="432"/>
        </w:tabs>
        <w:spacing w:before="180"/>
        <w:ind w:left="5760" w:hanging="5760"/>
        <w:outlineLvl w:val="0"/>
        <w:rPr>
          <w:color w:val="000000"/>
          <w:kern w:val="28"/>
        </w:rPr>
      </w:pPr>
      <w:r w:rsidRPr="00D9515E">
        <w:rPr>
          <w:color w:val="000000"/>
          <w:kern w:val="28"/>
        </w:rPr>
        <w:t>Helen Francis</w:t>
      </w:r>
      <w:r>
        <w:rPr>
          <w:color w:val="000000"/>
          <w:kern w:val="28"/>
        </w:rPr>
        <w:tab/>
        <w:t xml:space="preserve">Rights of Way Officer Buckinghamshire Council </w:t>
      </w:r>
    </w:p>
    <w:p w14:paraId="04A44EC3" w14:textId="77777777" w:rsidR="00A84704" w:rsidRPr="002722C4" w:rsidRDefault="00A84704" w:rsidP="00A84704">
      <w:pPr>
        <w:tabs>
          <w:tab w:val="left" w:pos="432"/>
        </w:tabs>
        <w:spacing w:before="180"/>
        <w:outlineLvl w:val="0"/>
        <w:rPr>
          <w:b/>
          <w:bCs/>
          <w:color w:val="000000"/>
          <w:kern w:val="28"/>
        </w:rPr>
      </w:pPr>
      <w:r w:rsidRPr="002722C4">
        <w:rPr>
          <w:b/>
          <w:bCs/>
          <w:color w:val="000000"/>
          <w:kern w:val="28"/>
        </w:rPr>
        <w:t xml:space="preserve">In opposition to the Order </w:t>
      </w:r>
    </w:p>
    <w:p w14:paraId="17E2F06F" w14:textId="4202EFD4" w:rsidR="00A84704" w:rsidRDefault="0088214F" w:rsidP="00A84704">
      <w:pPr>
        <w:pStyle w:val="Style1"/>
        <w:numPr>
          <w:ilvl w:val="0"/>
          <w:numId w:val="0"/>
        </w:numPr>
      </w:pPr>
      <w:r w:rsidRPr="0088214F">
        <w:t xml:space="preserve">Debra </w:t>
      </w:r>
      <w:proofErr w:type="spellStart"/>
      <w:r w:rsidRPr="0088214F">
        <w:t>Olleveant</w:t>
      </w:r>
      <w:proofErr w:type="spellEnd"/>
      <w:r>
        <w:tab/>
      </w:r>
      <w:r>
        <w:tab/>
      </w:r>
      <w:r>
        <w:tab/>
      </w:r>
      <w:r>
        <w:tab/>
      </w:r>
      <w:r>
        <w:tab/>
      </w:r>
      <w:r>
        <w:tab/>
        <w:t>Landowner</w:t>
      </w:r>
    </w:p>
    <w:p w14:paraId="05B75CBB" w14:textId="666D14B3" w:rsidR="00216BB9" w:rsidRDefault="00216BB9" w:rsidP="00A84704">
      <w:pPr>
        <w:pStyle w:val="Style1"/>
        <w:numPr>
          <w:ilvl w:val="0"/>
          <w:numId w:val="0"/>
        </w:numPr>
      </w:pPr>
    </w:p>
    <w:p w14:paraId="01BFFBA9" w14:textId="3D2633B3" w:rsidR="00216BB9" w:rsidRDefault="00216BB9">
      <w:pPr>
        <w:rPr>
          <w:color w:val="000000"/>
          <w:kern w:val="28"/>
        </w:rPr>
      </w:pPr>
      <w:r>
        <w:br w:type="page"/>
      </w:r>
    </w:p>
    <w:p w14:paraId="7D9A216F" w14:textId="26C2948E" w:rsidR="00216BB9" w:rsidRDefault="00216BB9" w:rsidP="00A84704">
      <w:pPr>
        <w:pStyle w:val="Style1"/>
        <w:numPr>
          <w:ilvl w:val="0"/>
          <w:numId w:val="0"/>
        </w:numPr>
      </w:pPr>
      <w:r>
        <w:rPr>
          <w:noProof/>
        </w:rPr>
        <w:lastRenderedPageBreak/>
        <w:drawing>
          <wp:inline distT="0" distB="0" distL="0" distR="0" wp14:anchorId="7DCE795B" wp14:editId="3F6F5271">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2BEF79B9" w14:textId="1D1D80B5" w:rsidR="00A84704" w:rsidRDefault="00A84704" w:rsidP="00A84704">
      <w:pPr>
        <w:pStyle w:val="Style1"/>
        <w:numPr>
          <w:ilvl w:val="0"/>
          <w:numId w:val="0"/>
        </w:numPr>
      </w:pPr>
    </w:p>
    <w:p w14:paraId="382EC911" w14:textId="77777777" w:rsidR="0088214F" w:rsidRPr="00EC5F86" w:rsidRDefault="0088214F">
      <w:pPr>
        <w:pStyle w:val="Style1"/>
        <w:numPr>
          <w:ilvl w:val="0"/>
          <w:numId w:val="0"/>
        </w:numPr>
      </w:pPr>
    </w:p>
    <w:sectPr w:rsidR="0088214F" w:rsidRPr="00EC5F8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EEB7" w14:textId="77777777" w:rsidR="00204FB7" w:rsidRDefault="00204FB7" w:rsidP="00F62916">
      <w:r>
        <w:separator/>
      </w:r>
    </w:p>
  </w:endnote>
  <w:endnote w:type="continuationSeparator" w:id="0">
    <w:p w14:paraId="7CD153B0" w14:textId="77777777" w:rsidR="00204FB7" w:rsidRDefault="00204FB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B10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F3FB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1A6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C6BE7FE" wp14:editId="02AFE4D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28E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58DF91E" w14:textId="77777777" w:rsidR="00366F95" w:rsidRPr="00E45340" w:rsidRDefault="00204FB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F883" w14:textId="77777777" w:rsidR="00366F95" w:rsidRDefault="00366F95" w:rsidP="00EC5F8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0EB3020" wp14:editId="49A2068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0E5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9E09E86" w14:textId="77777777" w:rsidR="00366F95" w:rsidRPr="00451EE4" w:rsidRDefault="00204FB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EDC6" w14:textId="77777777" w:rsidR="00204FB7" w:rsidRDefault="00204FB7" w:rsidP="00F62916">
      <w:r>
        <w:separator/>
      </w:r>
    </w:p>
  </w:footnote>
  <w:footnote w:type="continuationSeparator" w:id="0">
    <w:p w14:paraId="49AF8FCA" w14:textId="77777777" w:rsidR="00204FB7" w:rsidRDefault="00204FB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8DBE68E" w14:textId="77777777">
      <w:tc>
        <w:tcPr>
          <w:tcW w:w="9520" w:type="dxa"/>
        </w:tcPr>
        <w:p w14:paraId="60020738" w14:textId="7C9928CC" w:rsidR="00366F95" w:rsidRDefault="00EC5F86">
          <w:pPr>
            <w:pStyle w:val="Footer"/>
          </w:pPr>
          <w:r>
            <w:t>Order Decision ROW/3276730</w:t>
          </w:r>
        </w:p>
      </w:tc>
    </w:tr>
  </w:tbl>
  <w:p w14:paraId="3728AF0D"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0E866AC3" wp14:editId="55BA701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24E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92F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 w:numId="24">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9"/>
    <w:lvlOverride w:ilvl="0">
      <w:lvl w:ilvl="0">
        <w:start w:val="1"/>
        <w:numFmt w:val="decimal"/>
        <w:pStyle w:val="Style1"/>
        <w:lvlText w:val="%1."/>
        <w:lvlJc w:val="left"/>
        <w:pPr>
          <w:tabs>
            <w:tab w:val="num" w:pos="720"/>
          </w:tabs>
          <w:ind w:left="431" w:hanging="431"/>
        </w:pPr>
        <w:rPr>
          <w:rFonts w:hint="default"/>
          <w:b w:val="0"/>
          <w:bCs w:val="0"/>
          <w:i w:val="0"/>
          <w:iCs/>
        </w:rPr>
      </w:lvl>
    </w:lvlOverride>
  </w:num>
  <w:num w:numId="26">
    <w:abstractNumId w:val="9"/>
    <w:lvlOverride w:ilvl="0">
      <w:startOverride w:val="1"/>
      <w:lvl w:ilvl="0">
        <w:start w:val="1"/>
        <w:numFmt w:val="decimal"/>
        <w:pStyle w:val="Style1"/>
        <w:lvlText w:val="%1."/>
        <w:lvlJc w:val="left"/>
        <w:pPr>
          <w:tabs>
            <w:tab w:val="num" w:pos="720"/>
          </w:tabs>
          <w:ind w:left="431" w:hanging="431"/>
        </w:pPr>
        <w:rPr>
          <w:rFonts w:hint="default"/>
        </w:rPr>
      </w:lvl>
    </w:lvlOverride>
    <w:lvlOverride w:ilvl="1">
      <w:startOverride w:val="1"/>
      <w:lvl w:ilvl="1">
        <w:start w:val="1"/>
        <w:numFmt w:val="decimal"/>
        <w:pStyle w:val="Heading2"/>
        <w:lvlText w:val="%1.%2"/>
        <w:lvlJc w:val="left"/>
        <w:pPr>
          <w:tabs>
            <w:tab w:val="num" w:pos="578"/>
          </w:tabs>
          <w:ind w:left="578" w:hanging="578"/>
        </w:pPr>
        <w:rPr>
          <w:rFonts w:hint="default"/>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2"/>
          </w:tabs>
          <w:ind w:left="862" w:hanging="862"/>
        </w:pPr>
        <w:rPr>
          <w:rFonts w:hint="default"/>
        </w:rPr>
      </w:lvl>
    </w:lvlOverride>
    <w:lvlOverride w:ilvl="4">
      <w:startOverride w:val="1"/>
      <w:lvl w:ilvl="4">
        <w:start w:val="1"/>
        <w:numFmt w:val="decimal"/>
        <w:pStyle w:val="Heading5"/>
        <w:lvlText w:val="%1.%2.%3.%4.%5"/>
        <w:lvlJc w:val="left"/>
        <w:pPr>
          <w:tabs>
            <w:tab w:val="num" w:pos="1009"/>
          </w:tabs>
          <w:ind w:left="1009" w:hanging="1009"/>
        </w:pPr>
        <w:rPr>
          <w:rFonts w:hint="default"/>
        </w:rPr>
      </w:lvl>
    </w:lvlOverride>
    <w:lvlOverride w:ilvl="5">
      <w:startOverride w:val="1"/>
      <w:lvl w:ilvl="5">
        <w:start w:val="1"/>
        <w:numFmt w:val="decimal"/>
        <w:lvlText w:val="%1.%2.%3.%4.%5.%6"/>
        <w:lvlJc w:val="left"/>
        <w:pPr>
          <w:tabs>
            <w:tab w:val="num" w:pos="1151"/>
          </w:tabs>
          <w:ind w:left="1151" w:hanging="1151"/>
        </w:pPr>
        <w:rPr>
          <w:rFonts w:hint="default"/>
        </w:rPr>
      </w:lvl>
    </w:lvlOverride>
    <w:lvlOverride w:ilvl="6">
      <w:startOverride w:val="1"/>
      <w:lvl w:ilvl="6">
        <w:start w:val="1"/>
        <w:numFmt w:val="decimal"/>
        <w:pStyle w:val="Heading7"/>
        <w:lvlText w:val="%1.%2.%3.%4.%5.%6.%7"/>
        <w:lvlJc w:val="left"/>
        <w:pPr>
          <w:tabs>
            <w:tab w:val="num" w:pos="1298"/>
          </w:tabs>
          <w:ind w:left="1298" w:hanging="1298"/>
        </w:pPr>
        <w:rPr>
          <w:rFonts w:hint="default"/>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C5F86"/>
    <w:rsid w:val="000001F2"/>
    <w:rsid w:val="0000335F"/>
    <w:rsid w:val="0001522B"/>
    <w:rsid w:val="00024500"/>
    <w:rsid w:val="000247B2"/>
    <w:rsid w:val="00046145"/>
    <w:rsid w:val="0004625F"/>
    <w:rsid w:val="00053135"/>
    <w:rsid w:val="00055C6D"/>
    <w:rsid w:val="00077358"/>
    <w:rsid w:val="00087155"/>
    <w:rsid w:val="00087477"/>
    <w:rsid w:val="00087DEC"/>
    <w:rsid w:val="00094A44"/>
    <w:rsid w:val="000A4AEB"/>
    <w:rsid w:val="000A5713"/>
    <w:rsid w:val="000A64AE"/>
    <w:rsid w:val="000A7A2A"/>
    <w:rsid w:val="000A7C8D"/>
    <w:rsid w:val="000B02BC"/>
    <w:rsid w:val="000B0589"/>
    <w:rsid w:val="000B538A"/>
    <w:rsid w:val="000C3F13"/>
    <w:rsid w:val="000C5098"/>
    <w:rsid w:val="000C527A"/>
    <w:rsid w:val="000C698E"/>
    <w:rsid w:val="000D0673"/>
    <w:rsid w:val="000D10D9"/>
    <w:rsid w:val="000D2984"/>
    <w:rsid w:val="000E57C1"/>
    <w:rsid w:val="000F16F4"/>
    <w:rsid w:val="000F6EC2"/>
    <w:rsid w:val="001000CB"/>
    <w:rsid w:val="001021CB"/>
    <w:rsid w:val="00104D93"/>
    <w:rsid w:val="001440C3"/>
    <w:rsid w:val="00152C92"/>
    <w:rsid w:val="00154100"/>
    <w:rsid w:val="00161B5C"/>
    <w:rsid w:val="00197B5B"/>
    <w:rsid w:val="001B37BF"/>
    <w:rsid w:val="001C1147"/>
    <w:rsid w:val="001D0496"/>
    <w:rsid w:val="001E2605"/>
    <w:rsid w:val="001F1BF0"/>
    <w:rsid w:val="001F5990"/>
    <w:rsid w:val="00204FB7"/>
    <w:rsid w:val="00207816"/>
    <w:rsid w:val="00212C8F"/>
    <w:rsid w:val="00216BB9"/>
    <w:rsid w:val="00225D66"/>
    <w:rsid w:val="00230074"/>
    <w:rsid w:val="002410FF"/>
    <w:rsid w:val="00242A5E"/>
    <w:rsid w:val="00245877"/>
    <w:rsid w:val="002816E8"/>
    <w:rsid w:val="002819AB"/>
    <w:rsid w:val="002958D9"/>
    <w:rsid w:val="002B44B5"/>
    <w:rsid w:val="002B5A3A"/>
    <w:rsid w:val="002C068A"/>
    <w:rsid w:val="002C2524"/>
    <w:rsid w:val="002D5A7C"/>
    <w:rsid w:val="002E6E3D"/>
    <w:rsid w:val="00303CA5"/>
    <w:rsid w:val="0030500E"/>
    <w:rsid w:val="00307131"/>
    <w:rsid w:val="0031355D"/>
    <w:rsid w:val="00315CCC"/>
    <w:rsid w:val="0031792C"/>
    <w:rsid w:val="003206FD"/>
    <w:rsid w:val="00343727"/>
    <w:rsid w:val="00343A1F"/>
    <w:rsid w:val="00344294"/>
    <w:rsid w:val="00344CD1"/>
    <w:rsid w:val="0034626A"/>
    <w:rsid w:val="00350CE3"/>
    <w:rsid w:val="00355FCC"/>
    <w:rsid w:val="00360664"/>
    <w:rsid w:val="00361890"/>
    <w:rsid w:val="00364E17"/>
    <w:rsid w:val="00366F95"/>
    <w:rsid w:val="003753FE"/>
    <w:rsid w:val="00393503"/>
    <w:rsid w:val="003941CF"/>
    <w:rsid w:val="003B2FE6"/>
    <w:rsid w:val="003B4EE6"/>
    <w:rsid w:val="003C034A"/>
    <w:rsid w:val="003C2257"/>
    <w:rsid w:val="003D1D4A"/>
    <w:rsid w:val="003D3715"/>
    <w:rsid w:val="003E54CC"/>
    <w:rsid w:val="003F3533"/>
    <w:rsid w:val="003F7DFB"/>
    <w:rsid w:val="00400391"/>
    <w:rsid w:val="004029F3"/>
    <w:rsid w:val="0041462A"/>
    <w:rsid w:val="004156F0"/>
    <w:rsid w:val="004260CB"/>
    <w:rsid w:val="00430CD6"/>
    <w:rsid w:val="00434739"/>
    <w:rsid w:val="00436AE4"/>
    <w:rsid w:val="00446B0A"/>
    <w:rsid w:val="004474DE"/>
    <w:rsid w:val="00451EE4"/>
    <w:rsid w:val="004522C1"/>
    <w:rsid w:val="00453E15"/>
    <w:rsid w:val="00467262"/>
    <w:rsid w:val="0047718B"/>
    <w:rsid w:val="004777AD"/>
    <w:rsid w:val="0048041A"/>
    <w:rsid w:val="00483D15"/>
    <w:rsid w:val="0048496A"/>
    <w:rsid w:val="004976CF"/>
    <w:rsid w:val="00497AFD"/>
    <w:rsid w:val="004A2EB8"/>
    <w:rsid w:val="004B60A1"/>
    <w:rsid w:val="004C07CB"/>
    <w:rsid w:val="004C1973"/>
    <w:rsid w:val="004C2495"/>
    <w:rsid w:val="004E04E0"/>
    <w:rsid w:val="004E17CB"/>
    <w:rsid w:val="004E6091"/>
    <w:rsid w:val="004F274A"/>
    <w:rsid w:val="00506851"/>
    <w:rsid w:val="00513994"/>
    <w:rsid w:val="00515F26"/>
    <w:rsid w:val="00516DF4"/>
    <w:rsid w:val="0052347F"/>
    <w:rsid w:val="00523706"/>
    <w:rsid w:val="00530325"/>
    <w:rsid w:val="00541734"/>
    <w:rsid w:val="00542B4C"/>
    <w:rsid w:val="00561593"/>
    <w:rsid w:val="00561E69"/>
    <w:rsid w:val="0056634F"/>
    <w:rsid w:val="0057098A"/>
    <w:rsid w:val="005718AF"/>
    <w:rsid w:val="00571FD4"/>
    <w:rsid w:val="00572879"/>
    <w:rsid w:val="0057471E"/>
    <w:rsid w:val="00576398"/>
    <w:rsid w:val="0057782A"/>
    <w:rsid w:val="00582DB5"/>
    <w:rsid w:val="00591235"/>
    <w:rsid w:val="005A0799"/>
    <w:rsid w:val="005A3A64"/>
    <w:rsid w:val="005B7A1F"/>
    <w:rsid w:val="005C2242"/>
    <w:rsid w:val="005C3C8C"/>
    <w:rsid w:val="005D739E"/>
    <w:rsid w:val="005E34E1"/>
    <w:rsid w:val="005E34FF"/>
    <w:rsid w:val="005E3542"/>
    <w:rsid w:val="005E52F9"/>
    <w:rsid w:val="005F10ED"/>
    <w:rsid w:val="005F1261"/>
    <w:rsid w:val="00602315"/>
    <w:rsid w:val="00605022"/>
    <w:rsid w:val="006052EF"/>
    <w:rsid w:val="006127F0"/>
    <w:rsid w:val="00614A0D"/>
    <w:rsid w:val="00614E46"/>
    <w:rsid w:val="00615462"/>
    <w:rsid w:val="006319E6"/>
    <w:rsid w:val="0063373D"/>
    <w:rsid w:val="006344B7"/>
    <w:rsid w:val="006539F5"/>
    <w:rsid w:val="00653ABE"/>
    <w:rsid w:val="0065719B"/>
    <w:rsid w:val="0066322F"/>
    <w:rsid w:val="00671803"/>
    <w:rsid w:val="00681108"/>
    <w:rsid w:val="00683417"/>
    <w:rsid w:val="006844E3"/>
    <w:rsid w:val="00685A46"/>
    <w:rsid w:val="00692BCE"/>
    <w:rsid w:val="0069559D"/>
    <w:rsid w:val="00696368"/>
    <w:rsid w:val="006A5BB3"/>
    <w:rsid w:val="006A7B8B"/>
    <w:rsid w:val="006C0FD4"/>
    <w:rsid w:val="006C18FD"/>
    <w:rsid w:val="006C4424"/>
    <w:rsid w:val="006C4C25"/>
    <w:rsid w:val="006C69DD"/>
    <w:rsid w:val="006C6D1A"/>
    <w:rsid w:val="006D2457"/>
    <w:rsid w:val="006D2842"/>
    <w:rsid w:val="006D5133"/>
    <w:rsid w:val="006F16D9"/>
    <w:rsid w:val="006F6496"/>
    <w:rsid w:val="00704126"/>
    <w:rsid w:val="00711599"/>
    <w:rsid w:val="0071233F"/>
    <w:rsid w:val="0071604A"/>
    <w:rsid w:val="0074451F"/>
    <w:rsid w:val="00756916"/>
    <w:rsid w:val="00770DCD"/>
    <w:rsid w:val="00772377"/>
    <w:rsid w:val="00785862"/>
    <w:rsid w:val="00794491"/>
    <w:rsid w:val="007A0537"/>
    <w:rsid w:val="007A06BE"/>
    <w:rsid w:val="007A2CE7"/>
    <w:rsid w:val="007B4C9B"/>
    <w:rsid w:val="007C1DBC"/>
    <w:rsid w:val="007D65B4"/>
    <w:rsid w:val="007E3105"/>
    <w:rsid w:val="007F1352"/>
    <w:rsid w:val="007F3F10"/>
    <w:rsid w:val="007F59EB"/>
    <w:rsid w:val="00806F2A"/>
    <w:rsid w:val="00815AFE"/>
    <w:rsid w:val="00823F4B"/>
    <w:rsid w:val="00827937"/>
    <w:rsid w:val="00834368"/>
    <w:rsid w:val="008411A4"/>
    <w:rsid w:val="00842FA8"/>
    <w:rsid w:val="00877EB7"/>
    <w:rsid w:val="0088214F"/>
    <w:rsid w:val="00882B66"/>
    <w:rsid w:val="008A03E3"/>
    <w:rsid w:val="008A35CF"/>
    <w:rsid w:val="008C6FA3"/>
    <w:rsid w:val="008E359C"/>
    <w:rsid w:val="00901334"/>
    <w:rsid w:val="009124CE"/>
    <w:rsid w:val="00912818"/>
    <w:rsid w:val="00912954"/>
    <w:rsid w:val="00921F34"/>
    <w:rsid w:val="0092304C"/>
    <w:rsid w:val="00923F06"/>
    <w:rsid w:val="0092562E"/>
    <w:rsid w:val="00936480"/>
    <w:rsid w:val="009533E2"/>
    <w:rsid w:val="009556DE"/>
    <w:rsid w:val="00960B10"/>
    <w:rsid w:val="009841DA"/>
    <w:rsid w:val="00986627"/>
    <w:rsid w:val="00994A8E"/>
    <w:rsid w:val="009B3075"/>
    <w:rsid w:val="009B72ED"/>
    <w:rsid w:val="009B7BD4"/>
    <w:rsid w:val="009B7F3F"/>
    <w:rsid w:val="009C1BA7"/>
    <w:rsid w:val="009E1447"/>
    <w:rsid w:val="009E179D"/>
    <w:rsid w:val="009E3C69"/>
    <w:rsid w:val="009E4076"/>
    <w:rsid w:val="009E6FB7"/>
    <w:rsid w:val="00A00FCD"/>
    <w:rsid w:val="00A02A9E"/>
    <w:rsid w:val="00A101CD"/>
    <w:rsid w:val="00A23FC7"/>
    <w:rsid w:val="00A418A7"/>
    <w:rsid w:val="00A527CE"/>
    <w:rsid w:val="00A5760C"/>
    <w:rsid w:val="00A60B2A"/>
    <w:rsid w:val="00A60DB3"/>
    <w:rsid w:val="00A614CF"/>
    <w:rsid w:val="00A6315C"/>
    <w:rsid w:val="00A634DA"/>
    <w:rsid w:val="00A84704"/>
    <w:rsid w:val="00AB7059"/>
    <w:rsid w:val="00AD0E39"/>
    <w:rsid w:val="00AD2F56"/>
    <w:rsid w:val="00AE0519"/>
    <w:rsid w:val="00AE2FAA"/>
    <w:rsid w:val="00AF52F1"/>
    <w:rsid w:val="00B049F2"/>
    <w:rsid w:val="00B32324"/>
    <w:rsid w:val="00B33131"/>
    <w:rsid w:val="00B345C9"/>
    <w:rsid w:val="00B51D9F"/>
    <w:rsid w:val="00B56990"/>
    <w:rsid w:val="00B61A59"/>
    <w:rsid w:val="00B70B59"/>
    <w:rsid w:val="00B7142C"/>
    <w:rsid w:val="00B8371E"/>
    <w:rsid w:val="00B946AD"/>
    <w:rsid w:val="00BC0524"/>
    <w:rsid w:val="00BC2702"/>
    <w:rsid w:val="00BD09CD"/>
    <w:rsid w:val="00BD1FC4"/>
    <w:rsid w:val="00BD3F20"/>
    <w:rsid w:val="00BD651D"/>
    <w:rsid w:val="00BE140F"/>
    <w:rsid w:val="00BE6377"/>
    <w:rsid w:val="00BF34D7"/>
    <w:rsid w:val="00C00E8A"/>
    <w:rsid w:val="00C05192"/>
    <w:rsid w:val="00C110AE"/>
    <w:rsid w:val="00C11BD0"/>
    <w:rsid w:val="00C274BD"/>
    <w:rsid w:val="00C33871"/>
    <w:rsid w:val="00C36797"/>
    <w:rsid w:val="00C40EA6"/>
    <w:rsid w:val="00C47A6C"/>
    <w:rsid w:val="00C53ABA"/>
    <w:rsid w:val="00C57B84"/>
    <w:rsid w:val="00C64362"/>
    <w:rsid w:val="00C74873"/>
    <w:rsid w:val="00C81471"/>
    <w:rsid w:val="00C8343C"/>
    <w:rsid w:val="00C83B59"/>
    <w:rsid w:val="00C857CB"/>
    <w:rsid w:val="00C85A55"/>
    <w:rsid w:val="00C8740F"/>
    <w:rsid w:val="00C915A8"/>
    <w:rsid w:val="00CA3EDD"/>
    <w:rsid w:val="00CB110A"/>
    <w:rsid w:val="00CB336D"/>
    <w:rsid w:val="00CC50AC"/>
    <w:rsid w:val="00CE21C0"/>
    <w:rsid w:val="00CE4859"/>
    <w:rsid w:val="00CF2995"/>
    <w:rsid w:val="00D02B48"/>
    <w:rsid w:val="00D1120A"/>
    <w:rsid w:val="00D125BE"/>
    <w:rsid w:val="00D1410D"/>
    <w:rsid w:val="00D354A3"/>
    <w:rsid w:val="00D423EB"/>
    <w:rsid w:val="00D555DA"/>
    <w:rsid w:val="00D653DC"/>
    <w:rsid w:val="00D66376"/>
    <w:rsid w:val="00D9515E"/>
    <w:rsid w:val="00DB1128"/>
    <w:rsid w:val="00DB674C"/>
    <w:rsid w:val="00DB7937"/>
    <w:rsid w:val="00DD0F21"/>
    <w:rsid w:val="00DE265F"/>
    <w:rsid w:val="00DF4CF0"/>
    <w:rsid w:val="00E04238"/>
    <w:rsid w:val="00E11244"/>
    <w:rsid w:val="00E15353"/>
    <w:rsid w:val="00E16CAE"/>
    <w:rsid w:val="00E32341"/>
    <w:rsid w:val="00E45340"/>
    <w:rsid w:val="00E515DB"/>
    <w:rsid w:val="00E54F7C"/>
    <w:rsid w:val="00E56E9D"/>
    <w:rsid w:val="00E674DD"/>
    <w:rsid w:val="00E67B22"/>
    <w:rsid w:val="00E74076"/>
    <w:rsid w:val="00E772E1"/>
    <w:rsid w:val="00E777C6"/>
    <w:rsid w:val="00E81323"/>
    <w:rsid w:val="00E85E3D"/>
    <w:rsid w:val="00E974ED"/>
    <w:rsid w:val="00EA13E1"/>
    <w:rsid w:val="00EA406E"/>
    <w:rsid w:val="00EA43AC"/>
    <w:rsid w:val="00EA52D3"/>
    <w:rsid w:val="00EA73CE"/>
    <w:rsid w:val="00EB2329"/>
    <w:rsid w:val="00EC5F86"/>
    <w:rsid w:val="00ED043A"/>
    <w:rsid w:val="00ED3727"/>
    <w:rsid w:val="00ED3DDF"/>
    <w:rsid w:val="00ED3FF4"/>
    <w:rsid w:val="00ED50F4"/>
    <w:rsid w:val="00EE1C1A"/>
    <w:rsid w:val="00EE2613"/>
    <w:rsid w:val="00EE550A"/>
    <w:rsid w:val="00EF1E98"/>
    <w:rsid w:val="00EF5820"/>
    <w:rsid w:val="00F1025A"/>
    <w:rsid w:val="00F14F02"/>
    <w:rsid w:val="00F2297F"/>
    <w:rsid w:val="00F275B0"/>
    <w:rsid w:val="00F35EDC"/>
    <w:rsid w:val="00F53FA2"/>
    <w:rsid w:val="00F62916"/>
    <w:rsid w:val="00F63D9A"/>
    <w:rsid w:val="00F659A3"/>
    <w:rsid w:val="00F7417F"/>
    <w:rsid w:val="00F91EC5"/>
    <w:rsid w:val="00FA02D2"/>
    <w:rsid w:val="00FB743C"/>
    <w:rsid w:val="00FC0B12"/>
    <w:rsid w:val="00FC2027"/>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F6A5C"/>
  <w15:docId w15:val="{D8A3A0B5-120B-48FE-8A89-89FFD117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EC5F86"/>
    <w:rPr>
      <w:rFonts w:ascii="Verdana" w:hAnsi="Verdana"/>
      <w:sz w:val="16"/>
    </w:rPr>
  </w:style>
  <w:style w:type="numbering" w:customStyle="1" w:styleId="StylesList1">
    <w:name w:val="StylesList1"/>
    <w:uiPriority w:val="99"/>
    <w:rsid w:val="00EC5F86"/>
  </w:style>
  <w:style w:type="character" w:styleId="FootnoteReference">
    <w:name w:val="footnote reference"/>
    <w:basedOn w:val="DefaultParagraphFont"/>
    <w:unhideWhenUsed/>
    <w:rsid w:val="00EC5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477E38-9E07-499B-B387-87156F81403C}"/>
</file>

<file path=customXml/itemProps3.xml><?xml version="1.0" encoding="utf-8"?>
<ds:datastoreItem xmlns:ds="http://schemas.openxmlformats.org/officeDocument/2006/customXml" ds:itemID="{D719C999-BADF-477F-846B-1044646F0050}"/>
</file>

<file path=customXml/itemProps4.xml><?xml version="1.0" encoding="utf-8"?>
<ds:datastoreItem xmlns:ds="http://schemas.openxmlformats.org/officeDocument/2006/customXml" ds:itemID="{58A39C8E-9D9E-4543-9B07-8527D750FC8F}"/>
</file>

<file path=docProps/app.xml><?xml version="1.0" encoding="utf-8"?>
<Properties xmlns="http://schemas.openxmlformats.org/officeDocument/2006/extended-properties" xmlns:vt="http://schemas.openxmlformats.org/officeDocument/2006/docPropsVTypes">
  <Template>Decisions</Template>
  <TotalTime>1</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Baylis, Caroline</cp:lastModifiedBy>
  <cp:revision>2</cp:revision>
  <cp:lastPrinted>2013-05-29T14:27:00Z</cp:lastPrinted>
  <dcterms:created xsi:type="dcterms:W3CDTF">2022-10-11T09:14:00Z</dcterms:created>
  <dcterms:modified xsi:type="dcterms:W3CDTF">2022-10-11T09:14:00Z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