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0296" w14:textId="77777777" w:rsidR="000B0589" w:rsidRDefault="000B0589" w:rsidP="00BC2702">
      <w:pPr>
        <w:pStyle w:val="Conditions1"/>
        <w:numPr>
          <w:ilvl w:val="0"/>
          <w:numId w:val="0"/>
        </w:numPr>
      </w:pPr>
      <w:r>
        <w:rPr>
          <w:noProof/>
        </w:rPr>
        <w:drawing>
          <wp:inline distT="0" distB="0" distL="0" distR="0" wp14:anchorId="351E1F79" wp14:editId="2EE2AA9B">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DC5331F" w14:textId="77777777" w:rsidR="000B0589" w:rsidRDefault="000B0589" w:rsidP="00A5760C"/>
    <w:p w14:paraId="01470535"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A32929A" w14:textId="77777777" w:rsidTr="00BF5D5C">
        <w:trPr>
          <w:cantSplit/>
          <w:trHeight w:val="23"/>
        </w:trPr>
        <w:tc>
          <w:tcPr>
            <w:tcW w:w="9356" w:type="dxa"/>
            <w:shd w:val="clear" w:color="auto" w:fill="auto"/>
          </w:tcPr>
          <w:p w14:paraId="1C9F66AC" w14:textId="4D060B0A" w:rsidR="000B0589" w:rsidRPr="00BF5D5C" w:rsidRDefault="00BF5D5C"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133E3A5" w14:textId="77777777" w:rsidTr="00BF5D5C">
        <w:trPr>
          <w:cantSplit/>
          <w:trHeight w:val="23"/>
        </w:trPr>
        <w:tc>
          <w:tcPr>
            <w:tcW w:w="9356" w:type="dxa"/>
            <w:shd w:val="clear" w:color="auto" w:fill="auto"/>
            <w:vAlign w:val="center"/>
          </w:tcPr>
          <w:p w14:paraId="712EF32C" w14:textId="2AB91486" w:rsidR="000B0589" w:rsidRPr="00BF5D5C" w:rsidRDefault="00BF5D5C" w:rsidP="00BF5D5C">
            <w:pPr>
              <w:spacing w:before="60"/>
              <w:ind w:left="-108" w:right="34"/>
              <w:rPr>
                <w:color w:val="000000"/>
                <w:szCs w:val="22"/>
              </w:rPr>
            </w:pPr>
            <w:r>
              <w:rPr>
                <w:color w:val="000000"/>
                <w:szCs w:val="22"/>
              </w:rPr>
              <w:t>Site visit made on 22 August 2022</w:t>
            </w:r>
          </w:p>
        </w:tc>
      </w:tr>
      <w:tr w:rsidR="000B0589" w:rsidRPr="00361890" w14:paraId="598725DC" w14:textId="77777777" w:rsidTr="00BF5D5C">
        <w:trPr>
          <w:cantSplit/>
          <w:trHeight w:val="23"/>
        </w:trPr>
        <w:tc>
          <w:tcPr>
            <w:tcW w:w="9356" w:type="dxa"/>
            <w:shd w:val="clear" w:color="auto" w:fill="auto"/>
          </w:tcPr>
          <w:p w14:paraId="2EB10E87" w14:textId="1955324C" w:rsidR="000B0589" w:rsidRPr="00BF5D5C" w:rsidRDefault="00BF5D5C" w:rsidP="00BF5D5C">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77CE5BA4" w14:textId="77777777" w:rsidTr="00BF5D5C">
        <w:trPr>
          <w:cantSplit/>
          <w:trHeight w:val="23"/>
        </w:trPr>
        <w:tc>
          <w:tcPr>
            <w:tcW w:w="9356" w:type="dxa"/>
            <w:shd w:val="clear" w:color="auto" w:fill="auto"/>
          </w:tcPr>
          <w:p w14:paraId="30C45A71" w14:textId="3F516F35" w:rsidR="000B0589" w:rsidRPr="00BF5D5C" w:rsidRDefault="00BF5D5C"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5B16E18E" w14:textId="77777777" w:rsidTr="00BF5D5C">
        <w:trPr>
          <w:cantSplit/>
          <w:trHeight w:val="23"/>
        </w:trPr>
        <w:tc>
          <w:tcPr>
            <w:tcW w:w="9356" w:type="dxa"/>
            <w:shd w:val="clear" w:color="auto" w:fill="auto"/>
          </w:tcPr>
          <w:p w14:paraId="429EA46E" w14:textId="37D77F12"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5E097D">
              <w:rPr>
                <w:b/>
                <w:color w:val="000000"/>
                <w:sz w:val="16"/>
                <w:szCs w:val="16"/>
              </w:rPr>
              <w:t xml:space="preserve"> 23 September 2022</w:t>
            </w:r>
          </w:p>
        </w:tc>
      </w:tr>
    </w:tbl>
    <w:p w14:paraId="1F6D2AA1" w14:textId="77777777" w:rsidR="00BF5D5C" w:rsidRDefault="00BF5D5C" w:rsidP="000B0589"/>
    <w:tbl>
      <w:tblPr>
        <w:tblW w:w="0" w:type="auto"/>
        <w:tblLayout w:type="fixed"/>
        <w:tblLook w:val="0000" w:firstRow="0" w:lastRow="0" w:firstColumn="0" w:lastColumn="0" w:noHBand="0" w:noVBand="0"/>
      </w:tblPr>
      <w:tblGrid>
        <w:gridCol w:w="9520"/>
      </w:tblGrid>
      <w:tr w:rsidR="00BF5D5C" w14:paraId="01157133" w14:textId="77777777" w:rsidTr="00BF5D5C">
        <w:tc>
          <w:tcPr>
            <w:tcW w:w="9520" w:type="dxa"/>
            <w:shd w:val="clear" w:color="auto" w:fill="auto"/>
          </w:tcPr>
          <w:p w14:paraId="0D7949EB" w14:textId="7CC0EB65" w:rsidR="00BF5D5C" w:rsidRPr="00BF5D5C" w:rsidRDefault="00BF5D5C" w:rsidP="00BF5D5C">
            <w:pPr>
              <w:spacing w:after="60"/>
              <w:rPr>
                <w:b/>
                <w:color w:val="000000"/>
              </w:rPr>
            </w:pPr>
            <w:r>
              <w:rPr>
                <w:b/>
                <w:color w:val="000000"/>
              </w:rPr>
              <w:t>Order Ref: ROW/3255940</w:t>
            </w:r>
          </w:p>
        </w:tc>
      </w:tr>
      <w:tr w:rsidR="00BF5D5C" w14:paraId="7599071B" w14:textId="77777777" w:rsidTr="00BF5D5C">
        <w:tc>
          <w:tcPr>
            <w:tcW w:w="9520" w:type="dxa"/>
            <w:shd w:val="clear" w:color="auto" w:fill="auto"/>
          </w:tcPr>
          <w:p w14:paraId="75C73068" w14:textId="7E7E4A0C" w:rsidR="00BF5D5C" w:rsidRDefault="00BF5D5C" w:rsidP="00BF5D5C">
            <w:pPr>
              <w:pStyle w:val="TBullet"/>
            </w:pPr>
            <w:r>
              <w:t>This Order is made under Section 53 (2) (b) of the Wildlife and Countryside Act 1981 (the 1981 Act) and is known as the Mixbury Footpath Nos. 30, 31 and 32 Modification Order.</w:t>
            </w:r>
          </w:p>
        </w:tc>
      </w:tr>
      <w:tr w:rsidR="00BF5D5C" w14:paraId="69763E69" w14:textId="77777777" w:rsidTr="00BF5D5C">
        <w:tc>
          <w:tcPr>
            <w:tcW w:w="9520" w:type="dxa"/>
            <w:shd w:val="clear" w:color="auto" w:fill="auto"/>
          </w:tcPr>
          <w:p w14:paraId="7B93A036" w14:textId="3A3745B1" w:rsidR="00BF5D5C" w:rsidRDefault="00BF5D5C" w:rsidP="00BF5D5C">
            <w:pPr>
              <w:pStyle w:val="TBullet"/>
            </w:pPr>
            <w:r>
              <w:t>The Order is dated 27 March 2019 and proposes to modify the Definitive Map and Statement for the area by adding the footpaths shown in the Order plan and described in the Order Schedule.</w:t>
            </w:r>
          </w:p>
        </w:tc>
      </w:tr>
      <w:tr w:rsidR="00BF5D5C" w14:paraId="28297790" w14:textId="77777777" w:rsidTr="00BF5D5C">
        <w:tc>
          <w:tcPr>
            <w:tcW w:w="9520" w:type="dxa"/>
            <w:shd w:val="clear" w:color="auto" w:fill="auto"/>
          </w:tcPr>
          <w:p w14:paraId="2BB05E96" w14:textId="4993A889" w:rsidR="00BF5D5C" w:rsidRDefault="00BF5D5C" w:rsidP="00BF5D5C">
            <w:pPr>
              <w:pStyle w:val="TBullet"/>
            </w:pPr>
            <w:r>
              <w:t>There were three objections outstanding when Oxfordshire County Council submitted the Order to the Secretary of State for Environment, Food and Rural Affairs for confirmation.</w:t>
            </w:r>
          </w:p>
        </w:tc>
      </w:tr>
      <w:tr w:rsidR="00BF5D5C" w14:paraId="124A4084" w14:textId="77777777" w:rsidTr="00BF5D5C">
        <w:tc>
          <w:tcPr>
            <w:tcW w:w="9520" w:type="dxa"/>
            <w:shd w:val="clear" w:color="auto" w:fill="auto"/>
          </w:tcPr>
          <w:p w14:paraId="5C966FC2" w14:textId="170DCC2E" w:rsidR="00BF5D5C" w:rsidRPr="00BF5D5C" w:rsidRDefault="00BF5D5C" w:rsidP="00BF5D5C">
            <w:pPr>
              <w:spacing w:before="60"/>
              <w:rPr>
                <w:b/>
                <w:color w:val="000000"/>
              </w:rPr>
            </w:pPr>
            <w:r>
              <w:rPr>
                <w:b/>
                <w:color w:val="000000"/>
              </w:rPr>
              <w:t>Summary of Decision:</w:t>
            </w:r>
            <w:r w:rsidR="008D023A">
              <w:t xml:space="preserve"> </w:t>
            </w:r>
            <w:r w:rsidR="008D023A" w:rsidRPr="008D023A">
              <w:rPr>
                <w:b/>
                <w:color w:val="000000"/>
              </w:rPr>
              <w:t>The Order is confirmed</w:t>
            </w:r>
            <w:r w:rsidR="008D023A">
              <w:rPr>
                <w:b/>
                <w:color w:val="000000"/>
              </w:rPr>
              <w:t>.</w:t>
            </w:r>
          </w:p>
        </w:tc>
      </w:tr>
      <w:tr w:rsidR="00BF5D5C" w14:paraId="03190CBC" w14:textId="77777777" w:rsidTr="00BF5D5C">
        <w:tc>
          <w:tcPr>
            <w:tcW w:w="9520" w:type="dxa"/>
            <w:tcBorders>
              <w:bottom w:val="single" w:sz="6" w:space="0" w:color="000000"/>
            </w:tcBorders>
            <w:shd w:val="clear" w:color="auto" w:fill="auto"/>
          </w:tcPr>
          <w:p w14:paraId="639FC36D" w14:textId="77777777" w:rsidR="00BF5D5C" w:rsidRPr="00BF5D5C" w:rsidRDefault="00BF5D5C" w:rsidP="00BF5D5C">
            <w:pPr>
              <w:spacing w:before="60"/>
              <w:rPr>
                <w:b/>
                <w:color w:val="000000"/>
                <w:sz w:val="2"/>
              </w:rPr>
            </w:pPr>
            <w:bookmarkStart w:id="1" w:name="bmkReturn"/>
            <w:bookmarkEnd w:id="1"/>
          </w:p>
        </w:tc>
      </w:tr>
    </w:tbl>
    <w:p w14:paraId="082E8739" w14:textId="77777777" w:rsidR="00BF5D5C" w:rsidRDefault="00BF5D5C" w:rsidP="00BF5D5C">
      <w:pPr>
        <w:pStyle w:val="Heading6blackfont"/>
      </w:pPr>
      <w:r>
        <w:t>Procedural Matters</w:t>
      </w:r>
    </w:p>
    <w:p w14:paraId="3F169E74" w14:textId="37BA83F6" w:rsidR="00BF5D5C" w:rsidRDefault="009D48D5" w:rsidP="00BF5D5C">
      <w:pPr>
        <w:pStyle w:val="Style1"/>
        <w:numPr>
          <w:ilvl w:val="0"/>
          <w:numId w:val="25"/>
        </w:numPr>
        <w:tabs>
          <w:tab w:val="clear" w:pos="720"/>
        </w:tabs>
      </w:pPr>
      <w:r>
        <w:t>A</w:t>
      </w:r>
      <w:r w:rsidR="00BF5D5C">
        <w:t>pplication</w:t>
      </w:r>
      <w:r>
        <w:t>s</w:t>
      </w:r>
      <w:r w:rsidR="00BF5D5C">
        <w:t xml:space="preserve"> to add</w:t>
      </w:r>
      <w:r>
        <w:t xml:space="preserve"> two routes </w:t>
      </w:r>
      <w:r w:rsidR="00BF5D5C">
        <w:t>to the Definitive Map and Statement (DMS) for the area w</w:t>
      </w:r>
      <w:r w:rsidR="002C30EF">
        <w:t>ere</w:t>
      </w:r>
      <w:r w:rsidR="00BF5D5C">
        <w:t xml:space="preserve"> made by</w:t>
      </w:r>
      <w:r w:rsidR="009635FF">
        <w:t xml:space="preserve"> Westbury Parish Council (WPC) in December 2010.  </w:t>
      </w:r>
    </w:p>
    <w:p w14:paraId="61C98BB9" w14:textId="45B81011" w:rsidR="00BF5D5C" w:rsidRDefault="00BF5D5C" w:rsidP="00BF5D5C">
      <w:pPr>
        <w:pStyle w:val="Style1"/>
        <w:numPr>
          <w:ilvl w:val="0"/>
          <w:numId w:val="25"/>
        </w:numPr>
      </w:pPr>
      <w:r>
        <w:t xml:space="preserve">As objections to the Order were received, it was submitted to the Secretary of State for Environment, Food and Rural Affairs for confirmation.   </w:t>
      </w:r>
    </w:p>
    <w:p w14:paraId="65559E0F" w14:textId="434E4033" w:rsidR="009D48D5" w:rsidRDefault="009D48D5" w:rsidP="009D48D5">
      <w:pPr>
        <w:pStyle w:val="Style1"/>
        <w:numPr>
          <w:ilvl w:val="0"/>
          <w:numId w:val="25"/>
        </w:numPr>
        <w:tabs>
          <w:tab w:val="clear" w:pos="720"/>
        </w:tabs>
      </w:pPr>
      <w:r>
        <w:t>Oxfordshire County Council (the Order Making Authority (“</w:t>
      </w:r>
      <w:r w:rsidRPr="009D48D5">
        <w:t>OMA</w:t>
      </w:r>
      <w:r>
        <w:t>”))</w:t>
      </w:r>
      <w:r w:rsidRPr="009D48D5">
        <w:t xml:space="preserve"> supports the confirmation of the </w:t>
      </w:r>
      <w:r w:rsidR="00224D26">
        <w:t>O</w:t>
      </w:r>
      <w:r w:rsidRPr="009D48D5">
        <w:t>rder on the basis that the evidence of use meets the criteria for statutory presumption of dedication under Section 31 of the Highways Act 1980 (the 1980 Act).</w:t>
      </w:r>
    </w:p>
    <w:p w14:paraId="69D34FE4" w14:textId="44C55E95" w:rsidR="00095BB4" w:rsidRDefault="009D48D5" w:rsidP="00EA33E1">
      <w:pPr>
        <w:pStyle w:val="Style1"/>
        <w:numPr>
          <w:ilvl w:val="0"/>
          <w:numId w:val="25"/>
        </w:numPr>
        <w:tabs>
          <w:tab w:val="clear" w:pos="720"/>
        </w:tabs>
      </w:pPr>
      <w:r w:rsidRPr="009635FF">
        <w:t>The</w:t>
      </w:r>
      <w:r>
        <w:t xml:space="preserve"> first </w:t>
      </w:r>
      <w:r w:rsidRPr="009635FF">
        <w:t>route</w:t>
      </w:r>
      <w:r>
        <w:t xml:space="preserve"> </w:t>
      </w:r>
      <w:r w:rsidR="00C04AD2">
        <w:t>(Footpaths 3</w:t>
      </w:r>
      <w:r w:rsidR="00C85A43">
        <w:t>1</w:t>
      </w:r>
      <w:r w:rsidR="00C04AD2">
        <w:t xml:space="preserve"> &amp; 36) </w:t>
      </w:r>
      <w:r>
        <w:t>is</w:t>
      </w:r>
      <w:r w:rsidR="00C04AD2">
        <w:t xml:space="preserve"> shown</w:t>
      </w:r>
      <w:r>
        <w:t xml:space="preserve"> between</w:t>
      </w:r>
      <w:r w:rsidRPr="009D48D5">
        <w:t xml:space="preserve"> points T–U–V</w:t>
      </w:r>
      <w:r>
        <w:t>–</w:t>
      </w:r>
      <w:r w:rsidRPr="009D48D5">
        <w:t>W</w:t>
      </w:r>
      <w:r>
        <w:t xml:space="preserve"> on the Order </w:t>
      </w:r>
      <w:r w:rsidR="00C04AD2">
        <w:t>P</w:t>
      </w:r>
      <w:r>
        <w:t>lan (see Appendix 1)</w:t>
      </w:r>
      <w:r w:rsidR="00C04AD2">
        <w:t xml:space="preserve"> and continues </w:t>
      </w:r>
      <w:r w:rsidRPr="009635FF">
        <w:t>into Westbury</w:t>
      </w:r>
      <w:r w:rsidR="00C04AD2">
        <w:t xml:space="preserve"> in</w:t>
      </w:r>
      <w:r w:rsidRPr="009635FF">
        <w:t xml:space="preserve"> Buckinghamshire</w:t>
      </w:r>
      <w:r w:rsidR="00C04AD2">
        <w:rPr>
          <w:rStyle w:val="FootnoteReference"/>
        </w:rPr>
        <w:footnoteReference w:id="1"/>
      </w:r>
      <w:r w:rsidR="00C04AD2">
        <w:t>.  The second route (</w:t>
      </w:r>
      <w:bookmarkStart w:id="2" w:name="_Hlk112400347"/>
      <w:r w:rsidR="00C04AD2">
        <w:t>Footpath</w:t>
      </w:r>
      <w:r w:rsidR="00D847C6">
        <w:t>s</w:t>
      </w:r>
      <w:r w:rsidR="00C04AD2">
        <w:t xml:space="preserve"> 32</w:t>
      </w:r>
      <w:bookmarkEnd w:id="2"/>
      <w:r w:rsidR="00D847C6">
        <w:t xml:space="preserve"> &amp; 36)</w:t>
      </w:r>
      <w:r w:rsidR="00C04AD2">
        <w:t>) is shown between point</w:t>
      </w:r>
      <w:r w:rsidR="00585168">
        <w:t>s</w:t>
      </w:r>
      <w:r w:rsidR="00C04AD2">
        <w:t xml:space="preserve"> </w:t>
      </w:r>
      <w:r w:rsidR="00585168">
        <w:t>T-</w:t>
      </w:r>
      <w:r w:rsidRPr="009D48D5">
        <w:t>U- Y</w:t>
      </w:r>
      <w:r w:rsidR="00C04AD2">
        <w:t xml:space="preserve"> o</w:t>
      </w:r>
      <w:r w:rsidRPr="009D48D5">
        <w:t xml:space="preserve">n the </w:t>
      </w:r>
      <w:r w:rsidR="00C04AD2">
        <w:t>O</w:t>
      </w:r>
      <w:r w:rsidRPr="009D48D5">
        <w:t xml:space="preserve">rder </w:t>
      </w:r>
      <w:r w:rsidR="00C04AD2">
        <w:t>P</w:t>
      </w:r>
      <w:r w:rsidRPr="009D48D5">
        <w:t>lan</w:t>
      </w:r>
      <w:r w:rsidR="00C04AD2">
        <w:t>.</w:t>
      </w:r>
      <w:r w:rsidR="006D1907">
        <w:t xml:space="preserve">  The </w:t>
      </w:r>
      <w:r w:rsidR="0046172B">
        <w:t xml:space="preserve">land </w:t>
      </w:r>
      <w:r w:rsidR="00E865CF">
        <w:t xml:space="preserve">north of the river </w:t>
      </w:r>
      <w:r w:rsidR="0046172B">
        <w:t xml:space="preserve">is owned by </w:t>
      </w:r>
      <w:r w:rsidR="006D1907">
        <w:t>Beachborough School</w:t>
      </w:r>
      <w:r w:rsidR="0046172B">
        <w:t>.  The</w:t>
      </w:r>
      <w:r w:rsidR="00C71072">
        <w:t xml:space="preserve"> land</w:t>
      </w:r>
      <w:r w:rsidR="00216321">
        <w:t xml:space="preserve"> to the</w:t>
      </w:r>
      <w:r w:rsidR="00C71072">
        <w:t xml:space="preserve"> </w:t>
      </w:r>
      <w:r w:rsidR="00E865CF">
        <w:t xml:space="preserve">south of the river </w:t>
      </w:r>
      <w:r w:rsidR="00C71072">
        <w:t xml:space="preserve">is owned by </w:t>
      </w:r>
      <w:r w:rsidR="008B2B8D">
        <w:t>Mr David Owen.</w:t>
      </w:r>
      <w:r w:rsidR="0046542A">
        <w:t xml:space="preserve">  </w:t>
      </w:r>
      <w:r w:rsidR="008B2B8D">
        <w:t xml:space="preserve"> </w:t>
      </w:r>
    </w:p>
    <w:p w14:paraId="41DD89F6" w14:textId="213C1628" w:rsidR="009635FF" w:rsidRDefault="009635FF" w:rsidP="00BF5D5C">
      <w:pPr>
        <w:pStyle w:val="Style1"/>
        <w:numPr>
          <w:ilvl w:val="0"/>
          <w:numId w:val="25"/>
        </w:numPr>
      </w:pPr>
      <w:r>
        <w:t>It was originally intended to hold a Public Inquiry on 24 August 2022.  However, the objectors who originally requested to be heard indicated that they would not be attending.  I therefore cancel</w:t>
      </w:r>
      <w:r w:rsidR="00AD581B">
        <w:t>led</w:t>
      </w:r>
      <w:r>
        <w:t xml:space="preserve"> the Inquiry and</w:t>
      </w:r>
      <w:r w:rsidR="00411A9E">
        <w:t xml:space="preserve"> have</w:t>
      </w:r>
      <w:r>
        <w:t xml:space="preserve"> </w:t>
      </w:r>
      <w:r w:rsidR="00216321">
        <w:t xml:space="preserve">made </w:t>
      </w:r>
      <w:r w:rsidR="00411A9E">
        <w:t>my</w:t>
      </w:r>
      <w:r w:rsidR="00AD581B">
        <w:t xml:space="preserve"> decision on the written submissions. </w:t>
      </w:r>
      <w:r>
        <w:t xml:space="preserve">  </w:t>
      </w:r>
    </w:p>
    <w:p w14:paraId="3BD94DEB" w14:textId="60B76A8E" w:rsidR="00760E1D" w:rsidRPr="00216321" w:rsidRDefault="00BF5D5C" w:rsidP="00216321">
      <w:pPr>
        <w:pStyle w:val="Style1"/>
        <w:numPr>
          <w:ilvl w:val="0"/>
          <w:numId w:val="25"/>
        </w:numPr>
      </w:pPr>
      <w:r>
        <w:t>I carried out a</w:t>
      </w:r>
      <w:r w:rsidR="009635FF">
        <w:t xml:space="preserve">n </w:t>
      </w:r>
      <w:r>
        <w:t xml:space="preserve">unaccompanied site visit on </w:t>
      </w:r>
      <w:r w:rsidR="009635FF">
        <w:t xml:space="preserve">22 August 2022. </w:t>
      </w:r>
      <w:r>
        <w:t xml:space="preserve"> </w:t>
      </w:r>
    </w:p>
    <w:p w14:paraId="1829C223" w14:textId="6DDC69F2" w:rsidR="00BF5D5C" w:rsidRDefault="00BF5D5C" w:rsidP="00C04AD2">
      <w:pPr>
        <w:pStyle w:val="Style1"/>
        <w:numPr>
          <w:ilvl w:val="0"/>
          <w:numId w:val="0"/>
        </w:numPr>
        <w:rPr>
          <w:b/>
          <w:bCs/>
        </w:rPr>
      </w:pPr>
      <w:r w:rsidRPr="00C04AD2">
        <w:rPr>
          <w:b/>
          <w:bCs/>
        </w:rPr>
        <w:t>The Main Issues</w:t>
      </w:r>
    </w:p>
    <w:p w14:paraId="47FF6228" w14:textId="2470CD8B" w:rsidR="00C04AD2" w:rsidRDefault="00C04AD2" w:rsidP="00C04AD2">
      <w:pPr>
        <w:pStyle w:val="Style1"/>
      </w:pPr>
      <w:r>
        <w:t xml:space="preserve">The Order is made under Section 53(2)(b) of the 1981 Act, relying on the occurrence of an event specified in Section 53(3)(c)(i) of the </w:t>
      </w:r>
      <w:r w:rsidR="00224D26">
        <w:t>same</w:t>
      </w:r>
      <w:r>
        <w:t xml:space="preserve">.  This </w:t>
      </w:r>
      <w:r>
        <w:lastRenderedPageBreak/>
        <w:t>section requires me to consider whether the evidence discovered by the OMA, when considered with all other relevant evidence, is sufficient to show, on the balance of probabilities, that the right of way</w:t>
      </w:r>
      <w:r w:rsidR="00295CB3">
        <w:t>s</w:t>
      </w:r>
      <w:r>
        <w:t xml:space="preserve"> described in the Order subsists and that the</w:t>
      </w:r>
      <w:r w:rsidR="00224D26">
        <w:t xml:space="preserve"> DMS </w:t>
      </w:r>
      <w:r>
        <w:t>therefore requires modification.</w:t>
      </w:r>
    </w:p>
    <w:p w14:paraId="39250814" w14:textId="168D7F19" w:rsidR="00AC70BA" w:rsidRDefault="00C04AD2" w:rsidP="00C04AD2">
      <w:pPr>
        <w:pStyle w:val="Style1"/>
      </w:pPr>
      <w:r>
        <w:t>The Council rely on statutory dedication of the Order route</w:t>
      </w:r>
      <w:r w:rsidR="00B87FA3">
        <w:t>s</w:t>
      </w:r>
      <w:r>
        <w:t xml:space="preserve"> under Section 31 of the 1980 Act.  This provides that where a way, other than a way of such a character that use of it could not give rise at common law to any presumption of dedication, has been actually enjoyed by the public, as of right and without interruption, for a period of twenty years, the way is deemed to have been dedicated as a highway unless there is sufficient evidence that the landowner demonstrated a lack of any intention during this period to dedicate the route.  </w:t>
      </w:r>
    </w:p>
    <w:p w14:paraId="2B657093" w14:textId="73837A04" w:rsidR="00C04AD2" w:rsidRDefault="00B87FA3" w:rsidP="00C04AD2">
      <w:pPr>
        <w:pStyle w:val="Style1"/>
      </w:pPr>
      <w:r>
        <w:t>‘</w:t>
      </w:r>
      <w:r w:rsidR="00C04AD2">
        <w:t>As of right</w:t>
      </w:r>
      <w:r>
        <w:t>’</w:t>
      </w:r>
      <w:r w:rsidR="00C04AD2">
        <w:t xml:space="preserve"> is set out in </w:t>
      </w:r>
      <w:r w:rsidR="00C04AD2" w:rsidRPr="00411A9E">
        <w:rPr>
          <w:i/>
          <w:iCs/>
        </w:rPr>
        <w:t xml:space="preserve">R v Oxfordshire County Council, ex </w:t>
      </w:r>
      <w:proofErr w:type="spellStart"/>
      <w:r w:rsidR="00C04AD2" w:rsidRPr="00411A9E">
        <w:rPr>
          <w:i/>
          <w:iCs/>
        </w:rPr>
        <w:t>parte</w:t>
      </w:r>
      <w:proofErr w:type="spellEnd"/>
      <w:r w:rsidR="00C04AD2" w:rsidRPr="00411A9E">
        <w:rPr>
          <w:i/>
          <w:iCs/>
        </w:rPr>
        <w:t xml:space="preserve"> Sunningwell Parish Council </w:t>
      </w:r>
      <w:r w:rsidR="00C04AD2">
        <w:t xml:space="preserve">(1999) as being without force, </w:t>
      </w:r>
      <w:proofErr w:type="gramStart"/>
      <w:r w:rsidR="00C04AD2">
        <w:t>secrecy</w:t>
      </w:r>
      <w:proofErr w:type="gramEnd"/>
      <w:r w:rsidR="00C04AD2">
        <w:t xml:space="preserve"> or permission.  The 20-year period applies retrospectively from the date on which the right of the public to use the way was brought into question. </w:t>
      </w:r>
    </w:p>
    <w:p w14:paraId="5983B93B" w14:textId="360318BE" w:rsidR="00967FD2" w:rsidRDefault="00967FD2" w:rsidP="00B37ABC">
      <w:pPr>
        <w:pStyle w:val="Style1"/>
      </w:pPr>
      <w:r>
        <w:t xml:space="preserve">The case for confirmation </w:t>
      </w:r>
      <w:r w:rsidR="008D6E7A">
        <w:t xml:space="preserve">of the Order relies </w:t>
      </w:r>
      <w:r w:rsidR="005F5C37">
        <w:t xml:space="preserve">mainly upon user </w:t>
      </w:r>
      <w:r w:rsidR="008D6E7A">
        <w:t>evidence</w:t>
      </w:r>
      <w:r w:rsidR="0019241D">
        <w:t xml:space="preserve">.  </w:t>
      </w:r>
      <w:r w:rsidR="00B6246D">
        <w:t xml:space="preserve">As there is considerable </w:t>
      </w:r>
      <w:r w:rsidR="00D60729">
        <w:t xml:space="preserve">conflict </w:t>
      </w:r>
      <w:r w:rsidR="00B6246D">
        <w:t xml:space="preserve">between this and </w:t>
      </w:r>
      <w:r w:rsidR="00D60729">
        <w:t>the landowners’ evidence</w:t>
      </w:r>
      <w:r w:rsidR="00B6246D">
        <w:t xml:space="preserve">, </w:t>
      </w:r>
      <w:r w:rsidR="003E4B6A" w:rsidRPr="00B37ABC">
        <w:rPr>
          <w:color w:val="auto"/>
          <w:kern w:val="0"/>
        </w:rPr>
        <w:t xml:space="preserve">I intend to base my findings on inferences </w:t>
      </w:r>
      <w:r w:rsidR="00D60729">
        <w:rPr>
          <w:color w:val="auto"/>
          <w:kern w:val="0"/>
        </w:rPr>
        <w:t xml:space="preserve">that can be </w:t>
      </w:r>
      <w:r w:rsidR="003E4B6A" w:rsidRPr="00B37ABC">
        <w:rPr>
          <w:color w:val="auto"/>
          <w:kern w:val="0"/>
        </w:rPr>
        <w:t>drawn from the documentary evidence and known or probable facts</w:t>
      </w:r>
      <w:r w:rsidR="00B37ABC">
        <w:rPr>
          <w:color w:val="auto"/>
          <w:kern w:val="0"/>
        </w:rPr>
        <w:t>.</w:t>
      </w:r>
    </w:p>
    <w:p w14:paraId="6A9B6778" w14:textId="00377DFE" w:rsidR="00EA33E1" w:rsidRDefault="00EA33E1" w:rsidP="00BF5D5C">
      <w:pPr>
        <w:pStyle w:val="Heading6blackfont"/>
      </w:pPr>
      <w:r>
        <w:t xml:space="preserve">Background </w:t>
      </w:r>
    </w:p>
    <w:p w14:paraId="5BBB0F3F" w14:textId="5F8D2D97" w:rsidR="005E1C5E" w:rsidRDefault="00B23083" w:rsidP="00EA33E1">
      <w:pPr>
        <w:pStyle w:val="Style1"/>
      </w:pPr>
      <w:r>
        <w:t xml:space="preserve">Based on information from WPC, </w:t>
      </w:r>
      <w:r w:rsidR="00EA33E1" w:rsidRPr="00EA33E1">
        <w:t>Buckinghamshire C</w:t>
      </w:r>
      <w:r w:rsidR="00EA33E1">
        <w:t>ounty Council (BC</w:t>
      </w:r>
      <w:r w:rsidR="00EA33E1" w:rsidRPr="00EA33E1">
        <w:t>C</w:t>
      </w:r>
      <w:r w:rsidR="00EA33E1">
        <w:t>)</w:t>
      </w:r>
      <w:r w:rsidR="00EA33E1" w:rsidRPr="00EA33E1">
        <w:t xml:space="preserve"> recorded public </w:t>
      </w:r>
      <w:r w:rsidR="00EA33E1">
        <w:t>F</w:t>
      </w:r>
      <w:r w:rsidR="00EA33E1" w:rsidRPr="00EA33E1">
        <w:t>ootpaths</w:t>
      </w:r>
      <w:r w:rsidR="00F96266">
        <w:t xml:space="preserve"> (FP)</w:t>
      </w:r>
      <w:r w:rsidR="00EA33E1" w:rsidRPr="00EA33E1">
        <w:t xml:space="preserve"> 12 and 14 on their </w:t>
      </w:r>
      <w:r w:rsidR="00224D26">
        <w:t xml:space="preserve">DMS </w:t>
      </w:r>
      <w:r w:rsidR="00EA33E1">
        <w:t xml:space="preserve">in the early </w:t>
      </w:r>
      <w:r w:rsidR="00EA33E1" w:rsidRPr="00EA33E1">
        <w:t>1950s</w:t>
      </w:r>
      <w:r w:rsidR="00EA33E1">
        <w:t>.  However</w:t>
      </w:r>
      <w:r w:rsidR="0083379B">
        <w:t>,</w:t>
      </w:r>
      <w:r w:rsidR="00EA33E1">
        <w:t xml:space="preserve"> given the </w:t>
      </w:r>
      <w:r w:rsidR="005E1C5E">
        <w:t>location of the County</w:t>
      </w:r>
      <w:r>
        <w:t>/Parish</w:t>
      </w:r>
      <w:r w:rsidR="005E1C5E">
        <w:t xml:space="preserve"> boundary the</w:t>
      </w:r>
      <w:r>
        <w:t xml:space="preserve">se </w:t>
      </w:r>
      <w:r w:rsidR="00EA33E1" w:rsidRPr="00EA33E1">
        <w:t>stopp</w:t>
      </w:r>
      <w:r w:rsidR="00EA33E1">
        <w:t>ed</w:t>
      </w:r>
      <w:r w:rsidR="00EA33E1" w:rsidRPr="00EA33E1">
        <w:t xml:space="preserve"> at the</w:t>
      </w:r>
      <w:r w:rsidR="005E1C5E">
        <w:t xml:space="preserve"> River Great Ouse rather than continuing into Oxfordshire.  </w:t>
      </w:r>
      <w:r w:rsidR="00EA33E1" w:rsidRPr="00EA33E1">
        <w:t xml:space="preserve"> </w:t>
      </w:r>
    </w:p>
    <w:p w14:paraId="7FADB69B" w14:textId="683F2B2C" w:rsidR="00255E77" w:rsidRDefault="00760E1D" w:rsidP="000E5419">
      <w:pPr>
        <w:pStyle w:val="Style1"/>
      </w:pPr>
      <w:r>
        <w:t>T</w:t>
      </w:r>
      <w:r w:rsidR="005E1C5E">
        <w:t xml:space="preserve">he OMA </w:t>
      </w:r>
      <w:r w:rsidR="00EA33E1" w:rsidRPr="00EA33E1">
        <w:t>did not record the continuation of the routes in Oxfordshire</w:t>
      </w:r>
      <w:r w:rsidR="00E77181">
        <w:t>.</w:t>
      </w:r>
      <w:r w:rsidR="00EA33E1" w:rsidRPr="00EA33E1">
        <w:t xml:space="preserve"> </w:t>
      </w:r>
      <w:r w:rsidR="00D60B17">
        <w:t xml:space="preserve"> </w:t>
      </w:r>
      <w:r>
        <w:t>The most cogent explanation for th</w:t>
      </w:r>
      <w:r w:rsidR="00C85A43">
        <w:t>is</w:t>
      </w:r>
      <w:r>
        <w:t xml:space="preserve"> is that the routes </w:t>
      </w:r>
      <w:r w:rsidRPr="00760E1D">
        <w:t xml:space="preserve">were used mainly by the residents of Westbury </w:t>
      </w:r>
      <w:r>
        <w:t xml:space="preserve">in </w:t>
      </w:r>
      <w:r w:rsidRPr="00760E1D">
        <w:t xml:space="preserve">Buckinghamshire, </w:t>
      </w:r>
      <w:r>
        <w:t xml:space="preserve">whereas </w:t>
      </w:r>
      <w:r w:rsidRPr="00760E1D">
        <w:t>responsibility for recording the routes lay with Mixbury Parish Council</w:t>
      </w:r>
      <w:r>
        <w:t xml:space="preserve"> in Oxfordshire.</w:t>
      </w:r>
      <w:r w:rsidR="00C85A43">
        <w:t xml:space="preserve"> </w:t>
      </w:r>
      <w:r>
        <w:t xml:space="preserve"> </w:t>
      </w:r>
      <w:r w:rsidR="00F96266">
        <w:t xml:space="preserve">The omission of the routes from Oxfordshire’s </w:t>
      </w:r>
      <w:r w:rsidR="00224D26">
        <w:t xml:space="preserve">DMS </w:t>
      </w:r>
      <w:r w:rsidR="0083379B">
        <w:t xml:space="preserve">created </w:t>
      </w:r>
      <w:proofErr w:type="gramStart"/>
      <w:r w:rsidR="00E77181">
        <w:t>a number of</w:t>
      </w:r>
      <w:proofErr w:type="gramEnd"/>
      <w:r w:rsidR="00E77181">
        <w:t xml:space="preserve"> </w:t>
      </w:r>
      <w:r w:rsidR="00EA33E1" w:rsidRPr="00EA33E1">
        <w:t>cul-de-sac footpaths</w:t>
      </w:r>
      <w:r w:rsidR="0083379B">
        <w:t xml:space="preserve">. </w:t>
      </w:r>
    </w:p>
    <w:p w14:paraId="275450C8" w14:textId="66DD5C4E" w:rsidR="00BF5D5C" w:rsidRDefault="00BF5D5C" w:rsidP="00BF5D5C">
      <w:pPr>
        <w:pStyle w:val="Heading6blackfont"/>
      </w:pPr>
      <w:r>
        <w:t>Reasons</w:t>
      </w:r>
    </w:p>
    <w:p w14:paraId="305A9E15" w14:textId="0D034C35" w:rsidR="00C93CAD" w:rsidRPr="00186D20" w:rsidRDefault="00252F78" w:rsidP="00EF285F">
      <w:pPr>
        <w:tabs>
          <w:tab w:val="left" w:pos="432"/>
        </w:tabs>
        <w:spacing w:before="180"/>
        <w:outlineLvl w:val="0"/>
        <w:rPr>
          <w:b/>
          <w:bCs/>
          <w:i/>
          <w:color w:val="000000"/>
          <w:kern w:val="28"/>
        </w:rPr>
      </w:pPr>
      <w:r w:rsidRPr="00186D20">
        <w:rPr>
          <w:b/>
          <w:bCs/>
          <w:i/>
          <w:color w:val="000000"/>
          <w:kern w:val="28"/>
        </w:rPr>
        <w:t>When the right to use the route</w:t>
      </w:r>
      <w:r w:rsidR="00A474FE" w:rsidRPr="00186D20">
        <w:rPr>
          <w:b/>
          <w:bCs/>
          <w:i/>
          <w:color w:val="000000"/>
          <w:kern w:val="28"/>
        </w:rPr>
        <w:t>s</w:t>
      </w:r>
      <w:r w:rsidRPr="00186D20">
        <w:rPr>
          <w:b/>
          <w:bCs/>
          <w:i/>
          <w:color w:val="000000"/>
          <w:kern w:val="28"/>
        </w:rPr>
        <w:t xml:space="preserve"> was first brought into question</w:t>
      </w:r>
    </w:p>
    <w:p w14:paraId="446F57CE" w14:textId="20D8A144" w:rsidR="001B4C59" w:rsidRPr="008A0612" w:rsidRDefault="00A77C44" w:rsidP="008A0612">
      <w:pPr>
        <w:numPr>
          <w:ilvl w:val="0"/>
          <w:numId w:val="24"/>
        </w:numPr>
        <w:tabs>
          <w:tab w:val="left" w:pos="432"/>
        </w:tabs>
        <w:spacing w:before="180"/>
        <w:outlineLvl w:val="0"/>
        <w:rPr>
          <w:color w:val="000000"/>
          <w:kern w:val="28"/>
        </w:rPr>
      </w:pPr>
      <w:r>
        <w:rPr>
          <w:color w:val="000000"/>
          <w:kern w:val="28"/>
        </w:rPr>
        <w:t>One of the few areas</w:t>
      </w:r>
      <w:r w:rsidR="0019381B">
        <w:rPr>
          <w:color w:val="000000"/>
          <w:kern w:val="28"/>
        </w:rPr>
        <w:t xml:space="preserve"> of agreement be</w:t>
      </w:r>
      <w:r w:rsidR="005239BA">
        <w:rPr>
          <w:color w:val="000000"/>
          <w:kern w:val="28"/>
        </w:rPr>
        <w:t>tween</w:t>
      </w:r>
      <w:r>
        <w:rPr>
          <w:color w:val="000000"/>
          <w:kern w:val="28"/>
        </w:rPr>
        <w:t xml:space="preserve"> the landowner</w:t>
      </w:r>
      <w:r w:rsidR="00B6246D">
        <w:rPr>
          <w:color w:val="000000"/>
          <w:kern w:val="28"/>
        </w:rPr>
        <w:t>s’</w:t>
      </w:r>
      <w:r>
        <w:rPr>
          <w:color w:val="000000"/>
          <w:kern w:val="28"/>
        </w:rPr>
        <w:t xml:space="preserve"> and user</w:t>
      </w:r>
      <w:r w:rsidR="005239BA">
        <w:rPr>
          <w:color w:val="000000"/>
          <w:kern w:val="28"/>
        </w:rPr>
        <w:t xml:space="preserve"> evidence is that</w:t>
      </w:r>
      <w:r w:rsidR="00C20897">
        <w:rPr>
          <w:color w:val="000000"/>
          <w:kern w:val="28"/>
        </w:rPr>
        <w:t xml:space="preserve"> there was a</w:t>
      </w:r>
      <w:r w:rsidR="005239BA">
        <w:rPr>
          <w:color w:val="000000"/>
          <w:kern w:val="28"/>
        </w:rPr>
        <w:t xml:space="preserve"> sea</w:t>
      </w:r>
      <w:r w:rsidR="00CF5A07">
        <w:rPr>
          <w:color w:val="000000"/>
          <w:kern w:val="28"/>
        </w:rPr>
        <w:t xml:space="preserve"> c</w:t>
      </w:r>
      <w:r w:rsidR="005239BA">
        <w:rPr>
          <w:color w:val="000000"/>
          <w:kern w:val="28"/>
        </w:rPr>
        <w:t>hange</w:t>
      </w:r>
      <w:r w:rsidR="00C20897">
        <w:rPr>
          <w:color w:val="000000"/>
          <w:kern w:val="28"/>
        </w:rPr>
        <w:t xml:space="preserve"> to the issue of access </w:t>
      </w:r>
      <w:r w:rsidR="00EF285F">
        <w:rPr>
          <w:color w:val="000000"/>
          <w:kern w:val="28"/>
        </w:rPr>
        <w:t>over</w:t>
      </w:r>
      <w:r w:rsidR="00C20897">
        <w:rPr>
          <w:color w:val="000000"/>
          <w:kern w:val="28"/>
        </w:rPr>
        <w:t xml:space="preserve"> the school grounds in 2005 </w:t>
      </w:r>
      <w:r w:rsidR="00524CBF">
        <w:rPr>
          <w:color w:val="000000"/>
          <w:kern w:val="28"/>
        </w:rPr>
        <w:t xml:space="preserve">when </w:t>
      </w:r>
      <w:r w:rsidRPr="00A77C44">
        <w:rPr>
          <w:color w:val="000000"/>
          <w:kern w:val="28"/>
        </w:rPr>
        <w:t>Mr Whybrow became headmaster of Beachborough</w:t>
      </w:r>
      <w:r w:rsidR="00524CBF">
        <w:rPr>
          <w:color w:val="000000"/>
          <w:kern w:val="28"/>
        </w:rPr>
        <w:t xml:space="preserve"> School.</w:t>
      </w:r>
      <w:r w:rsidR="00C23B60">
        <w:rPr>
          <w:color w:val="000000"/>
          <w:kern w:val="28"/>
        </w:rPr>
        <w:t xml:space="preserve">  </w:t>
      </w:r>
      <w:r w:rsidR="00E57EB6">
        <w:rPr>
          <w:color w:val="000000"/>
          <w:kern w:val="28"/>
        </w:rPr>
        <w:t>Before Mr Whybrow’s tenure</w:t>
      </w:r>
      <w:r w:rsidR="00442412">
        <w:rPr>
          <w:color w:val="000000"/>
          <w:kern w:val="28"/>
        </w:rPr>
        <w:t xml:space="preserve"> </w:t>
      </w:r>
      <w:r w:rsidR="00C23B60">
        <w:rPr>
          <w:color w:val="000000"/>
          <w:kern w:val="28"/>
        </w:rPr>
        <w:t>there is some evidence to suggest members of public</w:t>
      </w:r>
      <w:r w:rsidR="00442412">
        <w:rPr>
          <w:color w:val="000000"/>
          <w:kern w:val="28"/>
        </w:rPr>
        <w:t xml:space="preserve"> were challenged</w:t>
      </w:r>
      <w:r w:rsidR="00E57EB6">
        <w:rPr>
          <w:rStyle w:val="FootnoteReference"/>
          <w:color w:val="000000"/>
          <w:kern w:val="28"/>
        </w:rPr>
        <w:footnoteReference w:id="2"/>
      </w:r>
      <w:r w:rsidR="00C23B60">
        <w:rPr>
          <w:color w:val="000000"/>
          <w:kern w:val="28"/>
        </w:rPr>
        <w:t>. However,</w:t>
      </w:r>
      <w:r w:rsidR="00442412">
        <w:rPr>
          <w:color w:val="000000"/>
          <w:kern w:val="28"/>
        </w:rPr>
        <w:t xml:space="preserve"> the user evidence</w:t>
      </w:r>
      <w:r w:rsidR="00CF5A07">
        <w:rPr>
          <w:color w:val="000000"/>
          <w:kern w:val="28"/>
        </w:rPr>
        <w:t xml:space="preserve"> sugge</w:t>
      </w:r>
      <w:r w:rsidR="002311F0">
        <w:rPr>
          <w:color w:val="000000"/>
          <w:kern w:val="28"/>
        </w:rPr>
        <w:t xml:space="preserve">sts </w:t>
      </w:r>
      <w:r w:rsidR="00C23B60">
        <w:rPr>
          <w:color w:val="000000"/>
          <w:kern w:val="28"/>
        </w:rPr>
        <w:t xml:space="preserve">this </w:t>
      </w:r>
      <w:r w:rsidR="002311F0">
        <w:rPr>
          <w:color w:val="000000"/>
          <w:kern w:val="28"/>
        </w:rPr>
        <w:t>was</w:t>
      </w:r>
      <w:r w:rsidR="00442412">
        <w:rPr>
          <w:color w:val="000000"/>
          <w:kern w:val="28"/>
        </w:rPr>
        <w:t xml:space="preserve"> at best </w:t>
      </w:r>
      <w:r w:rsidR="00C23B60">
        <w:rPr>
          <w:color w:val="000000"/>
          <w:kern w:val="28"/>
        </w:rPr>
        <w:t>sporadic</w:t>
      </w:r>
      <w:r w:rsidR="00442412">
        <w:rPr>
          <w:color w:val="000000"/>
          <w:kern w:val="28"/>
        </w:rPr>
        <w:t xml:space="preserve"> and not at a level to bring home to the public </w:t>
      </w:r>
      <w:r w:rsidR="00AB423E">
        <w:rPr>
          <w:color w:val="000000"/>
          <w:kern w:val="28"/>
        </w:rPr>
        <w:t xml:space="preserve">at large that their use of the route was being challenged.  </w:t>
      </w:r>
      <w:r w:rsidR="00524CBF">
        <w:rPr>
          <w:color w:val="000000"/>
          <w:kern w:val="28"/>
        </w:rPr>
        <w:t xml:space="preserve"> </w:t>
      </w:r>
    </w:p>
    <w:p w14:paraId="241EED0D" w14:textId="31AF812D" w:rsidR="00C23B60" w:rsidRDefault="000E72A9" w:rsidP="00C23B60">
      <w:pPr>
        <w:pStyle w:val="Style1"/>
      </w:pPr>
      <w:r>
        <w:t xml:space="preserve">From 2005 </w:t>
      </w:r>
      <w:r w:rsidR="00BC30DB">
        <w:t xml:space="preserve">onwards the school took the issue more seriously as </w:t>
      </w:r>
      <w:r w:rsidR="008670B3">
        <w:t xml:space="preserve">evidenced </w:t>
      </w:r>
      <w:r w:rsidR="00E72A5A">
        <w:t xml:space="preserve">through </w:t>
      </w:r>
      <w:r w:rsidR="008670B3">
        <w:t xml:space="preserve">the </w:t>
      </w:r>
      <w:r w:rsidR="00E72A5A">
        <w:t xml:space="preserve">proposed </w:t>
      </w:r>
      <w:r w:rsidR="008670B3">
        <w:t>extinguishment</w:t>
      </w:r>
      <w:r w:rsidR="00E72A5A" w:rsidRPr="00E72A5A">
        <w:t xml:space="preserve"> of FP14 and FP12</w:t>
      </w:r>
      <w:r w:rsidR="00EB2281">
        <w:t xml:space="preserve"> in 2009</w:t>
      </w:r>
      <w:r w:rsidR="00D847C6">
        <w:t xml:space="preserve">.  Before that, from about mid-2006 </w:t>
      </w:r>
      <w:r w:rsidR="003F1862">
        <w:t>onwards,</w:t>
      </w:r>
      <w:r w:rsidR="00D847C6">
        <w:t xml:space="preserve"> members of</w:t>
      </w:r>
      <w:r w:rsidR="00B6246D">
        <w:t xml:space="preserve"> </w:t>
      </w:r>
      <w:r w:rsidR="00D847C6">
        <w:t>public found on the school grounds were</w:t>
      </w:r>
      <w:r w:rsidR="0056795B">
        <w:t xml:space="preserve"> </w:t>
      </w:r>
      <w:r w:rsidR="00020EF0">
        <w:t>challenge</w:t>
      </w:r>
      <w:r w:rsidR="0056795B">
        <w:t>d</w:t>
      </w:r>
      <w:r w:rsidR="00020EF0">
        <w:t xml:space="preserve"> </w:t>
      </w:r>
      <w:r w:rsidR="00D847C6">
        <w:t>by staff</w:t>
      </w:r>
      <w:r w:rsidR="00020EF0">
        <w:rPr>
          <w:rStyle w:val="FootnoteReference"/>
        </w:rPr>
        <w:footnoteReference w:id="3"/>
      </w:r>
      <w:r w:rsidR="00020EF0">
        <w:t xml:space="preserve">. </w:t>
      </w:r>
      <w:r w:rsidR="001B4C59">
        <w:t xml:space="preserve"> </w:t>
      </w:r>
      <w:r w:rsidR="00BC30DB">
        <w:t xml:space="preserve">However, </w:t>
      </w:r>
      <w:r w:rsidR="00C23B60">
        <w:t>the evidence</w:t>
      </w:r>
      <w:r w:rsidR="00BC30DB">
        <w:t xml:space="preserve"> from ex-staff and </w:t>
      </w:r>
      <w:proofErr w:type="gramStart"/>
      <w:r w:rsidR="00E57EB6">
        <w:t>local residents</w:t>
      </w:r>
      <w:proofErr w:type="gramEnd"/>
      <w:r w:rsidR="00E57EB6">
        <w:t xml:space="preserve"> </w:t>
      </w:r>
      <w:r w:rsidR="00C23B60">
        <w:t xml:space="preserve">suggests </w:t>
      </w:r>
      <w:r w:rsidR="00BC30DB">
        <w:t xml:space="preserve">these challenges </w:t>
      </w:r>
      <w:r w:rsidR="00C23B60">
        <w:t xml:space="preserve">tended to be directed at those exercising </w:t>
      </w:r>
      <w:r w:rsidR="00C23B60">
        <w:lastRenderedPageBreak/>
        <w:t>dogs on the playing fields rather than those walking between the ends of FP14 and FP12/11a.  In short while some were challenged, many were not.</w:t>
      </w:r>
    </w:p>
    <w:p w14:paraId="453714AC" w14:textId="249667B8" w:rsidR="00DA0EAB" w:rsidRDefault="00B6246D" w:rsidP="00DA0EAB">
      <w:pPr>
        <w:numPr>
          <w:ilvl w:val="0"/>
          <w:numId w:val="24"/>
        </w:numPr>
        <w:tabs>
          <w:tab w:val="left" w:pos="432"/>
        </w:tabs>
        <w:spacing w:before="180"/>
        <w:outlineLvl w:val="0"/>
        <w:rPr>
          <w:color w:val="000000"/>
          <w:kern w:val="28"/>
        </w:rPr>
      </w:pPr>
      <w:r>
        <w:rPr>
          <w:color w:val="000000"/>
          <w:kern w:val="28"/>
        </w:rPr>
        <w:t>I</w:t>
      </w:r>
      <w:r w:rsidR="003F1862">
        <w:rPr>
          <w:color w:val="000000"/>
          <w:kern w:val="28"/>
        </w:rPr>
        <w:t xml:space="preserve">n 2006/7 </w:t>
      </w:r>
      <w:r w:rsidR="00D438DC">
        <w:rPr>
          <w:color w:val="000000"/>
          <w:kern w:val="28"/>
        </w:rPr>
        <w:t>notices</w:t>
      </w:r>
      <w:r w:rsidR="00DA0EAB">
        <w:rPr>
          <w:color w:val="000000"/>
          <w:kern w:val="28"/>
        </w:rPr>
        <w:t xml:space="preserve"> stating </w:t>
      </w:r>
      <w:r w:rsidR="00DA0EAB" w:rsidRPr="00015B27">
        <w:rPr>
          <w:color w:val="000000"/>
          <w:kern w:val="28"/>
        </w:rPr>
        <w:t>“</w:t>
      </w:r>
      <w:r w:rsidR="00DA0EAB" w:rsidRPr="0075488D">
        <w:rPr>
          <w:i/>
          <w:iCs/>
          <w:color w:val="000000"/>
          <w:kern w:val="28"/>
        </w:rPr>
        <w:t>COUNTY BOUNDARY AND END OF PUBLIC FOOTPATH THERE IS NO OTHER RIGHT OF WAY THROUGH THE SCHOOL GROUNDS</w:t>
      </w:r>
      <w:r w:rsidR="00DA0EAB" w:rsidRPr="00015B27">
        <w:rPr>
          <w:color w:val="000000"/>
          <w:kern w:val="28"/>
        </w:rPr>
        <w:t xml:space="preserve">” </w:t>
      </w:r>
      <w:r w:rsidR="00DA0EAB">
        <w:rPr>
          <w:color w:val="000000"/>
          <w:kern w:val="28"/>
        </w:rPr>
        <w:t>were erected at point T</w:t>
      </w:r>
      <w:r w:rsidR="00DA0EAB">
        <w:rPr>
          <w:rStyle w:val="FootnoteReference"/>
          <w:color w:val="000000"/>
          <w:kern w:val="28"/>
        </w:rPr>
        <w:footnoteReference w:id="4"/>
      </w:r>
      <w:r w:rsidR="00DA0EAB" w:rsidRPr="00015B27">
        <w:rPr>
          <w:color w:val="000000"/>
          <w:kern w:val="28"/>
        </w:rPr>
        <w:t>.</w:t>
      </w:r>
      <w:r w:rsidR="00DA0EAB">
        <w:rPr>
          <w:color w:val="000000"/>
          <w:kern w:val="28"/>
        </w:rPr>
        <w:t xml:space="preserve">  </w:t>
      </w:r>
      <w:r>
        <w:rPr>
          <w:color w:val="000000"/>
          <w:kern w:val="28"/>
        </w:rPr>
        <w:t xml:space="preserve">The user evidence tends to </w:t>
      </w:r>
      <w:r w:rsidR="00024752">
        <w:rPr>
          <w:color w:val="000000"/>
          <w:kern w:val="28"/>
        </w:rPr>
        <w:t xml:space="preserve">favour </w:t>
      </w:r>
      <w:r>
        <w:rPr>
          <w:color w:val="000000"/>
          <w:kern w:val="28"/>
        </w:rPr>
        <w:t xml:space="preserve">2007 as the date when the </w:t>
      </w:r>
      <w:r w:rsidR="00024752">
        <w:rPr>
          <w:color w:val="000000"/>
          <w:kern w:val="28"/>
        </w:rPr>
        <w:t xml:space="preserve">notices </w:t>
      </w:r>
      <w:r>
        <w:rPr>
          <w:color w:val="000000"/>
          <w:kern w:val="28"/>
        </w:rPr>
        <w:t>were</w:t>
      </w:r>
      <w:r w:rsidR="00024752">
        <w:rPr>
          <w:color w:val="000000"/>
          <w:kern w:val="28"/>
        </w:rPr>
        <w:t xml:space="preserve"> first</w:t>
      </w:r>
      <w:r>
        <w:rPr>
          <w:color w:val="000000"/>
          <w:kern w:val="28"/>
        </w:rPr>
        <w:t xml:space="preserve"> erected</w:t>
      </w:r>
      <w:r w:rsidR="00024752">
        <w:rPr>
          <w:color w:val="000000"/>
          <w:kern w:val="28"/>
        </w:rPr>
        <w:t xml:space="preserve">.  </w:t>
      </w:r>
      <w:r w:rsidR="002311F0">
        <w:rPr>
          <w:color w:val="000000"/>
          <w:kern w:val="28"/>
        </w:rPr>
        <w:t xml:space="preserve">The only exception </w:t>
      </w:r>
      <w:r w:rsidR="00567C2F">
        <w:rPr>
          <w:color w:val="000000"/>
          <w:kern w:val="28"/>
        </w:rPr>
        <w:t xml:space="preserve">is </w:t>
      </w:r>
      <w:r w:rsidR="00DA0EAB">
        <w:rPr>
          <w:color w:val="000000"/>
          <w:kern w:val="28"/>
        </w:rPr>
        <w:t>WPC</w:t>
      </w:r>
      <w:r w:rsidR="00596D98">
        <w:rPr>
          <w:color w:val="000000"/>
          <w:kern w:val="28"/>
        </w:rPr>
        <w:t>’s</w:t>
      </w:r>
      <w:r w:rsidR="00DA0EAB">
        <w:rPr>
          <w:color w:val="000000"/>
          <w:kern w:val="28"/>
        </w:rPr>
        <w:t xml:space="preserve"> letter dated 10 June 2009 </w:t>
      </w:r>
      <w:r w:rsidR="00567C2F">
        <w:rPr>
          <w:color w:val="000000"/>
          <w:kern w:val="28"/>
        </w:rPr>
        <w:t xml:space="preserve">which </w:t>
      </w:r>
      <w:r w:rsidR="00DA0EAB">
        <w:rPr>
          <w:color w:val="000000"/>
          <w:kern w:val="28"/>
        </w:rPr>
        <w:t>state</w:t>
      </w:r>
      <w:r w:rsidR="00567C2F">
        <w:rPr>
          <w:color w:val="000000"/>
          <w:kern w:val="28"/>
        </w:rPr>
        <w:t>s</w:t>
      </w:r>
      <w:r w:rsidR="00DA0EAB">
        <w:rPr>
          <w:color w:val="000000"/>
          <w:kern w:val="28"/>
        </w:rPr>
        <w:t xml:space="preserve"> that the school erected the notice</w:t>
      </w:r>
      <w:r w:rsidR="00596D98">
        <w:rPr>
          <w:color w:val="000000"/>
          <w:kern w:val="28"/>
        </w:rPr>
        <w:t>s</w:t>
      </w:r>
      <w:r w:rsidR="00DA0EAB">
        <w:rPr>
          <w:color w:val="000000"/>
          <w:kern w:val="28"/>
        </w:rPr>
        <w:t xml:space="preserve"> “</w:t>
      </w:r>
      <w:r w:rsidR="00DA0EAB" w:rsidRPr="00605D22">
        <w:rPr>
          <w:i/>
          <w:iCs/>
          <w:color w:val="000000"/>
          <w:kern w:val="28"/>
        </w:rPr>
        <w:t>three years ago</w:t>
      </w:r>
      <w:r w:rsidR="00DA0EAB">
        <w:rPr>
          <w:color w:val="000000"/>
          <w:kern w:val="28"/>
        </w:rPr>
        <w:t>” which would have been June 2006.</w:t>
      </w:r>
      <w:r w:rsidR="003F1862">
        <w:rPr>
          <w:color w:val="000000"/>
          <w:kern w:val="28"/>
        </w:rPr>
        <w:t xml:space="preserve">  </w:t>
      </w:r>
      <w:r w:rsidR="00F96266">
        <w:rPr>
          <w:color w:val="000000"/>
          <w:kern w:val="28"/>
        </w:rPr>
        <w:t xml:space="preserve">On the balance </w:t>
      </w:r>
      <w:r w:rsidR="00DA5C3D">
        <w:rPr>
          <w:color w:val="000000"/>
          <w:kern w:val="28"/>
        </w:rPr>
        <w:t>of probabilities, I am satisfied that the notices were erected by 2007 at the very latest.</w:t>
      </w:r>
      <w:r w:rsidR="00D438DC">
        <w:rPr>
          <w:color w:val="000000"/>
          <w:kern w:val="28"/>
        </w:rPr>
        <w:t xml:space="preserve">  This is </w:t>
      </w:r>
      <w:r w:rsidR="00832973">
        <w:rPr>
          <w:color w:val="000000"/>
          <w:kern w:val="28"/>
        </w:rPr>
        <w:t xml:space="preserve">therefore the date on which the public’s right to use the Order routes was </w:t>
      </w:r>
      <w:r w:rsidR="00CF3DDE">
        <w:rPr>
          <w:color w:val="000000"/>
          <w:kern w:val="28"/>
        </w:rPr>
        <w:t>‘called into question</w:t>
      </w:r>
      <w:r w:rsidR="00567C2F">
        <w:rPr>
          <w:color w:val="000000"/>
          <w:kern w:val="28"/>
        </w:rPr>
        <w:t>’</w:t>
      </w:r>
      <w:r w:rsidR="00CF3DDE">
        <w:rPr>
          <w:color w:val="000000"/>
          <w:kern w:val="28"/>
        </w:rPr>
        <w:t xml:space="preserve"> unless an earlier challenge can be identified.  </w:t>
      </w:r>
    </w:p>
    <w:p w14:paraId="0619AB09" w14:textId="3915BD4F" w:rsidR="00365F2E" w:rsidRDefault="0017514D" w:rsidP="00A87913">
      <w:pPr>
        <w:numPr>
          <w:ilvl w:val="0"/>
          <w:numId w:val="24"/>
        </w:numPr>
        <w:tabs>
          <w:tab w:val="left" w:pos="432"/>
        </w:tabs>
        <w:spacing w:before="180"/>
        <w:outlineLvl w:val="0"/>
        <w:rPr>
          <w:color w:val="000000"/>
          <w:kern w:val="28"/>
        </w:rPr>
      </w:pPr>
      <w:r>
        <w:rPr>
          <w:color w:val="000000"/>
          <w:kern w:val="28"/>
        </w:rPr>
        <w:t>A</w:t>
      </w:r>
      <w:r w:rsidR="00DA5C3D">
        <w:rPr>
          <w:color w:val="000000"/>
          <w:kern w:val="28"/>
        </w:rPr>
        <w:t>nother possible</w:t>
      </w:r>
      <w:r>
        <w:rPr>
          <w:color w:val="000000"/>
          <w:kern w:val="28"/>
        </w:rPr>
        <w:t xml:space="preserve"> and</w:t>
      </w:r>
      <w:r w:rsidR="00DA5C3D">
        <w:rPr>
          <w:color w:val="000000"/>
          <w:kern w:val="28"/>
        </w:rPr>
        <w:t xml:space="preserve"> earlier ‘calling into question’ </w:t>
      </w:r>
      <w:r>
        <w:rPr>
          <w:color w:val="000000"/>
          <w:kern w:val="28"/>
        </w:rPr>
        <w:t>arises</w:t>
      </w:r>
      <w:r w:rsidR="001141C3">
        <w:rPr>
          <w:color w:val="000000"/>
          <w:kern w:val="28"/>
        </w:rPr>
        <w:t xml:space="preserve"> from </w:t>
      </w:r>
      <w:r>
        <w:rPr>
          <w:color w:val="000000"/>
          <w:kern w:val="28"/>
        </w:rPr>
        <w:t>the</w:t>
      </w:r>
      <w:r w:rsidR="00596D98">
        <w:rPr>
          <w:color w:val="000000"/>
          <w:kern w:val="28"/>
        </w:rPr>
        <w:t xml:space="preserve"> locked</w:t>
      </w:r>
      <w:r w:rsidR="001141C3">
        <w:rPr>
          <w:color w:val="000000"/>
          <w:kern w:val="28"/>
        </w:rPr>
        <w:t xml:space="preserve"> </w:t>
      </w:r>
      <w:r w:rsidR="003E620C">
        <w:rPr>
          <w:color w:val="000000"/>
          <w:kern w:val="28"/>
        </w:rPr>
        <w:t xml:space="preserve">gate </w:t>
      </w:r>
      <w:r w:rsidR="00A87913">
        <w:rPr>
          <w:color w:val="000000"/>
          <w:kern w:val="28"/>
        </w:rPr>
        <w:t>at point U</w:t>
      </w:r>
      <w:r w:rsidR="003E620C">
        <w:rPr>
          <w:color w:val="000000"/>
          <w:kern w:val="28"/>
        </w:rPr>
        <w:t xml:space="preserve">. </w:t>
      </w:r>
      <w:r w:rsidR="00A87913">
        <w:rPr>
          <w:color w:val="000000"/>
          <w:kern w:val="28"/>
        </w:rPr>
        <w:t xml:space="preserve"> </w:t>
      </w:r>
      <w:r w:rsidR="003E620C">
        <w:rPr>
          <w:color w:val="000000"/>
          <w:kern w:val="28"/>
        </w:rPr>
        <w:t>Karin Owen</w:t>
      </w:r>
      <w:r w:rsidR="00BA4656">
        <w:rPr>
          <w:color w:val="000000"/>
          <w:kern w:val="28"/>
        </w:rPr>
        <w:t xml:space="preserve"> states</w:t>
      </w:r>
      <w:r w:rsidR="00DA5C3D">
        <w:rPr>
          <w:color w:val="000000"/>
          <w:kern w:val="28"/>
        </w:rPr>
        <w:t xml:space="preserve"> in her evidence</w:t>
      </w:r>
      <w:r w:rsidR="00BA4656">
        <w:rPr>
          <w:color w:val="000000"/>
          <w:kern w:val="28"/>
        </w:rPr>
        <w:t xml:space="preserve"> that a </w:t>
      </w:r>
      <w:r w:rsidR="00A87913">
        <w:rPr>
          <w:color w:val="000000"/>
          <w:kern w:val="28"/>
        </w:rPr>
        <w:t xml:space="preserve">padlock was put on </w:t>
      </w:r>
      <w:r w:rsidR="00BA4656">
        <w:rPr>
          <w:color w:val="000000"/>
          <w:kern w:val="28"/>
        </w:rPr>
        <w:t xml:space="preserve">the gate </w:t>
      </w:r>
      <w:r w:rsidR="003F1862">
        <w:rPr>
          <w:color w:val="000000"/>
          <w:kern w:val="28"/>
        </w:rPr>
        <w:t xml:space="preserve">in </w:t>
      </w:r>
      <w:r w:rsidR="00A87913">
        <w:rPr>
          <w:color w:val="000000"/>
          <w:kern w:val="28"/>
        </w:rPr>
        <w:t>2003</w:t>
      </w:r>
      <w:r w:rsidR="00BA4656">
        <w:rPr>
          <w:color w:val="000000"/>
          <w:kern w:val="28"/>
        </w:rPr>
        <w:t xml:space="preserve">.  However, </w:t>
      </w:r>
      <w:r w:rsidR="00DA5C3D">
        <w:rPr>
          <w:color w:val="000000"/>
          <w:kern w:val="28"/>
        </w:rPr>
        <w:t xml:space="preserve">she goes on to say that </w:t>
      </w:r>
      <w:r w:rsidR="00BA4656">
        <w:rPr>
          <w:color w:val="000000"/>
          <w:kern w:val="28"/>
        </w:rPr>
        <w:t>this was</w:t>
      </w:r>
      <w:r w:rsidR="00DA5C3D">
        <w:rPr>
          <w:color w:val="000000"/>
          <w:kern w:val="28"/>
        </w:rPr>
        <w:t xml:space="preserve"> later</w:t>
      </w:r>
      <w:r w:rsidR="00BA4656">
        <w:rPr>
          <w:color w:val="000000"/>
          <w:kern w:val="28"/>
        </w:rPr>
        <w:t xml:space="preserve"> removed </w:t>
      </w:r>
      <w:r w:rsidR="003F1862">
        <w:rPr>
          <w:color w:val="000000"/>
          <w:kern w:val="28"/>
        </w:rPr>
        <w:t xml:space="preserve">and </w:t>
      </w:r>
      <w:r w:rsidR="00A87913">
        <w:rPr>
          <w:color w:val="000000"/>
          <w:kern w:val="28"/>
        </w:rPr>
        <w:t>not replaced until 2005/6</w:t>
      </w:r>
      <w:r w:rsidR="003F1862">
        <w:rPr>
          <w:color w:val="000000"/>
          <w:kern w:val="28"/>
        </w:rPr>
        <w:t xml:space="preserve">.  </w:t>
      </w:r>
      <w:r w:rsidR="00596D98">
        <w:rPr>
          <w:color w:val="000000"/>
          <w:kern w:val="28"/>
        </w:rPr>
        <w:t>After that</w:t>
      </w:r>
      <w:r w:rsidR="00A87913">
        <w:rPr>
          <w:color w:val="000000"/>
          <w:kern w:val="28"/>
        </w:rPr>
        <w:t>,</w:t>
      </w:r>
      <w:r w:rsidR="00FF3099">
        <w:rPr>
          <w:color w:val="000000"/>
          <w:kern w:val="28"/>
        </w:rPr>
        <w:t xml:space="preserve"> she concedes that </w:t>
      </w:r>
      <w:r w:rsidR="00A87913">
        <w:rPr>
          <w:color w:val="000000"/>
          <w:kern w:val="28"/>
        </w:rPr>
        <w:t xml:space="preserve">it was possible to push the gate </w:t>
      </w:r>
      <w:r w:rsidR="003F1862">
        <w:rPr>
          <w:color w:val="000000"/>
          <w:kern w:val="28"/>
        </w:rPr>
        <w:t xml:space="preserve">open </w:t>
      </w:r>
      <w:r w:rsidR="00A87913">
        <w:rPr>
          <w:color w:val="000000"/>
          <w:kern w:val="28"/>
        </w:rPr>
        <w:t xml:space="preserve">for a time until </w:t>
      </w:r>
      <w:r w:rsidR="003F1862">
        <w:rPr>
          <w:color w:val="000000"/>
          <w:kern w:val="28"/>
        </w:rPr>
        <w:t>the chain and lock were</w:t>
      </w:r>
      <w:r w:rsidR="00A87913">
        <w:rPr>
          <w:color w:val="000000"/>
          <w:kern w:val="28"/>
        </w:rPr>
        <w:t xml:space="preserve"> rearranged.  </w:t>
      </w:r>
      <w:r w:rsidR="00425230">
        <w:rPr>
          <w:color w:val="000000"/>
          <w:kern w:val="28"/>
        </w:rPr>
        <w:t>David Owens states</w:t>
      </w:r>
      <w:r w:rsidR="00693739">
        <w:rPr>
          <w:color w:val="000000"/>
          <w:kern w:val="28"/>
        </w:rPr>
        <w:t xml:space="preserve"> </w:t>
      </w:r>
      <w:r w:rsidR="00425230">
        <w:rPr>
          <w:color w:val="000000"/>
          <w:kern w:val="28"/>
        </w:rPr>
        <w:t>“</w:t>
      </w:r>
      <w:r w:rsidR="00425230" w:rsidRPr="00622F0C">
        <w:rPr>
          <w:i/>
          <w:iCs/>
          <w:color w:val="000000"/>
          <w:kern w:val="28"/>
        </w:rPr>
        <w:t>permanent gate at U from 2002-3 kept locked</w:t>
      </w:r>
      <w:r w:rsidR="00425230">
        <w:rPr>
          <w:color w:val="000000"/>
          <w:kern w:val="28"/>
        </w:rPr>
        <w:t xml:space="preserve">”.  </w:t>
      </w:r>
    </w:p>
    <w:p w14:paraId="028D023D" w14:textId="45B56ABE" w:rsidR="00454274" w:rsidRPr="00F32816" w:rsidRDefault="000C274B" w:rsidP="00F32816">
      <w:pPr>
        <w:numPr>
          <w:ilvl w:val="0"/>
          <w:numId w:val="24"/>
        </w:numPr>
        <w:tabs>
          <w:tab w:val="left" w:pos="432"/>
        </w:tabs>
        <w:spacing w:before="180"/>
        <w:outlineLvl w:val="0"/>
        <w:rPr>
          <w:color w:val="000000"/>
          <w:kern w:val="28"/>
        </w:rPr>
      </w:pPr>
      <w:r>
        <w:rPr>
          <w:color w:val="000000"/>
          <w:kern w:val="28"/>
        </w:rPr>
        <w:t xml:space="preserve">Jim and Karen </w:t>
      </w:r>
      <w:r w:rsidR="00AD20D0">
        <w:rPr>
          <w:color w:val="000000"/>
          <w:kern w:val="28"/>
        </w:rPr>
        <w:t xml:space="preserve">Calvert </w:t>
      </w:r>
      <w:r w:rsidR="001F595A">
        <w:rPr>
          <w:color w:val="000000"/>
          <w:kern w:val="28"/>
        </w:rPr>
        <w:t xml:space="preserve">who used the route between 1990-2010 </w:t>
      </w:r>
      <w:r w:rsidR="00454274" w:rsidRPr="00A87913">
        <w:rPr>
          <w:color w:val="000000"/>
          <w:kern w:val="28"/>
        </w:rPr>
        <w:t>recalled the</w:t>
      </w:r>
      <w:r w:rsidR="000E7C89">
        <w:rPr>
          <w:color w:val="000000"/>
          <w:kern w:val="28"/>
        </w:rPr>
        <w:t xml:space="preserve"> </w:t>
      </w:r>
      <w:r w:rsidR="00454274" w:rsidRPr="00A87913">
        <w:rPr>
          <w:color w:val="000000"/>
          <w:kern w:val="28"/>
        </w:rPr>
        <w:t>gate</w:t>
      </w:r>
      <w:r w:rsidR="001F595A">
        <w:rPr>
          <w:color w:val="000000"/>
          <w:kern w:val="28"/>
        </w:rPr>
        <w:t xml:space="preserve"> on the Owens’ side of the footbridge</w:t>
      </w:r>
      <w:r w:rsidR="00454274" w:rsidRPr="00A87913">
        <w:rPr>
          <w:color w:val="000000"/>
          <w:kern w:val="28"/>
        </w:rPr>
        <w:t xml:space="preserve"> but state</w:t>
      </w:r>
      <w:r w:rsidR="00AF5E12">
        <w:rPr>
          <w:color w:val="000000"/>
          <w:kern w:val="28"/>
        </w:rPr>
        <w:t xml:space="preserve"> it was</w:t>
      </w:r>
      <w:r w:rsidR="001F595A">
        <w:rPr>
          <w:color w:val="000000"/>
          <w:kern w:val="28"/>
        </w:rPr>
        <w:t xml:space="preserve"> either</w:t>
      </w:r>
      <w:r w:rsidR="00AF5E12">
        <w:rPr>
          <w:color w:val="000000"/>
          <w:kern w:val="28"/>
        </w:rPr>
        <w:t xml:space="preserve"> unlocked</w:t>
      </w:r>
      <w:r w:rsidR="001F595A">
        <w:rPr>
          <w:color w:val="000000"/>
          <w:kern w:val="28"/>
        </w:rPr>
        <w:t xml:space="preserve"> or </w:t>
      </w:r>
      <w:r w:rsidR="00AF5E12">
        <w:rPr>
          <w:color w:val="000000"/>
          <w:kern w:val="28"/>
        </w:rPr>
        <w:t>they use</w:t>
      </w:r>
      <w:r w:rsidR="001F595A">
        <w:rPr>
          <w:color w:val="000000"/>
          <w:kern w:val="28"/>
        </w:rPr>
        <w:t>d</w:t>
      </w:r>
      <w:r w:rsidR="00AF5E12">
        <w:rPr>
          <w:color w:val="000000"/>
          <w:kern w:val="28"/>
        </w:rPr>
        <w:t xml:space="preserve"> </w:t>
      </w:r>
      <w:r w:rsidR="007E54E3">
        <w:rPr>
          <w:color w:val="000000"/>
          <w:kern w:val="28"/>
        </w:rPr>
        <w:t>a stil</w:t>
      </w:r>
      <w:r w:rsidR="00AF5E12">
        <w:rPr>
          <w:color w:val="000000"/>
          <w:kern w:val="28"/>
        </w:rPr>
        <w:t>e or small gap rather than opening it</w:t>
      </w:r>
      <w:r w:rsidR="00454274" w:rsidRPr="00A87913">
        <w:rPr>
          <w:color w:val="000000"/>
          <w:kern w:val="28"/>
        </w:rPr>
        <w:t xml:space="preserve">. </w:t>
      </w:r>
      <w:r w:rsidR="00652478">
        <w:rPr>
          <w:color w:val="000000"/>
          <w:kern w:val="28"/>
        </w:rPr>
        <w:t xml:space="preserve"> </w:t>
      </w:r>
      <w:r w:rsidR="00BD18E7" w:rsidRPr="00F32816">
        <w:rPr>
          <w:color w:val="000000"/>
          <w:kern w:val="28"/>
        </w:rPr>
        <w:t xml:space="preserve">Edward Rainbow </w:t>
      </w:r>
      <w:r w:rsidR="00FF2CBF" w:rsidRPr="00F32816">
        <w:rPr>
          <w:color w:val="000000"/>
          <w:kern w:val="28"/>
        </w:rPr>
        <w:t>who used the route between 1980-2000 states that there was a “</w:t>
      </w:r>
      <w:r w:rsidR="00FF2CBF" w:rsidRPr="00F32816">
        <w:rPr>
          <w:i/>
          <w:iCs/>
          <w:color w:val="000000"/>
          <w:kern w:val="28"/>
        </w:rPr>
        <w:t>gate at U</w:t>
      </w:r>
      <w:r w:rsidR="00F32816">
        <w:rPr>
          <w:i/>
          <w:iCs/>
          <w:color w:val="000000"/>
          <w:kern w:val="28"/>
        </w:rPr>
        <w:t>,</w:t>
      </w:r>
      <w:r w:rsidR="00F84866" w:rsidRPr="00F32816">
        <w:rPr>
          <w:i/>
          <w:iCs/>
          <w:color w:val="000000"/>
          <w:kern w:val="28"/>
        </w:rPr>
        <w:t xml:space="preserve"> </w:t>
      </w:r>
      <w:r w:rsidR="00F32816">
        <w:rPr>
          <w:i/>
          <w:iCs/>
          <w:color w:val="000000"/>
          <w:kern w:val="28"/>
        </w:rPr>
        <w:t>w</w:t>
      </w:r>
      <w:r w:rsidR="00F84866" w:rsidRPr="00F32816">
        <w:rPr>
          <w:i/>
          <w:iCs/>
          <w:color w:val="000000"/>
          <w:kern w:val="28"/>
        </w:rPr>
        <w:t xml:space="preserve">e never used to open it – climbed over it </w:t>
      </w:r>
      <w:r w:rsidR="00B80E15" w:rsidRPr="00F32816">
        <w:rPr>
          <w:i/>
          <w:iCs/>
          <w:color w:val="000000"/>
          <w:kern w:val="28"/>
        </w:rPr>
        <w:t>(may have been a small gap to the side) Don’t know if it was locked</w:t>
      </w:r>
      <w:r w:rsidR="00B80E15" w:rsidRPr="00F32816">
        <w:rPr>
          <w:color w:val="000000"/>
          <w:kern w:val="28"/>
        </w:rPr>
        <w:t>”</w:t>
      </w:r>
      <w:r w:rsidR="0084716C" w:rsidRPr="00F32816">
        <w:rPr>
          <w:color w:val="000000"/>
          <w:kern w:val="28"/>
        </w:rPr>
        <w:t xml:space="preserve">.  </w:t>
      </w:r>
      <w:r w:rsidR="000C159B" w:rsidRPr="00F32816">
        <w:rPr>
          <w:color w:val="000000"/>
          <w:kern w:val="28"/>
        </w:rPr>
        <w:t>Vicky and Clin</w:t>
      </w:r>
      <w:r w:rsidR="001F595A" w:rsidRPr="00F32816">
        <w:rPr>
          <w:color w:val="000000"/>
          <w:kern w:val="28"/>
        </w:rPr>
        <w:t>t</w:t>
      </w:r>
      <w:r w:rsidR="000C159B" w:rsidRPr="00F32816">
        <w:rPr>
          <w:color w:val="000000"/>
          <w:kern w:val="28"/>
        </w:rPr>
        <w:t xml:space="preserve"> Webb state that the </w:t>
      </w:r>
      <w:r w:rsidR="00900932" w:rsidRPr="00F32816">
        <w:rPr>
          <w:color w:val="000000"/>
          <w:kern w:val="28"/>
        </w:rPr>
        <w:t xml:space="preserve">gate at </w:t>
      </w:r>
      <w:r w:rsidR="001F595A" w:rsidRPr="00F32816">
        <w:rPr>
          <w:color w:val="000000"/>
          <w:kern w:val="28"/>
        </w:rPr>
        <w:t xml:space="preserve">point </w:t>
      </w:r>
      <w:r w:rsidR="00900932" w:rsidRPr="00F32816">
        <w:rPr>
          <w:color w:val="000000"/>
          <w:kern w:val="28"/>
        </w:rPr>
        <w:t>U was</w:t>
      </w:r>
      <w:r w:rsidR="00BD2EE3" w:rsidRPr="00F32816">
        <w:rPr>
          <w:color w:val="000000"/>
          <w:kern w:val="28"/>
        </w:rPr>
        <w:t xml:space="preserve"> “</w:t>
      </w:r>
      <w:r w:rsidR="00BD2EE3" w:rsidRPr="00F32816">
        <w:rPr>
          <w:i/>
          <w:iCs/>
          <w:color w:val="000000"/>
          <w:kern w:val="28"/>
        </w:rPr>
        <w:t>always</w:t>
      </w:r>
      <w:r w:rsidR="00900932" w:rsidRPr="00F32816">
        <w:rPr>
          <w:i/>
          <w:iCs/>
          <w:color w:val="000000"/>
          <w:kern w:val="28"/>
        </w:rPr>
        <w:t xml:space="preserve"> unlocked</w:t>
      </w:r>
      <w:r w:rsidR="00BD2EE3" w:rsidRPr="00F32816">
        <w:rPr>
          <w:color w:val="000000"/>
          <w:kern w:val="28"/>
        </w:rPr>
        <w:t>”</w:t>
      </w:r>
      <w:r w:rsidR="00900932" w:rsidRPr="00F32816">
        <w:rPr>
          <w:color w:val="000000"/>
          <w:kern w:val="28"/>
        </w:rPr>
        <w:t xml:space="preserve"> until 2010.  </w:t>
      </w:r>
      <w:r w:rsidR="00393188" w:rsidRPr="00F32816">
        <w:rPr>
          <w:color w:val="000000"/>
          <w:kern w:val="28"/>
        </w:rPr>
        <w:t>While</w:t>
      </w:r>
      <w:r w:rsidR="00454274" w:rsidRPr="00F32816">
        <w:rPr>
          <w:color w:val="000000"/>
          <w:kern w:val="28"/>
        </w:rPr>
        <w:t xml:space="preserve"> climb</w:t>
      </w:r>
      <w:r w:rsidR="00393188" w:rsidRPr="00F32816">
        <w:rPr>
          <w:color w:val="000000"/>
          <w:kern w:val="28"/>
        </w:rPr>
        <w:t>ing</w:t>
      </w:r>
      <w:r w:rsidR="00454274" w:rsidRPr="00F32816">
        <w:rPr>
          <w:color w:val="000000"/>
          <w:kern w:val="28"/>
        </w:rPr>
        <w:t xml:space="preserve"> over the gates</w:t>
      </w:r>
      <w:r w:rsidR="00393188" w:rsidRPr="00F32816">
        <w:rPr>
          <w:color w:val="000000"/>
          <w:kern w:val="28"/>
        </w:rPr>
        <w:t xml:space="preserve"> would not have constituted a </w:t>
      </w:r>
      <w:r w:rsidR="00454274" w:rsidRPr="00F32816">
        <w:rPr>
          <w:color w:val="000000"/>
          <w:kern w:val="28"/>
        </w:rPr>
        <w:t>peaceable</w:t>
      </w:r>
      <w:r w:rsidR="00393188" w:rsidRPr="00F32816">
        <w:rPr>
          <w:color w:val="000000"/>
          <w:kern w:val="28"/>
        </w:rPr>
        <w:t xml:space="preserve"> use of the route, </w:t>
      </w:r>
      <w:r w:rsidR="00937649" w:rsidRPr="00F32816">
        <w:rPr>
          <w:color w:val="000000"/>
          <w:kern w:val="28"/>
        </w:rPr>
        <w:t xml:space="preserve">the </w:t>
      </w:r>
      <w:r w:rsidR="008025DC" w:rsidRPr="00F32816">
        <w:rPr>
          <w:color w:val="000000"/>
          <w:kern w:val="28"/>
        </w:rPr>
        <w:t>consensus</w:t>
      </w:r>
      <w:r w:rsidR="00937649" w:rsidRPr="00F32816">
        <w:rPr>
          <w:color w:val="000000"/>
          <w:kern w:val="28"/>
        </w:rPr>
        <w:t xml:space="preserve"> </w:t>
      </w:r>
      <w:r w:rsidR="00652478" w:rsidRPr="00F32816">
        <w:rPr>
          <w:color w:val="000000"/>
          <w:kern w:val="28"/>
        </w:rPr>
        <w:t xml:space="preserve">of user evidence </w:t>
      </w:r>
      <w:r w:rsidR="00937649" w:rsidRPr="00F32816">
        <w:rPr>
          <w:color w:val="000000"/>
          <w:kern w:val="28"/>
        </w:rPr>
        <w:t xml:space="preserve">is that </w:t>
      </w:r>
      <w:r w:rsidR="0064441D" w:rsidRPr="00F32816">
        <w:rPr>
          <w:color w:val="000000"/>
          <w:kern w:val="28"/>
        </w:rPr>
        <w:t>prior to 2010 there was</w:t>
      </w:r>
      <w:r w:rsidR="00937649" w:rsidRPr="00F32816">
        <w:rPr>
          <w:color w:val="000000"/>
          <w:kern w:val="28"/>
        </w:rPr>
        <w:t xml:space="preserve"> either</w:t>
      </w:r>
      <w:r w:rsidR="0064441D" w:rsidRPr="00F32816">
        <w:rPr>
          <w:color w:val="000000"/>
          <w:kern w:val="28"/>
        </w:rPr>
        <w:t xml:space="preserve"> a stile, gap or the </w:t>
      </w:r>
      <w:r w:rsidR="00540681" w:rsidRPr="00F32816">
        <w:rPr>
          <w:color w:val="000000"/>
          <w:kern w:val="28"/>
        </w:rPr>
        <w:t>gate</w:t>
      </w:r>
      <w:r w:rsidR="00937649" w:rsidRPr="00F32816">
        <w:rPr>
          <w:color w:val="000000"/>
          <w:kern w:val="28"/>
        </w:rPr>
        <w:t xml:space="preserve"> was </w:t>
      </w:r>
      <w:r w:rsidR="001F595A" w:rsidRPr="00F32816">
        <w:rPr>
          <w:color w:val="000000"/>
          <w:kern w:val="28"/>
        </w:rPr>
        <w:t xml:space="preserve">simply </w:t>
      </w:r>
      <w:r w:rsidR="00937649" w:rsidRPr="00F32816">
        <w:rPr>
          <w:color w:val="000000"/>
          <w:kern w:val="28"/>
        </w:rPr>
        <w:t>unlocked.</w:t>
      </w:r>
      <w:r w:rsidR="00454274" w:rsidRPr="00F32816">
        <w:rPr>
          <w:color w:val="000000"/>
          <w:kern w:val="28"/>
        </w:rPr>
        <w:t xml:space="preserve">    </w:t>
      </w:r>
    </w:p>
    <w:p w14:paraId="277213E1" w14:textId="4398F1D6" w:rsidR="00F8492D" w:rsidRPr="00F32816" w:rsidRDefault="00A87913" w:rsidP="00F32816">
      <w:pPr>
        <w:numPr>
          <w:ilvl w:val="0"/>
          <w:numId w:val="24"/>
        </w:numPr>
        <w:tabs>
          <w:tab w:val="left" w:pos="432"/>
        </w:tabs>
        <w:spacing w:before="180"/>
        <w:outlineLvl w:val="0"/>
        <w:rPr>
          <w:color w:val="000000"/>
          <w:kern w:val="28"/>
        </w:rPr>
      </w:pPr>
      <w:r>
        <w:rPr>
          <w:color w:val="000000"/>
          <w:kern w:val="28"/>
        </w:rPr>
        <w:t xml:space="preserve">WPC provided a photograph of the bridge at point U purportedly taken in 2010.  </w:t>
      </w:r>
      <w:r w:rsidR="00BA4656">
        <w:rPr>
          <w:color w:val="000000"/>
          <w:kern w:val="28"/>
        </w:rPr>
        <w:t>Unlike the photos provided by the Owens, it</w:t>
      </w:r>
      <w:r>
        <w:rPr>
          <w:color w:val="000000"/>
          <w:kern w:val="28"/>
        </w:rPr>
        <w:t xml:space="preserve"> does not show any signage</w:t>
      </w:r>
      <w:r w:rsidR="0084716C">
        <w:rPr>
          <w:color w:val="000000"/>
          <w:kern w:val="28"/>
        </w:rPr>
        <w:t xml:space="preserve"> (other than a </w:t>
      </w:r>
      <w:r w:rsidR="00D26CB3">
        <w:rPr>
          <w:color w:val="000000"/>
          <w:kern w:val="28"/>
        </w:rPr>
        <w:t xml:space="preserve">circular </w:t>
      </w:r>
      <w:r w:rsidR="0084716C">
        <w:rPr>
          <w:color w:val="000000"/>
          <w:kern w:val="28"/>
        </w:rPr>
        <w:t>waymarker)</w:t>
      </w:r>
      <w:r>
        <w:rPr>
          <w:color w:val="000000"/>
          <w:kern w:val="28"/>
        </w:rPr>
        <w:t xml:space="preserve"> nor indeed any gate on the school side of the bridge.  </w:t>
      </w:r>
      <w:r w:rsidR="001141C3" w:rsidRPr="00F32816">
        <w:rPr>
          <w:color w:val="000000"/>
          <w:kern w:val="28"/>
        </w:rPr>
        <w:t>I disagree with the OMA that the photographs provided by the Owens show the gate padlocked.  I cannot see any clear evidence of that in any of the photo</w:t>
      </w:r>
      <w:r w:rsidR="00BA4656" w:rsidRPr="00F32816">
        <w:rPr>
          <w:color w:val="000000"/>
          <w:kern w:val="28"/>
        </w:rPr>
        <w:t>graphs provided</w:t>
      </w:r>
      <w:r w:rsidR="001141C3" w:rsidRPr="00F32816">
        <w:rPr>
          <w:color w:val="000000"/>
          <w:kern w:val="28"/>
        </w:rPr>
        <w:t xml:space="preserve">. </w:t>
      </w:r>
      <w:r w:rsidR="008025DC" w:rsidRPr="00F32816">
        <w:rPr>
          <w:color w:val="000000"/>
          <w:kern w:val="28"/>
        </w:rPr>
        <w:t xml:space="preserve"> Even if </w:t>
      </w:r>
      <w:r w:rsidR="00FF3099" w:rsidRPr="00F32816">
        <w:rPr>
          <w:color w:val="000000"/>
          <w:kern w:val="28"/>
        </w:rPr>
        <w:t xml:space="preserve">I </w:t>
      </w:r>
      <w:r w:rsidR="008025DC" w:rsidRPr="00F32816">
        <w:rPr>
          <w:color w:val="000000"/>
          <w:kern w:val="28"/>
        </w:rPr>
        <w:t xml:space="preserve">am wrong about that, </w:t>
      </w:r>
      <w:r w:rsidR="002E6F6B" w:rsidRPr="00F32816">
        <w:rPr>
          <w:color w:val="000000"/>
          <w:kern w:val="28"/>
        </w:rPr>
        <w:t xml:space="preserve">the </w:t>
      </w:r>
      <w:r w:rsidR="00D26CB3" w:rsidRPr="00F32816">
        <w:rPr>
          <w:color w:val="000000"/>
          <w:kern w:val="28"/>
        </w:rPr>
        <w:t>photographs</w:t>
      </w:r>
      <w:r w:rsidR="002E6F6B" w:rsidRPr="00F32816">
        <w:rPr>
          <w:color w:val="000000"/>
          <w:kern w:val="28"/>
        </w:rPr>
        <w:t xml:space="preserve"> are undated and therefore </w:t>
      </w:r>
      <w:r w:rsidR="00D26CB3" w:rsidRPr="00F32816">
        <w:rPr>
          <w:color w:val="000000"/>
          <w:kern w:val="28"/>
        </w:rPr>
        <w:t>even clear evidence of a</w:t>
      </w:r>
      <w:r w:rsidR="00E55BEC" w:rsidRPr="00F32816">
        <w:rPr>
          <w:color w:val="000000"/>
          <w:kern w:val="28"/>
        </w:rPr>
        <w:t xml:space="preserve"> chain/</w:t>
      </w:r>
      <w:r w:rsidR="00D26CB3" w:rsidRPr="00F32816">
        <w:rPr>
          <w:color w:val="000000"/>
          <w:kern w:val="28"/>
        </w:rPr>
        <w:t xml:space="preserve">padlock </w:t>
      </w:r>
      <w:r w:rsidR="002E6F6B" w:rsidRPr="00F32816">
        <w:rPr>
          <w:color w:val="000000"/>
          <w:kern w:val="28"/>
        </w:rPr>
        <w:t>would not</w:t>
      </w:r>
      <w:r w:rsidR="008B4052" w:rsidRPr="00F32816">
        <w:rPr>
          <w:color w:val="000000"/>
          <w:kern w:val="28"/>
        </w:rPr>
        <w:t xml:space="preserve"> necessarily</w:t>
      </w:r>
      <w:r w:rsidR="002E6F6B" w:rsidRPr="00F32816">
        <w:rPr>
          <w:color w:val="000000"/>
          <w:kern w:val="28"/>
        </w:rPr>
        <w:t xml:space="preserve"> support an earlier </w:t>
      </w:r>
      <w:r w:rsidR="00567C2F">
        <w:rPr>
          <w:color w:val="000000"/>
          <w:kern w:val="28"/>
        </w:rPr>
        <w:t>‘</w:t>
      </w:r>
      <w:r w:rsidR="002E6F6B" w:rsidRPr="00F32816">
        <w:rPr>
          <w:color w:val="000000"/>
          <w:kern w:val="28"/>
        </w:rPr>
        <w:t>calli</w:t>
      </w:r>
      <w:r w:rsidR="00D26CB3" w:rsidRPr="00F32816">
        <w:rPr>
          <w:color w:val="000000"/>
          <w:kern w:val="28"/>
        </w:rPr>
        <w:t>ng into question</w:t>
      </w:r>
      <w:r w:rsidR="00567C2F">
        <w:rPr>
          <w:color w:val="000000"/>
          <w:kern w:val="28"/>
        </w:rPr>
        <w:t>’</w:t>
      </w:r>
      <w:r w:rsidR="00D26CB3" w:rsidRPr="00F32816">
        <w:rPr>
          <w:color w:val="000000"/>
          <w:kern w:val="28"/>
        </w:rPr>
        <w:t xml:space="preserve">.  </w:t>
      </w:r>
      <w:r w:rsidR="00DA0EAB" w:rsidRPr="00F32816">
        <w:rPr>
          <w:color w:val="000000"/>
          <w:kern w:val="28"/>
        </w:rPr>
        <w:t xml:space="preserve">While </w:t>
      </w:r>
      <w:r w:rsidR="001141C3" w:rsidRPr="00F32816">
        <w:rPr>
          <w:color w:val="000000"/>
          <w:kern w:val="28"/>
        </w:rPr>
        <w:t>notices are evident</w:t>
      </w:r>
      <w:r w:rsidR="00DA0EAB" w:rsidRPr="00F32816">
        <w:rPr>
          <w:color w:val="000000"/>
          <w:kern w:val="28"/>
        </w:rPr>
        <w:t>,</w:t>
      </w:r>
      <w:r w:rsidR="008C500B" w:rsidRPr="00F32816">
        <w:rPr>
          <w:color w:val="000000"/>
          <w:kern w:val="28"/>
        </w:rPr>
        <w:t xml:space="preserve"> these are not shown on the 2010 </w:t>
      </w:r>
      <w:r w:rsidR="008D63C1" w:rsidRPr="00F32816">
        <w:rPr>
          <w:color w:val="000000"/>
          <w:kern w:val="28"/>
        </w:rPr>
        <w:t>photograph</w:t>
      </w:r>
      <w:r w:rsidR="008C500B" w:rsidRPr="00F32816">
        <w:rPr>
          <w:color w:val="000000"/>
          <w:kern w:val="28"/>
        </w:rPr>
        <w:t xml:space="preserve"> provided by WPC.  The only logical conclusion is that the</w:t>
      </w:r>
      <w:r w:rsidR="00663D7A" w:rsidRPr="00F32816">
        <w:rPr>
          <w:color w:val="000000"/>
          <w:kern w:val="28"/>
        </w:rPr>
        <w:t xml:space="preserve"> removal of the</w:t>
      </w:r>
      <w:r w:rsidR="00521C01" w:rsidRPr="00F32816">
        <w:rPr>
          <w:color w:val="000000"/>
          <w:kern w:val="28"/>
        </w:rPr>
        <w:t xml:space="preserve"> circular waymarker </w:t>
      </w:r>
      <w:r w:rsidR="00663D7A" w:rsidRPr="00F32816">
        <w:rPr>
          <w:color w:val="000000"/>
          <w:kern w:val="28"/>
        </w:rPr>
        <w:t>sign and the erection of the</w:t>
      </w:r>
      <w:r w:rsidR="00521C01" w:rsidRPr="00F32816">
        <w:rPr>
          <w:color w:val="000000"/>
          <w:kern w:val="28"/>
        </w:rPr>
        <w:t xml:space="preserve"> </w:t>
      </w:r>
      <w:r w:rsidR="008D63C1" w:rsidRPr="00F32816">
        <w:rPr>
          <w:color w:val="000000"/>
          <w:kern w:val="28"/>
        </w:rPr>
        <w:t>“</w:t>
      </w:r>
      <w:r w:rsidR="008D63C1" w:rsidRPr="00F32816">
        <w:rPr>
          <w:i/>
          <w:iCs/>
          <w:color w:val="000000"/>
          <w:kern w:val="28"/>
        </w:rPr>
        <w:t>No public Footpath</w:t>
      </w:r>
      <w:r w:rsidR="008D63C1" w:rsidRPr="00F32816">
        <w:rPr>
          <w:color w:val="000000"/>
          <w:kern w:val="28"/>
        </w:rPr>
        <w:t xml:space="preserve">” </w:t>
      </w:r>
      <w:r w:rsidR="00E55BEC" w:rsidRPr="00F32816">
        <w:rPr>
          <w:color w:val="000000"/>
          <w:kern w:val="28"/>
        </w:rPr>
        <w:t>notice</w:t>
      </w:r>
      <w:r w:rsidR="00663D7A" w:rsidRPr="00F32816">
        <w:rPr>
          <w:color w:val="000000"/>
          <w:kern w:val="28"/>
        </w:rPr>
        <w:t xml:space="preserve"> </w:t>
      </w:r>
      <w:r w:rsidR="00E549B0">
        <w:rPr>
          <w:color w:val="000000"/>
          <w:kern w:val="28"/>
        </w:rPr>
        <w:t xml:space="preserve">at point U </w:t>
      </w:r>
      <w:r w:rsidR="00663D7A" w:rsidRPr="00F32816">
        <w:rPr>
          <w:color w:val="000000"/>
          <w:kern w:val="28"/>
        </w:rPr>
        <w:t xml:space="preserve">did not occur until 2010 </w:t>
      </w:r>
      <w:r w:rsidR="00982342" w:rsidRPr="00F32816">
        <w:rPr>
          <w:color w:val="000000"/>
          <w:kern w:val="28"/>
        </w:rPr>
        <w:t>at the earliest.</w:t>
      </w:r>
      <w:r w:rsidR="00963B31" w:rsidRPr="00F32816">
        <w:rPr>
          <w:color w:val="000000"/>
          <w:kern w:val="28"/>
        </w:rPr>
        <w:t xml:space="preserve">  </w:t>
      </w:r>
      <w:r w:rsidR="008B4052" w:rsidRPr="00F32816">
        <w:rPr>
          <w:color w:val="000000"/>
          <w:kern w:val="28"/>
        </w:rPr>
        <w:t>That</w:t>
      </w:r>
      <w:r w:rsidR="00775DD9" w:rsidRPr="00F32816">
        <w:rPr>
          <w:color w:val="000000"/>
          <w:kern w:val="28"/>
        </w:rPr>
        <w:t xml:space="preserve"> would be a year or two later </w:t>
      </w:r>
      <w:r w:rsidR="00D0204F" w:rsidRPr="00F32816">
        <w:rPr>
          <w:color w:val="000000"/>
          <w:kern w:val="28"/>
        </w:rPr>
        <w:t xml:space="preserve">than the 2008/9 date given by the </w:t>
      </w:r>
      <w:r w:rsidR="001141C3" w:rsidRPr="00F32816">
        <w:rPr>
          <w:color w:val="000000"/>
          <w:kern w:val="28"/>
        </w:rPr>
        <w:t>Owens</w:t>
      </w:r>
      <w:r w:rsidR="00D0204F" w:rsidRPr="00F32816">
        <w:rPr>
          <w:color w:val="000000"/>
          <w:kern w:val="28"/>
        </w:rPr>
        <w:t xml:space="preserve">. </w:t>
      </w:r>
      <w:r w:rsidR="00982342" w:rsidRPr="00F32816">
        <w:rPr>
          <w:color w:val="000000"/>
          <w:kern w:val="28"/>
        </w:rPr>
        <w:t xml:space="preserve"> </w:t>
      </w:r>
    </w:p>
    <w:p w14:paraId="477DB4A0" w14:textId="7ACF7E5E" w:rsidR="00D62C42" w:rsidRPr="009D0189" w:rsidRDefault="00FF3099" w:rsidP="009D0189">
      <w:pPr>
        <w:numPr>
          <w:ilvl w:val="0"/>
          <w:numId w:val="24"/>
        </w:numPr>
        <w:tabs>
          <w:tab w:val="left" w:pos="432"/>
        </w:tabs>
        <w:spacing w:before="180"/>
        <w:outlineLvl w:val="0"/>
        <w:rPr>
          <w:color w:val="000000"/>
          <w:kern w:val="28"/>
        </w:rPr>
      </w:pPr>
      <w:r w:rsidRPr="00736645">
        <w:rPr>
          <w:color w:val="000000"/>
          <w:kern w:val="28"/>
        </w:rPr>
        <w:t>Interruption means the actual and physical stopping of the enjoyment of the public’s use of the way – it is generally held that this is distinct from periods of non</w:t>
      </w:r>
      <w:r w:rsidRPr="00736645">
        <w:rPr>
          <w:rFonts w:ascii="Cambria Math" w:hAnsi="Cambria Math" w:cs="Cambria Math"/>
          <w:color w:val="000000"/>
          <w:kern w:val="28"/>
        </w:rPr>
        <w:t>‐</w:t>
      </w:r>
      <w:r w:rsidRPr="00736645">
        <w:rPr>
          <w:color w:val="000000"/>
          <w:kern w:val="28"/>
        </w:rPr>
        <w:t>use or sparse use</w:t>
      </w:r>
      <w:r>
        <w:rPr>
          <w:rStyle w:val="FootnoteReference"/>
          <w:color w:val="000000"/>
          <w:kern w:val="28"/>
        </w:rPr>
        <w:footnoteReference w:id="5"/>
      </w:r>
      <w:r w:rsidRPr="00736645">
        <w:rPr>
          <w:color w:val="000000"/>
          <w:kern w:val="28"/>
        </w:rPr>
        <w:t xml:space="preserve"> and therefore means some actual action of the landowner, or someone acting with his authority.</w:t>
      </w:r>
      <w:r>
        <w:rPr>
          <w:color w:val="000000"/>
          <w:kern w:val="28"/>
        </w:rPr>
        <w:t xml:space="preserve">  A </w:t>
      </w:r>
      <w:r w:rsidRPr="00F745D7">
        <w:rPr>
          <w:color w:val="000000"/>
          <w:kern w:val="28"/>
        </w:rPr>
        <w:t xml:space="preserve">common example is the locked gate or bar across a route, often on a certain, specified day in the year. </w:t>
      </w:r>
      <w:r>
        <w:rPr>
          <w:color w:val="000000"/>
          <w:kern w:val="28"/>
        </w:rPr>
        <w:t>Even then</w:t>
      </w:r>
      <w:r w:rsidR="00FE4830">
        <w:rPr>
          <w:color w:val="000000"/>
          <w:kern w:val="28"/>
        </w:rPr>
        <w:t>,</w:t>
      </w:r>
      <w:r>
        <w:rPr>
          <w:color w:val="000000"/>
          <w:kern w:val="28"/>
        </w:rPr>
        <w:t xml:space="preserve"> </w:t>
      </w:r>
      <w:r w:rsidRPr="00F745D7">
        <w:rPr>
          <w:color w:val="000000"/>
          <w:kern w:val="28"/>
        </w:rPr>
        <w:t>this is not absolute proof of interruption</w:t>
      </w:r>
      <w:r>
        <w:rPr>
          <w:color w:val="000000"/>
          <w:kern w:val="28"/>
        </w:rPr>
        <w:t>.  I</w:t>
      </w:r>
      <w:r w:rsidRPr="00F745D7">
        <w:rPr>
          <w:color w:val="000000"/>
          <w:kern w:val="28"/>
        </w:rPr>
        <w:t xml:space="preserve">n </w:t>
      </w:r>
      <w:r w:rsidRPr="004F3120">
        <w:rPr>
          <w:i/>
          <w:iCs/>
          <w:color w:val="000000"/>
          <w:kern w:val="28"/>
        </w:rPr>
        <w:t xml:space="preserve">R v Secretary of State </w:t>
      </w:r>
      <w:r w:rsidRPr="004F3120">
        <w:rPr>
          <w:i/>
          <w:iCs/>
          <w:color w:val="000000"/>
          <w:kern w:val="28"/>
        </w:rPr>
        <w:lastRenderedPageBreak/>
        <w:t xml:space="preserve">for the Environment ex </w:t>
      </w:r>
      <w:proofErr w:type="spellStart"/>
      <w:r w:rsidRPr="004F3120">
        <w:rPr>
          <w:i/>
          <w:iCs/>
          <w:color w:val="000000"/>
          <w:kern w:val="28"/>
        </w:rPr>
        <w:t>parte</w:t>
      </w:r>
      <w:proofErr w:type="spellEnd"/>
      <w:r w:rsidRPr="004F3120">
        <w:rPr>
          <w:i/>
          <w:iCs/>
          <w:color w:val="000000"/>
          <w:kern w:val="28"/>
        </w:rPr>
        <w:t xml:space="preserve"> Cowell</w:t>
      </w:r>
      <w:r w:rsidRPr="004F3120">
        <w:rPr>
          <w:rStyle w:val="FootnoteReference"/>
          <w:color w:val="000000"/>
          <w:kern w:val="28"/>
        </w:rPr>
        <w:footnoteReference w:id="6"/>
      </w:r>
      <w:r w:rsidRPr="00F745D7">
        <w:rPr>
          <w:color w:val="000000"/>
          <w:kern w:val="28"/>
        </w:rPr>
        <w:t>, a locked gate on Christmas Day only and in a blizzard may not actually and physically stop enjoyment</w:t>
      </w:r>
      <w:r>
        <w:rPr>
          <w:color w:val="000000"/>
          <w:kern w:val="28"/>
        </w:rPr>
        <w:t>.  In this case, the user evidence does not support the locking of the gate until 2010.  Therefore, if the gate was initially locked in 2003 as claimed by Karin Owen, th</w:t>
      </w:r>
      <w:r w:rsidR="00FE4830">
        <w:rPr>
          <w:color w:val="000000"/>
          <w:kern w:val="28"/>
        </w:rPr>
        <w:t>is was l</w:t>
      </w:r>
      <w:r>
        <w:rPr>
          <w:color w:val="000000"/>
          <w:kern w:val="28"/>
        </w:rPr>
        <w:t xml:space="preserve">ikely </w:t>
      </w:r>
      <w:r w:rsidR="00FE4830">
        <w:rPr>
          <w:color w:val="000000"/>
          <w:kern w:val="28"/>
        </w:rPr>
        <w:t xml:space="preserve">to have been </w:t>
      </w:r>
      <w:r>
        <w:rPr>
          <w:color w:val="000000"/>
          <w:kern w:val="28"/>
        </w:rPr>
        <w:t>for a short period</w:t>
      </w:r>
      <w:r w:rsidR="00FE4830">
        <w:rPr>
          <w:color w:val="000000"/>
          <w:kern w:val="28"/>
        </w:rPr>
        <w:t xml:space="preserve"> only</w:t>
      </w:r>
      <w:r>
        <w:rPr>
          <w:color w:val="000000"/>
          <w:kern w:val="28"/>
        </w:rPr>
        <w:t xml:space="preserve"> </w:t>
      </w:r>
      <w:r w:rsidR="00FE4830">
        <w:rPr>
          <w:color w:val="000000"/>
          <w:kern w:val="28"/>
        </w:rPr>
        <w:t>and in</w:t>
      </w:r>
      <w:r>
        <w:rPr>
          <w:color w:val="000000"/>
          <w:kern w:val="28"/>
        </w:rPr>
        <w:t xml:space="preserve">sufficient to constitute an ‘interruption’. </w:t>
      </w:r>
    </w:p>
    <w:p w14:paraId="6C6984DC" w14:textId="5E8164D4" w:rsidR="00E10526" w:rsidRDefault="00D0697D" w:rsidP="00E10526">
      <w:pPr>
        <w:numPr>
          <w:ilvl w:val="0"/>
          <w:numId w:val="24"/>
        </w:numPr>
        <w:tabs>
          <w:tab w:val="left" w:pos="432"/>
        </w:tabs>
        <w:spacing w:before="180"/>
        <w:outlineLvl w:val="0"/>
        <w:rPr>
          <w:color w:val="000000"/>
          <w:kern w:val="28"/>
        </w:rPr>
      </w:pPr>
      <w:r w:rsidRPr="00D0697D">
        <w:rPr>
          <w:color w:val="000000"/>
          <w:kern w:val="28"/>
        </w:rPr>
        <w:t>Timothy Smith</w:t>
      </w:r>
      <w:r w:rsidR="00E4622B">
        <w:rPr>
          <w:color w:val="000000"/>
          <w:kern w:val="28"/>
        </w:rPr>
        <w:t>, a former teacher at Beachborough,</w:t>
      </w:r>
      <w:r w:rsidRPr="00D0697D">
        <w:rPr>
          <w:color w:val="000000"/>
          <w:kern w:val="28"/>
        </w:rPr>
        <w:t xml:space="preserve"> </w:t>
      </w:r>
      <w:r>
        <w:rPr>
          <w:color w:val="000000"/>
          <w:kern w:val="28"/>
        </w:rPr>
        <w:t xml:space="preserve">recalls </w:t>
      </w:r>
      <w:r w:rsidRPr="00D0697D">
        <w:rPr>
          <w:color w:val="000000"/>
          <w:kern w:val="28"/>
        </w:rPr>
        <w:t>that there</w:t>
      </w:r>
      <w:r w:rsidR="00450561">
        <w:rPr>
          <w:color w:val="000000"/>
          <w:kern w:val="28"/>
        </w:rPr>
        <w:t xml:space="preserve"> were </w:t>
      </w:r>
      <w:r w:rsidRPr="00D0697D">
        <w:rPr>
          <w:color w:val="000000"/>
          <w:kern w:val="28"/>
        </w:rPr>
        <w:t xml:space="preserve">locked gates </w:t>
      </w:r>
      <w:r w:rsidR="00450561">
        <w:rPr>
          <w:color w:val="000000"/>
          <w:kern w:val="28"/>
        </w:rPr>
        <w:t xml:space="preserve">on the school side of the </w:t>
      </w:r>
      <w:r w:rsidR="002A2D85">
        <w:rPr>
          <w:color w:val="000000"/>
          <w:kern w:val="28"/>
        </w:rPr>
        <w:t>footbridge</w:t>
      </w:r>
      <w:r w:rsidR="00450561">
        <w:rPr>
          <w:color w:val="000000"/>
          <w:kern w:val="28"/>
        </w:rPr>
        <w:t xml:space="preserve"> </w:t>
      </w:r>
      <w:r w:rsidR="00F36D50">
        <w:rPr>
          <w:color w:val="000000"/>
          <w:kern w:val="28"/>
        </w:rPr>
        <w:t xml:space="preserve">at </w:t>
      </w:r>
      <w:r w:rsidR="001F595A">
        <w:rPr>
          <w:color w:val="000000"/>
          <w:kern w:val="28"/>
        </w:rPr>
        <w:t>p</w:t>
      </w:r>
      <w:r w:rsidR="00D912BE">
        <w:rPr>
          <w:color w:val="000000"/>
          <w:kern w:val="28"/>
        </w:rPr>
        <w:t xml:space="preserve">oint </w:t>
      </w:r>
      <w:r w:rsidRPr="00D0697D">
        <w:rPr>
          <w:color w:val="000000"/>
          <w:kern w:val="28"/>
        </w:rPr>
        <w:t>U and</w:t>
      </w:r>
      <w:r w:rsidR="00450561">
        <w:rPr>
          <w:color w:val="000000"/>
          <w:kern w:val="28"/>
        </w:rPr>
        <w:t xml:space="preserve"> </w:t>
      </w:r>
      <w:r w:rsidR="00F36D50">
        <w:rPr>
          <w:color w:val="000000"/>
          <w:kern w:val="28"/>
        </w:rPr>
        <w:t xml:space="preserve">another </w:t>
      </w:r>
      <w:r w:rsidR="00450561">
        <w:rPr>
          <w:color w:val="000000"/>
          <w:kern w:val="28"/>
        </w:rPr>
        <w:t xml:space="preserve">at </w:t>
      </w:r>
      <w:r w:rsidR="00F36D50">
        <w:rPr>
          <w:color w:val="000000"/>
          <w:kern w:val="28"/>
        </w:rPr>
        <w:t>p</w:t>
      </w:r>
      <w:r w:rsidR="00450561">
        <w:rPr>
          <w:color w:val="000000"/>
          <w:kern w:val="28"/>
        </w:rPr>
        <w:t>oint</w:t>
      </w:r>
      <w:r w:rsidRPr="00D0697D">
        <w:rPr>
          <w:color w:val="000000"/>
          <w:kern w:val="28"/>
        </w:rPr>
        <w:t xml:space="preserve"> W</w:t>
      </w:r>
      <w:r w:rsidR="00450561">
        <w:rPr>
          <w:color w:val="000000"/>
          <w:kern w:val="28"/>
        </w:rPr>
        <w:t xml:space="preserve"> from 1995 onwards.  However,</w:t>
      </w:r>
      <w:r w:rsidR="00CA7EDA">
        <w:rPr>
          <w:color w:val="000000"/>
          <w:kern w:val="28"/>
        </w:rPr>
        <w:t xml:space="preserve"> </w:t>
      </w:r>
      <w:r w:rsidR="002A2D85">
        <w:rPr>
          <w:color w:val="000000"/>
          <w:kern w:val="28"/>
        </w:rPr>
        <w:t xml:space="preserve">that account is </w:t>
      </w:r>
      <w:r w:rsidR="00470F4F">
        <w:rPr>
          <w:color w:val="000000"/>
          <w:kern w:val="28"/>
        </w:rPr>
        <w:t xml:space="preserve">not </w:t>
      </w:r>
      <w:r w:rsidR="00F36D50">
        <w:rPr>
          <w:color w:val="000000"/>
          <w:kern w:val="28"/>
        </w:rPr>
        <w:t>corroborated by other witnesses.  F</w:t>
      </w:r>
      <w:r w:rsidR="00EE1078">
        <w:rPr>
          <w:color w:val="000000"/>
          <w:kern w:val="28"/>
        </w:rPr>
        <w:t xml:space="preserve">or example, </w:t>
      </w:r>
      <w:r w:rsidR="00470F4F">
        <w:rPr>
          <w:color w:val="000000"/>
          <w:kern w:val="28"/>
        </w:rPr>
        <w:t>Terence Sadler</w:t>
      </w:r>
      <w:r w:rsidR="00EE1078">
        <w:rPr>
          <w:color w:val="000000"/>
          <w:kern w:val="28"/>
        </w:rPr>
        <w:t xml:space="preserve">’s </w:t>
      </w:r>
      <w:r w:rsidR="00470F4F">
        <w:rPr>
          <w:color w:val="000000"/>
          <w:kern w:val="28"/>
        </w:rPr>
        <w:t>state</w:t>
      </w:r>
      <w:r w:rsidR="00EE1078">
        <w:rPr>
          <w:color w:val="000000"/>
          <w:kern w:val="28"/>
        </w:rPr>
        <w:t xml:space="preserve">s that </w:t>
      </w:r>
      <w:r w:rsidR="002A2D85">
        <w:rPr>
          <w:color w:val="000000"/>
          <w:kern w:val="28"/>
        </w:rPr>
        <w:t xml:space="preserve">in 2018 that the </w:t>
      </w:r>
      <w:r w:rsidR="00F36D50">
        <w:rPr>
          <w:color w:val="000000"/>
          <w:kern w:val="28"/>
        </w:rPr>
        <w:t xml:space="preserve">[school] </w:t>
      </w:r>
      <w:r w:rsidR="002A2D85">
        <w:rPr>
          <w:color w:val="000000"/>
          <w:kern w:val="28"/>
        </w:rPr>
        <w:t xml:space="preserve">gate had only recently been locked.  </w:t>
      </w:r>
      <w:r w:rsidR="00F95D35">
        <w:rPr>
          <w:color w:val="000000"/>
          <w:kern w:val="28"/>
        </w:rPr>
        <w:t>T</w:t>
      </w:r>
      <w:r w:rsidR="002A2D85">
        <w:rPr>
          <w:color w:val="000000"/>
          <w:kern w:val="28"/>
        </w:rPr>
        <w:t>he 1995</w:t>
      </w:r>
      <w:r w:rsidR="00F95D35">
        <w:rPr>
          <w:color w:val="000000"/>
          <w:kern w:val="28"/>
        </w:rPr>
        <w:t xml:space="preserve"> date also </w:t>
      </w:r>
      <w:r w:rsidR="002A2D85">
        <w:rPr>
          <w:color w:val="000000"/>
          <w:kern w:val="28"/>
        </w:rPr>
        <w:t xml:space="preserve">conflicts </w:t>
      </w:r>
      <w:r w:rsidR="007A0D26">
        <w:rPr>
          <w:color w:val="000000"/>
          <w:kern w:val="28"/>
        </w:rPr>
        <w:t xml:space="preserve">with a significant body of local user evidence as well as WPC’s </w:t>
      </w:r>
      <w:r w:rsidR="003D7EB4">
        <w:rPr>
          <w:color w:val="000000"/>
          <w:kern w:val="28"/>
        </w:rPr>
        <w:t xml:space="preserve">2010 </w:t>
      </w:r>
      <w:r w:rsidR="007A0D26">
        <w:rPr>
          <w:color w:val="000000"/>
          <w:kern w:val="28"/>
        </w:rPr>
        <w:t xml:space="preserve">photograph which shows </w:t>
      </w:r>
      <w:r w:rsidR="00E10526">
        <w:rPr>
          <w:color w:val="000000"/>
          <w:kern w:val="28"/>
        </w:rPr>
        <w:t xml:space="preserve">there was no </w:t>
      </w:r>
      <w:r w:rsidR="007A0D26">
        <w:rPr>
          <w:color w:val="000000"/>
          <w:kern w:val="28"/>
        </w:rPr>
        <w:t>gate on the school side of the footbridge</w:t>
      </w:r>
      <w:r w:rsidR="00FE4830">
        <w:rPr>
          <w:color w:val="000000"/>
          <w:kern w:val="28"/>
        </w:rPr>
        <w:t xml:space="preserve"> at that time. </w:t>
      </w:r>
    </w:p>
    <w:p w14:paraId="44161FAD" w14:textId="722297A1" w:rsidR="0050441C" w:rsidRDefault="007D2DC2" w:rsidP="00B013EA">
      <w:pPr>
        <w:pStyle w:val="Style1"/>
        <w:numPr>
          <w:ilvl w:val="0"/>
          <w:numId w:val="24"/>
        </w:numPr>
      </w:pPr>
      <w:r w:rsidRPr="00AF3F29">
        <w:t xml:space="preserve">In terms of Route 2, </w:t>
      </w:r>
      <w:r w:rsidR="00FA168D" w:rsidRPr="00AF3F29">
        <w:t>David Owen claim</w:t>
      </w:r>
      <w:r w:rsidR="009451EB" w:rsidRPr="00AF3F29">
        <w:t>s that</w:t>
      </w:r>
      <w:r w:rsidR="003A65D1" w:rsidRPr="003A65D1">
        <w:t xml:space="preserve"> </w:t>
      </w:r>
      <w:r w:rsidR="003A65D1">
        <w:t>“</w:t>
      </w:r>
      <w:r w:rsidR="003A65D1" w:rsidRPr="00B013EA">
        <w:rPr>
          <w:i/>
          <w:iCs/>
        </w:rPr>
        <w:t>private no access</w:t>
      </w:r>
      <w:r w:rsidR="003A65D1">
        <w:t>”</w:t>
      </w:r>
      <w:r w:rsidR="009451EB" w:rsidRPr="00AF3F29">
        <w:t xml:space="preserve"> </w:t>
      </w:r>
      <w:r w:rsidR="008C1DD9" w:rsidRPr="00AF3F29">
        <w:t>signs were erected at point Y in 2003</w:t>
      </w:r>
      <w:r w:rsidR="00585D50">
        <w:t>/</w:t>
      </w:r>
      <w:r w:rsidR="00B10D18">
        <w:t>4</w:t>
      </w:r>
      <w:r w:rsidRPr="00AF3F29">
        <w:t xml:space="preserve"> but were subsequently </w:t>
      </w:r>
      <w:r w:rsidR="00FA168D" w:rsidRPr="00AF3F29">
        <w:t>ignored, torn down or defaced.</w:t>
      </w:r>
      <w:r w:rsidR="009D7F7B" w:rsidRPr="00AF3F29">
        <w:t xml:space="preserve"> </w:t>
      </w:r>
      <w:r w:rsidR="003A65D1">
        <w:t xml:space="preserve"> </w:t>
      </w:r>
      <w:r w:rsidR="00585D50">
        <w:t>Many years later “</w:t>
      </w:r>
      <w:r w:rsidR="00585D50" w:rsidRPr="00585D50">
        <w:rPr>
          <w:i/>
          <w:iCs/>
        </w:rPr>
        <w:t>No public footpath</w:t>
      </w:r>
      <w:r w:rsidR="00585D50">
        <w:t>”</w:t>
      </w:r>
      <w:r w:rsidR="00585D50" w:rsidRPr="0066556F">
        <w:t xml:space="preserve"> and </w:t>
      </w:r>
      <w:r w:rsidR="00585D50">
        <w:t>“</w:t>
      </w:r>
      <w:r w:rsidR="00585D50" w:rsidRPr="00585D50">
        <w:rPr>
          <w:i/>
          <w:iCs/>
        </w:rPr>
        <w:t>private land no access without permission</w:t>
      </w:r>
      <w:r w:rsidR="00585D50">
        <w:t xml:space="preserve">” </w:t>
      </w:r>
      <w:r w:rsidR="00E10526">
        <w:t xml:space="preserve">notices </w:t>
      </w:r>
      <w:r w:rsidR="00585D50">
        <w:t xml:space="preserve">were erected at </w:t>
      </w:r>
      <w:r w:rsidR="00B013EA">
        <w:t>p</w:t>
      </w:r>
      <w:r w:rsidR="00585D50">
        <w:t xml:space="preserve">oints </w:t>
      </w:r>
      <w:r w:rsidR="00585D50" w:rsidRPr="0066556F">
        <w:t xml:space="preserve">U and V </w:t>
      </w:r>
      <w:r w:rsidR="00585D50">
        <w:t>in</w:t>
      </w:r>
      <w:r w:rsidR="00585D50" w:rsidRPr="0066556F">
        <w:t xml:space="preserve"> 2008/9.</w:t>
      </w:r>
      <w:r w:rsidR="00585D50">
        <w:t xml:space="preserve">  </w:t>
      </w:r>
      <w:r w:rsidR="00A12D11">
        <w:t>In addition</w:t>
      </w:r>
      <w:r w:rsidR="00E472BC">
        <w:t xml:space="preserve"> to</w:t>
      </w:r>
      <w:r w:rsidR="00B013EA">
        <w:t xml:space="preserve"> notices</w:t>
      </w:r>
      <w:r w:rsidR="00E472BC">
        <w:t xml:space="preserve">, </w:t>
      </w:r>
      <w:r w:rsidR="00B013EA">
        <w:t>David</w:t>
      </w:r>
      <w:r w:rsidR="00E472BC">
        <w:t xml:space="preserve"> Owen</w:t>
      </w:r>
      <w:r w:rsidR="00B013EA">
        <w:t xml:space="preserve"> also</w:t>
      </w:r>
      <w:r w:rsidR="00E472BC">
        <w:t xml:space="preserve"> </w:t>
      </w:r>
      <w:r w:rsidR="0066556F">
        <w:t>states that</w:t>
      </w:r>
      <w:r w:rsidR="00A12D11">
        <w:t xml:space="preserve"> gates at </w:t>
      </w:r>
      <w:r w:rsidR="00FE4830">
        <w:t>p</w:t>
      </w:r>
      <w:r w:rsidR="00E43570">
        <w:t>oints Y and U were locked from 2002/3 onwards</w:t>
      </w:r>
      <w:r w:rsidR="003511D2">
        <w:t>.</w:t>
      </w:r>
      <w:r w:rsidR="00E43570">
        <w:t xml:space="preserve"> </w:t>
      </w:r>
      <w:r w:rsidR="00FA168D" w:rsidRPr="00AF3F29">
        <w:t xml:space="preserve"> </w:t>
      </w:r>
      <w:r w:rsidR="00302189">
        <w:t>Mr Ow</w:t>
      </w:r>
      <w:r w:rsidR="0050441C">
        <w:t xml:space="preserve">en’s evidence </w:t>
      </w:r>
      <w:r w:rsidR="00C40B8D">
        <w:t xml:space="preserve">is </w:t>
      </w:r>
      <w:r w:rsidR="00421786" w:rsidRPr="00AF3F29">
        <w:t>supported by</w:t>
      </w:r>
      <w:r w:rsidR="005E3108">
        <w:t xml:space="preserve"> most of the landowners</w:t>
      </w:r>
      <w:r w:rsidR="00B013EA">
        <w:t>’</w:t>
      </w:r>
      <w:r w:rsidR="005E3108">
        <w:t xml:space="preserve"> </w:t>
      </w:r>
      <w:r w:rsidR="00421786" w:rsidRPr="00AF3F29">
        <w:t>witnesses</w:t>
      </w:r>
      <w:r w:rsidR="00421786">
        <w:rPr>
          <w:rStyle w:val="FootnoteReference"/>
        </w:rPr>
        <w:footnoteReference w:id="7"/>
      </w:r>
      <w:r w:rsidR="0050441C">
        <w:t xml:space="preserve">.  </w:t>
      </w:r>
    </w:p>
    <w:p w14:paraId="68C64320" w14:textId="77777777" w:rsidR="00FE4830" w:rsidRDefault="009D7F7B" w:rsidP="00B914C7">
      <w:pPr>
        <w:pStyle w:val="Style1"/>
        <w:numPr>
          <w:ilvl w:val="0"/>
          <w:numId w:val="24"/>
        </w:numPr>
      </w:pPr>
      <w:r w:rsidRPr="00AF3F29">
        <w:t xml:space="preserve">While </w:t>
      </w:r>
      <w:r w:rsidR="00F51D2D" w:rsidRPr="00AF3F29">
        <w:t>photographs</w:t>
      </w:r>
      <w:r w:rsidRPr="00AF3F29">
        <w:t xml:space="preserve"> have been submitted</w:t>
      </w:r>
      <w:r w:rsidR="006A62C2">
        <w:t xml:space="preserve"> by the landowners’</w:t>
      </w:r>
      <w:r w:rsidRPr="00AF3F29">
        <w:t xml:space="preserve"> showing notices</w:t>
      </w:r>
      <w:r w:rsidR="006C2808" w:rsidRPr="00AF3F29">
        <w:t xml:space="preserve"> </w:t>
      </w:r>
      <w:r w:rsidR="00B013EA">
        <w:t>at point Y</w:t>
      </w:r>
      <w:r w:rsidR="00FE4830">
        <w:t>,</w:t>
      </w:r>
      <w:r w:rsidR="00B013EA">
        <w:t xml:space="preserve"> </w:t>
      </w:r>
      <w:r w:rsidR="006A62C2">
        <w:t>the</w:t>
      </w:r>
      <w:r w:rsidR="00B013EA">
        <w:t xml:space="preserve">se are </w:t>
      </w:r>
      <w:r w:rsidR="000D624B">
        <w:t xml:space="preserve">again </w:t>
      </w:r>
      <w:r w:rsidR="006A62C2">
        <w:t>un</w:t>
      </w:r>
      <w:r w:rsidR="006C2808" w:rsidRPr="00AF3F29">
        <w:t>dated</w:t>
      </w:r>
      <w:r w:rsidR="00F51D2D" w:rsidRPr="00AF3F29">
        <w:t xml:space="preserve"> and </w:t>
      </w:r>
      <w:r w:rsidR="006A62C2">
        <w:t>t</w:t>
      </w:r>
      <w:r w:rsidR="00773EFE" w:rsidRPr="00AF3F29">
        <w:t>herefore</w:t>
      </w:r>
      <w:r w:rsidR="001678DD">
        <w:t xml:space="preserve"> of little evidential value</w:t>
      </w:r>
      <w:r w:rsidR="008D7EA8">
        <w:t xml:space="preserve"> in terms of </w:t>
      </w:r>
      <w:r w:rsidR="000D624B">
        <w:t>demonstrating an earlier ‘calling into question’</w:t>
      </w:r>
      <w:r w:rsidR="00EE33DD">
        <w:t xml:space="preserve">.  </w:t>
      </w:r>
      <w:r w:rsidR="00452F6C">
        <w:t xml:space="preserve">Fencing invoices have </w:t>
      </w:r>
      <w:r w:rsidR="00C12746">
        <w:t xml:space="preserve">also </w:t>
      </w:r>
      <w:r w:rsidR="00452F6C">
        <w:t>been supplied.  However, these only show that the fence “</w:t>
      </w:r>
      <w:r w:rsidR="00452F6C" w:rsidRPr="0074472D">
        <w:rPr>
          <w:i/>
          <w:iCs/>
        </w:rPr>
        <w:t>along the old railway</w:t>
      </w:r>
      <w:r w:rsidR="00452F6C">
        <w:t xml:space="preserve">” was replaced at some point before 8 May 2010.  </w:t>
      </w:r>
    </w:p>
    <w:p w14:paraId="5F71D6D9" w14:textId="77777777" w:rsidR="00FE4830" w:rsidRDefault="00FE4830" w:rsidP="00FE4830">
      <w:pPr>
        <w:pStyle w:val="Style1"/>
        <w:numPr>
          <w:ilvl w:val="0"/>
          <w:numId w:val="24"/>
        </w:numPr>
      </w:pPr>
      <w:r>
        <w:t xml:space="preserve">The landowner evidence </w:t>
      </w:r>
      <w:proofErr w:type="gramStart"/>
      <w:r>
        <w:t>has to</w:t>
      </w:r>
      <w:proofErr w:type="gramEnd"/>
      <w:r>
        <w:t xml:space="preserve"> be weighed against that of local people, a significant number of which (over 50) have no recollection of any notices prior to 2009.  In December of that year, WPC reported that “</w:t>
      </w:r>
      <w:r w:rsidRPr="0025377A">
        <w:rPr>
          <w:i/>
          <w:iCs/>
        </w:rPr>
        <w:t>private land, no access”</w:t>
      </w:r>
      <w:r w:rsidRPr="000926A3">
        <w:t xml:space="preserve"> signs have been erected</w:t>
      </w:r>
      <w:r>
        <w:t xml:space="preserve"> at point Y as well as the removal of a circular waymarker and stile</w:t>
      </w:r>
      <w:r w:rsidRPr="000926A3">
        <w:t>.</w:t>
      </w:r>
      <w:r>
        <w:t xml:space="preserve">  </w:t>
      </w:r>
    </w:p>
    <w:p w14:paraId="132D3966" w14:textId="35F3B871" w:rsidR="00AC67C5" w:rsidRDefault="00B914C7" w:rsidP="00DC2F9A">
      <w:pPr>
        <w:pStyle w:val="Style1"/>
        <w:numPr>
          <w:ilvl w:val="0"/>
          <w:numId w:val="24"/>
        </w:numPr>
      </w:pPr>
      <w:r>
        <w:t>Given the i</w:t>
      </w:r>
      <w:r w:rsidR="0008252E">
        <w:t>nconsistency between the landowner</w:t>
      </w:r>
      <w:r w:rsidR="005D1D65">
        <w:t xml:space="preserve"> and user evidence</w:t>
      </w:r>
      <w:r w:rsidR="007C6ED5">
        <w:t>, i</w:t>
      </w:r>
      <w:r w:rsidR="0086697E">
        <w:t>t is</w:t>
      </w:r>
      <w:r w:rsidR="005D1D65">
        <w:t xml:space="preserve"> not unreasonable to ask </w:t>
      </w:r>
      <w:r w:rsidR="0086697E">
        <w:t>why</w:t>
      </w:r>
      <w:r w:rsidR="005D1D65">
        <w:t xml:space="preserve"> the </w:t>
      </w:r>
      <w:r w:rsidR="0086697E">
        <w:t xml:space="preserve">landowners did not erect signage at </w:t>
      </w:r>
      <w:r w:rsidR="006457D0">
        <w:t>p</w:t>
      </w:r>
      <w:r w:rsidR="0086697E">
        <w:t>oint U</w:t>
      </w:r>
      <w:r w:rsidR="006457D0">
        <w:t xml:space="preserve"> at the same time </w:t>
      </w:r>
      <w:r w:rsidR="00EF3D01">
        <w:t>th</w:t>
      </w:r>
      <w:r w:rsidR="00612434">
        <w:t xml:space="preserve">ey claim to have done so at </w:t>
      </w:r>
      <w:r w:rsidR="00D628A9">
        <w:t>point Y</w:t>
      </w:r>
      <w:r w:rsidR="0086697E">
        <w:t xml:space="preserve">.  </w:t>
      </w:r>
      <w:r w:rsidR="00D628A9">
        <w:t>I</w:t>
      </w:r>
      <w:r w:rsidR="0086697E">
        <w:t xml:space="preserve">f the landowner was </w:t>
      </w:r>
      <w:r w:rsidR="005D1D65">
        <w:t xml:space="preserve">genuinely </w:t>
      </w:r>
      <w:r w:rsidR="0086697E">
        <w:t>wanting to</w:t>
      </w:r>
      <w:r w:rsidR="00FE4830">
        <w:t xml:space="preserve"> </w:t>
      </w:r>
      <w:r w:rsidR="005F12E9">
        <w:t>stop local people from using the routes,</w:t>
      </w:r>
      <w:r w:rsidR="007C6ED5">
        <w:t xml:space="preserve"> </w:t>
      </w:r>
      <w:r w:rsidR="00CB089C">
        <w:t>then one</w:t>
      </w:r>
      <w:r w:rsidR="005F12E9">
        <w:t xml:space="preserve"> might </w:t>
      </w:r>
      <w:r w:rsidR="007C6ED5">
        <w:t xml:space="preserve">reasonably </w:t>
      </w:r>
      <w:r w:rsidR="00C14C7E">
        <w:t xml:space="preserve">have </w:t>
      </w:r>
      <w:r w:rsidR="00CB089C">
        <w:t>expect</w:t>
      </w:r>
      <w:r w:rsidR="00C14C7E">
        <w:t>ed</w:t>
      </w:r>
      <w:r w:rsidR="00CB089C">
        <w:t xml:space="preserve"> </w:t>
      </w:r>
      <w:r w:rsidR="00E6480A">
        <w:t xml:space="preserve">notices </w:t>
      </w:r>
      <w:r w:rsidR="00CB089C">
        <w:t>to have</w:t>
      </w:r>
      <w:r w:rsidR="005D1D65">
        <w:t xml:space="preserve"> appeared </w:t>
      </w:r>
      <w:r w:rsidR="00E6480A">
        <w:t>at</w:t>
      </w:r>
      <w:r w:rsidR="00A767C1">
        <w:t xml:space="preserve"> both points </w:t>
      </w:r>
      <w:r w:rsidR="005D1D65">
        <w:t>at the same</w:t>
      </w:r>
      <w:r w:rsidR="00DC2F9A">
        <w:t xml:space="preserve"> time</w:t>
      </w:r>
      <w:r w:rsidR="00A767C1">
        <w:t>.</w:t>
      </w:r>
      <w:r w:rsidR="00DC2F9A">
        <w:t xml:space="preserve">  This is particularly so here as users of the routes generally lived in Westbury and would have naturally accessed the Owens’ land from the footbridge at point U.  </w:t>
      </w:r>
      <w:r w:rsidR="005D1D65">
        <w:t xml:space="preserve">Given </w:t>
      </w:r>
      <w:r w:rsidR="00DF5F7D">
        <w:t xml:space="preserve">that </w:t>
      </w:r>
      <w:r w:rsidR="005D1D65">
        <w:t xml:space="preserve">notices were not erected at point U </w:t>
      </w:r>
      <w:r w:rsidR="00DF5F7D">
        <w:t xml:space="preserve">until at least 2010, this </w:t>
      </w:r>
      <w:r w:rsidR="00DC2F9A">
        <w:t xml:space="preserve">weakens the landowners’ argument that they were erected at point Y in 2003. </w:t>
      </w:r>
      <w:r w:rsidR="00A923C5">
        <w:t xml:space="preserve"> </w:t>
      </w:r>
    </w:p>
    <w:p w14:paraId="6F8DC7EA" w14:textId="25626D25" w:rsidR="00AF3F29" w:rsidRPr="00AF3F29" w:rsidRDefault="00C14C7E" w:rsidP="00AF3F29">
      <w:pPr>
        <w:pStyle w:val="Style1"/>
        <w:numPr>
          <w:ilvl w:val="0"/>
          <w:numId w:val="24"/>
        </w:numPr>
      </w:pPr>
      <w:r>
        <w:t xml:space="preserve">Given that inconsistency and the weight of the user </w:t>
      </w:r>
      <w:r w:rsidR="00F4189C">
        <w:t xml:space="preserve">evidence, </w:t>
      </w:r>
      <w:r w:rsidR="00A923C5">
        <w:t xml:space="preserve">I do not consider </w:t>
      </w:r>
      <w:r w:rsidR="00C162EB">
        <w:t>there is sufficient evidence</w:t>
      </w:r>
      <w:r w:rsidR="00F4189C">
        <w:t xml:space="preserve"> to support an earlier ‘calling into </w:t>
      </w:r>
      <w:r w:rsidR="003014F0">
        <w:t>question</w:t>
      </w:r>
      <w:r w:rsidR="00F4189C">
        <w:t>’ of</w:t>
      </w:r>
      <w:r w:rsidR="00DC2F9A">
        <w:t xml:space="preserve"> the routes at point U or Y</w:t>
      </w:r>
      <w:r w:rsidR="00E9202E">
        <w:t xml:space="preserve">.  </w:t>
      </w:r>
      <w:r w:rsidR="00E36043" w:rsidRPr="00AF3F29">
        <w:t>I</w:t>
      </w:r>
      <w:r w:rsidR="00E9202E">
        <w:t xml:space="preserve"> therefore</w:t>
      </w:r>
      <w:r w:rsidR="00E36043" w:rsidRPr="00AF3F29">
        <w:t xml:space="preserve"> find tha</w:t>
      </w:r>
      <w:r w:rsidR="00C93CAD" w:rsidRPr="00AF3F29">
        <w:t>t</w:t>
      </w:r>
      <w:r w:rsidR="00466AAA" w:rsidRPr="00AF3F29">
        <w:t xml:space="preserve"> </w:t>
      </w:r>
      <w:r w:rsidR="00AF3F29" w:rsidRPr="00AF3F29">
        <w:t>the relevant 20-year period for</w:t>
      </w:r>
      <w:r w:rsidR="00E9202E">
        <w:t xml:space="preserve"> both routes is </w:t>
      </w:r>
      <w:r w:rsidR="00E9202E" w:rsidRPr="008D7EA8">
        <w:t>1987-2007</w:t>
      </w:r>
      <w:r w:rsidR="00E9202E">
        <w:t xml:space="preserve">. </w:t>
      </w:r>
    </w:p>
    <w:p w14:paraId="4CECB50C" w14:textId="58A95BBF" w:rsidR="009C0F7B" w:rsidRPr="00186D20" w:rsidRDefault="009C0F7B" w:rsidP="009C0F7B">
      <w:pPr>
        <w:pStyle w:val="Style1"/>
        <w:numPr>
          <w:ilvl w:val="0"/>
          <w:numId w:val="0"/>
        </w:numPr>
        <w:rPr>
          <w:b/>
          <w:bCs/>
          <w:i/>
          <w:iCs/>
        </w:rPr>
      </w:pPr>
      <w:r w:rsidRPr="00186D20">
        <w:rPr>
          <w:b/>
          <w:bCs/>
          <w:i/>
          <w:iCs/>
        </w:rPr>
        <w:lastRenderedPageBreak/>
        <w:t>Whether there has been use by the public for the required period of 20 years</w:t>
      </w:r>
    </w:p>
    <w:p w14:paraId="077131AD" w14:textId="21376102" w:rsidR="00A474FE" w:rsidRPr="00077D1F" w:rsidRDefault="00186D20" w:rsidP="00AC7B62">
      <w:pPr>
        <w:pStyle w:val="Style1"/>
        <w:numPr>
          <w:ilvl w:val="0"/>
          <w:numId w:val="0"/>
        </w:numPr>
        <w:rPr>
          <w:i/>
          <w:iCs/>
        </w:rPr>
      </w:pPr>
      <w:r w:rsidRPr="00077D1F">
        <w:rPr>
          <w:i/>
          <w:iCs/>
        </w:rPr>
        <w:t xml:space="preserve">Documentary Evidence </w:t>
      </w:r>
    </w:p>
    <w:p w14:paraId="04F12087" w14:textId="160EF35C" w:rsidR="00B477F8" w:rsidRPr="00AB7D79" w:rsidRDefault="00B477F8" w:rsidP="00CF1BF6">
      <w:pPr>
        <w:pStyle w:val="Style1"/>
      </w:pPr>
      <w:r>
        <w:t>The documentary evidence for both routes is comprehensively set out in the OMA’s Statement of Reasons</w:t>
      </w:r>
      <w:r w:rsidR="00AB7D79">
        <w:t xml:space="preserve">.  Rather than repeat </w:t>
      </w:r>
      <w:proofErr w:type="gramStart"/>
      <w:r w:rsidR="00AB7D79">
        <w:t>all of</w:t>
      </w:r>
      <w:proofErr w:type="gramEnd"/>
      <w:r w:rsidR="00AB7D79">
        <w:t xml:space="preserve"> that information again here, </w:t>
      </w:r>
      <w:r w:rsidR="00C35267">
        <w:t xml:space="preserve">I have </w:t>
      </w:r>
      <w:r w:rsidR="00AB7D79">
        <w:t>instead</w:t>
      </w:r>
      <w:r w:rsidR="00C35267">
        <w:t xml:space="preserve"> summarise</w:t>
      </w:r>
      <w:r w:rsidR="00AB7D79">
        <w:t>d</w:t>
      </w:r>
      <w:r w:rsidR="002442F3">
        <w:t xml:space="preserve"> the </w:t>
      </w:r>
      <w:r w:rsidR="001176A5">
        <w:t>salient points</w:t>
      </w:r>
      <w:r w:rsidR="0021341F">
        <w:t xml:space="preserve">.  </w:t>
      </w:r>
    </w:p>
    <w:p w14:paraId="6ED5F703" w14:textId="3A0EFE02" w:rsidR="00D35BCE" w:rsidRDefault="00E55955" w:rsidP="0035161F">
      <w:pPr>
        <w:pStyle w:val="Style1"/>
      </w:pPr>
      <w:r>
        <w:t>A</w:t>
      </w:r>
      <w:r w:rsidR="00821B6B">
        <w:t xml:space="preserve"> route </w:t>
      </w:r>
      <w:r>
        <w:t xml:space="preserve">on a broadly similar alignment </w:t>
      </w:r>
      <w:r w:rsidR="00821B6B">
        <w:t xml:space="preserve">is first shown </w:t>
      </w:r>
      <w:r w:rsidR="004931F2">
        <w:t xml:space="preserve">on Byrant’s Map of 1832 </w:t>
      </w:r>
      <w:r w:rsidR="004931F2" w:rsidRPr="004931F2">
        <w:t>a</w:t>
      </w:r>
      <w:r w:rsidR="004931F2">
        <w:t>s a</w:t>
      </w:r>
      <w:r w:rsidR="004931F2" w:rsidRPr="004931F2">
        <w:t xml:space="preserve"> double pecked line track labelled </w:t>
      </w:r>
      <w:r w:rsidR="003309A2">
        <w:t>“</w:t>
      </w:r>
      <w:r w:rsidR="004931F2" w:rsidRPr="001176A5">
        <w:rPr>
          <w:i/>
          <w:iCs/>
        </w:rPr>
        <w:t>Bridle Road</w:t>
      </w:r>
      <w:r w:rsidR="003309A2">
        <w:t>”</w:t>
      </w:r>
      <w:r w:rsidR="00766F94">
        <w:t>.</w:t>
      </w:r>
      <w:r w:rsidR="00CE5BCB">
        <w:t xml:space="preserve">  Route </w:t>
      </w:r>
      <w:r w:rsidR="000C5A24">
        <w:t xml:space="preserve">1 is not shown. </w:t>
      </w:r>
      <w:r w:rsidR="00AC604D">
        <w:t xml:space="preserve">The 1845 Buckinghamshire Proposed Railway shows the line of the </w:t>
      </w:r>
      <w:r w:rsidR="00766F94">
        <w:t xml:space="preserve">proposed </w:t>
      </w:r>
      <w:r w:rsidR="00AC604D">
        <w:t xml:space="preserve">railway </w:t>
      </w:r>
      <w:r w:rsidR="00766F94">
        <w:t xml:space="preserve">traversing </w:t>
      </w:r>
      <w:r w:rsidR="00AC604D">
        <w:t>the southern section of the Bridle</w:t>
      </w:r>
      <w:r w:rsidR="00963B0B">
        <w:t xml:space="preserve"> Road shown on Byrant’s Map.  </w:t>
      </w:r>
      <w:r w:rsidR="00B84744">
        <w:t>It is possible to see a path</w:t>
      </w:r>
      <w:r w:rsidR="00B12507">
        <w:t xml:space="preserve"> heading</w:t>
      </w:r>
      <w:r w:rsidR="00B84744">
        <w:t xml:space="preserve"> northwards from the approximate location of </w:t>
      </w:r>
      <w:r w:rsidR="00A767C1">
        <w:t>p</w:t>
      </w:r>
      <w:r w:rsidR="00B12507">
        <w:t>oin</w:t>
      </w:r>
      <w:r w:rsidR="00B84744">
        <w:t xml:space="preserve">t Y.  </w:t>
      </w:r>
      <w:r w:rsidR="00A8448A">
        <w:t xml:space="preserve">The relevant </w:t>
      </w:r>
      <w:r w:rsidR="00D35BCE">
        <w:t xml:space="preserve">plots are described in the </w:t>
      </w:r>
      <w:r w:rsidR="00B12507">
        <w:t>accompanying</w:t>
      </w:r>
      <w:r w:rsidR="00D472B3" w:rsidRPr="00D472B3">
        <w:t xml:space="preserve"> book of reference</w:t>
      </w:r>
      <w:r w:rsidR="00D35BCE">
        <w:t xml:space="preserve"> as having a “</w:t>
      </w:r>
      <w:r w:rsidR="00D35BCE" w:rsidRPr="001176A5">
        <w:rPr>
          <w:i/>
          <w:iCs/>
        </w:rPr>
        <w:t>footpath</w:t>
      </w:r>
      <w:r w:rsidR="00D35BCE">
        <w:t xml:space="preserve">”.  </w:t>
      </w:r>
      <w:r w:rsidR="007C7B0C">
        <w:t xml:space="preserve">A route on a similar alignment to </w:t>
      </w:r>
      <w:r w:rsidR="00077D1F">
        <w:t>R</w:t>
      </w:r>
      <w:r w:rsidR="007C7B0C">
        <w:t xml:space="preserve">oute 2 was </w:t>
      </w:r>
      <w:r w:rsidR="00527A8E">
        <w:t>stopped up by the 1855 Quarter Sessions Stopping Up Order</w:t>
      </w:r>
      <w:r w:rsidR="00077D1F">
        <w:t xml:space="preserve">.  </w:t>
      </w:r>
    </w:p>
    <w:p w14:paraId="55D017DB" w14:textId="3FDFCE09" w:rsidR="00797887" w:rsidRDefault="00BE43C6" w:rsidP="00290235">
      <w:pPr>
        <w:pStyle w:val="Style1"/>
      </w:pPr>
      <w:r>
        <w:t xml:space="preserve">The first Ordnance Survey </w:t>
      </w:r>
      <w:r w:rsidR="00136E14">
        <w:t xml:space="preserve">(OS) </w:t>
      </w:r>
      <w:r>
        <w:t xml:space="preserve">Map for the area </w:t>
      </w:r>
      <w:proofErr w:type="gramStart"/>
      <w:r>
        <w:t>date</w:t>
      </w:r>
      <w:r w:rsidR="00B86041">
        <w:t>s</w:t>
      </w:r>
      <w:r>
        <w:t xml:space="preserve"> back to</w:t>
      </w:r>
      <w:proofErr w:type="gramEnd"/>
      <w:r>
        <w:t xml:space="preserve"> </w:t>
      </w:r>
      <w:r w:rsidR="004A167A">
        <w:t xml:space="preserve">1885. </w:t>
      </w:r>
      <w:proofErr w:type="gramStart"/>
      <w:r w:rsidR="0083177D">
        <w:t>Similar to</w:t>
      </w:r>
      <w:proofErr w:type="gramEnd"/>
      <w:r w:rsidR="0083177D">
        <w:t xml:space="preserve"> </w:t>
      </w:r>
      <w:r w:rsidR="00502DF9">
        <w:t>By</w:t>
      </w:r>
      <w:r w:rsidR="00060993">
        <w:t>r</w:t>
      </w:r>
      <w:r w:rsidR="00502DF9">
        <w:t>ant’s</w:t>
      </w:r>
      <w:r w:rsidR="00B86041">
        <w:t xml:space="preserve"> Map</w:t>
      </w:r>
      <w:r w:rsidR="0083177D">
        <w:t xml:space="preserve"> this shows a</w:t>
      </w:r>
      <w:r w:rsidR="00B86041">
        <w:t xml:space="preserve"> route on </w:t>
      </w:r>
      <w:r w:rsidR="007C7CC1">
        <w:t xml:space="preserve">a similar </w:t>
      </w:r>
      <w:r w:rsidR="00B86041">
        <w:t>alignment</w:t>
      </w:r>
      <w:r w:rsidR="007C7CC1">
        <w:rPr>
          <w:rStyle w:val="FootnoteReference"/>
        </w:rPr>
        <w:footnoteReference w:id="8"/>
      </w:r>
      <w:r w:rsidR="00B86041">
        <w:t xml:space="preserve"> as Route 2</w:t>
      </w:r>
      <w:r w:rsidR="007C7CC1">
        <w:t xml:space="preserve"> as a d</w:t>
      </w:r>
      <w:r w:rsidR="0083177D">
        <w:t xml:space="preserve">ouble pecked </w:t>
      </w:r>
      <w:r w:rsidR="00B86041">
        <w:t>line</w:t>
      </w:r>
      <w:r w:rsidR="007C7CC1">
        <w:t xml:space="preserve">.  </w:t>
      </w:r>
      <w:r w:rsidR="00D40D8E">
        <w:t>Route</w:t>
      </w:r>
      <w:r w:rsidR="004E19B6">
        <w:t xml:space="preserve"> 1 i</w:t>
      </w:r>
      <w:r w:rsidR="00D40D8E">
        <w:t xml:space="preserve">s not shown. </w:t>
      </w:r>
      <w:r w:rsidR="004E19B6">
        <w:t xml:space="preserve"> </w:t>
      </w:r>
      <w:r w:rsidR="00D40D8E">
        <w:t xml:space="preserve">However, </w:t>
      </w:r>
      <w:r w:rsidR="00007579">
        <w:t xml:space="preserve">there is a double pecked track running from the end of Westbury 12 </w:t>
      </w:r>
      <w:r w:rsidR="00A94138">
        <w:t xml:space="preserve">in a southerly </w:t>
      </w:r>
      <w:r w:rsidR="00A26A9D">
        <w:t xml:space="preserve">direction crossing a footbridge before skirting the Oxfordshire Cowshed before terminating at the railway line. </w:t>
      </w:r>
      <w:r w:rsidR="00C6497D">
        <w:t>There is no material change to the route</w:t>
      </w:r>
      <w:r w:rsidR="00290235">
        <w:t>s</w:t>
      </w:r>
      <w:r w:rsidR="00C6497D">
        <w:t xml:space="preserve"> in subsequent </w:t>
      </w:r>
      <w:r w:rsidR="004D2E58">
        <w:t xml:space="preserve">OS </w:t>
      </w:r>
      <w:r w:rsidR="00136E14">
        <w:t>Maps</w:t>
      </w:r>
      <w:r w:rsidR="008F344C">
        <w:rPr>
          <w:rStyle w:val="FootnoteReference"/>
        </w:rPr>
        <w:footnoteReference w:id="9"/>
      </w:r>
      <w:r w:rsidR="004D2E58">
        <w:t xml:space="preserve">. </w:t>
      </w:r>
      <w:r w:rsidR="002B11D9">
        <w:t xml:space="preserve"> </w:t>
      </w:r>
    </w:p>
    <w:p w14:paraId="1E93EC7F" w14:textId="3797B9B0" w:rsidR="00376416" w:rsidRDefault="001F788C" w:rsidP="0056070A">
      <w:pPr>
        <w:pStyle w:val="Style1"/>
      </w:pPr>
      <w:r>
        <w:t>The Westbury Parish Claim</w:t>
      </w:r>
      <w:r w:rsidR="00444650">
        <w:t xml:space="preserve"> </w:t>
      </w:r>
      <w:r w:rsidR="002E1C10">
        <w:t>M</w:t>
      </w:r>
      <w:r w:rsidR="00444650">
        <w:t>ap shows F</w:t>
      </w:r>
      <w:r w:rsidR="00474752">
        <w:t>P</w:t>
      </w:r>
      <w:r w:rsidR="00444650">
        <w:t xml:space="preserve">14 </w:t>
      </w:r>
      <w:r w:rsidR="00CA05EF">
        <w:t xml:space="preserve">running between Mill Lane and </w:t>
      </w:r>
      <w:r w:rsidR="00A767C1">
        <w:t>p</w:t>
      </w:r>
      <w:r w:rsidR="00CA05EF">
        <w:t>oint T</w:t>
      </w:r>
      <w:r w:rsidR="004F660F">
        <w:t xml:space="preserve">.  To the south of </w:t>
      </w:r>
      <w:r w:rsidR="00A767C1">
        <w:t>p</w:t>
      </w:r>
      <w:r w:rsidR="004F660F">
        <w:t>oint T (within Oxfordshire) the map is annotated “14”</w:t>
      </w:r>
      <w:r w:rsidR="007116AE">
        <w:t xml:space="preserve"> over </w:t>
      </w:r>
      <w:r w:rsidR="00A767C1">
        <w:t xml:space="preserve">a </w:t>
      </w:r>
      <w:r w:rsidR="007116AE">
        <w:t>double pecked line which corresponds with Route 1</w:t>
      </w:r>
      <w:r w:rsidR="00EC65C6">
        <w:t>.  There is</w:t>
      </w:r>
      <w:r w:rsidR="00A767C1">
        <w:t xml:space="preserve"> a</w:t>
      </w:r>
      <w:r w:rsidR="00EC65C6">
        <w:t xml:space="preserve"> fainter </w:t>
      </w:r>
      <w:r w:rsidR="00DF77F2">
        <w:t xml:space="preserve">“FP” with a line to </w:t>
      </w:r>
      <w:r w:rsidR="00A767C1">
        <w:t>p</w:t>
      </w:r>
      <w:r w:rsidR="00DF77F2">
        <w:t xml:space="preserve">oint U.  This provides strong evidence </w:t>
      </w:r>
      <w:r w:rsidR="00DE11B9">
        <w:t xml:space="preserve">that Westbury 14 was reputed </w:t>
      </w:r>
      <w:r w:rsidR="00F86001">
        <w:t xml:space="preserve">at that time </w:t>
      </w:r>
      <w:r w:rsidR="00DE11B9">
        <w:t xml:space="preserve">to </w:t>
      </w:r>
      <w:r w:rsidR="008F7AA7">
        <w:t>continu</w:t>
      </w:r>
      <w:r w:rsidR="00DE11B9">
        <w:t>e</w:t>
      </w:r>
      <w:r w:rsidR="008F7AA7">
        <w:t xml:space="preserve"> south of </w:t>
      </w:r>
      <w:r w:rsidR="00F86001">
        <w:t>p</w:t>
      </w:r>
      <w:r w:rsidR="008F7AA7">
        <w:t xml:space="preserve">oint T. </w:t>
      </w:r>
      <w:r w:rsidR="00D67685">
        <w:t xml:space="preserve"> </w:t>
      </w:r>
    </w:p>
    <w:p w14:paraId="51242A06" w14:textId="7C372611" w:rsidR="0040263D" w:rsidRDefault="006C69E5" w:rsidP="00F86001">
      <w:pPr>
        <w:pStyle w:val="Style1"/>
      </w:pPr>
      <w:r>
        <w:t xml:space="preserve">The Claim </w:t>
      </w:r>
      <w:r w:rsidR="002E1C10">
        <w:t>M</w:t>
      </w:r>
      <w:r>
        <w:t xml:space="preserve">ap also </w:t>
      </w:r>
      <w:r w:rsidR="0068328E">
        <w:t xml:space="preserve">shows </w:t>
      </w:r>
      <w:r w:rsidR="00376416" w:rsidRPr="00376416">
        <w:t>Westbury FP12</w:t>
      </w:r>
      <w:r w:rsidR="00B31D1F">
        <w:t xml:space="preserve"> </w:t>
      </w:r>
      <w:r w:rsidR="002D01D0">
        <w:t>as a spur</w:t>
      </w:r>
      <w:r w:rsidR="00A843DB">
        <w:t xml:space="preserve"> off</w:t>
      </w:r>
      <w:r w:rsidR="002D01D0">
        <w:t xml:space="preserve"> </w:t>
      </w:r>
      <w:r w:rsidR="00A843DB">
        <w:t>FP11 but terminating at the county boundary</w:t>
      </w:r>
      <w:r w:rsidR="00A7036E">
        <w:t>.</w:t>
      </w:r>
      <w:r w:rsidR="00BB65C8">
        <w:t xml:space="preserve">  The map is also marked “FP” </w:t>
      </w:r>
      <w:r w:rsidR="00783117">
        <w:t xml:space="preserve">to the south of FP12 on what is now </w:t>
      </w:r>
      <w:r w:rsidR="00A843DB">
        <w:t xml:space="preserve">the </w:t>
      </w:r>
      <w:r w:rsidR="00783117">
        <w:t>FP11a</w:t>
      </w:r>
      <w:r w:rsidR="00A843DB">
        <w:t xml:space="preserve"> spur.</w:t>
      </w:r>
      <w:r w:rsidR="00F86001">
        <w:t xml:space="preserve"> </w:t>
      </w:r>
      <w:r w:rsidR="00294CC6">
        <w:t xml:space="preserve"> </w:t>
      </w:r>
      <w:r w:rsidR="00A843DB">
        <w:t>Interestingly, t</w:t>
      </w:r>
      <w:r w:rsidR="008A66EA">
        <w:t>he surveyor has marked “12”</w:t>
      </w:r>
      <w:r w:rsidR="00A7036E">
        <w:t xml:space="preserve"> </w:t>
      </w:r>
      <w:r w:rsidR="008A66EA">
        <w:t xml:space="preserve">on the south side of the river in Oxfordshire </w:t>
      </w:r>
      <w:r w:rsidR="00E86FEA">
        <w:t xml:space="preserve">but its positioning is ambiguous.  </w:t>
      </w:r>
      <w:r w:rsidR="00A843DB">
        <w:t>However, t</w:t>
      </w:r>
      <w:r w:rsidR="00A843DB" w:rsidRPr="00376416">
        <w:t>he map is</w:t>
      </w:r>
      <w:r w:rsidR="00A843DB">
        <w:t xml:space="preserve"> also</w:t>
      </w:r>
      <w:r w:rsidR="00A843DB" w:rsidRPr="00376416">
        <w:t xml:space="preserve"> annotated with a </w:t>
      </w:r>
      <w:r w:rsidR="00A843DB">
        <w:t>“</w:t>
      </w:r>
      <w:r w:rsidR="00A843DB" w:rsidRPr="00376416">
        <w:t>C.B.</w:t>
      </w:r>
      <w:r w:rsidR="00A843DB">
        <w:t>”</w:t>
      </w:r>
      <w:r w:rsidR="00A843DB" w:rsidRPr="00376416">
        <w:t xml:space="preserve"> </w:t>
      </w:r>
      <w:r w:rsidR="00A843DB">
        <w:t>(</w:t>
      </w:r>
      <w:r w:rsidR="00A843DB" w:rsidRPr="00376416">
        <w:t>cart bridge</w:t>
      </w:r>
      <w:r w:rsidR="00A843DB">
        <w:t>)</w:t>
      </w:r>
      <w:r w:rsidR="00A843DB" w:rsidRPr="00376416">
        <w:t xml:space="preserve"> and </w:t>
      </w:r>
      <w:r w:rsidR="00A843DB">
        <w:t xml:space="preserve">in </w:t>
      </w:r>
      <w:r w:rsidR="00DA1217">
        <w:t xml:space="preserve">faint pencil </w:t>
      </w:r>
      <w:r w:rsidR="00A843DB" w:rsidRPr="00376416">
        <w:t xml:space="preserve">“FP” pointing to </w:t>
      </w:r>
      <w:r w:rsidR="00774DBF">
        <w:t xml:space="preserve">a position that </w:t>
      </w:r>
      <w:r w:rsidR="00DA2207">
        <w:t>roughly</w:t>
      </w:r>
      <w:r w:rsidR="00774DBF">
        <w:t xml:space="preserve"> </w:t>
      </w:r>
      <w:r w:rsidR="00DA2207">
        <w:t>corresponds</w:t>
      </w:r>
      <w:r w:rsidR="00774DBF">
        <w:t xml:space="preserve"> with </w:t>
      </w:r>
      <w:r w:rsidR="00F86001">
        <w:t>p</w:t>
      </w:r>
      <w:r w:rsidR="00774DBF">
        <w:t>oint V on the Order map.</w:t>
      </w:r>
      <w:r w:rsidR="00DA2207">
        <w:t xml:space="preserve"> </w:t>
      </w:r>
      <w:r w:rsidR="00624961">
        <w:t xml:space="preserve"> </w:t>
      </w:r>
      <w:r w:rsidR="002D7BCD">
        <w:t>There is accordingly some support from the Parish Claim map for the continuation of both routes into Oxfordshire.  The evidence in respect of Route 2 is stronger than Route 1</w:t>
      </w:r>
      <w:r w:rsidR="002E1C10">
        <w:t>.</w:t>
      </w:r>
      <w:r w:rsidR="002D7BCD">
        <w:t xml:space="preserve">  </w:t>
      </w:r>
      <w:r w:rsidR="0040263D">
        <w:t xml:space="preserve">Neither route </w:t>
      </w:r>
      <w:r w:rsidR="00F86001">
        <w:t xml:space="preserve">was </w:t>
      </w:r>
      <w:r w:rsidR="0040263D">
        <w:t xml:space="preserve">shown on the Mixbury Claim Map although others in the area were for example, </w:t>
      </w:r>
      <w:r w:rsidR="00F86001">
        <w:t>F</w:t>
      </w:r>
      <w:r w:rsidR="00474752">
        <w:t>P</w:t>
      </w:r>
      <w:r w:rsidR="0040263D" w:rsidRPr="0040263D">
        <w:t xml:space="preserve">4 and </w:t>
      </w:r>
      <w:r w:rsidR="00474752">
        <w:t>FP</w:t>
      </w:r>
      <w:r w:rsidR="0040263D" w:rsidRPr="0040263D">
        <w:t>5</w:t>
      </w:r>
      <w:r w:rsidR="0040263D">
        <w:t xml:space="preserve">. </w:t>
      </w:r>
    </w:p>
    <w:p w14:paraId="620344AC" w14:textId="256D7AEA" w:rsidR="00B868D7" w:rsidRDefault="006F7968" w:rsidP="00B868D7">
      <w:pPr>
        <w:pStyle w:val="Style1"/>
      </w:pPr>
      <w:r>
        <w:t xml:space="preserve">There was an exchange of correspondence </w:t>
      </w:r>
      <w:r w:rsidR="0056070A">
        <w:t xml:space="preserve">between the Oxfordshire County Surveyor and Mixbury Parish Council in 1953 which essentially </w:t>
      </w:r>
      <w:r w:rsidR="00202738">
        <w:t>queried</w:t>
      </w:r>
      <w:r w:rsidR="0056070A">
        <w:t xml:space="preserve"> why the </w:t>
      </w:r>
      <w:r w:rsidR="00F86001">
        <w:t xml:space="preserve">Order </w:t>
      </w:r>
      <w:r w:rsidR="00474752">
        <w:t>r</w:t>
      </w:r>
      <w:r w:rsidR="00202738">
        <w:t xml:space="preserve">outes had been omitted from the Mixbury Parish Claim.  </w:t>
      </w:r>
      <w:r w:rsidR="000B4B31">
        <w:t xml:space="preserve">In response, Mr </w:t>
      </w:r>
      <w:proofErr w:type="spellStart"/>
      <w:r w:rsidR="000B4B31" w:rsidRPr="000B4B31">
        <w:t>Thornitt</w:t>
      </w:r>
      <w:proofErr w:type="spellEnd"/>
      <w:r w:rsidR="000B4B31" w:rsidRPr="000B4B31">
        <w:t xml:space="preserve"> </w:t>
      </w:r>
      <w:r w:rsidR="000B4B31">
        <w:t>(</w:t>
      </w:r>
      <w:proofErr w:type="spellStart"/>
      <w:r w:rsidR="000B4B31" w:rsidRPr="000B4B31">
        <w:t>Mixbury</w:t>
      </w:r>
      <w:proofErr w:type="spellEnd"/>
      <w:r w:rsidR="000B4B31" w:rsidRPr="000B4B31">
        <w:t xml:space="preserve"> PC</w:t>
      </w:r>
      <w:r w:rsidR="001610C9">
        <w:t>’s surveyor</w:t>
      </w:r>
      <w:r w:rsidR="000B4B31">
        <w:t>)</w:t>
      </w:r>
      <w:r w:rsidR="000B4B31" w:rsidRPr="000B4B31">
        <w:t xml:space="preserve"> replied that the routes were not included because there was no evidence on the plan of a track beyond the </w:t>
      </w:r>
      <w:r w:rsidR="002E1C10">
        <w:t>r</w:t>
      </w:r>
      <w:r w:rsidR="000B4B31" w:rsidRPr="000B4B31">
        <w:t>ailway.</w:t>
      </w:r>
      <w:r w:rsidR="00552497">
        <w:t xml:space="preserve"> </w:t>
      </w:r>
      <w:r w:rsidR="000B4B31" w:rsidRPr="000B4B31">
        <w:t xml:space="preserve"> From his own observations and </w:t>
      </w:r>
      <w:r w:rsidR="002E1C10" w:rsidRPr="000B4B31">
        <w:t>enquiries,</w:t>
      </w:r>
      <w:r w:rsidR="00F86001">
        <w:t xml:space="preserve"> it was </w:t>
      </w:r>
      <w:r w:rsidR="000B4B31" w:rsidRPr="000B4B31">
        <w:t xml:space="preserve">concluded that the routes were not rights of way, but merely tracks made by farm workers and animals. </w:t>
      </w:r>
      <w:r w:rsidR="0051130F">
        <w:t xml:space="preserve"> </w:t>
      </w:r>
      <w:proofErr w:type="gramStart"/>
      <w:r w:rsidR="000B4B31">
        <w:t>In light of</w:t>
      </w:r>
      <w:proofErr w:type="gramEnd"/>
      <w:r w:rsidR="000B4B31">
        <w:t xml:space="preserve"> the above the routes were not recorded </w:t>
      </w:r>
      <w:r w:rsidR="000B4B31" w:rsidRPr="003A5B65">
        <w:t xml:space="preserve">on the </w:t>
      </w:r>
      <w:r w:rsidR="00474752">
        <w:t>first</w:t>
      </w:r>
      <w:r w:rsidR="000B4B31" w:rsidRPr="003A5B65">
        <w:t xml:space="preserve"> </w:t>
      </w:r>
      <w:r w:rsidR="00224D26">
        <w:t>DMS</w:t>
      </w:r>
      <w:r w:rsidR="000B4B31" w:rsidRPr="003A5B65">
        <w:t xml:space="preserve"> for Oxfordshire</w:t>
      </w:r>
      <w:r w:rsidR="000B4B31">
        <w:t xml:space="preserve"> dated </w:t>
      </w:r>
      <w:r w:rsidR="000B4B31" w:rsidRPr="003A5B65">
        <w:t>1953</w:t>
      </w:r>
      <w:r w:rsidR="000B4B31">
        <w:t xml:space="preserve"> nor any subsequent editions</w:t>
      </w:r>
      <w:r w:rsidR="001F17DD">
        <w:t>.</w:t>
      </w:r>
      <w:r w:rsidR="0040263D">
        <w:t xml:space="preserve">  </w:t>
      </w:r>
    </w:p>
    <w:p w14:paraId="067A7DA7" w14:textId="67AFC600" w:rsidR="00BF4BB9" w:rsidRDefault="0051130F" w:rsidP="00B868D7">
      <w:pPr>
        <w:pStyle w:val="Style1"/>
      </w:pPr>
      <w:r>
        <w:lastRenderedPageBreak/>
        <w:t>Th</w:t>
      </w:r>
      <w:r w:rsidR="00D2658A">
        <w:t xml:space="preserve">at appears </w:t>
      </w:r>
      <w:r w:rsidR="00244184">
        <w:t>to be how matter</w:t>
      </w:r>
      <w:r w:rsidR="00F86001">
        <w:t xml:space="preserve">s were </w:t>
      </w:r>
      <w:r w:rsidR="00244184">
        <w:t xml:space="preserve">left </w:t>
      </w:r>
      <w:r>
        <w:t xml:space="preserve">until 1991 when </w:t>
      </w:r>
      <w:r w:rsidR="00721E78">
        <w:t xml:space="preserve">BCC’s Rights of Way </w:t>
      </w:r>
      <w:r w:rsidR="00DF2B79">
        <w:t>Officer wrote to</w:t>
      </w:r>
      <w:r w:rsidR="00B868D7">
        <w:t xml:space="preserve"> the OMA </w:t>
      </w:r>
      <w:r w:rsidR="007135EB">
        <w:t xml:space="preserve">regarding footbridges </w:t>
      </w:r>
      <w:r w:rsidR="00944637">
        <w:t>on both routes.</w:t>
      </w:r>
      <w:r w:rsidR="002A5721">
        <w:t xml:space="preserve">  On</w:t>
      </w:r>
      <w:r w:rsidR="004959F1">
        <w:t xml:space="preserve">e of the footbridges shown on the </w:t>
      </w:r>
      <w:r w:rsidR="002A5721">
        <w:t xml:space="preserve">accompanying </w:t>
      </w:r>
      <w:r w:rsidR="004959F1">
        <w:t xml:space="preserve">plan is at </w:t>
      </w:r>
      <w:r w:rsidR="00474752">
        <w:t>p</w:t>
      </w:r>
      <w:r w:rsidR="004959F1">
        <w:t>oint U</w:t>
      </w:r>
      <w:r w:rsidR="00422B96">
        <w:t>, the other is</w:t>
      </w:r>
      <w:r w:rsidR="00D00490">
        <w:t xml:space="preserve"> approximately 40m south-east of </w:t>
      </w:r>
      <w:r w:rsidR="00552497">
        <w:t>p</w:t>
      </w:r>
      <w:r w:rsidR="00422B96">
        <w:t>oint V</w:t>
      </w:r>
      <w:r w:rsidR="00D00490">
        <w:rPr>
          <w:rStyle w:val="FootnoteReference"/>
        </w:rPr>
        <w:footnoteReference w:id="10"/>
      </w:r>
      <w:r w:rsidR="00583B39">
        <w:t xml:space="preserve">. </w:t>
      </w:r>
      <w:r w:rsidR="002A5721">
        <w:t xml:space="preserve"> </w:t>
      </w:r>
      <w:r w:rsidR="00552497">
        <w:t xml:space="preserve">The </w:t>
      </w:r>
      <w:r w:rsidR="00B868D7">
        <w:t>OMA</w:t>
      </w:r>
      <w:r w:rsidR="00552497">
        <w:t>’s reply stated that</w:t>
      </w:r>
      <w:r w:rsidR="00583B39">
        <w:t xml:space="preserve"> </w:t>
      </w:r>
      <w:r w:rsidR="00583B39" w:rsidRPr="00583B39">
        <w:t xml:space="preserve">FP14 did not continue into </w:t>
      </w:r>
      <w:r w:rsidR="0082076D" w:rsidRPr="00583B39">
        <w:t>Oxfordshire,</w:t>
      </w:r>
      <w:r w:rsidR="00583B39" w:rsidRPr="00583B39">
        <w:t xml:space="preserve"> and</w:t>
      </w:r>
      <w:r w:rsidR="00583B39">
        <w:t xml:space="preserve"> they did not own the footbridges.</w:t>
      </w:r>
    </w:p>
    <w:p w14:paraId="26B71D75" w14:textId="6A76DBB0" w:rsidR="005865E4" w:rsidRDefault="00BF4BB9" w:rsidP="005865E4">
      <w:pPr>
        <w:pStyle w:val="Style1"/>
      </w:pPr>
      <w:r>
        <w:t>In 2006 the</w:t>
      </w:r>
      <w:r w:rsidR="00583B39">
        <w:t xml:space="preserve"> </w:t>
      </w:r>
      <w:r w:rsidRPr="00BF4BB9">
        <w:t>Property Manager and Bursar at Beachborough School</w:t>
      </w:r>
      <w:r w:rsidR="00D63889">
        <w:t xml:space="preserve"> met BCC’s Right of Way Officer to discuss the extinguishment of </w:t>
      </w:r>
      <w:r w:rsidR="00474752">
        <w:t>FP</w:t>
      </w:r>
      <w:r w:rsidR="00A92F51">
        <w:t xml:space="preserve">14 and </w:t>
      </w:r>
      <w:r w:rsidR="00474752">
        <w:t>FP</w:t>
      </w:r>
      <w:r w:rsidR="00A92F51">
        <w:t xml:space="preserve">12. </w:t>
      </w:r>
      <w:r w:rsidR="005865E4">
        <w:t>The Officer</w:t>
      </w:r>
      <w:r w:rsidR="0098547D">
        <w:t xml:space="preserve"> recorded</w:t>
      </w:r>
      <w:r w:rsidR="005865E4">
        <w:t xml:space="preserve">: </w:t>
      </w:r>
    </w:p>
    <w:p w14:paraId="7343A230" w14:textId="73E509F0" w:rsidR="00583B39" w:rsidRDefault="005865E4" w:rsidP="005865E4">
      <w:pPr>
        <w:pStyle w:val="Style1"/>
        <w:numPr>
          <w:ilvl w:val="0"/>
          <w:numId w:val="0"/>
        </w:numPr>
        <w:ind w:left="431"/>
      </w:pPr>
      <w:r>
        <w:rPr>
          <w:i/>
          <w:iCs/>
        </w:rPr>
        <w:t>“</w:t>
      </w:r>
      <w:r w:rsidRPr="005865E4">
        <w:rPr>
          <w:i/>
          <w:iCs/>
        </w:rPr>
        <w:t xml:space="preserve">It is known by the school that local people have been walking across and around the playing field areas for many years, including walking between the two ends of the public footpaths in Westbury. Therefore, there may already exist </w:t>
      </w:r>
      <w:proofErr w:type="gramStart"/>
      <w:r w:rsidRPr="005865E4">
        <w:rPr>
          <w:i/>
          <w:iCs/>
        </w:rPr>
        <w:t>a number of</w:t>
      </w:r>
      <w:proofErr w:type="gramEnd"/>
      <w:r w:rsidRPr="005865E4">
        <w:rPr>
          <w:i/>
          <w:iCs/>
        </w:rPr>
        <w:t xml:space="preserve"> public footpaths across the playing fields, that have never been claimed or recorded</w:t>
      </w:r>
      <w:r>
        <w:t>.”</w:t>
      </w:r>
    </w:p>
    <w:p w14:paraId="50F74210" w14:textId="7192D5B0" w:rsidR="00821B6B" w:rsidRDefault="00474752" w:rsidP="00E14D51">
      <w:pPr>
        <w:pStyle w:val="Style1"/>
      </w:pPr>
      <w:r>
        <w:t xml:space="preserve">In 2008 </w:t>
      </w:r>
      <w:r w:rsidR="000F5452">
        <w:t>BCC’s</w:t>
      </w:r>
      <w:r w:rsidR="00D40512">
        <w:t xml:space="preserve"> Rights of Way officer</w:t>
      </w:r>
      <w:r w:rsidR="00E576D7">
        <w:t xml:space="preserve"> </w:t>
      </w:r>
      <w:r w:rsidR="00F86001">
        <w:t xml:space="preserve">inspected the routes and found that </w:t>
      </w:r>
      <w:r w:rsidR="00D40512">
        <w:t xml:space="preserve">Route 1 </w:t>
      </w:r>
      <w:r w:rsidR="005343F8" w:rsidRPr="00D2658A">
        <w:t>was non-existent on the ground and</w:t>
      </w:r>
      <w:r w:rsidR="00D40512">
        <w:t xml:space="preserve"> therefore it was not believed there was a footpath linking </w:t>
      </w:r>
      <w:bookmarkStart w:id="3" w:name="_Hlk113353101"/>
      <w:r w:rsidR="00D40512" w:rsidRPr="00D2658A">
        <w:t>FP12 and FP14</w:t>
      </w:r>
      <w:bookmarkEnd w:id="3"/>
      <w:r>
        <w:t xml:space="preserve">.  While </w:t>
      </w:r>
      <w:r w:rsidR="004716E2">
        <w:t xml:space="preserve">2008 </w:t>
      </w:r>
      <w:r>
        <w:t xml:space="preserve">falls outside the </w:t>
      </w:r>
      <w:r w:rsidR="004716E2">
        <w:t>relevant 20-year period</w:t>
      </w:r>
      <w:r>
        <w:t xml:space="preserve">, given that </w:t>
      </w:r>
      <w:proofErr w:type="gramStart"/>
      <w:r>
        <w:t>a number of</w:t>
      </w:r>
      <w:proofErr w:type="gramEnd"/>
      <w:r>
        <w:t xml:space="preserve"> users </w:t>
      </w:r>
      <w:r w:rsidR="006B4B43">
        <w:t xml:space="preserve">have given evidence that they used the route up until 2010, one would have expected </w:t>
      </w:r>
      <w:r w:rsidR="00913704">
        <w:t>some evidence of a walked</w:t>
      </w:r>
      <w:r w:rsidR="00F86001">
        <w:t xml:space="preserve"> path </w:t>
      </w:r>
      <w:r w:rsidR="00913704">
        <w:t xml:space="preserve">between the ends of </w:t>
      </w:r>
      <w:r w:rsidR="00913704" w:rsidRPr="00913704">
        <w:t>FP12 and FP14</w:t>
      </w:r>
      <w:r w:rsidR="00913704">
        <w:t xml:space="preserve">.  </w:t>
      </w:r>
    </w:p>
    <w:p w14:paraId="0F11AB67" w14:textId="44EAB378" w:rsidR="00821B6B" w:rsidRPr="00290235" w:rsidRDefault="00290235" w:rsidP="00AC7B62">
      <w:pPr>
        <w:pStyle w:val="Style1"/>
        <w:numPr>
          <w:ilvl w:val="0"/>
          <w:numId w:val="0"/>
        </w:numPr>
        <w:rPr>
          <w:i/>
          <w:iCs/>
        </w:rPr>
      </w:pPr>
      <w:r w:rsidRPr="00290235">
        <w:rPr>
          <w:i/>
          <w:iCs/>
        </w:rPr>
        <w:t xml:space="preserve">Conclusions on Documentary Evidence </w:t>
      </w:r>
    </w:p>
    <w:p w14:paraId="77A699AE" w14:textId="6A855A7F" w:rsidR="00525868" w:rsidRDefault="00A9115B" w:rsidP="00525868">
      <w:pPr>
        <w:pStyle w:val="Style1"/>
      </w:pPr>
      <w:r>
        <w:t xml:space="preserve">The relevant 20-year period for </w:t>
      </w:r>
      <w:r w:rsidR="00E9202E">
        <w:t xml:space="preserve">the routes is </w:t>
      </w:r>
      <w:r w:rsidR="0012382F" w:rsidRPr="0012382F">
        <w:t>1987-2007</w:t>
      </w:r>
      <w:r w:rsidR="0012382F">
        <w:t xml:space="preserve">.  </w:t>
      </w:r>
      <w:r w:rsidR="00AE524B">
        <w:t xml:space="preserve">In the main, the </w:t>
      </w:r>
      <w:r w:rsidR="0012382F">
        <w:t xml:space="preserve">documentary evidence </w:t>
      </w:r>
      <w:r w:rsidR="00AE524B">
        <w:t xml:space="preserve">provided by the OMA does not relate to </w:t>
      </w:r>
      <w:r w:rsidR="00E9202E">
        <w:t>this p</w:t>
      </w:r>
      <w:r w:rsidR="00AE524B">
        <w:t xml:space="preserve">eriod. </w:t>
      </w:r>
    </w:p>
    <w:p w14:paraId="1D8FF712" w14:textId="3CB165C7" w:rsidR="00A347B9" w:rsidRDefault="00C325F9" w:rsidP="00A347B9">
      <w:pPr>
        <w:pStyle w:val="Style1"/>
      </w:pPr>
      <w:r>
        <w:t>Historical maps show</w:t>
      </w:r>
      <w:r w:rsidR="00A347B9">
        <w:t xml:space="preserve"> the long-standing existence of a physical route to between Points U and Y</w:t>
      </w:r>
      <w:r w:rsidR="00F66324">
        <w:t xml:space="preserve">.  </w:t>
      </w:r>
      <w:r w:rsidR="002C763D">
        <w:t xml:space="preserve">The documents connected to the Westbury Parish Claim support </w:t>
      </w:r>
      <w:r w:rsidR="00F539B2">
        <w:t xml:space="preserve">the OMA’s contention that </w:t>
      </w:r>
      <w:r w:rsidR="00F66324">
        <w:t xml:space="preserve">FPs </w:t>
      </w:r>
      <w:r w:rsidR="00F36B17">
        <w:t xml:space="preserve">12 and 14 </w:t>
      </w:r>
      <w:r w:rsidR="00F539B2">
        <w:t>continued into Oxfordshire</w:t>
      </w:r>
      <w:r w:rsidR="00C00486">
        <w:t xml:space="preserve"> and were reputed to be public footpaths in the early 1950s.</w:t>
      </w:r>
      <w:r w:rsidR="00A347B9" w:rsidRPr="00A347B9">
        <w:t xml:space="preserve"> </w:t>
      </w:r>
      <w:r w:rsidR="00A347B9">
        <w:t>As previously stated, the evidence is stronger in respect of Route 2 than Route 1.</w:t>
      </w:r>
    </w:p>
    <w:p w14:paraId="3D62E4DA" w14:textId="493E6FA9" w:rsidR="007E733D" w:rsidRDefault="00A347B9" w:rsidP="00970D51">
      <w:pPr>
        <w:pStyle w:val="Style1"/>
      </w:pPr>
      <w:r>
        <w:t xml:space="preserve">The above </w:t>
      </w:r>
      <w:proofErr w:type="gramStart"/>
      <w:r>
        <w:t>has to</w:t>
      </w:r>
      <w:proofErr w:type="gramEnd"/>
      <w:r>
        <w:t xml:space="preserve"> weighed against the evidence of </w:t>
      </w:r>
      <w:r w:rsidRPr="0089315E">
        <w:t xml:space="preserve">Mr </w:t>
      </w:r>
      <w:proofErr w:type="spellStart"/>
      <w:r w:rsidRPr="0089315E">
        <w:t>Thornitt</w:t>
      </w:r>
      <w:proofErr w:type="spellEnd"/>
      <w:r w:rsidRPr="0089315E">
        <w:t xml:space="preserve"> </w:t>
      </w:r>
      <w:r>
        <w:t>on behalf of MPC who evidently investigated the matter in 1953 and concluded that the routes were not public rights of way but farm tracks for workers.  Not</w:t>
      </w:r>
      <w:r w:rsidR="00970D51">
        <w:t xml:space="preserve">withstanding that response, </w:t>
      </w:r>
      <w:r w:rsidR="00525868">
        <w:t xml:space="preserve">I find it improbable that </w:t>
      </w:r>
      <w:r>
        <w:t xml:space="preserve">one, let alone two routes, </w:t>
      </w:r>
      <w:r w:rsidR="00525868">
        <w:t>would have simply terminated at the river given the presence of</w:t>
      </w:r>
      <w:r w:rsidR="00F44ECF">
        <w:t xml:space="preserve"> foot</w:t>
      </w:r>
      <w:r w:rsidR="00525868">
        <w:t>bridges</w:t>
      </w:r>
      <w:r w:rsidR="00F44ECF">
        <w:t xml:space="preserve"> and </w:t>
      </w:r>
      <w:r>
        <w:t xml:space="preserve">the recent repairs that were carried out at </w:t>
      </w:r>
      <w:r w:rsidR="00913704">
        <w:t>p</w:t>
      </w:r>
      <w:r w:rsidR="00F44ECF">
        <w:t>oint T by the County Counci</w:t>
      </w:r>
      <w:r>
        <w:t>l</w:t>
      </w:r>
      <w:r w:rsidR="00F44ECF">
        <w:t>.</w:t>
      </w:r>
    </w:p>
    <w:p w14:paraId="40B3921A" w14:textId="1F00120F" w:rsidR="006E6F23" w:rsidRDefault="0029266A" w:rsidP="006E6F23">
      <w:pPr>
        <w:pStyle w:val="Style1"/>
      </w:pPr>
      <w:r>
        <w:t xml:space="preserve">The fact that the routes were not considered to </w:t>
      </w:r>
      <w:r w:rsidR="0098547D">
        <w:t xml:space="preserve">be </w:t>
      </w:r>
      <w:r>
        <w:t>public</w:t>
      </w:r>
      <w:r w:rsidR="0098547D">
        <w:t xml:space="preserve"> rights of way</w:t>
      </w:r>
      <w:r>
        <w:t xml:space="preserve"> in 1953 does not preclude the possibility that public rights have been established since through section 31 of the 1980 Act. </w:t>
      </w:r>
      <w:r w:rsidR="00F36B17">
        <w:t xml:space="preserve"> </w:t>
      </w:r>
      <w:r>
        <w:t xml:space="preserve">Documents </w:t>
      </w:r>
      <w:r w:rsidR="009B5E76">
        <w:t xml:space="preserve">pertaining </w:t>
      </w:r>
      <w:r w:rsidR="002B0908">
        <w:t>to the proposed extinguishment</w:t>
      </w:r>
      <w:r w:rsidR="009B5E76">
        <w:t xml:space="preserve"> of the routes dating from 2006 suggest that the school </w:t>
      </w:r>
      <w:proofErr w:type="gramStart"/>
      <w:r w:rsidR="009B5E76">
        <w:t xml:space="preserve">was well aware </w:t>
      </w:r>
      <w:r w:rsidR="003B6582">
        <w:t>that</w:t>
      </w:r>
      <w:proofErr w:type="gramEnd"/>
      <w:r w:rsidR="00AD1F9C">
        <w:t xml:space="preserve"> </w:t>
      </w:r>
      <w:r w:rsidR="00C25902">
        <w:t>R</w:t>
      </w:r>
      <w:r w:rsidR="00AD1F9C">
        <w:t>oute</w:t>
      </w:r>
      <w:r w:rsidR="00C25902">
        <w:t xml:space="preserve"> 1 </w:t>
      </w:r>
      <w:r w:rsidR="00F36B17">
        <w:t>had been</w:t>
      </w:r>
      <w:r w:rsidR="00C25902">
        <w:t xml:space="preserve"> well </w:t>
      </w:r>
      <w:r w:rsidR="000B04DA">
        <w:t>used by</w:t>
      </w:r>
      <w:r w:rsidR="009B5E76">
        <w:t xml:space="preserve"> </w:t>
      </w:r>
      <w:r w:rsidR="009B5E76" w:rsidRPr="009B5E76">
        <w:t>local people</w:t>
      </w:r>
      <w:r w:rsidR="00F36B17">
        <w:t xml:space="preserve"> for a number of years</w:t>
      </w:r>
      <w:r w:rsidR="003B6582">
        <w:t xml:space="preserve">. </w:t>
      </w:r>
      <w:r w:rsidR="006E6F23">
        <w:t xml:space="preserve"> This is supported by evidence of former school staff which collectively covers the period 1985-2007. </w:t>
      </w:r>
      <w:r w:rsidR="00913704">
        <w:t xml:space="preserve"> </w:t>
      </w:r>
      <w:r w:rsidR="005270C1">
        <w:t xml:space="preserve">Given the above one would have expected there to be some evidence of a </w:t>
      </w:r>
      <w:r w:rsidR="00C44F0E">
        <w:t xml:space="preserve">walked path along Route 1 in 2008 when BCC’s Rights of Way officer </w:t>
      </w:r>
      <w:r w:rsidR="00FC11AE">
        <w:t>investigated the matter.</w:t>
      </w:r>
      <w:r w:rsidR="00F86001">
        <w:t xml:space="preserve">  </w:t>
      </w:r>
      <w:r w:rsidR="00552413">
        <w:t>T</w:t>
      </w:r>
      <w:r w:rsidR="00F86001">
        <w:t>his evidence</w:t>
      </w:r>
      <w:r w:rsidR="00552413">
        <w:t xml:space="preserve"> suggest</w:t>
      </w:r>
      <w:r w:rsidR="00BC5AD5">
        <w:t>s</w:t>
      </w:r>
      <w:r w:rsidR="00552413">
        <w:t xml:space="preserve"> the route was not well used in the period </w:t>
      </w:r>
      <w:r w:rsidR="00BC5AD5">
        <w:t xml:space="preserve">immediately after the relevant 20-year period had ended.  </w:t>
      </w:r>
      <w:r w:rsidR="00F86001">
        <w:t xml:space="preserve"> </w:t>
      </w:r>
    </w:p>
    <w:p w14:paraId="18BC86E8" w14:textId="652C2E89" w:rsidR="00821B6B" w:rsidRPr="00BC7F48" w:rsidRDefault="00BC7F48" w:rsidP="00AC7B62">
      <w:pPr>
        <w:pStyle w:val="Style1"/>
        <w:numPr>
          <w:ilvl w:val="0"/>
          <w:numId w:val="0"/>
        </w:numPr>
        <w:rPr>
          <w:i/>
          <w:iCs/>
        </w:rPr>
      </w:pPr>
      <w:r w:rsidRPr="00BC7F48">
        <w:rPr>
          <w:i/>
          <w:iCs/>
        </w:rPr>
        <w:lastRenderedPageBreak/>
        <w:t xml:space="preserve">User Evidence </w:t>
      </w:r>
    </w:p>
    <w:p w14:paraId="709008A0" w14:textId="0E596657" w:rsidR="009F105E" w:rsidRDefault="00C0273B" w:rsidP="007741CD">
      <w:pPr>
        <w:pStyle w:val="Style1"/>
        <w:numPr>
          <w:ilvl w:val="0"/>
          <w:numId w:val="24"/>
        </w:numPr>
      </w:pPr>
      <w:r w:rsidRPr="00C0273B">
        <w:t xml:space="preserve">56 </w:t>
      </w:r>
      <w:r>
        <w:t>U</w:t>
      </w:r>
      <w:r w:rsidR="00FC11AE">
        <w:t>ser Evidence Forms (U</w:t>
      </w:r>
      <w:r>
        <w:t>EFs</w:t>
      </w:r>
      <w:r w:rsidR="00FC11AE">
        <w:t>)</w:t>
      </w:r>
      <w:r w:rsidRPr="00C0273B">
        <w:t xml:space="preserve"> were submitted</w:t>
      </w:r>
      <w:r w:rsidR="008346E2">
        <w:t xml:space="preserve"> for Route 1</w:t>
      </w:r>
      <w:r w:rsidRPr="00C0273B">
        <w:t xml:space="preserve"> in 2010</w:t>
      </w:r>
      <w:r>
        <w:rPr>
          <w:rStyle w:val="FootnoteReference"/>
        </w:rPr>
        <w:footnoteReference w:id="11"/>
      </w:r>
      <w:r>
        <w:t xml:space="preserve"> with</w:t>
      </w:r>
      <w:r w:rsidR="00C710D5">
        <w:t xml:space="preserve"> 15 </w:t>
      </w:r>
      <w:r>
        <w:t xml:space="preserve">of the respondents </w:t>
      </w:r>
      <w:r w:rsidRPr="00C0273B">
        <w:t>being subsequently interviewed by the Council witnesses</w:t>
      </w:r>
      <w:r>
        <w:t xml:space="preserve">. </w:t>
      </w:r>
      <w:r w:rsidR="00FC11AE">
        <w:t xml:space="preserve"> </w:t>
      </w:r>
      <w:r w:rsidR="007741CD">
        <w:t>For Route 2</w:t>
      </w:r>
      <w:r w:rsidR="00FC11AE">
        <w:t>,</w:t>
      </w:r>
      <w:r w:rsidR="007741CD">
        <w:t xml:space="preserve"> 54 UEFs were</w:t>
      </w:r>
      <w:r w:rsidR="007C1A01">
        <w:t xml:space="preserve"> </w:t>
      </w:r>
      <w:r w:rsidR="007741CD">
        <w:t>submitted with 14 of the respondents being subsequently interviewed by the Council</w:t>
      </w:r>
      <w:r w:rsidR="00CF0B0E">
        <w:t>.</w:t>
      </w:r>
    </w:p>
    <w:p w14:paraId="0EA3F4AA" w14:textId="298F4A19" w:rsidR="003C0A7E" w:rsidRDefault="003C0A7E" w:rsidP="00C0273B">
      <w:pPr>
        <w:pStyle w:val="Style1"/>
        <w:numPr>
          <w:ilvl w:val="0"/>
          <w:numId w:val="24"/>
        </w:numPr>
      </w:pPr>
      <w:r>
        <w:t xml:space="preserve">While the ratio </w:t>
      </w:r>
      <w:r w:rsidR="008F2183">
        <w:t>of interviews versus UEFs appears to be</w:t>
      </w:r>
      <w:r w:rsidR="00870DE9">
        <w:t xml:space="preserve"> </w:t>
      </w:r>
      <w:r w:rsidR="008F2183">
        <w:t xml:space="preserve">low, in my experience, it is within the range that </w:t>
      </w:r>
      <w:r w:rsidR="00BA5B87">
        <w:t xml:space="preserve">one </w:t>
      </w:r>
      <w:r w:rsidR="008F2183">
        <w:t xml:space="preserve">might </w:t>
      </w:r>
      <w:r w:rsidR="008917B1">
        <w:t>ordinarily</w:t>
      </w:r>
      <w:r w:rsidR="008F2183">
        <w:t xml:space="preserve"> expect</w:t>
      </w:r>
      <w:r w:rsidR="00870DE9">
        <w:t xml:space="preserve"> in the context of a DMMO application</w:t>
      </w:r>
      <w:r w:rsidR="008917B1">
        <w:t>.  In this case, the response rate was almost</w:t>
      </w:r>
      <w:r w:rsidR="00FC11AE">
        <w:t xml:space="preserve"> certainly</w:t>
      </w:r>
      <w:r w:rsidR="00D52331">
        <w:t xml:space="preserve"> influenced </w:t>
      </w:r>
      <w:r w:rsidR="00747CF7">
        <w:t>by th</w:t>
      </w:r>
      <w:r w:rsidR="00F938BE">
        <w:t>e</w:t>
      </w:r>
      <w:r w:rsidR="00D301F0">
        <w:t xml:space="preserve"> letter</w:t>
      </w:r>
      <w:r w:rsidR="00F938BE">
        <w:t xml:space="preserve"> dated 16 December 2014 sent</w:t>
      </w:r>
      <w:r w:rsidR="007C1A01">
        <w:t xml:space="preserve"> to </w:t>
      </w:r>
      <w:proofErr w:type="gramStart"/>
      <w:r w:rsidR="007C1A01">
        <w:t>a number of</w:t>
      </w:r>
      <w:proofErr w:type="gramEnd"/>
      <w:r w:rsidR="007C1A01">
        <w:t xml:space="preserve"> </w:t>
      </w:r>
      <w:r w:rsidR="009E794C">
        <w:t>respondents</w:t>
      </w:r>
      <w:r w:rsidR="00F938BE">
        <w:t xml:space="preserve"> by the </w:t>
      </w:r>
      <w:r w:rsidR="00747CF7">
        <w:t xml:space="preserve">owners of the land crossed by </w:t>
      </w:r>
      <w:r w:rsidR="00D301F0">
        <w:t xml:space="preserve">Westbury </w:t>
      </w:r>
      <w:r w:rsidR="00842D4D">
        <w:t>11/</w:t>
      </w:r>
      <w:r w:rsidR="00D301F0">
        <w:t>11a</w:t>
      </w:r>
      <w:r w:rsidR="00D301F0">
        <w:rPr>
          <w:rStyle w:val="FootnoteReference"/>
        </w:rPr>
        <w:footnoteReference w:id="12"/>
      </w:r>
      <w:r w:rsidR="00F938BE">
        <w:t xml:space="preserve">.  In essence this </w:t>
      </w:r>
      <w:r w:rsidR="00213497">
        <w:t xml:space="preserve">letter sought to discourage </w:t>
      </w:r>
      <w:r w:rsidR="00E87B69">
        <w:t xml:space="preserve">members of the public from giving evidence </w:t>
      </w:r>
      <w:r w:rsidR="000B220D">
        <w:t xml:space="preserve">at an upcoming Public Inquiry by highlighting the </w:t>
      </w:r>
      <w:r w:rsidR="00FB467D">
        <w:t>‘</w:t>
      </w:r>
      <w:r w:rsidR="000B220D">
        <w:t>ord</w:t>
      </w:r>
      <w:r w:rsidR="00FB467D">
        <w:t xml:space="preserve">eal of cross examination’. </w:t>
      </w:r>
      <w:r w:rsidR="00D52331">
        <w:t xml:space="preserve"> Given the tone of that letter, it is almost inevitable that</w:t>
      </w:r>
      <w:r w:rsidR="00CE1D4B">
        <w:t xml:space="preserve"> it put some </w:t>
      </w:r>
      <w:r w:rsidR="00D52331">
        <w:t>witnesses</w:t>
      </w:r>
      <w:r w:rsidR="00CE1D4B">
        <w:t xml:space="preserve"> off</w:t>
      </w:r>
      <w:r w:rsidR="002341C1">
        <w:t xml:space="preserve"> from giving interviews in connection with these Order routes.   </w:t>
      </w:r>
    </w:p>
    <w:p w14:paraId="4A0DDC24" w14:textId="058737B7" w:rsidR="00A4723C" w:rsidRDefault="00FB467D" w:rsidP="00112A88">
      <w:pPr>
        <w:pStyle w:val="Style1"/>
        <w:numPr>
          <w:ilvl w:val="0"/>
          <w:numId w:val="24"/>
        </w:numPr>
      </w:pPr>
      <w:r>
        <w:t>A</w:t>
      </w:r>
      <w:r w:rsidR="00AF7DF3">
        <w:t xml:space="preserve">lthough </w:t>
      </w:r>
      <w:proofErr w:type="gramStart"/>
      <w:r w:rsidR="00AF7DF3">
        <w:t>a number of</w:t>
      </w:r>
      <w:proofErr w:type="gramEnd"/>
      <w:r w:rsidR="00AF7DF3">
        <w:t xml:space="preserve"> the UEFs were discounted</w:t>
      </w:r>
      <w:r w:rsidR="00AF7DF3">
        <w:rPr>
          <w:rStyle w:val="FootnoteReference"/>
        </w:rPr>
        <w:footnoteReference w:id="13"/>
      </w:r>
      <w:r w:rsidR="00AF7DF3">
        <w:t xml:space="preserve"> this still leaves a significant body of evidence </w:t>
      </w:r>
      <w:r w:rsidR="00A342F2">
        <w:t xml:space="preserve">which supports the public’s use of both routes ‘as of right’ over the relevant 20-year period.  </w:t>
      </w:r>
      <w:r w:rsidR="009E794C">
        <w:t>T</w:t>
      </w:r>
      <w:r w:rsidR="007C6EDF">
        <w:t>he OMA’s Statement of Reasons</w:t>
      </w:r>
      <w:r w:rsidR="009E794C">
        <w:rPr>
          <w:rStyle w:val="FootnoteReference"/>
        </w:rPr>
        <w:footnoteReference w:id="14"/>
      </w:r>
      <w:r w:rsidR="00E74F32">
        <w:t xml:space="preserve"> shows that </w:t>
      </w:r>
      <w:r w:rsidR="00786638">
        <w:t>there are a</w:t>
      </w:r>
      <w:r w:rsidR="00E74F32">
        <w:t>t least 47 witnesses</w:t>
      </w:r>
      <w:r w:rsidR="00786638">
        <w:t xml:space="preserve"> who</w:t>
      </w:r>
      <w:r w:rsidR="009E794C">
        <w:t xml:space="preserve"> claim to have used </w:t>
      </w:r>
      <w:r w:rsidR="00786638">
        <w:t xml:space="preserve">Route 1 over part </w:t>
      </w:r>
      <w:r w:rsidR="00E74F32">
        <w:t>of the 20-year period</w:t>
      </w:r>
      <w:r w:rsidR="000F46A8">
        <w:t xml:space="preserve"> and</w:t>
      </w:r>
      <w:r w:rsidR="00D53998">
        <w:t xml:space="preserve"> 11 </w:t>
      </w:r>
      <w:r w:rsidR="000F46A8">
        <w:t xml:space="preserve">who </w:t>
      </w:r>
      <w:r w:rsidR="00D53998">
        <w:t xml:space="preserve">claim </w:t>
      </w:r>
      <w:r w:rsidR="000F46A8">
        <w:t xml:space="preserve">use </w:t>
      </w:r>
      <w:r w:rsidR="00112A88">
        <w:t xml:space="preserve">over </w:t>
      </w:r>
      <w:r w:rsidR="00A85F11">
        <w:t>the whole period</w:t>
      </w:r>
      <w:r w:rsidR="00D53998">
        <w:t xml:space="preserve"> either </w:t>
      </w:r>
      <w:r w:rsidR="002341C1">
        <w:t xml:space="preserve">on </w:t>
      </w:r>
      <w:r w:rsidR="00D53998">
        <w:t xml:space="preserve">a monthly or weekly basis.  </w:t>
      </w:r>
      <w:r w:rsidR="00CF0B0E">
        <w:t>Th</w:t>
      </w:r>
      <w:r w:rsidR="0023014B">
        <w:t xml:space="preserve">e corresponding figures for Route 2 </w:t>
      </w:r>
      <w:r w:rsidR="00112A88">
        <w:t>are</w:t>
      </w:r>
      <w:r w:rsidR="0023014B">
        <w:t xml:space="preserve"> </w:t>
      </w:r>
      <w:r w:rsidR="00AA456E">
        <w:t xml:space="preserve">48 and </w:t>
      </w:r>
      <w:r w:rsidR="000F46A8">
        <w:t xml:space="preserve">12. </w:t>
      </w:r>
      <w:r w:rsidR="00112A88">
        <w:t xml:space="preserve"> </w:t>
      </w:r>
      <w:r w:rsidR="003F050B">
        <w:t>Ma</w:t>
      </w:r>
      <w:r w:rsidR="00D53998">
        <w:t xml:space="preserve">ny of the </w:t>
      </w:r>
      <w:r w:rsidR="003F050B">
        <w:t>witnesses</w:t>
      </w:r>
      <w:r w:rsidR="00D53998">
        <w:t xml:space="preserve"> refer to widespread use of the route by</w:t>
      </w:r>
      <w:r w:rsidR="002341C1">
        <w:t xml:space="preserve"> other</w:t>
      </w:r>
      <w:r w:rsidR="0032165C">
        <w:t xml:space="preserve"> villagers. </w:t>
      </w:r>
      <w:r w:rsidR="00A85F11">
        <w:t xml:space="preserve"> </w:t>
      </w:r>
      <w:r w:rsidR="0014319C">
        <w:t xml:space="preserve">Overwhelmingly, </w:t>
      </w:r>
      <w:r w:rsidR="00FC11AE">
        <w:t>users</w:t>
      </w:r>
      <w:r w:rsidR="00CB3CDD" w:rsidRPr="00CB3CDD">
        <w:t xml:space="preserve"> believed that the </w:t>
      </w:r>
      <w:r w:rsidR="0014319C">
        <w:t>land</w:t>
      </w:r>
      <w:r w:rsidR="00CB3CDD" w:rsidRPr="00CB3CDD">
        <w:t>owner</w:t>
      </w:r>
      <w:r w:rsidR="0014319C">
        <w:t xml:space="preserve">s were </w:t>
      </w:r>
      <w:r w:rsidR="00CB3CDD" w:rsidRPr="00CB3CDD">
        <w:t>aware that the public</w:t>
      </w:r>
      <w:r w:rsidR="0014319C">
        <w:t xml:space="preserve"> at large</w:t>
      </w:r>
      <w:r w:rsidR="00CB3CDD" w:rsidRPr="00CB3CDD">
        <w:t xml:space="preserve"> were using the </w:t>
      </w:r>
      <w:r w:rsidR="0014319C">
        <w:t>route</w:t>
      </w:r>
      <w:r w:rsidR="00FC11AE">
        <w:t>s</w:t>
      </w:r>
      <w:r w:rsidR="0014319C">
        <w:t>.</w:t>
      </w:r>
      <w:r w:rsidR="00112A88">
        <w:t xml:space="preserve">  </w:t>
      </w:r>
    </w:p>
    <w:p w14:paraId="684E49F7" w14:textId="69F09D28" w:rsidR="00920544" w:rsidRDefault="00432B6B" w:rsidP="00920544">
      <w:pPr>
        <w:pStyle w:val="Style1"/>
        <w:numPr>
          <w:ilvl w:val="0"/>
          <w:numId w:val="24"/>
        </w:numPr>
      </w:pPr>
      <w:r>
        <w:t xml:space="preserve">The above is consistent with accounts given by former staff members </w:t>
      </w:r>
      <w:r w:rsidR="00A4723C">
        <w:t xml:space="preserve">nearly all of which reported </w:t>
      </w:r>
      <w:r w:rsidR="00001AF0">
        <w:t>daily levels of</w:t>
      </w:r>
      <w:r w:rsidR="00A4723C">
        <w:t xml:space="preserve"> use</w:t>
      </w:r>
      <w:r w:rsidR="00001AF0">
        <w:t xml:space="preserve"> by the public</w:t>
      </w:r>
      <w:r w:rsidR="00A4723C">
        <w:t xml:space="preserve">. </w:t>
      </w:r>
      <w:r>
        <w:t xml:space="preserve"> </w:t>
      </w:r>
      <w:r w:rsidRPr="00432B6B">
        <w:t>Pat Hearn</w:t>
      </w:r>
      <w:r>
        <w:t xml:space="preserve"> </w:t>
      </w:r>
      <w:r w:rsidR="00A4723C">
        <w:t xml:space="preserve">states </w:t>
      </w:r>
      <w:r w:rsidRPr="00432B6B">
        <w:t>that the school was aware that the routes were being used, but nothing was ever said</w:t>
      </w:r>
      <w:r>
        <w:t xml:space="preserve">. </w:t>
      </w:r>
      <w:r w:rsidR="00B06C0A">
        <w:t xml:space="preserve"> </w:t>
      </w:r>
      <w:r w:rsidR="00920544">
        <w:t xml:space="preserve">The high level of public use was also noted in 2006 in relation to the proposed extinguishments (see paragraph 38 of this decision).  The level of claimed use of Route 1 is also markedly </w:t>
      </w:r>
      <w:proofErr w:type="gramStart"/>
      <w:r w:rsidR="00920544">
        <w:t>similar to</w:t>
      </w:r>
      <w:proofErr w:type="gramEnd"/>
      <w:r w:rsidR="00920544">
        <w:t xml:space="preserve"> that </w:t>
      </w:r>
      <w:r w:rsidR="002C143D">
        <w:t xml:space="preserve">already </w:t>
      </w:r>
      <w:r w:rsidR="00920544">
        <w:t xml:space="preserve">accepted by BCC in respect of the DMMO application for FP11a, which is effectively the section of </w:t>
      </w:r>
      <w:r w:rsidR="008B0C0A">
        <w:t>R</w:t>
      </w:r>
      <w:r w:rsidR="00920544">
        <w:t xml:space="preserve">oute 1 that falls within Buckinghamshire.  </w:t>
      </w:r>
    </w:p>
    <w:p w14:paraId="5286F02F" w14:textId="4967A7ED" w:rsidR="002C143D" w:rsidRDefault="002C143D" w:rsidP="002C143D">
      <w:pPr>
        <w:pStyle w:val="Style1"/>
        <w:numPr>
          <w:ilvl w:val="0"/>
          <w:numId w:val="24"/>
        </w:numPr>
      </w:pPr>
      <w:r>
        <w:t>Based on the foregoing, I consider that the level of use during the relevant 20-year period would have been sufficient to “</w:t>
      </w:r>
      <w:r w:rsidRPr="00C94939">
        <w:rPr>
          <w:i/>
          <w:iCs/>
        </w:rPr>
        <w:t>bring home to the landowner that a right is being asserted against him</w:t>
      </w:r>
      <w:r>
        <w:t>”</w:t>
      </w:r>
      <w:r>
        <w:rPr>
          <w:rStyle w:val="FootnoteReference"/>
        </w:rPr>
        <w:footnoteReference w:id="15"/>
      </w:r>
      <w:r>
        <w:t xml:space="preserve">.  While a small number of users received permission to walk the routes, most did not.  </w:t>
      </w:r>
      <w:r w:rsidRPr="007741CD">
        <w:t xml:space="preserve">There is no </w:t>
      </w:r>
      <w:r>
        <w:t xml:space="preserve">substantive </w:t>
      </w:r>
      <w:r w:rsidRPr="007741CD">
        <w:t>evidence to suggest that any use of the Order routes was secretive</w:t>
      </w:r>
      <w:r>
        <w:t xml:space="preserve"> or by force</w:t>
      </w:r>
      <w:r w:rsidR="008B0C0A">
        <w:t xml:space="preserve"> nor that</w:t>
      </w:r>
      <w:r>
        <w:t xml:space="preserve"> the use was interrupted during the 20-year period.  </w:t>
      </w:r>
    </w:p>
    <w:p w14:paraId="2148FDAE" w14:textId="7D9E5B82" w:rsidR="004F2B1D" w:rsidRPr="004F2B1D" w:rsidRDefault="004F2B1D" w:rsidP="004F2B1D">
      <w:pPr>
        <w:pStyle w:val="Style1"/>
        <w:numPr>
          <w:ilvl w:val="0"/>
          <w:numId w:val="0"/>
        </w:numPr>
        <w:rPr>
          <w:i/>
          <w:iCs/>
        </w:rPr>
      </w:pPr>
      <w:r w:rsidRPr="004F2B1D">
        <w:rPr>
          <w:i/>
          <w:iCs/>
        </w:rPr>
        <w:t xml:space="preserve">Conclusions on User Evidence </w:t>
      </w:r>
    </w:p>
    <w:p w14:paraId="753F535C" w14:textId="4AB474CA" w:rsidR="00D7071D" w:rsidRDefault="00266EA7" w:rsidP="00266EA7">
      <w:pPr>
        <w:pStyle w:val="Style1"/>
        <w:numPr>
          <w:ilvl w:val="0"/>
          <w:numId w:val="24"/>
        </w:numPr>
      </w:pPr>
      <w:r w:rsidRPr="00266EA7">
        <w:t>Overall, the</w:t>
      </w:r>
      <w:r w:rsidR="008B0C0A">
        <w:t xml:space="preserve"> user evidence </w:t>
      </w:r>
      <w:r w:rsidRPr="00266EA7">
        <w:t>demonstrate</w:t>
      </w:r>
      <w:r w:rsidR="008B0C0A">
        <w:t>s</w:t>
      </w:r>
      <w:r w:rsidRPr="00266EA7">
        <w:t xml:space="preserve"> use of the Order route</w:t>
      </w:r>
      <w:r>
        <w:t>s</w:t>
      </w:r>
      <w:r w:rsidRPr="00266EA7">
        <w:t xml:space="preserve"> during the 20</w:t>
      </w:r>
      <w:r>
        <w:t>-</w:t>
      </w:r>
      <w:r w:rsidRPr="00266EA7">
        <w:t xml:space="preserve">year period and weigh in favour of confirmation of the Order. </w:t>
      </w:r>
      <w:r w:rsidR="008B0C0A">
        <w:t xml:space="preserve"> </w:t>
      </w:r>
      <w:r w:rsidRPr="00266EA7">
        <w:t>There is no evidence that the use was interrupted or that it was not ‘as of right’.  Although the level of use varies between the witnesses</w:t>
      </w:r>
      <w:r w:rsidR="00A94E2F">
        <w:t>, o</w:t>
      </w:r>
      <w:r w:rsidRPr="00266EA7">
        <w:t>verall</w:t>
      </w:r>
      <w:r w:rsidR="00A94E2F">
        <w:t>,</w:t>
      </w:r>
      <w:r w:rsidRPr="00266EA7">
        <w:t xml:space="preserve"> it has been </w:t>
      </w:r>
      <w:r w:rsidRPr="00266EA7">
        <w:lastRenderedPageBreak/>
        <w:t xml:space="preserve">demonstrated that it was on a regular basis varying from daily, </w:t>
      </w:r>
      <w:proofErr w:type="gramStart"/>
      <w:r w:rsidRPr="00266EA7">
        <w:t>weekly</w:t>
      </w:r>
      <w:proofErr w:type="gramEnd"/>
      <w:r w:rsidRPr="00266EA7">
        <w:t xml:space="preserve"> and monthly depending on the time of year. </w:t>
      </w:r>
    </w:p>
    <w:p w14:paraId="4EC32587" w14:textId="5C07DE74" w:rsidR="00266EA7" w:rsidRPr="00266EA7" w:rsidRDefault="00D7071D" w:rsidP="00266EA7">
      <w:pPr>
        <w:pStyle w:val="Style1"/>
        <w:numPr>
          <w:ilvl w:val="0"/>
          <w:numId w:val="24"/>
        </w:numPr>
      </w:pPr>
      <w:r>
        <w:t>The objector</w:t>
      </w:r>
      <w:r w:rsidR="00AC4E89">
        <w:t xml:space="preserve">s have queried </w:t>
      </w:r>
      <w:r w:rsidR="008B0C0A">
        <w:t xml:space="preserve">the </w:t>
      </w:r>
      <w:r w:rsidR="00DC1B2F">
        <w:t xml:space="preserve">sincerity and </w:t>
      </w:r>
      <w:r w:rsidR="008B0C0A">
        <w:t>accuracy</w:t>
      </w:r>
      <w:r w:rsidR="00DC1B2F">
        <w:t xml:space="preserve"> of the user evidence </w:t>
      </w:r>
      <w:r w:rsidR="00AC4E89">
        <w:t xml:space="preserve">but </w:t>
      </w:r>
      <w:r>
        <w:t>chose not to test</w:t>
      </w:r>
      <w:r w:rsidR="00BD7DA9">
        <w:t xml:space="preserve"> </w:t>
      </w:r>
      <w:r w:rsidR="00DC1B2F">
        <w:t xml:space="preserve">it </w:t>
      </w:r>
      <w:r>
        <w:t xml:space="preserve">at a Public </w:t>
      </w:r>
      <w:r w:rsidR="00AC4E89">
        <w:t xml:space="preserve">Inquiry.  As a result, I have no reason </w:t>
      </w:r>
      <w:r w:rsidR="00FB57D3">
        <w:t>to believe</w:t>
      </w:r>
      <w:r w:rsidR="00BD7DA9">
        <w:t xml:space="preserve"> the user evidence is inaccurate or dishonest.</w:t>
      </w:r>
      <w:r w:rsidR="00FB57D3">
        <w:t xml:space="preserve"> </w:t>
      </w:r>
      <w:r w:rsidR="00266EA7" w:rsidRPr="00266EA7">
        <w:t xml:space="preserve"> In view of my conclusions above it is necessary to consider whether any landowner demonstrated a lack of intention to dedicate the way as a public footpath.  </w:t>
      </w:r>
    </w:p>
    <w:p w14:paraId="68AAF5D9" w14:textId="09914F27" w:rsidR="00266EA7" w:rsidRPr="00215B7D" w:rsidRDefault="00E5274F" w:rsidP="00266EA7">
      <w:pPr>
        <w:pStyle w:val="Style1"/>
        <w:numPr>
          <w:ilvl w:val="0"/>
          <w:numId w:val="0"/>
        </w:numPr>
        <w:rPr>
          <w:i/>
          <w:iCs/>
        </w:rPr>
      </w:pPr>
      <w:r>
        <w:rPr>
          <w:i/>
          <w:iCs/>
        </w:rPr>
        <w:t xml:space="preserve">Lack of intention to dedicate </w:t>
      </w:r>
    </w:p>
    <w:p w14:paraId="118BC597" w14:textId="66705009" w:rsidR="00215B7D" w:rsidRPr="00215B7D" w:rsidRDefault="00215B7D" w:rsidP="00215B7D">
      <w:pPr>
        <w:pStyle w:val="Style1"/>
      </w:pPr>
      <w:r w:rsidRPr="00215B7D">
        <w:t>The user evidence gives rise to a presumption of dedication and therefore the burden shifts to the landowner to demonstrate a lack of intention to dedicate.   For there to be sufficient evidence of this there must be evidence of some overt acts on the part of the landowner, during the relevant period, to show the public at large, the public who used the path, that they had no intention to dedicate.  The test is whether a reasonable user would have understood that the landowner, that is the owner of the land over which the route passes, was intending to disabuse the user of the notion that the way was public</w:t>
      </w:r>
      <w:r>
        <w:rPr>
          <w:rStyle w:val="FootnoteReference"/>
        </w:rPr>
        <w:footnoteReference w:id="16"/>
      </w:r>
      <w:r w:rsidRPr="003025EB">
        <w:t>.</w:t>
      </w:r>
    </w:p>
    <w:p w14:paraId="11C0A35B" w14:textId="59DD7054" w:rsidR="00D562E9" w:rsidRDefault="00E5274F" w:rsidP="00B868D7">
      <w:pPr>
        <w:pStyle w:val="Style1"/>
      </w:pPr>
      <w:r>
        <w:t xml:space="preserve">Between them the </w:t>
      </w:r>
      <w:r w:rsidR="000D7387">
        <w:t xml:space="preserve">landowners have raised three </w:t>
      </w:r>
      <w:r w:rsidR="002920F4">
        <w:t xml:space="preserve">possible actions which potentially could </w:t>
      </w:r>
      <w:r w:rsidR="0065266D">
        <w:t>constitute a lack of intention to dedicate</w:t>
      </w:r>
      <w:r>
        <w:t>:</w:t>
      </w:r>
      <w:r w:rsidR="00393675">
        <w:t xml:space="preserve"> locked gates, </w:t>
      </w:r>
      <w:proofErr w:type="gramStart"/>
      <w:r w:rsidR="00393675">
        <w:t>notices</w:t>
      </w:r>
      <w:proofErr w:type="gramEnd"/>
      <w:r w:rsidR="00393675">
        <w:t xml:space="preserve"> and </w:t>
      </w:r>
      <w:r w:rsidR="00E84B98">
        <w:t>verbal challenges.  Given the overlap between</w:t>
      </w:r>
      <w:r w:rsidR="00A94E2F">
        <w:t xml:space="preserve"> </w:t>
      </w:r>
      <w:r>
        <w:t xml:space="preserve">‘bringing into question’ </w:t>
      </w:r>
      <w:r w:rsidR="002920F4">
        <w:t xml:space="preserve">and ‘lack </w:t>
      </w:r>
      <w:r w:rsidR="00DC1B2F">
        <w:t>o</w:t>
      </w:r>
      <w:r w:rsidR="002920F4">
        <w:t>f intention to dedicate’</w:t>
      </w:r>
      <w:r w:rsidR="0065266D">
        <w:t xml:space="preserve">, I have already </w:t>
      </w:r>
      <w:r w:rsidR="00DC1B2F">
        <w:t>addressed</w:t>
      </w:r>
      <w:r w:rsidR="0065266D">
        <w:t xml:space="preserve"> these </w:t>
      </w:r>
      <w:r w:rsidR="00D01165">
        <w:t xml:space="preserve">matters and found that the first calling into question was in 2007 when the school first erected notices on its land.  </w:t>
      </w:r>
    </w:p>
    <w:p w14:paraId="2C2662E8" w14:textId="55C348D7" w:rsidR="00B868D7" w:rsidRDefault="007E6A0B" w:rsidP="00B868D7">
      <w:pPr>
        <w:pStyle w:val="Style1"/>
      </w:pPr>
      <w:r>
        <w:t xml:space="preserve">I have carefully considered whether locked gates, verbal </w:t>
      </w:r>
      <w:proofErr w:type="gramStart"/>
      <w:r w:rsidR="00D33479">
        <w:t>challenges</w:t>
      </w:r>
      <w:proofErr w:type="gramEnd"/>
      <w:r w:rsidR="00D33479">
        <w:t xml:space="preserve"> and notices on land to the south of the river </w:t>
      </w:r>
      <w:r w:rsidR="00E9108F">
        <w:t xml:space="preserve">could have demonstrated an </w:t>
      </w:r>
      <w:r w:rsidR="00D562E9">
        <w:t>earlier ‘calling into question’</w:t>
      </w:r>
      <w:r w:rsidR="00E9108F">
        <w:t xml:space="preserve"> but for the reason</w:t>
      </w:r>
      <w:r w:rsidR="00920544">
        <w:t>s</w:t>
      </w:r>
      <w:r w:rsidR="00E9108F">
        <w:t xml:space="preserve"> given </w:t>
      </w:r>
      <w:r w:rsidR="00210CBF">
        <w:t xml:space="preserve">have found this not to be the case.  The same conclusions apply to </w:t>
      </w:r>
      <w:r w:rsidR="00DC1B2F">
        <w:t>‘</w:t>
      </w:r>
      <w:r w:rsidR="00EF0BA1">
        <w:t xml:space="preserve">lack of intention to dedicate’ </w:t>
      </w:r>
      <w:proofErr w:type="gramStart"/>
      <w:r w:rsidR="00EF0BA1">
        <w:t>i.e.</w:t>
      </w:r>
      <w:proofErr w:type="gramEnd"/>
      <w:r w:rsidR="00EF0BA1">
        <w:t xml:space="preserve"> that </w:t>
      </w:r>
      <w:r w:rsidR="000A42E4">
        <w:t>actions</w:t>
      </w:r>
      <w:r w:rsidR="00EF0BA1">
        <w:t xml:space="preserve"> taken by the landowner</w:t>
      </w:r>
      <w:r w:rsidR="000A42E4">
        <w:t>s were not sufficient to demonstrate to</w:t>
      </w:r>
      <w:r w:rsidR="00210CBF">
        <w:t xml:space="preserve"> </w:t>
      </w:r>
      <w:r w:rsidR="000A42E4" w:rsidRPr="000A42E4">
        <w:t>the public at large that they had no intention to dedicate the routes during the period 1987-2007.</w:t>
      </w:r>
      <w:r w:rsidR="00210CBF">
        <w:t xml:space="preserve">  </w:t>
      </w:r>
      <w:r w:rsidR="000D7387">
        <w:t xml:space="preserve"> </w:t>
      </w:r>
    </w:p>
    <w:p w14:paraId="41CA1002" w14:textId="771A220A" w:rsidR="00AC7B62" w:rsidRPr="00FC293E" w:rsidRDefault="00EA71AF" w:rsidP="00FC293E">
      <w:pPr>
        <w:pStyle w:val="Style1"/>
        <w:numPr>
          <w:ilvl w:val="0"/>
          <w:numId w:val="0"/>
        </w:numPr>
        <w:rPr>
          <w:b/>
          <w:bCs/>
        </w:rPr>
      </w:pPr>
      <w:r w:rsidRPr="00FC293E">
        <w:rPr>
          <w:b/>
          <w:bCs/>
        </w:rPr>
        <w:t>Other Matters</w:t>
      </w:r>
    </w:p>
    <w:p w14:paraId="63D9D6A7" w14:textId="363741EB" w:rsidR="00876DED" w:rsidRDefault="00876DED" w:rsidP="00876DED">
      <w:pPr>
        <w:pStyle w:val="Style1"/>
      </w:pPr>
      <w:r>
        <w:t>Various objectors have raised child safety and security concerns</w:t>
      </w:r>
      <w:r w:rsidR="008115A1">
        <w:t>.</w:t>
      </w:r>
      <w:r>
        <w:t xml:space="preserve"> </w:t>
      </w:r>
      <w:r w:rsidR="00D35C22">
        <w:t xml:space="preserve"> </w:t>
      </w:r>
      <w:r w:rsidR="008115A1" w:rsidRPr="008115A1">
        <w:t xml:space="preserve">However, these are not matters </w:t>
      </w:r>
      <w:r w:rsidR="008115A1">
        <w:t>that</w:t>
      </w:r>
      <w:r w:rsidR="008115A1" w:rsidRPr="008115A1">
        <w:t xml:space="preserve"> can be taken into consideration under section 53 of the 1981 Act.</w:t>
      </w:r>
    </w:p>
    <w:p w14:paraId="541FF7DB" w14:textId="4EDA2FD8" w:rsidR="00355FCC" w:rsidRDefault="00BF5D5C" w:rsidP="00BF5D5C">
      <w:pPr>
        <w:pStyle w:val="Heading6blackfont"/>
      </w:pPr>
      <w:r>
        <w:t>Conclusions</w:t>
      </w:r>
    </w:p>
    <w:p w14:paraId="089555B9" w14:textId="56E95B10" w:rsidR="004D0DA6" w:rsidRDefault="004D0DA6" w:rsidP="004D0DA6">
      <w:pPr>
        <w:pStyle w:val="Style1"/>
      </w:pPr>
      <w:r w:rsidRPr="004D0DA6">
        <w:t>I have found that there is sufficient user evidence to demonstrate use of the Order route</w:t>
      </w:r>
      <w:r w:rsidR="00DC1B2F">
        <w:t>s</w:t>
      </w:r>
      <w:r w:rsidRPr="004D0DA6">
        <w:t xml:space="preserve"> between 19</w:t>
      </w:r>
      <w:r>
        <w:t>87</w:t>
      </w:r>
      <w:r w:rsidRPr="004D0DA6">
        <w:t xml:space="preserve"> and</w:t>
      </w:r>
      <w:r>
        <w:t xml:space="preserve"> 2007</w:t>
      </w:r>
      <w:r w:rsidRPr="004D0DA6">
        <w:t>.  There is no evidence that use was interrupted or that it was not ‘as of right’.  I have not identified any evidence to show a lack of intention to dedicate a public right of way over the Order route within the 20</w:t>
      </w:r>
      <w:r>
        <w:t>-</w:t>
      </w:r>
      <w:r w:rsidRPr="004D0DA6">
        <w:t xml:space="preserve">year period.  Therefore, on the balance of probabilities, and considering the </w:t>
      </w:r>
      <w:proofErr w:type="gramStart"/>
      <w:r w:rsidRPr="004D0DA6">
        <w:t>evidence as a whole, I</w:t>
      </w:r>
      <w:proofErr w:type="gramEnd"/>
      <w:r w:rsidRPr="004D0DA6">
        <w:t xml:space="preserve"> am satisfied, that the Order route</w:t>
      </w:r>
      <w:r>
        <w:t>s</w:t>
      </w:r>
      <w:r w:rsidRPr="004D0DA6">
        <w:t xml:space="preserve"> should be recorded as public footpath</w:t>
      </w:r>
      <w:r>
        <w:t>s</w:t>
      </w:r>
      <w:r w:rsidRPr="004D0DA6">
        <w:t>.  Having regard to these and all other matters raised I conclude that the Order should be confirmed</w:t>
      </w:r>
      <w:r w:rsidR="00DC1B2F">
        <w:t>.</w:t>
      </w:r>
      <w:r w:rsidR="008C42E6">
        <w:t>’</w:t>
      </w:r>
    </w:p>
    <w:p w14:paraId="7AF93A45" w14:textId="77777777" w:rsidR="008C42E6" w:rsidRDefault="008C42E6" w:rsidP="008C42E6">
      <w:pPr>
        <w:pStyle w:val="Style1"/>
        <w:numPr>
          <w:ilvl w:val="0"/>
          <w:numId w:val="0"/>
        </w:numPr>
      </w:pPr>
    </w:p>
    <w:p w14:paraId="3B727F9B" w14:textId="77777777" w:rsidR="008C42E6" w:rsidRDefault="008C42E6" w:rsidP="008C42E6">
      <w:pPr>
        <w:pStyle w:val="Style1"/>
        <w:numPr>
          <w:ilvl w:val="0"/>
          <w:numId w:val="0"/>
        </w:numPr>
      </w:pPr>
    </w:p>
    <w:p w14:paraId="01561F59" w14:textId="463D5F01" w:rsidR="00F26DDC" w:rsidRPr="008C42E6" w:rsidRDefault="00F26DDC" w:rsidP="008C42E6">
      <w:pPr>
        <w:pStyle w:val="Style1"/>
        <w:numPr>
          <w:ilvl w:val="0"/>
          <w:numId w:val="0"/>
        </w:numPr>
      </w:pPr>
      <w:r w:rsidRPr="008C42E6">
        <w:rPr>
          <w:b/>
          <w:szCs w:val="22"/>
        </w:rPr>
        <w:lastRenderedPageBreak/>
        <w:t>Formal Decision</w:t>
      </w:r>
    </w:p>
    <w:p w14:paraId="5FFD5AD1" w14:textId="77777777" w:rsidR="00F26DDC" w:rsidRPr="008B2556" w:rsidRDefault="00F26DDC" w:rsidP="00F26DDC">
      <w:pPr>
        <w:tabs>
          <w:tab w:val="left" w:pos="426"/>
        </w:tabs>
        <w:ind w:left="425"/>
        <w:rPr>
          <w:sz w:val="16"/>
          <w:szCs w:val="16"/>
        </w:rPr>
      </w:pPr>
    </w:p>
    <w:p w14:paraId="236A5D38" w14:textId="5C09E836" w:rsidR="004D0DA6" w:rsidRDefault="00F26DDC" w:rsidP="00F26DDC">
      <w:pPr>
        <w:pStyle w:val="Style1"/>
      </w:pPr>
      <w:r>
        <w:t>T</w:t>
      </w:r>
      <w:r w:rsidRPr="008B2556">
        <w:t>he Order</w:t>
      </w:r>
      <w:r>
        <w:t xml:space="preserve"> is confirmed</w:t>
      </w:r>
      <w:r w:rsidR="001D10DF">
        <w:t>.</w:t>
      </w:r>
    </w:p>
    <w:p w14:paraId="031E3BDC" w14:textId="39EB0B0A" w:rsidR="001D10DF" w:rsidRDefault="001D10DF" w:rsidP="001D10DF">
      <w:pPr>
        <w:pStyle w:val="Style1"/>
        <w:numPr>
          <w:ilvl w:val="0"/>
          <w:numId w:val="0"/>
        </w:numPr>
      </w:pPr>
    </w:p>
    <w:p w14:paraId="4B34DD9F" w14:textId="77777777" w:rsidR="001D10DF" w:rsidRPr="001D10DF" w:rsidRDefault="001D10DF" w:rsidP="001D10DF">
      <w:pPr>
        <w:tabs>
          <w:tab w:val="left" w:pos="432"/>
        </w:tabs>
        <w:spacing w:before="180"/>
        <w:outlineLvl w:val="0"/>
        <w:rPr>
          <w:rFonts w:ascii="Monotype Corsiva" w:hAnsi="Monotype Corsiva"/>
          <w:color w:val="000000"/>
          <w:kern w:val="28"/>
          <w:sz w:val="36"/>
          <w:szCs w:val="36"/>
        </w:rPr>
      </w:pPr>
      <w:r w:rsidRPr="001D10DF">
        <w:rPr>
          <w:rFonts w:ascii="Monotype Corsiva" w:hAnsi="Monotype Corsiva"/>
          <w:color w:val="000000"/>
          <w:kern w:val="28"/>
          <w:sz w:val="36"/>
          <w:szCs w:val="36"/>
        </w:rPr>
        <w:t xml:space="preserve">D. M. Young </w:t>
      </w:r>
    </w:p>
    <w:p w14:paraId="462708CF" w14:textId="77777777" w:rsidR="001D10DF" w:rsidRPr="001D10DF" w:rsidRDefault="001D10DF" w:rsidP="001D10DF">
      <w:pPr>
        <w:tabs>
          <w:tab w:val="left" w:pos="432"/>
        </w:tabs>
        <w:spacing w:before="180"/>
        <w:ind w:left="431" w:hanging="431"/>
        <w:outlineLvl w:val="0"/>
        <w:rPr>
          <w:color w:val="000000"/>
          <w:kern w:val="28"/>
        </w:rPr>
      </w:pPr>
      <w:r w:rsidRPr="001D10DF">
        <w:rPr>
          <w:b/>
          <w:color w:val="000000"/>
          <w:kern w:val="28"/>
          <w:szCs w:val="22"/>
        </w:rPr>
        <w:t>Inspector</w:t>
      </w:r>
    </w:p>
    <w:p w14:paraId="0913473F" w14:textId="2C2FB5AB" w:rsidR="005E097D" w:rsidRDefault="005E097D">
      <w:pPr>
        <w:rPr>
          <w:color w:val="000000"/>
          <w:kern w:val="28"/>
        </w:rPr>
      </w:pPr>
      <w:r>
        <w:br w:type="page"/>
      </w:r>
    </w:p>
    <w:p w14:paraId="3D592F59" w14:textId="699B9ADB" w:rsidR="001D10DF" w:rsidRPr="004D0DA6" w:rsidRDefault="005E097D" w:rsidP="001D10DF">
      <w:pPr>
        <w:pStyle w:val="Style1"/>
        <w:numPr>
          <w:ilvl w:val="0"/>
          <w:numId w:val="0"/>
        </w:numPr>
      </w:pPr>
      <w:r>
        <w:rPr>
          <w:noProof/>
        </w:rPr>
        <w:lastRenderedPageBreak/>
        <w:drawing>
          <wp:inline distT="0" distB="0" distL="0" distR="0" wp14:anchorId="638DB03F" wp14:editId="79A71E04">
            <wp:extent cx="5908040" cy="8360410"/>
            <wp:effectExtent l="0" t="0" r="0" b="254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sectPr w:rsidR="001D10DF" w:rsidRPr="004D0DA6"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A3FD" w14:textId="77777777" w:rsidR="003C5086" w:rsidRDefault="003C5086" w:rsidP="00F62916">
      <w:r>
        <w:separator/>
      </w:r>
    </w:p>
  </w:endnote>
  <w:endnote w:type="continuationSeparator" w:id="0">
    <w:p w14:paraId="123C04C9" w14:textId="77777777" w:rsidR="003C5086" w:rsidRDefault="003C508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599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AE37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D86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5F3AE5D" wp14:editId="4D941903">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0FA3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E998AC1" w14:textId="77777777" w:rsidR="00366F95" w:rsidRPr="00E45340" w:rsidRDefault="00100DB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5A77" w14:textId="77777777" w:rsidR="00366F95" w:rsidRDefault="00366F95" w:rsidP="00BF5D5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1F2C0A4" wp14:editId="4590769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B7D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E0E4AE5" w14:textId="77777777" w:rsidR="00366F95" w:rsidRPr="00451EE4" w:rsidRDefault="00100DB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F6B6" w14:textId="77777777" w:rsidR="003C5086" w:rsidRDefault="003C5086" w:rsidP="00F62916">
      <w:r>
        <w:separator/>
      </w:r>
    </w:p>
  </w:footnote>
  <w:footnote w:type="continuationSeparator" w:id="0">
    <w:p w14:paraId="3DDFAC4D" w14:textId="77777777" w:rsidR="003C5086" w:rsidRDefault="003C5086" w:rsidP="00F62916">
      <w:r>
        <w:continuationSeparator/>
      </w:r>
    </w:p>
  </w:footnote>
  <w:footnote w:id="1">
    <w:p w14:paraId="3276211F" w14:textId="5631CED5" w:rsidR="00C04AD2" w:rsidRDefault="00C04AD2">
      <w:pPr>
        <w:pStyle w:val="FootnoteText"/>
      </w:pPr>
      <w:r>
        <w:rPr>
          <w:rStyle w:val="FootnoteReference"/>
        </w:rPr>
        <w:footnoteRef/>
      </w:r>
      <w:r>
        <w:t xml:space="preserve"> The River Great Ouse defines the administrative boundary between Oxfordshire and Buckinghamshire</w:t>
      </w:r>
    </w:p>
  </w:footnote>
  <w:footnote w:id="2">
    <w:p w14:paraId="759E7A0E" w14:textId="77777777" w:rsidR="00E57EB6" w:rsidRDefault="00E57EB6" w:rsidP="00E57EB6">
      <w:pPr>
        <w:pStyle w:val="FootnoteText"/>
      </w:pPr>
      <w:r>
        <w:rPr>
          <w:rStyle w:val="FootnoteReference"/>
        </w:rPr>
        <w:footnoteRef/>
      </w:r>
      <w:r>
        <w:t xml:space="preserve"> See UEFs from Timothy &amp; Julie Smith and Michael Sanders </w:t>
      </w:r>
    </w:p>
  </w:footnote>
  <w:footnote w:id="3">
    <w:p w14:paraId="0B96065E" w14:textId="77777777" w:rsidR="00020EF0" w:rsidRDefault="00020EF0" w:rsidP="00020EF0">
      <w:pPr>
        <w:pStyle w:val="FootnoteText"/>
      </w:pPr>
      <w:r>
        <w:rPr>
          <w:rStyle w:val="FootnoteReference"/>
        </w:rPr>
        <w:footnoteRef/>
      </w:r>
      <w:r>
        <w:t xml:space="preserve"> See Appendix 256</w:t>
      </w:r>
    </w:p>
  </w:footnote>
  <w:footnote w:id="4">
    <w:p w14:paraId="206B86C5" w14:textId="77777777" w:rsidR="00DA0EAB" w:rsidRDefault="00DA0EAB" w:rsidP="00DA0EAB">
      <w:pPr>
        <w:pStyle w:val="FootnoteText"/>
      </w:pPr>
      <w:r>
        <w:rPr>
          <w:rStyle w:val="FootnoteReference"/>
        </w:rPr>
        <w:footnoteRef/>
      </w:r>
      <w:r>
        <w:t xml:space="preserve"> Statements from Karin Owen, Mr &amp; Mrs Read as well as user evidence forms </w:t>
      </w:r>
    </w:p>
  </w:footnote>
  <w:footnote w:id="5">
    <w:p w14:paraId="1BF7CE6D" w14:textId="77777777" w:rsidR="00FF3099" w:rsidRDefault="00FF3099" w:rsidP="00FF3099">
      <w:pPr>
        <w:pStyle w:val="FootnoteText"/>
      </w:pPr>
      <w:r>
        <w:rPr>
          <w:rStyle w:val="FootnoteReference"/>
        </w:rPr>
        <w:footnoteRef/>
      </w:r>
      <w:r>
        <w:t xml:space="preserve"> </w:t>
      </w:r>
      <w:r w:rsidRPr="00B140BF">
        <w:t>Through periods of sparse or non</w:t>
      </w:r>
      <w:r>
        <w:t>-</w:t>
      </w:r>
      <w:r w:rsidRPr="00B140BF">
        <w:t>use are relevant to the question of ‘full period of twenty years’</w:t>
      </w:r>
    </w:p>
  </w:footnote>
  <w:footnote w:id="6">
    <w:p w14:paraId="0CB6F2C8" w14:textId="77777777" w:rsidR="00FF3099" w:rsidRDefault="00FF3099" w:rsidP="00FF3099">
      <w:pPr>
        <w:pStyle w:val="FootnoteText"/>
      </w:pPr>
      <w:r>
        <w:rPr>
          <w:rStyle w:val="FootnoteReference"/>
        </w:rPr>
        <w:footnoteRef/>
      </w:r>
      <w:r>
        <w:t xml:space="preserve"> </w:t>
      </w:r>
      <w:r w:rsidRPr="004F3120">
        <w:t>[1993] JPL 851</w:t>
      </w:r>
    </w:p>
  </w:footnote>
  <w:footnote w:id="7">
    <w:p w14:paraId="292D31EB" w14:textId="3A016C77" w:rsidR="00421786" w:rsidRDefault="00421786" w:rsidP="00421786">
      <w:pPr>
        <w:pStyle w:val="FootnoteText"/>
      </w:pPr>
      <w:r>
        <w:rPr>
          <w:rStyle w:val="FootnoteReference"/>
        </w:rPr>
        <w:footnoteRef/>
      </w:r>
      <w:r>
        <w:t xml:space="preserve"> Rachel Thompson</w:t>
      </w:r>
      <w:r w:rsidR="00426FF5">
        <w:t>, Ian</w:t>
      </w:r>
      <w:r w:rsidR="00EE4188">
        <w:t xml:space="preserve"> &amp; Julia</w:t>
      </w:r>
      <w:r w:rsidR="00426FF5">
        <w:t xml:space="preserve"> Read,</w:t>
      </w:r>
      <w:r>
        <w:t xml:space="preserve"> Michael Bezant, </w:t>
      </w:r>
      <w:r w:rsidR="00E17211">
        <w:t xml:space="preserve">C Pullin, </w:t>
      </w:r>
      <w:r>
        <w:t>Simon Bennett &amp; Karin Owen</w:t>
      </w:r>
    </w:p>
  </w:footnote>
  <w:footnote w:id="8">
    <w:p w14:paraId="43F0ABF7" w14:textId="6A2F5F68" w:rsidR="007C7CC1" w:rsidRDefault="007C7CC1">
      <w:pPr>
        <w:pStyle w:val="FootnoteText"/>
      </w:pPr>
      <w:r>
        <w:rPr>
          <w:rStyle w:val="FootnoteReference"/>
        </w:rPr>
        <w:footnoteRef/>
      </w:r>
      <w:r>
        <w:t xml:space="preserve"> </w:t>
      </w:r>
      <w:r w:rsidR="00A72BA2">
        <w:t>There is a</w:t>
      </w:r>
      <w:r w:rsidR="00502DF9">
        <w:t xml:space="preserve"> noticeabl</w:t>
      </w:r>
      <w:r w:rsidR="00A72BA2">
        <w:t xml:space="preserve">e curve </w:t>
      </w:r>
      <w:r w:rsidR="00502DF9">
        <w:t xml:space="preserve">between </w:t>
      </w:r>
      <w:r w:rsidR="00930C2F">
        <w:t>P</w:t>
      </w:r>
      <w:r w:rsidR="00502DF9">
        <w:t xml:space="preserve">oints U-Y </w:t>
      </w:r>
      <w:r w:rsidR="00A72BA2">
        <w:t>as opposed to the straight line on the Order Map</w:t>
      </w:r>
    </w:p>
  </w:footnote>
  <w:footnote w:id="9">
    <w:p w14:paraId="11D22287" w14:textId="098BD5AE" w:rsidR="008F344C" w:rsidRDefault="008F344C">
      <w:pPr>
        <w:pStyle w:val="FootnoteText"/>
      </w:pPr>
      <w:r>
        <w:rPr>
          <w:rStyle w:val="FootnoteReference"/>
        </w:rPr>
        <w:footnoteRef/>
      </w:r>
      <w:r>
        <w:t xml:space="preserve"> </w:t>
      </w:r>
      <w:r w:rsidRPr="008F344C">
        <w:t xml:space="preserve">Since 1888 OS maps have carried </w:t>
      </w:r>
      <w:r w:rsidR="00B60ABE">
        <w:t xml:space="preserve">the </w:t>
      </w:r>
      <w:r w:rsidRPr="008F344C">
        <w:t>disclaimer: “</w:t>
      </w:r>
      <w:r w:rsidRPr="008F344C">
        <w:rPr>
          <w:i/>
          <w:iCs/>
        </w:rPr>
        <w:t>The representation on this map of a road track or footpath is no evidence of a public right of way.”</w:t>
      </w:r>
    </w:p>
  </w:footnote>
  <w:footnote w:id="10">
    <w:p w14:paraId="5DF94CF5" w14:textId="1E5D465E" w:rsidR="00D00490" w:rsidRDefault="00D00490">
      <w:pPr>
        <w:pStyle w:val="FootnoteText"/>
      </w:pPr>
      <w:r>
        <w:rPr>
          <w:rStyle w:val="FootnoteReference"/>
        </w:rPr>
        <w:footnoteRef/>
      </w:r>
      <w:r>
        <w:t xml:space="preserve"> This is the location of the original footbridge</w:t>
      </w:r>
      <w:r w:rsidR="00570A5C">
        <w:t xml:space="preserve"> which according to the OS maps </w:t>
      </w:r>
      <w:r w:rsidR="00242C0C">
        <w:t xml:space="preserve">was removed prior to 1977.  The replacement bridge a point V is shown </w:t>
      </w:r>
      <w:r w:rsidR="006069C5">
        <w:t>on OS maps from 1977 onwards.</w:t>
      </w:r>
      <w:r w:rsidR="00570A5C">
        <w:t xml:space="preserve"> </w:t>
      </w:r>
    </w:p>
  </w:footnote>
  <w:footnote w:id="11">
    <w:p w14:paraId="208D1DC2" w14:textId="69D5D273" w:rsidR="00C0273B" w:rsidRDefault="00C0273B">
      <w:pPr>
        <w:pStyle w:val="FootnoteText"/>
      </w:pPr>
      <w:r>
        <w:rPr>
          <w:rStyle w:val="FootnoteReference"/>
        </w:rPr>
        <w:footnoteRef/>
      </w:r>
      <w:r>
        <w:t xml:space="preserve"> </w:t>
      </w:r>
      <w:r w:rsidRPr="00C0273B">
        <w:t xml:space="preserve">A </w:t>
      </w:r>
      <w:r>
        <w:t xml:space="preserve">further UEF </w:t>
      </w:r>
      <w:r w:rsidRPr="00C0273B">
        <w:t>was</w:t>
      </w:r>
      <w:r>
        <w:t xml:space="preserve"> submitted </w:t>
      </w:r>
      <w:r w:rsidRPr="00C0273B">
        <w:t>in 2018</w:t>
      </w:r>
    </w:p>
  </w:footnote>
  <w:footnote w:id="12">
    <w:p w14:paraId="595D0575" w14:textId="2EAE7EF2" w:rsidR="00D301F0" w:rsidRDefault="00D301F0">
      <w:pPr>
        <w:pStyle w:val="FootnoteText"/>
      </w:pPr>
      <w:r>
        <w:rPr>
          <w:rStyle w:val="FootnoteReference"/>
        </w:rPr>
        <w:footnoteRef/>
      </w:r>
      <w:r>
        <w:t xml:space="preserve"> Ian &amp; Julia Read</w:t>
      </w:r>
    </w:p>
  </w:footnote>
  <w:footnote w:id="13">
    <w:p w14:paraId="7071CF03" w14:textId="471E17D6" w:rsidR="00AF7DF3" w:rsidRDefault="00AF7DF3">
      <w:pPr>
        <w:pStyle w:val="FootnoteText"/>
      </w:pPr>
      <w:r>
        <w:rPr>
          <w:rStyle w:val="FootnoteReference"/>
        </w:rPr>
        <w:footnoteRef/>
      </w:r>
      <w:r>
        <w:t xml:space="preserve"> See paragraph</w:t>
      </w:r>
      <w:r w:rsidR="009C4708">
        <w:t>s</w:t>
      </w:r>
      <w:r>
        <w:t xml:space="preserve"> 171</w:t>
      </w:r>
      <w:r w:rsidR="009C4708">
        <w:t xml:space="preserve"> &amp; 172</w:t>
      </w:r>
      <w:r>
        <w:t xml:space="preserve"> of the OMA’s Statement of Reasons </w:t>
      </w:r>
    </w:p>
  </w:footnote>
  <w:footnote w:id="14">
    <w:p w14:paraId="5471CCA5" w14:textId="5164F589" w:rsidR="009E794C" w:rsidRDefault="009E794C">
      <w:pPr>
        <w:pStyle w:val="FootnoteText"/>
      </w:pPr>
      <w:r>
        <w:rPr>
          <w:rStyle w:val="FootnoteReference"/>
        </w:rPr>
        <w:footnoteRef/>
      </w:r>
      <w:r>
        <w:t xml:space="preserve"> Appendices 162 and 163</w:t>
      </w:r>
    </w:p>
  </w:footnote>
  <w:footnote w:id="15">
    <w:p w14:paraId="1DB910A5" w14:textId="77777777" w:rsidR="002C143D" w:rsidRDefault="002C143D" w:rsidP="002C143D">
      <w:pPr>
        <w:pStyle w:val="FootnoteText"/>
      </w:pPr>
      <w:r>
        <w:rPr>
          <w:rStyle w:val="FootnoteReference"/>
        </w:rPr>
        <w:footnoteRef/>
      </w:r>
      <w:r>
        <w:t xml:space="preserve"> </w:t>
      </w:r>
      <w:r w:rsidRPr="00DA4A15">
        <w:rPr>
          <w:i/>
          <w:iCs/>
        </w:rPr>
        <w:t>R (Lewis) v Redcar and Cleveland Borough Council UKSC 11 (03 March 2010)</w:t>
      </w:r>
    </w:p>
  </w:footnote>
  <w:footnote w:id="16">
    <w:p w14:paraId="2BBBC9E0" w14:textId="77777777" w:rsidR="00215B7D" w:rsidRDefault="00215B7D" w:rsidP="00215B7D">
      <w:pPr>
        <w:pStyle w:val="FootnoteText"/>
      </w:pPr>
      <w:r>
        <w:rPr>
          <w:rStyle w:val="FootnoteReference"/>
        </w:rPr>
        <w:footnoteRef/>
      </w:r>
      <w:r>
        <w:t xml:space="preserve"> </w:t>
      </w:r>
      <w:r w:rsidRPr="004612AE">
        <w:rPr>
          <w:i/>
          <w:iCs/>
        </w:rPr>
        <w:t>Mann v Brodie (1885)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009BE7F" w14:textId="77777777">
      <w:tc>
        <w:tcPr>
          <w:tcW w:w="9520" w:type="dxa"/>
        </w:tcPr>
        <w:p w14:paraId="3D0ABD37" w14:textId="183EC3E2" w:rsidR="00366F95" w:rsidRDefault="00BF5D5C">
          <w:pPr>
            <w:pStyle w:val="Footer"/>
          </w:pPr>
          <w:r>
            <w:t>Order Decision ROW/3255940</w:t>
          </w:r>
        </w:p>
      </w:tc>
    </w:tr>
  </w:tbl>
  <w:p w14:paraId="70DDEDF8"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31E474EF" wp14:editId="48B7C883">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8D038"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8CA"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2DE01E9F"/>
    <w:multiLevelType w:val="multilevel"/>
    <w:tmpl w:val="326258D0"/>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59549615">
    <w:abstractNumId w:val="18"/>
  </w:num>
  <w:num w:numId="2" w16cid:durableId="544145983">
    <w:abstractNumId w:val="18"/>
  </w:num>
  <w:num w:numId="3" w16cid:durableId="465855395">
    <w:abstractNumId w:val="20"/>
  </w:num>
  <w:num w:numId="4" w16cid:durableId="1996493708">
    <w:abstractNumId w:val="0"/>
  </w:num>
  <w:num w:numId="5" w16cid:durableId="919758186">
    <w:abstractNumId w:val="9"/>
  </w:num>
  <w:num w:numId="6" w16cid:durableId="1413114852">
    <w:abstractNumId w:val="17"/>
  </w:num>
  <w:num w:numId="7" w16cid:durableId="689645224">
    <w:abstractNumId w:val="21"/>
  </w:num>
  <w:num w:numId="8" w16cid:durableId="1360397692">
    <w:abstractNumId w:val="16"/>
  </w:num>
  <w:num w:numId="9" w16cid:durableId="2025552362">
    <w:abstractNumId w:val="3"/>
  </w:num>
  <w:num w:numId="10" w16cid:durableId="662660885">
    <w:abstractNumId w:val="4"/>
  </w:num>
  <w:num w:numId="11" w16cid:durableId="1129514507">
    <w:abstractNumId w:val="12"/>
  </w:num>
  <w:num w:numId="12" w16cid:durableId="936520730">
    <w:abstractNumId w:val="13"/>
  </w:num>
  <w:num w:numId="13" w16cid:durableId="36857422">
    <w:abstractNumId w:val="7"/>
  </w:num>
  <w:num w:numId="14" w16cid:durableId="1697346839">
    <w:abstractNumId w:val="11"/>
  </w:num>
  <w:num w:numId="15" w16cid:durableId="1483351772">
    <w:abstractNumId w:val="14"/>
  </w:num>
  <w:num w:numId="16" w16cid:durableId="1563327976">
    <w:abstractNumId w:val="1"/>
  </w:num>
  <w:num w:numId="17" w16cid:durableId="1924679324">
    <w:abstractNumId w:val="15"/>
  </w:num>
  <w:num w:numId="18" w16cid:durableId="342904505">
    <w:abstractNumId w:val="5"/>
  </w:num>
  <w:num w:numId="19" w16cid:durableId="957688990">
    <w:abstractNumId w:val="2"/>
  </w:num>
  <w:num w:numId="20" w16cid:durableId="1269118956">
    <w:abstractNumId w:val="6"/>
  </w:num>
  <w:num w:numId="21" w16cid:durableId="714693728">
    <w:abstractNumId w:val="10"/>
  </w:num>
  <w:num w:numId="22" w16cid:durableId="1986278224">
    <w:abstractNumId w:val="10"/>
  </w:num>
  <w:num w:numId="23" w16cid:durableId="1798985248">
    <w:abstractNumId w:val="19"/>
  </w:num>
  <w:num w:numId="24" w16cid:durableId="221214331">
    <w:abstractNumId w:val="10"/>
    <w:lvlOverride w:ilvl="0">
      <w:lvl w:ilvl="0">
        <w:start w:val="1"/>
        <w:numFmt w:val="decimal"/>
        <w:pStyle w:val="Style1"/>
        <w:lvlText w:val="%1."/>
        <w:lvlJc w:val="left"/>
        <w:pPr>
          <w:tabs>
            <w:tab w:val="num" w:pos="720"/>
          </w:tabs>
          <w:ind w:left="431" w:hanging="431"/>
        </w:pPr>
        <w:rPr>
          <w:rFonts w:hint="default"/>
          <w:b w:val="0"/>
          <w:bCs w:val="0"/>
          <w:i w:val="0"/>
          <w:iCs/>
        </w:rPr>
      </w:lvl>
    </w:lvlOverride>
  </w:num>
  <w:num w:numId="25" w16cid:durableId="265309808">
    <w:abstractNumId w:val="10"/>
    <w:lvlOverride w:ilvl="0">
      <w:lvl w:ilvl="0">
        <w:start w:val="1"/>
        <w:numFmt w:val="decimal"/>
        <w:pStyle w:val="Style1"/>
        <w:lvlText w:val="%1."/>
        <w:lvlJc w:val="left"/>
        <w:pPr>
          <w:tabs>
            <w:tab w:val="num" w:pos="720"/>
          </w:tabs>
          <w:ind w:left="431" w:hanging="431"/>
        </w:pPr>
        <w:rPr>
          <w:rFonts w:hint="default"/>
          <w:b w:val="0"/>
          <w:bCs w:val="0"/>
          <w:i w:val="0"/>
          <w:iCs/>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3949339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F5D5C"/>
    <w:rsid w:val="00001AF0"/>
    <w:rsid w:val="0000335F"/>
    <w:rsid w:val="0000492A"/>
    <w:rsid w:val="00007579"/>
    <w:rsid w:val="0001399E"/>
    <w:rsid w:val="00015B27"/>
    <w:rsid w:val="00020EF0"/>
    <w:rsid w:val="00024500"/>
    <w:rsid w:val="00024752"/>
    <w:rsid w:val="000247B2"/>
    <w:rsid w:val="000268DA"/>
    <w:rsid w:val="000315EB"/>
    <w:rsid w:val="00037B5E"/>
    <w:rsid w:val="00041F2C"/>
    <w:rsid w:val="00044538"/>
    <w:rsid w:val="00046145"/>
    <w:rsid w:val="0004625F"/>
    <w:rsid w:val="00053135"/>
    <w:rsid w:val="000554B4"/>
    <w:rsid w:val="00057205"/>
    <w:rsid w:val="00060993"/>
    <w:rsid w:val="0006243C"/>
    <w:rsid w:val="00073F48"/>
    <w:rsid w:val="00077358"/>
    <w:rsid w:val="00077D1F"/>
    <w:rsid w:val="0008252E"/>
    <w:rsid w:val="00087477"/>
    <w:rsid w:val="00087DEC"/>
    <w:rsid w:val="00090D28"/>
    <w:rsid w:val="000926A3"/>
    <w:rsid w:val="00094A44"/>
    <w:rsid w:val="00095BB4"/>
    <w:rsid w:val="000A42E4"/>
    <w:rsid w:val="000A4AEB"/>
    <w:rsid w:val="000A64AE"/>
    <w:rsid w:val="000B02BC"/>
    <w:rsid w:val="000B04DA"/>
    <w:rsid w:val="000B0589"/>
    <w:rsid w:val="000B1353"/>
    <w:rsid w:val="000B220D"/>
    <w:rsid w:val="000B4B31"/>
    <w:rsid w:val="000B593D"/>
    <w:rsid w:val="000B7D1D"/>
    <w:rsid w:val="000C159B"/>
    <w:rsid w:val="000C274B"/>
    <w:rsid w:val="000C3F13"/>
    <w:rsid w:val="000C4352"/>
    <w:rsid w:val="000C5098"/>
    <w:rsid w:val="000C5A24"/>
    <w:rsid w:val="000C698E"/>
    <w:rsid w:val="000C78AD"/>
    <w:rsid w:val="000D0673"/>
    <w:rsid w:val="000D2464"/>
    <w:rsid w:val="000D4E93"/>
    <w:rsid w:val="000D624B"/>
    <w:rsid w:val="000D7387"/>
    <w:rsid w:val="000E57C1"/>
    <w:rsid w:val="000E5DC3"/>
    <w:rsid w:val="000E5F28"/>
    <w:rsid w:val="000E72A9"/>
    <w:rsid w:val="000E7C89"/>
    <w:rsid w:val="000F16F4"/>
    <w:rsid w:val="000F3C9C"/>
    <w:rsid w:val="000F46A8"/>
    <w:rsid w:val="000F5452"/>
    <w:rsid w:val="000F6EC2"/>
    <w:rsid w:val="001000CB"/>
    <w:rsid w:val="00100DBF"/>
    <w:rsid w:val="00101E3D"/>
    <w:rsid w:val="00104D93"/>
    <w:rsid w:val="00112A88"/>
    <w:rsid w:val="001141C3"/>
    <w:rsid w:val="0011679F"/>
    <w:rsid w:val="001176A5"/>
    <w:rsid w:val="00120D7D"/>
    <w:rsid w:val="0012382F"/>
    <w:rsid w:val="00131186"/>
    <w:rsid w:val="00136E14"/>
    <w:rsid w:val="0014319C"/>
    <w:rsid w:val="001440C3"/>
    <w:rsid w:val="00147556"/>
    <w:rsid w:val="00152C92"/>
    <w:rsid w:val="001610C9"/>
    <w:rsid w:val="00161B5C"/>
    <w:rsid w:val="001654E7"/>
    <w:rsid w:val="001678DD"/>
    <w:rsid w:val="001739A7"/>
    <w:rsid w:val="0017514D"/>
    <w:rsid w:val="00181266"/>
    <w:rsid w:val="00186D20"/>
    <w:rsid w:val="0019018B"/>
    <w:rsid w:val="00191001"/>
    <w:rsid w:val="0019241D"/>
    <w:rsid w:val="0019381B"/>
    <w:rsid w:val="00197B5B"/>
    <w:rsid w:val="001A3367"/>
    <w:rsid w:val="001B37BF"/>
    <w:rsid w:val="001B4C59"/>
    <w:rsid w:val="001D10DF"/>
    <w:rsid w:val="001E00C9"/>
    <w:rsid w:val="001E1AD5"/>
    <w:rsid w:val="001E4236"/>
    <w:rsid w:val="001F17DD"/>
    <w:rsid w:val="001F595A"/>
    <w:rsid w:val="001F5990"/>
    <w:rsid w:val="001F5C45"/>
    <w:rsid w:val="001F62EF"/>
    <w:rsid w:val="001F788C"/>
    <w:rsid w:val="00202738"/>
    <w:rsid w:val="00207816"/>
    <w:rsid w:val="00210CBF"/>
    <w:rsid w:val="00212C8F"/>
    <w:rsid w:val="0021341F"/>
    <w:rsid w:val="00213497"/>
    <w:rsid w:val="00215B7D"/>
    <w:rsid w:val="00216321"/>
    <w:rsid w:val="00224D26"/>
    <w:rsid w:val="0023014B"/>
    <w:rsid w:val="002311F0"/>
    <w:rsid w:val="002341C1"/>
    <w:rsid w:val="0023450F"/>
    <w:rsid w:val="00242A5E"/>
    <w:rsid w:val="00242C0C"/>
    <w:rsid w:val="002430A9"/>
    <w:rsid w:val="00244184"/>
    <w:rsid w:val="002442F3"/>
    <w:rsid w:val="00251962"/>
    <w:rsid w:val="00252F78"/>
    <w:rsid w:val="0025377A"/>
    <w:rsid w:val="00255E77"/>
    <w:rsid w:val="00256EE1"/>
    <w:rsid w:val="00260175"/>
    <w:rsid w:val="00262F46"/>
    <w:rsid w:val="00263013"/>
    <w:rsid w:val="00266EA7"/>
    <w:rsid w:val="002733A9"/>
    <w:rsid w:val="002819AB"/>
    <w:rsid w:val="00290235"/>
    <w:rsid w:val="002920F4"/>
    <w:rsid w:val="0029266A"/>
    <w:rsid w:val="002942F9"/>
    <w:rsid w:val="00294CC6"/>
    <w:rsid w:val="002958D9"/>
    <w:rsid w:val="00295CB3"/>
    <w:rsid w:val="002A2D85"/>
    <w:rsid w:val="002A4B96"/>
    <w:rsid w:val="002A553C"/>
    <w:rsid w:val="002A5721"/>
    <w:rsid w:val="002B0908"/>
    <w:rsid w:val="002B11D9"/>
    <w:rsid w:val="002B4B50"/>
    <w:rsid w:val="002B4E3E"/>
    <w:rsid w:val="002B5409"/>
    <w:rsid w:val="002B5A3A"/>
    <w:rsid w:val="002B5D0F"/>
    <w:rsid w:val="002C068A"/>
    <w:rsid w:val="002C143D"/>
    <w:rsid w:val="002C2456"/>
    <w:rsid w:val="002C2524"/>
    <w:rsid w:val="002C30EF"/>
    <w:rsid w:val="002C763D"/>
    <w:rsid w:val="002D01D0"/>
    <w:rsid w:val="002D5A7C"/>
    <w:rsid w:val="002D7091"/>
    <w:rsid w:val="002D7BCD"/>
    <w:rsid w:val="002E1C10"/>
    <w:rsid w:val="002E6F6B"/>
    <w:rsid w:val="002E7671"/>
    <w:rsid w:val="002F2266"/>
    <w:rsid w:val="002F3B8B"/>
    <w:rsid w:val="003014F0"/>
    <w:rsid w:val="00302189"/>
    <w:rsid w:val="003025EB"/>
    <w:rsid w:val="00303CA5"/>
    <w:rsid w:val="0030500E"/>
    <w:rsid w:val="00311C7D"/>
    <w:rsid w:val="003138AD"/>
    <w:rsid w:val="003206FD"/>
    <w:rsid w:val="0032165C"/>
    <w:rsid w:val="0032567D"/>
    <w:rsid w:val="003309A2"/>
    <w:rsid w:val="00331983"/>
    <w:rsid w:val="00334DF1"/>
    <w:rsid w:val="00335863"/>
    <w:rsid w:val="00343A1F"/>
    <w:rsid w:val="00343DBA"/>
    <w:rsid w:val="00344294"/>
    <w:rsid w:val="00344CD1"/>
    <w:rsid w:val="003460BF"/>
    <w:rsid w:val="003511D2"/>
    <w:rsid w:val="0035161F"/>
    <w:rsid w:val="00355FCC"/>
    <w:rsid w:val="00360664"/>
    <w:rsid w:val="00361890"/>
    <w:rsid w:val="00364C03"/>
    <w:rsid w:val="00364E17"/>
    <w:rsid w:val="003655F2"/>
    <w:rsid w:val="00365F2E"/>
    <w:rsid w:val="00366F95"/>
    <w:rsid w:val="003753FE"/>
    <w:rsid w:val="0037553F"/>
    <w:rsid w:val="00376416"/>
    <w:rsid w:val="003764EC"/>
    <w:rsid w:val="003800C4"/>
    <w:rsid w:val="00380179"/>
    <w:rsid w:val="00392CD1"/>
    <w:rsid w:val="00393188"/>
    <w:rsid w:val="00393675"/>
    <w:rsid w:val="003941CF"/>
    <w:rsid w:val="00394691"/>
    <w:rsid w:val="00395BD9"/>
    <w:rsid w:val="003961E6"/>
    <w:rsid w:val="00396950"/>
    <w:rsid w:val="003A081C"/>
    <w:rsid w:val="003A5B65"/>
    <w:rsid w:val="003A65D1"/>
    <w:rsid w:val="003B1264"/>
    <w:rsid w:val="003B2FE6"/>
    <w:rsid w:val="003B32C2"/>
    <w:rsid w:val="003B42DA"/>
    <w:rsid w:val="003B509B"/>
    <w:rsid w:val="003B6582"/>
    <w:rsid w:val="003C0A7E"/>
    <w:rsid w:val="003C30F6"/>
    <w:rsid w:val="003C45A1"/>
    <w:rsid w:val="003C5086"/>
    <w:rsid w:val="003C6C25"/>
    <w:rsid w:val="003D0152"/>
    <w:rsid w:val="003D1D4A"/>
    <w:rsid w:val="003D3715"/>
    <w:rsid w:val="003D6F23"/>
    <w:rsid w:val="003D7EB4"/>
    <w:rsid w:val="003E16EF"/>
    <w:rsid w:val="003E1D47"/>
    <w:rsid w:val="003E4B6A"/>
    <w:rsid w:val="003E54CC"/>
    <w:rsid w:val="003E620C"/>
    <w:rsid w:val="003F050B"/>
    <w:rsid w:val="003F1862"/>
    <w:rsid w:val="003F3533"/>
    <w:rsid w:val="003F4641"/>
    <w:rsid w:val="003F7DFB"/>
    <w:rsid w:val="004019A7"/>
    <w:rsid w:val="0040263D"/>
    <w:rsid w:val="004029F3"/>
    <w:rsid w:val="00403BF8"/>
    <w:rsid w:val="00411A9E"/>
    <w:rsid w:val="00411E52"/>
    <w:rsid w:val="004156F0"/>
    <w:rsid w:val="00415A47"/>
    <w:rsid w:val="00421786"/>
    <w:rsid w:val="00422B96"/>
    <w:rsid w:val="00425230"/>
    <w:rsid w:val="004254C2"/>
    <w:rsid w:val="004262CF"/>
    <w:rsid w:val="00426FF5"/>
    <w:rsid w:val="004300FB"/>
    <w:rsid w:val="00430B4E"/>
    <w:rsid w:val="00432B6B"/>
    <w:rsid w:val="00434739"/>
    <w:rsid w:val="00440C6D"/>
    <w:rsid w:val="00442412"/>
    <w:rsid w:val="00442726"/>
    <w:rsid w:val="00444650"/>
    <w:rsid w:val="004474DE"/>
    <w:rsid w:val="00450561"/>
    <w:rsid w:val="00451EE4"/>
    <w:rsid w:val="004522C1"/>
    <w:rsid w:val="00452F6C"/>
    <w:rsid w:val="00453E15"/>
    <w:rsid w:val="00454274"/>
    <w:rsid w:val="004612AE"/>
    <w:rsid w:val="0046172B"/>
    <w:rsid w:val="004643A0"/>
    <w:rsid w:val="004651DB"/>
    <w:rsid w:val="0046542A"/>
    <w:rsid w:val="00466376"/>
    <w:rsid w:val="00466AAA"/>
    <w:rsid w:val="00470F4F"/>
    <w:rsid w:val="004716E2"/>
    <w:rsid w:val="00474752"/>
    <w:rsid w:val="0047718B"/>
    <w:rsid w:val="0048041A"/>
    <w:rsid w:val="00483081"/>
    <w:rsid w:val="00483D15"/>
    <w:rsid w:val="0049244D"/>
    <w:rsid w:val="004931F2"/>
    <w:rsid w:val="004959F1"/>
    <w:rsid w:val="00495FBD"/>
    <w:rsid w:val="004976CF"/>
    <w:rsid w:val="004A167A"/>
    <w:rsid w:val="004A2EB8"/>
    <w:rsid w:val="004B388B"/>
    <w:rsid w:val="004C07CB"/>
    <w:rsid w:val="004C1E9A"/>
    <w:rsid w:val="004C2F6A"/>
    <w:rsid w:val="004D0DA6"/>
    <w:rsid w:val="004D2E58"/>
    <w:rsid w:val="004D4790"/>
    <w:rsid w:val="004E04E0"/>
    <w:rsid w:val="004E05CE"/>
    <w:rsid w:val="004E17CB"/>
    <w:rsid w:val="004E19B6"/>
    <w:rsid w:val="004E6091"/>
    <w:rsid w:val="004E6649"/>
    <w:rsid w:val="004F0697"/>
    <w:rsid w:val="004F274A"/>
    <w:rsid w:val="004F2B1D"/>
    <w:rsid w:val="004F3120"/>
    <w:rsid w:val="004F660F"/>
    <w:rsid w:val="0050077D"/>
    <w:rsid w:val="00502DF9"/>
    <w:rsid w:val="00504274"/>
    <w:rsid w:val="0050441C"/>
    <w:rsid w:val="00506851"/>
    <w:rsid w:val="00507469"/>
    <w:rsid w:val="00507E16"/>
    <w:rsid w:val="00511041"/>
    <w:rsid w:val="0051130F"/>
    <w:rsid w:val="0051615E"/>
    <w:rsid w:val="005175FD"/>
    <w:rsid w:val="00521189"/>
    <w:rsid w:val="00521C01"/>
    <w:rsid w:val="00522374"/>
    <w:rsid w:val="0052347F"/>
    <w:rsid w:val="00523706"/>
    <w:rsid w:val="005239BA"/>
    <w:rsid w:val="00524CBF"/>
    <w:rsid w:val="00525868"/>
    <w:rsid w:val="005270C1"/>
    <w:rsid w:val="00527A8E"/>
    <w:rsid w:val="00530399"/>
    <w:rsid w:val="005343F8"/>
    <w:rsid w:val="0053560C"/>
    <w:rsid w:val="00540681"/>
    <w:rsid w:val="00541734"/>
    <w:rsid w:val="00542B4C"/>
    <w:rsid w:val="00543C4B"/>
    <w:rsid w:val="00552413"/>
    <w:rsid w:val="00552497"/>
    <w:rsid w:val="0056070A"/>
    <w:rsid w:val="00561E69"/>
    <w:rsid w:val="0056634F"/>
    <w:rsid w:val="0056795B"/>
    <w:rsid w:val="00567C2F"/>
    <w:rsid w:val="0057098A"/>
    <w:rsid w:val="00570A5C"/>
    <w:rsid w:val="005718AF"/>
    <w:rsid w:val="00571FD4"/>
    <w:rsid w:val="00572879"/>
    <w:rsid w:val="0057471E"/>
    <w:rsid w:val="00576724"/>
    <w:rsid w:val="0057782A"/>
    <w:rsid w:val="00583B39"/>
    <w:rsid w:val="00585168"/>
    <w:rsid w:val="00585D50"/>
    <w:rsid w:val="005865E4"/>
    <w:rsid w:val="00591235"/>
    <w:rsid w:val="00596D98"/>
    <w:rsid w:val="005A0799"/>
    <w:rsid w:val="005A3A64"/>
    <w:rsid w:val="005B4043"/>
    <w:rsid w:val="005B4498"/>
    <w:rsid w:val="005C2349"/>
    <w:rsid w:val="005D1D65"/>
    <w:rsid w:val="005D739E"/>
    <w:rsid w:val="005E097D"/>
    <w:rsid w:val="005E1C5E"/>
    <w:rsid w:val="005E3108"/>
    <w:rsid w:val="005E34E1"/>
    <w:rsid w:val="005E34FF"/>
    <w:rsid w:val="005E3542"/>
    <w:rsid w:val="005E4F88"/>
    <w:rsid w:val="005E52F9"/>
    <w:rsid w:val="005F1261"/>
    <w:rsid w:val="005F12E9"/>
    <w:rsid w:val="005F53FD"/>
    <w:rsid w:val="005F5C37"/>
    <w:rsid w:val="00602315"/>
    <w:rsid w:val="006052EF"/>
    <w:rsid w:val="00605D22"/>
    <w:rsid w:val="006069C5"/>
    <w:rsid w:val="00612434"/>
    <w:rsid w:val="006127F0"/>
    <w:rsid w:val="00613B4C"/>
    <w:rsid w:val="00614E46"/>
    <w:rsid w:val="00615462"/>
    <w:rsid w:val="00622F0C"/>
    <w:rsid w:val="00624961"/>
    <w:rsid w:val="006319E6"/>
    <w:rsid w:val="0063373D"/>
    <w:rsid w:val="00643095"/>
    <w:rsid w:val="0064441D"/>
    <w:rsid w:val="006457D0"/>
    <w:rsid w:val="00652478"/>
    <w:rsid w:val="0065266D"/>
    <w:rsid w:val="00653D6F"/>
    <w:rsid w:val="0065719B"/>
    <w:rsid w:val="006575B0"/>
    <w:rsid w:val="0066322F"/>
    <w:rsid w:val="00663D7A"/>
    <w:rsid w:val="0066556F"/>
    <w:rsid w:val="006663E6"/>
    <w:rsid w:val="00676B80"/>
    <w:rsid w:val="006770EB"/>
    <w:rsid w:val="0068081B"/>
    <w:rsid w:val="00681108"/>
    <w:rsid w:val="0068328E"/>
    <w:rsid w:val="00683417"/>
    <w:rsid w:val="00685A46"/>
    <w:rsid w:val="00690A59"/>
    <w:rsid w:val="00693739"/>
    <w:rsid w:val="0069559D"/>
    <w:rsid w:val="00696368"/>
    <w:rsid w:val="006A5BB3"/>
    <w:rsid w:val="006A62C2"/>
    <w:rsid w:val="006A7B8B"/>
    <w:rsid w:val="006B4B43"/>
    <w:rsid w:val="006B635D"/>
    <w:rsid w:val="006B7E75"/>
    <w:rsid w:val="006C0592"/>
    <w:rsid w:val="006C0FD4"/>
    <w:rsid w:val="006C2808"/>
    <w:rsid w:val="006C4C25"/>
    <w:rsid w:val="006C69E5"/>
    <w:rsid w:val="006C6D1A"/>
    <w:rsid w:val="006D1907"/>
    <w:rsid w:val="006D221B"/>
    <w:rsid w:val="006D2842"/>
    <w:rsid w:val="006D41A4"/>
    <w:rsid w:val="006D5133"/>
    <w:rsid w:val="006D63F2"/>
    <w:rsid w:val="006E0C75"/>
    <w:rsid w:val="006E6F23"/>
    <w:rsid w:val="006F16D9"/>
    <w:rsid w:val="006F1C94"/>
    <w:rsid w:val="006F3006"/>
    <w:rsid w:val="006F6496"/>
    <w:rsid w:val="006F7968"/>
    <w:rsid w:val="00704126"/>
    <w:rsid w:val="007042FF"/>
    <w:rsid w:val="007060FE"/>
    <w:rsid w:val="007116AE"/>
    <w:rsid w:val="0071217A"/>
    <w:rsid w:val="007135EB"/>
    <w:rsid w:val="00714688"/>
    <w:rsid w:val="00714B46"/>
    <w:rsid w:val="0071604A"/>
    <w:rsid w:val="00716367"/>
    <w:rsid w:val="0071718C"/>
    <w:rsid w:val="00721E78"/>
    <w:rsid w:val="007320D4"/>
    <w:rsid w:val="00736645"/>
    <w:rsid w:val="0074472D"/>
    <w:rsid w:val="00746266"/>
    <w:rsid w:val="00747CF7"/>
    <w:rsid w:val="00751E05"/>
    <w:rsid w:val="0075488D"/>
    <w:rsid w:val="00760E1D"/>
    <w:rsid w:val="007620DC"/>
    <w:rsid w:val="00766F94"/>
    <w:rsid w:val="00770CD8"/>
    <w:rsid w:val="00773EFE"/>
    <w:rsid w:val="007741CD"/>
    <w:rsid w:val="00774679"/>
    <w:rsid w:val="00774DBF"/>
    <w:rsid w:val="00775DD9"/>
    <w:rsid w:val="00781714"/>
    <w:rsid w:val="00783117"/>
    <w:rsid w:val="00783F4C"/>
    <w:rsid w:val="00785862"/>
    <w:rsid w:val="00786638"/>
    <w:rsid w:val="00792029"/>
    <w:rsid w:val="00792057"/>
    <w:rsid w:val="0079644E"/>
    <w:rsid w:val="00797887"/>
    <w:rsid w:val="007A0537"/>
    <w:rsid w:val="007A06BE"/>
    <w:rsid w:val="007A0D26"/>
    <w:rsid w:val="007B05C4"/>
    <w:rsid w:val="007B28FC"/>
    <w:rsid w:val="007B4662"/>
    <w:rsid w:val="007B4C9B"/>
    <w:rsid w:val="007C1A01"/>
    <w:rsid w:val="007C1DBC"/>
    <w:rsid w:val="007C5DA6"/>
    <w:rsid w:val="007C6ED5"/>
    <w:rsid w:val="007C6EDF"/>
    <w:rsid w:val="007C7B0C"/>
    <w:rsid w:val="007C7CC1"/>
    <w:rsid w:val="007D2DC2"/>
    <w:rsid w:val="007D65B4"/>
    <w:rsid w:val="007E0CDC"/>
    <w:rsid w:val="007E3A0C"/>
    <w:rsid w:val="007E54E3"/>
    <w:rsid w:val="007E6338"/>
    <w:rsid w:val="007E6A0B"/>
    <w:rsid w:val="007E733D"/>
    <w:rsid w:val="007F09E4"/>
    <w:rsid w:val="007F1352"/>
    <w:rsid w:val="007F275C"/>
    <w:rsid w:val="007F3F10"/>
    <w:rsid w:val="007F59EB"/>
    <w:rsid w:val="007F6E30"/>
    <w:rsid w:val="00801D41"/>
    <w:rsid w:val="008025DC"/>
    <w:rsid w:val="0080298F"/>
    <w:rsid w:val="00806F2A"/>
    <w:rsid w:val="008079E7"/>
    <w:rsid w:val="008115A1"/>
    <w:rsid w:val="0082076D"/>
    <w:rsid w:val="00821B6B"/>
    <w:rsid w:val="0082413F"/>
    <w:rsid w:val="00827937"/>
    <w:rsid w:val="0083177D"/>
    <w:rsid w:val="00832973"/>
    <w:rsid w:val="0083379B"/>
    <w:rsid w:val="00834368"/>
    <w:rsid w:val="008346E2"/>
    <w:rsid w:val="00837AC3"/>
    <w:rsid w:val="008411A4"/>
    <w:rsid w:val="00842D4D"/>
    <w:rsid w:val="0084716C"/>
    <w:rsid w:val="00857B4B"/>
    <w:rsid w:val="008621FA"/>
    <w:rsid w:val="008640AA"/>
    <w:rsid w:val="0086697E"/>
    <w:rsid w:val="008670B3"/>
    <w:rsid w:val="00870DE9"/>
    <w:rsid w:val="00876DED"/>
    <w:rsid w:val="00880319"/>
    <w:rsid w:val="00882B66"/>
    <w:rsid w:val="00891417"/>
    <w:rsid w:val="008917B1"/>
    <w:rsid w:val="0089315E"/>
    <w:rsid w:val="008A03E3"/>
    <w:rsid w:val="008A0612"/>
    <w:rsid w:val="008A473F"/>
    <w:rsid w:val="008A66EA"/>
    <w:rsid w:val="008B0B64"/>
    <w:rsid w:val="008B0C0A"/>
    <w:rsid w:val="008B1527"/>
    <w:rsid w:val="008B17DD"/>
    <w:rsid w:val="008B1AAE"/>
    <w:rsid w:val="008B2B8D"/>
    <w:rsid w:val="008B4052"/>
    <w:rsid w:val="008B4B1F"/>
    <w:rsid w:val="008B5353"/>
    <w:rsid w:val="008C032B"/>
    <w:rsid w:val="008C0748"/>
    <w:rsid w:val="008C1DD9"/>
    <w:rsid w:val="008C30F6"/>
    <w:rsid w:val="008C42E6"/>
    <w:rsid w:val="008C500B"/>
    <w:rsid w:val="008C6FA3"/>
    <w:rsid w:val="008D023A"/>
    <w:rsid w:val="008D0A1C"/>
    <w:rsid w:val="008D1AFC"/>
    <w:rsid w:val="008D39FB"/>
    <w:rsid w:val="008D3F55"/>
    <w:rsid w:val="008D63C1"/>
    <w:rsid w:val="008D6E7A"/>
    <w:rsid w:val="008D7EA8"/>
    <w:rsid w:val="008E0F21"/>
    <w:rsid w:val="008E359C"/>
    <w:rsid w:val="008F1566"/>
    <w:rsid w:val="008F2183"/>
    <w:rsid w:val="008F29C3"/>
    <w:rsid w:val="008F344C"/>
    <w:rsid w:val="008F6A66"/>
    <w:rsid w:val="008F7AA7"/>
    <w:rsid w:val="00900932"/>
    <w:rsid w:val="00901334"/>
    <w:rsid w:val="009104C6"/>
    <w:rsid w:val="009124CE"/>
    <w:rsid w:val="00912954"/>
    <w:rsid w:val="00913704"/>
    <w:rsid w:val="0091466F"/>
    <w:rsid w:val="00920544"/>
    <w:rsid w:val="00921F34"/>
    <w:rsid w:val="0092304C"/>
    <w:rsid w:val="00923F06"/>
    <w:rsid w:val="0092562E"/>
    <w:rsid w:val="00930C2F"/>
    <w:rsid w:val="009313C1"/>
    <w:rsid w:val="00936448"/>
    <w:rsid w:val="00937238"/>
    <w:rsid w:val="00937649"/>
    <w:rsid w:val="00944637"/>
    <w:rsid w:val="009451EB"/>
    <w:rsid w:val="00960B10"/>
    <w:rsid w:val="009635FF"/>
    <w:rsid w:val="00963B0B"/>
    <w:rsid w:val="00963B31"/>
    <w:rsid w:val="00967FD2"/>
    <w:rsid w:val="00970D51"/>
    <w:rsid w:val="00973EDF"/>
    <w:rsid w:val="00974B13"/>
    <w:rsid w:val="00982342"/>
    <w:rsid w:val="009841DA"/>
    <w:rsid w:val="0098547D"/>
    <w:rsid w:val="009856A7"/>
    <w:rsid w:val="00986627"/>
    <w:rsid w:val="00990FC5"/>
    <w:rsid w:val="00991C12"/>
    <w:rsid w:val="00994A8E"/>
    <w:rsid w:val="009956F4"/>
    <w:rsid w:val="009B3075"/>
    <w:rsid w:val="009B5BDB"/>
    <w:rsid w:val="009B5E76"/>
    <w:rsid w:val="009B72ED"/>
    <w:rsid w:val="009B7BD4"/>
    <w:rsid w:val="009B7F3F"/>
    <w:rsid w:val="009C0F7B"/>
    <w:rsid w:val="009C1BA7"/>
    <w:rsid w:val="009C4708"/>
    <w:rsid w:val="009C6918"/>
    <w:rsid w:val="009C71A2"/>
    <w:rsid w:val="009D0189"/>
    <w:rsid w:val="009D326F"/>
    <w:rsid w:val="009D48D5"/>
    <w:rsid w:val="009D7F7B"/>
    <w:rsid w:val="009E1447"/>
    <w:rsid w:val="009E179D"/>
    <w:rsid w:val="009E3C69"/>
    <w:rsid w:val="009E4076"/>
    <w:rsid w:val="009E6FB7"/>
    <w:rsid w:val="009E794C"/>
    <w:rsid w:val="009F105E"/>
    <w:rsid w:val="00A00FCD"/>
    <w:rsid w:val="00A04959"/>
    <w:rsid w:val="00A101CD"/>
    <w:rsid w:val="00A12D11"/>
    <w:rsid w:val="00A23FC7"/>
    <w:rsid w:val="00A26A9D"/>
    <w:rsid w:val="00A342F2"/>
    <w:rsid w:val="00A347B9"/>
    <w:rsid w:val="00A418A7"/>
    <w:rsid w:val="00A4723C"/>
    <w:rsid w:val="00A474FE"/>
    <w:rsid w:val="00A5760C"/>
    <w:rsid w:val="00A60DB3"/>
    <w:rsid w:val="00A7036E"/>
    <w:rsid w:val="00A72BA2"/>
    <w:rsid w:val="00A767C1"/>
    <w:rsid w:val="00A77C44"/>
    <w:rsid w:val="00A817EB"/>
    <w:rsid w:val="00A83326"/>
    <w:rsid w:val="00A843DB"/>
    <w:rsid w:val="00A8448A"/>
    <w:rsid w:val="00A85F11"/>
    <w:rsid w:val="00A87913"/>
    <w:rsid w:val="00A9115B"/>
    <w:rsid w:val="00A923C5"/>
    <w:rsid w:val="00A92F51"/>
    <w:rsid w:val="00A932BB"/>
    <w:rsid w:val="00A94138"/>
    <w:rsid w:val="00A94E2F"/>
    <w:rsid w:val="00AA456E"/>
    <w:rsid w:val="00AB0921"/>
    <w:rsid w:val="00AB1FA7"/>
    <w:rsid w:val="00AB3400"/>
    <w:rsid w:val="00AB423E"/>
    <w:rsid w:val="00AB498A"/>
    <w:rsid w:val="00AB7D79"/>
    <w:rsid w:val="00AC2FE8"/>
    <w:rsid w:val="00AC4E89"/>
    <w:rsid w:val="00AC53FA"/>
    <w:rsid w:val="00AC604D"/>
    <w:rsid w:val="00AC67C5"/>
    <w:rsid w:val="00AC70BA"/>
    <w:rsid w:val="00AC7B62"/>
    <w:rsid w:val="00AD0E39"/>
    <w:rsid w:val="00AD1F9C"/>
    <w:rsid w:val="00AD20D0"/>
    <w:rsid w:val="00AD2F56"/>
    <w:rsid w:val="00AD581B"/>
    <w:rsid w:val="00AD5898"/>
    <w:rsid w:val="00AD5FFB"/>
    <w:rsid w:val="00AD78E1"/>
    <w:rsid w:val="00AE2FAA"/>
    <w:rsid w:val="00AE524B"/>
    <w:rsid w:val="00AE72A4"/>
    <w:rsid w:val="00AF3F29"/>
    <w:rsid w:val="00AF5E12"/>
    <w:rsid w:val="00AF7DF3"/>
    <w:rsid w:val="00B013EA"/>
    <w:rsid w:val="00B049F2"/>
    <w:rsid w:val="00B06C0A"/>
    <w:rsid w:val="00B07E5B"/>
    <w:rsid w:val="00B10D18"/>
    <w:rsid w:val="00B12507"/>
    <w:rsid w:val="00B140BF"/>
    <w:rsid w:val="00B20771"/>
    <w:rsid w:val="00B22C6A"/>
    <w:rsid w:val="00B23083"/>
    <w:rsid w:val="00B25DBE"/>
    <w:rsid w:val="00B31D1F"/>
    <w:rsid w:val="00B32324"/>
    <w:rsid w:val="00B345C9"/>
    <w:rsid w:val="00B37ABC"/>
    <w:rsid w:val="00B45AF4"/>
    <w:rsid w:val="00B477F8"/>
    <w:rsid w:val="00B51D9F"/>
    <w:rsid w:val="00B53652"/>
    <w:rsid w:val="00B56990"/>
    <w:rsid w:val="00B60ABE"/>
    <w:rsid w:val="00B61A59"/>
    <w:rsid w:val="00B6246D"/>
    <w:rsid w:val="00B646FF"/>
    <w:rsid w:val="00B64DEF"/>
    <w:rsid w:val="00B7142C"/>
    <w:rsid w:val="00B73860"/>
    <w:rsid w:val="00B760D7"/>
    <w:rsid w:val="00B7780A"/>
    <w:rsid w:val="00B80E15"/>
    <w:rsid w:val="00B84187"/>
    <w:rsid w:val="00B84744"/>
    <w:rsid w:val="00B86041"/>
    <w:rsid w:val="00B868D7"/>
    <w:rsid w:val="00B86A80"/>
    <w:rsid w:val="00B87FA3"/>
    <w:rsid w:val="00B914C7"/>
    <w:rsid w:val="00B95EAA"/>
    <w:rsid w:val="00B97B61"/>
    <w:rsid w:val="00B97CC7"/>
    <w:rsid w:val="00BA0671"/>
    <w:rsid w:val="00BA4656"/>
    <w:rsid w:val="00BA5B87"/>
    <w:rsid w:val="00BB65C8"/>
    <w:rsid w:val="00BC0524"/>
    <w:rsid w:val="00BC2702"/>
    <w:rsid w:val="00BC30DB"/>
    <w:rsid w:val="00BC5AD5"/>
    <w:rsid w:val="00BC7F48"/>
    <w:rsid w:val="00BD09CD"/>
    <w:rsid w:val="00BD18E7"/>
    <w:rsid w:val="00BD2EE3"/>
    <w:rsid w:val="00BD51EC"/>
    <w:rsid w:val="00BD76A9"/>
    <w:rsid w:val="00BD7DA9"/>
    <w:rsid w:val="00BE43C6"/>
    <w:rsid w:val="00BE6377"/>
    <w:rsid w:val="00BF34D7"/>
    <w:rsid w:val="00BF4BB9"/>
    <w:rsid w:val="00BF5D5C"/>
    <w:rsid w:val="00C00486"/>
    <w:rsid w:val="00C00E8A"/>
    <w:rsid w:val="00C0273B"/>
    <w:rsid w:val="00C04AD2"/>
    <w:rsid w:val="00C11BD0"/>
    <w:rsid w:val="00C12746"/>
    <w:rsid w:val="00C12CCE"/>
    <w:rsid w:val="00C14C7E"/>
    <w:rsid w:val="00C162EB"/>
    <w:rsid w:val="00C167F9"/>
    <w:rsid w:val="00C20897"/>
    <w:rsid w:val="00C23B60"/>
    <w:rsid w:val="00C25902"/>
    <w:rsid w:val="00C274BD"/>
    <w:rsid w:val="00C325F9"/>
    <w:rsid w:val="00C35267"/>
    <w:rsid w:val="00C36797"/>
    <w:rsid w:val="00C405FF"/>
    <w:rsid w:val="00C40B8D"/>
    <w:rsid w:val="00C40EA6"/>
    <w:rsid w:val="00C44F0E"/>
    <w:rsid w:val="00C47C59"/>
    <w:rsid w:val="00C57B84"/>
    <w:rsid w:val="00C637D5"/>
    <w:rsid w:val="00C63F5A"/>
    <w:rsid w:val="00C6497D"/>
    <w:rsid w:val="00C71072"/>
    <w:rsid w:val="00C710D5"/>
    <w:rsid w:val="00C74873"/>
    <w:rsid w:val="00C80247"/>
    <w:rsid w:val="00C8343C"/>
    <w:rsid w:val="00C857CB"/>
    <w:rsid w:val="00C85A43"/>
    <w:rsid w:val="00C8740F"/>
    <w:rsid w:val="00C915A8"/>
    <w:rsid w:val="00C93CAD"/>
    <w:rsid w:val="00C94939"/>
    <w:rsid w:val="00CA05EF"/>
    <w:rsid w:val="00CA16A7"/>
    <w:rsid w:val="00CA7EDA"/>
    <w:rsid w:val="00CB089C"/>
    <w:rsid w:val="00CB3CDD"/>
    <w:rsid w:val="00CB4CB8"/>
    <w:rsid w:val="00CB54E2"/>
    <w:rsid w:val="00CC50AC"/>
    <w:rsid w:val="00CD1E89"/>
    <w:rsid w:val="00CE1D4B"/>
    <w:rsid w:val="00CE21C0"/>
    <w:rsid w:val="00CE5BCB"/>
    <w:rsid w:val="00CF0B0E"/>
    <w:rsid w:val="00CF1BF6"/>
    <w:rsid w:val="00CF3DDE"/>
    <w:rsid w:val="00CF5A07"/>
    <w:rsid w:val="00D00490"/>
    <w:rsid w:val="00D01165"/>
    <w:rsid w:val="00D01D75"/>
    <w:rsid w:val="00D0204F"/>
    <w:rsid w:val="00D02B48"/>
    <w:rsid w:val="00D06305"/>
    <w:rsid w:val="00D0697D"/>
    <w:rsid w:val="00D1120A"/>
    <w:rsid w:val="00D125BE"/>
    <w:rsid w:val="00D1410D"/>
    <w:rsid w:val="00D23E4E"/>
    <w:rsid w:val="00D2658A"/>
    <w:rsid w:val="00D26CB3"/>
    <w:rsid w:val="00D301F0"/>
    <w:rsid w:val="00D33479"/>
    <w:rsid w:val="00D34969"/>
    <w:rsid w:val="00D354A0"/>
    <w:rsid w:val="00D354A3"/>
    <w:rsid w:val="00D35BCE"/>
    <w:rsid w:val="00D35C22"/>
    <w:rsid w:val="00D368A8"/>
    <w:rsid w:val="00D40512"/>
    <w:rsid w:val="00D40D8E"/>
    <w:rsid w:val="00D423EB"/>
    <w:rsid w:val="00D438DC"/>
    <w:rsid w:val="00D472B3"/>
    <w:rsid w:val="00D52331"/>
    <w:rsid w:val="00D53998"/>
    <w:rsid w:val="00D555DA"/>
    <w:rsid w:val="00D562E9"/>
    <w:rsid w:val="00D57A15"/>
    <w:rsid w:val="00D60729"/>
    <w:rsid w:val="00D60B17"/>
    <w:rsid w:val="00D628A9"/>
    <w:rsid w:val="00D62C42"/>
    <w:rsid w:val="00D63889"/>
    <w:rsid w:val="00D6405A"/>
    <w:rsid w:val="00D653B8"/>
    <w:rsid w:val="00D67685"/>
    <w:rsid w:val="00D7071D"/>
    <w:rsid w:val="00D75FDA"/>
    <w:rsid w:val="00D828F5"/>
    <w:rsid w:val="00D83E84"/>
    <w:rsid w:val="00D847C6"/>
    <w:rsid w:val="00D90ED7"/>
    <w:rsid w:val="00D912BE"/>
    <w:rsid w:val="00D918DD"/>
    <w:rsid w:val="00D91A27"/>
    <w:rsid w:val="00D91BB8"/>
    <w:rsid w:val="00D93504"/>
    <w:rsid w:val="00D96DBF"/>
    <w:rsid w:val="00D97F6C"/>
    <w:rsid w:val="00DA0EAB"/>
    <w:rsid w:val="00DA1217"/>
    <w:rsid w:val="00DA2207"/>
    <w:rsid w:val="00DA4A15"/>
    <w:rsid w:val="00DA5C3D"/>
    <w:rsid w:val="00DA72A9"/>
    <w:rsid w:val="00DB1128"/>
    <w:rsid w:val="00DB7937"/>
    <w:rsid w:val="00DC1B2F"/>
    <w:rsid w:val="00DC2893"/>
    <w:rsid w:val="00DC2F9A"/>
    <w:rsid w:val="00DC5882"/>
    <w:rsid w:val="00DD0F21"/>
    <w:rsid w:val="00DD39D1"/>
    <w:rsid w:val="00DD5CD7"/>
    <w:rsid w:val="00DE11B9"/>
    <w:rsid w:val="00DE265F"/>
    <w:rsid w:val="00DF2B79"/>
    <w:rsid w:val="00DF4BFB"/>
    <w:rsid w:val="00DF5B20"/>
    <w:rsid w:val="00DF5F7D"/>
    <w:rsid w:val="00DF77F2"/>
    <w:rsid w:val="00E10526"/>
    <w:rsid w:val="00E11244"/>
    <w:rsid w:val="00E14D51"/>
    <w:rsid w:val="00E15353"/>
    <w:rsid w:val="00E16CAE"/>
    <w:rsid w:val="00E17211"/>
    <w:rsid w:val="00E26C43"/>
    <w:rsid w:val="00E312C7"/>
    <w:rsid w:val="00E3469C"/>
    <w:rsid w:val="00E36043"/>
    <w:rsid w:val="00E41667"/>
    <w:rsid w:val="00E41ECF"/>
    <w:rsid w:val="00E43570"/>
    <w:rsid w:val="00E45340"/>
    <w:rsid w:val="00E4622B"/>
    <w:rsid w:val="00E472BC"/>
    <w:rsid w:val="00E515DB"/>
    <w:rsid w:val="00E5274F"/>
    <w:rsid w:val="00E549B0"/>
    <w:rsid w:val="00E54F7C"/>
    <w:rsid w:val="00E55955"/>
    <w:rsid w:val="00E55BEC"/>
    <w:rsid w:val="00E576D7"/>
    <w:rsid w:val="00E57EB6"/>
    <w:rsid w:val="00E57EDE"/>
    <w:rsid w:val="00E63830"/>
    <w:rsid w:val="00E6480A"/>
    <w:rsid w:val="00E674DD"/>
    <w:rsid w:val="00E67B22"/>
    <w:rsid w:val="00E72A5A"/>
    <w:rsid w:val="00E74F32"/>
    <w:rsid w:val="00E76A99"/>
    <w:rsid w:val="00E77181"/>
    <w:rsid w:val="00E81323"/>
    <w:rsid w:val="00E81CCC"/>
    <w:rsid w:val="00E84B98"/>
    <w:rsid w:val="00E85E3D"/>
    <w:rsid w:val="00E865CF"/>
    <w:rsid w:val="00E86FEA"/>
    <w:rsid w:val="00E87B69"/>
    <w:rsid w:val="00E9108F"/>
    <w:rsid w:val="00E9202E"/>
    <w:rsid w:val="00E92EE5"/>
    <w:rsid w:val="00E974ED"/>
    <w:rsid w:val="00EA33E1"/>
    <w:rsid w:val="00EA406E"/>
    <w:rsid w:val="00EA43AC"/>
    <w:rsid w:val="00EA4764"/>
    <w:rsid w:val="00EA52D3"/>
    <w:rsid w:val="00EA71AF"/>
    <w:rsid w:val="00EA73CE"/>
    <w:rsid w:val="00EB0642"/>
    <w:rsid w:val="00EB2281"/>
    <w:rsid w:val="00EB2329"/>
    <w:rsid w:val="00EC65C6"/>
    <w:rsid w:val="00ED043A"/>
    <w:rsid w:val="00ED3727"/>
    <w:rsid w:val="00ED3DDF"/>
    <w:rsid w:val="00ED3FF4"/>
    <w:rsid w:val="00ED50F4"/>
    <w:rsid w:val="00EE0E37"/>
    <w:rsid w:val="00EE1078"/>
    <w:rsid w:val="00EE1C1A"/>
    <w:rsid w:val="00EE2613"/>
    <w:rsid w:val="00EE33DD"/>
    <w:rsid w:val="00EE4188"/>
    <w:rsid w:val="00EE550A"/>
    <w:rsid w:val="00EF0BA1"/>
    <w:rsid w:val="00EF1E98"/>
    <w:rsid w:val="00EF285F"/>
    <w:rsid w:val="00EF3D01"/>
    <w:rsid w:val="00EF5820"/>
    <w:rsid w:val="00F07196"/>
    <w:rsid w:val="00F1025A"/>
    <w:rsid w:val="00F15BD9"/>
    <w:rsid w:val="00F2297F"/>
    <w:rsid w:val="00F23586"/>
    <w:rsid w:val="00F26DDC"/>
    <w:rsid w:val="00F32816"/>
    <w:rsid w:val="00F35EDC"/>
    <w:rsid w:val="00F36B17"/>
    <w:rsid w:val="00F36D50"/>
    <w:rsid w:val="00F4189C"/>
    <w:rsid w:val="00F44ECF"/>
    <w:rsid w:val="00F46818"/>
    <w:rsid w:val="00F51D2D"/>
    <w:rsid w:val="00F539B2"/>
    <w:rsid w:val="00F550C6"/>
    <w:rsid w:val="00F62916"/>
    <w:rsid w:val="00F63D9A"/>
    <w:rsid w:val="00F659A3"/>
    <w:rsid w:val="00F66324"/>
    <w:rsid w:val="00F7417F"/>
    <w:rsid w:val="00F745D7"/>
    <w:rsid w:val="00F772CC"/>
    <w:rsid w:val="00F80F4A"/>
    <w:rsid w:val="00F814D0"/>
    <w:rsid w:val="00F84866"/>
    <w:rsid w:val="00F8492D"/>
    <w:rsid w:val="00F8527C"/>
    <w:rsid w:val="00F86001"/>
    <w:rsid w:val="00F87E78"/>
    <w:rsid w:val="00F938BE"/>
    <w:rsid w:val="00F95D35"/>
    <w:rsid w:val="00F96266"/>
    <w:rsid w:val="00FA02D2"/>
    <w:rsid w:val="00FA168D"/>
    <w:rsid w:val="00FA187F"/>
    <w:rsid w:val="00FB2847"/>
    <w:rsid w:val="00FB467D"/>
    <w:rsid w:val="00FB57D3"/>
    <w:rsid w:val="00FB743C"/>
    <w:rsid w:val="00FC05EB"/>
    <w:rsid w:val="00FC11AE"/>
    <w:rsid w:val="00FC293E"/>
    <w:rsid w:val="00FC6E8D"/>
    <w:rsid w:val="00FD307B"/>
    <w:rsid w:val="00FD4E76"/>
    <w:rsid w:val="00FE38C7"/>
    <w:rsid w:val="00FE4830"/>
    <w:rsid w:val="00FE68E4"/>
    <w:rsid w:val="00FF2CBF"/>
    <w:rsid w:val="00FF3099"/>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E4768"/>
  <w15:docId w15:val="{8F768DA1-7C75-4284-9A8F-A7D667C9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BF5D5C"/>
    <w:rPr>
      <w:rFonts w:ascii="Verdana" w:hAnsi="Verdana"/>
      <w:sz w:val="16"/>
    </w:rPr>
  </w:style>
  <w:style w:type="character" w:styleId="FootnoteReference">
    <w:name w:val="footnote reference"/>
    <w:basedOn w:val="DefaultParagraphFont"/>
    <w:unhideWhenUsed/>
    <w:rsid w:val="00BF5D5C"/>
    <w:rPr>
      <w:vertAlign w:val="superscript"/>
    </w:rPr>
  </w:style>
  <w:style w:type="numbering" w:customStyle="1" w:styleId="StylesList1">
    <w:name w:val="StylesList1"/>
    <w:uiPriority w:val="99"/>
    <w:rsid w:val="00252F78"/>
  </w:style>
  <w:style w:type="numbering" w:customStyle="1" w:styleId="StylesList2">
    <w:name w:val="StylesList2"/>
    <w:uiPriority w:val="99"/>
    <w:rsid w:val="003E4B6A"/>
  </w:style>
  <w:style w:type="character" w:styleId="UnresolvedMention">
    <w:name w:val="Unresolved Mention"/>
    <w:basedOn w:val="DefaultParagraphFont"/>
    <w:uiPriority w:val="99"/>
    <w:semiHidden/>
    <w:unhideWhenUsed/>
    <w:rsid w:val="008B0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C28087-D8DC-4FE4-855C-98C0932CD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1CE1D-8C92-4358-A023-647BAFEA93DA}">
  <ds:schemaRefs>
    <ds:schemaRef ds:uri="http://schemas.microsoft.com/sharepoint/v3/contenttype/forms"/>
  </ds:schemaRefs>
</ds:datastoreItem>
</file>

<file path=customXml/itemProps4.xml><?xml version="1.0" encoding="utf-8"?>
<ds:datastoreItem xmlns:ds="http://schemas.openxmlformats.org/officeDocument/2006/customXml" ds:itemID="{BF93B7E5-0303-44EA-AF23-F997B65719C3}">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7</TotalTime>
  <Pages>10</Pages>
  <Words>4145</Words>
  <Characters>19711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Cook, Robert</cp:lastModifiedBy>
  <cp:revision>3</cp:revision>
  <cp:lastPrinted>2022-09-23T09:14:00Z</cp:lastPrinted>
  <dcterms:created xsi:type="dcterms:W3CDTF">2022-09-23T09:20:00Z</dcterms:created>
  <dcterms:modified xsi:type="dcterms:W3CDTF">2022-09-23T11:02:00Z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