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FCA" w14:textId="1BD8A5D7" w:rsidR="00507D9E" w:rsidRDefault="00216635" w:rsidP="00C77F12">
      <w:pPr>
        <w:tabs>
          <w:tab w:val="left" w:pos="-142"/>
        </w:tabs>
      </w:pPr>
      <w:r>
        <w:rPr>
          <w:noProof/>
        </w:rPr>
        <w:drawing>
          <wp:inline distT="0" distB="0" distL="0" distR="0" wp14:anchorId="65DC6006" wp14:editId="65DC6007">
            <wp:extent cx="3345180" cy="345440"/>
            <wp:effectExtent l="0" t="0" r="762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5180" cy="345440"/>
                    </a:xfrm>
                    <a:prstGeom prst="rect">
                      <a:avLst/>
                    </a:prstGeom>
                    <a:noFill/>
                    <a:ln>
                      <a:noFill/>
                    </a:ln>
                  </pic:spPr>
                </pic:pic>
              </a:graphicData>
            </a:graphic>
          </wp:inline>
        </w:drawing>
      </w:r>
    </w:p>
    <w:p w14:paraId="615EEDAA" w14:textId="77777777" w:rsidR="00195B81" w:rsidRPr="009C38E7" w:rsidRDefault="00195B81" w:rsidP="00C77F12">
      <w:pPr>
        <w:tabs>
          <w:tab w:val="left" w:pos="-142"/>
        </w:tabs>
      </w:pPr>
    </w:p>
    <w:p w14:paraId="65DC5FCB" w14:textId="77777777" w:rsidR="0004625F" w:rsidRPr="00A40FFB" w:rsidRDefault="0004625F" w:rsidP="00C77F12">
      <w:pPr>
        <w:tabs>
          <w:tab w:val="left" w:pos="-142"/>
        </w:tabs>
        <w:rPr>
          <w:sz w:val="6"/>
          <w:szCs w:val="6"/>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195B81" w:rsidRPr="00AD0A4E" w14:paraId="30AD22CE" w14:textId="77777777" w:rsidTr="0021696D">
        <w:trPr>
          <w:cantSplit/>
          <w:trHeight w:val="23"/>
        </w:trPr>
        <w:tc>
          <w:tcPr>
            <w:tcW w:w="9356" w:type="dxa"/>
            <w:shd w:val="clear" w:color="auto" w:fill="auto"/>
          </w:tcPr>
          <w:p w14:paraId="0269D215" w14:textId="77777777" w:rsidR="00195B81" w:rsidRPr="00AD0A4E" w:rsidRDefault="00195B81" w:rsidP="0021696D">
            <w:pPr>
              <w:spacing w:before="120"/>
              <w:ind w:left="-108" w:right="34"/>
              <w:rPr>
                <w:rFonts w:ascii="Arial" w:hAnsi="Arial" w:cs="Arial"/>
                <w:b/>
                <w:color w:val="000000"/>
                <w:sz w:val="40"/>
                <w:szCs w:val="40"/>
              </w:rPr>
            </w:pPr>
            <w:r w:rsidRPr="00AD0A4E">
              <w:rPr>
                <w:rFonts w:ascii="Arial" w:hAnsi="Arial" w:cs="Arial"/>
                <w:b/>
                <w:color w:val="000000"/>
                <w:sz w:val="40"/>
                <w:szCs w:val="40"/>
              </w:rPr>
              <w:t>Costs Decision</w:t>
            </w:r>
          </w:p>
        </w:tc>
      </w:tr>
      <w:tr w:rsidR="00195B81" w:rsidRPr="00AD0A4E" w14:paraId="3605BF96" w14:textId="77777777" w:rsidTr="0021696D">
        <w:trPr>
          <w:cantSplit/>
          <w:trHeight w:val="425"/>
        </w:trPr>
        <w:tc>
          <w:tcPr>
            <w:tcW w:w="9356" w:type="dxa"/>
            <w:shd w:val="clear" w:color="auto" w:fill="auto"/>
            <w:vAlign w:val="center"/>
          </w:tcPr>
          <w:p w14:paraId="6D8F859D" w14:textId="77777777" w:rsidR="00195B81" w:rsidRPr="00AD0A4E" w:rsidRDefault="00195B81" w:rsidP="0021696D">
            <w:pPr>
              <w:spacing w:before="60"/>
              <w:ind w:left="-108" w:right="34"/>
              <w:rPr>
                <w:rFonts w:ascii="Arial" w:hAnsi="Arial" w:cs="Arial"/>
                <w:color w:val="000000"/>
                <w:szCs w:val="22"/>
              </w:rPr>
            </w:pPr>
            <w:r w:rsidRPr="00AD0A4E">
              <w:rPr>
                <w:rFonts w:ascii="Arial" w:hAnsi="Arial" w:cs="Arial"/>
                <w:color w:val="000000"/>
                <w:szCs w:val="22"/>
              </w:rPr>
              <w:t>Inquiry opened on 2 November 2021</w:t>
            </w:r>
          </w:p>
        </w:tc>
      </w:tr>
      <w:tr w:rsidR="00195B81" w:rsidRPr="00AD0A4E" w14:paraId="5F1B077B" w14:textId="77777777" w:rsidTr="0021696D">
        <w:trPr>
          <w:cantSplit/>
          <w:trHeight w:val="374"/>
        </w:trPr>
        <w:tc>
          <w:tcPr>
            <w:tcW w:w="9356" w:type="dxa"/>
            <w:shd w:val="clear" w:color="auto" w:fill="auto"/>
          </w:tcPr>
          <w:p w14:paraId="1593B888" w14:textId="77777777" w:rsidR="00195B81" w:rsidRPr="00AD0A4E" w:rsidRDefault="00195B81" w:rsidP="00195B81">
            <w:pPr>
              <w:spacing w:before="240"/>
              <w:ind w:left="-108" w:right="34"/>
              <w:rPr>
                <w:rFonts w:ascii="Arial" w:hAnsi="Arial" w:cs="Arial"/>
                <w:b/>
                <w:color w:val="000000"/>
                <w:sz w:val="16"/>
                <w:szCs w:val="22"/>
              </w:rPr>
            </w:pPr>
            <w:r w:rsidRPr="00AD0A4E">
              <w:rPr>
                <w:rFonts w:ascii="Arial" w:hAnsi="Arial" w:cs="Arial"/>
                <w:b/>
                <w:color w:val="000000"/>
                <w:szCs w:val="22"/>
              </w:rPr>
              <w:t xml:space="preserve">by Sue Arnott </w:t>
            </w:r>
            <w:proofErr w:type="spellStart"/>
            <w:r w:rsidRPr="00AD0A4E">
              <w:rPr>
                <w:rFonts w:ascii="Arial" w:hAnsi="Arial" w:cs="Arial"/>
                <w:b/>
                <w:smallCaps/>
                <w:color w:val="000000"/>
                <w:szCs w:val="22"/>
              </w:rPr>
              <w:t>fiprow</w:t>
            </w:r>
            <w:proofErr w:type="spellEnd"/>
          </w:p>
        </w:tc>
      </w:tr>
      <w:tr w:rsidR="00195B81" w:rsidRPr="00AD0A4E" w14:paraId="751E3B80" w14:textId="77777777" w:rsidTr="0021696D">
        <w:trPr>
          <w:cantSplit/>
          <w:trHeight w:val="357"/>
        </w:trPr>
        <w:tc>
          <w:tcPr>
            <w:tcW w:w="9356" w:type="dxa"/>
            <w:shd w:val="clear" w:color="auto" w:fill="auto"/>
          </w:tcPr>
          <w:p w14:paraId="2AFADDDD" w14:textId="77777777" w:rsidR="00195B81" w:rsidRPr="00AD0A4E" w:rsidRDefault="00195B81" w:rsidP="0021696D">
            <w:pPr>
              <w:spacing w:before="120"/>
              <w:ind w:left="-108" w:right="34"/>
              <w:rPr>
                <w:rFonts w:ascii="Arial" w:hAnsi="Arial" w:cs="Arial"/>
                <w:b/>
                <w:color w:val="000000"/>
                <w:sz w:val="16"/>
                <w:szCs w:val="16"/>
              </w:rPr>
            </w:pPr>
            <w:r w:rsidRPr="00AD0A4E">
              <w:rPr>
                <w:rFonts w:ascii="Arial" w:hAnsi="Arial" w:cs="Arial"/>
                <w:b/>
                <w:color w:val="000000"/>
                <w:sz w:val="16"/>
                <w:szCs w:val="16"/>
              </w:rPr>
              <w:t>an Inspector appointed by the Secretary of State for Environment, Food and Rural Affairs</w:t>
            </w:r>
          </w:p>
        </w:tc>
      </w:tr>
      <w:tr w:rsidR="00195B81" w:rsidRPr="00AD0A4E" w14:paraId="08E94947" w14:textId="77777777" w:rsidTr="0021696D">
        <w:trPr>
          <w:cantSplit/>
          <w:trHeight w:val="335"/>
        </w:trPr>
        <w:tc>
          <w:tcPr>
            <w:tcW w:w="9356" w:type="dxa"/>
            <w:shd w:val="clear" w:color="auto" w:fill="auto"/>
          </w:tcPr>
          <w:p w14:paraId="23DDA400" w14:textId="182F4F9F" w:rsidR="00195B81" w:rsidRPr="00AD0A4E" w:rsidRDefault="00195B81" w:rsidP="0021696D">
            <w:pPr>
              <w:spacing w:before="120" w:after="60"/>
              <w:ind w:left="-108" w:right="176"/>
              <w:rPr>
                <w:rFonts w:ascii="Arial" w:hAnsi="Arial" w:cs="Arial"/>
                <w:b/>
                <w:color w:val="000000"/>
                <w:sz w:val="16"/>
                <w:szCs w:val="16"/>
              </w:rPr>
            </w:pPr>
            <w:r w:rsidRPr="00AD0A4E">
              <w:rPr>
                <w:rFonts w:ascii="Arial" w:hAnsi="Arial" w:cs="Arial"/>
                <w:b/>
                <w:color w:val="000000"/>
                <w:sz w:val="16"/>
                <w:szCs w:val="16"/>
              </w:rPr>
              <w:t>Decision date:</w:t>
            </w:r>
            <w:r w:rsidR="000E0929">
              <w:rPr>
                <w:rFonts w:ascii="Arial" w:hAnsi="Arial" w:cs="Arial"/>
                <w:b/>
                <w:color w:val="000000"/>
                <w:sz w:val="16"/>
                <w:szCs w:val="16"/>
              </w:rPr>
              <w:t xml:space="preserve"> 5 September 2022</w:t>
            </w:r>
          </w:p>
        </w:tc>
      </w:tr>
    </w:tbl>
    <w:p w14:paraId="65DC5FD8" w14:textId="77777777" w:rsidR="000D43EA" w:rsidRPr="00AD0A4E" w:rsidRDefault="000D43EA" w:rsidP="000D43EA">
      <w:pPr>
        <w:pStyle w:val="Heading6blackfont"/>
        <w:tabs>
          <w:tab w:val="left" w:pos="-142"/>
        </w:tabs>
        <w:rPr>
          <w:rFonts w:ascii="Arial" w:hAnsi="Arial" w:cs="Arial"/>
          <w:color w:val="auto"/>
          <w:sz w:val="2"/>
          <w:szCs w:val="2"/>
        </w:rPr>
      </w:pPr>
    </w:p>
    <w:tbl>
      <w:tblPr>
        <w:tblW w:w="9606" w:type="dxa"/>
        <w:tblLayout w:type="fixed"/>
        <w:tblLook w:val="0000" w:firstRow="0" w:lastRow="0" w:firstColumn="0" w:lastColumn="0" w:noHBand="0" w:noVBand="0"/>
      </w:tblPr>
      <w:tblGrid>
        <w:gridCol w:w="9606"/>
      </w:tblGrid>
      <w:tr w:rsidR="00A17FE1" w:rsidRPr="00AD0A4E" w14:paraId="65DC5FE4" w14:textId="77777777" w:rsidTr="00A17FE1">
        <w:trPr>
          <w:cantSplit/>
        </w:trPr>
        <w:tc>
          <w:tcPr>
            <w:tcW w:w="96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20"/>
            </w:tblGrid>
            <w:tr w:rsidR="00A17FE1" w:rsidRPr="00AD0A4E" w14:paraId="65DC5FDA" w14:textId="77777777" w:rsidTr="00903D4D">
              <w:tc>
                <w:tcPr>
                  <w:tcW w:w="9520" w:type="dxa"/>
                </w:tcPr>
                <w:p w14:paraId="65DC5FD9" w14:textId="5B41DB63" w:rsidR="00A17FE1" w:rsidRPr="00AD0A4E" w:rsidRDefault="00A17FE1" w:rsidP="00903D4D">
                  <w:pPr>
                    <w:pStyle w:val="Singleline"/>
                    <w:tabs>
                      <w:tab w:val="left" w:pos="360"/>
                    </w:tabs>
                    <w:spacing w:after="120"/>
                    <w:rPr>
                      <w:rFonts w:ascii="Arial" w:hAnsi="Arial" w:cs="Arial"/>
                      <w:b/>
                      <w:szCs w:val="22"/>
                    </w:rPr>
                  </w:pPr>
                  <w:r w:rsidRPr="00AD0A4E">
                    <w:rPr>
                      <w:rFonts w:ascii="Arial" w:hAnsi="Arial" w:cs="Arial"/>
                      <w:b/>
                      <w:szCs w:val="22"/>
                    </w:rPr>
                    <w:t xml:space="preserve">Costs application in relation to Order ref: </w:t>
                  </w:r>
                  <w:r w:rsidR="00AA58D7" w:rsidRPr="00AD0A4E">
                    <w:rPr>
                      <w:rFonts w:ascii="Arial" w:hAnsi="Arial" w:cs="Arial"/>
                      <w:b/>
                      <w:szCs w:val="22"/>
                    </w:rPr>
                    <w:t>ROW</w:t>
                  </w:r>
                  <w:r w:rsidRPr="00AD0A4E">
                    <w:rPr>
                      <w:rFonts w:ascii="Arial" w:hAnsi="Arial" w:cs="Arial"/>
                      <w:b/>
                      <w:szCs w:val="22"/>
                    </w:rPr>
                    <w:t>/</w:t>
                  </w:r>
                  <w:r w:rsidR="00493539" w:rsidRPr="00AD0A4E">
                    <w:rPr>
                      <w:rFonts w:ascii="Arial" w:hAnsi="Arial" w:cs="Arial"/>
                      <w:b/>
                      <w:szCs w:val="22"/>
                    </w:rPr>
                    <w:t>3253077</w:t>
                  </w:r>
                  <w:r w:rsidRPr="00AD0A4E">
                    <w:rPr>
                      <w:rFonts w:ascii="Arial" w:hAnsi="Arial" w:cs="Arial"/>
                      <w:b/>
                      <w:szCs w:val="22"/>
                    </w:rPr>
                    <w:tab/>
                  </w:r>
                  <w:r w:rsidRPr="00AD0A4E">
                    <w:rPr>
                      <w:rFonts w:ascii="Arial" w:hAnsi="Arial" w:cs="Arial"/>
                      <w:b/>
                      <w:szCs w:val="22"/>
                    </w:rPr>
                    <w:tab/>
                  </w:r>
                </w:p>
              </w:tc>
            </w:tr>
            <w:tr w:rsidR="00A17FE1" w:rsidRPr="00AD0A4E" w14:paraId="65DC5FDC" w14:textId="77777777" w:rsidTr="00903D4D">
              <w:tc>
                <w:tcPr>
                  <w:tcW w:w="9520" w:type="dxa"/>
                </w:tcPr>
                <w:p w14:paraId="65DC5FDB" w14:textId="73EC4048" w:rsidR="00A17FE1" w:rsidRPr="00AD0A4E" w:rsidRDefault="00A17FE1" w:rsidP="00A17FE1">
                  <w:pPr>
                    <w:pStyle w:val="TBullet"/>
                    <w:numPr>
                      <w:ilvl w:val="0"/>
                      <w:numId w:val="9"/>
                    </w:numPr>
                    <w:spacing w:after="80"/>
                    <w:ind w:left="357" w:hanging="357"/>
                    <w:rPr>
                      <w:rFonts w:ascii="Arial" w:hAnsi="Arial" w:cs="Arial"/>
                    </w:rPr>
                  </w:pPr>
                  <w:r w:rsidRPr="00AD0A4E">
                    <w:rPr>
                      <w:rFonts w:ascii="Arial" w:hAnsi="Arial" w:cs="Arial"/>
                    </w:rPr>
                    <w:t xml:space="preserve">The application is made under the </w:t>
                  </w:r>
                  <w:r w:rsidR="00C460C3" w:rsidRPr="00AD0A4E">
                    <w:rPr>
                      <w:rFonts w:ascii="Arial" w:hAnsi="Arial" w:cs="Arial"/>
                    </w:rPr>
                    <w:t xml:space="preserve">Highways Act 1980 Schedule 6 </w:t>
                  </w:r>
                  <w:r w:rsidRPr="00AD0A4E">
                    <w:rPr>
                      <w:rFonts w:ascii="Arial" w:hAnsi="Arial" w:cs="Arial"/>
                    </w:rPr>
                    <w:t>(as amended) and the Local Government Act 1972 Section 250(5).</w:t>
                  </w:r>
                </w:p>
              </w:tc>
            </w:tr>
            <w:tr w:rsidR="00A17FE1" w:rsidRPr="00AD0A4E" w14:paraId="65DC5FDE" w14:textId="77777777" w:rsidTr="00903D4D">
              <w:tc>
                <w:tcPr>
                  <w:tcW w:w="9520" w:type="dxa"/>
                </w:tcPr>
                <w:p w14:paraId="65DC5FDD" w14:textId="696151C2" w:rsidR="00A17FE1" w:rsidRPr="00AD0A4E" w:rsidRDefault="00A17FE1" w:rsidP="00091D5D">
                  <w:pPr>
                    <w:pStyle w:val="TBullet"/>
                    <w:numPr>
                      <w:ilvl w:val="0"/>
                      <w:numId w:val="9"/>
                    </w:numPr>
                    <w:spacing w:after="80"/>
                    <w:ind w:left="357" w:hanging="357"/>
                    <w:rPr>
                      <w:rFonts w:ascii="Arial" w:hAnsi="Arial" w:cs="Arial"/>
                    </w:rPr>
                  </w:pPr>
                  <w:r w:rsidRPr="00AD0A4E">
                    <w:rPr>
                      <w:rFonts w:ascii="Arial" w:hAnsi="Arial" w:cs="Arial"/>
                    </w:rPr>
                    <w:t xml:space="preserve">The application is made </w:t>
                  </w:r>
                  <w:r w:rsidR="00091D5D" w:rsidRPr="00AD0A4E">
                    <w:rPr>
                      <w:rFonts w:ascii="Arial" w:hAnsi="Arial" w:cs="Arial"/>
                    </w:rPr>
                    <w:t xml:space="preserve">by </w:t>
                  </w:r>
                  <w:r w:rsidR="00195B81" w:rsidRPr="00AD0A4E">
                    <w:rPr>
                      <w:rFonts w:ascii="Arial" w:hAnsi="Arial" w:cs="Arial"/>
                    </w:rPr>
                    <w:t>Network Rail (Infrastructure) Ltd</w:t>
                  </w:r>
                  <w:r w:rsidR="00091D5D" w:rsidRPr="00AD0A4E">
                    <w:rPr>
                      <w:rFonts w:ascii="Arial" w:hAnsi="Arial" w:cs="Arial"/>
                    </w:rPr>
                    <w:t xml:space="preserve"> </w:t>
                  </w:r>
                  <w:r w:rsidRPr="00AD0A4E">
                    <w:rPr>
                      <w:rFonts w:ascii="Arial" w:hAnsi="Arial" w:cs="Arial"/>
                    </w:rPr>
                    <w:t xml:space="preserve">for a </w:t>
                  </w:r>
                  <w:r w:rsidR="00072EF2" w:rsidRPr="00AD0A4E">
                    <w:rPr>
                      <w:rFonts w:ascii="Arial" w:hAnsi="Arial" w:cs="Arial"/>
                    </w:rPr>
                    <w:t>partial</w:t>
                  </w:r>
                  <w:r w:rsidRPr="00AD0A4E">
                    <w:rPr>
                      <w:rFonts w:ascii="Arial" w:hAnsi="Arial" w:cs="Arial"/>
                    </w:rPr>
                    <w:t xml:space="preserve"> award of costs against </w:t>
                  </w:r>
                  <w:r w:rsidR="00195B81" w:rsidRPr="00AD0A4E">
                    <w:rPr>
                      <w:rFonts w:ascii="Arial" w:hAnsi="Arial" w:cs="Arial"/>
                    </w:rPr>
                    <w:t>Mr N Thorne</w:t>
                  </w:r>
                  <w:r w:rsidRPr="00AD0A4E">
                    <w:rPr>
                      <w:rFonts w:ascii="Arial" w:hAnsi="Arial" w:cs="Arial"/>
                    </w:rPr>
                    <w:t xml:space="preserve">.  </w:t>
                  </w:r>
                </w:p>
              </w:tc>
            </w:tr>
            <w:tr w:rsidR="00A17FE1" w:rsidRPr="00AD0A4E" w14:paraId="65DC5FE0" w14:textId="77777777" w:rsidTr="00903D4D">
              <w:tc>
                <w:tcPr>
                  <w:tcW w:w="9520" w:type="dxa"/>
                </w:tcPr>
                <w:p w14:paraId="65DC5FDF" w14:textId="7FBE926E" w:rsidR="00A17FE1" w:rsidRPr="00AD0A4E" w:rsidRDefault="00A17FE1" w:rsidP="00A17FE1">
                  <w:pPr>
                    <w:pStyle w:val="TBullet"/>
                    <w:numPr>
                      <w:ilvl w:val="0"/>
                      <w:numId w:val="9"/>
                    </w:numPr>
                    <w:spacing w:after="80"/>
                    <w:ind w:left="357" w:hanging="357"/>
                    <w:rPr>
                      <w:rFonts w:ascii="Arial" w:hAnsi="Arial" w:cs="Arial"/>
                    </w:rPr>
                  </w:pPr>
                  <w:r w:rsidRPr="00AD0A4E">
                    <w:rPr>
                      <w:rFonts w:ascii="Arial" w:hAnsi="Arial" w:cs="Arial"/>
                    </w:rPr>
                    <w:t xml:space="preserve">The inquiry was held in connection with the </w:t>
                  </w:r>
                  <w:r w:rsidR="00195B81" w:rsidRPr="00AD0A4E">
                    <w:rPr>
                      <w:rFonts w:ascii="Arial" w:hAnsi="Arial" w:cs="Arial"/>
                    </w:rPr>
                    <w:t xml:space="preserve">Cumbria County Council (Unrecorded Footpath at Bailey Lane Parish of Grange over Sands) Public Path Diversion and </w:t>
                  </w:r>
                  <w:r w:rsidR="00195B81" w:rsidRPr="00AD0A4E">
                    <w:rPr>
                      <w:rFonts w:ascii="Arial" w:hAnsi="Arial" w:cs="Arial"/>
                      <w:iCs/>
                    </w:rPr>
                    <w:t>Definitive Map and Statement Modification Order 2019</w:t>
                  </w:r>
                  <w:r w:rsidRPr="00AD0A4E">
                    <w:rPr>
                      <w:rFonts w:ascii="Arial" w:hAnsi="Arial" w:cs="Arial"/>
                    </w:rPr>
                    <w:t>.</w:t>
                  </w:r>
                  <w:r w:rsidR="00091D5D" w:rsidRPr="00AD0A4E">
                    <w:rPr>
                      <w:rFonts w:ascii="Arial" w:hAnsi="Arial" w:cs="Arial"/>
                    </w:rPr>
                    <w:t xml:space="preserve"> </w:t>
                  </w:r>
                </w:p>
              </w:tc>
            </w:tr>
            <w:tr w:rsidR="00A17FE1" w:rsidRPr="00AD0A4E" w14:paraId="65DC5FE2" w14:textId="77777777" w:rsidTr="00903D4D">
              <w:tc>
                <w:tcPr>
                  <w:tcW w:w="9520" w:type="dxa"/>
                  <w:tcBorders>
                    <w:bottom w:val="single" w:sz="4" w:space="0" w:color="auto"/>
                  </w:tcBorders>
                </w:tcPr>
                <w:p w14:paraId="65DC5FE1" w14:textId="4C88BB54" w:rsidR="00A17FE1" w:rsidRPr="00AD0A4E" w:rsidRDefault="00195B81" w:rsidP="00313CE1">
                  <w:pPr>
                    <w:pStyle w:val="Singleline"/>
                    <w:tabs>
                      <w:tab w:val="left" w:pos="360"/>
                    </w:tabs>
                    <w:spacing w:before="180" w:after="120"/>
                    <w:jc w:val="both"/>
                    <w:rPr>
                      <w:rFonts w:ascii="Arial" w:hAnsi="Arial" w:cs="Arial"/>
                      <w:b/>
                      <w:szCs w:val="22"/>
                    </w:rPr>
                  </w:pPr>
                  <w:r w:rsidRPr="00FA13DA">
                    <w:rPr>
                      <w:rFonts w:ascii="Arial" w:hAnsi="Arial" w:cs="Arial"/>
                      <w:b/>
                      <w:szCs w:val="22"/>
                    </w:rPr>
                    <w:t>Summary of Decision</w:t>
                  </w:r>
                  <w:r w:rsidR="00A17FE1" w:rsidRPr="00AD0A4E">
                    <w:rPr>
                      <w:rFonts w:ascii="Arial" w:hAnsi="Arial" w:cs="Arial"/>
                      <w:b/>
                      <w:w w:val="95"/>
                      <w:szCs w:val="22"/>
                    </w:rPr>
                    <w:t xml:space="preserve">: </w:t>
                  </w:r>
                  <w:r w:rsidR="00A20E6A" w:rsidRPr="00AD0A4E">
                    <w:rPr>
                      <w:rFonts w:ascii="Arial" w:hAnsi="Arial" w:cs="Arial"/>
                      <w:b/>
                      <w:w w:val="95"/>
                      <w:szCs w:val="22"/>
                    </w:rPr>
                    <w:t xml:space="preserve"> </w:t>
                  </w:r>
                  <w:r w:rsidR="00313CE1" w:rsidRPr="00FA13DA">
                    <w:rPr>
                      <w:rFonts w:ascii="Arial" w:hAnsi="Arial" w:cs="Arial"/>
                      <w:b/>
                      <w:szCs w:val="22"/>
                    </w:rPr>
                    <w:t>That the application for an award of costs be dismissed</w:t>
                  </w:r>
                  <w:r w:rsidR="00A17FE1" w:rsidRPr="00FA13DA">
                    <w:rPr>
                      <w:rFonts w:ascii="Arial" w:hAnsi="Arial" w:cs="Arial"/>
                      <w:b/>
                      <w:szCs w:val="22"/>
                    </w:rPr>
                    <w:t>.</w:t>
                  </w:r>
                </w:p>
              </w:tc>
            </w:tr>
          </w:tbl>
          <w:p w14:paraId="65DC5FE3" w14:textId="77777777" w:rsidR="00A17FE1" w:rsidRPr="00AD0A4E" w:rsidRDefault="00A17FE1" w:rsidP="00903D4D">
            <w:pPr>
              <w:pStyle w:val="Noindent"/>
              <w:tabs>
                <w:tab w:val="clear" w:pos="426"/>
              </w:tabs>
              <w:spacing w:before="240"/>
              <w:jc w:val="center"/>
              <w:rPr>
                <w:rFonts w:ascii="Arial" w:hAnsi="Arial" w:cs="Arial"/>
              </w:rPr>
            </w:pPr>
          </w:p>
        </w:tc>
      </w:tr>
    </w:tbl>
    <w:p w14:paraId="65DC5FE5" w14:textId="1023F08B" w:rsidR="00A17FE1" w:rsidRPr="00AD0A4E" w:rsidRDefault="00A17FE1" w:rsidP="00A545D8">
      <w:pPr>
        <w:pStyle w:val="Heading6blackfont"/>
        <w:spacing w:before="240"/>
        <w:rPr>
          <w:rFonts w:ascii="Arial" w:hAnsi="Arial" w:cs="Arial"/>
        </w:rPr>
      </w:pPr>
      <w:r w:rsidRPr="00AD0A4E">
        <w:rPr>
          <w:rFonts w:ascii="Arial" w:hAnsi="Arial" w:cs="Arial"/>
        </w:rPr>
        <w:t xml:space="preserve">Submissions </w:t>
      </w:r>
      <w:r w:rsidR="00C45374" w:rsidRPr="00AD0A4E">
        <w:rPr>
          <w:rFonts w:ascii="Arial" w:hAnsi="Arial" w:cs="Arial"/>
        </w:rPr>
        <w:t xml:space="preserve">by Mr </w:t>
      </w:r>
      <w:r w:rsidR="004B5550" w:rsidRPr="00AD0A4E">
        <w:rPr>
          <w:rFonts w:ascii="Arial" w:hAnsi="Arial" w:cs="Arial"/>
        </w:rPr>
        <w:t>Lopez</w:t>
      </w:r>
      <w:r w:rsidR="00C45374" w:rsidRPr="00AD0A4E">
        <w:rPr>
          <w:rFonts w:ascii="Arial" w:hAnsi="Arial" w:cs="Arial"/>
        </w:rPr>
        <w:t xml:space="preserve"> </w:t>
      </w:r>
      <w:r w:rsidRPr="00AD0A4E">
        <w:rPr>
          <w:rFonts w:ascii="Arial" w:hAnsi="Arial" w:cs="Arial"/>
        </w:rPr>
        <w:t xml:space="preserve">on behalf of </w:t>
      </w:r>
      <w:r w:rsidR="004B5550" w:rsidRPr="00AD0A4E">
        <w:rPr>
          <w:rFonts w:ascii="Arial" w:hAnsi="Arial" w:cs="Arial"/>
        </w:rPr>
        <w:t>Network Rail (Infrastructure) Ltd</w:t>
      </w:r>
    </w:p>
    <w:p w14:paraId="41CD650E" w14:textId="6E1F10D0" w:rsidR="004B5550" w:rsidRPr="00AD0A4E" w:rsidRDefault="00C45374" w:rsidP="00C45374">
      <w:pPr>
        <w:pStyle w:val="Style1"/>
        <w:numPr>
          <w:ilvl w:val="0"/>
          <w:numId w:val="11"/>
        </w:numPr>
        <w:spacing w:before="140"/>
        <w:rPr>
          <w:rFonts w:ascii="Arial" w:hAnsi="Arial" w:cs="Arial"/>
        </w:rPr>
      </w:pPr>
      <w:r w:rsidRPr="00AD0A4E">
        <w:rPr>
          <w:rFonts w:ascii="Arial" w:hAnsi="Arial" w:cs="Arial"/>
        </w:rPr>
        <w:t>The application was made orally before the close of the inquiry on 1</w:t>
      </w:r>
      <w:r w:rsidR="004B5550" w:rsidRPr="00AD0A4E">
        <w:rPr>
          <w:rFonts w:ascii="Arial" w:hAnsi="Arial" w:cs="Arial"/>
        </w:rPr>
        <w:t>3</w:t>
      </w:r>
      <w:r w:rsidRPr="00AD0A4E">
        <w:rPr>
          <w:rFonts w:ascii="Arial" w:hAnsi="Arial" w:cs="Arial"/>
        </w:rPr>
        <w:t xml:space="preserve"> J</w:t>
      </w:r>
      <w:r w:rsidR="004B5550" w:rsidRPr="00AD0A4E">
        <w:rPr>
          <w:rFonts w:ascii="Arial" w:hAnsi="Arial" w:cs="Arial"/>
        </w:rPr>
        <w:t>a</w:t>
      </w:r>
      <w:r w:rsidRPr="00AD0A4E">
        <w:rPr>
          <w:rFonts w:ascii="Arial" w:hAnsi="Arial" w:cs="Arial"/>
        </w:rPr>
        <w:t>n</w:t>
      </w:r>
      <w:r w:rsidR="004B5550" w:rsidRPr="00AD0A4E">
        <w:rPr>
          <w:rFonts w:ascii="Arial" w:hAnsi="Arial" w:cs="Arial"/>
        </w:rPr>
        <w:t>uary</w:t>
      </w:r>
      <w:r w:rsidRPr="00AD0A4E">
        <w:rPr>
          <w:rFonts w:ascii="Arial" w:hAnsi="Arial" w:cs="Arial"/>
        </w:rPr>
        <w:t xml:space="preserve"> 20</w:t>
      </w:r>
      <w:r w:rsidR="004B5550" w:rsidRPr="00AD0A4E">
        <w:rPr>
          <w:rFonts w:ascii="Arial" w:hAnsi="Arial" w:cs="Arial"/>
        </w:rPr>
        <w:t>22</w:t>
      </w:r>
      <w:r w:rsidRPr="00AD0A4E">
        <w:rPr>
          <w:rFonts w:ascii="Arial" w:hAnsi="Arial" w:cs="Arial"/>
        </w:rPr>
        <w:t xml:space="preserve"> by Mr </w:t>
      </w:r>
      <w:r w:rsidR="004B5550" w:rsidRPr="00AD0A4E">
        <w:rPr>
          <w:rFonts w:ascii="Arial" w:hAnsi="Arial" w:cs="Arial"/>
        </w:rPr>
        <w:t>Lopez on behalf of the applicant for the Order, Network Rail (Infrastructure) Ltd</w:t>
      </w:r>
      <w:r w:rsidR="00B4775E" w:rsidRPr="00AD0A4E">
        <w:rPr>
          <w:rFonts w:ascii="Arial" w:hAnsi="Arial" w:cs="Arial"/>
        </w:rPr>
        <w:t xml:space="preserve"> (NR)</w:t>
      </w:r>
      <w:r w:rsidR="004B5550" w:rsidRPr="00AD0A4E">
        <w:rPr>
          <w:rFonts w:ascii="Arial" w:hAnsi="Arial" w:cs="Arial"/>
        </w:rPr>
        <w:t xml:space="preserve">. </w:t>
      </w:r>
      <w:r w:rsidR="002D6498" w:rsidRPr="00AD0A4E">
        <w:rPr>
          <w:rFonts w:ascii="Arial" w:hAnsi="Arial" w:cs="Arial"/>
        </w:rPr>
        <w:t>It was submitted in the context of protecting public funds</w:t>
      </w:r>
      <w:r w:rsidR="002F3FA6" w:rsidRPr="00AD0A4E">
        <w:rPr>
          <w:rFonts w:ascii="Arial" w:hAnsi="Arial" w:cs="Arial"/>
        </w:rPr>
        <w:t>,</w:t>
      </w:r>
      <w:r w:rsidR="002D6498" w:rsidRPr="00AD0A4E">
        <w:rPr>
          <w:rFonts w:ascii="Arial" w:hAnsi="Arial" w:cs="Arial"/>
        </w:rPr>
        <w:t xml:space="preserve"> with a degree of reticence and only because NR considered the circumstances of the unreasonable behaviour to be exceptional in terms of wasting public resources.</w:t>
      </w:r>
    </w:p>
    <w:p w14:paraId="1C298133" w14:textId="06660AA6" w:rsidR="00B4775E" w:rsidRPr="00AD0A4E" w:rsidRDefault="00C45374" w:rsidP="00183A74">
      <w:pPr>
        <w:pStyle w:val="Style1"/>
        <w:numPr>
          <w:ilvl w:val="0"/>
          <w:numId w:val="11"/>
        </w:numPr>
        <w:spacing w:before="140"/>
        <w:rPr>
          <w:rFonts w:ascii="Arial" w:hAnsi="Arial" w:cs="Arial"/>
        </w:rPr>
      </w:pPr>
      <w:r w:rsidRPr="00AD0A4E">
        <w:rPr>
          <w:rFonts w:ascii="Arial" w:hAnsi="Arial" w:cs="Arial"/>
        </w:rPr>
        <w:t xml:space="preserve">Mr </w:t>
      </w:r>
      <w:r w:rsidR="004B5550" w:rsidRPr="00AD0A4E">
        <w:rPr>
          <w:rFonts w:ascii="Arial" w:hAnsi="Arial" w:cs="Arial"/>
        </w:rPr>
        <w:t>Lopez</w:t>
      </w:r>
      <w:r w:rsidRPr="00AD0A4E">
        <w:rPr>
          <w:rFonts w:ascii="Arial" w:hAnsi="Arial" w:cs="Arial"/>
        </w:rPr>
        <w:t xml:space="preserve"> submitted that </w:t>
      </w:r>
      <w:r w:rsidR="004B5550" w:rsidRPr="00AD0A4E">
        <w:rPr>
          <w:rFonts w:ascii="Arial" w:hAnsi="Arial" w:cs="Arial"/>
        </w:rPr>
        <w:t>Mr Thorne</w:t>
      </w:r>
      <w:r w:rsidRPr="00AD0A4E">
        <w:rPr>
          <w:rFonts w:ascii="Arial" w:hAnsi="Arial" w:cs="Arial"/>
        </w:rPr>
        <w:t xml:space="preserve"> had behaved unreasonably </w:t>
      </w:r>
      <w:r w:rsidR="00B4775E" w:rsidRPr="00AD0A4E">
        <w:rPr>
          <w:rFonts w:ascii="Arial" w:hAnsi="Arial" w:cs="Arial"/>
        </w:rPr>
        <w:t xml:space="preserve">insofar as </w:t>
      </w:r>
      <w:r w:rsidR="00DC77CC" w:rsidRPr="00AD0A4E">
        <w:rPr>
          <w:rFonts w:ascii="Arial" w:hAnsi="Arial" w:cs="Arial"/>
        </w:rPr>
        <w:t xml:space="preserve">he </w:t>
      </w:r>
      <w:r w:rsidR="00B4775E" w:rsidRPr="00AD0A4E">
        <w:rPr>
          <w:rFonts w:ascii="Arial" w:hAnsi="Arial" w:cs="Arial"/>
        </w:rPr>
        <w:t xml:space="preserve">chose to make and maintain a misconceived legal argument throughout the inquiry, despite being invited several times to withdraw his proposition. </w:t>
      </w:r>
      <w:proofErr w:type="gramStart"/>
      <w:r w:rsidR="00B4775E" w:rsidRPr="00AD0A4E">
        <w:rPr>
          <w:rFonts w:ascii="Arial" w:hAnsi="Arial" w:cs="Arial"/>
        </w:rPr>
        <w:t>As a consequence</w:t>
      </w:r>
      <w:proofErr w:type="gramEnd"/>
      <w:r w:rsidR="00B4775E" w:rsidRPr="00AD0A4E">
        <w:rPr>
          <w:rFonts w:ascii="Arial" w:hAnsi="Arial" w:cs="Arial"/>
        </w:rPr>
        <w:t xml:space="preserve">, his client NR had been required to </w:t>
      </w:r>
      <w:r w:rsidR="00DC77CC" w:rsidRPr="00AD0A4E">
        <w:rPr>
          <w:rFonts w:ascii="Arial" w:hAnsi="Arial" w:cs="Arial"/>
        </w:rPr>
        <w:t xml:space="preserve">expend </w:t>
      </w:r>
      <w:r w:rsidR="00B4775E" w:rsidRPr="00AD0A4E">
        <w:rPr>
          <w:rFonts w:ascii="Arial" w:hAnsi="Arial" w:cs="Arial"/>
        </w:rPr>
        <w:t xml:space="preserve">resources </w:t>
      </w:r>
      <w:r w:rsidR="00D661D4" w:rsidRPr="00AD0A4E">
        <w:rPr>
          <w:rFonts w:ascii="Arial" w:hAnsi="Arial" w:cs="Arial"/>
        </w:rPr>
        <w:t xml:space="preserve">unnecessarily </w:t>
      </w:r>
      <w:r w:rsidR="00B4775E" w:rsidRPr="00AD0A4E">
        <w:rPr>
          <w:rFonts w:ascii="Arial" w:hAnsi="Arial" w:cs="Arial"/>
        </w:rPr>
        <w:t xml:space="preserve">so as to address NT’s spurious argument.    </w:t>
      </w:r>
    </w:p>
    <w:p w14:paraId="5E17AC2F" w14:textId="6121E9B3" w:rsidR="004F193E" w:rsidRPr="00AD0A4E" w:rsidRDefault="004F193E" w:rsidP="004F193E">
      <w:pPr>
        <w:pStyle w:val="Style1"/>
        <w:numPr>
          <w:ilvl w:val="0"/>
          <w:numId w:val="11"/>
        </w:numPr>
        <w:spacing w:before="140"/>
        <w:rPr>
          <w:rFonts w:ascii="Arial" w:hAnsi="Arial" w:cs="Arial"/>
        </w:rPr>
      </w:pPr>
      <w:r w:rsidRPr="00AD0A4E">
        <w:rPr>
          <w:rFonts w:ascii="Arial" w:hAnsi="Arial" w:cs="Arial"/>
        </w:rPr>
        <w:t>In his statement of case NT criticised the Order</w:t>
      </w:r>
      <w:r w:rsidR="006E5F62" w:rsidRPr="00AD0A4E">
        <w:rPr>
          <w:rFonts w:ascii="Arial" w:hAnsi="Arial" w:cs="Arial"/>
        </w:rPr>
        <w:t xml:space="preserve">, arguing </w:t>
      </w:r>
      <w:r w:rsidR="00912C74" w:rsidRPr="00AD0A4E">
        <w:rPr>
          <w:rFonts w:ascii="Arial" w:hAnsi="Arial" w:cs="Arial"/>
        </w:rPr>
        <w:t xml:space="preserve">that it was not capable of confirmation as a diversion since the whole of the proposed new route is already used by the public as of right (although not recorded on the definitive map). </w:t>
      </w:r>
      <w:proofErr w:type="gramStart"/>
      <w:r w:rsidR="006E5F62" w:rsidRPr="00AD0A4E">
        <w:rPr>
          <w:rFonts w:ascii="Arial" w:hAnsi="Arial" w:cs="Arial"/>
        </w:rPr>
        <w:t>On the basis of</w:t>
      </w:r>
      <w:proofErr w:type="gramEnd"/>
      <w:r w:rsidR="006E5F62" w:rsidRPr="00AD0A4E">
        <w:rPr>
          <w:rFonts w:ascii="Arial" w:hAnsi="Arial" w:cs="Arial"/>
        </w:rPr>
        <w:t xml:space="preserve"> the judgement </w:t>
      </w:r>
      <w:r w:rsidR="006E5F62" w:rsidRPr="00AD0A4E">
        <w:rPr>
          <w:rFonts w:ascii="Arial" w:hAnsi="Arial" w:cs="Arial"/>
          <w:szCs w:val="22"/>
        </w:rPr>
        <w:t xml:space="preserve">in the case of </w:t>
      </w:r>
      <w:r w:rsidR="006E5F62" w:rsidRPr="00AD0A4E">
        <w:rPr>
          <w:rFonts w:ascii="Arial" w:hAnsi="Arial" w:cs="Arial"/>
          <w:i/>
          <w:iCs/>
        </w:rPr>
        <w:t xml:space="preserve">R v Lake District Special Planning Board, ex </w:t>
      </w:r>
      <w:proofErr w:type="spellStart"/>
      <w:r w:rsidR="006E5F62" w:rsidRPr="00AD0A4E">
        <w:rPr>
          <w:rFonts w:ascii="Arial" w:hAnsi="Arial" w:cs="Arial"/>
          <w:i/>
          <w:iCs/>
        </w:rPr>
        <w:t>parte</w:t>
      </w:r>
      <w:proofErr w:type="spellEnd"/>
      <w:r w:rsidR="006E5F62" w:rsidRPr="00AD0A4E">
        <w:rPr>
          <w:rFonts w:ascii="Arial" w:hAnsi="Arial" w:cs="Arial"/>
          <w:i/>
          <w:iCs/>
        </w:rPr>
        <w:t xml:space="preserve"> Bernstein</w:t>
      </w:r>
      <w:r w:rsidR="006E5F62" w:rsidRPr="00AD0A4E">
        <w:rPr>
          <w:rFonts w:ascii="Arial" w:hAnsi="Arial" w:cs="Arial"/>
        </w:rPr>
        <w:t>, The Times, February 3 [1982]</w:t>
      </w:r>
      <w:r w:rsidR="006E5F62" w:rsidRPr="00AD0A4E">
        <w:rPr>
          <w:rFonts w:ascii="Arial" w:hAnsi="Arial" w:cs="Arial"/>
          <w:szCs w:val="22"/>
        </w:rPr>
        <w:t xml:space="preserve"> (</w:t>
      </w:r>
      <w:r w:rsidR="006E5F62" w:rsidRPr="00AD0A4E">
        <w:rPr>
          <w:rFonts w:ascii="Arial" w:hAnsi="Arial" w:cs="Arial"/>
          <w:i/>
          <w:iCs/>
          <w:szCs w:val="22"/>
        </w:rPr>
        <w:t>Bernstein</w:t>
      </w:r>
      <w:r w:rsidR="006E5F62" w:rsidRPr="00AD0A4E">
        <w:rPr>
          <w:rFonts w:ascii="Arial" w:hAnsi="Arial" w:cs="Arial"/>
          <w:szCs w:val="22"/>
        </w:rPr>
        <w:t xml:space="preserve">), he </w:t>
      </w:r>
      <w:r w:rsidR="00AA07C3" w:rsidRPr="00AD0A4E">
        <w:rPr>
          <w:rFonts w:ascii="Arial" w:hAnsi="Arial" w:cs="Arial"/>
          <w:szCs w:val="22"/>
        </w:rPr>
        <w:t xml:space="preserve">had </w:t>
      </w:r>
      <w:r w:rsidR="006E5F62" w:rsidRPr="00AD0A4E">
        <w:rPr>
          <w:rFonts w:ascii="Arial" w:hAnsi="Arial" w:cs="Arial"/>
          <w:szCs w:val="22"/>
        </w:rPr>
        <w:t xml:space="preserve">submitted that a public path cannot be diverted </w:t>
      </w:r>
      <w:r w:rsidR="00BE37B5" w:rsidRPr="00AD0A4E">
        <w:rPr>
          <w:rFonts w:ascii="Arial" w:hAnsi="Arial" w:cs="Arial"/>
          <w:szCs w:val="22"/>
        </w:rPr>
        <w:t xml:space="preserve">wholly </w:t>
      </w:r>
      <w:r w:rsidR="006E5F62" w:rsidRPr="00AD0A4E">
        <w:rPr>
          <w:rFonts w:ascii="Arial" w:hAnsi="Arial" w:cs="Arial"/>
          <w:szCs w:val="22"/>
        </w:rPr>
        <w:t xml:space="preserve">onto another existing right of way and that any such a proposal would effectively constitute an extinguishment.  </w:t>
      </w:r>
    </w:p>
    <w:p w14:paraId="68A9E2D8" w14:textId="3CCE4354" w:rsidR="004F193E" w:rsidRPr="00AD0A4E" w:rsidRDefault="006E5F62" w:rsidP="00526FD1">
      <w:pPr>
        <w:pStyle w:val="Style1"/>
        <w:numPr>
          <w:ilvl w:val="0"/>
          <w:numId w:val="11"/>
        </w:numPr>
        <w:spacing w:before="140"/>
        <w:rPr>
          <w:rFonts w:ascii="Arial" w:hAnsi="Arial" w:cs="Arial"/>
        </w:rPr>
      </w:pPr>
      <w:r w:rsidRPr="00AD0A4E">
        <w:rPr>
          <w:rFonts w:ascii="Arial" w:hAnsi="Arial" w:cs="Arial"/>
        </w:rPr>
        <w:t xml:space="preserve">On the first day of the inquiry NR made clear that it viewed the </w:t>
      </w:r>
      <w:r w:rsidRPr="00AD0A4E">
        <w:rPr>
          <w:rFonts w:ascii="Arial" w:hAnsi="Arial" w:cs="Arial"/>
          <w:i/>
          <w:iCs/>
        </w:rPr>
        <w:t>Bernstein</w:t>
      </w:r>
      <w:r w:rsidRPr="00AD0A4E">
        <w:rPr>
          <w:rFonts w:ascii="Arial" w:hAnsi="Arial" w:cs="Arial"/>
        </w:rPr>
        <w:t xml:space="preserve"> argument as m</w:t>
      </w:r>
      <w:r w:rsidR="004F193E" w:rsidRPr="00AD0A4E">
        <w:rPr>
          <w:rFonts w:ascii="Arial" w:hAnsi="Arial" w:cs="Arial"/>
        </w:rPr>
        <w:t>isconceived</w:t>
      </w:r>
      <w:r w:rsidR="00B7416D" w:rsidRPr="00AD0A4E">
        <w:rPr>
          <w:rFonts w:ascii="Arial" w:hAnsi="Arial" w:cs="Arial"/>
        </w:rPr>
        <w:t xml:space="preserve"> and warned </w:t>
      </w:r>
      <w:r w:rsidR="00E32620" w:rsidRPr="00AD0A4E">
        <w:rPr>
          <w:rFonts w:ascii="Arial" w:hAnsi="Arial" w:cs="Arial"/>
        </w:rPr>
        <w:t>Mr Thorne</w:t>
      </w:r>
      <w:r w:rsidR="00B7416D" w:rsidRPr="00AD0A4E">
        <w:rPr>
          <w:rFonts w:ascii="Arial" w:hAnsi="Arial" w:cs="Arial"/>
        </w:rPr>
        <w:t xml:space="preserve"> that consequential matters might </w:t>
      </w:r>
      <w:r w:rsidR="008240EE" w:rsidRPr="00AD0A4E">
        <w:rPr>
          <w:rFonts w:ascii="Arial" w:hAnsi="Arial" w:cs="Arial"/>
        </w:rPr>
        <w:t>follow</w:t>
      </w:r>
      <w:r w:rsidR="00B7416D" w:rsidRPr="00AD0A4E">
        <w:rPr>
          <w:rFonts w:ascii="Arial" w:hAnsi="Arial" w:cs="Arial"/>
        </w:rPr>
        <w:t xml:space="preserve"> if the proposition was maintained.</w:t>
      </w:r>
      <w:r w:rsidRPr="00AD0A4E">
        <w:rPr>
          <w:rFonts w:ascii="Arial" w:hAnsi="Arial" w:cs="Arial"/>
        </w:rPr>
        <w:t xml:space="preserve"> </w:t>
      </w:r>
    </w:p>
    <w:p w14:paraId="10B57B6D" w14:textId="38CDE9CC" w:rsidR="006E5F62" w:rsidRPr="00AD0A4E" w:rsidRDefault="00B7416D" w:rsidP="00526FD1">
      <w:pPr>
        <w:pStyle w:val="Style1"/>
        <w:numPr>
          <w:ilvl w:val="0"/>
          <w:numId w:val="11"/>
        </w:numPr>
        <w:spacing w:before="140"/>
        <w:rPr>
          <w:rFonts w:ascii="Arial" w:hAnsi="Arial" w:cs="Arial"/>
        </w:rPr>
      </w:pPr>
      <w:r w:rsidRPr="00AD0A4E">
        <w:rPr>
          <w:rFonts w:ascii="Arial" w:hAnsi="Arial" w:cs="Arial"/>
        </w:rPr>
        <w:t xml:space="preserve">The Inspector made clear that (a) she did not have the capacity to make decisive findings as to the existence of a public right of way over any part of the diversionary route, and (b) </w:t>
      </w:r>
      <w:r w:rsidR="00E32620" w:rsidRPr="00AD0A4E">
        <w:rPr>
          <w:rFonts w:ascii="Arial" w:hAnsi="Arial" w:cs="Arial"/>
        </w:rPr>
        <w:t>Mr Thorne</w:t>
      </w:r>
      <w:r w:rsidRPr="00AD0A4E">
        <w:rPr>
          <w:rFonts w:ascii="Arial" w:hAnsi="Arial" w:cs="Arial"/>
        </w:rPr>
        <w:t xml:space="preserve"> could use the inquiry window to review his position and communicate this to the inquiry.</w:t>
      </w:r>
    </w:p>
    <w:p w14:paraId="04DFCABE" w14:textId="3581B19F" w:rsidR="00B7416D" w:rsidRPr="00AD0A4E" w:rsidRDefault="0043537B" w:rsidP="004F193E">
      <w:pPr>
        <w:pStyle w:val="Style1"/>
        <w:numPr>
          <w:ilvl w:val="0"/>
          <w:numId w:val="11"/>
        </w:numPr>
        <w:spacing w:before="140"/>
        <w:rPr>
          <w:rFonts w:ascii="Arial" w:hAnsi="Arial" w:cs="Arial"/>
        </w:rPr>
      </w:pPr>
      <w:r w:rsidRPr="00AD0A4E">
        <w:rPr>
          <w:rFonts w:ascii="Arial" w:hAnsi="Arial" w:cs="Arial"/>
        </w:rPr>
        <w:t xml:space="preserve">NT declined to re-consider his position on this matter and therefore it remained live </w:t>
      </w:r>
      <w:r w:rsidR="002A0083" w:rsidRPr="00AD0A4E">
        <w:rPr>
          <w:rFonts w:ascii="Arial" w:hAnsi="Arial" w:cs="Arial"/>
        </w:rPr>
        <w:t xml:space="preserve">throughout the inquiry </w:t>
      </w:r>
      <w:r w:rsidRPr="00AD0A4E">
        <w:rPr>
          <w:rFonts w:ascii="Arial" w:hAnsi="Arial" w:cs="Arial"/>
        </w:rPr>
        <w:t xml:space="preserve">and needed to be </w:t>
      </w:r>
      <w:r w:rsidR="00AA07C3" w:rsidRPr="00AD0A4E">
        <w:rPr>
          <w:rFonts w:ascii="Arial" w:hAnsi="Arial" w:cs="Arial"/>
        </w:rPr>
        <w:t>addressed</w:t>
      </w:r>
      <w:r w:rsidRPr="00AD0A4E">
        <w:rPr>
          <w:rFonts w:ascii="Arial" w:hAnsi="Arial" w:cs="Arial"/>
        </w:rPr>
        <w:t xml:space="preserve"> by NR</w:t>
      </w:r>
      <w:r w:rsidR="00E32620" w:rsidRPr="00AD0A4E">
        <w:rPr>
          <w:rFonts w:ascii="Arial" w:hAnsi="Arial" w:cs="Arial"/>
        </w:rPr>
        <w:t>, but</w:t>
      </w:r>
      <w:r w:rsidRPr="00AD0A4E">
        <w:rPr>
          <w:rFonts w:ascii="Arial" w:hAnsi="Arial" w:cs="Arial"/>
        </w:rPr>
        <w:t xml:space="preserve"> as a would-be prejudiced party</w:t>
      </w:r>
      <w:r w:rsidR="00E32620" w:rsidRPr="00AD0A4E">
        <w:rPr>
          <w:rFonts w:ascii="Arial" w:hAnsi="Arial" w:cs="Arial"/>
        </w:rPr>
        <w:t>.</w:t>
      </w:r>
    </w:p>
    <w:p w14:paraId="3AFF83E9" w14:textId="5C0A7D8D" w:rsidR="00972FCE" w:rsidRPr="00AD0A4E" w:rsidRDefault="00972FCE" w:rsidP="00972FCE">
      <w:pPr>
        <w:pStyle w:val="Style1"/>
        <w:numPr>
          <w:ilvl w:val="0"/>
          <w:numId w:val="11"/>
        </w:numPr>
        <w:spacing w:before="140"/>
        <w:rPr>
          <w:rFonts w:ascii="Arial" w:hAnsi="Arial" w:cs="Arial"/>
        </w:rPr>
      </w:pPr>
      <w:r w:rsidRPr="00AD0A4E">
        <w:rPr>
          <w:rFonts w:ascii="Arial" w:hAnsi="Arial" w:cs="Arial"/>
        </w:rPr>
        <w:lastRenderedPageBreak/>
        <w:t xml:space="preserve">Government Guidance offers examples of the type of behaviour that may give rise to an award of costs in </w:t>
      </w:r>
      <w:r w:rsidR="00934466" w:rsidRPr="00AD0A4E">
        <w:rPr>
          <w:rFonts w:ascii="Arial" w:hAnsi="Arial" w:cs="Arial"/>
        </w:rPr>
        <w:t xml:space="preserve">the </w:t>
      </w:r>
      <w:r w:rsidRPr="00AD0A4E">
        <w:rPr>
          <w:rFonts w:ascii="Arial" w:hAnsi="Arial" w:cs="Arial"/>
        </w:rPr>
        <w:t>P</w:t>
      </w:r>
      <w:r w:rsidR="00934466" w:rsidRPr="00AD0A4E">
        <w:rPr>
          <w:rFonts w:ascii="Arial" w:hAnsi="Arial" w:cs="Arial"/>
        </w:rPr>
        <w:t xml:space="preserve">lanning Practice Guidance </w:t>
      </w:r>
      <w:r w:rsidR="00E748F5" w:rsidRPr="00AD0A4E">
        <w:rPr>
          <w:rFonts w:ascii="Arial" w:hAnsi="Arial" w:cs="Arial"/>
        </w:rPr>
        <w:t xml:space="preserve">(PPG) </w:t>
      </w:r>
      <w:r w:rsidR="00934466" w:rsidRPr="00AD0A4E">
        <w:rPr>
          <w:rFonts w:ascii="Arial" w:hAnsi="Arial" w:cs="Arial"/>
        </w:rPr>
        <w:t>Section 16</w:t>
      </w:r>
      <w:r w:rsidRPr="00AD0A4E">
        <w:rPr>
          <w:rFonts w:ascii="Arial" w:hAnsi="Arial" w:cs="Arial"/>
        </w:rPr>
        <w:t>. These may be procedural or substantive. By analogy, examples (in paragraph 52) that are applicable here include:</w:t>
      </w:r>
    </w:p>
    <w:p w14:paraId="777455A3" w14:textId="4CCC4023" w:rsidR="00972FCE" w:rsidRPr="00AD0A4E" w:rsidRDefault="00972FCE" w:rsidP="00972FCE">
      <w:pPr>
        <w:pStyle w:val="ListParagraph"/>
        <w:numPr>
          <w:ilvl w:val="0"/>
          <w:numId w:val="15"/>
        </w:numPr>
        <w:shd w:val="clear" w:color="auto" w:fill="FFFFFF"/>
        <w:spacing w:before="120" w:after="120"/>
        <w:rPr>
          <w:rFonts w:ascii="Arial" w:hAnsi="Arial" w:cs="Arial"/>
          <w:i/>
          <w:iCs/>
          <w:color w:val="333333"/>
          <w:szCs w:val="22"/>
        </w:rPr>
      </w:pPr>
      <w:r w:rsidRPr="00AD0A4E">
        <w:rPr>
          <w:rFonts w:ascii="Arial" w:hAnsi="Arial" w:cs="Arial"/>
          <w:i/>
          <w:iCs/>
          <w:color w:val="333333"/>
          <w:szCs w:val="22"/>
        </w:rPr>
        <w:t>Resistance to, or lack of co-operation with</w:t>
      </w:r>
      <w:r w:rsidR="00BE37B5" w:rsidRPr="00AD0A4E">
        <w:rPr>
          <w:rFonts w:ascii="Arial" w:hAnsi="Arial" w:cs="Arial"/>
          <w:i/>
          <w:iCs/>
          <w:color w:val="333333"/>
          <w:szCs w:val="22"/>
        </w:rPr>
        <w:t>,</w:t>
      </w:r>
      <w:r w:rsidRPr="00AD0A4E">
        <w:rPr>
          <w:rFonts w:ascii="Arial" w:hAnsi="Arial" w:cs="Arial"/>
          <w:i/>
          <w:iCs/>
          <w:color w:val="333333"/>
          <w:szCs w:val="22"/>
        </w:rPr>
        <w:t xml:space="preserve"> the other party or parties in providing information, discussing the application or appeal, or in responding to a planning contravention notice</w:t>
      </w:r>
    </w:p>
    <w:p w14:paraId="45063FCE" w14:textId="77777777" w:rsidR="00972FCE" w:rsidRPr="00AD0A4E" w:rsidRDefault="00972FCE" w:rsidP="00972FCE">
      <w:pPr>
        <w:numPr>
          <w:ilvl w:val="0"/>
          <w:numId w:val="15"/>
        </w:numPr>
        <w:shd w:val="clear" w:color="auto" w:fill="FFFFFF"/>
        <w:spacing w:before="120" w:after="120"/>
        <w:rPr>
          <w:rFonts w:ascii="Arial" w:hAnsi="Arial" w:cs="Arial"/>
          <w:i/>
          <w:iCs/>
          <w:color w:val="333333"/>
          <w:szCs w:val="22"/>
        </w:rPr>
      </w:pPr>
      <w:r w:rsidRPr="00AD0A4E">
        <w:rPr>
          <w:rFonts w:ascii="Arial" w:hAnsi="Arial" w:cs="Arial"/>
          <w:i/>
          <w:iCs/>
          <w:color w:val="333333"/>
          <w:szCs w:val="22"/>
        </w:rPr>
        <w:t>prolonging the proceedings by introducing a new ground of appeal or issue</w:t>
      </w:r>
    </w:p>
    <w:p w14:paraId="1BCAA9C4" w14:textId="77777777" w:rsidR="00972FCE" w:rsidRPr="00AD0A4E" w:rsidRDefault="00972FCE" w:rsidP="00972FCE">
      <w:pPr>
        <w:numPr>
          <w:ilvl w:val="0"/>
          <w:numId w:val="15"/>
        </w:numPr>
        <w:shd w:val="clear" w:color="auto" w:fill="FFFFFF"/>
        <w:spacing w:before="120" w:after="120"/>
        <w:rPr>
          <w:rFonts w:ascii="Arial" w:hAnsi="Arial" w:cs="Arial"/>
          <w:i/>
          <w:iCs/>
          <w:color w:val="333333"/>
          <w:szCs w:val="22"/>
        </w:rPr>
      </w:pPr>
      <w:r w:rsidRPr="00AD0A4E">
        <w:rPr>
          <w:rFonts w:ascii="Arial" w:hAnsi="Arial" w:cs="Arial"/>
          <w:i/>
          <w:iCs/>
          <w:color w:val="333333"/>
          <w:szCs w:val="22"/>
        </w:rPr>
        <w:t>providing information that is shown to be manifestly inaccurate or untrue</w:t>
      </w:r>
    </w:p>
    <w:p w14:paraId="48DF7535" w14:textId="77777777" w:rsidR="00972FCE" w:rsidRPr="00AD0A4E" w:rsidRDefault="00972FCE" w:rsidP="00972FCE">
      <w:pPr>
        <w:numPr>
          <w:ilvl w:val="0"/>
          <w:numId w:val="15"/>
        </w:numPr>
        <w:shd w:val="clear" w:color="auto" w:fill="FFFFFF"/>
        <w:spacing w:before="120" w:after="120"/>
        <w:rPr>
          <w:rFonts w:ascii="Arial" w:hAnsi="Arial" w:cs="Arial"/>
          <w:i/>
          <w:iCs/>
          <w:color w:val="333333"/>
          <w:szCs w:val="22"/>
        </w:rPr>
      </w:pPr>
      <w:r w:rsidRPr="00AD0A4E">
        <w:rPr>
          <w:rFonts w:ascii="Arial" w:hAnsi="Arial" w:cs="Arial"/>
          <w:i/>
          <w:iCs/>
          <w:color w:val="333333"/>
          <w:szCs w:val="22"/>
        </w:rPr>
        <w:t xml:space="preserve">withdrawal of an appeal without good reason. </w:t>
      </w:r>
    </w:p>
    <w:p w14:paraId="3FA04427" w14:textId="53DE3101" w:rsidR="00972FCE" w:rsidRPr="00AD0A4E" w:rsidRDefault="00972FCE" w:rsidP="00972FCE">
      <w:pPr>
        <w:pStyle w:val="Style1"/>
        <w:numPr>
          <w:ilvl w:val="0"/>
          <w:numId w:val="11"/>
        </w:numPr>
        <w:spacing w:before="140"/>
        <w:rPr>
          <w:rFonts w:ascii="Arial" w:hAnsi="Arial" w:cs="Arial"/>
        </w:rPr>
      </w:pPr>
      <w:r w:rsidRPr="00AD0A4E">
        <w:rPr>
          <w:rFonts w:ascii="Arial" w:hAnsi="Arial" w:cs="Arial"/>
        </w:rPr>
        <w:t>Further, paragraph 54 confirms that an award of costs may be made “</w:t>
      </w:r>
      <w:r w:rsidRPr="00AD0A4E">
        <w:rPr>
          <w:rFonts w:ascii="Arial" w:hAnsi="Arial" w:cs="Arial"/>
          <w:i/>
          <w:iCs/>
          <w:color w:val="333333"/>
          <w:szCs w:val="22"/>
        </w:rPr>
        <w:t>if the appeal is withdrawn without good reason. Appellants are encouraged to withdraw their appeal at the earliest opportunity if there is good reason to do so, for example, as soon as they become aware that it stands little prospect of success</w:t>
      </w:r>
      <w:r w:rsidRPr="00AD0A4E">
        <w:rPr>
          <w:rFonts w:ascii="Arial" w:hAnsi="Arial" w:cs="Arial"/>
          <w:color w:val="333333"/>
          <w:szCs w:val="22"/>
        </w:rPr>
        <w:t>.”</w:t>
      </w:r>
    </w:p>
    <w:p w14:paraId="0E0AE39C" w14:textId="791951BE" w:rsidR="00972FCE" w:rsidRPr="00AD0A4E" w:rsidRDefault="00972FCE" w:rsidP="00972FCE">
      <w:pPr>
        <w:pStyle w:val="Style1"/>
        <w:numPr>
          <w:ilvl w:val="0"/>
          <w:numId w:val="11"/>
        </w:numPr>
        <w:spacing w:before="140"/>
        <w:rPr>
          <w:rFonts w:ascii="Arial" w:hAnsi="Arial" w:cs="Arial"/>
        </w:rPr>
      </w:pPr>
      <w:r w:rsidRPr="00AD0A4E">
        <w:rPr>
          <w:rFonts w:ascii="Arial" w:hAnsi="Arial" w:cs="Arial"/>
          <w:color w:val="333333"/>
          <w:szCs w:val="22"/>
        </w:rPr>
        <w:t>Other examples appear in Defra Circular 1/09v2</w:t>
      </w:r>
      <w:r w:rsidR="00930214" w:rsidRPr="00AD0A4E">
        <w:rPr>
          <w:rFonts w:ascii="Arial" w:hAnsi="Arial" w:cs="Arial"/>
          <w:color w:val="333333"/>
          <w:szCs w:val="22"/>
        </w:rPr>
        <w:t xml:space="preserve">: </w:t>
      </w:r>
    </w:p>
    <w:p w14:paraId="7074EF90" w14:textId="77777777" w:rsidR="00930214" w:rsidRPr="00AD0A4E" w:rsidRDefault="00930214" w:rsidP="00930214">
      <w:pPr>
        <w:pStyle w:val="Style1"/>
        <w:numPr>
          <w:ilvl w:val="0"/>
          <w:numId w:val="19"/>
        </w:numPr>
        <w:spacing w:before="140"/>
        <w:rPr>
          <w:rFonts w:ascii="Arial" w:hAnsi="Arial" w:cs="Arial"/>
          <w:i/>
          <w:iCs/>
        </w:rPr>
      </w:pPr>
      <w:r w:rsidRPr="00AD0A4E">
        <w:rPr>
          <w:rFonts w:ascii="Arial" w:hAnsi="Arial" w:cs="Arial"/>
          <w:i/>
          <w:iCs/>
        </w:rPr>
        <w:t>Withdrawing an objection at the ’last minute’, resulting in late cancellation of an inquiry or hearing arranged after the objector(s) asked to be heard.</w:t>
      </w:r>
    </w:p>
    <w:p w14:paraId="5B61E4F3" w14:textId="2425D27D" w:rsidR="00930214" w:rsidRPr="00AD0A4E" w:rsidRDefault="00930214" w:rsidP="00930214">
      <w:pPr>
        <w:pStyle w:val="Style1"/>
        <w:numPr>
          <w:ilvl w:val="0"/>
          <w:numId w:val="19"/>
        </w:numPr>
        <w:spacing w:before="140"/>
        <w:rPr>
          <w:rFonts w:ascii="Arial" w:hAnsi="Arial" w:cs="Arial"/>
        </w:rPr>
      </w:pPr>
      <w:r w:rsidRPr="00AD0A4E">
        <w:rPr>
          <w:rFonts w:ascii="Arial" w:hAnsi="Arial" w:cs="Arial"/>
          <w:i/>
          <w:iCs/>
        </w:rPr>
        <w:t>Pursuing an objection that the Secretary of State has advised, in writing, is not legally relevant</w:t>
      </w:r>
      <w:r w:rsidRPr="00AD0A4E">
        <w:rPr>
          <w:rFonts w:ascii="Arial" w:hAnsi="Arial" w:cs="Arial"/>
        </w:rPr>
        <w:t>.</w:t>
      </w:r>
    </w:p>
    <w:p w14:paraId="2F9E4E40" w14:textId="15C61C51" w:rsidR="0043537B" w:rsidRPr="00AD0A4E" w:rsidRDefault="00E32620" w:rsidP="004F193E">
      <w:pPr>
        <w:pStyle w:val="Style1"/>
        <w:numPr>
          <w:ilvl w:val="0"/>
          <w:numId w:val="11"/>
        </w:numPr>
        <w:spacing w:before="140"/>
        <w:rPr>
          <w:rFonts w:ascii="Arial" w:hAnsi="Arial" w:cs="Arial"/>
        </w:rPr>
      </w:pPr>
      <w:r w:rsidRPr="00AD0A4E">
        <w:rPr>
          <w:rFonts w:ascii="Arial" w:hAnsi="Arial" w:cs="Arial"/>
        </w:rPr>
        <w:t xml:space="preserve">Mr Thorne did not in any way amend his statement of case or proof of evidence, or to signal in any way that he would be abandoning his </w:t>
      </w:r>
      <w:r w:rsidRPr="00AD0A4E">
        <w:rPr>
          <w:rFonts w:ascii="Arial" w:hAnsi="Arial" w:cs="Arial"/>
          <w:i/>
          <w:iCs/>
        </w:rPr>
        <w:t>Bernstein</w:t>
      </w:r>
      <w:r w:rsidRPr="00AD0A4E">
        <w:rPr>
          <w:rFonts w:ascii="Arial" w:hAnsi="Arial" w:cs="Arial"/>
        </w:rPr>
        <w:t xml:space="preserve"> argument, despite </w:t>
      </w:r>
      <w:r w:rsidR="00986B23" w:rsidRPr="00AD0A4E">
        <w:rPr>
          <w:rFonts w:ascii="Arial" w:hAnsi="Arial" w:cs="Arial"/>
        </w:rPr>
        <w:t xml:space="preserve">the continued, </w:t>
      </w:r>
      <w:proofErr w:type="gramStart"/>
      <w:r w:rsidR="00986B23" w:rsidRPr="00AD0A4E">
        <w:rPr>
          <w:rFonts w:ascii="Arial" w:hAnsi="Arial" w:cs="Arial"/>
        </w:rPr>
        <w:t>repeated</w:t>
      </w:r>
      <w:proofErr w:type="gramEnd"/>
      <w:r w:rsidR="00986B23" w:rsidRPr="00AD0A4E">
        <w:rPr>
          <w:rFonts w:ascii="Arial" w:hAnsi="Arial" w:cs="Arial"/>
        </w:rPr>
        <w:t xml:space="preserve"> and courteous invitations </w:t>
      </w:r>
      <w:r w:rsidR="00EC6CB0" w:rsidRPr="00AD0A4E">
        <w:rPr>
          <w:rFonts w:ascii="Arial" w:hAnsi="Arial" w:cs="Arial"/>
        </w:rPr>
        <w:t xml:space="preserve">to do </w:t>
      </w:r>
      <w:r w:rsidRPr="00AD0A4E">
        <w:rPr>
          <w:rFonts w:ascii="Arial" w:hAnsi="Arial" w:cs="Arial"/>
        </w:rPr>
        <w:t xml:space="preserve">so by NR during the first week, during the adjournment </w:t>
      </w:r>
      <w:r w:rsidR="00EC6CB0" w:rsidRPr="00AD0A4E">
        <w:rPr>
          <w:rFonts w:ascii="Arial" w:hAnsi="Arial" w:cs="Arial"/>
        </w:rPr>
        <w:t xml:space="preserve">and </w:t>
      </w:r>
      <w:r w:rsidRPr="00AD0A4E">
        <w:rPr>
          <w:rFonts w:ascii="Arial" w:hAnsi="Arial" w:cs="Arial"/>
        </w:rPr>
        <w:t xml:space="preserve">once the inquiry resumed. </w:t>
      </w:r>
    </w:p>
    <w:p w14:paraId="764C56B4" w14:textId="6451EBF0" w:rsidR="00E32620" w:rsidRPr="00AD0A4E" w:rsidRDefault="00415B53" w:rsidP="004F193E">
      <w:pPr>
        <w:pStyle w:val="Style1"/>
        <w:numPr>
          <w:ilvl w:val="0"/>
          <w:numId w:val="11"/>
        </w:numPr>
        <w:spacing w:before="140"/>
        <w:rPr>
          <w:rFonts w:ascii="Arial" w:hAnsi="Arial" w:cs="Arial"/>
        </w:rPr>
      </w:pPr>
      <w:r w:rsidRPr="00AD0A4E">
        <w:rPr>
          <w:rFonts w:ascii="Arial" w:hAnsi="Arial" w:cs="Arial"/>
        </w:rPr>
        <w:t xml:space="preserve">Unreasonable behaviour in the case </w:t>
      </w:r>
      <w:r w:rsidR="008240EE" w:rsidRPr="00AD0A4E">
        <w:rPr>
          <w:rFonts w:ascii="Arial" w:hAnsi="Arial" w:cs="Arial"/>
        </w:rPr>
        <w:t>relates to</w:t>
      </w:r>
      <w:r w:rsidR="002A0083" w:rsidRPr="00AD0A4E">
        <w:rPr>
          <w:rFonts w:ascii="Arial" w:hAnsi="Arial" w:cs="Arial"/>
        </w:rPr>
        <w:t>:</w:t>
      </w:r>
    </w:p>
    <w:p w14:paraId="1C27C17E" w14:textId="7BEA554B" w:rsidR="002A0083" w:rsidRPr="00AD0A4E" w:rsidRDefault="008240EE" w:rsidP="008240EE">
      <w:pPr>
        <w:pStyle w:val="Style1"/>
        <w:numPr>
          <w:ilvl w:val="0"/>
          <w:numId w:val="13"/>
        </w:numPr>
        <w:spacing w:before="140"/>
        <w:rPr>
          <w:rFonts w:ascii="Arial" w:hAnsi="Arial" w:cs="Arial"/>
        </w:rPr>
      </w:pPr>
      <w:r w:rsidRPr="00AD0A4E">
        <w:rPr>
          <w:rFonts w:ascii="Arial" w:hAnsi="Arial" w:cs="Arial"/>
        </w:rPr>
        <w:t>Mr Thorne r</w:t>
      </w:r>
      <w:r w:rsidR="002A0083" w:rsidRPr="00AD0A4E">
        <w:rPr>
          <w:rFonts w:ascii="Arial" w:hAnsi="Arial" w:cs="Arial"/>
        </w:rPr>
        <w:t xml:space="preserve">aising </w:t>
      </w:r>
      <w:r w:rsidRPr="00AD0A4E">
        <w:rPr>
          <w:rFonts w:ascii="Arial" w:hAnsi="Arial" w:cs="Arial"/>
        </w:rPr>
        <w:t>this thoroughly misconceived (legal) argument, both substantively (</w:t>
      </w:r>
      <w:r w:rsidR="00AA07C3" w:rsidRPr="00AD0A4E">
        <w:rPr>
          <w:rFonts w:ascii="Arial" w:hAnsi="Arial" w:cs="Arial"/>
        </w:rPr>
        <w:t xml:space="preserve">as </w:t>
      </w:r>
      <w:r w:rsidRPr="00AD0A4E">
        <w:rPr>
          <w:rFonts w:ascii="Arial" w:hAnsi="Arial" w:cs="Arial"/>
        </w:rPr>
        <w:t>neither all nor part of the diversionary route is rationally capable of being argued to amount to a public right of way), and procedurally (</w:t>
      </w:r>
      <w:r w:rsidR="00AA07C3" w:rsidRPr="00AD0A4E">
        <w:rPr>
          <w:rFonts w:ascii="Arial" w:hAnsi="Arial" w:cs="Arial"/>
        </w:rPr>
        <w:t xml:space="preserve">as, </w:t>
      </w:r>
      <w:r w:rsidRPr="00AD0A4E">
        <w:rPr>
          <w:rFonts w:ascii="Arial" w:hAnsi="Arial" w:cs="Arial"/>
        </w:rPr>
        <w:t xml:space="preserve">in any event, the Inspector and NR were correct to proceed on the basis that the Inspector has no locus to make a finding on the status of the alternative route as a platform for the </w:t>
      </w:r>
      <w:r w:rsidRPr="00AD0A4E">
        <w:rPr>
          <w:rFonts w:ascii="Arial" w:hAnsi="Arial" w:cs="Arial"/>
          <w:i/>
          <w:iCs/>
        </w:rPr>
        <w:t>Bernstein</w:t>
      </w:r>
      <w:r w:rsidRPr="00AD0A4E">
        <w:rPr>
          <w:rFonts w:ascii="Arial" w:hAnsi="Arial" w:cs="Arial"/>
        </w:rPr>
        <w:t xml:space="preserve"> proposition</w:t>
      </w:r>
      <w:r w:rsidR="00AA07C3" w:rsidRPr="00AD0A4E">
        <w:rPr>
          <w:rFonts w:ascii="Arial" w:hAnsi="Arial" w:cs="Arial"/>
        </w:rPr>
        <w:t>)</w:t>
      </w:r>
      <w:r w:rsidRPr="00AD0A4E">
        <w:rPr>
          <w:rFonts w:ascii="Arial" w:hAnsi="Arial" w:cs="Arial"/>
        </w:rPr>
        <w:t>.</w:t>
      </w:r>
    </w:p>
    <w:p w14:paraId="38E3B52D" w14:textId="11000C49" w:rsidR="008240EE" w:rsidRPr="00AD0A4E" w:rsidRDefault="008240EE" w:rsidP="008240EE">
      <w:pPr>
        <w:pStyle w:val="Style1"/>
        <w:numPr>
          <w:ilvl w:val="0"/>
          <w:numId w:val="13"/>
        </w:numPr>
        <w:spacing w:before="140"/>
        <w:rPr>
          <w:rFonts w:ascii="Arial" w:hAnsi="Arial" w:cs="Arial"/>
        </w:rPr>
      </w:pPr>
      <w:r w:rsidRPr="00AD0A4E">
        <w:rPr>
          <w:rFonts w:ascii="Arial" w:hAnsi="Arial" w:cs="Arial"/>
        </w:rPr>
        <w:t>Mr Thorne maintaining his legal argument and failing to make his position clear as regards his ‘</w:t>
      </w:r>
      <w:r w:rsidRPr="00AD0A4E">
        <w:rPr>
          <w:rFonts w:ascii="Arial" w:hAnsi="Arial" w:cs="Arial"/>
          <w:i/>
          <w:iCs/>
        </w:rPr>
        <w:t>Bernstein’</w:t>
      </w:r>
      <w:r w:rsidRPr="00AD0A4E">
        <w:rPr>
          <w:rFonts w:ascii="Arial" w:hAnsi="Arial" w:cs="Arial"/>
        </w:rPr>
        <w:t xml:space="preserve"> argument until 12 January 2022 (the 6</w:t>
      </w:r>
      <w:r w:rsidRPr="00AD0A4E">
        <w:rPr>
          <w:rFonts w:ascii="Arial" w:hAnsi="Arial" w:cs="Arial"/>
          <w:vertAlign w:val="superscript"/>
        </w:rPr>
        <w:t>th</w:t>
      </w:r>
      <w:r w:rsidRPr="00AD0A4E">
        <w:rPr>
          <w:rFonts w:ascii="Arial" w:hAnsi="Arial" w:cs="Arial"/>
        </w:rPr>
        <w:t xml:space="preserve"> day of the inquiry) when he wrote and disseminated a short statement.</w:t>
      </w:r>
    </w:p>
    <w:p w14:paraId="08096F88" w14:textId="2668457D" w:rsidR="002A0083" w:rsidRPr="00AD0A4E" w:rsidRDefault="00986B23" w:rsidP="004F193E">
      <w:pPr>
        <w:pStyle w:val="Style1"/>
        <w:numPr>
          <w:ilvl w:val="0"/>
          <w:numId w:val="11"/>
        </w:numPr>
        <w:spacing w:before="140"/>
        <w:rPr>
          <w:rFonts w:ascii="Arial" w:hAnsi="Arial" w:cs="Arial"/>
        </w:rPr>
      </w:pPr>
      <w:r w:rsidRPr="00AD0A4E">
        <w:rPr>
          <w:rFonts w:ascii="Arial" w:hAnsi="Arial" w:cs="Arial"/>
        </w:rPr>
        <w:t xml:space="preserve">Even after this </w:t>
      </w:r>
      <w:r w:rsidR="002F3FA6" w:rsidRPr="00AD0A4E">
        <w:rPr>
          <w:rFonts w:ascii="Arial" w:hAnsi="Arial" w:cs="Arial"/>
        </w:rPr>
        <w:t xml:space="preserve">additional </w:t>
      </w:r>
      <w:r w:rsidRPr="00AD0A4E">
        <w:rPr>
          <w:rFonts w:ascii="Arial" w:hAnsi="Arial" w:cs="Arial"/>
        </w:rPr>
        <w:t>statement was submitted, Mr Thorne did not withdraw the relevant paragraphs of his statement of case (1.17 and 1.18). This did not occur until his oral address to the Inspector towards the end of the proceedings</w:t>
      </w:r>
      <w:r w:rsidR="00EC6CB0" w:rsidRPr="00AD0A4E">
        <w:rPr>
          <w:rFonts w:ascii="Arial" w:hAnsi="Arial" w:cs="Arial"/>
        </w:rPr>
        <w:t xml:space="preserve"> and only when others were proactive in seeking his final position on Inquiry Day 6</w:t>
      </w:r>
      <w:r w:rsidRPr="00AD0A4E">
        <w:rPr>
          <w:rFonts w:ascii="Arial" w:hAnsi="Arial" w:cs="Arial"/>
        </w:rPr>
        <w:t xml:space="preserve">.  </w:t>
      </w:r>
    </w:p>
    <w:p w14:paraId="6DC1FD0E" w14:textId="1AB1667B" w:rsidR="00E32620" w:rsidRPr="00AD0A4E" w:rsidRDefault="00986B23" w:rsidP="004F193E">
      <w:pPr>
        <w:pStyle w:val="Style1"/>
        <w:numPr>
          <w:ilvl w:val="0"/>
          <w:numId w:val="11"/>
        </w:numPr>
        <w:spacing w:before="140"/>
        <w:rPr>
          <w:rFonts w:ascii="Arial" w:hAnsi="Arial" w:cs="Arial"/>
        </w:rPr>
      </w:pPr>
      <w:r w:rsidRPr="00AD0A4E">
        <w:rPr>
          <w:rFonts w:ascii="Arial" w:hAnsi="Arial" w:cs="Arial"/>
        </w:rPr>
        <w:t xml:space="preserve">Although Mr Thorne had </w:t>
      </w:r>
      <w:r w:rsidR="00E9286D" w:rsidRPr="00AD0A4E">
        <w:rPr>
          <w:rFonts w:ascii="Arial" w:hAnsi="Arial" w:cs="Arial"/>
        </w:rPr>
        <w:t>every</w:t>
      </w:r>
      <w:r w:rsidRPr="00AD0A4E">
        <w:rPr>
          <w:rFonts w:ascii="Arial" w:hAnsi="Arial" w:cs="Arial"/>
        </w:rPr>
        <w:t xml:space="preserve"> right to make a legal argument, he cannot then </w:t>
      </w:r>
      <w:r w:rsidR="00EC6CB0" w:rsidRPr="00AD0A4E">
        <w:rPr>
          <w:rFonts w:ascii="Arial" w:hAnsi="Arial" w:cs="Arial"/>
        </w:rPr>
        <w:t xml:space="preserve">claim to not appreciate the consequences and </w:t>
      </w:r>
      <w:r w:rsidRPr="00AD0A4E">
        <w:rPr>
          <w:rFonts w:ascii="Arial" w:hAnsi="Arial" w:cs="Arial"/>
        </w:rPr>
        <w:t>hide behind a shield by suggesting he ‘lacks legal expertise’ or legal assistance</w:t>
      </w:r>
      <w:r w:rsidR="00AA07C3" w:rsidRPr="00AD0A4E">
        <w:rPr>
          <w:rFonts w:ascii="Arial" w:hAnsi="Arial" w:cs="Arial"/>
        </w:rPr>
        <w:t>.  That is an incoherent and untenable position when h</w:t>
      </w:r>
      <w:r w:rsidRPr="00AD0A4E">
        <w:rPr>
          <w:rFonts w:ascii="Arial" w:hAnsi="Arial" w:cs="Arial"/>
        </w:rPr>
        <w:t>e is an officer of a public authority of outwardly much experience</w:t>
      </w:r>
      <w:r w:rsidR="00EC6CB0" w:rsidRPr="00AD0A4E">
        <w:rPr>
          <w:rFonts w:ascii="Arial" w:hAnsi="Arial" w:cs="Arial"/>
        </w:rPr>
        <w:t xml:space="preserve"> in the field of public rights of way</w:t>
      </w:r>
      <w:r w:rsidRPr="00AD0A4E">
        <w:rPr>
          <w:rFonts w:ascii="Arial" w:hAnsi="Arial" w:cs="Arial"/>
        </w:rPr>
        <w:t xml:space="preserve">. </w:t>
      </w:r>
      <w:r w:rsidR="005F5011" w:rsidRPr="00AD0A4E">
        <w:rPr>
          <w:rFonts w:ascii="Arial" w:hAnsi="Arial" w:cs="Arial"/>
        </w:rPr>
        <w:t>With the argument still in play, other parties we required to respond.</w:t>
      </w:r>
    </w:p>
    <w:p w14:paraId="36B89750" w14:textId="33215658" w:rsidR="00DC77CC" w:rsidRPr="00AD0A4E" w:rsidRDefault="00DC77CC" w:rsidP="00A17FE1">
      <w:pPr>
        <w:pStyle w:val="Style1"/>
        <w:numPr>
          <w:ilvl w:val="0"/>
          <w:numId w:val="11"/>
        </w:numPr>
        <w:spacing w:before="140"/>
        <w:rPr>
          <w:rFonts w:ascii="Arial" w:hAnsi="Arial" w:cs="Arial"/>
        </w:rPr>
      </w:pPr>
      <w:r w:rsidRPr="00AD0A4E">
        <w:rPr>
          <w:rFonts w:ascii="Arial" w:hAnsi="Arial" w:cs="Arial"/>
        </w:rPr>
        <w:t xml:space="preserve">In attending to NT’s </w:t>
      </w:r>
      <w:r w:rsidRPr="00AD0A4E">
        <w:rPr>
          <w:rFonts w:ascii="Arial" w:hAnsi="Arial" w:cs="Arial"/>
          <w:i/>
          <w:iCs/>
        </w:rPr>
        <w:t>Bernstein</w:t>
      </w:r>
      <w:r w:rsidRPr="00AD0A4E">
        <w:rPr>
          <w:rFonts w:ascii="Arial" w:hAnsi="Arial" w:cs="Arial"/>
        </w:rPr>
        <w:t xml:space="preserve"> proposition, </w:t>
      </w:r>
      <w:r w:rsidR="00B4775E" w:rsidRPr="00AD0A4E">
        <w:rPr>
          <w:rFonts w:ascii="Arial" w:hAnsi="Arial" w:cs="Arial"/>
        </w:rPr>
        <w:t xml:space="preserve">NR </w:t>
      </w:r>
      <w:r w:rsidRPr="00AD0A4E">
        <w:rPr>
          <w:rFonts w:ascii="Arial" w:hAnsi="Arial" w:cs="Arial"/>
        </w:rPr>
        <w:t xml:space="preserve">was required </w:t>
      </w:r>
      <w:r w:rsidR="00E9286D" w:rsidRPr="00AD0A4E">
        <w:rPr>
          <w:rFonts w:ascii="Arial" w:hAnsi="Arial" w:cs="Arial"/>
        </w:rPr>
        <w:t xml:space="preserve">to </w:t>
      </w:r>
      <w:r w:rsidRPr="00AD0A4E">
        <w:rPr>
          <w:rFonts w:ascii="Arial" w:hAnsi="Arial" w:cs="Arial"/>
        </w:rPr>
        <w:t xml:space="preserve">research evidence of ownership, </w:t>
      </w:r>
      <w:proofErr w:type="gramStart"/>
      <w:r w:rsidRPr="00AD0A4E">
        <w:rPr>
          <w:rFonts w:ascii="Arial" w:hAnsi="Arial" w:cs="Arial"/>
        </w:rPr>
        <w:t>mapping</w:t>
      </w:r>
      <w:proofErr w:type="gramEnd"/>
      <w:r w:rsidRPr="00AD0A4E">
        <w:rPr>
          <w:rFonts w:ascii="Arial" w:hAnsi="Arial" w:cs="Arial"/>
        </w:rPr>
        <w:t xml:space="preserve"> and archived site records, to examine the issue of claimed usage ‘by right’, and to spend inquiry time address</w:t>
      </w:r>
      <w:r w:rsidR="004F193E" w:rsidRPr="00AD0A4E">
        <w:rPr>
          <w:rFonts w:ascii="Arial" w:hAnsi="Arial" w:cs="Arial"/>
        </w:rPr>
        <w:t>ing</w:t>
      </w:r>
      <w:r w:rsidRPr="00AD0A4E">
        <w:rPr>
          <w:rFonts w:ascii="Arial" w:hAnsi="Arial" w:cs="Arial"/>
        </w:rPr>
        <w:t xml:space="preserve"> the matter.</w:t>
      </w:r>
    </w:p>
    <w:p w14:paraId="17F45D17" w14:textId="1C561ABD" w:rsidR="004F193E" w:rsidRPr="00AD0A4E" w:rsidRDefault="004F193E" w:rsidP="00A17FE1">
      <w:pPr>
        <w:pStyle w:val="Style1"/>
        <w:numPr>
          <w:ilvl w:val="0"/>
          <w:numId w:val="11"/>
        </w:numPr>
        <w:spacing w:before="140"/>
        <w:rPr>
          <w:rFonts w:ascii="Arial" w:hAnsi="Arial" w:cs="Arial"/>
        </w:rPr>
      </w:pPr>
      <w:r w:rsidRPr="00AD0A4E">
        <w:rPr>
          <w:rFonts w:ascii="Arial" w:hAnsi="Arial" w:cs="Arial"/>
        </w:rPr>
        <w:lastRenderedPageBreak/>
        <w:t xml:space="preserve">In </w:t>
      </w:r>
      <w:proofErr w:type="gramStart"/>
      <w:r w:rsidRPr="00AD0A4E">
        <w:rPr>
          <w:rFonts w:ascii="Arial" w:hAnsi="Arial" w:cs="Arial"/>
        </w:rPr>
        <w:t xml:space="preserve">these particular, </w:t>
      </w:r>
      <w:r w:rsidR="00972FCE" w:rsidRPr="00AD0A4E">
        <w:rPr>
          <w:rFonts w:ascii="Arial" w:hAnsi="Arial" w:cs="Arial"/>
        </w:rPr>
        <w:t>exceptional</w:t>
      </w:r>
      <w:proofErr w:type="gramEnd"/>
      <w:r w:rsidRPr="00AD0A4E">
        <w:rPr>
          <w:rFonts w:ascii="Arial" w:hAnsi="Arial" w:cs="Arial"/>
        </w:rPr>
        <w:t xml:space="preserve">, circumstances, it is submitted that </w:t>
      </w:r>
      <w:r w:rsidR="002F3FA6" w:rsidRPr="00AD0A4E">
        <w:rPr>
          <w:rFonts w:ascii="Arial" w:hAnsi="Arial" w:cs="Arial"/>
        </w:rPr>
        <w:t>a</w:t>
      </w:r>
      <w:r w:rsidRPr="00AD0A4E">
        <w:rPr>
          <w:rFonts w:ascii="Arial" w:hAnsi="Arial" w:cs="Arial"/>
        </w:rPr>
        <w:t xml:space="preserve"> partial award of costs in respect of abortive work undertaken by NR, and abortive costs unnecessarily incurred, directly caused by NT introducing and maintaining the </w:t>
      </w:r>
      <w:r w:rsidRPr="00AD0A4E">
        <w:rPr>
          <w:rFonts w:ascii="Arial" w:hAnsi="Arial" w:cs="Arial"/>
          <w:i/>
          <w:iCs/>
        </w:rPr>
        <w:t>Bernstein</w:t>
      </w:r>
      <w:r w:rsidRPr="00AD0A4E">
        <w:rPr>
          <w:rFonts w:ascii="Arial" w:hAnsi="Arial" w:cs="Arial"/>
        </w:rPr>
        <w:t xml:space="preserve"> proposition, is fully justified. There has been unreasonable behaviour, direct causation of loss, and abortive expense from public funds. </w:t>
      </w:r>
    </w:p>
    <w:p w14:paraId="65DC5FEF" w14:textId="3428834E" w:rsidR="00C45374" w:rsidRPr="00AD0A4E" w:rsidRDefault="00C45374" w:rsidP="00A545D8">
      <w:pPr>
        <w:pStyle w:val="Style1"/>
        <w:numPr>
          <w:ilvl w:val="0"/>
          <w:numId w:val="0"/>
        </w:numPr>
        <w:spacing w:before="240"/>
        <w:rPr>
          <w:rFonts w:ascii="Arial" w:hAnsi="Arial" w:cs="Arial"/>
          <w:b/>
        </w:rPr>
      </w:pPr>
      <w:r w:rsidRPr="00AD0A4E">
        <w:rPr>
          <w:rFonts w:ascii="Arial" w:hAnsi="Arial" w:cs="Arial"/>
          <w:b/>
        </w:rPr>
        <w:t xml:space="preserve">The response by </w:t>
      </w:r>
      <w:r w:rsidR="004B5550" w:rsidRPr="00AD0A4E">
        <w:rPr>
          <w:rFonts w:ascii="Arial" w:hAnsi="Arial" w:cs="Arial"/>
          <w:b/>
        </w:rPr>
        <w:t>Mr Thorne</w:t>
      </w:r>
    </w:p>
    <w:p w14:paraId="7FB5ACA5" w14:textId="2A6CD5D7" w:rsidR="00934466" w:rsidRPr="00AD0A4E" w:rsidRDefault="00843444" w:rsidP="00183A74">
      <w:pPr>
        <w:pStyle w:val="Style1"/>
        <w:numPr>
          <w:ilvl w:val="0"/>
          <w:numId w:val="11"/>
        </w:numPr>
        <w:spacing w:before="140"/>
        <w:rPr>
          <w:rFonts w:ascii="Arial" w:hAnsi="Arial" w:cs="Arial"/>
        </w:rPr>
      </w:pPr>
      <w:r w:rsidRPr="00AD0A4E">
        <w:rPr>
          <w:rFonts w:ascii="Arial" w:hAnsi="Arial" w:cs="Arial"/>
        </w:rPr>
        <w:t>I</w:t>
      </w:r>
      <w:r w:rsidR="00C45374" w:rsidRPr="00AD0A4E">
        <w:rPr>
          <w:rFonts w:ascii="Arial" w:hAnsi="Arial" w:cs="Arial"/>
        </w:rPr>
        <w:t xml:space="preserve">n response to Mr </w:t>
      </w:r>
      <w:r w:rsidR="004B5550" w:rsidRPr="00AD0A4E">
        <w:rPr>
          <w:rFonts w:ascii="Arial" w:hAnsi="Arial" w:cs="Arial"/>
        </w:rPr>
        <w:t>Lopez’</w:t>
      </w:r>
      <w:r w:rsidR="00C45374" w:rsidRPr="00AD0A4E">
        <w:rPr>
          <w:rFonts w:ascii="Arial" w:hAnsi="Arial" w:cs="Arial"/>
        </w:rPr>
        <w:t xml:space="preserve"> assertion that </w:t>
      </w:r>
      <w:r w:rsidR="004B5550" w:rsidRPr="00AD0A4E">
        <w:rPr>
          <w:rFonts w:ascii="Arial" w:hAnsi="Arial" w:cs="Arial"/>
        </w:rPr>
        <w:t>his</w:t>
      </w:r>
      <w:r w:rsidR="00C45374" w:rsidRPr="00AD0A4E">
        <w:rPr>
          <w:rFonts w:ascii="Arial" w:hAnsi="Arial" w:cs="Arial"/>
        </w:rPr>
        <w:t xml:space="preserve"> behaviour had been unreasonable, M</w:t>
      </w:r>
      <w:r w:rsidR="004B5550" w:rsidRPr="00AD0A4E">
        <w:rPr>
          <w:rFonts w:ascii="Arial" w:hAnsi="Arial" w:cs="Arial"/>
        </w:rPr>
        <w:t>r Thorne</w:t>
      </w:r>
      <w:r w:rsidR="00C45374" w:rsidRPr="00AD0A4E">
        <w:rPr>
          <w:rFonts w:ascii="Arial" w:hAnsi="Arial" w:cs="Arial"/>
        </w:rPr>
        <w:t xml:space="preserve"> submitted that</w:t>
      </w:r>
      <w:r w:rsidR="00934466" w:rsidRPr="00AD0A4E">
        <w:rPr>
          <w:rFonts w:ascii="Arial" w:hAnsi="Arial" w:cs="Arial"/>
        </w:rPr>
        <w:t xml:space="preserve"> there was absolutely no basis for th</w:t>
      </w:r>
      <w:r w:rsidR="002F3FA6" w:rsidRPr="00AD0A4E">
        <w:rPr>
          <w:rFonts w:ascii="Arial" w:hAnsi="Arial" w:cs="Arial"/>
        </w:rPr>
        <w:t>e</w:t>
      </w:r>
      <w:r w:rsidR="00934466" w:rsidRPr="00AD0A4E">
        <w:rPr>
          <w:rFonts w:ascii="Arial" w:hAnsi="Arial" w:cs="Arial"/>
        </w:rPr>
        <w:t xml:space="preserve"> claim.</w:t>
      </w:r>
    </w:p>
    <w:p w14:paraId="0B1726AC" w14:textId="57847F2F" w:rsidR="00934466" w:rsidRPr="00AD0A4E" w:rsidRDefault="00934466" w:rsidP="00CF0D91">
      <w:pPr>
        <w:pStyle w:val="Style1"/>
        <w:numPr>
          <w:ilvl w:val="0"/>
          <w:numId w:val="11"/>
        </w:numPr>
        <w:spacing w:before="140"/>
        <w:rPr>
          <w:rFonts w:ascii="Arial" w:hAnsi="Arial" w:cs="Arial"/>
        </w:rPr>
      </w:pPr>
      <w:r w:rsidRPr="00AD0A4E">
        <w:rPr>
          <w:rFonts w:ascii="Arial" w:hAnsi="Arial" w:cs="Arial"/>
        </w:rPr>
        <w:t xml:space="preserve">He had legitimately raised the point about the status of the alternative route in his </w:t>
      </w:r>
      <w:r w:rsidR="00CF0D91" w:rsidRPr="00AD0A4E">
        <w:rPr>
          <w:rFonts w:ascii="Arial" w:hAnsi="Arial" w:cs="Arial"/>
        </w:rPr>
        <w:t>statement of case and referred to the ‘</w:t>
      </w:r>
      <w:r w:rsidR="00CF0D91" w:rsidRPr="00AD0A4E">
        <w:rPr>
          <w:rFonts w:ascii="Arial" w:hAnsi="Arial" w:cs="Arial"/>
          <w:i/>
          <w:iCs/>
        </w:rPr>
        <w:t>Bernstein’</w:t>
      </w:r>
      <w:r w:rsidR="00CF0D91" w:rsidRPr="00AD0A4E">
        <w:rPr>
          <w:rFonts w:ascii="Arial" w:hAnsi="Arial" w:cs="Arial"/>
        </w:rPr>
        <w:t xml:space="preserve"> judgement in support of his position.   </w:t>
      </w:r>
    </w:p>
    <w:p w14:paraId="111000F3" w14:textId="5FB38F1C" w:rsidR="00AC1F9C" w:rsidRPr="00AD0A4E" w:rsidRDefault="00E9286D" w:rsidP="00CF0D91">
      <w:pPr>
        <w:pStyle w:val="Style1"/>
        <w:numPr>
          <w:ilvl w:val="0"/>
          <w:numId w:val="11"/>
        </w:numPr>
        <w:spacing w:before="140"/>
        <w:rPr>
          <w:rFonts w:ascii="Arial" w:hAnsi="Arial" w:cs="Arial"/>
        </w:rPr>
      </w:pPr>
      <w:r w:rsidRPr="00AD0A4E">
        <w:rPr>
          <w:rFonts w:ascii="Arial" w:hAnsi="Arial" w:cs="Arial"/>
        </w:rPr>
        <w:t xml:space="preserve">He contended that </w:t>
      </w:r>
      <w:r w:rsidR="00AC1F9C" w:rsidRPr="00AD0A4E">
        <w:rPr>
          <w:rFonts w:ascii="Arial" w:hAnsi="Arial" w:cs="Arial"/>
        </w:rPr>
        <w:t xml:space="preserve">NR’s main issue with this </w:t>
      </w:r>
      <w:r w:rsidR="002F3FA6" w:rsidRPr="00AD0A4E">
        <w:rPr>
          <w:rFonts w:ascii="Arial" w:hAnsi="Arial" w:cs="Arial"/>
        </w:rPr>
        <w:t>wa</w:t>
      </w:r>
      <w:r w:rsidR="00AC1F9C" w:rsidRPr="00AD0A4E">
        <w:rPr>
          <w:rFonts w:ascii="Arial" w:hAnsi="Arial" w:cs="Arial"/>
        </w:rPr>
        <w:t xml:space="preserve">s the impact </w:t>
      </w:r>
      <w:r w:rsidRPr="00AD0A4E">
        <w:rPr>
          <w:rFonts w:ascii="Arial" w:hAnsi="Arial" w:cs="Arial"/>
        </w:rPr>
        <w:t>it</w:t>
      </w:r>
      <w:r w:rsidR="00AC1F9C" w:rsidRPr="00AD0A4E">
        <w:rPr>
          <w:rFonts w:ascii="Arial" w:hAnsi="Arial" w:cs="Arial"/>
        </w:rPr>
        <w:t xml:space="preserve"> might have on the Inspector’s ability to confirm the Order, referred to by Mr Lopez as ‘procedural entanglement’.  </w:t>
      </w:r>
    </w:p>
    <w:p w14:paraId="7650BCF4" w14:textId="0079281B" w:rsidR="00CF0D91" w:rsidRPr="00AD0A4E" w:rsidRDefault="00AC1F9C" w:rsidP="00183A74">
      <w:pPr>
        <w:pStyle w:val="Style1"/>
        <w:numPr>
          <w:ilvl w:val="0"/>
          <w:numId w:val="11"/>
        </w:numPr>
        <w:spacing w:before="140"/>
        <w:rPr>
          <w:rFonts w:ascii="Arial" w:hAnsi="Arial" w:cs="Arial"/>
        </w:rPr>
      </w:pPr>
      <w:r w:rsidRPr="00AD0A4E">
        <w:rPr>
          <w:rFonts w:ascii="Arial" w:hAnsi="Arial" w:cs="Arial"/>
        </w:rPr>
        <w:t xml:space="preserve">However, at the start of the inquiry proceedings, the Inspector noted that the relevance of </w:t>
      </w:r>
      <w:r w:rsidRPr="00AD0A4E">
        <w:rPr>
          <w:rFonts w:ascii="Arial" w:hAnsi="Arial" w:cs="Arial"/>
          <w:i/>
          <w:iCs/>
        </w:rPr>
        <w:t>Bernstein</w:t>
      </w:r>
      <w:r w:rsidRPr="00AD0A4E">
        <w:rPr>
          <w:rFonts w:ascii="Arial" w:hAnsi="Arial" w:cs="Arial"/>
        </w:rPr>
        <w:t xml:space="preserve"> was a valid submission, even though she made clear she would be unable to make a finding on the status of any part of the route a</w:t>
      </w:r>
      <w:r w:rsidR="003055C9" w:rsidRPr="00AD0A4E">
        <w:rPr>
          <w:rFonts w:ascii="Arial" w:hAnsi="Arial" w:cs="Arial"/>
        </w:rPr>
        <w:t>t</w:t>
      </w:r>
      <w:r w:rsidRPr="00AD0A4E">
        <w:rPr>
          <w:rFonts w:ascii="Arial" w:hAnsi="Arial" w:cs="Arial"/>
        </w:rPr>
        <w:t xml:space="preserve"> issue. </w:t>
      </w:r>
      <w:r w:rsidR="00AD5AF7" w:rsidRPr="00AD0A4E">
        <w:rPr>
          <w:rFonts w:ascii="Arial" w:hAnsi="Arial" w:cs="Arial"/>
        </w:rPr>
        <w:t>Mr Thorne</w:t>
      </w:r>
      <w:r w:rsidRPr="00AD0A4E">
        <w:rPr>
          <w:rFonts w:ascii="Arial" w:hAnsi="Arial" w:cs="Arial"/>
        </w:rPr>
        <w:t xml:space="preserve"> fully accepted that position and understood that to be the end of the matter. </w:t>
      </w:r>
    </w:p>
    <w:p w14:paraId="02A7F1BE" w14:textId="3A0CA686" w:rsidR="00AD5AF7" w:rsidRPr="00AD0A4E" w:rsidRDefault="00AD5AF7" w:rsidP="00DB7E81">
      <w:pPr>
        <w:pStyle w:val="Style1"/>
        <w:numPr>
          <w:ilvl w:val="0"/>
          <w:numId w:val="11"/>
        </w:numPr>
        <w:spacing w:before="140"/>
        <w:rPr>
          <w:rFonts w:ascii="Arial" w:hAnsi="Arial" w:cs="Arial"/>
        </w:rPr>
      </w:pPr>
      <w:r w:rsidRPr="00AD0A4E">
        <w:rPr>
          <w:rFonts w:ascii="Arial" w:hAnsi="Arial" w:cs="Arial"/>
        </w:rPr>
        <w:t xml:space="preserve">He </w:t>
      </w:r>
      <w:r w:rsidR="00406F65" w:rsidRPr="00AD0A4E">
        <w:rPr>
          <w:rFonts w:ascii="Arial" w:hAnsi="Arial" w:cs="Arial"/>
        </w:rPr>
        <w:t>argued that he could not be considered to have acted unreasonably by making a submission in his statement which the Inspector considered to be valid and relevant.</w:t>
      </w:r>
      <w:r w:rsidR="00656A06" w:rsidRPr="00AD0A4E">
        <w:rPr>
          <w:rFonts w:ascii="Arial" w:hAnsi="Arial" w:cs="Arial"/>
        </w:rPr>
        <w:t xml:space="preserve"> In any event, the question of the status </w:t>
      </w:r>
      <w:r w:rsidR="007E1B95" w:rsidRPr="00AD0A4E">
        <w:rPr>
          <w:rFonts w:ascii="Arial" w:hAnsi="Arial" w:cs="Arial"/>
        </w:rPr>
        <w:t xml:space="preserve">of the alternative route being proposed </w:t>
      </w:r>
      <w:r w:rsidRPr="00AD0A4E">
        <w:rPr>
          <w:rFonts w:ascii="Arial" w:hAnsi="Arial" w:cs="Arial"/>
        </w:rPr>
        <w:t>c</w:t>
      </w:r>
      <w:r w:rsidR="007E1B95" w:rsidRPr="00AD0A4E">
        <w:rPr>
          <w:rFonts w:ascii="Arial" w:hAnsi="Arial" w:cs="Arial"/>
        </w:rPr>
        <w:t>ould have been addressed by NR and CCC in the four years prior to the inquiry.</w:t>
      </w:r>
      <w:r w:rsidRPr="00AD0A4E">
        <w:rPr>
          <w:rFonts w:ascii="Arial" w:hAnsi="Arial" w:cs="Arial"/>
        </w:rPr>
        <w:t xml:space="preserve"> The point was raised by Mr Thorne in his objection to the proposed diversion in 2017 so it could, and should, have been dealt with long before this inquiry. </w:t>
      </w:r>
      <w:r w:rsidR="00E9286D" w:rsidRPr="00AD0A4E">
        <w:rPr>
          <w:rFonts w:ascii="Arial" w:hAnsi="Arial" w:cs="Arial"/>
        </w:rPr>
        <w:t xml:space="preserve"> </w:t>
      </w:r>
      <w:r w:rsidRPr="00AD0A4E">
        <w:rPr>
          <w:rFonts w:ascii="Arial" w:hAnsi="Arial" w:cs="Arial"/>
        </w:rPr>
        <w:t>Yet it was only days before the inquiry was opened that NR responded to the point in any way, possibly prompted by the Inspector raising it at the pre-inquiry meeting.</w:t>
      </w:r>
    </w:p>
    <w:p w14:paraId="0F04D71A" w14:textId="5830FC41" w:rsidR="00406F65" w:rsidRPr="00AD0A4E" w:rsidRDefault="00AD5AF7" w:rsidP="00183A74">
      <w:pPr>
        <w:pStyle w:val="Style1"/>
        <w:numPr>
          <w:ilvl w:val="0"/>
          <w:numId w:val="11"/>
        </w:numPr>
        <w:spacing w:before="140"/>
        <w:rPr>
          <w:rFonts w:ascii="Arial" w:hAnsi="Arial" w:cs="Arial"/>
        </w:rPr>
      </w:pPr>
      <w:r w:rsidRPr="00AD0A4E">
        <w:rPr>
          <w:rFonts w:ascii="Arial" w:hAnsi="Arial" w:cs="Arial"/>
        </w:rPr>
        <w:t xml:space="preserve">Furthermore, CCC made this diversion order over a route for which (in part) they </w:t>
      </w:r>
      <w:r w:rsidR="00E51A62" w:rsidRPr="00AD0A4E">
        <w:rPr>
          <w:rFonts w:ascii="Arial" w:hAnsi="Arial" w:cs="Arial"/>
        </w:rPr>
        <w:t>have held for 9 years</w:t>
      </w:r>
      <w:r w:rsidRPr="00AD0A4E">
        <w:rPr>
          <w:rFonts w:ascii="Arial" w:hAnsi="Arial" w:cs="Arial"/>
        </w:rPr>
        <w:t xml:space="preserve"> an application for a definitive map modification order and over a route which they knew was alleged to be a public path.   </w:t>
      </w:r>
    </w:p>
    <w:p w14:paraId="6A4A40E6" w14:textId="1FDE9BE9" w:rsidR="00E51A62" w:rsidRPr="00AD0A4E" w:rsidRDefault="00E51A62" w:rsidP="00183A74">
      <w:pPr>
        <w:pStyle w:val="Style1"/>
        <w:numPr>
          <w:ilvl w:val="0"/>
          <w:numId w:val="11"/>
        </w:numPr>
        <w:spacing w:before="140"/>
        <w:rPr>
          <w:rFonts w:ascii="Arial" w:hAnsi="Arial" w:cs="Arial"/>
        </w:rPr>
      </w:pPr>
      <w:r w:rsidRPr="00AD0A4E">
        <w:rPr>
          <w:rFonts w:ascii="Arial" w:hAnsi="Arial" w:cs="Arial"/>
        </w:rPr>
        <w:t xml:space="preserve">It is perfectly proper that the status of the alternative route </w:t>
      </w:r>
      <w:r w:rsidR="00E9286D" w:rsidRPr="00AD0A4E">
        <w:rPr>
          <w:rFonts w:ascii="Arial" w:hAnsi="Arial" w:cs="Arial"/>
        </w:rPr>
        <w:t>sh</w:t>
      </w:r>
      <w:r w:rsidRPr="00AD0A4E">
        <w:rPr>
          <w:rFonts w:ascii="Arial" w:hAnsi="Arial" w:cs="Arial"/>
        </w:rPr>
        <w:t>ould have been discussed at an inquiry of this nature. However, because of the doubt over sections of the route, it is also perfectly proper that the Inspector should advise that it would be impossible to make a finding without a full definitive map modification order process. That does not make the matter irrelevant or require the point to be withdrawn.</w:t>
      </w:r>
    </w:p>
    <w:p w14:paraId="7D63B386" w14:textId="04FA0FC4" w:rsidR="00934466" w:rsidRPr="00AD0A4E" w:rsidRDefault="00E51A62" w:rsidP="00910275">
      <w:pPr>
        <w:pStyle w:val="Style1"/>
        <w:numPr>
          <w:ilvl w:val="0"/>
          <w:numId w:val="11"/>
        </w:numPr>
        <w:spacing w:before="140"/>
        <w:rPr>
          <w:rFonts w:ascii="Arial" w:hAnsi="Arial" w:cs="Arial"/>
        </w:rPr>
      </w:pPr>
      <w:r w:rsidRPr="00AD0A4E">
        <w:rPr>
          <w:rFonts w:ascii="Arial" w:hAnsi="Arial" w:cs="Arial"/>
        </w:rPr>
        <w:t>Mr Thorne also strongly rejects the accusation that he c</w:t>
      </w:r>
      <w:r w:rsidR="00CF0D91" w:rsidRPr="00AD0A4E">
        <w:rPr>
          <w:rFonts w:ascii="Arial" w:hAnsi="Arial" w:cs="Arial"/>
        </w:rPr>
        <w:t xml:space="preserve">reated additional work </w:t>
      </w:r>
      <w:r w:rsidRPr="00AD0A4E">
        <w:rPr>
          <w:rFonts w:ascii="Arial" w:hAnsi="Arial" w:cs="Arial"/>
        </w:rPr>
        <w:t xml:space="preserve">for NR </w:t>
      </w:r>
      <w:r w:rsidR="00CF0D91" w:rsidRPr="00AD0A4E">
        <w:rPr>
          <w:rFonts w:ascii="Arial" w:hAnsi="Arial" w:cs="Arial"/>
        </w:rPr>
        <w:t>through late submissions</w:t>
      </w:r>
      <w:r w:rsidRPr="00AD0A4E">
        <w:rPr>
          <w:rFonts w:ascii="Arial" w:hAnsi="Arial" w:cs="Arial"/>
        </w:rPr>
        <w:t>. He had submitted both his full statement of case and proof of evidence on time</w:t>
      </w:r>
      <w:r w:rsidR="00E9286D" w:rsidRPr="00AD0A4E">
        <w:rPr>
          <w:rFonts w:ascii="Arial" w:hAnsi="Arial" w:cs="Arial"/>
        </w:rPr>
        <w:t xml:space="preserve"> and in accordance with the statutory timetable.</w:t>
      </w:r>
    </w:p>
    <w:p w14:paraId="71BB3973" w14:textId="0F519B18" w:rsidR="00E51A62" w:rsidRPr="00AD0A4E" w:rsidRDefault="00E51A62" w:rsidP="00910275">
      <w:pPr>
        <w:pStyle w:val="Style1"/>
        <w:numPr>
          <w:ilvl w:val="0"/>
          <w:numId w:val="11"/>
        </w:numPr>
        <w:spacing w:before="140"/>
        <w:rPr>
          <w:rFonts w:ascii="Arial" w:hAnsi="Arial" w:cs="Arial"/>
        </w:rPr>
      </w:pPr>
      <w:r w:rsidRPr="00AD0A4E">
        <w:rPr>
          <w:rFonts w:ascii="Arial" w:hAnsi="Arial" w:cs="Arial"/>
        </w:rPr>
        <w:t xml:space="preserve">At the pre-inquiry meeting, </w:t>
      </w:r>
      <w:r w:rsidR="009D3728" w:rsidRPr="00AD0A4E">
        <w:rPr>
          <w:rFonts w:ascii="Arial" w:hAnsi="Arial" w:cs="Arial"/>
        </w:rPr>
        <w:t xml:space="preserve">and as provided by Section 18 of the Rights of Way (Hearings and Inquiries </w:t>
      </w:r>
      <w:proofErr w:type="gramStart"/>
      <w:r w:rsidR="009D3728" w:rsidRPr="00AD0A4E">
        <w:rPr>
          <w:rFonts w:ascii="Arial" w:hAnsi="Arial" w:cs="Arial"/>
        </w:rPr>
        <w:t>Procedure)(</w:t>
      </w:r>
      <w:proofErr w:type="gramEnd"/>
      <w:r w:rsidR="009D3728" w:rsidRPr="00AD0A4E">
        <w:rPr>
          <w:rFonts w:ascii="Arial" w:hAnsi="Arial" w:cs="Arial"/>
        </w:rPr>
        <w:t xml:space="preserve">England) Rules 2007, </w:t>
      </w:r>
      <w:r w:rsidRPr="00AD0A4E">
        <w:rPr>
          <w:rFonts w:ascii="Arial" w:hAnsi="Arial" w:cs="Arial"/>
        </w:rPr>
        <w:t xml:space="preserve">the Inspector had asked for information about the status of the present and proposed routes. </w:t>
      </w:r>
    </w:p>
    <w:p w14:paraId="109B99EC" w14:textId="687AF4F2" w:rsidR="00E51A62" w:rsidRPr="00AD0A4E" w:rsidRDefault="000B7E24" w:rsidP="00910275">
      <w:pPr>
        <w:pStyle w:val="Style1"/>
        <w:numPr>
          <w:ilvl w:val="0"/>
          <w:numId w:val="11"/>
        </w:numPr>
        <w:spacing w:before="140"/>
        <w:rPr>
          <w:rFonts w:ascii="Arial" w:hAnsi="Arial" w:cs="Arial"/>
        </w:rPr>
      </w:pPr>
      <w:r w:rsidRPr="00AD0A4E">
        <w:rPr>
          <w:rFonts w:ascii="Arial" w:hAnsi="Arial" w:cs="Arial"/>
        </w:rPr>
        <w:t xml:space="preserve">In addition to providing to CCC relevant material in relation to the modification order application (which it should have already held), Mr Thorne had offered to discuss with CCC a statement of common ground in relation to the interpretation of that evidence, yet there was no positive response. </w:t>
      </w:r>
    </w:p>
    <w:p w14:paraId="08759748" w14:textId="64985E1D" w:rsidR="000B7E24" w:rsidRPr="00AD0A4E" w:rsidRDefault="000B7E24" w:rsidP="00910275">
      <w:pPr>
        <w:pStyle w:val="Style1"/>
        <w:numPr>
          <w:ilvl w:val="0"/>
          <w:numId w:val="11"/>
        </w:numPr>
        <w:spacing w:before="140"/>
        <w:rPr>
          <w:rFonts w:ascii="Arial" w:hAnsi="Arial" w:cs="Arial"/>
        </w:rPr>
      </w:pPr>
      <w:r w:rsidRPr="00AD0A4E">
        <w:rPr>
          <w:rFonts w:ascii="Arial" w:hAnsi="Arial" w:cs="Arial"/>
        </w:rPr>
        <w:t xml:space="preserve">Subsequently NR had submitted that land ownership and the status of the alternative route were not relevant factors for the Inspector to consider and invited Mr Thorne to explain the relevance of the material provided. NR cannot now criticise </w:t>
      </w:r>
      <w:r w:rsidR="003055C9" w:rsidRPr="00AD0A4E">
        <w:rPr>
          <w:rFonts w:ascii="Arial" w:hAnsi="Arial" w:cs="Arial"/>
        </w:rPr>
        <w:t>his</w:t>
      </w:r>
      <w:r w:rsidRPr="00AD0A4E">
        <w:rPr>
          <w:rFonts w:ascii="Arial" w:hAnsi="Arial" w:cs="Arial"/>
        </w:rPr>
        <w:t xml:space="preserve"> explanation as being a late submission when it had been specifically invited</w:t>
      </w:r>
      <w:r w:rsidR="00220BB4" w:rsidRPr="00AD0A4E">
        <w:rPr>
          <w:rFonts w:ascii="Arial" w:hAnsi="Arial" w:cs="Arial"/>
        </w:rPr>
        <w:t xml:space="preserve"> by them. </w:t>
      </w:r>
    </w:p>
    <w:p w14:paraId="3B390CF6" w14:textId="3A29C0D4" w:rsidR="00E51A62" w:rsidRPr="00AD0A4E" w:rsidRDefault="00220BB4" w:rsidP="00910275">
      <w:pPr>
        <w:pStyle w:val="Style1"/>
        <w:numPr>
          <w:ilvl w:val="0"/>
          <w:numId w:val="11"/>
        </w:numPr>
        <w:spacing w:before="140"/>
        <w:rPr>
          <w:rFonts w:ascii="Arial" w:hAnsi="Arial" w:cs="Arial"/>
        </w:rPr>
      </w:pPr>
      <w:r w:rsidRPr="00AD0A4E">
        <w:rPr>
          <w:rFonts w:ascii="Arial" w:hAnsi="Arial" w:cs="Arial"/>
        </w:rPr>
        <w:lastRenderedPageBreak/>
        <w:t xml:space="preserve">Mr Thorne now accepts he probably provided more information that was </w:t>
      </w:r>
      <w:r w:rsidR="00E4610B" w:rsidRPr="00AD0A4E">
        <w:rPr>
          <w:rFonts w:ascii="Arial" w:hAnsi="Arial" w:cs="Arial"/>
        </w:rPr>
        <w:t xml:space="preserve">strictly </w:t>
      </w:r>
      <w:r w:rsidRPr="00AD0A4E">
        <w:rPr>
          <w:rFonts w:ascii="Arial" w:hAnsi="Arial" w:cs="Arial"/>
        </w:rPr>
        <w:t>necessary to answer the Inspector’s questions but at the time thought he was being helpful.</w:t>
      </w:r>
      <w:r w:rsidR="00E4610B" w:rsidRPr="00AD0A4E">
        <w:rPr>
          <w:rFonts w:ascii="Arial" w:hAnsi="Arial" w:cs="Arial"/>
        </w:rPr>
        <w:t xml:space="preserve"> He would not have submitted it at all had he not been asked to do so.</w:t>
      </w:r>
    </w:p>
    <w:p w14:paraId="0CDBD4AF" w14:textId="234FA510" w:rsidR="000B7E24" w:rsidRPr="00AD0A4E" w:rsidRDefault="00E4610B" w:rsidP="00C45374">
      <w:pPr>
        <w:pStyle w:val="Style1"/>
        <w:numPr>
          <w:ilvl w:val="0"/>
          <w:numId w:val="11"/>
        </w:numPr>
        <w:spacing w:before="140"/>
        <w:rPr>
          <w:rFonts w:ascii="Arial" w:hAnsi="Arial" w:cs="Arial"/>
          <w:color w:val="auto"/>
        </w:rPr>
      </w:pPr>
      <w:r w:rsidRPr="00AD0A4E">
        <w:rPr>
          <w:rFonts w:ascii="Arial" w:hAnsi="Arial" w:cs="Arial"/>
          <w:color w:val="auto"/>
        </w:rPr>
        <w:t xml:space="preserve">The only ‘new’ information he submitted was an email containing two photographs from 2010 and 2017 </w:t>
      </w:r>
      <w:r w:rsidR="003055C9" w:rsidRPr="00AD0A4E">
        <w:rPr>
          <w:rFonts w:ascii="Arial" w:hAnsi="Arial" w:cs="Arial"/>
          <w:color w:val="auto"/>
        </w:rPr>
        <w:t>showing</w:t>
      </w:r>
      <w:r w:rsidRPr="00AD0A4E">
        <w:rPr>
          <w:rFonts w:ascii="Arial" w:hAnsi="Arial" w:cs="Arial"/>
          <w:color w:val="auto"/>
        </w:rPr>
        <w:t xml:space="preserve"> the underpass. This was in response to questions from the Inspector concerning the position of the signs which had been in place there. Mr Thorne dr</w:t>
      </w:r>
      <w:r w:rsidR="003055C9" w:rsidRPr="00AD0A4E">
        <w:rPr>
          <w:rFonts w:ascii="Arial" w:hAnsi="Arial" w:cs="Arial"/>
          <w:color w:val="auto"/>
        </w:rPr>
        <w:t>e</w:t>
      </w:r>
      <w:r w:rsidRPr="00AD0A4E">
        <w:rPr>
          <w:rFonts w:ascii="Arial" w:hAnsi="Arial" w:cs="Arial"/>
          <w:color w:val="auto"/>
        </w:rPr>
        <w:t>w attention to the 9 documents NR submitted after the start of the inquiry.</w:t>
      </w:r>
    </w:p>
    <w:p w14:paraId="7C38823E" w14:textId="675A997A" w:rsidR="00E4610B" w:rsidRPr="00AD0A4E" w:rsidRDefault="00534AE0" w:rsidP="00C45374">
      <w:pPr>
        <w:pStyle w:val="Style1"/>
        <w:numPr>
          <w:ilvl w:val="0"/>
          <w:numId w:val="11"/>
        </w:numPr>
        <w:spacing w:before="140"/>
        <w:rPr>
          <w:rFonts w:ascii="Arial" w:hAnsi="Arial" w:cs="Arial"/>
          <w:color w:val="auto"/>
        </w:rPr>
      </w:pPr>
      <w:r w:rsidRPr="00AD0A4E">
        <w:rPr>
          <w:rFonts w:ascii="Arial" w:hAnsi="Arial" w:cs="Arial"/>
          <w:color w:val="auto"/>
        </w:rPr>
        <w:t xml:space="preserve">In response to </w:t>
      </w:r>
      <w:r w:rsidR="00781452" w:rsidRPr="00AD0A4E">
        <w:rPr>
          <w:rFonts w:ascii="Arial" w:hAnsi="Arial" w:cs="Arial"/>
          <w:color w:val="auto"/>
        </w:rPr>
        <w:t>NR’s claim that extra costs were incurred in</w:t>
      </w:r>
      <w:r w:rsidR="00781452" w:rsidRPr="00AD0A4E">
        <w:rPr>
          <w:rFonts w:ascii="Arial" w:hAnsi="Arial" w:cs="Arial"/>
        </w:rPr>
        <w:t xml:space="preserve"> researching evidence of ownership, </w:t>
      </w:r>
      <w:proofErr w:type="gramStart"/>
      <w:r w:rsidR="00781452" w:rsidRPr="00AD0A4E">
        <w:rPr>
          <w:rFonts w:ascii="Arial" w:hAnsi="Arial" w:cs="Arial"/>
        </w:rPr>
        <w:t>mapping</w:t>
      </w:r>
      <w:proofErr w:type="gramEnd"/>
      <w:r w:rsidR="00781452" w:rsidRPr="00AD0A4E">
        <w:rPr>
          <w:rFonts w:ascii="Arial" w:hAnsi="Arial" w:cs="Arial"/>
        </w:rPr>
        <w:t xml:space="preserve"> and archived site records, and examining the issue of claimed usage</w:t>
      </w:r>
      <w:r w:rsidRPr="00AD0A4E">
        <w:rPr>
          <w:rFonts w:ascii="Arial" w:hAnsi="Arial" w:cs="Arial"/>
        </w:rPr>
        <w:t>, a</w:t>
      </w:r>
      <w:r w:rsidR="00781452" w:rsidRPr="00AD0A4E">
        <w:rPr>
          <w:rFonts w:ascii="Arial" w:hAnsi="Arial" w:cs="Arial"/>
        </w:rPr>
        <w:t xml:space="preserve">ll of this research should have been done by NR even before it submitted its statement of case. The </w:t>
      </w:r>
      <w:r w:rsidR="00781452" w:rsidRPr="00AD0A4E">
        <w:rPr>
          <w:rFonts w:ascii="Arial" w:hAnsi="Arial" w:cs="Arial"/>
          <w:i/>
          <w:iCs/>
        </w:rPr>
        <w:t>Bernstein</w:t>
      </w:r>
      <w:r w:rsidR="00781452" w:rsidRPr="00AD0A4E">
        <w:rPr>
          <w:rFonts w:ascii="Arial" w:hAnsi="Arial" w:cs="Arial"/>
        </w:rPr>
        <w:t xml:space="preserve"> issue has </w:t>
      </w:r>
      <w:r w:rsidR="0054732C" w:rsidRPr="00AD0A4E">
        <w:rPr>
          <w:rFonts w:ascii="Arial" w:hAnsi="Arial" w:cs="Arial"/>
        </w:rPr>
        <w:t>relevance,</w:t>
      </w:r>
      <w:r w:rsidR="00781452" w:rsidRPr="00AD0A4E">
        <w:rPr>
          <w:rFonts w:ascii="Arial" w:hAnsi="Arial" w:cs="Arial"/>
        </w:rPr>
        <w:t xml:space="preserve"> and the point was not misconceived. No additional resources have </w:t>
      </w:r>
      <w:proofErr w:type="gramStart"/>
      <w:r w:rsidR="00781452" w:rsidRPr="00AD0A4E">
        <w:rPr>
          <w:rFonts w:ascii="Arial" w:hAnsi="Arial" w:cs="Arial"/>
        </w:rPr>
        <w:t>actually been</w:t>
      </w:r>
      <w:proofErr w:type="gramEnd"/>
      <w:r w:rsidR="00781452" w:rsidRPr="00AD0A4E">
        <w:rPr>
          <w:rFonts w:ascii="Arial" w:hAnsi="Arial" w:cs="Arial"/>
        </w:rPr>
        <w:t xml:space="preserve"> expended by NR – it is work that was required regardless.</w:t>
      </w:r>
    </w:p>
    <w:p w14:paraId="7B90AD59" w14:textId="46D0D73C" w:rsidR="00CF0D91" w:rsidRPr="00AD0A4E" w:rsidRDefault="001E4ABB" w:rsidP="0011710D">
      <w:pPr>
        <w:pStyle w:val="Style1"/>
        <w:numPr>
          <w:ilvl w:val="0"/>
          <w:numId w:val="11"/>
        </w:numPr>
        <w:spacing w:before="140"/>
        <w:rPr>
          <w:rFonts w:ascii="Arial" w:hAnsi="Arial" w:cs="Arial"/>
          <w:color w:val="auto"/>
        </w:rPr>
      </w:pPr>
      <w:r w:rsidRPr="00AD0A4E">
        <w:rPr>
          <w:rFonts w:ascii="Arial" w:hAnsi="Arial" w:cs="Arial"/>
          <w:color w:val="auto"/>
        </w:rPr>
        <w:t>In rep</w:t>
      </w:r>
      <w:r w:rsidR="00534AE0" w:rsidRPr="00AD0A4E">
        <w:rPr>
          <w:rFonts w:ascii="Arial" w:hAnsi="Arial" w:cs="Arial"/>
          <w:color w:val="auto"/>
        </w:rPr>
        <w:t>ly</w:t>
      </w:r>
      <w:r w:rsidRPr="00AD0A4E">
        <w:rPr>
          <w:rFonts w:ascii="Arial" w:hAnsi="Arial" w:cs="Arial"/>
          <w:color w:val="auto"/>
        </w:rPr>
        <w:t xml:space="preserve"> to Mr Lopez’ assertion that he refused to withdraw his submission on the </w:t>
      </w:r>
      <w:r w:rsidRPr="00AD0A4E">
        <w:rPr>
          <w:rFonts w:ascii="Arial" w:hAnsi="Arial" w:cs="Arial"/>
          <w:i/>
          <w:iCs/>
          <w:color w:val="auto"/>
        </w:rPr>
        <w:t>Bernstein</w:t>
      </w:r>
      <w:r w:rsidRPr="00AD0A4E">
        <w:rPr>
          <w:rFonts w:ascii="Arial" w:hAnsi="Arial" w:cs="Arial"/>
          <w:color w:val="auto"/>
        </w:rPr>
        <w:t xml:space="preserve"> point when requested to do so by NR, Mr Thorne argued that even </w:t>
      </w:r>
      <w:r w:rsidRPr="00AD0A4E">
        <w:rPr>
          <w:rFonts w:ascii="Arial" w:hAnsi="Arial" w:cs="Arial"/>
        </w:rPr>
        <w:t xml:space="preserve">if the issue were wholly irrelevant, there is no requirement at all, in any procedural notes, rules, or guidance, for a party to have to effectively re-write their original statement. </w:t>
      </w:r>
      <w:r w:rsidR="00CF0D91" w:rsidRPr="00AD0A4E">
        <w:rPr>
          <w:rFonts w:ascii="Arial" w:hAnsi="Arial" w:cs="Arial"/>
          <w:color w:val="auto"/>
        </w:rPr>
        <w:t xml:space="preserve">Mr Lopez had </w:t>
      </w:r>
      <w:r w:rsidR="00AB0431" w:rsidRPr="00AD0A4E">
        <w:rPr>
          <w:rFonts w:ascii="Arial" w:hAnsi="Arial" w:cs="Arial"/>
          <w:color w:val="auto"/>
        </w:rPr>
        <w:t>acknowledged</w:t>
      </w:r>
      <w:r w:rsidR="00CF0D91" w:rsidRPr="00AD0A4E">
        <w:rPr>
          <w:rFonts w:ascii="Arial" w:hAnsi="Arial" w:cs="Arial"/>
          <w:color w:val="auto"/>
        </w:rPr>
        <w:t xml:space="preserve"> that NR clearly understood that the Inspector had ‘closed the door’ on the status issue on the first morning of the inquiry</w:t>
      </w:r>
      <w:r w:rsidR="00AB0431" w:rsidRPr="00AD0A4E">
        <w:rPr>
          <w:rFonts w:ascii="Arial" w:hAnsi="Arial" w:cs="Arial"/>
          <w:color w:val="auto"/>
        </w:rPr>
        <w:t xml:space="preserve">. Mr Thorne had also accepted this as soon as the Inspector had explained that she could not </w:t>
      </w:r>
      <w:proofErr w:type="gramStart"/>
      <w:r w:rsidR="00AB0431" w:rsidRPr="00AD0A4E">
        <w:rPr>
          <w:rFonts w:ascii="Arial" w:hAnsi="Arial" w:cs="Arial"/>
          <w:color w:val="auto"/>
        </w:rPr>
        <w:t>make a determination</w:t>
      </w:r>
      <w:proofErr w:type="gramEnd"/>
      <w:r w:rsidR="00AB0431" w:rsidRPr="00AD0A4E">
        <w:rPr>
          <w:rFonts w:ascii="Arial" w:hAnsi="Arial" w:cs="Arial"/>
          <w:color w:val="auto"/>
        </w:rPr>
        <w:t xml:space="preserve"> on the status of the alternative route and did not raise the argument again at the inquiry</w:t>
      </w:r>
      <w:r w:rsidR="004B2413" w:rsidRPr="00AD0A4E">
        <w:rPr>
          <w:rFonts w:ascii="Arial" w:hAnsi="Arial" w:cs="Arial"/>
          <w:color w:val="auto"/>
        </w:rPr>
        <w:t xml:space="preserve"> to any substantive degree</w:t>
      </w:r>
      <w:r w:rsidR="00AB0431" w:rsidRPr="00AD0A4E">
        <w:rPr>
          <w:rFonts w:ascii="Arial" w:hAnsi="Arial" w:cs="Arial"/>
          <w:color w:val="auto"/>
        </w:rPr>
        <w:t>. However, this did not mean he no longer believed that it was already a public right of way</w:t>
      </w:r>
      <w:r w:rsidR="0011710D" w:rsidRPr="00AD0A4E">
        <w:rPr>
          <w:rFonts w:ascii="Arial" w:hAnsi="Arial" w:cs="Arial"/>
          <w:color w:val="auto"/>
        </w:rPr>
        <w:t>,</w:t>
      </w:r>
      <w:r w:rsidR="00AB0431" w:rsidRPr="00AD0A4E">
        <w:rPr>
          <w:rFonts w:ascii="Arial" w:hAnsi="Arial" w:cs="Arial"/>
          <w:color w:val="auto"/>
        </w:rPr>
        <w:t xml:space="preserve"> yet Mr Lopez wanted hi</w:t>
      </w:r>
      <w:r w:rsidR="0011710D" w:rsidRPr="00AD0A4E">
        <w:rPr>
          <w:rFonts w:ascii="Arial" w:hAnsi="Arial" w:cs="Arial"/>
          <w:color w:val="auto"/>
        </w:rPr>
        <w:t>m</w:t>
      </w:r>
      <w:r w:rsidR="00AB0431" w:rsidRPr="00AD0A4E">
        <w:rPr>
          <w:rFonts w:ascii="Arial" w:hAnsi="Arial" w:cs="Arial"/>
          <w:color w:val="auto"/>
        </w:rPr>
        <w:t xml:space="preserve"> to withdraw paragraphs from his statement of case</w:t>
      </w:r>
      <w:r w:rsidR="0011710D" w:rsidRPr="00AD0A4E">
        <w:rPr>
          <w:rFonts w:ascii="Arial" w:hAnsi="Arial" w:cs="Arial"/>
          <w:color w:val="auto"/>
        </w:rPr>
        <w:t xml:space="preserve">, many of which were purely factual, but which </w:t>
      </w:r>
      <w:r w:rsidR="00534AE0" w:rsidRPr="00AD0A4E">
        <w:rPr>
          <w:rFonts w:ascii="Arial" w:hAnsi="Arial" w:cs="Arial"/>
          <w:color w:val="auto"/>
        </w:rPr>
        <w:t xml:space="preserve">only </w:t>
      </w:r>
      <w:r w:rsidR="0011710D" w:rsidRPr="00AD0A4E">
        <w:rPr>
          <w:rFonts w:ascii="Arial" w:hAnsi="Arial" w:cs="Arial"/>
          <w:color w:val="auto"/>
        </w:rPr>
        <w:t xml:space="preserve">NR deemed to be irrelevant.  </w:t>
      </w:r>
      <w:r w:rsidR="00AB0431" w:rsidRPr="00AD0A4E">
        <w:rPr>
          <w:rFonts w:ascii="Arial" w:hAnsi="Arial" w:cs="Arial"/>
          <w:color w:val="auto"/>
        </w:rPr>
        <w:t xml:space="preserve"> </w:t>
      </w:r>
    </w:p>
    <w:p w14:paraId="3CDF8421" w14:textId="51F48BD9" w:rsidR="0011710D" w:rsidRPr="00AD0A4E" w:rsidRDefault="0011710D" w:rsidP="0011710D">
      <w:pPr>
        <w:pStyle w:val="Style1"/>
        <w:numPr>
          <w:ilvl w:val="0"/>
          <w:numId w:val="11"/>
        </w:numPr>
        <w:spacing w:before="140"/>
        <w:rPr>
          <w:rFonts w:ascii="Arial" w:hAnsi="Arial" w:cs="Arial"/>
          <w:color w:val="auto"/>
        </w:rPr>
      </w:pPr>
      <w:r w:rsidRPr="00AD0A4E">
        <w:rPr>
          <w:rFonts w:ascii="Arial" w:hAnsi="Arial" w:cs="Arial"/>
          <w:color w:val="auto"/>
        </w:rPr>
        <w:t>All inquiries have elements which eventually turn out not to be wholly relevant. Ultimately that is a matter for the Inspector to decide, not necessarily for the parties to precipitate by withdrawing parts of their case. Mr Thorne submit</w:t>
      </w:r>
      <w:r w:rsidR="009D799B" w:rsidRPr="00AD0A4E">
        <w:rPr>
          <w:rFonts w:ascii="Arial" w:hAnsi="Arial" w:cs="Arial"/>
          <w:color w:val="auto"/>
        </w:rPr>
        <w:t>ted</w:t>
      </w:r>
      <w:r w:rsidRPr="00AD0A4E">
        <w:rPr>
          <w:rFonts w:ascii="Arial" w:hAnsi="Arial" w:cs="Arial"/>
          <w:color w:val="auto"/>
        </w:rPr>
        <w:t xml:space="preserve"> it was not unreasonable to take the position he did in relation the </w:t>
      </w:r>
      <w:r w:rsidRPr="00AD0A4E">
        <w:rPr>
          <w:rFonts w:ascii="Arial" w:hAnsi="Arial" w:cs="Arial"/>
          <w:i/>
          <w:iCs/>
          <w:color w:val="auto"/>
        </w:rPr>
        <w:t>Bernstein</w:t>
      </w:r>
      <w:r w:rsidRPr="00AD0A4E">
        <w:rPr>
          <w:rFonts w:ascii="Arial" w:hAnsi="Arial" w:cs="Arial"/>
          <w:color w:val="auto"/>
        </w:rPr>
        <w:t xml:space="preserve"> argument within his statement of case.  </w:t>
      </w:r>
    </w:p>
    <w:p w14:paraId="21EF7048" w14:textId="1E0A3C32" w:rsidR="00CF0D91" w:rsidRPr="00AD0A4E" w:rsidRDefault="00CF0D91" w:rsidP="00C45374">
      <w:pPr>
        <w:pStyle w:val="Style1"/>
        <w:numPr>
          <w:ilvl w:val="0"/>
          <w:numId w:val="11"/>
        </w:numPr>
        <w:spacing w:before="140"/>
        <w:rPr>
          <w:rFonts w:ascii="Arial" w:hAnsi="Arial" w:cs="Arial"/>
          <w:color w:val="auto"/>
        </w:rPr>
      </w:pPr>
      <w:r w:rsidRPr="00AD0A4E">
        <w:rPr>
          <w:rFonts w:ascii="Arial" w:hAnsi="Arial" w:cs="Arial"/>
          <w:color w:val="auto"/>
        </w:rPr>
        <w:t>Mr Lopez’ approach to questioning had been to use legalese, prefaced with a threat of costs, rather than using simple easily understood language.</w:t>
      </w:r>
      <w:r w:rsidR="004B2413" w:rsidRPr="00AD0A4E">
        <w:rPr>
          <w:rFonts w:ascii="Arial" w:hAnsi="Arial" w:cs="Arial"/>
          <w:color w:val="auto"/>
        </w:rPr>
        <w:t xml:space="preserve"> Mr Thorne explained he was not legally trained and was initially confused by Mr Lopez</w:t>
      </w:r>
      <w:r w:rsidR="00074790" w:rsidRPr="00AD0A4E">
        <w:rPr>
          <w:rFonts w:ascii="Arial" w:hAnsi="Arial" w:cs="Arial"/>
          <w:color w:val="auto"/>
        </w:rPr>
        <w:t>’</w:t>
      </w:r>
      <w:r w:rsidR="004B2413" w:rsidRPr="00AD0A4E">
        <w:rPr>
          <w:rFonts w:ascii="Arial" w:hAnsi="Arial" w:cs="Arial"/>
          <w:color w:val="auto"/>
        </w:rPr>
        <w:t xml:space="preserve"> request.</w:t>
      </w:r>
      <w:r w:rsidR="004B2413" w:rsidRPr="00AD0A4E">
        <w:rPr>
          <w:rFonts w:ascii="Arial" w:hAnsi="Arial" w:cs="Arial"/>
        </w:rPr>
        <w:t xml:space="preserve"> It was irrational </w:t>
      </w:r>
      <w:r w:rsidR="00074790" w:rsidRPr="00AD0A4E">
        <w:rPr>
          <w:rFonts w:ascii="Arial" w:hAnsi="Arial" w:cs="Arial"/>
        </w:rPr>
        <w:t xml:space="preserve">for him </w:t>
      </w:r>
      <w:r w:rsidR="004B2413" w:rsidRPr="00AD0A4E">
        <w:rPr>
          <w:rFonts w:ascii="Arial" w:hAnsi="Arial" w:cs="Arial"/>
        </w:rPr>
        <w:t>to be badgered and threatened with ‘consequences’ to force him to do something which wasn’t actually necessary.</w:t>
      </w:r>
    </w:p>
    <w:p w14:paraId="44F7FD0C" w14:textId="33F2D398" w:rsidR="004B2413" w:rsidRPr="00AD0A4E" w:rsidRDefault="004B2413" w:rsidP="00654E77">
      <w:pPr>
        <w:pStyle w:val="Style1"/>
        <w:numPr>
          <w:ilvl w:val="0"/>
          <w:numId w:val="11"/>
        </w:numPr>
        <w:spacing w:before="140"/>
        <w:rPr>
          <w:rFonts w:ascii="Arial" w:hAnsi="Arial" w:cs="Arial"/>
          <w:color w:val="auto"/>
        </w:rPr>
      </w:pPr>
      <w:r w:rsidRPr="00AD0A4E">
        <w:rPr>
          <w:rFonts w:ascii="Arial" w:hAnsi="Arial" w:cs="Arial"/>
          <w:color w:val="auto"/>
        </w:rPr>
        <w:t>Mr Thorne did not request the inquiry.</w:t>
      </w:r>
      <w:r w:rsidR="00CF0D91" w:rsidRPr="00AD0A4E">
        <w:rPr>
          <w:rFonts w:ascii="Arial" w:hAnsi="Arial" w:cs="Arial"/>
          <w:color w:val="auto"/>
        </w:rPr>
        <w:t xml:space="preserve"> </w:t>
      </w:r>
      <w:r w:rsidRPr="00AD0A4E">
        <w:rPr>
          <w:rFonts w:ascii="Arial" w:hAnsi="Arial" w:cs="Arial"/>
          <w:color w:val="auto"/>
        </w:rPr>
        <w:t xml:space="preserve">He himself did not spend a significant amount of inquiry time pursuing the </w:t>
      </w:r>
      <w:r w:rsidRPr="00AD0A4E">
        <w:rPr>
          <w:rFonts w:ascii="Arial" w:hAnsi="Arial" w:cs="Arial"/>
          <w:i/>
          <w:iCs/>
          <w:color w:val="auto"/>
        </w:rPr>
        <w:t>Bernstein</w:t>
      </w:r>
      <w:r w:rsidRPr="00AD0A4E">
        <w:rPr>
          <w:rFonts w:ascii="Arial" w:hAnsi="Arial" w:cs="Arial"/>
          <w:color w:val="auto"/>
        </w:rPr>
        <w:t xml:space="preserve"> issue. </w:t>
      </w:r>
      <w:r w:rsidR="006C4AB5" w:rsidRPr="00AD0A4E">
        <w:rPr>
          <w:rFonts w:ascii="Arial" w:hAnsi="Arial" w:cs="Arial"/>
          <w:color w:val="auto"/>
        </w:rPr>
        <w:t xml:space="preserve">NR had not approached him with any attempt to agree common ground in relation to the matter. In any event, research into the status of the alternative route should have been addressed by NR and CCC long before the inquiry. Even if the </w:t>
      </w:r>
      <w:r w:rsidR="006C4AB5" w:rsidRPr="00AD0A4E">
        <w:rPr>
          <w:rFonts w:ascii="Arial" w:hAnsi="Arial" w:cs="Arial"/>
          <w:i/>
          <w:iCs/>
          <w:color w:val="auto"/>
        </w:rPr>
        <w:t>Bernstein</w:t>
      </w:r>
      <w:r w:rsidR="006C4AB5" w:rsidRPr="00AD0A4E">
        <w:rPr>
          <w:rFonts w:ascii="Arial" w:hAnsi="Arial" w:cs="Arial"/>
          <w:color w:val="auto"/>
        </w:rPr>
        <w:t xml:space="preserve"> point is judged to be irrelevant, it was not unreasonable to raise it and there was no requirement for him to formally withdraw t</w:t>
      </w:r>
      <w:r w:rsidR="009D799B" w:rsidRPr="00AD0A4E">
        <w:rPr>
          <w:rFonts w:ascii="Arial" w:hAnsi="Arial" w:cs="Arial"/>
          <w:color w:val="auto"/>
        </w:rPr>
        <w:t>his one element of his objection</w:t>
      </w:r>
      <w:r w:rsidR="006C4AB5" w:rsidRPr="00AD0A4E">
        <w:rPr>
          <w:rFonts w:ascii="Arial" w:hAnsi="Arial" w:cs="Arial"/>
          <w:color w:val="auto"/>
        </w:rPr>
        <w:t xml:space="preserve">. </w:t>
      </w:r>
    </w:p>
    <w:p w14:paraId="65DC5FF3" w14:textId="29A0F712" w:rsidR="00C45374" w:rsidRPr="00AD0A4E" w:rsidRDefault="00C45374" w:rsidP="009D799B">
      <w:pPr>
        <w:pStyle w:val="Style1"/>
        <w:numPr>
          <w:ilvl w:val="0"/>
          <w:numId w:val="11"/>
        </w:numPr>
        <w:spacing w:before="140"/>
        <w:rPr>
          <w:rFonts w:ascii="Arial" w:hAnsi="Arial" w:cs="Arial"/>
          <w:color w:val="auto"/>
        </w:rPr>
      </w:pPr>
      <w:r w:rsidRPr="00AD0A4E">
        <w:rPr>
          <w:rFonts w:ascii="Arial" w:hAnsi="Arial" w:cs="Arial"/>
        </w:rPr>
        <w:t xml:space="preserve">In </w:t>
      </w:r>
      <w:r w:rsidR="006C4AB5" w:rsidRPr="00AD0A4E">
        <w:rPr>
          <w:rFonts w:ascii="Arial" w:hAnsi="Arial" w:cs="Arial"/>
        </w:rPr>
        <w:t>Mr Thorne’s</w:t>
      </w:r>
      <w:r w:rsidRPr="00AD0A4E">
        <w:rPr>
          <w:rFonts w:ascii="Arial" w:hAnsi="Arial" w:cs="Arial"/>
        </w:rPr>
        <w:t xml:space="preserve"> submission, there is no basis for a</w:t>
      </w:r>
      <w:r w:rsidR="009D799B" w:rsidRPr="00AD0A4E">
        <w:rPr>
          <w:rFonts w:ascii="Arial" w:hAnsi="Arial" w:cs="Arial"/>
        </w:rPr>
        <w:t>n</w:t>
      </w:r>
      <w:r w:rsidRPr="00AD0A4E">
        <w:rPr>
          <w:rFonts w:ascii="Arial" w:hAnsi="Arial" w:cs="Arial"/>
        </w:rPr>
        <w:t xml:space="preserve"> </w:t>
      </w:r>
      <w:r w:rsidR="009D799B" w:rsidRPr="00AD0A4E">
        <w:rPr>
          <w:rFonts w:ascii="Arial" w:hAnsi="Arial" w:cs="Arial"/>
        </w:rPr>
        <w:t>award of costs</w:t>
      </w:r>
      <w:r w:rsidR="009D799B" w:rsidRPr="00AD0A4E">
        <w:rPr>
          <w:rFonts w:ascii="Arial" w:hAnsi="Arial" w:cs="Arial"/>
          <w:color w:val="auto"/>
        </w:rPr>
        <w:t>.</w:t>
      </w:r>
      <w:r w:rsidR="00332EF8" w:rsidRPr="00AD0A4E">
        <w:rPr>
          <w:rFonts w:ascii="Arial" w:hAnsi="Arial" w:cs="Arial"/>
        </w:rPr>
        <w:t xml:space="preserve"> </w:t>
      </w:r>
    </w:p>
    <w:p w14:paraId="65DC5FF4" w14:textId="77777777" w:rsidR="00A17FE1" w:rsidRPr="00AD0A4E" w:rsidRDefault="00A17FE1" w:rsidP="00A545D8">
      <w:pPr>
        <w:pStyle w:val="Heading6blackfont"/>
        <w:spacing w:before="240"/>
        <w:rPr>
          <w:rFonts w:ascii="Arial" w:hAnsi="Arial" w:cs="Arial"/>
        </w:rPr>
      </w:pPr>
      <w:r w:rsidRPr="00AD0A4E">
        <w:rPr>
          <w:rFonts w:ascii="Arial" w:hAnsi="Arial" w:cs="Arial"/>
        </w:rPr>
        <w:t>Inspector’s Comments</w:t>
      </w:r>
    </w:p>
    <w:p w14:paraId="35B7B3F7" w14:textId="56C3B622" w:rsidR="001D3812" w:rsidRPr="00AD0A4E" w:rsidRDefault="001D3812" w:rsidP="001D3812">
      <w:pPr>
        <w:pStyle w:val="Style1"/>
        <w:numPr>
          <w:ilvl w:val="0"/>
          <w:numId w:val="11"/>
        </w:numPr>
        <w:spacing w:before="140"/>
        <w:rPr>
          <w:rFonts w:ascii="Arial" w:hAnsi="Arial" w:cs="Arial"/>
        </w:rPr>
      </w:pPr>
      <w:r w:rsidRPr="00AD0A4E">
        <w:rPr>
          <w:rFonts w:ascii="Arial" w:hAnsi="Arial" w:cs="Arial"/>
        </w:rPr>
        <w:t>I held an inquiry into the Order in question over a total of 7 days: 2-5 November 2021 and 11-13 January 2022 with a short pre-inquiry meeting held (virtually) on 19 October 2021. The application for a</w:t>
      </w:r>
      <w:r w:rsidR="00D616FC" w:rsidRPr="00AD0A4E">
        <w:rPr>
          <w:rFonts w:ascii="Arial" w:hAnsi="Arial" w:cs="Arial"/>
        </w:rPr>
        <w:t xml:space="preserve"> partial </w:t>
      </w:r>
      <w:r w:rsidRPr="00AD0A4E">
        <w:rPr>
          <w:rFonts w:ascii="Arial" w:hAnsi="Arial" w:cs="Arial"/>
        </w:rPr>
        <w:t>award of costs against Mr Thorne was made on the final day of the inquiry by Mr Lopez on behalf of NR.</w:t>
      </w:r>
    </w:p>
    <w:p w14:paraId="65DC5FF5" w14:textId="3D14898D" w:rsidR="00A17FE1" w:rsidRPr="00AD0A4E" w:rsidRDefault="00A17FE1" w:rsidP="00A17FE1">
      <w:pPr>
        <w:pStyle w:val="Style1"/>
        <w:numPr>
          <w:ilvl w:val="0"/>
          <w:numId w:val="11"/>
        </w:numPr>
        <w:tabs>
          <w:tab w:val="clear" w:pos="432"/>
        </w:tabs>
        <w:rPr>
          <w:rFonts w:ascii="Arial" w:hAnsi="Arial" w:cs="Arial"/>
        </w:rPr>
      </w:pPr>
      <w:r w:rsidRPr="00AD0A4E">
        <w:rPr>
          <w:rFonts w:ascii="Arial" w:hAnsi="Arial" w:cs="Arial"/>
        </w:rPr>
        <w:t>Department for Environment, Food and Rural Affairs Rights of Way Circular 1/09 Version 2 (October 2009) and the relevant Planning Practice Guidance</w:t>
      </w:r>
      <w:r w:rsidR="00E748F5" w:rsidRPr="00AD0A4E">
        <w:rPr>
          <w:rFonts w:ascii="Arial" w:hAnsi="Arial" w:cs="Arial"/>
        </w:rPr>
        <w:t xml:space="preserve"> </w:t>
      </w:r>
      <w:r w:rsidRPr="00AD0A4E">
        <w:rPr>
          <w:rFonts w:ascii="Arial" w:hAnsi="Arial" w:cs="Arial"/>
        </w:rPr>
        <w:t xml:space="preserve">advise that costs may be awarded against a party who has behaved unreasonably and thereby </w:t>
      </w:r>
      <w:r w:rsidR="008A3FBC" w:rsidRPr="00AD0A4E">
        <w:rPr>
          <w:rFonts w:ascii="Arial" w:hAnsi="Arial" w:cs="Arial"/>
        </w:rPr>
        <w:t xml:space="preserve">directly </w:t>
      </w:r>
      <w:r w:rsidRPr="00AD0A4E">
        <w:rPr>
          <w:rFonts w:ascii="Arial" w:hAnsi="Arial" w:cs="Arial"/>
        </w:rPr>
        <w:t>caused the party applying for costs to incur unnecessary or wasted expense in th</w:t>
      </w:r>
      <w:r w:rsidR="00360013" w:rsidRPr="00AD0A4E">
        <w:rPr>
          <w:rFonts w:ascii="Arial" w:hAnsi="Arial" w:cs="Arial"/>
        </w:rPr>
        <w:t>is</w:t>
      </w:r>
      <w:r w:rsidRPr="00AD0A4E">
        <w:rPr>
          <w:rFonts w:ascii="Arial" w:hAnsi="Arial" w:cs="Arial"/>
        </w:rPr>
        <w:t xml:space="preserve"> process.</w:t>
      </w:r>
      <w:bookmarkStart w:id="0" w:name="bmkReturn"/>
      <w:bookmarkEnd w:id="0"/>
    </w:p>
    <w:p w14:paraId="1340DE41" w14:textId="075C2351" w:rsidR="00D616FC" w:rsidRPr="00AD0A4E" w:rsidRDefault="009E67FA" w:rsidP="00D616FC">
      <w:pPr>
        <w:pStyle w:val="Style1"/>
        <w:numPr>
          <w:ilvl w:val="0"/>
          <w:numId w:val="11"/>
        </w:numPr>
        <w:spacing w:before="140"/>
        <w:rPr>
          <w:rFonts w:ascii="Arial" w:hAnsi="Arial" w:cs="Arial"/>
        </w:rPr>
      </w:pPr>
      <w:r w:rsidRPr="00AD0A4E">
        <w:rPr>
          <w:rFonts w:ascii="Arial" w:hAnsi="Arial" w:cs="Arial"/>
        </w:rPr>
        <w:lastRenderedPageBreak/>
        <w:t xml:space="preserve">In both sources of guidance, the principles of costs applications and awards, and the examples given, are applicable, by analogy, to rights of way cases.  </w:t>
      </w:r>
      <w:r w:rsidR="00D616FC" w:rsidRPr="00AD0A4E">
        <w:rPr>
          <w:rFonts w:ascii="Arial" w:hAnsi="Arial" w:cs="Arial"/>
        </w:rPr>
        <w:t>A claim may relate to the substance of the Order</w:t>
      </w:r>
      <w:r w:rsidR="00D41E53" w:rsidRPr="00AD0A4E">
        <w:rPr>
          <w:rFonts w:ascii="Arial" w:hAnsi="Arial" w:cs="Arial"/>
        </w:rPr>
        <w:t xml:space="preserve"> and/or</w:t>
      </w:r>
      <w:r w:rsidR="00D616FC" w:rsidRPr="00AD0A4E">
        <w:rPr>
          <w:rFonts w:ascii="Arial" w:hAnsi="Arial" w:cs="Arial"/>
        </w:rPr>
        <w:t xml:space="preserve"> to procedural matters.</w:t>
      </w:r>
    </w:p>
    <w:p w14:paraId="64471371" w14:textId="77777777" w:rsidR="00790EB1" w:rsidRPr="00AD0A4E" w:rsidRDefault="00EE0439" w:rsidP="00EE0439">
      <w:pPr>
        <w:pStyle w:val="Style1"/>
        <w:numPr>
          <w:ilvl w:val="0"/>
          <w:numId w:val="11"/>
        </w:numPr>
        <w:spacing w:before="140"/>
        <w:rPr>
          <w:rFonts w:ascii="Arial" w:hAnsi="Arial" w:cs="Arial"/>
        </w:rPr>
      </w:pPr>
      <w:r w:rsidRPr="00AD0A4E">
        <w:rPr>
          <w:rFonts w:ascii="Arial" w:hAnsi="Arial" w:cs="Arial"/>
        </w:rPr>
        <w:t xml:space="preserve">In terms of substantive grounds, NR submits that no part of the alternative (diversionary) route is rationally capable of being argued to amount to a public right of way. I reject that assertion. </w:t>
      </w:r>
    </w:p>
    <w:p w14:paraId="7D3F3BBF" w14:textId="0862DD76" w:rsidR="00EE0439" w:rsidRPr="00AD0A4E" w:rsidRDefault="00EE0439" w:rsidP="00EE0439">
      <w:pPr>
        <w:pStyle w:val="Style1"/>
        <w:numPr>
          <w:ilvl w:val="0"/>
          <w:numId w:val="11"/>
        </w:numPr>
        <w:spacing w:before="140"/>
        <w:rPr>
          <w:rFonts w:ascii="Arial" w:hAnsi="Arial" w:cs="Arial"/>
        </w:rPr>
      </w:pPr>
      <w:r w:rsidRPr="00AD0A4E">
        <w:rPr>
          <w:rFonts w:ascii="Arial" w:hAnsi="Arial" w:cs="Arial"/>
        </w:rPr>
        <w:t xml:space="preserve">I stated several times that the determination of an order of this type does not </w:t>
      </w:r>
      <w:r w:rsidR="00D41E53" w:rsidRPr="00AD0A4E">
        <w:rPr>
          <w:rFonts w:ascii="Arial" w:hAnsi="Arial" w:cs="Arial"/>
        </w:rPr>
        <w:t>facilitate</w:t>
      </w:r>
      <w:r w:rsidRPr="00AD0A4E">
        <w:rPr>
          <w:rFonts w:ascii="Arial" w:hAnsi="Arial" w:cs="Arial"/>
        </w:rPr>
        <w:t xml:space="preserve"> a detailed examination of the status of any </w:t>
      </w:r>
      <w:r w:rsidR="00665C87" w:rsidRPr="00AD0A4E">
        <w:rPr>
          <w:rFonts w:ascii="Arial" w:hAnsi="Arial" w:cs="Arial"/>
        </w:rPr>
        <w:t xml:space="preserve">part of the </w:t>
      </w:r>
      <w:r w:rsidRPr="00AD0A4E">
        <w:rPr>
          <w:rFonts w:ascii="Arial" w:hAnsi="Arial" w:cs="Arial"/>
        </w:rPr>
        <w:t xml:space="preserve">way at issue. That is </w:t>
      </w:r>
      <w:r w:rsidR="00211BDD" w:rsidRPr="00AD0A4E">
        <w:rPr>
          <w:rFonts w:ascii="Arial" w:hAnsi="Arial" w:cs="Arial"/>
        </w:rPr>
        <w:t xml:space="preserve">essentially </w:t>
      </w:r>
      <w:r w:rsidRPr="00AD0A4E">
        <w:rPr>
          <w:rFonts w:ascii="Arial" w:hAnsi="Arial" w:cs="Arial"/>
        </w:rPr>
        <w:t>a matter for the surveying authority</w:t>
      </w:r>
      <w:r w:rsidR="00665C87" w:rsidRPr="00AD0A4E">
        <w:rPr>
          <w:rFonts w:ascii="Arial" w:hAnsi="Arial" w:cs="Arial"/>
        </w:rPr>
        <w:t xml:space="preserve">, </w:t>
      </w:r>
      <w:r w:rsidR="00211BDD" w:rsidRPr="00AD0A4E">
        <w:rPr>
          <w:rFonts w:ascii="Arial" w:hAnsi="Arial" w:cs="Arial"/>
        </w:rPr>
        <w:t xml:space="preserve">particularly </w:t>
      </w:r>
      <w:r w:rsidR="00665C87" w:rsidRPr="00AD0A4E">
        <w:rPr>
          <w:rFonts w:ascii="Arial" w:hAnsi="Arial" w:cs="Arial"/>
        </w:rPr>
        <w:t xml:space="preserve">in this case </w:t>
      </w:r>
      <w:r w:rsidRPr="00AD0A4E">
        <w:rPr>
          <w:rFonts w:ascii="Arial" w:hAnsi="Arial" w:cs="Arial"/>
        </w:rPr>
        <w:t>whe</w:t>
      </w:r>
      <w:r w:rsidR="00790EB1" w:rsidRPr="00AD0A4E">
        <w:rPr>
          <w:rFonts w:ascii="Arial" w:hAnsi="Arial" w:cs="Arial"/>
        </w:rPr>
        <w:t xml:space="preserve">re CCC is still to </w:t>
      </w:r>
      <w:r w:rsidRPr="00AD0A4E">
        <w:rPr>
          <w:rFonts w:ascii="Arial" w:hAnsi="Arial" w:cs="Arial"/>
        </w:rPr>
        <w:t>determin</w:t>
      </w:r>
      <w:r w:rsidR="00790EB1" w:rsidRPr="00AD0A4E">
        <w:rPr>
          <w:rFonts w:ascii="Arial" w:hAnsi="Arial" w:cs="Arial"/>
        </w:rPr>
        <w:t>e</w:t>
      </w:r>
      <w:r w:rsidRPr="00AD0A4E">
        <w:rPr>
          <w:rFonts w:ascii="Arial" w:hAnsi="Arial" w:cs="Arial"/>
        </w:rPr>
        <w:t xml:space="preserve"> the definitive map modification application made in relation to the promenade.</w:t>
      </w:r>
      <w:r w:rsidR="00665C87" w:rsidRPr="00AD0A4E">
        <w:rPr>
          <w:rFonts w:ascii="Arial" w:hAnsi="Arial" w:cs="Arial"/>
        </w:rPr>
        <w:t xml:space="preserve"> N</w:t>
      </w:r>
      <w:r w:rsidR="00790EB1" w:rsidRPr="00AD0A4E">
        <w:rPr>
          <w:rFonts w:ascii="Arial" w:hAnsi="Arial" w:cs="Arial"/>
        </w:rPr>
        <w:t>evertheless, n</w:t>
      </w:r>
      <w:r w:rsidRPr="00AD0A4E">
        <w:rPr>
          <w:rFonts w:ascii="Arial" w:hAnsi="Arial" w:cs="Arial"/>
        </w:rPr>
        <w:t>o unassailable evidence was put before this inquiry that would render a</w:t>
      </w:r>
      <w:r w:rsidR="00790EB1" w:rsidRPr="00AD0A4E">
        <w:rPr>
          <w:rFonts w:ascii="Arial" w:hAnsi="Arial" w:cs="Arial"/>
        </w:rPr>
        <w:t>ny</w:t>
      </w:r>
      <w:r w:rsidRPr="00AD0A4E">
        <w:rPr>
          <w:rFonts w:ascii="Arial" w:hAnsi="Arial" w:cs="Arial"/>
        </w:rPr>
        <w:t xml:space="preserve"> part of the alternative route incapable of being reasonably alleged to be a public path.    </w:t>
      </w:r>
    </w:p>
    <w:p w14:paraId="1BBF2914" w14:textId="34909119" w:rsidR="00EE0439" w:rsidRPr="00AD0A4E" w:rsidRDefault="00EE0439" w:rsidP="00EE0439">
      <w:pPr>
        <w:pStyle w:val="Style1"/>
        <w:numPr>
          <w:ilvl w:val="0"/>
          <w:numId w:val="11"/>
        </w:numPr>
        <w:spacing w:before="140"/>
        <w:rPr>
          <w:rFonts w:ascii="Arial" w:hAnsi="Arial" w:cs="Arial"/>
        </w:rPr>
      </w:pPr>
      <w:r w:rsidRPr="00AD0A4E">
        <w:rPr>
          <w:rFonts w:ascii="Arial" w:hAnsi="Arial" w:cs="Arial"/>
        </w:rPr>
        <w:t xml:space="preserve">As regards procedural matters, NR contends that it was not until 12 January that NT produced a written statement clarifying his position </w:t>
      </w:r>
      <w:r w:rsidR="00790EB1" w:rsidRPr="00AD0A4E">
        <w:rPr>
          <w:rFonts w:ascii="Arial" w:hAnsi="Arial" w:cs="Arial"/>
        </w:rPr>
        <w:t>in relation to</w:t>
      </w:r>
      <w:r w:rsidRPr="00AD0A4E">
        <w:rPr>
          <w:rFonts w:ascii="Arial" w:hAnsi="Arial" w:cs="Arial"/>
        </w:rPr>
        <w:t xml:space="preserve"> his ‘</w:t>
      </w:r>
      <w:r w:rsidRPr="00AD0A4E">
        <w:rPr>
          <w:rFonts w:ascii="Arial" w:hAnsi="Arial" w:cs="Arial"/>
          <w:i/>
          <w:iCs/>
        </w:rPr>
        <w:t>Bernstein’</w:t>
      </w:r>
      <w:r w:rsidRPr="00AD0A4E">
        <w:rPr>
          <w:rFonts w:ascii="Arial" w:hAnsi="Arial" w:cs="Arial"/>
        </w:rPr>
        <w:t xml:space="preserve"> argument, and that until this point, paragraphs 1.17 and 1.18 of his statement of case had remained live matters to which NR had to respond. </w:t>
      </w:r>
    </w:p>
    <w:p w14:paraId="4B6327E9" w14:textId="4A8FB4CB" w:rsidR="00EE0439" w:rsidRPr="00AD0A4E" w:rsidRDefault="00011E49" w:rsidP="00EE0439">
      <w:pPr>
        <w:pStyle w:val="ListParagraph"/>
        <w:numPr>
          <w:ilvl w:val="0"/>
          <w:numId w:val="11"/>
        </w:numPr>
        <w:shd w:val="clear" w:color="auto" w:fill="FFFFFF"/>
        <w:spacing w:before="120" w:after="120"/>
        <w:rPr>
          <w:rFonts w:ascii="Arial" w:hAnsi="Arial" w:cs="Arial"/>
          <w:color w:val="333333"/>
          <w:szCs w:val="22"/>
        </w:rPr>
      </w:pPr>
      <w:r w:rsidRPr="00AD0A4E">
        <w:rPr>
          <w:rFonts w:ascii="Arial" w:hAnsi="Arial" w:cs="Arial"/>
          <w:color w:val="333333"/>
          <w:szCs w:val="22"/>
        </w:rPr>
        <w:t xml:space="preserve">Understandably </w:t>
      </w:r>
      <w:r w:rsidR="00790EB1" w:rsidRPr="00AD0A4E">
        <w:rPr>
          <w:rFonts w:ascii="Arial" w:hAnsi="Arial" w:cs="Arial"/>
          <w:color w:val="333333"/>
          <w:szCs w:val="22"/>
        </w:rPr>
        <w:t xml:space="preserve">NR </w:t>
      </w:r>
      <w:r w:rsidRPr="00AD0A4E">
        <w:rPr>
          <w:rFonts w:ascii="Arial" w:hAnsi="Arial" w:cs="Arial"/>
          <w:color w:val="333333"/>
          <w:szCs w:val="22"/>
        </w:rPr>
        <w:t xml:space="preserve">considered it necessary </w:t>
      </w:r>
      <w:r w:rsidR="00790EB1" w:rsidRPr="00AD0A4E">
        <w:rPr>
          <w:rFonts w:ascii="Arial" w:hAnsi="Arial" w:cs="Arial"/>
          <w:color w:val="333333"/>
          <w:szCs w:val="22"/>
        </w:rPr>
        <w:t xml:space="preserve">to address the point. </w:t>
      </w:r>
      <w:r w:rsidRPr="00AD0A4E">
        <w:rPr>
          <w:rFonts w:ascii="Arial" w:hAnsi="Arial" w:cs="Arial"/>
          <w:color w:val="333333"/>
          <w:szCs w:val="22"/>
        </w:rPr>
        <w:t xml:space="preserve">However, </w:t>
      </w:r>
      <w:r w:rsidR="00EE0439" w:rsidRPr="00AD0A4E">
        <w:rPr>
          <w:rFonts w:ascii="Arial" w:hAnsi="Arial" w:cs="Arial"/>
          <w:color w:val="333333"/>
          <w:szCs w:val="22"/>
        </w:rPr>
        <w:t xml:space="preserve">I consider Mr Thorne to have made his position sufficiently clear at an early stage in the proceedings. He did not withdraw his contention that the alternative route was already a public right of way, but </w:t>
      </w:r>
      <w:r w:rsidR="00665C87" w:rsidRPr="00AD0A4E">
        <w:rPr>
          <w:rFonts w:ascii="Arial" w:hAnsi="Arial" w:cs="Arial"/>
          <w:color w:val="333333"/>
          <w:szCs w:val="22"/>
        </w:rPr>
        <w:t xml:space="preserve">in my </w:t>
      </w:r>
      <w:proofErr w:type="gramStart"/>
      <w:r w:rsidR="00665C87" w:rsidRPr="00AD0A4E">
        <w:rPr>
          <w:rFonts w:ascii="Arial" w:hAnsi="Arial" w:cs="Arial"/>
          <w:color w:val="333333"/>
          <w:szCs w:val="22"/>
        </w:rPr>
        <w:t>view</w:t>
      </w:r>
      <w:proofErr w:type="gramEnd"/>
      <w:r w:rsidR="00665C87" w:rsidRPr="00AD0A4E">
        <w:rPr>
          <w:rFonts w:ascii="Arial" w:hAnsi="Arial" w:cs="Arial"/>
          <w:color w:val="333333"/>
          <w:szCs w:val="22"/>
        </w:rPr>
        <w:t xml:space="preserve"> </w:t>
      </w:r>
      <w:r w:rsidR="00EE0439" w:rsidRPr="00AD0A4E">
        <w:rPr>
          <w:rFonts w:ascii="Arial" w:hAnsi="Arial" w:cs="Arial"/>
          <w:color w:val="333333"/>
          <w:szCs w:val="22"/>
        </w:rPr>
        <w:t xml:space="preserve">it was not necessary that he did so. He stated that he </w:t>
      </w:r>
      <w:r w:rsidR="00665C87" w:rsidRPr="00AD0A4E">
        <w:rPr>
          <w:rFonts w:ascii="Arial" w:hAnsi="Arial" w:cs="Arial"/>
          <w:color w:val="333333"/>
          <w:szCs w:val="22"/>
        </w:rPr>
        <w:t xml:space="preserve">did not intend to </w:t>
      </w:r>
      <w:r w:rsidR="00EE0439" w:rsidRPr="00AD0A4E">
        <w:rPr>
          <w:rFonts w:ascii="Arial" w:hAnsi="Arial" w:cs="Arial"/>
          <w:color w:val="333333"/>
          <w:szCs w:val="22"/>
        </w:rPr>
        <w:t xml:space="preserve">pursue the point </w:t>
      </w:r>
      <w:r w:rsidR="00665C87" w:rsidRPr="00AD0A4E">
        <w:rPr>
          <w:rFonts w:ascii="Arial" w:hAnsi="Arial" w:cs="Arial"/>
          <w:color w:val="333333"/>
          <w:szCs w:val="22"/>
        </w:rPr>
        <w:t xml:space="preserve">given </w:t>
      </w:r>
      <w:r w:rsidR="00EE0439" w:rsidRPr="00AD0A4E">
        <w:rPr>
          <w:rFonts w:ascii="Arial" w:hAnsi="Arial" w:cs="Arial"/>
          <w:color w:val="333333"/>
          <w:szCs w:val="22"/>
        </w:rPr>
        <w:t xml:space="preserve">my advice that it was not my role to adjudicate on the question of status. </w:t>
      </w:r>
    </w:p>
    <w:p w14:paraId="35FEE512" w14:textId="77777777" w:rsidR="00EE0439" w:rsidRPr="00AD0A4E" w:rsidRDefault="00EE0439" w:rsidP="00EE0439">
      <w:pPr>
        <w:pStyle w:val="ListParagraph"/>
        <w:shd w:val="clear" w:color="auto" w:fill="FFFFFF"/>
        <w:spacing w:before="120" w:after="120"/>
        <w:ind w:left="432"/>
        <w:rPr>
          <w:rFonts w:ascii="Arial" w:hAnsi="Arial" w:cs="Arial"/>
          <w:color w:val="333333"/>
          <w:szCs w:val="22"/>
        </w:rPr>
      </w:pPr>
    </w:p>
    <w:p w14:paraId="25E3F37D" w14:textId="0F877CE1" w:rsidR="00211BDD" w:rsidRPr="00AD0A4E" w:rsidRDefault="00EE0439" w:rsidP="00211BDD">
      <w:pPr>
        <w:pStyle w:val="ListParagraph"/>
        <w:numPr>
          <w:ilvl w:val="0"/>
          <w:numId w:val="11"/>
        </w:numPr>
        <w:shd w:val="clear" w:color="auto" w:fill="FFFFFF"/>
        <w:spacing w:before="120" w:after="120"/>
        <w:rPr>
          <w:rFonts w:ascii="Arial" w:hAnsi="Arial" w:cs="Arial"/>
          <w:color w:val="333333"/>
          <w:szCs w:val="22"/>
        </w:rPr>
      </w:pPr>
      <w:r w:rsidRPr="00AD0A4E">
        <w:rPr>
          <w:rFonts w:ascii="Arial" w:hAnsi="Arial" w:cs="Arial"/>
          <w:color w:val="333333"/>
          <w:szCs w:val="22"/>
        </w:rPr>
        <w:t xml:space="preserve">Either Cumbria County Council (the order-making authority), or the applicant </w:t>
      </w:r>
      <w:r w:rsidR="00417D42" w:rsidRPr="00AD0A4E">
        <w:rPr>
          <w:rFonts w:ascii="Arial" w:hAnsi="Arial" w:cs="Arial"/>
          <w:color w:val="333333"/>
          <w:szCs w:val="22"/>
        </w:rPr>
        <w:t>(</w:t>
      </w:r>
      <w:r w:rsidRPr="00AD0A4E">
        <w:rPr>
          <w:rFonts w:ascii="Arial" w:hAnsi="Arial" w:cs="Arial"/>
          <w:color w:val="333333"/>
          <w:szCs w:val="22"/>
        </w:rPr>
        <w:t>NR</w:t>
      </w:r>
      <w:r w:rsidR="00417D42" w:rsidRPr="00AD0A4E">
        <w:rPr>
          <w:rFonts w:ascii="Arial" w:hAnsi="Arial" w:cs="Arial"/>
          <w:color w:val="333333"/>
          <w:szCs w:val="22"/>
        </w:rPr>
        <w:t>)</w:t>
      </w:r>
      <w:r w:rsidRPr="00AD0A4E">
        <w:rPr>
          <w:rFonts w:ascii="Arial" w:hAnsi="Arial" w:cs="Arial"/>
          <w:color w:val="333333"/>
          <w:szCs w:val="22"/>
        </w:rPr>
        <w:t xml:space="preserve"> on its behalf, would have been required to investigate the question of ownership of the land crossed by the alternative route before making the Order, not least </w:t>
      </w:r>
      <w:proofErr w:type="gramStart"/>
      <w:r w:rsidRPr="00AD0A4E">
        <w:rPr>
          <w:rFonts w:ascii="Arial" w:hAnsi="Arial" w:cs="Arial"/>
          <w:color w:val="333333"/>
          <w:szCs w:val="22"/>
        </w:rPr>
        <w:t>so as to</w:t>
      </w:r>
      <w:proofErr w:type="gramEnd"/>
      <w:r w:rsidRPr="00AD0A4E">
        <w:rPr>
          <w:rFonts w:ascii="Arial" w:hAnsi="Arial" w:cs="Arial"/>
          <w:color w:val="333333"/>
          <w:szCs w:val="22"/>
        </w:rPr>
        <w:t xml:space="preserve"> satisfy the statutory requirements for the service of notice. CCC were already in possession of an application for a definitive map modification order for part of the route and the evidence to support it. It can have been no surprise to NR that the point arose</w:t>
      </w:r>
      <w:r w:rsidR="00211BDD" w:rsidRPr="00AD0A4E">
        <w:rPr>
          <w:rFonts w:ascii="Arial" w:hAnsi="Arial" w:cs="Arial"/>
          <w:color w:val="333333"/>
          <w:szCs w:val="22"/>
        </w:rPr>
        <w:t xml:space="preserve"> in relation to this Order when </w:t>
      </w:r>
      <w:r w:rsidRPr="00AD0A4E">
        <w:rPr>
          <w:rFonts w:ascii="Arial" w:hAnsi="Arial" w:cs="Arial"/>
          <w:color w:val="333333"/>
          <w:szCs w:val="22"/>
        </w:rPr>
        <w:t xml:space="preserve">the </w:t>
      </w:r>
      <w:r w:rsidRPr="00AD0A4E">
        <w:rPr>
          <w:rFonts w:ascii="Arial" w:hAnsi="Arial" w:cs="Arial"/>
          <w:i/>
          <w:iCs/>
          <w:color w:val="333333"/>
          <w:szCs w:val="22"/>
        </w:rPr>
        <w:t>Bernstein</w:t>
      </w:r>
      <w:r w:rsidRPr="00AD0A4E">
        <w:rPr>
          <w:rFonts w:ascii="Arial" w:hAnsi="Arial" w:cs="Arial"/>
          <w:color w:val="333333"/>
          <w:szCs w:val="22"/>
        </w:rPr>
        <w:t xml:space="preserve"> issue had been raised by Mr Thorne prior to the Order being made </w:t>
      </w:r>
      <w:r w:rsidR="00211BDD" w:rsidRPr="00AD0A4E">
        <w:rPr>
          <w:rFonts w:ascii="Arial" w:hAnsi="Arial" w:cs="Arial"/>
          <w:color w:val="333333"/>
          <w:szCs w:val="22"/>
        </w:rPr>
        <w:t>although it</w:t>
      </w:r>
      <w:r w:rsidRPr="00AD0A4E">
        <w:rPr>
          <w:rFonts w:ascii="Arial" w:hAnsi="Arial" w:cs="Arial"/>
          <w:color w:val="333333"/>
          <w:szCs w:val="22"/>
        </w:rPr>
        <w:t xml:space="preserve"> </w:t>
      </w:r>
      <w:r w:rsidR="00011E49" w:rsidRPr="00AD0A4E">
        <w:rPr>
          <w:rFonts w:ascii="Arial" w:hAnsi="Arial" w:cs="Arial"/>
          <w:color w:val="333333"/>
          <w:szCs w:val="22"/>
        </w:rPr>
        <w:t xml:space="preserve">appears </w:t>
      </w:r>
      <w:r w:rsidRPr="00AD0A4E">
        <w:rPr>
          <w:rFonts w:ascii="Arial" w:hAnsi="Arial" w:cs="Arial"/>
          <w:color w:val="333333"/>
          <w:szCs w:val="22"/>
        </w:rPr>
        <w:t xml:space="preserve">not </w:t>
      </w:r>
      <w:r w:rsidR="00011E49" w:rsidRPr="00AD0A4E">
        <w:rPr>
          <w:rFonts w:ascii="Arial" w:hAnsi="Arial" w:cs="Arial"/>
          <w:color w:val="333333"/>
          <w:szCs w:val="22"/>
        </w:rPr>
        <w:t xml:space="preserve">to have </w:t>
      </w:r>
      <w:r w:rsidRPr="00AD0A4E">
        <w:rPr>
          <w:rFonts w:ascii="Arial" w:hAnsi="Arial" w:cs="Arial"/>
          <w:color w:val="333333"/>
          <w:szCs w:val="22"/>
        </w:rPr>
        <w:t>been addressed</w:t>
      </w:r>
      <w:r w:rsidR="00011E49" w:rsidRPr="00AD0A4E">
        <w:rPr>
          <w:rFonts w:ascii="Arial" w:hAnsi="Arial" w:cs="Arial"/>
          <w:color w:val="333333"/>
          <w:szCs w:val="22"/>
        </w:rPr>
        <w:t xml:space="preserve"> until the inquiry</w:t>
      </w:r>
      <w:r w:rsidRPr="00AD0A4E">
        <w:rPr>
          <w:rFonts w:ascii="Arial" w:hAnsi="Arial" w:cs="Arial"/>
          <w:color w:val="333333"/>
          <w:szCs w:val="22"/>
        </w:rPr>
        <w:t xml:space="preserve">. </w:t>
      </w:r>
    </w:p>
    <w:p w14:paraId="3500BEE1" w14:textId="77777777" w:rsidR="00211BDD" w:rsidRPr="00AD0A4E" w:rsidRDefault="00211BDD" w:rsidP="00211BDD">
      <w:pPr>
        <w:pStyle w:val="ListParagraph"/>
        <w:rPr>
          <w:rFonts w:ascii="Arial" w:hAnsi="Arial" w:cs="Arial"/>
        </w:rPr>
      </w:pPr>
    </w:p>
    <w:p w14:paraId="13538A39" w14:textId="6CE3D62A" w:rsidR="00D616FC" w:rsidRPr="00AD0A4E" w:rsidRDefault="001D3812" w:rsidP="00211BDD">
      <w:pPr>
        <w:pStyle w:val="ListParagraph"/>
        <w:numPr>
          <w:ilvl w:val="0"/>
          <w:numId w:val="11"/>
        </w:numPr>
        <w:shd w:val="clear" w:color="auto" w:fill="FFFFFF"/>
        <w:spacing w:before="120" w:after="120"/>
        <w:rPr>
          <w:rFonts w:ascii="Arial" w:hAnsi="Arial" w:cs="Arial"/>
          <w:color w:val="333333"/>
          <w:szCs w:val="22"/>
        </w:rPr>
      </w:pPr>
      <w:r w:rsidRPr="00AD0A4E">
        <w:rPr>
          <w:rFonts w:ascii="Arial" w:hAnsi="Arial" w:cs="Arial"/>
        </w:rPr>
        <w:t>Mr Lopez draws an analogy between t</w:t>
      </w:r>
      <w:r w:rsidR="00D616FC" w:rsidRPr="00AD0A4E">
        <w:rPr>
          <w:rFonts w:ascii="Arial" w:hAnsi="Arial" w:cs="Arial"/>
        </w:rPr>
        <w:t xml:space="preserve">wo of the examples in Defra Circular 1/09 and four </w:t>
      </w:r>
      <w:r w:rsidR="00117D5E" w:rsidRPr="00AD0A4E">
        <w:rPr>
          <w:rFonts w:ascii="Arial" w:hAnsi="Arial" w:cs="Arial"/>
        </w:rPr>
        <w:t>that are listed</w:t>
      </w:r>
      <w:r w:rsidR="00D616FC" w:rsidRPr="00AD0A4E">
        <w:rPr>
          <w:rFonts w:ascii="Arial" w:hAnsi="Arial" w:cs="Arial"/>
        </w:rPr>
        <w:t xml:space="preserve"> in </w:t>
      </w:r>
      <w:r w:rsidR="00E748F5" w:rsidRPr="00AD0A4E">
        <w:rPr>
          <w:rFonts w:ascii="Arial" w:hAnsi="Arial" w:cs="Arial"/>
        </w:rPr>
        <w:t xml:space="preserve">Section 16 of </w:t>
      </w:r>
      <w:r w:rsidR="00D616FC" w:rsidRPr="00AD0A4E">
        <w:rPr>
          <w:rFonts w:ascii="Arial" w:hAnsi="Arial" w:cs="Arial"/>
        </w:rPr>
        <w:t xml:space="preserve">the </w:t>
      </w:r>
      <w:r w:rsidR="00E748F5" w:rsidRPr="00AD0A4E">
        <w:rPr>
          <w:rFonts w:ascii="Arial" w:hAnsi="Arial" w:cs="Arial"/>
        </w:rPr>
        <w:t>PPG</w:t>
      </w:r>
      <w:r w:rsidR="00D616FC" w:rsidRPr="00AD0A4E">
        <w:rPr>
          <w:rFonts w:ascii="Arial" w:hAnsi="Arial" w:cs="Arial"/>
        </w:rPr>
        <w:t>. I will consider each</w:t>
      </w:r>
      <w:r w:rsidR="00211BDD" w:rsidRPr="00AD0A4E">
        <w:rPr>
          <w:rFonts w:ascii="Arial" w:hAnsi="Arial" w:cs="Arial"/>
        </w:rPr>
        <w:t xml:space="preserve"> one</w:t>
      </w:r>
      <w:r w:rsidR="00D616FC" w:rsidRPr="00AD0A4E">
        <w:rPr>
          <w:rFonts w:ascii="Arial" w:hAnsi="Arial" w:cs="Arial"/>
        </w:rPr>
        <w:t xml:space="preserve"> in turn.</w:t>
      </w:r>
    </w:p>
    <w:p w14:paraId="3A0A61EA" w14:textId="2D2A70B1" w:rsidR="00E92478" w:rsidRPr="00AD0A4E" w:rsidRDefault="009F301F" w:rsidP="00011E49">
      <w:pPr>
        <w:pStyle w:val="Style1"/>
        <w:numPr>
          <w:ilvl w:val="0"/>
          <w:numId w:val="0"/>
        </w:numPr>
        <w:spacing w:before="240"/>
        <w:ind w:left="431" w:hanging="431"/>
        <w:rPr>
          <w:rFonts w:ascii="Arial" w:hAnsi="Arial" w:cs="Arial"/>
        </w:rPr>
      </w:pPr>
      <w:r w:rsidRPr="00AD0A4E">
        <w:rPr>
          <w:rFonts w:ascii="Arial" w:hAnsi="Arial" w:cs="Arial"/>
          <w:i/>
          <w:iCs/>
        </w:rPr>
        <w:tab/>
      </w:r>
      <w:r w:rsidR="00E92478" w:rsidRPr="00AD0A4E">
        <w:rPr>
          <w:rFonts w:ascii="Arial" w:hAnsi="Arial" w:cs="Arial"/>
          <w:i/>
          <w:iCs/>
        </w:rPr>
        <w:t>Pursuing an objection that the Secretary of State has advised, in writing, is not legally relevant</w:t>
      </w:r>
    </w:p>
    <w:p w14:paraId="22B14ABA" w14:textId="1F0A3752" w:rsidR="00E92478" w:rsidRPr="00AD0A4E" w:rsidRDefault="00E92478" w:rsidP="00E92478">
      <w:pPr>
        <w:pStyle w:val="Style1"/>
        <w:numPr>
          <w:ilvl w:val="0"/>
          <w:numId w:val="11"/>
        </w:numPr>
        <w:spacing w:before="140"/>
        <w:rPr>
          <w:rFonts w:ascii="Arial" w:hAnsi="Arial" w:cs="Arial"/>
        </w:rPr>
      </w:pPr>
      <w:r w:rsidRPr="00AD0A4E">
        <w:rPr>
          <w:rFonts w:ascii="Arial" w:hAnsi="Arial" w:cs="Arial"/>
        </w:rPr>
        <w:t>Although I made clear</w:t>
      </w:r>
      <w:r w:rsidR="00011E49" w:rsidRPr="00AD0A4E">
        <w:rPr>
          <w:rFonts w:ascii="Arial" w:hAnsi="Arial" w:cs="Arial"/>
        </w:rPr>
        <w:t xml:space="preserve">, both before and at </w:t>
      </w:r>
      <w:r w:rsidRPr="00AD0A4E">
        <w:rPr>
          <w:rFonts w:ascii="Arial" w:hAnsi="Arial" w:cs="Arial"/>
        </w:rPr>
        <w:t>the inquiry</w:t>
      </w:r>
      <w:r w:rsidR="00011E49" w:rsidRPr="00AD0A4E">
        <w:rPr>
          <w:rFonts w:ascii="Arial" w:hAnsi="Arial" w:cs="Arial"/>
        </w:rPr>
        <w:t>,</w:t>
      </w:r>
      <w:r w:rsidRPr="00AD0A4E">
        <w:rPr>
          <w:rFonts w:ascii="Arial" w:hAnsi="Arial" w:cs="Arial"/>
        </w:rPr>
        <w:t xml:space="preserve"> that I would not be </w:t>
      </w:r>
      <w:proofErr w:type="gramStart"/>
      <w:r w:rsidRPr="00AD0A4E">
        <w:rPr>
          <w:rFonts w:ascii="Arial" w:hAnsi="Arial" w:cs="Arial"/>
        </w:rPr>
        <w:t>in a position</w:t>
      </w:r>
      <w:proofErr w:type="gramEnd"/>
      <w:r w:rsidRPr="00AD0A4E">
        <w:rPr>
          <w:rFonts w:ascii="Arial" w:hAnsi="Arial" w:cs="Arial"/>
        </w:rPr>
        <w:t xml:space="preserve"> to make a determination on the status of either the Order route or the proposed alternative, I did not state, in writing or otherwise, that the matter </w:t>
      </w:r>
      <w:r w:rsidRPr="00AD0A4E">
        <w:rPr>
          <w:rFonts w:ascii="Arial" w:hAnsi="Arial" w:cs="Arial"/>
          <w:i/>
          <w:iCs/>
        </w:rPr>
        <w:t>was not legally relevant</w:t>
      </w:r>
      <w:r w:rsidRPr="00AD0A4E">
        <w:rPr>
          <w:rFonts w:ascii="Arial" w:hAnsi="Arial" w:cs="Arial"/>
        </w:rPr>
        <w:t>. The legislation under which th</w:t>
      </w:r>
      <w:r w:rsidR="00011E49" w:rsidRPr="00AD0A4E">
        <w:rPr>
          <w:rFonts w:ascii="Arial" w:hAnsi="Arial" w:cs="Arial"/>
        </w:rPr>
        <w:t>is</w:t>
      </w:r>
      <w:r w:rsidRPr="00AD0A4E">
        <w:rPr>
          <w:rFonts w:ascii="Arial" w:hAnsi="Arial" w:cs="Arial"/>
        </w:rPr>
        <w:t xml:space="preserve"> Order was made requires that the decision-maker takes into consideration</w:t>
      </w:r>
      <w:r w:rsidRPr="00AD0A4E">
        <w:rPr>
          <w:rFonts w:ascii="Arial" w:hAnsi="Arial" w:cs="Arial"/>
          <w:i/>
          <w:iCs/>
        </w:rPr>
        <w:t xml:space="preserve"> “all the circumstances</w:t>
      </w:r>
      <w:r w:rsidRPr="00AD0A4E">
        <w:rPr>
          <w:rFonts w:ascii="Arial" w:hAnsi="Arial" w:cs="Arial"/>
        </w:rPr>
        <w:t xml:space="preserve">”. </w:t>
      </w:r>
    </w:p>
    <w:p w14:paraId="71A03AED" w14:textId="77777777" w:rsidR="00172C19" w:rsidRPr="00AD0A4E" w:rsidRDefault="00172C19" w:rsidP="00011E49">
      <w:pPr>
        <w:pStyle w:val="Style1"/>
        <w:numPr>
          <w:ilvl w:val="0"/>
          <w:numId w:val="0"/>
        </w:numPr>
        <w:spacing w:before="240"/>
        <w:ind w:left="431"/>
        <w:rPr>
          <w:rFonts w:ascii="Arial" w:hAnsi="Arial" w:cs="Arial"/>
          <w:i/>
          <w:iCs/>
        </w:rPr>
      </w:pPr>
      <w:r w:rsidRPr="00AD0A4E">
        <w:rPr>
          <w:rFonts w:ascii="Arial" w:hAnsi="Arial" w:cs="Arial"/>
          <w:i/>
          <w:iCs/>
        </w:rPr>
        <w:t>Withdrawing an objection at the ’last minute’, resulting in late cancellation of an inquiry or hearing arranged after the objector(s) asked to be heard.</w:t>
      </w:r>
    </w:p>
    <w:p w14:paraId="4112710B" w14:textId="77777777" w:rsidR="00011E49" w:rsidRPr="00AD0A4E" w:rsidRDefault="00F7399F" w:rsidP="00011E49">
      <w:pPr>
        <w:pStyle w:val="ListParagraph"/>
        <w:numPr>
          <w:ilvl w:val="0"/>
          <w:numId w:val="11"/>
        </w:numPr>
        <w:shd w:val="clear" w:color="auto" w:fill="FFFFFF"/>
        <w:spacing w:before="120" w:after="120"/>
        <w:rPr>
          <w:rFonts w:ascii="Arial" w:hAnsi="Arial" w:cs="Arial"/>
          <w:color w:val="333333"/>
          <w:szCs w:val="22"/>
        </w:rPr>
      </w:pPr>
      <w:r w:rsidRPr="00AD0A4E">
        <w:rPr>
          <w:rFonts w:ascii="Arial" w:hAnsi="Arial" w:cs="Arial"/>
          <w:color w:val="333333"/>
          <w:szCs w:val="22"/>
        </w:rPr>
        <w:t>The inquiry was not cancelled. Inquiry time was indeed spent on dealing with the ‘</w:t>
      </w:r>
      <w:r w:rsidRPr="00AD0A4E">
        <w:rPr>
          <w:rFonts w:ascii="Arial" w:hAnsi="Arial" w:cs="Arial"/>
          <w:i/>
          <w:iCs/>
          <w:color w:val="333333"/>
          <w:szCs w:val="22"/>
        </w:rPr>
        <w:t>Bernstein’</w:t>
      </w:r>
      <w:r w:rsidRPr="00AD0A4E">
        <w:rPr>
          <w:rFonts w:ascii="Arial" w:hAnsi="Arial" w:cs="Arial"/>
          <w:color w:val="333333"/>
          <w:szCs w:val="22"/>
        </w:rPr>
        <w:t xml:space="preserve"> issue, primarily through Mr Lopez’ cross-examination of Mr Thorne. </w:t>
      </w:r>
      <w:r w:rsidR="006E566F" w:rsidRPr="00AD0A4E">
        <w:rPr>
          <w:rFonts w:ascii="Arial" w:hAnsi="Arial" w:cs="Arial"/>
          <w:color w:val="333333"/>
          <w:szCs w:val="22"/>
        </w:rPr>
        <w:t>Mr Thorne himself has stated that he did not specifically withdraw the two paragraphs of his statement referring to the ‘</w:t>
      </w:r>
      <w:r w:rsidR="006E566F" w:rsidRPr="00AD0A4E">
        <w:rPr>
          <w:rFonts w:ascii="Arial" w:hAnsi="Arial" w:cs="Arial"/>
          <w:i/>
          <w:iCs/>
          <w:color w:val="333333"/>
          <w:szCs w:val="22"/>
        </w:rPr>
        <w:t>Bernstein’</w:t>
      </w:r>
      <w:r w:rsidR="006E566F" w:rsidRPr="00AD0A4E">
        <w:rPr>
          <w:rFonts w:ascii="Arial" w:hAnsi="Arial" w:cs="Arial"/>
          <w:color w:val="333333"/>
          <w:szCs w:val="22"/>
        </w:rPr>
        <w:t xml:space="preserve"> point a</w:t>
      </w:r>
      <w:r w:rsidRPr="00AD0A4E">
        <w:rPr>
          <w:rFonts w:ascii="Arial" w:hAnsi="Arial" w:cs="Arial"/>
          <w:color w:val="333333"/>
          <w:szCs w:val="22"/>
        </w:rPr>
        <w:t>lthough NR had a different interpretation of his responses</w:t>
      </w:r>
      <w:r w:rsidR="006E566F" w:rsidRPr="00AD0A4E">
        <w:rPr>
          <w:rFonts w:ascii="Arial" w:hAnsi="Arial" w:cs="Arial"/>
          <w:color w:val="333333"/>
          <w:szCs w:val="22"/>
        </w:rPr>
        <w:t xml:space="preserve">. As I have noted above, </w:t>
      </w:r>
      <w:r w:rsidRPr="00AD0A4E">
        <w:rPr>
          <w:rFonts w:ascii="Arial" w:hAnsi="Arial" w:cs="Arial"/>
          <w:color w:val="333333"/>
          <w:szCs w:val="22"/>
        </w:rPr>
        <w:t>I considered Mr Thorne to have made his position sufficiently clear at an early stage in the proceedings.</w:t>
      </w:r>
    </w:p>
    <w:p w14:paraId="1716833D" w14:textId="77777777" w:rsidR="00011E49" w:rsidRPr="00AD0A4E" w:rsidRDefault="00011E49" w:rsidP="00011E49">
      <w:pPr>
        <w:pStyle w:val="ListParagraph"/>
        <w:shd w:val="clear" w:color="auto" w:fill="FFFFFF"/>
        <w:spacing w:before="120" w:after="120"/>
        <w:ind w:left="432"/>
        <w:rPr>
          <w:rFonts w:ascii="Arial" w:hAnsi="Arial" w:cs="Arial"/>
          <w:color w:val="333333"/>
          <w:szCs w:val="22"/>
        </w:rPr>
      </w:pPr>
    </w:p>
    <w:p w14:paraId="7C41469B" w14:textId="7B877814" w:rsidR="009F301F" w:rsidRPr="00AD0A4E" w:rsidRDefault="0072125E" w:rsidP="00011E49">
      <w:pPr>
        <w:pStyle w:val="ListParagraph"/>
        <w:shd w:val="clear" w:color="auto" w:fill="FFFFFF"/>
        <w:spacing w:before="120" w:after="120"/>
        <w:ind w:left="432"/>
        <w:rPr>
          <w:rFonts w:ascii="Arial" w:hAnsi="Arial" w:cs="Arial"/>
          <w:color w:val="333333"/>
          <w:szCs w:val="22"/>
        </w:rPr>
      </w:pPr>
      <w:r w:rsidRPr="00AD0A4E">
        <w:rPr>
          <w:rFonts w:ascii="Arial" w:hAnsi="Arial" w:cs="Arial"/>
          <w:i/>
          <w:iCs/>
          <w:color w:val="333333"/>
          <w:szCs w:val="22"/>
        </w:rPr>
        <w:lastRenderedPageBreak/>
        <w:t>Resistance to, or lack of co-operation with the other party or parties in providing information, discussing the application or appeal, or in responding to a planning contravention notice</w:t>
      </w:r>
    </w:p>
    <w:p w14:paraId="6897661F" w14:textId="77777777" w:rsidR="00117D5E" w:rsidRPr="00AD0A4E" w:rsidRDefault="00117D5E" w:rsidP="00117D5E">
      <w:pPr>
        <w:pStyle w:val="ListParagraph"/>
        <w:shd w:val="clear" w:color="auto" w:fill="FFFFFF"/>
        <w:spacing w:before="120" w:after="120"/>
        <w:ind w:left="432"/>
        <w:rPr>
          <w:rFonts w:ascii="Arial" w:hAnsi="Arial" w:cs="Arial"/>
          <w:i/>
          <w:iCs/>
          <w:color w:val="333333"/>
          <w:sz w:val="16"/>
          <w:szCs w:val="16"/>
        </w:rPr>
      </w:pPr>
    </w:p>
    <w:p w14:paraId="222AD3E7" w14:textId="5121389D" w:rsidR="000F0AEE" w:rsidRPr="00AD0A4E" w:rsidRDefault="000F0AEE" w:rsidP="00D616FC">
      <w:pPr>
        <w:pStyle w:val="ListParagraph"/>
        <w:numPr>
          <w:ilvl w:val="0"/>
          <w:numId w:val="11"/>
        </w:numPr>
        <w:shd w:val="clear" w:color="auto" w:fill="FFFFFF"/>
        <w:spacing w:before="120" w:after="120"/>
        <w:rPr>
          <w:rFonts w:ascii="Arial" w:hAnsi="Arial" w:cs="Arial"/>
          <w:color w:val="333333"/>
          <w:szCs w:val="22"/>
        </w:rPr>
      </w:pPr>
      <w:r w:rsidRPr="00AD0A4E">
        <w:rPr>
          <w:rFonts w:ascii="Arial" w:hAnsi="Arial" w:cs="Arial"/>
          <w:color w:val="333333"/>
          <w:szCs w:val="22"/>
        </w:rPr>
        <w:t xml:space="preserve">Despite being asked numerous times during the inquiry, Mr Thorne declined to formally withdraw the two key paragraphs of his statement as requested by NR. In my view, he was not required to do so. </w:t>
      </w:r>
      <w:r w:rsidR="00E9286D" w:rsidRPr="00AD0A4E">
        <w:rPr>
          <w:rFonts w:ascii="Arial" w:hAnsi="Arial" w:cs="Arial"/>
          <w:color w:val="333333"/>
          <w:szCs w:val="22"/>
        </w:rPr>
        <w:t>He</w:t>
      </w:r>
      <w:r w:rsidRPr="00AD0A4E">
        <w:rPr>
          <w:rFonts w:ascii="Arial" w:hAnsi="Arial" w:cs="Arial"/>
          <w:color w:val="333333"/>
          <w:szCs w:val="22"/>
        </w:rPr>
        <w:t xml:space="preserve"> made clear his view but, respon</w:t>
      </w:r>
      <w:r w:rsidR="00E9286D" w:rsidRPr="00AD0A4E">
        <w:rPr>
          <w:rFonts w:ascii="Arial" w:hAnsi="Arial" w:cs="Arial"/>
          <w:color w:val="333333"/>
          <w:szCs w:val="22"/>
        </w:rPr>
        <w:t>ding</w:t>
      </w:r>
      <w:r w:rsidRPr="00AD0A4E">
        <w:rPr>
          <w:rFonts w:ascii="Arial" w:hAnsi="Arial" w:cs="Arial"/>
          <w:color w:val="333333"/>
          <w:szCs w:val="22"/>
        </w:rPr>
        <w:t xml:space="preserve"> to my advice, he did not actively pursue the point and little inquiry </w:t>
      </w:r>
      <w:r w:rsidR="00C66503" w:rsidRPr="00AD0A4E">
        <w:rPr>
          <w:rFonts w:ascii="Arial" w:hAnsi="Arial" w:cs="Arial"/>
          <w:color w:val="333333"/>
          <w:szCs w:val="22"/>
        </w:rPr>
        <w:t xml:space="preserve">time </w:t>
      </w:r>
      <w:r w:rsidRPr="00AD0A4E">
        <w:rPr>
          <w:rFonts w:ascii="Arial" w:hAnsi="Arial" w:cs="Arial"/>
          <w:color w:val="333333"/>
          <w:szCs w:val="22"/>
        </w:rPr>
        <w:t xml:space="preserve">was taken by it other than when raised by NR. </w:t>
      </w:r>
    </w:p>
    <w:p w14:paraId="0E8FB884" w14:textId="393F86DD" w:rsidR="00D616FC" w:rsidRPr="00AD0A4E" w:rsidRDefault="0072125E" w:rsidP="000F0AEE">
      <w:pPr>
        <w:shd w:val="clear" w:color="auto" w:fill="FFFFFF"/>
        <w:spacing w:before="120" w:after="120"/>
        <w:ind w:left="432"/>
        <w:rPr>
          <w:rFonts w:ascii="Arial" w:hAnsi="Arial" w:cs="Arial"/>
          <w:i/>
          <w:iCs/>
          <w:color w:val="333333"/>
          <w:szCs w:val="22"/>
        </w:rPr>
      </w:pPr>
      <w:r w:rsidRPr="00AD0A4E">
        <w:rPr>
          <w:rFonts w:ascii="Arial" w:hAnsi="Arial" w:cs="Arial"/>
          <w:i/>
          <w:iCs/>
          <w:color w:val="333333"/>
          <w:szCs w:val="22"/>
        </w:rPr>
        <w:t>P</w:t>
      </w:r>
      <w:r w:rsidR="00D616FC" w:rsidRPr="00AD0A4E">
        <w:rPr>
          <w:rFonts w:ascii="Arial" w:hAnsi="Arial" w:cs="Arial"/>
          <w:i/>
          <w:iCs/>
          <w:color w:val="333333"/>
          <w:szCs w:val="22"/>
        </w:rPr>
        <w:t>rolonging the proceedings by introducing a new ground of appeal or issue</w:t>
      </w:r>
    </w:p>
    <w:p w14:paraId="4D881A00" w14:textId="02756CDC" w:rsidR="000F0AEE" w:rsidRPr="00AD0A4E" w:rsidRDefault="000F0AEE" w:rsidP="00D616FC">
      <w:pPr>
        <w:numPr>
          <w:ilvl w:val="0"/>
          <w:numId w:val="11"/>
        </w:numPr>
        <w:shd w:val="clear" w:color="auto" w:fill="FFFFFF"/>
        <w:spacing w:before="120" w:after="120"/>
        <w:rPr>
          <w:rFonts w:ascii="Arial" w:hAnsi="Arial" w:cs="Arial"/>
          <w:i/>
          <w:iCs/>
          <w:color w:val="333333"/>
          <w:szCs w:val="22"/>
        </w:rPr>
      </w:pPr>
      <w:r w:rsidRPr="00AD0A4E">
        <w:rPr>
          <w:rFonts w:ascii="Arial" w:hAnsi="Arial" w:cs="Arial"/>
          <w:color w:val="333333"/>
          <w:szCs w:val="22"/>
        </w:rPr>
        <w:t>I do not consider this to be a relevant ground in this case.</w:t>
      </w:r>
      <w:r w:rsidR="00F7399F" w:rsidRPr="00AD0A4E">
        <w:rPr>
          <w:rFonts w:ascii="Arial" w:hAnsi="Arial" w:cs="Arial"/>
          <w:color w:val="333333"/>
          <w:szCs w:val="22"/>
        </w:rPr>
        <w:t xml:space="preserve"> No ‘new’ information was introduced other than to clarify matters that arose during the inquiry and no new grounds for objection were introduced.</w:t>
      </w:r>
    </w:p>
    <w:p w14:paraId="3AA65860" w14:textId="5D1A46A0" w:rsidR="00D616FC" w:rsidRPr="00AD0A4E" w:rsidRDefault="000F0AEE" w:rsidP="000F0AEE">
      <w:pPr>
        <w:shd w:val="clear" w:color="auto" w:fill="FFFFFF"/>
        <w:spacing w:before="120" w:after="120"/>
        <w:ind w:left="432"/>
        <w:rPr>
          <w:rFonts w:ascii="Arial" w:hAnsi="Arial" w:cs="Arial"/>
          <w:i/>
          <w:iCs/>
          <w:color w:val="333333"/>
          <w:szCs w:val="22"/>
        </w:rPr>
      </w:pPr>
      <w:r w:rsidRPr="00AD0A4E">
        <w:rPr>
          <w:rFonts w:ascii="Arial" w:hAnsi="Arial" w:cs="Arial"/>
          <w:i/>
          <w:iCs/>
          <w:color w:val="333333"/>
          <w:szCs w:val="22"/>
        </w:rPr>
        <w:t>P</w:t>
      </w:r>
      <w:r w:rsidR="00D616FC" w:rsidRPr="00AD0A4E">
        <w:rPr>
          <w:rFonts w:ascii="Arial" w:hAnsi="Arial" w:cs="Arial"/>
          <w:i/>
          <w:iCs/>
          <w:color w:val="333333"/>
          <w:szCs w:val="22"/>
        </w:rPr>
        <w:t>roviding information that is shown to be manifestly inaccurate or untrue</w:t>
      </w:r>
    </w:p>
    <w:p w14:paraId="008AA4A0" w14:textId="309D4504" w:rsidR="00082B34" w:rsidRPr="00AD0A4E" w:rsidRDefault="00082B34" w:rsidP="00D616FC">
      <w:pPr>
        <w:numPr>
          <w:ilvl w:val="0"/>
          <w:numId w:val="11"/>
        </w:numPr>
        <w:shd w:val="clear" w:color="auto" w:fill="FFFFFF"/>
        <w:spacing w:before="120" w:after="120"/>
        <w:rPr>
          <w:rFonts w:ascii="Arial" w:hAnsi="Arial" w:cs="Arial"/>
          <w:color w:val="333333"/>
          <w:szCs w:val="22"/>
        </w:rPr>
      </w:pPr>
      <w:r w:rsidRPr="00AD0A4E">
        <w:rPr>
          <w:rFonts w:ascii="Arial" w:hAnsi="Arial" w:cs="Arial"/>
          <w:color w:val="333333"/>
          <w:szCs w:val="22"/>
        </w:rPr>
        <w:t>None of the information provided by Mr Thorne as his own evidence has been shown to be manifestly inaccurate or untrue. He made submissions with which NR profoundly disagreed, but he was entitled to make those submissions.</w:t>
      </w:r>
    </w:p>
    <w:p w14:paraId="1A992C1A" w14:textId="3463BB90" w:rsidR="00D616FC" w:rsidRPr="00AD0A4E" w:rsidRDefault="000F0AEE" w:rsidP="000F0AEE">
      <w:pPr>
        <w:shd w:val="clear" w:color="auto" w:fill="FFFFFF"/>
        <w:spacing w:before="120" w:after="120"/>
        <w:ind w:left="432"/>
        <w:rPr>
          <w:rFonts w:ascii="Arial" w:hAnsi="Arial" w:cs="Arial"/>
          <w:i/>
          <w:iCs/>
          <w:color w:val="333333"/>
          <w:szCs w:val="22"/>
        </w:rPr>
      </w:pPr>
      <w:r w:rsidRPr="00AD0A4E">
        <w:rPr>
          <w:rFonts w:ascii="Arial" w:hAnsi="Arial" w:cs="Arial"/>
          <w:i/>
          <w:iCs/>
          <w:color w:val="333333"/>
          <w:szCs w:val="22"/>
        </w:rPr>
        <w:t>W</w:t>
      </w:r>
      <w:r w:rsidR="00D616FC" w:rsidRPr="00AD0A4E">
        <w:rPr>
          <w:rFonts w:ascii="Arial" w:hAnsi="Arial" w:cs="Arial"/>
          <w:i/>
          <w:iCs/>
          <w:color w:val="333333"/>
          <w:szCs w:val="22"/>
        </w:rPr>
        <w:t xml:space="preserve">ithdrawal of an appeal without good reason </w:t>
      </w:r>
    </w:p>
    <w:p w14:paraId="0E31031E" w14:textId="6375ABF9" w:rsidR="00D616FC" w:rsidRPr="00AD0A4E" w:rsidRDefault="00082B34" w:rsidP="00D616FC">
      <w:pPr>
        <w:pStyle w:val="Style1"/>
        <w:numPr>
          <w:ilvl w:val="0"/>
          <w:numId w:val="11"/>
        </w:numPr>
        <w:spacing w:before="140"/>
        <w:rPr>
          <w:rFonts w:ascii="Arial" w:hAnsi="Arial" w:cs="Arial"/>
        </w:rPr>
      </w:pPr>
      <w:r w:rsidRPr="00AD0A4E">
        <w:rPr>
          <w:rFonts w:ascii="Arial" w:hAnsi="Arial" w:cs="Arial"/>
        </w:rPr>
        <w:t>Mr Lopez construed Mr Thorne’s response to a question put to him towards the end of the inquiry as hav</w:t>
      </w:r>
      <w:r w:rsidR="00011E49" w:rsidRPr="00AD0A4E">
        <w:rPr>
          <w:rFonts w:ascii="Arial" w:hAnsi="Arial" w:cs="Arial"/>
        </w:rPr>
        <w:t>ing</w:t>
      </w:r>
      <w:r w:rsidRPr="00AD0A4E">
        <w:rPr>
          <w:rFonts w:ascii="Arial" w:hAnsi="Arial" w:cs="Arial"/>
        </w:rPr>
        <w:t xml:space="preserve"> stated that he had finally abandoned, </w:t>
      </w:r>
      <w:proofErr w:type="gramStart"/>
      <w:r w:rsidRPr="00AD0A4E">
        <w:rPr>
          <w:rFonts w:ascii="Arial" w:hAnsi="Arial" w:cs="Arial"/>
        </w:rPr>
        <w:t>vacated</w:t>
      </w:r>
      <w:proofErr w:type="gramEnd"/>
      <w:r w:rsidRPr="00AD0A4E">
        <w:rPr>
          <w:rFonts w:ascii="Arial" w:hAnsi="Arial" w:cs="Arial"/>
        </w:rPr>
        <w:t xml:space="preserve"> or withdrawn his </w:t>
      </w:r>
      <w:r w:rsidRPr="00AD0A4E">
        <w:rPr>
          <w:rFonts w:ascii="Arial" w:hAnsi="Arial" w:cs="Arial"/>
          <w:i/>
          <w:iCs/>
        </w:rPr>
        <w:t>Bernstein</w:t>
      </w:r>
      <w:r w:rsidRPr="00AD0A4E">
        <w:rPr>
          <w:rFonts w:ascii="Arial" w:hAnsi="Arial" w:cs="Arial"/>
        </w:rPr>
        <w:t xml:space="preserve"> proposition. Mr Thorne himself clarified his position as being somewhat different. My understand of </w:t>
      </w:r>
      <w:r w:rsidR="00011E49" w:rsidRPr="00AD0A4E">
        <w:rPr>
          <w:rFonts w:ascii="Arial" w:hAnsi="Arial" w:cs="Arial"/>
        </w:rPr>
        <w:t>his</w:t>
      </w:r>
      <w:r w:rsidRPr="00AD0A4E">
        <w:rPr>
          <w:rFonts w:ascii="Arial" w:hAnsi="Arial" w:cs="Arial"/>
        </w:rPr>
        <w:t xml:space="preserve"> position was not that he had withdrawn the argument but had accepted the issue could not be resolved through these proceedings and had decided not to actively pursue it.</w:t>
      </w:r>
    </w:p>
    <w:p w14:paraId="34534EFE" w14:textId="77777777" w:rsidR="00C42136" w:rsidRPr="00AD0A4E" w:rsidRDefault="00C42136" w:rsidP="00C42136">
      <w:pPr>
        <w:pStyle w:val="Style1"/>
        <w:numPr>
          <w:ilvl w:val="0"/>
          <w:numId w:val="0"/>
        </w:numPr>
        <w:spacing w:before="140"/>
        <w:ind w:left="432"/>
        <w:rPr>
          <w:rFonts w:ascii="Arial" w:hAnsi="Arial" w:cs="Arial"/>
        </w:rPr>
      </w:pPr>
    </w:p>
    <w:p w14:paraId="65DC5FFE" w14:textId="05FB243D" w:rsidR="00C45374" w:rsidRPr="00AD0A4E" w:rsidRDefault="00444188" w:rsidP="000F7A46">
      <w:pPr>
        <w:pStyle w:val="Style1"/>
        <w:numPr>
          <w:ilvl w:val="0"/>
          <w:numId w:val="11"/>
        </w:numPr>
        <w:spacing w:before="140"/>
        <w:rPr>
          <w:rFonts w:ascii="Arial" w:hAnsi="Arial" w:cs="Arial"/>
        </w:rPr>
      </w:pPr>
      <w:r w:rsidRPr="00AD0A4E">
        <w:rPr>
          <w:rFonts w:ascii="Arial" w:hAnsi="Arial" w:cs="Arial"/>
        </w:rPr>
        <w:t xml:space="preserve">In conclusion, </w:t>
      </w:r>
      <w:r w:rsidR="00C45374" w:rsidRPr="00AD0A4E">
        <w:rPr>
          <w:rFonts w:ascii="Arial" w:hAnsi="Arial" w:cs="Arial"/>
        </w:rPr>
        <w:t xml:space="preserve">having considered the types of behaviour identified in Circular 1/09 v2 </w:t>
      </w:r>
      <w:r w:rsidR="00011E49" w:rsidRPr="00AD0A4E">
        <w:rPr>
          <w:rFonts w:ascii="Arial" w:hAnsi="Arial" w:cs="Arial"/>
        </w:rPr>
        <w:t xml:space="preserve">and PPN 16 </w:t>
      </w:r>
      <w:r w:rsidR="00C45374" w:rsidRPr="00AD0A4E">
        <w:rPr>
          <w:rFonts w:ascii="Arial" w:hAnsi="Arial" w:cs="Arial"/>
        </w:rPr>
        <w:t xml:space="preserve">that might justify an award of costs, I </w:t>
      </w:r>
      <w:r w:rsidRPr="00AD0A4E">
        <w:rPr>
          <w:rFonts w:ascii="Arial" w:hAnsi="Arial" w:cs="Arial"/>
        </w:rPr>
        <w:t xml:space="preserve">consider there to be </w:t>
      </w:r>
      <w:r w:rsidR="00C45374" w:rsidRPr="00AD0A4E">
        <w:rPr>
          <w:rFonts w:ascii="Arial" w:hAnsi="Arial" w:cs="Arial"/>
        </w:rPr>
        <w:t xml:space="preserve">nothing unreasonable about the actions of </w:t>
      </w:r>
      <w:r w:rsidR="00011E49" w:rsidRPr="00AD0A4E">
        <w:rPr>
          <w:rFonts w:ascii="Arial" w:hAnsi="Arial" w:cs="Arial"/>
        </w:rPr>
        <w:t xml:space="preserve">Mr Thorne in relation </w:t>
      </w:r>
      <w:r w:rsidR="00C45374" w:rsidRPr="00AD0A4E">
        <w:rPr>
          <w:rFonts w:ascii="Arial" w:hAnsi="Arial" w:cs="Arial"/>
        </w:rPr>
        <w:t>to the Order or the inquiry.</w:t>
      </w:r>
      <w:r w:rsidR="00867494" w:rsidRPr="00AD0A4E">
        <w:rPr>
          <w:rFonts w:ascii="Arial" w:hAnsi="Arial" w:cs="Arial"/>
        </w:rPr>
        <w:t xml:space="preserve"> Whilst </w:t>
      </w:r>
      <w:r w:rsidR="00C45374" w:rsidRPr="00AD0A4E">
        <w:rPr>
          <w:rFonts w:ascii="Arial" w:hAnsi="Arial" w:cs="Arial"/>
        </w:rPr>
        <w:t xml:space="preserve">I recognise that </w:t>
      </w:r>
      <w:r w:rsidR="00011E49" w:rsidRPr="00AD0A4E">
        <w:rPr>
          <w:rFonts w:ascii="Arial" w:hAnsi="Arial" w:cs="Arial"/>
        </w:rPr>
        <w:t xml:space="preserve">NR </w:t>
      </w:r>
      <w:r w:rsidR="00C45374" w:rsidRPr="00AD0A4E">
        <w:rPr>
          <w:rFonts w:ascii="Arial" w:hAnsi="Arial" w:cs="Arial"/>
        </w:rPr>
        <w:t xml:space="preserve">incurred expense in </w:t>
      </w:r>
      <w:r w:rsidR="00011E49" w:rsidRPr="00AD0A4E">
        <w:rPr>
          <w:rFonts w:ascii="Arial" w:hAnsi="Arial" w:cs="Arial"/>
        </w:rPr>
        <w:t xml:space="preserve">addressing </w:t>
      </w:r>
      <w:r w:rsidR="00456F5E" w:rsidRPr="00AD0A4E">
        <w:rPr>
          <w:rFonts w:ascii="Arial" w:hAnsi="Arial" w:cs="Arial"/>
        </w:rPr>
        <w:t>land ownership</w:t>
      </w:r>
      <w:r w:rsidR="00867494" w:rsidRPr="00AD0A4E">
        <w:rPr>
          <w:rFonts w:ascii="Arial" w:hAnsi="Arial" w:cs="Arial"/>
        </w:rPr>
        <w:t xml:space="preserve"> issues and the status of the paths in question,</w:t>
      </w:r>
      <w:r w:rsidR="00C45374" w:rsidRPr="00AD0A4E">
        <w:rPr>
          <w:rFonts w:ascii="Arial" w:hAnsi="Arial" w:cs="Arial"/>
        </w:rPr>
        <w:t xml:space="preserve"> I do not agree that this work </w:t>
      </w:r>
      <w:r w:rsidR="00867494" w:rsidRPr="00AD0A4E">
        <w:rPr>
          <w:rFonts w:ascii="Arial" w:hAnsi="Arial" w:cs="Arial"/>
        </w:rPr>
        <w:t>w</w:t>
      </w:r>
      <w:r w:rsidR="00C45374" w:rsidRPr="00AD0A4E">
        <w:rPr>
          <w:rFonts w:ascii="Arial" w:hAnsi="Arial" w:cs="Arial"/>
        </w:rPr>
        <w:t>as unnecessary.</w:t>
      </w:r>
    </w:p>
    <w:p w14:paraId="65DC5FFF" w14:textId="57E3F056" w:rsidR="00C45374" w:rsidRPr="00AD0A4E" w:rsidRDefault="00C45374" w:rsidP="00C45374">
      <w:pPr>
        <w:pStyle w:val="Style1"/>
        <w:numPr>
          <w:ilvl w:val="0"/>
          <w:numId w:val="11"/>
        </w:numPr>
        <w:spacing w:before="140"/>
        <w:rPr>
          <w:rFonts w:ascii="Arial" w:hAnsi="Arial" w:cs="Arial"/>
        </w:rPr>
      </w:pPr>
      <w:r w:rsidRPr="00AD0A4E">
        <w:rPr>
          <w:rFonts w:ascii="Arial" w:hAnsi="Arial" w:cs="Arial"/>
        </w:rPr>
        <w:t xml:space="preserve">In these circumstances, and on the information available, </w:t>
      </w:r>
      <w:r w:rsidR="00444188" w:rsidRPr="00AD0A4E">
        <w:rPr>
          <w:rFonts w:ascii="Arial" w:hAnsi="Arial" w:cs="Arial"/>
        </w:rPr>
        <w:t xml:space="preserve">it is my conclusion that </w:t>
      </w:r>
      <w:r w:rsidRPr="00AD0A4E">
        <w:rPr>
          <w:rFonts w:ascii="Arial" w:hAnsi="Arial" w:cs="Arial"/>
        </w:rPr>
        <w:t>a</w:t>
      </w:r>
      <w:r w:rsidR="00011E49" w:rsidRPr="00AD0A4E">
        <w:rPr>
          <w:rFonts w:ascii="Arial" w:hAnsi="Arial" w:cs="Arial"/>
        </w:rPr>
        <w:t xml:space="preserve"> partial </w:t>
      </w:r>
      <w:r w:rsidRPr="00AD0A4E">
        <w:rPr>
          <w:rFonts w:ascii="Arial" w:hAnsi="Arial" w:cs="Arial"/>
        </w:rPr>
        <w:t xml:space="preserve">award of costs would </w:t>
      </w:r>
      <w:r w:rsidR="00444188" w:rsidRPr="00AD0A4E">
        <w:rPr>
          <w:rFonts w:ascii="Arial" w:hAnsi="Arial" w:cs="Arial"/>
        </w:rPr>
        <w:t xml:space="preserve">not </w:t>
      </w:r>
      <w:r w:rsidRPr="00AD0A4E">
        <w:rPr>
          <w:rFonts w:ascii="Arial" w:hAnsi="Arial" w:cs="Arial"/>
        </w:rPr>
        <w:t xml:space="preserve">be justified in this case.      </w:t>
      </w:r>
    </w:p>
    <w:p w14:paraId="65DC6000" w14:textId="77777777" w:rsidR="00E11DF7" w:rsidRPr="00AD0A4E" w:rsidRDefault="00E11DF7" w:rsidP="00E11DF7">
      <w:pPr>
        <w:pStyle w:val="Heading6blackfont"/>
        <w:spacing w:before="120"/>
        <w:rPr>
          <w:rFonts w:ascii="Arial" w:hAnsi="Arial" w:cs="Arial"/>
        </w:rPr>
      </w:pPr>
      <w:r w:rsidRPr="00AD0A4E">
        <w:rPr>
          <w:rFonts w:ascii="Arial" w:hAnsi="Arial" w:cs="Arial"/>
        </w:rPr>
        <w:t>Recommendation</w:t>
      </w:r>
    </w:p>
    <w:p w14:paraId="65DC6001" w14:textId="128066C2" w:rsidR="00444188" w:rsidRPr="00AD0A4E" w:rsidRDefault="00444188" w:rsidP="00A17FE1">
      <w:pPr>
        <w:pStyle w:val="Style1"/>
        <w:numPr>
          <w:ilvl w:val="0"/>
          <w:numId w:val="11"/>
        </w:numPr>
        <w:tabs>
          <w:tab w:val="clear" w:pos="432"/>
        </w:tabs>
        <w:rPr>
          <w:rFonts w:ascii="Arial" w:hAnsi="Arial" w:cs="Arial"/>
        </w:rPr>
      </w:pPr>
      <w:r w:rsidRPr="00AD0A4E">
        <w:rPr>
          <w:rFonts w:ascii="Arial" w:hAnsi="Arial" w:cs="Arial"/>
        </w:rPr>
        <w:t xml:space="preserve">I recommend </w:t>
      </w:r>
      <w:r w:rsidR="007D4CD7" w:rsidRPr="00AD0A4E">
        <w:rPr>
          <w:rFonts w:ascii="Arial" w:hAnsi="Arial" w:cs="Arial"/>
        </w:rPr>
        <w:t xml:space="preserve">the application for a </w:t>
      </w:r>
      <w:r w:rsidR="00D11715" w:rsidRPr="00AD0A4E">
        <w:rPr>
          <w:rFonts w:ascii="Arial" w:hAnsi="Arial" w:cs="Arial"/>
        </w:rPr>
        <w:t>partial</w:t>
      </w:r>
      <w:r w:rsidR="007D4CD7" w:rsidRPr="00AD0A4E">
        <w:rPr>
          <w:rFonts w:ascii="Arial" w:hAnsi="Arial" w:cs="Arial"/>
        </w:rPr>
        <w:t xml:space="preserve"> award of costs </w:t>
      </w:r>
      <w:r w:rsidR="00D11715" w:rsidRPr="00AD0A4E">
        <w:rPr>
          <w:rFonts w:ascii="Arial" w:hAnsi="Arial" w:cs="Arial"/>
        </w:rPr>
        <w:t>is</w:t>
      </w:r>
      <w:r w:rsidR="007D4CD7" w:rsidRPr="00AD0A4E">
        <w:rPr>
          <w:rFonts w:ascii="Arial" w:hAnsi="Arial" w:cs="Arial"/>
        </w:rPr>
        <w:t xml:space="preserve"> dismissed</w:t>
      </w:r>
      <w:r w:rsidRPr="00AD0A4E">
        <w:rPr>
          <w:rFonts w:ascii="Arial" w:hAnsi="Arial" w:cs="Arial"/>
        </w:rPr>
        <w:t xml:space="preserve">. </w:t>
      </w:r>
    </w:p>
    <w:p w14:paraId="65DC6002" w14:textId="77777777" w:rsidR="0077700C" w:rsidRPr="00AD0A4E" w:rsidRDefault="0077700C" w:rsidP="0077700C">
      <w:pPr>
        <w:pStyle w:val="Style1"/>
        <w:numPr>
          <w:ilvl w:val="0"/>
          <w:numId w:val="0"/>
        </w:numPr>
        <w:spacing w:before="140"/>
        <w:ind w:left="431"/>
        <w:rPr>
          <w:rFonts w:ascii="Arial" w:hAnsi="Arial" w:cs="Arial"/>
        </w:rPr>
      </w:pPr>
    </w:p>
    <w:p w14:paraId="65DC6003" w14:textId="77777777" w:rsidR="00D419F5" w:rsidRPr="00033841" w:rsidRDefault="00CF4417" w:rsidP="00B8546E">
      <w:pPr>
        <w:pStyle w:val="Style1"/>
        <w:numPr>
          <w:ilvl w:val="0"/>
          <w:numId w:val="0"/>
        </w:numPr>
        <w:jc w:val="both"/>
        <w:rPr>
          <w:rFonts w:ascii="Monotype Corsiva" w:hAnsi="Monotype Corsiva"/>
          <w:sz w:val="36"/>
          <w:szCs w:val="36"/>
        </w:rPr>
      </w:pPr>
      <w:r>
        <w:rPr>
          <w:rFonts w:ascii="Monotype Corsiva" w:hAnsi="Monotype Corsiva"/>
          <w:sz w:val="36"/>
          <w:szCs w:val="36"/>
        </w:rPr>
        <w:t>Sue Arnott</w:t>
      </w:r>
    </w:p>
    <w:p w14:paraId="65DC6004" w14:textId="77777777" w:rsidR="00063EB0" w:rsidRPr="00AD0A4E" w:rsidRDefault="00D419F5" w:rsidP="00B8546E">
      <w:pPr>
        <w:pStyle w:val="Style1"/>
        <w:numPr>
          <w:ilvl w:val="0"/>
          <w:numId w:val="0"/>
        </w:numPr>
        <w:spacing w:before="120"/>
        <w:jc w:val="both"/>
        <w:rPr>
          <w:rFonts w:ascii="Arial" w:hAnsi="Arial" w:cs="Arial"/>
          <w:color w:val="7030A0"/>
          <w:szCs w:val="22"/>
        </w:rPr>
      </w:pPr>
      <w:r w:rsidRPr="00AD0A4E">
        <w:rPr>
          <w:rFonts w:ascii="Arial" w:hAnsi="Arial" w:cs="Arial"/>
          <w:b/>
        </w:rPr>
        <w:t>Inspector</w:t>
      </w:r>
    </w:p>
    <w:p w14:paraId="65DC6005" w14:textId="77777777" w:rsidR="00BD09CD" w:rsidRPr="00E76449" w:rsidRDefault="00BD09CD" w:rsidP="00893D67">
      <w:pPr>
        <w:tabs>
          <w:tab w:val="left" w:pos="-142"/>
        </w:tabs>
        <w:jc w:val="both"/>
        <w:rPr>
          <w:color w:val="7030A0"/>
          <w:sz w:val="16"/>
          <w:szCs w:val="16"/>
        </w:rPr>
      </w:pPr>
    </w:p>
    <w:sectPr w:rsidR="00BD09CD" w:rsidRPr="00E76449" w:rsidSect="0004625F">
      <w:headerReference w:type="default" r:id="rId10"/>
      <w:footerReference w:type="even" r:id="rId11"/>
      <w:footerReference w:type="default" r:id="rId12"/>
      <w:headerReference w:type="first" r:id="rId13"/>
      <w:footerReference w:type="first" r:id="rId14"/>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600A" w14:textId="77777777" w:rsidR="005F2004" w:rsidRDefault="005F2004" w:rsidP="00F62916">
      <w:r>
        <w:separator/>
      </w:r>
    </w:p>
  </w:endnote>
  <w:endnote w:type="continuationSeparator" w:id="0">
    <w:p w14:paraId="65DC600B" w14:textId="77777777" w:rsidR="005F2004" w:rsidRDefault="005F200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011" w14:textId="77777777" w:rsidR="005F2004" w:rsidRDefault="005F2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C6012" w14:textId="77777777" w:rsidR="005F2004" w:rsidRDefault="005F2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013" w14:textId="77777777" w:rsidR="005F2004" w:rsidRDefault="005F2004">
    <w:pPr>
      <w:pStyle w:val="Noindent"/>
      <w:spacing w:before="120"/>
      <w:jc w:val="center"/>
      <w:rPr>
        <w:rStyle w:val="PageNumber"/>
      </w:rPr>
    </w:pPr>
    <w:r>
      <w:rPr>
        <w:noProof/>
        <w:sz w:val="18"/>
      </w:rPr>
      <mc:AlternateContent>
        <mc:Choice Requires="wps">
          <w:drawing>
            <wp:anchor distT="0" distB="0" distL="114300" distR="114300" simplePos="0" relativeHeight="251657728" behindDoc="0" locked="0" layoutInCell="1" allowOverlap="1" wp14:anchorId="65DC601A" wp14:editId="2097DC6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7B74" id="Line 17"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5DC6014" w14:textId="77777777" w:rsidR="0094205E" w:rsidRPr="00626B6F" w:rsidRDefault="0094205E" w:rsidP="0094205E">
    <w:pPr>
      <w:pStyle w:val="Noindent"/>
      <w:tabs>
        <w:tab w:val="left" w:pos="4536"/>
      </w:tabs>
      <w:jc w:val="center"/>
      <w:rPr>
        <w:rStyle w:val="PageNumber"/>
        <w:sz w:val="12"/>
        <w:szCs w:val="12"/>
      </w:rPr>
    </w:pPr>
  </w:p>
  <w:p w14:paraId="65DC6015" w14:textId="77777777" w:rsidR="0094205E" w:rsidRPr="008E75E5" w:rsidRDefault="0094205E" w:rsidP="0094205E">
    <w:pPr>
      <w:pStyle w:val="Noindent"/>
      <w:tabs>
        <w:tab w:val="left" w:pos="4536"/>
      </w:tabs>
      <w:jc w:val="center"/>
    </w:pPr>
    <w:r>
      <w:rPr>
        <w:rStyle w:val="PageNumber"/>
      </w:rPr>
      <w:fldChar w:fldCharType="begin"/>
    </w:r>
    <w:r>
      <w:rPr>
        <w:rStyle w:val="PageNumber"/>
      </w:rPr>
      <w:instrText xml:space="preserve"> PAGE </w:instrText>
    </w:r>
    <w:r>
      <w:rPr>
        <w:rStyle w:val="PageNumber"/>
      </w:rPr>
      <w:fldChar w:fldCharType="separate"/>
    </w:r>
    <w:r w:rsidR="007D249C">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017" w14:textId="77777777" w:rsidR="005F2004" w:rsidRDefault="005F2004" w:rsidP="000D488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5DC601C" wp14:editId="7CEE158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E9C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5DC6018" w14:textId="77777777" w:rsidR="003A7363" w:rsidRPr="00626B6F" w:rsidRDefault="003A7363" w:rsidP="003A7363">
    <w:pPr>
      <w:pStyle w:val="Noindent"/>
      <w:tabs>
        <w:tab w:val="left" w:pos="4536"/>
      </w:tabs>
      <w:jc w:val="center"/>
      <w:rPr>
        <w:rStyle w:val="PageNumber"/>
        <w:sz w:val="12"/>
        <w:szCs w:val="12"/>
      </w:rPr>
    </w:pPr>
  </w:p>
  <w:p w14:paraId="65DC6019" w14:textId="77777777" w:rsidR="003A7363" w:rsidRPr="008E75E5" w:rsidRDefault="003A7363" w:rsidP="003A7363">
    <w:pPr>
      <w:pStyle w:val="Noindent"/>
      <w:tabs>
        <w:tab w:val="left" w:pos="4536"/>
      </w:tabs>
      <w:jc w:val="center"/>
    </w:pPr>
    <w:r>
      <w:rPr>
        <w:rStyle w:val="PageNumber"/>
      </w:rPr>
      <w:fldChar w:fldCharType="begin"/>
    </w:r>
    <w:r>
      <w:rPr>
        <w:rStyle w:val="PageNumber"/>
      </w:rPr>
      <w:instrText xml:space="preserve"> PAGE </w:instrText>
    </w:r>
    <w:r>
      <w:rPr>
        <w:rStyle w:val="PageNumber"/>
      </w:rPr>
      <w:fldChar w:fldCharType="separate"/>
    </w:r>
    <w:r w:rsidR="007D249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6008" w14:textId="77777777" w:rsidR="005F2004" w:rsidRDefault="005F2004" w:rsidP="00F62916">
      <w:r>
        <w:separator/>
      </w:r>
    </w:p>
  </w:footnote>
  <w:footnote w:type="continuationSeparator" w:id="0">
    <w:p w14:paraId="65DC6009" w14:textId="77777777" w:rsidR="005F2004" w:rsidRDefault="005F200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94205E" w14:paraId="65DC600E" w14:textId="77777777" w:rsidTr="00E240EF">
      <w:tc>
        <w:tcPr>
          <w:tcW w:w="9520" w:type="dxa"/>
        </w:tcPr>
        <w:p w14:paraId="65DC600D" w14:textId="3E8335DF" w:rsidR="0094205E" w:rsidRDefault="0094205E" w:rsidP="00E11DF7">
          <w:pPr>
            <w:pStyle w:val="Footer"/>
          </w:pPr>
          <w:r>
            <w:t xml:space="preserve">COSTS </w:t>
          </w:r>
          <w:r w:rsidR="00E11DF7">
            <w:t>REPORT</w:t>
          </w:r>
          <w:r w:rsidRPr="006D1503">
            <w:t xml:space="preserve">: </w:t>
          </w:r>
          <w:r w:rsidR="006D1503" w:rsidRPr="006D1503">
            <w:rPr>
              <w:szCs w:val="22"/>
            </w:rPr>
            <w:t>ROW/3253077</w:t>
          </w:r>
        </w:p>
      </w:tc>
    </w:tr>
  </w:tbl>
  <w:p w14:paraId="65DC600F" w14:textId="77777777" w:rsidR="006E6517" w:rsidRPr="00B95CD9" w:rsidRDefault="006E6517" w:rsidP="006E6517">
    <w:pPr>
      <w:pStyle w:val="Footer"/>
      <w:rPr>
        <w:sz w:val="14"/>
        <w:szCs w:val="14"/>
      </w:rPr>
    </w:pPr>
  </w:p>
  <w:p w14:paraId="65DC6010" w14:textId="77777777" w:rsidR="006E6517" w:rsidRDefault="006E6517" w:rsidP="006E6517">
    <w:pPr>
      <w:pStyle w:val="Footer"/>
      <w:pBdr>
        <w:top w:val="single" w:sz="12" w:space="3"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016" w14:textId="77777777" w:rsidR="005F2004" w:rsidRDefault="005F200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B0011D"/>
    <w:multiLevelType w:val="hybridMultilevel"/>
    <w:tmpl w:val="CE1E007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DC11DDE"/>
    <w:multiLevelType w:val="hybridMultilevel"/>
    <w:tmpl w:val="0E6CBA8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2B31424E"/>
    <w:multiLevelType w:val="hybridMultilevel"/>
    <w:tmpl w:val="7236E120"/>
    <w:lvl w:ilvl="0" w:tplc="E4DC519E">
      <w:start w:val="1"/>
      <w:numFmt w:val="decimal"/>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350422E2"/>
    <w:multiLevelType w:val="multilevel"/>
    <w:tmpl w:val="E8B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9678B8"/>
    <w:multiLevelType w:val="multilevel"/>
    <w:tmpl w:val="FD7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69F"/>
    <w:multiLevelType w:val="multilevel"/>
    <w:tmpl w:val="6D5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569BA"/>
    <w:multiLevelType w:val="hybridMultilevel"/>
    <w:tmpl w:val="F33A839C"/>
    <w:lvl w:ilvl="0" w:tplc="E3224928">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2" w15:restartNumberingAfterBreak="0">
    <w:nsid w:val="62CA1CF1"/>
    <w:multiLevelType w:val="multilevel"/>
    <w:tmpl w:val="B5E81ABE"/>
    <w:lvl w:ilvl="0">
      <w:start w:val="1"/>
      <w:numFmt w:val="decimal"/>
      <w:pStyle w:val="Style1"/>
      <w:lvlText w:val="%1."/>
      <w:lvlJc w:val="left"/>
      <w:pPr>
        <w:tabs>
          <w:tab w:val="num" w:pos="720"/>
        </w:tabs>
        <w:ind w:left="432" w:hanging="432"/>
      </w:pPr>
      <w:rPr>
        <w:rFonts w:hint="default"/>
        <w:b w:val="0"/>
        <w:i w:val="0"/>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4" w15:restartNumberingAfterBreak="0">
    <w:nsid w:val="6B27798A"/>
    <w:multiLevelType w:val="singleLevel"/>
    <w:tmpl w:val="C9569F28"/>
    <w:lvl w:ilvl="0">
      <w:start w:val="1"/>
      <w:numFmt w:val="bullet"/>
      <w:pStyle w:val="TBullet"/>
      <w:lvlText w:val=""/>
      <w:lvlJc w:val="left"/>
      <w:pPr>
        <w:tabs>
          <w:tab w:val="num" w:pos="360"/>
        </w:tabs>
        <w:ind w:left="360" w:hanging="360"/>
      </w:pPr>
      <w:rPr>
        <w:rFonts w:ascii="Symbol" w:hAnsi="Symbol" w:hint="default"/>
        <w:color w:val="auto"/>
      </w:rPr>
    </w:lvl>
  </w:abstractNum>
  <w:abstractNum w:abstractNumId="15" w15:restartNumberingAfterBreak="0">
    <w:nsid w:val="6BB43426"/>
    <w:multiLevelType w:val="multilevel"/>
    <w:tmpl w:val="CD4C7E9C"/>
    <w:styleLink w:val="StyleList"/>
    <w:lvl w:ilvl="0">
      <w:start w:val="1"/>
      <w:numFmt w:val="decimal"/>
      <w:lvlText w:val="%1."/>
      <w:lvlJc w:val="left"/>
      <w:pPr>
        <w:tabs>
          <w:tab w:val="num" w:pos="720"/>
        </w:tabs>
        <w:ind w:left="432"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A25D03"/>
    <w:multiLevelType w:val="hybridMultilevel"/>
    <w:tmpl w:val="E8886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7BDD2CA5"/>
    <w:multiLevelType w:val="multilevel"/>
    <w:tmpl w:val="E21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8F7B35"/>
    <w:multiLevelType w:val="multilevel"/>
    <w:tmpl w:val="6A3AD3F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abstractNumId w:val="13"/>
  </w:num>
  <w:num w:numId="2">
    <w:abstractNumId w:val="14"/>
  </w:num>
  <w:num w:numId="3">
    <w:abstractNumId w:val="0"/>
  </w:num>
  <w:num w:numId="4">
    <w:abstractNumId w:val="6"/>
  </w:num>
  <w:num w:numId="5">
    <w:abstractNumId w:val="12"/>
  </w:num>
  <w:num w:numId="6">
    <w:abstractNumId w:val="18"/>
  </w:num>
  <w:num w:numId="7">
    <w:abstractNumId w:val="11"/>
  </w:num>
  <w:num w:numId="8">
    <w:abstractNumId w:val="1"/>
  </w:num>
  <w:num w:numId="9">
    <w:abstractNumId w:val="7"/>
  </w:num>
  <w:num w:numId="10">
    <w:abstractNumId w:val="19"/>
  </w:num>
  <w:num w:numId="11">
    <w:abstractNumId w:val="15"/>
  </w:num>
  <w:num w:numId="12">
    <w:abstractNumId w:val="10"/>
  </w:num>
  <w:num w:numId="13">
    <w:abstractNumId w:val="4"/>
  </w:num>
  <w:num w:numId="14">
    <w:abstractNumId w:val="9"/>
  </w:num>
  <w:num w:numId="15">
    <w:abstractNumId w:val="3"/>
  </w:num>
  <w:num w:numId="16">
    <w:abstractNumId w:val="17"/>
  </w:num>
  <w:num w:numId="17">
    <w:abstractNumId w:val="5"/>
  </w:num>
  <w:num w:numId="18">
    <w:abstractNumId w:val="8"/>
  </w:num>
  <w:num w:numId="19">
    <w:abstractNumId w:val="16"/>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D4887"/>
    <w:rsid w:val="0000163E"/>
    <w:rsid w:val="000027B8"/>
    <w:rsid w:val="0000335F"/>
    <w:rsid w:val="0000373C"/>
    <w:rsid w:val="00003B86"/>
    <w:rsid w:val="00003BAC"/>
    <w:rsid w:val="000076BC"/>
    <w:rsid w:val="0000787A"/>
    <w:rsid w:val="0001051E"/>
    <w:rsid w:val="00011E49"/>
    <w:rsid w:val="000148A5"/>
    <w:rsid w:val="000158D3"/>
    <w:rsid w:val="00015926"/>
    <w:rsid w:val="00015CE5"/>
    <w:rsid w:val="00017931"/>
    <w:rsid w:val="00017EA4"/>
    <w:rsid w:val="0002062C"/>
    <w:rsid w:val="000211A4"/>
    <w:rsid w:val="00024019"/>
    <w:rsid w:val="00026D14"/>
    <w:rsid w:val="000300B7"/>
    <w:rsid w:val="00030157"/>
    <w:rsid w:val="00033041"/>
    <w:rsid w:val="00033EF5"/>
    <w:rsid w:val="000369F2"/>
    <w:rsid w:val="00037ECA"/>
    <w:rsid w:val="00040D64"/>
    <w:rsid w:val="000420AC"/>
    <w:rsid w:val="00042215"/>
    <w:rsid w:val="00042375"/>
    <w:rsid w:val="00045186"/>
    <w:rsid w:val="00046145"/>
    <w:rsid w:val="0004625F"/>
    <w:rsid w:val="00053135"/>
    <w:rsid w:val="00056DF3"/>
    <w:rsid w:val="00060729"/>
    <w:rsid w:val="00060993"/>
    <w:rsid w:val="000625FC"/>
    <w:rsid w:val="00063EB0"/>
    <w:rsid w:val="0006656A"/>
    <w:rsid w:val="00072322"/>
    <w:rsid w:val="00072EF2"/>
    <w:rsid w:val="0007359F"/>
    <w:rsid w:val="00074790"/>
    <w:rsid w:val="00075A3E"/>
    <w:rsid w:val="000767FC"/>
    <w:rsid w:val="00077358"/>
    <w:rsid w:val="000821B3"/>
    <w:rsid w:val="000829BA"/>
    <w:rsid w:val="00082B34"/>
    <w:rsid w:val="00083947"/>
    <w:rsid w:val="000843F7"/>
    <w:rsid w:val="00084A6C"/>
    <w:rsid w:val="00085BA5"/>
    <w:rsid w:val="00086164"/>
    <w:rsid w:val="00087DEC"/>
    <w:rsid w:val="00091659"/>
    <w:rsid w:val="00091D5D"/>
    <w:rsid w:val="00093048"/>
    <w:rsid w:val="00093C16"/>
    <w:rsid w:val="0009603D"/>
    <w:rsid w:val="0009689C"/>
    <w:rsid w:val="00096E75"/>
    <w:rsid w:val="00097AF6"/>
    <w:rsid w:val="000A295D"/>
    <w:rsid w:val="000A334A"/>
    <w:rsid w:val="000A3C20"/>
    <w:rsid w:val="000A4AEB"/>
    <w:rsid w:val="000A64AE"/>
    <w:rsid w:val="000A6F76"/>
    <w:rsid w:val="000A74B8"/>
    <w:rsid w:val="000B252A"/>
    <w:rsid w:val="000B376C"/>
    <w:rsid w:val="000B488E"/>
    <w:rsid w:val="000B7E24"/>
    <w:rsid w:val="000C1B5B"/>
    <w:rsid w:val="000C28E5"/>
    <w:rsid w:val="000C3F13"/>
    <w:rsid w:val="000C49F7"/>
    <w:rsid w:val="000C698E"/>
    <w:rsid w:val="000D0673"/>
    <w:rsid w:val="000D1229"/>
    <w:rsid w:val="000D2B04"/>
    <w:rsid w:val="000D43EA"/>
    <w:rsid w:val="000D4887"/>
    <w:rsid w:val="000D5E61"/>
    <w:rsid w:val="000D7074"/>
    <w:rsid w:val="000E0929"/>
    <w:rsid w:val="000E0E96"/>
    <w:rsid w:val="000E281A"/>
    <w:rsid w:val="000E2875"/>
    <w:rsid w:val="000E50B4"/>
    <w:rsid w:val="000E5379"/>
    <w:rsid w:val="000E58DA"/>
    <w:rsid w:val="000E5BF6"/>
    <w:rsid w:val="000F0882"/>
    <w:rsid w:val="000F0990"/>
    <w:rsid w:val="000F0AEE"/>
    <w:rsid w:val="000F36F9"/>
    <w:rsid w:val="000F3888"/>
    <w:rsid w:val="000F3CED"/>
    <w:rsid w:val="000F4BE3"/>
    <w:rsid w:val="000F5145"/>
    <w:rsid w:val="001000CB"/>
    <w:rsid w:val="001045E2"/>
    <w:rsid w:val="001062F9"/>
    <w:rsid w:val="0011710D"/>
    <w:rsid w:val="00117D5E"/>
    <w:rsid w:val="0012181F"/>
    <w:rsid w:val="00124B39"/>
    <w:rsid w:val="00126C11"/>
    <w:rsid w:val="00127B80"/>
    <w:rsid w:val="00130A3B"/>
    <w:rsid w:val="001347E7"/>
    <w:rsid w:val="00134C29"/>
    <w:rsid w:val="001364CC"/>
    <w:rsid w:val="00136DF5"/>
    <w:rsid w:val="001377AD"/>
    <w:rsid w:val="00141175"/>
    <w:rsid w:val="00141395"/>
    <w:rsid w:val="00141FF8"/>
    <w:rsid w:val="001436D1"/>
    <w:rsid w:val="00146CB9"/>
    <w:rsid w:val="00147CE9"/>
    <w:rsid w:val="00151B48"/>
    <w:rsid w:val="00151B80"/>
    <w:rsid w:val="00152C92"/>
    <w:rsid w:val="00155B57"/>
    <w:rsid w:val="00156BB1"/>
    <w:rsid w:val="001579DB"/>
    <w:rsid w:val="00157D8E"/>
    <w:rsid w:val="00160228"/>
    <w:rsid w:val="00163FA6"/>
    <w:rsid w:val="00167AE7"/>
    <w:rsid w:val="00170E20"/>
    <w:rsid w:val="00170F3F"/>
    <w:rsid w:val="00172C19"/>
    <w:rsid w:val="00172C3B"/>
    <w:rsid w:val="00173CEA"/>
    <w:rsid w:val="00174FDD"/>
    <w:rsid w:val="00180E37"/>
    <w:rsid w:val="0018118D"/>
    <w:rsid w:val="001813AE"/>
    <w:rsid w:val="00182E18"/>
    <w:rsid w:val="00183A74"/>
    <w:rsid w:val="0018679F"/>
    <w:rsid w:val="00187E23"/>
    <w:rsid w:val="00193D11"/>
    <w:rsid w:val="00195B81"/>
    <w:rsid w:val="00197780"/>
    <w:rsid w:val="00197B5B"/>
    <w:rsid w:val="001A10EE"/>
    <w:rsid w:val="001A15CE"/>
    <w:rsid w:val="001A2770"/>
    <w:rsid w:val="001A4A1E"/>
    <w:rsid w:val="001B056A"/>
    <w:rsid w:val="001B1023"/>
    <w:rsid w:val="001B6474"/>
    <w:rsid w:val="001B70DE"/>
    <w:rsid w:val="001C13E7"/>
    <w:rsid w:val="001C2239"/>
    <w:rsid w:val="001C2C1C"/>
    <w:rsid w:val="001C5C01"/>
    <w:rsid w:val="001C7892"/>
    <w:rsid w:val="001D3812"/>
    <w:rsid w:val="001D3D71"/>
    <w:rsid w:val="001D50EF"/>
    <w:rsid w:val="001D66EA"/>
    <w:rsid w:val="001E1E15"/>
    <w:rsid w:val="001E4ABB"/>
    <w:rsid w:val="001E534C"/>
    <w:rsid w:val="001E7981"/>
    <w:rsid w:val="001F4015"/>
    <w:rsid w:val="001F4974"/>
    <w:rsid w:val="001F589A"/>
    <w:rsid w:val="001F6D2B"/>
    <w:rsid w:val="001F7046"/>
    <w:rsid w:val="001F73E9"/>
    <w:rsid w:val="00207816"/>
    <w:rsid w:val="00210A43"/>
    <w:rsid w:val="00211BDD"/>
    <w:rsid w:val="00212C8F"/>
    <w:rsid w:val="00216635"/>
    <w:rsid w:val="00220BB4"/>
    <w:rsid w:val="00220BF9"/>
    <w:rsid w:val="002212B7"/>
    <w:rsid w:val="00221780"/>
    <w:rsid w:val="0022211F"/>
    <w:rsid w:val="002244EE"/>
    <w:rsid w:val="00224BDF"/>
    <w:rsid w:val="00225950"/>
    <w:rsid w:val="002305FF"/>
    <w:rsid w:val="00230672"/>
    <w:rsid w:val="00234A2A"/>
    <w:rsid w:val="00234B48"/>
    <w:rsid w:val="002403DF"/>
    <w:rsid w:val="00240E2F"/>
    <w:rsid w:val="00240F06"/>
    <w:rsid w:val="002427B8"/>
    <w:rsid w:val="002429B8"/>
    <w:rsid w:val="00242A5E"/>
    <w:rsid w:val="00247F82"/>
    <w:rsid w:val="00252134"/>
    <w:rsid w:val="00252957"/>
    <w:rsid w:val="00257567"/>
    <w:rsid w:val="00260EED"/>
    <w:rsid w:val="00261B2A"/>
    <w:rsid w:val="00261C96"/>
    <w:rsid w:val="00264518"/>
    <w:rsid w:val="0027127C"/>
    <w:rsid w:val="002724AE"/>
    <w:rsid w:val="00275DEE"/>
    <w:rsid w:val="0027660B"/>
    <w:rsid w:val="0027744E"/>
    <w:rsid w:val="00280351"/>
    <w:rsid w:val="002813EB"/>
    <w:rsid w:val="0028291D"/>
    <w:rsid w:val="0028457F"/>
    <w:rsid w:val="002857D7"/>
    <w:rsid w:val="0028747D"/>
    <w:rsid w:val="00290420"/>
    <w:rsid w:val="002930FE"/>
    <w:rsid w:val="002A0083"/>
    <w:rsid w:val="002A1372"/>
    <w:rsid w:val="002A2817"/>
    <w:rsid w:val="002A2931"/>
    <w:rsid w:val="002A3160"/>
    <w:rsid w:val="002A3BBF"/>
    <w:rsid w:val="002A4E33"/>
    <w:rsid w:val="002A56B1"/>
    <w:rsid w:val="002A6C0E"/>
    <w:rsid w:val="002A7B57"/>
    <w:rsid w:val="002B023E"/>
    <w:rsid w:val="002B357E"/>
    <w:rsid w:val="002B388A"/>
    <w:rsid w:val="002B4F3A"/>
    <w:rsid w:val="002B761A"/>
    <w:rsid w:val="002B7810"/>
    <w:rsid w:val="002C068A"/>
    <w:rsid w:val="002C12DE"/>
    <w:rsid w:val="002C2887"/>
    <w:rsid w:val="002C6BCF"/>
    <w:rsid w:val="002D10A4"/>
    <w:rsid w:val="002D24BC"/>
    <w:rsid w:val="002D2B40"/>
    <w:rsid w:val="002D2FC6"/>
    <w:rsid w:val="002D5B7A"/>
    <w:rsid w:val="002D62E8"/>
    <w:rsid w:val="002D63D0"/>
    <w:rsid w:val="002D6498"/>
    <w:rsid w:val="002D7EA2"/>
    <w:rsid w:val="002E04CF"/>
    <w:rsid w:val="002E1117"/>
    <w:rsid w:val="002E27BC"/>
    <w:rsid w:val="002E6DCB"/>
    <w:rsid w:val="002F0616"/>
    <w:rsid w:val="002F18F2"/>
    <w:rsid w:val="002F3FA6"/>
    <w:rsid w:val="002F5725"/>
    <w:rsid w:val="002F64ED"/>
    <w:rsid w:val="002F7CFE"/>
    <w:rsid w:val="00300153"/>
    <w:rsid w:val="00302DB7"/>
    <w:rsid w:val="00302F2D"/>
    <w:rsid w:val="0030500E"/>
    <w:rsid w:val="003055C9"/>
    <w:rsid w:val="00305E27"/>
    <w:rsid w:val="0030639A"/>
    <w:rsid w:val="00307D08"/>
    <w:rsid w:val="00313175"/>
    <w:rsid w:val="00313CE1"/>
    <w:rsid w:val="003165B1"/>
    <w:rsid w:val="0031691F"/>
    <w:rsid w:val="0032016F"/>
    <w:rsid w:val="003206FD"/>
    <w:rsid w:val="003212D0"/>
    <w:rsid w:val="003251D7"/>
    <w:rsid w:val="00325A35"/>
    <w:rsid w:val="00325B2C"/>
    <w:rsid w:val="003263B8"/>
    <w:rsid w:val="0033041A"/>
    <w:rsid w:val="00331740"/>
    <w:rsid w:val="00332EF8"/>
    <w:rsid w:val="003346B8"/>
    <w:rsid w:val="003350ED"/>
    <w:rsid w:val="00335471"/>
    <w:rsid w:val="003356D2"/>
    <w:rsid w:val="0033587A"/>
    <w:rsid w:val="003363E8"/>
    <w:rsid w:val="0033754B"/>
    <w:rsid w:val="00340C3E"/>
    <w:rsid w:val="003427E6"/>
    <w:rsid w:val="00343A1F"/>
    <w:rsid w:val="00344294"/>
    <w:rsid w:val="003445D3"/>
    <w:rsid w:val="00344CD1"/>
    <w:rsid w:val="0034570A"/>
    <w:rsid w:val="00345C12"/>
    <w:rsid w:val="00347939"/>
    <w:rsid w:val="00350804"/>
    <w:rsid w:val="003529A0"/>
    <w:rsid w:val="00353AF6"/>
    <w:rsid w:val="00360013"/>
    <w:rsid w:val="00360664"/>
    <w:rsid w:val="00361511"/>
    <w:rsid w:val="00361890"/>
    <w:rsid w:val="00361FD4"/>
    <w:rsid w:val="0036261A"/>
    <w:rsid w:val="00363A10"/>
    <w:rsid w:val="003644EA"/>
    <w:rsid w:val="00364E17"/>
    <w:rsid w:val="00366188"/>
    <w:rsid w:val="00366F18"/>
    <w:rsid w:val="00367833"/>
    <w:rsid w:val="00367CDA"/>
    <w:rsid w:val="00370033"/>
    <w:rsid w:val="00370111"/>
    <w:rsid w:val="00371CA7"/>
    <w:rsid w:val="00372872"/>
    <w:rsid w:val="00376B0F"/>
    <w:rsid w:val="00376C52"/>
    <w:rsid w:val="003774C8"/>
    <w:rsid w:val="00377630"/>
    <w:rsid w:val="00380037"/>
    <w:rsid w:val="003823A7"/>
    <w:rsid w:val="003829D5"/>
    <w:rsid w:val="003832E1"/>
    <w:rsid w:val="00385D58"/>
    <w:rsid w:val="00387128"/>
    <w:rsid w:val="00390946"/>
    <w:rsid w:val="003915CB"/>
    <w:rsid w:val="003941CF"/>
    <w:rsid w:val="00394B0D"/>
    <w:rsid w:val="00397F42"/>
    <w:rsid w:val="003A1A41"/>
    <w:rsid w:val="003A2AA6"/>
    <w:rsid w:val="003A33E1"/>
    <w:rsid w:val="003A38A0"/>
    <w:rsid w:val="003A3A88"/>
    <w:rsid w:val="003A510E"/>
    <w:rsid w:val="003A7363"/>
    <w:rsid w:val="003B2FE6"/>
    <w:rsid w:val="003B4E01"/>
    <w:rsid w:val="003C0823"/>
    <w:rsid w:val="003C3BD5"/>
    <w:rsid w:val="003C413A"/>
    <w:rsid w:val="003C4A68"/>
    <w:rsid w:val="003C4E14"/>
    <w:rsid w:val="003C513B"/>
    <w:rsid w:val="003C6FB1"/>
    <w:rsid w:val="003D0A3A"/>
    <w:rsid w:val="003D1041"/>
    <w:rsid w:val="003D28BC"/>
    <w:rsid w:val="003D51E7"/>
    <w:rsid w:val="003D52F3"/>
    <w:rsid w:val="003D6B90"/>
    <w:rsid w:val="003E019F"/>
    <w:rsid w:val="003E13B3"/>
    <w:rsid w:val="003E4240"/>
    <w:rsid w:val="003E436D"/>
    <w:rsid w:val="003F315F"/>
    <w:rsid w:val="003F3D85"/>
    <w:rsid w:val="003F4674"/>
    <w:rsid w:val="003F66A4"/>
    <w:rsid w:val="003F6A84"/>
    <w:rsid w:val="003F7FAE"/>
    <w:rsid w:val="004049EF"/>
    <w:rsid w:val="00406F65"/>
    <w:rsid w:val="004156F0"/>
    <w:rsid w:val="00415B53"/>
    <w:rsid w:val="00416E50"/>
    <w:rsid w:val="0041781B"/>
    <w:rsid w:val="00417D42"/>
    <w:rsid w:val="00420778"/>
    <w:rsid w:val="0042082C"/>
    <w:rsid w:val="00420B2F"/>
    <w:rsid w:val="0042574B"/>
    <w:rsid w:val="0042585C"/>
    <w:rsid w:val="0042611A"/>
    <w:rsid w:val="00426F1C"/>
    <w:rsid w:val="00427DB9"/>
    <w:rsid w:val="0043171C"/>
    <w:rsid w:val="00432073"/>
    <w:rsid w:val="00432811"/>
    <w:rsid w:val="0043537B"/>
    <w:rsid w:val="00436126"/>
    <w:rsid w:val="00442917"/>
    <w:rsid w:val="00443400"/>
    <w:rsid w:val="0044390B"/>
    <w:rsid w:val="00443F47"/>
    <w:rsid w:val="00444188"/>
    <w:rsid w:val="004447A6"/>
    <w:rsid w:val="00444DE5"/>
    <w:rsid w:val="00445AB1"/>
    <w:rsid w:val="004474DE"/>
    <w:rsid w:val="004507BA"/>
    <w:rsid w:val="0045145A"/>
    <w:rsid w:val="00451B8C"/>
    <w:rsid w:val="00453E15"/>
    <w:rsid w:val="00455EF2"/>
    <w:rsid w:val="00456EC8"/>
    <w:rsid w:val="00456F5E"/>
    <w:rsid w:val="00462093"/>
    <w:rsid w:val="00462394"/>
    <w:rsid w:val="00467637"/>
    <w:rsid w:val="00467DF1"/>
    <w:rsid w:val="00470238"/>
    <w:rsid w:val="00470CB7"/>
    <w:rsid w:val="00474AE3"/>
    <w:rsid w:val="0048041A"/>
    <w:rsid w:val="00480FD6"/>
    <w:rsid w:val="00481C96"/>
    <w:rsid w:val="00481F9D"/>
    <w:rsid w:val="004853C0"/>
    <w:rsid w:val="00485867"/>
    <w:rsid w:val="00493227"/>
    <w:rsid w:val="00493539"/>
    <w:rsid w:val="004941E5"/>
    <w:rsid w:val="00495402"/>
    <w:rsid w:val="004976CF"/>
    <w:rsid w:val="00497E26"/>
    <w:rsid w:val="00497E95"/>
    <w:rsid w:val="004A0C59"/>
    <w:rsid w:val="004A152B"/>
    <w:rsid w:val="004A2EB8"/>
    <w:rsid w:val="004A3479"/>
    <w:rsid w:val="004A694A"/>
    <w:rsid w:val="004B04C7"/>
    <w:rsid w:val="004B11E7"/>
    <w:rsid w:val="004B1E5B"/>
    <w:rsid w:val="004B2413"/>
    <w:rsid w:val="004B387B"/>
    <w:rsid w:val="004B5550"/>
    <w:rsid w:val="004B634E"/>
    <w:rsid w:val="004B7375"/>
    <w:rsid w:val="004C07CB"/>
    <w:rsid w:val="004C105A"/>
    <w:rsid w:val="004C2A93"/>
    <w:rsid w:val="004C476E"/>
    <w:rsid w:val="004C63CF"/>
    <w:rsid w:val="004C7306"/>
    <w:rsid w:val="004C77DB"/>
    <w:rsid w:val="004D09CA"/>
    <w:rsid w:val="004D0AE0"/>
    <w:rsid w:val="004D2205"/>
    <w:rsid w:val="004D38B9"/>
    <w:rsid w:val="004D5FDB"/>
    <w:rsid w:val="004E0660"/>
    <w:rsid w:val="004E3470"/>
    <w:rsid w:val="004E3A30"/>
    <w:rsid w:val="004E46D9"/>
    <w:rsid w:val="004E47A4"/>
    <w:rsid w:val="004E4E3E"/>
    <w:rsid w:val="004E6091"/>
    <w:rsid w:val="004E7312"/>
    <w:rsid w:val="004E7BD6"/>
    <w:rsid w:val="004F0734"/>
    <w:rsid w:val="004F0B03"/>
    <w:rsid w:val="004F193E"/>
    <w:rsid w:val="004F1A81"/>
    <w:rsid w:val="004F5AF0"/>
    <w:rsid w:val="00500BAC"/>
    <w:rsid w:val="00501BD2"/>
    <w:rsid w:val="00502FD1"/>
    <w:rsid w:val="005041C3"/>
    <w:rsid w:val="00506A27"/>
    <w:rsid w:val="00507D9E"/>
    <w:rsid w:val="00512865"/>
    <w:rsid w:val="00512FDE"/>
    <w:rsid w:val="00514D39"/>
    <w:rsid w:val="00516695"/>
    <w:rsid w:val="0051712F"/>
    <w:rsid w:val="005223E5"/>
    <w:rsid w:val="00523066"/>
    <w:rsid w:val="0052347F"/>
    <w:rsid w:val="00523970"/>
    <w:rsid w:val="005315E2"/>
    <w:rsid w:val="00534052"/>
    <w:rsid w:val="00534AE0"/>
    <w:rsid w:val="00535E64"/>
    <w:rsid w:val="00536F6B"/>
    <w:rsid w:val="00540750"/>
    <w:rsid w:val="0054282F"/>
    <w:rsid w:val="00542B4C"/>
    <w:rsid w:val="00546E2A"/>
    <w:rsid w:val="0054732C"/>
    <w:rsid w:val="005517A8"/>
    <w:rsid w:val="0055180C"/>
    <w:rsid w:val="005546A4"/>
    <w:rsid w:val="00554F69"/>
    <w:rsid w:val="00557A43"/>
    <w:rsid w:val="00561E69"/>
    <w:rsid w:val="0056634F"/>
    <w:rsid w:val="005706AF"/>
    <w:rsid w:val="005718AF"/>
    <w:rsid w:val="00571ACC"/>
    <w:rsid w:val="00571EE4"/>
    <w:rsid w:val="00571FD4"/>
    <w:rsid w:val="00572879"/>
    <w:rsid w:val="00572FA3"/>
    <w:rsid w:val="005733FD"/>
    <w:rsid w:val="00574037"/>
    <w:rsid w:val="0057432C"/>
    <w:rsid w:val="00574C46"/>
    <w:rsid w:val="00574C94"/>
    <w:rsid w:val="005800E3"/>
    <w:rsid w:val="00582623"/>
    <w:rsid w:val="00586033"/>
    <w:rsid w:val="005903BE"/>
    <w:rsid w:val="005920A3"/>
    <w:rsid w:val="005954F5"/>
    <w:rsid w:val="0059737E"/>
    <w:rsid w:val="005A0032"/>
    <w:rsid w:val="005A12E9"/>
    <w:rsid w:val="005A3A64"/>
    <w:rsid w:val="005A3DBF"/>
    <w:rsid w:val="005B2827"/>
    <w:rsid w:val="005B2DFE"/>
    <w:rsid w:val="005B3A1D"/>
    <w:rsid w:val="005B7E54"/>
    <w:rsid w:val="005C46F6"/>
    <w:rsid w:val="005C52F5"/>
    <w:rsid w:val="005C5D16"/>
    <w:rsid w:val="005D0A54"/>
    <w:rsid w:val="005D1147"/>
    <w:rsid w:val="005D322A"/>
    <w:rsid w:val="005D48BE"/>
    <w:rsid w:val="005D541C"/>
    <w:rsid w:val="005D6ECF"/>
    <w:rsid w:val="005D739E"/>
    <w:rsid w:val="005E1B99"/>
    <w:rsid w:val="005E2664"/>
    <w:rsid w:val="005E26D9"/>
    <w:rsid w:val="005E34FF"/>
    <w:rsid w:val="005E4A2E"/>
    <w:rsid w:val="005E52F9"/>
    <w:rsid w:val="005E694B"/>
    <w:rsid w:val="005E73A9"/>
    <w:rsid w:val="005F1261"/>
    <w:rsid w:val="005F1653"/>
    <w:rsid w:val="005F2004"/>
    <w:rsid w:val="005F3562"/>
    <w:rsid w:val="005F3D61"/>
    <w:rsid w:val="005F5011"/>
    <w:rsid w:val="006003F6"/>
    <w:rsid w:val="00601B31"/>
    <w:rsid w:val="00601B8A"/>
    <w:rsid w:val="00602315"/>
    <w:rsid w:val="00602F0B"/>
    <w:rsid w:val="00603AFE"/>
    <w:rsid w:val="00606331"/>
    <w:rsid w:val="006073AA"/>
    <w:rsid w:val="00610DB2"/>
    <w:rsid w:val="00613C0B"/>
    <w:rsid w:val="00614E46"/>
    <w:rsid w:val="006150C1"/>
    <w:rsid w:val="006154F0"/>
    <w:rsid w:val="00622848"/>
    <w:rsid w:val="00623269"/>
    <w:rsid w:val="00625571"/>
    <w:rsid w:val="00626782"/>
    <w:rsid w:val="00626B6F"/>
    <w:rsid w:val="006319E6"/>
    <w:rsid w:val="006323A4"/>
    <w:rsid w:val="00632672"/>
    <w:rsid w:val="0063615C"/>
    <w:rsid w:val="0063736B"/>
    <w:rsid w:val="006379AB"/>
    <w:rsid w:val="00640044"/>
    <w:rsid w:val="006405DA"/>
    <w:rsid w:val="00641552"/>
    <w:rsid w:val="00642824"/>
    <w:rsid w:val="0064339E"/>
    <w:rsid w:val="00643513"/>
    <w:rsid w:val="006450A9"/>
    <w:rsid w:val="00646EB9"/>
    <w:rsid w:val="00650B43"/>
    <w:rsid w:val="00652339"/>
    <w:rsid w:val="006528E2"/>
    <w:rsid w:val="00655E04"/>
    <w:rsid w:val="00656A06"/>
    <w:rsid w:val="0065719B"/>
    <w:rsid w:val="006573ED"/>
    <w:rsid w:val="00660665"/>
    <w:rsid w:val="00661724"/>
    <w:rsid w:val="0066322F"/>
    <w:rsid w:val="00665C87"/>
    <w:rsid w:val="006674CE"/>
    <w:rsid w:val="00667F8F"/>
    <w:rsid w:val="00672D3B"/>
    <w:rsid w:val="006749AA"/>
    <w:rsid w:val="0067568B"/>
    <w:rsid w:val="0067580A"/>
    <w:rsid w:val="00675DB5"/>
    <w:rsid w:val="00676DEB"/>
    <w:rsid w:val="00677E57"/>
    <w:rsid w:val="006801D2"/>
    <w:rsid w:val="006809B2"/>
    <w:rsid w:val="00684EDE"/>
    <w:rsid w:val="00687293"/>
    <w:rsid w:val="00690EE3"/>
    <w:rsid w:val="006911DF"/>
    <w:rsid w:val="0069559D"/>
    <w:rsid w:val="006956A7"/>
    <w:rsid w:val="006A03D6"/>
    <w:rsid w:val="006A5EB1"/>
    <w:rsid w:val="006B13E8"/>
    <w:rsid w:val="006B1CB7"/>
    <w:rsid w:val="006B1F6E"/>
    <w:rsid w:val="006B3EBC"/>
    <w:rsid w:val="006B4316"/>
    <w:rsid w:val="006B6CB4"/>
    <w:rsid w:val="006B74B1"/>
    <w:rsid w:val="006B7AA0"/>
    <w:rsid w:val="006B7BA3"/>
    <w:rsid w:val="006C3FDF"/>
    <w:rsid w:val="006C4AB5"/>
    <w:rsid w:val="006D1503"/>
    <w:rsid w:val="006D2842"/>
    <w:rsid w:val="006D5D33"/>
    <w:rsid w:val="006E0019"/>
    <w:rsid w:val="006E0153"/>
    <w:rsid w:val="006E3F3C"/>
    <w:rsid w:val="006E566F"/>
    <w:rsid w:val="006E5F62"/>
    <w:rsid w:val="006E6517"/>
    <w:rsid w:val="006E67E4"/>
    <w:rsid w:val="006F03E5"/>
    <w:rsid w:val="006F0F5C"/>
    <w:rsid w:val="006F1089"/>
    <w:rsid w:val="006F368B"/>
    <w:rsid w:val="006F538A"/>
    <w:rsid w:val="006F5FE6"/>
    <w:rsid w:val="006F6496"/>
    <w:rsid w:val="006F68DA"/>
    <w:rsid w:val="006F707B"/>
    <w:rsid w:val="00701732"/>
    <w:rsid w:val="00702F59"/>
    <w:rsid w:val="007034DE"/>
    <w:rsid w:val="007035F9"/>
    <w:rsid w:val="00707887"/>
    <w:rsid w:val="00711585"/>
    <w:rsid w:val="00714513"/>
    <w:rsid w:val="007163E3"/>
    <w:rsid w:val="00716E48"/>
    <w:rsid w:val="00717396"/>
    <w:rsid w:val="00720F0B"/>
    <w:rsid w:val="0072125E"/>
    <w:rsid w:val="00722528"/>
    <w:rsid w:val="00722B21"/>
    <w:rsid w:val="00722FDD"/>
    <w:rsid w:val="0072461D"/>
    <w:rsid w:val="007268FA"/>
    <w:rsid w:val="007273AD"/>
    <w:rsid w:val="0072796D"/>
    <w:rsid w:val="00732F4C"/>
    <w:rsid w:val="00741118"/>
    <w:rsid w:val="00742860"/>
    <w:rsid w:val="00742DB1"/>
    <w:rsid w:val="00743BA4"/>
    <w:rsid w:val="00744DD2"/>
    <w:rsid w:val="007450A2"/>
    <w:rsid w:val="007473A0"/>
    <w:rsid w:val="00752BE8"/>
    <w:rsid w:val="00755AE9"/>
    <w:rsid w:val="007560A9"/>
    <w:rsid w:val="00756D77"/>
    <w:rsid w:val="0076146B"/>
    <w:rsid w:val="0076332B"/>
    <w:rsid w:val="0076756E"/>
    <w:rsid w:val="007710A5"/>
    <w:rsid w:val="007714DD"/>
    <w:rsid w:val="00772CE9"/>
    <w:rsid w:val="00773386"/>
    <w:rsid w:val="00775BDD"/>
    <w:rsid w:val="0077700C"/>
    <w:rsid w:val="00781452"/>
    <w:rsid w:val="00783F70"/>
    <w:rsid w:val="00784B68"/>
    <w:rsid w:val="00785862"/>
    <w:rsid w:val="00790EB1"/>
    <w:rsid w:val="007916DF"/>
    <w:rsid w:val="00792524"/>
    <w:rsid w:val="00792EEC"/>
    <w:rsid w:val="00792F16"/>
    <w:rsid w:val="00796A11"/>
    <w:rsid w:val="007A0537"/>
    <w:rsid w:val="007A190C"/>
    <w:rsid w:val="007A3FC1"/>
    <w:rsid w:val="007A40A4"/>
    <w:rsid w:val="007A4E99"/>
    <w:rsid w:val="007A56EA"/>
    <w:rsid w:val="007B0AFC"/>
    <w:rsid w:val="007B24A6"/>
    <w:rsid w:val="007B2A95"/>
    <w:rsid w:val="007B3772"/>
    <w:rsid w:val="007B3C74"/>
    <w:rsid w:val="007B42FB"/>
    <w:rsid w:val="007B46F1"/>
    <w:rsid w:val="007B64A5"/>
    <w:rsid w:val="007C1047"/>
    <w:rsid w:val="007C1DBC"/>
    <w:rsid w:val="007C308D"/>
    <w:rsid w:val="007C595D"/>
    <w:rsid w:val="007D1369"/>
    <w:rsid w:val="007D249C"/>
    <w:rsid w:val="007D31C5"/>
    <w:rsid w:val="007D41AF"/>
    <w:rsid w:val="007D4CD7"/>
    <w:rsid w:val="007D5693"/>
    <w:rsid w:val="007D65B4"/>
    <w:rsid w:val="007D6DB1"/>
    <w:rsid w:val="007E16A6"/>
    <w:rsid w:val="007E1B95"/>
    <w:rsid w:val="007E2D3A"/>
    <w:rsid w:val="007E4269"/>
    <w:rsid w:val="007E45BE"/>
    <w:rsid w:val="007E4E27"/>
    <w:rsid w:val="007E5B0A"/>
    <w:rsid w:val="007E60C2"/>
    <w:rsid w:val="007F1096"/>
    <w:rsid w:val="007F1352"/>
    <w:rsid w:val="007F46F7"/>
    <w:rsid w:val="007F4F93"/>
    <w:rsid w:val="007F5C9E"/>
    <w:rsid w:val="007F6340"/>
    <w:rsid w:val="007F6F4E"/>
    <w:rsid w:val="007F7AD1"/>
    <w:rsid w:val="008013B5"/>
    <w:rsid w:val="008043B7"/>
    <w:rsid w:val="00812A4D"/>
    <w:rsid w:val="00813091"/>
    <w:rsid w:val="00820F2B"/>
    <w:rsid w:val="008240EE"/>
    <w:rsid w:val="008245DB"/>
    <w:rsid w:val="008251CA"/>
    <w:rsid w:val="008263F1"/>
    <w:rsid w:val="00826E92"/>
    <w:rsid w:val="008274E2"/>
    <w:rsid w:val="00827F04"/>
    <w:rsid w:val="00830250"/>
    <w:rsid w:val="00830923"/>
    <w:rsid w:val="00831B12"/>
    <w:rsid w:val="00834368"/>
    <w:rsid w:val="008402B9"/>
    <w:rsid w:val="00840915"/>
    <w:rsid w:val="00843444"/>
    <w:rsid w:val="008434E8"/>
    <w:rsid w:val="008439CD"/>
    <w:rsid w:val="00843CE0"/>
    <w:rsid w:val="008454B5"/>
    <w:rsid w:val="008476E1"/>
    <w:rsid w:val="008524E0"/>
    <w:rsid w:val="00853258"/>
    <w:rsid w:val="0085341C"/>
    <w:rsid w:val="008549E0"/>
    <w:rsid w:val="0085754E"/>
    <w:rsid w:val="00862B8D"/>
    <w:rsid w:val="00863F31"/>
    <w:rsid w:val="00865100"/>
    <w:rsid w:val="008659FD"/>
    <w:rsid w:val="00865FBB"/>
    <w:rsid w:val="008670AF"/>
    <w:rsid w:val="00867494"/>
    <w:rsid w:val="0086789C"/>
    <w:rsid w:val="008700D9"/>
    <w:rsid w:val="0087563A"/>
    <w:rsid w:val="00876426"/>
    <w:rsid w:val="008776FE"/>
    <w:rsid w:val="00877D26"/>
    <w:rsid w:val="0088009B"/>
    <w:rsid w:val="0088597C"/>
    <w:rsid w:val="00893D67"/>
    <w:rsid w:val="008957F4"/>
    <w:rsid w:val="008A000B"/>
    <w:rsid w:val="008A03E3"/>
    <w:rsid w:val="008A22A5"/>
    <w:rsid w:val="008A2C43"/>
    <w:rsid w:val="008A3FBC"/>
    <w:rsid w:val="008A4F84"/>
    <w:rsid w:val="008A548A"/>
    <w:rsid w:val="008A5CB8"/>
    <w:rsid w:val="008A7681"/>
    <w:rsid w:val="008B432A"/>
    <w:rsid w:val="008B70A5"/>
    <w:rsid w:val="008C1EF1"/>
    <w:rsid w:val="008C6473"/>
    <w:rsid w:val="008C6FA3"/>
    <w:rsid w:val="008C721A"/>
    <w:rsid w:val="008D0365"/>
    <w:rsid w:val="008D18E5"/>
    <w:rsid w:val="008D1BF5"/>
    <w:rsid w:val="008D1C12"/>
    <w:rsid w:val="008D2EF4"/>
    <w:rsid w:val="008D456C"/>
    <w:rsid w:val="008D5DD0"/>
    <w:rsid w:val="008D71F1"/>
    <w:rsid w:val="008E25F9"/>
    <w:rsid w:val="008E353A"/>
    <w:rsid w:val="008E359C"/>
    <w:rsid w:val="008E50B3"/>
    <w:rsid w:val="008E53CE"/>
    <w:rsid w:val="008E6ACF"/>
    <w:rsid w:val="008E71CB"/>
    <w:rsid w:val="008E72B8"/>
    <w:rsid w:val="008F1DB4"/>
    <w:rsid w:val="008F229E"/>
    <w:rsid w:val="008F386F"/>
    <w:rsid w:val="008F3CCD"/>
    <w:rsid w:val="008F511D"/>
    <w:rsid w:val="008F580F"/>
    <w:rsid w:val="008F6186"/>
    <w:rsid w:val="008F6806"/>
    <w:rsid w:val="0090269F"/>
    <w:rsid w:val="00912C74"/>
    <w:rsid w:val="009158B9"/>
    <w:rsid w:val="00915EE8"/>
    <w:rsid w:val="00916374"/>
    <w:rsid w:val="00916582"/>
    <w:rsid w:val="009169BF"/>
    <w:rsid w:val="009213E6"/>
    <w:rsid w:val="009223B8"/>
    <w:rsid w:val="00922E82"/>
    <w:rsid w:val="00923F06"/>
    <w:rsid w:val="009248E2"/>
    <w:rsid w:val="00925271"/>
    <w:rsid w:val="009265FD"/>
    <w:rsid w:val="00926CA0"/>
    <w:rsid w:val="00930214"/>
    <w:rsid w:val="00931A25"/>
    <w:rsid w:val="00934466"/>
    <w:rsid w:val="00934E41"/>
    <w:rsid w:val="00935266"/>
    <w:rsid w:val="00936227"/>
    <w:rsid w:val="00941CCA"/>
    <w:rsid w:val="0094205E"/>
    <w:rsid w:val="0094222E"/>
    <w:rsid w:val="009426A1"/>
    <w:rsid w:val="00942B86"/>
    <w:rsid w:val="00946B9A"/>
    <w:rsid w:val="00950792"/>
    <w:rsid w:val="00951152"/>
    <w:rsid w:val="0095147A"/>
    <w:rsid w:val="00953363"/>
    <w:rsid w:val="00956226"/>
    <w:rsid w:val="00957F06"/>
    <w:rsid w:val="0096065E"/>
    <w:rsid w:val="00960B10"/>
    <w:rsid w:val="00960CEB"/>
    <w:rsid w:val="00961245"/>
    <w:rsid w:val="00962170"/>
    <w:rsid w:val="0096495C"/>
    <w:rsid w:val="00970355"/>
    <w:rsid w:val="00970CCD"/>
    <w:rsid w:val="00971A20"/>
    <w:rsid w:val="00972FCE"/>
    <w:rsid w:val="0097527F"/>
    <w:rsid w:val="00976745"/>
    <w:rsid w:val="009772C4"/>
    <w:rsid w:val="009803D3"/>
    <w:rsid w:val="00981864"/>
    <w:rsid w:val="009835E9"/>
    <w:rsid w:val="009841DA"/>
    <w:rsid w:val="00984248"/>
    <w:rsid w:val="00986362"/>
    <w:rsid w:val="00986B23"/>
    <w:rsid w:val="009872C3"/>
    <w:rsid w:val="009876BB"/>
    <w:rsid w:val="00991477"/>
    <w:rsid w:val="00991570"/>
    <w:rsid w:val="0099173A"/>
    <w:rsid w:val="00991A93"/>
    <w:rsid w:val="00996391"/>
    <w:rsid w:val="00996579"/>
    <w:rsid w:val="00997056"/>
    <w:rsid w:val="009A02B9"/>
    <w:rsid w:val="009A0AD2"/>
    <w:rsid w:val="009A0F52"/>
    <w:rsid w:val="009A1F94"/>
    <w:rsid w:val="009A2462"/>
    <w:rsid w:val="009A3CA6"/>
    <w:rsid w:val="009A437C"/>
    <w:rsid w:val="009A641B"/>
    <w:rsid w:val="009A6D91"/>
    <w:rsid w:val="009B3075"/>
    <w:rsid w:val="009B72ED"/>
    <w:rsid w:val="009B7BD4"/>
    <w:rsid w:val="009C054F"/>
    <w:rsid w:val="009C3352"/>
    <w:rsid w:val="009C38E7"/>
    <w:rsid w:val="009C6F60"/>
    <w:rsid w:val="009D16F6"/>
    <w:rsid w:val="009D34BE"/>
    <w:rsid w:val="009D3728"/>
    <w:rsid w:val="009D3844"/>
    <w:rsid w:val="009D799B"/>
    <w:rsid w:val="009E1447"/>
    <w:rsid w:val="009E2384"/>
    <w:rsid w:val="009E3377"/>
    <w:rsid w:val="009E489B"/>
    <w:rsid w:val="009E66B0"/>
    <w:rsid w:val="009E67FA"/>
    <w:rsid w:val="009F0432"/>
    <w:rsid w:val="009F0C88"/>
    <w:rsid w:val="009F301F"/>
    <w:rsid w:val="009F4BAB"/>
    <w:rsid w:val="009F5F86"/>
    <w:rsid w:val="00A004EA"/>
    <w:rsid w:val="00A00FCD"/>
    <w:rsid w:val="00A01E4D"/>
    <w:rsid w:val="00A03C18"/>
    <w:rsid w:val="00A0409D"/>
    <w:rsid w:val="00A050E5"/>
    <w:rsid w:val="00A05802"/>
    <w:rsid w:val="00A05C14"/>
    <w:rsid w:val="00A101CD"/>
    <w:rsid w:val="00A146C9"/>
    <w:rsid w:val="00A151AE"/>
    <w:rsid w:val="00A17FE1"/>
    <w:rsid w:val="00A20E6A"/>
    <w:rsid w:val="00A22103"/>
    <w:rsid w:val="00A22A56"/>
    <w:rsid w:val="00A22D79"/>
    <w:rsid w:val="00A230BC"/>
    <w:rsid w:val="00A23B1D"/>
    <w:rsid w:val="00A24642"/>
    <w:rsid w:val="00A2686D"/>
    <w:rsid w:val="00A26A6D"/>
    <w:rsid w:val="00A32786"/>
    <w:rsid w:val="00A3502E"/>
    <w:rsid w:val="00A35473"/>
    <w:rsid w:val="00A37643"/>
    <w:rsid w:val="00A379B2"/>
    <w:rsid w:val="00A40ADF"/>
    <w:rsid w:val="00A40FFB"/>
    <w:rsid w:val="00A41521"/>
    <w:rsid w:val="00A46682"/>
    <w:rsid w:val="00A545D8"/>
    <w:rsid w:val="00A57BD2"/>
    <w:rsid w:val="00A60DB3"/>
    <w:rsid w:val="00A613A4"/>
    <w:rsid w:val="00A61BF9"/>
    <w:rsid w:val="00A61F6D"/>
    <w:rsid w:val="00A6491D"/>
    <w:rsid w:val="00A7557A"/>
    <w:rsid w:val="00A759DA"/>
    <w:rsid w:val="00A75B9A"/>
    <w:rsid w:val="00A80A63"/>
    <w:rsid w:val="00A82029"/>
    <w:rsid w:val="00A849F2"/>
    <w:rsid w:val="00A8516E"/>
    <w:rsid w:val="00A8533B"/>
    <w:rsid w:val="00A8568C"/>
    <w:rsid w:val="00A862DF"/>
    <w:rsid w:val="00A92FE4"/>
    <w:rsid w:val="00A93E06"/>
    <w:rsid w:val="00A9427C"/>
    <w:rsid w:val="00A97DB8"/>
    <w:rsid w:val="00AA07C3"/>
    <w:rsid w:val="00AA2AA7"/>
    <w:rsid w:val="00AA58D7"/>
    <w:rsid w:val="00AA5EF2"/>
    <w:rsid w:val="00AB0431"/>
    <w:rsid w:val="00AB28BE"/>
    <w:rsid w:val="00AB4421"/>
    <w:rsid w:val="00AB4451"/>
    <w:rsid w:val="00AB504D"/>
    <w:rsid w:val="00AB57F2"/>
    <w:rsid w:val="00AB7FB2"/>
    <w:rsid w:val="00AC0E52"/>
    <w:rsid w:val="00AC1F9C"/>
    <w:rsid w:val="00AC422A"/>
    <w:rsid w:val="00AC5BF7"/>
    <w:rsid w:val="00AC67C1"/>
    <w:rsid w:val="00AC6C71"/>
    <w:rsid w:val="00AC704E"/>
    <w:rsid w:val="00AC7140"/>
    <w:rsid w:val="00AD0A4E"/>
    <w:rsid w:val="00AD0E39"/>
    <w:rsid w:val="00AD1727"/>
    <w:rsid w:val="00AD2CB1"/>
    <w:rsid w:val="00AD2F56"/>
    <w:rsid w:val="00AD3FBC"/>
    <w:rsid w:val="00AD5AF7"/>
    <w:rsid w:val="00AD6427"/>
    <w:rsid w:val="00AD79A4"/>
    <w:rsid w:val="00AE1E86"/>
    <w:rsid w:val="00AE32CD"/>
    <w:rsid w:val="00AE36E4"/>
    <w:rsid w:val="00AE4840"/>
    <w:rsid w:val="00AE50C4"/>
    <w:rsid w:val="00AF30FF"/>
    <w:rsid w:val="00AF3891"/>
    <w:rsid w:val="00AF520C"/>
    <w:rsid w:val="00AF5FEC"/>
    <w:rsid w:val="00AF6B64"/>
    <w:rsid w:val="00AF6DAA"/>
    <w:rsid w:val="00B04356"/>
    <w:rsid w:val="00B049F2"/>
    <w:rsid w:val="00B076B2"/>
    <w:rsid w:val="00B10A9D"/>
    <w:rsid w:val="00B12795"/>
    <w:rsid w:val="00B1573C"/>
    <w:rsid w:val="00B22D93"/>
    <w:rsid w:val="00B2532F"/>
    <w:rsid w:val="00B32D35"/>
    <w:rsid w:val="00B343FD"/>
    <w:rsid w:val="00B36700"/>
    <w:rsid w:val="00B36AD2"/>
    <w:rsid w:val="00B36BE6"/>
    <w:rsid w:val="00B4775E"/>
    <w:rsid w:val="00B47B72"/>
    <w:rsid w:val="00B53A96"/>
    <w:rsid w:val="00B552FF"/>
    <w:rsid w:val="00B559E0"/>
    <w:rsid w:val="00B55A79"/>
    <w:rsid w:val="00B56708"/>
    <w:rsid w:val="00B56990"/>
    <w:rsid w:val="00B60B1E"/>
    <w:rsid w:val="00B61111"/>
    <w:rsid w:val="00B617E8"/>
    <w:rsid w:val="00B61A59"/>
    <w:rsid w:val="00B62F51"/>
    <w:rsid w:val="00B66627"/>
    <w:rsid w:val="00B66809"/>
    <w:rsid w:val="00B67B12"/>
    <w:rsid w:val="00B718B5"/>
    <w:rsid w:val="00B71ACC"/>
    <w:rsid w:val="00B72768"/>
    <w:rsid w:val="00B73CB5"/>
    <w:rsid w:val="00B7416D"/>
    <w:rsid w:val="00B746CD"/>
    <w:rsid w:val="00B76CA1"/>
    <w:rsid w:val="00B779C0"/>
    <w:rsid w:val="00B80182"/>
    <w:rsid w:val="00B824B2"/>
    <w:rsid w:val="00B82571"/>
    <w:rsid w:val="00B82B86"/>
    <w:rsid w:val="00B83C69"/>
    <w:rsid w:val="00B84E08"/>
    <w:rsid w:val="00B8546E"/>
    <w:rsid w:val="00B860DD"/>
    <w:rsid w:val="00B874EC"/>
    <w:rsid w:val="00B874FF"/>
    <w:rsid w:val="00B92D79"/>
    <w:rsid w:val="00B93869"/>
    <w:rsid w:val="00B9430F"/>
    <w:rsid w:val="00B95662"/>
    <w:rsid w:val="00B95CD9"/>
    <w:rsid w:val="00B965F5"/>
    <w:rsid w:val="00B96916"/>
    <w:rsid w:val="00B96DC9"/>
    <w:rsid w:val="00B973E9"/>
    <w:rsid w:val="00B97DF6"/>
    <w:rsid w:val="00BA186C"/>
    <w:rsid w:val="00BA67A6"/>
    <w:rsid w:val="00BB72C9"/>
    <w:rsid w:val="00BC24A3"/>
    <w:rsid w:val="00BC39BA"/>
    <w:rsid w:val="00BC41C0"/>
    <w:rsid w:val="00BC6B33"/>
    <w:rsid w:val="00BC7C16"/>
    <w:rsid w:val="00BC7F03"/>
    <w:rsid w:val="00BD04B2"/>
    <w:rsid w:val="00BD04F3"/>
    <w:rsid w:val="00BD09CD"/>
    <w:rsid w:val="00BD1585"/>
    <w:rsid w:val="00BD1F8C"/>
    <w:rsid w:val="00BD47F9"/>
    <w:rsid w:val="00BD5260"/>
    <w:rsid w:val="00BD5AB5"/>
    <w:rsid w:val="00BD6B4F"/>
    <w:rsid w:val="00BD72AE"/>
    <w:rsid w:val="00BD7F80"/>
    <w:rsid w:val="00BE14D0"/>
    <w:rsid w:val="00BE1D4F"/>
    <w:rsid w:val="00BE37B5"/>
    <w:rsid w:val="00BE4901"/>
    <w:rsid w:val="00BE6492"/>
    <w:rsid w:val="00BE7A90"/>
    <w:rsid w:val="00BF09C6"/>
    <w:rsid w:val="00BF0FFD"/>
    <w:rsid w:val="00BF3B9F"/>
    <w:rsid w:val="00BF3CC4"/>
    <w:rsid w:val="00BF5DCE"/>
    <w:rsid w:val="00BF5F50"/>
    <w:rsid w:val="00BF68DC"/>
    <w:rsid w:val="00BF690F"/>
    <w:rsid w:val="00C00E8A"/>
    <w:rsid w:val="00C010EF"/>
    <w:rsid w:val="00C03117"/>
    <w:rsid w:val="00C0700C"/>
    <w:rsid w:val="00C07E73"/>
    <w:rsid w:val="00C1068A"/>
    <w:rsid w:val="00C10793"/>
    <w:rsid w:val="00C11BD0"/>
    <w:rsid w:val="00C11D12"/>
    <w:rsid w:val="00C11E4E"/>
    <w:rsid w:val="00C13484"/>
    <w:rsid w:val="00C13759"/>
    <w:rsid w:val="00C1432A"/>
    <w:rsid w:val="00C16169"/>
    <w:rsid w:val="00C1655F"/>
    <w:rsid w:val="00C217EA"/>
    <w:rsid w:val="00C23ECA"/>
    <w:rsid w:val="00C274BD"/>
    <w:rsid w:val="00C27A86"/>
    <w:rsid w:val="00C30B47"/>
    <w:rsid w:val="00C316D6"/>
    <w:rsid w:val="00C32A97"/>
    <w:rsid w:val="00C353A1"/>
    <w:rsid w:val="00C36B8D"/>
    <w:rsid w:val="00C40404"/>
    <w:rsid w:val="00C40EA6"/>
    <w:rsid w:val="00C4138E"/>
    <w:rsid w:val="00C41B96"/>
    <w:rsid w:val="00C42136"/>
    <w:rsid w:val="00C43AA7"/>
    <w:rsid w:val="00C45374"/>
    <w:rsid w:val="00C460C3"/>
    <w:rsid w:val="00C4626D"/>
    <w:rsid w:val="00C4697E"/>
    <w:rsid w:val="00C47C24"/>
    <w:rsid w:val="00C52F21"/>
    <w:rsid w:val="00C5314C"/>
    <w:rsid w:val="00C532C6"/>
    <w:rsid w:val="00C543A5"/>
    <w:rsid w:val="00C54AFE"/>
    <w:rsid w:val="00C54DB5"/>
    <w:rsid w:val="00C54FA8"/>
    <w:rsid w:val="00C57B84"/>
    <w:rsid w:val="00C60236"/>
    <w:rsid w:val="00C610E6"/>
    <w:rsid w:val="00C614FA"/>
    <w:rsid w:val="00C61912"/>
    <w:rsid w:val="00C66503"/>
    <w:rsid w:val="00C701B5"/>
    <w:rsid w:val="00C71676"/>
    <w:rsid w:val="00C72AAA"/>
    <w:rsid w:val="00C73304"/>
    <w:rsid w:val="00C755F9"/>
    <w:rsid w:val="00C75EDF"/>
    <w:rsid w:val="00C77443"/>
    <w:rsid w:val="00C77F12"/>
    <w:rsid w:val="00C8343C"/>
    <w:rsid w:val="00C83E70"/>
    <w:rsid w:val="00C84850"/>
    <w:rsid w:val="00C84978"/>
    <w:rsid w:val="00C857CB"/>
    <w:rsid w:val="00C85CBC"/>
    <w:rsid w:val="00C85E4C"/>
    <w:rsid w:val="00C8740F"/>
    <w:rsid w:val="00C87B7F"/>
    <w:rsid w:val="00C92D2F"/>
    <w:rsid w:val="00C93BE5"/>
    <w:rsid w:val="00CA2D23"/>
    <w:rsid w:val="00CA2FBE"/>
    <w:rsid w:val="00CA658E"/>
    <w:rsid w:val="00CA6B4D"/>
    <w:rsid w:val="00CB6522"/>
    <w:rsid w:val="00CB6A11"/>
    <w:rsid w:val="00CC2600"/>
    <w:rsid w:val="00CC52FA"/>
    <w:rsid w:val="00CC59A7"/>
    <w:rsid w:val="00CC656E"/>
    <w:rsid w:val="00CC723B"/>
    <w:rsid w:val="00CD0A9F"/>
    <w:rsid w:val="00CD158D"/>
    <w:rsid w:val="00CD3899"/>
    <w:rsid w:val="00CD4291"/>
    <w:rsid w:val="00CD5046"/>
    <w:rsid w:val="00CD658C"/>
    <w:rsid w:val="00CE0099"/>
    <w:rsid w:val="00CE21C0"/>
    <w:rsid w:val="00CE305D"/>
    <w:rsid w:val="00CE3F8B"/>
    <w:rsid w:val="00CE476B"/>
    <w:rsid w:val="00CE6EA6"/>
    <w:rsid w:val="00CE7A9E"/>
    <w:rsid w:val="00CF026C"/>
    <w:rsid w:val="00CF0D91"/>
    <w:rsid w:val="00CF1954"/>
    <w:rsid w:val="00CF322E"/>
    <w:rsid w:val="00CF4417"/>
    <w:rsid w:val="00CF5259"/>
    <w:rsid w:val="00CF6E4C"/>
    <w:rsid w:val="00D02CB8"/>
    <w:rsid w:val="00D04C6B"/>
    <w:rsid w:val="00D0703B"/>
    <w:rsid w:val="00D07841"/>
    <w:rsid w:val="00D113C4"/>
    <w:rsid w:val="00D11715"/>
    <w:rsid w:val="00D125BE"/>
    <w:rsid w:val="00D14731"/>
    <w:rsid w:val="00D149B2"/>
    <w:rsid w:val="00D16B8B"/>
    <w:rsid w:val="00D17343"/>
    <w:rsid w:val="00D173F4"/>
    <w:rsid w:val="00D21EEA"/>
    <w:rsid w:val="00D22049"/>
    <w:rsid w:val="00D23227"/>
    <w:rsid w:val="00D23571"/>
    <w:rsid w:val="00D24520"/>
    <w:rsid w:val="00D25690"/>
    <w:rsid w:val="00D26397"/>
    <w:rsid w:val="00D27B2E"/>
    <w:rsid w:val="00D31A72"/>
    <w:rsid w:val="00D3507F"/>
    <w:rsid w:val="00D354A3"/>
    <w:rsid w:val="00D37F3A"/>
    <w:rsid w:val="00D41085"/>
    <w:rsid w:val="00D41561"/>
    <w:rsid w:val="00D419F5"/>
    <w:rsid w:val="00D41E53"/>
    <w:rsid w:val="00D51064"/>
    <w:rsid w:val="00D531BE"/>
    <w:rsid w:val="00D54097"/>
    <w:rsid w:val="00D555DA"/>
    <w:rsid w:val="00D55ED7"/>
    <w:rsid w:val="00D57A82"/>
    <w:rsid w:val="00D57B00"/>
    <w:rsid w:val="00D616FC"/>
    <w:rsid w:val="00D61D42"/>
    <w:rsid w:val="00D62D2F"/>
    <w:rsid w:val="00D661D4"/>
    <w:rsid w:val="00D71197"/>
    <w:rsid w:val="00D72654"/>
    <w:rsid w:val="00D748FA"/>
    <w:rsid w:val="00D769EF"/>
    <w:rsid w:val="00D77D24"/>
    <w:rsid w:val="00D77F84"/>
    <w:rsid w:val="00D81166"/>
    <w:rsid w:val="00D82433"/>
    <w:rsid w:val="00D839EA"/>
    <w:rsid w:val="00D8656A"/>
    <w:rsid w:val="00D86FDA"/>
    <w:rsid w:val="00D9016C"/>
    <w:rsid w:val="00D9178E"/>
    <w:rsid w:val="00D924ED"/>
    <w:rsid w:val="00D9631F"/>
    <w:rsid w:val="00D9643D"/>
    <w:rsid w:val="00D9747B"/>
    <w:rsid w:val="00DA0B61"/>
    <w:rsid w:val="00DA25A3"/>
    <w:rsid w:val="00DA2E03"/>
    <w:rsid w:val="00DA3E24"/>
    <w:rsid w:val="00DA5C72"/>
    <w:rsid w:val="00DA6532"/>
    <w:rsid w:val="00DB1A77"/>
    <w:rsid w:val="00DB3C38"/>
    <w:rsid w:val="00DB4A96"/>
    <w:rsid w:val="00DB7937"/>
    <w:rsid w:val="00DC2ECB"/>
    <w:rsid w:val="00DC2F1B"/>
    <w:rsid w:val="00DC77CC"/>
    <w:rsid w:val="00DD16C4"/>
    <w:rsid w:val="00DD1DA3"/>
    <w:rsid w:val="00DD1F5A"/>
    <w:rsid w:val="00DD4C56"/>
    <w:rsid w:val="00DD4EFB"/>
    <w:rsid w:val="00DD5403"/>
    <w:rsid w:val="00DE3CCF"/>
    <w:rsid w:val="00DE41DF"/>
    <w:rsid w:val="00DE42EB"/>
    <w:rsid w:val="00DE6CCC"/>
    <w:rsid w:val="00DE6FDE"/>
    <w:rsid w:val="00DF30BA"/>
    <w:rsid w:val="00DF5FF6"/>
    <w:rsid w:val="00E02BE5"/>
    <w:rsid w:val="00E038C9"/>
    <w:rsid w:val="00E11244"/>
    <w:rsid w:val="00E11DF7"/>
    <w:rsid w:val="00E12F1B"/>
    <w:rsid w:val="00E13935"/>
    <w:rsid w:val="00E14A97"/>
    <w:rsid w:val="00E16869"/>
    <w:rsid w:val="00E16CAE"/>
    <w:rsid w:val="00E22459"/>
    <w:rsid w:val="00E23D5A"/>
    <w:rsid w:val="00E247D7"/>
    <w:rsid w:val="00E24E54"/>
    <w:rsid w:val="00E32620"/>
    <w:rsid w:val="00E32731"/>
    <w:rsid w:val="00E327DC"/>
    <w:rsid w:val="00E32DBC"/>
    <w:rsid w:val="00E334FB"/>
    <w:rsid w:val="00E345F7"/>
    <w:rsid w:val="00E357BB"/>
    <w:rsid w:val="00E368D6"/>
    <w:rsid w:val="00E438CA"/>
    <w:rsid w:val="00E43B5E"/>
    <w:rsid w:val="00E4482E"/>
    <w:rsid w:val="00E4610B"/>
    <w:rsid w:val="00E4620A"/>
    <w:rsid w:val="00E473DD"/>
    <w:rsid w:val="00E50237"/>
    <w:rsid w:val="00E508C8"/>
    <w:rsid w:val="00E515DB"/>
    <w:rsid w:val="00E51A62"/>
    <w:rsid w:val="00E53EDE"/>
    <w:rsid w:val="00E5410C"/>
    <w:rsid w:val="00E54F7C"/>
    <w:rsid w:val="00E557C6"/>
    <w:rsid w:val="00E5713B"/>
    <w:rsid w:val="00E63742"/>
    <w:rsid w:val="00E6686A"/>
    <w:rsid w:val="00E72984"/>
    <w:rsid w:val="00E732E3"/>
    <w:rsid w:val="00E73369"/>
    <w:rsid w:val="00E7360C"/>
    <w:rsid w:val="00E748F5"/>
    <w:rsid w:val="00E758F4"/>
    <w:rsid w:val="00E759CC"/>
    <w:rsid w:val="00E76449"/>
    <w:rsid w:val="00E8419F"/>
    <w:rsid w:val="00E876C1"/>
    <w:rsid w:val="00E92478"/>
    <w:rsid w:val="00E9286D"/>
    <w:rsid w:val="00E934C6"/>
    <w:rsid w:val="00E94DF8"/>
    <w:rsid w:val="00E94F4B"/>
    <w:rsid w:val="00E958AB"/>
    <w:rsid w:val="00E977AF"/>
    <w:rsid w:val="00EA04D0"/>
    <w:rsid w:val="00EA2565"/>
    <w:rsid w:val="00EA375C"/>
    <w:rsid w:val="00EA3A14"/>
    <w:rsid w:val="00EA406E"/>
    <w:rsid w:val="00EA52D3"/>
    <w:rsid w:val="00EA55D4"/>
    <w:rsid w:val="00EA571C"/>
    <w:rsid w:val="00EA6F72"/>
    <w:rsid w:val="00EB2329"/>
    <w:rsid w:val="00EB38B8"/>
    <w:rsid w:val="00EB48AA"/>
    <w:rsid w:val="00EB62A6"/>
    <w:rsid w:val="00EB66B7"/>
    <w:rsid w:val="00EB7E3E"/>
    <w:rsid w:val="00EC0D82"/>
    <w:rsid w:val="00EC1BF4"/>
    <w:rsid w:val="00EC4358"/>
    <w:rsid w:val="00EC51B5"/>
    <w:rsid w:val="00EC6CB0"/>
    <w:rsid w:val="00EC7001"/>
    <w:rsid w:val="00ED11B0"/>
    <w:rsid w:val="00ED1E77"/>
    <w:rsid w:val="00ED3727"/>
    <w:rsid w:val="00ED3EEA"/>
    <w:rsid w:val="00ED3FF4"/>
    <w:rsid w:val="00ED6046"/>
    <w:rsid w:val="00ED68D0"/>
    <w:rsid w:val="00ED7649"/>
    <w:rsid w:val="00EE0439"/>
    <w:rsid w:val="00EE35A2"/>
    <w:rsid w:val="00EE39F7"/>
    <w:rsid w:val="00EE550A"/>
    <w:rsid w:val="00EE5896"/>
    <w:rsid w:val="00EE7C32"/>
    <w:rsid w:val="00EF0CAB"/>
    <w:rsid w:val="00EF0D0F"/>
    <w:rsid w:val="00EF2036"/>
    <w:rsid w:val="00EF279C"/>
    <w:rsid w:val="00EF5820"/>
    <w:rsid w:val="00EF6C08"/>
    <w:rsid w:val="00EF7260"/>
    <w:rsid w:val="00F05403"/>
    <w:rsid w:val="00F10039"/>
    <w:rsid w:val="00F12C4A"/>
    <w:rsid w:val="00F14B04"/>
    <w:rsid w:val="00F15422"/>
    <w:rsid w:val="00F15739"/>
    <w:rsid w:val="00F15A2D"/>
    <w:rsid w:val="00F163C3"/>
    <w:rsid w:val="00F178E8"/>
    <w:rsid w:val="00F20645"/>
    <w:rsid w:val="00F22E61"/>
    <w:rsid w:val="00F26EF4"/>
    <w:rsid w:val="00F3041A"/>
    <w:rsid w:val="00F34327"/>
    <w:rsid w:val="00F343A8"/>
    <w:rsid w:val="00F34624"/>
    <w:rsid w:val="00F35AD3"/>
    <w:rsid w:val="00F41495"/>
    <w:rsid w:val="00F41892"/>
    <w:rsid w:val="00F443AC"/>
    <w:rsid w:val="00F44409"/>
    <w:rsid w:val="00F46035"/>
    <w:rsid w:val="00F47269"/>
    <w:rsid w:val="00F50AAF"/>
    <w:rsid w:val="00F51FBD"/>
    <w:rsid w:val="00F52AB8"/>
    <w:rsid w:val="00F5580C"/>
    <w:rsid w:val="00F61551"/>
    <w:rsid w:val="00F61A88"/>
    <w:rsid w:val="00F61E7F"/>
    <w:rsid w:val="00F62916"/>
    <w:rsid w:val="00F630AE"/>
    <w:rsid w:val="00F63D9A"/>
    <w:rsid w:val="00F64FC6"/>
    <w:rsid w:val="00F702F5"/>
    <w:rsid w:val="00F72034"/>
    <w:rsid w:val="00F7399F"/>
    <w:rsid w:val="00F76320"/>
    <w:rsid w:val="00F81C7E"/>
    <w:rsid w:val="00F8305B"/>
    <w:rsid w:val="00F844CE"/>
    <w:rsid w:val="00F8535A"/>
    <w:rsid w:val="00F85E5A"/>
    <w:rsid w:val="00F8628A"/>
    <w:rsid w:val="00F86E1F"/>
    <w:rsid w:val="00F922F9"/>
    <w:rsid w:val="00F9435B"/>
    <w:rsid w:val="00F94B24"/>
    <w:rsid w:val="00F9581A"/>
    <w:rsid w:val="00FA02D2"/>
    <w:rsid w:val="00FA13DA"/>
    <w:rsid w:val="00FA1EF6"/>
    <w:rsid w:val="00FA421A"/>
    <w:rsid w:val="00FA5D70"/>
    <w:rsid w:val="00FA75CC"/>
    <w:rsid w:val="00FB143C"/>
    <w:rsid w:val="00FB2F72"/>
    <w:rsid w:val="00FB4511"/>
    <w:rsid w:val="00FB498F"/>
    <w:rsid w:val="00FB743C"/>
    <w:rsid w:val="00FC000C"/>
    <w:rsid w:val="00FC2BDE"/>
    <w:rsid w:val="00FC32E8"/>
    <w:rsid w:val="00FC59D8"/>
    <w:rsid w:val="00FC63C3"/>
    <w:rsid w:val="00FC71F6"/>
    <w:rsid w:val="00FD307B"/>
    <w:rsid w:val="00FD539B"/>
    <w:rsid w:val="00FE123E"/>
    <w:rsid w:val="00FE1AD2"/>
    <w:rsid w:val="00FE1CB2"/>
    <w:rsid w:val="00FE2D47"/>
    <w:rsid w:val="00FE3C24"/>
    <w:rsid w:val="00FE5B07"/>
    <w:rsid w:val="00FE5FC4"/>
    <w:rsid w:val="00FE68E4"/>
    <w:rsid w:val="00FF278F"/>
    <w:rsid w:val="00FF34A3"/>
    <w:rsid w:val="00FF3E42"/>
    <w:rsid w:val="00FF4721"/>
    <w:rsid w:val="00FF5DA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65DC5FCA"/>
  <w15:docId w15:val="{3FC8B061-2869-4FA8-8838-5C0441CC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4A2EB8"/>
    <w:pPr>
      <w:keepNext/>
      <w:widowControl w:val="0"/>
      <w:numPr>
        <w:ilvl w:val="2"/>
        <w:numId w:val="5"/>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5"/>
      </w:numPr>
      <w:spacing w:before="240" w:after="40"/>
      <w:outlineLvl w:val="3"/>
    </w:pPr>
    <w:rPr>
      <w:b/>
      <w:i/>
      <w:color w:val="000000"/>
    </w:rPr>
  </w:style>
  <w:style w:type="paragraph" w:styleId="Heading5">
    <w:name w:val="heading 5"/>
    <w:basedOn w:val="Normal"/>
    <w:next w:val="Normal"/>
    <w:qFormat/>
    <w:rsid w:val="004A2EB8"/>
    <w:pPr>
      <w:keepNext/>
      <w:numPr>
        <w:ilvl w:val="4"/>
        <w:numId w:val="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5"/>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5"/>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6"/>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2"/>
      </w:numPr>
      <w:tabs>
        <w:tab w:val="left" w:pos="851"/>
      </w:tabs>
    </w:pPr>
    <w:rPr>
      <w:color w:val="000000"/>
      <w:sz w:val="20"/>
    </w:rPr>
  </w:style>
  <w:style w:type="paragraph" w:customStyle="1" w:styleId="Style1">
    <w:name w:val="Style1"/>
    <w:basedOn w:val="Heading1"/>
    <w:link w:val="Style1Char"/>
    <w:rsid w:val="00C8740F"/>
    <w:pPr>
      <w:keepNext w:val="0"/>
      <w:widowControl/>
      <w:numPr>
        <w:numId w:val="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7"/>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6"/>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4"/>
      </w:numPr>
      <w:tabs>
        <w:tab w:val="clear" w:pos="720"/>
      </w:tabs>
      <w:spacing w:before="60"/>
      <w:ind w:left="2174" w:hanging="547"/>
    </w:pPr>
    <w:rPr>
      <w:rFonts w:ascii="Verdana" w:hAnsi="Verdana"/>
    </w:rPr>
  </w:style>
  <w:style w:type="paragraph" w:styleId="ListNumber">
    <w:name w:val="List Number"/>
    <w:basedOn w:val="Normal"/>
    <w:pPr>
      <w:numPr>
        <w:numId w:val="3"/>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basedOn w:val="DefaultParagraphFont"/>
    <w:rsid w:val="008A03E3"/>
    <w:rPr>
      <w:color w:val="0000FF"/>
      <w:u w:val="single"/>
    </w:rPr>
  </w:style>
  <w:style w:type="character" w:styleId="FootnoteReference">
    <w:name w:val="footnote reference"/>
    <w:basedOn w:val="DefaultParagraphFont"/>
    <w:rsid w:val="00CE476B"/>
    <w:rPr>
      <w:vertAlign w:val="superscript"/>
    </w:rPr>
  </w:style>
  <w:style w:type="paragraph" w:styleId="NormalWeb">
    <w:name w:val="Normal (Web)"/>
    <w:basedOn w:val="Normal"/>
    <w:uiPriority w:val="99"/>
    <w:rsid w:val="00D27B2E"/>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BD04F3"/>
    <w:rPr>
      <w:sz w:val="16"/>
      <w:szCs w:val="16"/>
    </w:rPr>
  </w:style>
  <w:style w:type="paragraph" w:styleId="CommentText">
    <w:name w:val="annotation text"/>
    <w:basedOn w:val="Normal"/>
    <w:semiHidden/>
    <w:rsid w:val="00BD04F3"/>
    <w:rPr>
      <w:sz w:val="20"/>
    </w:rPr>
  </w:style>
  <w:style w:type="paragraph" w:styleId="CommentSubject">
    <w:name w:val="annotation subject"/>
    <w:basedOn w:val="CommentText"/>
    <w:next w:val="CommentText"/>
    <w:semiHidden/>
    <w:rsid w:val="00BD04F3"/>
    <w:rPr>
      <w:b/>
      <w:bCs/>
    </w:rPr>
  </w:style>
  <w:style w:type="paragraph" w:styleId="BalloonText">
    <w:name w:val="Balloon Text"/>
    <w:basedOn w:val="Normal"/>
    <w:link w:val="BalloonTextChar"/>
    <w:rsid w:val="00BD04F3"/>
    <w:rPr>
      <w:rFonts w:ascii="Tahoma" w:hAnsi="Tahoma" w:cs="Tahoma"/>
      <w:sz w:val="16"/>
      <w:szCs w:val="16"/>
    </w:rPr>
  </w:style>
  <w:style w:type="character" w:customStyle="1" w:styleId="Style1Char">
    <w:name w:val="Style1 Char"/>
    <w:basedOn w:val="DefaultParagraphFont"/>
    <w:link w:val="Style1"/>
    <w:rsid w:val="003C413A"/>
    <w:rPr>
      <w:rFonts w:ascii="Verdana" w:hAnsi="Verdana"/>
      <w:color w:val="000000"/>
      <w:kern w:val="28"/>
      <w:sz w:val="22"/>
    </w:rPr>
  </w:style>
  <w:style w:type="paragraph" w:customStyle="1" w:styleId="Default">
    <w:name w:val="Default"/>
    <w:rsid w:val="00FB143C"/>
    <w:pPr>
      <w:autoSpaceDE w:val="0"/>
      <w:autoSpaceDN w:val="0"/>
      <w:adjustRightInd w:val="0"/>
    </w:pPr>
    <w:rPr>
      <w:rFonts w:ascii="Verdana" w:hAnsi="Verdana" w:cs="Verdana"/>
      <w:color w:val="000000"/>
      <w:sz w:val="24"/>
      <w:szCs w:val="24"/>
    </w:rPr>
  </w:style>
  <w:style w:type="character" w:customStyle="1" w:styleId="legdslegp1no">
    <w:name w:val="legds legp1no"/>
    <w:basedOn w:val="DefaultParagraphFont"/>
    <w:rsid w:val="00B95662"/>
  </w:style>
  <w:style w:type="character" w:customStyle="1" w:styleId="legdslegp1grouptitlefirst">
    <w:name w:val="legds legp1grouptitlefirst"/>
    <w:basedOn w:val="DefaultParagraphFont"/>
    <w:rsid w:val="00B95662"/>
  </w:style>
  <w:style w:type="character" w:customStyle="1" w:styleId="legextentrestriction7">
    <w:name w:val="legextentrestriction7"/>
    <w:basedOn w:val="DefaultParagraphFont"/>
    <w:rsid w:val="00B95662"/>
    <w:rPr>
      <w:b/>
      <w:bCs/>
      <w:i w:val="0"/>
      <w:iCs w:val="0"/>
      <w:vanish/>
      <w:webHidden w:val="0"/>
      <w:color w:val="FFFFFF"/>
      <w:sz w:val="22"/>
      <w:szCs w:val="22"/>
      <w:shd w:val="clear" w:color="auto" w:fill="660066"/>
      <w:specVanish w:val="0"/>
    </w:rPr>
  </w:style>
  <w:style w:type="character" w:customStyle="1" w:styleId="legdsleglhslegp2no">
    <w:name w:val="legds leglhs legp2no"/>
    <w:basedOn w:val="DefaultParagraphFont"/>
    <w:rsid w:val="00B95662"/>
  </w:style>
  <w:style w:type="character" w:customStyle="1" w:styleId="legdslegrhslegp2text">
    <w:name w:val="legds legrhs legp2text"/>
    <w:basedOn w:val="DefaultParagraphFont"/>
    <w:rsid w:val="00B95662"/>
  </w:style>
  <w:style w:type="character" w:customStyle="1" w:styleId="legchangedelimiter2">
    <w:name w:val="legchangedelimiter2"/>
    <w:basedOn w:val="DefaultParagraphFont"/>
    <w:rsid w:val="00B95662"/>
    <w:rPr>
      <w:b/>
      <w:bCs/>
      <w:i w:val="0"/>
      <w:iCs w:val="0"/>
      <w:color w:val="000000"/>
      <w:sz w:val="34"/>
      <w:szCs w:val="34"/>
    </w:rPr>
  </w:style>
  <w:style w:type="character" w:customStyle="1" w:styleId="legaddition5">
    <w:name w:val="legaddition5"/>
    <w:basedOn w:val="DefaultParagraphFont"/>
    <w:rsid w:val="00B95662"/>
  </w:style>
  <w:style w:type="character" w:customStyle="1" w:styleId="legdsleglhslegp3no">
    <w:name w:val="legds leglhs legp3no"/>
    <w:basedOn w:val="DefaultParagraphFont"/>
    <w:rsid w:val="00B95662"/>
  </w:style>
  <w:style w:type="character" w:customStyle="1" w:styleId="legdslegrhslegp3text">
    <w:name w:val="legds legrhs legp3text"/>
    <w:basedOn w:val="DefaultParagraphFont"/>
    <w:rsid w:val="00B95662"/>
  </w:style>
  <w:style w:type="character" w:customStyle="1" w:styleId="legdsleglhslegp4no">
    <w:name w:val="legds leglhs legp4no"/>
    <w:basedOn w:val="DefaultParagraphFont"/>
    <w:rsid w:val="00B95662"/>
  </w:style>
  <w:style w:type="character" w:customStyle="1" w:styleId="legdslegrhslegp4text">
    <w:name w:val="legds legrhs legp4text"/>
    <w:basedOn w:val="DefaultParagraphFont"/>
    <w:rsid w:val="00B95662"/>
  </w:style>
  <w:style w:type="character" w:customStyle="1" w:styleId="legterm">
    <w:name w:val="legterm"/>
    <w:basedOn w:val="DefaultParagraphFont"/>
    <w:rsid w:val="00B95662"/>
  </w:style>
  <w:style w:type="paragraph" w:styleId="ListParagraph">
    <w:name w:val="List Paragraph"/>
    <w:basedOn w:val="Normal"/>
    <w:uiPriority w:val="34"/>
    <w:qFormat/>
    <w:rsid w:val="005F1653"/>
    <w:pPr>
      <w:ind w:left="720"/>
      <w:contextualSpacing/>
    </w:pPr>
  </w:style>
  <w:style w:type="character" w:customStyle="1" w:styleId="Heading3Char">
    <w:name w:val="Heading 3 Char"/>
    <w:basedOn w:val="DefaultParagraphFont"/>
    <w:link w:val="Heading3"/>
    <w:rsid w:val="00CF1954"/>
    <w:rPr>
      <w:rFonts w:ascii="Verdana" w:hAnsi="Verdana"/>
      <w:caps/>
      <w:color w:val="000000"/>
      <w:sz w:val="28"/>
    </w:rPr>
  </w:style>
  <w:style w:type="paragraph" w:styleId="BodyText">
    <w:name w:val="Body Text"/>
    <w:basedOn w:val="Normal"/>
    <w:link w:val="BodyTextChar"/>
    <w:rsid w:val="006E6517"/>
    <w:pPr>
      <w:jc w:val="both"/>
    </w:pPr>
    <w:rPr>
      <w:rFonts w:ascii="Times New Roman" w:hAnsi="Times New Roman"/>
      <w:sz w:val="24"/>
    </w:rPr>
  </w:style>
  <w:style w:type="character" w:customStyle="1" w:styleId="BodyTextChar">
    <w:name w:val="Body Text Char"/>
    <w:basedOn w:val="DefaultParagraphFont"/>
    <w:link w:val="BodyText"/>
    <w:rsid w:val="006E6517"/>
    <w:rPr>
      <w:sz w:val="24"/>
    </w:rPr>
  </w:style>
  <w:style w:type="character" w:customStyle="1" w:styleId="FootnoteTextChar">
    <w:name w:val="Footnote Text Char"/>
    <w:basedOn w:val="DefaultParagraphFont"/>
    <w:link w:val="FootnoteText"/>
    <w:rsid w:val="00F61E7F"/>
    <w:rPr>
      <w:rFonts w:ascii="Verdana" w:hAnsi="Verdana"/>
      <w:sz w:val="16"/>
    </w:rPr>
  </w:style>
  <w:style w:type="table" w:styleId="TableGrid">
    <w:name w:val="Table Grid"/>
    <w:basedOn w:val="TableNormal"/>
    <w:rsid w:val="00A1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A17FE1"/>
    <w:rPr>
      <w:rFonts w:ascii="Tahoma" w:hAnsi="Tahoma" w:cs="Tahoma"/>
      <w:sz w:val="16"/>
      <w:szCs w:val="16"/>
    </w:rPr>
  </w:style>
  <w:style w:type="numbering" w:customStyle="1" w:styleId="StyleList">
    <w:name w:val="StyleList"/>
    <w:uiPriority w:val="99"/>
    <w:rsid w:val="00A17FE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6497">
      <w:bodyDiv w:val="1"/>
      <w:marLeft w:val="0"/>
      <w:marRight w:val="0"/>
      <w:marTop w:val="0"/>
      <w:marBottom w:val="0"/>
      <w:divBdr>
        <w:top w:val="none" w:sz="0" w:space="0" w:color="auto"/>
        <w:left w:val="none" w:sz="0" w:space="0" w:color="auto"/>
        <w:bottom w:val="none" w:sz="0" w:space="0" w:color="auto"/>
        <w:right w:val="none" w:sz="0" w:space="0" w:color="auto"/>
      </w:divBdr>
    </w:div>
    <w:div w:id="169417906">
      <w:bodyDiv w:val="1"/>
      <w:marLeft w:val="0"/>
      <w:marRight w:val="0"/>
      <w:marTop w:val="0"/>
      <w:marBottom w:val="0"/>
      <w:divBdr>
        <w:top w:val="none" w:sz="0" w:space="0" w:color="auto"/>
        <w:left w:val="none" w:sz="0" w:space="0" w:color="auto"/>
        <w:bottom w:val="none" w:sz="0" w:space="0" w:color="auto"/>
        <w:right w:val="none" w:sz="0" w:space="0" w:color="auto"/>
      </w:divBdr>
    </w:div>
    <w:div w:id="236328757">
      <w:bodyDiv w:val="1"/>
      <w:marLeft w:val="0"/>
      <w:marRight w:val="0"/>
      <w:marTop w:val="0"/>
      <w:marBottom w:val="0"/>
      <w:divBdr>
        <w:top w:val="none" w:sz="0" w:space="0" w:color="auto"/>
        <w:left w:val="none" w:sz="0" w:space="0" w:color="auto"/>
        <w:bottom w:val="none" w:sz="0" w:space="0" w:color="auto"/>
        <w:right w:val="none" w:sz="0" w:space="0" w:color="auto"/>
      </w:divBdr>
      <w:divsChild>
        <w:div w:id="2095977010">
          <w:marLeft w:val="0"/>
          <w:marRight w:val="0"/>
          <w:marTop w:val="0"/>
          <w:marBottom w:val="0"/>
          <w:divBdr>
            <w:top w:val="none" w:sz="0" w:space="0" w:color="auto"/>
            <w:left w:val="none" w:sz="0" w:space="0" w:color="auto"/>
            <w:bottom w:val="none" w:sz="0" w:space="0" w:color="auto"/>
            <w:right w:val="none" w:sz="0" w:space="0" w:color="auto"/>
          </w:divBdr>
          <w:divsChild>
            <w:div w:id="1648240522">
              <w:marLeft w:val="0"/>
              <w:marRight w:val="0"/>
              <w:marTop w:val="0"/>
              <w:marBottom w:val="0"/>
              <w:divBdr>
                <w:top w:val="none" w:sz="0" w:space="0" w:color="auto"/>
                <w:left w:val="none" w:sz="0" w:space="0" w:color="auto"/>
                <w:bottom w:val="none" w:sz="0" w:space="0" w:color="auto"/>
                <w:right w:val="none" w:sz="0" w:space="0" w:color="auto"/>
              </w:divBdr>
              <w:divsChild>
                <w:div w:id="19746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90852">
      <w:bodyDiv w:val="1"/>
      <w:marLeft w:val="0"/>
      <w:marRight w:val="0"/>
      <w:marTop w:val="0"/>
      <w:marBottom w:val="0"/>
      <w:divBdr>
        <w:top w:val="none" w:sz="0" w:space="0" w:color="auto"/>
        <w:left w:val="none" w:sz="0" w:space="0" w:color="auto"/>
        <w:bottom w:val="none" w:sz="0" w:space="0" w:color="auto"/>
        <w:right w:val="none" w:sz="0" w:space="0" w:color="auto"/>
      </w:divBdr>
    </w:div>
    <w:div w:id="93606193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04208767">
      <w:bodyDiv w:val="1"/>
      <w:marLeft w:val="0"/>
      <w:marRight w:val="0"/>
      <w:marTop w:val="0"/>
      <w:marBottom w:val="0"/>
      <w:divBdr>
        <w:top w:val="none" w:sz="0" w:space="0" w:color="auto"/>
        <w:left w:val="none" w:sz="0" w:space="0" w:color="auto"/>
        <w:bottom w:val="none" w:sz="0" w:space="0" w:color="auto"/>
        <w:right w:val="none" w:sz="0" w:space="0" w:color="auto"/>
      </w:divBdr>
    </w:div>
    <w:div w:id="1772433102">
      <w:bodyDiv w:val="1"/>
      <w:marLeft w:val="0"/>
      <w:marRight w:val="0"/>
      <w:marTop w:val="0"/>
      <w:marBottom w:val="0"/>
      <w:divBdr>
        <w:top w:val="none" w:sz="0" w:space="0" w:color="auto"/>
        <w:left w:val="none" w:sz="0" w:space="0" w:color="auto"/>
        <w:bottom w:val="none" w:sz="0" w:space="0" w:color="auto"/>
        <w:right w:val="none" w:sz="0" w:space="0" w:color="auto"/>
      </w:divBdr>
    </w:div>
    <w:div w:id="1981422734">
      <w:bodyDiv w:val="1"/>
      <w:marLeft w:val="0"/>
      <w:marRight w:val="0"/>
      <w:marTop w:val="0"/>
      <w:marBottom w:val="0"/>
      <w:divBdr>
        <w:top w:val="none" w:sz="0" w:space="0" w:color="auto"/>
        <w:left w:val="none" w:sz="0" w:space="0" w:color="auto"/>
        <w:bottom w:val="none" w:sz="0" w:space="0" w:color="auto"/>
        <w:right w:val="none" w:sz="0" w:space="0" w:color="auto"/>
      </w:divBdr>
      <w:divsChild>
        <w:div w:id="1073703513">
          <w:marLeft w:val="0"/>
          <w:marRight w:val="0"/>
          <w:marTop w:val="0"/>
          <w:marBottom w:val="0"/>
          <w:divBdr>
            <w:top w:val="none" w:sz="0" w:space="0" w:color="auto"/>
            <w:left w:val="none" w:sz="0" w:space="0" w:color="auto"/>
            <w:bottom w:val="none" w:sz="0" w:space="0" w:color="auto"/>
            <w:right w:val="none" w:sz="0" w:space="0" w:color="auto"/>
          </w:divBdr>
          <w:divsChild>
            <w:div w:id="572398035">
              <w:marLeft w:val="0"/>
              <w:marRight w:val="0"/>
              <w:marTop w:val="0"/>
              <w:marBottom w:val="0"/>
              <w:divBdr>
                <w:top w:val="single" w:sz="2" w:space="0" w:color="FFFFFF"/>
                <w:left w:val="single" w:sz="6" w:space="0" w:color="FFFFFF"/>
                <w:bottom w:val="single" w:sz="6" w:space="0" w:color="FFFFFF"/>
                <w:right w:val="single" w:sz="6" w:space="0" w:color="FFFFFF"/>
              </w:divBdr>
              <w:divsChild>
                <w:div w:id="1207525460">
                  <w:marLeft w:val="0"/>
                  <w:marRight w:val="0"/>
                  <w:marTop w:val="0"/>
                  <w:marBottom w:val="0"/>
                  <w:divBdr>
                    <w:top w:val="single" w:sz="6" w:space="1" w:color="D3D3D3"/>
                    <w:left w:val="none" w:sz="0" w:space="0" w:color="auto"/>
                    <w:bottom w:val="none" w:sz="0" w:space="0" w:color="auto"/>
                    <w:right w:val="none" w:sz="0" w:space="0" w:color="auto"/>
                  </w:divBdr>
                  <w:divsChild>
                    <w:div w:id="2141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2D710C-3FEF-46FD-B4F9-A210F0AE76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25A61B-565A-4DF2-9015-F282EE545232}">
  <ds:schemaRefs>
    <ds:schemaRef ds:uri="http://schemas.openxmlformats.org/officeDocument/2006/bibliography"/>
  </ds:schemaRefs>
</ds:datastoreItem>
</file>

<file path=customXml/itemProps3.xml><?xml version="1.0" encoding="utf-8"?>
<ds:datastoreItem xmlns:ds="http://schemas.openxmlformats.org/officeDocument/2006/customXml" ds:itemID="{3BA241C4-CD7A-4F6A-90AC-3E8A4ACCA37C}"/>
</file>

<file path=customXml/itemProps4.xml><?xml version="1.0" encoding="utf-8"?>
<ds:datastoreItem xmlns:ds="http://schemas.openxmlformats.org/officeDocument/2006/customXml" ds:itemID="{C1BF31F0-F8DD-4FDD-866C-D248BB5F52C6}"/>
</file>

<file path=customXml/itemProps5.xml><?xml version="1.0" encoding="utf-8"?>
<ds:datastoreItem xmlns:ds="http://schemas.openxmlformats.org/officeDocument/2006/customXml" ds:itemID="{5F305A74-74B8-4103-9501-67003D97A874}"/>
</file>

<file path=docProps/app.xml><?xml version="1.0" encoding="utf-8"?>
<Properties xmlns="http://schemas.openxmlformats.org/officeDocument/2006/extended-properties" xmlns:vt="http://schemas.openxmlformats.org/officeDocument/2006/docPropsVTypes">
  <Template>Decisions</Template>
  <TotalTime>1</TotalTime>
  <Pages>6</Pages>
  <Words>3371</Words>
  <Characters>16418</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Frensham - costs v SCC</vt:lpstr>
    </vt:vector>
  </TitlesOfParts>
  <Manager>John Braithwaite</Manager>
  <Company>The Planning Inspectorate</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Frensham - costs v SCC</dc:title>
  <dc:subject>Costs Decision</dc:subject>
  <dc:creator>Sue Arnott</dc:creator>
  <cp:lastModifiedBy>Cook, Robert</cp:lastModifiedBy>
  <cp:revision>3</cp:revision>
  <cp:lastPrinted>2022-08-05T14:53:00Z</cp:lastPrinted>
  <dcterms:created xsi:type="dcterms:W3CDTF">2022-09-05T14:08:00Z</dcterms:created>
  <dcterms:modified xsi:type="dcterms:W3CDTF">2022-09-14T08:41:00Z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24c1ff95-73f9-4ec7-9007-8a8bd94910bd</vt:lpwstr>
  </property>
  <property fmtid="{D5CDD505-2E9C-101B-9397-08002B2CF9AE}" pid="6" name="bjSaver">
    <vt:lpwstr>TD86/ZG9Ydcov399eRm4yARAYTyBKRib</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