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D20E8" w14:textId="77777777" w:rsidR="000B0589" w:rsidRDefault="000B0589" w:rsidP="00BC2702">
      <w:pPr>
        <w:pStyle w:val="Conditions1"/>
        <w:numPr>
          <w:ilvl w:val="0"/>
          <w:numId w:val="0"/>
        </w:numPr>
      </w:pPr>
      <w:r>
        <w:rPr>
          <w:noProof/>
        </w:rPr>
        <w:drawing>
          <wp:inline distT="0" distB="0" distL="0" distR="0" wp14:anchorId="57B3A000" wp14:editId="6EDB511F">
            <wp:extent cx="3419475" cy="359623"/>
            <wp:effectExtent l="0" t="0" r="0" b="254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7DD42C6F" w14:textId="77777777" w:rsidR="000B0589" w:rsidRDefault="000B0589" w:rsidP="00A5760C"/>
    <w:p w14:paraId="4FB99B74"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39137A18" w14:textId="77777777" w:rsidTr="000A7A0D">
        <w:trPr>
          <w:cantSplit/>
          <w:trHeight w:val="23"/>
        </w:trPr>
        <w:tc>
          <w:tcPr>
            <w:tcW w:w="9356" w:type="dxa"/>
            <w:shd w:val="clear" w:color="auto" w:fill="auto"/>
          </w:tcPr>
          <w:p w14:paraId="1E8D982B" w14:textId="15687122" w:rsidR="000B0589" w:rsidRPr="000A7A0D" w:rsidRDefault="000A7A0D" w:rsidP="002E2646">
            <w:pPr>
              <w:spacing w:before="120"/>
              <w:ind w:left="-108" w:right="34"/>
              <w:rPr>
                <w:b/>
                <w:color w:val="000000"/>
                <w:sz w:val="40"/>
                <w:szCs w:val="40"/>
              </w:rPr>
            </w:pPr>
            <w:bookmarkStart w:id="0" w:name="bmkTable00"/>
            <w:bookmarkEnd w:id="0"/>
            <w:r>
              <w:rPr>
                <w:b/>
                <w:color w:val="000000"/>
                <w:sz w:val="40"/>
                <w:szCs w:val="40"/>
              </w:rPr>
              <w:t>Appeal Decision</w:t>
            </w:r>
          </w:p>
        </w:tc>
      </w:tr>
      <w:tr w:rsidR="000B0589" w:rsidRPr="000C3F13" w14:paraId="18DD2E31" w14:textId="77777777" w:rsidTr="000A7A0D">
        <w:trPr>
          <w:cantSplit/>
          <w:trHeight w:val="23"/>
        </w:trPr>
        <w:tc>
          <w:tcPr>
            <w:tcW w:w="9356" w:type="dxa"/>
            <w:shd w:val="clear" w:color="auto" w:fill="auto"/>
            <w:vAlign w:val="center"/>
          </w:tcPr>
          <w:p w14:paraId="3F1B284B" w14:textId="77777777" w:rsidR="000A7A0D" w:rsidRDefault="000A7A0D" w:rsidP="000A7A0D">
            <w:pPr>
              <w:spacing w:before="60"/>
              <w:ind w:left="-108" w:right="34"/>
              <w:rPr>
                <w:color w:val="000000"/>
                <w:szCs w:val="22"/>
              </w:rPr>
            </w:pPr>
          </w:p>
          <w:p w14:paraId="3B3FC7B5" w14:textId="520FB18C" w:rsidR="000B0589" w:rsidRPr="000A7A0D" w:rsidRDefault="000B0589" w:rsidP="000A7A0D">
            <w:pPr>
              <w:spacing w:before="60"/>
              <w:ind w:left="-108" w:right="34"/>
              <w:rPr>
                <w:color w:val="000000"/>
                <w:szCs w:val="22"/>
              </w:rPr>
            </w:pPr>
          </w:p>
        </w:tc>
      </w:tr>
      <w:tr w:rsidR="000B0589" w:rsidRPr="00361890" w14:paraId="105DF2EA" w14:textId="77777777" w:rsidTr="000A7A0D">
        <w:trPr>
          <w:cantSplit/>
          <w:trHeight w:val="23"/>
        </w:trPr>
        <w:tc>
          <w:tcPr>
            <w:tcW w:w="9356" w:type="dxa"/>
            <w:shd w:val="clear" w:color="auto" w:fill="auto"/>
          </w:tcPr>
          <w:p w14:paraId="7841D38E" w14:textId="0434DD4C" w:rsidR="000B0589" w:rsidRPr="000A7A0D" w:rsidRDefault="000A7A0D" w:rsidP="000A7A0D">
            <w:pPr>
              <w:spacing w:before="180"/>
              <w:ind w:left="-108" w:right="34"/>
              <w:rPr>
                <w:b/>
                <w:color w:val="000000"/>
                <w:sz w:val="16"/>
                <w:szCs w:val="22"/>
              </w:rPr>
            </w:pPr>
            <w:r>
              <w:rPr>
                <w:b/>
                <w:color w:val="000000"/>
                <w:szCs w:val="22"/>
              </w:rPr>
              <w:t xml:space="preserve">by A Spencer-Peet  BSc(Hons) </w:t>
            </w:r>
            <w:proofErr w:type="spellStart"/>
            <w:r>
              <w:rPr>
                <w:b/>
                <w:color w:val="000000"/>
                <w:szCs w:val="22"/>
              </w:rPr>
              <w:t>PGDip.LP</w:t>
            </w:r>
            <w:proofErr w:type="spellEnd"/>
            <w:r>
              <w:rPr>
                <w:b/>
                <w:color w:val="000000"/>
                <w:szCs w:val="22"/>
              </w:rPr>
              <w:t xml:space="preserve"> Solicitor (Non Practicing)</w:t>
            </w:r>
          </w:p>
        </w:tc>
      </w:tr>
      <w:tr w:rsidR="000B0589" w:rsidRPr="00361890" w14:paraId="54BCAB34" w14:textId="77777777" w:rsidTr="000A7A0D">
        <w:trPr>
          <w:cantSplit/>
          <w:trHeight w:val="23"/>
        </w:trPr>
        <w:tc>
          <w:tcPr>
            <w:tcW w:w="9356" w:type="dxa"/>
            <w:shd w:val="clear" w:color="auto" w:fill="auto"/>
          </w:tcPr>
          <w:p w14:paraId="7F3CA617" w14:textId="7B1A5E0F" w:rsidR="000B0589" w:rsidRPr="000A7A0D" w:rsidRDefault="000A7A0D"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69842D0D" w14:textId="77777777" w:rsidTr="000A7A0D">
        <w:trPr>
          <w:cantSplit/>
          <w:trHeight w:val="23"/>
        </w:trPr>
        <w:tc>
          <w:tcPr>
            <w:tcW w:w="9356" w:type="dxa"/>
            <w:shd w:val="clear" w:color="auto" w:fill="auto"/>
          </w:tcPr>
          <w:p w14:paraId="6500C4A0" w14:textId="0B9C8006"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EA1D60">
              <w:rPr>
                <w:b/>
                <w:color w:val="000000"/>
                <w:sz w:val="16"/>
                <w:szCs w:val="16"/>
              </w:rPr>
              <w:t xml:space="preserve"> 23 August 2022</w:t>
            </w:r>
          </w:p>
        </w:tc>
      </w:tr>
    </w:tbl>
    <w:p w14:paraId="75C48FCB" w14:textId="77777777" w:rsidR="000A7A0D" w:rsidRDefault="000A7A0D" w:rsidP="000B0589"/>
    <w:tbl>
      <w:tblPr>
        <w:tblW w:w="0" w:type="auto"/>
        <w:tblLayout w:type="fixed"/>
        <w:tblLook w:val="0000" w:firstRow="0" w:lastRow="0" w:firstColumn="0" w:lastColumn="0" w:noHBand="0" w:noVBand="0"/>
      </w:tblPr>
      <w:tblGrid>
        <w:gridCol w:w="9520"/>
      </w:tblGrid>
      <w:tr w:rsidR="000A7A0D" w14:paraId="740A9B7C" w14:textId="77777777" w:rsidTr="000A7A0D">
        <w:tc>
          <w:tcPr>
            <w:tcW w:w="9520" w:type="dxa"/>
            <w:shd w:val="clear" w:color="auto" w:fill="auto"/>
          </w:tcPr>
          <w:p w14:paraId="2F33DF4F" w14:textId="13B341AD" w:rsidR="000A7A0D" w:rsidRPr="000A7A0D" w:rsidRDefault="000A7A0D" w:rsidP="000A7A0D">
            <w:pPr>
              <w:spacing w:after="60"/>
              <w:rPr>
                <w:b/>
                <w:color w:val="000000"/>
              </w:rPr>
            </w:pPr>
            <w:r>
              <w:rPr>
                <w:b/>
                <w:color w:val="000000"/>
              </w:rPr>
              <w:t>Order Ref: FPS/X2600/14A/6</w:t>
            </w:r>
          </w:p>
        </w:tc>
      </w:tr>
      <w:tr w:rsidR="000A7A0D" w14:paraId="7C99AE6D" w14:textId="77777777" w:rsidTr="000A7A0D">
        <w:tc>
          <w:tcPr>
            <w:tcW w:w="9520" w:type="dxa"/>
            <w:shd w:val="clear" w:color="auto" w:fill="auto"/>
          </w:tcPr>
          <w:p w14:paraId="008B571D" w14:textId="20B27AD2" w:rsidR="000A7A0D" w:rsidRDefault="000A7A0D" w:rsidP="000A7A0D">
            <w:pPr>
              <w:pStyle w:val="TBullet"/>
            </w:pPr>
            <w:r>
              <w:t>This Appeal is made under Section 53(5) and Paragraph 4(1) of Schedule 14 of the Wildlife and Countryside Act 1981 (the 1981 Act) against the decision of Norfolk County Council (the Council) not to make an Order under section 53(2) of t</w:t>
            </w:r>
            <w:r w:rsidR="00100246">
              <w:t>he</w:t>
            </w:r>
            <w:r>
              <w:t xml:space="preserve"> Act.</w:t>
            </w:r>
          </w:p>
        </w:tc>
      </w:tr>
      <w:tr w:rsidR="000A7A0D" w14:paraId="2AAD43BB" w14:textId="77777777" w:rsidTr="000A7A0D">
        <w:tc>
          <w:tcPr>
            <w:tcW w:w="9520" w:type="dxa"/>
            <w:shd w:val="clear" w:color="auto" w:fill="auto"/>
          </w:tcPr>
          <w:p w14:paraId="636166AF" w14:textId="7C073D02" w:rsidR="000A7A0D" w:rsidRDefault="000A7A0D" w:rsidP="000A7A0D">
            <w:pPr>
              <w:pStyle w:val="TBullet"/>
            </w:pPr>
            <w:r>
              <w:t xml:space="preserve">The Application dated 4 November 2020 </w:t>
            </w:r>
            <w:r w:rsidR="00EE6B44">
              <w:t xml:space="preserve">was refused by the Council on </w:t>
            </w:r>
            <w:r w:rsidR="00EE6B44">
              <w:br/>
              <w:t>20 September 2021</w:t>
            </w:r>
            <w:r>
              <w:t>.</w:t>
            </w:r>
          </w:p>
        </w:tc>
      </w:tr>
      <w:tr w:rsidR="000A7A0D" w14:paraId="4E1F8B63" w14:textId="77777777" w:rsidTr="000A7A0D">
        <w:tc>
          <w:tcPr>
            <w:tcW w:w="9520" w:type="dxa"/>
            <w:shd w:val="clear" w:color="auto" w:fill="auto"/>
          </w:tcPr>
          <w:p w14:paraId="568F2F89" w14:textId="17DAE2F3" w:rsidR="000A7A0D" w:rsidRDefault="00EE6B44" w:rsidP="000A7A0D">
            <w:pPr>
              <w:pStyle w:val="TBullet"/>
            </w:pPr>
            <w:r>
              <w:t xml:space="preserve">The Appellants claim that the definitive map and statement (the DMS) of public </w:t>
            </w:r>
            <w:r w:rsidR="00933DC5">
              <w:br/>
            </w:r>
            <w:r>
              <w:t xml:space="preserve">rights of way should be modified by deleting part of </w:t>
            </w:r>
            <w:r w:rsidR="00933DC5">
              <w:t xml:space="preserve">Newton </w:t>
            </w:r>
            <w:r w:rsidR="00242B65">
              <w:t>b</w:t>
            </w:r>
            <w:r w:rsidR="00933DC5">
              <w:t xml:space="preserve">y Castle Acre </w:t>
            </w:r>
            <w:r>
              <w:t>Restricted Byway</w:t>
            </w:r>
            <w:r w:rsidR="00933DC5">
              <w:t xml:space="preserve"> No 3 </w:t>
            </w:r>
            <w:r w:rsidR="001F0D66">
              <w:t xml:space="preserve">(RB3) </w:t>
            </w:r>
            <w:r w:rsidR="00933DC5">
              <w:t xml:space="preserve">(shown </w:t>
            </w:r>
            <w:r w:rsidR="00CB4EB5">
              <w:t xml:space="preserve">Points </w:t>
            </w:r>
            <w:r w:rsidR="00933DC5">
              <w:t xml:space="preserve">A – B on the </w:t>
            </w:r>
            <w:r w:rsidR="002B7E41">
              <w:t xml:space="preserve">Application </w:t>
            </w:r>
            <w:r w:rsidR="007C3F76">
              <w:t>P</w:t>
            </w:r>
            <w:r w:rsidR="00933DC5">
              <w:t>lan appended to this decision</w:t>
            </w:r>
            <w:r w:rsidR="00583974">
              <w:t>)</w:t>
            </w:r>
            <w:r w:rsidR="000A7A0D">
              <w:t>.</w:t>
            </w:r>
            <w:r w:rsidR="00933DC5">
              <w:br/>
            </w:r>
          </w:p>
        </w:tc>
      </w:tr>
      <w:tr w:rsidR="000A7A0D" w14:paraId="706D063B" w14:textId="77777777" w:rsidTr="000A7A0D">
        <w:tc>
          <w:tcPr>
            <w:tcW w:w="9520" w:type="dxa"/>
            <w:shd w:val="clear" w:color="auto" w:fill="auto"/>
          </w:tcPr>
          <w:p w14:paraId="4717A04A" w14:textId="4EF11BD3" w:rsidR="000A7A0D" w:rsidRPr="000A7A0D" w:rsidRDefault="000A7A0D" w:rsidP="000A7A0D">
            <w:pPr>
              <w:spacing w:before="60"/>
              <w:rPr>
                <w:b/>
                <w:color w:val="000000"/>
              </w:rPr>
            </w:pPr>
            <w:r>
              <w:rPr>
                <w:b/>
                <w:color w:val="000000"/>
              </w:rPr>
              <w:t>Summary of Decision:</w:t>
            </w:r>
            <w:r w:rsidR="00933DC5">
              <w:rPr>
                <w:b/>
                <w:color w:val="000000"/>
              </w:rPr>
              <w:t xml:space="preserve"> The Appeal is dismissed.</w:t>
            </w:r>
          </w:p>
        </w:tc>
      </w:tr>
      <w:tr w:rsidR="000A7A0D" w14:paraId="535070DB" w14:textId="77777777" w:rsidTr="000A7A0D">
        <w:tc>
          <w:tcPr>
            <w:tcW w:w="9520" w:type="dxa"/>
            <w:tcBorders>
              <w:bottom w:val="single" w:sz="6" w:space="0" w:color="000000"/>
            </w:tcBorders>
            <w:shd w:val="clear" w:color="auto" w:fill="auto"/>
          </w:tcPr>
          <w:p w14:paraId="6423FA91" w14:textId="77777777" w:rsidR="000A7A0D" w:rsidRPr="000A7A0D" w:rsidRDefault="000A7A0D" w:rsidP="000A7A0D">
            <w:pPr>
              <w:spacing w:before="60"/>
              <w:rPr>
                <w:b/>
                <w:color w:val="000000"/>
                <w:sz w:val="2"/>
              </w:rPr>
            </w:pPr>
            <w:bookmarkStart w:id="1" w:name="bmkReturn"/>
            <w:bookmarkEnd w:id="1"/>
          </w:p>
        </w:tc>
      </w:tr>
    </w:tbl>
    <w:p w14:paraId="2E02FEC1" w14:textId="3A0ECFFD" w:rsidR="000A7A0D" w:rsidRDefault="000A7A0D" w:rsidP="000A7A0D">
      <w:pPr>
        <w:pStyle w:val="Heading6blackfont"/>
      </w:pPr>
      <w:r>
        <w:t>Pr</w:t>
      </w:r>
      <w:r w:rsidR="00933DC5">
        <w:t>eliminary</w:t>
      </w:r>
      <w:r>
        <w:t xml:space="preserve"> Matters</w:t>
      </w:r>
    </w:p>
    <w:p w14:paraId="552E79B0" w14:textId="77777777" w:rsidR="00C05057" w:rsidRDefault="00C05057" w:rsidP="00C05057">
      <w:pPr>
        <w:pStyle w:val="Style1"/>
      </w:pPr>
      <w:r>
        <w:t>I have been directed by the Secretary of State for Environment, Food and Rural Affairs to determine an appeal under Section 53(5) and Paragraph 4(1) of Schedule 14 of the 1981 Act.</w:t>
      </w:r>
    </w:p>
    <w:p w14:paraId="7AA4B420" w14:textId="4F4E3C09" w:rsidR="00F340BA" w:rsidRPr="00242B65" w:rsidRDefault="008124C5" w:rsidP="008124C5">
      <w:pPr>
        <w:pStyle w:val="Style1"/>
        <w:rPr>
          <w:color w:val="auto"/>
        </w:rPr>
      </w:pPr>
      <w:r>
        <w:t xml:space="preserve">The appeal is made against the Council’s decision not to make an order in respect of the Application to delete part of </w:t>
      </w:r>
      <w:r w:rsidR="000D272C">
        <w:t xml:space="preserve">a </w:t>
      </w:r>
      <w:r>
        <w:t xml:space="preserve">restricted byway from the DMS. </w:t>
      </w:r>
      <w:r w:rsidR="00794888" w:rsidRPr="00242B65">
        <w:rPr>
          <w:color w:val="auto"/>
        </w:rPr>
        <w:t xml:space="preserve">Whilst I acknowledge </w:t>
      </w:r>
      <w:r w:rsidR="00174FCC" w:rsidRPr="00242B65">
        <w:rPr>
          <w:color w:val="auto"/>
        </w:rPr>
        <w:t xml:space="preserve">and have considered </w:t>
      </w:r>
      <w:r w:rsidR="00794888" w:rsidRPr="00242B65">
        <w:rPr>
          <w:color w:val="auto"/>
        </w:rPr>
        <w:t>t</w:t>
      </w:r>
      <w:r w:rsidR="00F340BA" w:rsidRPr="00242B65">
        <w:rPr>
          <w:color w:val="auto"/>
        </w:rPr>
        <w:t xml:space="preserve">he </w:t>
      </w:r>
      <w:r w:rsidR="00794888" w:rsidRPr="00242B65">
        <w:rPr>
          <w:color w:val="auto"/>
        </w:rPr>
        <w:t xml:space="preserve">parties’ </w:t>
      </w:r>
      <w:r w:rsidR="00F340BA" w:rsidRPr="00242B65">
        <w:rPr>
          <w:color w:val="auto"/>
        </w:rPr>
        <w:t>submissions</w:t>
      </w:r>
      <w:r w:rsidR="00794888" w:rsidRPr="00242B65">
        <w:rPr>
          <w:color w:val="auto"/>
        </w:rPr>
        <w:t xml:space="preserve"> with regards to a separate </w:t>
      </w:r>
      <w:r w:rsidR="005A077E" w:rsidRPr="00242B65">
        <w:rPr>
          <w:color w:val="auto"/>
        </w:rPr>
        <w:t>app</w:t>
      </w:r>
      <w:r w:rsidR="00075550" w:rsidRPr="00242B65">
        <w:rPr>
          <w:color w:val="auto"/>
        </w:rPr>
        <w:t xml:space="preserve">lication </w:t>
      </w:r>
      <w:r w:rsidR="008F1E70" w:rsidRPr="00242B65">
        <w:rPr>
          <w:color w:val="auto"/>
        </w:rPr>
        <w:t>to extend the route from</w:t>
      </w:r>
      <w:r w:rsidR="00CB4EB5" w:rsidRPr="00242B65">
        <w:rPr>
          <w:color w:val="auto"/>
        </w:rPr>
        <w:t xml:space="preserve"> Point </w:t>
      </w:r>
      <w:r w:rsidR="005B43B2" w:rsidRPr="00242B65">
        <w:rPr>
          <w:color w:val="auto"/>
        </w:rPr>
        <w:t>B on the plan appended to this decision</w:t>
      </w:r>
      <w:r w:rsidR="00AD54E6" w:rsidRPr="00242B65">
        <w:rPr>
          <w:color w:val="auto"/>
        </w:rPr>
        <w:t>,</w:t>
      </w:r>
      <w:r w:rsidR="005B43B2" w:rsidRPr="00242B65">
        <w:rPr>
          <w:color w:val="auto"/>
        </w:rPr>
        <w:t xml:space="preserve"> </w:t>
      </w:r>
      <w:r w:rsidR="00F9079B" w:rsidRPr="00242B65">
        <w:rPr>
          <w:color w:val="auto"/>
        </w:rPr>
        <w:t xml:space="preserve">to </w:t>
      </w:r>
      <w:r w:rsidR="00AD54E6" w:rsidRPr="00242B65">
        <w:rPr>
          <w:color w:val="auto"/>
        </w:rPr>
        <w:t xml:space="preserve">the Mill Common Road located to the southwest, that matter </w:t>
      </w:r>
      <w:r w:rsidR="00D76528" w:rsidRPr="00242B65">
        <w:rPr>
          <w:color w:val="auto"/>
        </w:rPr>
        <w:t>is the subject of a separate appeal. As such</w:t>
      </w:r>
      <w:r w:rsidR="00174FCC" w:rsidRPr="00242B65">
        <w:rPr>
          <w:color w:val="auto"/>
        </w:rPr>
        <w:t xml:space="preserve">, this appeal solely concerns </w:t>
      </w:r>
      <w:r w:rsidR="00D14CA8" w:rsidRPr="00242B65">
        <w:rPr>
          <w:color w:val="auto"/>
        </w:rPr>
        <w:t xml:space="preserve">the matters raised in the Application dated 4 November 2020 </w:t>
      </w:r>
      <w:r w:rsidR="00CF137B" w:rsidRPr="00242B65">
        <w:rPr>
          <w:color w:val="auto"/>
        </w:rPr>
        <w:t xml:space="preserve">which seeks to delete part of </w:t>
      </w:r>
      <w:r w:rsidR="00E00AC4" w:rsidRPr="00242B65">
        <w:rPr>
          <w:color w:val="auto"/>
        </w:rPr>
        <w:t>a</w:t>
      </w:r>
      <w:r w:rsidR="00CF137B" w:rsidRPr="00242B65">
        <w:rPr>
          <w:color w:val="auto"/>
        </w:rPr>
        <w:t xml:space="preserve"> restricted byway</w:t>
      </w:r>
      <w:r w:rsidR="007548DA" w:rsidRPr="00242B65">
        <w:rPr>
          <w:color w:val="auto"/>
        </w:rPr>
        <w:t xml:space="preserve"> </w:t>
      </w:r>
      <w:r w:rsidR="00E00AC4" w:rsidRPr="00242B65">
        <w:rPr>
          <w:color w:val="auto"/>
        </w:rPr>
        <w:t xml:space="preserve">as </w:t>
      </w:r>
      <w:r w:rsidR="007548DA" w:rsidRPr="00242B65">
        <w:rPr>
          <w:color w:val="auto"/>
        </w:rPr>
        <w:t>identified in the banner heading above.</w:t>
      </w:r>
      <w:r w:rsidR="00CF137B" w:rsidRPr="00242B65">
        <w:rPr>
          <w:color w:val="auto"/>
        </w:rPr>
        <w:t xml:space="preserve"> </w:t>
      </w:r>
      <w:r w:rsidR="00D32070" w:rsidRPr="00242B65">
        <w:rPr>
          <w:color w:val="auto"/>
        </w:rPr>
        <w:t xml:space="preserve"> </w:t>
      </w:r>
    </w:p>
    <w:p w14:paraId="6766B2C3" w14:textId="6C1C2055" w:rsidR="003C3CAF" w:rsidRDefault="00C05057" w:rsidP="008124C5">
      <w:pPr>
        <w:pStyle w:val="Style1"/>
      </w:pPr>
      <w:r>
        <w:t>I have not visited the site. However, I am satisfied I can make my decision without the need to visit the site. The appeal has been determined on the papers submitted</w:t>
      </w:r>
      <w:r w:rsidR="008124C5">
        <w:t>.</w:t>
      </w:r>
    </w:p>
    <w:p w14:paraId="113A3F6F" w14:textId="695183DD" w:rsidR="007E10EC" w:rsidRPr="002F67F8" w:rsidRDefault="007E10EC" w:rsidP="00242B65">
      <w:pPr>
        <w:pStyle w:val="Style1"/>
      </w:pPr>
      <w:r>
        <w:t xml:space="preserve">It is acknowledged that the Council have provided a copy of a plan </w:t>
      </w:r>
      <w:r w:rsidR="008944E4">
        <w:t>which</w:t>
      </w:r>
      <w:r w:rsidR="00953BCB">
        <w:t>,</w:t>
      </w:r>
      <w:r w:rsidR="008944E4">
        <w:t xml:space="preserve"> it is maintained</w:t>
      </w:r>
      <w:r w:rsidR="00953BCB">
        <w:t xml:space="preserve">, was produced to clarify </w:t>
      </w:r>
      <w:r w:rsidR="007C3F76">
        <w:t xml:space="preserve">the application map. However, it is noted that the Appellants have requested that the </w:t>
      </w:r>
      <w:r w:rsidR="003A46EA">
        <w:t xml:space="preserve">original </w:t>
      </w:r>
      <w:r w:rsidR="007C3F76">
        <w:t xml:space="preserve">map they have provided in support of the </w:t>
      </w:r>
      <w:r w:rsidR="00176AFC">
        <w:t>A</w:t>
      </w:r>
      <w:r w:rsidR="007C3F76">
        <w:t xml:space="preserve">pplication, be used </w:t>
      </w:r>
      <w:r w:rsidR="003A46EA">
        <w:t xml:space="preserve">for the purposes of this appeal. As such, in </w:t>
      </w:r>
      <w:r w:rsidR="00242B65">
        <w:t xml:space="preserve">the banner heading above and throughout </w:t>
      </w:r>
      <w:r w:rsidR="003A46EA">
        <w:t>this appeal</w:t>
      </w:r>
      <w:r w:rsidR="00242B65">
        <w:t xml:space="preserve"> decision</w:t>
      </w:r>
      <w:r w:rsidR="003A46EA">
        <w:t>,</w:t>
      </w:r>
      <w:r w:rsidR="00A811A8">
        <w:t xml:space="preserve"> </w:t>
      </w:r>
      <w:r w:rsidR="00980EF2">
        <w:t xml:space="preserve">I have used the </w:t>
      </w:r>
      <w:r w:rsidR="00F946E3">
        <w:t>term</w:t>
      </w:r>
      <w:r w:rsidR="00980EF2">
        <w:t xml:space="preserve"> “the </w:t>
      </w:r>
      <w:r w:rsidR="00F946E3">
        <w:t xml:space="preserve">Application Plan” to refer to </w:t>
      </w:r>
      <w:r w:rsidR="00B27DAD">
        <w:t>the Appellants’ “</w:t>
      </w:r>
      <w:r w:rsidR="00A811A8">
        <w:t>Map</w:t>
      </w:r>
      <w:r w:rsidR="00B27DAD">
        <w:t xml:space="preserve"> B”</w:t>
      </w:r>
      <w:r w:rsidR="00242B65">
        <w:t xml:space="preserve"> submitted in support of the application.</w:t>
      </w:r>
      <w:r w:rsidR="00B27DAD">
        <w:t xml:space="preserve"> </w:t>
      </w:r>
      <w:r w:rsidR="00957DA1">
        <w:t>A copy of the Application Plan is appended to this decision.</w:t>
      </w:r>
    </w:p>
    <w:p w14:paraId="030B71DF" w14:textId="011F1517" w:rsidR="000A7A0D" w:rsidRDefault="00675BFA" w:rsidP="000A7A0D">
      <w:pPr>
        <w:pStyle w:val="Heading6blackfont"/>
      </w:pPr>
      <w:r>
        <w:lastRenderedPageBreak/>
        <w:t>Background and</w:t>
      </w:r>
      <w:r w:rsidR="000A7A0D">
        <w:t xml:space="preserve"> Main Issue</w:t>
      </w:r>
    </w:p>
    <w:p w14:paraId="563116E0" w14:textId="0D7A0535" w:rsidR="00675BFA" w:rsidRDefault="004B6306" w:rsidP="005838F1">
      <w:pPr>
        <w:pStyle w:val="Style1"/>
      </w:pPr>
      <w:r>
        <w:t xml:space="preserve">The parties’ submissions confirm that RB3 was originally recorded as a Road Used as a Public Path (RUPP) and was known as CRB3 (County Road </w:t>
      </w:r>
      <w:r>
        <w:br/>
        <w:t>Bridleway 3). The Council, in 1996, commenced a review in respect of reclassifying all RUPPs in Newton by Castle Acre. In 2000, all RUPP</w:t>
      </w:r>
      <w:r w:rsidR="00E04E74">
        <w:t>s</w:t>
      </w:r>
      <w:r>
        <w:t xml:space="preserve"> except </w:t>
      </w:r>
      <w:r>
        <w:br/>
        <w:t xml:space="preserve">for CRB3 </w:t>
      </w:r>
      <w:r w:rsidR="009243D2">
        <w:t>were</w:t>
      </w:r>
      <w:r>
        <w:t xml:space="preserve"> reclassified. Under the statutory requirements contained within Section 47 of the Countryside and Rights of Way Act 2000, CRB3 </w:t>
      </w:r>
      <w:r w:rsidR="00957DA1">
        <w:t>was</w:t>
      </w:r>
      <w:r>
        <w:t xml:space="preserve"> reclassified as RB3</w:t>
      </w:r>
      <w:r w:rsidR="00B92639">
        <w:t xml:space="preserve"> </w:t>
      </w:r>
      <w:r w:rsidR="00615E91">
        <w:t>on 2 May 2006</w:t>
      </w:r>
      <w:r>
        <w:t>.</w:t>
      </w:r>
    </w:p>
    <w:p w14:paraId="3729F04B" w14:textId="3D688505" w:rsidR="00D30599" w:rsidRDefault="000E0776" w:rsidP="005838F1">
      <w:pPr>
        <w:pStyle w:val="Style1"/>
      </w:pPr>
      <w:r>
        <w:t xml:space="preserve">The </w:t>
      </w:r>
      <w:r w:rsidR="00011D77">
        <w:t>A</w:t>
      </w:r>
      <w:r w:rsidR="00D076E0">
        <w:t>pplication</w:t>
      </w:r>
      <w:r w:rsidR="00011D77">
        <w:t xml:space="preserve"> Plan</w:t>
      </w:r>
      <w:r w:rsidR="00D076E0">
        <w:t xml:space="preserve"> shows RB3 </w:t>
      </w:r>
      <w:r w:rsidR="004D3E6F">
        <w:t>as terminating at a point to the south of the dwelli</w:t>
      </w:r>
      <w:r w:rsidR="00D92420">
        <w:t>n</w:t>
      </w:r>
      <w:r w:rsidR="004D3E6F">
        <w:t xml:space="preserve">g </w:t>
      </w:r>
      <w:r w:rsidR="00442D0F">
        <w:t>refer</w:t>
      </w:r>
      <w:r w:rsidR="00CF2F3E">
        <w:t>red to</w:t>
      </w:r>
      <w:r w:rsidR="00D92420">
        <w:t xml:space="preserve"> as </w:t>
      </w:r>
      <w:r w:rsidR="00D92201">
        <w:t>“</w:t>
      </w:r>
      <w:proofErr w:type="spellStart"/>
      <w:r w:rsidR="00D92420">
        <w:t>Byeways</w:t>
      </w:r>
      <w:proofErr w:type="spellEnd"/>
      <w:r w:rsidR="00D92201">
        <w:t>”</w:t>
      </w:r>
      <w:r w:rsidR="00A83C2E">
        <w:t>. The submissions in this appeal from all parties identify that dwelling as ‘Byways’</w:t>
      </w:r>
      <w:r w:rsidR="00072DB9">
        <w:t>,</w:t>
      </w:r>
      <w:r w:rsidR="00A83C2E">
        <w:t xml:space="preserve"> and I shall </w:t>
      </w:r>
      <w:r w:rsidR="004C4330">
        <w:t xml:space="preserve">continue to use that name </w:t>
      </w:r>
      <w:r w:rsidR="004D03CE">
        <w:t xml:space="preserve">in this appeal </w:t>
      </w:r>
      <w:r w:rsidR="004C4330">
        <w:t>to identify the relevant dwelling</w:t>
      </w:r>
      <w:r w:rsidR="004D03CE">
        <w:t xml:space="preserve">. Byways was previously formed of two dwellings which comprised the properties </w:t>
      </w:r>
      <w:r w:rsidR="00173CE2">
        <w:t xml:space="preserve">known as Newton Heath Cottages. </w:t>
      </w:r>
      <w:r w:rsidR="004C4330">
        <w:t xml:space="preserve"> </w:t>
      </w:r>
    </w:p>
    <w:p w14:paraId="32092921" w14:textId="2078D286" w:rsidR="005838F1" w:rsidRDefault="005838F1" w:rsidP="005838F1">
      <w:pPr>
        <w:pStyle w:val="Style1"/>
      </w:pPr>
      <w:r>
        <w:t>The Application was made under Section 53(2) of the 1981 Act which requires the surveying authority to keep the DMS under continuous review, and to modify them upon the occurrence of specific events cited in Section 53(3) of the 1981 Act.</w:t>
      </w:r>
    </w:p>
    <w:p w14:paraId="773BFD69" w14:textId="1A690701" w:rsidR="000A7A0D" w:rsidRDefault="005838F1" w:rsidP="000F7495">
      <w:pPr>
        <w:pStyle w:val="Style1"/>
      </w:pPr>
      <w:r>
        <w:t>Section 53(3)(c)(i</w:t>
      </w:r>
      <w:r w:rsidR="001C7E52">
        <w:t>ii</w:t>
      </w:r>
      <w:r>
        <w:t>) of the 1981 Act provides that a modification order should be made on the discovery of evidence which</w:t>
      </w:r>
      <w:r w:rsidR="0009667A">
        <w:t>,</w:t>
      </w:r>
      <w:r>
        <w:t xml:space="preserve"> when considered with all other relevant evidence available</w:t>
      </w:r>
      <w:r w:rsidR="0009667A">
        <w:t>,</w:t>
      </w:r>
      <w:r>
        <w:t xml:space="preserve"> shows that </w:t>
      </w:r>
      <w:r w:rsidR="0009667A">
        <w:t xml:space="preserve">there is no public right of way over land </w:t>
      </w:r>
      <w:r w:rsidR="00DB3E6E">
        <w:t xml:space="preserve">shown in the map and statement </w:t>
      </w:r>
      <w:r w:rsidR="00362CE8">
        <w:t>as a highway of any description.</w:t>
      </w:r>
      <w:r w:rsidR="00DB3E6E">
        <w:t xml:space="preserve"> </w:t>
      </w:r>
    </w:p>
    <w:p w14:paraId="5F2EBFE5" w14:textId="2EF29970" w:rsidR="002F67F8" w:rsidRPr="00F86540" w:rsidRDefault="001C65FB" w:rsidP="002F67F8">
      <w:pPr>
        <w:pStyle w:val="Style1"/>
      </w:pPr>
      <w:r>
        <w:t>In the case of Trevel</w:t>
      </w:r>
      <w:r w:rsidR="00266018">
        <w:t>yan</w:t>
      </w:r>
      <w:r w:rsidR="00266018">
        <w:rPr>
          <w:rStyle w:val="FootnoteReference"/>
        </w:rPr>
        <w:footnoteReference w:id="1"/>
      </w:r>
      <w:r w:rsidR="00266018">
        <w:t xml:space="preserve">, the Court of Appeal held that </w:t>
      </w:r>
      <w:r w:rsidR="00F84953" w:rsidRPr="00562DD1">
        <w:rPr>
          <w:i/>
          <w:iCs/>
        </w:rPr>
        <w:t xml:space="preserve">“Where the Secretary of State or an inspector appointed by him </w:t>
      </w:r>
      <w:proofErr w:type="gramStart"/>
      <w:r w:rsidR="00F84953" w:rsidRPr="00562DD1">
        <w:rPr>
          <w:i/>
          <w:iCs/>
        </w:rPr>
        <w:t>has to</w:t>
      </w:r>
      <w:proofErr w:type="gramEnd"/>
      <w:r w:rsidR="00F84953" w:rsidRPr="00562DD1">
        <w:rPr>
          <w:i/>
          <w:iCs/>
        </w:rPr>
        <w:t xml:space="preserve"> consider whether a right of way that is marked on a definitive map in fact exists, he must start with an initial presumption that it does. If there were no evidence which made it reasonably </w:t>
      </w:r>
      <w:r w:rsidR="00562DD1" w:rsidRPr="00562DD1">
        <w:rPr>
          <w:i/>
          <w:iCs/>
        </w:rPr>
        <w:t>arguable that such a right of way existed, it should not have been marked on the map. In the absence of evidence to the contrary, it should be assumed that the proper procedures were followed and thus that such evidence existed. At the end of the day, when all the evidence has been considered, the standard of proof required to justify a finding that no right of way exists is no more than the balance of probabilities. But evidence of some substance must be put in the balance, if it is to outweigh the initial presumption that the right of way exists. Proof of a negative is seldom easy, and the more time that elapses, the more difficult will be the task of adducing the positive evidence that is necessary to establish that a right of way that has been marked on a definitive map has been marked there by mistake.”</w:t>
      </w:r>
    </w:p>
    <w:p w14:paraId="2BF51E5A" w14:textId="07975408" w:rsidR="00F86540" w:rsidRPr="00BC18B2" w:rsidRDefault="00F86540" w:rsidP="00BC18B2">
      <w:pPr>
        <w:pStyle w:val="Style1"/>
        <w:rPr>
          <w:color w:val="auto"/>
        </w:rPr>
      </w:pPr>
      <w:r w:rsidRPr="00BC18B2">
        <w:rPr>
          <w:color w:val="auto"/>
        </w:rPr>
        <w:t>The case of Norfolk County Council, R (on the application of) v Secretary of State for Environment, Food &amp; Rural Affairs</w:t>
      </w:r>
      <w:r w:rsidRPr="00BC18B2">
        <w:rPr>
          <w:rStyle w:val="FootnoteReference"/>
          <w:color w:val="auto"/>
        </w:rPr>
        <w:footnoteReference w:id="2"/>
      </w:r>
      <w:r w:rsidRPr="00BC18B2">
        <w:rPr>
          <w:color w:val="auto"/>
        </w:rPr>
        <w:t xml:space="preserve"> (the Norfolk Case) establishes that for the purposes of Section 56 of the 1981 Act, the definitive map is the primary source document. If the definitive statement cannot be reconciled to it, the position shown on the map prevails and a degree of tolerance is permissible. However, at review stage neither the map nor statement is conclusive evidence of its content. If there is a conflict between the map and statement, there is no evidential presumption in favour of the map. A conflict would indicate an error in their preparation. The map and statement should </w:t>
      </w:r>
      <w:r w:rsidRPr="00BC18B2">
        <w:rPr>
          <w:color w:val="auto"/>
        </w:rPr>
        <w:lastRenderedPageBreak/>
        <w:t>then be accorded weight as appropriate, analysing the documents and circumstances at the relevant date</w:t>
      </w:r>
      <w:r w:rsidR="00BC18B2" w:rsidRPr="00BC18B2">
        <w:rPr>
          <w:color w:val="auto"/>
        </w:rPr>
        <w:t>.</w:t>
      </w:r>
    </w:p>
    <w:p w14:paraId="24F08DA0" w14:textId="47748017" w:rsidR="008B265C" w:rsidRDefault="004A267F" w:rsidP="002F67F8">
      <w:pPr>
        <w:pStyle w:val="Style1"/>
      </w:pPr>
      <w:r>
        <w:t xml:space="preserve">The Department </w:t>
      </w:r>
      <w:r w:rsidR="00465688">
        <w:t>of the Environment</w:t>
      </w:r>
      <w:r w:rsidR="005A7AB7">
        <w:t>, Food and Rural Affairs</w:t>
      </w:r>
      <w:r w:rsidR="00102758">
        <w:t>,</w:t>
      </w:r>
      <w:r w:rsidR="005A7AB7">
        <w:t xml:space="preserve"> </w:t>
      </w:r>
      <w:r w:rsidR="00102758">
        <w:t>Rights</w:t>
      </w:r>
      <w:r w:rsidR="00465688">
        <w:t xml:space="preserve"> </w:t>
      </w:r>
      <w:r w:rsidR="00102758">
        <w:t xml:space="preserve">of Way </w:t>
      </w:r>
      <w:r>
        <w:t>Circular</w:t>
      </w:r>
      <w:r w:rsidR="00102758">
        <w:t xml:space="preserve"> </w:t>
      </w:r>
      <w:r w:rsidR="009B67A0">
        <w:t xml:space="preserve">(01/09) </w:t>
      </w:r>
      <w:r w:rsidR="00EB1537">
        <w:t>confirms</w:t>
      </w:r>
      <w:r w:rsidR="009B67A0">
        <w:t xml:space="preserve"> that </w:t>
      </w:r>
      <w:r w:rsidR="002C7618">
        <w:t>once prepared, and until subsequently revised, the DMS is conclusive evidence in rights of way disputes</w:t>
      </w:r>
      <w:r w:rsidR="008B265C">
        <w:t>, and that</w:t>
      </w:r>
      <w:r w:rsidR="002C7618">
        <w:t xml:space="preserve"> Authorities are under a duty to make an order modifying the </w:t>
      </w:r>
      <w:r w:rsidR="008B265C">
        <w:t>DMS</w:t>
      </w:r>
      <w:r w:rsidR="002C7618">
        <w:t xml:space="preserve"> where they have evidence that a public right of way should be deleted</w:t>
      </w:r>
      <w:r w:rsidR="008B265C">
        <w:t xml:space="preserve">. </w:t>
      </w:r>
      <w:r w:rsidR="001F667F">
        <w:t xml:space="preserve">It is for those who contend </w:t>
      </w:r>
      <w:r w:rsidR="002C3B19">
        <w:t xml:space="preserve">that there is no right of way, to prove that </w:t>
      </w:r>
      <w:r w:rsidR="00890CEB">
        <w:t>the map requires amendment due to the discovery of evidence</w:t>
      </w:r>
      <w:r w:rsidR="007316AD">
        <w:t>.</w:t>
      </w:r>
    </w:p>
    <w:p w14:paraId="7E20A84F" w14:textId="77777777" w:rsidR="00511C31" w:rsidRPr="0025082F" w:rsidRDefault="00A93B99" w:rsidP="002F67F8">
      <w:pPr>
        <w:pStyle w:val="Style1"/>
        <w:rPr>
          <w:i/>
          <w:iCs/>
        </w:rPr>
      </w:pPr>
      <w:r>
        <w:t xml:space="preserve">Circular (01/09) further </w:t>
      </w:r>
      <w:r w:rsidR="00EB1537">
        <w:t xml:space="preserve">provides that </w:t>
      </w:r>
      <w:r w:rsidR="00511C31" w:rsidRPr="0025082F">
        <w:rPr>
          <w:i/>
          <w:iCs/>
        </w:rPr>
        <w:t>“The evidence needed to remove what is shown as a public right from such an authoritative record as the definitive map and statement – and this would equally apply to the downgrading of a way with “higher” rights to a way with “lower” rights, as well as complete deletion – will need to fulfil certain stringent requirements. These are that:</w:t>
      </w:r>
    </w:p>
    <w:p w14:paraId="1F1B1622" w14:textId="72C97246" w:rsidR="00562DD1" w:rsidRPr="0025082F" w:rsidRDefault="005A377C" w:rsidP="00511C31">
      <w:pPr>
        <w:pStyle w:val="Style1"/>
        <w:numPr>
          <w:ilvl w:val="0"/>
          <w:numId w:val="24"/>
        </w:numPr>
        <w:rPr>
          <w:i/>
          <w:iCs/>
        </w:rPr>
      </w:pPr>
      <w:r w:rsidRPr="0025082F">
        <w:rPr>
          <w:i/>
          <w:iCs/>
        </w:rPr>
        <w:t>the evidence must be new – an order to remove a right of way cannot be founded simply on the re-examination of evidence known at the time the definitive map was surveyed and made.</w:t>
      </w:r>
    </w:p>
    <w:p w14:paraId="3531E54F" w14:textId="207287EE" w:rsidR="005A377C" w:rsidRPr="0025082F" w:rsidRDefault="00E73C4D" w:rsidP="00511C31">
      <w:pPr>
        <w:pStyle w:val="Style1"/>
        <w:numPr>
          <w:ilvl w:val="0"/>
          <w:numId w:val="24"/>
        </w:numPr>
        <w:rPr>
          <w:i/>
          <w:iCs/>
        </w:rPr>
      </w:pPr>
      <w:r w:rsidRPr="0025082F">
        <w:rPr>
          <w:i/>
          <w:iCs/>
        </w:rPr>
        <w:t xml:space="preserve">the evidence must be of sufficient substance to displace the presumption that the definitive map is </w:t>
      </w:r>
      <w:proofErr w:type="gramStart"/>
      <w:r w:rsidRPr="0025082F">
        <w:rPr>
          <w:i/>
          <w:iCs/>
        </w:rPr>
        <w:t>correct;</w:t>
      </w:r>
      <w:proofErr w:type="gramEnd"/>
    </w:p>
    <w:p w14:paraId="2F37E751" w14:textId="0308C26E" w:rsidR="00F12D25" w:rsidRPr="00BC18B2" w:rsidRDefault="0025082F" w:rsidP="00BC18B2">
      <w:pPr>
        <w:pStyle w:val="Style1"/>
        <w:numPr>
          <w:ilvl w:val="0"/>
          <w:numId w:val="24"/>
        </w:numPr>
      </w:pPr>
      <w:r w:rsidRPr="0025082F">
        <w:rPr>
          <w:i/>
          <w:iCs/>
        </w:rPr>
        <w:t>the evidence must be cogent.”</w:t>
      </w:r>
    </w:p>
    <w:p w14:paraId="62D3F508" w14:textId="0D93F1CB" w:rsidR="00043F48" w:rsidRPr="00BC18B2" w:rsidRDefault="004266FE" w:rsidP="00E8218C">
      <w:pPr>
        <w:pStyle w:val="Style1"/>
        <w:rPr>
          <w:color w:val="auto"/>
        </w:rPr>
      </w:pPr>
      <w:r w:rsidRPr="00BC18B2">
        <w:rPr>
          <w:color w:val="auto"/>
        </w:rPr>
        <w:t>The main issue is whether the available evidence shows that, on the balance of probabilities, the DMS requires modification.</w:t>
      </w:r>
    </w:p>
    <w:p w14:paraId="287338B6" w14:textId="629B961A" w:rsidR="006A0212" w:rsidRPr="00457A4A" w:rsidRDefault="006A0212" w:rsidP="00457A4A">
      <w:pPr>
        <w:pStyle w:val="Style1"/>
        <w:numPr>
          <w:ilvl w:val="0"/>
          <w:numId w:val="0"/>
        </w:numPr>
        <w:ind w:left="431" w:hanging="431"/>
        <w:rPr>
          <w:b/>
          <w:bCs/>
        </w:rPr>
      </w:pPr>
      <w:r>
        <w:rPr>
          <w:b/>
          <w:bCs/>
        </w:rPr>
        <w:t>Reasons</w:t>
      </w:r>
    </w:p>
    <w:p w14:paraId="04B9ECE6" w14:textId="26F77E37" w:rsidR="00BE5E37" w:rsidRDefault="00644514" w:rsidP="0025082F">
      <w:pPr>
        <w:pStyle w:val="Style1"/>
      </w:pPr>
      <w:r>
        <w:t>I have been provided with a copy of the DMS for this area</w:t>
      </w:r>
      <w:r w:rsidR="00B22AD1">
        <w:t>.</w:t>
      </w:r>
      <w:r w:rsidR="001D1767">
        <w:t xml:space="preserve"> </w:t>
      </w:r>
      <w:r w:rsidR="00B22AD1">
        <w:t xml:space="preserve">The evidence before me indicates that the definitive map is based </w:t>
      </w:r>
      <w:r w:rsidR="00D15668">
        <w:t>on 1950s Ordnance Survey</w:t>
      </w:r>
      <w:r w:rsidR="001F7BEF">
        <w:t xml:space="preserve"> (OS)</w:t>
      </w:r>
      <w:r w:rsidR="00D15668">
        <w:t xml:space="preserve"> mapping, with the draft map </w:t>
      </w:r>
      <w:r w:rsidR="00961A53">
        <w:t xml:space="preserve">being compiled in 1957, the provisional map </w:t>
      </w:r>
      <w:r w:rsidR="00646728">
        <w:br/>
      </w:r>
      <w:r w:rsidR="00961A53">
        <w:t>in 19</w:t>
      </w:r>
      <w:r w:rsidR="00AF10A3">
        <w:t xml:space="preserve">60, with the </w:t>
      </w:r>
      <w:r w:rsidR="00FB6FD9">
        <w:t xml:space="preserve">definitive map being published in 1966. </w:t>
      </w:r>
      <w:r w:rsidR="00A738B3">
        <w:t>The statement element of the DMS describes RB3 (formerly CRB3 as noted above) “</w:t>
      </w:r>
      <w:r w:rsidR="00A738B3" w:rsidRPr="001D1767">
        <w:rPr>
          <w:i/>
          <w:iCs/>
        </w:rPr>
        <w:t xml:space="preserve">starts from junction of Fakenham Road with East and West </w:t>
      </w:r>
      <w:proofErr w:type="spellStart"/>
      <w:r w:rsidR="00A738B3" w:rsidRPr="001D1767">
        <w:rPr>
          <w:i/>
          <w:iCs/>
        </w:rPr>
        <w:t>Lexham</w:t>
      </w:r>
      <w:proofErr w:type="spellEnd"/>
      <w:r w:rsidR="00A738B3" w:rsidRPr="001D1767">
        <w:rPr>
          <w:i/>
          <w:iCs/>
        </w:rPr>
        <w:t xml:space="preserve"> Roads and runs south westwards to Newton Heath Cottages</w:t>
      </w:r>
      <w:r w:rsidR="00A738B3">
        <w:t>”.</w:t>
      </w:r>
    </w:p>
    <w:p w14:paraId="23BB1041" w14:textId="0DDE9DFD" w:rsidR="00D63516" w:rsidRDefault="00432D76" w:rsidP="0025082F">
      <w:pPr>
        <w:pStyle w:val="Style1"/>
      </w:pPr>
      <w:r>
        <w:t xml:space="preserve">The Appellants have put it to me that the </w:t>
      </w:r>
      <w:r w:rsidR="00B84A6B">
        <w:t xml:space="preserve">termination point </w:t>
      </w:r>
      <w:r w:rsidR="007A771B">
        <w:t xml:space="preserve">of RB3 at Newton Heath Cottages </w:t>
      </w:r>
      <w:r w:rsidR="005C7012">
        <w:t xml:space="preserve">included on the </w:t>
      </w:r>
      <w:r w:rsidR="000952C6">
        <w:t xml:space="preserve">definitive map </w:t>
      </w:r>
      <w:r w:rsidR="00501870">
        <w:t xml:space="preserve">differs to that which is recorded in the statement element of the DMS. </w:t>
      </w:r>
      <w:r w:rsidR="00CC12FF">
        <w:t xml:space="preserve">The Appellants maintain that the </w:t>
      </w:r>
      <w:r w:rsidR="00D831B2">
        <w:t xml:space="preserve">definitive map shows RB3 terminating </w:t>
      </w:r>
      <w:r w:rsidR="003C4FCF">
        <w:t>where a well in the garden to the property at Byways is located</w:t>
      </w:r>
      <w:r w:rsidR="0014392B">
        <w:t xml:space="preserve">, with the statement element of the DMS </w:t>
      </w:r>
      <w:r w:rsidR="00FE3F9A">
        <w:t xml:space="preserve">describing a different termination point. </w:t>
      </w:r>
    </w:p>
    <w:p w14:paraId="747F6AF7" w14:textId="77777777" w:rsidR="001F3927" w:rsidRDefault="00660414" w:rsidP="0025082F">
      <w:pPr>
        <w:pStyle w:val="Style1"/>
      </w:pPr>
      <w:r>
        <w:t xml:space="preserve">As noted above, </w:t>
      </w:r>
      <w:r w:rsidR="00A20B8F">
        <w:t xml:space="preserve">the property at Byways was previously formed of two cottages which comprised </w:t>
      </w:r>
      <w:r w:rsidR="00FD77FE">
        <w:t>‘Newton Heath Cottages’</w:t>
      </w:r>
      <w:r w:rsidR="001E2731">
        <w:t xml:space="preserve">. The definitive map shows RB3 </w:t>
      </w:r>
      <w:r w:rsidR="0021524C">
        <w:t xml:space="preserve">extending beyond the eastern most </w:t>
      </w:r>
      <w:r w:rsidR="00062098">
        <w:t xml:space="preserve">dwelling at Newton Heath Cottages </w:t>
      </w:r>
      <w:r w:rsidR="00B956CE">
        <w:t>to a point to the south and alongside the western most dwelling at Newton Heath Cottages.</w:t>
      </w:r>
      <w:r w:rsidR="003D2AB5">
        <w:t xml:space="preserve"> The termination point shown on the definitive map corresponds with</w:t>
      </w:r>
      <w:r w:rsidR="00982A6B">
        <w:t xml:space="preserve"> Point B on the</w:t>
      </w:r>
      <w:r w:rsidR="001D2174">
        <w:t xml:space="preserve"> </w:t>
      </w:r>
      <w:r w:rsidR="001F3927">
        <w:t>A</w:t>
      </w:r>
      <w:r w:rsidR="001D2174">
        <w:t xml:space="preserve">pplication </w:t>
      </w:r>
      <w:r w:rsidR="001F3927">
        <w:t>P</w:t>
      </w:r>
      <w:r w:rsidR="001D2174">
        <w:t>lan.</w:t>
      </w:r>
    </w:p>
    <w:p w14:paraId="305FAAE2" w14:textId="075A321F" w:rsidR="00FE3F9A" w:rsidRDefault="00D85F78" w:rsidP="0025082F">
      <w:pPr>
        <w:pStyle w:val="Style1"/>
      </w:pPr>
      <w:r>
        <w:t xml:space="preserve">In the Norfolk case described above, </w:t>
      </w:r>
      <w:r w:rsidR="0098698B">
        <w:t>it was decided that</w:t>
      </w:r>
      <w:r w:rsidR="003371A4">
        <w:t xml:space="preserve"> the correct approach to interpretation of the DMS must be a practical one, examining them together to see if they are truly in conflict or the statement can properly be read as </w:t>
      </w:r>
      <w:r w:rsidR="003371A4">
        <w:lastRenderedPageBreak/>
        <w:t xml:space="preserve">describing the position of the right of way. Only if they are in conflict must the map </w:t>
      </w:r>
      <w:r w:rsidR="003371A4" w:rsidRPr="00FB1CA6">
        <w:rPr>
          <w:i/>
          <w:iCs/>
        </w:rPr>
        <w:t>“take precedence since the discretionary particulars depend for their existence upon the conclusiveness of the obligatory map. Unless the statement can properly be interpreted as describing the same footpath as that shown on the map, then the statement cannot be regarded as conclusive evidence of the position of the footpath shown on the map</w:t>
      </w:r>
      <w:r w:rsidR="00FB1CA6" w:rsidRPr="00FB1CA6">
        <w:rPr>
          <w:i/>
          <w:iCs/>
        </w:rPr>
        <w:t>”</w:t>
      </w:r>
      <w:r w:rsidR="003371A4">
        <w:t>.</w:t>
      </w:r>
      <w:r w:rsidR="00B956CE">
        <w:t xml:space="preserve"> </w:t>
      </w:r>
    </w:p>
    <w:p w14:paraId="3732149B" w14:textId="246261D4" w:rsidR="0019168F" w:rsidRDefault="0019168F" w:rsidP="0019168F">
      <w:pPr>
        <w:pStyle w:val="Style1"/>
      </w:pPr>
      <w:r>
        <w:t xml:space="preserve">The </w:t>
      </w:r>
      <w:r w:rsidR="00C45D3E">
        <w:t>A</w:t>
      </w:r>
      <w:r>
        <w:t xml:space="preserve">pplication was supported by </w:t>
      </w:r>
      <w:proofErr w:type="gramStart"/>
      <w:r>
        <w:t>a number of</w:t>
      </w:r>
      <w:proofErr w:type="gramEnd"/>
      <w:r>
        <w:t xml:space="preserve"> documents and plans. Upon review of the documentary evidence, the Council has refused to make an order, maintaining that there was no new evidence which was not considered when the definitive map was compiled, and that the evidence did not displace the presumption that the DMS is correct.</w:t>
      </w:r>
    </w:p>
    <w:p w14:paraId="37BE3D7C" w14:textId="70DE7FB8" w:rsidR="00916A87" w:rsidRDefault="004D72AD" w:rsidP="00D713D1">
      <w:pPr>
        <w:pStyle w:val="Style1"/>
      </w:pPr>
      <w:r w:rsidRPr="00363360">
        <w:t xml:space="preserve">In Section 53(3)(c) of the 1981 Act, "evidence'' is not to be restricted to new evidence or evidence not previously considered, but to be given its ordinary meaning. Whilst this cannot simply be a re-examination of the same evidence considered when the definitive map was drawn up, the “new” evidence </w:t>
      </w:r>
      <w:proofErr w:type="gramStart"/>
      <w:r w:rsidRPr="00363360">
        <w:t>has to</w:t>
      </w:r>
      <w:proofErr w:type="gramEnd"/>
      <w:r w:rsidRPr="00363360">
        <w:t xml:space="preserve"> be considered in the context of the evidence previously given</w:t>
      </w:r>
      <w:r>
        <w:t>.</w:t>
      </w:r>
      <w:r w:rsidR="00AC79C5">
        <w:t xml:space="preserve"> </w:t>
      </w:r>
    </w:p>
    <w:p w14:paraId="174503E8" w14:textId="285CE596" w:rsidR="00B400C3" w:rsidRDefault="002B0132" w:rsidP="0003442C">
      <w:pPr>
        <w:pStyle w:val="Style1"/>
      </w:pPr>
      <w:r>
        <w:t xml:space="preserve">A map (referred to as “Map A” within the Appellants’ submissions) </w:t>
      </w:r>
      <w:r w:rsidR="00D37A11">
        <w:t xml:space="preserve">shows </w:t>
      </w:r>
      <w:r w:rsidR="005E509B">
        <w:t xml:space="preserve">that to the south </w:t>
      </w:r>
      <w:r w:rsidR="006611B9">
        <w:t xml:space="preserve">and east </w:t>
      </w:r>
      <w:r w:rsidR="005E509B">
        <w:t xml:space="preserve">of </w:t>
      </w:r>
      <w:r w:rsidR="00236B66">
        <w:t xml:space="preserve">Newton Heath Cottages, </w:t>
      </w:r>
      <w:r w:rsidR="005E509B">
        <w:t xml:space="preserve">the route </w:t>
      </w:r>
      <w:r w:rsidR="006611B9">
        <w:t xml:space="preserve">is </w:t>
      </w:r>
      <w:r w:rsidR="005E509B">
        <w:t>bounded by solid lines</w:t>
      </w:r>
      <w:r w:rsidR="00DA2621">
        <w:t xml:space="preserve">. </w:t>
      </w:r>
      <w:r w:rsidR="00FA7D63">
        <w:t xml:space="preserve">To the west of those cottages, a route is shown </w:t>
      </w:r>
      <w:r w:rsidR="005240BF">
        <w:t xml:space="preserve">on that map being </w:t>
      </w:r>
      <w:r w:rsidR="00FA7D63">
        <w:t xml:space="preserve">bounded by </w:t>
      </w:r>
      <w:r w:rsidR="006E037C">
        <w:t>dashed lines</w:t>
      </w:r>
      <w:r w:rsidR="004C0AFB">
        <w:t>.</w:t>
      </w:r>
      <w:r w:rsidR="00051673">
        <w:t xml:space="preserve"> </w:t>
      </w:r>
      <w:r w:rsidR="00B47D4C">
        <w:t xml:space="preserve">The Council identify that Map A </w:t>
      </w:r>
      <w:r w:rsidR="00C21E76">
        <w:t xml:space="preserve">is an extract from </w:t>
      </w:r>
      <w:r w:rsidR="00F97BEE">
        <w:t xml:space="preserve">the 1905 </w:t>
      </w:r>
      <w:r w:rsidR="001F7BEF">
        <w:t xml:space="preserve">OS </w:t>
      </w:r>
      <w:r w:rsidR="00F97BEE">
        <w:t xml:space="preserve">map, and agrees that that </w:t>
      </w:r>
      <w:r w:rsidR="004E0620">
        <w:t>map, which also appears to have been used in conjunction with a conveyance of</w:t>
      </w:r>
      <w:r w:rsidR="008B1D5C">
        <w:t xml:space="preserve"> land from 1951, </w:t>
      </w:r>
      <w:r w:rsidR="00135C42">
        <w:t xml:space="preserve">includes </w:t>
      </w:r>
      <w:r w:rsidR="00E57419">
        <w:t xml:space="preserve">a clear point of access </w:t>
      </w:r>
      <w:r w:rsidR="00F12336">
        <w:t xml:space="preserve">for the eastern most of Newton Heath Cottages onto RB3, </w:t>
      </w:r>
      <w:r w:rsidR="00AD352B">
        <w:t xml:space="preserve">which corresponds with Point </w:t>
      </w:r>
      <w:r w:rsidR="00B400C3">
        <w:t xml:space="preserve">A on the Application Plan. </w:t>
      </w:r>
      <w:r w:rsidR="00966FAD">
        <w:t xml:space="preserve">A later </w:t>
      </w:r>
      <w:r w:rsidR="001F7BEF">
        <w:t>OS map</w:t>
      </w:r>
      <w:r w:rsidR="00E23EB4">
        <w:t xml:space="preserve"> from 1958 </w:t>
      </w:r>
      <w:r w:rsidR="00A3477A">
        <w:t>simil</w:t>
      </w:r>
      <w:r w:rsidR="00CD219E">
        <w:t>a</w:t>
      </w:r>
      <w:r w:rsidR="00A3477A">
        <w:t xml:space="preserve">rly depicts the route in a </w:t>
      </w:r>
      <w:r w:rsidR="00206979">
        <w:t>similar fashion</w:t>
      </w:r>
      <w:r w:rsidR="0023455A">
        <w:t xml:space="preserve">, with solid lines giving way to dashed lines </w:t>
      </w:r>
      <w:r w:rsidR="00335F44">
        <w:t xml:space="preserve">at a point to the south of the western most </w:t>
      </w:r>
      <w:r w:rsidR="00256A97">
        <w:t>dwelling</w:t>
      </w:r>
      <w:r w:rsidR="00335F44">
        <w:t xml:space="preserve"> at Newton Heath </w:t>
      </w:r>
      <w:r w:rsidR="00CD219E">
        <w:t>Cottages</w:t>
      </w:r>
      <w:r w:rsidR="00256A97">
        <w:t>.</w:t>
      </w:r>
    </w:p>
    <w:p w14:paraId="4D93525B" w14:textId="1C3BE556" w:rsidR="001B1E6E" w:rsidRDefault="00D16D41" w:rsidP="0003442C">
      <w:pPr>
        <w:pStyle w:val="Style1"/>
      </w:pPr>
      <w:r>
        <w:t xml:space="preserve">In addition to the above, </w:t>
      </w:r>
      <w:r w:rsidR="008772DD">
        <w:t xml:space="preserve">the </w:t>
      </w:r>
      <w:r w:rsidR="00CF6A73">
        <w:t>A</w:t>
      </w:r>
      <w:r w:rsidR="008772DD">
        <w:t>pplication</w:t>
      </w:r>
      <w:r w:rsidR="00CF6A73">
        <w:t xml:space="preserve"> </w:t>
      </w:r>
      <w:r w:rsidR="00CA4C34">
        <w:t xml:space="preserve">provides a copy of </w:t>
      </w:r>
      <w:r w:rsidR="00FB0BBD">
        <w:t xml:space="preserve">the first page from </w:t>
      </w:r>
      <w:r w:rsidR="00CA4C34">
        <w:t xml:space="preserve">a letter, dated </w:t>
      </w:r>
      <w:r w:rsidR="00F86901">
        <w:t xml:space="preserve">June </w:t>
      </w:r>
      <w:r w:rsidR="00CA4C34">
        <w:t>1996</w:t>
      </w:r>
      <w:r w:rsidR="00F86901">
        <w:t>,</w:t>
      </w:r>
      <w:r w:rsidR="00FB0BBD">
        <w:t xml:space="preserve"> between </w:t>
      </w:r>
      <w:r w:rsidR="00C5588C">
        <w:t>the</w:t>
      </w:r>
      <w:r w:rsidR="00C87C12">
        <w:t xml:space="preserve"> Newton Parish</w:t>
      </w:r>
      <w:r w:rsidR="00757D24">
        <w:t xml:space="preserve"> Council and the Council and which </w:t>
      </w:r>
      <w:r w:rsidR="00447235">
        <w:t>refers to the former CRB3</w:t>
      </w:r>
      <w:r w:rsidR="002527E8">
        <w:t xml:space="preserve"> be</w:t>
      </w:r>
      <w:r w:rsidR="009A4978">
        <w:t>ing</w:t>
      </w:r>
      <w:r w:rsidR="002527E8">
        <w:t xml:space="preserve"> terminated “at the Newton Heath Cottages”. </w:t>
      </w:r>
      <w:r w:rsidR="002652F9">
        <w:t xml:space="preserve">A Deed of Grant of Easements, dated August 2001, is also provided </w:t>
      </w:r>
      <w:r w:rsidR="00D21DA9">
        <w:t xml:space="preserve">in support of the Application, and which </w:t>
      </w:r>
      <w:r w:rsidR="0057349A">
        <w:t xml:space="preserve">confirms that </w:t>
      </w:r>
      <w:r w:rsidR="0087773C">
        <w:t xml:space="preserve">occupants of </w:t>
      </w:r>
      <w:r w:rsidR="002A1C19">
        <w:t>Byways are authorised to pass and repass</w:t>
      </w:r>
      <w:r w:rsidR="001B68ED">
        <w:t>,</w:t>
      </w:r>
      <w:r w:rsidR="002A1C19">
        <w:t xml:space="preserve"> with or without vehicles</w:t>
      </w:r>
      <w:r w:rsidR="001B68ED">
        <w:t>,</w:t>
      </w:r>
      <w:r w:rsidR="002A1C19">
        <w:t xml:space="preserve"> </w:t>
      </w:r>
      <w:r w:rsidR="00806133">
        <w:t xml:space="preserve">over a track located to the southwest of </w:t>
      </w:r>
      <w:r w:rsidR="001B68ED">
        <w:t xml:space="preserve">that property. </w:t>
      </w:r>
      <w:r w:rsidR="00C87C12">
        <w:t xml:space="preserve">  </w:t>
      </w:r>
      <w:r w:rsidR="00F86901">
        <w:t xml:space="preserve"> </w:t>
      </w:r>
      <w:r w:rsidR="008772DD">
        <w:t xml:space="preserve"> </w:t>
      </w:r>
    </w:p>
    <w:p w14:paraId="399177E2" w14:textId="7169CC2A" w:rsidR="008B0ADC" w:rsidRDefault="00AA0C08" w:rsidP="002418D2">
      <w:pPr>
        <w:pStyle w:val="Style1"/>
      </w:pPr>
      <w:r>
        <w:t>The Appellants</w:t>
      </w:r>
      <w:r w:rsidR="002418D2">
        <w:t xml:space="preserve"> have put it to me</w:t>
      </w:r>
      <w:r w:rsidR="00E8528A">
        <w:t xml:space="preserve"> that </w:t>
      </w:r>
      <w:r w:rsidR="007F6D4C">
        <w:t xml:space="preserve">access from RB3 to the western most of Newton Heath Cottages and </w:t>
      </w:r>
      <w:r w:rsidR="00B86A5B">
        <w:t xml:space="preserve">to </w:t>
      </w:r>
      <w:r w:rsidR="007F6D4C">
        <w:t xml:space="preserve">the dwellings to the north of </w:t>
      </w:r>
      <w:r w:rsidR="005F019E">
        <w:t>those properties, was over land which previously formed the eastern most of the cottages</w:t>
      </w:r>
      <w:r w:rsidR="00745CAC">
        <w:t xml:space="preserve">, and that </w:t>
      </w:r>
      <w:r w:rsidR="00245997">
        <w:t xml:space="preserve">was the only access to water from a well </w:t>
      </w:r>
      <w:r w:rsidR="00151E39">
        <w:t xml:space="preserve">which is </w:t>
      </w:r>
      <w:r w:rsidR="00A25E17">
        <w:t xml:space="preserve">now </w:t>
      </w:r>
      <w:r w:rsidR="00151E39">
        <w:t>located within the garden at Byways</w:t>
      </w:r>
      <w:r w:rsidR="00F20998">
        <w:t xml:space="preserve">. Furthermore, </w:t>
      </w:r>
      <w:r w:rsidR="00646532">
        <w:t>the App</w:t>
      </w:r>
      <w:r w:rsidR="002418D2">
        <w:t xml:space="preserve">ellants maintain </w:t>
      </w:r>
      <w:r w:rsidR="00850331">
        <w:t>there is evidence to support t</w:t>
      </w:r>
      <w:r w:rsidR="008468E5">
        <w:t>he</w:t>
      </w:r>
      <w:r w:rsidR="00850331">
        <w:t xml:space="preserve"> contention </w:t>
      </w:r>
      <w:r w:rsidR="008468E5">
        <w:t>that</w:t>
      </w:r>
      <w:r w:rsidR="00AB5E8B">
        <w:t xml:space="preserve"> </w:t>
      </w:r>
      <w:r w:rsidR="00412F89">
        <w:t xml:space="preserve">residents of </w:t>
      </w:r>
      <w:r w:rsidR="00AB5E8B">
        <w:t xml:space="preserve">the western most </w:t>
      </w:r>
      <w:r w:rsidR="00412F89">
        <w:t>dwelling at Newton Heath Cottages</w:t>
      </w:r>
      <w:r w:rsidR="00033DC0">
        <w:t xml:space="preserve"> </w:t>
      </w:r>
      <w:r w:rsidR="00E93103">
        <w:t xml:space="preserve">used to cross </w:t>
      </w:r>
      <w:r w:rsidR="002A423A">
        <w:t xml:space="preserve">the land at the eastern most cottage </w:t>
      </w:r>
      <w:proofErr w:type="gramStart"/>
      <w:r w:rsidR="00FF2E4B">
        <w:t>in order to</w:t>
      </w:r>
      <w:proofErr w:type="gramEnd"/>
      <w:r w:rsidR="00FF2E4B">
        <w:t xml:space="preserve"> access RB3</w:t>
      </w:r>
      <w:r w:rsidR="00504AC4">
        <w:t xml:space="preserve">, </w:t>
      </w:r>
      <w:r w:rsidR="00850331">
        <w:t xml:space="preserve">and that a statement </w:t>
      </w:r>
      <w:r w:rsidR="006B7B6B">
        <w:t xml:space="preserve">could be </w:t>
      </w:r>
      <w:r w:rsidR="0035536B">
        <w:t xml:space="preserve">obtained </w:t>
      </w:r>
      <w:r w:rsidR="00850331">
        <w:t xml:space="preserve">from </w:t>
      </w:r>
      <w:r w:rsidR="000F1582">
        <w:t>“</w:t>
      </w:r>
      <w:r w:rsidR="00850331" w:rsidRPr="007D61D8">
        <w:t>the son of the</w:t>
      </w:r>
      <w:r w:rsidR="006B7B6B" w:rsidRPr="007D61D8">
        <w:t xml:space="preserve"> owner of the land</w:t>
      </w:r>
      <w:r w:rsidR="000F1582" w:rsidRPr="007D61D8">
        <w:t xml:space="preserve"> in 1951</w:t>
      </w:r>
      <w:r w:rsidR="000F1582">
        <w:t>”</w:t>
      </w:r>
      <w:r w:rsidR="00504AC4">
        <w:t>.</w:t>
      </w:r>
      <w:r w:rsidR="00097595">
        <w:t xml:space="preserve"> </w:t>
      </w:r>
    </w:p>
    <w:p w14:paraId="4C179620" w14:textId="02E0A050" w:rsidR="005E6609" w:rsidRDefault="00653121" w:rsidP="00CE43DE">
      <w:pPr>
        <w:pStyle w:val="Style1"/>
      </w:pPr>
      <w:r>
        <w:t xml:space="preserve">As such, </w:t>
      </w:r>
      <w:r w:rsidR="00F811F8">
        <w:t xml:space="preserve">the Appellants contend that the statement element of the DMS </w:t>
      </w:r>
      <w:r w:rsidR="009C0CB6">
        <w:t xml:space="preserve">which includes </w:t>
      </w:r>
      <w:r w:rsidR="00F41D28">
        <w:t xml:space="preserve">the term </w:t>
      </w:r>
      <w:r w:rsidR="009C0CB6">
        <w:t xml:space="preserve">“to </w:t>
      </w:r>
      <w:r w:rsidR="00F41D28">
        <w:t>Newton Heath Cottages”</w:t>
      </w:r>
      <w:r w:rsidR="005A4E37">
        <w:t xml:space="preserve"> refers to the point where access from the eastern most dwelling at Newton Heath Cottages </w:t>
      </w:r>
      <w:r w:rsidR="00D40C74">
        <w:t xml:space="preserve">onto RB3 existed, and that that conflicts with the definitive map </w:t>
      </w:r>
      <w:r w:rsidR="00F63470">
        <w:t xml:space="preserve">which shows the termination point </w:t>
      </w:r>
      <w:r w:rsidR="00742599">
        <w:t>to the south of the western most dwelling at Newton Heath Cottages.</w:t>
      </w:r>
    </w:p>
    <w:p w14:paraId="04D56BD1" w14:textId="2A37A473" w:rsidR="00921254" w:rsidRPr="001C2E52" w:rsidRDefault="00921254" w:rsidP="001C2E52">
      <w:pPr>
        <w:pStyle w:val="Style1"/>
        <w:numPr>
          <w:ilvl w:val="0"/>
          <w:numId w:val="0"/>
        </w:numPr>
        <w:rPr>
          <w:b/>
          <w:bCs/>
        </w:rPr>
      </w:pPr>
      <w:r w:rsidRPr="00921254">
        <w:rPr>
          <w:b/>
          <w:bCs/>
        </w:rPr>
        <w:lastRenderedPageBreak/>
        <w:t>C</w:t>
      </w:r>
      <w:r w:rsidR="00CE43DE">
        <w:rPr>
          <w:b/>
          <w:bCs/>
        </w:rPr>
        <w:t>onclusions</w:t>
      </w:r>
    </w:p>
    <w:p w14:paraId="624F7B8F" w14:textId="6CE411AA" w:rsidR="008E6E84" w:rsidRDefault="00FE431F" w:rsidP="00E91A56">
      <w:pPr>
        <w:pStyle w:val="Style1"/>
      </w:pPr>
      <w:r>
        <w:t xml:space="preserve">The burden of proof </w:t>
      </w:r>
      <w:r w:rsidR="0076410A">
        <w:t>in this appeal lies with the Appellants to demonstrate that, on the balance of probabilities</w:t>
      </w:r>
      <w:r w:rsidR="00295D53">
        <w:t xml:space="preserve">, a mistake </w:t>
      </w:r>
      <w:r w:rsidR="00D1640E">
        <w:t xml:space="preserve">was made </w:t>
      </w:r>
      <w:r w:rsidR="00854B10">
        <w:t xml:space="preserve">with regards to the extent or length of the route </w:t>
      </w:r>
      <w:r w:rsidR="00D1640E">
        <w:t>when RB3 was</w:t>
      </w:r>
      <w:r w:rsidR="009310AF">
        <w:t xml:space="preserve"> first recorded in the DMS.</w:t>
      </w:r>
      <w:r w:rsidR="0076410A">
        <w:t xml:space="preserve"> </w:t>
      </w:r>
    </w:p>
    <w:p w14:paraId="0486A6F7" w14:textId="26D33C2B" w:rsidR="005442A5" w:rsidRDefault="005442A5" w:rsidP="005442A5">
      <w:pPr>
        <w:pStyle w:val="Style1"/>
      </w:pPr>
      <w:r>
        <w:t xml:space="preserve">The Deed of Grant of Easement concerns authorisation for occupants to use a track which is located away from the disputed part of RB3 and, therefore, offers </w:t>
      </w:r>
      <w:r w:rsidR="009A4978">
        <w:t xml:space="preserve">little or </w:t>
      </w:r>
      <w:r>
        <w:t>no support for the contention that the disputed part of RB3 should be deleted.</w:t>
      </w:r>
    </w:p>
    <w:p w14:paraId="6761A874" w14:textId="01E49318" w:rsidR="001D5687" w:rsidRDefault="000D2E10" w:rsidP="004C017A">
      <w:pPr>
        <w:pStyle w:val="Style1"/>
      </w:pPr>
      <w:r>
        <w:t xml:space="preserve">Whilst it is accepted that OS maps provide good evidence of the features that were present on the ground at that time, they do not, as is the case here, indicate or confirm the status of the routes shown thereon. </w:t>
      </w:r>
      <w:r w:rsidR="00D131BE">
        <w:t xml:space="preserve">Whilst I </w:t>
      </w:r>
      <w:r w:rsidR="00742599">
        <w:t>acknowledge</w:t>
      </w:r>
      <w:r w:rsidR="00D131BE">
        <w:t xml:space="preserve"> the Appellants</w:t>
      </w:r>
      <w:r w:rsidR="00742599">
        <w:t>’</w:t>
      </w:r>
      <w:r w:rsidR="00D131BE">
        <w:t xml:space="preserve"> submissions, n</w:t>
      </w:r>
      <w:r w:rsidR="00126733">
        <w:t xml:space="preserve">o statement </w:t>
      </w:r>
      <w:r w:rsidR="0078622B">
        <w:t>from “</w:t>
      </w:r>
      <w:r w:rsidR="0078622B" w:rsidRPr="007D61D8">
        <w:t>the son of the owner of the land in 1951</w:t>
      </w:r>
      <w:r w:rsidR="0078622B">
        <w:t xml:space="preserve">” </w:t>
      </w:r>
      <w:r w:rsidR="00D131BE">
        <w:t>has been</w:t>
      </w:r>
      <w:r w:rsidR="00A718F3">
        <w:t xml:space="preserve"> provided and no other evidence is offered </w:t>
      </w:r>
      <w:r w:rsidR="000820AA">
        <w:t xml:space="preserve">which supports </w:t>
      </w:r>
      <w:r w:rsidR="00220118">
        <w:t>the contention that</w:t>
      </w:r>
      <w:r w:rsidR="000820AA">
        <w:t xml:space="preserve"> occupants of </w:t>
      </w:r>
      <w:r w:rsidR="00E91A56">
        <w:t>the nearby and neighbouring cottages described above</w:t>
      </w:r>
      <w:r w:rsidR="00F96812">
        <w:t xml:space="preserve">, accessed RB3 by crossing land which formerly </w:t>
      </w:r>
      <w:r w:rsidR="00B147AE">
        <w:t>comprised part of the eastern most of Newton Heath Cottages</w:t>
      </w:r>
      <w:r w:rsidR="00017B0A">
        <w:t xml:space="preserve">. </w:t>
      </w:r>
      <w:r w:rsidR="00D008C1">
        <w:t xml:space="preserve">Furthermore, </w:t>
      </w:r>
      <w:r w:rsidR="0083541A">
        <w:t xml:space="preserve">both the 1905 </w:t>
      </w:r>
      <w:r w:rsidR="003C3A8F">
        <w:t xml:space="preserve">map (Map A) and the plan attached to the 1951 conveyance </w:t>
      </w:r>
      <w:r w:rsidR="00A67491">
        <w:t xml:space="preserve">show an additional well as being located </w:t>
      </w:r>
      <w:r w:rsidR="00A13A1A">
        <w:t>within the group of dwellings to the north of Newton Heath Cottages</w:t>
      </w:r>
      <w:r w:rsidR="00AD2BAC">
        <w:t>,</w:t>
      </w:r>
      <w:r w:rsidR="00A13A1A">
        <w:t xml:space="preserve"> </w:t>
      </w:r>
      <w:r w:rsidR="004B4AA2">
        <w:t xml:space="preserve">suggesting that access to the well at Newton Heath Cottages would </w:t>
      </w:r>
      <w:r w:rsidR="0058565B">
        <w:t>not have been necessary</w:t>
      </w:r>
      <w:r w:rsidR="00FB0A87">
        <w:t>.</w:t>
      </w:r>
    </w:p>
    <w:p w14:paraId="05FFA063" w14:textId="4B637C09" w:rsidR="00323C35" w:rsidRDefault="001D5687" w:rsidP="004670DA">
      <w:pPr>
        <w:pStyle w:val="Style1"/>
      </w:pPr>
      <w:r>
        <w:t>Both the</w:t>
      </w:r>
      <w:r w:rsidR="00D77C4F">
        <w:t xml:space="preserve"> Parish Council letter </w:t>
      </w:r>
      <w:r>
        <w:t xml:space="preserve">and the </w:t>
      </w:r>
      <w:r w:rsidR="003548DD">
        <w:t xml:space="preserve">statement element of the DMS </w:t>
      </w:r>
      <w:r w:rsidR="001A2BA4">
        <w:t>indicates that the route terminated at</w:t>
      </w:r>
      <w:r w:rsidR="0051067A">
        <w:t xml:space="preserve"> Newton Heath Cottages</w:t>
      </w:r>
      <w:r w:rsidR="003548DD">
        <w:t>.</w:t>
      </w:r>
      <w:r w:rsidR="00D1073F">
        <w:t xml:space="preserve"> </w:t>
      </w:r>
      <w:r w:rsidR="006C7B64">
        <w:t>Whilst the OS maps</w:t>
      </w:r>
      <w:r w:rsidR="009940F2">
        <w:t xml:space="preserve"> and subsequent conv</w:t>
      </w:r>
      <w:r w:rsidR="004670DA">
        <w:t>eyance plan</w:t>
      </w:r>
      <w:r w:rsidR="006C7B64">
        <w:t>, described above,</w:t>
      </w:r>
      <w:r w:rsidR="004670DA">
        <w:t xml:space="preserve"> indicate that</w:t>
      </w:r>
      <w:r w:rsidR="00015822">
        <w:t xml:space="preserve"> there was access from </w:t>
      </w:r>
      <w:r w:rsidR="005957BF">
        <w:t xml:space="preserve">the </w:t>
      </w:r>
      <w:r w:rsidR="00015822">
        <w:t>east</w:t>
      </w:r>
      <w:r w:rsidR="004670DA">
        <w:t>e</w:t>
      </w:r>
      <w:r w:rsidR="00015822">
        <w:t xml:space="preserve">rn most </w:t>
      </w:r>
      <w:r w:rsidR="004670DA">
        <w:t>dwelling at Newton Heath Cottages</w:t>
      </w:r>
      <w:r w:rsidR="00015822">
        <w:t xml:space="preserve"> to RB3</w:t>
      </w:r>
      <w:r w:rsidR="00E51E2A">
        <w:t>,</w:t>
      </w:r>
      <w:r w:rsidR="00015822">
        <w:t xml:space="preserve"> </w:t>
      </w:r>
      <w:r w:rsidR="008248D5">
        <w:t xml:space="preserve">there is </w:t>
      </w:r>
      <w:r w:rsidR="00015822">
        <w:t xml:space="preserve">no </w:t>
      </w:r>
      <w:r w:rsidR="008248D5">
        <w:t xml:space="preserve">substantive </w:t>
      </w:r>
      <w:r w:rsidR="00015822">
        <w:t xml:space="preserve">evidence </w:t>
      </w:r>
      <w:r w:rsidR="008248D5">
        <w:t xml:space="preserve">before me which </w:t>
      </w:r>
      <w:r w:rsidR="00E93357">
        <w:t xml:space="preserve">supports the contention </w:t>
      </w:r>
      <w:r w:rsidR="0046749B">
        <w:t xml:space="preserve">that </w:t>
      </w:r>
      <w:r w:rsidR="00A34B23">
        <w:t>both of</w:t>
      </w:r>
      <w:r w:rsidR="0046749B">
        <w:t xml:space="preserve"> th</w:t>
      </w:r>
      <w:r w:rsidR="00A34B23">
        <w:t>ose</w:t>
      </w:r>
      <w:r w:rsidR="0046749B">
        <w:t xml:space="preserve"> cottages used that point of access </w:t>
      </w:r>
      <w:r w:rsidR="00E8459B">
        <w:t>onto RB3</w:t>
      </w:r>
      <w:r w:rsidR="00FB498B">
        <w:t xml:space="preserve">. </w:t>
      </w:r>
    </w:p>
    <w:p w14:paraId="339A4E88" w14:textId="60F02512" w:rsidR="007E6439" w:rsidRDefault="00AB72CE" w:rsidP="00774997">
      <w:pPr>
        <w:pStyle w:val="Style1"/>
      </w:pPr>
      <w:r>
        <w:t xml:space="preserve">The statement element </w:t>
      </w:r>
      <w:r w:rsidR="007B6D44">
        <w:t xml:space="preserve">of the DMS </w:t>
      </w:r>
      <w:r w:rsidR="00365CE0">
        <w:t xml:space="preserve">includes the wording “to </w:t>
      </w:r>
      <w:r w:rsidR="00912940">
        <w:t>Newton Heath Cottages”, referring to those</w:t>
      </w:r>
      <w:r w:rsidR="00486A49">
        <w:t xml:space="preserve"> properties in the plural. Whilst I acknowledge that </w:t>
      </w:r>
      <w:r w:rsidR="00C93ED7">
        <w:t xml:space="preserve">wording of that statement could be interpreted as being ‘to the first </w:t>
      </w:r>
      <w:r w:rsidR="0023016D">
        <w:t>of the cottages encountered when travelli</w:t>
      </w:r>
      <w:r w:rsidR="00C50CF6">
        <w:t>n</w:t>
      </w:r>
      <w:r w:rsidR="0023016D">
        <w:t>g east to west along RB3</w:t>
      </w:r>
      <w:r w:rsidR="00E55BFB">
        <w:t>’</w:t>
      </w:r>
      <w:r w:rsidR="0023016D">
        <w:t>, it could equally be rea</w:t>
      </w:r>
      <w:r w:rsidR="00C50CF6">
        <w:t>s</w:t>
      </w:r>
      <w:r w:rsidR="0023016D">
        <w:t>on</w:t>
      </w:r>
      <w:r w:rsidR="00C50CF6">
        <w:t>a</w:t>
      </w:r>
      <w:r w:rsidR="0023016D">
        <w:t>bly be interpret</w:t>
      </w:r>
      <w:r w:rsidR="00C50CF6">
        <w:t>e</w:t>
      </w:r>
      <w:r w:rsidR="0023016D">
        <w:t>d a</w:t>
      </w:r>
      <w:r w:rsidR="00E55BFB">
        <w:t xml:space="preserve">s being to </w:t>
      </w:r>
      <w:r w:rsidR="00A34B23">
        <w:t xml:space="preserve">a </w:t>
      </w:r>
      <w:r w:rsidR="00984AC7">
        <w:t xml:space="preserve">point </w:t>
      </w:r>
      <w:r w:rsidR="00CD1EF5">
        <w:t>where the western most cottage is located.</w:t>
      </w:r>
    </w:p>
    <w:p w14:paraId="3C914BD6" w14:textId="0E548256" w:rsidR="002F67F8" w:rsidRPr="0061562E" w:rsidRDefault="002D23C2" w:rsidP="0034231A">
      <w:pPr>
        <w:pStyle w:val="Style1"/>
        <w:rPr>
          <w:color w:val="auto"/>
        </w:rPr>
      </w:pPr>
      <w:r>
        <w:t xml:space="preserve">For the above reasons, </w:t>
      </w:r>
      <w:r w:rsidR="00920494">
        <w:t>I do not find that</w:t>
      </w:r>
      <w:r w:rsidR="00E06B61">
        <w:t xml:space="preserve"> </w:t>
      </w:r>
      <w:r w:rsidR="00C60A5A">
        <w:t xml:space="preserve">the evidence </w:t>
      </w:r>
      <w:r w:rsidR="0006403F">
        <w:t>reaches the standard of proof required to show that, on the balance of probability,</w:t>
      </w:r>
      <w:r w:rsidR="00F92DDA">
        <w:t xml:space="preserve"> a mistake was made with regards to the extent or length of the route when RB3 was first recorded in the DMS</w:t>
      </w:r>
      <w:r w:rsidR="00813C7C">
        <w:t>, or that the disputed part of the route should be deleted</w:t>
      </w:r>
      <w:r w:rsidR="00220579">
        <w:t xml:space="preserve"> from the DMS.</w:t>
      </w:r>
      <w:r w:rsidR="00FA51EC">
        <w:rPr>
          <w:color w:val="FF0000"/>
        </w:rPr>
        <w:t xml:space="preserve"> </w:t>
      </w:r>
      <w:r w:rsidR="00FA51EC" w:rsidRPr="0061562E">
        <w:rPr>
          <w:color w:val="auto"/>
        </w:rPr>
        <w:t>As such</w:t>
      </w:r>
      <w:r w:rsidR="00330205" w:rsidRPr="0061562E">
        <w:rPr>
          <w:color w:val="auto"/>
        </w:rPr>
        <w:t xml:space="preserve">, I conclude that </w:t>
      </w:r>
      <w:r w:rsidR="00C25EF3" w:rsidRPr="0061562E">
        <w:rPr>
          <w:color w:val="auto"/>
        </w:rPr>
        <w:t>the matters raised by the Appellants is insufficient to</w:t>
      </w:r>
      <w:r w:rsidR="00512BD9" w:rsidRPr="0061562E">
        <w:rPr>
          <w:color w:val="auto"/>
        </w:rPr>
        <w:t xml:space="preserve"> </w:t>
      </w:r>
      <w:r w:rsidR="00732818" w:rsidRPr="0061562E">
        <w:rPr>
          <w:color w:val="auto"/>
        </w:rPr>
        <w:t>displace the presumption that the DMS is correct</w:t>
      </w:r>
      <w:r w:rsidR="00512BD9" w:rsidRPr="0061562E">
        <w:rPr>
          <w:color w:val="auto"/>
        </w:rPr>
        <w:t>.</w:t>
      </w:r>
      <w:r w:rsidR="00C25EF3" w:rsidRPr="0061562E">
        <w:rPr>
          <w:color w:val="auto"/>
        </w:rPr>
        <w:t xml:space="preserve"> </w:t>
      </w:r>
      <w:r w:rsidR="00512BD9" w:rsidRPr="0061562E">
        <w:rPr>
          <w:color w:val="auto"/>
        </w:rPr>
        <w:t>I, therefore, do not find that there is conflict between what is shown on the definitive map to that route that is described within the statement element of the DMS.</w:t>
      </w:r>
    </w:p>
    <w:p w14:paraId="6106EF1A" w14:textId="1F8487A3" w:rsidR="001C2E52" w:rsidRPr="001C2E52" w:rsidRDefault="001C2E52" w:rsidP="001C2E52">
      <w:pPr>
        <w:pStyle w:val="Style1"/>
        <w:numPr>
          <w:ilvl w:val="0"/>
          <w:numId w:val="0"/>
        </w:numPr>
        <w:rPr>
          <w:b/>
          <w:bCs/>
          <w:color w:val="auto"/>
        </w:rPr>
      </w:pPr>
      <w:r w:rsidRPr="001C2E52">
        <w:rPr>
          <w:b/>
          <w:bCs/>
          <w:color w:val="auto"/>
        </w:rPr>
        <w:t>Formal Decision</w:t>
      </w:r>
    </w:p>
    <w:p w14:paraId="40385539" w14:textId="4C9C0561" w:rsidR="001C2E52" w:rsidRDefault="007B7B59" w:rsidP="00080DDA">
      <w:pPr>
        <w:pStyle w:val="Style1"/>
        <w:rPr>
          <w:color w:val="auto"/>
        </w:rPr>
      </w:pPr>
      <w:r>
        <w:rPr>
          <w:color w:val="auto"/>
        </w:rPr>
        <w:t xml:space="preserve">The appeal is dismissed. </w:t>
      </w:r>
    </w:p>
    <w:p w14:paraId="18873534" w14:textId="1610D300" w:rsidR="00401135" w:rsidRDefault="00401135" w:rsidP="00401135">
      <w:pPr>
        <w:pStyle w:val="Style1"/>
        <w:numPr>
          <w:ilvl w:val="0"/>
          <w:numId w:val="0"/>
        </w:numPr>
        <w:ind w:left="431" w:hanging="431"/>
        <w:rPr>
          <w:color w:val="auto"/>
        </w:rPr>
      </w:pPr>
    </w:p>
    <w:p w14:paraId="25DBC4BF" w14:textId="77777777" w:rsidR="00AF1BC1" w:rsidRPr="000C4D7A" w:rsidRDefault="00AF1BC1" w:rsidP="00AF1BC1">
      <w:pPr>
        <w:tabs>
          <w:tab w:val="left" w:pos="432"/>
        </w:tabs>
        <w:spacing w:before="180"/>
        <w:outlineLvl w:val="0"/>
        <w:rPr>
          <w:rFonts w:ascii="Monotype Corsiva" w:hAnsi="Monotype Corsiva"/>
          <w:kern w:val="28"/>
          <w:sz w:val="36"/>
          <w:szCs w:val="36"/>
        </w:rPr>
      </w:pPr>
      <w:r w:rsidRPr="000C4D7A">
        <w:rPr>
          <w:rFonts w:ascii="Monotype Corsiva" w:hAnsi="Monotype Corsiva"/>
          <w:kern w:val="28"/>
          <w:sz w:val="36"/>
          <w:szCs w:val="36"/>
        </w:rPr>
        <w:t xml:space="preserve">Mr A Spencer-Peet </w:t>
      </w:r>
    </w:p>
    <w:p w14:paraId="1E7B68F0" w14:textId="152773CA" w:rsidR="00401135" w:rsidRDefault="00AF1BC1" w:rsidP="00AF1BC1">
      <w:pPr>
        <w:pStyle w:val="Style1"/>
        <w:numPr>
          <w:ilvl w:val="0"/>
          <w:numId w:val="0"/>
        </w:numPr>
        <w:ind w:left="431" w:hanging="431"/>
        <w:rPr>
          <w:color w:val="auto"/>
        </w:rPr>
      </w:pPr>
      <w:r w:rsidRPr="000C4D7A">
        <w:rPr>
          <w:color w:val="auto"/>
        </w:rPr>
        <w:t>INSPECTOR</w:t>
      </w:r>
    </w:p>
    <w:p w14:paraId="2591D584" w14:textId="2C6DB4A8" w:rsidR="0012433B" w:rsidRPr="001C2E52" w:rsidRDefault="0012433B" w:rsidP="00AF1BC1">
      <w:pPr>
        <w:pStyle w:val="Style1"/>
        <w:numPr>
          <w:ilvl w:val="0"/>
          <w:numId w:val="0"/>
        </w:numPr>
        <w:ind w:left="431" w:hanging="431"/>
        <w:rPr>
          <w:color w:val="auto"/>
        </w:rPr>
      </w:pPr>
      <w:r>
        <w:rPr>
          <w:noProof/>
        </w:rPr>
        <w:lastRenderedPageBreak/>
        <w:drawing>
          <wp:inline distT="0" distB="0" distL="0" distR="0" wp14:anchorId="14C12238" wp14:editId="0AABC789">
            <wp:extent cx="5908040" cy="8355965"/>
            <wp:effectExtent l="0" t="0" r="0" b="6985"/>
            <wp:docPr id="5" name="Picture 5"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sectPr w:rsidR="0012433B" w:rsidRPr="001C2E52" w:rsidSect="00E674DD">
      <w:headerReference w:type="default" r:id="rId11"/>
      <w:footerReference w:type="even" r:id="rId12"/>
      <w:footerReference w:type="default" r:id="rId13"/>
      <w:headerReference w:type="first" r:id="rId14"/>
      <w:footerReference w:type="first" r:id="rId15"/>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3B07E" w14:textId="77777777" w:rsidR="004F48CE" w:rsidRDefault="004F48CE" w:rsidP="00F62916">
      <w:r>
        <w:separator/>
      </w:r>
    </w:p>
  </w:endnote>
  <w:endnote w:type="continuationSeparator" w:id="0">
    <w:p w14:paraId="32B39193" w14:textId="77777777" w:rsidR="004F48CE" w:rsidRDefault="004F48CE"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5704A"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91AA9C"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ECD8"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77C60B36" wp14:editId="718F81C9">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714B3"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717001B8" w14:textId="77777777" w:rsidR="00366F95" w:rsidRPr="00E45340" w:rsidRDefault="009111F8"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6D14" w14:textId="77777777" w:rsidR="00366F95" w:rsidRDefault="00366F95" w:rsidP="000A7A0D">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07115CBB" wp14:editId="29730178">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E2719"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4733885C" w14:textId="77777777" w:rsidR="00366F95" w:rsidRPr="00451EE4" w:rsidRDefault="009111F8">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C59FA" w14:textId="77777777" w:rsidR="004F48CE" w:rsidRDefault="004F48CE" w:rsidP="00F62916">
      <w:r>
        <w:separator/>
      </w:r>
    </w:p>
  </w:footnote>
  <w:footnote w:type="continuationSeparator" w:id="0">
    <w:p w14:paraId="4A599FE5" w14:textId="77777777" w:rsidR="004F48CE" w:rsidRDefault="004F48CE" w:rsidP="00F62916">
      <w:r>
        <w:continuationSeparator/>
      </w:r>
    </w:p>
  </w:footnote>
  <w:footnote w:id="1">
    <w:p w14:paraId="61D32E6B" w14:textId="1B59C950" w:rsidR="00266018" w:rsidRDefault="00266018">
      <w:pPr>
        <w:pStyle w:val="FootnoteText"/>
      </w:pPr>
      <w:r>
        <w:rPr>
          <w:rStyle w:val="FootnoteReference"/>
        </w:rPr>
        <w:footnoteRef/>
      </w:r>
      <w:r>
        <w:t xml:space="preserve"> Trevelyan v Secretary </w:t>
      </w:r>
      <w:r w:rsidR="009B6BBE">
        <w:t xml:space="preserve">of State for Environment, </w:t>
      </w:r>
      <w:proofErr w:type="gramStart"/>
      <w:r w:rsidR="009B6BBE">
        <w:t>Transport</w:t>
      </w:r>
      <w:proofErr w:type="gramEnd"/>
      <w:r w:rsidR="009B6BBE">
        <w:t xml:space="preserve"> and the Regions [2001] EWCA </w:t>
      </w:r>
      <w:proofErr w:type="spellStart"/>
      <w:r w:rsidR="009B6BBE">
        <w:t>Civ</w:t>
      </w:r>
      <w:proofErr w:type="spellEnd"/>
      <w:r w:rsidR="009B6BBE">
        <w:t xml:space="preserve"> 266 </w:t>
      </w:r>
    </w:p>
  </w:footnote>
  <w:footnote w:id="2">
    <w:p w14:paraId="6B97E8F7" w14:textId="77777777" w:rsidR="00F86540" w:rsidRDefault="00F86540" w:rsidP="00F86540">
      <w:pPr>
        <w:pStyle w:val="FootnoteText"/>
      </w:pPr>
      <w:r>
        <w:rPr>
          <w:rStyle w:val="FootnoteReference"/>
        </w:rPr>
        <w:footnoteRef/>
      </w:r>
      <w:r>
        <w:t xml:space="preserve"> [2005] EWHC 119 (Admin)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46D5CA2B" w14:textId="77777777">
      <w:tc>
        <w:tcPr>
          <w:tcW w:w="9520" w:type="dxa"/>
        </w:tcPr>
        <w:p w14:paraId="21CCBF5B" w14:textId="3CC59829" w:rsidR="00366F95" w:rsidRDefault="000A7A0D">
          <w:pPr>
            <w:pStyle w:val="Footer"/>
          </w:pPr>
          <w:r>
            <w:t>Order Decision FPS/X2600/14A/6</w:t>
          </w:r>
        </w:p>
      </w:tc>
    </w:tr>
  </w:tbl>
  <w:p w14:paraId="12B9B1BC"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0F1D9A5A" wp14:editId="6EC408B9">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B8CF8"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BC67"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4D64556"/>
    <w:multiLevelType w:val="hybridMultilevel"/>
    <w:tmpl w:val="4E1033C8"/>
    <w:lvl w:ilvl="0" w:tplc="08090001">
      <w:start w:val="1"/>
      <w:numFmt w:val="bullet"/>
      <w:lvlText w:val=""/>
      <w:lvlJc w:val="left"/>
      <w:pPr>
        <w:ind w:left="1310" w:hanging="360"/>
      </w:pPr>
      <w:rPr>
        <w:rFonts w:ascii="Symbol" w:hAnsi="Symbol" w:hint="default"/>
      </w:rPr>
    </w:lvl>
    <w:lvl w:ilvl="1" w:tplc="08090003" w:tentative="1">
      <w:start w:val="1"/>
      <w:numFmt w:val="bullet"/>
      <w:lvlText w:val="o"/>
      <w:lvlJc w:val="left"/>
      <w:pPr>
        <w:ind w:left="2030" w:hanging="360"/>
      </w:pPr>
      <w:rPr>
        <w:rFonts w:ascii="Courier New" w:hAnsi="Courier New" w:cs="Courier New" w:hint="default"/>
      </w:rPr>
    </w:lvl>
    <w:lvl w:ilvl="2" w:tplc="08090005" w:tentative="1">
      <w:start w:val="1"/>
      <w:numFmt w:val="bullet"/>
      <w:lvlText w:val=""/>
      <w:lvlJc w:val="left"/>
      <w:pPr>
        <w:ind w:left="2750" w:hanging="360"/>
      </w:pPr>
      <w:rPr>
        <w:rFonts w:ascii="Wingdings" w:hAnsi="Wingdings" w:hint="default"/>
      </w:rPr>
    </w:lvl>
    <w:lvl w:ilvl="3" w:tplc="08090001" w:tentative="1">
      <w:start w:val="1"/>
      <w:numFmt w:val="bullet"/>
      <w:lvlText w:val=""/>
      <w:lvlJc w:val="left"/>
      <w:pPr>
        <w:ind w:left="3470" w:hanging="360"/>
      </w:pPr>
      <w:rPr>
        <w:rFonts w:ascii="Symbol" w:hAnsi="Symbol" w:hint="default"/>
      </w:rPr>
    </w:lvl>
    <w:lvl w:ilvl="4" w:tplc="08090003" w:tentative="1">
      <w:start w:val="1"/>
      <w:numFmt w:val="bullet"/>
      <w:lvlText w:val="o"/>
      <w:lvlJc w:val="left"/>
      <w:pPr>
        <w:ind w:left="4190" w:hanging="360"/>
      </w:pPr>
      <w:rPr>
        <w:rFonts w:ascii="Courier New" w:hAnsi="Courier New" w:cs="Courier New" w:hint="default"/>
      </w:rPr>
    </w:lvl>
    <w:lvl w:ilvl="5" w:tplc="08090005" w:tentative="1">
      <w:start w:val="1"/>
      <w:numFmt w:val="bullet"/>
      <w:lvlText w:val=""/>
      <w:lvlJc w:val="left"/>
      <w:pPr>
        <w:ind w:left="4910" w:hanging="360"/>
      </w:pPr>
      <w:rPr>
        <w:rFonts w:ascii="Wingdings" w:hAnsi="Wingdings" w:hint="default"/>
      </w:rPr>
    </w:lvl>
    <w:lvl w:ilvl="6" w:tplc="08090001" w:tentative="1">
      <w:start w:val="1"/>
      <w:numFmt w:val="bullet"/>
      <w:lvlText w:val=""/>
      <w:lvlJc w:val="left"/>
      <w:pPr>
        <w:ind w:left="5630" w:hanging="360"/>
      </w:pPr>
      <w:rPr>
        <w:rFonts w:ascii="Symbol" w:hAnsi="Symbol" w:hint="default"/>
      </w:rPr>
    </w:lvl>
    <w:lvl w:ilvl="7" w:tplc="08090003" w:tentative="1">
      <w:start w:val="1"/>
      <w:numFmt w:val="bullet"/>
      <w:lvlText w:val="o"/>
      <w:lvlJc w:val="left"/>
      <w:pPr>
        <w:ind w:left="6350" w:hanging="360"/>
      </w:pPr>
      <w:rPr>
        <w:rFonts w:ascii="Courier New" w:hAnsi="Courier New" w:cs="Courier New" w:hint="default"/>
      </w:rPr>
    </w:lvl>
    <w:lvl w:ilvl="8" w:tplc="08090005" w:tentative="1">
      <w:start w:val="1"/>
      <w:numFmt w:val="bullet"/>
      <w:lvlText w:val=""/>
      <w:lvlJc w:val="left"/>
      <w:pPr>
        <w:ind w:left="7070" w:hanging="360"/>
      </w:pPr>
      <w:rPr>
        <w:rFonts w:ascii="Wingdings" w:hAnsi="Wingdings" w:hint="default"/>
      </w:rPr>
    </w:lvl>
  </w:abstractNum>
  <w:abstractNum w:abstractNumId="2" w15:restartNumberingAfterBreak="0">
    <w:nsid w:val="07700615"/>
    <w:multiLevelType w:val="multilevel"/>
    <w:tmpl w:val="A22611FC"/>
    <w:numStyleLink w:val="ConditionsList"/>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7"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9" w15:restartNumberingAfterBreak="0">
    <w:nsid w:val="65B7639F"/>
    <w:multiLevelType w:val="multilevel"/>
    <w:tmpl w:val="A22611FC"/>
    <w:numStyleLink w:val="ConditionsList"/>
  </w:abstractNum>
  <w:abstractNum w:abstractNumId="20"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1"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8"/>
  </w:num>
  <w:num w:numId="3">
    <w:abstractNumId w:val="20"/>
  </w:num>
  <w:num w:numId="4">
    <w:abstractNumId w:val="0"/>
  </w:num>
  <w:num w:numId="5">
    <w:abstractNumId w:val="9"/>
  </w:num>
  <w:num w:numId="6">
    <w:abstractNumId w:val="17"/>
  </w:num>
  <w:num w:numId="7">
    <w:abstractNumId w:val="21"/>
  </w:num>
  <w:num w:numId="8">
    <w:abstractNumId w:val="16"/>
  </w:num>
  <w:num w:numId="9">
    <w:abstractNumId w:val="4"/>
  </w:num>
  <w:num w:numId="10">
    <w:abstractNumId w:val="5"/>
  </w:num>
  <w:num w:numId="11">
    <w:abstractNumId w:val="12"/>
  </w:num>
  <w:num w:numId="12">
    <w:abstractNumId w:val="13"/>
  </w:num>
  <w:num w:numId="13">
    <w:abstractNumId w:val="8"/>
  </w:num>
  <w:num w:numId="14">
    <w:abstractNumId w:val="11"/>
  </w:num>
  <w:num w:numId="15">
    <w:abstractNumId w:val="14"/>
  </w:num>
  <w:num w:numId="16">
    <w:abstractNumId w:val="2"/>
  </w:num>
  <w:num w:numId="17">
    <w:abstractNumId w:val="15"/>
  </w:num>
  <w:num w:numId="18">
    <w:abstractNumId w:val="6"/>
  </w:num>
  <w:num w:numId="19">
    <w:abstractNumId w:val="3"/>
  </w:num>
  <w:num w:numId="20">
    <w:abstractNumId w:val="7"/>
  </w:num>
  <w:num w:numId="21">
    <w:abstractNumId w:val="10"/>
  </w:num>
  <w:num w:numId="22">
    <w:abstractNumId w:val="10"/>
  </w:num>
  <w:num w:numId="23">
    <w:abstractNumId w:val="19"/>
  </w:num>
  <w:num w:numId="2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0A7A0D"/>
    <w:rsid w:val="0000335F"/>
    <w:rsid w:val="000040F9"/>
    <w:rsid w:val="00011D77"/>
    <w:rsid w:val="00015822"/>
    <w:rsid w:val="00017B0A"/>
    <w:rsid w:val="00024500"/>
    <w:rsid w:val="000247B2"/>
    <w:rsid w:val="00033DA7"/>
    <w:rsid w:val="00033DC0"/>
    <w:rsid w:val="0003442C"/>
    <w:rsid w:val="00043F48"/>
    <w:rsid w:val="00046145"/>
    <w:rsid w:val="0004625F"/>
    <w:rsid w:val="00051673"/>
    <w:rsid w:val="00052886"/>
    <w:rsid w:val="00053135"/>
    <w:rsid w:val="00062098"/>
    <w:rsid w:val="00063D3E"/>
    <w:rsid w:val="0006403F"/>
    <w:rsid w:val="00072DB9"/>
    <w:rsid w:val="00075550"/>
    <w:rsid w:val="00077358"/>
    <w:rsid w:val="00080DDA"/>
    <w:rsid w:val="000820AA"/>
    <w:rsid w:val="00087477"/>
    <w:rsid w:val="00087DEC"/>
    <w:rsid w:val="00093D8C"/>
    <w:rsid w:val="00094A44"/>
    <w:rsid w:val="000952C6"/>
    <w:rsid w:val="0009667A"/>
    <w:rsid w:val="00097595"/>
    <w:rsid w:val="000A4AEB"/>
    <w:rsid w:val="000A5521"/>
    <w:rsid w:val="000A64AE"/>
    <w:rsid w:val="000A78B9"/>
    <w:rsid w:val="000A7A0D"/>
    <w:rsid w:val="000B02BC"/>
    <w:rsid w:val="000B0351"/>
    <w:rsid w:val="000B0589"/>
    <w:rsid w:val="000C2D33"/>
    <w:rsid w:val="000C3F13"/>
    <w:rsid w:val="000C5098"/>
    <w:rsid w:val="000C698E"/>
    <w:rsid w:val="000D0673"/>
    <w:rsid w:val="000D272C"/>
    <w:rsid w:val="000D2C32"/>
    <w:rsid w:val="000D2E10"/>
    <w:rsid w:val="000E0776"/>
    <w:rsid w:val="000E57C1"/>
    <w:rsid w:val="000E5A97"/>
    <w:rsid w:val="000E735C"/>
    <w:rsid w:val="000F1582"/>
    <w:rsid w:val="000F16F4"/>
    <w:rsid w:val="000F18E0"/>
    <w:rsid w:val="000F6EC2"/>
    <w:rsid w:val="000F7495"/>
    <w:rsid w:val="001000CB"/>
    <w:rsid w:val="00100246"/>
    <w:rsid w:val="00102758"/>
    <w:rsid w:val="00104D93"/>
    <w:rsid w:val="0011251E"/>
    <w:rsid w:val="0011627D"/>
    <w:rsid w:val="0012433B"/>
    <w:rsid w:val="00126733"/>
    <w:rsid w:val="0013187C"/>
    <w:rsid w:val="00135C42"/>
    <w:rsid w:val="0014392B"/>
    <w:rsid w:val="001440C3"/>
    <w:rsid w:val="00151E39"/>
    <w:rsid w:val="00152C92"/>
    <w:rsid w:val="0016189D"/>
    <w:rsid w:val="00161B5C"/>
    <w:rsid w:val="00173CE2"/>
    <w:rsid w:val="0017433A"/>
    <w:rsid w:val="00174FCC"/>
    <w:rsid w:val="00176AFC"/>
    <w:rsid w:val="00185943"/>
    <w:rsid w:val="001903CF"/>
    <w:rsid w:val="0019168F"/>
    <w:rsid w:val="00197B5B"/>
    <w:rsid w:val="001A2BA4"/>
    <w:rsid w:val="001A6F15"/>
    <w:rsid w:val="001A7F8D"/>
    <w:rsid w:val="001B0C88"/>
    <w:rsid w:val="001B1E6E"/>
    <w:rsid w:val="001B37BF"/>
    <w:rsid w:val="001B68ED"/>
    <w:rsid w:val="001C2E52"/>
    <w:rsid w:val="001C65FB"/>
    <w:rsid w:val="001C7E52"/>
    <w:rsid w:val="001D1767"/>
    <w:rsid w:val="001D2174"/>
    <w:rsid w:val="001D5687"/>
    <w:rsid w:val="001E2731"/>
    <w:rsid w:val="001F0D66"/>
    <w:rsid w:val="001F3927"/>
    <w:rsid w:val="001F5990"/>
    <w:rsid w:val="001F667F"/>
    <w:rsid w:val="001F7BEF"/>
    <w:rsid w:val="00206979"/>
    <w:rsid w:val="00207816"/>
    <w:rsid w:val="00212C8F"/>
    <w:rsid w:val="0021524C"/>
    <w:rsid w:val="002167E4"/>
    <w:rsid w:val="00220118"/>
    <w:rsid w:val="00220579"/>
    <w:rsid w:val="0023016D"/>
    <w:rsid w:val="0023455A"/>
    <w:rsid w:val="00235B6D"/>
    <w:rsid w:val="00236B66"/>
    <w:rsid w:val="002418D2"/>
    <w:rsid w:val="00242A5E"/>
    <w:rsid w:val="00242B65"/>
    <w:rsid w:val="00244132"/>
    <w:rsid w:val="00245997"/>
    <w:rsid w:val="0025082F"/>
    <w:rsid w:val="002527E8"/>
    <w:rsid w:val="00253BAE"/>
    <w:rsid w:val="00256A97"/>
    <w:rsid w:val="002652F9"/>
    <w:rsid w:val="00266018"/>
    <w:rsid w:val="00272119"/>
    <w:rsid w:val="002819AB"/>
    <w:rsid w:val="002958D9"/>
    <w:rsid w:val="00295D53"/>
    <w:rsid w:val="002A1C19"/>
    <w:rsid w:val="002A261C"/>
    <w:rsid w:val="002A423A"/>
    <w:rsid w:val="002B0132"/>
    <w:rsid w:val="002B5A3A"/>
    <w:rsid w:val="002B7E41"/>
    <w:rsid w:val="002C068A"/>
    <w:rsid w:val="002C2524"/>
    <w:rsid w:val="002C3B19"/>
    <w:rsid w:val="002C7618"/>
    <w:rsid w:val="002C77A1"/>
    <w:rsid w:val="002D23C2"/>
    <w:rsid w:val="002D5A7C"/>
    <w:rsid w:val="002F3E6B"/>
    <w:rsid w:val="002F67F8"/>
    <w:rsid w:val="00303CA5"/>
    <w:rsid w:val="0030500E"/>
    <w:rsid w:val="003206FD"/>
    <w:rsid w:val="00323C35"/>
    <w:rsid w:val="0032568B"/>
    <w:rsid w:val="00330205"/>
    <w:rsid w:val="00335F44"/>
    <w:rsid w:val="003371A4"/>
    <w:rsid w:val="0034231A"/>
    <w:rsid w:val="00343A1F"/>
    <w:rsid w:val="00344294"/>
    <w:rsid w:val="00344CD1"/>
    <w:rsid w:val="003460FE"/>
    <w:rsid w:val="00350693"/>
    <w:rsid w:val="0035374D"/>
    <w:rsid w:val="003548DD"/>
    <w:rsid w:val="0035536B"/>
    <w:rsid w:val="00355FCC"/>
    <w:rsid w:val="00356281"/>
    <w:rsid w:val="00360664"/>
    <w:rsid w:val="00361890"/>
    <w:rsid w:val="00362CE8"/>
    <w:rsid w:val="00363360"/>
    <w:rsid w:val="00364E17"/>
    <w:rsid w:val="00365CE0"/>
    <w:rsid w:val="0036641D"/>
    <w:rsid w:val="00366F95"/>
    <w:rsid w:val="00367FA0"/>
    <w:rsid w:val="00371D29"/>
    <w:rsid w:val="003753FE"/>
    <w:rsid w:val="003941CF"/>
    <w:rsid w:val="003A3ED7"/>
    <w:rsid w:val="003A46EA"/>
    <w:rsid w:val="003B2FE6"/>
    <w:rsid w:val="003C3A8F"/>
    <w:rsid w:val="003C3CAF"/>
    <w:rsid w:val="003C4FCF"/>
    <w:rsid w:val="003C6F8B"/>
    <w:rsid w:val="003D1D4A"/>
    <w:rsid w:val="003D2AB5"/>
    <w:rsid w:val="003D3715"/>
    <w:rsid w:val="003E1D80"/>
    <w:rsid w:val="003E325D"/>
    <w:rsid w:val="003E3566"/>
    <w:rsid w:val="003E4B4C"/>
    <w:rsid w:val="003E54CC"/>
    <w:rsid w:val="003E657A"/>
    <w:rsid w:val="003F3533"/>
    <w:rsid w:val="003F7DFB"/>
    <w:rsid w:val="00401135"/>
    <w:rsid w:val="004029F3"/>
    <w:rsid w:val="00403E54"/>
    <w:rsid w:val="00412F89"/>
    <w:rsid w:val="0041432B"/>
    <w:rsid w:val="004156F0"/>
    <w:rsid w:val="0042174A"/>
    <w:rsid w:val="00422B80"/>
    <w:rsid w:val="004266FE"/>
    <w:rsid w:val="00432D76"/>
    <w:rsid w:val="004330F8"/>
    <w:rsid w:val="00434739"/>
    <w:rsid w:val="00442D0F"/>
    <w:rsid w:val="0044451C"/>
    <w:rsid w:val="00447235"/>
    <w:rsid w:val="004474DE"/>
    <w:rsid w:val="00451EE4"/>
    <w:rsid w:val="004522C1"/>
    <w:rsid w:val="00453E15"/>
    <w:rsid w:val="00455940"/>
    <w:rsid w:val="00457A4A"/>
    <w:rsid w:val="00465688"/>
    <w:rsid w:val="004670DA"/>
    <w:rsid w:val="0046749B"/>
    <w:rsid w:val="0047718B"/>
    <w:rsid w:val="0048041A"/>
    <w:rsid w:val="00483D15"/>
    <w:rsid w:val="00486A49"/>
    <w:rsid w:val="0049639E"/>
    <w:rsid w:val="004976CF"/>
    <w:rsid w:val="004A09A7"/>
    <w:rsid w:val="004A267F"/>
    <w:rsid w:val="004A2E94"/>
    <w:rsid w:val="004A2EB8"/>
    <w:rsid w:val="004B4AA2"/>
    <w:rsid w:val="004B6306"/>
    <w:rsid w:val="004C017A"/>
    <w:rsid w:val="004C07CB"/>
    <w:rsid w:val="004C0AFB"/>
    <w:rsid w:val="004C4330"/>
    <w:rsid w:val="004C6D2E"/>
    <w:rsid w:val="004D03CE"/>
    <w:rsid w:val="004D3E6F"/>
    <w:rsid w:val="004D72AD"/>
    <w:rsid w:val="004E04E0"/>
    <w:rsid w:val="004E0620"/>
    <w:rsid w:val="004E17CB"/>
    <w:rsid w:val="004E6091"/>
    <w:rsid w:val="004F274A"/>
    <w:rsid w:val="004F48CE"/>
    <w:rsid w:val="00500CCC"/>
    <w:rsid w:val="00501870"/>
    <w:rsid w:val="00504AC4"/>
    <w:rsid w:val="00506851"/>
    <w:rsid w:val="0051067A"/>
    <w:rsid w:val="00511C31"/>
    <w:rsid w:val="00511E62"/>
    <w:rsid w:val="00512BD9"/>
    <w:rsid w:val="0052347F"/>
    <w:rsid w:val="00523706"/>
    <w:rsid w:val="005240BF"/>
    <w:rsid w:val="00524BA0"/>
    <w:rsid w:val="00541734"/>
    <w:rsid w:val="00542B4C"/>
    <w:rsid w:val="005442A5"/>
    <w:rsid w:val="0054577A"/>
    <w:rsid w:val="00550E83"/>
    <w:rsid w:val="00561E69"/>
    <w:rsid w:val="00562DD1"/>
    <w:rsid w:val="00565165"/>
    <w:rsid w:val="0056634F"/>
    <w:rsid w:val="0057098A"/>
    <w:rsid w:val="005718AF"/>
    <w:rsid w:val="00571B58"/>
    <w:rsid w:val="00571FD4"/>
    <w:rsid w:val="00572879"/>
    <w:rsid w:val="0057349A"/>
    <w:rsid w:val="0057471E"/>
    <w:rsid w:val="005751AF"/>
    <w:rsid w:val="005759D1"/>
    <w:rsid w:val="0057782A"/>
    <w:rsid w:val="005838F1"/>
    <w:rsid w:val="00583974"/>
    <w:rsid w:val="005850C3"/>
    <w:rsid w:val="0058565B"/>
    <w:rsid w:val="00591235"/>
    <w:rsid w:val="005957BF"/>
    <w:rsid w:val="00596DCD"/>
    <w:rsid w:val="005A077E"/>
    <w:rsid w:val="005A0799"/>
    <w:rsid w:val="005A0DD7"/>
    <w:rsid w:val="005A377C"/>
    <w:rsid w:val="005A3A64"/>
    <w:rsid w:val="005A4E37"/>
    <w:rsid w:val="005A7AB7"/>
    <w:rsid w:val="005B066A"/>
    <w:rsid w:val="005B43B2"/>
    <w:rsid w:val="005B6519"/>
    <w:rsid w:val="005C7012"/>
    <w:rsid w:val="005D1BBA"/>
    <w:rsid w:val="005D739E"/>
    <w:rsid w:val="005E34E1"/>
    <w:rsid w:val="005E34FF"/>
    <w:rsid w:val="005E3542"/>
    <w:rsid w:val="005E3C4B"/>
    <w:rsid w:val="005E509B"/>
    <w:rsid w:val="005E52F9"/>
    <w:rsid w:val="005E6609"/>
    <w:rsid w:val="005F019E"/>
    <w:rsid w:val="005F1261"/>
    <w:rsid w:val="005F4712"/>
    <w:rsid w:val="00602315"/>
    <w:rsid w:val="006052EF"/>
    <w:rsid w:val="006127F0"/>
    <w:rsid w:val="00614E46"/>
    <w:rsid w:val="00615462"/>
    <w:rsid w:val="0061562E"/>
    <w:rsid w:val="00615E91"/>
    <w:rsid w:val="006319E6"/>
    <w:rsid w:val="0063373D"/>
    <w:rsid w:val="00635460"/>
    <w:rsid w:val="00643FE6"/>
    <w:rsid w:val="00644514"/>
    <w:rsid w:val="00646532"/>
    <w:rsid w:val="00646728"/>
    <w:rsid w:val="006509B9"/>
    <w:rsid w:val="00651946"/>
    <w:rsid w:val="00653121"/>
    <w:rsid w:val="0065719B"/>
    <w:rsid w:val="00660414"/>
    <w:rsid w:val="006611B9"/>
    <w:rsid w:val="0066322F"/>
    <w:rsid w:val="0066781F"/>
    <w:rsid w:val="00675BFA"/>
    <w:rsid w:val="00681108"/>
    <w:rsid w:val="00683417"/>
    <w:rsid w:val="00685A46"/>
    <w:rsid w:val="0069559D"/>
    <w:rsid w:val="00696368"/>
    <w:rsid w:val="006A0212"/>
    <w:rsid w:val="006A1B0E"/>
    <w:rsid w:val="006A312B"/>
    <w:rsid w:val="006A4337"/>
    <w:rsid w:val="006A5BB3"/>
    <w:rsid w:val="006A7B8B"/>
    <w:rsid w:val="006B7B6B"/>
    <w:rsid w:val="006C0FD4"/>
    <w:rsid w:val="006C4C25"/>
    <w:rsid w:val="006C6D1A"/>
    <w:rsid w:val="006C7B64"/>
    <w:rsid w:val="006D2842"/>
    <w:rsid w:val="006D5133"/>
    <w:rsid w:val="006E037C"/>
    <w:rsid w:val="006F16D9"/>
    <w:rsid w:val="006F6496"/>
    <w:rsid w:val="00703F7A"/>
    <w:rsid w:val="00704126"/>
    <w:rsid w:val="007103CE"/>
    <w:rsid w:val="0071604A"/>
    <w:rsid w:val="007316AD"/>
    <w:rsid w:val="00732818"/>
    <w:rsid w:val="00742599"/>
    <w:rsid w:val="00745CAC"/>
    <w:rsid w:val="007548DA"/>
    <w:rsid w:val="00757D24"/>
    <w:rsid w:val="0076410A"/>
    <w:rsid w:val="00774997"/>
    <w:rsid w:val="00780B31"/>
    <w:rsid w:val="00785862"/>
    <w:rsid w:val="0078622B"/>
    <w:rsid w:val="007913BE"/>
    <w:rsid w:val="00794888"/>
    <w:rsid w:val="007A0537"/>
    <w:rsid w:val="007A06BE"/>
    <w:rsid w:val="007A41AB"/>
    <w:rsid w:val="007A5FF4"/>
    <w:rsid w:val="007A70D7"/>
    <w:rsid w:val="007A771B"/>
    <w:rsid w:val="007B45D2"/>
    <w:rsid w:val="007B4C9B"/>
    <w:rsid w:val="007B6D44"/>
    <w:rsid w:val="007B7B59"/>
    <w:rsid w:val="007C1DBC"/>
    <w:rsid w:val="007C1FAF"/>
    <w:rsid w:val="007C3F76"/>
    <w:rsid w:val="007D0582"/>
    <w:rsid w:val="007D12BF"/>
    <w:rsid w:val="007D3C52"/>
    <w:rsid w:val="007D41EA"/>
    <w:rsid w:val="007D61D8"/>
    <w:rsid w:val="007D65B4"/>
    <w:rsid w:val="007E10EC"/>
    <w:rsid w:val="007E583E"/>
    <w:rsid w:val="007E6439"/>
    <w:rsid w:val="007F1352"/>
    <w:rsid w:val="007F3F10"/>
    <w:rsid w:val="007F59EB"/>
    <w:rsid w:val="007F6D4C"/>
    <w:rsid w:val="00800F81"/>
    <w:rsid w:val="00806133"/>
    <w:rsid w:val="00806F2A"/>
    <w:rsid w:val="008124C5"/>
    <w:rsid w:val="00813C7C"/>
    <w:rsid w:val="008248D5"/>
    <w:rsid w:val="00827937"/>
    <w:rsid w:val="0083171F"/>
    <w:rsid w:val="008324F9"/>
    <w:rsid w:val="00834368"/>
    <w:rsid w:val="0083541A"/>
    <w:rsid w:val="008411A4"/>
    <w:rsid w:val="00842618"/>
    <w:rsid w:val="008468E5"/>
    <w:rsid w:val="00850331"/>
    <w:rsid w:val="008531FB"/>
    <w:rsid w:val="00854B10"/>
    <w:rsid w:val="00864FA7"/>
    <w:rsid w:val="00867724"/>
    <w:rsid w:val="00867E4E"/>
    <w:rsid w:val="008772DD"/>
    <w:rsid w:val="0087773C"/>
    <w:rsid w:val="00880DF6"/>
    <w:rsid w:val="00882B66"/>
    <w:rsid w:val="00885458"/>
    <w:rsid w:val="00890CEB"/>
    <w:rsid w:val="00891B63"/>
    <w:rsid w:val="008943FB"/>
    <w:rsid w:val="008944E4"/>
    <w:rsid w:val="008A0041"/>
    <w:rsid w:val="008A03E3"/>
    <w:rsid w:val="008A3129"/>
    <w:rsid w:val="008B0ADC"/>
    <w:rsid w:val="008B1D5C"/>
    <w:rsid w:val="008B265C"/>
    <w:rsid w:val="008C61A0"/>
    <w:rsid w:val="008C6FA3"/>
    <w:rsid w:val="008D6D0B"/>
    <w:rsid w:val="008D7BB4"/>
    <w:rsid w:val="008E359C"/>
    <w:rsid w:val="008E6E84"/>
    <w:rsid w:val="008F1E70"/>
    <w:rsid w:val="008F711D"/>
    <w:rsid w:val="00901334"/>
    <w:rsid w:val="00902F83"/>
    <w:rsid w:val="009111F8"/>
    <w:rsid w:val="00911576"/>
    <w:rsid w:val="009124CE"/>
    <w:rsid w:val="00912940"/>
    <w:rsid w:val="00912954"/>
    <w:rsid w:val="00916A87"/>
    <w:rsid w:val="00920494"/>
    <w:rsid w:val="00921254"/>
    <w:rsid w:val="00921F34"/>
    <w:rsid w:val="00922698"/>
    <w:rsid w:val="0092304C"/>
    <w:rsid w:val="00923F06"/>
    <w:rsid w:val="009243D2"/>
    <w:rsid w:val="0092562E"/>
    <w:rsid w:val="009277E6"/>
    <w:rsid w:val="009310AF"/>
    <w:rsid w:val="00933DC5"/>
    <w:rsid w:val="00934F3F"/>
    <w:rsid w:val="00937060"/>
    <w:rsid w:val="009411A9"/>
    <w:rsid w:val="00947C6D"/>
    <w:rsid w:val="00953BCB"/>
    <w:rsid w:val="00953D8D"/>
    <w:rsid w:val="00957DA1"/>
    <w:rsid w:val="00960B10"/>
    <w:rsid w:val="00961A53"/>
    <w:rsid w:val="00962673"/>
    <w:rsid w:val="00962C7D"/>
    <w:rsid w:val="00966FAD"/>
    <w:rsid w:val="009722FC"/>
    <w:rsid w:val="00980EF2"/>
    <w:rsid w:val="00982A6B"/>
    <w:rsid w:val="009841DA"/>
    <w:rsid w:val="00984AC7"/>
    <w:rsid w:val="00986627"/>
    <w:rsid w:val="0098698B"/>
    <w:rsid w:val="009940F2"/>
    <w:rsid w:val="00994A8E"/>
    <w:rsid w:val="009A4978"/>
    <w:rsid w:val="009B3075"/>
    <w:rsid w:val="009B391D"/>
    <w:rsid w:val="009B67A0"/>
    <w:rsid w:val="009B6BBE"/>
    <w:rsid w:val="009B72ED"/>
    <w:rsid w:val="009B7BD4"/>
    <w:rsid w:val="009B7F3F"/>
    <w:rsid w:val="009C0CB6"/>
    <w:rsid w:val="009C1BA7"/>
    <w:rsid w:val="009C545C"/>
    <w:rsid w:val="009E1447"/>
    <w:rsid w:val="009E179D"/>
    <w:rsid w:val="009E3C69"/>
    <w:rsid w:val="009E4076"/>
    <w:rsid w:val="009E6FB7"/>
    <w:rsid w:val="00A00FCD"/>
    <w:rsid w:val="00A04C52"/>
    <w:rsid w:val="00A06D86"/>
    <w:rsid w:val="00A101CD"/>
    <w:rsid w:val="00A13A1A"/>
    <w:rsid w:val="00A20B8F"/>
    <w:rsid w:val="00A23FC7"/>
    <w:rsid w:val="00A2532E"/>
    <w:rsid w:val="00A25E17"/>
    <w:rsid w:val="00A30AEE"/>
    <w:rsid w:val="00A3477A"/>
    <w:rsid w:val="00A34A97"/>
    <w:rsid w:val="00A34B23"/>
    <w:rsid w:val="00A37B67"/>
    <w:rsid w:val="00A418A7"/>
    <w:rsid w:val="00A54410"/>
    <w:rsid w:val="00A5760C"/>
    <w:rsid w:val="00A60DB3"/>
    <w:rsid w:val="00A65058"/>
    <w:rsid w:val="00A67491"/>
    <w:rsid w:val="00A718F3"/>
    <w:rsid w:val="00A738B3"/>
    <w:rsid w:val="00A76DC1"/>
    <w:rsid w:val="00A811A8"/>
    <w:rsid w:val="00A83C2E"/>
    <w:rsid w:val="00A919D4"/>
    <w:rsid w:val="00A93B99"/>
    <w:rsid w:val="00AA029F"/>
    <w:rsid w:val="00AA0C08"/>
    <w:rsid w:val="00AA0EB1"/>
    <w:rsid w:val="00AA34CB"/>
    <w:rsid w:val="00AA3D42"/>
    <w:rsid w:val="00AB3312"/>
    <w:rsid w:val="00AB5E8B"/>
    <w:rsid w:val="00AB72CE"/>
    <w:rsid w:val="00AC79C5"/>
    <w:rsid w:val="00AD0E39"/>
    <w:rsid w:val="00AD234F"/>
    <w:rsid w:val="00AD2BAC"/>
    <w:rsid w:val="00AD2F56"/>
    <w:rsid w:val="00AD352B"/>
    <w:rsid w:val="00AD54E6"/>
    <w:rsid w:val="00AE2FAA"/>
    <w:rsid w:val="00AF10A3"/>
    <w:rsid w:val="00AF1BC1"/>
    <w:rsid w:val="00AF7B5F"/>
    <w:rsid w:val="00B00F3E"/>
    <w:rsid w:val="00B049F2"/>
    <w:rsid w:val="00B147AE"/>
    <w:rsid w:val="00B22AD1"/>
    <w:rsid w:val="00B26FE8"/>
    <w:rsid w:val="00B27DAD"/>
    <w:rsid w:val="00B32324"/>
    <w:rsid w:val="00B345C9"/>
    <w:rsid w:val="00B400C3"/>
    <w:rsid w:val="00B4379A"/>
    <w:rsid w:val="00B43E41"/>
    <w:rsid w:val="00B47D4C"/>
    <w:rsid w:val="00B50174"/>
    <w:rsid w:val="00B51D9F"/>
    <w:rsid w:val="00B56990"/>
    <w:rsid w:val="00B61133"/>
    <w:rsid w:val="00B61311"/>
    <w:rsid w:val="00B61A59"/>
    <w:rsid w:val="00B7142C"/>
    <w:rsid w:val="00B84A6B"/>
    <w:rsid w:val="00B8612D"/>
    <w:rsid w:val="00B8693C"/>
    <w:rsid w:val="00B86A5B"/>
    <w:rsid w:val="00B90AE8"/>
    <w:rsid w:val="00B915B1"/>
    <w:rsid w:val="00B92639"/>
    <w:rsid w:val="00B93702"/>
    <w:rsid w:val="00B956CE"/>
    <w:rsid w:val="00B960D9"/>
    <w:rsid w:val="00BA4632"/>
    <w:rsid w:val="00BB01C1"/>
    <w:rsid w:val="00BC0524"/>
    <w:rsid w:val="00BC18B2"/>
    <w:rsid w:val="00BC2702"/>
    <w:rsid w:val="00BC7408"/>
    <w:rsid w:val="00BD09CD"/>
    <w:rsid w:val="00BD7718"/>
    <w:rsid w:val="00BE5E37"/>
    <w:rsid w:val="00BE6377"/>
    <w:rsid w:val="00BF34D7"/>
    <w:rsid w:val="00C00E8A"/>
    <w:rsid w:val="00C05057"/>
    <w:rsid w:val="00C101CE"/>
    <w:rsid w:val="00C11BD0"/>
    <w:rsid w:val="00C21E76"/>
    <w:rsid w:val="00C25EF3"/>
    <w:rsid w:val="00C274BD"/>
    <w:rsid w:val="00C3447D"/>
    <w:rsid w:val="00C36797"/>
    <w:rsid w:val="00C40EA6"/>
    <w:rsid w:val="00C45D3E"/>
    <w:rsid w:val="00C5038B"/>
    <w:rsid w:val="00C50CF6"/>
    <w:rsid w:val="00C535B4"/>
    <w:rsid w:val="00C545B8"/>
    <w:rsid w:val="00C5588C"/>
    <w:rsid w:val="00C57B84"/>
    <w:rsid w:val="00C60A5A"/>
    <w:rsid w:val="00C61C3F"/>
    <w:rsid w:val="00C74873"/>
    <w:rsid w:val="00C8343C"/>
    <w:rsid w:val="00C857CB"/>
    <w:rsid w:val="00C8740F"/>
    <w:rsid w:val="00C87C12"/>
    <w:rsid w:val="00C915A8"/>
    <w:rsid w:val="00C922F4"/>
    <w:rsid w:val="00C93ED7"/>
    <w:rsid w:val="00C9473F"/>
    <w:rsid w:val="00C9795C"/>
    <w:rsid w:val="00CA4C34"/>
    <w:rsid w:val="00CB4EB5"/>
    <w:rsid w:val="00CC12FF"/>
    <w:rsid w:val="00CC50AC"/>
    <w:rsid w:val="00CD1EF5"/>
    <w:rsid w:val="00CD219E"/>
    <w:rsid w:val="00CE21C0"/>
    <w:rsid w:val="00CE43DE"/>
    <w:rsid w:val="00CE64A1"/>
    <w:rsid w:val="00CF137B"/>
    <w:rsid w:val="00CF2F3E"/>
    <w:rsid w:val="00CF6A73"/>
    <w:rsid w:val="00D008C1"/>
    <w:rsid w:val="00D02B48"/>
    <w:rsid w:val="00D0614C"/>
    <w:rsid w:val="00D076E0"/>
    <w:rsid w:val="00D1073F"/>
    <w:rsid w:val="00D1120A"/>
    <w:rsid w:val="00D125BE"/>
    <w:rsid w:val="00D131BE"/>
    <w:rsid w:val="00D1410D"/>
    <w:rsid w:val="00D14CA8"/>
    <w:rsid w:val="00D15668"/>
    <w:rsid w:val="00D1640E"/>
    <w:rsid w:val="00D16D41"/>
    <w:rsid w:val="00D17228"/>
    <w:rsid w:val="00D17F5F"/>
    <w:rsid w:val="00D21DA9"/>
    <w:rsid w:val="00D30599"/>
    <w:rsid w:val="00D30AD2"/>
    <w:rsid w:val="00D32070"/>
    <w:rsid w:val="00D354A3"/>
    <w:rsid w:val="00D37A11"/>
    <w:rsid w:val="00D40C74"/>
    <w:rsid w:val="00D423EB"/>
    <w:rsid w:val="00D51425"/>
    <w:rsid w:val="00D555DA"/>
    <w:rsid w:val="00D560AC"/>
    <w:rsid w:val="00D63516"/>
    <w:rsid w:val="00D713D1"/>
    <w:rsid w:val="00D7604C"/>
    <w:rsid w:val="00D76528"/>
    <w:rsid w:val="00D77C4F"/>
    <w:rsid w:val="00D831B2"/>
    <w:rsid w:val="00D85F78"/>
    <w:rsid w:val="00D92201"/>
    <w:rsid w:val="00D92420"/>
    <w:rsid w:val="00DA2621"/>
    <w:rsid w:val="00DB1128"/>
    <w:rsid w:val="00DB3E6E"/>
    <w:rsid w:val="00DB75C4"/>
    <w:rsid w:val="00DB7937"/>
    <w:rsid w:val="00DD0F21"/>
    <w:rsid w:val="00DD7FBE"/>
    <w:rsid w:val="00DE265F"/>
    <w:rsid w:val="00DE3A5A"/>
    <w:rsid w:val="00E00768"/>
    <w:rsid w:val="00E00AC4"/>
    <w:rsid w:val="00E04E74"/>
    <w:rsid w:val="00E06B61"/>
    <w:rsid w:val="00E11244"/>
    <w:rsid w:val="00E15353"/>
    <w:rsid w:val="00E16CAE"/>
    <w:rsid w:val="00E23EB4"/>
    <w:rsid w:val="00E25C1C"/>
    <w:rsid w:val="00E330A9"/>
    <w:rsid w:val="00E45340"/>
    <w:rsid w:val="00E515DB"/>
    <w:rsid w:val="00E51E2A"/>
    <w:rsid w:val="00E54F7C"/>
    <w:rsid w:val="00E55BFB"/>
    <w:rsid w:val="00E57419"/>
    <w:rsid w:val="00E674DD"/>
    <w:rsid w:val="00E67B22"/>
    <w:rsid w:val="00E73C4D"/>
    <w:rsid w:val="00E74E83"/>
    <w:rsid w:val="00E809AC"/>
    <w:rsid w:val="00E81323"/>
    <w:rsid w:val="00E82140"/>
    <w:rsid w:val="00E8218C"/>
    <w:rsid w:val="00E8459B"/>
    <w:rsid w:val="00E8528A"/>
    <w:rsid w:val="00E85E3D"/>
    <w:rsid w:val="00E91A56"/>
    <w:rsid w:val="00E93103"/>
    <w:rsid w:val="00E93357"/>
    <w:rsid w:val="00E974ED"/>
    <w:rsid w:val="00EA1D60"/>
    <w:rsid w:val="00EA406E"/>
    <w:rsid w:val="00EA43AC"/>
    <w:rsid w:val="00EA52D3"/>
    <w:rsid w:val="00EA6A26"/>
    <w:rsid w:val="00EA73CE"/>
    <w:rsid w:val="00EB1537"/>
    <w:rsid w:val="00EB2329"/>
    <w:rsid w:val="00EC6692"/>
    <w:rsid w:val="00ED043A"/>
    <w:rsid w:val="00ED3727"/>
    <w:rsid w:val="00ED3DDF"/>
    <w:rsid w:val="00ED3FF4"/>
    <w:rsid w:val="00ED50F4"/>
    <w:rsid w:val="00ED6EDF"/>
    <w:rsid w:val="00EE0E46"/>
    <w:rsid w:val="00EE1C1A"/>
    <w:rsid w:val="00EE2613"/>
    <w:rsid w:val="00EE26C5"/>
    <w:rsid w:val="00EE550A"/>
    <w:rsid w:val="00EE6B44"/>
    <w:rsid w:val="00EF1E98"/>
    <w:rsid w:val="00EF5820"/>
    <w:rsid w:val="00F1025A"/>
    <w:rsid w:val="00F12336"/>
    <w:rsid w:val="00F12D25"/>
    <w:rsid w:val="00F20998"/>
    <w:rsid w:val="00F2297F"/>
    <w:rsid w:val="00F24B41"/>
    <w:rsid w:val="00F340BA"/>
    <w:rsid w:val="00F35EDC"/>
    <w:rsid w:val="00F362D7"/>
    <w:rsid w:val="00F41D28"/>
    <w:rsid w:val="00F46E5B"/>
    <w:rsid w:val="00F51340"/>
    <w:rsid w:val="00F62916"/>
    <w:rsid w:val="00F63470"/>
    <w:rsid w:val="00F63D9A"/>
    <w:rsid w:val="00F659A3"/>
    <w:rsid w:val="00F7417F"/>
    <w:rsid w:val="00F75950"/>
    <w:rsid w:val="00F811F8"/>
    <w:rsid w:val="00F84953"/>
    <w:rsid w:val="00F86540"/>
    <w:rsid w:val="00F86901"/>
    <w:rsid w:val="00F9079B"/>
    <w:rsid w:val="00F91409"/>
    <w:rsid w:val="00F92DDA"/>
    <w:rsid w:val="00F9382D"/>
    <w:rsid w:val="00F946E3"/>
    <w:rsid w:val="00F96812"/>
    <w:rsid w:val="00F97BEE"/>
    <w:rsid w:val="00FA02D2"/>
    <w:rsid w:val="00FA1CD0"/>
    <w:rsid w:val="00FA51EC"/>
    <w:rsid w:val="00FA7D63"/>
    <w:rsid w:val="00FB0A87"/>
    <w:rsid w:val="00FB0BBD"/>
    <w:rsid w:val="00FB1CA6"/>
    <w:rsid w:val="00FB498B"/>
    <w:rsid w:val="00FB6FD9"/>
    <w:rsid w:val="00FB743C"/>
    <w:rsid w:val="00FC1DE1"/>
    <w:rsid w:val="00FC6E8D"/>
    <w:rsid w:val="00FD101A"/>
    <w:rsid w:val="00FD307B"/>
    <w:rsid w:val="00FD77FE"/>
    <w:rsid w:val="00FE3F9A"/>
    <w:rsid w:val="00FE431F"/>
    <w:rsid w:val="00FE68E4"/>
    <w:rsid w:val="00FF2E4B"/>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794234E"/>
  <w15:docId w15:val="{5A055B12-BAFB-40C7-944E-1E6A5170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styleId="FootnoteReference">
    <w:name w:val="footnote reference"/>
    <w:basedOn w:val="DefaultParagraphFont"/>
    <w:semiHidden/>
    <w:unhideWhenUsed/>
    <w:rsid w:val="002660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6E92A7-39D2-41C5-9F1F-6CA99D5DD9DE}">
  <ds:schemaRefs>
    <ds:schemaRef ds:uri="http://schemas.openxmlformats.org/officeDocument/2006/bibliography"/>
  </ds:schemaRefs>
</ds:datastoreItem>
</file>

<file path=customXml/itemProps2.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746A1CE8-DAE1-4874-A71C-61EEAE789926}"/>
</file>

<file path=customXml/itemProps4.xml><?xml version="1.0" encoding="utf-8"?>
<ds:datastoreItem xmlns:ds="http://schemas.openxmlformats.org/officeDocument/2006/customXml" ds:itemID="{25CD83DD-931C-4BC0-8CC2-7783E14826D5}"/>
</file>

<file path=customXml/itemProps5.xml><?xml version="1.0" encoding="utf-8"?>
<ds:datastoreItem xmlns:ds="http://schemas.openxmlformats.org/officeDocument/2006/customXml" ds:itemID="{A8DAA62D-78B1-42D2-A947-49A9C0620D9C}"/>
</file>

<file path=docProps/app.xml><?xml version="1.0" encoding="utf-8"?>
<Properties xmlns="http://schemas.openxmlformats.org/officeDocument/2006/extended-properties" xmlns:vt="http://schemas.openxmlformats.org/officeDocument/2006/docPropsVTypes">
  <Template>Decisions</Template>
  <TotalTime>14</TotalTime>
  <Pages>6</Pages>
  <Words>2597</Words>
  <Characters>12360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Spencer-Peet, Andrew</dc:creator>
  <cp:lastModifiedBy>Cook, Robert</cp:lastModifiedBy>
  <cp:revision>3</cp:revision>
  <cp:lastPrinted>2013-05-29T14:27:00Z</cp:lastPrinted>
  <dcterms:created xsi:type="dcterms:W3CDTF">2022-08-23T10:23:00Z</dcterms:created>
  <dcterms:modified xsi:type="dcterms:W3CDTF">2022-08-23T11:14:00Z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