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BC64" w14:textId="77777777" w:rsidR="00E14E89" w:rsidRPr="00AB25F4" w:rsidRDefault="00E14E89" w:rsidP="00443F54">
      <w:pPr>
        <w:spacing w:after="43"/>
        <w:rPr>
          <w:rFonts w:ascii="Times New Roman" w:hAnsi="Times New Roman"/>
          <w:color w:val="000000" w:themeColor="text1"/>
          <w:sz w:val="24"/>
          <w:szCs w:val="24"/>
        </w:rPr>
      </w:pPr>
    </w:p>
    <w:p w14:paraId="694A08C4" w14:textId="1ACFE941" w:rsidR="00E14E89" w:rsidRPr="00AB25F4" w:rsidRDefault="00EE4D98" w:rsidP="00443F54">
      <w:pPr>
        <w:spacing w:line="265" w:lineRule="exact"/>
        <w:rPr>
          <w:rFonts w:ascii="Times New Roman" w:hAnsi="Times New Roman" w:cs="Times New Roman"/>
          <w:color w:val="010302"/>
          <w:sz w:val="24"/>
          <w:szCs w:val="24"/>
        </w:rPr>
      </w:pPr>
      <w:r w:rsidRPr="00AB25F4">
        <w:rPr>
          <w:rFonts w:ascii="Times New Roman" w:hAnsi="Times New Roman" w:cs="Times New Roman"/>
          <w:color w:val="000000"/>
          <w:sz w:val="24"/>
          <w:szCs w:val="24"/>
          <w:u w:val="single"/>
        </w:rPr>
        <w:t>Neutral Citation Number:</w:t>
      </w:r>
      <w:r w:rsidRPr="000066E1">
        <w:rPr>
          <w:rFonts w:ascii="Times New Roman" w:hAnsi="Times New Roman" w:cs="Times New Roman"/>
          <w:color w:val="000000"/>
          <w:sz w:val="24"/>
          <w:szCs w:val="24"/>
        </w:rPr>
        <w:t xml:space="preserve"> </w:t>
      </w:r>
      <w:r w:rsidR="007C3530" w:rsidRPr="00F16259">
        <w:rPr>
          <w:rFonts w:ascii="Times New Roman" w:hAnsi="Times New Roman" w:cs="Times New Roman"/>
          <w:color w:val="000000"/>
          <w:sz w:val="24"/>
          <w:szCs w:val="24"/>
        </w:rPr>
        <w:t>[2022] EAT</w:t>
      </w:r>
      <w:r w:rsidR="000066E1">
        <w:rPr>
          <w:rFonts w:ascii="Times New Roman" w:hAnsi="Times New Roman" w:cs="Times New Roman"/>
          <w:color w:val="000000"/>
          <w:sz w:val="24"/>
          <w:szCs w:val="24"/>
        </w:rPr>
        <w:t xml:space="preserve"> </w:t>
      </w:r>
      <w:r w:rsidR="00F16259" w:rsidRPr="00F16259">
        <w:rPr>
          <w:rFonts w:ascii="Times New Roman" w:hAnsi="Times New Roman" w:cs="Times New Roman"/>
          <w:color w:val="000000"/>
          <w:sz w:val="24"/>
          <w:szCs w:val="24"/>
        </w:rPr>
        <w:t>124</w:t>
      </w:r>
    </w:p>
    <w:p w14:paraId="583F2922" w14:textId="70ECA41D" w:rsidR="00E14E89" w:rsidRPr="00AB25F4" w:rsidRDefault="00EE4D98" w:rsidP="00443F54">
      <w:pPr>
        <w:spacing w:before="241" w:line="265" w:lineRule="exact"/>
        <w:jc w:val="right"/>
        <w:rPr>
          <w:rFonts w:ascii="Times New Roman" w:hAnsi="Times New Roman" w:cs="Times New Roman"/>
          <w:color w:val="010302"/>
          <w:sz w:val="24"/>
          <w:szCs w:val="24"/>
        </w:rPr>
      </w:pPr>
      <w:r w:rsidRPr="00AB25F4">
        <w:rPr>
          <w:rFonts w:ascii="Times New Roman" w:hAnsi="Times New Roman" w:cs="Times New Roman"/>
          <w:color w:val="000000"/>
          <w:sz w:val="24"/>
          <w:szCs w:val="24"/>
          <w:u w:val="single"/>
        </w:rPr>
        <w:t xml:space="preserve">Case No: </w:t>
      </w:r>
      <w:r w:rsidR="00CF54BE" w:rsidRPr="00AB25F4">
        <w:rPr>
          <w:rFonts w:ascii="Times New Roman" w:hAnsi="Times New Roman" w:cs="Times New Roman"/>
          <w:color w:val="000000"/>
          <w:sz w:val="24"/>
          <w:szCs w:val="24"/>
          <w:u w:val="single"/>
        </w:rPr>
        <w:t>EA</w:t>
      </w:r>
      <w:r w:rsidR="002A7DCF">
        <w:rPr>
          <w:rFonts w:ascii="Times New Roman" w:hAnsi="Times New Roman" w:cs="Times New Roman"/>
          <w:color w:val="000000"/>
          <w:sz w:val="24"/>
          <w:szCs w:val="24"/>
          <w:u w:val="single"/>
        </w:rPr>
        <w:t>-2020-000379-VP</w:t>
      </w:r>
    </w:p>
    <w:p w14:paraId="0A19E6B4" w14:textId="77777777" w:rsidR="00E14E89" w:rsidRPr="00AB25F4" w:rsidRDefault="00EE4D98" w:rsidP="00443F54">
      <w:pPr>
        <w:spacing w:before="10" w:line="265" w:lineRule="exact"/>
        <w:rPr>
          <w:rFonts w:ascii="Times New Roman" w:hAnsi="Times New Roman" w:cs="Times New Roman"/>
          <w:color w:val="010302"/>
          <w:sz w:val="24"/>
          <w:szCs w:val="24"/>
        </w:rPr>
      </w:pPr>
      <w:r w:rsidRPr="00AB25F4">
        <w:rPr>
          <w:rFonts w:ascii="Times New Roman" w:hAnsi="Times New Roman" w:cs="Times New Roman"/>
          <w:b/>
          <w:bCs/>
          <w:color w:val="000000"/>
          <w:sz w:val="24"/>
          <w:szCs w:val="24"/>
          <w:u w:val="single"/>
        </w:rPr>
        <w:t>E</w:t>
      </w:r>
      <w:r w:rsidRPr="00AB25F4">
        <w:rPr>
          <w:rFonts w:ascii="Times New Roman" w:hAnsi="Times New Roman" w:cs="Times New Roman"/>
          <w:b/>
          <w:bCs/>
          <w:color w:val="000000"/>
          <w:spacing w:val="-3"/>
          <w:sz w:val="24"/>
          <w:szCs w:val="24"/>
          <w:u w:val="single"/>
        </w:rPr>
        <w:t>M</w:t>
      </w:r>
      <w:r w:rsidRPr="00AB25F4">
        <w:rPr>
          <w:rFonts w:ascii="Times New Roman" w:hAnsi="Times New Roman" w:cs="Times New Roman"/>
          <w:b/>
          <w:bCs/>
          <w:color w:val="000000"/>
          <w:spacing w:val="-2"/>
          <w:sz w:val="24"/>
          <w:szCs w:val="24"/>
          <w:u w:val="single"/>
        </w:rPr>
        <w:t>P</w:t>
      </w:r>
      <w:r w:rsidRPr="00AB25F4">
        <w:rPr>
          <w:rFonts w:ascii="Times New Roman" w:hAnsi="Times New Roman" w:cs="Times New Roman"/>
          <w:b/>
          <w:bCs/>
          <w:color w:val="000000"/>
          <w:spacing w:val="-4"/>
          <w:sz w:val="24"/>
          <w:szCs w:val="24"/>
          <w:u w:val="single"/>
        </w:rPr>
        <w:t>L</w:t>
      </w:r>
      <w:r w:rsidRPr="00AB25F4">
        <w:rPr>
          <w:rFonts w:ascii="Times New Roman" w:hAnsi="Times New Roman" w:cs="Times New Roman"/>
          <w:b/>
          <w:bCs/>
          <w:color w:val="000000"/>
          <w:sz w:val="24"/>
          <w:szCs w:val="24"/>
          <w:u w:val="single"/>
        </w:rPr>
        <w:t>O</w:t>
      </w:r>
      <w:r w:rsidRPr="00AB25F4">
        <w:rPr>
          <w:rFonts w:ascii="Times New Roman" w:hAnsi="Times New Roman" w:cs="Times New Roman"/>
          <w:b/>
          <w:bCs/>
          <w:color w:val="000000"/>
          <w:spacing w:val="-2"/>
          <w:sz w:val="24"/>
          <w:szCs w:val="24"/>
          <w:u w:val="single"/>
        </w:rPr>
        <w:t>Y</w:t>
      </w:r>
      <w:r w:rsidRPr="00AB25F4">
        <w:rPr>
          <w:rFonts w:ascii="Times New Roman" w:hAnsi="Times New Roman" w:cs="Times New Roman"/>
          <w:b/>
          <w:bCs/>
          <w:color w:val="000000"/>
          <w:spacing w:val="-3"/>
          <w:sz w:val="24"/>
          <w:szCs w:val="24"/>
          <w:u w:val="single"/>
        </w:rPr>
        <w:t>M</w:t>
      </w:r>
      <w:r w:rsidRPr="00AB25F4">
        <w:rPr>
          <w:rFonts w:ascii="Times New Roman" w:hAnsi="Times New Roman" w:cs="Times New Roman"/>
          <w:b/>
          <w:bCs/>
          <w:color w:val="000000"/>
          <w:sz w:val="24"/>
          <w:szCs w:val="24"/>
          <w:u w:val="single"/>
        </w:rPr>
        <w:t>E</w:t>
      </w:r>
      <w:r w:rsidRPr="00AB25F4">
        <w:rPr>
          <w:rFonts w:ascii="Times New Roman" w:hAnsi="Times New Roman" w:cs="Times New Roman"/>
          <w:b/>
          <w:bCs/>
          <w:color w:val="000000"/>
          <w:spacing w:val="-5"/>
          <w:sz w:val="24"/>
          <w:szCs w:val="24"/>
          <w:u w:val="single"/>
        </w:rPr>
        <w:t>N</w:t>
      </w:r>
      <w:r w:rsidRPr="00AB25F4">
        <w:rPr>
          <w:rFonts w:ascii="Times New Roman" w:hAnsi="Times New Roman" w:cs="Times New Roman"/>
          <w:b/>
          <w:bCs/>
          <w:color w:val="000000"/>
          <w:sz w:val="24"/>
          <w:szCs w:val="24"/>
          <w:u w:val="single"/>
        </w:rPr>
        <w:t>T</w:t>
      </w:r>
      <w:r w:rsidRPr="00AB25F4">
        <w:rPr>
          <w:rFonts w:ascii="Times New Roman" w:hAnsi="Times New Roman" w:cs="Times New Roman"/>
          <w:b/>
          <w:bCs/>
          <w:color w:val="000000"/>
          <w:spacing w:val="-2"/>
          <w:sz w:val="24"/>
          <w:szCs w:val="24"/>
          <w:u w:val="single"/>
        </w:rPr>
        <w:t xml:space="preserve"> AP</w:t>
      </w:r>
      <w:r w:rsidRPr="00AB25F4">
        <w:rPr>
          <w:rFonts w:ascii="Times New Roman" w:hAnsi="Times New Roman" w:cs="Times New Roman"/>
          <w:b/>
          <w:bCs/>
          <w:color w:val="000000"/>
          <w:spacing w:val="-5"/>
          <w:sz w:val="24"/>
          <w:szCs w:val="24"/>
          <w:u w:val="single"/>
        </w:rPr>
        <w:t>P</w:t>
      </w:r>
      <w:r w:rsidRPr="00AB25F4">
        <w:rPr>
          <w:rFonts w:ascii="Times New Roman" w:hAnsi="Times New Roman" w:cs="Times New Roman"/>
          <w:b/>
          <w:bCs/>
          <w:color w:val="000000"/>
          <w:spacing w:val="-4"/>
          <w:sz w:val="24"/>
          <w:szCs w:val="24"/>
          <w:u w:val="single"/>
        </w:rPr>
        <w:t>E</w:t>
      </w:r>
      <w:r w:rsidRPr="00AB25F4">
        <w:rPr>
          <w:rFonts w:ascii="Times New Roman" w:hAnsi="Times New Roman" w:cs="Times New Roman"/>
          <w:b/>
          <w:bCs/>
          <w:color w:val="000000"/>
          <w:spacing w:val="-2"/>
          <w:sz w:val="24"/>
          <w:szCs w:val="24"/>
          <w:u w:val="single"/>
        </w:rPr>
        <w:t>A</w:t>
      </w:r>
      <w:r w:rsidRPr="00AB25F4">
        <w:rPr>
          <w:rFonts w:ascii="Times New Roman" w:hAnsi="Times New Roman" w:cs="Times New Roman"/>
          <w:b/>
          <w:bCs/>
          <w:color w:val="000000"/>
          <w:sz w:val="24"/>
          <w:szCs w:val="24"/>
          <w:u w:val="single"/>
        </w:rPr>
        <w:t>L</w:t>
      </w:r>
      <w:r w:rsidRPr="00AB25F4">
        <w:rPr>
          <w:rFonts w:ascii="Times New Roman" w:hAnsi="Times New Roman" w:cs="Times New Roman"/>
          <w:b/>
          <w:bCs/>
          <w:color w:val="000000"/>
          <w:spacing w:val="-2"/>
          <w:sz w:val="24"/>
          <w:szCs w:val="24"/>
          <w:u w:val="single"/>
        </w:rPr>
        <w:t xml:space="preserve"> </w:t>
      </w:r>
      <w:r w:rsidRPr="00AB25F4">
        <w:rPr>
          <w:rFonts w:ascii="Times New Roman" w:hAnsi="Times New Roman" w:cs="Times New Roman"/>
          <w:b/>
          <w:bCs/>
          <w:color w:val="000000"/>
          <w:sz w:val="24"/>
          <w:szCs w:val="24"/>
          <w:u w:val="single"/>
        </w:rPr>
        <w:t>T</w:t>
      </w:r>
      <w:r w:rsidRPr="00AB25F4">
        <w:rPr>
          <w:rFonts w:ascii="Times New Roman" w:hAnsi="Times New Roman" w:cs="Times New Roman"/>
          <w:b/>
          <w:bCs/>
          <w:color w:val="000000"/>
          <w:spacing w:val="-5"/>
          <w:sz w:val="24"/>
          <w:szCs w:val="24"/>
          <w:u w:val="single"/>
        </w:rPr>
        <w:t>R</w:t>
      </w:r>
      <w:r w:rsidRPr="00AB25F4">
        <w:rPr>
          <w:rFonts w:ascii="Times New Roman" w:hAnsi="Times New Roman" w:cs="Times New Roman"/>
          <w:b/>
          <w:bCs/>
          <w:color w:val="000000"/>
          <w:spacing w:val="-2"/>
          <w:sz w:val="24"/>
          <w:szCs w:val="24"/>
          <w:u w:val="single"/>
        </w:rPr>
        <w:t>I</w:t>
      </w:r>
      <w:r w:rsidRPr="00AB25F4">
        <w:rPr>
          <w:rFonts w:ascii="Times New Roman" w:hAnsi="Times New Roman" w:cs="Times New Roman"/>
          <w:b/>
          <w:bCs/>
          <w:color w:val="000000"/>
          <w:sz w:val="24"/>
          <w:szCs w:val="24"/>
          <w:u w:val="single"/>
        </w:rPr>
        <w:t>B</w:t>
      </w:r>
      <w:r w:rsidRPr="00AB25F4">
        <w:rPr>
          <w:rFonts w:ascii="Times New Roman" w:hAnsi="Times New Roman" w:cs="Times New Roman"/>
          <w:b/>
          <w:bCs/>
          <w:color w:val="000000"/>
          <w:spacing w:val="-2"/>
          <w:sz w:val="24"/>
          <w:szCs w:val="24"/>
          <w:u w:val="single"/>
        </w:rPr>
        <w:t>UN</w:t>
      </w:r>
      <w:r w:rsidRPr="00AB25F4">
        <w:rPr>
          <w:rFonts w:ascii="Times New Roman" w:hAnsi="Times New Roman" w:cs="Times New Roman"/>
          <w:b/>
          <w:bCs/>
          <w:color w:val="000000"/>
          <w:spacing w:val="-5"/>
          <w:sz w:val="24"/>
          <w:szCs w:val="24"/>
          <w:u w:val="single"/>
        </w:rPr>
        <w:t>A</w:t>
      </w:r>
      <w:r w:rsidRPr="00AB25F4">
        <w:rPr>
          <w:rFonts w:ascii="Times New Roman" w:hAnsi="Times New Roman" w:cs="Times New Roman"/>
          <w:b/>
          <w:bCs/>
          <w:color w:val="000000"/>
          <w:spacing w:val="-3"/>
          <w:sz w:val="24"/>
          <w:szCs w:val="24"/>
          <w:u w:val="single"/>
        </w:rPr>
        <w:t>L</w:t>
      </w:r>
      <w:r w:rsidRPr="00AB25F4">
        <w:rPr>
          <w:rFonts w:ascii="Times New Roman" w:hAnsi="Times New Roman" w:cs="Times New Roman"/>
          <w:b/>
          <w:bCs/>
          <w:color w:val="000000"/>
          <w:sz w:val="24"/>
          <w:szCs w:val="24"/>
        </w:rPr>
        <w:t xml:space="preserve">  </w:t>
      </w:r>
    </w:p>
    <w:p w14:paraId="1EB449B4" w14:textId="77777777" w:rsidR="00E14E89" w:rsidRPr="00AB25F4" w:rsidRDefault="00E14E89" w:rsidP="00443F54">
      <w:pPr>
        <w:spacing w:after="2"/>
        <w:rPr>
          <w:rFonts w:ascii="Times New Roman" w:hAnsi="Times New Roman"/>
          <w:color w:val="000000" w:themeColor="text1"/>
          <w:sz w:val="24"/>
          <w:szCs w:val="24"/>
        </w:rPr>
      </w:pPr>
    </w:p>
    <w:p w14:paraId="01D9C20A" w14:textId="77777777" w:rsidR="00717B8E" w:rsidRPr="00AB25F4" w:rsidRDefault="00EE4D98" w:rsidP="00443F54">
      <w:pPr>
        <w:spacing w:line="275" w:lineRule="exact"/>
        <w:jc w:val="right"/>
        <w:rPr>
          <w:rFonts w:ascii="Times New Roman" w:hAnsi="Times New Roman" w:cs="Times New Roman"/>
          <w:color w:val="000000"/>
          <w:sz w:val="24"/>
          <w:szCs w:val="24"/>
        </w:rPr>
      </w:pPr>
      <w:r w:rsidRPr="00AB25F4">
        <w:rPr>
          <w:rFonts w:ascii="Times New Roman" w:hAnsi="Times New Roman" w:cs="Times New Roman"/>
          <w:color w:val="000000"/>
          <w:sz w:val="24"/>
          <w:szCs w:val="24"/>
          <w:u w:val="single"/>
        </w:rPr>
        <w:t>Rolls Building</w:t>
      </w:r>
    </w:p>
    <w:p w14:paraId="057C4EB8" w14:textId="7E21F4D1" w:rsidR="00E14E89" w:rsidRPr="00AB25F4" w:rsidRDefault="00EE4D98" w:rsidP="00443F54">
      <w:pPr>
        <w:spacing w:line="275" w:lineRule="exact"/>
        <w:jc w:val="right"/>
        <w:rPr>
          <w:rFonts w:ascii="Times New Roman" w:hAnsi="Times New Roman" w:cs="Times New Roman"/>
          <w:color w:val="010302"/>
          <w:sz w:val="24"/>
          <w:szCs w:val="24"/>
        </w:rPr>
      </w:pPr>
      <w:r w:rsidRPr="00AB25F4">
        <w:rPr>
          <w:rFonts w:ascii="Times New Roman" w:hAnsi="Times New Roman" w:cs="Times New Roman"/>
          <w:color w:val="000000"/>
          <w:sz w:val="24"/>
          <w:szCs w:val="24"/>
          <w:u w:val="single"/>
        </w:rPr>
        <w:t>Fetter Lane, London, EC4A</w:t>
      </w:r>
      <w:r w:rsidR="009A3442" w:rsidRPr="00AB25F4">
        <w:rPr>
          <w:rFonts w:ascii="Times New Roman" w:hAnsi="Times New Roman" w:cs="Times New Roman"/>
          <w:color w:val="000000"/>
          <w:sz w:val="24"/>
          <w:szCs w:val="24"/>
          <w:u w:val="single"/>
        </w:rPr>
        <w:t xml:space="preserve"> </w:t>
      </w:r>
      <w:r w:rsidRPr="00AB25F4">
        <w:rPr>
          <w:rFonts w:ascii="Times New Roman" w:hAnsi="Times New Roman" w:cs="Times New Roman"/>
          <w:color w:val="000000"/>
          <w:sz w:val="24"/>
          <w:szCs w:val="24"/>
          <w:u w:val="single"/>
        </w:rPr>
        <w:t>1NL</w:t>
      </w:r>
    </w:p>
    <w:p w14:paraId="0CE49189" w14:textId="77777777" w:rsidR="00E14E89" w:rsidRPr="00AB25F4" w:rsidRDefault="00E14E89" w:rsidP="00443F54">
      <w:pPr>
        <w:spacing w:after="10"/>
        <w:rPr>
          <w:rFonts w:ascii="Times New Roman" w:hAnsi="Times New Roman"/>
          <w:color w:val="000000" w:themeColor="text1"/>
          <w:sz w:val="24"/>
          <w:szCs w:val="24"/>
        </w:rPr>
      </w:pPr>
    </w:p>
    <w:p w14:paraId="37AFDA16" w14:textId="75A68DF4" w:rsidR="00E14E89" w:rsidRPr="00AB25F4" w:rsidRDefault="00EE4D98" w:rsidP="00443F54">
      <w:pPr>
        <w:spacing w:line="265" w:lineRule="exact"/>
        <w:jc w:val="right"/>
        <w:rPr>
          <w:rFonts w:ascii="Times New Roman" w:hAnsi="Times New Roman" w:cs="Times New Roman"/>
          <w:color w:val="010302"/>
          <w:sz w:val="24"/>
          <w:szCs w:val="24"/>
        </w:rPr>
      </w:pPr>
      <w:r w:rsidRPr="00AB25F4">
        <w:rPr>
          <w:rFonts w:ascii="Times New Roman" w:hAnsi="Times New Roman" w:cs="Times New Roman"/>
          <w:color w:val="000000"/>
          <w:sz w:val="24"/>
          <w:szCs w:val="24"/>
          <w:u w:val="single"/>
        </w:rPr>
        <w:t>Date:</w:t>
      </w:r>
      <w:r w:rsidR="002A7DCF">
        <w:rPr>
          <w:rFonts w:ascii="Times New Roman" w:hAnsi="Times New Roman" w:cs="Times New Roman"/>
          <w:color w:val="000000"/>
          <w:sz w:val="24"/>
          <w:szCs w:val="24"/>
          <w:u w:val="single"/>
        </w:rPr>
        <w:t xml:space="preserve"> </w:t>
      </w:r>
      <w:r w:rsidR="009E590E">
        <w:rPr>
          <w:rFonts w:ascii="Times New Roman" w:hAnsi="Times New Roman" w:cs="Times New Roman"/>
          <w:color w:val="000000"/>
          <w:sz w:val="24"/>
          <w:szCs w:val="24"/>
          <w:u w:val="single"/>
        </w:rPr>
        <w:t>9</w:t>
      </w:r>
      <w:r w:rsidR="002A7DCF">
        <w:rPr>
          <w:rFonts w:ascii="Times New Roman" w:hAnsi="Times New Roman" w:cs="Times New Roman"/>
          <w:color w:val="000000"/>
          <w:sz w:val="24"/>
          <w:szCs w:val="24"/>
          <w:u w:val="single"/>
        </w:rPr>
        <w:t xml:space="preserve"> March 2022</w:t>
      </w:r>
    </w:p>
    <w:p w14:paraId="704E4300" w14:textId="77777777" w:rsidR="00E14E89" w:rsidRPr="00AB25F4" w:rsidRDefault="00E14E89" w:rsidP="00443F54">
      <w:pPr>
        <w:spacing w:after="10"/>
        <w:rPr>
          <w:rFonts w:ascii="Times New Roman" w:hAnsi="Times New Roman"/>
          <w:color w:val="000000" w:themeColor="text1"/>
          <w:sz w:val="24"/>
          <w:szCs w:val="24"/>
        </w:rPr>
      </w:pPr>
    </w:p>
    <w:p w14:paraId="056D3C02" w14:textId="2DDB8FD2" w:rsidR="00E14E89" w:rsidRPr="00AB25F4" w:rsidRDefault="00EE4D98" w:rsidP="00443F54">
      <w:pPr>
        <w:spacing w:line="265" w:lineRule="exact"/>
        <w:jc w:val="center"/>
        <w:rPr>
          <w:rFonts w:ascii="Times New Roman" w:hAnsi="Times New Roman" w:cs="Times New Roman"/>
          <w:color w:val="010302"/>
          <w:sz w:val="24"/>
          <w:szCs w:val="24"/>
        </w:rPr>
      </w:pPr>
      <w:r w:rsidRPr="00AB25F4">
        <w:rPr>
          <w:rFonts w:ascii="Times New Roman" w:hAnsi="Times New Roman" w:cs="Times New Roman"/>
          <w:b/>
          <w:bCs/>
          <w:color w:val="000000"/>
          <w:sz w:val="24"/>
          <w:szCs w:val="24"/>
        </w:rPr>
        <w:t>B</w:t>
      </w:r>
      <w:r w:rsidRPr="00AB25F4">
        <w:rPr>
          <w:rFonts w:ascii="Times New Roman" w:hAnsi="Times New Roman" w:cs="Times New Roman"/>
          <w:b/>
          <w:bCs/>
          <w:color w:val="000000"/>
          <w:spacing w:val="-3"/>
          <w:sz w:val="24"/>
          <w:szCs w:val="24"/>
        </w:rPr>
        <w:t>ef</w:t>
      </w:r>
      <w:r w:rsidRPr="00AB25F4">
        <w:rPr>
          <w:rFonts w:ascii="Times New Roman" w:hAnsi="Times New Roman" w:cs="Times New Roman"/>
          <w:b/>
          <w:bCs/>
          <w:color w:val="000000"/>
          <w:spacing w:val="-2"/>
          <w:sz w:val="24"/>
          <w:szCs w:val="24"/>
        </w:rPr>
        <w:t>o</w:t>
      </w:r>
      <w:r w:rsidRPr="00AB25F4">
        <w:rPr>
          <w:rFonts w:ascii="Times New Roman" w:hAnsi="Times New Roman" w:cs="Times New Roman"/>
          <w:b/>
          <w:bCs/>
          <w:color w:val="000000"/>
          <w:spacing w:val="-3"/>
          <w:sz w:val="24"/>
          <w:szCs w:val="24"/>
        </w:rPr>
        <w:t>r</w:t>
      </w:r>
      <w:r w:rsidRPr="00AB25F4">
        <w:rPr>
          <w:rFonts w:ascii="Times New Roman" w:hAnsi="Times New Roman" w:cs="Times New Roman"/>
          <w:b/>
          <w:bCs/>
          <w:color w:val="000000"/>
          <w:spacing w:val="-2"/>
          <w:sz w:val="24"/>
          <w:szCs w:val="24"/>
        </w:rPr>
        <w:t>e</w:t>
      </w:r>
      <w:r w:rsidRPr="00AB25F4">
        <w:rPr>
          <w:rFonts w:ascii="Times New Roman" w:hAnsi="Times New Roman" w:cs="Times New Roman"/>
          <w:color w:val="000000"/>
          <w:spacing w:val="-4"/>
          <w:sz w:val="24"/>
          <w:szCs w:val="24"/>
        </w:rPr>
        <w:t>:</w:t>
      </w:r>
    </w:p>
    <w:p w14:paraId="4AA3C682" w14:textId="77777777" w:rsidR="00E14E89" w:rsidRPr="00AB25F4" w:rsidRDefault="00E14E89" w:rsidP="00443F54">
      <w:pPr>
        <w:spacing w:after="1"/>
        <w:rPr>
          <w:rFonts w:ascii="Times New Roman" w:hAnsi="Times New Roman"/>
          <w:color w:val="000000" w:themeColor="text1"/>
          <w:sz w:val="24"/>
          <w:szCs w:val="24"/>
        </w:rPr>
      </w:pPr>
    </w:p>
    <w:p w14:paraId="2CEA5EA0" w14:textId="310A0357" w:rsidR="00CF54BE" w:rsidRPr="003B6705" w:rsidRDefault="00B750FD" w:rsidP="00443F54">
      <w:pPr>
        <w:spacing w:line="276" w:lineRule="exact"/>
        <w:jc w:val="center"/>
        <w:rPr>
          <w:rFonts w:ascii="Times New Roman" w:hAnsi="Times New Roman" w:cs="Times New Roman"/>
          <w:b/>
          <w:bCs/>
          <w:caps/>
          <w:color w:val="000000"/>
          <w:spacing w:val="-3"/>
          <w:sz w:val="24"/>
          <w:szCs w:val="24"/>
          <w:u w:val="single"/>
        </w:rPr>
      </w:pPr>
      <w:r>
        <w:rPr>
          <w:rFonts w:ascii="Times New Roman" w:hAnsi="Times New Roman" w:cs="Times New Roman"/>
          <w:b/>
          <w:bCs/>
          <w:caps/>
          <w:color w:val="000000"/>
          <w:spacing w:val="-3"/>
          <w:sz w:val="24"/>
          <w:szCs w:val="24"/>
          <w:u w:val="single"/>
        </w:rPr>
        <w:t xml:space="preserve">MRS JUSTICE </w:t>
      </w:r>
      <w:r w:rsidR="00086FBB">
        <w:rPr>
          <w:rFonts w:ascii="Times New Roman" w:hAnsi="Times New Roman" w:cs="Times New Roman"/>
          <w:b/>
          <w:bCs/>
          <w:caps/>
          <w:color w:val="000000"/>
          <w:spacing w:val="-3"/>
          <w:sz w:val="24"/>
          <w:szCs w:val="24"/>
          <w:u w:val="single"/>
        </w:rPr>
        <w:t>he</w:t>
      </w:r>
      <w:r w:rsidR="003B6705" w:rsidRPr="003B6705">
        <w:rPr>
          <w:rFonts w:ascii="Times New Roman" w:hAnsi="Times New Roman" w:cs="Times New Roman"/>
          <w:b/>
          <w:bCs/>
          <w:caps/>
          <w:color w:val="000000"/>
          <w:spacing w:val="-3"/>
          <w:sz w:val="24"/>
          <w:szCs w:val="24"/>
          <w:u w:val="single"/>
        </w:rPr>
        <w:t>ather williams</w:t>
      </w:r>
      <w:r w:rsidR="00086FBB">
        <w:rPr>
          <w:rFonts w:ascii="Times New Roman" w:hAnsi="Times New Roman" w:cs="Times New Roman"/>
          <w:b/>
          <w:bCs/>
          <w:caps/>
          <w:color w:val="000000"/>
          <w:spacing w:val="-3"/>
          <w:sz w:val="24"/>
          <w:szCs w:val="24"/>
          <w:u w:val="single"/>
        </w:rPr>
        <w:t xml:space="preserve"> dbe</w:t>
      </w:r>
    </w:p>
    <w:p w14:paraId="08034265" w14:textId="363CDB8B" w:rsidR="00E14E89" w:rsidRPr="00AB25F4" w:rsidRDefault="00EE4D98" w:rsidP="00443F54">
      <w:pPr>
        <w:spacing w:line="276" w:lineRule="exact"/>
        <w:jc w:val="center"/>
        <w:rPr>
          <w:rFonts w:ascii="Times New Roman" w:hAnsi="Times New Roman" w:cs="Times New Roman"/>
          <w:color w:val="010302"/>
          <w:sz w:val="24"/>
          <w:szCs w:val="24"/>
        </w:rPr>
      </w:pP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4"/>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p>
    <w:p w14:paraId="0016D604" w14:textId="5B293E62" w:rsidR="00E14E89" w:rsidRPr="00AB25F4" w:rsidRDefault="00EE4D98" w:rsidP="00443F54">
      <w:pPr>
        <w:spacing w:line="265" w:lineRule="exact"/>
        <w:jc w:val="center"/>
        <w:rPr>
          <w:rFonts w:ascii="Times New Roman" w:hAnsi="Times New Roman" w:cs="Times New Roman"/>
          <w:color w:val="010302"/>
          <w:sz w:val="24"/>
          <w:szCs w:val="24"/>
        </w:rPr>
      </w:pPr>
      <w:r w:rsidRPr="00AB25F4">
        <w:rPr>
          <w:rFonts w:ascii="Times New Roman" w:hAnsi="Times New Roman" w:cs="Times New Roman"/>
          <w:b/>
          <w:bCs/>
          <w:color w:val="000000"/>
          <w:sz w:val="24"/>
          <w:szCs w:val="24"/>
        </w:rPr>
        <w:t>B</w:t>
      </w:r>
      <w:r w:rsidRPr="00AB25F4">
        <w:rPr>
          <w:rFonts w:ascii="Times New Roman" w:hAnsi="Times New Roman" w:cs="Times New Roman"/>
          <w:b/>
          <w:bCs/>
          <w:color w:val="000000"/>
          <w:spacing w:val="-3"/>
          <w:sz w:val="24"/>
          <w:szCs w:val="24"/>
        </w:rPr>
        <w:t>et</w:t>
      </w:r>
      <w:r w:rsidRPr="00AB25F4">
        <w:rPr>
          <w:rFonts w:ascii="Times New Roman" w:hAnsi="Times New Roman" w:cs="Times New Roman"/>
          <w:b/>
          <w:bCs/>
          <w:color w:val="000000"/>
          <w:spacing w:val="-2"/>
          <w:sz w:val="24"/>
          <w:szCs w:val="24"/>
        </w:rPr>
        <w:t>w</w:t>
      </w:r>
      <w:r w:rsidRPr="00AB25F4">
        <w:rPr>
          <w:rFonts w:ascii="Times New Roman" w:hAnsi="Times New Roman" w:cs="Times New Roman"/>
          <w:b/>
          <w:bCs/>
          <w:color w:val="000000"/>
          <w:spacing w:val="-3"/>
          <w:sz w:val="24"/>
          <w:szCs w:val="24"/>
        </w:rPr>
        <w:t>ee</w:t>
      </w:r>
      <w:r w:rsidRPr="00AB25F4">
        <w:rPr>
          <w:rFonts w:ascii="Times New Roman" w:hAnsi="Times New Roman" w:cs="Times New Roman"/>
          <w:b/>
          <w:bCs/>
          <w:color w:val="000000"/>
          <w:sz w:val="24"/>
          <w:szCs w:val="24"/>
        </w:rPr>
        <w:t>n</w:t>
      </w:r>
      <w:r w:rsidRPr="00AB25F4">
        <w:rPr>
          <w:rFonts w:ascii="Times New Roman" w:hAnsi="Times New Roman" w:cs="Times New Roman"/>
          <w:b/>
          <w:bCs/>
          <w:color w:val="000000"/>
          <w:spacing w:val="-5"/>
          <w:sz w:val="24"/>
          <w:szCs w:val="24"/>
        </w:rPr>
        <w:t>:</w:t>
      </w:r>
    </w:p>
    <w:p w14:paraId="071D0936" w14:textId="7E15920D" w:rsidR="00E14E89" w:rsidRPr="00AB25F4" w:rsidRDefault="00E14E89" w:rsidP="00443F54">
      <w:pPr>
        <w:spacing w:after="3"/>
        <w:rPr>
          <w:rFonts w:ascii="Times New Roman" w:hAnsi="Times New Roman"/>
          <w:color w:val="000000" w:themeColor="text1"/>
          <w:sz w:val="24"/>
          <w:szCs w:val="24"/>
        </w:rPr>
      </w:pPr>
    </w:p>
    <w:p w14:paraId="707434E3" w14:textId="11F25A2F" w:rsidR="009A3442" w:rsidRPr="00AB25F4" w:rsidRDefault="009A3442" w:rsidP="00443F54">
      <w:pPr>
        <w:tabs>
          <w:tab w:val="center" w:pos="4820"/>
          <w:tab w:val="right" w:pos="9639"/>
        </w:tabs>
        <w:rPr>
          <w:sz w:val="24"/>
          <w:szCs w:val="24"/>
        </w:rPr>
      </w:pPr>
      <w:r w:rsidRPr="00AB25F4">
        <w:rPr>
          <w:sz w:val="24"/>
          <w:szCs w:val="24"/>
        </w:rPr>
        <w:tab/>
      </w:r>
      <w:r w:rsidR="0018585F">
        <w:rPr>
          <w:b/>
          <w:noProof/>
          <w:sz w:val="24"/>
          <w:szCs w:val="24"/>
        </w:rPr>
        <w:t>MS L TUITT</w:t>
      </w:r>
      <w:r w:rsidRPr="00AB25F4">
        <w:rPr>
          <w:sz w:val="24"/>
          <w:szCs w:val="24"/>
        </w:rPr>
        <w:tab/>
      </w:r>
      <w:r w:rsidRPr="00AB25F4">
        <w:rPr>
          <w:b/>
          <w:noProof/>
          <w:sz w:val="24"/>
          <w:szCs w:val="24"/>
          <w:u w:val="single"/>
        </w:rPr>
        <w:t>Appellant</w:t>
      </w:r>
    </w:p>
    <w:p w14:paraId="5900EBFA" w14:textId="2A89BF9E" w:rsidR="009A3442" w:rsidRPr="00AB25F4" w:rsidRDefault="009A3442" w:rsidP="00443F54">
      <w:pPr>
        <w:tabs>
          <w:tab w:val="center" w:pos="4139"/>
          <w:tab w:val="right" w:pos="8222"/>
        </w:tabs>
        <w:jc w:val="center"/>
        <w:rPr>
          <w:b/>
          <w:sz w:val="24"/>
          <w:szCs w:val="24"/>
        </w:rPr>
      </w:pPr>
      <w:r w:rsidRPr="00AB25F4">
        <w:rPr>
          <w:b/>
          <w:sz w:val="24"/>
          <w:szCs w:val="24"/>
        </w:rPr>
        <w:t xml:space="preserve">- </w:t>
      </w:r>
      <w:r w:rsidR="000066E1">
        <w:rPr>
          <w:b/>
          <w:sz w:val="24"/>
          <w:szCs w:val="24"/>
        </w:rPr>
        <w:t>v</w:t>
      </w:r>
      <w:r w:rsidRPr="00AB25F4">
        <w:rPr>
          <w:b/>
          <w:sz w:val="24"/>
          <w:szCs w:val="24"/>
        </w:rPr>
        <w:t xml:space="preserve"> -</w:t>
      </w:r>
    </w:p>
    <w:p w14:paraId="6EBC7318" w14:textId="617D6178" w:rsidR="009A3442" w:rsidRPr="00AB25F4" w:rsidRDefault="009A3442" w:rsidP="00443F54">
      <w:pPr>
        <w:tabs>
          <w:tab w:val="center" w:pos="4820"/>
          <w:tab w:val="right" w:pos="9639"/>
        </w:tabs>
        <w:rPr>
          <w:sz w:val="24"/>
          <w:szCs w:val="24"/>
        </w:rPr>
      </w:pPr>
      <w:r w:rsidRPr="00AB25F4">
        <w:rPr>
          <w:sz w:val="24"/>
          <w:szCs w:val="24"/>
        </w:rPr>
        <w:tab/>
      </w:r>
      <w:r w:rsidR="0018585F">
        <w:rPr>
          <w:b/>
          <w:noProof/>
          <w:sz w:val="24"/>
          <w:szCs w:val="24"/>
        </w:rPr>
        <w:t>LONDON BOROUGH OF RICHMOND</w:t>
      </w:r>
      <w:r w:rsidR="00722F8E">
        <w:rPr>
          <w:b/>
          <w:noProof/>
          <w:sz w:val="24"/>
          <w:szCs w:val="24"/>
        </w:rPr>
        <w:t xml:space="preserve"> UPON THAMES</w:t>
      </w:r>
      <w:r w:rsidRPr="00AB25F4">
        <w:rPr>
          <w:sz w:val="24"/>
          <w:szCs w:val="24"/>
        </w:rPr>
        <w:tab/>
      </w:r>
      <w:r w:rsidRPr="00AB25F4">
        <w:rPr>
          <w:b/>
          <w:noProof/>
          <w:sz w:val="24"/>
          <w:szCs w:val="24"/>
          <w:u w:val="single"/>
        </w:rPr>
        <w:t>Respondent</w:t>
      </w:r>
    </w:p>
    <w:p w14:paraId="1C90EF24" w14:textId="7F32F9A3" w:rsidR="009A3442" w:rsidRPr="00AB25F4" w:rsidRDefault="009A3442" w:rsidP="00443F54">
      <w:pPr>
        <w:spacing w:after="3"/>
        <w:rPr>
          <w:rFonts w:ascii="Times New Roman" w:hAnsi="Times New Roman"/>
          <w:color w:val="000000" w:themeColor="text1"/>
          <w:sz w:val="24"/>
          <w:szCs w:val="24"/>
        </w:rPr>
      </w:pPr>
    </w:p>
    <w:p w14:paraId="61C95F2D" w14:textId="77777777" w:rsidR="00717B8E" w:rsidRPr="00AB25F4" w:rsidRDefault="00717B8E" w:rsidP="00443F54">
      <w:pPr>
        <w:spacing w:line="276" w:lineRule="exact"/>
        <w:jc w:val="center"/>
        <w:rPr>
          <w:rFonts w:ascii="Times New Roman" w:hAnsi="Times New Roman" w:cs="Times New Roman"/>
          <w:color w:val="010302"/>
          <w:sz w:val="24"/>
          <w:szCs w:val="24"/>
        </w:rPr>
      </w:pP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4"/>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p>
    <w:p w14:paraId="055527C7" w14:textId="77777777" w:rsidR="00717B8E" w:rsidRPr="00AB25F4" w:rsidRDefault="00717B8E" w:rsidP="00443F54">
      <w:pPr>
        <w:spacing w:line="276" w:lineRule="exact"/>
        <w:jc w:val="center"/>
        <w:rPr>
          <w:rFonts w:ascii="Times New Roman" w:hAnsi="Times New Roman" w:cs="Times New Roman"/>
          <w:color w:val="010302"/>
          <w:sz w:val="24"/>
          <w:szCs w:val="24"/>
        </w:rPr>
      </w:pP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4"/>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p>
    <w:p w14:paraId="240887BF" w14:textId="764C6F3E" w:rsidR="00717B8E" w:rsidRPr="00AB25F4" w:rsidRDefault="00717B8E" w:rsidP="00443F54">
      <w:pPr>
        <w:spacing w:after="3"/>
        <w:rPr>
          <w:rFonts w:ascii="Times New Roman" w:hAnsi="Times New Roman"/>
          <w:color w:val="000000" w:themeColor="text1"/>
          <w:sz w:val="24"/>
          <w:szCs w:val="24"/>
        </w:rPr>
      </w:pPr>
    </w:p>
    <w:p w14:paraId="0874EA03" w14:textId="11A0C919" w:rsidR="00F16259" w:rsidRDefault="00F16259" w:rsidP="00F16259">
      <w:pPr>
        <w:spacing w:line="275" w:lineRule="exact"/>
        <w:ind w:hanging="7"/>
        <w:jc w:val="center"/>
        <w:rPr>
          <w:rFonts w:ascii="Times New Roman" w:hAnsi="Times New Roman" w:cs="Times New Roman"/>
          <w:color w:val="000000"/>
          <w:spacing w:val="-4"/>
          <w:sz w:val="24"/>
          <w:szCs w:val="24"/>
        </w:rPr>
      </w:pPr>
      <w:r>
        <w:rPr>
          <w:rFonts w:ascii="Times New Roman" w:hAnsi="Times New Roman" w:cs="Times New Roman"/>
          <w:b/>
          <w:bCs/>
          <w:color w:val="000000"/>
          <w:spacing w:val="-3"/>
          <w:sz w:val="24"/>
          <w:szCs w:val="24"/>
        </w:rPr>
        <w:t xml:space="preserve">Lucille </w:t>
      </w:r>
      <w:proofErr w:type="spellStart"/>
      <w:r>
        <w:rPr>
          <w:rFonts w:ascii="Times New Roman" w:hAnsi="Times New Roman" w:cs="Times New Roman"/>
          <w:b/>
          <w:bCs/>
          <w:color w:val="000000"/>
          <w:spacing w:val="-3"/>
          <w:sz w:val="24"/>
          <w:szCs w:val="24"/>
        </w:rPr>
        <w:t>Tuitt</w:t>
      </w:r>
      <w:proofErr w:type="spellEnd"/>
      <w:r>
        <w:rPr>
          <w:rFonts w:ascii="Times New Roman" w:hAnsi="Times New Roman" w:cs="Times New Roman"/>
          <w:b/>
          <w:bCs/>
          <w:color w:val="000000"/>
          <w:spacing w:val="-3"/>
          <w:sz w:val="24"/>
          <w:szCs w:val="24"/>
        </w:rPr>
        <w:t xml:space="preserve"> </w:t>
      </w:r>
      <w:r w:rsidRPr="00AB25F4">
        <w:rPr>
          <w:rFonts w:ascii="Times New Roman" w:hAnsi="Times New Roman" w:cs="Times New Roman"/>
          <w:color w:val="000000"/>
          <w:spacing w:val="-2"/>
          <w:sz w:val="24"/>
          <w:szCs w:val="24"/>
        </w:rPr>
        <w:t>the</w:t>
      </w:r>
      <w:r w:rsidR="00EE4D98" w:rsidRPr="00AB25F4">
        <w:rPr>
          <w:rFonts w:ascii="Times New Roman" w:hAnsi="Times New Roman" w:cs="Times New Roman"/>
          <w:color w:val="000000"/>
          <w:spacing w:val="-2"/>
          <w:sz w:val="24"/>
          <w:szCs w:val="24"/>
        </w:rPr>
        <w:t xml:space="preserve"> </w:t>
      </w:r>
      <w:r w:rsidR="00EE4D98" w:rsidRPr="00F16259">
        <w:rPr>
          <w:rFonts w:ascii="Times New Roman" w:hAnsi="Times New Roman" w:cs="Times New Roman"/>
          <w:b/>
          <w:bCs/>
          <w:color w:val="000000"/>
          <w:spacing w:val="-2"/>
          <w:sz w:val="24"/>
          <w:szCs w:val="24"/>
        </w:rPr>
        <w:t>A</w:t>
      </w:r>
      <w:r w:rsidR="00EE4D98" w:rsidRPr="00F16259">
        <w:rPr>
          <w:rFonts w:ascii="Times New Roman" w:hAnsi="Times New Roman" w:cs="Times New Roman"/>
          <w:b/>
          <w:bCs/>
          <w:color w:val="000000"/>
          <w:spacing w:val="-3"/>
          <w:sz w:val="24"/>
          <w:szCs w:val="24"/>
        </w:rPr>
        <w:t>ppe</w:t>
      </w:r>
      <w:r w:rsidR="00EE4D98" w:rsidRPr="00F16259">
        <w:rPr>
          <w:rFonts w:ascii="Times New Roman" w:hAnsi="Times New Roman" w:cs="Times New Roman"/>
          <w:b/>
          <w:bCs/>
          <w:color w:val="000000"/>
          <w:sz w:val="24"/>
          <w:szCs w:val="24"/>
        </w:rPr>
        <w:t>ll</w:t>
      </w:r>
      <w:r w:rsidR="00EE4D98" w:rsidRPr="00F16259">
        <w:rPr>
          <w:rFonts w:ascii="Times New Roman" w:hAnsi="Times New Roman" w:cs="Times New Roman"/>
          <w:b/>
          <w:bCs/>
          <w:color w:val="000000"/>
          <w:spacing w:val="-4"/>
          <w:sz w:val="24"/>
          <w:szCs w:val="24"/>
        </w:rPr>
        <w:t>a</w:t>
      </w:r>
      <w:r w:rsidR="00EE4D98" w:rsidRPr="00F16259">
        <w:rPr>
          <w:rFonts w:ascii="Times New Roman" w:hAnsi="Times New Roman" w:cs="Times New Roman"/>
          <w:b/>
          <w:bCs/>
          <w:color w:val="000000"/>
          <w:sz w:val="24"/>
          <w:szCs w:val="24"/>
        </w:rPr>
        <w:t>n</w:t>
      </w:r>
      <w:r w:rsidR="00EE4D98" w:rsidRPr="00F16259">
        <w:rPr>
          <w:rFonts w:ascii="Times New Roman" w:hAnsi="Times New Roman" w:cs="Times New Roman"/>
          <w:b/>
          <w:bCs/>
          <w:color w:val="000000"/>
          <w:spacing w:val="-4"/>
          <w:sz w:val="24"/>
          <w:szCs w:val="24"/>
        </w:rPr>
        <w:t>t</w:t>
      </w:r>
      <w:r w:rsidRPr="00F16259">
        <w:rPr>
          <w:rFonts w:ascii="Times New Roman" w:hAnsi="Times New Roman" w:cs="Times New Roman"/>
          <w:color w:val="000000"/>
          <w:spacing w:val="-4"/>
          <w:sz w:val="24"/>
          <w:szCs w:val="24"/>
        </w:rPr>
        <w:t xml:space="preserve"> in person</w:t>
      </w:r>
    </w:p>
    <w:p w14:paraId="604F7682" w14:textId="7C13AE38" w:rsidR="009E590E" w:rsidRPr="009E590E" w:rsidRDefault="009E590E" w:rsidP="00F16259">
      <w:pPr>
        <w:spacing w:line="275" w:lineRule="exact"/>
        <w:ind w:hanging="7"/>
        <w:jc w:val="center"/>
        <w:rPr>
          <w:rFonts w:ascii="Times New Roman" w:hAnsi="Times New Roman" w:cs="Times New Roman"/>
          <w:b/>
          <w:bCs/>
          <w:color w:val="000000"/>
          <w:sz w:val="24"/>
          <w:szCs w:val="24"/>
        </w:rPr>
      </w:pPr>
      <w:r w:rsidRPr="009E590E">
        <w:rPr>
          <w:rFonts w:ascii="Times New Roman" w:hAnsi="Times New Roman" w:cs="Times New Roman"/>
          <w:b/>
          <w:bCs/>
          <w:color w:val="000000"/>
          <w:spacing w:val="-4"/>
          <w:sz w:val="24"/>
          <w:szCs w:val="24"/>
        </w:rPr>
        <w:t>M Lee</w:t>
      </w:r>
      <w:r>
        <w:rPr>
          <w:rFonts w:ascii="Times New Roman" w:hAnsi="Times New Roman" w:cs="Times New Roman"/>
          <w:color w:val="000000"/>
          <w:spacing w:val="-4"/>
          <w:sz w:val="24"/>
          <w:szCs w:val="24"/>
        </w:rPr>
        <w:t xml:space="preserve"> (instructed by </w:t>
      </w:r>
      <w:r w:rsidRPr="009E590E">
        <w:rPr>
          <w:rFonts w:ascii="Times New Roman" w:hAnsi="Times New Roman" w:cs="Times New Roman"/>
          <w:b/>
          <w:bCs/>
          <w:color w:val="000000"/>
          <w:spacing w:val="-4"/>
          <w:sz w:val="24"/>
          <w:szCs w:val="24"/>
        </w:rPr>
        <w:t>South London Legal Partnership</w:t>
      </w:r>
      <w:r>
        <w:rPr>
          <w:rFonts w:ascii="Times New Roman" w:hAnsi="Times New Roman" w:cs="Times New Roman"/>
          <w:color w:val="000000"/>
          <w:spacing w:val="-4"/>
          <w:sz w:val="24"/>
          <w:szCs w:val="24"/>
        </w:rPr>
        <w:t xml:space="preserve">) for the </w:t>
      </w:r>
      <w:r w:rsidRPr="009E590E">
        <w:rPr>
          <w:rFonts w:ascii="Times New Roman" w:hAnsi="Times New Roman" w:cs="Times New Roman"/>
          <w:b/>
          <w:bCs/>
          <w:color w:val="000000"/>
          <w:spacing w:val="-4"/>
          <w:sz w:val="24"/>
          <w:szCs w:val="24"/>
        </w:rPr>
        <w:t xml:space="preserve">Respondent </w:t>
      </w:r>
    </w:p>
    <w:p w14:paraId="4C0EBEEC" w14:textId="77777777" w:rsidR="00E14E89" w:rsidRPr="009E590E" w:rsidRDefault="00E14E89" w:rsidP="00443F54">
      <w:pPr>
        <w:spacing w:after="3"/>
        <w:rPr>
          <w:rFonts w:ascii="Times New Roman" w:hAnsi="Times New Roman"/>
          <w:b/>
          <w:bCs/>
          <w:color w:val="000000" w:themeColor="text1"/>
          <w:sz w:val="24"/>
          <w:szCs w:val="24"/>
        </w:rPr>
      </w:pPr>
    </w:p>
    <w:p w14:paraId="551AEE44" w14:textId="1BC7B4F6" w:rsidR="00E30B9E" w:rsidRPr="00AB25F4" w:rsidRDefault="00E30B9E" w:rsidP="00443F54">
      <w:pPr>
        <w:spacing w:line="275" w:lineRule="exact"/>
        <w:jc w:val="center"/>
        <w:rPr>
          <w:rFonts w:ascii="Times New Roman" w:hAnsi="Times New Roman" w:cs="Times New Roman"/>
          <w:color w:val="000000"/>
          <w:spacing w:val="-2"/>
          <w:sz w:val="24"/>
          <w:szCs w:val="24"/>
        </w:rPr>
      </w:pPr>
    </w:p>
    <w:p w14:paraId="4D818FB0" w14:textId="62C6FEE5" w:rsidR="00CF54BE" w:rsidRPr="00AB25F4" w:rsidRDefault="00EE4D98" w:rsidP="00443F54">
      <w:pPr>
        <w:spacing w:line="275" w:lineRule="exact"/>
        <w:jc w:val="center"/>
        <w:rPr>
          <w:rFonts w:ascii="Times New Roman" w:hAnsi="Times New Roman" w:cs="Times New Roman"/>
          <w:color w:val="000000"/>
          <w:spacing w:val="-2"/>
          <w:sz w:val="24"/>
          <w:szCs w:val="24"/>
        </w:rPr>
      </w:pPr>
      <w:r w:rsidRPr="00AB25F4">
        <w:rPr>
          <w:rFonts w:ascii="Times New Roman" w:hAnsi="Times New Roman" w:cs="Times New Roman"/>
          <w:color w:val="000000"/>
          <w:spacing w:val="-2"/>
          <w:sz w:val="24"/>
          <w:szCs w:val="24"/>
        </w:rPr>
        <w:t>H</w:t>
      </w:r>
      <w:r w:rsidRPr="00AB25F4">
        <w:rPr>
          <w:rFonts w:ascii="Times New Roman" w:hAnsi="Times New Roman" w:cs="Times New Roman"/>
          <w:color w:val="000000"/>
          <w:spacing w:val="-3"/>
          <w:sz w:val="24"/>
          <w:szCs w:val="24"/>
        </w:rPr>
        <w:t>ear</w:t>
      </w:r>
      <w:r w:rsidRPr="00AB25F4">
        <w:rPr>
          <w:rFonts w:ascii="Times New Roman" w:hAnsi="Times New Roman" w:cs="Times New Roman"/>
          <w:color w:val="000000"/>
          <w:sz w:val="24"/>
          <w:szCs w:val="24"/>
        </w:rPr>
        <w:t>i</w:t>
      </w:r>
      <w:r w:rsidRPr="00AB25F4">
        <w:rPr>
          <w:rFonts w:ascii="Times New Roman" w:hAnsi="Times New Roman" w:cs="Times New Roman"/>
          <w:color w:val="000000"/>
          <w:spacing w:val="-2"/>
          <w:sz w:val="24"/>
          <w:szCs w:val="24"/>
        </w:rPr>
        <w:t>ng d</w:t>
      </w:r>
      <w:r w:rsidRPr="00AB25F4">
        <w:rPr>
          <w:rFonts w:ascii="Times New Roman" w:hAnsi="Times New Roman" w:cs="Times New Roman"/>
          <w:color w:val="000000"/>
          <w:spacing w:val="-3"/>
          <w:sz w:val="24"/>
          <w:szCs w:val="24"/>
        </w:rPr>
        <w:t>a</w:t>
      </w:r>
      <w:r w:rsidRPr="00AB25F4">
        <w:rPr>
          <w:rFonts w:ascii="Times New Roman" w:hAnsi="Times New Roman" w:cs="Times New Roman"/>
          <w:color w:val="000000"/>
          <w:sz w:val="24"/>
          <w:szCs w:val="24"/>
        </w:rPr>
        <w:t>t</w:t>
      </w:r>
      <w:r w:rsidRPr="00AB25F4">
        <w:rPr>
          <w:rFonts w:ascii="Times New Roman" w:hAnsi="Times New Roman" w:cs="Times New Roman"/>
          <w:color w:val="000000"/>
          <w:spacing w:val="-5"/>
          <w:sz w:val="24"/>
          <w:szCs w:val="24"/>
        </w:rPr>
        <w:t>e</w:t>
      </w:r>
      <w:r w:rsidRPr="00AB25F4">
        <w:rPr>
          <w:rFonts w:ascii="Times New Roman" w:hAnsi="Times New Roman" w:cs="Times New Roman"/>
          <w:color w:val="000000"/>
          <w:sz w:val="24"/>
          <w:szCs w:val="24"/>
        </w:rPr>
        <w:t>:</w:t>
      </w:r>
      <w:r w:rsidRPr="00AB25F4">
        <w:rPr>
          <w:rFonts w:ascii="Times New Roman" w:hAnsi="Times New Roman" w:cs="Times New Roman"/>
          <w:color w:val="000000"/>
          <w:spacing w:val="-4"/>
          <w:sz w:val="24"/>
          <w:szCs w:val="24"/>
        </w:rPr>
        <w:t xml:space="preserve"> </w:t>
      </w:r>
      <w:r w:rsidR="009E590E">
        <w:rPr>
          <w:rFonts w:ascii="Times New Roman" w:hAnsi="Times New Roman" w:cs="Times New Roman"/>
          <w:color w:val="000000"/>
          <w:spacing w:val="-2"/>
          <w:sz w:val="24"/>
          <w:szCs w:val="24"/>
        </w:rPr>
        <w:t>9</w:t>
      </w:r>
      <w:r w:rsidR="00F16259">
        <w:rPr>
          <w:rFonts w:ascii="Times New Roman" w:hAnsi="Times New Roman" w:cs="Times New Roman"/>
          <w:color w:val="000000"/>
          <w:spacing w:val="-2"/>
          <w:sz w:val="24"/>
          <w:szCs w:val="24"/>
        </w:rPr>
        <w:t xml:space="preserve"> March 2022</w:t>
      </w:r>
    </w:p>
    <w:p w14:paraId="6CBF4D15" w14:textId="1E8DD94E" w:rsidR="00E14E89" w:rsidRPr="00AB25F4" w:rsidRDefault="00EE4D98" w:rsidP="00443F54">
      <w:pPr>
        <w:spacing w:line="275" w:lineRule="exact"/>
        <w:jc w:val="center"/>
        <w:rPr>
          <w:rFonts w:ascii="Times New Roman" w:hAnsi="Times New Roman" w:cs="Times New Roman"/>
          <w:color w:val="010302"/>
          <w:sz w:val="24"/>
          <w:szCs w:val="24"/>
        </w:rPr>
      </w:pP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5"/>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4"/>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r w:rsidRPr="00AB25F4">
        <w:rPr>
          <w:rFonts w:ascii="Times New Roman" w:hAnsi="Times New Roman" w:cs="Times New Roman"/>
          <w:color w:val="000000"/>
          <w:spacing w:val="-2"/>
          <w:sz w:val="24"/>
          <w:szCs w:val="24"/>
        </w:rPr>
        <w:t xml:space="preserve"> </w:t>
      </w:r>
      <w:r w:rsidRPr="00AB25F4">
        <w:rPr>
          <w:rFonts w:ascii="Times New Roman" w:hAnsi="Times New Roman" w:cs="Times New Roman"/>
          <w:color w:val="000000"/>
          <w:spacing w:val="-3"/>
          <w:sz w:val="24"/>
          <w:szCs w:val="24"/>
        </w:rPr>
        <w:t>-</w:t>
      </w:r>
    </w:p>
    <w:p w14:paraId="01FD074F" w14:textId="10573218" w:rsidR="00E14E89" w:rsidRDefault="00EE4D98" w:rsidP="00443F54">
      <w:pPr>
        <w:spacing w:line="398" w:lineRule="exact"/>
        <w:jc w:val="center"/>
        <w:rPr>
          <w:rFonts w:ascii="Times New Roman" w:hAnsi="Times New Roman" w:cs="Times New Roman"/>
          <w:color w:val="010302"/>
        </w:rPr>
      </w:pPr>
      <w:r>
        <w:rPr>
          <w:rFonts w:ascii="Times New Roman" w:hAnsi="Times New Roman" w:cs="Times New Roman"/>
          <w:b/>
          <w:bCs/>
          <w:color w:val="000000"/>
          <w:sz w:val="36"/>
          <w:szCs w:val="36"/>
        </w:rPr>
        <w:t>JUDGMENT</w:t>
      </w:r>
    </w:p>
    <w:p w14:paraId="630E0BBB" w14:textId="70A74447" w:rsidR="00E14E89" w:rsidRDefault="00E14E89" w:rsidP="00443F54">
      <w:pPr>
        <w:spacing w:after="37"/>
        <w:rPr>
          <w:rFonts w:ascii="Times New Roman" w:hAnsi="Times New Roman"/>
          <w:color w:val="000000" w:themeColor="text1"/>
          <w:sz w:val="24"/>
          <w:szCs w:val="24"/>
        </w:rPr>
      </w:pPr>
    </w:p>
    <w:p w14:paraId="5BF352E6" w14:textId="20C02C2E" w:rsidR="00717B8E" w:rsidRDefault="00717B8E" w:rsidP="00443F54">
      <w:pPr>
        <w:spacing w:after="37"/>
        <w:rPr>
          <w:rFonts w:ascii="Times New Roman" w:hAnsi="Times New Roman"/>
          <w:color w:val="000000" w:themeColor="text1"/>
          <w:sz w:val="24"/>
          <w:szCs w:val="24"/>
        </w:rPr>
      </w:pPr>
    </w:p>
    <w:p w14:paraId="076BA666" w14:textId="08BC0B4D" w:rsidR="00717B8E" w:rsidRDefault="00717B8E" w:rsidP="00443F54">
      <w:pPr>
        <w:spacing w:after="37"/>
        <w:rPr>
          <w:rFonts w:ascii="Times New Roman" w:hAnsi="Times New Roman"/>
          <w:color w:val="000000" w:themeColor="text1"/>
          <w:sz w:val="24"/>
          <w:szCs w:val="24"/>
        </w:rPr>
      </w:pPr>
    </w:p>
    <w:p w14:paraId="4259D9FE" w14:textId="26AEE584" w:rsidR="00443F54" w:rsidRDefault="00443F54" w:rsidP="00443F54">
      <w:pPr>
        <w:spacing w:after="37"/>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65B03518" w14:textId="026A82BB" w:rsidR="00E14E89" w:rsidRPr="00D700D5" w:rsidRDefault="00EE4D98" w:rsidP="00F371D5">
      <w:pPr>
        <w:spacing w:line="480" w:lineRule="auto"/>
        <w:contextualSpacing/>
        <w:jc w:val="both"/>
        <w:rPr>
          <w:rFonts w:ascii="Times New Roman" w:hAnsi="Times New Roman" w:cs="Times New Roman"/>
          <w:color w:val="010302"/>
          <w:u w:val="single"/>
        </w:rPr>
      </w:pPr>
      <w:r w:rsidRPr="00D700D5">
        <w:rPr>
          <w:rFonts w:ascii="Times New Roman" w:hAnsi="Times New Roman" w:cs="Times New Roman"/>
          <w:b/>
          <w:bCs/>
          <w:color w:val="000000"/>
          <w:sz w:val="24"/>
          <w:szCs w:val="24"/>
          <w:u w:val="single"/>
        </w:rPr>
        <w:lastRenderedPageBreak/>
        <w:t>SUMMARY</w:t>
      </w:r>
    </w:p>
    <w:p w14:paraId="5F33D090" w14:textId="717F7E0C" w:rsidR="00E14E89" w:rsidRPr="00EE0A8B" w:rsidRDefault="00EE0A8B" w:rsidP="00F371D5">
      <w:pPr>
        <w:spacing w:line="480" w:lineRule="auto"/>
        <w:contextualSpacing/>
        <w:jc w:val="both"/>
        <w:rPr>
          <w:rFonts w:ascii="Times New Roman" w:hAnsi="Times New Roman" w:cs="Times New Roman"/>
          <w:b/>
          <w:bCs/>
          <w:color w:val="010302"/>
        </w:rPr>
      </w:pPr>
      <w:r w:rsidRPr="00EE0A8B">
        <w:rPr>
          <w:rFonts w:ascii="Times New Roman" w:hAnsi="Times New Roman" w:cs="Times New Roman"/>
          <w:b/>
          <w:bCs/>
          <w:color w:val="010302"/>
        </w:rPr>
        <w:t>TRANSFER OF UNDERTAKINGS</w:t>
      </w:r>
    </w:p>
    <w:p w14:paraId="00BD39AD" w14:textId="77777777" w:rsidR="00E14E89" w:rsidRDefault="00E14E89" w:rsidP="00F371D5">
      <w:pPr>
        <w:spacing w:line="480" w:lineRule="auto"/>
        <w:contextualSpacing/>
        <w:jc w:val="both"/>
        <w:rPr>
          <w:rFonts w:ascii="Times New Roman" w:hAnsi="Times New Roman"/>
          <w:color w:val="000000" w:themeColor="text1"/>
          <w:sz w:val="24"/>
          <w:szCs w:val="24"/>
        </w:rPr>
      </w:pPr>
    </w:p>
    <w:p w14:paraId="765A5698" w14:textId="058ADA83" w:rsidR="00E14E89" w:rsidRDefault="00BD5E83" w:rsidP="00F371D5">
      <w:pPr>
        <w:spacing w:line="48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claimant appealed </w:t>
      </w:r>
      <w:r w:rsidR="00674CA4">
        <w:rPr>
          <w:rFonts w:ascii="Times New Roman" w:hAnsi="Times New Roman"/>
          <w:color w:val="000000" w:themeColor="text1"/>
          <w:sz w:val="24"/>
          <w:szCs w:val="24"/>
        </w:rPr>
        <w:t xml:space="preserve">the Employment Tribunal’s decision that her employment did not transfer to the respondent pursuant to the </w:t>
      </w:r>
      <w:r w:rsidR="002B43BA" w:rsidRPr="00753861">
        <w:rPr>
          <w:rFonts w:ascii="Times New Roman" w:hAnsi="Times New Roman"/>
          <w:b/>
          <w:bCs/>
          <w:color w:val="000000" w:themeColor="text1"/>
          <w:sz w:val="24"/>
          <w:szCs w:val="24"/>
        </w:rPr>
        <w:t>Transfer of Undertakings (Protection of Employment) Regulations 2006</w:t>
      </w:r>
      <w:r w:rsidR="00937DD2">
        <w:rPr>
          <w:rFonts w:ascii="Times New Roman" w:hAnsi="Times New Roman"/>
          <w:color w:val="000000" w:themeColor="text1"/>
          <w:sz w:val="24"/>
          <w:szCs w:val="24"/>
        </w:rPr>
        <w:t xml:space="preserve">. </w:t>
      </w:r>
      <w:r w:rsidR="00C853FB">
        <w:rPr>
          <w:rFonts w:ascii="Times New Roman" w:hAnsi="Times New Roman"/>
          <w:color w:val="000000" w:themeColor="text1"/>
          <w:sz w:val="24"/>
          <w:szCs w:val="24"/>
        </w:rPr>
        <w:t xml:space="preserve"> </w:t>
      </w:r>
      <w:r w:rsidR="00937DD2">
        <w:rPr>
          <w:rFonts w:ascii="Times New Roman" w:hAnsi="Times New Roman"/>
          <w:color w:val="000000" w:themeColor="text1"/>
          <w:sz w:val="24"/>
          <w:szCs w:val="24"/>
        </w:rPr>
        <w:t xml:space="preserve">The Employment Tribunal rejected the contention that her employment had transferred by virtue of a service provision change within the meaning of </w:t>
      </w:r>
      <w:r w:rsidR="00937DD2" w:rsidRPr="00753861">
        <w:rPr>
          <w:rFonts w:ascii="Times New Roman" w:hAnsi="Times New Roman"/>
          <w:b/>
          <w:bCs/>
          <w:color w:val="000000" w:themeColor="text1"/>
          <w:sz w:val="24"/>
          <w:szCs w:val="24"/>
        </w:rPr>
        <w:t>regulation 3(1)(b)(iii)</w:t>
      </w:r>
      <w:r w:rsidR="00937DD2">
        <w:rPr>
          <w:rFonts w:ascii="Times New Roman" w:hAnsi="Times New Roman"/>
          <w:color w:val="000000" w:themeColor="text1"/>
          <w:sz w:val="24"/>
          <w:szCs w:val="24"/>
        </w:rPr>
        <w:t xml:space="preserve">, finding that the activities </w:t>
      </w:r>
      <w:r w:rsidR="00FB280E">
        <w:rPr>
          <w:rFonts w:ascii="Times New Roman" w:hAnsi="Times New Roman"/>
          <w:color w:val="000000" w:themeColor="text1"/>
          <w:sz w:val="24"/>
          <w:szCs w:val="24"/>
        </w:rPr>
        <w:t>carried</w:t>
      </w:r>
      <w:r w:rsidR="00937DD2">
        <w:rPr>
          <w:rFonts w:ascii="Times New Roman" w:hAnsi="Times New Roman"/>
          <w:color w:val="000000" w:themeColor="text1"/>
          <w:sz w:val="24"/>
          <w:szCs w:val="24"/>
        </w:rPr>
        <w:t xml:space="preserve"> out before and after the alleged transfer date were not fundamentally the same.</w:t>
      </w:r>
    </w:p>
    <w:p w14:paraId="776F96EA" w14:textId="015CB139" w:rsidR="00937DD2" w:rsidRDefault="00FB280E" w:rsidP="00F371D5">
      <w:pPr>
        <w:spacing w:line="48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Her </w:t>
      </w:r>
      <w:r w:rsidR="005C6D27">
        <w:rPr>
          <w:rFonts w:ascii="Times New Roman" w:hAnsi="Times New Roman"/>
          <w:color w:val="000000" w:themeColor="text1"/>
          <w:sz w:val="24"/>
          <w:szCs w:val="24"/>
        </w:rPr>
        <w:t xml:space="preserve">appeal was dismissed. </w:t>
      </w:r>
      <w:r w:rsidR="00C853FB">
        <w:rPr>
          <w:rFonts w:ascii="Times New Roman" w:hAnsi="Times New Roman"/>
          <w:color w:val="000000" w:themeColor="text1"/>
          <w:sz w:val="24"/>
          <w:szCs w:val="24"/>
        </w:rPr>
        <w:t xml:space="preserve"> </w:t>
      </w:r>
      <w:r w:rsidR="005C6D27">
        <w:rPr>
          <w:rFonts w:ascii="Times New Roman" w:hAnsi="Times New Roman"/>
          <w:color w:val="000000" w:themeColor="text1"/>
          <w:sz w:val="24"/>
          <w:szCs w:val="24"/>
        </w:rPr>
        <w:t xml:space="preserve">The Employment Tribunal </w:t>
      </w:r>
      <w:r w:rsidR="00C56049">
        <w:rPr>
          <w:rFonts w:ascii="Times New Roman" w:hAnsi="Times New Roman"/>
          <w:color w:val="000000" w:themeColor="text1"/>
          <w:sz w:val="24"/>
          <w:szCs w:val="24"/>
        </w:rPr>
        <w:t xml:space="preserve">had asked the correct question required by </w:t>
      </w:r>
      <w:r w:rsidR="00C56049" w:rsidRPr="00753861">
        <w:rPr>
          <w:rFonts w:ascii="Times New Roman" w:hAnsi="Times New Roman"/>
          <w:b/>
          <w:bCs/>
          <w:color w:val="000000" w:themeColor="text1"/>
          <w:sz w:val="24"/>
          <w:szCs w:val="24"/>
        </w:rPr>
        <w:t>regulation 3(2A)</w:t>
      </w:r>
      <w:r w:rsidR="00C56049">
        <w:rPr>
          <w:rFonts w:ascii="Times New Roman" w:hAnsi="Times New Roman"/>
          <w:color w:val="000000" w:themeColor="text1"/>
          <w:sz w:val="24"/>
          <w:szCs w:val="24"/>
        </w:rPr>
        <w:t xml:space="preserve"> </w:t>
      </w:r>
      <w:r w:rsidR="003404E6">
        <w:rPr>
          <w:rFonts w:ascii="Times New Roman" w:hAnsi="Times New Roman"/>
          <w:color w:val="000000" w:themeColor="text1"/>
          <w:sz w:val="24"/>
          <w:szCs w:val="24"/>
        </w:rPr>
        <w:t xml:space="preserve">and had permissibly concluded </w:t>
      </w:r>
      <w:proofErr w:type="gramStart"/>
      <w:r w:rsidR="003404E6">
        <w:rPr>
          <w:rFonts w:ascii="Times New Roman" w:hAnsi="Times New Roman"/>
          <w:color w:val="000000" w:themeColor="text1"/>
          <w:sz w:val="24"/>
          <w:szCs w:val="24"/>
        </w:rPr>
        <w:t>for the reasons that</w:t>
      </w:r>
      <w:proofErr w:type="gramEnd"/>
      <w:r w:rsidR="003404E6">
        <w:rPr>
          <w:rFonts w:ascii="Times New Roman" w:hAnsi="Times New Roman"/>
          <w:color w:val="000000" w:themeColor="text1"/>
          <w:sz w:val="24"/>
          <w:szCs w:val="24"/>
        </w:rPr>
        <w:t xml:space="preserve"> it identified that </w:t>
      </w:r>
      <w:r w:rsidR="00A5518D">
        <w:rPr>
          <w:rFonts w:ascii="Times New Roman" w:hAnsi="Times New Roman"/>
          <w:color w:val="000000" w:themeColor="text1"/>
          <w:sz w:val="24"/>
          <w:szCs w:val="24"/>
        </w:rPr>
        <w:t xml:space="preserve">the activities undertaken by the respondent after the alleged transfer date were fundamentally different to those </w:t>
      </w:r>
      <w:r w:rsidR="00E11F23">
        <w:rPr>
          <w:rFonts w:ascii="Times New Roman" w:hAnsi="Times New Roman"/>
          <w:color w:val="000000" w:themeColor="text1"/>
          <w:sz w:val="24"/>
          <w:szCs w:val="24"/>
        </w:rPr>
        <w:t xml:space="preserve">previously </w:t>
      </w:r>
      <w:r w:rsidR="00BE1EF9">
        <w:rPr>
          <w:rFonts w:ascii="Times New Roman" w:hAnsi="Times New Roman"/>
          <w:color w:val="000000" w:themeColor="text1"/>
          <w:sz w:val="24"/>
          <w:szCs w:val="24"/>
        </w:rPr>
        <w:t>carried out by the claimant’s employer</w:t>
      </w:r>
      <w:r w:rsidR="00A108F3">
        <w:rPr>
          <w:rFonts w:ascii="Times New Roman" w:hAnsi="Times New Roman"/>
          <w:color w:val="000000" w:themeColor="text1"/>
          <w:sz w:val="24"/>
          <w:szCs w:val="24"/>
        </w:rPr>
        <w:t xml:space="preserve">. </w:t>
      </w:r>
      <w:r w:rsidR="00C853FB">
        <w:rPr>
          <w:rFonts w:ascii="Times New Roman" w:hAnsi="Times New Roman"/>
          <w:color w:val="000000" w:themeColor="text1"/>
          <w:sz w:val="24"/>
          <w:szCs w:val="24"/>
        </w:rPr>
        <w:t xml:space="preserve"> </w:t>
      </w:r>
      <w:r w:rsidR="00A108F3">
        <w:rPr>
          <w:rFonts w:ascii="Times New Roman" w:hAnsi="Times New Roman"/>
          <w:color w:val="000000" w:themeColor="text1"/>
          <w:sz w:val="24"/>
          <w:szCs w:val="24"/>
        </w:rPr>
        <w:t xml:space="preserve">The question was one of fact and degree for the </w:t>
      </w:r>
      <w:r w:rsidR="00535EFE">
        <w:rPr>
          <w:rFonts w:ascii="Times New Roman" w:hAnsi="Times New Roman"/>
          <w:color w:val="000000" w:themeColor="text1"/>
          <w:sz w:val="24"/>
          <w:szCs w:val="24"/>
        </w:rPr>
        <w:t xml:space="preserve">Employment </w:t>
      </w:r>
      <w:r w:rsidR="00A108F3">
        <w:rPr>
          <w:rFonts w:ascii="Times New Roman" w:hAnsi="Times New Roman"/>
          <w:color w:val="000000" w:themeColor="text1"/>
          <w:sz w:val="24"/>
          <w:szCs w:val="24"/>
        </w:rPr>
        <w:t xml:space="preserve">Tribunal’s assessment and no error of law in </w:t>
      </w:r>
      <w:proofErr w:type="gramStart"/>
      <w:r w:rsidR="00A108F3">
        <w:rPr>
          <w:rFonts w:ascii="Times New Roman" w:hAnsi="Times New Roman"/>
          <w:color w:val="000000" w:themeColor="text1"/>
          <w:sz w:val="24"/>
          <w:szCs w:val="24"/>
        </w:rPr>
        <w:t>it</w:t>
      </w:r>
      <w:proofErr w:type="gramEnd"/>
      <w:r w:rsidR="00A108F3">
        <w:rPr>
          <w:rFonts w:ascii="Times New Roman" w:hAnsi="Times New Roman"/>
          <w:color w:val="000000" w:themeColor="text1"/>
          <w:sz w:val="24"/>
          <w:szCs w:val="24"/>
        </w:rPr>
        <w:t xml:space="preserve"> approach had been identified.</w:t>
      </w:r>
      <w:r w:rsidR="00C853FB">
        <w:rPr>
          <w:rFonts w:ascii="Times New Roman" w:hAnsi="Times New Roman"/>
          <w:color w:val="000000" w:themeColor="text1"/>
          <w:sz w:val="24"/>
          <w:szCs w:val="24"/>
        </w:rPr>
        <w:t xml:space="preserve"> </w:t>
      </w:r>
      <w:r w:rsidR="0057643C">
        <w:rPr>
          <w:rFonts w:ascii="Times New Roman" w:hAnsi="Times New Roman"/>
          <w:color w:val="000000" w:themeColor="text1"/>
          <w:sz w:val="24"/>
          <w:szCs w:val="24"/>
        </w:rPr>
        <w:t xml:space="preserve"> </w:t>
      </w:r>
      <w:r w:rsidR="00535EFE">
        <w:rPr>
          <w:rFonts w:ascii="Times New Roman" w:hAnsi="Times New Roman"/>
          <w:color w:val="000000" w:themeColor="text1"/>
          <w:sz w:val="24"/>
          <w:szCs w:val="24"/>
        </w:rPr>
        <w:t>Furthermore, i</w:t>
      </w:r>
      <w:r w:rsidR="0057643C">
        <w:rPr>
          <w:rFonts w:ascii="Times New Roman" w:hAnsi="Times New Roman"/>
          <w:color w:val="000000" w:themeColor="text1"/>
          <w:sz w:val="24"/>
          <w:szCs w:val="24"/>
        </w:rPr>
        <w:t xml:space="preserve">t is </w:t>
      </w:r>
      <w:r w:rsidR="00943A23">
        <w:rPr>
          <w:rFonts w:ascii="Times New Roman" w:hAnsi="Times New Roman"/>
          <w:color w:val="000000" w:themeColor="text1"/>
          <w:sz w:val="24"/>
          <w:szCs w:val="24"/>
        </w:rPr>
        <w:t xml:space="preserve">apparent from the statutory test </w:t>
      </w:r>
      <w:r w:rsidR="001C48A8">
        <w:rPr>
          <w:rFonts w:ascii="Times New Roman" w:hAnsi="Times New Roman"/>
          <w:color w:val="000000" w:themeColor="text1"/>
          <w:sz w:val="24"/>
          <w:szCs w:val="24"/>
        </w:rPr>
        <w:t xml:space="preserve">and the </w:t>
      </w:r>
      <w:r w:rsidR="00AF38AE">
        <w:rPr>
          <w:rFonts w:ascii="Times New Roman" w:hAnsi="Times New Roman"/>
          <w:color w:val="000000" w:themeColor="text1"/>
          <w:sz w:val="24"/>
          <w:szCs w:val="24"/>
        </w:rPr>
        <w:t xml:space="preserve">related </w:t>
      </w:r>
      <w:r w:rsidR="001C48A8">
        <w:rPr>
          <w:rFonts w:ascii="Times New Roman" w:hAnsi="Times New Roman"/>
          <w:color w:val="000000" w:themeColor="text1"/>
          <w:sz w:val="24"/>
          <w:szCs w:val="24"/>
        </w:rPr>
        <w:t>caselaw</w:t>
      </w:r>
      <w:r w:rsidR="002D66F1">
        <w:rPr>
          <w:rFonts w:ascii="Times New Roman" w:hAnsi="Times New Roman"/>
          <w:color w:val="000000" w:themeColor="text1"/>
          <w:sz w:val="24"/>
          <w:szCs w:val="24"/>
        </w:rPr>
        <w:t xml:space="preserve"> that the focus </w:t>
      </w:r>
      <w:r w:rsidR="00AF38AE">
        <w:rPr>
          <w:rFonts w:ascii="Times New Roman" w:hAnsi="Times New Roman"/>
          <w:color w:val="000000" w:themeColor="text1"/>
          <w:sz w:val="24"/>
          <w:szCs w:val="24"/>
        </w:rPr>
        <w:t xml:space="preserve">of the inquiry </w:t>
      </w:r>
      <w:r w:rsidR="002D66F1">
        <w:rPr>
          <w:rFonts w:ascii="Times New Roman" w:hAnsi="Times New Roman"/>
          <w:color w:val="000000" w:themeColor="text1"/>
          <w:sz w:val="24"/>
          <w:szCs w:val="24"/>
        </w:rPr>
        <w:t>is upon the activity undertaken and whether and to what degree this has changed after the alleged transfer</w:t>
      </w:r>
      <w:r w:rsidR="00924D81">
        <w:rPr>
          <w:rFonts w:ascii="Times New Roman" w:hAnsi="Times New Roman"/>
          <w:color w:val="000000" w:themeColor="text1"/>
          <w:sz w:val="24"/>
          <w:szCs w:val="24"/>
        </w:rPr>
        <w:t xml:space="preserve">. </w:t>
      </w:r>
      <w:r w:rsidR="00C853FB">
        <w:rPr>
          <w:rFonts w:ascii="Times New Roman" w:hAnsi="Times New Roman"/>
          <w:color w:val="000000" w:themeColor="text1"/>
          <w:sz w:val="24"/>
          <w:szCs w:val="24"/>
        </w:rPr>
        <w:t xml:space="preserve"> </w:t>
      </w:r>
      <w:r w:rsidR="00924D81">
        <w:rPr>
          <w:rFonts w:ascii="Times New Roman" w:hAnsi="Times New Roman"/>
          <w:color w:val="000000" w:themeColor="text1"/>
          <w:sz w:val="24"/>
          <w:szCs w:val="24"/>
        </w:rPr>
        <w:t xml:space="preserve">The reasons behind </w:t>
      </w:r>
      <w:r w:rsidR="008D6CD7">
        <w:rPr>
          <w:rFonts w:ascii="Times New Roman" w:hAnsi="Times New Roman"/>
          <w:color w:val="000000" w:themeColor="text1"/>
          <w:sz w:val="24"/>
          <w:szCs w:val="24"/>
        </w:rPr>
        <w:t>the change</w:t>
      </w:r>
      <w:r w:rsidR="00FC06F2">
        <w:rPr>
          <w:rFonts w:ascii="Times New Roman" w:hAnsi="Times New Roman"/>
          <w:color w:val="000000" w:themeColor="text1"/>
          <w:sz w:val="24"/>
          <w:szCs w:val="24"/>
        </w:rPr>
        <w:t xml:space="preserve">, </w:t>
      </w:r>
      <w:r w:rsidR="008D6CD7">
        <w:rPr>
          <w:rFonts w:ascii="Times New Roman" w:hAnsi="Times New Roman"/>
          <w:color w:val="000000" w:themeColor="text1"/>
          <w:sz w:val="24"/>
          <w:szCs w:val="24"/>
        </w:rPr>
        <w:t>if there was a change</w:t>
      </w:r>
      <w:r w:rsidR="00FC06F2">
        <w:rPr>
          <w:rFonts w:ascii="Times New Roman" w:hAnsi="Times New Roman"/>
          <w:color w:val="000000" w:themeColor="text1"/>
          <w:sz w:val="24"/>
          <w:szCs w:val="24"/>
        </w:rPr>
        <w:t>,</w:t>
      </w:r>
      <w:r w:rsidR="008D6CD7">
        <w:rPr>
          <w:rFonts w:ascii="Times New Roman" w:hAnsi="Times New Roman"/>
          <w:color w:val="000000" w:themeColor="text1"/>
          <w:sz w:val="24"/>
          <w:szCs w:val="24"/>
        </w:rPr>
        <w:t xml:space="preserve"> </w:t>
      </w:r>
      <w:r w:rsidR="006975AE">
        <w:rPr>
          <w:rFonts w:ascii="Times New Roman" w:hAnsi="Times New Roman"/>
          <w:color w:val="000000" w:themeColor="text1"/>
          <w:sz w:val="24"/>
          <w:szCs w:val="24"/>
        </w:rPr>
        <w:t>a</w:t>
      </w:r>
      <w:r w:rsidR="008D6CD7">
        <w:rPr>
          <w:rFonts w:ascii="Times New Roman" w:hAnsi="Times New Roman"/>
          <w:color w:val="000000" w:themeColor="text1"/>
          <w:sz w:val="24"/>
          <w:szCs w:val="24"/>
        </w:rPr>
        <w:t xml:space="preserve">re not directly in point (save in so far as they indicate a deliberate </w:t>
      </w:r>
      <w:r w:rsidR="00DD552F">
        <w:rPr>
          <w:rFonts w:ascii="Times New Roman" w:hAnsi="Times New Roman"/>
          <w:color w:val="000000" w:themeColor="text1"/>
          <w:sz w:val="24"/>
          <w:szCs w:val="24"/>
        </w:rPr>
        <w:t>engineering</w:t>
      </w:r>
      <w:r w:rsidR="008D6CD7">
        <w:rPr>
          <w:rFonts w:ascii="Times New Roman" w:hAnsi="Times New Roman"/>
          <w:color w:val="000000" w:themeColor="text1"/>
          <w:sz w:val="24"/>
          <w:szCs w:val="24"/>
        </w:rPr>
        <w:t xml:space="preserve"> to avoid the consequences of </w:t>
      </w:r>
      <w:r w:rsidR="00AA4874">
        <w:rPr>
          <w:rFonts w:ascii="Times New Roman" w:hAnsi="Times New Roman"/>
          <w:color w:val="000000" w:themeColor="text1"/>
          <w:sz w:val="24"/>
          <w:szCs w:val="24"/>
        </w:rPr>
        <w:t>the Regulations); if the activity was fundamentally different, it mattered not whether this arose from staff availability or for other reasons.</w:t>
      </w:r>
      <w:r w:rsidR="00EE2BDD">
        <w:rPr>
          <w:rFonts w:ascii="Times New Roman" w:hAnsi="Times New Roman"/>
          <w:color w:val="000000" w:themeColor="text1"/>
          <w:sz w:val="24"/>
          <w:szCs w:val="24"/>
        </w:rPr>
        <w:t xml:space="preserve">  </w:t>
      </w:r>
      <w:r w:rsidR="00C853FB">
        <w:rPr>
          <w:rFonts w:ascii="Times New Roman" w:hAnsi="Times New Roman"/>
          <w:color w:val="000000" w:themeColor="text1"/>
          <w:sz w:val="24"/>
          <w:szCs w:val="24"/>
        </w:rPr>
        <w:t xml:space="preserve">The claimant’s submission that any change stemming from employee availability should be left out of account by the </w:t>
      </w:r>
      <w:proofErr w:type="gramStart"/>
      <w:r w:rsidR="00C853FB">
        <w:rPr>
          <w:rFonts w:ascii="Times New Roman" w:hAnsi="Times New Roman"/>
          <w:color w:val="000000" w:themeColor="text1"/>
          <w:sz w:val="24"/>
          <w:szCs w:val="24"/>
        </w:rPr>
        <w:t>fact-finder</w:t>
      </w:r>
      <w:proofErr w:type="gramEnd"/>
      <w:r w:rsidR="00C853FB">
        <w:rPr>
          <w:rFonts w:ascii="Times New Roman" w:hAnsi="Times New Roman"/>
          <w:color w:val="000000" w:themeColor="text1"/>
          <w:sz w:val="24"/>
          <w:szCs w:val="24"/>
        </w:rPr>
        <w:t xml:space="preserve"> was not well founded.</w:t>
      </w:r>
    </w:p>
    <w:p w14:paraId="2D930B87" w14:textId="028F316A" w:rsidR="00C1686B" w:rsidRDefault="00C1686B" w:rsidP="00F371D5">
      <w:pPr>
        <w:spacing w:line="48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Whilst the Employment Tribunal did not identify the case law that it had </w:t>
      </w:r>
      <w:r w:rsidR="00E56639">
        <w:rPr>
          <w:rFonts w:ascii="Times New Roman" w:hAnsi="Times New Roman"/>
          <w:color w:val="000000" w:themeColor="text1"/>
          <w:sz w:val="24"/>
          <w:szCs w:val="24"/>
        </w:rPr>
        <w:t>relied upon</w:t>
      </w:r>
      <w:r w:rsidR="0041431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(which </w:t>
      </w:r>
      <w:r w:rsidR="00DD552F">
        <w:rPr>
          <w:rFonts w:ascii="Times New Roman" w:hAnsi="Times New Roman"/>
          <w:color w:val="000000" w:themeColor="text1"/>
          <w:sz w:val="24"/>
          <w:szCs w:val="24"/>
        </w:rPr>
        <w:t>would</w:t>
      </w:r>
      <w:r>
        <w:rPr>
          <w:rFonts w:ascii="Times New Roman" w:hAnsi="Times New Roman"/>
          <w:color w:val="000000" w:themeColor="text1"/>
          <w:sz w:val="24"/>
          <w:szCs w:val="24"/>
        </w:rPr>
        <w:t xml:space="preserve"> have been preferable)</w:t>
      </w:r>
      <w:r w:rsidR="00414316">
        <w:rPr>
          <w:rFonts w:ascii="Times New Roman" w:hAnsi="Times New Roman"/>
          <w:color w:val="000000" w:themeColor="text1"/>
          <w:sz w:val="24"/>
          <w:szCs w:val="24"/>
        </w:rPr>
        <w:t xml:space="preserve">, </w:t>
      </w:r>
      <w:r w:rsidR="00E473AC">
        <w:rPr>
          <w:rFonts w:ascii="Times New Roman" w:hAnsi="Times New Roman"/>
          <w:color w:val="000000" w:themeColor="text1"/>
          <w:sz w:val="24"/>
          <w:szCs w:val="24"/>
        </w:rPr>
        <w:t>this would only give rise to a material error of law if th</w:t>
      </w:r>
      <w:r w:rsidR="009945C1">
        <w:rPr>
          <w:rFonts w:ascii="Times New Roman" w:hAnsi="Times New Roman"/>
          <w:color w:val="000000" w:themeColor="text1"/>
          <w:sz w:val="24"/>
          <w:szCs w:val="24"/>
        </w:rPr>
        <w:t xml:space="preserve">is had led the Tribunal to ask the wrong question or </w:t>
      </w:r>
      <w:r w:rsidR="0080704A">
        <w:rPr>
          <w:rFonts w:ascii="Times New Roman" w:hAnsi="Times New Roman"/>
          <w:color w:val="000000" w:themeColor="text1"/>
          <w:sz w:val="24"/>
          <w:szCs w:val="24"/>
        </w:rPr>
        <w:t xml:space="preserve">to </w:t>
      </w:r>
      <w:r w:rsidR="009945C1">
        <w:rPr>
          <w:rFonts w:ascii="Times New Roman" w:hAnsi="Times New Roman"/>
          <w:color w:val="000000" w:themeColor="text1"/>
          <w:sz w:val="24"/>
          <w:szCs w:val="24"/>
        </w:rPr>
        <w:t>give legally erroneous self-directions, which was plainly not the case here</w:t>
      </w:r>
      <w:r w:rsidR="00E56639">
        <w:rPr>
          <w:rFonts w:ascii="Times New Roman" w:hAnsi="Times New Roman"/>
          <w:color w:val="000000" w:themeColor="text1"/>
          <w:sz w:val="24"/>
          <w:szCs w:val="24"/>
        </w:rPr>
        <w:t>.</w:t>
      </w:r>
    </w:p>
    <w:p w14:paraId="135618A0" w14:textId="118F7B0E" w:rsidR="00443F54" w:rsidRDefault="00443F54" w:rsidP="0061358B">
      <w:pPr>
        <w:spacing w:line="480" w:lineRule="auto"/>
        <w:contextualSpacing/>
        <w:jc w:val="both"/>
        <w:rPr>
          <w:rFonts w:ascii="Times New Roman" w:hAnsi="Times New Roman" w:cs="Times New Roman"/>
          <w:b/>
          <w:bCs/>
          <w:color w:val="000000"/>
          <w:sz w:val="24"/>
          <w:szCs w:val="24"/>
        </w:rPr>
      </w:pPr>
      <w:r>
        <w:rPr>
          <w:rFonts w:ascii="Times New Roman" w:hAnsi="Times New Roman"/>
          <w:color w:val="000000" w:themeColor="text1"/>
          <w:sz w:val="24"/>
          <w:szCs w:val="24"/>
        </w:rPr>
        <w:br w:type="page"/>
      </w:r>
      <w:r w:rsidR="00086FBB" w:rsidRPr="00086FBB">
        <w:rPr>
          <w:rFonts w:ascii="Times New Roman" w:hAnsi="Times New Roman"/>
          <w:b/>
          <w:bCs/>
          <w:color w:val="000000" w:themeColor="text1"/>
          <w:sz w:val="24"/>
          <w:szCs w:val="24"/>
        </w:rPr>
        <w:lastRenderedPageBreak/>
        <w:t>MRS JUSTICE</w:t>
      </w:r>
      <w:r w:rsidR="00086FBB">
        <w:rPr>
          <w:rFonts w:ascii="Times New Roman" w:hAnsi="Times New Roman"/>
          <w:color w:val="000000" w:themeColor="text1"/>
          <w:sz w:val="24"/>
          <w:szCs w:val="24"/>
        </w:rPr>
        <w:t xml:space="preserve"> </w:t>
      </w:r>
      <w:r w:rsidR="00D566C4">
        <w:rPr>
          <w:rFonts w:ascii="Times New Roman" w:hAnsi="Times New Roman"/>
          <w:b/>
          <w:bCs/>
          <w:color w:val="000000" w:themeColor="text1"/>
          <w:sz w:val="24"/>
          <w:szCs w:val="24"/>
        </w:rPr>
        <w:t xml:space="preserve">HEATHER </w:t>
      </w:r>
      <w:r w:rsidR="00616BA5" w:rsidRPr="000C3CDF">
        <w:rPr>
          <w:rFonts w:ascii="Times New Roman" w:hAnsi="Times New Roman"/>
          <w:b/>
          <w:bCs/>
          <w:color w:val="000000" w:themeColor="text1"/>
          <w:sz w:val="24"/>
          <w:szCs w:val="24"/>
        </w:rPr>
        <w:t>WILLIAMS</w:t>
      </w:r>
      <w:r w:rsidR="00CF54BE" w:rsidRPr="000C3CDF">
        <w:rPr>
          <w:rFonts w:ascii="Times New Roman" w:hAnsi="Times New Roman" w:cs="Times New Roman"/>
          <w:b/>
          <w:bCs/>
          <w:color w:val="000000"/>
          <w:sz w:val="24"/>
          <w:szCs w:val="24"/>
        </w:rPr>
        <w:t>:</w:t>
      </w:r>
    </w:p>
    <w:p w14:paraId="48709304" w14:textId="1A62CED1" w:rsidR="004A4833" w:rsidRPr="004A4833" w:rsidRDefault="004A4833" w:rsidP="0061358B">
      <w:pPr>
        <w:spacing w:line="480" w:lineRule="auto"/>
        <w:contextualSpacing/>
        <w:jc w:val="both"/>
        <w:rPr>
          <w:rFonts w:ascii="Times New Roman" w:hAnsi="Times New Roman" w:cs="Times New Roman"/>
          <w:b/>
          <w:bCs/>
          <w:color w:val="000000"/>
          <w:sz w:val="24"/>
          <w:szCs w:val="24"/>
          <w:u w:val="single"/>
        </w:rPr>
      </w:pPr>
      <w:r w:rsidRPr="004A4833">
        <w:rPr>
          <w:rFonts w:ascii="Times New Roman" w:hAnsi="Times New Roman" w:cs="Times New Roman"/>
          <w:b/>
          <w:bCs/>
          <w:color w:val="000000"/>
          <w:sz w:val="24"/>
          <w:szCs w:val="24"/>
          <w:u w:val="single"/>
        </w:rPr>
        <w:t>Introduction</w:t>
      </w:r>
    </w:p>
    <w:p w14:paraId="68FB7269" w14:textId="06D4BBB4" w:rsidR="00443F54" w:rsidRPr="00996790" w:rsidRDefault="0037479A"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00000"/>
          <w:sz w:val="24"/>
          <w:szCs w:val="24"/>
        </w:rPr>
        <w:t xml:space="preserve">The claimant appeals from the </w:t>
      </w:r>
      <w:r w:rsidR="00AC167C" w:rsidRPr="00996790">
        <w:rPr>
          <w:rFonts w:ascii="Times New Roman" w:hAnsi="Times New Roman" w:cs="Times New Roman"/>
          <w:color w:val="000000"/>
          <w:sz w:val="24"/>
          <w:szCs w:val="24"/>
        </w:rPr>
        <w:t xml:space="preserve">judgment of the London </w:t>
      </w:r>
      <w:r w:rsidR="006604B5">
        <w:rPr>
          <w:rFonts w:ascii="Times New Roman" w:hAnsi="Times New Roman" w:cs="Times New Roman"/>
          <w:color w:val="000000"/>
          <w:sz w:val="24"/>
          <w:szCs w:val="24"/>
        </w:rPr>
        <w:t>(</w:t>
      </w:r>
      <w:r w:rsidR="00AC167C" w:rsidRPr="00996790">
        <w:rPr>
          <w:rFonts w:ascii="Times New Roman" w:hAnsi="Times New Roman" w:cs="Times New Roman"/>
          <w:color w:val="000000"/>
          <w:sz w:val="24"/>
          <w:szCs w:val="24"/>
        </w:rPr>
        <w:t>South</w:t>
      </w:r>
      <w:r w:rsidR="006604B5">
        <w:rPr>
          <w:rFonts w:ascii="Times New Roman" w:hAnsi="Times New Roman" w:cs="Times New Roman"/>
          <w:color w:val="000000"/>
          <w:sz w:val="24"/>
          <w:szCs w:val="24"/>
        </w:rPr>
        <w:t>)</w:t>
      </w:r>
      <w:r w:rsidR="00AC167C" w:rsidRPr="00996790">
        <w:rPr>
          <w:rFonts w:ascii="Times New Roman" w:hAnsi="Times New Roman" w:cs="Times New Roman"/>
          <w:color w:val="000000"/>
          <w:sz w:val="24"/>
          <w:szCs w:val="24"/>
        </w:rPr>
        <w:t xml:space="preserve"> Employment Tribunal</w:t>
      </w:r>
      <w:r w:rsidR="009B0E83" w:rsidRPr="00996790">
        <w:rPr>
          <w:rFonts w:ascii="Times New Roman" w:hAnsi="Times New Roman" w:cs="Times New Roman"/>
          <w:color w:val="000000"/>
          <w:sz w:val="24"/>
          <w:szCs w:val="24"/>
        </w:rPr>
        <w:t xml:space="preserve"> (Employment Judge </w:t>
      </w:r>
      <w:proofErr w:type="spellStart"/>
      <w:r w:rsidR="009B0E83" w:rsidRPr="00996790">
        <w:rPr>
          <w:rFonts w:ascii="Times New Roman" w:hAnsi="Times New Roman" w:cs="Times New Roman"/>
          <w:color w:val="000000"/>
          <w:sz w:val="24"/>
          <w:szCs w:val="24"/>
        </w:rPr>
        <w:t>Hyams</w:t>
      </w:r>
      <w:proofErr w:type="spellEnd"/>
      <w:r w:rsidR="009B0E83" w:rsidRPr="00996790">
        <w:rPr>
          <w:rFonts w:ascii="Times New Roman" w:hAnsi="Times New Roman" w:cs="Times New Roman"/>
          <w:color w:val="000000"/>
          <w:sz w:val="24"/>
          <w:szCs w:val="24"/>
        </w:rPr>
        <w:t>-Paris</w:t>
      </w:r>
      <w:r w:rsidR="00DF2553" w:rsidRPr="00996790">
        <w:rPr>
          <w:rFonts w:ascii="Times New Roman" w:hAnsi="Times New Roman" w:cs="Times New Roman"/>
          <w:color w:val="000000"/>
          <w:sz w:val="24"/>
          <w:szCs w:val="24"/>
        </w:rPr>
        <w:t>h sitting alone)</w:t>
      </w:r>
      <w:r w:rsidR="00495246">
        <w:rPr>
          <w:rFonts w:ascii="Times New Roman" w:hAnsi="Times New Roman" w:cs="Times New Roman"/>
          <w:color w:val="000000"/>
          <w:sz w:val="24"/>
          <w:szCs w:val="24"/>
        </w:rPr>
        <w:t xml:space="preserve"> </w:t>
      </w:r>
      <w:r w:rsidR="00495246" w:rsidRPr="00996790">
        <w:rPr>
          <w:rFonts w:ascii="Times New Roman" w:hAnsi="Times New Roman" w:cs="Times New Roman"/>
          <w:color w:val="000000"/>
          <w:sz w:val="24"/>
          <w:szCs w:val="24"/>
        </w:rPr>
        <w:t>(''ET'')</w:t>
      </w:r>
      <w:r w:rsidR="002B7390" w:rsidRPr="00996790">
        <w:rPr>
          <w:rFonts w:ascii="Times New Roman" w:hAnsi="Times New Roman" w:cs="Times New Roman"/>
          <w:color w:val="000000"/>
          <w:sz w:val="24"/>
          <w:szCs w:val="24"/>
        </w:rPr>
        <w:t>,</w:t>
      </w:r>
      <w:r w:rsidR="00DF2553" w:rsidRPr="00996790">
        <w:rPr>
          <w:rFonts w:ascii="Times New Roman" w:hAnsi="Times New Roman" w:cs="Times New Roman"/>
          <w:color w:val="000000"/>
          <w:sz w:val="24"/>
          <w:szCs w:val="24"/>
        </w:rPr>
        <w:t xml:space="preserve"> </w:t>
      </w:r>
      <w:r w:rsidR="002B7390" w:rsidRPr="00996790">
        <w:rPr>
          <w:rFonts w:ascii="Times New Roman" w:hAnsi="Times New Roman" w:cs="Times New Roman"/>
          <w:color w:val="000000"/>
          <w:sz w:val="24"/>
          <w:szCs w:val="24"/>
        </w:rPr>
        <w:t xml:space="preserve">given orally on 11 February 2020 and then contained in written reasons </w:t>
      </w:r>
      <w:r w:rsidR="005F708A" w:rsidRPr="00996790">
        <w:rPr>
          <w:rFonts w:ascii="Times New Roman" w:hAnsi="Times New Roman" w:cs="Times New Roman"/>
          <w:color w:val="000000"/>
          <w:sz w:val="24"/>
          <w:szCs w:val="24"/>
        </w:rPr>
        <w:t>promulg</w:t>
      </w:r>
      <w:r w:rsidR="00E82A17" w:rsidRPr="00996790">
        <w:rPr>
          <w:rFonts w:ascii="Times New Roman" w:hAnsi="Times New Roman" w:cs="Times New Roman"/>
          <w:color w:val="000000"/>
          <w:sz w:val="24"/>
          <w:szCs w:val="24"/>
        </w:rPr>
        <w:t>a</w:t>
      </w:r>
      <w:r w:rsidR="005F708A" w:rsidRPr="00996790">
        <w:rPr>
          <w:rFonts w:ascii="Times New Roman" w:hAnsi="Times New Roman" w:cs="Times New Roman"/>
          <w:color w:val="000000"/>
          <w:sz w:val="24"/>
          <w:szCs w:val="24"/>
        </w:rPr>
        <w:t xml:space="preserve">ted on </w:t>
      </w:r>
      <w:r w:rsidR="00E82A17" w:rsidRPr="00996790">
        <w:rPr>
          <w:rFonts w:ascii="Times New Roman" w:hAnsi="Times New Roman" w:cs="Times New Roman"/>
          <w:color w:val="000000"/>
          <w:sz w:val="24"/>
          <w:szCs w:val="24"/>
        </w:rPr>
        <w:t xml:space="preserve">29 February 2020.  The ET decided that the claimant's </w:t>
      </w:r>
      <w:r w:rsidR="003C22A9" w:rsidRPr="00996790">
        <w:rPr>
          <w:rFonts w:ascii="Times New Roman" w:hAnsi="Times New Roman" w:cs="Times New Roman"/>
          <w:color w:val="000000"/>
          <w:sz w:val="24"/>
          <w:szCs w:val="24"/>
        </w:rPr>
        <w:t xml:space="preserve">employment with </w:t>
      </w:r>
      <w:r w:rsidR="00150E9A" w:rsidRPr="00996790">
        <w:rPr>
          <w:rFonts w:ascii="Times New Roman" w:hAnsi="Times New Roman" w:cs="Times New Roman"/>
          <w:color w:val="000000"/>
          <w:sz w:val="24"/>
          <w:szCs w:val="24"/>
        </w:rPr>
        <w:t xml:space="preserve">Broadland Guarding Services Ltd </w:t>
      </w:r>
      <w:r w:rsidR="005B4240" w:rsidRPr="00996790">
        <w:rPr>
          <w:rFonts w:ascii="Times New Roman" w:hAnsi="Times New Roman" w:cs="Times New Roman"/>
          <w:color w:val="000000"/>
          <w:sz w:val="24"/>
          <w:szCs w:val="24"/>
        </w:rPr>
        <w:t xml:space="preserve">(''Broadland'') </w:t>
      </w:r>
      <w:r w:rsidR="00AD560E" w:rsidRPr="00996790">
        <w:rPr>
          <w:rFonts w:ascii="Times New Roman" w:hAnsi="Times New Roman" w:cs="Times New Roman"/>
          <w:color w:val="000000"/>
          <w:sz w:val="24"/>
          <w:szCs w:val="24"/>
        </w:rPr>
        <w:t xml:space="preserve">did not transfer to the respondent pursuant to the provisions of the </w:t>
      </w:r>
      <w:r w:rsidR="00944CD7" w:rsidRPr="000E1A60">
        <w:rPr>
          <w:rFonts w:ascii="Times New Roman" w:hAnsi="Times New Roman" w:cs="Times New Roman"/>
          <w:b/>
          <w:bCs/>
          <w:color w:val="000000"/>
          <w:sz w:val="24"/>
          <w:szCs w:val="24"/>
        </w:rPr>
        <w:t>Transfer of Undertakings (Protection of Employment) Regulations 2006</w:t>
      </w:r>
      <w:r w:rsidR="000B6AD0" w:rsidRPr="00996790">
        <w:rPr>
          <w:rFonts w:ascii="Times New Roman" w:hAnsi="Times New Roman" w:cs="Times New Roman"/>
          <w:color w:val="000000"/>
          <w:sz w:val="24"/>
          <w:szCs w:val="24"/>
        </w:rPr>
        <w:t xml:space="preserve"> (''</w:t>
      </w:r>
      <w:r w:rsidR="000B6AD0" w:rsidRPr="000E1A60">
        <w:rPr>
          <w:rFonts w:ascii="Times New Roman" w:hAnsi="Times New Roman" w:cs="Times New Roman"/>
          <w:b/>
          <w:bCs/>
          <w:color w:val="000000"/>
          <w:sz w:val="24"/>
          <w:szCs w:val="24"/>
        </w:rPr>
        <w:t>T</w:t>
      </w:r>
      <w:r w:rsidR="00AC14D5" w:rsidRPr="000E1A60">
        <w:rPr>
          <w:rFonts w:ascii="Times New Roman" w:hAnsi="Times New Roman" w:cs="Times New Roman"/>
          <w:b/>
          <w:bCs/>
          <w:color w:val="000000"/>
          <w:sz w:val="24"/>
          <w:szCs w:val="24"/>
        </w:rPr>
        <w:t>UPE</w:t>
      </w:r>
      <w:r w:rsidR="000B6AD0" w:rsidRPr="00996790">
        <w:rPr>
          <w:rFonts w:ascii="Times New Roman" w:hAnsi="Times New Roman" w:cs="Times New Roman"/>
          <w:color w:val="000000"/>
          <w:sz w:val="24"/>
          <w:szCs w:val="24"/>
        </w:rPr>
        <w:t>'')</w:t>
      </w:r>
      <w:r w:rsidR="00C65051" w:rsidRPr="00996790">
        <w:rPr>
          <w:rFonts w:ascii="Times New Roman" w:hAnsi="Times New Roman" w:cs="Times New Roman"/>
          <w:color w:val="000000"/>
          <w:sz w:val="24"/>
          <w:szCs w:val="24"/>
        </w:rPr>
        <w:t xml:space="preserve">.  As a result of that conclusion, </w:t>
      </w:r>
      <w:r w:rsidR="00F10685" w:rsidRPr="00996790">
        <w:rPr>
          <w:rFonts w:ascii="Times New Roman" w:hAnsi="Times New Roman" w:cs="Times New Roman"/>
          <w:color w:val="000000"/>
          <w:sz w:val="24"/>
          <w:szCs w:val="24"/>
        </w:rPr>
        <w:t xml:space="preserve">the claimant's claim for automatic </w:t>
      </w:r>
      <w:r w:rsidR="00D14E6D" w:rsidRPr="00996790">
        <w:rPr>
          <w:rFonts w:ascii="Times New Roman" w:hAnsi="Times New Roman" w:cs="Times New Roman"/>
          <w:color w:val="000000"/>
          <w:sz w:val="24"/>
          <w:szCs w:val="24"/>
        </w:rPr>
        <w:t xml:space="preserve">unfair dismissal against the respondent </w:t>
      </w:r>
      <w:r w:rsidR="008D4331" w:rsidRPr="00996790">
        <w:rPr>
          <w:rFonts w:ascii="Times New Roman" w:hAnsi="Times New Roman" w:cs="Times New Roman"/>
          <w:color w:val="000000"/>
          <w:sz w:val="24"/>
          <w:szCs w:val="24"/>
        </w:rPr>
        <w:t>was dismissed</w:t>
      </w:r>
      <w:r w:rsidR="00DE79BD" w:rsidRPr="00996790">
        <w:rPr>
          <w:rFonts w:ascii="Times New Roman" w:hAnsi="Times New Roman" w:cs="Times New Roman"/>
          <w:color w:val="000000"/>
          <w:sz w:val="24"/>
          <w:szCs w:val="24"/>
        </w:rPr>
        <w:t xml:space="preserve">.  </w:t>
      </w:r>
      <w:r w:rsidR="008D2737" w:rsidRPr="00996790">
        <w:rPr>
          <w:rFonts w:ascii="Times New Roman" w:hAnsi="Times New Roman" w:cs="Times New Roman"/>
          <w:color w:val="000000"/>
          <w:sz w:val="24"/>
          <w:szCs w:val="24"/>
        </w:rPr>
        <w:t xml:space="preserve">The ET rejected the claimant's claim that her </w:t>
      </w:r>
      <w:r w:rsidR="002967EE" w:rsidRPr="00996790">
        <w:rPr>
          <w:rFonts w:ascii="Times New Roman" w:hAnsi="Times New Roman" w:cs="Times New Roman"/>
          <w:color w:val="000000"/>
          <w:sz w:val="24"/>
          <w:szCs w:val="24"/>
        </w:rPr>
        <w:t xml:space="preserve">employment had transferred by virtue of a </w:t>
      </w:r>
      <w:r w:rsidR="00164823" w:rsidRPr="00996790">
        <w:rPr>
          <w:rFonts w:ascii="Times New Roman" w:hAnsi="Times New Roman" w:cs="Times New Roman"/>
          <w:color w:val="000000"/>
          <w:sz w:val="24"/>
          <w:szCs w:val="24"/>
        </w:rPr>
        <w:t>service provision change</w:t>
      </w:r>
      <w:r w:rsidR="002C1A2C" w:rsidRPr="00996790">
        <w:rPr>
          <w:rFonts w:ascii="Times New Roman" w:hAnsi="Times New Roman" w:cs="Times New Roman"/>
          <w:color w:val="000000"/>
          <w:sz w:val="24"/>
          <w:szCs w:val="24"/>
        </w:rPr>
        <w:t xml:space="preserve"> (''SPC'') </w:t>
      </w:r>
      <w:r w:rsidR="0075012E" w:rsidRPr="00996790">
        <w:rPr>
          <w:rFonts w:ascii="Times New Roman" w:hAnsi="Times New Roman" w:cs="Times New Roman"/>
          <w:color w:val="000000"/>
          <w:sz w:val="24"/>
          <w:szCs w:val="24"/>
        </w:rPr>
        <w:t xml:space="preserve">within the meaning of </w:t>
      </w:r>
      <w:r w:rsidR="00AE5586" w:rsidRPr="007E1DC9">
        <w:rPr>
          <w:rFonts w:ascii="Times New Roman" w:hAnsi="Times New Roman" w:cs="Times New Roman"/>
          <w:b/>
          <w:bCs/>
          <w:color w:val="000000"/>
          <w:sz w:val="24"/>
          <w:szCs w:val="24"/>
        </w:rPr>
        <w:t>r</w:t>
      </w:r>
      <w:r w:rsidR="0075012E" w:rsidRPr="007E1DC9">
        <w:rPr>
          <w:rFonts w:ascii="Times New Roman" w:hAnsi="Times New Roman" w:cs="Times New Roman"/>
          <w:b/>
          <w:bCs/>
          <w:color w:val="000000"/>
          <w:sz w:val="24"/>
          <w:szCs w:val="24"/>
        </w:rPr>
        <w:t>egulation 3(1)(b)(</w:t>
      </w:r>
      <w:r w:rsidR="002E4BC4" w:rsidRPr="007E1DC9">
        <w:rPr>
          <w:rFonts w:ascii="Times New Roman" w:hAnsi="Times New Roman" w:cs="Times New Roman"/>
          <w:b/>
          <w:bCs/>
          <w:color w:val="000000"/>
          <w:sz w:val="24"/>
          <w:szCs w:val="24"/>
        </w:rPr>
        <w:t>iii</w:t>
      </w:r>
      <w:r w:rsidR="0075012E" w:rsidRPr="007E1DC9">
        <w:rPr>
          <w:rFonts w:ascii="Times New Roman" w:hAnsi="Times New Roman" w:cs="Times New Roman"/>
          <w:b/>
          <w:bCs/>
          <w:color w:val="000000"/>
          <w:sz w:val="24"/>
          <w:szCs w:val="24"/>
        </w:rPr>
        <w:t xml:space="preserve">) </w:t>
      </w:r>
      <w:r w:rsidR="00AC14D5" w:rsidRPr="007E1DC9">
        <w:rPr>
          <w:rFonts w:ascii="Times New Roman" w:hAnsi="Times New Roman" w:cs="Times New Roman"/>
          <w:b/>
          <w:bCs/>
          <w:color w:val="000000"/>
          <w:sz w:val="24"/>
          <w:szCs w:val="24"/>
        </w:rPr>
        <w:t>TUPE</w:t>
      </w:r>
      <w:r w:rsidR="00AC14D5" w:rsidRPr="00996790">
        <w:rPr>
          <w:rFonts w:ascii="Times New Roman" w:hAnsi="Times New Roman" w:cs="Times New Roman"/>
          <w:color w:val="000000"/>
          <w:sz w:val="24"/>
          <w:szCs w:val="24"/>
        </w:rPr>
        <w:t xml:space="preserve">.  </w:t>
      </w:r>
      <w:r w:rsidR="00243CA4" w:rsidRPr="00996790">
        <w:rPr>
          <w:rFonts w:ascii="Times New Roman" w:hAnsi="Times New Roman" w:cs="Times New Roman"/>
          <w:color w:val="000000"/>
          <w:sz w:val="24"/>
          <w:szCs w:val="24"/>
        </w:rPr>
        <w:t xml:space="preserve">Specifically, the ET found that </w:t>
      </w:r>
      <w:r w:rsidR="004F6520" w:rsidRPr="00996790">
        <w:rPr>
          <w:rFonts w:ascii="Times New Roman" w:hAnsi="Times New Roman" w:cs="Times New Roman"/>
          <w:color w:val="000000"/>
          <w:sz w:val="24"/>
          <w:szCs w:val="24"/>
        </w:rPr>
        <w:t>the activities carried out before and after 1</w:t>
      </w:r>
      <w:r w:rsidR="004B2CD5" w:rsidRPr="00996790">
        <w:rPr>
          <w:rFonts w:ascii="Times New Roman" w:hAnsi="Times New Roman" w:cs="Times New Roman"/>
          <w:color w:val="000000"/>
          <w:sz w:val="24"/>
          <w:szCs w:val="24"/>
        </w:rPr>
        <w:t> </w:t>
      </w:r>
      <w:r w:rsidR="004F6520" w:rsidRPr="00996790">
        <w:rPr>
          <w:rFonts w:ascii="Times New Roman" w:hAnsi="Times New Roman" w:cs="Times New Roman"/>
          <w:color w:val="000000"/>
          <w:sz w:val="24"/>
          <w:szCs w:val="24"/>
        </w:rPr>
        <w:t>July</w:t>
      </w:r>
      <w:r w:rsidR="004B2CD5" w:rsidRPr="00996790">
        <w:rPr>
          <w:rFonts w:ascii="Times New Roman" w:hAnsi="Times New Roman" w:cs="Times New Roman"/>
          <w:color w:val="000000"/>
          <w:sz w:val="24"/>
          <w:szCs w:val="24"/>
        </w:rPr>
        <w:t> </w:t>
      </w:r>
      <w:r w:rsidR="004F6520" w:rsidRPr="00996790">
        <w:rPr>
          <w:rFonts w:ascii="Times New Roman" w:hAnsi="Times New Roman" w:cs="Times New Roman"/>
          <w:color w:val="000000"/>
          <w:sz w:val="24"/>
          <w:szCs w:val="24"/>
        </w:rPr>
        <w:t xml:space="preserve">2018 </w:t>
      </w:r>
      <w:r w:rsidR="00693696">
        <w:rPr>
          <w:rFonts w:ascii="Times New Roman" w:hAnsi="Times New Roman" w:cs="Times New Roman"/>
          <w:color w:val="000000"/>
          <w:sz w:val="24"/>
          <w:szCs w:val="24"/>
        </w:rPr>
        <w:t>(</w:t>
      </w:r>
      <w:r w:rsidR="004F6520" w:rsidRPr="00996790">
        <w:rPr>
          <w:rFonts w:ascii="Times New Roman" w:hAnsi="Times New Roman" w:cs="Times New Roman"/>
          <w:color w:val="000000"/>
          <w:sz w:val="24"/>
          <w:szCs w:val="24"/>
        </w:rPr>
        <w:t>the alleged transfer date</w:t>
      </w:r>
      <w:r w:rsidR="00693696">
        <w:rPr>
          <w:rFonts w:ascii="Times New Roman" w:hAnsi="Times New Roman" w:cs="Times New Roman"/>
          <w:color w:val="000000"/>
          <w:sz w:val="24"/>
          <w:szCs w:val="24"/>
        </w:rPr>
        <w:t>)</w:t>
      </w:r>
      <w:r w:rsidR="004F6520" w:rsidRPr="00996790">
        <w:rPr>
          <w:rFonts w:ascii="Times New Roman" w:hAnsi="Times New Roman" w:cs="Times New Roman"/>
          <w:color w:val="000000"/>
          <w:sz w:val="24"/>
          <w:szCs w:val="24"/>
        </w:rPr>
        <w:t xml:space="preserve"> </w:t>
      </w:r>
      <w:r w:rsidR="004B3380" w:rsidRPr="00996790">
        <w:rPr>
          <w:rFonts w:ascii="Times New Roman" w:hAnsi="Times New Roman" w:cs="Times New Roman"/>
          <w:color w:val="000000"/>
          <w:sz w:val="24"/>
          <w:szCs w:val="24"/>
        </w:rPr>
        <w:t xml:space="preserve">were </w:t>
      </w:r>
      <w:r w:rsidR="00105CB7" w:rsidRPr="00996790">
        <w:rPr>
          <w:rFonts w:ascii="Times New Roman" w:hAnsi="Times New Roman" w:cs="Times New Roman"/>
          <w:color w:val="000000"/>
          <w:sz w:val="24"/>
          <w:szCs w:val="24"/>
        </w:rPr>
        <w:t xml:space="preserve">not fundamentally the same.  </w:t>
      </w:r>
      <w:r w:rsidR="0081523F" w:rsidRPr="00996790">
        <w:rPr>
          <w:rFonts w:ascii="Times New Roman" w:hAnsi="Times New Roman" w:cs="Times New Roman"/>
          <w:color w:val="000000"/>
          <w:sz w:val="24"/>
          <w:szCs w:val="24"/>
        </w:rPr>
        <w:t xml:space="preserve">The central issue on this appeal is whether the </w:t>
      </w:r>
      <w:r w:rsidR="005B7135" w:rsidRPr="00996790">
        <w:rPr>
          <w:rFonts w:ascii="Times New Roman" w:hAnsi="Times New Roman" w:cs="Times New Roman"/>
          <w:color w:val="000000"/>
          <w:sz w:val="24"/>
          <w:szCs w:val="24"/>
        </w:rPr>
        <w:t xml:space="preserve">ET was entitled to </w:t>
      </w:r>
      <w:r w:rsidR="00BA55E6" w:rsidRPr="00996790">
        <w:rPr>
          <w:rFonts w:ascii="Times New Roman" w:hAnsi="Times New Roman" w:cs="Times New Roman"/>
          <w:color w:val="000000"/>
          <w:sz w:val="24"/>
          <w:szCs w:val="24"/>
        </w:rPr>
        <w:t xml:space="preserve">reach this conclusion.  </w:t>
      </w:r>
    </w:p>
    <w:p w14:paraId="503B4B78" w14:textId="64B2C8F2" w:rsidR="00C5181C" w:rsidRPr="00996790" w:rsidRDefault="00774B4D" w:rsidP="00A822E9">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00000"/>
          <w:sz w:val="24"/>
          <w:szCs w:val="24"/>
        </w:rPr>
        <w:t xml:space="preserve">On </w:t>
      </w:r>
      <w:r w:rsidR="007063E7">
        <w:rPr>
          <w:rFonts w:ascii="Times New Roman" w:hAnsi="Times New Roman" w:cs="Times New Roman"/>
          <w:color w:val="000000"/>
          <w:sz w:val="24"/>
          <w:szCs w:val="24"/>
        </w:rPr>
        <w:t xml:space="preserve">9 </w:t>
      </w:r>
      <w:r w:rsidRPr="00996790">
        <w:rPr>
          <w:rFonts w:ascii="Times New Roman" w:hAnsi="Times New Roman" w:cs="Times New Roman"/>
          <w:color w:val="000000"/>
          <w:sz w:val="24"/>
          <w:szCs w:val="24"/>
        </w:rPr>
        <w:t xml:space="preserve">April </w:t>
      </w:r>
      <w:r w:rsidR="006819C7" w:rsidRPr="00996790">
        <w:rPr>
          <w:rFonts w:ascii="Times New Roman" w:hAnsi="Times New Roman" w:cs="Times New Roman"/>
          <w:color w:val="000000"/>
          <w:sz w:val="24"/>
          <w:szCs w:val="24"/>
        </w:rPr>
        <w:t xml:space="preserve">2020 the claimant served her </w:t>
      </w:r>
      <w:r w:rsidR="000066E1">
        <w:rPr>
          <w:rFonts w:ascii="Times New Roman" w:hAnsi="Times New Roman" w:cs="Times New Roman"/>
          <w:color w:val="000000"/>
          <w:sz w:val="24"/>
          <w:szCs w:val="24"/>
        </w:rPr>
        <w:t>n</w:t>
      </w:r>
      <w:r w:rsidR="006819C7" w:rsidRPr="00996790">
        <w:rPr>
          <w:rFonts w:ascii="Times New Roman" w:hAnsi="Times New Roman" w:cs="Times New Roman"/>
          <w:color w:val="000000"/>
          <w:sz w:val="24"/>
          <w:szCs w:val="24"/>
        </w:rPr>
        <w:t xml:space="preserve">otice of </w:t>
      </w:r>
      <w:r w:rsidR="000066E1">
        <w:rPr>
          <w:rFonts w:ascii="Times New Roman" w:hAnsi="Times New Roman" w:cs="Times New Roman"/>
          <w:color w:val="000000"/>
          <w:sz w:val="24"/>
          <w:szCs w:val="24"/>
        </w:rPr>
        <w:t>a</w:t>
      </w:r>
      <w:r w:rsidR="006819C7" w:rsidRPr="00996790">
        <w:rPr>
          <w:rFonts w:ascii="Times New Roman" w:hAnsi="Times New Roman" w:cs="Times New Roman"/>
          <w:color w:val="000000"/>
          <w:sz w:val="24"/>
          <w:szCs w:val="24"/>
        </w:rPr>
        <w:t xml:space="preserve">ppeal </w:t>
      </w:r>
      <w:r w:rsidR="00BD55C3" w:rsidRPr="00996790">
        <w:rPr>
          <w:rFonts w:ascii="Times New Roman" w:hAnsi="Times New Roman" w:cs="Times New Roman"/>
          <w:color w:val="000000"/>
          <w:sz w:val="24"/>
          <w:szCs w:val="24"/>
        </w:rPr>
        <w:t xml:space="preserve">on the </w:t>
      </w:r>
      <w:r w:rsidR="008067ED">
        <w:rPr>
          <w:rFonts w:ascii="Times New Roman" w:hAnsi="Times New Roman" w:cs="Times New Roman"/>
          <w:color w:val="000000"/>
          <w:sz w:val="24"/>
          <w:szCs w:val="24"/>
        </w:rPr>
        <w:t>Employment Appeal Tribunal (“</w:t>
      </w:r>
      <w:r w:rsidR="00BD55C3" w:rsidRPr="00996790">
        <w:rPr>
          <w:rFonts w:ascii="Times New Roman" w:hAnsi="Times New Roman" w:cs="Times New Roman"/>
          <w:color w:val="000000"/>
          <w:sz w:val="24"/>
          <w:szCs w:val="24"/>
        </w:rPr>
        <w:t>EAT</w:t>
      </w:r>
      <w:r w:rsidR="008067ED">
        <w:rPr>
          <w:rFonts w:ascii="Times New Roman" w:hAnsi="Times New Roman" w:cs="Times New Roman"/>
          <w:color w:val="000000"/>
          <w:sz w:val="24"/>
          <w:szCs w:val="24"/>
        </w:rPr>
        <w:t>”)</w:t>
      </w:r>
      <w:r w:rsidR="00BD55C3" w:rsidRPr="00996790">
        <w:rPr>
          <w:rFonts w:ascii="Times New Roman" w:hAnsi="Times New Roman" w:cs="Times New Roman"/>
          <w:color w:val="000000"/>
          <w:sz w:val="24"/>
          <w:szCs w:val="24"/>
        </w:rPr>
        <w:t xml:space="preserve">.  Following consideration on the papers, </w:t>
      </w:r>
      <w:r w:rsidR="00141DA6" w:rsidRPr="00996790">
        <w:rPr>
          <w:rFonts w:ascii="Times New Roman" w:hAnsi="Times New Roman" w:cs="Times New Roman"/>
          <w:color w:val="000000"/>
          <w:sz w:val="24"/>
          <w:szCs w:val="24"/>
        </w:rPr>
        <w:t xml:space="preserve">her appeal was rejected </w:t>
      </w:r>
      <w:r w:rsidR="00BD58C9" w:rsidRPr="00996790">
        <w:rPr>
          <w:rFonts w:ascii="Times New Roman" w:hAnsi="Times New Roman" w:cs="Times New Roman"/>
          <w:color w:val="000000"/>
          <w:sz w:val="24"/>
          <w:szCs w:val="24"/>
        </w:rPr>
        <w:t xml:space="preserve">by HHJ Auerbach pursuant to </w:t>
      </w:r>
      <w:r w:rsidR="00BD58C9" w:rsidRPr="0047105A">
        <w:rPr>
          <w:rFonts w:ascii="Times New Roman" w:hAnsi="Times New Roman" w:cs="Times New Roman"/>
          <w:b/>
          <w:bCs/>
          <w:color w:val="000000"/>
          <w:sz w:val="24"/>
          <w:szCs w:val="24"/>
        </w:rPr>
        <w:t xml:space="preserve">Rule 3(7) </w:t>
      </w:r>
      <w:r w:rsidR="00432595" w:rsidRPr="0047105A">
        <w:rPr>
          <w:rFonts w:ascii="Times New Roman" w:hAnsi="Times New Roman" w:cs="Times New Roman"/>
          <w:b/>
          <w:bCs/>
          <w:color w:val="000000"/>
          <w:sz w:val="24"/>
          <w:szCs w:val="24"/>
        </w:rPr>
        <w:t>E</w:t>
      </w:r>
      <w:r w:rsidR="00BD58C9" w:rsidRPr="0047105A">
        <w:rPr>
          <w:rFonts w:ascii="Times New Roman" w:hAnsi="Times New Roman" w:cs="Times New Roman"/>
          <w:b/>
          <w:bCs/>
          <w:color w:val="000000"/>
          <w:sz w:val="24"/>
          <w:szCs w:val="24"/>
        </w:rPr>
        <w:t xml:space="preserve">mployment </w:t>
      </w:r>
      <w:r w:rsidR="00432595" w:rsidRPr="0047105A">
        <w:rPr>
          <w:rFonts w:ascii="Times New Roman" w:hAnsi="Times New Roman" w:cs="Times New Roman"/>
          <w:b/>
          <w:bCs/>
          <w:color w:val="000000"/>
          <w:sz w:val="24"/>
          <w:szCs w:val="24"/>
        </w:rPr>
        <w:t>A</w:t>
      </w:r>
      <w:r w:rsidR="00BD58C9" w:rsidRPr="0047105A">
        <w:rPr>
          <w:rFonts w:ascii="Times New Roman" w:hAnsi="Times New Roman" w:cs="Times New Roman"/>
          <w:b/>
          <w:bCs/>
          <w:color w:val="000000"/>
          <w:sz w:val="24"/>
          <w:szCs w:val="24"/>
        </w:rPr>
        <w:t xml:space="preserve">ppeal </w:t>
      </w:r>
      <w:r w:rsidR="00432595" w:rsidRPr="0047105A">
        <w:rPr>
          <w:rFonts w:ascii="Times New Roman" w:hAnsi="Times New Roman" w:cs="Times New Roman"/>
          <w:b/>
          <w:bCs/>
          <w:color w:val="000000"/>
          <w:sz w:val="24"/>
          <w:szCs w:val="24"/>
        </w:rPr>
        <w:t>T</w:t>
      </w:r>
      <w:r w:rsidR="00BD58C9" w:rsidRPr="0047105A">
        <w:rPr>
          <w:rFonts w:ascii="Times New Roman" w:hAnsi="Times New Roman" w:cs="Times New Roman"/>
          <w:b/>
          <w:bCs/>
          <w:color w:val="000000"/>
          <w:sz w:val="24"/>
          <w:szCs w:val="24"/>
        </w:rPr>
        <w:t>ribunal</w:t>
      </w:r>
      <w:r w:rsidR="007063E7" w:rsidRPr="0047105A">
        <w:rPr>
          <w:rFonts w:ascii="Times New Roman" w:hAnsi="Times New Roman" w:cs="Times New Roman"/>
          <w:b/>
          <w:bCs/>
          <w:color w:val="000000"/>
          <w:sz w:val="24"/>
          <w:szCs w:val="24"/>
        </w:rPr>
        <w:t xml:space="preserve"> </w:t>
      </w:r>
      <w:r w:rsidR="00432595" w:rsidRPr="0047105A">
        <w:rPr>
          <w:rFonts w:ascii="Times New Roman" w:hAnsi="Times New Roman" w:cs="Times New Roman"/>
          <w:b/>
          <w:bCs/>
          <w:color w:val="000000"/>
          <w:sz w:val="24"/>
          <w:szCs w:val="24"/>
        </w:rPr>
        <w:t>R</w:t>
      </w:r>
      <w:r w:rsidR="00BD58C9" w:rsidRPr="0047105A">
        <w:rPr>
          <w:rFonts w:ascii="Times New Roman" w:hAnsi="Times New Roman" w:cs="Times New Roman"/>
          <w:b/>
          <w:bCs/>
          <w:color w:val="000000"/>
          <w:sz w:val="24"/>
          <w:szCs w:val="24"/>
        </w:rPr>
        <w:t>ules</w:t>
      </w:r>
      <w:r w:rsidR="00D13AF1" w:rsidRPr="0047105A">
        <w:rPr>
          <w:rFonts w:ascii="Times New Roman" w:hAnsi="Times New Roman" w:cs="Times New Roman"/>
          <w:b/>
          <w:bCs/>
          <w:color w:val="000000"/>
          <w:sz w:val="24"/>
          <w:szCs w:val="24"/>
        </w:rPr>
        <w:t xml:space="preserve"> 2013</w:t>
      </w:r>
      <w:r w:rsidR="00D13AF1">
        <w:rPr>
          <w:rFonts w:ascii="Times New Roman" w:hAnsi="Times New Roman" w:cs="Times New Roman"/>
          <w:color w:val="000000"/>
          <w:sz w:val="24"/>
          <w:szCs w:val="24"/>
        </w:rPr>
        <w:t xml:space="preserve"> (“</w:t>
      </w:r>
      <w:r w:rsidR="00D13AF1" w:rsidRPr="0047105A">
        <w:rPr>
          <w:rFonts w:ascii="Times New Roman" w:hAnsi="Times New Roman" w:cs="Times New Roman"/>
          <w:b/>
          <w:bCs/>
          <w:color w:val="000000"/>
          <w:sz w:val="24"/>
          <w:szCs w:val="24"/>
        </w:rPr>
        <w:t>EAT Rules</w:t>
      </w:r>
      <w:r w:rsidR="00D13AF1">
        <w:rPr>
          <w:rFonts w:ascii="Times New Roman" w:hAnsi="Times New Roman" w:cs="Times New Roman"/>
          <w:color w:val="000000"/>
          <w:sz w:val="24"/>
          <w:szCs w:val="24"/>
        </w:rPr>
        <w:t>”)</w:t>
      </w:r>
      <w:r w:rsidR="00692D25" w:rsidRPr="00996790">
        <w:rPr>
          <w:rFonts w:ascii="Times New Roman" w:hAnsi="Times New Roman" w:cs="Times New Roman"/>
          <w:color w:val="000000"/>
          <w:sz w:val="24"/>
          <w:szCs w:val="24"/>
        </w:rPr>
        <w:t>, and the claimant was informed by a letter dated 10</w:t>
      </w:r>
      <w:r w:rsidR="00D274D8" w:rsidRPr="00996790">
        <w:rPr>
          <w:rFonts w:ascii="Times New Roman" w:hAnsi="Times New Roman" w:cs="Times New Roman"/>
          <w:color w:val="000000"/>
          <w:sz w:val="24"/>
          <w:szCs w:val="24"/>
        </w:rPr>
        <w:t> </w:t>
      </w:r>
      <w:r w:rsidR="00692D25" w:rsidRPr="00996790">
        <w:rPr>
          <w:rFonts w:ascii="Times New Roman" w:hAnsi="Times New Roman" w:cs="Times New Roman"/>
          <w:color w:val="000000"/>
          <w:sz w:val="24"/>
          <w:szCs w:val="24"/>
        </w:rPr>
        <w:t>November</w:t>
      </w:r>
      <w:r w:rsidR="00D274D8" w:rsidRPr="00996790">
        <w:rPr>
          <w:rFonts w:ascii="Times New Roman" w:hAnsi="Times New Roman" w:cs="Times New Roman"/>
          <w:color w:val="000000"/>
          <w:sz w:val="24"/>
          <w:szCs w:val="24"/>
        </w:rPr>
        <w:t> </w:t>
      </w:r>
      <w:r w:rsidR="00692D25" w:rsidRPr="00996790">
        <w:rPr>
          <w:rFonts w:ascii="Times New Roman" w:hAnsi="Times New Roman" w:cs="Times New Roman"/>
          <w:color w:val="000000"/>
          <w:sz w:val="24"/>
          <w:szCs w:val="24"/>
        </w:rPr>
        <w:t xml:space="preserve">2020.  </w:t>
      </w:r>
      <w:r w:rsidR="004B2CD5" w:rsidRPr="00996790">
        <w:rPr>
          <w:rFonts w:ascii="Times New Roman" w:hAnsi="Times New Roman" w:cs="Times New Roman"/>
          <w:color w:val="000000"/>
          <w:sz w:val="24"/>
          <w:szCs w:val="24"/>
        </w:rPr>
        <w:t xml:space="preserve">The </w:t>
      </w:r>
      <w:r w:rsidR="00343900" w:rsidRPr="00996790">
        <w:rPr>
          <w:rFonts w:ascii="Times New Roman" w:hAnsi="Times New Roman" w:cs="Times New Roman"/>
          <w:color w:val="000000"/>
          <w:sz w:val="24"/>
          <w:szCs w:val="24"/>
        </w:rPr>
        <w:t xml:space="preserve">appeal was subsequently </w:t>
      </w:r>
      <w:r w:rsidR="005805F4" w:rsidRPr="00996790">
        <w:rPr>
          <w:rFonts w:ascii="Times New Roman" w:hAnsi="Times New Roman" w:cs="Times New Roman"/>
          <w:color w:val="000000"/>
          <w:sz w:val="24"/>
          <w:szCs w:val="24"/>
        </w:rPr>
        <w:t xml:space="preserve">permitted to proceed following a Rule 3(10) </w:t>
      </w:r>
      <w:r w:rsidR="0047105A">
        <w:rPr>
          <w:rFonts w:ascii="Times New Roman" w:hAnsi="Times New Roman" w:cs="Times New Roman"/>
          <w:color w:val="000000"/>
          <w:sz w:val="24"/>
          <w:szCs w:val="24"/>
        </w:rPr>
        <w:t>H</w:t>
      </w:r>
      <w:r w:rsidR="005805F4" w:rsidRPr="00996790">
        <w:rPr>
          <w:rFonts w:ascii="Times New Roman" w:hAnsi="Times New Roman" w:cs="Times New Roman"/>
          <w:color w:val="000000"/>
          <w:sz w:val="24"/>
          <w:szCs w:val="24"/>
        </w:rPr>
        <w:t>earing</w:t>
      </w:r>
      <w:r w:rsidR="002C76E5" w:rsidRPr="00996790">
        <w:rPr>
          <w:rFonts w:ascii="Times New Roman" w:hAnsi="Times New Roman" w:cs="Times New Roman"/>
          <w:color w:val="000000"/>
          <w:sz w:val="24"/>
          <w:szCs w:val="24"/>
        </w:rPr>
        <w:t xml:space="preserve"> in front of HHJ Katherine Tucker</w:t>
      </w:r>
      <w:r w:rsidR="00744F89" w:rsidRPr="00996790">
        <w:rPr>
          <w:rFonts w:ascii="Times New Roman" w:hAnsi="Times New Roman" w:cs="Times New Roman"/>
          <w:color w:val="000000"/>
          <w:sz w:val="24"/>
          <w:szCs w:val="24"/>
        </w:rPr>
        <w:t xml:space="preserve"> on 17 June 2021.  </w:t>
      </w:r>
    </w:p>
    <w:p w14:paraId="41AD8741" w14:textId="04F057DD" w:rsidR="0037479A" w:rsidRPr="00996790" w:rsidRDefault="00A822E9" w:rsidP="00A822E9">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00000"/>
          <w:sz w:val="24"/>
          <w:szCs w:val="24"/>
        </w:rPr>
        <w:t>Before her dismissal on 30 </w:t>
      </w:r>
      <w:r w:rsidRPr="00996790">
        <w:rPr>
          <w:sz w:val="24"/>
          <w:szCs w:val="24"/>
        </w:rPr>
        <w:t>June 2018</w:t>
      </w:r>
      <w:r w:rsidRPr="00996790">
        <w:rPr>
          <w:rFonts w:ascii="Times New Roman" w:hAnsi="Times New Roman" w:cs="Times New Roman"/>
          <w:color w:val="000000"/>
          <w:sz w:val="24"/>
          <w:szCs w:val="24"/>
        </w:rPr>
        <w:t xml:space="preserve">, </w:t>
      </w:r>
      <w:r w:rsidR="00EF1386" w:rsidRPr="00996790">
        <w:rPr>
          <w:rFonts w:ascii="Times New Roman" w:hAnsi="Times New Roman" w:cs="Times New Roman"/>
          <w:color w:val="000000"/>
          <w:sz w:val="24"/>
          <w:szCs w:val="24"/>
        </w:rPr>
        <w:t xml:space="preserve">the </w:t>
      </w:r>
      <w:r w:rsidR="00C5181C" w:rsidRPr="00996790">
        <w:rPr>
          <w:rFonts w:ascii="Times New Roman" w:hAnsi="Times New Roman" w:cs="Times New Roman"/>
          <w:color w:val="000000"/>
          <w:sz w:val="24"/>
          <w:szCs w:val="24"/>
        </w:rPr>
        <w:t xml:space="preserve">claimant was </w:t>
      </w:r>
      <w:r w:rsidR="006F779D" w:rsidRPr="00996790">
        <w:rPr>
          <w:rFonts w:ascii="Times New Roman" w:hAnsi="Times New Roman" w:cs="Times New Roman"/>
          <w:color w:val="000000"/>
          <w:sz w:val="24"/>
          <w:szCs w:val="24"/>
        </w:rPr>
        <w:t xml:space="preserve">employed by Broadland as a CCTV operator.  </w:t>
      </w:r>
      <w:r w:rsidR="003130AD" w:rsidRPr="00996790">
        <w:rPr>
          <w:rFonts w:ascii="Times New Roman" w:hAnsi="Times New Roman" w:cs="Times New Roman"/>
          <w:color w:val="000000"/>
          <w:sz w:val="24"/>
          <w:szCs w:val="24"/>
        </w:rPr>
        <w:t xml:space="preserve">Until that date, </w:t>
      </w:r>
      <w:r w:rsidR="00582DDC" w:rsidRPr="00996790">
        <w:rPr>
          <w:rFonts w:ascii="Times New Roman" w:hAnsi="Times New Roman" w:cs="Times New Roman"/>
          <w:color w:val="000000"/>
          <w:sz w:val="24"/>
          <w:szCs w:val="24"/>
        </w:rPr>
        <w:t xml:space="preserve">Broadland had </w:t>
      </w:r>
      <w:r w:rsidR="0044406B" w:rsidRPr="00996790">
        <w:rPr>
          <w:rFonts w:ascii="Times New Roman" w:hAnsi="Times New Roman" w:cs="Times New Roman"/>
          <w:color w:val="000000"/>
          <w:sz w:val="24"/>
          <w:szCs w:val="24"/>
        </w:rPr>
        <w:t>provided CCTV operators to the respondent to work in their CCTV control room</w:t>
      </w:r>
      <w:r w:rsidR="00BA627A" w:rsidRPr="00996790">
        <w:rPr>
          <w:rFonts w:ascii="Times New Roman" w:hAnsi="Times New Roman" w:cs="Times New Roman"/>
          <w:color w:val="000000"/>
          <w:sz w:val="24"/>
          <w:szCs w:val="24"/>
        </w:rPr>
        <w:t xml:space="preserve"> between the hours of </w:t>
      </w:r>
      <w:r w:rsidR="005E2EF6" w:rsidRPr="00996790">
        <w:rPr>
          <w:rFonts w:ascii="Times New Roman" w:hAnsi="Times New Roman" w:cs="Times New Roman"/>
          <w:color w:val="000000"/>
          <w:sz w:val="24"/>
          <w:szCs w:val="24"/>
        </w:rPr>
        <w:t xml:space="preserve">6 pm and 6 am.  </w:t>
      </w:r>
      <w:r w:rsidR="00561EC0" w:rsidRPr="00996790">
        <w:rPr>
          <w:rFonts w:ascii="Times New Roman" w:hAnsi="Times New Roman" w:cs="Times New Roman"/>
          <w:color w:val="000000"/>
          <w:sz w:val="24"/>
          <w:szCs w:val="24"/>
        </w:rPr>
        <w:t xml:space="preserve">The claimant was supplied </w:t>
      </w:r>
      <w:r w:rsidR="00E9358A" w:rsidRPr="00996790">
        <w:rPr>
          <w:rFonts w:ascii="Times New Roman" w:hAnsi="Times New Roman" w:cs="Times New Roman"/>
          <w:color w:val="000000"/>
          <w:sz w:val="24"/>
          <w:szCs w:val="24"/>
        </w:rPr>
        <w:t>by Broadland in addition to another member of staff</w:t>
      </w:r>
      <w:r w:rsidR="00920C07" w:rsidRPr="00996790">
        <w:rPr>
          <w:rFonts w:ascii="Times New Roman" w:hAnsi="Times New Roman" w:cs="Times New Roman"/>
          <w:color w:val="000000"/>
          <w:sz w:val="24"/>
          <w:szCs w:val="24"/>
        </w:rPr>
        <w:t xml:space="preserve">.  </w:t>
      </w:r>
      <w:r w:rsidR="00786BB9" w:rsidRPr="00996790">
        <w:rPr>
          <w:rFonts w:ascii="Times New Roman" w:hAnsi="Times New Roman" w:cs="Times New Roman"/>
          <w:color w:val="000000"/>
          <w:sz w:val="24"/>
          <w:szCs w:val="24"/>
        </w:rPr>
        <w:t>On 28 May 20</w:t>
      </w:r>
      <w:r w:rsidR="00840040" w:rsidRPr="00996790">
        <w:rPr>
          <w:rFonts w:ascii="Times New Roman" w:hAnsi="Times New Roman" w:cs="Times New Roman"/>
          <w:color w:val="000000"/>
          <w:sz w:val="24"/>
          <w:szCs w:val="24"/>
        </w:rPr>
        <w:t>18 Broadland gave one month</w:t>
      </w:r>
      <w:r w:rsidR="001A766F" w:rsidRPr="00996790">
        <w:rPr>
          <w:rFonts w:ascii="Times New Roman" w:hAnsi="Times New Roman" w:cs="Times New Roman"/>
          <w:color w:val="000000"/>
          <w:sz w:val="24"/>
          <w:szCs w:val="24"/>
        </w:rPr>
        <w:t>'s notice to the respondent to end the contract</w:t>
      </w:r>
      <w:r w:rsidR="00B72DA7" w:rsidRPr="00996790">
        <w:rPr>
          <w:rFonts w:ascii="Times New Roman" w:hAnsi="Times New Roman" w:cs="Times New Roman"/>
          <w:color w:val="000000"/>
          <w:sz w:val="24"/>
          <w:szCs w:val="24"/>
        </w:rPr>
        <w:t xml:space="preserve">.  </w:t>
      </w:r>
      <w:r w:rsidR="00BC02FC" w:rsidRPr="00996790">
        <w:rPr>
          <w:rFonts w:ascii="Times New Roman" w:hAnsi="Times New Roman" w:cs="Times New Roman"/>
          <w:color w:val="000000"/>
          <w:sz w:val="24"/>
          <w:szCs w:val="24"/>
        </w:rPr>
        <w:t xml:space="preserve">The claimant's case </w:t>
      </w:r>
      <w:r w:rsidR="002A4D0C" w:rsidRPr="00996790">
        <w:rPr>
          <w:rFonts w:ascii="Times New Roman" w:hAnsi="Times New Roman" w:cs="Times New Roman"/>
          <w:color w:val="000000"/>
          <w:sz w:val="24"/>
          <w:szCs w:val="24"/>
        </w:rPr>
        <w:t>was that the respondent</w:t>
      </w:r>
      <w:r w:rsidR="00C2190D" w:rsidRPr="00996790">
        <w:rPr>
          <w:rFonts w:ascii="Times New Roman" w:hAnsi="Times New Roman" w:cs="Times New Roman"/>
          <w:color w:val="000000"/>
          <w:sz w:val="24"/>
          <w:szCs w:val="24"/>
        </w:rPr>
        <w:t xml:space="preserve">'s </w:t>
      </w:r>
      <w:r w:rsidR="00C22393" w:rsidRPr="00996790">
        <w:rPr>
          <w:rFonts w:ascii="Times New Roman" w:hAnsi="Times New Roman" w:cs="Times New Roman"/>
          <w:color w:val="000000"/>
          <w:sz w:val="24"/>
          <w:szCs w:val="24"/>
        </w:rPr>
        <w:t>Careline</w:t>
      </w:r>
      <w:r w:rsidR="00C2190D" w:rsidRPr="00996790">
        <w:rPr>
          <w:rFonts w:ascii="Times New Roman" w:hAnsi="Times New Roman" w:cs="Times New Roman"/>
          <w:color w:val="000000"/>
          <w:sz w:val="24"/>
          <w:szCs w:val="24"/>
        </w:rPr>
        <w:t xml:space="preserve"> </w:t>
      </w:r>
      <w:r w:rsidR="009D6C53" w:rsidRPr="00996790">
        <w:rPr>
          <w:rFonts w:ascii="Times New Roman" w:hAnsi="Times New Roman" w:cs="Times New Roman"/>
          <w:color w:val="000000"/>
          <w:sz w:val="24"/>
          <w:szCs w:val="24"/>
        </w:rPr>
        <w:t xml:space="preserve">staff, who had previously worked </w:t>
      </w:r>
      <w:r w:rsidR="00ED699D" w:rsidRPr="00996790">
        <w:rPr>
          <w:rFonts w:ascii="Times New Roman" w:hAnsi="Times New Roman" w:cs="Times New Roman"/>
          <w:color w:val="000000"/>
          <w:sz w:val="24"/>
          <w:szCs w:val="24"/>
        </w:rPr>
        <w:t>alongside her in the control room</w:t>
      </w:r>
      <w:r w:rsidR="00473BC9" w:rsidRPr="00996790">
        <w:rPr>
          <w:rFonts w:ascii="Times New Roman" w:hAnsi="Times New Roman" w:cs="Times New Roman"/>
          <w:color w:val="000000"/>
          <w:sz w:val="24"/>
          <w:szCs w:val="24"/>
        </w:rPr>
        <w:t xml:space="preserve">, now undertook the CCTV </w:t>
      </w:r>
      <w:r w:rsidR="00C070CC" w:rsidRPr="00996790">
        <w:rPr>
          <w:rFonts w:ascii="Times New Roman" w:hAnsi="Times New Roman" w:cs="Times New Roman"/>
          <w:color w:val="000000"/>
          <w:sz w:val="24"/>
          <w:szCs w:val="24"/>
        </w:rPr>
        <w:t>monitoring</w:t>
      </w:r>
      <w:r w:rsidR="008846D4" w:rsidRPr="00996790">
        <w:rPr>
          <w:rFonts w:ascii="Times New Roman" w:hAnsi="Times New Roman" w:cs="Times New Roman"/>
          <w:color w:val="000000"/>
          <w:sz w:val="24"/>
          <w:szCs w:val="24"/>
        </w:rPr>
        <w:t>,</w:t>
      </w:r>
      <w:r w:rsidR="00C070CC" w:rsidRPr="00996790">
        <w:rPr>
          <w:rFonts w:ascii="Times New Roman" w:hAnsi="Times New Roman" w:cs="Times New Roman"/>
          <w:color w:val="000000"/>
          <w:sz w:val="24"/>
          <w:szCs w:val="24"/>
        </w:rPr>
        <w:t xml:space="preserve"> so that essentially the same activities were carried out after the alleged transfer date as had been undertaken beforehand.  </w:t>
      </w:r>
    </w:p>
    <w:p w14:paraId="64CBD27E" w14:textId="7EDE3CF4" w:rsidR="005F4F2B" w:rsidRPr="00996790" w:rsidRDefault="00DA13C2" w:rsidP="00A822E9">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00000"/>
          <w:sz w:val="24"/>
          <w:szCs w:val="24"/>
        </w:rPr>
        <w:lastRenderedPageBreak/>
        <w:t xml:space="preserve">The claimant originally brought proceedings </w:t>
      </w:r>
      <w:r w:rsidR="00C84D3C" w:rsidRPr="00996790">
        <w:rPr>
          <w:rFonts w:ascii="Times New Roman" w:hAnsi="Times New Roman" w:cs="Times New Roman"/>
          <w:color w:val="000000"/>
          <w:sz w:val="24"/>
          <w:szCs w:val="24"/>
        </w:rPr>
        <w:t xml:space="preserve">against her previous </w:t>
      </w:r>
      <w:r w:rsidR="00C2319D" w:rsidRPr="00996790">
        <w:rPr>
          <w:rFonts w:ascii="Times New Roman" w:hAnsi="Times New Roman" w:cs="Times New Roman"/>
          <w:color w:val="000000"/>
          <w:sz w:val="24"/>
          <w:szCs w:val="24"/>
        </w:rPr>
        <w:t xml:space="preserve">employers Broadland as the second respondent.  However, she clarified </w:t>
      </w:r>
      <w:r w:rsidR="00F86B01" w:rsidRPr="00996790">
        <w:rPr>
          <w:rFonts w:ascii="Times New Roman" w:hAnsi="Times New Roman" w:cs="Times New Roman"/>
          <w:color w:val="000000"/>
          <w:sz w:val="24"/>
          <w:szCs w:val="24"/>
        </w:rPr>
        <w:t xml:space="preserve">at the outset of </w:t>
      </w:r>
      <w:r w:rsidR="00FF73EB" w:rsidRPr="00996790">
        <w:rPr>
          <w:rFonts w:ascii="Times New Roman" w:hAnsi="Times New Roman" w:cs="Times New Roman"/>
          <w:color w:val="000000"/>
          <w:sz w:val="24"/>
          <w:szCs w:val="24"/>
        </w:rPr>
        <w:t xml:space="preserve">the substantive </w:t>
      </w:r>
      <w:r w:rsidR="001B726A" w:rsidRPr="00996790">
        <w:rPr>
          <w:rFonts w:ascii="Times New Roman" w:hAnsi="Times New Roman" w:cs="Times New Roman"/>
          <w:color w:val="000000"/>
          <w:sz w:val="24"/>
          <w:szCs w:val="24"/>
        </w:rPr>
        <w:t xml:space="preserve">hearing before the ET </w:t>
      </w:r>
      <w:r w:rsidR="004E2F6E" w:rsidRPr="00996790">
        <w:rPr>
          <w:rFonts w:ascii="Times New Roman" w:hAnsi="Times New Roman" w:cs="Times New Roman"/>
          <w:color w:val="000000"/>
          <w:sz w:val="24"/>
          <w:szCs w:val="24"/>
        </w:rPr>
        <w:t xml:space="preserve">that her only claim was for automatically unfair dismissal </w:t>
      </w:r>
      <w:r w:rsidR="00DF52C9" w:rsidRPr="00996790">
        <w:rPr>
          <w:rFonts w:ascii="Times New Roman" w:hAnsi="Times New Roman" w:cs="Times New Roman"/>
          <w:color w:val="000000"/>
          <w:sz w:val="24"/>
          <w:szCs w:val="24"/>
        </w:rPr>
        <w:t xml:space="preserve">against the London Borough of </w:t>
      </w:r>
      <w:r w:rsidR="00FA58AE" w:rsidRPr="00996790">
        <w:rPr>
          <w:rFonts w:ascii="Times New Roman" w:hAnsi="Times New Roman" w:cs="Times New Roman"/>
          <w:color w:val="000000"/>
          <w:sz w:val="24"/>
          <w:szCs w:val="24"/>
        </w:rPr>
        <w:t>Ri</w:t>
      </w:r>
      <w:r w:rsidR="006B7865" w:rsidRPr="00996790">
        <w:rPr>
          <w:rFonts w:ascii="Times New Roman" w:hAnsi="Times New Roman" w:cs="Times New Roman"/>
          <w:color w:val="000000"/>
          <w:sz w:val="24"/>
          <w:szCs w:val="24"/>
        </w:rPr>
        <w:t>ch</w:t>
      </w:r>
      <w:r w:rsidR="00FA58AE" w:rsidRPr="00996790">
        <w:rPr>
          <w:rFonts w:ascii="Times New Roman" w:hAnsi="Times New Roman" w:cs="Times New Roman"/>
          <w:color w:val="000000"/>
          <w:sz w:val="24"/>
          <w:szCs w:val="24"/>
        </w:rPr>
        <w:t>mond upon Thames</w:t>
      </w:r>
      <w:r w:rsidR="000636E2">
        <w:rPr>
          <w:rFonts w:ascii="Times New Roman" w:hAnsi="Times New Roman" w:cs="Times New Roman"/>
          <w:color w:val="000000"/>
          <w:sz w:val="24"/>
          <w:szCs w:val="24"/>
        </w:rPr>
        <w:t xml:space="preserve"> (who were the first respondent below)</w:t>
      </w:r>
      <w:r w:rsidR="00FA58AE" w:rsidRPr="00996790">
        <w:rPr>
          <w:rFonts w:ascii="Times New Roman" w:hAnsi="Times New Roman" w:cs="Times New Roman"/>
          <w:color w:val="000000"/>
          <w:sz w:val="24"/>
          <w:szCs w:val="24"/>
        </w:rPr>
        <w:t xml:space="preserve">.  </w:t>
      </w:r>
      <w:r w:rsidR="00722F8E" w:rsidRPr="00996790">
        <w:rPr>
          <w:rFonts w:ascii="Times New Roman" w:hAnsi="Times New Roman" w:cs="Times New Roman"/>
          <w:color w:val="000000"/>
          <w:sz w:val="24"/>
          <w:szCs w:val="24"/>
        </w:rPr>
        <w:t xml:space="preserve">It was then agreed </w:t>
      </w:r>
      <w:r w:rsidR="005619F5" w:rsidRPr="00996790">
        <w:rPr>
          <w:rFonts w:ascii="Times New Roman" w:hAnsi="Times New Roman" w:cs="Times New Roman"/>
          <w:color w:val="000000"/>
          <w:sz w:val="24"/>
          <w:szCs w:val="24"/>
        </w:rPr>
        <w:t xml:space="preserve">that the second respondent could be removed as </w:t>
      </w:r>
      <w:r w:rsidR="009E171B" w:rsidRPr="00996790">
        <w:rPr>
          <w:rFonts w:ascii="Times New Roman" w:hAnsi="Times New Roman" w:cs="Times New Roman"/>
          <w:color w:val="000000"/>
          <w:sz w:val="24"/>
          <w:szCs w:val="24"/>
        </w:rPr>
        <w:t xml:space="preserve">a party from the proceedings.  Equally, the </w:t>
      </w:r>
      <w:r w:rsidR="000A4663">
        <w:rPr>
          <w:rFonts w:ascii="Times New Roman" w:hAnsi="Times New Roman" w:cs="Times New Roman"/>
          <w:color w:val="000000"/>
          <w:sz w:val="24"/>
          <w:szCs w:val="24"/>
        </w:rPr>
        <w:t>R</w:t>
      </w:r>
      <w:r w:rsidR="009E171B" w:rsidRPr="00996790">
        <w:rPr>
          <w:rFonts w:ascii="Times New Roman" w:hAnsi="Times New Roman" w:cs="Times New Roman"/>
          <w:color w:val="000000"/>
          <w:sz w:val="24"/>
          <w:szCs w:val="24"/>
        </w:rPr>
        <w:t xml:space="preserve">egistrar directed that it was not </w:t>
      </w:r>
      <w:r w:rsidR="0028445D" w:rsidRPr="00996790">
        <w:rPr>
          <w:rFonts w:ascii="Times New Roman" w:hAnsi="Times New Roman" w:cs="Times New Roman"/>
          <w:color w:val="000000"/>
          <w:sz w:val="24"/>
          <w:szCs w:val="24"/>
        </w:rPr>
        <w:t xml:space="preserve">necessary for Broadland to be </w:t>
      </w:r>
      <w:r w:rsidR="004B663F" w:rsidRPr="00996790">
        <w:rPr>
          <w:rFonts w:ascii="Times New Roman" w:hAnsi="Times New Roman" w:cs="Times New Roman"/>
          <w:color w:val="000000"/>
          <w:sz w:val="24"/>
          <w:szCs w:val="24"/>
        </w:rPr>
        <w:t xml:space="preserve">named as a respondent to this appeal.  </w:t>
      </w:r>
    </w:p>
    <w:p w14:paraId="4D687B83" w14:textId="15B14519" w:rsidR="00C973A1" w:rsidRPr="000E1A06" w:rsidRDefault="005F4F2B" w:rsidP="00C973A1">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00000"/>
          <w:sz w:val="24"/>
          <w:szCs w:val="24"/>
        </w:rPr>
        <w:t xml:space="preserve">As the </w:t>
      </w:r>
      <w:r w:rsidR="00477089">
        <w:rPr>
          <w:rFonts w:ascii="Times New Roman" w:hAnsi="Times New Roman" w:cs="Times New Roman"/>
          <w:color w:val="000000"/>
          <w:sz w:val="24"/>
          <w:szCs w:val="24"/>
        </w:rPr>
        <w:t>ET</w:t>
      </w:r>
      <w:r w:rsidRPr="00996790">
        <w:rPr>
          <w:rFonts w:ascii="Times New Roman" w:hAnsi="Times New Roman" w:cs="Times New Roman"/>
          <w:color w:val="000000"/>
          <w:sz w:val="24"/>
          <w:szCs w:val="24"/>
        </w:rPr>
        <w:t xml:space="preserve"> noted in paragraph 3 of its reasons</w:t>
      </w:r>
      <w:r w:rsidR="003A08D5" w:rsidRPr="00996790">
        <w:rPr>
          <w:rFonts w:ascii="Times New Roman" w:hAnsi="Times New Roman" w:cs="Times New Roman"/>
          <w:color w:val="000000"/>
          <w:sz w:val="24"/>
          <w:szCs w:val="24"/>
        </w:rPr>
        <w:t xml:space="preserve">, the questions for it </w:t>
      </w:r>
      <w:r w:rsidR="00C14E15" w:rsidRPr="00996790">
        <w:rPr>
          <w:rFonts w:ascii="Times New Roman" w:hAnsi="Times New Roman" w:cs="Times New Roman"/>
          <w:color w:val="000000"/>
          <w:sz w:val="24"/>
          <w:szCs w:val="24"/>
        </w:rPr>
        <w:t>to resolve were</w:t>
      </w:r>
      <w:r w:rsidR="00477089">
        <w:rPr>
          <w:rFonts w:ascii="Times New Roman" w:hAnsi="Times New Roman" w:cs="Times New Roman"/>
          <w:color w:val="000000"/>
          <w:sz w:val="24"/>
          <w:szCs w:val="24"/>
        </w:rPr>
        <w:t>:</w:t>
      </w:r>
      <w:r w:rsidR="00C14E15" w:rsidRPr="00996790">
        <w:rPr>
          <w:rFonts w:ascii="Times New Roman" w:hAnsi="Times New Roman" w:cs="Times New Roman"/>
          <w:color w:val="000000"/>
          <w:sz w:val="24"/>
          <w:szCs w:val="24"/>
        </w:rPr>
        <w:t xml:space="preserve"> (a) was there a relevant transfer </w:t>
      </w:r>
      <w:r w:rsidR="00D1171E" w:rsidRPr="00996790">
        <w:rPr>
          <w:rFonts w:ascii="Times New Roman" w:hAnsi="Times New Roman" w:cs="Times New Roman"/>
          <w:color w:val="000000"/>
          <w:sz w:val="24"/>
          <w:szCs w:val="24"/>
        </w:rPr>
        <w:t xml:space="preserve">within the meaning of </w:t>
      </w:r>
      <w:r w:rsidR="00D1171E" w:rsidRPr="00CE1010">
        <w:rPr>
          <w:rFonts w:ascii="Times New Roman" w:hAnsi="Times New Roman" w:cs="Times New Roman"/>
          <w:b/>
          <w:bCs/>
          <w:color w:val="000000"/>
          <w:sz w:val="24"/>
          <w:szCs w:val="24"/>
        </w:rPr>
        <w:t>regulation 3 TUPE</w:t>
      </w:r>
      <w:r w:rsidR="00D1171E" w:rsidRPr="00996790">
        <w:rPr>
          <w:rFonts w:ascii="Times New Roman" w:hAnsi="Times New Roman" w:cs="Times New Roman"/>
          <w:color w:val="000000"/>
          <w:sz w:val="24"/>
          <w:szCs w:val="24"/>
        </w:rPr>
        <w:t xml:space="preserve"> and, if so, </w:t>
      </w:r>
      <w:r w:rsidR="00473D10" w:rsidRPr="00996790">
        <w:rPr>
          <w:rFonts w:ascii="Times New Roman" w:hAnsi="Times New Roman" w:cs="Times New Roman"/>
          <w:color w:val="000000"/>
          <w:sz w:val="24"/>
          <w:szCs w:val="24"/>
        </w:rPr>
        <w:t xml:space="preserve">(b) was the TUPE transfer the sole </w:t>
      </w:r>
      <w:r w:rsidR="00B71E29" w:rsidRPr="00996790">
        <w:rPr>
          <w:rFonts w:ascii="Times New Roman" w:hAnsi="Times New Roman" w:cs="Times New Roman"/>
          <w:color w:val="000000"/>
          <w:sz w:val="24"/>
          <w:szCs w:val="24"/>
        </w:rPr>
        <w:t xml:space="preserve">or principal reason for the </w:t>
      </w:r>
      <w:r w:rsidR="00D03228" w:rsidRPr="00996790">
        <w:rPr>
          <w:rFonts w:ascii="Times New Roman" w:hAnsi="Times New Roman" w:cs="Times New Roman"/>
          <w:color w:val="000000"/>
          <w:sz w:val="24"/>
          <w:szCs w:val="24"/>
        </w:rPr>
        <w:t xml:space="preserve">dismissal?  </w:t>
      </w:r>
      <w:r w:rsidR="005F3AD9" w:rsidRPr="00996790">
        <w:rPr>
          <w:rFonts w:ascii="Times New Roman" w:hAnsi="Times New Roman" w:cs="Times New Roman"/>
          <w:color w:val="000000"/>
          <w:sz w:val="24"/>
          <w:szCs w:val="24"/>
        </w:rPr>
        <w:t xml:space="preserve">In paragraph 4 of its reasons, the ET explained that the respondent defended </w:t>
      </w:r>
      <w:r w:rsidR="0009531F" w:rsidRPr="00996790">
        <w:rPr>
          <w:rFonts w:ascii="Times New Roman" w:hAnsi="Times New Roman" w:cs="Times New Roman"/>
          <w:color w:val="000000"/>
          <w:sz w:val="24"/>
          <w:szCs w:val="24"/>
        </w:rPr>
        <w:t xml:space="preserve">the case as follows: </w:t>
      </w:r>
    </w:p>
    <w:p w14:paraId="71296999" w14:textId="2179789E" w:rsidR="00C973A1" w:rsidRPr="001B4841" w:rsidRDefault="001B4841" w:rsidP="001B4841">
      <w:pPr>
        <w:pStyle w:val="ListParagraph"/>
        <w:tabs>
          <w:tab w:val="left" w:pos="0"/>
        </w:tabs>
        <w:ind w:left="851" w:right="851"/>
        <w:contextualSpacing/>
        <w:jc w:val="both"/>
        <w:rPr>
          <w:rFonts w:ascii="Times New Roman" w:hAnsi="Times New Roman" w:cs="Times New Roman"/>
          <w:color w:val="000000"/>
          <w:sz w:val="24"/>
          <w:szCs w:val="24"/>
        </w:rPr>
      </w:pPr>
      <w:r w:rsidRPr="001B4841">
        <w:rPr>
          <w:rFonts w:ascii="Times New Roman" w:hAnsi="Times New Roman" w:cs="Times New Roman"/>
          <w:color w:val="000000"/>
          <w:sz w:val="24"/>
          <w:szCs w:val="24"/>
        </w:rPr>
        <w:t>“</w:t>
      </w:r>
      <w:r w:rsidR="00C973A1" w:rsidRPr="001B4841">
        <w:rPr>
          <w:rFonts w:ascii="Times New Roman" w:hAnsi="Times New Roman" w:cs="Times New Roman"/>
          <w:color w:val="000000"/>
          <w:sz w:val="24"/>
          <w:szCs w:val="24"/>
        </w:rPr>
        <w:t xml:space="preserve">(a) </w:t>
      </w:r>
      <w:r w:rsidR="00EA27A8">
        <w:rPr>
          <w:rFonts w:ascii="Times New Roman" w:hAnsi="Times New Roman" w:cs="Times New Roman"/>
          <w:color w:val="000000"/>
          <w:sz w:val="24"/>
          <w:szCs w:val="24"/>
        </w:rPr>
        <w:t xml:space="preserve"> </w:t>
      </w:r>
      <w:r w:rsidR="00C973A1" w:rsidRPr="001B4841">
        <w:rPr>
          <w:rFonts w:ascii="Times New Roman" w:hAnsi="Times New Roman" w:cs="Times New Roman"/>
          <w:color w:val="000000"/>
          <w:sz w:val="24"/>
          <w:szCs w:val="24"/>
        </w:rPr>
        <w:t>There cannot be a TUPE transfer because the activities carried on</w:t>
      </w:r>
    </w:p>
    <w:p w14:paraId="5CC4F436" w14:textId="77777777"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r w:rsidRPr="001B4841">
        <w:rPr>
          <w:rFonts w:ascii="Times New Roman" w:hAnsi="Times New Roman" w:cs="Times New Roman"/>
          <w:color w:val="000000"/>
          <w:sz w:val="24"/>
          <w:szCs w:val="24"/>
        </w:rPr>
        <w:t>by the First Respondent after the transfer date were fundamentally</w:t>
      </w:r>
    </w:p>
    <w:p w14:paraId="0AD9AF89" w14:textId="77777777"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proofErr w:type="gramStart"/>
      <w:r w:rsidRPr="001B4841">
        <w:rPr>
          <w:rFonts w:ascii="Times New Roman" w:hAnsi="Times New Roman" w:cs="Times New Roman"/>
          <w:color w:val="000000"/>
          <w:sz w:val="24"/>
          <w:szCs w:val="24"/>
        </w:rPr>
        <w:t>different;</w:t>
      </w:r>
      <w:proofErr w:type="gramEnd"/>
    </w:p>
    <w:p w14:paraId="5C2FCE2B" w14:textId="77777777"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p>
    <w:p w14:paraId="310538B0" w14:textId="4C150E3A"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r w:rsidRPr="001B4841">
        <w:rPr>
          <w:rFonts w:ascii="Times New Roman" w:hAnsi="Times New Roman" w:cs="Times New Roman"/>
          <w:color w:val="000000"/>
          <w:sz w:val="24"/>
          <w:szCs w:val="24"/>
        </w:rPr>
        <w:t>(b)</w:t>
      </w:r>
      <w:r w:rsidR="00EA27A8">
        <w:rPr>
          <w:rFonts w:ascii="Times New Roman" w:hAnsi="Times New Roman" w:cs="Times New Roman"/>
          <w:color w:val="000000"/>
          <w:sz w:val="24"/>
          <w:szCs w:val="24"/>
        </w:rPr>
        <w:t xml:space="preserve"> </w:t>
      </w:r>
      <w:r w:rsidRPr="001B4841">
        <w:rPr>
          <w:rFonts w:ascii="Times New Roman" w:hAnsi="Times New Roman" w:cs="Times New Roman"/>
          <w:color w:val="000000"/>
          <w:sz w:val="24"/>
          <w:szCs w:val="24"/>
        </w:rPr>
        <w:t xml:space="preserve"> As </w:t>
      </w:r>
      <w:proofErr w:type="gramStart"/>
      <w:r w:rsidRPr="001B4841">
        <w:rPr>
          <w:rFonts w:ascii="Times New Roman" w:hAnsi="Times New Roman" w:cs="Times New Roman"/>
          <w:color w:val="000000"/>
          <w:sz w:val="24"/>
          <w:szCs w:val="24"/>
        </w:rPr>
        <w:t>at</w:t>
      </w:r>
      <w:proofErr w:type="gramEnd"/>
      <w:r w:rsidRPr="001B4841">
        <w:rPr>
          <w:rFonts w:ascii="Times New Roman" w:hAnsi="Times New Roman" w:cs="Times New Roman"/>
          <w:color w:val="000000"/>
          <w:sz w:val="24"/>
          <w:szCs w:val="24"/>
        </w:rPr>
        <w:t xml:space="preserve"> 1 July 2018 the First Respondent intended the activities to be</w:t>
      </w:r>
    </w:p>
    <w:p w14:paraId="305C9573" w14:textId="77777777"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r w:rsidRPr="001B4841">
        <w:rPr>
          <w:rFonts w:ascii="Times New Roman" w:hAnsi="Times New Roman" w:cs="Times New Roman"/>
          <w:color w:val="000000"/>
          <w:sz w:val="24"/>
          <w:szCs w:val="24"/>
        </w:rPr>
        <w:t xml:space="preserve">carried out for a </w:t>
      </w:r>
      <w:proofErr w:type="gramStart"/>
      <w:r w:rsidRPr="001B4841">
        <w:rPr>
          <w:rFonts w:ascii="Times New Roman" w:hAnsi="Times New Roman" w:cs="Times New Roman"/>
          <w:color w:val="000000"/>
          <w:sz w:val="24"/>
          <w:szCs w:val="24"/>
        </w:rPr>
        <w:t>short term</w:t>
      </w:r>
      <w:proofErr w:type="gramEnd"/>
      <w:r w:rsidRPr="001B4841">
        <w:rPr>
          <w:rFonts w:ascii="Times New Roman" w:hAnsi="Times New Roman" w:cs="Times New Roman"/>
          <w:color w:val="000000"/>
          <w:sz w:val="24"/>
          <w:szCs w:val="24"/>
        </w:rPr>
        <w:t xml:space="preserve"> duration only, until March 2019, when the</w:t>
      </w:r>
    </w:p>
    <w:p w14:paraId="6ADE2AA0" w14:textId="77777777"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r w:rsidRPr="001B4841">
        <w:rPr>
          <w:rFonts w:ascii="Times New Roman" w:hAnsi="Times New Roman" w:cs="Times New Roman"/>
          <w:color w:val="000000"/>
          <w:sz w:val="24"/>
          <w:szCs w:val="24"/>
        </w:rPr>
        <w:t>First Respondent anticipated that the CCTV services would be</w:t>
      </w:r>
    </w:p>
    <w:p w14:paraId="6E786C37" w14:textId="424FBF96" w:rsidR="00C973A1" w:rsidRPr="001B4841" w:rsidRDefault="00C973A1" w:rsidP="001B4841">
      <w:pPr>
        <w:pStyle w:val="ListParagraph"/>
        <w:tabs>
          <w:tab w:val="left" w:pos="0"/>
        </w:tabs>
        <w:ind w:left="851" w:right="851"/>
        <w:contextualSpacing/>
        <w:jc w:val="both"/>
        <w:rPr>
          <w:rFonts w:ascii="Times New Roman" w:hAnsi="Times New Roman" w:cs="Times New Roman"/>
          <w:color w:val="000000"/>
          <w:sz w:val="24"/>
          <w:szCs w:val="24"/>
        </w:rPr>
      </w:pPr>
      <w:r w:rsidRPr="001B4841">
        <w:rPr>
          <w:rFonts w:ascii="Times New Roman" w:hAnsi="Times New Roman" w:cs="Times New Roman"/>
          <w:color w:val="000000"/>
          <w:sz w:val="24"/>
          <w:szCs w:val="24"/>
        </w:rPr>
        <w:t>merged with the London Borough of Wandsworth (</w:t>
      </w:r>
      <w:r w:rsidR="00167F22" w:rsidRPr="001B4841">
        <w:rPr>
          <w:rFonts w:ascii="Times New Roman" w:hAnsi="Times New Roman" w:cs="Times New Roman"/>
          <w:color w:val="000000"/>
          <w:sz w:val="24"/>
          <w:szCs w:val="24"/>
        </w:rPr>
        <w:t>'</w:t>
      </w:r>
      <w:r w:rsidRPr="001B4841">
        <w:rPr>
          <w:rFonts w:ascii="Times New Roman" w:hAnsi="Times New Roman" w:cs="Times New Roman"/>
          <w:color w:val="000000"/>
          <w:sz w:val="24"/>
          <w:szCs w:val="24"/>
        </w:rPr>
        <w:t>LBW</w:t>
      </w:r>
      <w:r w:rsidR="00167F22" w:rsidRPr="001B4841">
        <w:rPr>
          <w:rFonts w:ascii="Times New Roman" w:hAnsi="Times New Roman" w:cs="Times New Roman"/>
          <w:color w:val="000000"/>
          <w:sz w:val="24"/>
          <w:szCs w:val="24"/>
        </w:rPr>
        <w:t>'</w:t>
      </w:r>
      <w:r w:rsidRPr="001B4841">
        <w:rPr>
          <w:rFonts w:ascii="Times New Roman" w:hAnsi="Times New Roman" w:cs="Times New Roman"/>
          <w:color w:val="000000"/>
          <w:sz w:val="24"/>
          <w:szCs w:val="24"/>
        </w:rPr>
        <w:t>).</w:t>
      </w:r>
      <w:r w:rsidR="001B4841" w:rsidRPr="001B4841">
        <w:rPr>
          <w:rFonts w:ascii="Times New Roman" w:hAnsi="Times New Roman" w:cs="Times New Roman"/>
          <w:color w:val="000000"/>
          <w:sz w:val="24"/>
          <w:szCs w:val="24"/>
        </w:rPr>
        <w:t>”</w:t>
      </w:r>
    </w:p>
    <w:p w14:paraId="6E12D0F8" w14:textId="77777777" w:rsidR="00C973A1" w:rsidRPr="00996790" w:rsidRDefault="00C973A1" w:rsidP="00C973A1">
      <w:pPr>
        <w:pStyle w:val="ListParagraph"/>
        <w:tabs>
          <w:tab w:val="left" w:pos="0"/>
        </w:tabs>
        <w:spacing w:line="480" w:lineRule="auto"/>
        <w:contextualSpacing/>
        <w:jc w:val="both"/>
        <w:rPr>
          <w:rFonts w:ascii="Times New Roman" w:hAnsi="Times New Roman" w:cs="Times New Roman"/>
          <w:color w:val="010302"/>
          <w:sz w:val="24"/>
          <w:szCs w:val="24"/>
        </w:rPr>
      </w:pPr>
    </w:p>
    <w:p w14:paraId="0DB92675" w14:textId="6B2194F9" w:rsidR="0037479A" w:rsidRPr="00996790" w:rsidRDefault="00167F22"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At the hearing, the claimant </w:t>
      </w:r>
      <w:r w:rsidR="008426C0" w:rsidRPr="00996790">
        <w:rPr>
          <w:rFonts w:ascii="Times New Roman" w:hAnsi="Times New Roman" w:cs="Times New Roman"/>
          <w:color w:val="010302"/>
          <w:sz w:val="24"/>
          <w:szCs w:val="24"/>
        </w:rPr>
        <w:t>gave evidence</w:t>
      </w:r>
      <w:r w:rsidR="00E311A6" w:rsidRPr="00996790">
        <w:rPr>
          <w:rFonts w:ascii="Times New Roman" w:hAnsi="Times New Roman" w:cs="Times New Roman"/>
          <w:color w:val="010302"/>
          <w:sz w:val="24"/>
          <w:szCs w:val="24"/>
        </w:rPr>
        <w:t>, as did the respondent's witnesses</w:t>
      </w:r>
      <w:r w:rsidR="00583AF9">
        <w:rPr>
          <w:rFonts w:ascii="Times New Roman" w:hAnsi="Times New Roman" w:cs="Times New Roman"/>
          <w:color w:val="010302"/>
          <w:sz w:val="24"/>
          <w:szCs w:val="24"/>
        </w:rPr>
        <w:t>:</w:t>
      </w:r>
      <w:r w:rsidR="00E311A6" w:rsidRPr="00996790">
        <w:rPr>
          <w:rFonts w:ascii="Times New Roman" w:hAnsi="Times New Roman" w:cs="Times New Roman"/>
          <w:color w:val="010302"/>
          <w:sz w:val="24"/>
          <w:szCs w:val="24"/>
        </w:rPr>
        <w:t xml:space="preserve"> Keith </w:t>
      </w:r>
      <w:r w:rsidR="00284116" w:rsidRPr="00996790">
        <w:rPr>
          <w:rFonts w:ascii="Times New Roman" w:hAnsi="Times New Roman" w:cs="Times New Roman"/>
          <w:color w:val="010302"/>
          <w:sz w:val="24"/>
          <w:szCs w:val="24"/>
        </w:rPr>
        <w:t>Free</w:t>
      </w:r>
      <w:r w:rsidR="00583AF9">
        <w:rPr>
          <w:rFonts w:ascii="Times New Roman" w:hAnsi="Times New Roman" w:cs="Times New Roman"/>
          <w:color w:val="010302"/>
          <w:sz w:val="24"/>
          <w:szCs w:val="24"/>
        </w:rPr>
        <w:t>,</w:t>
      </w:r>
      <w:r w:rsidR="00284116" w:rsidRPr="00996790">
        <w:rPr>
          <w:rFonts w:ascii="Times New Roman" w:hAnsi="Times New Roman" w:cs="Times New Roman"/>
          <w:color w:val="010302"/>
          <w:sz w:val="24"/>
          <w:szCs w:val="24"/>
        </w:rPr>
        <w:t xml:space="preserve"> the </w:t>
      </w:r>
      <w:r w:rsidR="00C22393" w:rsidRPr="00996790">
        <w:rPr>
          <w:rFonts w:ascii="Times New Roman" w:hAnsi="Times New Roman" w:cs="Times New Roman"/>
          <w:color w:val="010302"/>
          <w:sz w:val="24"/>
          <w:szCs w:val="24"/>
        </w:rPr>
        <w:t>Careline</w:t>
      </w:r>
      <w:r w:rsidR="00284116" w:rsidRPr="00996790">
        <w:rPr>
          <w:rFonts w:ascii="Times New Roman" w:hAnsi="Times New Roman" w:cs="Times New Roman"/>
          <w:color w:val="010302"/>
          <w:sz w:val="24"/>
          <w:szCs w:val="24"/>
        </w:rPr>
        <w:t xml:space="preserve"> and CCTV </w:t>
      </w:r>
      <w:r w:rsidR="00583AF9">
        <w:rPr>
          <w:rFonts w:ascii="Times New Roman" w:hAnsi="Times New Roman" w:cs="Times New Roman"/>
          <w:color w:val="010302"/>
          <w:sz w:val="24"/>
          <w:szCs w:val="24"/>
        </w:rPr>
        <w:t>M</w:t>
      </w:r>
      <w:r w:rsidR="00284116" w:rsidRPr="00996790">
        <w:rPr>
          <w:rFonts w:ascii="Times New Roman" w:hAnsi="Times New Roman" w:cs="Times New Roman"/>
          <w:color w:val="010302"/>
          <w:sz w:val="24"/>
          <w:szCs w:val="24"/>
        </w:rPr>
        <w:t xml:space="preserve">anager, </w:t>
      </w:r>
      <w:r w:rsidR="00CA10C1" w:rsidRPr="00996790">
        <w:rPr>
          <w:rFonts w:ascii="Times New Roman" w:hAnsi="Times New Roman" w:cs="Times New Roman"/>
          <w:color w:val="010302"/>
          <w:sz w:val="24"/>
          <w:szCs w:val="24"/>
        </w:rPr>
        <w:t xml:space="preserve">and Pauline </w:t>
      </w:r>
      <w:proofErr w:type="spellStart"/>
      <w:r w:rsidR="00CA10C1" w:rsidRPr="00996790">
        <w:rPr>
          <w:rFonts w:ascii="Times New Roman" w:hAnsi="Times New Roman" w:cs="Times New Roman"/>
          <w:color w:val="010302"/>
          <w:sz w:val="24"/>
          <w:szCs w:val="24"/>
        </w:rPr>
        <w:t>Ollett</w:t>
      </w:r>
      <w:proofErr w:type="spellEnd"/>
      <w:r w:rsidR="00CA10C1" w:rsidRPr="00996790">
        <w:rPr>
          <w:rFonts w:ascii="Times New Roman" w:hAnsi="Times New Roman" w:cs="Times New Roman"/>
          <w:color w:val="010302"/>
          <w:sz w:val="24"/>
          <w:szCs w:val="24"/>
        </w:rPr>
        <w:t xml:space="preserve">, the </w:t>
      </w:r>
      <w:r w:rsidR="00D44394" w:rsidRPr="00996790">
        <w:rPr>
          <w:rFonts w:ascii="Times New Roman" w:hAnsi="Times New Roman" w:cs="Times New Roman"/>
          <w:color w:val="010302"/>
          <w:sz w:val="24"/>
          <w:szCs w:val="24"/>
        </w:rPr>
        <w:t xml:space="preserve">HR </w:t>
      </w:r>
      <w:r w:rsidR="00583AF9">
        <w:rPr>
          <w:rFonts w:ascii="Times New Roman" w:hAnsi="Times New Roman" w:cs="Times New Roman"/>
          <w:color w:val="010302"/>
          <w:sz w:val="24"/>
          <w:szCs w:val="24"/>
        </w:rPr>
        <w:t>B</w:t>
      </w:r>
      <w:r w:rsidR="00D44394" w:rsidRPr="00996790">
        <w:rPr>
          <w:rFonts w:ascii="Times New Roman" w:hAnsi="Times New Roman" w:cs="Times New Roman"/>
          <w:color w:val="010302"/>
          <w:sz w:val="24"/>
          <w:szCs w:val="24"/>
        </w:rPr>
        <w:t xml:space="preserve">usiness </w:t>
      </w:r>
      <w:r w:rsidR="00583AF9">
        <w:rPr>
          <w:rFonts w:ascii="Times New Roman" w:hAnsi="Times New Roman" w:cs="Times New Roman"/>
          <w:color w:val="010302"/>
          <w:sz w:val="24"/>
          <w:szCs w:val="24"/>
        </w:rPr>
        <w:t>P</w:t>
      </w:r>
      <w:r w:rsidR="00D44394" w:rsidRPr="00996790">
        <w:rPr>
          <w:rFonts w:ascii="Times New Roman" w:hAnsi="Times New Roman" w:cs="Times New Roman"/>
          <w:color w:val="010302"/>
          <w:sz w:val="24"/>
          <w:szCs w:val="24"/>
        </w:rPr>
        <w:t xml:space="preserve">artner.  </w:t>
      </w:r>
      <w:r w:rsidR="001C2980" w:rsidRPr="00996790">
        <w:rPr>
          <w:rFonts w:ascii="Times New Roman" w:hAnsi="Times New Roman" w:cs="Times New Roman"/>
          <w:color w:val="010302"/>
          <w:sz w:val="24"/>
          <w:szCs w:val="24"/>
        </w:rPr>
        <w:t xml:space="preserve">The claimant only asked questions </w:t>
      </w:r>
      <w:r w:rsidR="007708DF" w:rsidRPr="00996790">
        <w:rPr>
          <w:rFonts w:ascii="Times New Roman" w:hAnsi="Times New Roman" w:cs="Times New Roman"/>
          <w:color w:val="010302"/>
          <w:sz w:val="24"/>
          <w:szCs w:val="24"/>
        </w:rPr>
        <w:t xml:space="preserve">of Mr Free.  </w:t>
      </w:r>
    </w:p>
    <w:p w14:paraId="56D797E9" w14:textId="165D43DF" w:rsidR="001D79D6" w:rsidRPr="00583AF9" w:rsidRDefault="001D79D6" w:rsidP="001D79D6">
      <w:pPr>
        <w:spacing w:line="480" w:lineRule="auto"/>
        <w:ind w:right="5330"/>
        <w:contextualSpacing/>
        <w:jc w:val="both"/>
        <w:rPr>
          <w:rFonts w:ascii="Times New Roman" w:hAnsi="Times New Roman"/>
          <w:color w:val="000000" w:themeColor="text1"/>
          <w:sz w:val="24"/>
          <w:szCs w:val="24"/>
          <w:u w:val="single"/>
        </w:rPr>
      </w:pPr>
      <w:r w:rsidRPr="00583AF9">
        <w:rPr>
          <w:rFonts w:ascii="Times New Roman" w:hAnsi="Times New Roman" w:cs="Times New Roman"/>
          <w:b/>
          <w:bCs/>
          <w:color w:val="000000"/>
          <w:sz w:val="24"/>
          <w:szCs w:val="24"/>
          <w:u w:val="single"/>
        </w:rPr>
        <w:t xml:space="preserve">The </w:t>
      </w:r>
      <w:r w:rsidR="004C41B9" w:rsidRPr="00583AF9">
        <w:rPr>
          <w:rFonts w:ascii="Times New Roman" w:hAnsi="Times New Roman" w:cs="Times New Roman"/>
          <w:b/>
          <w:bCs/>
          <w:color w:val="000000"/>
          <w:sz w:val="24"/>
          <w:szCs w:val="24"/>
          <w:u w:val="single"/>
        </w:rPr>
        <w:t>G</w:t>
      </w:r>
      <w:r w:rsidRPr="00583AF9">
        <w:rPr>
          <w:rFonts w:ascii="Times New Roman" w:hAnsi="Times New Roman" w:cs="Times New Roman"/>
          <w:b/>
          <w:bCs/>
          <w:color w:val="000000"/>
          <w:sz w:val="24"/>
          <w:szCs w:val="24"/>
          <w:u w:val="single"/>
        </w:rPr>
        <w:t xml:space="preserve">rounds of </w:t>
      </w:r>
      <w:r w:rsidR="004C41B9" w:rsidRPr="00583AF9">
        <w:rPr>
          <w:rFonts w:ascii="Times New Roman" w:hAnsi="Times New Roman" w:cs="Times New Roman"/>
          <w:b/>
          <w:bCs/>
          <w:color w:val="000000"/>
          <w:sz w:val="24"/>
          <w:szCs w:val="24"/>
          <w:u w:val="single"/>
        </w:rPr>
        <w:t>A</w:t>
      </w:r>
      <w:r w:rsidRPr="00583AF9">
        <w:rPr>
          <w:rFonts w:ascii="Times New Roman" w:hAnsi="Times New Roman" w:cs="Times New Roman"/>
          <w:b/>
          <w:bCs/>
          <w:color w:val="000000"/>
          <w:sz w:val="24"/>
          <w:szCs w:val="24"/>
          <w:u w:val="single"/>
        </w:rPr>
        <w:t>ppeal</w:t>
      </w:r>
    </w:p>
    <w:p w14:paraId="66D0ABFC" w14:textId="55C8D8BD" w:rsidR="002C6B7B" w:rsidRPr="000E1A06" w:rsidRDefault="006729CA" w:rsidP="002C6B7B">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6B2B49">
        <w:rPr>
          <w:rFonts w:ascii="Times New Roman" w:hAnsi="Times New Roman" w:cs="Times New Roman"/>
          <w:color w:val="010302"/>
          <w:sz w:val="24"/>
          <w:szCs w:val="24"/>
        </w:rPr>
        <w:t>At</w:t>
      </w:r>
      <w:r w:rsidRPr="00996790">
        <w:rPr>
          <w:rFonts w:ascii="Times New Roman" w:hAnsi="Times New Roman" w:cs="Times New Roman"/>
          <w:color w:val="010302"/>
          <w:sz w:val="24"/>
          <w:szCs w:val="24"/>
        </w:rPr>
        <w:t xml:space="preserve"> the Rule 3(10) </w:t>
      </w:r>
      <w:r w:rsidR="005C150C">
        <w:rPr>
          <w:rFonts w:ascii="Times New Roman" w:hAnsi="Times New Roman" w:cs="Times New Roman"/>
          <w:color w:val="010302"/>
          <w:sz w:val="24"/>
          <w:szCs w:val="24"/>
        </w:rPr>
        <w:t>H</w:t>
      </w:r>
      <w:r w:rsidRPr="00996790">
        <w:rPr>
          <w:rFonts w:ascii="Times New Roman" w:hAnsi="Times New Roman" w:cs="Times New Roman"/>
          <w:color w:val="010302"/>
          <w:sz w:val="24"/>
          <w:szCs w:val="24"/>
        </w:rPr>
        <w:t xml:space="preserve">earing the claimant </w:t>
      </w:r>
      <w:r w:rsidR="00790083" w:rsidRPr="00996790">
        <w:rPr>
          <w:rFonts w:ascii="Times New Roman" w:hAnsi="Times New Roman" w:cs="Times New Roman"/>
          <w:color w:val="010302"/>
          <w:sz w:val="24"/>
          <w:szCs w:val="24"/>
        </w:rPr>
        <w:t xml:space="preserve">was represented </w:t>
      </w:r>
      <w:r w:rsidR="00066A59" w:rsidRPr="00996790">
        <w:rPr>
          <w:rFonts w:ascii="Times New Roman" w:hAnsi="Times New Roman" w:cs="Times New Roman"/>
          <w:color w:val="010302"/>
          <w:sz w:val="24"/>
          <w:szCs w:val="24"/>
        </w:rPr>
        <w:t xml:space="preserve">by Ms </w:t>
      </w:r>
      <w:r w:rsidR="000B1698" w:rsidRPr="00996790">
        <w:rPr>
          <w:rFonts w:ascii="Times New Roman" w:hAnsi="Times New Roman" w:cs="Times New Roman"/>
          <w:color w:val="010302"/>
          <w:sz w:val="24"/>
          <w:szCs w:val="24"/>
        </w:rPr>
        <w:t>T O'Halloran</w:t>
      </w:r>
      <w:r w:rsidR="005F43E2" w:rsidRPr="00996790">
        <w:rPr>
          <w:rFonts w:ascii="Times New Roman" w:hAnsi="Times New Roman" w:cs="Times New Roman"/>
          <w:color w:val="010302"/>
          <w:sz w:val="24"/>
          <w:szCs w:val="24"/>
        </w:rPr>
        <w:t xml:space="preserve"> of counsel pursuant to </w:t>
      </w:r>
      <w:r w:rsidR="00F7132D" w:rsidRPr="00996790">
        <w:rPr>
          <w:rFonts w:ascii="Times New Roman" w:hAnsi="Times New Roman" w:cs="Times New Roman"/>
          <w:color w:val="010302"/>
          <w:sz w:val="24"/>
          <w:szCs w:val="24"/>
        </w:rPr>
        <w:t>the EL</w:t>
      </w:r>
      <w:r w:rsidR="001B4841">
        <w:rPr>
          <w:rFonts w:ascii="Times New Roman" w:hAnsi="Times New Roman" w:cs="Times New Roman"/>
          <w:color w:val="010302"/>
          <w:sz w:val="24"/>
          <w:szCs w:val="24"/>
        </w:rPr>
        <w:t>A</w:t>
      </w:r>
      <w:r w:rsidR="00F7132D" w:rsidRPr="00996790">
        <w:rPr>
          <w:rFonts w:ascii="Times New Roman" w:hAnsi="Times New Roman" w:cs="Times New Roman"/>
          <w:color w:val="010302"/>
          <w:sz w:val="24"/>
          <w:szCs w:val="24"/>
        </w:rPr>
        <w:t xml:space="preserve">AS Scheme.  </w:t>
      </w:r>
      <w:r w:rsidR="00D37C4F" w:rsidRPr="00996790">
        <w:rPr>
          <w:rFonts w:ascii="Times New Roman" w:hAnsi="Times New Roman" w:cs="Times New Roman"/>
          <w:color w:val="010302"/>
          <w:sz w:val="24"/>
          <w:szCs w:val="24"/>
        </w:rPr>
        <w:t xml:space="preserve">The </w:t>
      </w:r>
      <w:r w:rsidR="0058716F">
        <w:rPr>
          <w:rFonts w:ascii="Times New Roman" w:hAnsi="Times New Roman" w:cs="Times New Roman"/>
          <w:color w:val="010302"/>
          <w:sz w:val="24"/>
          <w:szCs w:val="24"/>
        </w:rPr>
        <w:t>J</w:t>
      </w:r>
      <w:r w:rsidR="00D37C4F" w:rsidRPr="00996790">
        <w:rPr>
          <w:rFonts w:ascii="Times New Roman" w:hAnsi="Times New Roman" w:cs="Times New Roman"/>
          <w:color w:val="010302"/>
          <w:sz w:val="24"/>
          <w:szCs w:val="24"/>
        </w:rPr>
        <w:t xml:space="preserve">udge </w:t>
      </w:r>
      <w:r w:rsidR="0058716F">
        <w:rPr>
          <w:rFonts w:ascii="Times New Roman" w:hAnsi="Times New Roman" w:cs="Times New Roman"/>
          <w:color w:val="010302"/>
          <w:sz w:val="24"/>
          <w:szCs w:val="24"/>
        </w:rPr>
        <w:t xml:space="preserve">permitted the appeal to proceed </w:t>
      </w:r>
      <w:r w:rsidR="00D37C4F" w:rsidRPr="00996790">
        <w:rPr>
          <w:rFonts w:ascii="Times New Roman" w:hAnsi="Times New Roman" w:cs="Times New Roman"/>
          <w:color w:val="010302"/>
          <w:sz w:val="24"/>
          <w:szCs w:val="24"/>
        </w:rPr>
        <w:t xml:space="preserve">and set </w:t>
      </w:r>
      <w:r w:rsidR="0058716F">
        <w:rPr>
          <w:rFonts w:ascii="Times New Roman" w:hAnsi="Times New Roman" w:cs="Times New Roman"/>
          <w:color w:val="010302"/>
          <w:sz w:val="24"/>
          <w:szCs w:val="24"/>
        </w:rPr>
        <w:t xml:space="preserve">it </w:t>
      </w:r>
      <w:r w:rsidR="00D37C4F" w:rsidRPr="00996790">
        <w:rPr>
          <w:rFonts w:ascii="Times New Roman" w:hAnsi="Times New Roman" w:cs="Times New Roman"/>
          <w:color w:val="010302"/>
          <w:sz w:val="24"/>
          <w:szCs w:val="24"/>
        </w:rPr>
        <w:t xml:space="preserve">down for a full hearing, but it is clear </w:t>
      </w:r>
      <w:r w:rsidR="009B7E3A" w:rsidRPr="00996790">
        <w:rPr>
          <w:rFonts w:ascii="Times New Roman" w:hAnsi="Times New Roman" w:cs="Times New Roman"/>
          <w:color w:val="010302"/>
          <w:sz w:val="24"/>
          <w:szCs w:val="24"/>
        </w:rPr>
        <w:t xml:space="preserve">from her order </w:t>
      </w:r>
      <w:r w:rsidR="00980526" w:rsidRPr="00996790">
        <w:rPr>
          <w:rFonts w:ascii="Times New Roman" w:hAnsi="Times New Roman" w:cs="Times New Roman"/>
          <w:color w:val="010302"/>
          <w:sz w:val="24"/>
          <w:szCs w:val="24"/>
        </w:rPr>
        <w:t xml:space="preserve">sealed on 21 June 2021 </w:t>
      </w:r>
      <w:r w:rsidR="008F64F7" w:rsidRPr="00996790">
        <w:rPr>
          <w:rFonts w:ascii="Times New Roman" w:hAnsi="Times New Roman" w:cs="Times New Roman"/>
          <w:color w:val="010302"/>
          <w:sz w:val="24"/>
          <w:szCs w:val="24"/>
        </w:rPr>
        <w:t xml:space="preserve">that permission was granted </w:t>
      </w:r>
      <w:proofErr w:type="gramStart"/>
      <w:r w:rsidR="008F64F7" w:rsidRPr="00996790">
        <w:rPr>
          <w:rFonts w:ascii="Times New Roman" w:hAnsi="Times New Roman" w:cs="Times New Roman"/>
          <w:color w:val="010302"/>
          <w:sz w:val="24"/>
          <w:szCs w:val="24"/>
        </w:rPr>
        <w:t>on the basis of</w:t>
      </w:r>
      <w:proofErr w:type="gramEnd"/>
      <w:r w:rsidR="008F64F7" w:rsidRPr="00996790">
        <w:rPr>
          <w:rFonts w:ascii="Times New Roman" w:hAnsi="Times New Roman" w:cs="Times New Roman"/>
          <w:color w:val="010302"/>
          <w:sz w:val="24"/>
          <w:szCs w:val="24"/>
        </w:rPr>
        <w:t xml:space="preserve"> the </w:t>
      </w:r>
      <w:r w:rsidR="0030596E">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 xml:space="preserve">mended </w:t>
      </w:r>
      <w:r w:rsidR="0030596E">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30596E">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ED15FD" w:rsidRPr="00996790">
        <w:rPr>
          <w:rFonts w:ascii="Times New Roman" w:hAnsi="Times New Roman" w:cs="Times New Roman"/>
          <w:color w:val="010302"/>
          <w:sz w:val="24"/>
          <w:szCs w:val="24"/>
        </w:rPr>
        <w:t>.  Th</w:t>
      </w:r>
      <w:r w:rsidR="00EC5074">
        <w:rPr>
          <w:rFonts w:ascii="Times New Roman" w:hAnsi="Times New Roman" w:cs="Times New Roman"/>
          <w:color w:val="010302"/>
          <w:sz w:val="24"/>
          <w:szCs w:val="24"/>
        </w:rPr>
        <w:t xml:space="preserve">is was a reference to </w:t>
      </w:r>
      <w:r w:rsidR="00ED15FD" w:rsidRPr="00996790">
        <w:rPr>
          <w:rFonts w:ascii="Times New Roman" w:hAnsi="Times New Roman" w:cs="Times New Roman"/>
          <w:color w:val="010302"/>
          <w:sz w:val="24"/>
          <w:szCs w:val="24"/>
        </w:rPr>
        <w:t xml:space="preserve">a document </w:t>
      </w:r>
      <w:r w:rsidR="00FB06E1" w:rsidRPr="00996790">
        <w:rPr>
          <w:rFonts w:ascii="Times New Roman" w:hAnsi="Times New Roman" w:cs="Times New Roman"/>
          <w:color w:val="010302"/>
          <w:sz w:val="24"/>
          <w:szCs w:val="24"/>
        </w:rPr>
        <w:t>dated 17 June 2021</w:t>
      </w:r>
      <w:r w:rsidR="00382B55">
        <w:rPr>
          <w:rFonts w:ascii="Times New Roman" w:hAnsi="Times New Roman" w:cs="Times New Roman"/>
          <w:color w:val="010302"/>
          <w:sz w:val="24"/>
          <w:szCs w:val="24"/>
        </w:rPr>
        <w:t>. The terms of the order indicated that it was before the Judge</w:t>
      </w:r>
      <w:r w:rsidR="00A83EDA" w:rsidRPr="00996790">
        <w:rPr>
          <w:rFonts w:ascii="Times New Roman" w:hAnsi="Times New Roman" w:cs="Times New Roman"/>
          <w:color w:val="010302"/>
          <w:sz w:val="24"/>
          <w:szCs w:val="24"/>
        </w:rPr>
        <w:t xml:space="preserve">.  Paragraph 4 of her order </w:t>
      </w:r>
      <w:r w:rsidR="00CC645D" w:rsidRPr="00996790">
        <w:rPr>
          <w:rFonts w:ascii="Times New Roman" w:hAnsi="Times New Roman" w:cs="Times New Roman"/>
          <w:color w:val="010302"/>
          <w:sz w:val="24"/>
          <w:szCs w:val="24"/>
        </w:rPr>
        <w:t xml:space="preserve">provides that there be </w:t>
      </w:r>
      <w:r w:rsidR="0030596E">
        <w:rPr>
          <w:rFonts w:ascii="Times New Roman" w:hAnsi="Times New Roman" w:cs="Times New Roman"/>
          <w:color w:val="010302"/>
          <w:sz w:val="24"/>
          <w:szCs w:val="24"/>
        </w:rPr>
        <w:t>“</w:t>
      </w:r>
      <w:r w:rsidR="00711A6B" w:rsidRPr="006B2B49">
        <w:rPr>
          <w:rFonts w:ascii="Times New Roman" w:hAnsi="Times New Roman" w:cs="Times New Roman"/>
          <w:color w:val="010302"/>
          <w:sz w:val="24"/>
          <w:szCs w:val="24"/>
        </w:rPr>
        <w:t xml:space="preserve">leave to amend the </w:t>
      </w:r>
      <w:r w:rsidR="00D56A48" w:rsidRPr="006B2B49">
        <w:rPr>
          <w:rFonts w:ascii="Times New Roman" w:hAnsi="Times New Roman" w:cs="Times New Roman"/>
          <w:color w:val="010302"/>
          <w:sz w:val="24"/>
          <w:szCs w:val="24"/>
        </w:rPr>
        <w:t>Notice of Appeal in a</w:t>
      </w:r>
      <w:r w:rsidR="008867A4" w:rsidRPr="006B2B49">
        <w:rPr>
          <w:rFonts w:ascii="Times New Roman" w:hAnsi="Times New Roman" w:cs="Times New Roman"/>
          <w:color w:val="010302"/>
          <w:sz w:val="24"/>
          <w:szCs w:val="24"/>
        </w:rPr>
        <w:t xml:space="preserve">ccordance with the form </w:t>
      </w:r>
      <w:r w:rsidR="00BD2CF0" w:rsidRPr="006B2B49">
        <w:rPr>
          <w:rFonts w:ascii="Times New Roman" w:hAnsi="Times New Roman" w:cs="Times New Roman"/>
          <w:color w:val="010302"/>
          <w:sz w:val="24"/>
          <w:szCs w:val="24"/>
        </w:rPr>
        <w:t xml:space="preserve">produced to the </w:t>
      </w:r>
      <w:r w:rsidR="00E33872">
        <w:rPr>
          <w:rFonts w:ascii="Times New Roman" w:hAnsi="Times New Roman" w:cs="Times New Roman"/>
          <w:color w:val="010302"/>
          <w:sz w:val="24"/>
          <w:szCs w:val="24"/>
        </w:rPr>
        <w:t>T</w:t>
      </w:r>
      <w:r w:rsidR="00BD2CF0" w:rsidRPr="006B2B49">
        <w:rPr>
          <w:rFonts w:ascii="Times New Roman" w:hAnsi="Times New Roman" w:cs="Times New Roman"/>
          <w:color w:val="010302"/>
          <w:sz w:val="24"/>
          <w:szCs w:val="24"/>
        </w:rPr>
        <w:t>ribunal today by Ms Tara O'Halloran</w:t>
      </w:r>
      <w:r w:rsidR="00E33872">
        <w:rPr>
          <w:rFonts w:ascii="Times New Roman" w:hAnsi="Times New Roman" w:cs="Times New Roman"/>
          <w:color w:val="010302"/>
          <w:sz w:val="24"/>
          <w:szCs w:val="24"/>
        </w:rPr>
        <w:t>”</w:t>
      </w:r>
      <w:r w:rsidR="007E7219">
        <w:rPr>
          <w:rFonts w:ascii="Times New Roman" w:hAnsi="Times New Roman" w:cs="Times New Roman"/>
          <w:color w:val="010302"/>
          <w:sz w:val="24"/>
          <w:szCs w:val="24"/>
        </w:rPr>
        <w:t>. I</w:t>
      </w:r>
      <w:r w:rsidR="00B94EB3" w:rsidRPr="006B2B49">
        <w:rPr>
          <w:rFonts w:ascii="Times New Roman" w:hAnsi="Times New Roman" w:cs="Times New Roman"/>
          <w:color w:val="010302"/>
          <w:sz w:val="24"/>
          <w:szCs w:val="24"/>
        </w:rPr>
        <w:t xml:space="preserve">n the </w:t>
      </w:r>
      <w:r w:rsidR="007B155F" w:rsidRPr="006B2B49">
        <w:rPr>
          <w:rFonts w:ascii="Times New Roman" w:hAnsi="Times New Roman" w:cs="Times New Roman"/>
          <w:color w:val="010302"/>
          <w:sz w:val="24"/>
          <w:szCs w:val="24"/>
        </w:rPr>
        <w:t>'</w:t>
      </w:r>
      <w:r w:rsidR="00644751">
        <w:rPr>
          <w:rFonts w:ascii="Times New Roman" w:hAnsi="Times New Roman" w:cs="Times New Roman"/>
          <w:color w:val="010302"/>
          <w:sz w:val="24"/>
          <w:szCs w:val="24"/>
        </w:rPr>
        <w:t>R</w:t>
      </w:r>
      <w:r w:rsidR="007B155F" w:rsidRPr="006B2B49">
        <w:rPr>
          <w:rFonts w:ascii="Times New Roman" w:hAnsi="Times New Roman" w:cs="Times New Roman"/>
          <w:color w:val="010302"/>
          <w:sz w:val="24"/>
          <w:szCs w:val="24"/>
        </w:rPr>
        <w:t xml:space="preserve">easons </w:t>
      </w:r>
      <w:r w:rsidR="00644751">
        <w:rPr>
          <w:rFonts w:ascii="Times New Roman" w:hAnsi="Times New Roman" w:cs="Times New Roman"/>
          <w:color w:val="010302"/>
          <w:sz w:val="24"/>
          <w:szCs w:val="24"/>
        </w:rPr>
        <w:t>A</w:t>
      </w:r>
      <w:r w:rsidR="007B155F" w:rsidRPr="006B2B49">
        <w:rPr>
          <w:rFonts w:ascii="Times New Roman" w:hAnsi="Times New Roman" w:cs="Times New Roman"/>
          <w:color w:val="010302"/>
          <w:sz w:val="24"/>
          <w:szCs w:val="24"/>
        </w:rPr>
        <w:t xml:space="preserve">llowed to </w:t>
      </w:r>
      <w:r w:rsidR="00644751">
        <w:rPr>
          <w:rFonts w:ascii="Times New Roman" w:hAnsi="Times New Roman" w:cs="Times New Roman"/>
          <w:color w:val="010302"/>
          <w:sz w:val="24"/>
          <w:szCs w:val="24"/>
        </w:rPr>
        <w:t>P</w:t>
      </w:r>
      <w:r w:rsidR="007B155F" w:rsidRPr="006B2B49">
        <w:rPr>
          <w:rFonts w:ascii="Times New Roman" w:hAnsi="Times New Roman" w:cs="Times New Roman"/>
          <w:color w:val="010302"/>
          <w:sz w:val="24"/>
          <w:szCs w:val="24"/>
        </w:rPr>
        <w:t xml:space="preserve">roceed' document completed by the </w:t>
      </w:r>
      <w:r w:rsidR="00644751">
        <w:rPr>
          <w:rFonts w:ascii="Times New Roman" w:hAnsi="Times New Roman" w:cs="Times New Roman"/>
          <w:color w:val="010302"/>
          <w:sz w:val="24"/>
          <w:szCs w:val="24"/>
        </w:rPr>
        <w:t>J</w:t>
      </w:r>
      <w:r w:rsidR="007B155F" w:rsidRPr="006B2B49">
        <w:rPr>
          <w:rFonts w:ascii="Times New Roman" w:hAnsi="Times New Roman" w:cs="Times New Roman"/>
          <w:color w:val="010302"/>
          <w:sz w:val="24"/>
          <w:szCs w:val="24"/>
        </w:rPr>
        <w:t xml:space="preserve">udge, she </w:t>
      </w:r>
      <w:r w:rsidR="007B155F" w:rsidRPr="006B2B49">
        <w:rPr>
          <w:rFonts w:ascii="Times New Roman" w:hAnsi="Times New Roman" w:cs="Times New Roman"/>
          <w:color w:val="010302"/>
          <w:sz w:val="24"/>
          <w:szCs w:val="24"/>
        </w:rPr>
        <w:lastRenderedPageBreak/>
        <w:t xml:space="preserve">said:  </w:t>
      </w:r>
    </w:p>
    <w:p w14:paraId="61C07D69" w14:textId="77777777" w:rsidR="00644751" w:rsidRDefault="00232BEA" w:rsidP="000354D3">
      <w:pPr>
        <w:pStyle w:val="ListParagraph"/>
        <w:tabs>
          <w:tab w:val="left" w:pos="0"/>
        </w:tabs>
        <w:spacing w:before="240"/>
        <w:ind w:left="851" w:right="851"/>
        <w:contextualSpacing/>
        <w:jc w:val="both"/>
        <w:rPr>
          <w:rFonts w:ascii="Times New Roman" w:hAnsi="Times New Roman" w:cs="Times New Roman"/>
          <w:color w:val="000000"/>
          <w:sz w:val="24"/>
          <w:szCs w:val="24"/>
        </w:rPr>
      </w:pPr>
      <w:r w:rsidRPr="000354D3">
        <w:rPr>
          <w:rFonts w:ascii="Times New Roman" w:hAnsi="Times New Roman" w:cs="Times New Roman"/>
          <w:color w:val="000000"/>
          <w:sz w:val="24"/>
          <w:szCs w:val="24"/>
        </w:rPr>
        <w:t>“</w:t>
      </w:r>
      <w:r w:rsidR="002C6B7B" w:rsidRPr="000354D3">
        <w:rPr>
          <w:rFonts w:ascii="Times New Roman" w:hAnsi="Times New Roman" w:cs="Times New Roman"/>
          <w:color w:val="000000"/>
          <w:sz w:val="24"/>
          <w:szCs w:val="24"/>
        </w:rPr>
        <w:t xml:space="preserve">I consider that the </w:t>
      </w:r>
      <w:r w:rsidR="000354D3">
        <w:rPr>
          <w:rFonts w:ascii="Times New Roman" w:hAnsi="Times New Roman" w:cs="Times New Roman"/>
          <w:color w:val="000000"/>
          <w:sz w:val="24"/>
          <w:szCs w:val="24"/>
        </w:rPr>
        <w:t>a</w:t>
      </w:r>
      <w:r w:rsidR="002C6B7B" w:rsidRPr="000354D3">
        <w:rPr>
          <w:rFonts w:ascii="Times New Roman" w:hAnsi="Times New Roman" w:cs="Times New Roman"/>
          <w:color w:val="000000"/>
          <w:sz w:val="24"/>
          <w:szCs w:val="24"/>
        </w:rPr>
        <w:t xml:space="preserve">mended </w:t>
      </w:r>
      <w:r w:rsidR="000354D3">
        <w:rPr>
          <w:rFonts w:ascii="Times New Roman" w:hAnsi="Times New Roman" w:cs="Times New Roman"/>
          <w:color w:val="000000"/>
          <w:sz w:val="24"/>
          <w:szCs w:val="24"/>
        </w:rPr>
        <w:t>g</w:t>
      </w:r>
      <w:r w:rsidR="002C6B7B" w:rsidRPr="000354D3">
        <w:rPr>
          <w:rFonts w:ascii="Times New Roman" w:hAnsi="Times New Roman" w:cs="Times New Roman"/>
          <w:color w:val="000000"/>
          <w:sz w:val="24"/>
          <w:szCs w:val="24"/>
        </w:rPr>
        <w:t xml:space="preserve">rounds of </w:t>
      </w:r>
      <w:r w:rsidR="000354D3">
        <w:rPr>
          <w:rFonts w:ascii="Times New Roman" w:hAnsi="Times New Roman" w:cs="Times New Roman"/>
          <w:color w:val="000000"/>
          <w:sz w:val="24"/>
          <w:szCs w:val="24"/>
        </w:rPr>
        <w:t>a</w:t>
      </w:r>
      <w:r w:rsidR="002C6B7B" w:rsidRPr="000354D3">
        <w:rPr>
          <w:rFonts w:ascii="Times New Roman" w:hAnsi="Times New Roman" w:cs="Times New Roman"/>
          <w:color w:val="000000"/>
          <w:sz w:val="24"/>
          <w:szCs w:val="24"/>
        </w:rPr>
        <w:t>ppeal</w:t>
      </w:r>
      <w:r w:rsidR="000354D3">
        <w:rPr>
          <w:rFonts w:ascii="Times New Roman" w:hAnsi="Times New Roman" w:cs="Times New Roman"/>
          <w:color w:val="000000"/>
          <w:sz w:val="24"/>
          <w:szCs w:val="24"/>
        </w:rPr>
        <w:t xml:space="preserve"> (</w:t>
      </w:r>
      <w:r w:rsidR="00D23DE2" w:rsidRPr="000354D3">
        <w:rPr>
          <w:rFonts w:ascii="Times New Roman" w:hAnsi="Times New Roman" w:cs="Times New Roman"/>
          <w:color w:val="000000"/>
          <w:sz w:val="24"/>
          <w:szCs w:val="24"/>
        </w:rPr>
        <w:t xml:space="preserve">which set out succinctly the points which the </w:t>
      </w:r>
      <w:r w:rsidR="000354D3">
        <w:rPr>
          <w:rFonts w:ascii="Times New Roman" w:hAnsi="Times New Roman" w:cs="Times New Roman"/>
          <w:color w:val="000000"/>
          <w:sz w:val="24"/>
          <w:szCs w:val="24"/>
        </w:rPr>
        <w:t>A</w:t>
      </w:r>
      <w:r w:rsidR="00D23DE2" w:rsidRPr="000354D3">
        <w:rPr>
          <w:rFonts w:ascii="Times New Roman" w:hAnsi="Times New Roman" w:cs="Times New Roman"/>
          <w:color w:val="000000"/>
          <w:sz w:val="24"/>
          <w:szCs w:val="24"/>
        </w:rPr>
        <w:t>ppellant</w:t>
      </w:r>
      <w:r w:rsidR="000354D3">
        <w:rPr>
          <w:rFonts w:ascii="Times New Roman" w:hAnsi="Times New Roman" w:cs="Times New Roman"/>
          <w:color w:val="000000"/>
          <w:sz w:val="24"/>
          <w:szCs w:val="24"/>
        </w:rPr>
        <w:t>, C</w:t>
      </w:r>
      <w:r w:rsidR="0044726D" w:rsidRPr="000354D3">
        <w:rPr>
          <w:rFonts w:ascii="Times New Roman" w:hAnsi="Times New Roman" w:cs="Times New Roman"/>
          <w:color w:val="000000"/>
          <w:sz w:val="24"/>
          <w:szCs w:val="24"/>
        </w:rPr>
        <w:t>laimant below and who represented herself</w:t>
      </w:r>
      <w:r w:rsidR="000354D3">
        <w:rPr>
          <w:rFonts w:ascii="Times New Roman" w:hAnsi="Times New Roman" w:cs="Times New Roman"/>
          <w:color w:val="000000"/>
          <w:sz w:val="24"/>
          <w:szCs w:val="24"/>
        </w:rPr>
        <w:t>)</w:t>
      </w:r>
      <w:r w:rsidR="0044726D" w:rsidRPr="000354D3">
        <w:rPr>
          <w:rFonts w:ascii="Times New Roman" w:hAnsi="Times New Roman" w:cs="Times New Roman"/>
          <w:color w:val="000000"/>
          <w:sz w:val="24"/>
          <w:szCs w:val="24"/>
        </w:rPr>
        <w:t xml:space="preserve"> sought to advance.  </w:t>
      </w:r>
    </w:p>
    <w:p w14:paraId="323DDF19" w14:textId="152FB1B1" w:rsidR="002C6B7B" w:rsidRPr="000354D3" w:rsidRDefault="0044726D" w:rsidP="000354D3">
      <w:pPr>
        <w:pStyle w:val="ListParagraph"/>
        <w:tabs>
          <w:tab w:val="left" w:pos="0"/>
        </w:tabs>
        <w:spacing w:before="240"/>
        <w:ind w:left="851" w:right="851"/>
        <w:contextualSpacing/>
        <w:jc w:val="both"/>
        <w:rPr>
          <w:rFonts w:ascii="Times New Roman" w:hAnsi="Times New Roman" w:cs="Times New Roman"/>
          <w:color w:val="000000"/>
          <w:sz w:val="24"/>
          <w:szCs w:val="24"/>
        </w:rPr>
      </w:pPr>
      <w:r w:rsidRPr="000354D3">
        <w:rPr>
          <w:rFonts w:ascii="Times New Roman" w:hAnsi="Times New Roman" w:cs="Times New Roman"/>
          <w:color w:val="000000"/>
          <w:sz w:val="24"/>
          <w:szCs w:val="24"/>
        </w:rPr>
        <w:t>They are reasonably arguable and should</w:t>
      </w:r>
      <w:r w:rsidR="000354D3">
        <w:rPr>
          <w:rFonts w:ascii="Times New Roman" w:hAnsi="Times New Roman" w:cs="Times New Roman"/>
          <w:color w:val="000000"/>
          <w:sz w:val="24"/>
          <w:szCs w:val="24"/>
        </w:rPr>
        <w:t>,</w:t>
      </w:r>
      <w:r w:rsidRPr="000354D3">
        <w:rPr>
          <w:rFonts w:ascii="Times New Roman" w:hAnsi="Times New Roman" w:cs="Times New Roman"/>
          <w:color w:val="000000"/>
          <w:sz w:val="24"/>
          <w:szCs w:val="24"/>
        </w:rPr>
        <w:t xml:space="preserve"> in my view</w:t>
      </w:r>
      <w:r w:rsidR="000354D3">
        <w:rPr>
          <w:rFonts w:ascii="Times New Roman" w:hAnsi="Times New Roman" w:cs="Times New Roman"/>
          <w:color w:val="000000"/>
          <w:sz w:val="24"/>
          <w:szCs w:val="24"/>
        </w:rPr>
        <w:t>,</w:t>
      </w:r>
      <w:r w:rsidRPr="000354D3">
        <w:rPr>
          <w:rFonts w:ascii="Times New Roman" w:hAnsi="Times New Roman" w:cs="Times New Roman"/>
          <w:color w:val="000000"/>
          <w:sz w:val="24"/>
          <w:szCs w:val="24"/>
        </w:rPr>
        <w:t xml:space="preserve"> be d</w:t>
      </w:r>
      <w:r w:rsidR="00232BEA" w:rsidRPr="000354D3">
        <w:rPr>
          <w:rFonts w:ascii="Times New Roman" w:hAnsi="Times New Roman" w:cs="Times New Roman"/>
          <w:color w:val="000000"/>
          <w:sz w:val="24"/>
          <w:szCs w:val="24"/>
        </w:rPr>
        <w:t xml:space="preserve">etermined at a full hearing”  </w:t>
      </w:r>
    </w:p>
    <w:p w14:paraId="167F01DC" w14:textId="77777777" w:rsidR="002472F4" w:rsidRPr="00996790" w:rsidRDefault="002472F4" w:rsidP="002C6B7B">
      <w:pPr>
        <w:pStyle w:val="ListParagraph"/>
        <w:tabs>
          <w:tab w:val="left" w:pos="0"/>
        </w:tabs>
        <w:spacing w:line="480" w:lineRule="auto"/>
        <w:contextualSpacing/>
        <w:jc w:val="both"/>
        <w:rPr>
          <w:rFonts w:ascii="Times New Roman" w:hAnsi="Times New Roman" w:cs="Times New Roman"/>
          <w:color w:val="010302"/>
          <w:sz w:val="24"/>
          <w:szCs w:val="24"/>
        </w:rPr>
      </w:pPr>
    </w:p>
    <w:p w14:paraId="3B6E8A88" w14:textId="77777777" w:rsidR="00EB2B65" w:rsidRDefault="00D5195F"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More recently, in an email sent on 16 November </w:t>
      </w:r>
      <w:r w:rsidR="00FC0D06" w:rsidRPr="00996790">
        <w:rPr>
          <w:rFonts w:ascii="Times New Roman" w:hAnsi="Times New Roman" w:cs="Times New Roman"/>
          <w:color w:val="010302"/>
          <w:sz w:val="24"/>
          <w:szCs w:val="24"/>
        </w:rPr>
        <w:t xml:space="preserve">2021, the claimant asked the EAT </w:t>
      </w:r>
      <w:r w:rsidR="005B5C98" w:rsidRPr="00996790">
        <w:rPr>
          <w:rFonts w:ascii="Times New Roman" w:hAnsi="Times New Roman" w:cs="Times New Roman"/>
          <w:color w:val="010302"/>
          <w:sz w:val="24"/>
          <w:szCs w:val="24"/>
        </w:rPr>
        <w:t xml:space="preserve">for permission to revert to reliance on her original </w:t>
      </w:r>
      <w:r w:rsidR="00DC5729">
        <w:rPr>
          <w:rFonts w:ascii="Times New Roman" w:hAnsi="Times New Roman" w:cs="Times New Roman"/>
          <w:color w:val="010302"/>
          <w:sz w:val="24"/>
          <w:szCs w:val="24"/>
        </w:rPr>
        <w:t>g</w:t>
      </w:r>
      <w:r w:rsidR="005B5C98" w:rsidRPr="00996790">
        <w:rPr>
          <w:rFonts w:ascii="Times New Roman" w:hAnsi="Times New Roman" w:cs="Times New Roman"/>
          <w:color w:val="010302"/>
          <w:sz w:val="24"/>
          <w:szCs w:val="24"/>
        </w:rPr>
        <w:t xml:space="preserve">rounds of </w:t>
      </w:r>
      <w:r w:rsidR="00DC5729">
        <w:rPr>
          <w:rFonts w:ascii="Times New Roman" w:hAnsi="Times New Roman" w:cs="Times New Roman"/>
          <w:color w:val="010302"/>
          <w:sz w:val="24"/>
          <w:szCs w:val="24"/>
        </w:rPr>
        <w:t>a</w:t>
      </w:r>
      <w:r w:rsidR="005B5C98" w:rsidRPr="00996790">
        <w:rPr>
          <w:rFonts w:ascii="Times New Roman" w:hAnsi="Times New Roman" w:cs="Times New Roman"/>
          <w:color w:val="010302"/>
          <w:sz w:val="24"/>
          <w:szCs w:val="24"/>
        </w:rPr>
        <w:t>ppeal</w:t>
      </w:r>
      <w:r w:rsidR="00C40689" w:rsidRPr="00996790">
        <w:rPr>
          <w:rFonts w:ascii="Times New Roman" w:hAnsi="Times New Roman" w:cs="Times New Roman"/>
          <w:color w:val="010302"/>
          <w:sz w:val="24"/>
          <w:szCs w:val="24"/>
        </w:rPr>
        <w:t xml:space="preserve"> when it came to the full hearing</w:t>
      </w:r>
      <w:r w:rsidR="00345A90" w:rsidRPr="00996790">
        <w:rPr>
          <w:rFonts w:ascii="Times New Roman" w:hAnsi="Times New Roman" w:cs="Times New Roman"/>
          <w:color w:val="010302"/>
          <w:sz w:val="24"/>
          <w:szCs w:val="24"/>
        </w:rPr>
        <w:t xml:space="preserve">, supplemented by the </w:t>
      </w:r>
      <w:r w:rsidR="00EA73E3" w:rsidRPr="00996790">
        <w:rPr>
          <w:rFonts w:ascii="Times New Roman" w:hAnsi="Times New Roman" w:cs="Times New Roman"/>
          <w:color w:val="010302"/>
          <w:sz w:val="24"/>
          <w:szCs w:val="24"/>
        </w:rPr>
        <w:t xml:space="preserve">skeleton argument </w:t>
      </w:r>
      <w:r w:rsidR="00E021A5" w:rsidRPr="00996790">
        <w:rPr>
          <w:rFonts w:ascii="Times New Roman" w:hAnsi="Times New Roman" w:cs="Times New Roman"/>
          <w:color w:val="010302"/>
          <w:sz w:val="24"/>
          <w:szCs w:val="24"/>
        </w:rPr>
        <w:t xml:space="preserve">she </w:t>
      </w:r>
      <w:r w:rsidR="002E3D00">
        <w:rPr>
          <w:rFonts w:ascii="Times New Roman" w:hAnsi="Times New Roman" w:cs="Times New Roman"/>
          <w:color w:val="010302"/>
          <w:sz w:val="24"/>
          <w:szCs w:val="24"/>
        </w:rPr>
        <w:t xml:space="preserve">had </w:t>
      </w:r>
      <w:r w:rsidR="00E021A5" w:rsidRPr="00996790">
        <w:rPr>
          <w:rFonts w:ascii="Times New Roman" w:hAnsi="Times New Roman" w:cs="Times New Roman"/>
          <w:color w:val="010302"/>
          <w:sz w:val="24"/>
          <w:szCs w:val="24"/>
        </w:rPr>
        <w:t xml:space="preserve">prepared for the Rule 3(10) </w:t>
      </w:r>
      <w:r w:rsidR="002E3D00">
        <w:rPr>
          <w:rFonts w:ascii="Times New Roman" w:hAnsi="Times New Roman" w:cs="Times New Roman"/>
          <w:color w:val="010302"/>
          <w:sz w:val="24"/>
          <w:szCs w:val="24"/>
        </w:rPr>
        <w:t>H</w:t>
      </w:r>
      <w:r w:rsidR="00E021A5" w:rsidRPr="00996790">
        <w:rPr>
          <w:rFonts w:ascii="Times New Roman" w:hAnsi="Times New Roman" w:cs="Times New Roman"/>
          <w:color w:val="010302"/>
          <w:sz w:val="24"/>
          <w:szCs w:val="24"/>
        </w:rPr>
        <w:t xml:space="preserve">earing.  </w:t>
      </w:r>
      <w:r w:rsidR="00D84C31" w:rsidRPr="00996790">
        <w:rPr>
          <w:rFonts w:ascii="Times New Roman" w:hAnsi="Times New Roman" w:cs="Times New Roman"/>
          <w:color w:val="010302"/>
          <w:sz w:val="24"/>
          <w:szCs w:val="24"/>
        </w:rPr>
        <w:t xml:space="preserve">By an email sent </w:t>
      </w:r>
      <w:r w:rsidR="00551541" w:rsidRPr="009217A2">
        <w:rPr>
          <w:rFonts w:ascii="Times New Roman" w:hAnsi="Times New Roman" w:cs="Times New Roman"/>
          <w:color w:val="010302"/>
          <w:sz w:val="24"/>
          <w:szCs w:val="24"/>
        </w:rPr>
        <w:t>on 19 November</w:t>
      </w:r>
      <w:r w:rsidR="00E135FE">
        <w:rPr>
          <w:rFonts w:ascii="Times New Roman" w:hAnsi="Times New Roman" w:cs="Times New Roman"/>
          <w:color w:val="010302"/>
          <w:sz w:val="24"/>
          <w:szCs w:val="24"/>
        </w:rPr>
        <w:t xml:space="preserve"> 2021</w:t>
      </w:r>
      <w:r w:rsidR="00551541" w:rsidRPr="009217A2">
        <w:rPr>
          <w:rFonts w:ascii="Times New Roman" w:hAnsi="Times New Roman" w:cs="Times New Roman"/>
          <w:color w:val="010302"/>
          <w:sz w:val="24"/>
          <w:szCs w:val="24"/>
        </w:rPr>
        <w:t>,</w:t>
      </w:r>
      <w:r w:rsidR="00551541" w:rsidRPr="00996790">
        <w:rPr>
          <w:rFonts w:ascii="Times New Roman" w:hAnsi="Times New Roman" w:cs="Times New Roman"/>
          <w:color w:val="010302"/>
          <w:sz w:val="24"/>
          <w:szCs w:val="24"/>
        </w:rPr>
        <w:t xml:space="preserve"> the respondent </w:t>
      </w:r>
      <w:r w:rsidR="00D761D0" w:rsidRPr="00996790">
        <w:rPr>
          <w:rFonts w:ascii="Times New Roman" w:hAnsi="Times New Roman" w:cs="Times New Roman"/>
          <w:color w:val="010302"/>
          <w:sz w:val="24"/>
          <w:szCs w:val="24"/>
        </w:rPr>
        <w:t xml:space="preserve">opposed this course.  </w:t>
      </w:r>
      <w:r w:rsidR="005462EB" w:rsidRPr="00996790">
        <w:rPr>
          <w:rFonts w:ascii="Times New Roman" w:hAnsi="Times New Roman" w:cs="Times New Roman"/>
          <w:color w:val="010302"/>
          <w:sz w:val="24"/>
          <w:szCs w:val="24"/>
        </w:rPr>
        <w:t xml:space="preserve">The application was rejected by the </w:t>
      </w:r>
      <w:r w:rsidR="00E135FE">
        <w:rPr>
          <w:rFonts w:ascii="Times New Roman" w:hAnsi="Times New Roman" w:cs="Times New Roman"/>
          <w:color w:val="010302"/>
          <w:sz w:val="24"/>
          <w:szCs w:val="24"/>
        </w:rPr>
        <w:t>R</w:t>
      </w:r>
      <w:r w:rsidR="005462EB" w:rsidRPr="00996790">
        <w:rPr>
          <w:rFonts w:ascii="Times New Roman" w:hAnsi="Times New Roman" w:cs="Times New Roman"/>
          <w:color w:val="010302"/>
          <w:sz w:val="24"/>
          <w:szCs w:val="24"/>
        </w:rPr>
        <w:t xml:space="preserve">egistrar, whose decision was set out in an email to the parties </w:t>
      </w:r>
      <w:r w:rsidR="00440F42" w:rsidRPr="00996790">
        <w:rPr>
          <w:rFonts w:ascii="Times New Roman" w:hAnsi="Times New Roman" w:cs="Times New Roman"/>
          <w:color w:val="010302"/>
          <w:sz w:val="24"/>
          <w:szCs w:val="24"/>
        </w:rPr>
        <w:t xml:space="preserve">dated 25 November 2021.  </w:t>
      </w:r>
      <w:r w:rsidR="00122E9F" w:rsidRPr="00996790">
        <w:rPr>
          <w:rFonts w:ascii="Times New Roman" w:hAnsi="Times New Roman" w:cs="Times New Roman"/>
          <w:color w:val="010302"/>
          <w:sz w:val="24"/>
          <w:szCs w:val="24"/>
        </w:rPr>
        <w:t xml:space="preserve">The </w:t>
      </w:r>
      <w:r w:rsidR="00EB2B65">
        <w:rPr>
          <w:rFonts w:ascii="Times New Roman" w:hAnsi="Times New Roman" w:cs="Times New Roman"/>
          <w:color w:val="010302"/>
          <w:sz w:val="24"/>
          <w:szCs w:val="24"/>
        </w:rPr>
        <w:t>R</w:t>
      </w:r>
      <w:r w:rsidR="00122E9F" w:rsidRPr="00996790">
        <w:rPr>
          <w:rFonts w:ascii="Times New Roman" w:hAnsi="Times New Roman" w:cs="Times New Roman"/>
          <w:color w:val="010302"/>
          <w:sz w:val="24"/>
          <w:szCs w:val="24"/>
        </w:rPr>
        <w:t xml:space="preserve">egistrar </w:t>
      </w:r>
      <w:r w:rsidR="007E4BFD" w:rsidRPr="00996790">
        <w:rPr>
          <w:rFonts w:ascii="Times New Roman" w:hAnsi="Times New Roman" w:cs="Times New Roman"/>
          <w:color w:val="010302"/>
          <w:sz w:val="24"/>
          <w:szCs w:val="24"/>
        </w:rPr>
        <w:t xml:space="preserve">pointed out that HHJ </w:t>
      </w:r>
      <w:r w:rsidR="00B27247" w:rsidRPr="00996790">
        <w:rPr>
          <w:rFonts w:ascii="Times New Roman" w:hAnsi="Times New Roman" w:cs="Times New Roman"/>
          <w:color w:val="010302"/>
          <w:sz w:val="24"/>
          <w:szCs w:val="24"/>
        </w:rPr>
        <w:t xml:space="preserve">Katherine Tucker had not given permission to proceed </w:t>
      </w:r>
      <w:proofErr w:type="gramStart"/>
      <w:r w:rsidR="00B27247" w:rsidRPr="00996790">
        <w:rPr>
          <w:rFonts w:ascii="Times New Roman" w:hAnsi="Times New Roman" w:cs="Times New Roman"/>
          <w:color w:val="010302"/>
          <w:sz w:val="24"/>
          <w:szCs w:val="24"/>
        </w:rPr>
        <w:t xml:space="preserve">on the basis </w:t>
      </w:r>
      <w:r w:rsidR="00CD78F5" w:rsidRPr="00996790">
        <w:rPr>
          <w:rFonts w:ascii="Times New Roman" w:hAnsi="Times New Roman" w:cs="Times New Roman"/>
          <w:color w:val="010302"/>
          <w:sz w:val="24"/>
          <w:szCs w:val="24"/>
        </w:rPr>
        <w:t>of</w:t>
      </w:r>
      <w:proofErr w:type="gramEnd"/>
      <w:r w:rsidR="00CD78F5" w:rsidRPr="00996790">
        <w:rPr>
          <w:rFonts w:ascii="Times New Roman" w:hAnsi="Times New Roman" w:cs="Times New Roman"/>
          <w:color w:val="010302"/>
          <w:sz w:val="24"/>
          <w:szCs w:val="24"/>
        </w:rPr>
        <w:t xml:space="preserve"> the original </w:t>
      </w:r>
      <w:r w:rsidR="009217A2">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9217A2">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CD78F5" w:rsidRPr="00996790">
        <w:rPr>
          <w:rFonts w:ascii="Times New Roman" w:hAnsi="Times New Roman" w:cs="Times New Roman"/>
          <w:color w:val="010302"/>
          <w:sz w:val="24"/>
          <w:szCs w:val="24"/>
        </w:rPr>
        <w:t>, which had earlier been rejected</w:t>
      </w:r>
      <w:r w:rsidR="003C4D5A" w:rsidRPr="00996790">
        <w:rPr>
          <w:rFonts w:ascii="Times New Roman" w:hAnsi="Times New Roman" w:cs="Times New Roman"/>
          <w:color w:val="010302"/>
          <w:sz w:val="24"/>
          <w:szCs w:val="24"/>
        </w:rPr>
        <w:t xml:space="preserve"> by HHJ Auerbach.  </w:t>
      </w:r>
    </w:p>
    <w:p w14:paraId="5B03ED7A" w14:textId="28BAAFDE" w:rsidR="008426C0" w:rsidRPr="00996790" w:rsidRDefault="00ED79B5"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claimant appealed the </w:t>
      </w:r>
      <w:r w:rsidR="00EB2B65">
        <w:rPr>
          <w:rFonts w:ascii="Times New Roman" w:hAnsi="Times New Roman" w:cs="Times New Roman"/>
          <w:color w:val="010302"/>
          <w:sz w:val="24"/>
          <w:szCs w:val="24"/>
        </w:rPr>
        <w:t>R</w:t>
      </w:r>
      <w:r w:rsidRPr="00996790">
        <w:rPr>
          <w:rFonts w:ascii="Times New Roman" w:hAnsi="Times New Roman" w:cs="Times New Roman"/>
          <w:color w:val="010302"/>
          <w:sz w:val="24"/>
          <w:szCs w:val="24"/>
        </w:rPr>
        <w:t xml:space="preserve">egistrar's decision.  Her appeal was refused </w:t>
      </w:r>
      <w:r w:rsidR="006F0DD3" w:rsidRPr="00996790">
        <w:rPr>
          <w:rFonts w:ascii="Times New Roman" w:hAnsi="Times New Roman" w:cs="Times New Roman"/>
          <w:color w:val="010302"/>
          <w:sz w:val="24"/>
          <w:szCs w:val="24"/>
        </w:rPr>
        <w:t xml:space="preserve">by HHJ James </w:t>
      </w:r>
      <w:r w:rsidR="00B565B3" w:rsidRPr="00996790">
        <w:rPr>
          <w:rFonts w:ascii="Times New Roman" w:hAnsi="Times New Roman" w:cs="Times New Roman"/>
          <w:color w:val="010302"/>
          <w:sz w:val="24"/>
          <w:szCs w:val="24"/>
        </w:rPr>
        <w:t>Tayler</w:t>
      </w:r>
      <w:r w:rsidR="00EA5AC5" w:rsidRPr="00996790">
        <w:rPr>
          <w:rFonts w:ascii="Times New Roman" w:hAnsi="Times New Roman" w:cs="Times New Roman"/>
          <w:color w:val="010302"/>
          <w:sz w:val="24"/>
          <w:szCs w:val="24"/>
        </w:rPr>
        <w:t xml:space="preserve">, as set out in an order </w:t>
      </w:r>
      <w:r w:rsidR="0081259B" w:rsidRPr="00996790">
        <w:rPr>
          <w:rFonts w:ascii="Times New Roman" w:hAnsi="Times New Roman" w:cs="Times New Roman"/>
          <w:color w:val="010302"/>
          <w:sz w:val="24"/>
          <w:szCs w:val="24"/>
        </w:rPr>
        <w:t>sealed on 9 December</w:t>
      </w:r>
      <w:r w:rsidR="0035569B" w:rsidRPr="00996790">
        <w:rPr>
          <w:rFonts w:ascii="Times New Roman" w:hAnsi="Times New Roman" w:cs="Times New Roman"/>
          <w:color w:val="010302"/>
          <w:sz w:val="24"/>
          <w:szCs w:val="24"/>
        </w:rPr>
        <w:t> </w:t>
      </w:r>
      <w:r w:rsidR="0081259B" w:rsidRPr="00996790">
        <w:rPr>
          <w:rFonts w:ascii="Times New Roman" w:hAnsi="Times New Roman" w:cs="Times New Roman"/>
          <w:color w:val="010302"/>
          <w:sz w:val="24"/>
          <w:szCs w:val="24"/>
        </w:rPr>
        <w:t>2021.</w:t>
      </w:r>
      <w:r w:rsidR="006D0027" w:rsidRPr="00996790">
        <w:rPr>
          <w:rFonts w:ascii="Times New Roman" w:hAnsi="Times New Roman" w:cs="Times New Roman"/>
          <w:color w:val="010302"/>
          <w:sz w:val="24"/>
          <w:szCs w:val="24"/>
        </w:rPr>
        <w:t xml:space="preserve">  </w:t>
      </w:r>
      <w:r w:rsidR="00517F7D" w:rsidRPr="00996790">
        <w:rPr>
          <w:rFonts w:ascii="Times New Roman" w:hAnsi="Times New Roman" w:cs="Times New Roman"/>
          <w:color w:val="010302"/>
          <w:sz w:val="24"/>
          <w:szCs w:val="24"/>
        </w:rPr>
        <w:t xml:space="preserve">In his reasons, the </w:t>
      </w:r>
      <w:r w:rsidR="00E614ED">
        <w:rPr>
          <w:rFonts w:ascii="Times New Roman" w:hAnsi="Times New Roman" w:cs="Times New Roman"/>
          <w:color w:val="010302"/>
          <w:sz w:val="24"/>
          <w:szCs w:val="24"/>
        </w:rPr>
        <w:t>J</w:t>
      </w:r>
      <w:r w:rsidR="00517F7D" w:rsidRPr="00996790">
        <w:rPr>
          <w:rFonts w:ascii="Times New Roman" w:hAnsi="Times New Roman" w:cs="Times New Roman"/>
          <w:color w:val="010302"/>
          <w:sz w:val="24"/>
          <w:szCs w:val="24"/>
        </w:rPr>
        <w:t xml:space="preserve">udge noted that HHJ </w:t>
      </w:r>
      <w:r w:rsidR="005749F1" w:rsidRPr="00996790">
        <w:rPr>
          <w:rFonts w:ascii="Times New Roman" w:hAnsi="Times New Roman" w:cs="Times New Roman"/>
          <w:color w:val="010302"/>
          <w:sz w:val="24"/>
          <w:szCs w:val="24"/>
        </w:rPr>
        <w:t xml:space="preserve">Auerbach had found </w:t>
      </w:r>
      <w:r w:rsidR="00F70713">
        <w:rPr>
          <w:rFonts w:ascii="Times New Roman" w:hAnsi="Times New Roman" w:cs="Times New Roman"/>
          <w:color w:val="010302"/>
          <w:sz w:val="24"/>
          <w:szCs w:val="24"/>
        </w:rPr>
        <w:t xml:space="preserve">that </w:t>
      </w:r>
      <w:r w:rsidR="005749F1" w:rsidRPr="00996790">
        <w:rPr>
          <w:rFonts w:ascii="Times New Roman" w:hAnsi="Times New Roman" w:cs="Times New Roman"/>
          <w:color w:val="010302"/>
          <w:sz w:val="24"/>
          <w:szCs w:val="24"/>
        </w:rPr>
        <w:t xml:space="preserve">the original </w:t>
      </w:r>
      <w:r w:rsidR="00FF0343">
        <w:rPr>
          <w:rFonts w:ascii="Times New Roman" w:hAnsi="Times New Roman" w:cs="Times New Roman"/>
          <w:color w:val="010302"/>
          <w:sz w:val="24"/>
          <w:szCs w:val="24"/>
        </w:rPr>
        <w:t>n</w:t>
      </w:r>
      <w:r w:rsidR="00952B53" w:rsidRPr="00996790">
        <w:rPr>
          <w:rFonts w:ascii="Times New Roman" w:hAnsi="Times New Roman" w:cs="Times New Roman"/>
          <w:color w:val="010302"/>
          <w:sz w:val="24"/>
          <w:szCs w:val="24"/>
        </w:rPr>
        <w:t xml:space="preserve">otice of </w:t>
      </w:r>
      <w:r w:rsidR="00FF0343">
        <w:rPr>
          <w:rFonts w:ascii="Times New Roman" w:hAnsi="Times New Roman" w:cs="Times New Roman"/>
          <w:color w:val="010302"/>
          <w:sz w:val="24"/>
          <w:szCs w:val="24"/>
        </w:rPr>
        <w:t>a</w:t>
      </w:r>
      <w:r w:rsidR="00952B53" w:rsidRPr="00996790">
        <w:rPr>
          <w:rFonts w:ascii="Times New Roman" w:hAnsi="Times New Roman" w:cs="Times New Roman"/>
          <w:color w:val="010302"/>
          <w:sz w:val="24"/>
          <w:szCs w:val="24"/>
        </w:rPr>
        <w:t xml:space="preserve">ppeal </w:t>
      </w:r>
      <w:r w:rsidR="00E614ED">
        <w:rPr>
          <w:rFonts w:ascii="Times New Roman" w:hAnsi="Times New Roman" w:cs="Times New Roman"/>
          <w:color w:val="010302"/>
          <w:sz w:val="24"/>
          <w:szCs w:val="24"/>
        </w:rPr>
        <w:t>(</w:t>
      </w:r>
      <w:r w:rsidR="00952B53" w:rsidRPr="00996790">
        <w:rPr>
          <w:rFonts w:ascii="Times New Roman" w:hAnsi="Times New Roman" w:cs="Times New Roman"/>
          <w:color w:val="010302"/>
          <w:sz w:val="24"/>
          <w:szCs w:val="24"/>
        </w:rPr>
        <w:t>running to 69 paragraphs</w:t>
      </w:r>
      <w:r w:rsidR="00E614ED">
        <w:rPr>
          <w:rFonts w:ascii="Times New Roman" w:hAnsi="Times New Roman" w:cs="Times New Roman"/>
          <w:color w:val="010302"/>
          <w:sz w:val="24"/>
          <w:szCs w:val="24"/>
        </w:rPr>
        <w:t>)</w:t>
      </w:r>
      <w:r w:rsidR="00952B53" w:rsidRPr="00996790">
        <w:rPr>
          <w:rFonts w:ascii="Times New Roman" w:hAnsi="Times New Roman" w:cs="Times New Roman"/>
          <w:color w:val="010302"/>
          <w:sz w:val="24"/>
          <w:szCs w:val="24"/>
        </w:rPr>
        <w:t xml:space="preserve"> </w:t>
      </w:r>
      <w:r w:rsidR="00656D6D">
        <w:rPr>
          <w:rFonts w:ascii="Times New Roman" w:hAnsi="Times New Roman" w:cs="Times New Roman"/>
          <w:color w:val="010302"/>
          <w:sz w:val="24"/>
          <w:szCs w:val="24"/>
        </w:rPr>
        <w:t xml:space="preserve">was </w:t>
      </w:r>
      <w:r w:rsidR="00952B53" w:rsidRPr="00996790">
        <w:rPr>
          <w:rFonts w:ascii="Times New Roman" w:hAnsi="Times New Roman" w:cs="Times New Roman"/>
          <w:color w:val="010302"/>
          <w:sz w:val="24"/>
          <w:szCs w:val="24"/>
        </w:rPr>
        <w:t xml:space="preserve">discursive and did not clearly </w:t>
      </w:r>
      <w:r w:rsidR="00701027" w:rsidRPr="00996790">
        <w:rPr>
          <w:rFonts w:ascii="Times New Roman" w:hAnsi="Times New Roman" w:cs="Times New Roman"/>
          <w:color w:val="010302"/>
          <w:sz w:val="24"/>
          <w:szCs w:val="24"/>
        </w:rPr>
        <w:t xml:space="preserve">identify the </w:t>
      </w:r>
      <w:r w:rsidR="00F70713">
        <w:rPr>
          <w:rFonts w:ascii="Times New Roman" w:hAnsi="Times New Roman" w:cs="Times New Roman"/>
          <w:color w:val="010302"/>
          <w:sz w:val="24"/>
          <w:szCs w:val="24"/>
        </w:rPr>
        <w:t xml:space="preserve">alleged </w:t>
      </w:r>
      <w:r w:rsidR="00701027" w:rsidRPr="00996790">
        <w:rPr>
          <w:rFonts w:ascii="Times New Roman" w:hAnsi="Times New Roman" w:cs="Times New Roman"/>
          <w:color w:val="010302"/>
          <w:sz w:val="24"/>
          <w:szCs w:val="24"/>
        </w:rPr>
        <w:t>errors of law</w:t>
      </w:r>
      <w:r w:rsidR="00C7561B" w:rsidRPr="00996790">
        <w:rPr>
          <w:rFonts w:ascii="Times New Roman" w:hAnsi="Times New Roman" w:cs="Times New Roman"/>
          <w:color w:val="010302"/>
          <w:sz w:val="24"/>
          <w:szCs w:val="24"/>
        </w:rPr>
        <w:t xml:space="preserve">; that </w:t>
      </w:r>
      <w:r w:rsidR="00AF6D94" w:rsidRPr="00996790">
        <w:rPr>
          <w:rFonts w:ascii="Times New Roman" w:hAnsi="Times New Roman" w:cs="Times New Roman"/>
          <w:color w:val="010302"/>
          <w:sz w:val="24"/>
          <w:szCs w:val="24"/>
        </w:rPr>
        <w:t xml:space="preserve">for </w:t>
      </w:r>
      <w:r w:rsidR="00C7561B" w:rsidRPr="00996790">
        <w:rPr>
          <w:rFonts w:ascii="Times New Roman" w:hAnsi="Times New Roman" w:cs="Times New Roman"/>
          <w:color w:val="010302"/>
          <w:sz w:val="24"/>
          <w:szCs w:val="24"/>
        </w:rPr>
        <w:t xml:space="preserve">the </w:t>
      </w:r>
      <w:r w:rsidR="002074E7" w:rsidRPr="00996790">
        <w:rPr>
          <w:rFonts w:ascii="Times New Roman" w:hAnsi="Times New Roman" w:cs="Times New Roman"/>
          <w:color w:val="010302"/>
          <w:sz w:val="24"/>
          <w:szCs w:val="24"/>
        </w:rPr>
        <w:t xml:space="preserve">Rule 3(10) </w:t>
      </w:r>
      <w:r w:rsidR="006E25D5">
        <w:rPr>
          <w:rFonts w:ascii="Times New Roman" w:hAnsi="Times New Roman" w:cs="Times New Roman"/>
          <w:color w:val="010302"/>
          <w:sz w:val="24"/>
          <w:szCs w:val="24"/>
        </w:rPr>
        <w:t>H</w:t>
      </w:r>
      <w:r w:rsidR="002074E7" w:rsidRPr="00996790">
        <w:rPr>
          <w:rFonts w:ascii="Times New Roman" w:hAnsi="Times New Roman" w:cs="Times New Roman"/>
          <w:color w:val="010302"/>
          <w:sz w:val="24"/>
          <w:szCs w:val="24"/>
        </w:rPr>
        <w:t xml:space="preserve">earing </w:t>
      </w:r>
      <w:r w:rsidR="00CE5D0B">
        <w:rPr>
          <w:rFonts w:ascii="Times New Roman" w:hAnsi="Times New Roman" w:cs="Times New Roman"/>
          <w:color w:val="010302"/>
          <w:sz w:val="24"/>
          <w:szCs w:val="24"/>
        </w:rPr>
        <w:t xml:space="preserve">the claimant </w:t>
      </w:r>
      <w:r w:rsidR="00AF6D94" w:rsidRPr="00996790">
        <w:rPr>
          <w:rFonts w:ascii="Times New Roman" w:hAnsi="Times New Roman" w:cs="Times New Roman"/>
          <w:color w:val="010302"/>
          <w:sz w:val="24"/>
          <w:szCs w:val="24"/>
        </w:rPr>
        <w:t xml:space="preserve">had prepared </w:t>
      </w:r>
      <w:r w:rsidR="009416B6" w:rsidRPr="00996790">
        <w:rPr>
          <w:rFonts w:ascii="Times New Roman" w:hAnsi="Times New Roman" w:cs="Times New Roman"/>
          <w:color w:val="010302"/>
          <w:sz w:val="24"/>
          <w:szCs w:val="24"/>
        </w:rPr>
        <w:t xml:space="preserve">a lengthy skeleton argument running to 96 paragraphs, which again lacked the clarity necessary </w:t>
      </w:r>
      <w:r w:rsidR="00384DE9" w:rsidRPr="00996790">
        <w:rPr>
          <w:rFonts w:ascii="Times New Roman" w:hAnsi="Times New Roman" w:cs="Times New Roman"/>
          <w:color w:val="010302"/>
          <w:sz w:val="24"/>
          <w:szCs w:val="24"/>
        </w:rPr>
        <w:t xml:space="preserve">to identify the </w:t>
      </w:r>
      <w:r w:rsidR="006E25D5">
        <w:rPr>
          <w:rFonts w:ascii="Times New Roman" w:hAnsi="Times New Roman" w:cs="Times New Roman"/>
          <w:color w:val="010302"/>
          <w:sz w:val="24"/>
          <w:szCs w:val="24"/>
        </w:rPr>
        <w:t xml:space="preserve">alleged </w:t>
      </w:r>
      <w:r w:rsidR="00384DE9" w:rsidRPr="00996790">
        <w:rPr>
          <w:rFonts w:ascii="Times New Roman" w:hAnsi="Times New Roman" w:cs="Times New Roman"/>
          <w:color w:val="010302"/>
          <w:sz w:val="24"/>
          <w:szCs w:val="24"/>
        </w:rPr>
        <w:t xml:space="preserve">errors of law; </w:t>
      </w:r>
      <w:r w:rsidR="006E25D5">
        <w:rPr>
          <w:rFonts w:ascii="Times New Roman" w:hAnsi="Times New Roman" w:cs="Times New Roman"/>
          <w:color w:val="010302"/>
          <w:sz w:val="24"/>
          <w:szCs w:val="24"/>
        </w:rPr>
        <w:t xml:space="preserve">and </w:t>
      </w:r>
      <w:r w:rsidR="00384DE9" w:rsidRPr="00996790">
        <w:rPr>
          <w:rFonts w:ascii="Times New Roman" w:hAnsi="Times New Roman" w:cs="Times New Roman"/>
          <w:color w:val="010302"/>
          <w:sz w:val="24"/>
          <w:szCs w:val="24"/>
        </w:rPr>
        <w:t xml:space="preserve">at </w:t>
      </w:r>
      <w:r w:rsidR="00182972" w:rsidRPr="00996790">
        <w:rPr>
          <w:rFonts w:ascii="Times New Roman" w:hAnsi="Times New Roman" w:cs="Times New Roman"/>
          <w:color w:val="010302"/>
          <w:sz w:val="24"/>
          <w:szCs w:val="24"/>
        </w:rPr>
        <w:t xml:space="preserve">the Rule 3(10) </w:t>
      </w:r>
      <w:r w:rsidR="006E25D5">
        <w:rPr>
          <w:rFonts w:ascii="Times New Roman" w:hAnsi="Times New Roman" w:cs="Times New Roman"/>
          <w:color w:val="010302"/>
          <w:sz w:val="24"/>
          <w:szCs w:val="24"/>
        </w:rPr>
        <w:t>H</w:t>
      </w:r>
      <w:r w:rsidR="00182972" w:rsidRPr="00996790">
        <w:rPr>
          <w:rFonts w:ascii="Times New Roman" w:hAnsi="Times New Roman" w:cs="Times New Roman"/>
          <w:color w:val="010302"/>
          <w:sz w:val="24"/>
          <w:szCs w:val="24"/>
        </w:rPr>
        <w:t xml:space="preserve">earing HHJ </w:t>
      </w:r>
      <w:r w:rsidR="001E3588" w:rsidRPr="00996790">
        <w:rPr>
          <w:rFonts w:ascii="Times New Roman" w:hAnsi="Times New Roman" w:cs="Times New Roman"/>
          <w:color w:val="010302"/>
          <w:sz w:val="24"/>
          <w:szCs w:val="24"/>
        </w:rPr>
        <w:t xml:space="preserve">Katherine Tucker </w:t>
      </w:r>
      <w:r w:rsidR="00102971" w:rsidRPr="00996790">
        <w:rPr>
          <w:rFonts w:ascii="Times New Roman" w:hAnsi="Times New Roman" w:cs="Times New Roman"/>
          <w:color w:val="010302"/>
          <w:sz w:val="24"/>
          <w:szCs w:val="24"/>
        </w:rPr>
        <w:t xml:space="preserve">had </w:t>
      </w:r>
      <w:r w:rsidR="006E25D5">
        <w:rPr>
          <w:rFonts w:ascii="Times New Roman" w:hAnsi="Times New Roman" w:cs="Times New Roman"/>
          <w:color w:val="010302"/>
          <w:sz w:val="24"/>
          <w:szCs w:val="24"/>
        </w:rPr>
        <w:t xml:space="preserve">had </w:t>
      </w:r>
      <w:r w:rsidR="00102971" w:rsidRPr="00996790">
        <w:rPr>
          <w:rFonts w:ascii="Times New Roman" w:hAnsi="Times New Roman" w:cs="Times New Roman"/>
          <w:color w:val="010302"/>
          <w:sz w:val="24"/>
          <w:szCs w:val="24"/>
        </w:rPr>
        <w:t xml:space="preserve">the advantage of counsel's concise </w:t>
      </w:r>
      <w:r w:rsidR="00FF0343">
        <w:rPr>
          <w:rFonts w:ascii="Times New Roman" w:hAnsi="Times New Roman" w:cs="Times New Roman"/>
          <w:color w:val="010302"/>
          <w:sz w:val="24"/>
          <w:szCs w:val="24"/>
        </w:rPr>
        <w:t>a</w:t>
      </w:r>
      <w:r w:rsidR="00102971" w:rsidRPr="00996790">
        <w:rPr>
          <w:rFonts w:ascii="Times New Roman" w:hAnsi="Times New Roman" w:cs="Times New Roman"/>
          <w:color w:val="010302"/>
          <w:sz w:val="24"/>
          <w:szCs w:val="24"/>
        </w:rPr>
        <w:t xml:space="preserve">mended </w:t>
      </w:r>
      <w:r w:rsidR="00FF0343">
        <w:rPr>
          <w:rFonts w:ascii="Times New Roman" w:hAnsi="Times New Roman" w:cs="Times New Roman"/>
          <w:color w:val="010302"/>
          <w:sz w:val="24"/>
          <w:szCs w:val="24"/>
        </w:rPr>
        <w:t>g</w:t>
      </w:r>
      <w:r w:rsidR="00102971" w:rsidRPr="00996790">
        <w:rPr>
          <w:rFonts w:ascii="Times New Roman" w:hAnsi="Times New Roman" w:cs="Times New Roman"/>
          <w:color w:val="010302"/>
          <w:sz w:val="24"/>
          <w:szCs w:val="24"/>
        </w:rPr>
        <w:t xml:space="preserve">rounds of </w:t>
      </w:r>
      <w:r w:rsidR="00FF0343">
        <w:rPr>
          <w:rFonts w:ascii="Times New Roman" w:hAnsi="Times New Roman" w:cs="Times New Roman"/>
          <w:color w:val="010302"/>
          <w:sz w:val="24"/>
          <w:szCs w:val="24"/>
        </w:rPr>
        <w:t>a</w:t>
      </w:r>
      <w:r w:rsidR="00102971" w:rsidRPr="00996790">
        <w:rPr>
          <w:rFonts w:ascii="Times New Roman" w:hAnsi="Times New Roman" w:cs="Times New Roman"/>
          <w:color w:val="010302"/>
          <w:sz w:val="24"/>
          <w:szCs w:val="24"/>
        </w:rPr>
        <w:t xml:space="preserve">ppeal, and she had permitted the appeal to proceed on that basis.  </w:t>
      </w:r>
    </w:p>
    <w:p w14:paraId="4B7C254A" w14:textId="304ABFB9" w:rsidR="000C0B85" w:rsidRPr="000E1A06" w:rsidRDefault="004E1594" w:rsidP="000C0B8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Hav</w:t>
      </w:r>
      <w:r w:rsidR="00926F0B" w:rsidRPr="00996790">
        <w:rPr>
          <w:rFonts w:ascii="Times New Roman" w:hAnsi="Times New Roman" w:cs="Times New Roman"/>
          <w:color w:val="010302"/>
          <w:sz w:val="24"/>
          <w:szCs w:val="24"/>
        </w:rPr>
        <w:t>i</w:t>
      </w:r>
      <w:r w:rsidRPr="00996790">
        <w:rPr>
          <w:rFonts w:ascii="Times New Roman" w:hAnsi="Times New Roman" w:cs="Times New Roman"/>
          <w:color w:val="010302"/>
          <w:sz w:val="24"/>
          <w:szCs w:val="24"/>
        </w:rPr>
        <w:t>ng set out the sequence of events</w:t>
      </w:r>
      <w:r w:rsidR="000C0B85" w:rsidRPr="00996790">
        <w:rPr>
          <w:rFonts w:ascii="Times New Roman" w:hAnsi="Times New Roman" w:cs="Times New Roman"/>
          <w:color w:val="010302"/>
          <w:sz w:val="24"/>
          <w:szCs w:val="24"/>
        </w:rPr>
        <w:t xml:space="preserve"> which I have also summarised, the </w:t>
      </w:r>
      <w:r w:rsidR="00CE5D0B">
        <w:rPr>
          <w:rFonts w:ascii="Times New Roman" w:hAnsi="Times New Roman" w:cs="Times New Roman"/>
          <w:color w:val="010302"/>
          <w:sz w:val="24"/>
          <w:szCs w:val="24"/>
        </w:rPr>
        <w:t>J</w:t>
      </w:r>
      <w:r w:rsidR="000C0B85" w:rsidRPr="00996790">
        <w:rPr>
          <w:rFonts w:ascii="Times New Roman" w:hAnsi="Times New Roman" w:cs="Times New Roman"/>
          <w:color w:val="010302"/>
          <w:sz w:val="24"/>
          <w:szCs w:val="24"/>
        </w:rPr>
        <w:t>udge said this</w:t>
      </w:r>
      <w:r w:rsidR="009C3F8A">
        <w:rPr>
          <w:rFonts w:ascii="Times New Roman" w:hAnsi="Times New Roman" w:cs="Times New Roman"/>
          <w:color w:val="010302"/>
          <w:sz w:val="24"/>
          <w:szCs w:val="24"/>
        </w:rPr>
        <w:t xml:space="preserve"> in paragraphs 5 and 6</w:t>
      </w:r>
      <w:r w:rsidR="000C0B85" w:rsidRPr="00996790">
        <w:rPr>
          <w:rFonts w:ascii="Times New Roman" w:hAnsi="Times New Roman" w:cs="Times New Roman"/>
          <w:color w:val="010302"/>
          <w:sz w:val="24"/>
          <w:szCs w:val="24"/>
        </w:rPr>
        <w:t>:</w:t>
      </w:r>
    </w:p>
    <w:p w14:paraId="0B334C27" w14:textId="1A090DE9" w:rsidR="00E2367D" w:rsidRDefault="00FF0343" w:rsidP="00196AE3">
      <w:pPr>
        <w:pStyle w:val="ListParagraph"/>
        <w:tabs>
          <w:tab w:val="left" w:pos="0"/>
        </w:tabs>
        <w:ind w:left="851" w:right="850"/>
        <w:contextualSpacing/>
        <w:jc w:val="both"/>
        <w:rPr>
          <w:rFonts w:ascii="Times New Roman" w:hAnsi="Times New Roman" w:cs="Times New Roman"/>
          <w:color w:val="000000"/>
          <w:sz w:val="24"/>
          <w:szCs w:val="24"/>
        </w:rPr>
      </w:pPr>
      <w:r w:rsidRPr="00196AE3">
        <w:rPr>
          <w:rFonts w:ascii="Times New Roman" w:hAnsi="Times New Roman" w:cs="Times New Roman"/>
          <w:color w:val="000000"/>
          <w:sz w:val="24"/>
          <w:szCs w:val="24"/>
        </w:rPr>
        <w:t>“</w:t>
      </w:r>
      <w:r w:rsidR="007069D9" w:rsidRPr="00196AE3">
        <w:rPr>
          <w:rFonts w:ascii="Times New Roman" w:hAnsi="Times New Roman" w:cs="Times New Roman"/>
          <w:color w:val="000000"/>
          <w:sz w:val="24"/>
          <w:szCs w:val="24"/>
        </w:rPr>
        <w:t xml:space="preserve">The </w:t>
      </w:r>
      <w:r w:rsidR="00857913">
        <w:rPr>
          <w:rFonts w:ascii="Times New Roman" w:hAnsi="Times New Roman" w:cs="Times New Roman"/>
          <w:color w:val="000000"/>
          <w:sz w:val="24"/>
          <w:szCs w:val="24"/>
        </w:rPr>
        <w:t>A</w:t>
      </w:r>
      <w:r w:rsidR="007069D9" w:rsidRPr="00196AE3">
        <w:rPr>
          <w:rFonts w:ascii="Times New Roman" w:hAnsi="Times New Roman" w:cs="Times New Roman"/>
          <w:color w:val="000000"/>
          <w:sz w:val="24"/>
          <w:szCs w:val="24"/>
        </w:rPr>
        <w:t xml:space="preserve">ppellant thereby seeks to </w:t>
      </w:r>
      <w:r w:rsidR="008F42C9" w:rsidRPr="00196AE3">
        <w:rPr>
          <w:rFonts w:ascii="Times New Roman" w:hAnsi="Times New Roman" w:cs="Times New Roman"/>
          <w:color w:val="000000"/>
          <w:sz w:val="24"/>
          <w:szCs w:val="24"/>
        </w:rPr>
        <w:t xml:space="preserve">do away with the clarity established by the </w:t>
      </w:r>
      <w:r w:rsidR="00E2367D">
        <w:rPr>
          <w:rFonts w:ascii="Times New Roman" w:hAnsi="Times New Roman" w:cs="Times New Roman"/>
          <w:color w:val="000000"/>
          <w:sz w:val="24"/>
          <w:szCs w:val="24"/>
        </w:rPr>
        <w:t>a</w:t>
      </w:r>
      <w:r w:rsidR="008F42C9" w:rsidRPr="00196AE3">
        <w:rPr>
          <w:rFonts w:ascii="Times New Roman" w:hAnsi="Times New Roman" w:cs="Times New Roman"/>
          <w:color w:val="000000"/>
          <w:sz w:val="24"/>
          <w:szCs w:val="24"/>
        </w:rPr>
        <w:t xml:space="preserve">mended Grounds of Appeal and put in its place two lengthy documents that are lacking in the clarity required for a </w:t>
      </w:r>
      <w:r w:rsidR="00E2367D">
        <w:rPr>
          <w:rFonts w:ascii="Times New Roman" w:hAnsi="Times New Roman" w:cs="Times New Roman"/>
          <w:color w:val="000000"/>
          <w:sz w:val="24"/>
          <w:szCs w:val="24"/>
        </w:rPr>
        <w:t>N</w:t>
      </w:r>
      <w:r w:rsidR="008F42C9" w:rsidRPr="00196AE3">
        <w:rPr>
          <w:rFonts w:ascii="Times New Roman" w:hAnsi="Times New Roman" w:cs="Times New Roman"/>
          <w:color w:val="000000"/>
          <w:sz w:val="24"/>
          <w:szCs w:val="24"/>
        </w:rPr>
        <w:t xml:space="preserve">otice of </w:t>
      </w:r>
      <w:r w:rsidR="00E2367D">
        <w:rPr>
          <w:rFonts w:ascii="Times New Roman" w:hAnsi="Times New Roman" w:cs="Times New Roman"/>
          <w:color w:val="000000"/>
          <w:sz w:val="24"/>
          <w:szCs w:val="24"/>
        </w:rPr>
        <w:t>A</w:t>
      </w:r>
      <w:r w:rsidR="008F42C9" w:rsidRPr="00196AE3">
        <w:rPr>
          <w:rFonts w:ascii="Times New Roman" w:hAnsi="Times New Roman" w:cs="Times New Roman"/>
          <w:color w:val="000000"/>
          <w:sz w:val="24"/>
          <w:szCs w:val="24"/>
        </w:rPr>
        <w:t>ppeal</w:t>
      </w:r>
      <w:r w:rsidR="0035793A" w:rsidRPr="00196AE3">
        <w:rPr>
          <w:rFonts w:ascii="Times New Roman" w:hAnsi="Times New Roman" w:cs="Times New Roman"/>
          <w:color w:val="000000"/>
          <w:sz w:val="24"/>
          <w:szCs w:val="24"/>
        </w:rPr>
        <w:t>.</w:t>
      </w:r>
      <w:r w:rsidR="000A6E67" w:rsidRPr="00196AE3">
        <w:rPr>
          <w:rFonts w:ascii="Times New Roman" w:hAnsi="Times New Roman" w:cs="Times New Roman"/>
          <w:color w:val="000000"/>
          <w:sz w:val="24"/>
          <w:szCs w:val="24"/>
        </w:rPr>
        <w:t xml:space="preserve">  </w:t>
      </w:r>
    </w:p>
    <w:p w14:paraId="436D73AE" w14:textId="7DFDDE38" w:rsidR="000C0B85" w:rsidRPr="00196AE3" w:rsidRDefault="000A6E67" w:rsidP="00196AE3">
      <w:pPr>
        <w:pStyle w:val="ListParagraph"/>
        <w:tabs>
          <w:tab w:val="left" w:pos="0"/>
        </w:tabs>
        <w:ind w:left="851" w:right="850"/>
        <w:contextualSpacing/>
        <w:jc w:val="both"/>
        <w:rPr>
          <w:rFonts w:ascii="Times New Roman" w:hAnsi="Times New Roman" w:cs="Times New Roman"/>
          <w:color w:val="000000"/>
          <w:sz w:val="24"/>
          <w:szCs w:val="24"/>
        </w:rPr>
      </w:pPr>
      <w:r w:rsidRPr="00196AE3">
        <w:rPr>
          <w:rFonts w:ascii="Times New Roman" w:hAnsi="Times New Roman" w:cs="Times New Roman"/>
          <w:color w:val="000000"/>
          <w:sz w:val="24"/>
          <w:szCs w:val="24"/>
        </w:rPr>
        <w:t xml:space="preserve">The application was refused by the </w:t>
      </w:r>
      <w:r w:rsidR="00E2367D">
        <w:rPr>
          <w:rFonts w:ascii="Times New Roman" w:hAnsi="Times New Roman" w:cs="Times New Roman"/>
          <w:color w:val="000000"/>
          <w:sz w:val="24"/>
          <w:szCs w:val="24"/>
        </w:rPr>
        <w:t>R</w:t>
      </w:r>
      <w:r w:rsidRPr="00196AE3">
        <w:rPr>
          <w:rFonts w:ascii="Times New Roman" w:hAnsi="Times New Roman" w:cs="Times New Roman"/>
          <w:color w:val="000000"/>
          <w:sz w:val="24"/>
          <w:szCs w:val="24"/>
        </w:rPr>
        <w:t xml:space="preserve">egistrar by email dated 25 November 2021.  The </w:t>
      </w:r>
      <w:r w:rsidR="00857913">
        <w:rPr>
          <w:rFonts w:ascii="Times New Roman" w:hAnsi="Times New Roman" w:cs="Times New Roman"/>
          <w:color w:val="000000"/>
          <w:sz w:val="24"/>
          <w:szCs w:val="24"/>
        </w:rPr>
        <w:t>A</w:t>
      </w:r>
      <w:r w:rsidRPr="00196AE3">
        <w:rPr>
          <w:rFonts w:ascii="Times New Roman" w:hAnsi="Times New Roman" w:cs="Times New Roman"/>
          <w:color w:val="000000"/>
          <w:sz w:val="24"/>
          <w:szCs w:val="24"/>
        </w:rPr>
        <w:t xml:space="preserve">ppellant seeks to challenge that decision.  She asserts the </w:t>
      </w:r>
      <w:r w:rsidR="00857913">
        <w:rPr>
          <w:rFonts w:ascii="Times New Roman" w:hAnsi="Times New Roman" w:cs="Times New Roman"/>
          <w:color w:val="000000"/>
          <w:sz w:val="24"/>
          <w:szCs w:val="24"/>
        </w:rPr>
        <w:t>a</w:t>
      </w:r>
      <w:r w:rsidRPr="00196AE3">
        <w:rPr>
          <w:rFonts w:ascii="Times New Roman" w:hAnsi="Times New Roman" w:cs="Times New Roman"/>
          <w:color w:val="000000"/>
          <w:sz w:val="24"/>
          <w:szCs w:val="24"/>
        </w:rPr>
        <w:t xml:space="preserve">mended Grounds of Appeal do not properly reflect the grounds permitted to proceed and those that she wishes to argue.  She refers to brief extracts of her original Grounds of Appeal and </w:t>
      </w:r>
      <w:r w:rsidR="001D0CE2">
        <w:rPr>
          <w:rFonts w:ascii="Times New Roman" w:hAnsi="Times New Roman" w:cs="Times New Roman"/>
          <w:color w:val="000000"/>
          <w:sz w:val="24"/>
          <w:szCs w:val="24"/>
        </w:rPr>
        <w:t>S</w:t>
      </w:r>
      <w:r w:rsidRPr="00196AE3">
        <w:rPr>
          <w:rFonts w:ascii="Times New Roman" w:hAnsi="Times New Roman" w:cs="Times New Roman"/>
          <w:color w:val="000000"/>
          <w:sz w:val="24"/>
          <w:szCs w:val="24"/>
        </w:rPr>
        <w:t xml:space="preserve">keleton </w:t>
      </w:r>
      <w:r w:rsidR="001D0CE2">
        <w:rPr>
          <w:rFonts w:ascii="Times New Roman" w:hAnsi="Times New Roman" w:cs="Times New Roman"/>
          <w:color w:val="000000"/>
          <w:sz w:val="24"/>
          <w:szCs w:val="24"/>
        </w:rPr>
        <w:t>A</w:t>
      </w:r>
      <w:r w:rsidRPr="00196AE3">
        <w:rPr>
          <w:rFonts w:ascii="Times New Roman" w:hAnsi="Times New Roman" w:cs="Times New Roman"/>
          <w:color w:val="000000"/>
          <w:sz w:val="24"/>
          <w:szCs w:val="24"/>
        </w:rPr>
        <w:t xml:space="preserve">rgument without clearly identifying what additional errors of law she seeks to assert.  Had the appellant had any concerns about the </w:t>
      </w:r>
      <w:r w:rsidR="001D0CE2">
        <w:rPr>
          <w:rFonts w:ascii="Times New Roman" w:hAnsi="Times New Roman" w:cs="Times New Roman"/>
          <w:color w:val="000000"/>
          <w:sz w:val="24"/>
          <w:szCs w:val="24"/>
        </w:rPr>
        <w:t>a</w:t>
      </w:r>
      <w:r w:rsidRPr="00196AE3">
        <w:rPr>
          <w:rFonts w:ascii="Times New Roman" w:hAnsi="Times New Roman" w:cs="Times New Roman"/>
          <w:color w:val="000000"/>
          <w:sz w:val="24"/>
          <w:szCs w:val="24"/>
        </w:rPr>
        <w:t xml:space="preserve">mended Grounds </w:t>
      </w:r>
      <w:r w:rsidRPr="00196AE3">
        <w:rPr>
          <w:rFonts w:ascii="Times New Roman" w:hAnsi="Times New Roman" w:cs="Times New Roman"/>
          <w:color w:val="000000"/>
          <w:sz w:val="24"/>
          <w:szCs w:val="24"/>
        </w:rPr>
        <w:lastRenderedPageBreak/>
        <w:t xml:space="preserve">of Appeal, she should have raised them immediately upon receipt of the sealed </w:t>
      </w:r>
      <w:r w:rsidR="00414210">
        <w:rPr>
          <w:rFonts w:ascii="Times New Roman" w:hAnsi="Times New Roman" w:cs="Times New Roman"/>
          <w:color w:val="000000"/>
          <w:sz w:val="24"/>
          <w:szCs w:val="24"/>
        </w:rPr>
        <w:t>O</w:t>
      </w:r>
      <w:r w:rsidRPr="00196AE3">
        <w:rPr>
          <w:rFonts w:ascii="Times New Roman" w:hAnsi="Times New Roman" w:cs="Times New Roman"/>
          <w:color w:val="000000"/>
          <w:sz w:val="24"/>
          <w:szCs w:val="24"/>
        </w:rPr>
        <w:t>rder with the amended grounds attached.  The amended grounds were approved by HHJ Katherine Tucker; so</w:t>
      </w:r>
      <w:r w:rsidR="00414210">
        <w:rPr>
          <w:rFonts w:ascii="Times New Roman" w:hAnsi="Times New Roman" w:cs="Times New Roman"/>
          <w:color w:val="000000"/>
          <w:sz w:val="24"/>
          <w:szCs w:val="24"/>
        </w:rPr>
        <w:t xml:space="preserve"> </w:t>
      </w:r>
      <w:r w:rsidRPr="00196AE3">
        <w:rPr>
          <w:rFonts w:ascii="Times New Roman" w:hAnsi="Times New Roman" w:cs="Times New Roman"/>
          <w:color w:val="000000"/>
          <w:sz w:val="24"/>
          <w:szCs w:val="24"/>
        </w:rPr>
        <w:t xml:space="preserve">clearly are the grounds that she permitted to proceed.  The </w:t>
      </w:r>
      <w:r w:rsidR="00414210">
        <w:rPr>
          <w:rFonts w:ascii="Times New Roman" w:hAnsi="Times New Roman" w:cs="Times New Roman"/>
          <w:color w:val="000000"/>
          <w:sz w:val="24"/>
          <w:szCs w:val="24"/>
        </w:rPr>
        <w:t>R</w:t>
      </w:r>
      <w:r w:rsidRPr="00196AE3">
        <w:rPr>
          <w:rFonts w:ascii="Times New Roman" w:hAnsi="Times New Roman" w:cs="Times New Roman"/>
          <w:color w:val="000000"/>
          <w:sz w:val="24"/>
          <w:szCs w:val="24"/>
        </w:rPr>
        <w:t xml:space="preserve">espondent has responded </w:t>
      </w:r>
      <w:proofErr w:type="gramStart"/>
      <w:r w:rsidRPr="00196AE3">
        <w:rPr>
          <w:rFonts w:ascii="Times New Roman" w:hAnsi="Times New Roman" w:cs="Times New Roman"/>
          <w:color w:val="000000"/>
          <w:sz w:val="24"/>
          <w:szCs w:val="24"/>
        </w:rPr>
        <w:t>on the basis of</w:t>
      </w:r>
      <w:proofErr w:type="gramEnd"/>
      <w:r w:rsidRPr="00196AE3">
        <w:rPr>
          <w:rFonts w:ascii="Times New Roman" w:hAnsi="Times New Roman" w:cs="Times New Roman"/>
          <w:color w:val="000000"/>
          <w:sz w:val="24"/>
          <w:szCs w:val="24"/>
        </w:rPr>
        <w:t xml:space="preserve"> the </w:t>
      </w:r>
      <w:r w:rsidR="00414210">
        <w:rPr>
          <w:rFonts w:ascii="Times New Roman" w:hAnsi="Times New Roman" w:cs="Times New Roman"/>
          <w:color w:val="000000"/>
          <w:sz w:val="24"/>
          <w:szCs w:val="24"/>
        </w:rPr>
        <w:t>a</w:t>
      </w:r>
      <w:r w:rsidRPr="00196AE3">
        <w:rPr>
          <w:rFonts w:ascii="Times New Roman" w:hAnsi="Times New Roman" w:cs="Times New Roman"/>
          <w:color w:val="000000"/>
          <w:sz w:val="24"/>
          <w:szCs w:val="24"/>
        </w:rPr>
        <w:t xml:space="preserve">mended Grounds of Appeal and started to prepare the matter for hearing.  It would not be in accordance with the overriding objective for the concise amended Notice of Appeal to be replaced by lengthy documents that are lacking in clarity.  The appeal against the </w:t>
      </w:r>
      <w:r w:rsidR="00AF482B">
        <w:rPr>
          <w:rFonts w:ascii="Times New Roman" w:hAnsi="Times New Roman" w:cs="Times New Roman"/>
          <w:color w:val="000000"/>
          <w:sz w:val="24"/>
          <w:szCs w:val="24"/>
        </w:rPr>
        <w:t>R</w:t>
      </w:r>
      <w:r w:rsidRPr="00196AE3">
        <w:rPr>
          <w:rFonts w:ascii="Times New Roman" w:hAnsi="Times New Roman" w:cs="Times New Roman"/>
          <w:color w:val="000000"/>
          <w:sz w:val="24"/>
          <w:szCs w:val="24"/>
        </w:rPr>
        <w:t>egistrar's direction is refused.</w:t>
      </w:r>
      <w:r w:rsidR="00FF0343" w:rsidRPr="00196AE3">
        <w:rPr>
          <w:rFonts w:ascii="Times New Roman" w:hAnsi="Times New Roman" w:cs="Times New Roman"/>
          <w:color w:val="000000"/>
          <w:sz w:val="24"/>
          <w:szCs w:val="24"/>
        </w:rPr>
        <w:t>”</w:t>
      </w:r>
    </w:p>
    <w:p w14:paraId="18FBA286" w14:textId="77777777" w:rsidR="00D5195F" w:rsidRPr="00996790" w:rsidRDefault="00D5195F" w:rsidP="000C0B85">
      <w:pPr>
        <w:pStyle w:val="ListParagraph"/>
        <w:tabs>
          <w:tab w:val="left" w:pos="0"/>
        </w:tabs>
        <w:spacing w:line="480" w:lineRule="auto"/>
        <w:contextualSpacing/>
        <w:jc w:val="both"/>
        <w:rPr>
          <w:rFonts w:ascii="Times New Roman" w:hAnsi="Times New Roman" w:cs="Times New Roman"/>
          <w:color w:val="010302"/>
          <w:sz w:val="24"/>
          <w:szCs w:val="24"/>
        </w:rPr>
      </w:pPr>
    </w:p>
    <w:p w14:paraId="6AD5F5D5" w14:textId="0E6561C6" w:rsidR="00012EBE" w:rsidRPr="00D31593" w:rsidRDefault="001F4606" w:rsidP="00D31593">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In her skeleton argument prepared for this full hearing, the claimant </w:t>
      </w:r>
      <w:r w:rsidR="00AF482B">
        <w:rPr>
          <w:rFonts w:ascii="Times New Roman" w:hAnsi="Times New Roman" w:cs="Times New Roman"/>
          <w:color w:val="010302"/>
          <w:sz w:val="24"/>
          <w:szCs w:val="24"/>
        </w:rPr>
        <w:t xml:space="preserve">again </w:t>
      </w:r>
      <w:r w:rsidRPr="00996790">
        <w:rPr>
          <w:rFonts w:ascii="Times New Roman" w:hAnsi="Times New Roman" w:cs="Times New Roman"/>
          <w:color w:val="010302"/>
          <w:sz w:val="24"/>
          <w:szCs w:val="24"/>
        </w:rPr>
        <w:t xml:space="preserve">sought to </w:t>
      </w:r>
      <w:r w:rsidR="00B333CF" w:rsidRPr="00996790">
        <w:rPr>
          <w:rFonts w:ascii="Times New Roman" w:hAnsi="Times New Roman" w:cs="Times New Roman"/>
          <w:color w:val="010302"/>
          <w:sz w:val="24"/>
          <w:szCs w:val="24"/>
        </w:rPr>
        <w:t xml:space="preserve">rely on the original </w:t>
      </w:r>
      <w:r w:rsidR="00190011">
        <w:rPr>
          <w:rFonts w:ascii="Times New Roman" w:hAnsi="Times New Roman" w:cs="Times New Roman"/>
          <w:color w:val="010302"/>
          <w:sz w:val="24"/>
          <w:szCs w:val="24"/>
        </w:rPr>
        <w:t>g</w:t>
      </w:r>
      <w:r w:rsidR="00B333C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B333CF" w:rsidRPr="00996790">
        <w:rPr>
          <w:rFonts w:ascii="Times New Roman" w:hAnsi="Times New Roman" w:cs="Times New Roman"/>
          <w:color w:val="010302"/>
          <w:sz w:val="24"/>
          <w:szCs w:val="24"/>
        </w:rPr>
        <w:t xml:space="preserve">ppeal, requesting that it was </w:t>
      </w:r>
      <w:r w:rsidR="00190011">
        <w:rPr>
          <w:rFonts w:ascii="Times New Roman" w:hAnsi="Times New Roman" w:cs="Times New Roman"/>
          <w:color w:val="010302"/>
          <w:sz w:val="24"/>
          <w:szCs w:val="24"/>
        </w:rPr>
        <w:t>“</w:t>
      </w:r>
      <w:r w:rsidR="00F160EA" w:rsidRPr="00996790">
        <w:rPr>
          <w:rFonts w:ascii="Times New Roman" w:hAnsi="Times New Roman" w:cs="Times New Roman"/>
          <w:color w:val="010302"/>
          <w:sz w:val="24"/>
          <w:szCs w:val="24"/>
        </w:rPr>
        <w:t>in the interests of natural justice</w:t>
      </w:r>
      <w:r w:rsidR="00190011">
        <w:rPr>
          <w:rFonts w:ascii="Times New Roman" w:hAnsi="Times New Roman" w:cs="Times New Roman"/>
          <w:color w:val="010302"/>
          <w:sz w:val="24"/>
          <w:szCs w:val="24"/>
        </w:rPr>
        <w:t>”</w:t>
      </w:r>
      <w:r w:rsidR="003E054D" w:rsidRPr="00996790">
        <w:rPr>
          <w:rFonts w:ascii="Times New Roman" w:hAnsi="Times New Roman" w:cs="Times New Roman"/>
          <w:color w:val="010302"/>
          <w:sz w:val="24"/>
          <w:szCs w:val="24"/>
        </w:rPr>
        <w:t xml:space="preserve"> that she be permitted to take this course.  The respondent objected.  </w:t>
      </w:r>
      <w:r w:rsidR="005475ED" w:rsidRPr="00996790">
        <w:rPr>
          <w:rFonts w:ascii="Times New Roman" w:hAnsi="Times New Roman" w:cs="Times New Roman"/>
          <w:color w:val="010302"/>
          <w:sz w:val="24"/>
          <w:szCs w:val="24"/>
        </w:rPr>
        <w:t xml:space="preserve">At the outset of the hearing, </w:t>
      </w:r>
      <w:r w:rsidR="009E6BAD" w:rsidRPr="00996790">
        <w:rPr>
          <w:rFonts w:ascii="Times New Roman" w:hAnsi="Times New Roman" w:cs="Times New Roman"/>
          <w:color w:val="010302"/>
          <w:sz w:val="24"/>
          <w:szCs w:val="24"/>
        </w:rPr>
        <w:t xml:space="preserve">I explained to the parties that only the </w:t>
      </w:r>
      <w:r w:rsidR="00190011">
        <w:rPr>
          <w:rFonts w:ascii="Times New Roman" w:hAnsi="Times New Roman" w:cs="Times New Roman"/>
          <w:color w:val="010302"/>
          <w:sz w:val="24"/>
          <w:szCs w:val="24"/>
        </w:rPr>
        <w:t>a</w:t>
      </w:r>
      <w:r w:rsidR="009E6BAD" w:rsidRPr="00996790">
        <w:rPr>
          <w:rFonts w:ascii="Times New Roman" w:hAnsi="Times New Roman" w:cs="Times New Roman"/>
          <w:color w:val="010302"/>
          <w:sz w:val="24"/>
          <w:szCs w:val="24"/>
        </w:rPr>
        <w:t xml:space="preserve">mended </w:t>
      </w:r>
      <w:r w:rsidR="00190011">
        <w:rPr>
          <w:rFonts w:ascii="Times New Roman" w:hAnsi="Times New Roman" w:cs="Times New Roman"/>
          <w:color w:val="010302"/>
          <w:sz w:val="24"/>
          <w:szCs w:val="24"/>
        </w:rPr>
        <w:t>g</w:t>
      </w:r>
      <w:r w:rsidR="009E6BAD"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9E6BAD" w:rsidRPr="00996790">
        <w:rPr>
          <w:rFonts w:ascii="Times New Roman" w:hAnsi="Times New Roman" w:cs="Times New Roman"/>
          <w:color w:val="010302"/>
          <w:sz w:val="24"/>
          <w:szCs w:val="24"/>
        </w:rPr>
        <w:t xml:space="preserve">ppeal were before me, being the only grounds upon which </w:t>
      </w:r>
      <w:r w:rsidR="00E46D05">
        <w:rPr>
          <w:rFonts w:ascii="Times New Roman" w:hAnsi="Times New Roman" w:cs="Times New Roman"/>
          <w:color w:val="010302"/>
          <w:sz w:val="24"/>
          <w:szCs w:val="24"/>
        </w:rPr>
        <w:t xml:space="preserve">the Rule 3(10) application </w:t>
      </w:r>
      <w:r w:rsidR="00672856" w:rsidRPr="00996790">
        <w:rPr>
          <w:rFonts w:ascii="Times New Roman" w:hAnsi="Times New Roman" w:cs="Times New Roman"/>
          <w:color w:val="010302"/>
          <w:sz w:val="24"/>
          <w:szCs w:val="24"/>
        </w:rPr>
        <w:t xml:space="preserve">had been granted.  </w:t>
      </w:r>
      <w:r w:rsidR="00BC4BEE" w:rsidRPr="00996790">
        <w:rPr>
          <w:rFonts w:ascii="Times New Roman" w:hAnsi="Times New Roman" w:cs="Times New Roman"/>
          <w:color w:val="010302"/>
          <w:sz w:val="24"/>
          <w:szCs w:val="24"/>
        </w:rPr>
        <w:t xml:space="preserve">Ms </w:t>
      </w:r>
      <w:proofErr w:type="spellStart"/>
      <w:r w:rsidR="00BC4BEE" w:rsidRPr="00996790">
        <w:rPr>
          <w:rFonts w:ascii="Times New Roman" w:hAnsi="Times New Roman" w:cs="Times New Roman"/>
          <w:color w:val="010302"/>
          <w:sz w:val="24"/>
          <w:szCs w:val="24"/>
        </w:rPr>
        <w:t>Tuitt</w:t>
      </w:r>
      <w:proofErr w:type="spellEnd"/>
      <w:r w:rsidR="00BC4BEE" w:rsidRPr="00996790">
        <w:rPr>
          <w:rFonts w:ascii="Times New Roman" w:hAnsi="Times New Roman" w:cs="Times New Roman"/>
          <w:color w:val="010302"/>
          <w:sz w:val="24"/>
          <w:szCs w:val="24"/>
        </w:rPr>
        <w:t xml:space="preserve"> nonetheless sought to address me on the original </w:t>
      </w:r>
      <w:r w:rsidR="00190011">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4763E8" w:rsidRPr="00996790">
        <w:rPr>
          <w:rFonts w:ascii="Times New Roman" w:hAnsi="Times New Roman" w:cs="Times New Roman"/>
          <w:color w:val="010302"/>
          <w:sz w:val="24"/>
          <w:szCs w:val="24"/>
        </w:rPr>
        <w:t xml:space="preserve">, saying </w:t>
      </w:r>
      <w:proofErr w:type="gramStart"/>
      <w:r w:rsidR="004763E8" w:rsidRPr="00996790">
        <w:rPr>
          <w:rFonts w:ascii="Times New Roman" w:hAnsi="Times New Roman" w:cs="Times New Roman"/>
          <w:color w:val="010302"/>
          <w:sz w:val="24"/>
          <w:szCs w:val="24"/>
        </w:rPr>
        <w:t>in particular that</w:t>
      </w:r>
      <w:proofErr w:type="gramEnd"/>
      <w:r w:rsidR="004763E8" w:rsidRPr="00996790">
        <w:rPr>
          <w:rFonts w:ascii="Times New Roman" w:hAnsi="Times New Roman" w:cs="Times New Roman"/>
          <w:color w:val="010302"/>
          <w:sz w:val="24"/>
          <w:szCs w:val="24"/>
        </w:rPr>
        <w:t xml:space="preserve"> the amended grounds were not </w:t>
      </w:r>
      <w:r w:rsidR="00CA7F14" w:rsidRPr="00996790">
        <w:rPr>
          <w:rFonts w:ascii="Times New Roman" w:hAnsi="Times New Roman" w:cs="Times New Roman"/>
          <w:color w:val="010302"/>
          <w:sz w:val="24"/>
          <w:szCs w:val="24"/>
        </w:rPr>
        <w:t xml:space="preserve">before HHJ Katherine Tucker and were not the basis of her decision to </w:t>
      </w:r>
      <w:r w:rsidR="00D573D2" w:rsidRPr="00996790">
        <w:rPr>
          <w:rFonts w:ascii="Times New Roman" w:hAnsi="Times New Roman" w:cs="Times New Roman"/>
          <w:color w:val="010302"/>
          <w:sz w:val="24"/>
          <w:szCs w:val="24"/>
        </w:rPr>
        <w:t xml:space="preserve">allow the appeal to proceed.  </w:t>
      </w:r>
      <w:r w:rsidR="007059FF" w:rsidRPr="00996790">
        <w:rPr>
          <w:rFonts w:ascii="Times New Roman" w:hAnsi="Times New Roman" w:cs="Times New Roman"/>
          <w:color w:val="010302"/>
          <w:sz w:val="24"/>
          <w:szCs w:val="24"/>
        </w:rPr>
        <w:t xml:space="preserve">That is plainly </w:t>
      </w:r>
      <w:r w:rsidR="0003625A" w:rsidRPr="00996790">
        <w:rPr>
          <w:rFonts w:ascii="Times New Roman" w:hAnsi="Times New Roman" w:cs="Times New Roman"/>
          <w:color w:val="010302"/>
          <w:sz w:val="24"/>
          <w:szCs w:val="24"/>
        </w:rPr>
        <w:t xml:space="preserve">and demonstrably incorrect </w:t>
      </w:r>
      <w:proofErr w:type="gramStart"/>
      <w:r w:rsidR="0003625A" w:rsidRPr="00996790">
        <w:rPr>
          <w:rFonts w:ascii="Times New Roman" w:hAnsi="Times New Roman" w:cs="Times New Roman"/>
          <w:color w:val="010302"/>
          <w:sz w:val="24"/>
          <w:szCs w:val="24"/>
        </w:rPr>
        <w:t>in light of</w:t>
      </w:r>
      <w:proofErr w:type="gramEnd"/>
      <w:r w:rsidR="0003625A" w:rsidRPr="00996790">
        <w:rPr>
          <w:rFonts w:ascii="Times New Roman" w:hAnsi="Times New Roman" w:cs="Times New Roman"/>
          <w:color w:val="010302"/>
          <w:sz w:val="24"/>
          <w:szCs w:val="24"/>
        </w:rPr>
        <w:t xml:space="preserve"> the references that </w:t>
      </w:r>
      <w:r w:rsidR="00B416CC" w:rsidRPr="00996790">
        <w:rPr>
          <w:rFonts w:ascii="Times New Roman" w:hAnsi="Times New Roman" w:cs="Times New Roman"/>
          <w:color w:val="010302"/>
          <w:sz w:val="24"/>
          <w:szCs w:val="24"/>
        </w:rPr>
        <w:t>I have already read from the sealed order of 21 June 2021 and the related documentation.</w:t>
      </w:r>
      <w:r w:rsidR="00501614" w:rsidRPr="00996790">
        <w:rPr>
          <w:rFonts w:ascii="Times New Roman" w:hAnsi="Times New Roman" w:cs="Times New Roman"/>
          <w:color w:val="010302"/>
          <w:sz w:val="24"/>
          <w:szCs w:val="24"/>
        </w:rPr>
        <w:t xml:space="preserve">  </w:t>
      </w:r>
      <w:proofErr w:type="gramStart"/>
      <w:r w:rsidR="00012EBE" w:rsidRPr="00996790">
        <w:rPr>
          <w:rFonts w:ascii="Times New Roman" w:hAnsi="Times New Roman" w:cs="Times New Roman"/>
          <w:color w:val="010302"/>
          <w:sz w:val="24"/>
          <w:szCs w:val="24"/>
        </w:rPr>
        <w:t xml:space="preserve">During </w:t>
      </w:r>
      <w:r w:rsidR="00F8482A" w:rsidRPr="00996790">
        <w:rPr>
          <w:rFonts w:ascii="Times New Roman" w:hAnsi="Times New Roman" w:cs="Times New Roman"/>
          <w:color w:val="010302"/>
          <w:sz w:val="24"/>
          <w:szCs w:val="24"/>
        </w:rPr>
        <w:t>the course of</w:t>
      </w:r>
      <w:proofErr w:type="gramEnd"/>
      <w:r w:rsidR="00F8482A" w:rsidRPr="00996790">
        <w:rPr>
          <w:rFonts w:ascii="Times New Roman" w:hAnsi="Times New Roman" w:cs="Times New Roman"/>
          <w:color w:val="010302"/>
          <w:sz w:val="24"/>
          <w:szCs w:val="24"/>
        </w:rPr>
        <w:t xml:space="preserve"> her submissions, I encouraged the </w:t>
      </w:r>
      <w:r w:rsidR="004D5707" w:rsidRPr="00996790">
        <w:rPr>
          <w:rFonts w:ascii="Times New Roman" w:hAnsi="Times New Roman" w:cs="Times New Roman"/>
          <w:color w:val="010302"/>
          <w:sz w:val="24"/>
          <w:szCs w:val="24"/>
        </w:rPr>
        <w:t xml:space="preserve">claimant to focus on the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 xml:space="preserve">mended </w:t>
      </w:r>
      <w:r w:rsidR="00190011">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4D5707" w:rsidRPr="00996790">
        <w:rPr>
          <w:rFonts w:ascii="Times New Roman" w:hAnsi="Times New Roman" w:cs="Times New Roman"/>
          <w:color w:val="010302"/>
          <w:sz w:val="24"/>
          <w:szCs w:val="24"/>
        </w:rPr>
        <w:t xml:space="preserve"> as they were the matters before me, and I reminded her of this on a number of occasions</w:t>
      </w:r>
      <w:r w:rsidR="00CE1375" w:rsidRPr="00996790">
        <w:rPr>
          <w:rFonts w:ascii="Times New Roman" w:hAnsi="Times New Roman" w:cs="Times New Roman"/>
          <w:color w:val="010302"/>
          <w:sz w:val="24"/>
          <w:szCs w:val="24"/>
        </w:rPr>
        <w:t xml:space="preserve"> whe</w:t>
      </w:r>
      <w:r w:rsidR="009211AE">
        <w:rPr>
          <w:rFonts w:ascii="Times New Roman" w:hAnsi="Times New Roman" w:cs="Times New Roman"/>
          <w:color w:val="010302"/>
          <w:sz w:val="24"/>
          <w:szCs w:val="24"/>
        </w:rPr>
        <w:t>n</w:t>
      </w:r>
      <w:r w:rsidR="00CE1375" w:rsidRPr="00996790">
        <w:rPr>
          <w:rFonts w:ascii="Times New Roman" w:hAnsi="Times New Roman" w:cs="Times New Roman"/>
          <w:color w:val="010302"/>
          <w:sz w:val="24"/>
          <w:szCs w:val="24"/>
        </w:rPr>
        <w:t xml:space="preserve"> her oral submissions returned to the original grounds.  </w:t>
      </w:r>
      <w:r w:rsidR="006D37FE">
        <w:rPr>
          <w:rFonts w:ascii="Times New Roman" w:hAnsi="Times New Roman" w:cs="Times New Roman"/>
          <w:color w:val="010302"/>
          <w:sz w:val="24"/>
          <w:szCs w:val="24"/>
        </w:rPr>
        <w:t>D</w:t>
      </w:r>
      <w:r w:rsidR="00C42BA2" w:rsidRPr="00D31593">
        <w:rPr>
          <w:rFonts w:ascii="Times New Roman" w:hAnsi="Times New Roman" w:cs="Times New Roman"/>
          <w:color w:val="010302"/>
          <w:sz w:val="24"/>
          <w:szCs w:val="24"/>
        </w:rPr>
        <w:t xml:space="preserve">espite the claimant's </w:t>
      </w:r>
      <w:r w:rsidR="005A1651">
        <w:rPr>
          <w:rFonts w:ascii="Times New Roman" w:hAnsi="Times New Roman" w:cs="Times New Roman"/>
          <w:color w:val="010302"/>
          <w:sz w:val="24"/>
          <w:szCs w:val="24"/>
        </w:rPr>
        <w:t xml:space="preserve">multiple </w:t>
      </w:r>
      <w:r w:rsidR="00C42BA2" w:rsidRPr="00D31593">
        <w:rPr>
          <w:rFonts w:ascii="Times New Roman" w:hAnsi="Times New Roman" w:cs="Times New Roman"/>
          <w:color w:val="010302"/>
          <w:sz w:val="24"/>
          <w:szCs w:val="24"/>
        </w:rPr>
        <w:t>reference</w:t>
      </w:r>
      <w:r w:rsidR="00D31593">
        <w:rPr>
          <w:rFonts w:ascii="Times New Roman" w:hAnsi="Times New Roman" w:cs="Times New Roman"/>
          <w:color w:val="010302"/>
          <w:sz w:val="24"/>
          <w:szCs w:val="24"/>
        </w:rPr>
        <w:t>s</w:t>
      </w:r>
      <w:r w:rsidR="00C42BA2" w:rsidRPr="00D31593">
        <w:rPr>
          <w:rFonts w:ascii="Times New Roman" w:hAnsi="Times New Roman" w:cs="Times New Roman"/>
          <w:color w:val="010302"/>
          <w:sz w:val="24"/>
          <w:szCs w:val="24"/>
        </w:rPr>
        <w:t xml:space="preserve"> to the original grounds, the position remains as I indicated at the outset of </w:t>
      </w:r>
      <w:r w:rsidR="003368BE" w:rsidRPr="00D31593">
        <w:rPr>
          <w:rFonts w:ascii="Times New Roman" w:hAnsi="Times New Roman" w:cs="Times New Roman"/>
          <w:color w:val="010302"/>
          <w:sz w:val="24"/>
          <w:szCs w:val="24"/>
        </w:rPr>
        <w:t xml:space="preserve">the hearing.  The only </w:t>
      </w:r>
      <w:r w:rsidR="00501614" w:rsidRPr="00D31593">
        <w:rPr>
          <w:rFonts w:ascii="Times New Roman" w:hAnsi="Times New Roman" w:cs="Times New Roman"/>
          <w:color w:val="010302"/>
          <w:sz w:val="24"/>
          <w:szCs w:val="24"/>
        </w:rPr>
        <w:t xml:space="preserve">grounds before me </w:t>
      </w:r>
      <w:r w:rsidR="00203B8E" w:rsidRPr="00D31593">
        <w:rPr>
          <w:rFonts w:ascii="Times New Roman" w:hAnsi="Times New Roman" w:cs="Times New Roman"/>
          <w:color w:val="010302"/>
          <w:sz w:val="24"/>
          <w:szCs w:val="24"/>
        </w:rPr>
        <w:t xml:space="preserve">are those upon which </w:t>
      </w:r>
      <w:r w:rsidR="00122E70">
        <w:rPr>
          <w:rFonts w:ascii="Times New Roman" w:hAnsi="Times New Roman" w:cs="Times New Roman"/>
          <w:color w:val="010302"/>
          <w:sz w:val="24"/>
          <w:szCs w:val="24"/>
        </w:rPr>
        <w:t>t</w:t>
      </w:r>
      <w:r w:rsidR="00203B8E" w:rsidRPr="00D31593">
        <w:rPr>
          <w:rFonts w:ascii="Times New Roman" w:hAnsi="Times New Roman" w:cs="Times New Roman"/>
          <w:color w:val="010302"/>
          <w:sz w:val="24"/>
          <w:szCs w:val="24"/>
        </w:rPr>
        <w:t xml:space="preserve">he </w:t>
      </w:r>
      <w:r w:rsidR="00122E70">
        <w:rPr>
          <w:rFonts w:ascii="Times New Roman" w:hAnsi="Times New Roman" w:cs="Times New Roman"/>
          <w:color w:val="010302"/>
          <w:sz w:val="24"/>
          <w:szCs w:val="24"/>
        </w:rPr>
        <w:t xml:space="preserve">claimant </w:t>
      </w:r>
      <w:r w:rsidR="00203B8E" w:rsidRPr="00D31593">
        <w:rPr>
          <w:rFonts w:ascii="Times New Roman" w:hAnsi="Times New Roman" w:cs="Times New Roman"/>
          <w:color w:val="010302"/>
          <w:sz w:val="24"/>
          <w:szCs w:val="24"/>
        </w:rPr>
        <w:t xml:space="preserve">has been </w:t>
      </w:r>
      <w:r w:rsidR="006A39BE">
        <w:rPr>
          <w:rFonts w:ascii="Times New Roman" w:hAnsi="Times New Roman" w:cs="Times New Roman"/>
          <w:color w:val="010302"/>
          <w:sz w:val="24"/>
          <w:szCs w:val="24"/>
        </w:rPr>
        <w:t xml:space="preserve">permitted to </w:t>
      </w:r>
      <w:r w:rsidR="00F85980">
        <w:rPr>
          <w:rFonts w:ascii="Times New Roman" w:hAnsi="Times New Roman" w:cs="Times New Roman"/>
          <w:color w:val="010302"/>
          <w:sz w:val="24"/>
          <w:szCs w:val="24"/>
        </w:rPr>
        <w:t>proceed to a full hearing</w:t>
      </w:r>
      <w:r w:rsidR="00203B8E" w:rsidRPr="00D31593">
        <w:rPr>
          <w:rFonts w:ascii="Times New Roman" w:hAnsi="Times New Roman" w:cs="Times New Roman"/>
          <w:color w:val="010302"/>
          <w:sz w:val="24"/>
          <w:szCs w:val="24"/>
        </w:rPr>
        <w:t xml:space="preserve">.  </w:t>
      </w:r>
      <w:r w:rsidR="00341B04" w:rsidRPr="00D31593">
        <w:rPr>
          <w:rFonts w:ascii="Times New Roman" w:hAnsi="Times New Roman" w:cs="Times New Roman"/>
          <w:color w:val="010302"/>
          <w:sz w:val="24"/>
          <w:szCs w:val="24"/>
        </w:rPr>
        <w:t>Moreover, she ha</w:t>
      </w:r>
      <w:r w:rsidR="006B79B0">
        <w:rPr>
          <w:rFonts w:ascii="Times New Roman" w:hAnsi="Times New Roman" w:cs="Times New Roman"/>
          <w:color w:val="010302"/>
          <w:sz w:val="24"/>
          <w:szCs w:val="24"/>
        </w:rPr>
        <w:t>s</w:t>
      </w:r>
      <w:r w:rsidR="00341B04" w:rsidRPr="00D31593">
        <w:rPr>
          <w:rFonts w:ascii="Times New Roman" w:hAnsi="Times New Roman" w:cs="Times New Roman"/>
          <w:color w:val="010302"/>
          <w:sz w:val="24"/>
          <w:szCs w:val="24"/>
        </w:rPr>
        <w:t xml:space="preserve"> </w:t>
      </w:r>
      <w:r w:rsidR="00222FFF" w:rsidRPr="00D31593">
        <w:rPr>
          <w:rFonts w:ascii="Times New Roman" w:hAnsi="Times New Roman" w:cs="Times New Roman"/>
          <w:color w:val="010302"/>
          <w:sz w:val="24"/>
          <w:szCs w:val="24"/>
        </w:rPr>
        <w:t xml:space="preserve">already </w:t>
      </w:r>
      <w:r w:rsidR="00C51287">
        <w:rPr>
          <w:rFonts w:ascii="Times New Roman" w:hAnsi="Times New Roman" w:cs="Times New Roman"/>
          <w:color w:val="010302"/>
          <w:sz w:val="24"/>
          <w:szCs w:val="24"/>
        </w:rPr>
        <w:t xml:space="preserve">unsuccessfully </w:t>
      </w:r>
      <w:r w:rsidR="00222FFF" w:rsidRPr="00D31593">
        <w:rPr>
          <w:rFonts w:ascii="Times New Roman" w:hAnsi="Times New Roman" w:cs="Times New Roman"/>
          <w:color w:val="010302"/>
          <w:sz w:val="24"/>
          <w:szCs w:val="24"/>
        </w:rPr>
        <w:t>challenge</w:t>
      </w:r>
      <w:r w:rsidR="00C51287">
        <w:rPr>
          <w:rFonts w:ascii="Times New Roman" w:hAnsi="Times New Roman" w:cs="Times New Roman"/>
          <w:color w:val="010302"/>
          <w:sz w:val="24"/>
          <w:szCs w:val="24"/>
        </w:rPr>
        <w:t xml:space="preserve">d this </w:t>
      </w:r>
      <w:r w:rsidR="00213ABE" w:rsidRPr="00D31593">
        <w:rPr>
          <w:rFonts w:ascii="Times New Roman" w:hAnsi="Times New Roman" w:cs="Times New Roman"/>
          <w:color w:val="010302"/>
          <w:sz w:val="24"/>
          <w:szCs w:val="24"/>
        </w:rPr>
        <w:t xml:space="preserve">entirely orthodox approach to the EAT's proceedings in the application </w:t>
      </w:r>
      <w:r w:rsidR="000F76AB" w:rsidRPr="00D31593">
        <w:rPr>
          <w:rFonts w:ascii="Times New Roman" w:hAnsi="Times New Roman" w:cs="Times New Roman"/>
          <w:color w:val="010302"/>
          <w:sz w:val="24"/>
          <w:szCs w:val="24"/>
        </w:rPr>
        <w:t xml:space="preserve">she made to the </w:t>
      </w:r>
      <w:r w:rsidR="00D57301">
        <w:rPr>
          <w:rFonts w:ascii="Times New Roman" w:hAnsi="Times New Roman" w:cs="Times New Roman"/>
          <w:color w:val="010302"/>
          <w:sz w:val="24"/>
          <w:szCs w:val="24"/>
        </w:rPr>
        <w:t>R</w:t>
      </w:r>
      <w:r w:rsidR="000F76AB" w:rsidRPr="00D31593">
        <w:rPr>
          <w:rFonts w:ascii="Times New Roman" w:hAnsi="Times New Roman" w:cs="Times New Roman"/>
          <w:color w:val="010302"/>
          <w:sz w:val="24"/>
          <w:szCs w:val="24"/>
        </w:rPr>
        <w:t>egistrar</w:t>
      </w:r>
      <w:r w:rsidR="005B2141" w:rsidRPr="00D31593">
        <w:rPr>
          <w:rFonts w:ascii="Times New Roman" w:hAnsi="Times New Roman" w:cs="Times New Roman"/>
          <w:color w:val="010302"/>
          <w:sz w:val="24"/>
          <w:szCs w:val="24"/>
        </w:rPr>
        <w:t xml:space="preserve"> and in her subsequent appeal considered </w:t>
      </w:r>
      <w:r w:rsidR="00F85980">
        <w:rPr>
          <w:rFonts w:ascii="Times New Roman" w:hAnsi="Times New Roman" w:cs="Times New Roman"/>
          <w:color w:val="010302"/>
          <w:sz w:val="24"/>
          <w:szCs w:val="24"/>
        </w:rPr>
        <w:t xml:space="preserve">and rejected </w:t>
      </w:r>
      <w:r w:rsidR="005B2141" w:rsidRPr="00D31593">
        <w:rPr>
          <w:rFonts w:ascii="Times New Roman" w:hAnsi="Times New Roman" w:cs="Times New Roman"/>
          <w:color w:val="010302"/>
          <w:sz w:val="24"/>
          <w:szCs w:val="24"/>
        </w:rPr>
        <w:t xml:space="preserve">by HHJ James Tayler.  No basis has been shown for </w:t>
      </w:r>
      <w:r w:rsidR="00D57301">
        <w:rPr>
          <w:rFonts w:ascii="Times New Roman" w:hAnsi="Times New Roman" w:cs="Times New Roman"/>
          <w:color w:val="010302"/>
          <w:sz w:val="24"/>
          <w:szCs w:val="24"/>
        </w:rPr>
        <w:t xml:space="preserve">her </w:t>
      </w:r>
      <w:r w:rsidR="00666BD5" w:rsidRPr="00D31593">
        <w:rPr>
          <w:rFonts w:ascii="Times New Roman" w:hAnsi="Times New Roman" w:cs="Times New Roman"/>
          <w:color w:val="010302"/>
          <w:sz w:val="24"/>
          <w:szCs w:val="24"/>
        </w:rPr>
        <w:t xml:space="preserve">further attempt to resurrect the original grounds </w:t>
      </w:r>
      <w:r w:rsidR="00D57301">
        <w:rPr>
          <w:rFonts w:ascii="Times New Roman" w:hAnsi="Times New Roman" w:cs="Times New Roman"/>
          <w:color w:val="010302"/>
          <w:sz w:val="24"/>
          <w:szCs w:val="24"/>
        </w:rPr>
        <w:t xml:space="preserve">of appeal </w:t>
      </w:r>
      <w:r w:rsidR="00666BD5" w:rsidRPr="00D31593">
        <w:rPr>
          <w:rFonts w:ascii="Times New Roman" w:hAnsi="Times New Roman" w:cs="Times New Roman"/>
          <w:color w:val="010302"/>
          <w:sz w:val="24"/>
          <w:szCs w:val="24"/>
        </w:rPr>
        <w:t>before me today</w:t>
      </w:r>
      <w:r w:rsidR="00B15D79" w:rsidRPr="00D31593">
        <w:rPr>
          <w:rFonts w:ascii="Times New Roman" w:hAnsi="Times New Roman" w:cs="Times New Roman"/>
          <w:color w:val="010302"/>
          <w:sz w:val="24"/>
          <w:szCs w:val="24"/>
        </w:rPr>
        <w:t xml:space="preserve">; nor, as far as I am aware, has </w:t>
      </w:r>
      <w:r w:rsidR="00DA79A1" w:rsidRPr="00D31593">
        <w:rPr>
          <w:rFonts w:ascii="Times New Roman" w:hAnsi="Times New Roman" w:cs="Times New Roman"/>
          <w:color w:val="010302"/>
          <w:sz w:val="24"/>
          <w:szCs w:val="24"/>
        </w:rPr>
        <w:t xml:space="preserve">HHJ James Tayler's </w:t>
      </w:r>
      <w:r w:rsidR="00254C3A" w:rsidRPr="00D31593">
        <w:rPr>
          <w:rFonts w:ascii="Times New Roman" w:hAnsi="Times New Roman" w:cs="Times New Roman"/>
          <w:color w:val="010302"/>
          <w:sz w:val="24"/>
          <w:szCs w:val="24"/>
        </w:rPr>
        <w:t>decision been appealed</w:t>
      </w:r>
      <w:r w:rsidR="005041A2">
        <w:rPr>
          <w:rFonts w:ascii="Times New Roman" w:hAnsi="Times New Roman" w:cs="Times New Roman"/>
          <w:color w:val="010302"/>
          <w:sz w:val="24"/>
          <w:szCs w:val="24"/>
        </w:rPr>
        <w:t>;</w:t>
      </w:r>
      <w:r w:rsidR="00254C3A" w:rsidRPr="00D31593">
        <w:rPr>
          <w:rFonts w:ascii="Times New Roman" w:hAnsi="Times New Roman" w:cs="Times New Roman"/>
          <w:color w:val="010302"/>
          <w:sz w:val="24"/>
          <w:szCs w:val="24"/>
        </w:rPr>
        <w:t xml:space="preserve"> </w:t>
      </w:r>
      <w:proofErr w:type="gramStart"/>
      <w:r w:rsidR="00254C3A" w:rsidRPr="00D31593">
        <w:rPr>
          <w:rFonts w:ascii="Times New Roman" w:hAnsi="Times New Roman" w:cs="Times New Roman"/>
          <w:color w:val="010302"/>
          <w:sz w:val="24"/>
          <w:szCs w:val="24"/>
        </w:rPr>
        <w:t>certainly</w:t>
      </w:r>
      <w:proofErr w:type="gramEnd"/>
      <w:r w:rsidR="00254C3A" w:rsidRPr="00D31593">
        <w:rPr>
          <w:rFonts w:ascii="Times New Roman" w:hAnsi="Times New Roman" w:cs="Times New Roman"/>
          <w:color w:val="010302"/>
          <w:sz w:val="24"/>
          <w:szCs w:val="24"/>
        </w:rPr>
        <w:t xml:space="preserve"> </w:t>
      </w:r>
      <w:r w:rsidR="006D37FE">
        <w:rPr>
          <w:rFonts w:ascii="Times New Roman" w:hAnsi="Times New Roman" w:cs="Times New Roman"/>
          <w:color w:val="010302"/>
          <w:sz w:val="24"/>
          <w:szCs w:val="24"/>
        </w:rPr>
        <w:t xml:space="preserve">it has </w:t>
      </w:r>
      <w:r w:rsidR="00254C3A" w:rsidRPr="00D31593">
        <w:rPr>
          <w:rFonts w:ascii="Times New Roman" w:hAnsi="Times New Roman" w:cs="Times New Roman"/>
          <w:color w:val="010302"/>
          <w:sz w:val="24"/>
          <w:szCs w:val="24"/>
        </w:rPr>
        <w:t xml:space="preserve">not </w:t>
      </w:r>
      <w:r w:rsidR="006D37FE">
        <w:rPr>
          <w:rFonts w:ascii="Times New Roman" w:hAnsi="Times New Roman" w:cs="Times New Roman"/>
          <w:color w:val="010302"/>
          <w:sz w:val="24"/>
          <w:szCs w:val="24"/>
        </w:rPr>
        <w:t xml:space="preserve">been </w:t>
      </w:r>
      <w:r w:rsidR="00254C3A" w:rsidRPr="00D31593">
        <w:rPr>
          <w:rFonts w:ascii="Times New Roman" w:hAnsi="Times New Roman" w:cs="Times New Roman"/>
          <w:color w:val="010302"/>
          <w:sz w:val="24"/>
          <w:szCs w:val="24"/>
        </w:rPr>
        <w:t xml:space="preserve">successfully appealed.  </w:t>
      </w:r>
    </w:p>
    <w:p w14:paraId="1F2A7CE3" w14:textId="07A90D99" w:rsidR="00A75F30" w:rsidRPr="00996790" w:rsidRDefault="008520C7" w:rsidP="00501614">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 therefore propose to consider this appeal </w:t>
      </w:r>
      <w:proofErr w:type="gramStart"/>
      <w:r w:rsidRPr="00996790">
        <w:rPr>
          <w:rFonts w:ascii="Times New Roman" w:hAnsi="Times New Roman" w:cs="Times New Roman"/>
          <w:color w:val="010302"/>
          <w:sz w:val="24"/>
          <w:szCs w:val="24"/>
        </w:rPr>
        <w:t>on the basis of</w:t>
      </w:r>
      <w:proofErr w:type="gramEnd"/>
      <w:r w:rsidRPr="00996790">
        <w:rPr>
          <w:rFonts w:ascii="Times New Roman" w:hAnsi="Times New Roman" w:cs="Times New Roman"/>
          <w:color w:val="010302"/>
          <w:sz w:val="24"/>
          <w:szCs w:val="24"/>
        </w:rPr>
        <w:t xml:space="preserve"> the amended grounds.  </w:t>
      </w:r>
      <w:r w:rsidR="006B79B0">
        <w:rPr>
          <w:rFonts w:ascii="Times New Roman" w:hAnsi="Times New Roman" w:cs="Times New Roman"/>
          <w:color w:val="010302"/>
          <w:sz w:val="24"/>
          <w:szCs w:val="24"/>
        </w:rPr>
        <w:t>Nonetheless,</w:t>
      </w:r>
      <w:r w:rsidRPr="00996790">
        <w:rPr>
          <w:rFonts w:ascii="Times New Roman" w:hAnsi="Times New Roman" w:cs="Times New Roman"/>
          <w:color w:val="010302"/>
          <w:sz w:val="24"/>
          <w:szCs w:val="24"/>
        </w:rPr>
        <w:t xml:space="preserve"> as I sought to reassure </w:t>
      </w:r>
      <w:r w:rsidR="00303392" w:rsidRPr="00996790">
        <w:rPr>
          <w:rFonts w:ascii="Times New Roman" w:hAnsi="Times New Roman" w:cs="Times New Roman"/>
          <w:color w:val="010302"/>
          <w:sz w:val="24"/>
          <w:szCs w:val="24"/>
        </w:rPr>
        <w:t xml:space="preserve">Ms </w:t>
      </w:r>
      <w:proofErr w:type="spellStart"/>
      <w:r w:rsidR="00303392" w:rsidRPr="00996790">
        <w:rPr>
          <w:rFonts w:ascii="Times New Roman" w:hAnsi="Times New Roman" w:cs="Times New Roman"/>
          <w:color w:val="010302"/>
          <w:sz w:val="24"/>
          <w:szCs w:val="24"/>
        </w:rPr>
        <w:t>Tuitt</w:t>
      </w:r>
      <w:proofErr w:type="spellEnd"/>
      <w:r w:rsidR="00303392" w:rsidRPr="00996790">
        <w:rPr>
          <w:rFonts w:ascii="Times New Roman" w:hAnsi="Times New Roman" w:cs="Times New Roman"/>
          <w:color w:val="010302"/>
          <w:sz w:val="24"/>
          <w:szCs w:val="24"/>
        </w:rPr>
        <w:t xml:space="preserve"> during the hearing, many of the points </w:t>
      </w:r>
      <w:r w:rsidR="00025066" w:rsidRPr="00996790">
        <w:rPr>
          <w:rFonts w:ascii="Times New Roman" w:hAnsi="Times New Roman" w:cs="Times New Roman"/>
          <w:color w:val="010302"/>
          <w:sz w:val="24"/>
          <w:szCs w:val="24"/>
        </w:rPr>
        <w:t xml:space="preserve">that she addressed me on </w:t>
      </w:r>
      <w:r w:rsidR="00EC07AA" w:rsidRPr="00996790">
        <w:rPr>
          <w:rFonts w:ascii="Times New Roman" w:hAnsi="Times New Roman" w:cs="Times New Roman"/>
          <w:color w:val="010302"/>
          <w:sz w:val="24"/>
          <w:szCs w:val="24"/>
        </w:rPr>
        <w:t xml:space="preserve">are </w:t>
      </w:r>
      <w:r w:rsidR="00EC07AA" w:rsidRPr="00996790">
        <w:rPr>
          <w:rFonts w:ascii="Times New Roman" w:hAnsi="Times New Roman" w:cs="Times New Roman"/>
          <w:color w:val="010302"/>
          <w:sz w:val="24"/>
          <w:szCs w:val="24"/>
        </w:rPr>
        <w:lastRenderedPageBreak/>
        <w:t xml:space="preserve">within the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 xml:space="preserve">mended </w:t>
      </w:r>
      <w:r w:rsidR="00190011">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EC07AA" w:rsidRPr="00996790">
        <w:rPr>
          <w:rFonts w:ascii="Times New Roman" w:hAnsi="Times New Roman" w:cs="Times New Roman"/>
          <w:color w:val="010302"/>
          <w:sz w:val="24"/>
          <w:szCs w:val="24"/>
        </w:rPr>
        <w:t xml:space="preserve">, albeit on </w:t>
      </w:r>
      <w:r w:rsidR="008B47BB" w:rsidRPr="00996790">
        <w:rPr>
          <w:rFonts w:ascii="Times New Roman" w:hAnsi="Times New Roman" w:cs="Times New Roman"/>
          <w:color w:val="010302"/>
          <w:sz w:val="24"/>
          <w:szCs w:val="24"/>
        </w:rPr>
        <w:t>occ</w:t>
      </w:r>
      <w:r w:rsidR="00EC07AA" w:rsidRPr="00996790">
        <w:rPr>
          <w:rFonts w:ascii="Times New Roman" w:hAnsi="Times New Roman" w:cs="Times New Roman"/>
          <w:color w:val="010302"/>
          <w:sz w:val="24"/>
          <w:szCs w:val="24"/>
        </w:rPr>
        <w:t>asions expressed slightly differently</w:t>
      </w:r>
      <w:r w:rsidR="00317436" w:rsidRPr="00996790">
        <w:rPr>
          <w:rFonts w:ascii="Times New Roman" w:hAnsi="Times New Roman" w:cs="Times New Roman"/>
          <w:color w:val="010302"/>
          <w:sz w:val="24"/>
          <w:szCs w:val="24"/>
        </w:rPr>
        <w:t>.  Recognising that she is self-represented</w:t>
      </w:r>
      <w:r w:rsidR="0074369A" w:rsidRPr="00996790">
        <w:rPr>
          <w:rFonts w:ascii="Times New Roman" w:hAnsi="Times New Roman" w:cs="Times New Roman"/>
          <w:color w:val="010302"/>
          <w:sz w:val="24"/>
          <w:szCs w:val="24"/>
        </w:rPr>
        <w:t xml:space="preserve">, I have taken as broad approach as I fairly can to </w:t>
      </w:r>
      <w:r w:rsidR="00273035">
        <w:rPr>
          <w:rFonts w:ascii="Times New Roman" w:hAnsi="Times New Roman" w:cs="Times New Roman"/>
          <w:color w:val="010302"/>
          <w:sz w:val="24"/>
          <w:szCs w:val="24"/>
        </w:rPr>
        <w:t xml:space="preserve">the extent of </w:t>
      </w:r>
      <w:r w:rsidR="0074369A" w:rsidRPr="00996790">
        <w:rPr>
          <w:rFonts w:ascii="Times New Roman" w:hAnsi="Times New Roman" w:cs="Times New Roman"/>
          <w:color w:val="010302"/>
          <w:sz w:val="24"/>
          <w:szCs w:val="24"/>
        </w:rPr>
        <w:t xml:space="preserve">the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 xml:space="preserve">mended </w:t>
      </w:r>
      <w:r w:rsidR="00190011">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74369A" w:rsidRPr="00996790">
        <w:rPr>
          <w:rFonts w:ascii="Times New Roman" w:hAnsi="Times New Roman" w:cs="Times New Roman"/>
          <w:color w:val="010302"/>
          <w:sz w:val="24"/>
          <w:szCs w:val="24"/>
        </w:rPr>
        <w:t xml:space="preserve"> in considering this appeal, with the result that the majority </w:t>
      </w:r>
      <w:r w:rsidR="00EE7579" w:rsidRPr="00996790">
        <w:rPr>
          <w:rFonts w:ascii="Times New Roman" w:hAnsi="Times New Roman" w:cs="Times New Roman"/>
          <w:color w:val="010302"/>
          <w:sz w:val="24"/>
          <w:szCs w:val="24"/>
        </w:rPr>
        <w:t xml:space="preserve">of the points that the claimant made to me this morning </w:t>
      </w:r>
      <w:proofErr w:type="gramStart"/>
      <w:r w:rsidR="00EE7579" w:rsidRPr="00996790">
        <w:rPr>
          <w:rFonts w:ascii="Times New Roman" w:hAnsi="Times New Roman" w:cs="Times New Roman"/>
          <w:color w:val="010302"/>
          <w:sz w:val="24"/>
          <w:szCs w:val="24"/>
        </w:rPr>
        <w:t>are</w:t>
      </w:r>
      <w:proofErr w:type="gramEnd"/>
      <w:r w:rsidR="00EE7579" w:rsidRPr="00996790">
        <w:rPr>
          <w:rFonts w:ascii="Times New Roman" w:hAnsi="Times New Roman" w:cs="Times New Roman"/>
          <w:color w:val="010302"/>
          <w:sz w:val="24"/>
          <w:szCs w:val="24"/>
        </w:rPr>
        <w:t xml:space="preserve"> within the appeal.  </w:t>
      </w:r>
      <w:r w:rsidR="00926A52" w:rsidRPr="00996790">
        <w:rPr>
          <w:rFonts w:ascii="Times New Roman" w:hAnsi="Times New Roman" w:cs="Times New Roman"/>
          <w:color w:val="010302"/>
          <w:sz w:val="24"/>
          <w:szCs w:val="24"/>
        </w:rPr>
        <w:t xml:space="preserve">However, </w:t>
      </w:r>
      <w:r w:rsidR="007A1102" w:rsidRPr="00996790">
        <w:rPr>
          <w:rFonts w:ascii="Times New Roman" w:hAnsi="Times New Roman" w:cs="Times New Roman"/>
          <w:color w:val="010302"/>
          <w:sz w:val="24"/>
          <w:szCs w:val="24"/>
        </w:rPr>
        <w:t xml:space="preserve">insofar as she sought to </w:t>
      </w:r>
      <w:r w:rsidR="00214234" w:rsidRPr="00996790">
        <w:rPr>
          <w:rFonts w:ascii="Times New Roman" w:hAnsi="Times New Roman" w:cs="Times New Roman"/>
          <w:color w:val="010302"/>
          <w:sz w:val="24"/>
          <w:szCs w:val="24"/>
        </w:rPr>
        <w:t xml:space="preserve">rely </w:t>
      </w:r>
      <w:r w:rsidR="00FC2BA0" w:rsidRPr="00996790">
        <w:rPr>
          <w:rFonts w:ascii="Times New Roman" w:hAnsi="Times New Roman" w:cs="Times New Roman"/>
          <w:color w:val="010302"/>
          <w:sz w:val="24"/>
          <w:szCs w:val="24"/>
        </w:rPr>
        <w:t xml:space="preserve">on </w:t>
      </w:r>
      <w:r w:rsidR="00940C1A">
        <w:rPr>
          <w:rFonts w:ascii="Times New Roman" w:hAnsi="Times New Roman" w:cs="Times New Roman"/>
          <w:color w:val="010302"/>
          <w:sz w:val="24"/>
          <w:szCs w:val="24"/>
        </w:rPr>
        <w:t>g</w:t>
      </w:r>
      <w:r w:rsidR="00FC2BA0" w:rsidRPr="00996790">
        <w:rPr>
          <w:rFonts w:ascii="Times New Roman" w:hAnsi="Times New Roman" w:cs="Times New Roman"/>
          <w:color w:val="010302"/>
          <w:sz w:val="24"/>
          <w:szCs w:val="24"/>
        </w:rPr>
        <w:t xml:space="preserve">round 1 of her original </w:t>
      </w:r>
      <w:r w:rsidR="00190011">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FC2BA0" w:rsidRPr="00996790">
        <w:rPr>
          <w:rFonts w:ascii="Times New Roman" w:hAnsi="Times New Roman" w:cs="Times New Roman"/>
          <w:color w:val="010302"/>
          <w:sz w:val="24"/>
          <w:szCs w:val="24"/>
        </w:rPr>
        <w:t xml:space="preserve">, </w:t>
      </w:r>
      <w:r w:rsidR="006A250E" w:rsidRPr="00996790">
        <w:rPr>
          <w:rFonts w:ascii="Times New Roman" w:hAnsi="Times New Roman" w:cs="Times New Roman"/>
          <w:color w:val="010302"/>
          <w:sz w:val="24"/>
          <w:szCs w:val="24"/>
        </w:rPr>
        <w:t>that she had an unfair hearing</w:t>
      </w:r>
      <w:r w:rsidR="00CF719F" w:rsidRPr="00996790">
        <w:rPr>
          <w:rFonts w:ascii="Times New Roman" w:hAnsi="Times New Roman" w:cs="Times New Roman"/>
          <w:color w:val="010302"/>
          <w:sz w:val="24"/>
          <w:szCs w:val="24"/>
        </w:rPr>
        <w:t xml:space="preserve"> below, then </w:t>
      </w:r>
      <w:r w:rsidR="00410AF9">
        <w:rPr>
          <w:rFonts w:ascii="Times New Roman" w:hAnsi="Times New Roman" w:cs="Times New Roman"/>
          <w:color w:val="010302"/>
          <w:sz w:val="24"/>
          <w:szCs w:val="24"/>
        </w:rPr>
        <w:t xml:space="preserve">she is plainly unable to do so </w:t>
      </w:r>
      <w:r w:rsidR="00CC3BF0">
        <w:rPr>
          <w:rFonts w:ascii="Times New Roman" w:hAnsi="Times New Roman" w:cs="Times New Roman"/>
          <w:color w:val="010302"/>
          <w:sz w:val="24"/>
          <w:szCs w:val="24"/>
        </w:rPr>
        <w:t xml:space="preserve">as </w:t>
      </w:r>
      <w:r w:rsidR="00126D5D" w:rsidRPr="00996790">
        <w:rPr>
          <w:rFonts w:ascii="Times New Roman" w:hAnsi="Times New Roman" w:cs="Times New Roman"/>
          <w:color w:val="010302"/>
          <w:sz w:val="24"/>
          <w:szCs w:val="24"/>
        </w:rPr>
        <w:t xml:space="preserve">it </w:t>
      </w:r>
      <w:r w:rsidR="00CC3BF0">
        <w:rPr>
          <w:rFonts w:ascii="Times New Roman" w:hAnsi="Times New Roman" w:cs="Times New Roman"/>
          <w:color w:val="010302"/>
          <w:sz w:val="24"/>
          <w:szCs w:val="24"/>
        </w:rPr>
        <w:t xml:space="preserve">does not </w:t>
      </w:r>
      <w:r w:rsidR="00126D5D" w:rsidRPr="00996790">
        <w:rPr>
          <w:rFonts w:ascii="Times New Roman" w:hAnsi="Times New Roman" w:cs="Times New Roman"/>
          <w:color w:val="010302"/>
          <w:sz w:val="24"/>
          <w:szCs w:val="24"/>
        </w:rPr>
        <w:t xml:space="preserve">come </w:t>
      </w:r>
      <w:r w:rsidR="001900D4" w:rsidRPr="00996790">
        <w:rPr>
          <w:rFonts w:ascii="Times New Roman" w:hAnsi="Times New Roman" w:cs="Times New Roman"/>
          <w:color w:val="010302"/>
          <w:sz w:val="24"/>
          <w:szCs w:val="24"/>
        </w:rPr>
        <w:t xml:space="preserve">within the scope of the amended grounds </w:t>
      </w:r>
      <w:r w:rsidR="00410AF9">
        <w:rPr>
          <w:rFonts w:ascii="Times New Roman" w:hAnsi="Times New Roman" w:cs="Times New Roman"/>
          <w:color w:val="010302"/>
          <w:sz w:val="24"/>
          <w:szCs w:val="24"/>
        </w:rPr>
        <w:t xml:space="preserve">and HHJ Katherine Tucker’s order, </w:t>
      </w:r>
      <w:r w:rsidR="001900D4" w:rsidRPr="00996790">
        <w:rPr>
          <w:rFonts w:ascii="Times New Roman" w:hAnsi="Times New Roman" w:cs="Times New Roman"/>
          <w:color w:val="010302"/>
          <w:sz w:val="24"/>
          <w:szCs w:val="24"/>
        </w:rPr>
        <w:t xml:space="preserve">save </w:t>
      </w:r>
      <w:r w:rsidR="004C4596" w:rsidRPr="00996790">
        <w:rPr>
          <w:rFonts w:ascii="Times New Roman" w:hAnsi="Times New Roman" w:cs="Times New Roman"/>
          <w:color w:val="010302"/>
          <w:sz w:val="24"/>
          <w:szCs w:val="24"/>
        </w:rPr>
        <w:t xml:space="preserve">for the specific </w:t>
      </w:r>
      <w:r w:rsidR="005542E1" w:rsidRPr="00996790">
        <w:rPr>
          <w:rFonts w:ascii="Times New Roman" w:hAnsi="Times New Roman" w:cs="Times New Roman"/>
          <w:color w:val="010302"/>
          <w:sz w:val="24"/>
          <w:szCs w:val="24"/>
        </w:rPr>
        <w:t xml:space="preserve">point regarding </w:t>
      </w:r>
      <w:r w:rsidR="00CC3BF0">
        <w:rPr>
          <w:rFonts w:ascii="Times New Roman" w:hAnsi="Times New Roman" w:cs="Times New Roman"/>
          <w:color w:val="010302"/>
          <w:sz w:val="24"/>
          <w:szCs w:val="24"/>
        </w:rPr>
        <w:t>the London Borough of Wandsworth (“</w:t>
      </w:r>
      <w:r w:rsidR="005542E1" w:rsidRPr="00996790">
        <w:rPr>
          <w:rFonts w:ascii="Times New Roman" w:hAnsi="Times New Roman" w:cs="Times New Roman"/>
          <w:color w:val="010302"/>
          <w:sz w:val="24"/>
          <w:szCs w:val="24"/>
        </w:rPr>
        <w:t>LBW</w:t>
      </w:r>
      <w:r w:rsidR="00CC3BF0">
        <w:rPr>
          <w:rFonts w:ascii="Times New Roman" w:hAnsi="Times New Roman" w:cs="Times New Roman"/>
          <w:color w:val="010302"/>
          <w:sz w:val="24"/>
          <w:szCs w:val="24"/>
        </w:rPr>
        <w:t>”)</w:t>
      </w:r>
      <w:r w:rsidR="005542E1" w:rsidRPr="00996790">
        <w:rPr>
          <w:rFonts w:ascii="Times New Roman" w:hAnsi="Times New Roman" w:cs="Times New Roman"/>
          <w:color w:val="010302"/>
          <w:sz w:val="24"/>
          <w:szCs w:val="24"/>
        </w:rPr>
        <w:t xml:space="preserve"> identified in ground 4.  </w:t>
      </w:r>
    </w:p>
    <w:p w14:paraId="03EDA7AA" w14:textId="03A19D3E" w:rsidR="00A75F30" w:rsidRPr="000E1A06" w:rsidRDefault="00A75F30" w:rsidP="00A75F30">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Accordingly, the </w:t>
      </w:r>
      <w:r w:rsidR="00190011">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190011">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Pr="00996790">
        <w:rPr>
          <w:rFonts w:ascii="Times New Roman" w:hAnsi="Times New Roman" w:cs="Times New Roman"/>
          <w:color w:val="010302"/>
          <w:sz w:val="24"/>
          <w:szCs w:val="24"/>
        </w:rPr>
        <w:t xml:space="preserve"> are as follows.  Ground 1 </w:t>
      </w:r>
      <w:r w:rsidR="005B13CB">
        <w:rPr>
          <w:rFonts w:ascii="Times New Roman" w:hAnsi="Times New Roman" w:cs="Times New Roman"/>
          <w:color w:val="010302"/>
          <w:sz w:val="24"/>
          <w:szCs w:val="24"/>
        </w:rPr>
        <w:t xml:space="preserve">is </w:t>
      </w:r>
      <w:r w:rsidRPr="00996790">
        <w:rPr>
          <w:rFonts w:ascii="Times New Roman" w:hAnsi="Times New Roman" w:cs="Times New Roman"/>
          <w:color w:val="010302"/>
          <w:sz w:val="24"/>
          <w:szCs w:val="24"/>
        </w:rPr>
        <w:t xml:space="preserve">headed </w:t>
      </w:r>
      <w:r w:rsidR="00190011">
        <w:rPr>
          <w:rFonts w:ascii="Times New Roman" w:hAnsi="Times New Roman" w:cs="Times New Roman"/>
          <w:color w:val="010302"/>
          <w:sz w:val="24"/>
          <w:szCs w:val="24"/>
        </w:rPr>
        <w:t>“</w:t>
      </w:r>
      <w:r w:rsidR="005B13CB">
        <w:rPr>
          <w:rFonts w:ascii="Times New Roman" w:hAnsi="Times New Roman" w:cs="Times New Roman"/>
          <w:color w:val="010302"/>
          <w:sz w:val="24"/>
          <w:szCs w:val="24"/>
        </w:rPr>
        <w:t>e</w:t>
      </w:r>
      <w:r w:rsidRPr="00996790">
        <w:rPr>
          <w:rFonts w:ascii="Times New Roman" w:hAnsi="Times New Roman" w:cs="Times New Roman"/>
          <w:color w:val="010302"/>
          <w:sz w:val="24"/>
          <w:szCs w:val="24"/>
        </w:rPr>
        <w:t>rror of law</w:t>
      </w:r>
      <w:r w:rsidR="00190011">
        <w:rPr>
          <w:rFonts w:ascii="Times New Roman" w:hAnsi="Times New Roman" w:cs="Times New Roman"/>
          <w:color w:val="010302"/>
          <w:sz w:val="24"/>
          <w:szCs w:val="24"/>
        </w:rPr>
        <w:t>”</w:t>
      </w:r>
      <w:r w:rsidRPr="00996790">
        <w:rPr>
          <w:rFonts w:ascii="Times New Roman" w:hAnsi="Times New Roman" w:cs="Times New Roman"/>
          <w:color w:val="010302"/>
          <w:sz w:val="24"/>
          <w:szCs w:val="24"/>
        </w:rPr>
        <w:t>.  It says:</w:t>
      </w:r>
    </w:p>
    <w:p w14:paraId="7503276D" w14:textId="22977F42" w:rsidR="00196AE3" w:rsidRPr="00EB3803" w:rsidRDefault="00190011" w:rsidP="00EB3803">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10302"/>
          <w:sz w:val="24"/>
          <w:szCs w:val="24"/>
        </w:rPr>
        <w:t>“</w:t>
      </w:r>
      <w:r w:rsidR="00E51457">
        <w:rPr>
          <w:rFonts w:ascii="Times New Roman" w:hAnsi="Times New Roman" w:cs="Times New Roman"/>
          <w:color w:val="010302"/>
          <w:sz w:val="24"/>
          <w:szCs w:val="24"/>
        </w:rPr>
        <w:t>1.</w:t>
      </w:r>
      <w:r w:rsidR="00E51457">
        <w:rPr>
          <w:rFonts w:ascii="Times New Roman" w:hAnsi="Times New Roman" w:cs="Times New Roman"/>
          <w:color w:val="010302"/>
          <w:sz w:val="24"/>
          <w:szCs w:val="24"/>
        </w:rPr>
        <w:tab/>
      </w:r>
      <w:r w:rsidR="00A75F30" w:rsidRPr="00EB3803">
        <w:rPr>
          <w:rFonts w:ascii="Times New Roman" w:hAnsi="Times New Roman" w:cs="Times New Roman"/>
          <w:color w:val="000000"/>
          <w:sz w:val="24"/>
          <w:szCs w:val="24"/>
        </w:rPr>
        <w:t xml:space="preserve">The ET erred in its approach as to whether there was </w:t>
      </w:r>
      <w:r w:rsidR="0096640F" w:rsidRPr="00EB3803">
        <w:rPr>
          <w:rFonts w:ascii="Times New Roman" w:hAnsi="Times New Roman" w:cs="Times New Roman"/>
          <w:color w:val="000000"/>
          <w:sz w:val="24"/>
          <w:szCs w:val="24"/>
        </w:rPr>
        <w:t xml:space="preserve">a relevant transfer under regulation 3(1)(b) TUPE 2006 </w:t>
      </w:r>
      <w:r w:rsidR="00014284" w:rsidRPr="00EB3803">
        <w:rPr>
          <w:rFonts w:ascii="Times New Roman" w:hAnsi="Times New Roman" w:cs="Times New Roman"/>
          <w:color w:val="000000"/>
          <w:sz w:val="24"/>
          <w:szCs w:val="24"/>
        </w:rPr>
        <w:t xml:space="preserve">by failing to clearly identify </w:t>
      </w:r>
      <w:r w:rsidR="006836FC" w:rsidRPr="00EB3803">
        <w:rPr>
          <w:rFonts w:ascii="Times New Roman" w:hAnsi="Times New Roman" w:cs="Times New Roman"/>
          <w:color w:val="000000"/>
          <w:sz w:val="24"/>
          <w:szCs w:val="24"/>
        </w:rPr>
        <w:t xml:space="preserve">the relevant activity and/or adopting </w:t>
      </w:r>
      <w:proofErr w:type="gramStart"/>
      <w:r w:rsidR="006836FC" w:rsidRPr="00EB3803">
        <w:rPr>
          <w:rFonts w:ascii="Times New Roman" w:hAnsi="Times New Roman" w:cs="Times New Roman"/>
          <w:color w:val="000000"/>
          <w:sz w:val="24"/>
          <w:szCs w:val="24"/>
        </w:rPr>
        <w:t>too</w:t>
      </w:r>
      <w:proofErr w:type="gramEnd"/>
      <w:r w:rsidR="006836FC" w:rsidRPr="00EB3803">
        <w:rPr>
          <w:rFonts w:ascii="Times New Roman" w:hAnsi="Times New Roman" w:cs="Times New Roman"/>
          <w:color w:val="000000"/>
          <w:sz w:val="24"/>
          <w:szCs w:val="24"/>
        </w:rPr>
        <w:t xml:space="preserve"> narrow a view of the relevant activity</w:t>
      </w:r>
      <w:r w:rsidR="00F56C9C" w:rsidRPr="00EB3803">
        <w:rPr>
          <w:rFonts w:ascii="Times New Roman" w:hAnsi="Times New Roman" w:cs="Times New Roman"/>
          <w:color w:val="000000"/>
          <w:sz w:val="24"/>
          <w:szCs w:val="24"/>
        </w:rPr>
        <w:t xml:space="preserve"> (s</w:t>
      </w:r>
      <w:r w:rsidR="00E34015" w:rsidRPr="00EB3803">
        <w:rPr>
          <w:rFonts w:ascii="Times New Roman" w:hAnsi="Times New Roman" w:cs="Times New Roman"/>
          <w:color w:val="000000"/>
          <w:sz w:val="24"/>
          <w:szCs w:val="24"/>
        </w:rPr>
        <w:t>ee Johnson Controls</w:t>
      </w:r>
      <w:r w:rsidR="00196AE3" w:rsidRPr="00EB3803">
        <w:rPr>
          <w:rFonts w:ascii="Times New Roman" w:hAnsi="Times New Roman" w:cs="Times New Roman"/>
          <w:color w:val="000000"/>
          <w:sz w:val="24"/>
          <w:szCs w:val="24"/>
        </w:rPr>
        <w:t xml:space="preserve"> Ltd</w:t>
      </w:r>
      <w:r w:rsidR="00E34015" w:rsidRPr="00EB3803">
        <w:rPr>
          <w:rFonts w:ascii="Times New Roman" w:hAnsi="Times New Roman" w:cs="Times New Roman"/>
          <w:color w:val="000000"/>
          <w:sz w:val="24"/>
          <w:szCs w:val="24"/>
        </w:rPr>
        <w:t xml:space="preserve"> v Campbell [2012] 2 WLUK 411 and Metropolitan Resources Ltd v Church</w:t>
      </w:r>
      <w:r w:rsidR="00F56C9C" w:rsidRPr="00EB3803">
        <w:rPr>
          <w:rFonts w:ascii="Times New Roman" w:hAnsi="Times New Roman" w:cs="Times New Roman"/>
          <w:color w:val="000000"/>
          <w:sz w:val="24"/>
          <w:szCs w:val="24"/>
        </w:rPr>
        <w:t>i</w:t>
      </w:r>
      <w:r w:rsidR="00E34015" w:rsidRPr="00EB3803">
        <w:rPr>
          <w:rFonts w:ascii="Times New Roman" w:hAnsi="Times New Roman" w:cs="Times New Roman"/>
          <w:color w:val="000000"/>
          <w:sz w:val="24"/>
          <w:szCs w:val="24"/>
        </w:rPr>
        <w:t>ll Dulwich Ltd (</w:t>
      </w:r>
      <w:r w:rsidR="001508F9">
        <w:rPr>
          <w:rFonts w:ascii="Times New Roman" w:hAnsi="Times New Roman" w:cs="Times New Roman"/>
          <w:color w:val="000000"/>
          <w:sz w:val="24"/>
          <w:szCs w:val="24"/>
        </w:rPr>
        <w:t>I</w:t>
      </w:r>
      <w:r w:rsidR="00E34015" w:rsidRPr="00EB3803">
        <w:rPr>
          <w:rFonts w:ascii="Times New Roman" w:hAnsi="Times New Roman" w:cs="Times New Roman"/>
          <w:color w:val="000000"/>
          <w:sz w:val="24"/>
          <w:szCs w:val="24"/>
        </w:rPr>
        <w:t xml:space="preserve">n </w:t>
      </w:r>
      <w:r w:rsidR="001508F9">
        <w:rPr>
          <w:rFonts w:ascii="Times New Roman" w:hAnsi="Times New Roman" w:cs="Times New Roman"/>
          <w:color w:val="000000"/>
          <w:sz w:val="24"/>
          <w:szCs w:val="24"/>
        </w:rPr>
        <w:t>L</w:t>
      </w:r>
      <w:r w:rsidR="00E34015" w:rsidRPr="00EB3803">
        <w:rPr>
          <w:rFonts w:ascii="Times New Roman" w:hAnsi="Times New Roman" w:cs="Times New Roman"/>
          <w:color w:val="000000"/>
          <w:sz w:val="24"/>
          <w:szCs w:val="24"/>
        </w:rPr>
        <w:t>iquidation) [2009] I</w:t>
      </w:r>
      <w:r w:rsidR="00196AE3" w:rsidRPr="00EB3803">
        <w:rPr>
          <w:rFonts w:ascii="Times New Roman" w:hAnsi="Times New Roman" w:cs="Times New Roman"/>
          <w:color w:val="000000"/>
          <w:sz w:val="24"/>
          <w:szCs w:val="24"/>
        </w:rPr>
        <w:t>.</w:t>
      </w:r>
      <w:r w:rsidR="00E34015" w:rsidRPr="00EB3803">
        <w:rPr>
          <w:rFonts w:ascii="Times New Roman" w:hAnsi="Times New Roman" w:cs="Times New Roman"/>
          <w:color w:val="000000"/>
          <w:sz w:val="24"/>
          <w:szCs w:val="24"/>
        </w:rPr>
        <w:t>R</w:t>
      </w:r>
      <w:r w:rsidR="00196AE3" w:rsidRPr="00EB3803">
        <w:rPr>
          <w:rFonts w:ascii="Times New Roman" w:hAnsi="Times New Roman" w:cs="Times New Roman"/>
          <w:color w:val="000000"/>
          <w:sz w:val="24"/>
          <w:szCs w:val="24"/>
        </w:rPr>
        <w:t>.</w:t>
      </w:r>
      <w:r w:rsidR="00E34015" w:rsidRPr="00EB3803">
        <w:rPr>
          <w:rFonts w:ascii="Times New Roman" w:hAnsi="Times New Roman" w:cs="Times New Roman"/>
          <w:color w:val="000000"/>
          <w:sz w:val="24"/>
          <w:szCs w:val="24"/>
        </w:rPr>
        <w:t>L</w:t>
      </w:r>
      <w:r w:rsidR="00196AE3" w:rsidRPr="00EB3803">
        <w:rPr>
          <w:rFonts w:ascii="Times New Roman" w:hAnsi="Times New Roman" w:cs="Times New Roman"/>
          <w:color w:val="000000"/>
          <w:sz w:val="24"/>
          <w:szCs w:val="24"/>
        </w:rPr>
        <w:t>.</w:t>
      </w:r>
      <w:r w:rsidR="00E34015" w:rsidRPr="00EB3803">
        <w:rPr>
          <w:rFonts w:ascii="Times New Roman" w:hAnsi="Times New Roman" w:cs="Times New Roman"/>
          <w:color w:val="000000"/>
          <w:sz w:val="24"/>
          <w:szCs w:val="24"/>
        </w:rPr>
        <w:t>R 700</w:t>
      </w:r>
      <w:r w:rsidR="00F56C9C" w:rsidRPr="00EB3803">
        <w:rPr>
          <w:rFonts w:ascii="Times New Roman" w:hAnsi="Times New Roman" w:cs="Times New Roman"/>
          <w:color w:val="000000"/>
          <w:sz w:val="24"/>
          <w:szCs w:val="24"/>
        </w:rPr>
        <w:t>) since</w:t>
      </w:r>
      <w:r w:rsidR="009F393D" w:rsidRPr="00EB3803">
        <w:rPr>
          <w:rFonts w:ascii="Times New Roman" w:hAnsi="Times New Roman" w:cs="Times New Roman"/>
          <w:color w:val="000000"/>
          <w:sz w:val="24"/>
          <w:szCs w:val="24"/>
        </w:rPr>
        <w:t>:</w:t>
      </w:r>
      <w:r w:rsidR="00196AE3" w:rsidRPr="00EB3803">
        <w:rPr>
          <w:rFonts w:ascii="Times New Roman" w:hAnsi="Times New Roman" w:cs="Times New Roman"/>
          <w:color w:val="000000"/>
          <w:sz w:val="24"/>
          <w:szCs w:val="24"/>
        </w:rPr>
        <w:t xml:space="preserve"> -</w:t>
      </w:r>
    </w:p>
    <w:p w14:paraId="1BF83E40" w14:textId="11003F0E" w:rsidR="00196AE3" w:rsidRPr="00EB3803" w:rsidRDefault="009F393D"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br/>
      </w:r>
      <w:r w:rsidR="00F56C9C" w:rsidRPr="00EB3803">
        <w:rPr>
          <w:rFonts w:ascii="Times New Roman" w:hAnsi="Times New Roman" w:cs="Times New Roman"/>
          <w:color w:val="000000"/>
          <w:sz w:val="24"/>
          <w:szCs w:val="24"/>
        </w:rPr>
        <w:t>(a)</w:t>
      </w:r>
      <w:r w:rsidR="00EA27A8">
        <w:rPr>
          <w:rFonts w:ascii="Times New Roman" w:hAnsi="Times New Roman" w:cs="Times New Roman"/>
          <w:color w:val="000000"/>
          <w:sz w:val="24"/>
          <w:szCs w:val="24"/>
        </w:rPr>
        <w:t xml:space="preserve"> </w:t>
      </w:r>
      <w:r w:rsidR="00F56C9C" w:rsidRPr="00EB3803">
        <w:rPr>
          <w:rFonts w:ascii="Times New Roman" w:hAnsi="Times New Roman" w:cs="Times New Roman"/>
          <w:color w:val="000000"/>
          <w:sz w:val="24"/>
          <w:szCs w:val="24"/>
        </w:rPr>
        <w:t xml:space="preserve"> </w:t>
      </w:r>
      <w:r w:rsidRPr="00EB3803">
        <w:rPr>
          <w:rFonts w:ascii="Times New Roman" w:hAnsi="Times New Roman" w:cs="Times New Roman"/>
          <w:color w:val="000000"/>
          <w:sz w:val="24"/>
          <w:szCs w:val="24"/>
        </w:rPr>
        <w:t>T</w:t>
      </w:r>
      <w:r w:rsidR="00F56C9C" w:rsidRPr="00EB3803">
        <w:rPr>
          <w:rFonts w:ascii="Times New Roman" w:hAnsi="Times New Roman" w:cs="Times New Roman"/>
          <w:color w:val="000000"/>
          <w:sz w:val="24"/>
          <w:szCs w:val="24"/>
        </w:rPr>
        <w:t xml:space="preserve">he activity </w:t>
      </w:r>
      <w:r w:rsidR="00373B61" w:rsidRPr="00EB3803">
        <w:rPr>
          <w:rFonts w:ascii="Times New Roman" w:hAnsi="Times New Roman" w:cs="Times New Roman"/>
          <w:color w:val="000000"/>
          <w:sz w:val="24"/>
          <w:szCs w:val="24"/>
        </w:rPr>
        <w:t>pre and post transfer w</w:t>
      </w:r>
      <w:r w:rsidR="00196AE3" w:rsidRPr="00EB3803">
        <w:rPr>
          <w:rFonts w:ascii="Times New Roman" w:hAnsi="Times New Roman" w:cs="Times New Roman"/>
          <w:color w:val="000000"/>
          <w:sz w:val="24"/>
          <w:szCs w:val="24"/>
        </w:rPr>
        <w:t>as</w:t>
      </w:r>
      <w:r w:rsidR="00373B61" w:rsidRPr="00EB3803">
        <w:rPr>
          <w:rFonts w:ascii="Times New Roman" w:hAnsi="Times New Roman" w:cs="Times New Roman"/>
          <w:color w:val="000000"/>
          <w:sz w:val="24"/>
          <w:szCs w:val="24"/>
        </w:rPr>
        <w:t xml:space="preserve"> essentially the same</w:t>
      </w:r>
      <w:r w:rsidR="00196AE3" w:rsidRPr="00EB3803">
        <w:rPr>
          <w:rFonts w:ascii="Times New Roman" w:hAnsi="Times New Roman" w:cs="Times New Roman"/>
          <w:color w:val="000000"/>
          <w:sz w:val="24"/>
          <w:szCs w:val="24"/>
        </w:rPr>
        <w:t>:</w:t>
      </w:r>
      <w:r w:rsidR="005B5AB3" w:rsidRPr="00EB3803">
        <w:rPr>
          <w:rFonts w:ascii="Times New Roman" w:hAnsi="Times New Roman" w:cs="Times New Roman"/>
          <w:color w:val="000000"/>
          <w:sz w:val="24"/>
          <w:szCs w:val="24"/>
        </w:rPr>
        <w:t xml:space="preserve"> operators were carrying out CCTV monitoring (see paragraph 29 of the </w:t>
      </w:r>
      <w:r w:rsidR="00E22EFA">
        <w:rPr>
          <w:rFonts w:ascii="Times New Roman" w:hAnsi="Times New Roman" w:cs="Times New Roman"/>
          <w:color w:val="000000"/>
          <w:sz w:val="24"/>
          <w:szCs w:val="24"/>
        </w:rPr>
        <w:t>J</w:t>
      </w:r>
      <w:r w:rsidR="005B5AB3" w:rsidRPr="00EB3803">
        <w:rPr>
          <w:rFonts w:ascii="Times New Roman" w:hAnsi="Times New Roman" w:cs="Times New Roman"/>
          <w:color w:val="000000"/>
          <w:sz w:val="24"/>
          <w:szCs w:val="24"/>
        </w:rPr>
        <w:t>udgment</w:t>
      </w:r>
      <w:proofErr w:type="gramStart"/>
      <w:r w:rsidR="005B5AB3" w:rsidRPr="00EB3803">
        <w:rPr>
          <w:rFonts w:ascii="Times New Roman" w:hAnsi="Times New Roman" w:cs="Times New Roman"/>
          <w:color w:val="000000"/>
          <w:sz w:val="24"/>
          <w:szCs w:val="24"/>
        </w:rPr>
        <w:t>)</w:t>
      </w:r>
      <w:r w:rsidR="00196AE3" w:rsidRPr="00EB3803">
        <w:rPr>
          <w:rFonts w:ascii="Times New Roman" w:hAnsi="Times New Roman" w:cs="Times New Roman"/>
          <w:color w:val="000000"/>
          <w:sz w:val="24"/>
          <w:szCs w:val="24"/>
        </w:rPr>
        <w:t>;</w:t>
      </w:r>
      <w:proofErr w:type="gramEnd"/>
    </w:p>
    <w:p w14:paraId="41958298" w14:textId="160C1B53" w:rsidR="00196AE3" w:rsidRPr="00EB3803" w:rsidRDefault="009F393D"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br/>
      </w:r>
      <w:r w:rsidR="005B5AB3" w:rsidRPr="00EB3803">
        <w:rPr>
          <w:rFonts w:ascii="Times New Roman" w:hAnsi="Times New Roman" w:cs="Times New Roman"/>
          <w:color w:val="000000"/>
          <w:sz w:val="24"/>
          <w:szCs w:val="24"/>
        </w:rPr>
        <w:t>(b)</w:t>
      </w:r>
      <w:r w:rsidR="00EA27A8">
        <w:rPr>
          <w:rFonts w:ascii="Times New Roman" w:hAnsi="Times New Roman" w:cs="Times New Roman"/>
          <w:color w:val="000000"/>
          <w:sz w:val="24"/>
          <w:szCs w:val="24"/>
        </w:rPr>
        <w:t xml:space="preserve"> </w:t>
      </w:r>
      <w:r w:rsidR="005B5AB3" w:rsidRPr="00EB3803">
        <w:rPr>
          <w:rFonts w:ascii="Times New Roman" w:hAnsi="Times New Roman" w:cs="Times New Roman"/>
          <w:color w:val="000000"/>
          <w:sz w:val="24"/>
          <w:szCs w:val="24"/>
        </w:rPr>
        <w:t xml:space="preserve"> Mr Free expected and directed </w:t>
      </w:r>
      <w:r w:rsidR="00C22393" w:rsidRPr="00EB3803">
        <w:rPr>
          <w:rFonts w:ascii="Times New Roman" w:hAnsi="Times New Roman" w:cs="Times New Roman"/>
          <w:color w:val="000000"/>
          <w:sz w:val="24"/>
          <w:szCs w:val="24"/>
        </w:rPr>
        <w:t>Careline</w:t>
      </w:r>
      <w:r w:rsidR="00982464" w:rsidRPr="00EB3803">
        <w:rPr>
          <w:rFonts w:ascii="Times New Roman" w:hAnsi="Times New Roman" w:cs="Times New Roman"/>
          <w:color w:val="000000"/>
          <w:sz w:val="24"/>
          <w:szCs w:val="24"/>
        </w:rPr>
        <w:t xml:space="preserve"> staff </w:t>
      </w:r>
      <w:r w:rsidR="001432C5" w:rsidRPr="00EB3803">
        <w:rPr>
          <w:rFonts w:ascii="Times New Roman" w:hAnsi="Times New Roman" w:cs="Times New Roman"/>
          <w:color w:val="000000"/>
          <w:sz w:val="24"/>
          <w:szCs w:val="24"/>
        </w:rPr>
        <w:t>to proactively monitor CCTV</w:t>
      </w:r>
      <w:r w:rsidR="00156DA6" w:rsidRPr="00EB3803">
        <w:rPr>
          <w:rFonts w:ascii="Times New Roman" w:hAnsi="Times New Roman" w:cs="Times New Roman"/>
          <w:color w:val="000000"/>
          <w:sz w:val="24"/>
          <w:szCs w:val="24"/>
        </w:rPr>
        <w:t>.  I</w:t>
      </w:r>
      <w:r w:rsidR="007F41F1" w:rsidRPr="00EB3803">
        <w:rPr>
          <w:rFonts w:ascii="Times New Roman" w:hAnsi="Times New Roman" w:cs="Times New Roman"/>
          <w:color w:val="000000"/>
          <w:sz w:val="24"/>
          <w:szCs w:val="24"/>
        </w:rPr>
        <w:t xml:space="preserve">n an email dated </w:t>
      </w:r>
      <w:r w:rsidR="0081654F" w:rsidRPr="00EB3803">
        <w:rPr>
          <w:rFonts w:ascii="Times New Roman" w:hAnsi="Times New Roman" w:cs="Times New Roman"/>
          <w:color w:val="000000"/>
          <w:sz w:val="24"/>
          <w:szCs w:val="24"/>
        </w:rPr>
        <w:t>16</w:t>
      </w:r>
      <w:r w:rsidR="00176ADE" w:rsidRPr="00EB3803">
        <w:rPr>
          <w:rFonts w:ascii="Times New Roman" w:hAnsi="Times New Roman" w:cs="Times New Roman"/>
          <w:color w:val="000000"/>
          <w:sz w:val="24"/>
          <w:szCs w:val="24"/>
        </w:rPr>
        <w:t> </w:t>
      </w:r>
      <w:r w:rsidR="0081654F" w:rsidRPr="00EB3803">
        <w:rPr>
          <w:rFonts w:ascii="Times New Roman" w:hAnsi="Times New Roman" w:cs="Times New Roman"/>
          <w:color w:val="000000"/>
          <w:sz w:val="24"/>
          <w:szCs w:val="24"/>
        </w:rPr>
        <w:t>August</w:t>
      </w:r>
      <w:r w:rsidR="00AE5D45" w:rsidRPr="00EB3803">
        <w:rPr>
          <w:rFonts w:ascii="Times New Roman" w:hAnsi="Times New Roman" w:cs="Times New Roman"/>
          <w:color w:val="000000"/>
          <w:sz w:val="24"/>
          <w:szCs w:val="24"/>
        </w:rPr>
        <w:t> </w:t>
      </w:r>
      <w:r w:rsidR="0081654F" w:rsidRPr="00EB3803">
        <w:rPr>
          <w:rFonts w:ascii="Times New Roman" w:hAnsi="Times New Roman" w:cs="Times New Roman"/>
          <w:color w:val="000000"/>
          <w:sz w:val="24"/>
          <w:szCs w:val="24"/>
        </w:rPr>
        <w:t xml:space="preserve">2018 to </w:t>
      </w:r>
      <w:r w:rsidRPr="00EB3803">
        <w:rPr>
          <w:rFonts w:ascii="Times New Roman" w:hAnsi="Times New Roman" w:cs="Times New Roman"/>
          <w:color w:val="000000"/>
          <w:sz w:val="24"/>
          <w:szCs w:val="24"/>
        </w:rPr>
        <w:t>staff</w:t>
      </w:r>
      <w:r w:rsidR="00732B6A" w:rsidRPr="00EB3803">
        <w:rPr>
          <w:rFonts w:ascii="Times New Roman" w:hAnsi="Times New Roman" w:cs="Times New Roman"/>
          <w:color w:val="000000"/>
          <w:sz w:val="24"/>
          <w:szCs w:val="24"/>
        </w:rPr>
        <w:t xml:space="preserve">, he </w:t>
      </w:r>
      <w:r w:rsidR="00196AE3" w:rsidRPr="00EB3803">
        <w:rPr>
          <w:rFonts w:ascii="Times New Roman" w:hAnsi="Times New Roman" w:cs="Times New Roman"/>
          <w:color w:val="000000"/>
          <w:sz w:val="24"/>
          <w:szCs w:val="24"/>
        </w:rPr>
        <w:t>s</w:t>
      </w:r>
      <w:r w:rsidR="00732B6A" w:rsidRPr="00EB3803">
        <w:rPr>
          <w:rFonts w:ascii="Times New Roman" w:hAnsi="Times New Roman" w:cs="Times New Roman"/>
          <w:color w:val="000000"/>
          <w:sz w:val="24"/>
          <w:szCs w:val="24"/>
        </w:rPr>
        <w:t xml:space="preserve">tated: </w:t>
      </w:r>
      <w:r w:rsidR="00196AE3" w:rsidRPr="00EB3803">
        <w:rPr>
          <w:rFonts w:ascii="Times New Roman" w:hAnsi="Times New Roman" w:cs="Times New Roman"/>
          <w:color w:val="000000"/>
          <w:sz w:val="24"/>
          <w:szCs w:val="24"/>
        </w:rPr>
        <w:t>“…</w:t>
      </w:r>
      <w:r w:rsidR="00732B6A" w:rsidRPr="00EB3803">
        <w:rPr>
          <w:rFonts w:ascii="Times New Roman" w:hAnsi="Times New Roman" w:cs="Times New Roman"/>
          <w:color w:val="000000"/>
          <w:sz w:val="24"/>
          <w:szCs w:val="24"/>
        </w:rPr>
        <w:t>W</w:t>
      </w:r>
      <w:r w:rsidR="00020AD8" w:rsidRPr="00EB3803">
        <w:rPr>
          <w:rFonts w:ascii="Times New Roman" w:hAnsi="Times New Roman" w:cs="Times New Roman"/>
          <w:color w:val="000000"/>
          <w:sz w:val="24"/>
          <w:szCs w:val="24"/>
        </w:rPr>
        <w:t>hen</w:t>
      </w:r>
      <w:r w:rsidR="00732B6A" w:rsidRPr="00EB3803">
        <w:rPr>
          <w:rFonts w:ascii="Times New Roman" w:hAnsi="Times New Roman" w:cs="Times New Roman"/>
          <w:color w:val="000000"/>
          <w:sz w:val="24"/>
          <w:szCs w:val="24"/>
        </w:rPr>
        <w:t xml:space="preserve"> not engaged </w:t>
      </w:r>
      <w:r w:rsidR="00020AD8" w:rsidRPr="00EB3803">
        <w:rPr>
          <w:rFonts w:ascii="Times New Roman" w:hAnsi="Times New Roman" w:cs="Times New Roman"/>
          <w:color w:val="000000"/>
          <w:sz w:val="24"/>
          <w:szCs w:val="24"/>
        </w:rPr>
        <w:t xml:space="preserve">on an urgent call I expect staff </w:t>
      </w:r>
      <w:r w:rsidR="00F40292" w:rsidRPr="00EB3803">
        <w:rPr>
          <w:rFonts w:ascii="Times New Roman" w:hAnsi="Times New Roman" w:cs="Times New Roman"/>
          <w:color w:val="000000"/>
          <w:sz w:val="24"/>
          <w:szCs w:val="24"/>
        </w:rPr>
        <w:t>to answer the radios or monitor the CCTV</w:t>
      </w:r>
      <w:r w:rsidR="007270C6" w:rsidRPr="00EB3803">
        <w:rPr>
          <w:rFonts w:ascii="Times New Roman" w:hAnsi="Times New Roman" w:cs="Times New Roman"/>
          <w:color w:val="000000"/>
          <w:sz w:val="24"/>
          <w:szCs w:val="24"/>
        </w:rPr>
        <w:t> </w:t>
      </w:r>
      <w:r w:rsidR="006B029B" w:rsidRPr="00EB3803">
        <w:rPr>
          <w:rFonts w:ascii="Times New Roman" w:hAnsi="Times New Roman" w:cs="Times New Roman"/>
          <w:color w:val="000000"/>
          <w:sz w:val="24"/>
          <w:szCs w:val="24"/>
        </w:rPr>
        <w:t>24/7</w:t>
      </w:r>
      <w:r w:rsidR="00196AE3" w:rsidRPr="00EB3803">
        <w:rPr>
          <w:rFonts w:ascii="Times New Roman" w:hAnsi="Times New Roman" w:cs="Times New Roman"/>
          <w:color w:val="000000"/>
          <w:sz w:val="24"/>
          <w:szCs w:val="24"/>
        </w:rPr>
        <w:t>”</w:t>
      </w:r>
    </w:p>
    <w:p w14:paraId="1D0CA9B5" w14:textId="28DB4BDE" w:rsidR="00196AE3" w:rsidRPr="00EB3803" w:rsidRDefault="006B029B"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br/>
        <w:t>(c)</w:t>
      </w:r>
      <w:r w:rsidR="00EA27A8">
        <w:rPr>
          <w:rFonts w:ascii="Times New Roman" w:hAnsi="Times New Roman" w:cs="Times New Roman"/>
          <w:color w:val="000000"/>
          <w:sz w:val="24"/>
          <w:szCs w:val="24"/>
        </w:rPr>
        <w:t xml:space="preserve"> </w:t>
      </w:r>
      <w:r w:rsidRPr="00EB3803">
        <w:rPr>
          <w:rFonts w:ascii="Times New Roman" w:hAnsi="Times New Roman" w:cs="Times New Roman"/>
          <w:color w:val="000000"/>
          <w:sz w:val="24"/>
          <w:szCs w:val="24"/>
        </w:rPr>
        <w:t xml:space="preserve"> </w:t>
      </w:r>
      <w:r w:rsidR="00724028" w:rsidRPr="00EB3803">
        <w:rPr>
          <w:rFonts w:ascii="Times New Roman" w:hAnsi="Times New Roman" w:cs="Times New Roman"/>
          <w:color w:val="000000"/>
          <w:sz w:val="24"/>
          <w:szCs w:val="24"/>
        </w:rPr>
        <w:t>Mr Free expected staff</w:t>
      </w:r>
      <w:r w:rsidR="00E22EFA">
        <w:rPr>
          <w:rFonts w:ascii="Times New Roman" w:hAnsi="Times New Roman" w:cs="Times New Roman"/>
          <w:color w:val="000000"/>
          <w:sz w:val="24"/>
          <w:szCs w:val="24"/>
        </w:rPr>
        <w:t xml:space="preserve"> </w:t>
      </w:r>
      <w:r w:rsidR="00724028" w:rsidRPr="00EB3803">
        <w:rPr>
          <w:rFonts w:ascii="Times New Roman" w:hAnsi="Times New Roman" w:cs="Times New Roman"/>
          <w:color w:val="000000"/>
          <w:sz w:val="24"/>
          <w:szCs w:val="24"/>
        </w:rPr>
        <w:t>to proactively answer radios</w:t>
      </w:r>
      <w:r w:rsidR="00196AE3" w:rsidRPr="00EB3803">
        <w:rPr>
          <w:rFonts w:ascii="Times New Roman" w:hAnsi="Times New Roman" w:cs="Times New Roman"/>
          <w:color w:val="000000"/>
          <w:sz w:val="24"/>
          <w:szCs w:val="24"/>
        </w:rPr>
        <w:t>,</w:t>
      </w:r>
      <w:r w:rsidR="00724028" w:rsidRPr="00EB3803">
        <w:rPr>
          <w:rFonts w:ascii="Times New Roman" w:hAnsi="Times New Roman" w:cs="Times New Roman"/>
          <w:color w:val="000000"/>
          <w:sz w:val="24"/>
          <w:szCs w:val="24"/>
        </w:rPr>
        <w:t xml:space="preserve"> an</w:t>
      </w:r>
      <w:r w:rsidR="00196AE3" w:rsidRPr="00EB3803">
        <w:rPr>
          <w:rFonts w:ascii="Times New Roman" w:hAnsi="Times New Roman" w:cs="Times New Roman"/>
          <w:color w:val="000000"/>
          <w:sz w:val="24"/>
          <w:szCs w:val="24"/>
        </w:rPr>
        <w:t xml:space="preserve"> </w:t>
      </w:r>
      <w:r w:rsidR="00724028" w:rsidRPr="00EB3803">
        <w:rPr>
          <w:rFonts w:ascii="Times New Roman" w:hAnsi="Times New Roman" w:cs="Times New Roman"/>
          <w:color w:val="000000"/>
          <w:sz w:val="24"/>
          <w:szCs w:val="24"/>
        </w:rPr>
        <w:t xml:space="preserve">activity carried out by the </w:t>
      </w:r>
      <w:r w:rsidR="00196AE3" w:rsidRPr="00EB3803">
        <w:rPr>
          <w:rFonts w:ascii="Times New Roman" w:hAnsi="Times New Roman" w:cs="Times New Roman"/>
          <w:color w:val="000000"/>
          <w:sz w:val="24"/>
          <w:szCs w:val="24"/>
        </w:rPr>
        <w:t>A</w:t>
      </w:r>
      <w:r w:rsidR="00724028" w:rsidRPr="00EB3803">
        <w:rPr>
          <w:rFonts w:ascii="Times New Roman" w:hAnsi="Times New Roman" w:cs="Times New Roman"/>
          <w:color w:val="000000"/>
          <w:sz w:val="24"/>
          <w:szCs w:val="24"/>
        </w:rPr>
        <w:t xml:space="preserve">ppellant </w:t>
      </w:r>
      <w:r w:rsidR="00A6301F" w:rsidRPr="00EB3803">
        <w:rPr>
          <w:rFonts w:ascii="Times New Roman" w:hAnsi="Times New Roman" w:cs="Times New Roman"/>
          <w:color w:val="000000"/>
          <w:sz w:val="24"/>
          <w:szCs w:val="24"/>
        </w:rPr>
        <w:t>pre</w:t>
      </w:r>
      <w:r w:rsidR="00196AE3" w:rsidRPr="00EB3803">
        <w:rPr>
          <w:rFonts w:ascii="Times New Roman" w:hAnsi="Times New Roman" w:cs="Times New Roman"/>
          <w:color w:val="000000"/>
          <w:sz w:val="24"/>
          <w:szCs w:val="24"/>
        </w:rPr>
        <w:t>-</w:t>
      </w:r>
      <w:r w:rsidR="00A6301F" w:rsidRPr="00EB3803">
        <w:rPr>
          <w:rFonts w:ascii="Times New Roman" w:hAnsi="Times New Roman" w:cs="Times New Roman"/>
          <w:color w:val="000000"/>
          <w:sz w:val="24"/>
          <w:szCs w:val="24"/>
        </w:rPr>
        <w:t>alleged</w:t>
      </w:r>
      <w:r w:rsidR="00F06006" w:rsidRPr="00EB3803">
        <w:rPr>
          <w:rFonts w:ascii="Times New Roman" w:hAnsi="Times New Roman" w:cs="Times New Roman"/>
          <w:color w:val="000000"/>
          <w:sz w:val="24"/>
          <w:szCs w:val="24"/>
        </w:rPr>
        <w:t> </w:t>
      </w:r>
      <w:r w:rsidR="00A6301F" w:rsidRPr="00EB3803">
        <w:rPr>
          <w:rFonts w:ascii="Times New Roman" w:hAnsi="Times New Roman" w:cs="Times New Roman"/>
          <w:color w:val="000000"/>
          <w:sz w:val="24"/>
          <w:szCs w:val="24"/>
        </w:rPr>
        <w:t>transfer</w:t>
      </w:r>
      <w:r w:rsidR="00F06006" w:rsidRPr="00EB3803">
        <w:rPr>
          <w:rFonts w:ascii="Times New Roman" w:hAnsi="Times New Roman" w:cs="Times New Roman"/>
          <w:color w:val="000000"/>
          <w:sz w:val="24"/>
          <w:szCs w:val="24"/>
        </w:rPr>
        <w:t> (p</w:t>
      </w:r>
      <w:r w:rsidR="00196AE3" w:rsidRPr="00EB3803">
        <w:rPr>
          <w:rFonts w:ascii="Times New Roman" w:hAnsi="Times New Roman" w:cs="Times New Roman"/>
          <w:color w:val="000000"/>
          <w:sz w:val="24"/>
          <w:szCs w:val="24"/>
        </w:rPr>
        <w:t>/34</w:t>
      </w:r>
      <w:r w:rsidR="00F06006" w:rsidRPr="00EB3803">
        <w:rPr>
          <w:rFonts w:ascii="Times New Roman" w:hAnsi="Times New Roman" w:cs="Times New Roman"/>
          <w:color w:val="000000"/>
          <w:sz w:val="24"/>
          <w:szCs w:val="24"/>
        </w:rPr>
        <w:t> of the ET1</w:t>
      </w:r>
      <w:proofErr w:type="gramStart"/>
      <w:r w:rsidR="00F06006" w:rsidRPr="00EB3803">
        <w:rPr>
          <w:rFonts w:ascii="Times New Roman" w:hAnsi="Times New Roman" w:cs="Times New Roman"/>
          <w:color w:val="000000"/>
          <w:sz w:val="24"/>
          <w:szCs w:val="24"/>
        </w:rPr>
        <w:t>)</w:t>
      </w:r>
      <w:r w:rsidR="00196AE3" w:rsidRPr="00EB3803">
        <w:rPr>
          <w:rFonts w:ascii="Times New Roman" w:hAnsi="Times New Roman" w:cs="Times New Roman"/>
          <w:color w:val="000000"/>
          <w:sz w:val="24"/>
          <w:szCs w:val="24"/>
        </w:rPr>
        <w:t>;</w:t>
      </w:r>
      <w:proofErr w:type="gramEnd"/>
    </w:p>
    <w:p w14:paraId="7890B628" w14:textId="298ECB51" w:rsidR="00842F2C" w:rsidRDefault="00196AE3"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t xml:space="preserve"> </w:t>
      </w:r>
      <w:r w:rsidR="00A6301F" w:rsidRPr="00EB3803">
        <w:rPr>
          <w:rFonts w:ascii="Times New Roman" w:hAnsi="Times New Roman" w:cs="Times New Roman"/>
          <w:color w:val="000000"/>
          <w:sz w:val="24"/>
          <w:szCs w:val="24"/>
        </w:rPr>
        <w:br/>
        <w:t xml:space="preserve">(d) </w:t>
      </w:r>
      <w:r w:rsidR="00EA27A8">
        <w:rPr>
          <w:rFonts w:ascii="Times New Roman" w:hAnsi="Times New Roman" w:cs="Times New Roman"/>
          <w:color w:val="000000"/>
          <w:sz w:val="24"/>
          <w:szCs w:val="24"/>
        </w:rPr>
        <w:t xml:space="preserve"> </w:t>
      </w:r>
      <w:r w:rsidR="006C13F6" w:rsidRPr="00EB3803">
        <w:rPr>
          <w:rFonts w:ascii="Times New Roman" w:hAnsi="Times New Roman" w:cs="Times New Roman"/>
          <w:color w:val="000000"/>
          <w:sz w:val="24"/>
          <w:szCs w:val="24"/>
        </w:rPr>
        <w:t xml:space="preserve">There was no difference in </w:t>
      </w:r>
      <w:r w:rsidR="007E120E" w:rsidRPr="00EB3803">
        <w:rPr>
          <w:rFonts w:ascii="Times New Roman" w:hAnsi="Times New Roman" w:cs="Times New Roman"/>
          <w:color w:val="000000"/>
          <w:sz w:val="24"/>
          <w:szCs w:val="24"/>
        </w:rPr>
        <w:t>location or any suggestion of change in equipment when</w:t>
      </w:r>
      <w:r w:rsidR="00EB3803">
        <w:rPr>
          <w:rFonts w:ascii="Times New Roman" w:hAnsi="Times New Roman" w:cs="Times New Roman"/>
          <w:color w:val="000000"/>
          <w:sz w:val="24"/>
          <w:szCs w:val="24"/>
        </w:rPr>
        <w:t xml:space="preserve"> </w:t>
      </w:r>
      <w:r w:rsidR="007E120E" w:rsidRPr="00EB3803">
        <w:rPr>
          <w:rFonts w:ascii="Times New Roman" w:hAnsi="Times New Roman" w:cs="Times New Roman"/>
          <w:color w:val="000000"/>
          <w:sz w:val="24"/>
          <w:szCs w:val="24"/>
        </w:rPr>
        <w:t xml:space="preserve">carrying out the task </w:t>
      </w:r>
      <w:r w:rsidR="00F67C85" w:rsidRPr="00EB3803">
        <w:rPr>
          <w:rFonts w:ascii="Times New Roman" w:hAnsi="Times New Roman" w:cs="Times New Roman"/>
          <w:color w:val="000000"/>
          <w:sz w:val="24"/>
          <w:szCs w:val="24"/>
        </w:rPr>
        <w:t>of CCTV monitoring.</w:t>
      </w:r>
    </w:p>
    <w:p w14:paraId="661AA124" w14:textId="77777777" w:rsidR="000E1A06" w:rsidRPr="00EB3803" w:rsidRDefault="000E1A06" w:rsidP="00EB3803">
      <w:pPr>
        <w:pStyle w:val="ListParagraph"/>
        <w:tabs>
          <w:tab w:val="left" w:pos="0"/>
        </w:tabs>
        <w:ind w:left="851" w:right="850"/>
        <w:contextualSpacing/>
        <w:jc w:val="both"/>
        <w:rPr>
          <w:rFonts w:ascii="Times New Roman" w:hAnsi="Times New Roman" w:cs="Times New Roman"/>
          <w:color w:val="000000"/>
          <w:sz w:val="24"/>
          <w:szCs w:val="24"/>
        </w:rPr>
      </w:pPr>
    </w:p>
    <w:p w14:paraId="3321BAAA" w14:textId="1A9EB1DA" w:rsidR="00E202C3" w:rsidRDefault="00842F2C"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t xml:space="preserve">(e) </w:t>
      </w:r>
      <w:r w:rsidR="00AF194B">
        <w:rPr>
          <w:rFonts w:ascii="Times New Roman" w:hAnsi="Times New Roman" w:cs="Times New Roman"/>
          <w:color w:val="000000"/>
          <w:sz w:val="24"/>
          <w:szCs w:val="24"/>
        </w:rPr>
        <w:t xml:space="preserve"> </w:t>
      </w:r>
      <w:r w:rsidRPr="00EB3803">
        <w:rPr>
          <w:rFonts w:ascii="Times New Roman" w:hAnsi="Times New Roman" w:cs="Times New Roman"/>
          <w:color w:val="000000"/>
          <w:sz w:val="24"/>
          <w:szCs w:val="24"/>
        </w:rPr>
        <w:t xml:space="preserve">The fact that </w:t>
      </w:r>
      <w:r w:rsidR="0015529D" w:rsidRPr="00EB3803">
        <w:rPr>
          <w:rFonts w:ascii="Times New Roman" w:hAnsi="Times New Roman" w:cs="Times New Roman"/>
          <w:color w:val="000000"/>
          <w:sz w:val="24"/>
          <w:szCs w:val="24"/>
        </w:rPr>
        <w:t xml:space="preserve">the </w:t>
      </w:r>
      <w:r w:rsidR="00C22393" w:rsidRPr="00EB3803">
        <w:rPr>
          <w:rFonts w:ascii="Times New Roman" w:hAnsi="Times New Roman" w:cs="Times New Roman"/>
          <w:color w:val="000000"/>
          <w:sz w:val="24"/>
          <w:szCs w:val="24"/>
        </w:rPr>
        <w:t>Careline</w:t>
      </w:r>
      <w:r w:rsidR="0015529D" w:rsidRPr="00EB3803">
        <w:rPr>
          <w:rFonts w:ascii="Times New Roman" w:hAnsi="Times New Roman" w:cs="Times New Roman"/>
          <w:color w:val="000000"/>
          <w:sz w:val="24"/>
          <w:szCs w:val="24"/>
        </w:rPr>
        <w:t xml:space="preserve"> staff performed some additional duty or function </w:t>
      </w:r>
      <w:r w:rsidR="002A5E4C" w:rsidRPr="00EB3803">
        <w:rPr>
          <w:rFonts w:ascii="Times New Roman" w:hAnsi="Times New Roman" w:cs="Times New Roman"/>
          <w:color w:val="000000"/>
          <w:sz w:val="24"/>
          <w:szCs w:val="24"/>
        </w:rPr>
        <w:t>does not negate the application of reg</w:t>
      </w:r>
      <w:r w:rsidR="00FC72A7" w:rsidRPr="00EB3803">
        <w:rPr>
          <w:rFonts w:ascii="Times New Roman" w:hAnsi="Times New Roman" w:cs="Times New Roman"/>
          <w:color w:val="000000"/>
          <w:sz w:val="24"/>
          <w:szCs w:val="24"/>
        </w:rPr>
        <w:t xml:space="preserve"> 3(1)(b)</w:t>
      </w:r>
      <w:r w:rsidR="00EB3803">
        <w:rPr>
          <w:rFonts w:ascii="Times New Roman" w:hAnsi="Times New Roman" w:cs="Times New Roman"/>
          <w:color w:val="000000"/>
          <w:sz w:val="24"/>
          <w:szCs w:val="24"/>
        </w:rPr>
        <w:t>:</w:t>
      </w:r>
      <w:r w:rsidR="000F3D34">
        <w:rPr>
          <w:rFonts w:ascii="Times New Roman" w:hAnsi="Times New Roman" w:cs="Times New Roman"/>
          <w:color w:val="000000"/>
          <w:sz w:val="24"/>
          <w:szCs w:val="24"/>
        </w:rPr>
        <w:t xml:space="preserve"> </w:t>
      </w:r>
      <w:r w:rsidR="00004F54" w:rsidRPr="00EB3803">
        <w:rPr>
          <w:rFonts w:ascii="Times New Roman" w:hAnsi="Times New Roman" w:cs="Times New Roman"/>
          <w:color w:val="000000"/>
          <w:sz w:val="24"/>
          <w:szCs w:val="24"/>
        </w:rPr>
        <w:t xml:space="preserve">see </w:t>
      </w:r>
      <w:r w:rsidR="00E4586E" w:rsidRPr="00EB3803">
        <w:rPr>
          <w:rFonts w:ascii="Times New Roman" w:hAnsi="Times New Roman" w:cs="Times New Roman"/>
          <w:color w:val="000000"/>
          <w:sz w:val="24"/>
          <w:szCs w:val="24"/>
        </w:rPr>
        <w:t xml:space="preserve">Churchill </w:t>
      </w:r>
      <w:r w:rsidR="00B03611" w:rsidRPr="00EB3803">
        <w:rPr>
          <w:rFonts w:ascii="Times New Roman" w:hAnsi="Times New Roman" w:cs="Times New Roman"/>
          <w:color w:val="000000"/>
          <w:sz w:val="24"/>
          <w:szCs w:val="24"/>
        </w:rPr>
        <w:t>above</w:t>
      </w:r>
      <w:r w:rsidR="00F111C2" w:rsidRPr="00EB3803">
        <w:rPr>
          <w:rFonts w:ascii="Times New Roman" w:hAnsi="Times New Roman" w:cs="Times New Roman"/>
          <w:color w:val="000000"/>
          <w:sz w:val="24"/>
          <w:szCs w:val="24"/>
        </w:rPr>
        <w:t>.</w:t>
      </w:r>
    </w:p>
    <w:p w14:paraId="56370727" w14:textId="77777777" w:rsidR="00EB3803" w:rsidRPr="00EB3803" w:rsidRDefault="00EB3803" w:rsidP="00EB3803">
      <w:pPr>
        <w:pStyle w:val="ListParagraph"/>
        <w:tabs>
          <w:tab w:val="left" w:pos="0"/>
        </w:tabs>
        <w:ind w:left="851" w:right="850"/>
        <w:contextualSpacing/>
        <w:jc w:val="both"/>
        <w:rPr>
          <w:rFonts w:ascii="Times New Roman" w:hAnsi="Times New Roman" w:cs="Times New Roman"/>
          <w:color w:val="000000"/>
          <w:sz w:val="24"/>
          <w:szCs w:val="24"/>
        </w:rPr>
      </w:pPr>
    </w:p>
    <w:p w14:paraId="793F771D" w14:textId="3B3B6218" w:rsidR="00EC599A" w:rsidRDefault="004C221B"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t>2</w:t>
      </w:r>
      <w:r w:rsidR="00A56217">
        <w:rPr>
          <w:rFonts w:ascii="Times New Roman" w:hAnsi="Times New Roman" w:cs="Times New Roman"/>
          <w:color w:val="000000"/>
          <w:sz w:val="24"/>
          <w:szCs w:val="24"/>
        </w:rPr>
        <w:t>.</w:t>
      </w:r>
      <w:r w:rsidR="00D91CA2" w:rsidRPr="00EB3803">
        <w:rPr>
          <w:rFonts w:ascii="Times New Roman" w:hAnsi="Times New Roman" w:cs="Times New Roman"/>
          <w:color w:val="000000"/>
          <w:sz w:val="24"/>
          <w:szCs w:val="24"/>
        </w:rPr>
        <w:t xml:space="preserve"> </w:t>
      </w:r>
      <w:r w:rsidR="00AF194B">
        <w:rPr>
          <w:rFonts w:ascii="Times New Roman" w:hAnsi="Times New Roman" w:cs="Times New Roman"/>
          <w:color w:val="000000"/>
          <w:sz w:val="24"/>
          <w:szCs w:val="24"/>
        </w:rPr>
        <w:t xml:space="preserve"> </w:t>
      </w:r>
      <w:r w:rsidR="00444AA9" w:rsidRPr="00EB3803">
        <w:rPr>
          <w:rFonts w:ascii="Times New Roman" w:hAnsi="Times New Roman" w:cs="Times New Roman"/>
          <w:color w:val="000000"/>
          <w:sz w:val="24"/>
          <w:szCs w:val="24"/>
        </w:rPr>
        <w:t xml:space="preserve">In short, the ET's approach </w:t>
      </w:r>
      <w:r w:rsidR="003E6700" w:rsidRPr="00EB3803">
        <w:rPr>
          <w:rFonts w:ascii="Times New Roman" w:hAnsi="Times New Roman" w:cs="Times New Roman"/>
          <w:color w:val="000000"/>
          <w:sz w:val="24"/>
          <w:szCs w:val="24"/>
        </w:rPr>
        <w:t xml:space="preserve">to the categorisation and identification of </w:t>
      </w:r>
      <w:r w:rsidR="00FB6B98" w:rsidRPr="00EB3803">
        <w:rPr>
          <w:rFonts w:ascii="Times New Roman" w:hAnsi="Times New Roman" w:cs="Times New Roman"/>
          <w:color w:val="000000"/>
          <w:sz w:val="24"/>
          <w:szCs w:val="24"/>
        </w:rPr>
        <w:t xml:space="preserve">the </w:t>
      </w:r>
      <w:r w:rsidR="000F3D34">
        <w:rPr>
          <w:rFonts w:ascii="Times New Roman" w:hAnsi="Times New Roman" w:cs="Times New Roman"/>
          <w:color w:val="000000"/>
          <w:sz w:val="24"/>
          <w:szCs w:val="24"/>
        </w:rPr>
        <w:t>‘</w:t>
      </w:r>
      <w:r w:rsidR="00FB6B98" w:rsidRPr="00EB3803">
        <w:rPr>
          <w:rFonts w:ascii="Times New Roman" w:hAnsi="Times New Roman" w:cs="Times New Roman"/>
          <w:color w:val="000000"/>
          <w:sz w:val="24"/>
          <w:szCs w:val="24"/>
        </w:rPr>
        <w:t>activities</w:t>
      </w:r>
      <w:r w:rsidR="000F3D34">
        <w:rPr>
          <w:rFonts w:ascii="Times New Roman" w:hAnsi="Times New Roman" w:cs="Times New Roman"/>
          <w:color w:val="000000"/>
          <w:sz w:val="24"/>
          <w:szCs w:val="24"/>
        </w:rPr>
        <w:t>’</w:t>
      </w:r>
      <w:r w:rsidR="00FB6B98" w:rsidRPr="00EB3803">
        <w:rPr>
          <w:rFonts w:ascii="Times New Roman" w:hAnsi="Times New Roman" w:cs="Times New Roman"/>
          <w:color w:val="000000"/>
          <w:sz w:val="24"/>
          <w:szCs w:val="24"/>
        </w:rPr>
        <w:t xml:space="preserve"> concerned</w:t>
      </w:r>
      <w:r w:rsidR="000F3D34">
        <w:rPr>
          <w:rFonts w:ascii="Times New Roman" w:hAnsi="Times New Roman" w:cs="Times New Roman"/>
          <w:color w:val="000000"/>
          <w:sz w:val="24"/>
          <w:szCs w:val="24"/>
        </w:rPr>
        <w:t>,</w:t>
      </w:r>
      <w:r w:rsidR="00FB6B98" w:rsidRPr="00EB3803">
        <w:rPr>
          <w:rFonts w:ascii="Times New Roman" w:hAnsi="Times New Roman" w:cs="Times New Roman"/>
          <w:color w:val="000000"/>
          <w:sz w:val="24"/>
          <w:szCs w:val="24"/>
        </w:rPr>
        <w:t xml:space="preserve"> and the comparison between </w:t>
      </w:r>
      <w:r w:rsidR="00917F0C" w:rsidRPr="00EB3803">
        <w:rPr>
          <w:rFonts w:ascii="Times New Roman" w:hAnsi="Times New Roman" w:cs="Times New Roman"/>
          <w:color w:val="000000"/>
          <w:sz w:val="24"/>
          <w:szCs w:val="24"/>
        </w:rPr>
        <w:t xml:space="preserve">activities carried out prior to </w:t>
      </w:r>
      <w:r w:rsidR="009018F8" w:rsidRPr="00EB3803">
        <w:rPr>
          <w:rFonts w:ascii="Times New Roman" w:hAnsi="Times New Roman" w:cs="Times New Roman"/>
          <w:color w:val="000000"/>
          <w:sz w:val="24"/>
          <w:szCs w:val="24"/>
        </w:rPr>
        <w:t xml:space="preserve">and subsequent to the change of providers was erroneous and </w:t>
      </w:r>
      <w:r w:rsidR="001004DC" w:rsidRPr="00EB3803">
        <w:rPr>
          <w:rFonts w:ascii="Times New Roman" w:hAnsi="Times New Roman" w:cs="Times New Roman"/>
          <w:color w:val="000000"/>
          <w:sz w:val="24"/>
          <w:szCs w:val="24"/>
        </w:rPr>
        <w:t xml:space="preserve">too </w:t>
      </w:r>
      <w:proofErr w:type="gramStart"/>
      <w:r w:rsidR="001004DC" w:rsidRPr="00EB3803">
        <w:rPr>
          <w:rFonts w:ascii="Times New Roman" w:hAnsi="Times New Roman" w:cs="Times New Roman"/>
          <w:color w:val="000000"/>
          <w:sz w:val="24"/>
          <w:szCs w:val="24"/>
        </w:rPr>
        <w:t>pedantic</w:t>
      </w:r>
      <w:r w:rsidR="000F3D34">
        <w:rPr>
          <w:rFonts w:ascii="Times New Roman" w:hAnsi="Times New Roman" w:cs="Times New Roman"/>
          <w:color w:val="000000"/>
          <w:sz w:val="24"/>
          <w:szCs w:val="24"/>
        </w:rPr>
        <w:t>,</w:t>
      </w:r>
      <w:r w:rsidR="00D60B3F" w:rsidRPr="00EB3803">
        <w:rPr>
          <w:rFonts w:ascii="Times New Roman" w:hAnsi="Times New Roman" w:cs="Times New Roman"/>
          <w:color w:val="000000"/>
          <w:sz w:val="24"/>
          <w:szCs w:val="24"/>
        </w:rPr>
        <w:t xml:space="preserve">  The</w:t>
      </w:r>
      <w:proofErr w:type="gramEnd"/>
      <w:r w:rsidR="00D60B3F" w:rsidRPr="00EB3803">
        <w:rPr>
          <w:rFonts w:ascii="Times New Roman" w:hAnsi="Times New Roman" w:cs="Times New Roman"/>
          <w:color w:val="000000"/>
          <w:sz w:val="24"/>
          <w:szCs w:val="24"/>
        </w:rPr>
        <w:t xml:space="preserve"> Salvation Army Trustee Company v Coventry </w:t>
      </w:r>
      <w:proofErr w:type="spellStart"/>
      <w:r w:rsidR="00D60B3F" w:rsidRPr="00EB3803">
        <w:rPr>
          <w:rFonts w:ascii="Times New Roman" w:hAnsi="Times New Roman" w:cs="Times New Roman"/>
          <w:color w:val="000000"/>
          <w:sz w:val="24"/>
          <w:szCs w:val="24"/>
        </w:rPr>
        <w:t>Cyrenians</w:t>
      </w:r>
      <w:proofErr w:type="spellEnd"/>
      <w:r w:rsidR="00D60B3F" w:rsidRPr="00EB3803">
        <w:rPr>
          <w:rFonts w:ascii="Times New Roman" w:hAnsi="Times New Roman" w:cs="Times New Roman"/>
          <w:color w:val="000000"/>
          <w:sz w:val="24"/>
          <w:szCs w:val="24"/>
        </w:rPr>
        <w:t xml:space="preserve"> L</w:t>
      </w:r>
      <w:r w:rsidR="000F3D34">
        <w:rPr>
          <w:rFonts w:ascii="Times New Roman" w:hAnsi="Times New Roman" w:cs="Times New Roman"/>
          <w:color w:val="000000"/>
          <w:sz w:val="24"/>
          <w:szCs w:val="24"/>
        </w:rPr>
        <w:t>imi</w:t>
      </w:r>
      <w:r w:rsidR="00D60B3F" w:rsidRPr="00EB3803">
        <w:rPr>
          <w:rFonts w:ascii="Times New Roman" w:hAnsi="Times New Roman" w:cs="Times New Roman"/>
          <w:color w:val="000000"/>
          <w:sz w:val="24"/>
          <w:szCs w:val="24"/>
        </w:rPr>
        <w:t>t</w:t>
      </w:r>
      <w:r w:rsidR="000F3D34">
        <w:rPr>
          <w:rFonts w:ascii="Times New Roman" w:hAnsi="Times New Roman" w:cs="Times New Roman"/>
          <w:color w:val="000000"/>
          <w:sz w:val="24"/>
          <w:szCs w:val="24"/>
        </w:rPr>
        <w:t>e</w:t>
      </w:r>
      <w:r w:rsidR="00D60B3F" w:rsidRPr="00EB3803">
        <w:rPr>
          <w:rFonts w:ascii="Times New Roman" w:hAnsi="Times New Roman" w:cs="Times New Roman"/>
          <w:color w:val="000000"/>
          <w:sz w:val="24"/>
          <w:szCs w:val="24"/>
        </w:rPr>
        <w:t>d [2017] IRLR 410 applie</w:t>
      </w:r>
      <w:r w:rsidR="00EC599A" w:rsidRPr="00EB3803">
        <w:rPr>
          <w:rFonts w:ascii="Times New Roman" w:hAnsi="Times New Roman" w:cs="Times New Roman"/>
          <w:color w:val="000000"/>
          <w:sz w:val="24"/>
          <w:szCs w:val="24"/>
        </w:rPr>
        <w:t>d.</w:t>
      </w:r>
    </w:p>
    <w:p w14:paraId="123528C1" w14:textId="77777777" w:rsidR="00EB3803" w:rsidRPr="00EB3803" w:rsidRDefault="00EB3803" w:rsidP="00EB3803">
      <w:pPr>
        <w:pStyle w:val="ListParagraph"/>
        <w:tabs>
          <w:tab w:val="left" w:pos="0"/>
        </w:tabs>
        <w:ind w:left="851" w:right="850"/>
        <w:contextualSpacing/>
        <w:jc w:val="both"/>
        <w:rPr>
          <w:rFonts w:ascii="Times New Roman" w:hAnsi="Times New Roman" w:cs="Times New Roman"/>
          <w:color w:val="000000"/>
          <w:sz w:val="24"/>
          <w:szCs w:val="24"/>
        </w:rPr>
      </w:pPr>
    </w:p>
    <w:p w14:paraId="0896A3BD" w14:textId="299A24FD" w:rsidR="00EB3803" w:rsidRDefault="004C221B"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t>3</w:t>
      </w:r>
      <w:r w:rsidR="00A56217">
        <w:rPr>
          <w:rFonts w:ascii="Times New Roman" w:hAnsi="Times New Roman" w:cs="Times New Roman"/>
          <w:color w:val="000000"/>
          <w:sz w:val="24"/>
          <w:szCs w:val="24"/>
        </w:rPr>
        <w:t>.</w:t>
      </w:r>
      <w:r w:rsidR="00EC599A" w:rsidRPr="00EB3803">
        <w:rPr>
          <w:rFonts w:ascii="Times New Roman" w:hAnsi="Times New Roman" w:cs="Times New Roman"/>
          <w:color w:val="000000"/>
          <w:sz w:val="24"/>
          <w:szCs w:val="24"/>
        </w:rPr>
        <w:t xml:space="preserve"> </w:t>
      </w:r>
      <w:r w:rsidR="00AF194B">
        <w:rPr>
          <w:rFonts w:ascii="Times New Roman" w:hAnsi="Times New Roman" w:cs="Times New Roman"/>
          <w:color w:val="000000"/>
          <w:sz w:val="24"/>
          <w:szCs w:val="24"/>
        </w:rPr>
        <w:t xml:space="preserve"> </w:t>
      </w:r>
      <w:r w:rsidR="00EC599A" w:rsidRPr="00EB3803">
        <w:rPr>
          <w:rFonts w:ascii="Times New Roman" w:hAnsi="Times New Roman" w:cs="Times New Roman"/>
          <w:color w:val="000000"/>
          <w:sz w:val="24"/>
          <w:szCs w:val="24"/>
        </w:rPr>
        <w:t xml:space="preserve">When reaching its conclusion that activities were </w:t>
      </w:r>
      <w:r w:rsidR="00AD7F58" w:rsidRPr="00EB3803">
        <w:rPr>
          <w:rFonts w:ascii="Times New Roman" w:hAnsi="Times New Roman" w:cs="Times New Roman"/>
          <w:color w:val="000000"/>
          <w:sz w:val="24"/>
          <w:szCs w:val="24"/>
        </w:rPr>
        <w:t xml:space="preserve">fundamentally </w:t>
      </w:r>
      <w:r w:rsidR="00AE1B44" w:rsidRPr="00EB3803">
        <w:rPr>
          <w:rFonts w:ascii="Times New Roman" w:hAnsi="Times New Roman" w:cs="Times New Roman"/>
          <w:color w:val="000000"/>
          <w:sz w:val="24"/>
          <w:szCs w:val="24"/>
        </w:rPr>
        <w:t>different, the ET appears to have taken into consideration the alleged service provision change</w:t>
      </w:r>
      <w:r w:rsidR="00AA0795" w:rsidRPr="00EB3803">
        <w:rPr>
          <w:rFonts w:ascii="Times New Roman" w:hAnsi="Times New Roman" w:cs="Times New Roman"/>
          <w:color w:val="000000"/>
          <w:sz w:val="24"/>
          <w:szCs w:val="24"/>
        </w:rPr>
        <w:t xml:space="preserve"> itself</w:t>
      </w:r>
      <w:r w:rsidR="000F3D34">
        <w:rPr>
          <w:rFonts w:ascii="Times New Roman" w:hAnsi="Times New Roman" w:cs="Times New Roman"/>
          <w:color w:val="000000"/>
          <w:sz w:val="24"/>
          <w:szCs w:val="24"/>
        </w:rPr>
        <w:t>:</w:t>
      </w:r>
      <w:r w:rsidR="00113707" w:rsidRPr="00EB3803">
        <w:rPr>
          <w:rFonts w:ascii="Times New Roman" w:hAnsi="Times New Roman" w:cs="Times New Roman"/>
          <w:color w:val="000000"/>
          <w:sz w:val="24"/>
          <w:szCs w:val="24"/>
        </w:rPr>
        <w:t xml:space="preserve"> </w:t>
      </w:r>
      <w:r w:rsidR="00AA0795" w:rsidRPr="00EB3803">
        <w:rPr>
          <w:rFonts w:ascii="Times New Roman" w:hAnsi="Times New Roman" w:cs="Times New Roman"/>
          <w:color w:val="000000"/>
          <w:sz w:val="24"/>
          <w:szCs w:val="24"/>
        </w:rPr>
        <w:t>see paragraph 29, which states</w:t>
      </w:r>
      <w:proofErr w:type="gramStart"/>
      <w:r w:rsidR="00AA0795" w:rsidRPr="00EB3803">
        <w:rPr>
          <w:rFonts w:ascii="Times New Roman" w:hAnsi="Times New Roman" w:cs="Times New Roman"/>
          <w:color w:val="000000"/>
          <w:sz w:val="24"/>
          <w:szCs w:val="24"/>
        </w:rPr>
        <w:t>:</w:t>
      </w:r>
      <w:r w:rsidR="00AF194B">
        <w:rPr>
          <w:rFonts w:ascii="Times New Roman" w:hAnsi="Times New Roman" w:cs="Times New Roman"/>
          <w:color w:val="000000"/>
          <w:sz w:val="24"/>
          <w:szCs w:val="24"/>
        </w:rPr>
        <w:t xml:space="preserve"> </w:t>
      </w:r>
      <w:r w:rsidR="00AA0795" w:rsidRPr="00EB3803">
        <w:rPr>
          <w:rFonts w:ascii="Times New Roman" w:hAnsi="Times New Roman" w:cs="Times New Roman"/>
          <w:color w:val="000000"/>
          <w:sz w:val="24"/>
          <w:szCs w:val="24"/>
        </w:rPr>
        <w:t xml:space="preserve"> </w:t>
      </w:r>
      <w:r w:rsidR="000F3D34">
        <w:rPr>
          <w:rFonts w:ascii="Times New Roman" w:hAnsi="Times New Roman" w:cs="Times New Roman"/>
          <w:color w:val="000000"/>
          <w:sz w:val="24"/>
          <w:szCs w:val="24"/>
        </w:rPr>
        <w:t>“</w:t>
      </w:r>
      <w:proofErr w:type="gramEnd"/>
      <w:r w:rsidR="00AA0795" w:rsidRPr="00EB3803">
        <w:rPr>
          <w:rFonts w:ascii="Times New Roman" w:hAnsi="Times New Roman" w:cs="Times New Roman"/>
          <w:color w:val="000000"/>
          <w:sz w:val="24"/>
          <w:szCs w:val="24"/>
        </w:rPr>
        <w:t xml:space="preserve">It was a fundamentally </w:t>
      </w:r>
      <w:r w:rsidR="00CE20BC" w:rsidRPr="00EB3803">
        <w:rPr>
          <w:rFonts w:ascii="Times New Roman" w:hAnsi="Times New Roman" w:cs="Times New Roman"/>
          <w:color w:val="000000"/>
          <w:sz w:val="24"/>
          <w:szCs w:val="24"/>
        </w:rPr>
        <w:t xml:space="preserve">different service given that </w:t>
      </w:r>
      <w:r w:rsidR="009D2351" w:rsidRPr="00EB3803">
        <w:rPr>
          <w:rFonts w:ascii="Times New Roman" w:hAnsi="Times New Roman" w:cs="Times New Roman"/>
          <w:color w:val="000000"/>
          <w:sz w:val="24"/>
          <w:szCs w:val="24"/>
        </w:rPr>
        <w:t xml:space="preserve">the </w:t>
      </w:r>
      <w:r w:rsidR="000F3D34">
        <w:rPr>
          <w:rFonts w:ascii="Times New Roman" w:hAnsi="Times New Roman" w:cs="Times New Roman"/>
          <w:color w:val="000000"/>
          <w:sz w:val="24"/>
          <w:szCs w:val="24"/>
        </w:rPr>
        <w:t>F</w:t>
      </w:r>
      <w:r w:rsidR="009D2351" w:rsidRPr="00EB3803">
        <w:rPr>
          <w:rFonts w:ascii="Times New Roman" w:hAnsi="Times New Roman" w:cs="Times New Roman"/>
          <w:color w:val="000000"/>
          <w:sz w:val="24"/>
          <w:szCs w:val="24"/>
        </w:rPr>
        <w:t xml:space="preserve">irst </w:t>
      </w:r>
      <w:r w:rsidR="007A2640">
        <w:rPr>
          <w:rFonts w:ascii="Times New Roman" w:hAnsi="Times New Roman" w:cs="Times New Roman"/>
          <w:color w:val="000000"/>
          <w:sz w:val="24"/>
          <w:szCs w:val="24"/>
        </w:rPr>
        <w:t>R</w:t>
      </w:r>
      <w:r w:rsidR="009D2351" w:rsidRPr="00EB3803">
        <w:rPr>
          <w:rFonts w:ascii="Times New Roman" w:hAnsi="Times New Roman" w:cs="Times New Roman"/>
          <w:color w:val="000000"/>
          <w:sz w:val="24"/>
          <w:szCs w:val="24"/>
        </w:rPr>
        <w:t xml:space="preserve">espondent no longer engaged </w:t>
      </w:r>
      <w:r w:rsidR="00955CDB" w:rsidRPr="00EB3803">
        <w:rPr>
          <w:rFonts w:ascii="Times New Roman" w:hAnsi="Times New Roman" w:cs="Times New Roman"/>
          <w:color w:val="000000"/>
          <w:sz w:val="24"/>
          <w:szCs w:val="24"/>
        </w:rPr>
        <w:t xml:space="preserve">a company to provide </w:t>
      </w:r>
      <w:r w:rsidR="00941461" w:rsidRPr="00EB3803">
        <w:rPr>
          <w:rFonts w:ascii="Times New Roman" w:hAnsi="Times New Roman" w:cs="Times New Roman"/>
          <w:color w:val="000000"/>
          <w:sz w:val="24"/>
          <w:szCs w:val="24"/>
        </w:rPr>
        <w:t xml:space="preserve">CCTV </w:t>
      </w:r>
      <w:r w:rsidR="00941461" w:rsidRPr="00EB3803">
        <w:rPr>
          <w:rFonts w:ascii="Times New Roman" w:hAnsi="Times New Roman" w:cs="Times New Roman"/>
          <w:color w:val="000000"/>
          <w:sz w:val="24"/>
          <w:szCs w:val="24"/>
        </w:rPr>
        <w:lastRenderedPageBreak/>
        <w:t>operatives</w:t>
      </w:r>
      <w:r w:rsidR="007A2640">
        <w:rPr>
          <w:rFonts w:ascii="Times New Roman" w:hAnsi="Times New Roman" w:cs="Times New Roman"/>
          <w:color w:val="000000"/>
          <w:sz w:val="24"/>
          <w:szCs w:val="24"/>
        </w:rPr>
        <w:t>…</w:t>
      </w:r>
      <w:r w:rsidR="00941461" w:rsidRPr="00EB3803">
        <w:rPr>
          <w:rFonts w:ascii="Times New Roman" w:hAnsi="Times New Roman" w:cs="Times New Roman"/>
          <w:color w:val="000000"/>
          <w:sz w:val="24"/>
          <w:szCs w:val="24"/>
        </w:rPr>
        <w:t xml:space="preserve">''.  The ET misdirected itself by </w:t>
      </w:r>
      <w:r w:rsidR="00575CCC" w:rsidRPr="00EB3803">
        <w:rPr>
          <w:rFonts w:ascii="Times New Roman" w:hAnsi="Times New Roman" w:cs="Times New Roman"/>
          <w:color w:val="000000"/>
          <w:sz w:val="24"/>
          <w:szCs w:val="24"/>
        </w:rPr>
        <w:t>considering the alleged SPC</w:t>
      </w:r>
      <w:r w:rsidRPr="00EB3803">
        <w:rPr>
          <w:rFonts w:ascii="Times New Roman" w:hAnsi="Times New Roman" w:cs="Times New Roman"/>
          <w:color w:val="000000"/>
          <w:sz w:val="24"/>
          <w:szCs w:val="24"/>
        </w:rPr>
        <w:t xml:space="preserve"> as</w:t>
      </w:r>
      <w:r w:rsidR="00156AD3" w:rsidRPr="00EB3803">
        <w:rPr>
          <w:rFonts w:ascii="Times New Roman" w:hAnsi="Times New Roman" w:cs="Times New Roman"/>
          <w:color w:val="000000"/>
          <w:sz w:val="24"/>
          <w:szCs w:val="24"/>
        </w:rPr>
        <w:t xml:space="preserve"> evidence </w:t>
      </w:r>
      <w:r w:rsidR="002250A8" w:rsidRPr="00EB3803">
        <w:rPr>
          <w:rFonts w:ascii="Times New Roman" w:hAnsi="Times New Roman" w:cs="Times New Roman"/>
          <w:color w:val="000000"/>
          <w:sz w:val="24"/>
          <w:szCs w:val="24"/>
        </w:rPr>
        <w:t>of the change in activity itself.</w:t>
      </w:r>
    </w:p>
    <w:p w14:paraId="57339E73" w14:textId="224EEFD2" w:rsidR="004C221B" w:rsidRPr="00EB3803" w:rsidRDefault="004C221B" w:rsidP="00EB3803">
      <w:pPr>
        <w:pStyle w:val="ListParagraph"/>
        <w:tabs>
          <w:tab w:val="left" w:pos="0"/>
        </w:tabs>
        <w:ind w:left="851" w:right="850"/>
        <w:contextualSpacing/>
        <w:jc w:val="both"/>
        <w:rPr>
          <w:rFonts w:ascii="Times New Roman" w:hAnsi="Times New Roman" w:cs="Times New Roman"/>
          <w:color w:val="000000"/>
          <w:sz w:val="24"/>
          <w:szCs w:val="24"/>
        </w:rPr>
      </w:pPr>
    </w:p>
    <w:p w14:paraId="28AA64CF" w14:textId="2C3AC2D3" w:rsidR="00113707" w:rsidRDefault="004C221B" w:rsidP="00EB3803">
      <w:pPr>
        <w:pStyle w:val="ListParagraph"/>
        <w:tabs>
          <w:tab w:val="left" w:pos="0"/>
        </w:tabs>
        <w:ind w:left="851" w:right="850"/>
        <w:contextualSpacing/>
        <w:jc w:val="both"/>
        <w:rPr>
          <w:rFonts w:ascii="Times New Roman" w:hAnsi="Times New Roman" w:cs="Times New Roman"/>
          <w:color w:val="000000"/>
          <w:sz w:val="24"/>
          <w:szCs w:val="24"/>
        </w:rPr>
      </w:pPr>
      <w:r w:rsidRPr="00EB3803">
        <w:rPr>
          <w:rFonts w:ascii="Times New Roman" w:hAnsi="Times New Roman" w:cs="Times New Roman"/>
          <w:color w:val="000000"/>
          <w:sz w:val="24"/>
          <w:szCs w:val="24"/>
        </w:rPr>
        <w:t>4</w:t>
      </w:r>
      <w:r w:rsidR="00866CFF">
        <w:rPr>
          <w:rFonts w:ascii="Times New Roman" w:hAnsi="Times New Roman" w:cs="Times New Roman"/>
          <w:color w:val="000000"/>
          <w:sz w:val="24"/>
          <w:szCs w:val="24"/>
        </w:rPr>
        <w:t>.</w:t>
      </w:r>
      <w:r w:rsidRPr="00EB3803">
        <w:rPr>
          <w:rFonts w:ascii="Times New Roman" w:hAnsi="Times New Roman" w:cs="Times New Roman"/>
          <w:color w:val="000000"/>
          <w:sz w:val="24"/>
          <w:szCs w:val="24"/>
        </w:rPr>
        <w:t xml:space="preserve"> </w:t>
      </w:r>
      <w:r w:rsidR="00AF194B">
        <w:rPr>
          <w:rFonts w:ascii="Times New Roman" w:hAnsi="Times New Roman" w:cs="Times New Roman"/>
          <w:color w:val="000000"/>
          <w:sz w:val="24"/>
          <w:szCs w:val="24"/>
        </w:rPr>
        <w:t xml:space="preserve"> </w:t>
      </w:r>
      <w:r w:rsidRPr="00EB3803">
        <w:rPr>
          <w:rFonts w:ascii="Times New Roman" w:hAnsi="Times New Roman" w:cs="Times New Roman"/>
          <w:color w:val="000000"/>
          <w:sz w:val="24"/>
          <w:szCs w:val="24"/>
        </w:rPr>
        <w:t xml:space="preserve">The ET </w:t>
      </w:r>
      <w:r w:rsidR="00362DF3" w:rsidRPr="00EB3803">
        <w:rPr>
          <w:rFonts w:ascii="Times New Roman" w:hAnsi="Times New Roman" w:cs="Times New Roman"/>
          <w:color w:val="000000"/>
          <w:sz w:val="24"/>
          <w:szCs w:val="24"/>
        </w:rPr>
        <w:t>failed to identify what</w:t>
      </w:r>
      <w:r w:rsidR="00CB3B6F" w:rsidRPr="00EB3803">
        <w:rPr>
          <w:rFonts w:ascii="Times New Roman" w:hAnsi="Times New Roman" w:cs="Times New Roman"/>
          <w:color w:val="000000"/>
          <w:sz w:val="24"/>
          <w:szCs w:val="24"/>
        </w:rPr>
        <w:t xml:space="preserve"> if any</w:t>
      </w:r>
      <w:r w:rsidR="007A2640">
        <w:rPr>
          <w:rFonts w:ascii="Times New Roman" w:hAnsi="Times New Roman" w:cs="Times New Roman"/>
          <w:color w:val="000000"/>
          <w:sz w:val="24"/>
          <w:szCs w:val="24"/>
        </w:rPr>
        <w:t xml:space="preserve"> </w:t>
      </w:r>
      <w:r w:rsidR="00CB3B6F" w:rsidRPr="00EB3803">
        <w:rPr>
          <w:rFonts w:ascii="Times New Roman" w:hAnsi="Times New Roman" w:cs="Times New Roman"/>
          <w:color w:val="000000"/>
          <w:sz w:val="24"/>
          <w:szCs w:val="24"/>
        </w:rPr>
        <w:t xml:space="preserve">case law was considered and/or analysed </w:t>
      </w:r>
      <w:r w:rsidR="00113707" w:rsidRPr="00EB3803">
        <w:rPr>
          <w:rFonts w:ascii="Times New Roman" w:hAnsi="Times New Roman" w:cs="Times New Roman"/>
          <w:color w:val="000000"/>
          <w:sz w:val="24"/>
          <w:szCs w:val="24"/>
        </w:rPr>
        <w:t xml:space="preserve">before reaching its conclusion; see paragraph 26 of the </w:t>
      </w:r>
      <w:r w:rsidR="00866CFF">
        <w:rPr>
          <w:rFonts w:ascii="Times New Roman" w:hAnsi="Times New Roman" w:cs="Times New Roman"/>
          <w:color w:val="000000"/>
          <w:sz w:val="24"/>
          <w:szCs w:val="24"/>
        </w:rPr>
        <w:t>J</w:t>
      </w:r>
      <w:r w:rsidR="00113707" w:rsidRPr="00EB3803">
        <w:rPr>
          <w:rFonts w:ascii="Times New Roman" w:hAnsi="Times New Roman" w:cs="Times New Roman"/>
          <w:color w:val="000000"/>
          <w:sz w:val="24"/>
          <w:szCs w:val="24"/>
        </w:rPr>
        <w:t>udgment.</w:t>
      </w:r>
    </w:p>
    <w:p w14:paraId="12826C42" w14:textId="77777777" w:rsidR="007A2640" w:rsidRPr="00EB3803" w:rsidRDefault="007A2640" w:rsidP="00EB3803">
      <w:pPr>
        <w:pStyle w:val="ListParagraph"/>
        <w:tabs>
          <w:tab w:val="left" w:pos="0"/>
        </w:tabs>
        <w:ind w:left="851" w:right="850"/>
        <w:contextualSpacing/>
        <w:jc w:val="both"/>
        <w:rPr>
          <w:rFonts w:ascii="Times New Roman" w:hAnsi="Times New Roman" w:cs="Times New Roman"/>
          <w:color w:val="000000"/>
          <w:sz w:val="24"/>
          <w:szCs w:val="24"/>
        </w:rPr>
      </w:pPr>
    </w:p>
    <w:p w14:paraId="67907891" w14:textId="73EA9ABC" w:rsidR="000A6E67" w:rsidRDefault="00113707" w:rsidP="00EB3803">
      <w:pPr>
        <w:pStyle w:val="ListParagraph"/>
        <w:tabs>
          <w:tab w:val="left" w:pos="0"/>
        </w:tabs>
        <w:ind w:left="851" w:right="850"/>
        <w:contextualSpacing/>
        <w:jc w:val="both"/>
        <w:rPr>
          <w:rFonts w:ascii="Times New Roman" w:hAnsi="Times New Roman" w:cs="Times New Roman"/>
          <w:color w:val="010302"/>
          <w:sz w:val="24"/>
          <w:szCs w:val="24"/>
        </w:rPr>
      </w:pPr>
      <w:r w:rsidRPr="00EB3803">
        <w:rPr>
          <w:rFonts w:ascii="Times New Roman" w:hAnsi="Times New Roman" w:cs="Times New Roman"/>
          <w:color w:val="000000"/>
          <w:sz w:val="24"/>
          <w:szCs w:val="24"/>
        </w:rPr>
        <w:t>5</w:t>
      </w:r>
      <w:r w:rsidR="00866CFF">
        <w:rPr>
          <w:rFonts w:ascii="Times New Roman" w:hAnsi="Times New Roman" w:cs="Times New Roman"/>
          <w:color w:val="000000"/>
          <w:sz w:val="24"/>
          <w:szCs w:val="24"/>
        </w:rPr>
        <w:t>.</w:t>
      </w:r>
      <w:r w:rsidR="00AF194B">
        <w:rPr>
          <w:rFonts w:ascii="Times New Roman" w:hAnsi="Times New Roman" w:cs="Times New Roman"/>
          <w:color w:val="000000"/>
          <w:sz w:val="24"/>
          <w:szCs w:val="24"/>
        </w:rPr>
        <w:t xml:space="preserve"> </w:t>
      </w:r>
      <w:r w:rsidRPr="00EB3803">
        <w:rPr>
          <w:rFonts w:ascii="Times New Roman" w:hAnsi="Times New Roman" w:cs="Times New Roman"/>
          <w:color w:val="000000"/>
          <w:sz w:val="24"/>
          <w:szCs w:val="24"/>
        </w:rPr>
        <w:t xml:space="preserve"> The ET further </w:t>
      </w:r>
      <w:r w:rsidR="00AD142E" w:rsidRPr="00EB3803">
        <w:rPr>
          <w:rFonts w:ascii="Times New Roman" w:hAnsi="Times New Roman" w:cs="Times New Roman"/>
          <w:color w:val="000000"/>
          <w:sz w:val="24"/>
          <w:szCs w:val="24"/>
        </w:rPr>
        <w:t>failed to ask itself whether</w:t>
      </w:r>
      <w:r w:rsidR="00BB34C7">
        <w:rPr>
          <w:rFonts w:ascii="Times New Roman" w:hAnsi="Times New Roman" w:cs="Times New Roman"/>
          <w:color w:val="000000"/>
          <w:sz w:val="24"/>
          <w:szCs w:val="24"/>
        </w:rPr>
        <w:t>,</w:t>
      </w:r>
      <w:r w:rsidR="00AD142E" w:rsidRPr="00EB3803">
        <w:rPr>
          <w:rFonts w:ascii="Times New Roman" w:hAnsi="Times New Roman" w:cs="Times New Roman"/>
          <w:color w:val="000000"/>
          <w:sz w:val="24"/>
          <w:szCs w:val="24"/>
        </w:rPr>
        <w:t xml:space="preserve"> on the facts</w:t>
      </w:r>
      <w:r w:rsidR="00BB34C7">
        <w:rPr>
          <w:rFonts w:ascii="Times New Roman" w:hAnsi="Times New Roman" w:cs="Times New Roman"/>
          <w:color w:val="000000"/>
          <w:sz w:val="24"/>
          <w:szCs w:val="24"/>
        </w:rPr>
        <w:t>,</w:t>
      </w:r>
      <w:r w:rsidR="00AD142E" w:rsidRPr="00EB3803">
        <w:rPr>
          <w:rFonts w:ascii="Times New Roman" w:hAnsi="Times New Roman" w:cs="Times New Roman"/>
          <w:color w:val="000000"/>
          <w:sz w:val="24"/>
          <w:szCs w:val="24"/>
        </w:rPr>
        <w:t xml:space="preserve"> the condition</w:t>
      </w:r>
      <w:r w:rsidR="00444FAC" w:rsidRPr="00EB3803">
        <w:rPr>
          <w:rFonts w:ascii="Times New Roman" w:hAnsi="Times New Roman" w:cs="Times New Roman"/>
          <w:color w:val="000000"/>
          <w:sz w:val="24"/>
          <w:szCs w:val="24"/>
        </w:rPr>
        <w:t>s set out in reg</w:t>
      </w:r>
      <w:r w:rsidR="00BB34C7">
        <w:rPr>
          <w:rFonts w:ascii="Times New Roman" w:hAnsi="Times New Roman" w:cs="Times New Roman"/>
          <w:color w:val="000000"/>
          <w:sz w:val="24"/>
          <w:szCs w:val="24"/>
        </w:rPr>
        <w:t>.3</w:t>
      </w:r>
      <w:r w:rsidR="00444FAC" w:rsidRPr="00EB3803">
        <w:rPr>
          <w:rFonts w:ascii="Times New Roman" w:hAnsi="Times New Roman" w:cs="Times New Roman"/>
          <w:color w:val="000000"/>
          <w:sz w:val="24"/>
          <w:szCs w:val="24"/>
        </w:rPr>
        <w:t xml:space="preserve">(3) </w:t>
      </w:r>
      <w:r w:rsidR="007A3C8A" w:rsidRPr="00EB3803">
        <w:rPr>
          <w:rFonts w:ascii="Times New Roman" w:hAnsi="Times New Roman" w:cs="Times New Roman"/>
          <w:color w:val="000000"/>
          <w:sz w:val="24"/>
          <w:szCs w:val="24"/>
        </w:rPr>
        <w:t>were satisfied; see Churchill above.</w:t>
      </w:r>
      <w:r w:rsidR="00BB34C7">
        <w:rPr>
          <w:rFonts w:ascii="Times New Roman" w:hAnsi="Times New Roman" w:cs="Times New Roman"/>
          <w:color w:val="000000"/>
          <w:sz w:val="24"/>
          <w:szCs w:val="24"/>
        </w:rPr>
        <w:t>”</w:t>
      </w:r>
    </w:p>
    <w:p w14:paraId="13C09EA0" w14:textId="77777777" w:rsidR="00BB34C7" w:rsidRPr="00EB3803" w:rsidRDefault="00BB34C7" w:rsidP="00EB3803">
      <w:pPr>
        <w:pStyle w:val="ListParagraph"/>
        <w:tabs>
          <w:tab w:val="left" w:pos="0"/>
        </w:tabs>
        <w:ind w:left="851" w:right="850"/>
        <w:contextualSpacing/>
        <w:jc w:val="both"/>
        <w:rPr>
          <w:rFonts w:ascii="Times New Roman" w:hAnsi="Times New Roman" w:cs="Times New Roman"/>
          <w:color w:val="010302"/>
          <w:sz w:val="24"/>
          <w:szCs w:val="24"/>
        </w:rPr>
      </w:pPr>
    </w:p>
    <w:p w14:paraId="67A01289" w14:textId="72DB1783" w:rsidR="000A6E67" w:rsidRPr="00996790" w:rsidRDefault="00337DC5"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Ground 2 is headed </w:t>
      </w:r>
      <w:r w:rsidR="00BB34C7">
        <w:rPr>
          <w:rFonts w:ascii="Times New Roman" w:hAnsi="Times New Roman" w:cs="Times New Roman"/>
          <w:color w:val="010302"/>
          <w:sz w:val="24"/>
          <w:szCs w:val="24"/>
        </w:rPr>
        <w:t>“</w:t>
      </w:r>
      <w:r w:rsidR="00234C27">
        <w:rPr>
          <w:rFonts w:ascii="Times New Roman" w:hAnsi="Times New Roman" w:cs="Times New Roman"/>
          <w:color w:val="010302"/>
          <w:sz w:val="24"/>
          <w:szCs w:val="24"/>
        </w:rPr>
        <w:t>e</w:t>
      </w:r>
      <w:r w:rsidRPr="00996790">
        <w:rPr>
          <w:rFonts w:ascii="Times New Roman" w:hAnsi="Times New Roman" w:cs="Times New Roman"/>
          <w:color w:val="010302"/>
          <w:sz w:val="24"/>
          <w:szCs w:val="24"/>
        </w:rPr>
        <w:t>rror of law and/or perversity</w:t>
      </w:r>
      <w:r w:rsidR="00BB34C7">
        <w:rPr>
          <w:rFonts w:ascii="Times New Roman" w:hAnsi="Times New Roman" w:cs="Times New Roman"/>
          <w:color w:val="010302"/>
          <w:sz w:val="24"/>
          <w:szCs w:val="24"/>
        </w:rPr>
        <w:t>”</w:t>
      </w:r>
      <w:r w:rsidRPr="00996790">
        <w:rPr>
          <w:rFonts w:ascii="Times New Roman" w:hAnsi="Times New Roman" w:cs="Times New Roman"/>
          <w:color w:val="010302"/>
          <w:sz w:val="24"/>
          <w:szCs w:val="24"/>
        </w:rPr>
        <w:t xml:space="preserve">.  </w:t>
      </w:r>
      <w:r w:rsidR="00042362" w:rsidRPr="00996790">
        <w:rPr>
          <w:rFonts w:ascii="Times New Roman" w:hAnsi="Times New Roman" w:cs="Times New Roman"/>
          <w:color w:val="010302"/>
          <w:sz w:val="24"/>
          <w:szCs w:val="24"/>
        </w:rPr>
        <w:t xml:space="preserve">It alleges there was no </w:t>
      </w:r>
      <w:r w:rsidR="000241CF" w:rsidRPr="00996790">
        <w:rPr>
          <w:rFonts w:ascii="Times New Roman" w:hAnsi="Times New Roman" w:cs="Times New Roman"/>
          <w:color w:val="010302"/>
          <w:sz w:val="24"/>
          <w:szCs w:val="24"/>
        </w:rPr>
        <w:t>evidential basis for the ET</w:t>
      </w:r>
      <w:r w:rsidR="0006550D" w:rsidRPr="00996790">
        <w:rPr>
          <w:rFonts w:ascii="Times New Roman" w:hAnsi="Times New Roman" w:cs="Times New Roman"/>
          <w:color w:val="010302"/>
          <w:sz w:val="24"/>
          <w:szCs w:val="24"/>
        </w:rPr>
        <w:t xml:space="preserve">'s conclusion that it did not accept </w:t>
      </w:r>
      <w:r w:rsidR="00197553" w:rsidRPr="00996790">
        <w:rPr>
          <w:rFonts w:ascii="Times New Roman" w:hAnsi="Times New Roman" w:cs="Times New Roman"/>
          <w:color w:val="010302"/>
          <w:sz w:val="24"/>
          <w:szCs w:val="24"/>
        </w:rPr>
        <w:t xml:space="preserve">that there was any deliberate action </w:t>
      </w:r>
      <w:r w:rsidR="00221336" w:rsidRPr="00996790">
        <w:rPr>
          <w:rFonts w:ascii="Times New Roman" w:hAnsi="Times New Roman" w:cs="Times New Roman"/>
          <w:color w:val="010302"/>
          <w:sz w:val="24"/>
          <w:szCs w:val="24"/>
        </w:rPr>
        <w:t>on the part of the respondent</w:t>
      </w:r>
      <w:r w:rsidR="00835BA8" w:rsidRPr="00996790">
        <w:rPr>
          <w:rFonts w:ascii="Times New Roman" w:hAnsi="Times New Roman" w:cs="Times New Roman"/>
          <w:color w:val="010302"/>
          <w:sz w:val="24"/>
          <w:szCs w:val="24"/>
        </w:rPr>
        <w:t xml:space="preserve"> to avoid TUPE </w:t>
      </w:r>
      <w:r w:rsidR="000C4E35" w:rsidRPr="00996790">
        <w:rPr>
          <w:rFonts w:ascii="Times New Roman" w:hAnsi="Times New Roman" w:cs="Times New Roman"/>
          <w:color w:val="010302"/>
          <w:sz w:val="24"/>
          <w:szCs w:val="24"/>
        </w:rPr>
        <w:t xml:space="preserve">from applying.  </w:t>
      </w:r>
    </w:p>
    <w:p w14:paraId="62B69084" w14:textId="3215ECEB" w:rsidR="001D391B" w:rsidRPr="00996790" w:rsidRDefault="001D391B"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Ground 3 is head</w:t>
      </w:r>
      <w:r w:rsidR="00BB34C7">
        <w:rPr>
          <w:rFonts w:ascii="Times New Roman" w:hAnsi="Times New Roman" w:cs="Times New Roman"/>
          <w:color w:val="010302"/>
          <w:sz w:val="24"/>
          <w:szCs w:val="24"/>
        </w:rPr>
        <w:t>ed</w:t>
      </w:r>
      <w:r w:rsidRPr="00996790">
        <w:rPr>
          <w:rFonts w:ascii="Times New Roman" w:hAnsi="Times New Roman" w:cs="Times New Roman"/>
          <w:color w:val="010302"/>
          <w:sz w:val="24"/>
          <w:szCs w:val="24"/>
        </w:rPr>
        <w:t xml:space="preserve"> </w:t>
      </w:r>
      <w:r w:rsidR="00BB34C7">
        <w:rPr>
          <w:rFonts w:ascii="Times New Roman" w:hAnsi="Times New Roman" w:cs="Times New Roman"/>
          <w:color w:val="010302"/>
          <w:sz w:val="24"/>
          <w:szCs w:val="24"/>
        </w:rPr>
        <w:t>“</w:t>
      </w:r>
      <w:r w:rsidRPr="00996790">
        <w:rPr>
          <w:rFonts w:ascii="Times New Roman" w:hAnsi="Times New Roman" w:cs="Times New Roman"/>
          <w:color w:val="010302"/>
          <w:sz w:val="24"/>
          <w:szCs w:val="24"/>
        </w:rPr>
        <w:t xml:space="preserve">Failed to give adequate reasons </w:t>
      </w:r>
      <w:r w:rsidR="00E566E8" w:rsidRPr="00996790">
        <w:rPr>
          <w:rFonts w:ascii="Times New Roman" w:hAnsi="Times New Roman" w:cs="Times New Roman"/>
          <w:color w:val="010302"/>
          <w:sz w:val="24"/>
          <w:szCs w:val="24"/>
        </w:rPr>
        <w:t>and/or perversity</w:t>
      </w:r>
      <w:r w:rsidR="00BB34C7">
        <w:rPr>
          <w:rFonts w:ascii="Times New Roman" w:hAnsi="Times New Roman" w:cs="Times New Roman"/>
          <w:color w:val="010302"/>
          <w:sz w:val="24"/>
          <w:szCs w:val="24"/>
        </w:rPr>
        <w:t>”</w:t>
      </w:r>
      <w:r w:rsidR="00E566E8" w:rsidRPr="00996790">
        <w:rPr>
          <w:rFonts w:ascii="Times New Roman" w:hAnsi="Times New Roman" w:cs="Times New Roman"/>
          <w:color w:val="010302"/>
          <w:sz w:val="24"/>
          <w:szCs w:val="24"/>
        </w:rPr>
        <w:t xml:space="preserve">.  </w:t>
      </w:r>
      <w:r w:rsidR="00B94D3D" w:rsidRPr="00996790">
        <w:rPr>
          <w:rFonts w:ascii="Times New Roman" w:hAnsi="Times New Roman" w:cs="Times New Roman"/>
          <w:color w:val="010302"/>
          <w:sz w:val="24"/>
          <w:szCs w:val="24"/>
        </w:rPr>
        <w:t xml:space="preserve">The central complaint </w:t>
      </w:r>
      <w:r w:rsidR="00F43ACF" w:rsidRPr="00996790">
        <w:rPr>
          <w:rFonts w:ascii="Times New Roman" w:hAnsi="Times New Roman" w:cs="Times New Roman"/>
          <w:color w:val="010302"/>
          <w:sz w:val="24"/>
          <w:szCs w:val="24"/>
        </w:rPr>
        <w:t xml:space="preserve">made </w:t>
      </w:r>
      <w:r w:rsidR="004A2864">
        <w:rPr>
          <w:rFonts w:ascii="Times New Roman" w:hAnsi="Times New Roman" w:cs="Times New Roman"/>
          <w:color w:val="010302"/>
          <w:sz w:val="24"/>
          <w:szCs w:val="24"/>
        </w:rPr>
        <w:t xml:space="preserve">here </w:t>
      </w:r>
      <w:r w:rsidR="00F43ACF" w:rsidRPr="00996790">
        <w:rPr>
          <w:rFonts w:ascii="Times New Roman" w:hAnsi="Times New Roman" w:cs="Times New Roman"/>
          <w:color w:val="010302"/>
          <w:sz w:val="24"/>
          <w:szCs w:val="24"/>
        </w:rPr>
        <w:t xml:space="preserve">is that the </w:t>
      </w:r>
      <w:r w:rsidR="00182E49" w:rsidRPr="00996790">
        <w:rPr>
          <w:rFonts w:ascii="Times New Roman" w:hAnsi="Times New Roman" w:cs="Times New Roman"/>
          <w:color w:val="010302"/>
          <w:sz w:val="24"/>
          <w:szCs w:val="24"/>
        </w:rPr>
        <w:t xml:space="preserve">ET's finding </w:t>
      </w:r>
      <w:r w:rsidR="004D331C" w:rsidRPr="00996790">
        <w:rPr>
          <w:rFonts w:ascii="Times New Roman" w:hAnsi="Times New Roman" w:cs="Times New Roman"/>
          <w:color w:val="010302"/>
          <w:sz w:val="24"/>
          <w:szCs w:val="24"/>
        </w:rPr>
        <w:t xml:space="preserve">that after 30 June 2018 the CCTV </w:t>
      </w:r>
      <w:r w:rsidR="00872CA4" w:rsidRPr="00996790">
        <w:rPr>
          <w:rFonts w:ascii="Times New Roman" w:hAnsi="Times New Roman" w:cs="Times New Roman"/>
          <w:color w:val="010302"/>
          <w:sz w:val="24"/>
          <w:szCs w:val="24"/>
        </w:rPr>
        <w:t xml:space="preserve">monitoring was reactive </w:t>
      </w:r>
      <w:r w:rsidR="00872CA4" w:rsidRPr="00267420">
        <w:rPr>
          <w:rFonts w:ascii="Times New Roman" w:hAnsi="Times New Roman" w:cs="Times New Roman"/>
          <w:color w:val="010302"/>
          <w:sz w:val="24"/>
          <w:szCs w:val="24"/>
        </w:rPr>
        <w:t xml:space="preserve">rather than </w:t>
      </w:r>
      <w:r w:rsidR="00C85566" w:rsidRPr="00267420">
        <w:rPr>
          <w:rFonts w:ascii="Times New Roman" w:hAnsi="Times New Roman" w:cs="Times New Roman"/>
          <w:color w:val="010302"/>
          <w:sz w:val="24"/>
          <w:szCs w:val="24"/>
        </w:rPr>
        <w:t xml:space="preserve">proactive was contradicted </w:t>
      </w:r>
      <w:r w:rsidR="001C4B4C" w:rsidRPr="00267420">
        <w:rPr>
          <w:rFonts w:ascii="Times New Roman" w:hAnsi="Times New Roman" w:cs="Times New Roman"/>
          <w:color w:val="010302"/>
          <w:sz w:val="24"/>
          <w:szCs w:val="24"/>
        </w:rPr>
        <w:t xml:space="preserve">by the email sent by the respondent's key </w:t>
      </w:r>
      <w:r w:rsidR="00725193" w:rsidRPr="00267420">
        <w:rPr>
          <w:rFonts w:ascii="Times New Roman" w:hAnsi="Times New Roman" w:cs="Times New Roman"/>
          <w:color w:val="010302"/>
          <w:sz w:val="24"/>
          <w:szCs w:val="24"/>
        </w:rPr>
        <w:t xml:space="preserve">witness, Mr Free, </w:t>
      </w:r>
      <w:r w:rsidR="00D27495" w:rsidRPr="00267420">
        <w:rPr>
          <w:rFonts w:ascii="Times New Roman" w:hAnsi="Times New Roman" w:cs="Times New Roman"/>
          <w:color w:val="010302"/>
          <w:sz w:val="24"/>
          <w:szCs w:val="24"/>
        </w:rPr>
        <w:t>on 16 August 2018.</w:t>
      </w:r>
      <w:r w:rsidR="00D27495" w:rsidRPr="00996790">
        <w:rPr>
          <w:rFonts w:ascii="Times New Roman" w:hAnsi="Times New Roman" w:cs="Times New Roman"/>
          <w:color w:val="010302"/>
          <w:sz w:val="24"/>
          <w:szCs w:val="24"/>
        </w:rPr>
        <w:t xml:space="preserve">  </w:t>
      </w:r>
      <w:r w:rsidR="009138F4" w:rsidRPr="00996790">
        <w:rPr>
          <w:rFonts w:ascii="Times New Roman" w:hAnsi="Times New Roman" w:cs="Times New Roman"/>
          <w:color w:val="010302"/>
          <w:sz w:val="24"/>
          <w:szCs w:val="24"/>
        </w:rPr>
        <w:t xml:space="preserve">It is said that the ET's judgment is silent </w:t>
      </w:r>
      <w:r w:rsidR="00E32E4F" w:rsidRPr="00996790">
        <w:rPr>
          <w:rFonts w:ascii="Times New Roman" w:hAnsi="Times New Roman" w:cs="Times New Roman"/>
          <w:color w:val="010302"/>
          <w:sz w:val="24"/>
          <w:szCs w:val="24"/>
        </w:rPr>
        <w:t xml:space="preserve">as to how it resolved this contradiction.  </w:t>
      </w:r>
      <w:r w:rsidR="00595F57" w:rsidRPr="00996790">
        <w:rPr>
          <w:rFonts w:ascii="Times New Roman" w:hAnsi="Times New Roman" w:cs="Times New Roman"/>
          <w:color w:val="010302"/>
          <w:sz w:val="24"/>
          <w:szCs w:val="24"/>
        </w:rPr>
        <w:t xml:space="preserve">Ground 3 also repeats the ground 1 complaint that the ET </w:t>
      </w:r>
      <w:r w:rsidR="001478FA" w:rsidRPr="00996790">
        <w:rPr>
          <w:rFonts w:ascii="Times New Roman" w:hAnsi="Times New Roman" w:cs="Times New Roman"/>
          <w:color w:val="010302"/>
          <w:sz w:val="24"/>
          <w:szCs w:val="24"/>
        </w:rPr>
        <w:t xml:space="preserve">failed to identify the case law it considered and analysed, and it also alleges </w:t>
      </w:r>
      <w:r w:rsidR="001B567A" w:rsidRPr="00996790">
        <w:rPr>
          <w:rFonts w:ascii="Times New Roman" w:hAnsi="Times New Roman" w:cs="Times New Roman"/>
          <w:color w:val="010302"/>
          <w:sz w:val="24"/>
          <w:szCs w:val="24"/>
        </w:rPr>
        <w:t xml:space="preserve">that </w:t>
      </w:r>
      <w:r w:rsidR="00296150" w:rsidRPr="00996790">
        <w:rPr>
          <w:rFonts w:ascii="Times New Roman" w:hAnsi="Times New Roman" w:cs="Times New Roman"/>
          <w:color w:val="010302"/>
          <w:sz w:val="24"/>
          <w:szCs w:val="24"/>
        </w:rPr>
        <w:t xml:space="preserve">the </w:t>
      </w:r>
      <w:r w:rsidR="00184E29" w:rsidRPr="00996790">
        <w:rPr>
          <w:rFonts w:ascii="Times New Roman" w:hAnsi="Times New Roman" w:cs="Times New Roman"/>
          <w:color w:val="010302"/>
          <w:sz w:val="24"/>
          <w:szCs w:val="24"/>
        </w:rPr>
        <w:t xml:space="preserve">ET erred </w:t>
      </w:r>
      <w:r w:rsidR="00D25408" w:rsidRPr="00996790">
        <w:rPr>
          <w:rFonts w:ascii="Times New Roman" w:hAnsi="Times New Roman" w:cs="Times New Roman"/>
          <w:color w:val="010302"/>
          <w:sz w:val="24"/>
          <w:szCs w:val="24"/>
        </w:rPr>
        <w:t xml:space="preserve">in failing to state what it found </w:t>
      </w:r>
      <w:r w:rsidR="00844829" w:rsidRPr="00996790">
        <w:rPr>
          <w:rFonts w:ascii="Times New Roman" w:hAnsi="Times New Roman" w:cs="Times New Roman"/>
          <w:color w:val="010302"/>
          <w:sz w:val="24"/>
          <w:szCs w:val="24"/>
        </w:rPr>
        <w:t xml:space="preserve">to be the principal </w:t>
      </w:r>
      <w:r w:rsidR="007157D9" w:rsidRPr="00996790">
        <w:rPr>
          <w:rFonts w:ascii="Times New Roman" w:hAnsi="Times New Roman" w:cs="Times New Roman"/>
          <w:color w:val="010302"/>
          <w:sz w:val="24"/>
          <w:szCs w:val="24"/>
        </w:rPr>
        <w:t xml:space="preserve">reason for the dismissal.  </w:t>
      </w:r>
      <w:r w:rsidR="00F70C92" w:rsidRPr="00996790">
        <w:rPr>
          <w:rFonts w:ascii="Times New Roman" w:hAnsi="Times New Roman" w:cs="Times New Roman"/>
          <w:color w:val="010302"/>
          <w:sz w:val="24"/>
          <w:szCs w:val="24"/>
        </w:rPr>
        <w:t xml:space="preserve">The claimant confirmed in correspondence </w:t>
      </w:r>
      <w:r w:rsidR="00600F27" w:rsidRPr="00996790">
        <w:rPr>
          <w:rFonts w:ascii="Times New Roman" w:hAnsi="Times New Roman" w:cs="Times New Roman"/>
          <w:color w:val="010302"/>
          <w:sz w:val="24"/>
          <w:szCs w:val="24"/>
        </w:rPr>
        <w:t xml:space="preserve">prior to this hearing that she no longer </w:t>
      </w:r>
      <w:r w:rsidR="008268A3" w:rsidRPr="00996790">
        <w:rPr>
          <w:rFonts w:ascii="Times New Roman" w:hAnsi="Times New Roman" w:cs="Times New Roman"/>
          <w:color w:val="010302"/>
          <w:sz w:val="24"/>
          <w:szCs w:val="24"/>
        </w:rPr>
        <w:t xml:space="preserve">relied upon the </w:t>
      </w:r>
      <w:r w:rsidR="00A54FCF" w:rsidRPr="00996790">
        <w:rPr>
          <w:rFonts w:ascii="Times New Roman" w:hAnsi="Times New Roman" w:cs="Times New Roman"/>
          <w:color w:val="010302"/>
          <w:sz w:val="24"/>
          <w:szCs w:val="24"/>
        </w:rPr>
        <w:t xml:space="preserve">contention </w:t>
      </w:r>
      <w:r w:rsidR="00C7021C" w:rsidRPr="00996790">
        <w:rPr>
          <w:rFonts w:ascii="Times New Roman" w:hAnsi="Times New Roman" w:cs="Times New Roman"/>
          <w:color w:val="010302"/>
          <w:sz w:val="24"/>
          <w:szCs w:val="24"/>
        </w:rPr>
        <w:t>within ground 3 that Mr Free had made certain concessions</w:t>
      </w:r>
      <w:r w:rsidR="009E0CD4" w:rsidRPr="00996790">
        <w:rPr>
          <w:rFonts w:ascii="Times New Roman" w:hAnsi="Times New Roman" w:cs="Times New Roman"/>
          <w:color w:val="010302"/>
          <w:sz w:val="24"/>
          <w:szCs w:val="24"/>
        </w:rPr>
        <w:t xml:space="preserve"> in his evidence.  </w:t>
      </w:r>
    </w:p>
    <w:p w14:paraId="465B2A08" w14:textId="77777777" w:rsidR="00E52749" w:rsidRDefault="00C45543"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Ground 4 is headed </w:t>
      </w:r>
      <w:r w:rsidR="00733999">
        <w:rPr>
          <w:rFonts w:ascii="Times New Roman" w:hAnsi="Times New Roman" w:cs="Times New Roman"/>
          <w:color w:val="010302"/>
          <w:sz w:val="24"/>
          <w:szCs w:val="24"/>
        </w:rPr>
        <w:t>“</w:t>
      </w:r>
      <w:r w:rsidR="001924D9">
        <w:rPr>
          <w:rFonts w:ascii="Times New Roman" w:hAnsi="Times New Roman" w:cs="Times New Roman"/>
          <w:color w:val="010302"/>
          <w:sz w:val="24"/>
          <w:szCs w:val="24"/>
        </w:rPr>
        <w:t>e</w:t>
      </w:r>
      <w:r w:rsidRPr="00996790">
        <w:rPr>
          <w:rFonts w:ascii="Times New Roman" w:hAnsi="Times New Roman" w:cs="Times New Roman"/>
          <w:color w:val="010302"/>
          <w:sz w:val="24"/>
          <w:szCs w:val="24"/>
        </w:rPr>
        <w:t xml:space="preserve">rror </w:t>
      </w:r>
      <w:r w:rsidR="004709FD" w:rsidRPr="00996790">
        <w:rPr>
          <w:rFonts w:ascii="Times New Roman" w:hAnsi="Times New Roman" w:cs="Times New Roman"/>
          <w:color w:val="010302"/>
          <w:sz w:val="24"/>
          <w:szCs w:val="24"/>
        </w:rPr>
        <w:t>of law</w:t>
      </w:r>
      <w:r w:rsidR="00733999">
        <w:rPr>
          <w:rFonts w:ascii="Times New Roman" w:hAnsi="Times New Roman" w:cs="Times New Roman"/>
          <w:color w:val="010302"/>
          <w:sz w:val="24"/>
          <w:szCs w:val="24"/>
        </w:rPr>
        <w:t>”</w:t>
      </w:r>
      <w:r w:rsidR="004709FD" w:rsidRPr="00996790">
        <w:rPr>
          <w:rFonts w:ascii="Times New Roman" w:hAnsi="Times New Roman" w:cs="Times New Roman"/>
          <w:color w:val="010302"/>
          <w:sz w:val="24"/>
          <w:szCs w:val="24"/>
        </w:rPr>
        <w:t xml:space="preserve"> and contends </w:t>
      </w:r>
      <w:r w:rsidR="00497DA5" w:rsidRPr="00996790">
        <w:rPr>
          <w:rFonts w:ascii="Times New Roman" w:hAnsi="Times New Roman" w:cs="Times New Roman"/>
          <w:color w:val="010302"/>
          <w:sz w:val="24"/>
          <w:szCs w:val="24"/>
        </w:rPr>
        <w:t xml:space="preserve">that the ET </w:t>
      </w:r>
      <w:r w:rsidR="00735F80" w:rsidRPr="00996790">
        <w:rPr>
          <w:rFonts w:ascii="Times New Roman" w:hAnsi="Times New Roman" w:cs="Times New Roman"/>
          <w:color w:val="010302"/>
          <w:sz w:val="24"/>
          <w:szCs w:val="24"/>
        </w:rPr>
        <w:t xml:space="preserve">erred in failing to adjourn the hearing to allow the LBW to be added as an interested party.  </w:t>
      </w:r>
    </w:p>
    <w:p w14:paraId="34F2B87A" w14:textId="32A65D71" w:rsidR="00C45543" w:rsidRPr="00996790" w:rsidRDefault="00565717"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At the outset of the hearing, I </w:t>
      </w:r>
      <w:r w:rsidR="00753CC0" w:rsidRPr="00996790">
        <w:rPr>
          <w:rFonts w:ascii="Times New Roman" w:hAnsi="Times New Roman" w:cs="Times New Roman"/>
          <w:color w:val="010302"/>
          <w:sz w:val="24"/>
          <w:szCs w:val="24"/>
        </w:rPr>
        <w:t xml:space="preserve">clarified with the parties that I would permit the </w:t>
      </w:r>
      <w:r w:rsidR="001B6579" w:rsidRPr="00996790">
        <w:rPr>
          <w:rFonts w:ascii="Times New Roman" w:hAnsi="Times New Roman" w:cs="Times New Roman"/>
          <w:color w:val="010302"/>
          <w:sz w:val="24"/>
          <w:szCs w:val="24"/>
        </w:rPr>
        <w:t xml:space="preserve">claimant to refer to </w:t>
      </w:r>
      <w:r w:rsidR="0051766E" w:rsidRPr="00996790">
        <w:rPr>
          <w:rFonts w:ascii="Times New Roman" w:hAnsi="Times New Roman" w:cs="Times New Roman"/>
          <w:color w:val="010302"/>
          <w:sz w:val="24"/>
          <w:szCs w:val="24"/>
        </w:rPr>
        <w:t xml:space="preserve">a pack of additional </w:t>
      </w:r>
      <w:r w:rsidR="00362E5C" w:rsidRPr="00996790">
        <w:rPr>
          <w:rFonts w:ascii="Times New Roman" w:hAnsi="Times New Roman" w:cs="Times New Roman"/>
          <w:color w:val="010302"/>
          <w:sz w:val="24"/>
          <w:szCs w:val="24"/>
        </w:rPr>
        <w:t xml:space="preserve">documents </w:t>
      </w:r>
      <w:r w:rsidR="00DF7E4D" w:rsidRPr="00996790">
        <w:rPr>
          <w:rFonts w:ascii="Times New Roman" w:hAnsi="Times New Roman" w:cs="Times New Roman"/>
          <w:color w:val="010302"/>
          <w:sz w:val="24"/>
          <w:szCs w:val="24"/>
        </w:rPr>
        <w:t xml:space="preserve">that had been added </w:t>
      </w:r>
      <w:r w:rsidR="00EB56BC" w:rsidRPr="00996790">
        <w:rPr>
          <w:rFonts w:ascii="Times New Roman" w:hAnsi="Times New Roman" w:cs="Times New Roman"/>
          <w:color w:val="010302"/>
          <w:sz w:val="24"/>
          <w:szCs w:val="24"/>
        </w:rPr>
        <w:t xml:space="preserve">to the bundle </w:t>
      </w:r>
      <w:r w:rsidR="005379F8" w:rsidRPr="00996790">
        <w:rPr>
          <w:rFonts w:ascii="Times New Roman" w:hAnsi="Times New Roman" w:cs="Times New Roman"/>
          <w:color w:val="010302"/>
          <w:sz w:val="24"/>
          <w:szCs w:val="24"/>
        </w:rPr>
        <w:t xml:space="preserve">from page 306.  </w:t>
      </w:r>
    </w:p>
    <w:p w14:paraId="07E51B7E" w14:textId="1F78D2D5" w:rsidR="00374AAE" w:rsidRPr="00996790" w:rsidRDefault="00374AAE" w:rsidP="00374AAE">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t>The Employment Tribunal's reasoning</w:t>
      </w:r>
    </w:p>
    <w:p w14:paraId="745E1A47" w14:textId="0CF3493D" w:rsidR="00443F54" w:rsidRPr="00996790" w:rsidRDefault="00443F54"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00000"/>
          <w:sz w:val="24"/>
          <w:szCs w:val="24"/>
        </w:rPr>
        <w:t xml:space="preserve"> </w:t>
      </w:r>
      <w:r w:rsidR="001A4B90" w:rsidRPr="00996790">
        <w:rPr>
          <w:rFonts w:ascii="Times New Roman" w:hAnsi="Times New Roman" w:cs="Times New Roman"/>
          <w:color w:val="000000"/>
          <w:sz w:val="24"/>
          <w:szCs w:val="24"/>
        </w:rPr>
        <w:t xml:space="preserve">The ET explained </w:t>
      </w:r>
      <w:r w:rsidR="003A14C4" w:rsidRPr="00996790">
        <w:rPr>
          <w:rFonts w:ascii="Times New Roman" w:hAnsi="Times New Roman" w:cs="Times New Roman"/>
          <w:color w:val="000000"/>
          <w:sz w:val="24"/>
          <w:szCs w:val="24"/>
        </w:rPr>
        <w:t xml:space="preserve">that a preliminary </w:t>
      </w:r>
      <w:r w:rsidR="006B61A3" w:rsidRPr="00996790">
        <w:rPr>
          <w:rFonts w:ascii="Times New Roman" w:hAnsi="Times New Roman" w:cs="Times New Roman"/>
          <w:color w:val="000000"/>
          <w:sz w:val="24"/>
          <w:szCs w:val="24"/>
        </w:rPr>
        <w:t xml:space="preserve">matter had been dealt with </w:t>
      </w:r>
      <w:r w:rsidR="004F5E9F" w:rsidRPr="00996790">
        <w:rPr>
          <w:rFonts w:ascii="Times New Roman" w:hAnsi="Times New Roman" w:cs="Times New Roman"/>
          <w:color w:val="000000"/>
          <w:sz w:val="24"/>
          <w:szCs w:val="24"/>
        </w:rPr>
        <w:t xml:space="preserve">at the outset of the hearing </w:t>
      </w:r>
      <w:r w:rsidR="00A121E6" w:rsidRPr="00996790">
        <w:rPr>
          <w:rFonts w:ascii="Times New Roman" w:hAnsi="Times New Roman" w:cs="Times New Roman"/>
          <w:color w:val="000000"/>
          <w:sz w:val="24"/>
          <w:szCs w:val="24"/>
        </w:rPr>
        <w:t xml:space="preserve">regarding the claimant's </w:t>
      </w:r>
      <w:r w:rsidR="00C149EF" w:rsidRPr="00996790">
        <w:rPr>
          <w:rFonts w:ascii="Times New Roman" w:hAnsi="Times New Roman" w:cs="Times New Roman"/>
          <w:color w:val="000000"/>
          <w:sz w:val="24"/>
          <w:szCs w:val="24"/>
        </w:rPr>
        <w:t xml:space="preserve">request to join the LBW to the proceedings.  </w:t>
      </w:r>
      <w:r w:rsidR="00872A5A" w:rsidRPr="00996790">
        <w:rPr>
          <w:rFonts w:ascii="Times New Roman" w:hAnsi="Times New Roman" w:cs="Times New Roman"/>
          <w:color w:val="000000"/>
          <w:sz w:val="24"/>
          <w:szCs w:val="24"/>
        </w:rPr>
        <w:t xml:space="preserve">The claimant had also </w:t>
      </w:r>
      <w:r w:rsidR="00C025D9" w:rsidRPr="00996790">
        <w:rPr>
          <w:rFonts w:ascii="Times New Roman" w:hAnsi="Times New Roman" w:cs="Times New Roman"/>
          <w:color w:val="000000"/>
          <w:sz w:val="24"/>
          <w:szCs w:val="24"/>
        </w:rPr>
        <w:t xml:space="preserve">made this application </w:t>
      </w:r>
      <w:r w:rsidR="00D12578" w:rsidRPr="00996790">
        <w:rPr>
          <w:rFonts w:ascii="Times New Roman" w:hAnsi="Times New Roman" w:cs="Times New Roman"/>
          <w:color w:val="000000"/>
          <w:sz w:val="24"/>
          <w:szCs w:val="24"/>
        </w:rPr>
        <w:t xml:space="preserve">previously and it had been rejected by </w:t>
      </w:r>
      <w:r w:rsidR="001A7489" w:rsidRPr="00996790">
        <w:rPr>
          <w:rFonts w:ascii="Times New Roman" w:hAnsi="Times New Roman" w:cs="Times New Roman"/>
          <w:color w:val="000000"/>
          <w:sz w:val="24"/>
          <w:szCs w:val="24"/>
        </w:rPr>
        <w:t xml:space="preserve">Employment Judge Martin.  She had </w:t>
      </w:r>
      <w:r w:rsidR="0091102D" w:rsidRPr="00996790">
        <w:rPr>
          <w:rFonts w:ascii="Times New Roman" w:hAnsi="Times New Roman" w:cs="Times New Roman"/>
          <w:color w:val="000000"/>
          <w:sz w:val="24"/>
          <w:szCs w:val="24"/>
        </w:rPr>
        <w:t xml:space="preserve">appealed that determination </w:t>
      </w:r>
      <w:r w:rsidR="00C073E0" w:rsidRPr="00996790">
        <w:rPr>
          <w:rFonts w:ascii="Times New Roman" w:hAnsi="Times New Roman" w:cs="Times New Roman"/>
          <w:color w:val="000000"/>
          <w:sz w:val="24"/>
          <w:szCs w:val="24"/>
        </w:rPr>
        <w:t xml:space="preserve">to the EAT, and her appeal had been rejected both at the sift stage pursuant to rule </w:t>
      </w:r>
      <w:r w:rsidR="009240B4" w:rsidRPr="00996790">
        <w:rPr>
          <w:rFonts w:ascii="Times New Roman" w:hAnsi="Times New Roman" w:cs="Times New Roman"/>
          <w:color w:val="000000"/>
          <w:sz w:val="24"/>
          <w:szCs w:val="24"/>
        </w:rPr>
        <w:t xml:space="preserve">3(7) </w:t>
      </w:r>
      <w:r w:rsidR="005504F3" w:rsidRPr="00996790">
        <w:rPr>
          <w:rFonts w:ascii="Times New Roman" w:hAnsi="Times New Roman" w:cs="Times New Roman"/>
          <w:color w:val="000000"/>
          <w:sz w:val="24"/>
          <w:szCs w:val="24"/>
        </w:rPr>
        <w:t xml:space="preserve">and at a rule 3(10) </w:t>
      </w:r>
      <w:r w:rsidR="00013B71">
        <w:rPr>
          <w:rFonts w:ascii="Times New Roman" w:hAnsi="Times New Roman" w:cs="Times New Roman"/>
          <w:color w:val="000000"/>
          <w:sz w:val="24"/>
          <w:szCs w:val="24"/>
        </w:rPr>
        <w:t>H</w:t>
      </w:r>
      <w:r w:rsidR="005504F3" w:rsidRPr="00996790">
        <w:rPr>
          <w:rFonts w:ascii="Times New Roman" w:hAnsi="Times New Roman" w:cs="Times New Roman"/>
          <w:color w:val="000000"/>
          <w:sz w:val="24"/>
          <w:szCs w:val="24"/>
        </w:rPr>
        <w:t xml:space="preserve">earing.  </w:t>
      </w:r>
      <w:r w:rsidR="008C7EB4" w:rsidRPr="00996790">
        <w:rPr>
          <w:rFonts w:ascii="Times New Roman" w:hAnsi="Times New Roman" w:cs="Times New Roman"/>
          <w:color w:val="000000"/>
          <w:sz w:val="24"/>
          <w:szCs w:val="24"/>
        </w:rPr>
        <w:t xml:space="preserve">Nonetheless, the </w:t>
      </w:r>
      <w:r w:rsidR="00D45DA3" w:rsidRPr="00996790">
        <w:rPr>
          <w:rFonts w:ascii="Times New Roman" w:hAnsi="Times New Roman" w:cs="Times New Roman"/>
          <w:color w:val="000000"/>
          <w:sz w:val="24"/>
          <w:szCs w:val="24"/>
        </w:rPr>
        <w:t xml:space="preserve">claimant sought to pursue it again at the outset </w:t>
      </w:r>
      <w:r w:rsidR="009B5873" w:rsidRPr="00996790">
        <w:rPr>
          <w:rFonts w:ascii="Times New Roman" w:hAnsi="Times New Roman" w:cs="Times New Roman"/>
          <w:color w:val="000000"/>
          <w:sz w:val="24"/>
          <w:szCs w:val="24"/>
        </w:rPr>
        <w:t xml:space="preserve">of the </w:t>
      </w:r>
      <w:r w:rsidR="002D1F33">
        <w:rPr>
          <w:rFonts w:ascii="Times New Roman" w:hAnsi="Times New Roman" w:cs="Times New Roman"/>
          <w:color w:val="000000"/>
          <w:sz w:val="24"/>
          <w:szCs w:val="24"/>
        </w:rPr>
        <w:lastRenderedPageBreak/>
        <w:t>substantive</w:t>
      </w:r>
      <w:r w:rsidR="009B5873" w:rsidRPr="00996790">
        <w:rPr>
          <w:rFonts w:ascii="Times New Roman" w:hAnsi="Times New Roman" w:cs="Times New Roman"/>
          <w:color w:val="000000"/>
          <w:sz w:val="24"/>
          <w:szCs w:val="24"/>
        </w:rPr>
        <w:t xml:space="preserve"> hearing.  The ET addressed this in paragraph 12</w:t>
      </w:r>
      <w:r w:rsidR="002D1F33">
        <w:rPr>
          <w:rFonts w:ascii="Times New Roman" w:hAnsi="Times New Roman" w:cs="Times New Roman"/>
          <w:color w:val="000000"/>
          <w:sz w:val="24"/>
          <w:szCs w:val="24"/>
        </w:rPr>
        <w:t xml:space="preserve"> of its Reasons</w:t>
      </w:r>
      <w:r w:rsidR="009B5873" w:rsidRPr="00996790">
        <w:rPr>
          <w:rFonts w:ascii="Times New Roman" w:hAnsi="Times New Roman" w:cs="Times New Roman"/>
          <w:color w:val="000000"/>
          <w:sz w:val="24"/>
          <w:szCs w:val="24"/>
        </w:rPr>
        <w:t>, as follows:</w:t>
      </w:r>
    </w:p>
    <w:p w14:paraId="28EB655E" w14:textId="77777777" w:rsidR="009B5873" w:rsidRPr="004E74AB" w:rsidRDefault="009B5873" w:rsidP="004E74AB">
      <w:pPr>
        <w:pStyle w:val="ListParagraph"/>
        <w:tabs>
          <w:tab w:val="left" w:pos="0"/>
        </w:tabs>
        <w:ind w:left="851" w:right="850"/>
        <w:contextualSpacing/>
        <w:jc w:val="both"/>
        <w:rPr>
          <w:rFonts w:ascii="Times New Roman" w:hAnsi="Times New Roman" w:cs="Times New Roman"/>
          <w:color w:val="000000"/>
          <w:sz w:val="24"/>
          <w:szCs w:val="24"/>
        </w:rPr>
      </w:pPr>
    </w:p>
    <w:p w14:paraId="0B2D48DB" w14:textId="0C14AA09" w:rsidR="009B5873" w:rsidRPr="00140A40" w:rsidRDefault="00733999" w:rsidP="004E74AB">
      <w:pPr>
        <w:pStyle w:val="ListParagraph"/>
        <w:tabs>
          <w:tab w:val="left" w:pos="0"/>
        </w:tabs>
        <w:ind w:left="851" w:right="850"/>
        <w:contextualSpacing/>
        <w:jc w:val="both"/>
        <w:rPr>
          <w:rFonts w:ascii="Times New Roman" w:hAnsi="Times New Roman" w:cs="Times New Roman"/>
          <w:color w:val="000000"/>
          <w:sz w:val="24"/>
          <w:szCs w:val="24"/>
        </w:rPr>
      </w:pPr>
      <w:r w:rsidRPr="004E74AB">
        <w:rPr>
          <w:rFonts w:ascii="Times New Roman" w:hAnsi="Times New Roman" w:cs="Times New Roman"/>
          <w:color w:val="000000"/>
          <w:sz w:val="24"/>
          <w:szCs w:val="24"/>
        </w:rPr>
        <w:t>“</w:t>
      </w:r>
      <w:r w:rsidR="00844901" w:rsidRPr="00140A40">
        <w:rPr>
          <w:rFonts w:ascii="Times New Roman" w:hAnsi="Times New Roman" w:cs="Times New Roman"/>
          <w:color w:val="000000"/>
          <w:sz w:val="24"/>
          <w:szCs w:val="24"/>
        </w:rPr>
        <w:t xml:space="preserve">12. </w:t>
      </w:r>
      <w:r w:rsidR="00AF194B">
        <w:rPr>
          <w:rFonts w:ascii="Times New Roman" w:hAnsi="Times New Roman" w:cs="Times New Roman"/>
          <w:color w:val="000000"/>
          <w:sz w:val="24"/>
          <w:szCs w:val="24"/>
        </w:rPr>
        <w:t xml:space="preserve"> </w:t>
      </w:r>
      <w:r w:rsidR="00844901" w:rsidRPr="00140A40">
        <w:rPr>
          <w:rFonts w:ascii="Times New Roman" w:hAnsi="Times New Roman" w:cs="Times New Roman"/>
          <w:color w:val="000000"/>
          <w:sz w:val="24"/>
          <w:szCs w:val="24"/>
        </w:rPr>
        <w:t xml:space="preserve">The issue was explored with the parties during this hearing and Counsel for the First Respondent said that he could not see why LBW should be added as a party and added that if the Claimant won her claim, the First Respondent would not attempt to deflect blame or liability on to LBW but that the First Respondent would pay any compensation ordered by the Tribunal. </w:t>
      </w:r>
      <w:r w:rsidR="00AF194B">
        <w:rPr>
          <w:rFonts w:ascii="Times New Roman" w:hAnsi="Times New Roman" w:cs="Times New Roman"/>
          <w:color w:val="000000"/>
          <w:sz w:val="24"/>
          <w:szCs w:val="24"/>
        </w:rPr>
        <w:t xml:space="preserve"> </w:t>
      </w:r>
      <w:r w:rsidR="00844901" w:rsidRPr="00140A40">
        <w:rPr>
          <w:rFonts w:ascii="Times New Roman" w:hAnsi="Times New Roman" w:cs="Times New Roman"/>
          <w:color w:val="000000"/>
          <w:sz w:val="24"/>
          <w:szCs w:val="24"/>
        </w:rPr>
        <w:t xml:space="preserve">Leaving liability aside, the only relevance of the First Respondent’s combined services agreement with LBW was because the First Respondent’s secondary defence was that there was not a TUPE transfer because the activities would only be carried out for a </w:t>
      </w:r>
      <w:proofErr w:type="gramStart"/>
      <w:r w:rsidR="00844901" w:rsidRPr="00140A40">
        <w:rPr>
          <w:rFonts w:ascii="Times New Roman" w:hAnsi="Times New Roman" w:cs="Times New Roman"/>
          <w:color w:val="000000"/>
          <w:sz w:val="24"/>
          <w:szCs w:val="24"/>
        </w:rPr>
        <w:t>short term</w:t>
      </w:r>
      <w:proofErr w:type="gramEnd"/>
      <w:r w:rsidR="00844901" w:rsidRPr="00140A40">
        <w:rPr>
          <w:rFonts w:ascii="Times New Roman" w:hAnsi="Times New Roman" w:cs="Times New Roman"/>
          <w:color w:val="000000"/>
          <w:sz w:val="24"/>
          <w:szCs w:val="24"/>
        </w:rPr>
        <w:t xml:space="preserve"> duration, until the merger of the services with LBW in March 2019. </w:t>
      </w:r>
      <w:r w:rsidR="00AF194B">
        <w:rPr>
          <w:rFonts w:ascii="Times New Roman" w:hAnsi="Times New Roman" w:cs="Times New Roman"/>
          <w:color w:val="000000"/>
          <w:sz w:val="24"/>
          <w:szCs w:val="24"/>
        </w:rPr>
        <w:t xml:space="preserve"> </w:t>
      </w:r>
      <w:r w:rsidR="00844901" w:rsidRPr="00140A40">
        <w:rPr>
          <w:rFonts w:ascii="Times New Roman" w:hAnsi="Times New Roman" w:cs="Times New Roman"/>
          <w:color w:val="000000"/>
          <w:sz w:val="24"/>
          <w:szCs w:val="24"/>
        </w:rPr>
        <w:t xml:space="preserve">The Tribunal’s attention was drawn to documents in the bundle which showed that the decision to merge the CCTV services with LBW was made in June 2018 and intended to come into effect in March 2019. </w:t>
      </w:r>
      <w:r w:rsidR="00AF194B">
        <w:rPr>
          <w:rFonts w:ascii="Times New Roman" w:hAnsi="Times New Roman" w:cs="Times New Roman"/>
          <w:color w:val="000000"/>
          <w:sz w:val="24"/>
          <w:szCs w:val="24"/>
        </w:rPr>
        <w:t xml:space="preserve"> </w:t>
      </w:r>
      <w:r w:rsidR="00844901" w:rsidRPr="00140A40">
        <w:rPr>
          <w:rFonts w:ascii="Times New Roman" w:hAnsi="Times New Roman" w:cs="Times New Roman"/>
          <w:color w:val="000000"/>
          <w:sz w:val="24"/>
          <w:szCs w:val="24"/>
        </w:rPr>
        <w:t>The Claimant was therefore asked what value there would be in adding LBW in light of what had been said and she could not give a good reason.</w:t>
      </w:r>
      <w:r w:rsidRPr="00140A40">
        <w:rPr>
          <w:rFonts w:ascii="Times New Roman" w:hAnsi="Times New Roman" w:cs="Times New Roman"/>
          <w:color w:val="000000"/>
          <w:sz w:val="24"/>
          <w:szCs w:val="24"/>
        </w:rPr>
        <w:t>”</w:t>
      </w:r>
    </w:p>
    <w:p w14:paraId="299EE3AC" w14:textId="77777777" w:rsidR="009B5873" w:rsidRPr="00996790" w:rsidRDefault="009B5873" w:rsidP="009B5873">
      <w:pPr>
        <w:pStyle w:val="ListParagraph"/>
        <w:tabs>
          <w:tab w:val="left" w:pos="0"/>
        </w:tabs>
        <w:spacing w:line="480" w:lineRule="auto"/>
        <w:contextualSpacing/>
        <w:jc w:val="both"/>
        <w:rPr>
          <w:rFonts w:ascii="Times New Roman" w:hAnsi="Times New Roman" w:cs="Times New Roman"/>
          <w:color w:val="010302"/>
          <w:sz w:val="24"/>
          <w:szCs w:val="24"/>
        </w:rPr>
      </w:pPr>
    </w:p>
    <w:p w14:paraId="6F7B590E" w14:textId="6DCC3189" w:rsidR="009B5873" w:rsidRPr="00996790" w:rsidRDefault="00D04A26"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From paragraph 17 onwards, the ET </w:t>
      </w:r>
      <w:r w:rsidR="00B74343" w:rsidRPr="00996790">
        <w:rPr>
          <w:rFonts w:ascii="Times New Roman" w:hAnsi="Times New Roman" w:cs="Times New Roman"/>
          <w:color w:val="010302"/>
          <w:sz w:val="24"/>
          <w:szCs w:val="24"/>
        </w:rPr>
        <w:t xml:space="preserve">set out its findings of fact.  The ET said that </w:t>
      </w:r>
      <w:r w:rsidR="00476CEC" w:rsidRPr="00996790">
        <w:rPr>
          <w:rFonts w:ascii="Times New Roman" w:hAnsi="Times New Roman" w:cs="Times New Roman"/>
          <w:color w:val="010302"/>
          <w:sz w:val="24"/>
          <w:szCs w:val="24"/>
        </w:rPr>
        <w:t xml:space="preserve">Broadland had </w:t>
      </w:r>
      <w:r w:rsidR="00A974C2" w:rsidRPr="00996790">
        <w:rPr>
          <w:rFonts w:ascii="Times New Roman" w:hAnsi="Times New Roman" w:cs="Times New Roman"/>
          <w:color w:val="010302"/>
          <w:sz w:val="24"/>
          <w:szCs w:val="24"/>
        </w:rPr>
        <w:t xml:space="preserve">provided the CCTV </w:t>
      </w:r>
      <w:r w:rsidR="00541319" w:rsidRPr="00996790">
        <w:rPr>
          <w:rFonts w:ascii="Times New Roman" w:hAnsi="Times New Roman" w:cs="Times New Roman"/>
          <w:color w:val="010302"/>
          <w:sz w:val="24"/>
          <w:szCs w:val="24"/>
        </w:rPr>
        <w:t xml:space="preserve">monitoring service to the respondent from </w:t>
      </w:r>
      <w:r w:rsidR="00A26A20" w:rsidRPr="00996790">
        <w:rPr>
          <w:rFonts w:ascii="Times New Roman" w:hAnsi="Times New Roman" w:cs="Times New Roman"/>
          <w:color w:val="010302"/>
          <w:sz w:val="24"/>
          <w:szCs w:val="24"/>
        </w:rPr>
        <w:t xml:space="preserve">2005 </w:t>
      </w:r>
      <w:r w:rsidR="00DA24A4" w:rsidRPr="00996790">
        <w:rPr>
          <w:rFonts w:ascii="Times New Roman" w:hAnsi="Times New Roman" w:cs="Times New Roman"/>
          <w:color w:val="010302"/>
          <w:sz w:val="24"/>
          <w:szCs w:val="24"/>
        </w:rPr>
        <w:t xml:space="preserve">in </w:t>
      </w:r>
      <w:proofErr w:type="gramStart"/>
      <w:r w:rsidR="00DA24A4" w:rsidRPr="00996790">
        <w:rPr>
          <w:rFonts w:ascii="Times New Roman" w:hAnsi="Times New Roman" w:cs="Times New Roman"/>
          <w:color w:val="010302"/>
          <w:sz w:val="24"/>
          <w:szCs w:val="24"/>
        </w:rPr>
        <w:t>exactly the same</w:t>
      </w:r>
      <w:proofErr w:type="gramEnd"/>
      <w:r w:rsidR="00DA24A4" w:rsidRPr="00996790">
        <w:rPr>
          <w:rFonts w:ascii="Times New Roman" w:hAnsi="Times New Roman" w:cs="Times New Roman"/>
          <w:color w:val="010302"/>
          <w:sz w:val="24"/>
          <w:szCs w:val="24"/>
        </w:rPr>
        <w:t xml:space="preserve"> way </w:t>
      </w:r>
      <w:r w:rsidR="00E64766" w:rsidRPr="00996790">
        <w:rPr>
          <w:rFonts w:ascii="Times New Roman" w:hAnsi="Times New Roman" w:cs="Times New Roman"/>
          <w:color w:val="010302"/>
          <w:sz w:val="24"/>
          <w:szCs w:val="24"/>
        </w:rPr>
        <w:t xml:space="preserve">as it had up to </w:t>
      </w:r>
      <w:r w:rsidR="008A2E8B" w:rsidRPr="00996790">
        <w:rPr>
          <w:rFonts w:ascii="Times New Roman" w:hAnsi="Times New Roman" w:cs="Times New Roman"/>
          <w:color w:val="010302"/>
          <w:sz w:val="24"/>
          <w:szCs w:val="24"/>
        </w:rPr>
        <w:t>30 June 2018</w:t>
      </w:r>
      <w:r w:rsidR="00E0393A" w:rsidRPr="00996790">
        <w:rPr>
          <w:rFonts w:ascii="Times New Roman" w:hAnsi="Times New Roman" w:cs="Times New Roman"/>
          <w:color w:val="010302"/>
          <w:sz w:val="24"/>
          <w:szCs w:val="24"/>
        </w:rPr>
        <w:t>.  T</w:t>
      </w:r>
      <w:r w:rsidR="008A2E8B" w:rsidRPr="00996790">
        <w:rPr>
          <w:rFonts w:ascii="Times New Roman" w:hAnsi="Times New Roman" w:cs="Times New Roman"/>
          <w:color w:val="010302"/>
          <w:sz w:val="24"/>
          <w:szCs w:val="24"/>
        </w:rPr>
        <w:t xml:space="preserve">he claimant worked </w:t>
      </w:r>
      <w:r w:rsidR="00652DA7" w:rsidRPr="00996790">
        <w:rPr>
          <w:rFonts w:ascii="Times New Roman" w:hAnsi="Times New Roman" w:cs="Times New Roman"/>
          <w:color w:val="010302"/>
          <w:sz w:val="24"/>
          <w:szCs w:val="24"/>
        </w:rPr>
        <w:t>four days on and four days off.  At paragraph 19, her role was described as follows:</w:t>
      </w:r>
    </w:p>
    <w:p w14:paraId="278A6B03" w14:textId="507B416B" w:rsidR="00A846E3" w:rsidRPr="00140A40" w:rsidRDefault="00A846E3" w:rsidP="004E74AB">
      <w:pPr>
        <w:pStyle w:val="ListParagraph"/>
        <w:tabs>
          <w:tab w:val="left" w:pos="0"/>
        </w:tabs>
        <w:ind w:left="851" w:right="850"/>
        <w:contextualSpacing/>
        <w:jc w:val="both"/>
        <w:rPr>
          <w:rFonts w:ascii="Times New Roman" w:hAnsi="Times New Roman" w:cs="Times New Roman"/>
          <w:color w:val="000000"/>
          <w:sz w:val="24"/>
          <w:szCs w:val="24"/>
        </w:rPr>
      </w:pPr>
    </w:p>
    <w:p w14:paraId="4F3E138A" w14:textId="180BB7A9" w:rsidR="00A846E3" w:rsidRPr="00140A40" w:rsidRDefault="00733999" w:rsidP="004E74AB">
      <w:pPr>
        <w:pStyle w:val="ListParagraph"/>
        <w:tabs>
          <w:tab w:val="left" w:pos="0"/>
        </w:tabs>
        <w:ind w:left="851" w:right="850"/>
        <w:contextualSpacing/>
        <w:jc w:val="both"/>
        <w:rPr>
          <w:rFonts w:ascii="Times New Roman" w:hAnsi="Times New Roman" w:cs="Times New Roman"/>
          <w:color w:val="000000"/>
          <w:sz w:val="24"/>
          <w:szCs w:val="24"/>
        </w:rPr>
      </w:pPr>
      <w:r w:rsidRPr="00140A40">
        <w:rPr>
          <w:rFonts w:ascii="Times New Roman" w:hAnsi="Times New Roman" w:cs="Times New Roman"/>
          <w:color w:val="000000"/>
          <w:sz w:val="24"/>
          <w:szCs w:val="24"/>
        </w:rPr>
        <w:t>“…</w:t>
      </w:r>
      <w:r w:rsidR="009A78EF" w:rsidRPr="00140A40">
        <w:rPr>
          <w:rFonts w:ascii="Times New Roman" w:hAnsi="Times New Roman" w:cs="Times New Roman"/>
          <w:color w:val="000000"/>
          <w:sz w:val="24"/>
          <w:szCs w:val="24"/>
        </w:rPr>
        <w:t>Her job, and that of the other CCTV</w:t>
      </w:r>
      <w:r w:rsidR="00AC1C5D" w:rsidRPr="00140A40">
        <w:rPr>
          <w:rFonts w:ascii="Times New Roman" w:hAnsi="Times New Roman" w:cs="Times New Roman"/>
          <w:color w:val="000000"/>
          <w:sz w:val="24"/>
          <w:szCs w:val="24"/>
        </w:rPr>
        <w:t xml:space="preserve"> </w:t>
      </w:r>
      <w:r w:rsidR="009A78EF" w:rsidRPr="00140A40">
        <w:rPr>
          <w:rFonts w:ascii="Times New Roman" w:hAnsi="Times New Roman" w:cs="Times New Roman"/>
          <w:color w:val="000000"/>
          <w:sz w:val="24"/>
          <w:szCs w:val="24"/>
        </w:rPr>
        <w:t>operator provided by the Second Respondent was to operate and monitor</w:t>
      </w:r>
      <w:r w:rsidR="00AC1C5D" w:rsidRPr="00140A40">
        <w:rPr>
          <w:rFonts w:ascii="Times New Roman" w:hAnsi="Times New Roman" w:cs="Times New Roman"/>
          <w:color w:val="000000"/>
          <w:sz w:val="24"/>
          <w:szCs w:val="24"/>
        </w:rPr>
        <w:t xml:space="preserve"> </w:t>
      </w:r>
      <w:r w:rsidR="009A78EF" w:rsidRPr="00140A40">
        <w:rPr>
          <w:rFonts w:ascii="Times New Roman" w:hAnsi="Times New Roman" w:cs="Times New Roman"/>
          <w:color w:val="000000"/>
          <w:sz w:val="24"/>
          <w:szCs w:val="24"/>
        </w:rPr>
        <w:t xml:space="preserve">surveillance cameras situated around the borough </w:t>
      </w:r>
      <w:proofErr w:type="gramStart"/>
      <w:r w:rsidR="009A78EF" w:rsidRPr="00140A40">
        <w:rPr>
          <w:rFonts w:ascii="Times New Roman" w:hAnsi="Times New Roman" w:cs="Times New Roman"/>
          <w:color w:val="000000"/>
          <w:sz w:val="24"/>
          <w:szCs w:val="24"/>
        </w:rPr>
        <w:t>in order to</w:t>
      </w:r>
      <w:proofErr w:type="gramEnd"/>
      <w:r w:rsidR="009A78EF" w:rsidRPr="00140A40">
        <w:rPr>
          <w:rFonts w:ascii="Times New Roman" w:hAnsi="Times New Roman" w:cs="Times New Roman"/>
          <w:color w:val="000000"/>
          <w:sz w:val="24"/>
          <w:szCs w:val="24"/>
        </w:rPr>
        <w:t xml:space="preserve"> safeguard the</w:t>
      </w:r>
      <w:r w:rsidR="00AC1C5D" w:rsidRPr="00140A40">
        <w:rPr>
          <w:rFonts w:ascii="Times New Roman" w:hAnsi="Times New Roman" w:cs="Times New Roman"/>
          <w:color w:val="000000"/>
          <w:sz w:val="24"/>
          <w:szCs w:val="24"/>
        </w:rPr>
        <w:t xml:space="preserve"> </w:t>
      </w:r>
      <w:r w:rsidR="009A78EF" w:rsidRPr="00140A40">
        <w:rPr>
          <w:rFonts w:ascii="Times New Roman" w:hAnsi="Times New Roman" w:cs="Times New Roman"/>
          <w:color w:val="000000"/>
          <w:sz w:val="24"/>
          <w:szCs w:val="24"/>
        </w:rPr>
        <w:t>public, prevent and detect crime. CCTV footage was used by police to solve</w:t>
      </w:r>
      <w:r w:rsidR="00AC1C5D" w:rsidRPr="00140A40">
        <w:rPr>
          <w:rFonts w:ascii="Times New Roman" w:hAnsi="Times New Roman" w:cs="Times New Roman"/>
          <w:color w:val="000000"/>
          <w:sz w:val="24"/>
          <w:szCs w:val="24"/>
        </w:rPr>
        <w:t xml:space="preserve"> </w:t>
      </w:r>
      <w:r w:rsidR="009A78EF" w:rsidRPr="00140A40">
        <w:rPr>
          <w:rFonts w:ascii="Times New Roman" w:hAnsi="Times New Roman" w:cs="Times New Roman"/>
          <w:color w:val="000000"/>
          <w:sz w:val="24"/>
          <w:szCs w:val="24"/>
        </w:rPr>
        <w:t>crimes and no doubt also used as evidence to prosecute offenders. She</w:t>
      </w:r>
      <w:r w:rsidR="00AC1C5D" w:rsidRPr="00140A40">
        <w:rPr>
          <w:rFonts w:ascii="Times New Roman" w:hAnsi="Times New Roman" w:cs="Times New Roman"/>
          <w:color w:val="000000"/>
          <w:sz w:val="24"/>
          <w:szCs w:val="24"/>
        </w:rPr>
        <w:t xml:space="preserve"> </w:t>
      </w:r>
      <w:r w:rsidR="009A78EF" w:rsidRPr="00140A40">
        <w:rPr>
          <w:rFonts w:ascii="Times New Roman" w:hAnsi="Times New Roman" w:cs="Times New Roman"/>
          <w:color w:val="000000"/>
          <w:sz w:val="24"/>
          <w:szCs w:val="24"/>
        </w:rPr>
        <w:t>would respond to safety related calls from the Police, Clubs, Pubs, Venues</w:t>
      </w:r>
      <w:r w:rsidR="00AC1C5D" w:rsidRPr="00140A40">
        <w:rPr>
          <w:rFonts w:ascii="Times New Roman" w:hAnsi="Times New Roman" w:cs="Times New Roman"/>
          <w:color w:val="000000"/>
          <w:sz w:val="24"/>
          <w:szCs w:val="24"/>
        </w:rPr>
        <w:t xml:space="preserve"> </w:t>
      </w:r>
      <w:r w:rsidR="009A78EF" w:rsidRPr="00140A40">
        <w:rPr>
          <w:rFonts w:ascii="Times New Roman" w:hAnsi="Times New Roman" w:cs="Times New Roman"/>
          <w:color w:val="000000"/>
          <w:sz w:val="24"/>
          <w:szCs w:val="24"/>
        </w:rPr>
        <w:t>and various shops on the high street.</w:t>
      </w:r>
      <w:r w:rsidRPr="00140A40">
        <w:rPr>
          <w:rFonts w:ascii="Times New Roman" w:hAnsi="Times New Roman" w:cs="Times New Roman"/>
          <w:color w:val="000000"/>
          <w:sz w:val="24"/>
          <w:szCs w:val="24"/>
        </w:rPr>
        <w:t>”</w:t>
      </w:r>
    </w:p>
    <w:p w14:paraId="6E6F7511" w14:textId="77777777" w:rsidR="00BC5415" w:rsidRPr="00996790" w:rsidRDefault="00BC5415" w:rsidP="00A846E3">
      <w:pPr>
        <w:pStyle w:val="ListParagraph"/>
        <w:tabs>
          <w:tab w:val="left" w:pos="0"/>
        </w:tabs>
        <w:spacing w:line="480" w:lineRule="auto"/>
        <w:contextualSpacing/>
        <w:jc w:val="both"/>
        <w:rPr>
          <w:rFonts w:ascii="Times New Roman" w:hAnsi="Times New Roman" w:cs="Times New Roman"/>
          <w:color w:val="010302"/>
          <w:sz w:val="24"/>
          <w:szCs w:val="24"/>
        </w:rPr>
      </w:pPr>
    </w:p>
    <w:p w14:paraId="159C049F" w14:textId="67BDA986" w:rsidR="00434DC3" w:rsidRPr="00BC5415" w:rsidRDefault="00434DC3" w:rsidP="00434DC3">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In the next paragraph, the ET continued:</w:t>
      </w:r>
    </w:p>
    <w:p w14:paraId="15BD1C1F" w14:textId="5B9F60D5" w:rsidR="00434DC3" w:rsidRPr="00140A40" w:rsidRDefault="00140A40" w:rsidP="004E74AB">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4D7FBC" w:rsidRPr="00140A40">
        <w:rPr>
          <w:rFonts w:ascii="Times New Roman" w:hAnsi="Times New Roman" w:cs="Times New Roman"/>
          <w:color w:val="000000"/>
          <w:sz w:val="24"/>
          <w:szCs w:val="24"/>
        </w:rPr>
        <w:t>he Tribunal was also able to get a good picture of what the Claimant did</w:t>
      </w:r>
      <w:r w:rsidR="003C5739" w:rsidRPr="00140A40">
        <w:rPr>
          <w:rFonts w:ascii="Times New Roman" w:hAnsi="Times New Roman" w:cs="Times New Roman"/>
          <w:color w:val="000000"/>
          <w:sz w:val="24"/>
          <w:szCs w:val="24"/>
        </w:rPr>
        <w:t xml:space="preserve"> </w:t>
      </w:r>
      <w:r w:rsidR="004D7FBC" w:rsidRPr="00140A40">
        <w:rPr>
          <w:rFonts w:ascii="Times New Roman" w:hAnsi="Times New Roman" w:cs="Times New Roman"/>
          <w:color w:val="000000"/>
          <w:sz w:val="24"/>
          <w:szCs w:val="24"/>
        </w:rPr>
        <w:t>from the logs which were completed by CCTV operatives which recorded</w:t>
      </w:r>
      <w:r w:rsidR="003C5739" w:rsidRPr="00140A40">
        <w:rPr>
          <w:rFonts w:ascii="Times New Roman" w:hAnsi="Times New Roman" w:cs="Times New Roman"/>
          <w:color w:val="000000"/>
          <w:sz w:val="24"/>
          <w:szCs w:val="24"/>
        </w:rPr>
        <w:t xml:space="preserve"> </w:t>
      </w:r>
      <w:r w:rsidR="004D7FBC" w:rsidRPr="00140A40">
        <w:rPr>
          <w:rFonts w:ascii="Times New Roman" w:hAnsi="Times New Roman" w:cs="Times New Roman"/>
          <w:color w:val="000000"/>
          <w:sz w:val="24"/>
          <w:szCs w:val="24"/>
        </w:rPr>
        <w:t>what they did during their shift. From looking at those logs, it was clear that</w:t>
      </w:r>
      <w:r w:rsidR="003C5739" w:rsidRPr="00140A40">
        <w:rPr>
          <w:rFonts w:ascii="Times New Roman" w:hAnsi="Times New Roman" w:cs="Times New Roman"/>
          <w:color w:val="000000"/>
          <w:sz w:val="24"/>
          <w:szCs w:val="24"/>
        </w:rPr>
        <w:t xml:space="preserve"> </w:t>
      </w:r>
      <w:r w:rsidR="004D7FBC" w:rsidRPr="00140A40">
        <w:rPr>
          <w:rFonts w:ascii="Times New Roman" w:hAnsi="Times New Roman" w:cs="Times New Roman"/>
          <w:color w:val="000000"/>
          <w:sz w:val="24"/>
          <w:szCs w:val="24"/>
        </w:rPr>
        <w:t>there was a great deal of what was referred to during the hearing as</w:t>
      </w:r>
      <w:r w:rsidR="003C5739" w:rsidRPr="00140A40">
        <w:rPr>
          <w:rFonts w:ascii="Times New Roman" w:hAnsi="Times New Roman" w:cs="Times New Roman"/>
          <w:color w:val="000000"/>
          <w:sz w:val="24"/>
          <w:szCs w:val="24"/>
        </w:rPr>
        <w:t xml:space="preserve"> </w:t>
      </w:r>
      <w:r w:rsidR="007E6304">
        <w:rPr>
          <w:rFonts w:ascii="Times New Roman" w:hAnsi="Times New Roman" w:cs="Times New Roman"/>
          <w:color w:val="000000"/>
          <w:sz w:val="24"/>
          <w:szCs w:val="24"/>
        </w:rPr>
        <w:t>“</w:t>
      </w:r>
      <w:r w:rsidR="004D7FBC" w:rsidRPr="00140A40">
        <w:rPr>
          <w:rFonts w:ascii="Times New Roman" w:hAnsi="Times New Roman" w:cs="Times New Roman"/>
          <w:color w:val="000000"/>
          <w:sz w:val="24"/>
          <w:szCs w:val="24"/>
        </w:rPr>
        <w:t>proactive monitoring</w:t>
      </w:r>
      <w:r w:rsidR="007E6304">
        <w:rPr>
          <w:rFonts w:ascii="Times New Roman" w:hAnsi="Times New Roman" w:cs="Times New Roman"/>
          <w:color w:val="000000"/>
          <w:sz w:val="24"/>
          <w:szCs w:val="24"/>
        </w:rPr>
        <w:t>”</w:t>
      </w:r>
      <w:r w:rsidR="004D7FBC" w:rsidRPr="00140A40">
        <w:rPr>
          <w:rFonts w:ascii="Times New Roman" w:hAnsi="Times New Roman" w:cs="Times New Roman"/>
          <w:color w:val="000000"/>
          <w:sz w:val="24"/>
          <w:szCs w:val="24"/>
        </w:rPr>
        <w:t>; this meant looking at each camera, checking that it</w:t>
      </w:r>
      <w:r w:rsidR="003C5739" w:rsidRPr="00140A40">
        <w:rPr>
          <w:rFonts w:ascii="Times New Roman" w:hAnsi="Times New Roman" w:cs="Times New Roman"/>
          <w:color w:val="000000"/>
          <w:sz w:val="24"/>
          <w:szCs w:val="24"/>
        </w:rPr>
        <w:t xml:space="preserve"> </w:t>
      </w:r>
      <w:r w:rsidR="004D7FBC" w:rsidRPr="00140A40">
        <w:rPr>
          <w:rFonts w:ascii="Times New Roman" w:hAnsi="Times New Roman" w:cs="Times New Roman"/>
          <w:color w:val="000000"/>
          <w:sz w:val="24"/>
          <w:szCs w:val="24"/>
        </w:rPr>
        <w:t>was functioning correctly and monitoring what was going on in the area</w:t>
      </w:r>
      <w:r w:rsidR="003C5739" w:rsidRPr="00140A40">
        <w:rPr>
          <w:rFonts w:ascii="Times New Roman" w:hAnsi="Times New Roman" w:cs="Times New Roman"/>
          <w:color w:val="000000"/>
          <w:sz w:val="24"/>
          <w:szCs w:val="24"/>
        </w:rPr>
        <w:t xml:space="preserve"> </w:t>
      </w:r>
      <w:r w:rsidR="004D7FBC" w:rsidRPr="00140A40">
        <w:rPr>
          <w:rFonts w:ascii="Times New Roman" w:hAnsi="Times New Roman" w:cs="Times New Roman"/>
          <w:color w:val="000000"/>
          <w:sz w:val="24"/>
          <w:szCs w:val="24"/>
        </w:rPr>
        <w:t>where the particular camera was located.</w:t>
      </w:r>
      <w:r w:rsidR="007E6304">
        <w:rPr>
          <w:rFonts w:ascii="Times New Roman" w:hAnsi="Times New Roman" w:cs="Times New Roman"/>
          <w:color w:val="000000"/>
          <w:sz w:val="24"/>
          <w:szCs w:val="24"/>
        </w:rPr>
        <w:t>”</w:t>
      </w:r>
    </w:p>
    <w:p w14:paraId="6B701314" w14:textId="77777777" w:rsidR="00434DC3" w:rsidRPr="00996790" w:rsidRDefault="00434DC3" w:rsidP="00434DC3">
      <w:pPr>
        <w:pStyle w:val="ListParagraph"/>
        <w:tabs>
          <w:tab w:val="left" w:pos="0"/>
        </w:tabs>
        <w:spacing w:line="480" w:lineRule="auto"/>
        <w:contextualSpacing/>
        <w:jc w:val="both"/>
        <w:rPr>
          <w:rFonts w:ascii="Times New Roman" w:hAnsi="Times New Roman" w:cs="Times New Roman"/>
          <w:color w:val="010302"/>
          <w:sz w:val="24"/>
          <w:szCs w:val="24"/>
        </w:rPr>
      </w:pPr>
    </w:p>
    <w:p w14:paraId="231850C0" w14:textId="550356B2" w:rsidR="002506E6" w:rsidRPr="00BC5415" w:rsidRDefault="006D7D2C" w:rsidP="002506E6">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Then in the next paragraph, paragraph 21:</w:t>
      </w:r>
    </w:p>
    <w:p w14:paraId="33A0FFE5" w14:textId="3C750F7C" w:rsidR="002506E6" w:rsidRDefault="00140A40" w:rsidP="004E74AB">
      <w:pPr>
        <w:pStyle w:val="ListParagraph"/>
        <w:tabs>
          <w:tab w:val="left" w:pos="0"/>
        </w:tabs>
        <w:ind w:left="851" w:right="850"/>
        <w:contextualSpacing/>
        <w:jc w:val="both"/>
        <w:rPr>
          <w:rFonts w:ascii="Times New Roman" w:hAnsi="Times New Roman" w:cs="Times New Roman"/>
          <w:color w:val="000000"/>
          <w:sz w:val="24"/>
          <w:szCs w:val="24"/>
        </w:rPr>
      </w:pPr>
      <w:r w:rsidRPr="00140A40">
        <w:rPr>
          <w:rFonts w:ascii="Times New Roman" w:hAnsi="Times New Roman" w:cs="Times New Roman"/>
          <w:color w:val="000000"/>
          <w:sz w:val="24"/>
          <w:szCs w:val="24"/>
        </w:rPr>
        <w:t>“</w:t>
      </w:r>
      <w:r w:rsidR="00EE612B" w:rsidRPr="00140A40">
        <w:rPr>
          <w:rFonts w:ascii="Times New Roman" w:hAnsi="Times New Roman" w:cs="Times New Roman"/>
          <w:color w:val="000000"/>
          <w:sz w:val="24"/>
          <w:szCs w:val="24"/>
        </w:rPr>
        <w:t>The Claimant proactively monitored 12 screens from the control room where</w:t>
      </w:r>
      <w:r w:rsidR="008E68B7" w:rsidRPr="00140A40">
        <w:rPr>
          <w:rFonts w:ascii="Times New Roman" w:hAnsi="Times New Roman" w:cs="Times New Roman"/>
          <w:color w:val="000000"/>
          <w:sz w:val="24"/>
          <w:szCs w:val="24"/>
        </w:rPr>
        <w:t xml:space="preserve"> </w:t>
      </w:r>
      <w:r w:rsidR="00EE612B" w:rsidRPr="00140A40">
        <w:rPr>
          <w:rFonts w:ascii="Times New Roman" w:hAnsi="Times New Roman" w:cs="Times New Roman"/>
          <w:color w:val="000000"/>
          <w:sz w:val="24"/>
          <w:szCs w:val="24"/>
        </w:rPr>
        <w:t xml:space="preserve">she was </w:t>
      </w:r>
      <w:proofErr w:type="gramStart"/>
      <w:r w:rsidR="00EE612B" w:rsidRPr="00140A40">
        <w:rPr>
          <w:rFonts w:ascii="Times New Roman" w:hAnsi="Times New Roman" w:cs="Times New Roman"/>
          <w:color w:val="000000"/>
          <w:sz w:val="24"/>
          <w:szCs w:val="24"/>
        </w:rPr>
        <w:t>based</w:t>
      </w:r>
      <w:proofErr w:type="gramEnd"/>
      <w:r w:rsidR="00EE612B" w:rsidRPr="00140A40">
        <w:rPr>
          <w:rFonts w:ascii="Times New Roman" w:hAnsi="Times New Roman" w:cs="Times New Roman"/>
          <w:color w:val="000000"/>
          <w:sz w:val="24"/>
          <w:szCs w:val="24"/>
        </w:rPr>
        <w:t xml:space="preserve"> and which is shared with staff working principally for the</w:t>
      </w:r>
      <w:r w:rsidR="008E68B7" w:rsidRPr="00140A40">
        <w:rPr>
          <w:rFonts w:ascii="Times New Roman" w:hAnsi="Times New Roman" w:cs="Times New Roman"/>
          <w:color w:val="000000"/>
          <w:sz w:val="24"/>
          <w:szCs w:val="24"/>
        </w:rPr>
        <w:t xml:space="preserve"> </w:t>
      </w:r>
      <w:r w:rsidR="00C22393" w:rsidRPr="00140A40">
        <w:rPr>
          <w:rFonts w:ascii="Times New Roman" w:hAnsi="Times New Roman" w:cs="Times New Roman"/>
          <w:color w:val="000000"/>
          <w:sz w:val="24"/>
          <w:szCs w:val="24"/>
        </w:rPr>
        <w:t>Careline</w:t>
      </w:r>
      <w:r w:rsidR="00EE612B" w:rsidRPr="00140A40">
        <w:rPr>
          <w:rFonts w:ascii="Times New Roman" w:hAnsi="Times New Roman" w:cs="Times New Roman"/>
          <w:color w:val="000000"/>
          <w:sz w:val="24"/>
          <w:szCs w:val="24"/>
        </w:rPr>
        <w:t xml:space="preserve"> operation provided by the First Respondent</w:t>
      </w:r>
      <w:r w:rsidR="004E74AB">
        <w:rPr>
          <w:rFonts w:ascii="Times New Roman" w:hAnsi="Times New Roman" w:cs="Times New Roman"/>
          <w:color w:val="000000"/>
          <w:sz w:val="24"/>
          <w:szCs w:val="24"/>
        </w:rPr>
        <w:t>…</w:t>
      </w:r>
      <w:r w:rsidRPr="00140A40">
        <w:rPr>
          <w:rFonts w:ascii="Times New Roman" w:hAnsi="Times New Roman" w:cs="Times New Roman"/>
          <w:color w:val="000000"/>
          <w:sz w:val="24"/>
          <w:szCs w:val="24"/>
        </w:rPr>
        <w:t>”</w:t>
      </w:r>
    </w:p>
    <w:p w14:paraId="63019F0D" w14:textId="18FAD5D9" w:rsidR="002506E6" w:rsidRDefault="004E74AB" w:rsidP="000E1A06">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69EA9F86" w14:textId="77777777" w:rsidR="000E1A06" w:rsidRPr="0084124E" w:rsidRDefault="000E1A06" w:rsidP="000E1A06">
      <w:pPr>
        <w:pStyle w:val="ListParagraph"/>
        <w:tabs>
          <w:tab w:val="left" w:pos="0"/>
        </w:tabs>
        <w:ind w:left="851" w:right="850"/>
        <w:contextualSpacing/>
        <w:jc w:val="both"/>
        <w:rPr>
          <w:rFonts w:ascii="Times New Roman" w:hAnsi="Times New Roman" w:cs="Times New Roman"/>
          <w:color w:val="000000"/>
          <w:sz w:val="24"/>
          <w:szCs w:val="24"/>
        </w:rPr>
      </w:pPr>
    </w:p>
    <w:p w14:paraId="0C268229" w14:textId="1747718D" w:rsidR="008725A0" w:rsidRPr="000E1A06" w:rsidRDefault="00FA0759" w:rsidP="008725A0">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lastRenderedPageBreak/>
        <w:t>The</w:t>
      </w:r>
      <w:r w:rsidR="0084124E">
        <w:rPr>
          <w:rFonts w:ascii="Times New Roman" w:hAnsi="Times New Roman" w:cs="Times New Roman"/>
          <w:color w:val="010302"/>
          <w:sz w:val="24"/>
          <w:szCs w:val="24"/>
        </w:rPr>
        <w:t xml:space="preserve"> </w:t>
      </w:r>
      <w:r w:rsidR="00E24D7B">
        <w:rPr>
          <w:rFonts w:ascii="Times New Roman" w:hAnsi="Times New Roman" w:cs="Times New Roman"/>
          <w:color w:val="010302"/>
          <w:sz w:val="24"/>
          <w:szCs w:val="24"/>
        </w:rPr>
        <w:t>ET</w:t>
      </w:r>
      <w:r w:rsidRPr="00996790">
        <w:rPr>
          <w:rFonts w:ascii="Times New Roman" w:hAnsi="Times New Roman" w:cs="Times New Roman"/>
          <w:color w:val="010302"/>
          <w:sz w:val="24"/>
          <w:szCs w:val="24"/>
        </w:rPr>
        <w:t xml:space="preserve"> </w:t>
      </w:r>
      <w:r w:rsidR="00435D6A" w:rsidRPr="00996790">
        <w:rPr>
          <w:rFonts w:ascii="Times New Roman" w:hAnsi="Times New Roman" w:cs="Times New Roman"/>
          <w:color w:val="010302"/>
          <w:sz w:val="24"/>
          <w:szCs w:val="24"/>
        </w:rPr>
        <w:t>then quoted a passage from Mr Free's witness statement</w:t>
      </w:r>
      <w:r w:rsidR="00321548" w:rsidRPr="00996790">
        <w:rPr>
          <w:rFonts w:ascii="Times New Roman" w:hAnsi="Times New Roman" w:cs="Times New Roman"/>
          <w:color w:val="010302"/>
          <w:sz w:val="24"/>
          <w:szCs w:val="24"/>
        </w:rPr>
        <w:t xml:space="preserve">.  Seen in context, it is apparent </w:t>
      </w:r>
      <w:r w:rsidR="002736D9" w:rsidRPr="00996790">
        <w:rPr>
          <w:rFonts w:ascii="Times New Roman" w:hAnsi="Times New Roman" w:cs="Times New Roman"/>
          <w:color w:val="010302"/>
          <w:sz w:val="24"/>
          <w:szCs w:val="24"/>
        </w:rPr>
        <w:t xml:space="preserve">that this was adopted as part of the ET's findings.  </w:t>
      </w:r>
      <w:r w:rsidR="008725A0" w:rsidRPr="00996790">
        <w:rPr>
          <w:rFonts w:ascii="Times New Roman" w:hAnsi="Times New Roman" w:cs="Times New Roman"/>
          <w:color w:val="010302"/>
          <w:sz w:val="24"/>
          <w:szCs w:val="24"/>
        </w:rPr>
        <w:t>That passage said:</w:t>
      </w:r>
    </w:p>
    <w:p w14:paraId="76F3B14C" w14:textId="22117DC8" w:rsidR="00BC5415" w:rsidRPr="000E1A06" w:rsidRDefault="00AF194B" w:rsidP="000E1A06">
      <w:pPr>
        <w:pStyle w:val="ListParagraph"/>
        <w:tabs>
          <w:tab w:val="left" w:pos="0"/>
        </w:tabs>
        <w:ind w:left="851" w:right="850"/>
        <w:contextualSpacing/>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r w:rsidR="00C31D80" w:rsidRPr="004E74AB">
        <w:rPr>
          <w:rFonts w:ascii="Times New Roman" w:hAnsi="Times New Roman" w:cs="Times New Roman"/>
          <w:b/>
          <w:bCs/>
          <w:i/>
          <w:iCs/>
          <w:color w:val="000000"/>
          <w:sz w:val="24"/>
          <w:szCs w:val="24"/>
        </w:rPr>
        <w:t>The Careline activity is by far the main activity as it is a life critical</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service providing emergency response to the most vulnerable in our</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borough. Careline is delivered by staff responding to alarms triggered</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by service users which are routed through the call answering system.</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The alarm brings up the user’s address, personal and medical details,</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next of kin, responder’s </w:t>
      </w:r>
      <w:proofErr w:type="gramStart"/>
      <w:r w:rsidR="00C31D80" w:rsidRPr="004E74AB">
        <w:rPr>
          <w:rFonts w:ascii="Times New Roman" w:hAnsi="Times New Roman" w:cs="Times New Roman"/>
          <w:b/>
          <w:bCs/>
          <w:i/>
          <w:iCs/>
          <w:color w:val="000000"/>
          <w:sz w:val="24"/>
          <w:szCs w:val="24"/>
        </w:rPr>
        <w:t>details</w:t>
      </w:r>
      <w:proofErr w:type="gramEnd"/>
      <w:r w:rsidR="00C31D80" w:rsidRPr="004E74AB">
        <w:rPr>
          <w:rFonts w:ascii="Times New Roman" w:hAnsi="Times New Roman" w:cs="Times New Roman"/>
          <w:b/>
          <w:bCs/>
          <w:i/>
          <w:iCs/>
          <w:color w:val="000000"/>
          <w:sz w:val="24"/>
          <w:szCs w:val="24"/>
        </w:rPr>
        <w:t xml:space="preserve"> and any other relevant information.</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Based on the information provided by the service user, through the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speaker in the alarm in their home, and the details on the system, the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operators make decisions and judgement calls regarding the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appropriate response to the alarm that has been triggered. </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This can vary</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from providing re-assurance to calling the emergency services.</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 These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calls can be very time-consuming as it is often necessary to make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several related calls, to family, responders, social workers etc. whilst</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keeping the service user informed and supported. </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Additionally, the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Careline staff respond to all out of hours calls for council services from</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1700 hours to 0900, which includes calls for social workers, emergency</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response, alarms on council properties and a wide variety of other</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demands, including calls about noise nuisance, littering or </w:t>
      </w:r>
      <w:r w:rsidR="00A53627" w:rsidRPr="004E74AB">
        <w:rPr>
          <w:rFonts w:ascii="Times New Roman" w:hAnsi="Times New Roman" w:cs="Times New Roman"/>
          <w:b/>
          <w:bCs/>
          <w:i/>
          <w:iCs/>
          <w:color w:val="000000"/>
          <w:sz w:val="24"/>
          <w:szCs w:val="24"/>
        </w:rPr>
        <w:t>“</w:t>
      </w:r>
      <w:r w:rsidR="00C31D80" w:rsidRPr="004E74AB">
        <w:rPr>
          <w:rFonts w:ascii="Times New Roman" w:hAnsi="Times New Roman" w:cs="Times New Roman"/>
          <w:b/>
          <w:bCs/>
          <w:i/>
          <w:iCs/>
          <w:color w:val="000000"/>
          <w:sz w:val="24"/>
          <w:szCs w:val="24"/>
        </w:rPr>
        <w:t>fly-tipping</w:t>
      </w:r>
      <w:r w:rsidR="00A53627" w:rsidRPr="004E74AB">
        <w:rPr>
          <w:rFonts w:ascii="Times New Roman" w:hAnsi="Times New Roman" w:cs="Times New Roman"/>
          <w:b/>
          <w:bCs/>
          <w:i/>
          <w:iCs/>
          <w:color w:val="000000"/>
          <w:sz w:val="24"/>
          <w:szCs w:val="24"/>
        </w:rPr>
        <w:t>”</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and dustbins not being emptied. </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Between 2200 and 0600 a single</w:t>
      </w:r>
      <w:r w:rsidR="005628A6"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 xml:space="preserve">member of the Careline staff covers </w:t>
      </w:r>
      <w:proofErr w:type="gramStart"/>
      <w:r w:rsidR="00C31D80" w:rsidRPr="004E74AB">
        <w:rPr>
          <w:rFonts w:ascii="Times New Roman" w:hAnsi="Times New Roman" w:cs="Times New Roman"/>
          <w:b/>
          <w:bCs/>
          <w:i/>
          <w:iCs/>
          <w:color w:val="000000"/>
          <w:sz w:val="24"/>
          <w:szCs w:val="24"/>
        </w:rPr>
        <w:t>all of</w:t>
      </w:r>
      <w:proofErr w:type="gramEnd"/>
      <w:r w:rsidR="00C31D80" w:rsidRPr="004E74AB">
        <w:rPr>
          <w:rFonts w:ascii="Times New Roman" w:hAnsi="Times New Roman" w:cs="Times New Roman"/>
          <w:b/>
          <w:bCs/>
          <w:i/>
          <w:iCs/>
          <w:color w:val="000000"/>
          <w:sz w:val="24"/>
          <w:szCs w:val="24"/>
        </w:rPr>
        <w:t xml:space="preserve"> the above. </w:t>
      </w:r>
      <w:r>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That was the case</w:t>
      </w:r>
      <w:r w:rsidR="004E74AB" w:rsidRPr="004E74AB">
        <w:rPr>
          <w:rFonts w:ascii="Times New Roman" w:hAnsi="Times New Roman" w:cs="Times New Roman"/>
          <w:b/>
          <w:bCs/>
          <w:i/>
          <w:iCs/>
          <w:color w:val="000000"/>
          <w:sz w:val="24"/>
          <w:szCs w:val="24"/>
        </w:rPr>
        <w:t xml:space="preserve"> </w:t>
      </w:r>
      <w:r w:rsidR="00C31D80" w:rsidRPr="004E74AB">
        <w:rPr>
          <w:rFonts w:ascii="Times New Roman" w:hAnsi="Times New Roman" w:cs="Times New Roman"/>
          <w:b/>
          <w:bCs/>
          <w:i/>
          <w:iCs/>
          <w:color w:val="000000"/>
          <w:sz w:val="24"/>
          <w:szCs w:val="24"/>
        </w:rPr>
        <w:t>both before and after 1 July 2018.</w:t>
      </w:r>
      <w:r>
        <w:rPr>
          <w:rFonts w:ascii="Times New Roman" w:hAnsi="Times New Roman" w:cs="Times New Roman"/>
          <w:b/>
          <w:bCs/>
          <w:i/>
          <w:iCs/>
          <w:color w:val="000000"/>
          <w:sz w:val="24"/>
          <w:szCs w:val="24"/>
        </w:rPr>
        <w:t>”</w:t>
      </w:r>
      <w:r w:rsidR="004E74AB">
        <w:rPr>
          <w:rFonts w:ascii="Times New Roman" w:hAnsi="Times New Roman" w:cs="Times New Roman"/>
          <w:b/>
          <w:bCs/>
          <w:i/>
          <w:iCs/>
          <w:color w:val="000000"/>
          <w:sz w:val="24"/>
          <w:szCs w:val="24"/>
        </w:rPr>
        <w:t xml:space="preserve"> </w:t>
      </w:r>
      <w:r w:rsidR="004E74AB" w:rsidRPr="004E74AB">
        <w:rPr>
          <w:rFonts w:ascii="Times New Roman" w:hAnsi="Times New Roman" w:cs="Times New Roman"/>
          <w:color w:val="000000"/>
          <w:sz w:val="24"/>
          <w:szCs w:val="24"/>
        </w:rPr>
        <w:t>(original emphasis)</w:t>
      </w:r>
    </w:p>
    <w:p w14:paraId="6C9251C7" w14:textId="77777777" w:rsidR="00BC5415" w:rsidRPr="0084124E" w:rsidRDefault="00BC5415" w:rsidP="0084124E">
      <w:pPr>
        <w:pStyle w:val="ListParagraph"/>
        <w:tabs>
          <w:tab w:val="left" w:pos="0"/>
        </w:tabs>
        <w:ind w:left="851" w:right="850"/>
        <w:contextualSpacing/>
        <w:jc w:val="both"/>
        <w:rPr>
          <w:rFonts w:ascii="Times New Roman" w:hAnsi="Times New Roman" w:cs="Times New Roman"/>
          <w:color w:val="000000"/>
          <w:sz w:val="24"/>
          <w:szCs w:val="24"/>
        </w:rPr>
      </w:pPr>
    </w:p>
    <w:p w14:paraId="59B8D37F" w14:textId="2C0920EA" w:rsidR="004206BD" w:rsidRPr="000E1A06" w:rsidRDefault="00A05A06" w:rsidP="004206B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As to the position after Broadland's </w:t>
      </w:r>
      <w:r w:rsidR="004206BD" w:rsidRPr="00996790">
        <w:rPr>
          <w:rFonts w:ascii="Times New Roman" w:hAnsi="Times New Roman" w:cs="Times New Roman"/>
          <w:color w:val="010302"/>
          <w:sz w:val="24"/>
          <w:szCs w:val="24"/>
        </w:rPr>
        <w:t>notice took effect, the ET found the following in paragraphs 23 and 24:</w:t>
      </w:r>
    </w:p>
    <w:p w14:paraId="3022ADC4" w14:textId="2C7009E5" w:rsidR="00FA74FF" w:rsidRPr="005F04EC" w:rsidRDefault="009D7FA6" w:rsidP="005F04EC">
      <w:pPr>
        <w:pStyle w:val="ListParagraph"/>
        <w:tabs>
          <w:tab w:val="left" w:pos="0"/>
        </w:tabs>
        <w:ind w:left="851" w:right="850"/>
        <w:contextualSpacing/>
        <w:jc w:val="both"/>
        <w:rPr>
          <w:rFonts w:ascii="Times New Roman" w:hAnsi="Times New Roman" w:cs="Times New Roman"/>
          <w:color w:val="000000"/>
          <w:sz w:val="24"/>
          <w:szCs w:val="24"/>
        </w:rPr>
      </w:pPr>
      <w:r w:rsidRPr="005F04EC">
        <w:rPr>
          <w:rFonts w:ascii="Times New Roman" w:hAnsi="Times New Roman" w:cs="Times New Roman"/>
          <w:color w:val="000000"/>
          <w:sz w:val="24"/>
          <w:szCs w:val="24"/>
        </w:rPr>
        <w:t>“</w:t>
      </w:r>
      <w:r w:rsidR="00FA74FF" w:rsidRPr="005F04EC">
        <w:rPr>
          <w:rFonts w:ascii="Times New Roman" w:hAnsi="Times New Roman" w:cs="Times New Roman"/>
          <w:color w:val="000000"/>
          <w:sz w:val="24"/>
          <w:szCs w:val="24"/>
        </w:rPr>
        <w:t>23.</w:t>
      </w:r>
      <w:r w:rsidR="00AF194B">
        <w:rPr>
          <w:rFonts w:ascii="Times New Roman" w:hAnsi="Times New Roman" w:cs="Times New Roman"/>
          <w:color w:val="000000"/>
          <w:sz w:val="24"/>
          <w:szCs w:val="24"/>
        </w:rPr>
        <w:t xml:space="preserve">  </w:t>
      </w:r>
      <w:r w:rsidR="00FA74FF" w:rsidRPr="005F04EC">
        <w:rPr>
          <w:rFonts w:ascii="Times New Roman" w:hAnsi="Times New Roman" w:cs="Times New Roman"/>
          <w:color w:val="000000"/>
          <w:sz w:val="24"/>
          <w:szCs w:val="24"/>
        </w:rPr>
        <w:t>Upon the expiry of the contract, the First Respondent decided to diver</w:t>
      </w:r>
      <w:r w:rsidR="001C4B09" w:rsidRPr="005F04EC">
        <w:rPr>
          <w:rFonts w:ascii="Times New Roman" w:hAnsi="Times New Roman" w:cs="Times New Roman"/>
          <w:color w:val="000000"/>
          <w:sz w:val="24"/>
          <w:szCs w:val="24"/>
        </w:rPr>
        <w:t xml:space="preserve">t </w:t>
      </w:r>
      <w:r w:rsidR="00FA74FF" w:rsidRPr="005F04EC">
        <w:rPr>
          <w:rFonts w:ascii="Times New Roman" w:hAnsi="Times New Roman" w:cs="Times New Roman"/>
          <w:color w:val="000000"/>
          <w:sz w:val="24"/>
          <w:szCs w:val="24"/>
        </w:rPr>
        <w:t>the</w:t>
      </w:r>
      <w:r w:rsidR="001C4B09" w:rsidRPr="005F04EC">
        <w:rPr>
          <w:rFonts w:ascii="Times New Roman" w:hAnsi="Times New Roman" w:cs="Times New Roman"/>
          <w:color w:val="000000"/>
          <w:sz w:val="24"/>
          <w:szCs w:val="24"/>
        </w:rPr>
        <w:t xml:space="preserve"> </w:t>
      </w:r>
      <w:r w:rsidR="00FA74FF" w:rsidRPr="005F04EC">
        <w:rPr>
          <w:rFonts w:ascii="Times New Roman" w:hAnsi="Times New Roman" w:cs="Times New Roman"/>
          <w:color w:val="000000"/>
          <w:sz w:val="24"/>
          <w:szCs w:val="24"/>
        </w:rPr>
        <w:t>funding that had historically paid for the services of the Second Respondent</w:t>
      </w:r>
      <w:r w:rsidR="001C4B09" w:rsidRPr="005F04EC">
        <w:rPr>
          <w:rFonts w:ascii="Times New Roman" w:hAnsi="Times New Roman" w:cs="Times New Roman"/>
          <w:color w:val="000000"/>
          <w:sz w:val="24"/>
          <w:szCs w:val="24"/>
        </w:rPr>
        <w:t xml:space="preserve"> </w:t>
      </w:r>
      <w:r w:rsidR="00FA74FF" w:rsidRPr="005F04EC">
        <w:rPr>
          <w:rFonts w:ascii="Times New Roman" w:hAnsi="Times New Roman" w:cs="Times New Roman"/>
          <w:color w:val="000000"/>
          <w:sz w:val="24"/>
          <w:szCs w:val="24"/>
        </w:rPr>
        <w:t>and this meant that from 1 July 2018 the First Respondent chose not to</w:t>
      </w:r>
      <w:r w:rsidR="001C4B09" w:rsidRPr="005F04EC">
        <w:rPr>
          <w:rFonts w:ascii="Times New Roman" w:hAnsi="Times New Roman" w:cs="Times New Roman"/>
          <w:color w:val="000000"/>
          <w:sz w:val="24"/>
          <w:szCs w:val="24"/>
        </w:rPr>
        <w:t xml:space="preserve"> </w:t>
      </w:r>
      <w:r w:rsidR="00FA74FF" w:rsidRPr="005F04EC">
        <w:rPr>
          <w:rFonts w:ascii="Times New Roman" w:hAnsi="Times New Roman" w:cs="Times New Roman"/>
          <w:color w:val="000000"/>
          <w:sz w:val="24"/>
          <w:szCs w:val="24"/>
        </w:rPr>
        <w:t>employ full time CCTV operatives to provide the same service that the</w:t>
      </w:r>
      <w:r w:rsidR="005F04EC">
        <w:rPr>
          <w:rFonts w:ascii="Times New Roman" w:hAnsi="Times New Roman" w:cs="Times New Roman"/>
          <w:color w:val="000000"/>
          <w:sz w:val="24"/>
          <w:szCs w:val="24"/>
        </w:rPr>
        <w:t xml:space="preserve"> </w:t>
      </w:r>
      <w:r w:rsidR="00FA74FF" w:rsidRPr="005F04EC">
        <w:rPr>
          <w:rFonts w:ascii="Times New Roman" w:hAnsi="Times New Roman" w:cs="Times New Roman"/>
          <w:color w:val="000000"/>
          <w:sz w:val="24"/>
          <w:szCs w:val="24"/>
        </w:rPr>
        <w:t>Second Respondent had done between 6pm-6am.</w:t>
      </w:r>
    </w:p>
    <w:p w14:paraId="66C18ACF" w14:textId="77777777" w:rsidR="00FA74FF" w:rsidRPr="005F04EC" w:rsidRDefault="00FA74FF" w:rsidP="005F04EC">
      <w:pPr>
        <w:pStyle w:val="ListParagraph"/>
        <w:tabs>
          <w:tab w:val="left" w:pos="0"/>
        </w:tabs>
        <w:ind w:left="851" w:right="850"/>
        <w:contextualSpacing/>
        <w:jc w:val="both"/>
        <w:rPr>
          <w:rFonts w:ascii="Times New Roman" w:hAnsi="Times New Roman" w:cs="Times New Roman"/>
          <w:color w:val="000000"/>
          <w:sz w:val="24"/>
          <w:szCs w:val="24"/>
        </w:rPr>
      </w:pPr>
    </w:p>
    <w:p w14:paraId="0B6B6EA4" w14:textId="7965B46A" w:rsidR="004206BD" w:rsidRPr="005F04EC" w:rsidRDefault="00FA74FF" w:rsidP="005F04EC">
      <w:pPr>
        <w:pStyle w:val="ListParagraph"/>
        <w:tabs>
          <w:tab w:val="left" w:pos="0"/>
        </w:tabs>
        <w:ind w:left="851" w:right="850"/>
        <w:contextualSpacing/>
        <w:jc w:val="both"/>
        <w:rPr>
          <w:rFonts w:ascii="Times New Roman" w:hAnsi="Times New Roman" w:cs="Times New Roman"/>
          <w:color w:val="000000"/>
          <w:sz w:val="24"/>
          <w:szCs w:val="24"/>
        </w:rPr>
      </w:pPr>
      <w:r w:rsidRPr="005F04EC">
        <w:rPr>
          <w:rFonts w:ascii="Times New Roman" w:hAnsi="Times New Roman" w:cs="Times New Roman"/>
          <w:color w:val="000000"/>
          <w:sz w:val="24"/>
          <w:szCs w:val="24"/>
        </w:rPr>
        <w:t xml:space="preserve">24. </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The Tribunal finds that this fundamentally changed the whole characte</w:t>
      </w:r>
      <w:r w:rsidR="001C4B09" w:rsidRPr="005F04EC">
        <w:rPr>
          <w:rFonts w:ascii="Times New Roman" w:hAnsi="Times New Roman" w:cs="Times New Roman"/>
          <w:color w:val="000000"/>
          <w:sz w:val="24"/>
          <w:szCs w:val="24"/>
        </w:rPr>
        <w:t xml:space="preserve">r </w:t>
      </w:r>
      <w:r w:rsidRPr="005F04EC">
        <w:rPr>
          <w:rFonts w:ascii="Times New Roman" w:hAnsi="Times New Roman" w:cs="Times New Roman"/>
          <w:color w:val="000000"/>
          <w:sz w:val="24"/>
          <w:szCs w:val="24"/>
        </w:rPr>
        <w:t>of</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the service provided by the Second Respondent.</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 xml:space="preserve">Without the </w:t>
      </w:r>
      <w:proofErr w:type="gramStart"/>
      <w:r w:rsidRPr="005F04EC">
        <w:rPr>
          <w:rFonts w:ascii="Times New Roman" w:hAnsi="Times New Roman" w:cs="Times New Roman"/>
          <w:color w:val="000000"/>
          <w:sz w:val="24"/>
          <w:szCs w:val="24"/>
        </w:rPr>
        <w:t>full time</w:t>
      </w:r>
      <w:proofErr w:type="gramEnd"/>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operatives provided by the Second Respondent, any monitoring of the</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CCTV cameras was left to the Careline staff.</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They were already overloaded</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with Careline duties and therefore the extent to which they were physically</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able to perform CCTV monitoring was minimal.</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Mr Free said in evidence</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that their Careline duties took up 95% of their time.</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It is clear from the email</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at page 218 of the bundle that they weren’t providing the service because</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Mr Free was receiving complaints about it. They were forced to provide only</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reactive support service as when needed.</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We heard that as Careline staff</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 xml:space="preserve">were on calls </w:t>
      </w:r>
      <w:proofErr w:type="gramStart"/>
      <w:r w:rsidRPr="005F04EC">
        <w:rPr>
          <w:rFonts w:ascii="Times New Roman" w:hAnsi="Times New Roman" w:cs="Times New Roman"/>
          <w:color w:val="000000"/>
          <w:sz w:val="24"/>
          <w:szCs w:val="24"/>
        </w:rPr>
        <w:t>all of</w:t>
      </w:r>
      <w:proofErr w:type="gramEnd"/>
      <w:r w:rsidRPr="005F04EC">
        <w:rPr>
          <w:rFonts w:ascii="Times New Roman" w:hAnsi="Times New Roman" w:cs="Times New Roman"/>
          <w:color w:val="000000"/>
          <w:sz w:val="24"/>
          <w:szCs w:val="24"/>
        </w:rPr>
        <w:t xml:space="preserve"> the time, they could not simply go over to the CCTV desk</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 xml:space="preserve">even if the </w:t>
      </w:r>
      <w:proofErr w:type="spellStart"/>
      <w:r w:rsidR="005F04EC">
        <w:rPr>
          <w:rFonts w:ascii="Times New Roman" w:hAnsi="Times New Roman" w:cs="Times New Roman"/>
          <w:color w:val="000000"/>
          <w:sz w:val="24"/>
          <w:szCs w:val="24"/>
        </w:rPr>
        <w:t>the</w:t>
      </w:r>
      <w:proofErr w:type="spellEnd"/>
      <w:r w:rsid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phones were ringing.</w:t>
      </w:r>
      <w:r w:rsidR="00BC5415">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 xml:space="preserve"> Calls went unanswered. </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The Tribunal</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accepts that with only one member of staff on Careline in the evenings, the</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monitoring service provided by the First Respondent was minimal.</w:t>
      </w:r>
      <w:r w:rsidR="00AF194B">
        <w:rPr>
          <w:rFonts w:ascii="Times New Roman" w:hAnsi="Times New Roman" w:cs="Times New Roman"/>
          <w:color w:val="000000"/>
          <w:sz w:val="24"/>
          <w:szCs w:val="24"/>
        </w:rPr>
        <w:t xml:space="preserve"> </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Whatever the rights or wrongs of the decision taken by the First</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 xml:space="preserve">Respondent, the demand on budgets </w:t>
      </w:r>
      <w:proofErr w:type="gramStart"/>
      <w:r w:rsidRPr="005F04EC">
        <w:rPr>
          <w:rFonts w:ascii="Times New Roman" w:hAnsi="Times New Roman" w:cs="Times New Roman"/>
          <w:color w:val="000000"/>
          <w:sz w:val="24"/>
          <w:szCs w:val="24"/>
        </w:rPr>
        <w:t>are</w:t>
      </w:r>
      <w:proofErr w:type="gramEnd"/>
      <w:r w:rsidRPr="005F04EC">
        <w:rPr>
          <w:rFonts w:ascii="Times New Roman" w:hAnsi="Times New Roman" w:cs="Times New Roman"/>
          <w:color w:val="000000"/>
          <w:sz w:val="24"/>
          <w:szCs w:val="24"/>
        </w:rPr>
        <w:t xml:space="preserve"> such that the money for the</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service disappeared to pay for something else.</w:t>
      </w:r>
      <w:r w:rsidR="00AF194B">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The Tribunal does not</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accept that there was any deliberate action on the First Respondent’s part</w:t>
      </w:r>
      <w:r w:rsidR="001C4B09" w:rsidRPr="005F04EC">
        <w:rPr>
          <w:rFonts w:ascii="Times New Roman" w:hAnsi="Times New Roman" w:cs="Times New Roman"/>
          <w:color w:val="000000"/>
          <w:sz w:val="24"/>
          <w:szCs w:val="24"/>
        </w:rPr>
        <w:t xml:space="preserve"> </w:t>
      </w:r>
      <w:r w:rsidRPr="005F04EC">
        <w:rPr>
          <w:rFonts w:ascii="Times New Roman" w:hAnsi="Times New Roman" w:cs="Times New Roman"/>
          <w:color w:val="000000"/>
          <w:sz w:val="24"/>
          <w:szCs w:val="24"/>
        </w:rPr>
        <w:t>to do this or not fund the service to avoid TUPE applying.</w:t>
      </w:r>
      <w:r w:rsidR="009D7FA6" w:rsidRPr="005F04EC">
        <w:rPr>
          <w:rFonts w:ascii="Times New Roman" w:hAnsi="Times New Roman" w:cs="Times New Roman"/>
          <w:color w:val="000000"/>
          <w:sz w:val="24"/>
          <w:szCs w:val="24"/>
        </w:rPr>
        <w:t>”</w:t>
      </w:r>
    </w:p>
    <w:p w14:paraId="644C3AAD" w14:textId="77777777" w:rsidR="004206BD" w:rsidRPr="00996790" w:rsidRDefault="004206BD" w:rsidP="005F04EC">
      <w:pPr>
        <w:pStyle w:val="ListParagraph"/>
        <w:tabs>
          <w:tab w:val="left" w:pos="0"/>
        </w:tabs>
        <w:ind w:left="851" w:right="850"/>
        <w:contextualSpacing/>
        <w:jc w:val="both"/>
        <w:rPr>
          <w:rFonts w:ascii="Times New Roman" w:hAnsi="Times New Roman" w:cs="Times New Roman"/>
          <w:color w:val="010302"/>
          <w:sz w:val="24"/>
          <w:szCs w:val="24"/>
        </w:rPr>
      </w:pPr>
    </w:p>
    <w:p w14:paraId="0E7D3692" w14:textId="592E2D5E" w:rsidR="00B711EF" w:rsidRPr="000E1A06" w:rsidRDefault="00562798" w:rsidP="00B711EF">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ET returned to this </w:t>
      </w:r>
      <w:r w:rsidR="009413C5" w:rsidRPr="00996790">
        <w:rPr>
          <w:rFonts w:ascii="Times New Roman" w:hAnsi="Times New Roman" w:cs="Times New Roman"/>
          <w:color w:val="010302"/>
          <w:sz w:val="24"/>
          <w:szCs w:val="24"/>
        </w:rPr>
        <w:t xml:space="preserve">topic at paragraphs 28 and 29 when setting out its </w:t>
      </w:r>
      <w:r w:rsidR="009D513F" w:rsidRPr="00996790">
        <w:rPr>
          <w:rFonts w:ascii="Times New Roman" w:hAnsi="Times New Roman" w:cs="Times New Roman"/>
          <w:color w:val="010302"/>
          <w:sz w:val="24"/>
          <w:szCs w:val="24"/>
        </w:rPr>
        <w:t xml:space="preserve">conclusions.  Having noted that </w:t>
      </w:r>
      <w:r w:rsidR="009A4D04" w:rsidRPr="00996790">
        <w:rPr>
          <w:rFonts w:ascii="Times New Roman" w:hAnsi="Times New Roman" w:cs="Times New Roman"/>
          <w:color w:val="010302"/>
          <w:sz w:val="24"/>
          <w:szCs w:val="24"/>
        </w:rPr>
        <w:t xml:space="preserve">the </w:t>
      </w:r>
      <w:r w:rsidR="00CD33C7">
        <w:rPr>
          <w:rFonts w:ascii="Times New Roman" w:hAnsi="Times New Roman" w:cs="Times New Roman"/>
          <w:color w:val="010302"/>
          <w:sz w:val="24"/>
          <w:szCs w:val="24"/>
        </w:rPr>
        <w:t xml:space="preserve">first </w:t>
      </w:r>
      <w:r w:rsidR="009A4D04" w:rsidRPr="00996790">
        <w:rPr>
          <w:rFonts w:ascii="Times New Roman" w:hAnsi="Times New Roman" w:cs="Times New Roman"/>
          <w:color w:val="010302"/>
          <w:sz w:val="24"/>
          <w:szCs w:val="24"/>
        </w:rPr>
        <w:t xml:space="preserve">respondent's case was that </w:t>
      </w:r>
      <w:r w:rsidR="009D7FA6">
        <w:rPr>
          <w:rFonts w:ascii="Times New Roman" w:hAnsi="Times New Roman" w:cs="Times New Roman"/>
          <w:color w:val="010302"/>
          <w:sz w:val="24"/>
          <w:szCs w:val="24"/>
        </w:rPr>
        <w:t>“</w:t>
      </w:r>
      <w:r w:rsidR="009A4D04" w:rsidRPr="00996790">
        <w:rPr>
          <w:rFonts w:ascii="Times New Roman" w:hAnsi="Times New Roman" w:cs="Times New Roman"/>
          <w:color w:val="010302"/>
          <w:sz w:val="24"/>
          <w:szCs w:val="24"/>
        </w:rPr>
        <w:t xml:space="preserve">the activities after the transfer date were fundamentally </w:t>
      </w:r>
      <w:r w:rsidR="00E909B7" w:rsidRPr="00996790">
        <w:rPr>
          <w:rFonts w:ascii="Times New Roman" w:hAnsi="Times New Roman" w:cs="Times New Roman"/>
          <w:color w:val="010302"/>
          <w:sz w:val="24"/>
          <w:szCs w:val="24"/>
        </w:rPr>
        <w:t>different</w:t>
      </w:r>
      <w:r w:rsidR="009D7FA6">
        <w:rPr>
          <w:rFonts w:ascii="Times New Roman" w:hAnsi="Times New Roman" w:cs="Times New Roman"/>
          <w:color w:val="010302"/>
          <w:sz w:val="24"/>
          <w:szCs w:val="24"/>
        </w:rPr>
        <w:t>”</w:t>
      </w:r>
      <w:r w:rsidR="00E909B7" w:rsidRPr="00996790">
        <w:rPr>
          <w:rFonts w:ascii="Times New Roman" w:hAnsi="Times New Roman" w:cs="Times New Roman"/>
          <w:color w:val="010302"/>
          <w:sz w:val="24"/>
          <w:szCs w:val="24"/>
        </w:rPr>
        <w:t>, the ET said as follows:</w:t>
      </w:r>
    </w:p>
    <w:p w14:paraId="61A5EC7E" w14:textId="12EAEBD9" w:rsidR="00D13F30" w:rsidRPr="00AF194B" w:rsidRDefault="009D7FA6" w:rsidP="00AF194B">
      <w:pPr>
        <w:pStyle w:val="ListParagraph"/>
        <w:tabs>
          <w:tab w:val="left" w:pos="0"/>
        </w:tabs>
        <w:ind w:left="851" w:right="850"/>
        <w:contextualSpacing/>
        <w:jc w:val="both"/>
        <w:rPr>
          <w:rFonts w:ascii="Times New Roman" w:hAnsi="Times New Roman" w:cs="Times New Roman"/>
          <w:color w:val="000000"/>
          <w:sz w:val="24"/>
          <w:szCs w:val="24"/>
        </w:rPr>
      </w:pPr>
      <w:r w:rsidRPr="00AF194B">
        <w:rPr>
          <w:rFonts w:ascii="Times New Roman" w:hAnsi="Times New Roman" w:cs="Times New Roman"/>
          <w:color w:val="000000"/>
          <w:sz w:val="24"/>
          <w:szCs w:val="24"/>
        </w:rPr>
        <w:t>“</w:t>
      </w:r>
      <w:r w:rsidR="00D13F30" w:rsidRPr="00AF194B">
        <w:rPr>
          <w:rFonts w:ascii="Times New Roman" w:hAnsi="Times New Roman" w:cs="Times New Roman"/>
          <w:color w:val="000000"/>
          <w:sz w:val="24"/>
          <w:szCs w:val="24"/>
        </w:rPr>
        <w:t>29.  At a high level, the First Respondent was continuing to provide a CCTV</w:t>
      </w:r>
    </w:p>
    <w:p w14:paraId="1F2EDDBE" w14:textId="377A6E46" w:rsidR="00B711EF" w:rsidRPr="00AF194B" w:rsidRDefault="00D13F30" w:rsidP="00AF194B">
      <w:pPr>
        <w:pStyle w:val="ListParagraph"/>
        <w:tabs>
          <w:tab w:val="left" w:pos="0"/>
        </w:tabs>
        <w:ind w:left="851" w:right="850"/>
        <w:contextualSpacing/>
        <w:jc w:val="both"/>
        <w:rPr>
          <w:rFonts w:ascii="Times New Roman" w:hAnsi="Times New Roman" w:cs="Times New Roman"/>
          <w:color w:val="000000"/>
          <w:sz w:val="24"/>
          <w:szCs w:val="24"/>
        </w:rPr>
      </w:pPr>
      <w:r w:rsidRPr="00AF194B">
        <w:rPr>
          <w:rFonts w:ascii="Times New Roman" w:hAnsi="Times New Roman" w:cs="Times New Roman"/>
          <w:color w:val="000000"/>
          <w:sz w:val="24"/>
          <w:szCs w:val="24"/>
        </w:rPr>
        <w:t xml:space="preserve">monitoring service, but this was the extent of any similarity. </w:t>
      </w:r>
      <w:r w:rsid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 xml:space="preserve">It </w:t>
      </w:r>
      <w:r w:rsidRPr="00EA27A8">
        <w:rPr>
          <w:rFonts w:ascii="Times New Roman" w:hAnsi="Times New Roman" w:cs="Times New Roman"/>
          <w:color w:val="000000"/>
          <w:sz w:val="24"/>
          <w:szCs w:val="24"/>
        </w:rPr>
        <w:t>was a</w:t>
      </w:r>
      <w:r w:rsidR="007C51A4" w:rsidRPr="00EA27A8">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fundamentally different service given that the First Respondent no longer</w:t>
      </w:r>
      <w:r w:rsidR="007C51A4" w:rsidRPr="00EA27A8">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engaged a company to provide CCTV operatives and for all the reasons</w:t>
      </w:r>
      <w:r w:rsidR="007C51A4" w:rsidRPr="00EA27A8">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 xml:space="preserve">made clear in the above findings of fact. </w:t>
      </w:r>
      <w:r w:rsidR="00AF194B" w:rsidRPr="00EA27A8">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Not only did the amount of</w:t>
      </w:r>
      <w:r w:rsidR="007C51A4" w:rsidRPr="00EA27A8">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monitoring significantly reduce but the type of monitoring changed</w:t>
      </w:r>
      <w:r w:rsidR="007C51A4" w:rsidRPr="00EA27A8">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 xml:space="preserve">considerably. </w:t>
      </w:r>
      <w:r w:rsidR="00BC5415">
        <w:rPr>
          <w:rFonts w:ascii="Times New Roman" w:hAnsi="Times New Roman" w:cs="Times New Roman"/>
          <w:color w:val="000000"/>
          <w:sz w:val="24"/>
          <w:szCs w:val="24"/>
        </w:rPr>
        <w:t xml:space="preserve"> </w:t>
      </w:r>
      <w:r w:rsidRPr="00EA27A8">
        <w:rPr>
          <w:rFonts w:ascii="Times New Roman" w:hAnsi="Times New Roman" w:cs="Times New Roman"/>
          <w:color w:val="000000"/>
          <w:sz w:val="24"/>
          <w:szCs w:val="24"/>
        </w:rPr>
        <w:t>Cameras were not checked and there</w:t>
      </w:r>
      <w:r w:rsidRPr="00AF194B">
        <w:rPr>
          <w:rFonts w:ascii="Times New Roman" w:hAnsi="Times New Roman" w:cs="Times New Roman"/>
          <w:color w:val="000000"/>
          <w:sz w:val="24"/>
          <w:szCs w:val="24"/>
        </w:rPr>
        <w:t xml:space="preserve"> was no routine</w:t>
      </w:r>
      <w:r w:rsidR="007C51A4" w:rsidRP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 xml:space="preserve">surveillance of areas in which the cameras were situated. </w:t>
      </w:r>
      <w:r w:rsid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Calls from the</w:t>
      </w:r>
      <w:r w:rsidR="007C51A4" w:rsidRP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police and public remained unanswered as this was no longer a service that</w:t>
      </w:r>
      <w:r w:rsidR="007C51A4" w:rsidRP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the First Respondent could routinely provide. Proactive support, which</w:t>
      </w:r>
      <w:r w:rsidR="007C51A4" w:rsidRP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played such a large part of the Claimant’s role, had disappeared over night.</w:t>
      </w:r>
      <w:r w:rsidR="00BC5415">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The above picture is supported by the logs and there is a stark difference in</w:t>
      </w:r>
      <w:r w:rsidR="007C51A4" w:rsidRPr="00AF194B">
        <w:rPr>
          <w:rFonts w:ascii="Times New Roman" w:hAnsi="Times New Roman" w:cs="Times New Roman"/>
          <w:color w:val="000000"/>
          <w:sz w:val="24"/>
          <w:szCs w:val="24"/>
        </w:rPr>
        <w:t xml:space="preserve"> </w:t>
      </w:r>
      <w:r w:rsidRPr="00AF194B">
        <w:rPr>
          <w:rFonts w:ascii="Times New Roman" w:hAnsi="Times New Roman" w:cs="Times New Roman"/>
          <w:color w:val="000000"/>
          <w:sz w:val="24"/>
          <w:szCs w:val="24"/>
        </w:rPr>
        <w:t>the activities logged pre and post 30 June 2018.</w:t>
      </w:r>
      <w:r w:rsidR="009D7FA6" w:rsidRPr="00AF194B">
        <w:rPr>
          <w:rFonts w:ascii="Times New Roman" w:hAnsi="Times New Roman" w:cs="Times New Roman"/>
          <w:color w:val="000000"/>
          <w:sz w:val="24"/>
          <w:szCs w:val="24"/>
        </w:rPr>
        <w:t>”</w:t>
      </w:r>
    </w:p>
    <w:p w14:paraId="03D7EAEC" w14:textId="77777777" w:rsidR="00B711EF" w:rsidRPr="00996790" w:rsidRDefault="00B711EF" w:rsidP="00B711EF">
      <w:pPr>
        <w:pStyle w:val="ListParagraph"/>
        <w:tabs>
          <w:tab w:val="left" w:pos="0"/>
        </w:tabs>
        <w:spacing w:line="480" w:lineRule="auto"/>
        <w:contextualSpacing/>
        <w:jc w:val="both"/>
        <w:rPr>
          <w:rFonts w:ascii="Times New Roman" w:hAnsi="Times New Roman" w:cs="Times New Roman"/>
          <w:color w:val="010302"/>
          <w:sz w:val="24"/>
          <w:szCs w:val="24"/>
        </w:rPr>
      </w:pPr>
    </w:p>
    <w:p w14:paraId="503CC5C1" w14:textId="786C1F7E" w:rsidR="00B711EF" w:rsidRPr="00996790" w:rsidRDefault="00C37C1D" w:rsidP="00F37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ET then went on to explain </w:t>
      </w:r>
      <w:r w:rsidR="0066626A" w:rsidRPr="00996790">
        <w:rPr>
          <w:rFonts w:ascii="Times New Roman" w:hAnsi="Times New Roman" w:cs="Times New Roman"/>
          <w:color w:val="010302"/>
          <w:sz w:val="24"/>
          <w:szCs w:val="24"/>
        </w:rPr>
        <w:t xml:space="preserve">that given this finding, it </w:t>
      </w:r>
      <w:r w:rsidR="00000388" w:rsidRPr="00996790">
        <w:rPr>
          <w:rFonts w:ascii="Times New Roman" w:hAnsi="Times New Roman" w:cs="Times New Roman"/>
          <w:color w:val="010302"/>
          <w:sz w:val="24"/>
          <w:szCs w:val="24"/>
        </w:rPr>
        <w:t xml:space="preserve">did not need to determine the secondary </w:t>
      </w:r>
      <w:r w:rsidR="00A41756" w:rsidRPr="00996790">
        <w:rPr>
          <w:rFonts w:ascii="Times New Roman" w:hAnsi="Times New Roman" w:cs="Times New Roman"/>
          <w:color w:val="010302"/>
          <w:sz w:val="24"/>
          <w:szCs w:val="24"/>
        </w:rPr>
        <w:t>contention regarding short duration</w:t>
      </w:r>
      <w:r w:rsidR="00347957" w:rsidRPr="00996790">
        <w:rPr>
          <w:rFonts w:ascii="Times New Roman" w:hAnsi="Times New Roman" w:cs="Times New Roman"/>
          <w:color w:val="010302"/>
          <w:sz w:val="24"/>
          <w:szCs w:val="24"/>
        </w:rPr>
        <w:t xml:space="preserve">.  </w:t>
      </w:r>
      <w:r w:rsidR="00C01314" w:rsidRPr="00996790">
        <w:rPr>
          <w:rFonts w:ascii="Times New Roman" w:hAnsi="Times New Roman" w:cs="Times New Roman"/>
          <w:color w:val="010302"/>
          <w:sz w:val="24"/>
          <w:szCs w:val="24"/>
        </w:rPr>
        <w:t xml:space="preserve">Then, at paragraph 31 the ET observed that as there was </w:t>
      </w:r>
      <w:r w:rsidR="00381EE9" w:rsidRPr="00996790">
        <w:rPr>
          <w:rFonts w:ascii="Times New Roman" w:hAnsi="Times New Roman" w:cs="Times New Roman"/>
          <w:color w:val="010302"/>
          <w:sz w:val="24"/>
          <w:szCs w:val="24"/>
        </w:rPr>
        <w:t xml:space="preserve">no TUPE transfer, the sole or principal reason for the </w:t>
      </w:r>
      <w:r w:rsidR="003D49B4" w:rsidRPr="00996790">
        <w:rPr>
          <w:rFonts w:ascii="Times New Roman" w:hAnsi="Times New Roman" w:cs="Times New Roman"/>
          <w:color w:val="010302"/>
          <w:sz w:val="24"/>
          <w:szCs w:val="24"/>
        </w:rPr>
        <w:t xml:space="preserve">claimant's dismissal was not a TUPE transfer and therefore the claim for automatic </w:t>
      </w:r>
      <w:r w:rsidR="00B30D3F" w:rsidRPr="00996790">
        <w:rPr>
          <w:rFonts w:ascii="Times New Roman" w:hAnsi="Times New Roman" w:cs="Times New Roman"/>
          <w:color w:val="010302"/>
          <w:sz w:val="24"/>
          <w:szCs w:val="24"/>
        </w:rPr>
        <w:t xml:space="preserve">unfair dismissal </w:t>
      </w:r>
      <w:r w:rsidR="0072644E" w:rsidRPr="00996790">
        <w:rPr>
          <w:rFonts w:ascii="Times New Roman" w:hAnsi="Times New Roman" w:cs="Times New Roman"/>
          <w:color w:val="010302"/>
          <w:sz w:val="24"/>
          <w:szCs w:val="24"/>
        </w:rPr>
        <w:t xml:space="preserve">must fail.  </w:t>
      </w:r>
    </w:p>
    <w:p w14:paraId="67010F18" w14:textId="2F917F38" w:rsidR="004C133F" w:rsidRPr="008D2B6F" w:rsidRDefault="004C133F" w:rsidP="004C133F">
      <w:pPr>
        <w:pStyle w:val="ListParagraph"/>
        <w:tabs>
          <w:tab w:val="left" w:pos="0"/>
        </w:tabs>
        <w:spacing w:line="480" w:lineRule="auto"/>
        <w:contextualSpacing/>
        <w:jc w:val="both"/>
        <w:rPr>
          <w:rFonts w:ascii="Times New Roman" w:hAnsi="Times New Roman" w:cs="Times New Roman"/>
          <w:b/>
          <w:bCs/>
          <w:color w:val="010302"/>
          <w:sz w:val="24"/>
          <w:szCs w:val="24"/>
          <w:u w:val="single"/>
        </w:rPr>
      </w:pPr>
      <w:r w:rsidRPr="008D2B6F">
        <w:rPr>
          <w:rFonts w:ascii="Times New Roman" w:hAnsi="Times New Roman" w:cs="Times New Roman"/>
          <w:b/>
          <w:bCs/>
          <w:color w:val="010302"/>
          <w:sz w:val="24"/>
          <w:szCs w:val="24"/>
          <w:u w:val="single"/>
        </w:rPr>
        <w:t>Relevant law</w:t>
      </w:r>
    </w:p>
    <w:p w14:paraId="100B7982" w14:textId="121FC572" w:rsidR="002F6117" w:rsidRPr="000E1A06" w:rsidRDefault="004C133F" w:rsidP="002F6117">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8D2B6F">
        <w:rPr>
          <w:rFonts w:ascii="Times New Roman" w:hAnsi="Times New Roman" w:cs="Times New Roman"/>
          <w:b/>
          <w:bCs/>
          <w:color w:val="010302"/>
          <w:sz w:val="24"/>
          <w:szCs w:val="24"/>
        </w:rPr>
        <w:t>Regulation 2(1) TUPE</w:t>
      </w:r>
      <w:r w:rsidRPr="00996790">
        <w:rPr>
          <w:rFonts w:ascii="Times New Roman" w:hAnsi="Times New Roman" w:cs="Times New Roman"/>
          <w:color w:val="010302"/>
          <w:sz w:val="24"/>
          <w:szCs w:val="24"/>
        </w:rPr>
        <w:t xml:space="preserve"> provides</w:t>
      </w:r>
      <w:r w:rsidR="005C200C" w:rsidRPr="00996790">
        <w:rPr>
          <w:rFonts w:ascii="Times New Roman" w:hAnsi="Times New Roman" w:cs="Times New Roman"/>
          <w:color w:val="010302"/>
          <w:sz w:val="24"/>
          <w:szCs w:val="24"/>
        </w:rPr>
        <w:t xml:space="preserve"> that a </w:t>
      </w:r>
      <w:r w:rsidR="00CE4D5D">
        <w:rPr>
          <w:rFonts w:ascii="Times New Roman" w:hAnsi="Times New Roman" w:cs="Times New Roman"/>
          <w:color w:val="010302"/>
          <w:sz w:val="24"/>
          <w:szCs w:val="24"/>
        </w:rPr>
        <w:t>“</w:t>
      </w:r>
      <w:r w:rsidR="00124AD8" w:rsidRPr="00996790">
        <w:rPr>
          <w:rFonts w:ascii="Times New Roman" w:hAnsi="Times New Roman" w:cs="Times New Roman"/>
          <w:color w:val="010302"/>
          <w:sz w:val="24"/>
          <w:szCs w:val="24"/>
        </w:rPr>
        <w:t>relevant transfer</w:t>
      </w:r>
      <w:r w:rsidR="00CE4D5D">
        <w:rPr>
          <w:rFonts w:ascii="Times New Roman" w:hAnsi="Times New Roman" w:cs="Times New Roman"/>
          <w:color w:val="010302"/>
          <w:sz w:val="24"/>
          <w:szCs w:val="24"/>
        </w:rPr>
        <w:t>”</w:t>
      </w:r>
      <w:r w:rsidR="00124AD8" w:rsidRPr="00996790">
        <w:rPr>
          <w:rFonts w:ascii="Times New Roman" w:hAnsi="Times New Roman" w:cs="Times New Roman"/>
          <w:color w:val="010302"/>
          <w:sz w:val="24"/>
          <w:szCs w:val="24"/>
        </w:rPr>
        <w:t xml:space="preserve"> means a </w:t>
      </w:r>
      <w:proofErr w:type="gramStart"/>
      <w:r w:rsidR="00124AD8" w:rsidRPr="00996790">
        <w:rPr>
          <w:rFonts w:ascii="Times New Roman" w:hAnsi="Times New Roman" w:cs="Times New Roman"/>
          <w:color w:val="010302"/>
          <w:sz w:val="24"/>
          <w:szCs w:val="24"/>
        </w:rPr>
        <w:t>transfer</w:t>
      </w:r>
      <w:proofErr w:type="gramEnd"/>
      <w:r w:rsidR="00124AD8" w:rsidRPr="00996790">
        <w:rPr>
          <w:rFonts w:ascii="Times New Roman" w:hAnsi="Times New Roman" w:cs="Times New Roman"/>
          <w:color w:val="010302"/>
          <w:sz w:val="24"/>
          <w:szCs w:val="24"/>
        </w:rPr>
        <w:t xml:space="preserve"> or a service provision change to which the </w:t>
      </w:r>
      <w:r w:rsidR="005F026E">
        <w:rPr>
          <w:rFonts w:ascii="Times New Roman" w:hAnsi="Times New Roman" w:cs="Times New Roman"/>
          <w:color w:val="010302"/>
          <w:sz w:val="24"/>
          <w:szCs w:val="24"/>
        </w:rPr>
        <w:t>R</w:t>
      </w:r>
      <w:r w:rsidR="00124AD8" w:rsidRPr="00996790">
        <w:rPr>
          <w:rFonts w:ascii="Times New Roman" w:hAnsi="Times New Roman" w:cs="Times New Roman"/>
          <w:color w:val="010302"/>
          <w:sz w:val="24"/>
          <w:szCs w:val="24"/>
        </w:rPr>
        <w:t>egulations apply in accordance with regulation 3</w:t>
      </w:r>
      <w:r w:rsidR="003B6990" w:rsidRPr="00996790">
        <w:rPr>
          <w:rFonts w:ascii="Times New Roman" w:hAnsi="Times New Roman" w:cs="Times New Roman"/>
          <w:color w:val="010302"/>
          <w:sz w:val="24"/>
          <w:szCs w:val="24"/>
        </w:rPr>
        <w:t xml:space="preserve">.  </w:t>
      </w:r>
      <w:r w:rsidR="007C3DDB" w:rsidRPr="00996790">
        <w:rPr>
          <w:rFonts w:ascii="Times New Roman" w:hAnsi="Times New Roman" w:cs="Times New Roman"/>
          <w:color w:val="010302"/>
          <w:sz w:val="24"/>
          <w:szCs w:val="24"/>
        </w:rPr>
        <w:t>As relevant</w:t>
      </w:r>
      <w:r w:rsidR="002F6117" w:rsidRPr="00996790">
        <w:rPr>
          <w:rFonts w:ascii="Times New Roman" w:hAnsi="Times New Roman" w:cs="Times New Roman"/>
          <w:color w:val="010302"/>
          <w:sz w:val="24"/>
          <w:szCs w:val="24"/>
        </w:rPr>
        <w:t>,</w:t>
      </w:r>
      <w:r w:rsidR="007C3DDB" w:rsidRPr="00996790">
        <w:rPr>
          <w:rFonts w:ascii="Times New Roman" w:hAnsi="Times New Roman" w:cs="Times New Roman"/>
          <w:color w:val="010302"/>
          <w:sz w:val="24"/>
          <w:szCs w:val="24"/>
        </w:rPr>
        <w:t xml:space="preserve"> </w:t>
      </w:r>
      <w:r w:rsidR="007C3DDB" w:rsidRPr="00BB7065">
        <w:rPr>
          <w:rFonts w:ascii="Times New Roman" w:hAnsi="Times New Roman" w:cs="Times New Roman"/>
          <w:b/>
          <w:bCs/>
          <w:color w:val="010302"/>
          <w:sz w:val="24"/>
          <w:szCs w:val="24"/>
        </w:rPr>
        <w:t>regulation 3</w:t>
      </w:r>
      <w:r w:rsidR="007C3DDB" w:rsidRPr="00996790">
        <w:rPr>
          <w:rFonts w:ascii="Times New Roman" w:hAnsi="Times New Roman" w:cs="Times New Roman"/>
          <w:color w:val="010302"/>
          <w:sz w:val="24"/>
          <w:szCs w:val="24"/>
        </w:rPr>
        <w:t xml:space="preserve"> states: </w:t>
      </w:r>
    </w:p>
    <w:p w14:paraId="2C2F5693" w14:textId="23D614C9" w:rsidR="006C3B7F" w:rsidRPr="00CE4D5D" w:rsidRDefault="001C5CD9" w:rsidP="00CE4D5D">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E4D5D">
        <w:rPr>
          <w:rFonts w:ascii="Times New Roman" w:hAnsi="Times New Roman" w:cs="Times New Roman"/>
          <w:color w:val="000000"/>
          <w:sz w:val="24"/>
          <w:szCs w:val="24"/>
        </w:rPr>
        <w:t>3</w:t>
      </w:r>
      <w:r w:rsidR="006C3B7F" w:rsidRPr="00CE4D5D">
        <w:rPr>
          <w:rFonts w:ascii="Times New Roman" w:hAnsi="Times New Roman" w:cs="Times New Roman"/>
          <w:color w:val="000000"/>
          <w:sz w:val="24"/>
          <w:szCs w:val="24"/>
        </w:rPr>
        <w:t>.</w:t>
      </w:r>
      <w:proofErr w:type="gramStart"/>
      <w:r w:rsidR="006C3B7F" w:rsidRPr="00CE4D5D">
        <w:rPr>
          <w:rFonts w:ascii="Times New Roman" w:hAnsi="Times New Roman" w:cs="Times New Roman"/>
          <w:color w:val="000000"/>
          <w:sz w:val="24"/>
          <w:szCs w:val="24"/>
        </w:rPr>
        <w:t>—(</w:t>
      </w:r>
      <w:proofErr w:type="gramEnd"/>
      <w:r w:rsidR="006C3B7F" w:rsidRPr="00CE4D5D">
        <w:rPr>
          <w:rFonts w:ascii="Times New Roman" w:hAnsi="Times New Roman" w:cs="Times New Roman"/>
          <w:color w:val="000000"/>
          <w:sz w:val="24"/>
          <w:szCs w:val="24"/>
        </w:rPr>
        <w:t>1) These Regulations apply to—</w:t>
      </w:r>
    </w:p>
    <w:p w14:paraId="6E4CA7AC" w14:textId="5490DE82" w:rsidR="006C3B7F" w:rsidRPr="00CE4D5D" w:rsidRDefault="006C3B7F"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w:t>
      </w:r>
    </w:p>
    <w:p w14:paraId="0DC962C8" w14:textId="1D439D96" w:rsidR="006C3B7F" w:rsidRPr="00CE4D5D" w:rsidRDefault="006C3B7F"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(b)</w:t>
      </w:r>
      <w:r w:rsid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 xml:space="preserve"> a service provision change, that is a situation in which</w:t>
      </w:r>
      <w:bookmarkStart w:id="0" w:name="_Hlk110850317"/>
      <w:r w:rsidRPr="00CE4D5D">
        <w:rPr>
          <w:rFonts w:ascii="Times New Roman" w:hAnsi="Times New Roman" w:cs="Times New Roman"/>
          <w:color w:val="000000"/>
          <w:sz w:val="24"/>
          <w:szCs w:val="24"/>
        </w:rPr>
        <w:t>—</w:t>
      </w:r>
      <w:bookmarkEnd w:id="0"/>
    </w:p>
    <w:p w14:paraId="6B816FD1" w14:textId="46F453A4" w:rsidR="006C3B7F" w:rsidRPr="00CE4D5D" w:rsidRDefault="006C3B7F"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 xml:space="preserve"> ... </w:t>
      </w:r>
    </w:p>
    <w:p w14:paraId="55809BF5" w14:textId="6529AFBC" w:rsidR="006C3B7F" w:rsidRPr="00CE4D5D" w:rsidRDefault="006C3B7F"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 xml:space="preserve">(iii) </w:t>
      </w:r>
      <w:r w:rsidR="00E05AF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activities cease to be carried out by a contractor or a subsequent contractor on a client’s behalf (</w:t>
      </w:r>
      <w:proofErr w:type="gramStart"/>
      <w:r w:rsidRPr="00CE4D5D">
        <w:rPr>
          <w:rFonts w:ascii="Times New Roman" w:hAnsi="Times New Roman" w:cs="Times New Roman"/>
          <w:color w:val="000000"/>
          <w:sz w:val="24"/>
          <w:szCs w:val="24"/>
        </w:rPr>
        <w:t>whether or not</w:t>
      </w:r>
      <w:proofErr w:type="gramEnd"/>
      <w:r w:rsidRPr="00CE4D5D">
        <w:rPr>
          <w:rFonts w:ascii="Times New Roman" w:hAnsi="Times New Roman" w:cs="Times New Roman"/>
          <w:color w:val="000000"/>
          <w:sz w:val="24"/>
          <w:szCs w:val="24"/>
        </w:rPr>
        <w:t xml:space="preserve"> those activities had previously been carried out by the client on his own behalf) and are carried out instead by the client on his own behalf,</w:t>
      </w:r>
    </w:p>
    <w:p w14:paraId="1E983E56" w14:textId="77777777" w:rsidR="006C3B7F" w:rsidRPr="00CE4D5D" w:rsidRDefault="006C3B7F" w:rsidP="00CE4D5D">
      <w:pPr>
        <w:pStyle w:val="ListParagraph"/>
        <w:tabs>
          <w:tab w:val="left" w:pos="0"/>
        </w:tabs>
        <w:ind w:left="851" w:right="850"/>
        <w:contextualSpacing/>
        <w:jc w:val="both"/>
        <w:rPr>
          <w:rFonts w:ascii="Times New Roman" w:hAnsi="Times New Roman" w:cs="Times New Roman"/>
          <w:color w:val="000000"/>
          <w:sz w:val="24"/>
          <w:szCs w:val="24"/>
        </w:rPr>
      </w:pPr>
    </w:p>
    <w:p w14:paraId="6493294E" w14:textId="2D5D70E7" w:rsidR="005B325A" w:rsidRDefault="006C3B7F"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and in which the conditions set out in paragraph (3) are satisfied.</w:t>
      </w:r>
    </w:p>
    <w:p w14:paraId="74C10776" w14:textId="7AFA09C9" w:rsidR="004A53D7" w:rsidRPr="00CE4D5D" w:rsidRDefault="0007540F" w:rsidP="00CE4D5D">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1282A3E9" w14:textId="77777777" w:rsidR="005B325A" w:rsidRPr="00CE4D5D"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p>
    <w:p w14:paraId="6EF555FA" w14:textId="46400D81" w:rsidR="005B325A"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(2</w:t>
      </w:r>
      <w:proofErr w:type="gramStart"/>
      <w:r w:rsidRPr="00CE4D5D">
        <w:rPr>
          <w:rFonts w:ascii="Times New Roman" w:hAnsi="Times New Roman" w:cs="Times New Roman"/>
          <w:color w:val="000000"/>
          <w:sz w:val="24"/>
          <w:szCs w:val="24"/>
        </w:rPr>
        <w:t xml:space="preserve">A) </w:t>
      </w:r>
      <w:r w:rsidR="00E05AF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References</w:t>
      </w:r>
      <w:proofErr w:type="gramEnd"/>
      <w:r w:rsidRPr="00CE4D5D">
        <w:rPr>
          <w:rFonts w:ascii="Times New Roman" w:hAnsi="Times New Roman" w:cs="Times New Roman"/>
          <w:color w:val="000000"/>
          <w:sz w:val="24"/>
          <w:szCs w:val="24"/>
        </w:rPr>
        <w:t xml:space="preserve"> in paragraph 1(b) to activities being carried out instead by another</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person (including the client) are to activities which are fundamentally the same as the</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activities carried out by the person who has ceased to carry them out.</w:t>
      </w:r>
    </w:p>
    <w:p w14:paraId="58F23589" w14:textId="77777777" w:rsidR="00E05AFD" w:rsidRPr="00CE4D5D" w:rsidRDefault="00E05AFD" w:rsidP="00CE4D5D">
      <w:pPr>
        <w:pStyle w:val="ListParagraph"/>
        <w:tabs>
          <w:tab w:val="left" w:pos="0"/>
        </w:tabs>
        <w:ind w:left="851" w:right="850"/>
        <w:contextualSpacing/>
        <w:jc w:val="both"/>
        <w:rPr>
          <w:rFonts w:ascii="Times New Roman" w:hAnsi="Times New Roman" w:cs="Times New Roman"/>
          <w:color w:val="000000"/>
          <w:sz w:val="24"/>
          <w:szCs w:val="24"/>
        </w:rPr>
      </w:pPr>
    </w:p>
    <w:p w14:paraId="54F039C0" w14:textId="4B07BD80" w:rsidR="005B325A"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 xml:space="preserve">(3) </w:t>
      </w:r>
      <w:r w:rsid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The conditions referred to in paragraph (1)(b) are that</w:t>
      </w:r>
      <w:r w:rsidR="00E05AFD" w:rsidRPr="00E05AFD">
        <w:rPr>
          <w:rFonts w:ascii="Times New Roman" w:hAnsi="Times New Roman" w:cs="Times New Roman"/>
          <w:color w:val="000000"/>
          <w:sz w:val="24"/>
          <w:szCs w:val="24"/>
        </w:rPr>
        <w:t>—</w:t>
      </w:r>
    </w:p>
    <w:p w14:paraId="1E5B7C4F" w14:textId="77777777" w:rsidR="00E05AFD" w:rsidRPr="00CE4D5D" w:rsidRDefault="00E05AFD" w:rsidP="00CE4D5D">
      <w:pPr>
        <w:pStyle w:val="ListParagraph"/>
        <w:tabs>
          <w:tab w:val="left" w:pos="0"/>
        </w:tabs>
        <w:ind w:left="851" w:right="850"/>
        <w:contextualSpacing/>
        <w:jc w:val="both"/>
        <w:rPr>
          <w:rFonts w:ascii="Times New Roman" w:hAnsi="Times New Roman" w:cs="Times New Roman"/>
          <w:color w:val="000000"/>
          <w:sz w:val="24"/>
          <w:szCs w:val="24"/>
        </w:rPr>
      </w:pPr>
    </w:p>
    <w:p w14:paraId="1EE4642D" w14:textId="3DEDF4DA" w:rsidR="005B325A"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 xml:space="preserve">(a) </w:t>
      </w:r>
      <w:r w:rsidR="00E05AFD">
        <w:rPr>
          <w:rFonts w:ascii="Times New Roman" w:hAnsi="Times New Roman" w:cs="Times New Roman"/>
          <w:color w:val="000000"/>
          <w:sz w:val="24"/>
          <w:szCs w:val="24"/>
        </w:rPr>
        <w:t xml:space="preserve"> </w:t>
      </w:r>
      <w:r w:rsidR="0007540F">
        <w:rPr>
          <w:rFonts w:ascii="Times New Roman" w:hAnsi="Times New Roman" w:cs="Times New Roman"/>
          <w:color w:val="000000"/>
          <w:sz w:val="24"/>
          <w:szCs w:val="24"/>
        </w:rPr>
        <w:t>i</w:t>
      </w:r>
      <w:r w:rsidRPr="00CE4D5D">
        <w:rPr>
          <w:rFonts w:ascii="Times New Roman" w:hAnsi="Times New Roman" w:cs="Times New Roman"/>
          <w:color w:val="000000"/>
          <w:sz w:val="24"/>
          <w:szCs w:val="24"/>
        </w:rPr>
        <w:t>mmediately before the service provision change</w:t>
      </w:r>
      <w:r w:rsidR="00E05AFD" w:rsidRPr="00E05AFD">
        <w:rPr>
          <w:rFonts w:ascii="Times New Roman" w:hAnsi="Times New Roman" w:cs="Times New Roman"/>
          <w:color w:val="000000"/>
          <w:sz w:val="24"/>
          <w:szCs w:val="24"/>
        </w:rPr>
        <w:t>—</w:t>
      </w:r>
    </w:p>
    <w:p w14:paraId="50C6478A" w14:textId="77777777" w:rsidR="00E05AFD" w:rsidRPr="00CE4D5D" w:rsidRDefault="00E05AFD" w:rsidP="00CE4D5D">
      <w:pPr>
        <w:pStyle w:val="ListParagraph"/>
        <w:tabs>
          <w:tab w:val="left" w:pos="0"/>
        </w:tabs>
        <w:ind w:left="851" w:right="850"/>
        <w:contextualSpacing/>
        <w:jc w:val="both"/>
        <w:rPr>
          <w:rFonts w:ascii="Times New Roman" w:hAnsi="Times New Roman" w:cs="Times New Roman"/>
          <w:color w:val="000000"/>
          <w:sz w:val="24"/>
          <w:szCs w:val="24"/>
        </w:rPr>
      </w:pPr>
    </w:p>
    <w:p w14:paraId="4D2F04B9" w14:textId="4BAF64DB" w:rsidR="005B325A"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w:t>
      </w:r>
      <w:proofErr w:type="spellStart"/>
      <w:r w:rsidRPr="00CE4D5D">
        <w:rPr>
          <w:rFonts w:ascii="Times New Roman" w:hAnsi="Times New Roman" w:cs="Times New Roman"/>
          <w:color w:val="000000"/>
          <w:sz w:val="24"/>
          <w:szCs w:val="24"/>
        </w:rPr>
        <w:t>i</w:t>
      </w:r>
      <w:proofErr w:type="spellEnd"/>
      <w:r w:rsidRPr="00CE4D5D">
        <w:rPr>
          <w:rFonts w:ascii="Times New Roman" w:hAnsi="Times New Roman" w:cs="Times New Roman"/>
          <w:color w:val="000000"/>
          <w:sz w:val="24"/>
          <w:szCs w:val="24"/>
        </w:rPr>
        <w:t xml:space="preserve">) </w:t>
      </w:r>
      <w:r w:rsid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there is an organised grouping of employees situated in Great Britain which</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has as its principal purpose the carrying out of the activities concerned on behalf</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 xml:space="preserve">of the </w:t>
      </w:r>
      <w:proofErr w:type="gramStart"/>
      <w:r w:rsidRPr="00CE4D5D">
        <w:rPr>
          <w:rFonts w:ascii="Times New Roman" w:hAnsi="Times New Roman" w:cs="Times New Roman"/>
          <w:color w:val="000000"/>
          <w:sz w:val="24"/>
          <w:szCs w:val="24"/>
        </w:rPr>
        <w:t>client;</w:t>
      </w:r>
      <w:proofErr w:type="gramEnd"/>
    </w:p>
    <w:p w14:paraId="22BCF642" w14:textId="77777777" w:rsidR="00E05AFD" w:rsidRPr="00CE4D5D" w:rsidRDefault="00E05AFD" w:rsidP="00CE4D5D">
      <w:pPr>
        <w:pStyle w:val="ListParagraph"/>
        <w:tabs>
          <w:tab w:val="left" w:pos="0"/>
        </w:tabs>
        <w:ind w:left="851" w:right="850"/>
        <w:contextualSpacing/>
        <w:jc w:val="both"/>
        <w:rPr>
          <w:rFonts w:ascii="Times New Roman" w:hAnsi="Times New Roman" w:cs="Times New Roman"/>
          <w:color w:val="000000"/>
          <w:sz w:val="24"/>
          <w:szCs w:val="24"/>
        </w:rPr>
      </w:pPr>
    </w:p>
    <w:p w14:paraId="7C291B1E" w14:textId="04DE6219" w:rsidR="005B325A"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(ii)</w:t>
      </w:r>
      <w:r w:rsidR="00285515">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 xml:space="preserve"> the client intends that the activities will, following the service provision change,</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be carried out by the transferee other than in connection with a single specific</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event or task of short-term duration; and</w:t>
      </w:r>
    </w:p>
    <w:p w14:paraId="43C910FE" w14:textId="77777777" w:rsidR="00285515" w:rsidRPr="00285515" w:rsidRDefault="00285515" w:rsidP="00285515">
      <w:pPr>
        <w:pStyle w:val="ListParagraph"/>
        <w:tabs>
          <w:tab w:val="left" w:pos="0"/>
        </w:tabs>
        <w:ind w:left="851" w:right="850"/>
        <w:contextualSpacing/>
        <w:jc w:val="both"/>
        <w:rPr>
          <w:rFonts w:ascii="Times New Roman" w:hAnsi="Times New Roman" w:cs="Times New Roman"/>
          <w:color w:val="000000"/>
          <w:sz w:val="24"/>
          <w:szCs w:val="24"/>
        </w:rPr>
      </w:pPr>
    </w:p>
    <w:p w14:paraId="579E1F2F" w14:textId="1C48CF4D" w:rsidR="002F6117" w:rsidRPr="00CE4D5D" w:rsidRDefault="005B325A" w:rsidP="00CE4D5D">
      <w:pPr>
        <w:pStyle w:val="ListParagraph"/>
        <w:tabs>
          <w:tab w:val="left" w:pos="0"/>
        </w:tabs>
        <w:ind w:left="851" w:right="850"/>
        <w:contextualSpacing/>
        <w:jc w:val="both"/>
        <w:rPr>
          <w:rFonts w:ascii="Times New Roman" w:hAnsi="Times New Roman" w:cs="Times New Roman"/>
          <w:color w:val="000000"/>
          <w:sz w:val="24"/>
          <w:szCs w:val="24"/>
        </w:rPr>
      </w:pPr>
      <w:r w:rsidRPr="00CE4D5D">
        <w:rPr>
          <w:rFonts w:ascii="Times New Roman" w:hAnsi="Times New Roman" w:cs="Times New Roman"/>
          <w:color w:val="000000"/>
          <w:sz w:val="24"/>
          <w:szCs w:val="24"/>
        </w:rPr>
        <w:t>(</w:t>
      </w:r>
      <w:r w:rsidR="00207A7C">
        <w:rPr>
          <w:rFonts w:ascii="Times New Roman" w:hAnsi="Times New Roman" w:cs="Times New Roman"/>
          <w:color w:val="000000"/>
          <w:sz w:val="24"/>
          <w:szCs w:val="24"/>
        </w:rPr>
        <w:t>b</w:t>
      </w:r>
      <w:r w:rsidRPr="00CE4D5D">
        <w:rPr>
          <w:rFonts w:ascii="Times New Roman" w:hAnsi="Times New Roman" w:cs="Times New Roman"/>
          <w:color w:val="000000"/>
          <w:sz w:val="24"/>
          <w:szCs w:val="24"/>
        </w:rPr>
        <w:t xml:space="preserve">) </w:t>
      </w:r>
      <w:r w:rsid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the activities concerned do not consist wholly or mainly of the supply of goods</w:t>
      </w:r>
      <w:r w:rsidR="005C3E22" w:rsidRPr="00CE4D5D">
        <w:rPr>
          <w:rFonts w:ascii="Times New Roman" w:hAnsi="Times New Roman" w:cs="Times New Roman"/>
          <w:color w:val="000000"/>
          <w:sz w:val="24"/>
          <w:szCs w:val="24"/>
        </w:rPr>
        <w:t xml:space="preserve"> </w:t>
      </w:r>
      <w:r w:rsidRPr="00CE4D5D">
        <w:rPr>
          <w:rFonts w:ascii="Times New Roman" w:hAnsi="Times New Roman" w:cs="Times New Roman"/>
          <w:color w:val="000000"/>
          <w:sz w:val="24"/>
          <w:szCs w:val="24"/>
        </w:rPr>
        <w:t>for the client's use.</w:t>
      </w:r>
      <w:r w:rsidR="00285515">
        <w:rPr>
          <w:rFonts w:ascii="Times New Roman" w:hAnsi="Times New Roman" w:cs="Times New Roman"/>
          <w:color w:val="000000"/>
          <w:sz w:val="24"/>
          <w:szCs w:val="24"/>
        </w:rPr>
        <w:t>”</w:t>
      </w:r>
    </w:p>
    <w:p w14:paraId="111DD5FB" w14:textId="77777777" w:rsidR="002F6117" w:rsidRPr="00996790" w:rsidRDefault="002F6117" w:rsidP="002F6117">
      <w:pPr>
        <w:pStyle w:val="ListParagraph"/>
        <w:tabs>
          <w:tab w:val="left" w:pos="0"/>
        </w:tabs>
        <w:spacing w:line="480" w:lineRule="auto"/>
        <w:contextualSpacing/>
        <w:jc w:val="both"/>
        <w:rPr>
          <w:rFonts w:ascii="Times New Roman" w:hAnsi="Times New Roman" w:cs="Times New Roman"/>
          <w:color w:val="010302"/>
          <w:sz w:val="24"/>
          <w:szCs w:val="24"/>
        </w:rPr>
      </w:pPr>
    </w:p>
    <w:p w14:paraId="3E32348A" w14:textId="3C020930" w:rsidR="00BF3EE0" w:rsidRPr="000E1A06" w:rsidRDefault="00844A99" w:rsidP="00BF3EE0">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In </w:t>
      </w:r>
      <w:r w:rsidRPr="00463FFE">
        <w:rPr>
          <w:rFonts w:ascii="Times New Roman" w:hAnsi="Times New Roman" w:cs="Times New Roman"/>
          <w:b/>
          <w:bCs/>
          <w:color w:val="010302"/>
          <w:sz w:val="24"/>
          <w:szCs w:val="24"/>
          <w:u w:val="single"/>
        </w:rPr>
        <w:t>Metropolitan Resources Ltd v Churchill Dulwich Ltd</w:t>
      </w:r>
      <w:r w:rsidRPr="00CE4D5D">
        <w:rPr>
          <w:rFonts w:ascii="Times New Roman" w:hAnsi="Times New Roman" w:cs="Times New Roman"/>
          <w:color w:val="010302"/>
          <w:sz w:val="24"/>
          <w:szCs w:val="24"/>
        </w:rPr>
        <w:t xml:space="preserve"> [2009] </w:t>
      </w:r>
      <w:r w:rsidRPr="00996790">
        <w:rPr>
          <w:rFonts w:ascii="Times New Roman" w:hAnsi="Times New Roman" w:cs="Times New Roman"/>
          <w:color w:val="010302"/>
          <w:sz w:val="24"/>
          <w:szCs w:val="24"/>
        </w:rPr>
        <w:t>ICR 1380 (</w:t>
      </w:r>
      <w:r w:rsidR="00FA2C04">
        <w:rPr>
          <w:rFonts w:ascii="Times New Roman" w:hAnsi="Times New Roman" w:cs="Times New Roman"/>
          <w:color w:val="010302"/>
          <w:sz w:val="24"/>
          <w:szCs w:val="24"/>
        </w:rPr>
        <w:t>“</w:t>
      </w:r>
      <w:r w:rsidR="00B7738A" w:rsidRPr="000F41F7">
        <w:rPr>
          <w:rFonts w:ascii="Times New Roman" w:hAnsi="Times New Roman" w:cs="Times New Roman"/>
          <w:b/>
          <w:bCs/>
          <w:color w:val="010302"/>
          <w:sz w:val="24"/>
          <w:szCs w:val="24"/>
          <w:u w:val="single"/>
        </w:rPr>
        <w:t>Metropolitan Resources</w:t>
      </w:r>
      <w:r w:rsidR="00FA2C04">
        <w:rPr>
          <w:rFonts w:ascii="Times New Roman" w:hAnsi="Times New Roman" w:cs="Times New Roman"/>
          <w:color w:val="010302"/>
          <w:sz w:val="24"/>
          <w:szCs w:val="24"/>
        </w:rPr>
        <w:t>”</w:t>
      </w:r>
      <w:r w:rsidR="00B7738A" w:rsidRPr="00996790">
        <w:rPr>
          <w:rFonts w:ascii="Times New Roman" w:hAnsi="Times New Roman" w:cs="Times New Roman"/>
          <w:color w:val="010302"/>
          <w:sz w:val="24"/>
          <w:szCs w:val="24"/>
        </w:rPr>
        <w:t xml:space="preserve">) </w:t>
      </w:r>
      <w:r w:rsidR="00AB7D49" w:rsidRPr="00996790">
        <w:rPr>
          <w:rFonts w:ascii="Times New Roman" w:hAnsi="Times New Roman" w:cs="Times New Roman"/>
          <w:color w:val="010302"/>
          <w:sz w:val="24"/>
          <w:szCs w:val="24"/>
        </w:rPr>
        <w:t xml:space="preserve">HHJ Burke QC </w:t>
      </w:r>
      <w:r w:rsidR="00D2064D" w:rsidRPr="00996790">
        <w:rPr>
          <w:rFonts w:ascii="Times New Roman" w:hAnsi="Times New Roman" w:cs="Times New Roman"/>
          <w:color w:val="010302"/>
          <w:sz w:val="24"/>
          <w:szCs w:val="24"/>
        </w:rPr>
        <w:t xml:space="preserve">considered the definition </w:t>
      </w:r>
      <w:r w:rsidR="00E34546" w:rsidRPr="00996790">
        <w:rPr>
          <w:rFonts w:ascii="Times New Roman" w:hAnsi="Times New Roman" w:cs="Times New Roman"/>
          <w:color w:val="010302"/>
          <w:sz w:val="24"/>
          <w:szCs w:val="24"/>
        </w:rPr>
        <w:t xml:space="preserve">of a SPC, observing </w:t>
      </w:r>
      <w:r w:rsidR="00C132BC" w:rsidRPr="00996790">
        <w:rPr>
          <w:rFonts w:ascii="Times New Roman" w:hAnsi="Times New Roman" w:cs="Times New Roman"/>
          <w:color w:val="010302"/>
          <w:sz w:val="24"/>
          <w:szCs w:val="24"/>
        </w:rPr>
        <w:t>that the question of whether the definition was</w:t>
      </w:r>
      <w:r w:rsidR="00C07ACE" w:rsidRPr="00996790">
        <w:rPr>
          <w:rFonts w:ascii="Times New Roman" w:hAnsi="Times New Roman" w:cs="Times New Roman"/>
          <w:color w:val="010302"/>
          <w:sz w:val="24"/>
          <w:szCs w:val="24"/>
        </w:rPr>
        <w:t xml:space="preserve"> met </w:t>
      </w:r>
      <w:r w:rsidR="00AF2C01" w:rsidRPr="00996790">
        <w:rPr>
          <w:rFonts w:ascii="Times New Roman" w:hAnsi="Times New Roman" w:cs="Times New Roman"/>
          <w:color w:val="010302"/>
          <w:sz w:val="24"/>
          <w:szCs w:val="24"/>
        </w:rPr>
        <w:t xml:space="preserve">in an individual case </w:t>
      </w:r>
      <w:r w:rsidR="000F02A8" w:rsidRPr="00996790">
        <w:rPr>
          <w:rFonts w:ascii="Times New Roman" w:hAnsi="Times New Roman" w:cs="Times New Roman"/>
          <w:color w:val="010302"/>
          <w:sz w:val="24"/>
          <w:szCs w:val="24"/>
        </w:rPr>
        <w:t xml:space="preserve">was </w:t>
      </w:r>
      <w:r w:rsidR="00285515">
        <w:rPr>
          <w:rFonts w:ascii="Times New Roman" w:hAnsi="Times New Roman" w:cs="Times New Roman"/>
          <w:color w:val="010302"/>
          <w:sz w:val="24"/>
          <w:szCs w:val="24"/>
        </w:rPr>
        <w:t>“</w:t>
      </w:r>
      <w:r w:rsidR="000F02A8" w:rsidRPr="00996790">
        <w:rPr>
          <w:rFonts w:ascii="Times New Roman" w:hAnsi="Times New Roman" w:cs="Times New Roman"/>
          <w:color w:val="010302"/>
          <w:sz w:val="24"/>
          <w:szCs w:val="24"/>
        </w:rPr>
        <w:t>essentially one of fact</w:t>
      </w:r>
      <w:r w:rsidR="00285515">
        <w:rPr>
          <w:rFonts w:ascii="Times New Roman" w:hAnsi="Times New Roman" w:cs="Times New Roman"/>
          <w:color w:val="010302"/>
          <w:sz w:val="24"/>
          <w:szCs w:val="24"/>
        </w:rPr>
        <w:t>”</w:t>
      </w:r>
      <w:r w:rsidR="000F02A8" w:rsidRPr="00996790">
        <w:rPr>
          <w:rFonts w:ascii="Times New Roman" w:hAnsi="Times New Roman" w:cs="Times New Roman"/>
          <w:color w:val="010302"/>
          <w:sz w:val="24"/>
          <w:szCs w:val="24"/>
        </w:rPr>
        <w:t xml:space="preserve"> (see paragraph 27).  </w:t>
      </w:r>
      <w:r w:rsidR="000E2FB1" w:rsidRPr="00996790">
        <w:rPr>
          <w:rFonts w:ascii="Times New Roman" w:hAnsi="Times New Roman" w:cs="Times New Roman"/>
          <w:color w:val="010302"/>
          <w:sz w:val="24"/>
          <w:szCs w:val="24"/>
        </w:rPr>
        <w:t xml:space="preserve">In paragraph 28 </w:t>
      </w:r>
      <w:r w:rsidR="0013002E" w:rsidRPr="00996790">
        <w:rPr>
          <w:rFonts w:ascii="Times New Roman" w:hAnsi="Times New Roman" w:cs="Times New Roman"/>
          <w:color w:val="010302"/>
          <w:sz w:val="24"/>
          <w:szCs w:val="24"/>
        </w:rPr>
        <w:t xml:space="preserve">he explained that </w:t>
      </w:r>
      <w:r w:rsidR="000D0A78" w:rsidRPr="00996790">
        <w:rPr>
          <w:rFonts w:ascii="Times New Roman" w:hAnsi="Times New Roman" w:cs="Times New Roman"/>
          <w:color w:val="010302"/>
          <w:sz w:val="24"/>
          <w:szCs w:val="24"/>
        </w:rPr>
        <w:t xml:space="preserve">there was no </w:t>
      </w:r>
      <w:r w:rsidR="00991302" w:rsidRPr="00996790">
        <w:rPr>
          <w:rFonts w:ascii="Times New Roman" w:hAnsi="Times New Roman" w:cs="Times New Roman"/>
          <w:color w:val="010302"/>
          <w:sz w:val="24"/>
          <w:szCs w:val="24"/>
        </w:rPr>
        <w:t xml:space="preserve">need for the tribunal to adopt </w:t>
      </w:r>
      <w:r w:rsidR="0055000F" w:rsidRPr="00996790">
        <w:rPr>
          <w:rFonts w:ascii="Times New Roman" w:hAnsi="Times New Roman" w:cs="Times New Roman"/>
          <w:color w:val="010302"/>
          <w:sz w:val="24"/>
          <w:szCs w:val="24"/>
        </w:rPr>
        <w:t xml:space="preserve">a purposive construction.  </w:t>
      </w:r>
      <w:r w:rsidR="00BD01F0" w:rsidRPr="00996790">
        <w:rPr>
          <w:rFonts w:ascii="Times New Roman" w:hAnsi="Times New Roman" w:cs="Times New Roman"/>
          <w:color w:val="010302"/>
          <w:sz w:val="24"/>
          <w:szCs w:val="24"/>
        </w:rPr>
        <w:t xml:space="preserve">As regards the activities carried out before the alleged </w:t>
      </w:r>
      <w:r w:rsidR="008763C0" w:rsidRPr="00996790">
        <w:rPr>
          <w:rFonts w:ascii="Times New Roman" w:hAnsi="Times New Roman" w:cs="Times New Roman"/>
          <w:color w:val="010302"/>
          <w:sz w:val="24"/>
          <w:szCs w:val="24"/>
        </w:rPr>
        <w:t>transfer by the transferor</w:t>
      </w:r>
      <w:r w:rsidR="004B6EC5" w:rsidRPr="00996790">
        <w:rPr>
          <w:rFonts w:ascii="Times New Roman" w:hAnsi="Times New Roman" w:cs="Times New Roman"/>
          <w:color w:val="010302"/>
          <w:sz w:val="24"/>
          <w:szCs w:val="24"/>
        </w:rPr>
        <w:t xml:space="preserve"> and afterwards by the alleged </w:t>
      </w:r>
      <w:r w:rsidR="004C4D97" w:rsidRPr="00996790">
        <w:rPr>
          <w:rFonts w:ascii="Times New Roman" w:hAnsi="Times New Roman" w:cs="Times New Roman"/>
          <w:color w:val="010302"/>
          <w:sz w:val="24"/>
          <w:szCs w:val="24"/>
        </w:rPr>
        <w:t>transferee, he said</w:t>
      </w:r>
      <w:r w:rsidR="00BF3EE0" w:rsidRPr="00996790">
        <w:rPr>
          <w:rFonts w:ascii="Times New Roman" w:hAnsi="Times New Roman" w:cs="Times New Roman"/>
          <w:color w:val="010302"/>
          <w:sz w:val="24"/>
          <w:szCs w:val="24"/>
        </w:rPr>
        <w:t xml:space="preserve"> the following at paragraph 30:</w:t>
      </w:r>
    </w:p>
    <w:p w14:paraId="5409FB0C" w14:textId="22C6293D" w:rsidR="00BF3EE0" w:rsidRPr="00285515" w:rsidRDefault="00720471" w:rsidP="00285515">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2E92" w:rsidRPr="00285515">
        <w:rPr>
          <w:rFonts w:ascii="Times New Roman" w:hAnsi="Times New Roman" w:cs="Times New Roman"/>
          <w:color w:val="000000"/>
          <w:sz w:val="24"/>
          <w:szCs w:val="24"/>
        </w:rPr>
        <w:t xml:space="preserve">30.  The statutory words require the </w:t>
      </w:r>
      <w:r w:rsidR="002F4E6F">
        <w:rPr>
          <w:rFonts w:ascii="Times New Roman" w:hAnsi="Times New Roman" w:cs="Times New Roman"/>
          <w:color w:val="000000"/>
          <w:sz w:val="24"/>
          <w:szCs w:val="24"/>
        </w:rPr>
        <w:t>e</w:t>
      </w:r>
      <w:r w:rsidR="005B2E92" w:rsidRPr="00285515">
        <w:rPr>
          <w:rFonts w:ascii="Times New Roman" w:hAnsi="Times New Roman" w:cs="Times New Roman"/>
          <w:color w:val="000000"/>
          <w:sz w:val="24"/>
          <w:szCs w:val="24"/>
        </w:rPr>
        <w:t xml:space="preserve">mployment </w:t>
      </w:r>
      <w:r w:rsidR="002F4E6F">
        <w:rPr>
          <w:rFonts w:ascii="Times New Roman" w:hAnsi="Times New Roman" w:cs="Times New Roman"/>
          <w:color w:val="000000"/>
          <w:sz w:val="24"/>
          <w:szCs w:val="24"/>
        </w:rPr>
        <w:t>t</w:t>
      </w:r>
      <w:r w:rsidR="005B2E92" w:rsidRPr="00285515">
        <w:rPr>
          <w:rFonts w:ascii="Times New Roman" w:hAnsi="Times New Roman" w:cs="Times New Roman"/>
          <w:color w:val="000000"/>
          <w:sz w:val="24"/>
          <w:szCs w:val="24"/>
        </w:rPr>
        <w:t>ribunal to concentrate upon the relevant activities; and tribunals will inevitably be faced, as in this case, with arguments that the activities carried on by the alleged transferee are not identical to the activities carried on by the alleged transfer</w:t>
      </w:r>
      <w:r w:rsidR="00163BBD">
        <w:rPr>
          <w:rFonts w:ascii="Times New Roman" w:hAnsi="Times New Roman" w:cs="Times New Roman"/>
          <w:color w:val="000000"/>
          <w:sz w:val="24"/>
          <w:szCs w:val="24"/>
        </w:rPr>
        <w:t>or</w:t>
      </w:r>
      <w:r w:rsidR="005B2E92" w:rsidRPr="00285515">
        <w:rPr>
          <w:rFonts w:ascii="Times New Roman" w:hAnsi="Times New Roman" w:cs="Times New Roman"/>
          <w:color w:val="000000"/>
          <w:sz w:val="24"/>
          <w:szCs w:val="24"/>
        </w:rPr>
        <w:t xml:space="preserve"> because there are detailed differences between what the former does and what the latter did or in the </w:t>
      </w:r>
      <w:proofErr w:type="gramStart"/>
      <w:r w:rsidR="005B2E92" w:rsidRPr="00285515">
        <w:rPr>
          <w:rFonts w:ascii="Times New Roman" w:hAnsi="Times New Roman" w:cs="Times New Roman"/>
          <w:color w:val="000000"/>
          <w:sz w:val="24"/>
          <w:szCs w:val="24"/>
        </w:rPr>
        <w:t>manner in which</w:t>
      </w:r>
      <w:proofErr w:type="gramEnd"/>
      <w:r w:rsidR="005B2E92" w:rsidRPr="00285515">
        <w:rPr>
          <w:rFonts w:ascii="Times New Roman" w:hAnsi="Times New Roman" w:cs="Times New Roman"/>
          <w:color w:val="000000"/>
          <w:sz w:val="24"/>
          <w:szCs w:val="24"/>
        </w:rPr>
        <w:t xml:space="preserve"> the former performs and the latter performed the relevant tasks. </w:t>
      </w:r>
      <w:r>
        <w:rPr>
          <w:rFonts w:ascii="Times New Roman" w:hAnsi="Times New Roman" w:cs="Times New Roman"/>
          <w:color w:val="000000"/>
          <w:sz w:val="24"/>
          <w:szCs w:val="24"/>
        </w:rPr>
        <w:t xml:space="preserve"> </w:t>
      </w:r>
      <w:proofErr w:type="gramStart"/>
      <w:r w:rsidR="005B2E92" w:rsidRPr="00285515">
        <w:rPr>
          <w:rFonts w:ascii="Times New Roman" w:hAnsi="Times New Roman" w:cs="Times New Roman"/>
          <w:color w:val="000000"/>
          <w:sz w:val="24"/>
          <w:szCs w:val="24"/>
        </w:rPr>
        <w:t>However</w:t>
      </w:r>
      <w:proofErr w:type="gramEnd"/>
      <w:r w:rsidR="005B2E92" w:rsidRPr="00285515">
        <w:rPr>
          <w:rFonts w:ascii="Times New Roman" w:hAnsi="Times New Roman" w:cs="Times New Roman"/>
          <w:color w:val="000000"/>
          <w:sz w:val="24"/>
          <w:szCs w:val="24"/>
        </w:rPr>
        <w:t xml:space="preserve"> it cannot, in my judgment, have been the intention of the introduction of the new concept of service provision change that that concept should not apply because of some minor difference or differences between the nature of the tasks carried on after what is said to have been a service provision change as compared with before it or in the way in which they are performed as compared with the nature or mode of performance of those tasks in the hands of the alleged transferor. </w:t>
      </w:r>
      <w:r>
        <w:rPr>
          <w:rFonts w:ascii="Times New Roman" w:hAnsi="Times New Roman" w:cs="Times New Roman"/>
          <w:color w:val="000000"/>
          <w:sz w:val="24"/>
          <w:szCs w:val="24"/>
        </w:rPr>
        <w:t xml:space="preserve"> </w:t>
      </w:r>
      <w:r w:rsidR="005B2E92" w:rsidRPr="00285515">
        <w:rPr>
          <w:rFonts w:ascii="Times New Roman" w:hAnsi="Times New Roman" w:cs="Times New Roman"/>
          <w:color w:val="000000"/>
          <w:sz w:val="24"/>
          <w:szCs w:val="24"/>
        </w:rPr>
        <w:t xml:space="preserve">A </w:t>
      </w:r>
      <w:r w:rsidR="00904DBD" w:rsidRPr="00285515">
        <w:rPr>
          <w:rFonts w:ascii="Times New Roman" w:hAnsi="Times New Roman" w:cs="Times New Roman"/>
          <w:color w:val="000000"/>
          <w:sz w:val="24"/>
          <w:szCs w:val="24"/>
        </w:rPr>
        <w:t>common sense</w:t>
      </w:r>
      <w:r w:rsidR="005B2E92" w:rsidRPr="00285515">
        <w:rPr>
          <w:rFonts w:ascii="Times New Roman" w:hAnsi="Times New Roman" w:cs="Times New Roman"/>
          <w:color w:val="000000"/>
          <w:sz w:val="24"/>
          <w:szCs w:val="24"/>
        </w:rPr>
        <w:t xml:space="preserve"> and pragmatic approach is required to enable a case in which problems of this nature arise to be appropriately decided, as was adopted by the </w:t>
      </w:r>
      <w:r w:rsidR="009A497C">
        <w:rPr>
          <w:rFonts w:ascii="Times New Roman" w:hAnsi="Times New Roman" w:cs="Times New Roman"/>
          <w:color w:val="000000"/>
          <w:sz w:val="24"/>
          <w:szCs w:val="24"/>
        </w:rPr>
        <w:t>t</w:t>
      </w:r>
      <w:r w:rsidR="005B2E92" w:rsidRPr="00285515">
        <w:rPr>
          <w:rFonts w:ascii="Times New Roman" w:hAnsi="Times New Roman" w:cs="Times New Roman"/>
          <w:color w:val="000000"/>
          <w:sz w:val="24"/>
          <w:szCs w:val="24"/>
        </w:rPr>
        <w:t xml:space="preserve">ribunal in the present case. </w:t>
      </w:r>
      <w:r w:rsidR="00163BBD">
        <w:rPr>
          <w:rFonts w:ascii="Times New Roman" w:hAnsi="Times New Roman" w:cs="Times New Roman"/>
          <w:color w:val="000000"/>
          <w:sz w:val="24"/>
          <w:szCs w:val="24"/>
        </w:rPr>
        <w:t xml:space="preserve"> </w:t>
      </w:r>
      <w:r w:rsidR="005B2E92" w:rsidRPr="00285515">
        <w:rPr>
          <w:rFonts w:ascii="Times New Roman" w:hAnsi="Times New Roman" w:cs="Times New Roman"/>
          <w:color w:val="000000"/>
          <w:sz w:val="24"/>
          <w:szCs w:val="24"/>
        </w:rPr>
        <w:t xml:space="preserve">The </w:t>
      </w:r>
      <w:r w:rsidR="009A497C">
        <w:rPr>
          <w:rFonts w:ascii="Times New Roman" w:hAnsi="Times New Roman" w:cs="Times New Roman"/>
          <w:color w:val="000000"/>
          <w:sz w:val="24"/>
          <w:szCs w:val="24"/>
        </w:rPr>
        <w:t>t</w:t>
      </w:r>
      <w:r w:rsidR="005B2E92" w:rsidRPr="00285515">
        <w:rPr>
          <w:rFonts w:ascii="Times New Roman" w:hAnsi="Times New Roman" w:cs="Times New Roman"/>
          <w:color w:val="000000"/>
          <w:sz w:val="24"/>
          <w:szCs w:val="24"/>
        </w:rPr>
        <w:t xml:space="preserve">ribunal needs to ask itself whether the activities carried on by the alleged transferee are fundamentally or essentially the same as those carried out by the alleged transferor. </w:t>
      </w:r>
      <w:r>
        <w:rPr>
          <w:rFonts w:ascii="Times New Roman" w:hAnsi="Times New Roman" w:cs="Times New Roman"/>
          <w:color w:val="000000"/>
          <w:sz w:val="24"/>
          <w:szCs w:val="24"/>
        </w:rPr>
        <w:t xml:space="preserve"> </w:t>
      </w:r>
      <w:r w:rsidR="005B2E92" w:rsidRPr="00285515">
        <w:rPr>
          <w:rFonts w:ascii="Times New Roman" w:hAnsi="Times New Roman" w:cs="Times New Roman"/>
          <w:color w:val="000000"/>
          <w:sz w:val="24"/>
          <w:szCs w:val="24"/>
        </w:rPr>
        <w:t xml:space="preserve">The answer to that question will be one of fact and degree, to be assessed by the </w:t>
      </w:r>
      <w:r w:rsidR="00BA3EBC">
        <w:rPr>
          <w:rFonts w:ascii="Times New Roman" w:hAnsi="Times New Roman" w:cs="Times New Roman"/>
          <w:color w:val="000000"/>
          <w:sz w:val="24"/>
          <w:szCs w:val="24"/>
        </w:rPr>
        <w:t>t</w:t>
      </w:r>
      <w:r w:rsidR="005B2E92" w:rsidRPr="00285515">
        <w:rPr>
          <w:rFonts w:ascii="Times New Roman" w:hAnsi="Times New Roman" w:cs="Times New Roman"/>
          <w:color w:val="000000"/>
          <w:sz w:val="24"/>
          <w:szCs w:val="24"/>
        </w:rPr>
        <w:t>ribunal on the evidence in the individual case before it.</w:t>
      </w:r>
      <w:r>
        <w:rPr>
          <w:rFonts w:ascii="Times New Roman" w:hAnsi="Times New Roman" w:cs="Times New Roman"/>
          <w:color w:val="000000"/>
          <w:sz w:val="24"/>
          <w:szCs w:val="24"/>
        </w:rPr>
        <w:t>”</w:t>
      </w:r>
    </w:p>
    <w:p w14:paraId="19C8612A" w14:textId="77777777" w:rsidR="00BF3EE0" w:rsidRPr="00996790" w:rsidRDefault="00BF3EE0" w:rsidP="00BF3EE0">
      <w:pPr>
        <w:pStyle w:val="ListParagraph"/>
        <w:tabs>
          <w:tab w:val="left" w:pos="0"/>
        </w:tabs>
        <w:spacing w:line="480" w:lineRule="auto"/>
        <w:contextualSpacing/>
        <w:jc w:val="both"/>
        <w:rPr>
          <w:rFonts w:ascii="Times New Roman" w:hAnsi="Times New Roman" w:cs="Times New Roman"/>
          <w:color w:val="010302"/>
          <w:sz w:val="24"/>
          <w:szCs w:val="24"/>
        </w:rPr>
      </w:pPr>
    </w:p>
    <w:p w14:paraId="3EBE955F" w14:textId="13DE166C" w:rsidR="00BF3EE0" w:rsidRPr="00996790" w:rsidRDefault="003D3BE3" w:rsidP="00844A99">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Accordingly, the question is one of facts and degree</w:t>
      </w:r>
      <w:r w:rsidR="00CE3E4A" w:rsidRPr="00996790">
        <w:rPr>
          <w:rFonts w:ascii="Times New Roman" w:hAnsi="Times New Roman" w:cs="Times New Roman"/>
          <w:color w:val="010302"/>
          <w:sz w:val="24"/>
          <w:szCs w:val="24"/>
        </w:rPr>
        <w:t>,</w:t>
      </w:r>
      <w:r w:rsidRPr="00996790">
        <w:rPr>
          <w:rFonts w:ascii="Times New Roman" w:hAnsi="Times New Roman" w:cs="Times New Roman"/>
          <w:color w:val="010302"/>
          <w:sz w:val="24"/>
          <w:szCs w:val="24"/>
        </w:rPr>
        <w:t xml:space="preserve"> and in considering whether the </w:t>
      </w:r>
      <w:r w:rsidR="00CE3E4A" w:rsidRPr="00996790">
        <w:rPr>
          <w:rFonts w:ascii="Times New Roman" w:hAnsi="Times New Roman" w:cs="Times New Roman"/>
          <w:color w:val="010302"/>
          <w:sz w:val="24"/>
          <w:szCs w:val="24"/>
        </w:rPr>
        <w:t>activities undertaken after the alleged transfer</w:t>
      </w:r>
      <w:r w:rsidR="00BB50FA" w:rsidRPr="00996790">
        <w:rPr>
          <w:rFonts w:ascii="Times New Roman" w:hAnsi="Times New Roman" w:cs="Times New Roman"/>
          <w:color w:val="010302"/>
          <w:sz w:val="24"/>
          <w:szCs w:val="24"/>
        </w:rPr>
        <w:t xml:space="preserve"> are fundamentally </w:t>
      </w:r>
      <w:r w:rsidR="00D321EF" w:rsidRPr="00996790">
        <w:rPr>
          <w:rFonts w:ascii="Times New Roman" w:hAnsi="Times New Roman" w:cs="Times New Roman"/>
          <w:color w:val="010302"/>
          <w:sz w:val="24"/>
          <w:szCs w:val="24"/>
        </w:rPr>
        <w:t>the same as t</w:t>
      </w:r>
      <w:r w:rsidR="00C427D0" w:rsidRPr="00996790">
        <w:rPr>
          <w:rFonts w:ascii="Times New Roman" w:hAnsi="Times New Roman" w:cs="Times New Roman"/>
          <w:color w:val="010302"/>
          <w:sz w:val="24"/>
          <w:szCs w:val="24"/>
        </w:rPr>
        <w:t>h</w:t>
      </w:r>
      <w:r w:rsidR="00D321EF" w:rsidRPr="00996790">
        <w:rPr>
          <w:rFonts w:ascii="Times New Roman" w:hAnsi="Times New Roman" w:cs="Times New Roman"/>
          <w:color w:val="010302"/>
          <w:sz w:val="24"/>
          <w:szCs w:val="24"/>
        </w:rPr>
        <w:t>ose carried out before it</w:t>
      </w:r>
      <w:r w:rsidR="00C427D0" w:rsidRPr="00996790">
        <w:rPr>
          <w:rFonts w:ascii="Times New Roman" w:hAnsi="Times New Roman" w:cs="Times New Roman"/>
          <w:color w:val="010302"/>
          <w:sz w:val="24"/>
          <w:szCs w:val="24"/>
        </w:rPr>
        <w:t xml:space="preserve">, minor </w:t>
      </w:r>
      <w:r w:rsidR="00C427D0" w:rsidRPr="00996790">
        <w:rPr>
          <w:rFonts w:ascii="Times New Roman" w:hAnsi="Times New Roman" w:cs="Times New Roman"/>
          <w:color w:val="010302"/>
          <w:sz w:val="24"/>
          <w:szCs w:val="24"/>
        </w:rPr>
        <w:lastRenderedPageBreak/>
        <w:t xml:space="preserve">differences between the nature of the task will not take the </w:t>
      </w:r>
      <w:r w:rsidR="00EA2325" w:rsidRPr="00996790">
        <w:rPr>
          <w:rFonts w:ascii="Times New Roman" w:hAnsi="Times New Roman" w:cs="Times New Roman"/>
          <w:color w:val="010302"/>
          <w:sz w:val="24"/>
          <w:szCs w:val="24"/>
        </w:rPr>
        <w:t xml:space="preserve">circumstances outside of the definition of SPC.  </w:t>
      </w:r>
    </w:p>
    <w:p w14:paraId="31189ECB" w14:textId="21306DEA" w:rsidR="00853205" w:rsidRPr="00BC5415" w:rsidRDefault="00F95B12" w:rsidP="0085320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At paragraph 31, HHJ Burke cited the earlier judgment of </w:t>
      </w:r>
      <w:r w:rsidR="008D7415" w:rsidRPr="00996790">
        <w:rPr>
          <w:rFonts w:ascii="Times New Roman" w:hAnsi="Times New Roman" w:cs="Times New Roman"/>
          <w:color w:val="010302"/>
          <w:sz w:val="24"/>
          <w:szCs w:val="24"/>
        </w:rPr>
        <w:t xml:space="preserve">Langstaff </w:t>
      </w:r>
      <w:r w:rsidR="00556F54">
        <w:rPr>
          <w:rFonts w:ascii="Times New Roman" w:hAnsi="Times New Roman" w:cs="Times New Roman"/>
          <w:color w:val="010302"/>
          <w:sz w:val="24"/>
          <w:szCs w:val="24"/>
        </w:rPr>
        <w:t>P</w:t>
      </w:r>
      <w:r w:rsidR="00935D2E" w:rsidRPr="00996790">
        <w:rPr>
          <w:rFonts w:ascii="Times New Roman" w:hAnsi="Times New Roman" w:cs="Times New Roman"/>
          <w:color w:val="010302"/>
          <w:sz w:val="24"/>
          <w:szCs w:val="24"/>
        </w:rPr>
        <w:t xml:space="preserve"> </w:t>
      </w:r>
      <w:r w:rsidR="000F16F5" w:rsidRPr="00996790">
        <w:rPr>
          <w:rFonts w:ascii="Times New Roman" w:hAnsi="Times New Roman" w:cs="Times New Roman"/>
          <w:color w:val="010302"/>
          <w:sz w:val="24"/>
          <w:szCs w:val="24"/>
        </w:rPr>
        <w:t xml:space="preserve">in </w:t>
      </w:r>
      <w:r w:rsidR="00E3015C" w:rsidRPr="00312F12">
        <w:rPr>
          <w:rFonts w:ascii="Times New Roman" w:hAnsi="Times New Roman" w:cs="Times New Roman"/>
          <w:b/>
          <w:bCs/>
          <w:color w:val="010302"/>
          <w:sz w:val="24"/>
          <w:szCs w:val="24"/>
          <w:u w:val="single"/>
        </w:rPr>
        <w:t xml:space="preserve">Kimberley Group Housing Limited v </w:t>
      </w:r>
      <w:proofErr w:type="spellStart"/>
      <w:r w:rsidR="00E3015C" w:rsidRPr="00312F12">
        <w:rPr>
          <w:rFonts w:ascii="Times New Roman" w:hAnsi="Times New Roman" w:cs="Times New Roman"/>
          <w:b/>
          <w:bCs/>
          <w:color w:val="010302"/>
          <w:sz w:val="24"/>
          <w:szCs w:val="24"/>
          <w:u w:val="single"/>
        </w:rPr>
        <w:t>Hambley</w:t>
      </w:r>
      <w:proofErr w:type="spellEnd"/>
      <w:r w:rsidR="009E3F20" w:rsidRPr="00312F12">
        <w:rPr>
          <w:rFonts w:ascii="Times New Roman" w:hAnsi="Times New Roman" w:cs="Times New Roman"/>
          <w:b/>
          <w:bCs/>
          <w:color w:val="010302"/>
          <w:sz w:val="24"/>
          <w:szCs w:val="24"/>
          <w:u w:val="single"/>
        </w:rPr>
        <w:t xml:space="preserve"> and others</w:t>
      </w:r>
      <w:r w:rsidR="00E3015C" w:rsidRPr="00996790">
        <w:rPr>
          <w:rFonts w:ascii="Times New Roman" w:hAnsi="Times New Roman" w:cs="Times New Roman"/>
          <w:color w:val="010302"/>
          <w:sz w:val="24"/>
          <w:szCs w:val="24"/>
        </w:rPr>
        <w:t xml:space="preserve"> [2008] I</w:t>
      </w:r>
      <w:r w:rsidR="00A019C8">
        <w:rPr>
          <w:rFonts w:ascii="Times New Roman" w:hAnsi="Times New Roman" w:cs="Times New Roman"/>
          <w:color w:val="010302"/>
          <w:sz w:val="24"/>
          <w:szCs w:val="24"/>
        </w:rPr>
        <w:t>C</w:t>
      </w:r>
      <w:r w:rsidR="00E3015C" w:rsidRPr="00996790">
        <w:rPr>
          <w:rFonts w:ascii="Times New Roman" w:hAnsi="Times New Roman" w:cs="Times New Roman"/>
          <w:color w:val="010302"/>
          <w:sz w:val="24"/>
          <w:szCs w:val="24"/>
        </w:rPr>
        <w:t xml:space="preserve">R </w:t>
      </w:r>
      <w:r w:rsidR="00A019C8">
        <w:rPr>
          <w:rFonts w:ascii="Times New Roman" w:hAnsi="Times New Roman" w:cs="Times New Roman"/>
          <w:color w:val="010302"/>
          <w:sz w:val="24"/>
          <w:szCs w:val="24"/>
        </w:rPr>
        <w:t>1030</w:t>
      </w:r>
      <w:r w:rsidR="00E3015C" w:rsidRPr="00996790">
        <w:rPr>
          <w:rFonts w:ascii="Times New Roman" w:hAnsi="Times New Roman" w:cs="Times New Roman"/>
          <w:color w:val="010302"/>
          <w:sz w:val="24"/>
          <w:szCs w:val="24"/>
        </w:rPr>
        <w:t>, including his observation at paragraph 27 that</w:t>
      </w:r>
      <w:r w:rsidR="003C7997" w:rsidRPr="00996790">
        <w:rPr>
          <w:rFonts w:ascii="Times New Roman" w:hAnsi="Times New Roman" w:cs="Times New Roman"/>
          <w:color w:val="010302"/>
          <w:sz w:val="24"/>
          <w:szCs w:val="24"/>
        </w:rPr>
        <w:t xml:space="preserve"> </w:t>
      </w:r>
      <w:r w:rsidR="00C12413">
        <w:rPr>
          <w:rFonts w:ascii="Times New Roman" w:hAnsi="Times New Roman" w:cs="Times New Roman"/>
          <w:color w:val="010302"/>
          <w:sz w:val="24"/>
          <w:szCs w:val="24"/>
        </w:rPr>
        <w:t>“</w:t>
      </w:r>
      <w:r w:rsidR="005B22AB" w:rsidRPr="00996790">
        <w:rPr>
          <w:rFonts w:ascii="Times New Roman" w:hAnsi="Times New Roman" w:cs="Times New Roman"/>
          <w:color w:val="010302"/>
          <w:sz w:val="24"/>
          <w:szCs w:val="24"/>
        </w:rPr>
        <w:t>the first question for the tribunal is to identify the relevant activities or as it may be relevant activity. It is only when that has been done … that the tribunal can see whether or not those activities come within</w:t>
      </w:r>
      <w:r w:rsidR="00C12413">
        <w:rPr>
          <w:rFonts w:ascii="Times New Roman" w:hAnsi="Times New Roman" w:cs="Times New Roman"/>
          <w:color w:val="010302"/>
          <w:sz w:val="24"/>
          <w:szCs w:val="24"/>
        </w:rPr>
        <w:t>”</w:t>
      </w:r>
      <w:r w:rsidR="005B22AB" w:rsidRPr="00996790">
        <w:rPr>
          <w:rFonts w:ascii="Times New Roman" w:hAnsi="Times New Roman" w:cs="Times New Roman"/>
          <w:color w:val="010302"/>
          <w:sz w:val="24"/>
          <w:szCs w:val="24"/>
        </w:rPr>
        <w:t xml:space="preserve"> </w:t>
      </w:r>
      <w:r w:rsidR="00EC0D3E" w:rsidRPr="00996790">
        <w:rPr>
          <w:rFonts w:ascii="Times New Roman" w:hAnsi="Times New Roman" w:cs="Times New Roman"/>
          <w:color w:val="010302"/>
          <w:sz w:val="24"/>
          <w:szCs w:val="24"/>
        </w:rPr>
        <w:t xml:space="preserve">the relevant definition </w:t>
      </w:r>
      <w:r w:rsidR="00582634" w:rsidRPr="00996790">
        <w:rPr>
          <w:rFonts w:ascii="Times New Roman" w:hAnsi="Times New Roman" w:cs="Times New Roman"/>
          <w:color w:val="010302"/>
          <w:sz w:val="24"/>
          <w:szCs w:val="24"/>
        </w:rPr>
        <w:t xml:space="preserve">in regulation 3(1)(b).  </w:t>
      </w:r>
      <w:r w:rsidR="0023723C" w:rsidRPr="00996790">
        <w:rPr>
          <w:rFonts w:ascii="Times New Roman" w:hAnsi="Times New Roman" w:cs="Times New Roman"/>
          <w:color w:val="010302"/>
          <w:sz w:val="24"/>
          <w:szCs w:val="24"/>
        </w:rPr>
        <w:t xml:space="preserve">Furthermore, in paragraph 37 </w:t>
      </w:r>
      <w:r w:rsidR="00025A56" w:rsidRPr="00996790">
        <w:rPr>
          <w:rFonts w:ascii="Times New Roman" w:hAnsi="Times New Roman" w:cs="Times New Roman"/>
          <w:color w:val="010302"/>
          <w:sz w:val="24"/>
          <w:szCs w:val="24"/>
        </w:rPr>
        <w:t>HHJ Burke said</w:t>
      </w:r>
      <w:r w:rsidR="00853205" w:rsidRPr="00996790">
        <w:rPr>
          <w:rFonts w:ascii="Times New Roman" w:hAnsi="Times New Roman" w:cs="Times New Roman"/>
          <w:color w:val="010302"/>
          <w:sz w:val="24"/>
          <w:szCs w:val="24"/>
        </w:rPr>
        <w:t>:</w:t>
      </w:r>
    </w:p>
    <w:p w14:paraId="54C897B3" w14:textId="00656080" w:rsidR="00853205" w:rsidRDefault="00072C0F" w:rsidP="000066DA">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066DA">
        <w:rPr>
          <w:rFonts w:ascii="Times New Roman" w:hAnsi="Times New Roman" w:cs="Times New Roman"/>
          <w:color w:val="000000"/>
          <w:sz w:val="24"/>
          <w:szCs w:val="24"/>
        </w:rPr>
        <w:t>…</w:t>
      </w:r>
      <w:r w:rsidR="0061684D" w:rsidRPr="00072C0F">
        <w:rPr>
          <w:rFonts w:ascii="Times New Roman" w:hAnsi="Times New Roman" w:cs="Times New Roman"/>
          <w:color w:val="000000"/>
          <w:sz w:val="24"/>
          <w:szCs w:val="24"/>
        </w:rPr>
        <w:t xml:space="preserve">Equally, as it seems to me, </w:t>
      </w:r>
      <w:r w:rsidR="000066DA">
        <w:rPr>
          <w:rFonts w:ascii="Times New Roman" w:hAnsi="Times New Roman" w:cs="Times New Roman"/>
          <w:color w:val="000000"/>
          <w:sz w:val="24"/>
          <w:szCs w:val="24"/>
        </w:rPr>
        <w:t xml:space="preserve">the </w:t>
      </w:r>
      <w:r w:rsidR="0061684D" w:rsidRPr="000066DA">
        <w:rPr>
          <w:rFonts w:ascii="Times New Roman" w:hAnsi="Times New Roman" w:cs="Times New Roman"/>
          <w:color w:val="000000"/>
          <w:sz w:val="24"/>
          <w:szCs w:val="24"/>
        </w:rPr>
        <w:t xml:space="preserve">addition, in the hands of a replacement contractor, who is performing </w:t>
      </w:r>
      <w:proofErr w:type="gramStart"/>
      <w:r w:rsidR="0061684D" w:rsidRPr="000066DA">
        <w:rPr>
          <w:rFonts w:ascii="Times New Roman" w:hAnsi="Times New Roman" w:cs="Times New Roman"/>
          <w:color w:val="000000"/>
          <w:sz w:val="24"/>
          <w:szCs w:val="24"/>
        </w:rPr>
        <w:t>all of</w:t>
      </w:r>
      <w:proofErr w:type="gramEnd"/>
      <w:r w:rsidR="0061684D" w:rsidRPr="000066DA">
        <w:rPr>
          <w:rFonts w:ascii="Times New Roman" w:hAnsi="Times New Roman" w:cs="Times New Roman"/>
          <w:color w:val="000000"/>
          <w:sz w:val="24"/>
          <w:szCs w:val="24"/>
        </w:rPr>
        <w:t xml:space="preserve"> the services carried out by his predecessor, of some additional duty or function is unlikely, unless the addition is of such substance that the activity then being carried on is no longer essentially the same as that carried on by the predecessor, to negate the existence of a transfer under </w:t>
      </w:r>
      <w:r w:rsidR="00EA43B8">
        <w:rPr>
          <w:rFonts w:ascii="Times New Roman" w:hAnsi="Times New Roman" w:cs="Times New Roman"/>
          <w:color w:val="000000"/>
          <w:sz w:val="24"/>
          <w:szCs w:val="24"/>
        </w:rPr>
        <w:t>r</w:t>
      </w:r>
      <w:r w:rsidR="0061684D" w:rsidRPr="000066DA">
        <w:rPr>
          <w:rFonts w:ascii="Times New Roman" w:hAnsi="Times New Roman" w:cs="Times New Roman"/>
          <w:color w:val="000000"/>
          <w:sz w:val="24"/>
          <w:szCs w:val="24"/>
        </w:rPr>
        <w:t xml:space="preserve">egulation 3(1)(b). </w:t>
      </w:r>
      <w:r w:rsidR="00BC5415">
        <w:rPr>
          <w:rFonts w:ascii="Times New Roman" w:hAnsi="Times New Roman" w:cs="Times New Roman"/>
          <w:color w:val="000000"/>
          <w:sz w:val="24"/>
          <w:szCs w:val="24"/>
        </w:rPr>
        <w:t xml:space="preserve"> </w:t>
      </w:r>
      <w:r w:rsidR="0061684D" w:rsidRPr="000066DA">
        <w:rPr>
          <w:rFonts w:ascii="Times New Roman" w:hAnsi="Times New Roman" w:cs="Times New Roman"/>
          <w:color w:val="000000"/>
          <w:sz w:val="24"/>
          <w:szCs w:val="24"/>
        </w:rPr>
        <w:t xml:space="preserve">It is for the </w:t>
      </w:r>
      <w:r w:rsidR="00312F12">
        <w:rPr>
          <w:rFonts w:ascii="Times New Roman" w:hAnsi="Times New Roman" w:cs="Times New Roman"/>
          <w:color w:val="000000"/>
          <w:sz w:val="24"/>
          <w:szCs w:val="24"/>
        </w:rPr>
        <w:t>t</w:t>
      </w:r>
      <w:r w:rsidR="0061684D" w:rsidRPr="000066DA">
        <w:rPr>
          <w:rFonts w:ascii="Times New Roman" w:hAnsi="Times New Roman" w:cs="Times New Roman"/>
          <w:color w:val="000000"/>
          <w:sz w:val="24"/>
          <w:szCs w:val="24"/>
        </w:rPr>
        <w:t xml:space="preserve">ribunal in each case to assess, on the facts, </w:t>
      </w:r>
      <w:proofErr w:type="gramStart"/>
      <w:r w:rsidR="0061684D" w:rsidRPr="000066DA">
        <w:rPr>
          <w:rFonts w:ascii="Times New Roman" w:hAnsi="Times New Roman" w:cs="Times New Roman"/>
          <w:color w:val="000000"/>
          <w:sz w:val="24"/>
          <w:szCs w:val="24"/>
        </w:rPr>
        <w:t>taking into account</w:t>
      </w:r>
      <w:proofErr w:type="gramEnd"/>
      <w:r w:rsidR="0061684D" w:rsidRPr="000066DA">
        <w:rPr>
          <w:rFonts w:ascii="Times New Roman" w:hAnsi="Times New Roman" w:cs="Times New Roman"/>
          <w:color w:val="000000"/>
          <w:sz w:val="24"/>
          <w:szCs w:val="24"/>
        </w:rPr>
        <w:t xml:space="preserve"> any material differences, whether the alleged transferee is performing essentially the same activity as that of the alleged transferor</w:t>
      </w:r>
      <w:r w:rsidR="00125FEE">
        <w:rPr>
          <w:rFonts w:ascii="Times New Roman" w:hAnsi="Times New Roman" w:cs="Times New Roman"/>
          <w:color w:val="000000"/>
          <w:sz w:val="24"/>
          <w:szCs w:val="24"/>
        </w:rPr>
        <w:t>..</w:t>
      </w:r>
      <w:r w:rsidR="0061684D" w:rsidRPr="000066DA">
        <w:rPr>
          <w:rFonts w:ascii="Times New Roman" w:hAnsi="Times New Roman" w:cs="Times New Roman"/>
          <w:color w:val="000000"/>
          <w:sz w:val="24"/>
          <w:szCs w:val="24"/>
        </w:rPr>
        <w:t>.</w:t>
      </w:r>
      <w:r w:rsidRPr="000066DA">
        <w:rPr>
          <w:rFonts w:ascii="Times New Roman" w:hAnsi="Times New Roman" w:cs="Times New Roman"/>
          <w:color w:val="000000"/>
          <w:sz w:val="24"/>
          <w:szCs w:val="24"/>
        </w:rPr>
        <w:t>”</w:t>
      </w:r>
    </w:p>
    <w:p w14:paraId="5586B7E3" w14:textId="6E189262" w:rsidR="00125FEE" w:rsidRPr="000066DA" w:rsidRDefault="00125FEE" w:rsidP="000066DA">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4DDCD2A2" w14:textId="77777777" w:rsidR="00853205" w:rsidRPr="00996790" w:rsidRDefault="00853205" w:rsidP="00853205">
      <w:pPr>
        <w:pStyle w:val="ListParagraph"/>
        <w:tabs>
          <w:tab w:val="left" w:pos="0"/>
        </w:tabs>
        <w:spacing w:line="480" w:lineRule="auto"/>
        <w:contextualSpacing/>
        <w:jc w:val="both"/>
        <w:rPr>
          <w:rFonts w:ascii="Times New Roman" w:hAnsi="Times New Roman" w:cs="Times New Roman"/>
          <w:color w:val="010302"/>
          <w:sz w:val="24"/>
          <w:szCs w:val="24"/>
        </w:rPr>
      </w:pPr>
    </w:p>
    <w:p w14:paraId="433FE6AD" w14:textId="35B90164" w:rsidR="00853205" w:rsidRPr="00996790" w:rsidRDefault="00096C46" w:rsidP="00E3015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i/>
          <w:iCs/>
          <w:color w:val="010302"/>
          <w:sz w:val="24"/>
          <w:szCs w:val="24"/>
        </w:rPr>
        <w:t xml:space="preserve">Metropolitan </w:t>
      </w:r>
      <w:r w:rsidR="00072C0F" w:rsidRPr="00996790">
        <w:rPr>
          <w:rFonts w:ascii="Times New Roman" w:hAnsi="Times New Roman" w:cs="Times New Roman"/>
          <w:i/>
          <w:iCs/>
          <w:color w:val="010302"/>
          <w:sz w:val="24"/>
          <w:szCs w:val="24"/>
        </w:rPr>
        <w:t xml:space="preserve">Resources </w:t>
      </w:r>
      <w:r w:rsidR="00072C0F" w:rsidRPr="00996790">
        <w:rPr>
          <w:rFonts w:ascii="Times New Roman" w:hAnsi="Times New Roman" w:cs="Times New Roman"/>
          <w:color w:val="010302"/>
          <w:sz w:val="24"/>
          <w:szCs w:val="24"/>
        </w:rPr>
        <w:t>was</w:t>
      </w:r>
      <w:r w:rsidRPr="00996790">
        <w:rPr>
          <w:rFonts w:ascii="Times New Roman" w:hAnsi="Times New Roman" w:cs="Times New Roman"/>
          <w:color w:val="010302"/>
          <w:sz w:val="24"/>
          <w:szCs w:val="24"/>
        </w:rPr>
        <w:t xml:space="preserve"> cited </w:t>
      </w:r>
      <w:r w:rsidR="00BA1CFF" w:rsidRPr="00996790">
        <w:rPr>
          <w:rFonts w:ascii="Times New Roman" w:hAnsi="Times New Roman" w:cs="Times New Roman"/>
          <w:color w:val="010302"/>
          <w:sz w:val="24"/>
          <w:szCs w:val="24"/>
        </w:rPr>
        <w:t xml:space="preserve">and applied by Langstaff </w:t>
      </w:r>
      <w:r w:rsidR="00312F12">
        <w:rPr>
          <w:rFonts w:ascii="Times New Roman" w:hAnsi="Times New Roman" w:cs="Times New Roman"/>
          <w:color w:val="010302"/>
          <w:sz w:val="24"/>
          <w:szCs w:val="24"/>
        </w:rPr>
        <w:t>P</w:t>
      </w:r>
      <w:r w:rsidR="00BA1CFF" w:rsidRPr="00996790">
        <w:rPr>
          <w:rFonts w:ascii="Times New Roman" w:hAnsi="Times New Roman" w:cs="Times New Roman"/>
          <w:color w:val="010302"/>
          <w:sz w:val="24"/>
          <w:szCs w:val="24"/>
        </w:rPr>
        <w:t xml:space="preserve"> in </w:t>
      </w:r>
      <w:r w:rsidR="00BA1CFF" w:rsidRPr="00312F12">
        <w:rPr>
          <w:rFonts w:ascii="Times New Roman" w:hAnsi="Times New Roman" w:cs="Times New Roman"/>
          <w:b/>
          <w:bCs/>
          <w:color w:val="010302"/>
          <w:sz w:val="24"/>
          <w:szCs w:val="24"/>
          <w:u w:val="single"/>
        </w:rPr>
        <w:t>Johnson Controls v Campbell &amp; Anor</w:t>
      </w:r>
      <w:r w:rsidR="00BA1CFF" w:rsidRPr="009E3F20">
        <w:rPr>
          <w:rFonts w:ascii="Times New Roman" w:hAnsi="Times New Roman" w:cs="Times New Roman"/>
          <w:b/>
          <w:bCs/>
          <w:color w:val="010302"/>
          <w:sz w:val="24"/>
          <w:szCs w:val="24"/>
        </w:rPr>
        <w:t xml:space="preserve"> </w:t>
      </w:r>
      <w:r w:rsidR="00BA1CFF" w:rsidRPr="00996790">
        <w:rPr>
          <w:rFonts w:ascii="Times New Roman" w:hAnsi="Times New Roman" w:cs="Times New Roman"/>
          <w:color w:val="010302"/>
          <w:sz w:val="24"/>
          <w:szCs w:val="24"/>
        </w:rPr>
        <w:t>UKEAT/0041/12 (</w:t>
      </w:r>
      <w:r w:rsidR="00FA2C04">
        <w:rPr>
          <w:rFonts w:ascii="Times New Roman" w:hAnsi="Times New Roman" w:cs="Times New Roman"/>
          <w:color w:val="010302"/>
          <w:sz w:val="24"/>
          <w:szCs w:val="24"/>
        </w:rPr>
        <w:t>“</w:t>
      </w:r>
      <w:r w:rsidR="00BA1CFF" w:rsidRPr="00FA2C04">
        <w:rPr>
          <w:rFonts w:ascii="Times New Roman" w:hAnsi="Times New Roman" w:cs="Times New Roman"/>
          <w:b/>
          <w:bCs/>
          <w:color w:val="010302"/>
          <w:sz w:val="24"/>
          <w:szCs w:val="24"/>
          <w:u w:val="single"/>
        </w:rPr>
        <w:t>Johnson Controls</w:t>
      </w:r>
      <w:r w:rsidR="00FA2C04">
        <w:rPr>
          <w:rFonts w:ascii="Times New Roman" w:hAnsi="Times New Roman" w:cs="Times New Roman"/>
          <w:color w:val="010302"/>
          <w:sz w:val="24"/>
          <w:szCs w:val="24"/>
        </w:rPr>
        <w:t>”</w:t>
      </w:r>
      <w:r w:rsidR="00BA1CFF" w:rsidRPr="00996790">
        <w:rPr>
          <w:rFonts w:ascii="Times New Roman" w:hAnsi="Times New Roman" w:cs="Times New Roman"/>
          <w:color w:val="010302"/>
          <w:sz w:val="24"/>
          <w:szCs w:val="24"/>
        </w:rPr>
        <w:t xml:space="preserve">).  </w:t>
      </w:r>
      <w:r w:rsidR="008B31CD" w:rsidRPr="00996790">
        <w:rPr>
          <w:rFonts w:ascii="Times New Roman" w:hAnsi="Times New Roman" w:cs="Times New Roman"/>
          <w:color w:val="010302"/>
          <w:sz w:val="24"/>
          <w:szCs w:val="24"/>
        </w:rPr>
        <w:t>As regards the identification of the ''activity''</w:t>
      </w:r>
      <w:r w:rsidR="00496BCC" w:rsidRPr="00996790">
        <w:rPr>
          <w:rFonts w:ascii="Times New Roman" w:hAnsi="Times New Roman" w:cs="Times New Roman"/>
          <w:color w:val="010302"/>
          <w:sz w:val="24"/>
          <w:szCs w:val="24"/>
        </w:rPr>
        <w:t xml:space="preserve"> for these purposes, </w:t>
      </w:r>
      <w:r w:rsidR="00D41013">
        <w:rPr>
          <w:rFonts w:ascii="Times New Roman" w:hAnsi="Times New Roman" w:cs="Times New Roman"/>
          <w:color w:val="010302"/>
          <w:sz w:val="24"/>
          <w:szCs w:val="24"/>
        </w:rPr>
        <w:t xml:space="preserve">he </w:t>
      </w:r>
      <w:r w:rsidR="00496BCC" w:rsidRPr="00996790">
        <w:rPr>
          <w:rFonts w:ascii="Times New Roman" w:hAnsi="Times New Roman" w:cs="Times New Roman"/>
          <w:color w:val="010302"/>
          <w:sz w:val="24"/>
          <w:szCs w:val="24"/>
        </w:rPr>
        <w:t>said</w:t>
      </w:r>
      <w:r w:rsidR="00A86AE1" w:rsidRPr="00996790">
        <w:rPr>
          <w:rFonts w:ascii="Times New Roman" w:hAnsi="Times New Roman" w:cs="Times New Roman"/>
          <w:color w:val="010302"/>
          <w:sz w:val="24"/>
          <w:szCs w:val="24"/>
        </w:rPr>
        <w:t xml:space="preserve"> at paragraph 6:</w:t>
      </w:r>
    </w:p>
    <w:p w14:paraId="76F939D3" w14:textId="77777777" w:rsidR="00A86AE1" w:rsidRPr="00072C0F" w:rsidRDefault="00A86AE1" w:rsidP="00072C0F">
      <w:pPr>
        <w:pStyle w:val="ListParagraph"/>
        <w:tabs>
          <w:tab w:val="left" w:pos="0"/>
        </w:tabs>
        <w:ind w:left="851" w:right="850"/>
        <w:contextualSpacing/>
        <w:jc w:val="both"/>
        <w:rPr>
          <w:rFonts w:ascii="Times New Roman" w:hAnsi="Times New Roman" w:cs="Times New Roman"/>
          <w:color w:val="000000"/>
          <w:sz w:val="24"/>
          <w:szCs w:val="24"/>
        </w:rPr>
      </w:pPr>
    </w:p>
    <w:p w14:paraId="17727A62" w14:textId="16AF1745" w:rsidR="00A86AE1" w:rsidRPr="00072C0F" w:rsidRDefault="00072C0F" w:rsidP="00072C0F">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F1489" w:rsidRPr="00072C0F">
        <w:rPr>
          <w:rFonts w:ascii="Times New Roman" w:hAnsi="Times New Roman" w:cs="Times New Roman"/>
          <w:color w:val="000000"/>
          <w:sz w:val="24"/>
          <w:szCs w:val="24"/>
        </w:rPr>
        <w:t xml:space="preserve">We would add that the identification of </w:t>
      </w:r>
      <w:r w:rsidR="00125FEE">
        <w:rPr>
          <w:rFonts w:ascii="Times New Roman" w:hAnsi="Times New Roman" w:cs="Times New Roman"/>
          <w:color w:val="000000"/>
          <w:sz w:val="24"/>
          <w:szCs w:val="24"/>
        </w:rPr>
        <w:t>“</w:t>
      </w:r>
      <w:r w:rsidR="000F1489" w:rsidRPr="00072C0F">
        <w:rPr>
          <w:rFonts w:ascii="Times New Roman" w:hAnsi="Times New Roman" w:cs="Times New Roman"/>
          <w:color w:val="000000"/>
          <w:sz w:val="24"/>
          <w:szCs w:val="24"/>
        </w:rPr>
        <w:t>activity</w:t>
      </w:r>
      <w:r w:rsidR="00125FEE">
        <w:rPr>
          <w:rFonts w:ascii="Times New Roman" w:hAnsi="Times New Roman" w:cs="Times New Roman"/>
          <w:color w:val="000000"/>
          <w:sz w:val="24"/>
          <w:szCs w:val="24"/>
        </w:rPr>
        <w:t>”</w:t>
      </w:r>
      <w:r w:rsidR="000F1489" w:rsidRPr="00072C0F">
        <w:rPr>
          <w:rFonts w:ascii="Times New Roman" w:hAnsi="Times New Roman" w:cs="Times New Roman"/>
          <w:color w:val="000000"/>
          <w:sz w:val="24"/>
          <w:szCs w:val="24"/>
        </w:rPr>
        <w:t xml:space="preserve"> is critical in many cases.</w:t>
      </w:r>
      <w:r w:rsidR="00697053" w:rsidRPr="00072C0F">
        <w:rPr>
          <w:rFonts w:ascii="Times New Roman" w:hAnsi="Times New Roman" w:cs="Times New Roman"/>
          <w:color w:val="000000"/>
          <w:sz w:val="24"/>
          <w:szCs w:val="24"/>
        </w:rPr>
        <w:t xml:space="preserve"> </w:t>
      </w:r>
      <w:r w:rsidR="00BC5415">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The case before us is an example of that.</w:t>
      </w:r>
      <w:r w:rsidR="00125FEE">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 An activity may be more than the</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sum of the tasks that are performed in respect of that activity, but a </w:t>
      </w:r>
      <w:r w:rsidR="00D41013">
        <w:rPr>
          <w:rFonts w:ascii="Times New Roman" w:hAnsi="Times New Roman" w:cs="Times New Roman"/>
          <w:color w:val="000000"/>
          <w:sz w:val="24"/>
          <w:szCs w:val="24"/>
        </w:rPr>
        <w:t>T</w:t>
      </w:r>
      <w:r w:rsidR="000F1489" w:rsidRPr="00072C0F">
        <w:rPr>
          <w:rFonts w:ascii="Times New Roman" w:hAnsi="Times New Roman" w:cs="Times New Roman"/>
          <w:color w:val="000000"/>
          <w:sz w:val="24"/>
          <w:szCs w:val="24"/>
        </w:rPr>
        <w:t>ribunal</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must be careful to ensure that it does not take so narrow a view of that</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which </w:t>
      </w:r>
      <w:r w:rsidR="00412B1A">
        <w:rPr>
          <w:rFonts w:ascii="Times New Roman" w:hAnsi="Times New Roman" w:cs="Times New Roman"/>
          <w:color w:val="000000"/>
          <w:sz w:val="24"/>
          <w:szCs w:val="24"/>
        </w:rPr>
        <w:t>“</w:t>
      </w:r>
      <w:r w:rsidR="000F1489" w:rsidRPr="00072C0F">
        <w:rPr>
          <w:rFonts w:ascii="Times New Roman" w:hAnsi="Times New Roman" w:cs="Times New Roman"/>
          <w:color w:val="000000"/>
          <w:sz w:val="24"/>
          <w:szCs w:val="24"/>
        </w:rPr>
        <w:t>activity</w:t>
      </w:r>
      <w:r w:rsidR="00412B1A">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consists of, in the case before it, as to forget that the</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context in which it decides </w:t>
      </w:r>
      <w:r w:rsidR="00412B1A">
        <w:rPr>
          <w:rFonts w:ascii="Times New Roman" w:hAnsi="Times New Roman" w:cs="Times New Roman"/>
          <w:color w:val="000000"/>
          <w:sz w:val="24"/>
          <w:szCs w:val="24"/>
        </w:rPr>
        <w:t>“</w:t>
      </w:r>
      <w:r w:rsidR="000F1489" w:rsidRPr="00072C0F">
        <w:rPr>
          <w:rFonts w:ascii="Times New Roman" w:hAnsi="Times New Roman" w:cs="Times New Roman"/>
          <w:color w:val="000000"/>
          <w:sz w:val="24"/>
          <w:szCs w:val="24"/>
        </w:rPr>
        <w:t>activity</w:t>
      </w:r>
      <w:r w:rsidR="00412B1A">
        <w:rPr>
          <w:rFonts w:ascii="Times New Roman" w:hAnsi="Times New Roman" w:cs="Times New Roman"/>
          <w:color w:val="000000"/>
          <w:sz w:val="24"/>
          <w:szCs w:val="24"/>
        </w:rPr>
        <w:t>”</w:t>
      </w:r>
      <w:r w:rsidR="000F1489" w:rsidRPr="00072C0F">
        <w:rPr>
          <w:rFonts w:ascii="Times New Roman" w:hAnsi="Times New Roman" w:cs="Times New Roman"/>
          <w:color w:val="000000"/>
          <w:sz w:val="24"/>
          <w:szCs w:val="24"/>
        </w:rPr>
        <w:t xml:space="preserve"> is the context in which it is ever likely</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that employees' continued employment will be affected. </w:t>
      </w:r>
      <w:r w:rsidR="00BC5415">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If for instance the</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activity performed by a given employee is after a service provision change</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to be performed by two or three employees in the transferee or, in a</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3(1)(b)(iii) situation, by the client itself, then it may well be that the approach</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of the </w:t>
      </w:r>
      <w:r w:rsidR="00412B1A">
        <w:rPr>
          <w:rFonts w:ascii="Times New Roman" w:hAnsi="Times New Roman" w:cs="Times New Roman"/>
          <w:color w:val="000000"/>
          <w:sz w:val="24"/>
          <w:szCs w:val="24"/>
        </w:rPr>
        <w:t>T</w:t>
      </w:r>
      <w:r w:rsidR="000F1489" w:rsidRPr="00072C0F">
        <w:rPr>
          <w:rFonts w:ascii="Times New Roman" w:hAnsi="Times New Roman" w:cs="Times New Roman"/>
          <w:color w:val="000000"/>
          <w:sz w:val="24"/>
          <w:szCs w:val="24"/>
        </w:rPr>
        <w:t>ribunal should recognise that the same activity may well be carried</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on, though it is performed now by three people rather than by the one</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 xml:space="preserve">person who earlier performed it. </w:t>
      </w:r>
      <w:r w:rsidR="00412B1A">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These questions are, however,</w:t>
      </w:r>
      <w:r w:rsidR="00697053" w:rsidRPr="00072C0F">
        <w:rPr>
          <w:rFonts w:ascii="Times New Roman" w:hAnsi="Times New Roman" w:cs="Times New Roman"/>
          <w:color w:val="000000"/>
          <w:sz w:val="24"/>
          <w:szCs w:val="24"/>
        </w:rPr>
        <w:t xml:space="preserve"> </w:t>
      </w:r>
      <w:r w:rsidR="000F1489" w:rsidRPr="00072C0F">
        <w:rPr>
          <w:rFonts w:ascii="Times New Roman" w:hAnsi="Times New Roman" w:cs="Times New Roman"/>
          <w:color w:val="000000"/>
          <w:sz w:val="24"/>
          <w:szCs w:val="24"/>
        </w:rPr>
        <w:t>fundamentally questions of fact and degree.</w:t>
      </w:r>
      <w:r>
        <w:rPr>
          <w:rFonts w:ascii="Times New Roman" w:hAnsi="Times New Roman" w:cs="Times New Roman"/>
          <w:color w:val="000000"/>
          <w:sz w:val="24"/>
          <w:szCs w:val="24"/>
        </w:rPr>
        <w:t>”</w:t>
      </w:r>
    </w:p>
    <w:p w14:paraId="75401F62" w14:textId="77777777" w:rsidR="00A86AE1" w:rsidRPr="00996790" w:rsidRDefault="00A86AE1" w:rsidP="00A86AE1">
      <w:pPr>
        <w:pStyle w:val="ListParagraph"/>
        <w:tabs>
          <w:tab w:val="left" w:pos="0"/>
        </w:tabs>
        <w:spacing w:line="480" w:lineRule="auto"/>
        <w:contextualSpacing/>
        <w:jc w:val="both"/>
        <w:rPr>
          <w:rFonts w:ascii="Times New Roman" w:hAnsi="Times New Roman" w:cs="Times New Roman"/>
          <w:color w:val="010302"/>
          <w:sz w:val="24"/>
          <w:szCs w:val="24"/>
        </w:rPr>
      </w:pPr>
    </w:p>
    <w:p w14:paraId="2E072B5B" w14:textId="22816D92" w:rsidR="00382018" w:rsidRPr="00BC5415" w:rsidRDefault="007279EC" w:rsidP="00382018">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Having reviewed the factual findings </w:t>
      </w:r>
      <w:r w:rsidR="00631280" w:rsidRPr="00996790">
        <w:rPr>
          <w:rFonts w:ascii="Times New Roman" w:hAnsi="Times New Roman" w:cs="Times New Roman"/>
          <w:color w:val="010302"/>
          <w:sz w:val="24"/>
          <w:szCs w:val="24"/>
        </w:rPr>
        <w:t xml:space="preserve">made by the ET in that case, </w:t>
      </w:r>
      <w:r w:rsidR="00382018" w:rsidRPr="00996790">
        <w:rPr>
          <w:rFonts w:ascii="Times New Roman" w:hAnsi="Times New Roman" w:cs="Times New Roman"/>
          <w:color w:val="010302"/>
          <w:sz w:val="24"/>
          <w:szCs w:val="24"/>
        </w:rPr>
        <w:t xml:space="preserve">Langstaff </w:t>
      </w:r>
      <w:r w:rsidR="001B595F">
        <w:rPr>
          <w:rFonts w:ascii="Times New Roman" w:hAnsi="Times New Roman" w:cs="Times New Roman"/>
          <w:color w:val="010302"/>
          <w:sz w:val="24"/>
          <w:szCs w:val="24"/>
        </w:rPr>
        <w:t>P</w:t>
      </w:r>
      <w:r w:rsidR="00382018" w:rsidRPr="00996790">
        <w:rPr>
          <w:rFonts w:ascii="Times New Roman" w:hAnsi="Times New Roman" w:cs="Times New Roman"/>
          <w:color w:val="010302"/>
          <w:sz w:val="24"/>
          <w:szCs w:val="24"/>
        </w:rPr>
        <w:t xml:space="preserve"> said at paragraph 13:</w:t>
      </w:r>
    </w:p>
    <w:p w14:paraId="293CAF31" w14:textId="36586D95" w:rsidR="00382018" w:rsidRPr="00072C0F" w:rsidRDefault="00072C0F" w:rsidP="00072C0F">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412B1A">
        <w:rPr>
          <w:rFonts w:ascii="Times New Roman" w:hAnsi="Times New Roman" w:cs="Times New Roman"/>
          <w:color w:val="000000"/>
          <w:sz w:val="24"/>
          <w:szCs w:val="24"/>
        </w:rPr>
        <w:t>…</w:t>
      </w:r>
      <w:r w:rsidR="004E45CB" w:rsidRPr="00072C0F">
        <w:rPr>
          <w:rFonts w:ascii="Times New Roman" w:hAnsi="Times New Roman" w:cs="Times New Roman"/>
          <w:color w:val="000000"/>
          <w:sz w:val="24"/>
          <w:szCs w:val="24"/>
        </w:rPr>
        <w:t xml:space="preserve">The identification of the activity is, as the cases have held, a question of fact and degree. It being a question of fact and degree, the question for us therefore on appeal is whether the Judge was entitled to come to that factual conclusion. </w:t>
      </w:r>
      <w:r w:rsidR="00412B1A">
        <w:rPr>
          <w:rFonts w:ascii="Times New Roman" w:hAnsi="Times New Roman" w:cs="Times New Roman"/>
          <w:color w:val="000000"/>
          <w:sz w:val="24"/>
          <w:szCs w:val="24"/>
        </w:rPr>
        <w:t xml:space="preserve"> </w:t>
      </w:r>
      <w:r w:rsidR="004E45CB" w:rsidRPr="00072C0F">
        <w:rPr>
          <w:rFonts w:ascii="Times New Roman" w:hAnsi="Times New Roman" w:cs="Times New Roman"/>
          <w:color w:val="000000"/>
          <w:sz w:val="24"/>
          <w:szCs w:val="24"/>
        </w:rPr>
        <w:t xml:space="preserve">He would not be entitled to do so if he approached the issue of identification of the activity by some wrong approach, nor would he be entitled to reach that conclusion if it were perverse to do so. As to the approach, he was asking himself the question that was proposed by HHJ Burke QC in the </w:t>
      </w:r>
      <w:r w:rsidR="004E45CB" w:rsidRPr="00FC57A4">
        <w:rPr>
          <w:rFonts w:ascii="Times New Roman" w:hAnsi="Times New Roman" w:cs="Times New Roman"/>
          <w:b/>
          <w:bCs/>
          <w:color w:val="000000"/>
          <w:sz w:val="24"/>
          <w:szCs w:val="24"/>
          <w:u w:val="single"/>
        </w:rPr>
        <w:t xml:space="preserve">Metropolitan </w:t>
      </w:r>
      <w:r w:rsidR="004E45CB" w:rsidRPr="00072C0F">
        <w:rPr>
          <w:rFonts w:ascii="Times New Roman" w:hAnsi="Times New Roman" w:cs="Times New Roman"/>
          <w:color w:val="000000"/>
          <w:sz w:val="24"/>
          <w:szCs w:val="24"/>
        </w:rPr>
        <w:t>case at paragraph 37 by asking whether the alleged transferee, in this case the client, was performing essentially the same activity as that of the alleged transferor, in this case Johnson Controls. The underlying approach was therefore undoubtedly correct.</w:t>
      </w:r>
      <w:r>
        <w:rPr>
          <w:rFonts w:ascii="Times New Roman" w:hAnsi="Times New Roman" w:cs="Times New Roman"/>
          <w:color w:val="000000"/>
          <w:sz w:val="24"/>
          <w:szCs w:val="24"/>
        </w:rPr>
        <w:t>”</w:t>
      </w:r>
    </w:p>
    <w:p w14:paraId="4CEA2E36" w14:textId="77777777" w:rsidR="00382018" w:rsidRPr="00996790" w:rsidRDefault="00382018" w:rsidP="00382018">
      <w:pPr>
        <w:pStyle w:val="ListParagraph"/>
        <w:tabs>
          <w:tab w:val="left" w:pos="0"/>
        </w:tabs>
        <w:spacing w:line="480" w:lineRule="auto"/>
        <w:contextualSpacing/>
        <w:jc w:val="both"/>
        <w:rPr>
          <w:rFonts w:ascii="Times New Roman" w:hAnsi="Times New Roman" w:cs="Times New Roman"/>
          <w:color w:val="010302"/>
          <w:sz w:val="24"/>
          <w:szCs w:val="24"/>
        </w:rPr>
      </w:pPr>
    </w:p>
    <w:p w14:paraId="1B721B90" w14:textId="2094F9D7" w:rsidR="005C4A78" w:rsidRPr="00BC5415" w:rsidRDefault="00267EE5" w:rsidP="005C4A78">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Pr>
          <w:rFonts w:ascii="Times New Roman" w:hAnsi="Times New Roman" w:cs="Times New Roman"/>
          <w:color w:val="010302"/>
          <w:sz w:val="24"/>
          <w:szCs w:val="24"/>
        </w:rPr>
        <w:t>A</w:t>
      </w:r>
      <w:r w:rsidR="00FB6C0A" w:rsidRPr="00996790">
        <w:rPr>
          <w:rFonts w:ascii="Times New Roman" w:hAnsi="Times New Roman" w:cs="Times New Roman"/>
          <w:color w:val="010302"/>
          <w:sz w:val="24"/>
          <w:szCs w:val="24"/>
        </w:rPr>
        <w:t xml:space="preserve">t paragraph 18 </w:t>
      </w:r>
      <w:r>
        <w:rPr>
          <w:rFonts w:ascii="Times New Roman" w:hAnsi="Times New Roman" w:cs="Times New Roman"/>
          <w:color w:val="010302"/>
          <w:sz w:val="24"/>
          <w:szCs w:val="24"/>
        </w:rPr>
        <w:t>he continued</w:t>
      </w:r>
      <w:r w:rsidR="005C4A78" w:rsidRPr="00996790">
        <w:rPr>
          <w:rFonts w:ascii="Times New Roman" w:hAnsi="Times New Roman" w:cs="Times New Roman"/>
          <w:color w:val="010302"/>
          <w:sz w:val="24"/>
          <w:szCs w:val="24"/>
        </w:rPr>
        <w:t>:</w:t>
      </w:r>
    </w:p>
    <w:p w14:paraId="689B9D1B" w14:textId="39B19553" w:rsidR="005C4A78" w:rsidRPr="00072C0F" w:rsidRDefault="00FC57A4" w:rsidP="00072C0F">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52D9A" w:rsidRPr="00072C0F">
        <w:rPr>
          <w:rFonts w:ascii="Times New Roman" w:hAnsi="Times New Roman" w:cs="Times New Roman"/>
          <w:color w:val="000000"/>
          <w:sz w:val="24"/>
          <w:szCs w:val="24"/>
        </w:rPr>
        <w:t xml:space="preserve">In our view, the Tribunal, faced with the question, which is its initial and critical question as identified by </w:t>
      </w:r>
      <w:r w:rsidR="00852D9A" w:rsidRPr="00FC57A4">
        <w:rPr>
          <w:rFonts w:ascii="Times New Roman" w:hAnsi="Times New Roman" w:cs="Times New Roman"/>
          <w:b/>
          <w:bCs/>
          <w:color w:val="000000"/>
          <w:sz w:val="24"/>
          <w:szCs w:val="24"/>
          <w:u w:val="single"/>
        </w:rPr>
        <w:t>Kimberley</w:t>
      </w:r>
      <w:r w:rsidR="00852D9A" w:rsidRPr="00072C0F">
        <w:rPr>
          <w:rFonts w:ascii="Times New Roman" w:hAnsi="Times New Roman" w:cs="Times New Roman"/>
          <w:color w:val="000000"/>
          <w:sz w:val="24"/>
          <w:szCs w:val="24"/>
        </w:rPr>
        <w:t xml:space="preserve">, has to decide what an activity is. Mr </w:t>
      </w:r>
      <w:proofErr w:type="spellStart"/>
      <w:r w:rsidR="00852D9A" w:rsidRPr="00072C0F">
        <w:rPr>
          <w:rFonts w:ascii="Times New Roman" w:hAnsi="Times New Roman" w:cs="Times New Roman"/>
          <w:color w:val="000000"/>
          <w:sz w:val="24"/>
          <w:szCs w:val="24"/>
        </w:rPr>
        <w:t>Brittenden</w:t>
      </w:r>
      <w:proofErr w:type="spellEnd"/>
      <w:r w:rsidR="00852D9A" w:rsidRPr="00072C0F">
        <w:rPr>
          <w:rFonts w:ascii="Times New Roman" w:hAnsi="Times New Roman" w:cs="Times New Roman"/>
          <w:color w:val="000000"/>
          <w:sz w:val="24"/>
          <w:szCs w:val="24"/>
        </w:rPr>
        <w:t>, who appears for UKAEA, argues that Mr Rose's analysis is an over</w:t>
      </w:r>
      <w:r>
        <w:rPr>
          <w:rFonts w:ascii="Times New Roman" w:hAnsi="Times New Roman" w:cs="Times New Roman"/>
          <w:color w:val="000000"/>
          <w:sz w:val="24"/>
          <w:szCs w:val="24"/>
        </w:rPr>
        <w:t>-</w:t>
      </w:r>
      <w:r w:rsidR="00852D9A" w:rsidRPr="00072C0F">
        <w:rPr>
          <w:rFonts w:ascii="Times New Roman" w:hAnsi="Times New Roman" w:cs="Times New Roman"/>
          <w:color w:val="000000"/>
          <w:sz w:val="24"/>
          <w:szCs w:val="24"/>
        </w:rPr>
        <w:t xml:space="preserve">analysis where it seeks to separate the how from the what. He points to the fact that small differences quantitatively between a service provided before a putative transfer and that occurring after can be critical, as they were in </w:t>
      </w:r>
      <w:r w:rsidR="00852D9A" w:rsidRPr="00FC57A4">
        <w:rPr>
          <w:rFonts w:ascii="Times New Roman" w:hAnsi="Times New Roman" w:cs="Times New Roman"/>
          <w:b/>
          <w:bCs/>
          <w:color w:val="000000"/>
          <w:sz w:val="24"/>
          <w:szCs w:val="24"/>
          <w:u w:val="single"/>
        </w:rPr>
        <w:t xml:space="preserve">the Enterprise Management </w:t>
      </w:r>
      <w:r w:rsidR="00852D9A" w:rsidRPr="00072C0F">
        <w:rPr>
          <w:rFonts w:ascii="Times New Roman" w:hAnsi="Times New Roman" w:cs="Times New Roman"/>
          <w:color w:val="000000"/>
          <w:sz w:val="24"/>
          <w:szCs w:val="24"/>
        </w:rPr>
        <w:t xml:space="preserve">case, when the description adopted by the Tribunal was 15 per cent of the work no longer being carried on after as it had been before. We accept that identifying what an activity is involves </w:t>
      </w:r>
      <w:proofErr w:type="gramStart"/>
      <w:r w:rsidR="00852D9A" w:rsidRPr="00072C0F">
        <w:rPr>
          <w:rFonts w:ascii="Times New Roman" w:hAnsi="Times New Roman" w:cs="Times New Roman"/>
          <w:color w:val="000000"/>
          <w:sz w:val="24"/>
          <w:szCs w:val="24"/>
        </w:rPr>
        <w:t>an</w:t>
      </w:r>
      <w:proofErr w:type="gramEnd"/>
      <w:r w:rsidR="00852D9A" w:rsidRPr="00072C0F">
        <w:rPr>
          <w:rFonts w:ascii="Times New Roman" w:hAnsi="Times New Roman" w:cs="Times New Roman"/>
          <w:color w:val="000000"/>
          <w:sz w:val="24"/>
          <w:szCs w:val="24"/>
        </w:rPr>
        <w:t xml:space="preserve"> holistic assessment by the Tribunal. The Tribunal is trusted to make that assessment. Its evaluation will be alert to possibilities of manipulation, but it is not simply to be decided by enumerating tasks and identifying whether </w:t>
      </w:r>
      <w:proofErr w:type="gramStart"/>
      <w:r w:rsidR="00852D9A" w:rsidRPr="00072C0F">
        <w:rPr>
          <w:rFonts w:ascii="Times New Roman" w:hAnsi="Times New Roman" w:cs="Times New Roman"/>
          <w:color w:val="000000"/>
          <w:sz w:val="24"/>
          <w:szCs w:val="24"/>
        </w:rPr>
        <w:t>the majority of</w:t>
      </w:r>
      <w:proofErr w:type="gramEnd"/>
      <w:r w:rsidR="00852D9A" w:rsidRPr="00072C0F">
        <w:rPr>
          <w:rFonts w:ascii="Times New Roman" w:hAnsi="Times New Roman" w:cs="Times New Roman"/>
          <w:color w:val="000000"/>
          <w:sz w:val="24"/>
          <w:szCs w:val="24"/>
        </w:rPr>
        <w:t xml:space="preserve"> those tasks quantitatively is the same as the majority was prior to the putative transfer.</w:t>
      </w:r>
      <w:r>
        <w:rPr>
          <w:rFonts w:ascii="Times New Roman" w:hAnsi="Times New Roman" w:cs="Times New Roman"/>
          <w:color w:val="000000"/>
          <w:sz w:val="24"/>
          <w:szCs w:val="24"/>
        </w:rPr>
        <w:t>”</w:t>
      </w:r>
    </w:p>
    <w:p w14:paraId="4FA6C2D0" w14:textId="77777777" w:rsidR="005C4A78" w:rsidRPr="00996790" w:rsidRDefault="005C4A78" w:rsidP="005C4A78">
      <w:pPr>
        <w:pStyle w:val="ListParagraph"/>
        <w:tabs>
          <w:tab w:val="left" w:pos="0"/>
        </w:tabs>
        <w:spacing w:line="480" w:lineRule="auto"/>
        <w:contextualSpacing/>
        <w:jc w:val="both"/>
        <w:rPr>
          <w:rFonts w:ascii="Times New Roman" w:hAnsi="Times New Roman" w:cs="Times New Roman"/>
          <w:color w:val="010302"/>
          <w:sz w:val="24"/>
          <w:szCs w:val="24"/>
        </w:rPr>
      </w:pPr>
    </w:p>
    <w:p w14:paraId="65EE0341" w14:textId="2258EA9A" w:rsidR="0036410E" w:rsidRPr="00BC5415" w:rsidRDefault="00FC2383" w:rsidP="0036410E">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In </w:t>
      </w:r>
      <w:r w:rsidR="00CB74AC" w:rsidRPr="009A78B7">
        <w:rPr>
          <w:rFonts w:ascii="Times New Roman" w:hAnsi="Times New Roman" w:cs="Times New Roman"/>
          <w:b/>
          <w:bCs/>
          <w:color w:val="010302"/>
          <w:sz w:val="24"/>
          <w:szCs w:val="24"/>
          <w:u w:val="single"/>
        </w:rPr>
        <w:t xml:space="preserve">Department for Education v </w:t>
      </w:r>
      <w:proofErr w:type="spellStart"/>
      <w:r w:rsidR="00CB74AC" w:rsidRPr="009A78B7">
        <w:rPr>
          <w:rFonts w:ascii="Times New Roman" w:hAnsi="Times New Roman" w:cs="Times New Roman"/>
          <w:b/>
          <w:bCs/>
          <w:color w:val="010302"/>
          <w:sz w:val="24"/>
          <w:szCs w:val="24"/>
          <w:u w:val="single"/>
        </w:rPr>
        <w:t>Huke</w:t>
      </w:r>
      <w:proofErr w:type="spellEnd"/>
      <w:r w:rsidR="00CB74AC" w:rsidRPr="009A78B7">
        <w:rPr>
          <w:rFonts w:ascii="Times New Roman" w:hAnsi="Times New Roman" w:cs="Times New Roman"/>
          <w:b/>
          <w:bCs/>
          <w:color w:val="010302"/>
          <w:sz w:val="24"/>
          <w:szCs w:val="24"/>
          <w:u w:val="single"/>
        </w:rPr>
        <w:t xml:space="preserve"> &amp; Anor</w:t>
      </w:r>
      <w:r w:rsidR="00CB74AC" w:rsidRPr="00597E55">
        <w:rPr>
          <w:rFonts w:ascii="Times New Roman" w:hAnsi="Times New Roman" w:cs="Times New Roman"/>
          <w:color w:val="010302"/>
          <w:sz w:val="24"/>
          <w:szCs w:val="24"/>
        </w:rPr>
        <w:t xml:space="preserve"> UKEAT/0080/12/LA</w:t>
      </w:r>
      <w:r w:rsidR="00CB74AC" w:rsidRPr="00996790">
        <w:rPr>
          <w:rFonts w:ascii="Times New Roman" w:hAnsi="Times New Roman" w:cs="Times New Roman"/>
          <w:color w:val="010302"/>
          <w:sz w:val="24"/>
          <w:szCs w:val="24"/>
        </w:rPr>
        <w:t xml:space="preserve"> (''</w:t>
      </w:r>
      <w:proofErr w:type="spellStart"/>
      <w:r w:rsidR="00CB74AC" w:rsidRPr="00FA2C04">
        <w:rPr>
          <w:rFonts w:ascii="Times New Roman" w:hAnsi="Times New Roman" w:cs="Times New Roman"/>
          <w:b/>
          <w:bCs/>
          <w:color w:val="010302"/>
          <w:sz w:val="24"/>
          <w:szCs w:val="24"/>
          <w:u w:val="single"/>
        </w:rPr>
        <w:t>Huke</w:t>
      </w:r>
      <w:proofErr w:type="spellEnd"/>
      <w:r w:rsidR="00CB74AC" w:rsidRPr="00996790">
        <w:rPr>
          <w:rFonts w:ascii="Times New Roman" w:hAnsi="Times New Roman" w:cs="Times New Roman"/>
          <w:color w:val="010302"/>
          <w:sz w:val="24"/>
          <w:szCs w:val="24"/>
        </w:rPr>
        <w:t>'')</w:t>
      </w:r>
      <w:r w:rsidR="00141B84" w:rsidRPr="00996790">
        <w:rPr>
          <w:rFonts w:ascii="Times New Roman" w:hAnsi="Times New Roman" w:cs="Times New Roman"/>
          <w:color w:val="010302"/>
          <w:sz w:val="24"/>
          <w:szCs w:val="24"/>
        </w:rPr>
        <w:t xml:space="preserve">, Lady Smith applied </w:t>
      </w:r>
      <w:r w:rsidR="00343E00" w:rsidRPr="00996790">
        <w:rPr>
          <w:rFonts w:ascii="Times New Roman" w:hAnsi="Times New Roman" w:cs="Times New Roman"/>
          <w:color w:val="010302"/>
          <w:sz w:val="24"/>
          <w:szCs w:val="24"/>
        </w:rPr>
        <w:t xml:space="preserve">the principles I have identified </w:t>
      </w:r>
      <w:proofErr w:type="gramStart"/>
      <w:r w:rsidR="00727DE6" w:rsidRPr="00996790">
        <w:rPr>
          <w:rFonts w:ascii="Times New Roman" w:hAnsi="Times New Roman" w:cs="Times New Roman"/>
          <w:color w:val="010302"/>
          <w:sz w:val="24"/>
          <w:szCs w:val="24"/>
        </w:rPr>
        <w:t>and also</w:t>
      </w:r>
      <w:proofErr w:type="gramEnd"/>
      <w:r w:rsidR="00727DE6" w:rsidRPr="00996790">
        <w:rPr>
          <w:rFonts w:ascii="Times New Roman" w:hAnsi="Times New Roman" w:cs="Times New Roman"/>
          <w:color w:val="010302"/>
          <w:sz w:val="24"/>
          <w:szCs w:val="24"/>
        </w:rPr>
        <w:t xml:space="preserve"> noted</w:t>
      </w:r>
      <w:r w:rsidR="0036410E" w:rsidRPr="00996790">
        <w:rPr>
          <w:rFonts w:ascii="Times New Roman" w:hAnsi="Times New Roman" w:cs="Times New Roman"/>
          <w:color w:val="010302"/>
          <w:sz w:val="24"/>
          <w:szCs w:val="24"/>
        </w:rPr>
        <w:t xml:space="preserve"> in paragraph 21:</w:t>
      </w:r>
    </w:p>
    <w:p w14:paraId="1F90A8FB" w14:textId="2D557204" w:rsidR="0036410E" w:rsidRPr="00597E55" w:rsidRDefault="00597E55" w:rsidP="00597E55">
      <w:pPr>
        <w:pStyle w:val="ListParagraph"/>
        <w:tabs>
          <w:tab w:val="left" w:pos="0"/>
        </w:tabs>
        <w:ind w:left="851" w:right="850"/>
        <w:contextualSpacing/>
        <w:jc w:val="both"/>
        <w:rPr>
          <w:rFonts w:ascii="Times New Roman" w:hAnsi="Times New Roman" w:cs="Times New Roman"/>
          <w:color w:val="000000"/>
          <w:sz w:val="24"/>
          <w:szCs w:val="24"/>
        </w:rPr>
      </w:pPr>
      <w:r w:rsidRPr="00597E55">
        <w:rPr>
          <w:rFonts w:ascii="Times New Roman" w:hAnsi="Times New Roman" w:cs="Times New Roman"/>
          <w:color w:val="000000"/>
          <w:sz w:val="24"/>
          <w:szCs w:val="24"/>
        </w:rPr>
        <w:t>“</w:t>
      </w:r>
      <w:r w:rsidR="001F48DF" w:rsidRPr="00597E55">
        <w:rPr>
          <w:rFonts w:ascii="Times New Roman" w:hAnsi="Times New Roman" w:cs="Times New Roman"/>
          <w:color w:val="000000"/>
          <w:sz w:val="24"/>
          <w:szCs w:val="24"/>
        </w:rPr>
        <w:t xml:space="preserve">… equally, it cannot be a matter of simply asking whether activities carrying the same label continue after the alleged transfer. In the factual assessment which the tribunal requires to carry out, it seems plain that they must consider not only the character and types of activities carried out but also quantity. A substantial change in the amount of the particular activity that the client requires could, we consider, show that the post transfer activity is not the same as it was </w:t>
      </w:r>
      <w:proofErr w:type="gramStart"/>
      <w:r w:rsidR="001F48DF" w:rsidRPr="00597E55">
        <w:rPr>
          <w:rFonts w:ascii="Times New Roman" w:hAnsi="Times New Roman" w:cs="Times New Roman"/>
          <w:color w:val="000000"/>
          <w:sz w:val="24"/>
          <w:szCs w:val="24"/>
        </w:rPr>
        <w:t>pre transfer</w:t>
      </w:r>
      <w:proofErr w:type="gramEnd"/>
      <w:r w:rsidR="001F48DF" w:rsidRPr="00597E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F48DF" w:rsidRPr="00597E55">
        <w:rPr>
          <w:rFonts w:ascii="Times New Roman" w:hAnsi="Times New Roman" w:cs="Times New Roman"/>
          <w:color w:val="000000"/>
          <w:sz w:val="24"/>
          <w:szCs w:val="24"/>
        </w:rPr>
        <w:t xml:space="preserve">Thus, in the </w:t>
      </w:r>
      <w:r w:rsidR="001F48DF" w:rsidRPr="00FE378F">
        <w:rPr>
          <w:rFonts w:ascii="Times New Roman" w:hAnsi="Times New Roman" w:cs="Times New Roman"/>
          <w:b/>
          <w:bCs/>
          <w:color w:val="000000"/>
          <w:sz w:val="24"/>
          <w:szCs w:val="24"/>
          <w:u w:val="single"/>
        </w:rPr>
        <w:t>OCS Group</w:t>
      </w:r>
      <w:r w:rsidR="001F48DF" w:rsidRPr="00597E55">
        <w:rPr>
          <w:rFonts w:ascii="Times New Roman" w:hAnsi="Times New Roman" w:cs="Times New Roman"/>
          <w:color w:val="000000"/>
          <w:sz w:val="24"/>
          <w:szCs w:val="24"/>
        </w:rPr>
        <w:t xml:space="preserve"> case, the tribunal found that the contract post transfer was for a substantially reduced service which was materially different and TUPE did not apply.</w:t>
      </w:r>
      <w:r w:rsidRPr="00597E55">
        <w:rPr>
          <w:rFonts w:ascii="Times New Roman" w:hAnsi="Times New Roman" w:cs="Times New Roman"/>
          <w:color w:val="000000"/>
          <w:sz w:val="24"/>
          <w:szCs w:val="24"/>
        </w:rPr>
        <w:t>”</w:t>
      </w:r>
    </w:p>
    <w:p w14:paraId="2E8FE854" w14:textId="77777777" w:rsidR="0036410E" w:rsidRPr="00996790" w:rsidRDefault="0036410E" w:rsidP="00597E55">
      <w:pPr>
        <w:pStyle w:val="ListParagraph"/>
        <w:tabs>
          <w:tab w:val="left" w:pos="0"/>
        </w:tabs>
        <w:ind w:left="851" w:right="850"/>
        <w:contextualSpacing/>
        <w:jc w:val="both"/>
        <w:rPr>
          <w:rFonts w:ascii="Times New Roman" w:hAnsi="Times New Roman" w:cs="Times New Roman"/>
          <w:color w:val="010302"/>
          <w:sz w:val="24"/>
          <w:szCs w:val="24"/>
        </w:rPr>
      </w:pPr>
    </w:p>
    <w:p w14:paraId="572B02BA" w14:textId="3672D8EC" w:rsidR="007D0550" w:rsidRPr="00BC5415" w:rsidRDefault="00D362BB" w:rsidP="007D0550">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At paragraph 32 </w:t>
      </w:r>
      <w:r w:rsidR="006976AE" w:rsidRPr="00996790">
        <w:rPr>
          <w:rFonts w:ascii="Times New Roman" w:hAnsi="Times New Roman" w:cs="Times New Roman"/>
          <w:color w:val="010302"/>
          <w:sz w:val="24"/>
          <w:szCs w:val="24"/>
        </w:rPr>
        <w:t xml:space="preserve">she reiterated that changes in the volume of work are relevant </w:t>
      </w:r>
      <w:r w:rsidR="003B17AF" w:rsidRPr="00996790">
        <w:rPr>
          <w:rFonts w:ascii="Times New Roman" w:hAnsi="Times New Roman" w:cs="Times New Roman"/>
          <w:color w:val="010302"/>
          <w:sz w:val="24"/>
          <w:szCs w:val="24"/>
        </w:rPr>
        <w:t xml:space="preserve">to considering </w:t>
      </w:r>
      <w:proofErr w:type="gramStart"/>
      <w:r w:rsidR="003B17AF" w:rsidRPr="00996790">
        <w:rPr>
          <w:rFonts w:ascii="Times New Roman" w:hAnsi="Times New Roman" w:cs="Times New Roman"/>
          <w:color w:val="010302"/>
          <w:sz w:val="24"/>
          <w:szCs w:val="24"/>
        </w:rPr>
        <w:t>whether or not</w:t>
      </w:r>
      <w:proofErr w:type="gramEnd"/>
      <w:r w:rsidR="003B17AF" w:rsidRPr="00996790">
        <w:rPr>
          <w:rFonts w:ascii="Times New Roman" w:hAnsi="Times New Roman" w:cs="Times New Roman"/>
          <w:color w:val="010302"/>
          <w:sz w:val="24"/>
          <w:szCs w:val="24"/>
        </w:rPr>
        <w:t xml:space="preserve"> </w:t>
      </w:r>
      <w:r w:rsidR="00F910E6" w:rsidRPr="00996790">
        <w:rPr>
          <w:rFonts w:ascii="Times New Roman" w:hAnsi="Times New Roman" w:cs="Times New Roman"/>
          <w:color w:val="010302"/>
          <w:sz w:val="24"/>
          <w:szCs w:val="24"/>
        </w:rPr>
        <w:t xml:space="preserve">the activities </w:t>
      </w:r>
      <w:r w:rsidR="00F04C88" w:rsidRPr="00996790">
        <w:rPr>
          <w:rFonts w:ascii="Times New Roman" w:hAnsi="Times New Roman" w:cs="Times New Roman"/>
          <w:color w:val="010302"/>
          <w:sz w:val="24"/>
          <w:szCs w:val="24"/>
        </w:rPr>
        <w:t xml:space="preserve">carried out before and after the alleged </w:t>
      </w:r>
      <w:r w:rsidR="00DD0FD8" w:rsidRPr="00996790">
        <w:rPr>
          <w:rFonts w:ascii="Times New Roman" w:hAnsi="Times New Roman" w:cs="Times New Roman"/>
          <w:color w:val="010302"/>
          <w:sz w:val="24"/>
          <w:szCs w:val="24"/>
        </w:rPr>
        <w:t>transfer are essentially the same</w:t>
      </w:r>
      <w:r w:rsidR="007D0550" w:rsidRPr="00996790">
        <w:rPr>
          <w:rFonts w:ascii="Times New Roman" w:hAnsi="Times New Roman" w:cs="Times New Roman"/>
          <w:color w:val="010302"/>
          <w:sz w:val="24"/>
          <w:szCs w:val="24"/>
        </w:rPr>
        <w:t>, and at the end of paragraph 35 she said:</w:t>
      </w:r>
    </w:p>
    <w:p w14:paraId="7559F688" w14:textId="6EC492FC" w:rsidR="007D0550" w:rsidRDefault="00B56A8B" w:rsidP="000E1A06">
      <w:pPr>
        <w:pStyle w:val="ListParagraph"/>
        <w:tabs>
          <w:tab w:val="left" w:pos="0"/>
        </w:tabs>
        <w:ind w:left="851" w:right="85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A0BEF" w:rsidRPr="00B56A8B">
        <w:rPr>
          <w:rFonts w:ascii="Times New Roman" w:hAnsi="Times New Roman" w:cs="Times New Roman"/>
          <w:color w:val="000000"/>
          <w:sz w:val="24"/>
          <w:szCs w:val="24"/>
        </w:rPr>
        <w:t xml:space="preserve">Equally, where the volume of work undergoes a substantial diminution, it may lead to the conclusion that the activities being carried out are not essentially the same as before, even if the same categories of work apply. </w:t>
      </w:r>
      <w:r>
        <w:rPr>
          <w:rFonts w:ascii="Times New Roman" w:hAnsi="Times New Roman" w:cs="Times New Roman"/>
          <w:color w:val="000000"/>
          <w:sz w:val="24"/>
          <w:szCs w:val="24"/>
        </w:rPr>
        <w:t xml:space="preserve"> </w:t>
      </w:r>
      <w:r w:rsidR="009A0BEF" w:rsidRPr="00B56A8B">
        <w:rPr>
          <w:rFonts w:ascii="Times New Roman" w:hAnsi="Times New Roman" w:cs="Times New Roman"/>
          <w:color w:val="000000"/>
          <w:sz w:val="24"/>
          <w:szCs w:val="24"/>
        </w:rPr>
        <w:t xml:space="preserve">As HHJ Burke QC </w:t>
      </w:r>
      <w:r w:rsidR="009A0BEF" w:rsidRPr="00B56A8B">
        <w:rPr>
          <w:rFonts w:ascii="Times New Roman" w:hAnsi="Times New Roman" w:cs="Times New Roman"/>
          <w:color w:val="000000"/>
          <w:sz w:val="24"/>
          <w:szCs w:val="24"/>
        </w:rPr>
        <w:lastRenderedPageBreak/>
        <w:t>observed, the assessment is a matter of both fact and degree.</w:t>
      </w:r>
      <w:r>
        <w:rPr>
          <w:rFonts w:ascii="Times New Roman" w:hAnsi="Times New Roman" w:cs="Times New Roman"/>
          <w:color w:val="000000"/>
          <w:sz w:val="24"/>
          <w:szCs w:val="24"/>
        </w:rPr>
        <w:t>”</w:t>
      </w:r>
    </w:p>
    <w:p w14:paraId="0647B793" w14:textId="77777777" w:rsidR="000E1A06" w:rsidRPr="000E1A06" w:rsidRDefault="000E1A06" w:rsidP="000E1A06">
      <w:pPr>
        <w:pStyle w:val="ListParagraph"/>
        <w:tabs>
          <w:tab w:val="left" w:pos="0"/>
        </w:tabs>
        <w:ind w:left="851" w:right="850"/>
        <w:contextualSpacing/>
        <w:jc w:val="both"/>
        <w:rPr>
          <w:rFonts w:ascii="Times New Roman" w:hAnsi="Times New Roman" w:cs="Times New Roman"/>
          <w:color w:val="000000"/>
          <w:sz w:val="24"/>
          <w:szCs w:val="24"/>
        </w:rPr>
      </w:pPr>
    </w:p>
    <w:p w14:paraId="58394ED2" w14:textId="22EB8CC4" w:rsidR="00C63E99" w:rsidRPr="00996790" w:rsidRDefault="005052F9" w:rsidP="00DA35F6">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Later cases have continued to reiterate that the question of whether the </w:t>
      </w:r>
      <w:r w:rsidR="00786FD2" w:rsidRPr="00996790">
        <w:rPr>
          <w:rFonts w:ascii="Times New Roman" w:hAnsi="Times New Roman" w:cs="Times New Roman"/>
          <w:color w:val="010302"/>
          <w:sz w:val="24"/>
          <w:szCs w:val="24"/>
        </w:rPr>
        <w:t xml:space="preserve">regulation 3(1)(b) definition is met </w:t>
      </w:r>
      <w:r w:rsidR="00767A48" w:rsidRPr="00996790">
        <w:rPr>
          <w:rFonts w:ascii="Times New Roman" w:hAnsi="Times New Roman" w:cs="Times New Roman"/>
          <w:color w:val="010302"/>
          <w:sz w:val="24"/>
          <w:szCs w:val="24"/>
        </w:rPr>
        <w:t xml:space="preserve">in any individual case </w:t>
      </w:r>
      <w:r w:rsidR="003341FB" w:rsidRPr="00996790">
        <w:rPr>
          <w:rFonts w:ascii="Times New Roman" w:hAnsi="Times New Roman" w:cs="Times New Roman"/>
          <w:color w:val="010302"/>
          <w:sz w:val="24"/>
          <w:szCs w:val="24"/>
        </w:rPr>
        <w:t>is one of fact</w:t>
      </w:r>
      <w:r w:rsidR="00D27D04" w:rsidRPr="00996790">
        <w:rPr>
          <w:rFonts w:ascii="Times New Roman" w:hAnsi="Times New Roman" w:cs="Times New Roman"/>
          <w:color w:val="010302"/>
          <w:sz w:val="24"/>
          <w:szCs w:val="24"/>
        </w:rPr>
        <w:t xml:space="preserve"> and degree for the assessment of the fact-finding tribunal</w:t>
      </w:r>
      <w:r w:rsidR="009E3A99" w:rsidRPr="00996790">
        <w:rPr>
          <w:rFonts w:ascii="Times New Roman" w:hAnsi="Times New Roman" w:cs="Times New Roman"/>
          <w:color w:val="010302"/>
          <w:sz w:val="24"/>
          <w:szCs w:val="24"/>
        </w:rPr>
        <w:t xml:space="preserve">.  For example, </w:t>
      </w:r>
      <w:r w:rsidR="00C97E2B" w:rsidRPr="00996790">
        <w:rPr>
          <w:rFonts w:ascii="Times New Roman" w:hAnsi="Times New Roman" w:cs="Times New Roman"/>
          <w:color w:val="010302"/>
          <w:sz w:val="24"/>
          <w:szCs w:val="24"/>
        </w:rPr>
        <w:t xml:space="preserve">see </w:t>
      </w:r>
      <w:r w:rsidR="00DA35F6" w:rsidRPr="00380C6D">
        <w:rPr>
          <w:rFonts w:ascii="Times New Roman" w:hAnsi="Times New Roman" w:cs="Times New Roman"/>
          <w:b/>
          <w:bCs/>
          <w:color w:val="010302"/>
          <w:sz w:val="24"/>
          <w:szCs w:val="24"/>
          <w:u w:val="single"/>
        </w:rPr>
        <w:t>Arch Initiatives v Greater Manchester West Mental Health NHS Foundation Trust and others</w:t>
      </w:r>
      <w:r w:rsidR="00DA35F6" w:rsidRPr="00996790">
        <w:rPr>
          <w:rFonts w:ascii="Times New Roman" w:hAnsi="Times New Roman" w:cs="Times New Roman"/>
          <w:color w:val="010302"/>
          <w:sz w:val="24"/>
          <w:szCs w:val="24"/>
        </w:rPr>
        <w:t xml:space="preserve"> [2016] ICR 607 (</w:t>
      </w:r>
      <w:r w:rsidR="000F544C">
        <w:rPr>
          <w:rFonts w:ascii="Times New Roman" w:hAnsi="Times New Roman" w:cs="Times New Roman"/>
          <w:color w:val="010302"/>
          <w:sz w:val="24"/>
          <w:szCs w:val="24"/>
        </w:rPr>
        <w:t>“</w:t>
      </w:r>
      <w:r w:rsidR="00671A81" w:rsidRPr="00FA2C04">
        <w:rPr>
          <w:rFonts w:ascii="Times New Roman" w:hAnsi="Times New Roman" w:cs="Times New Roman"/>
          <w:b/>
          <w:bCs/>
          <w:color w:val="010302"/>
          <w:sz w:val="24"/>
          <w:szCs w:val="24"/>
          <w:u w:val="single"/>
        </w:rPr>
        <w:t>Arch Initiatives</w:t>
      </w:r>
      <w:r w:rsidR="006C34EE">
        <w:rPr>
          <w:rFonts w:ascii="Times New Roman" w:hAnsi="Times New Roman" w:cs="Times New Roman"/>
          <w:color w:val="010302"/>
          <w:sz w:val="24"/>
          <w:szCs w:val="24"/>
        </w:rPr>
        <w:t>”</w:t>
      </w:r>
      <w:r w:rsidR="00671A81" w:rsidRPr="00996790">
        <w:rPr>
          <w:rFonts w:ascii="Times New Roman" w:hAnsi="Times New Roman" w:cs="Times New Roman"/>
          <w:color w:val="010302"/>
          <w:sz w:val="24"/>
          <w:szCs w:val="24"/>
        </w:rPr>
        <w:t>)</w:t>
      </w:r>
      <w:r w:rsidR="001B5BFC" w:rsidRPr="00996790">
        <w:rPr>
          <w:rFonts w:ascii="Times New Roman" w:hAnsi="Times New Roman" w:cs="Times New Roman"/>
          <w:color w:val="010302"/>
          <w:sz w:val="24"/>
          <w:szCs w:val="24"/>
        </w:rPr>
        <w:t xml:space="preserve">, </w:t>
      </w:r>
      <w:proofErr w:type="spellStart"/>
      <w:r w:rsidR="008A4235" w:rsidRPr="00996790">
        <w:rPr>
          <w:rFonts w:ascii="Times New Roman" w:hAnsi="Times New Roman" w:cs="Times New Roman"/>
          <w:color w:val="010302"/>
          <w:sz w:val="24"/>
          <w:szCs w:val="24"/>
        </w:rPr>
        <w:t>Simler</w:t>
      </w:r>
      <w:proofErr w:type="spellEnd"/>
      <w:r w:rsidR="008A4235" w:rsidRPr="00996790">
        <w:rPr>
          <w:rFonts w:ascii="Times New Roman" w:hAnsi="Times New Roman" w:cs="Times New Roman"/>
          <w:color w:val="010302"/>
          <w:sz w:val="24"/>
          <w:szCs w:val="24"/>
        </w:rPr>
        <w:t xml:space="preserve"> </w:t>
      </w:r>
      <w:r w:rsidR="00D84FA1">
        <w:rPr>
          <w:rFonts w:ascii="Times New Roman" w:hAnsi="Times New Roman" w:cs="Times New Roman"/>
          <w:color w:val="010302"/>
          <w:sz w:val="24"/>
          <w:szCs w:val="24"/>
        </w:rPr>
        <w:t>P</w:t>
      </w:r>
      <w:r w:rsidR="008A4235" w:rsidRPr="00996790">
        <w:rPr>
          <w:rFonts w:ascii="Times New Roman" w:hAnsi="Times New Roman" w:cs="Times New Roman"/>
          <w:color w:val="010302"/>
          <w:sz w:val="24"/>
          <w:szCs w:val="24"/>
        </w:rPr>
        <w:t xml:space="preserve"> (</w:t>
      </w:r>
      <w:r w:rsidR="00D84FA1">
        <w:rPr>
          <w:rFonts w:ascii="Times New Roman" w:hAnsi="Times New Roman" w:cs="Times New Roman"/>
          <w:color w:val="010302"/>
          <w:sz w:val="24"/>
          <w:szCs w:val="24"/>
        </w:rPr>
        <w:t>as she then was</w:t>
      </w:r>
      <w:r w:rsidR="000F544C">
        <w:rPr>
          <w:rFonts w:ascii="Times New Roman" w:hAnsi="Times New Roman" w:cs="Times New Roman"/>
          <w:color w:val="010302"/>
          <w:sz w:val="24"/>
          <w:szCs w:val="24"/>
        </w:rPr>
        <w:t>)</w:t>
      </w:r>
      <w:r w:rsidR="008A4235" w:rsidRPr="00996790">
        <w:rPr>
          <w:rFonts w:ascii="Times New Roman" w:hAnsi="Times New Roman" w:cs="Times New Roman"/>
          <w:color w:val="010302"/>
          <w:sz w:val="24"/>
          <w:szCs w:val="24"/>
        </w:rPr>
        <w:t xml:space="preserve"> </w:t>
      </w:r>
      <w:r w:rsidR="00E50F1E" w:rsidRPr="00996790">
        <w:rPr>
          <w:rFonts w:ascii="Times New Roman" w:hAnsi="Times New Roman" w:cs="Times New Roman"/>
          <w:color w:val="010302"/>
          <w:sz w:val="24"/>
          <w:szCs w:val="24"/>
        </w:rPr>
        <w:t xml:space="preserve">at paragraph 19.  </w:t>
      </w:r>
    </w:p>
    <w:p w14:paraId="4121AA08" w14:textId="6C9DCD6D" w:rsidR="008941D5" w:rsidRPr="00492ABA" w:rsidRDefault="00460B2C" w:rsidP="008941D5">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In </w:t>
      </w:r>
      <w:proofErr w:type="gramStart"/>
      <w:r w:rsidR="00927BE5" w:rsidRPr="000F544C">
        <w:rPr>
          <w:rFonts w:ascii="Times New Roman" w:hAnsi="Times New Roman" w:cs="Times New Roman"/>
          <w:b/>
          <w:bCs/>
          <w:color w:val="010302"/>
          <w:sz w:val="24"/>
          <w:szCs w:val="24"/>
          <w:u w:val="single"/>
        </w:rPr>
        <w:t>The</w:t>
      </w:r>
      <w:proofErr w:type="gramEnd"/>
      <w:r w:rsidR="00927BE5" w:rsidRPr="000F544C">
        <w:rPr>
          <w:rFonts w:ascii="Times New Roman" w:hAnsi="Times New Roman" w:cs="Times New Roman"/>
          <w:b/>
          <w:bCs/>
          <w:color w:val="010302"/>
          <w:sz w:val="24"/>
          <w:szCs w:val="24"/>
          <w:u w:val="single"/>
        </w:rPr>
        <w:t xml:space="preserve"> Salvation Army Trustee Company v </w:t>
      </w:r>
      <w:proofErr w:type="spellStart"/>
      <w:r w:rsidR="00927BE5" w:rsidRPr="000F544C">
        <w:rPr>
          <w:rFonts w:ascii="Times New Roman" w:hAnsi="Times New Roman" w:cs="Times New Roman"/>
          <w:b/>
          <w:bCs/>
          <w:color w:val="010302"/>
          <w:sz w:val="24"/>
          <w:szCs w:val="24"/>
          <w:u w:val="single"/>
        </w:rPr>
        <w:t>Bahi</w:t>
      </w:r>
      <w:proofErr w:type="spellEnd"/>
      <w:r w:rsidR="00927BE5" w:rsidRPr="000F544C">
        <w:rPr>
          <w:rFonts w:ascii="Times New Roman" w:hAnsi="Times New Roman" w:cs="Times New Roman"/>
          <w:b/>
          <w:bCs/>
          <w:color w:val="010302"/>
          <w:sz w:val="24"/>
          <w:szCs w:val="24"/>
          <w:u w:val="single"/>
        </w:rPr>
        <w:t xml:space="preserve"> &amp; </w:t>
      </w:r>
      <w:proofErr w:type="spellStart"/>
      <w:r w:rsidR="00927BE5" w:rsidRPr="000F544C">
        <w:rPr>
          <w:rFonts w:ascii="Times New Roman" w:hAnsi="Times New Roman" w:cs="Times New Roman"/>
          <w:b/>
          <w:bCs/>
          <w:color w:val="010302"/>
          <w:sz w:val="24"/>
          <w:szCs w:val="24"/>
          <w:u w:val="single"/>
        </w:rPr>
        <w:t>Ors</w:t>
      </w:r>
      <w:proofErr w:type="spellEnd"/>
      <w:r w:rsidR="00927BE5" w:rsidRPr="00996790">
        <w:rPr>
          <w:rFonts w:ascii="Times New Roman" w:hAnsi="Times New Roman" w:cs="Times New Roman"/>
          <w:i/>
          <w:iCs/>
          <w:color w:val="010302"/>
          <w:sz w:val="24"/>
          <w:szCs w:val="24"/>
        </w:rPr>
        <w:t xml:space="preserve"> </w:t>
      </w:r>
      <w:r w:rsidR="00927BE5" w:rsidRPr="00996790">
        <w:rPr>
          <w:rFonts w:ascii="Times New Roman" w:hAnsi="Times New Roman" w:cs="Times New Roman"/>
          <w:color w:val="010302"/>
          <w:sz w:val="24"/>
          <w:szCs w:val="24"/>
        </w:rPr>
        <w:t>[2017] IRLR 410</w:t>
      </w:r>
      <w:r w:rsidR="00C63E99" w:rsidRPr="00996790">
        <w:rPr>
          <w:rFonts w:ascii="Times New Roman" w:hAnsi="Times New Roman" w:cs="Times New Roman"/>
          <w:color w:val="010302"/>
          <w:sz w:val="24"/>
          <w:szCs w:val="24"/>
        </w:rPr>
        <w:t xml:space="preserve">, Judge David Richardson </w:t>
      </w:r>
      <w:r w:rsidR="008941D5" w:rsidRPr="00996790">
        <w:rPr>
          <w:rFonts w:ascii="Times New Roman" w:hAnsi="Times New Roman" w:cs="Times New Roman"/>
          <w:color w:val="010302"/>
          <w:sz w:val="24"/>
          <w:szCs w:val="24"/>
        </w:rPr>
        <w:t>observed as follows</w:t>
      </w:r>
      <w:r w:rsidR="003B2F5F" w:rsidRPr="00996790">
        <w:rPr>
          <w:rFonts w:ascii="Times New Roman" w:hAnsi="Times New Roman" w:cs="Times New Roman"/>
          <w:color w:val="010302"/>
          <w:sz w:val="24"/>
          <w:szCs w:val="24"/>
        </w:rPr>
        <w:t xml:space="preserve"> in paragraph 22</w:t>
      </w:r>
      <w:r w:rsidR="008941D5" w:rsidRPr="00996790">
        <w:rPr>
          <w:rFonts w:ascii="Times New Roman" w:hAnsi="Times New Roman" w:cs="Times New Roman"/>
          <w:color w:val="010302"/>
          <w:sz w:val="24"/>
          <w:szCs w:val="24"/>
        </w:rPr>
        <w:t>:</w:t>
      </w:r>
    </w:p>
    <w:p w14:paraId="345474DC" w14:textId="13C08BFF" w:rsidR="008941D5" w:rsidRPr="00996790" w:rsidRDefault="00B56A8B" w:rsidP="00B56A8B">
      <w:pPr>
        <w:pStyle w:val="ListParagraph"/>
        <w:tabs>
          <w:tab w:val="left" w:pos="0"/>
        </w:tabs>
        <w:ind w:left="851" w:right="850"/>
        <w:contextualSpacing/>
        <w:jc w:val="both"/>
        <w:rPr>
          <w:rFonts w:ascii="Times New Roman" w:hAnsi="Times New Roman" w:cs="Times New Roman"/>
          <w:color w:val="010302"/>
          <w:sz w:val="24"/>
          <w:szCs w:val="24"/>
        </w:rPr>
      </w:pPr>
      <w:r>
        <w:rPr>
          <w:rFonts w:ascii="Times New Roman" w:hAnsi="Times New Roman" w:cs="Times New Roman"/>
          <w:color w:val="010302"/>
          <w:sz w:val="24"/>
          <w:szCs w:val="24"/>
        </w:rPr>
        <w:t>“</w:t>
      </w:r>
      <w:r w:rsidR="006B32CC">
        <w:rPr>
          <w:rFonts w:ascii="Times New Roman" w:hAnsi="Times New Roman" w:cs="Times New Roman"/>
          <w:color w:val="010302"/>
          <w:sz w:val="24"/>
          <w:szCs w:val="24"/>
        </w:rPr>
        <w:t>…</w:t>
      </w:r>
      <w:r w:rsidR="00B4617A" w:rsidRPr="00996790">
        <w:rPr>
          <w:rFonts w:ascii="Times New Roman" w:hAnsi="Times New Roman" w:cs="Times New Roman"/>
          <w:color w:val="010302"/>
          <w:sz w:val="24"/>
          <w:szCs w:val="24"/>
        </w:rPr>
        <w:t xml:space="preserve">On the one hand, they should not be defined at such a level of generality that they do not really describe the specific activities at all.  </w:t>
      </w:r>
      <w:proofErr w:type="gramStart"/>
      <w:r w:rsidR="00B4617A" w:rsidRPr="00996790">
        <w:rPr>
          <w:rFonts w:ascii="Times New Roman" w:hAnsi="Times New Roman" w:cs="Times New Roman"/>
          <w:color w:val="010302"/>
          <w:sz w:val="24"/>
          <w:szCs w:val="24"/>
        </w:rPr>
        <w:t>Thus</w:t>
      </w:r>
      <w:proofErr w:type="gramEnd"/>
      <w:r w:rsidR="00B4617A" w:rsidRPr="00996790">
        <w:rPr>
          <w:rFonts w:ascii="Times New Roman" w:hAnsi="Times New Roman" w:cs="Times New Roman"/>
          <w:color w:val="010302"/>
          <w:sz w:val="24"/>
          <w:szCs w:val="24"/>
        </w:rPr>
        <w:t xml:space="preserve"> it would be wrong to characterise a fully catered canteen as merely the provision of food to staff (see </w:t>
      </w:r>
      <w:r w:rsidR="00B4617A" w:rsidRPr="00565F49">
        <w:rPr>
          <w:rFonts w:ascii="Times New Roman" w:hAnsi="Times New Roman" w:cs="Times New Roman"/>
          <w:i/>
          <w:iCs/>
          <w:color w:val="010302"/>
          <w:sz w:val="24"/>
          <w:szCs w:val="24"/>
        </w:rPr>
        <w:t>OCS Group</w:t>
      </w:r>
      <w:r w:rsidR="00B4617A" w:rsidRPr="00996790">
        <w:rPr>
          <w:rFonts w:ascii="Times New Roman" w:hAnsi="Times New Roman" w:cs="Times New Roman"/>
          <w:color w:val="010302"/>
          <w:sz w:val="24"/>
          <w:szCs w:val="24"/>
        </w:rPr>
        <w:t xml:space="preserve"> at paragraph 22).  On the other hand, the definition should be holistic, having regard to the evidence in the round, avoiding </w:t>
      </w:r>
      <w:proofErr w:type="gramStart"/>
      <w:r w:rsidR="00B4617A" w:rsidRPr="00996790">
        <w:rPr>
          <w:rFonts w:ascii="Times New Roman" w:hAnsi="Times New Roman" w:cs="Times New Roman"/>
          <w:color w:val="010302"/>
          <w:sz w:val="24"/>
          <w:szCs w:val="24"/>
        </w:rPr>
        <w:t>too</w:t>
      </w:r>
      <w:proofErr w:type="gramEnd"/>
      <w:r w:rsidR="00B4617A" w:rsidRPr="00996790">
        <w:rPr>
          <w:rFonts w:ascii="Times New Roman" w:hAnsi="Times New Roman" w:cs="Times New Roman"/>
          <w:color w:val="010302"/>
          <w:sz w:val="24"/>
          <w:szCs w:val="24"/>
        </w:rPr>
        <w:t xml:space="preserve"> narrow a focus in deciding what the activities were </w:t>
      </w:r>
      <w:r w:rsidR="00B4617A" w:rsidRPr="006E09B5">
        <w:rPr>
          <w:rFonts w:ascii="Times New Roman" w:hAnsi="Times New Roman" w:cs="Times New Roman"/>
          <w:color w:val="010302"/>
          <w:sz w:val="24"/>
          <w:szCs w:val="24"/>
        </w:rPr>
        <w:t>(see</w:t>
      </w:r>
      <w:r w:rsidR="00B4617A" w:rsidRPr="00492ABA">
        <w:rPr>
          <w:rFonts w:ascii="Times New Roman" w:hAnsi="Times New Roman" w:cs="Times New Roman"/>
          <w:color w:val="010302"/>
          <w:sz w:val="24"/>
          <w:szCs w:val="24"/>
        </w:rPr>
        <w:t xml:space="preserve"> </w:t>
      </w:r>
      <w:r w:rsidR="00B4617A" w:rsidRPr="003E3036">
        <w:rPr>
          <w:rFonts w:ascii="Times New Roman" w:hAnsi="Times New Roman" w:cs="Times New Roman"/>
          <w:i/>
          <w:iCs/>
          <w:color w:val="010302"/>
          <w:sz w:val="24"/>
          <w:szCs w:val="24"/>
        </w:rPr>
        <w:t>Arch Initiatives</w:t>
      </w:r>
      <w:r w:rsidR="00B4617A" w:rsidRPr="00996790">
        <w:rPr>
          <w:rFonts w:ascii="Times New Roman" w:hAnsi="Times New Roman" w:cs="Times New Roman"/>
          <w:color w:val="010302"/>
          <w:sz w:val="24"/>
          <w:szCs w:val="24"/>
        </w:rPr>
        <w:t xml:space="preserve"> at paragraph 38).  A pedantic and excessively detailed definition of 'activities' would risk defeating the purpose of the SPC provisions.</w:t>
      </w:r>
      <w:r>
        <w:rPr>
          <w:rFonts w:ascii="Times New Roman" w:hAnsi="Times New Roman" w:cs="Times New Roman"/>
          <w:color w:val="010302"/>
          <w:sz w:val="24"/>
          <w:szCs w:val="24"/>
        </w:rPr>
        <w:t>”</w:t>
      </w:r>
    </w:p>
    <w:p w14:paraId="506933B2" w14:textId="77777777" w:rsidR="008941D5" w:rsidRPr="00996790" w:rsidRDefault="008941D5" w:rsidP="008941D5">
      <w:pPr>
        <w:pStyle w:val="ListParagraph"/>
        <w:tabs>
          <w:tab w:val="left" w:pos="0"/>
        </w:tabs>
        <w:spacing w:line="480" w:lineRule="auto"/>
        <w:contextualSpacing/>
        <w:jc w:val="both"/>
        <w:rPr>
          <w:rFonts w:ascii="Times New Roman" w:hAnsi="Times New Roman" w:cs="Times New Roman"/>
          <w:color w:val="010302"/>
          <w:sz w:val="24"/>
          <w:szCs w:val="24"/>
        </w:rPr>
      </w:pPr>
    </w:p>
    <w:p w14:paraId="6DD25C23" w14:textId="4A745D83" w:rsidR="001808AD" w:rsidRPr="00492ABA" w:rsidRDefault="006C589C" w:rsidP="001808A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As Mr Lee emphasises, </w:t>
      </w:r>
      <w:r w:rsidR="006459E7" w:rsidRPr="00996790">
        <w:rPr>
          <w:rFonts w:ascii="Times New Roman" w:hAnsi="Times New Roman" w:cs="Times New Roman"/>
          <w:color w:val="010302"/>
          <w:sz w:val="24"/>
          <w:szCs w:val="24"/>
        </w:rPr>
        <w:t xml:space="preserve">in </w:t>
      </w:r>
      <w:proofErr w:type="gramStart"/>
      <w:r w:rsidR="006459E7" w:rsidRPr="00996790">
        <w:rPr>
          <w:rFonts w:ascii="Times New Roman" w:hAnsi="Times New Roman" w:cs="Times New Roman"/>
          <w:color w:val="010302"/>
          <w:sz w:val="24"/>
          <w:szCs w:val="24"/>
        </w:rPr>
        <w:t>all of</w:t>
      </w:r>
      <w:proofErr w:type="gramEnd"/>
      <w:r w:rsidR="006459E7" w:rsidRPr="00996790">
        <w:rPr>
          <w:rFonts w:ascii="Times New Roman" w:hAnsi="Times New Roman" w:cs="Times New Roman"/>
          <w:color w:val="010302"/>
          <w:sz w:val="24"/>
          <w:szCs w:val="24"/>
        </w:rPr>
        <w:t xml:space="preserve"> these cases </w:t>
      </w:r>
      <w:r w:rsidR="00B532BC">
        <w:rPr>
          <w:rFonts w:ascii="Times New Roman" w:hAnsi="Times New Roman" w:cs="Times New Roman"/>
          <w:color w:val="010302"/>
          <w:sz w:val="24"/>
          <w:szCs w:val="24"/>
        </w:rPr>
        <w:t xml:space="preserve">cited </w:t>
      </w:r>
      <w:r w:rsidR="00633406" w:rsidRPr="00996790">
        <w:rPr>
          <w:rFonts w:ascii="Times New Roman" w:hAnsi="Times New Roman" w:cs="Times New Roman"/>
          <w:color w:val="010302"/>
          <w:sz w:val="24"/>
          <w:szCs w:val="24"/>
        </w:rPr>
        <w:t>bar one</w:t>
      </w:r>
      <w:r w:rsidR="00C84A06" w:rsidRPr="00996790">
        <w:rPr>
          <w:rFonts w:ascii="Times New Roman" w:hAnsi="Times New Roman" w:cs="Times New Roman"/>
          <w:color w:val="010302"/>
          <w:sz w:val="24"/>
          <w:szCs w:val="24"/>
        </w:rPr>
        <w:t xml:space="preserve"> (</w:t>
      </w:r>
      <w:proofErr w:type="spellStart"/>
      <w:r w:rsidR="00C84A06" w:rsidRPr="006C34EE">
        <w:rPr>
          <w:rFonts w:ascii="Times New Roman" w:hAnsi="Times New Roman" w:cs="Times New Roman"/>
          <w:b/>
          <w:bCs/>
          <w:color w:val="010302"/>
          <w:sz w:val="24"/>
          <w:szCs w:val="24"/>
          <w:u w:val="single"/>
        </w:rPr>
        <w:t>Huke</w:t>
      </w:r>
      <w:proofErr w:type="spellEnd"/>
      <w:r w:rsidR="00C84A06" w:rsidRPr="00996790">
        <w:rPr>
          <w:rFonts w:ascii="Times New Roman" w:hAnsi="Times New Roman" w:cs="Times New Roman"/>
          <w:color w:val="010302"/>
          <w:sz w:val="24"/>
          <w:szCs w:val="24"/>
        </w:rPr>
        <w:t xml:space="preserve">), the appeal to the </w:t>
      </w:r>
      <w:r w:rsidR="007F5BA5" w:rsidRPr="00996790">
        <w:rPr>
          <w:rFonts w:ascii="Times New Roman" w:hAnsi="Times New Roman" w:cs="Times New Roman"/>
          <w:color w:val="010302"/>
          <w:sz w:val="24"/>
          <w:szCs w:val="24"/>
        </w:rPr>
        <w:t>EAT was unsuccessful</w:t>
      </w:r>
      <w:r w:rsidR="001D32E3">
        <w:rPr>
          <w:rFonts w:ascii="Times New Roman" w:hAnsi="Times New Roman" w:cs="Times New Roman"/>
          <w:color w:val="010302"/>
          <w:sz w:val="24"/>
          <w:szCs w:val="24"/>
        </w:rPr>
        <w:t xml:space="preserve">, </w:t>
      </w:r>
      <w:r w:rsidR="007F5BA5" w:rsidRPr="00996790">
        <w:rPr>
          <w:rFonts w:ascii="Times New Roman" w:hAnsi="Times New Roman" w:cs="Times New Roman"/>
          <w:color w:val="010302"/>
          <w:sz w:val="24"/>
          <w:szCs w:val="24"/>
        </w:rPr>
        <w:t xml:space="preserve">irrespective of whether it was the claimant or the respondent who </w:t>
      </w:r>
      <w:r w:rsidR="009B21D4" w:rsidRPr="00996790">
        <w:rPr>
          <w:rFonts w:ascii="Times New Roman" w:hAnsi="Times New Roman" w:cs="Times New Roman"/>
          <w:color w:val="010302"/>
          <w:sz w:val="24"/>
          <w:szCs w:val="24"/>
        </w:rPr>
        <w:t>ha</w:t>
      </w:r>
      <w:r w:rsidR="00227530" w:rsidRPr="00996790">
        <w:rPr>
          <w:rFonts w:ascii="Times New Roman" w:hAnsi="Times New Roman" w:cs="Times New Roman"/>
          <w:color w:val="010302"/>
          <w:sz w:val="24"/>
          <w:szCs w:val="24"/>
        </w:rPr>
        <w:t>d</w:t>
      </w:r>
      <w:r w:rsidR="009B21D4" w:rsidRPr="00996790">
        <w:rPr>
          <w:rFonts w:ascii="Times New Roman" w:hAnsi="Times New Roman" w:cs="Times New Roman"/>
          <w:color w:val="010302"/>
          <w:sz w:val="24"/>
          <w:szCs w:val="24"/>
        </w:rPr>
        <w:t xml:space="preserve"> </w:t>
      </w:r>
      <w:r w:rsidR="00804904" w:rsidRPr="00996790">
        <w:rPr>
          <w:rFonts w:ascii="Times New Roman" w:hAnsi="Times New Roman" w:cs="Times New Roman"/>
          <w:color w:val="010302"/>
          <w:sz w:val="24"/>
          <w:szCs w:val="24"/>
        </w:rPr>
        <w:t xml:space="preserve">succeeded below.  </w:t>
      </w:r>
      <w:r w:rsidR="004A4ADC" w:rsidRPr="00996790">
        <w:rPr>
          <w:rFonts w:ascii="Times New Roman" w:hAnsi="Times New Roman" w:cs="Times New Roman"/>
          <w:color w:val="010302"/>
          <w:sz w:val="24"/>
          <w:szCs w:val="24"/>
        </w:rPr>
        <w:t xml:space="preserve">As he says, this underscores that the question </w:t>
      </w:r>
      <w:r w:rsidR="00157178" w:rsidRPr="00996790">
        <w:rPr>
          <w:rFonts w:ascii="Times New Roman" w:hAnsi="Times New Roman" w:cs="Times New Roman"/>
          <w:color w:val="010302"/>
          <w:sz w:val="24"/>
          <w:szCs w:val="24"/>
        </w:rPr>
        <w:t>is one of fact and degree for the</w:t>
      </w:r>
      <w:r w:rsidR="002B71A7">
        <w:rPr>
          <w:rFonts w:ascii="Times New Roman" w:hAnsi="Times New Roman" w:cs="Times New Roman"/>
          <w:color w:val="010302"/>
          <w:sz w:val="24"/>
          <w:szCs w:val="24"/>
        </w:rPr>
        <w:t xml:space="preserve"> </w:t>
      </w:r>
      <w:proofErr w:type="gramStart"/>
      <w:r w:rsidR="002B71A7">
        <w:rPr>
          <w:rFonts w:ascii="Times New Roman" w:hAnsi="Times New Roman" w:cs="Times New Roman"/>
          <w:color w:val="010302"/>
          <w:sz w:val="24"/>
          <w:szCs w:val="24"/>
        </w:rPr>
        <w:t>fact finding</w:t>
      </w:r>
      <w:proofErr w:type="gramEnd"/>
      <w:r w:rsidR="002B71A7">
        <w:rPr>
          <w:rFonts w:ascii="Times New Roman" w:hAnsi="Times New Roman" w:cs="Times New Roman"/>
          <w:color w:val="010302"/>
          <w:sz w:val="24"/>
          <w:szCs w:val="24"/>
        </w:rPr>
        <w:t xml:space="preserve"> </w:t>
      </w:r>
      <w:r w:rsidR="00AC7CF3">
        <w:rPr>
          <w:rFonts w:ascii="Times New Roman" w:hAnsi="Times New Roman" w:cs="Times New Roman"/>
          <w:color w:val="010302"/>
          <w:sz w:val="24"/>
          <w:szCs w:val="24"/>
        </w:rPr>
        <w:t>t</w:t>
      </w:r>
      <w:r w:rsidR="00157178" w:rsidRPr="00996790">
        <w:rPr>
          <w:rFonts w:ascii="Times New Roman" w:hAnsi="Times New Roman" w:cs="Times New Roman"/>
          <w:color w:val="010302"/>
          <w:sz w:val="24"/>
          <w:szCs w:val="24"/>
        </w:rPr>
        <w:t>ribunal</w:t>
      </w:r>
      <w:r w:rsidR="008B3367" w:rsidRPr="00996790">
        <w:rPr>
          <w:rFonts w:ascii="Times New Roman" w:hAnsi="Times New Roman" w:cs="Times New Roman"/>
          <w:color w:val="010302"/>
          <w:sz w:val="24"/>
          <w:szCs w:val="24"/>
        </w:rPr>
        <w:t xml:space="preserve">, so that the EAT </w:t>
      </w:r>
      <w:r w:rsidR="002C1FEB" w:rsidRPr="00996790">
        <w:rPr>
          <w:rFonts w:ascii="Times New Roman" w:hAnsi="Times New Roman" w:cs="Times New Roman"/>
          <w:color w:val="010302"/>
          <w:sz w:val="24"/>
          <w:szCs w:val="24"/>
        </w:rPr>
        <w:t xml:space="preserve">will only intervene if </w:t>
      </w:r>
      <w:r w:rsidR="00923383" w:rsidRPr="00996790">
        <w:rPr>
          <w:rFonts w:ascii="Times New Roman" w:hAnsi="Times New Roman" w:cs="Times New Roman"/>
          <w:color w:val="010302"/>
          <w:sz w:val="24"/>
          <w:szCs w:val="24"/>
        </w:rPr>
        <w:t xml:space="preserve">there has been an error </w:t>
      </w:r>
      <w:r w:rsidR="004857AF" w:rsidRPr="00996790">
        <w:rPr>
          <w:rFonts w:ascii="Times New Roman" w:hAnsi="Times New Roman" w:cs="Times New Roman"/>
          <w:color w:val="010302"/>
          <w:sz w:val="24"/>
          <w:szCs w:val="24"/>
        </w:rPr>
        <w:t xml:space="preserve">of law </w:t>
      </w:r>
      <w:r w:rsidR="00A83D59" w:rsidRPr="00996790">
        <w:rPr>
          <w:rFonts w:ascii="Times New Roman" w:hAnsi="Times New Roman" w:cs="Times New Roman"/>
          <w:color w:val="010302"/>
          <w:sz w:val="24"/>
          <w:szCs w:val="24"/>
        </w:rPr>
        <w:t>in th</w:t>
      </w:r>
      <w:r w:rsidR="002B71A7">
        <w:rPr>
          <w:rFonts w:ascii="Times New Roman" w:hAnsi="Times New Roman" w:cs="Times New Roman"/>
          <w:color w:val="010302"/>
          <w:sz w:val="24"/>
          <w:szCs w:val="24"/>
        </w:rPr>
        <w:t>at</w:t>
      </w:r>
      <w:r w:rsidR="00A83D59" w:rsidRPr="00996790">
        <w:rPr>
          <w:rFonts w:ascii="Times New Roman" w:hAnsi="Times New Roman" w:cs="Times New Roman"/>
          <w:color w:val="010302"/>
          <w:sz w:val="24"/>
          <w:szCs w:val="24"/>
        </w:rPr>
        <w:t xml:space="preserve"> tribunal's approach or a perverse decision.  </w:t>
      </w:r>
      <w:r w:rsidR="006A2691" w:rsidRPr="00996790">
        <w:rPr>
          <w:rFonts w:ascii="Times New Roman" w:hAnsi="Times New Roman" w:cs="Times New Roman"/>
          <w:color w:val="010302"/>
          <w:sz w:val="24"/>
          <w:szCs w:val="24"/>
        </w:rPr>
        <w:t xml:space="preserve">In </w:t>
      </w:r>
      <w:r w:rsidR="006A2691" w:rsidRPr="00556F54">
        <w:rPr>
          <w:rFonts w:ascii="Times New Roman" w:hAnsi="Times New Roman" w:cs="Times New Roman"/>
          <w:b/>
          <w:bCs/>
          <w:color w:val="010302"/>
          <w:sz w:val="24"/>
          <w:szCs w:val="24"/>
          <w:u w:val="single"/>
        </w:rPr>
        <w:t>Arch Initiatives</w:t>
      </w:r>
      <w:r w:rsidR="00514CA0" w:rsidRPr="00996790">
        <w:rPr>
          <w:rFonts w:ascii="Times New Roman" w:hAnsi="Times New Roman" w:cs="Times New Roman"/>
          <w:i/>
          <w:iCs/>
          <w:color w:val="010302"/>
          <w:sz w:val="24"/>
          <w:szCs w:val="24"/>
        </w:rPr>
        <w:t xml:space="preserve"> </w:t>
      </w:r>
      <w:proofErr w:type="spellStart"/>
      <w:r w:rsidR="00514CA0" w:rsidRPr="00996790">
        <w:rPr>
          <w:rFonts w:ascii="Times New Roman" w:hAnsi="Times New Roman" w:cs="Times New Roman"/>
          <w:color w:val="010302"/>
          <w:sz w:val="24"/>
          <w:szCs w:val="24"/>
        </w:rPr>
        <w:t>Simler</w:t>
      </w:r>
      <w:proofErr w:type="spellEnd"/>
      <w:r w:rsidR="00514CA0" w:rsidRPr="00996790">
        <w:rPr>
          <w:rFonts w:ascii="Times New Roman" w:hAnsi="Times New Roman" w:cs="Times New Roman"/>
          <w:color w:val="010302"/>
          <w:sz w:val="24"/>
          <w:szCs w:val="24"/>
        </w:rPr>
        <w:t xml:space="preserve"> </w:t>
      </w:r>
      <w:r w:rsidR="00D84FA1">
        <w:rPr>
          <w:rFonts w:ascii="Times New Roman" w:hAnsi="Times New Roman" w:cs="Times New Roman"/>
          <w:color w:val="010302"/>
          <w:sz w:val="24"/>
          <w:szCs w:val="24"/>
        </w:rPr>
        <w:t>P</w:t>
      </w:r>
      <w:r w:rsidR="00514CA0" w:rsidRPr="00996790">
        <w:rPr>
          <w:rFonts w:ascii="Times New Roman" w:hAnsi="Times New Roman" w:cs="Times New Roman"/>
          <w:color w:val="010302"/>
          <w:sz w:val="24"/>
          <w:szCs w:val="24"/>
        </w:rPr>
        <w:t xml:space="preserve"> </w:t>
      </w:r>
      <w:r w:rsidR="00C85DFA" w:rsidRPr="00996790">
        <w:rPr>
          <w:rFonts w:ascii="Times New Roman" w:hAnsi="Times New Roman" w:cs="Times New Roman"/>
          <w:color w:val="010302"/>
          <w:sz w:val="24"/>
          <w:szCs w:val="24"/>
        </w:rPr>
        <w:t xml:space="preserve">(as she then was) </w:t>
      </w:r>
      <w:r w:rsidR="00542472" w:rsidRPr="00996790">
        <w:rPr>
          <w:rFonts w:ascii="Times New Roman" w:hAnsi="Times New Roman" w:cs="Times New Roman"/>
          <w:color w:val="010302"/>
          <w:sz w:val="24"/>
          <w:szCs w:val="24"/>
        </w:rPr>
        <w:t xml:space="preserve">said at paragraph 43:  </w:t>
      </w:r>
    </w:p>
    <w:p w14:paraId="2E555DAA" w14:textId="0C05CB30" w:rsidR="001808AD" w:rsidRPr="00996790" w:rsidRDefault="00AC7CF3" w:rsidP="00A9134A">
      <w:pPr>
        <w:pStyle w:val="ListParagraph"/>
        <w:tabs>
          <w:tab w:val="left" w:pos="0"/>
        </w:tabs>
        <w:ind w:left="851" w:right="850"/>
        <w:contextualSpacing/>
        <w:jc w:val="both"/>
        <w:rPr>
          <w:rFonts w:ascii="Times New Roman" w:hAnsi="Times New Roman" w:cs="Times New Roman"/>
          <w:color w:val="010302"/>
          <w:sz w:val="24"/>
          <w:szCs w:val="24"/>
        </w:rPr>
      </w:pPr>
      <w:r>
        <w:rPr>
          <w:rFonts w:ascii="Times New Roman" w:hAnsi="Times New Roman" w:cs="Times New Roman"/>
          <w:color w:val="010302"/>
          <w:sz w:val="24"/>
          <w:szCs w:val="24"/>
        </w:rPr>
        <w:t>“</w:t>
      </w:r>
      <w:r w:rsidR="007E68BF" w:rsidRPr="00996790">
        <w:rPr>
          <w:sz w:val="24"/>
          <w:szCs w:val="24"/>
        </w:rPr>
        <w:t xml:space="preserve">Once again, these were pre-eminently findings of fact and degree for the </w:t>
      </w:r>
      <w:r w:rsidR="00A9134A">
        <w:rPr>
          <w:sz w:val="24"/>
          <w:szCs w:val="24"/>
        </w:rPr>
        <w:t>e</w:t>
      </w:r>
      <w:r w:rsidR="007E68BF" w:rsidRPr="00996790">
        <w:rPr>
          <w:sz w:val="24"/>
          <w:szCs w:val="24"/>
        </w:rPr>
        <w:t xml:space="preserve">mployment </w:t>
      </w:r>
      <w:r w:rsidR="00A9134A">
        <w:rPr>
          <w:sz w:val="24"/>
          <w:szCs w:val="24"/>
        </w:rPr>
        <w:t>j</w:t>
      </w:r>
      <w:r w:rsidR="007E68BF" w:rsidRPr="00996790">
        <w:rPr>
          <w:sz w:val="24"/>
          <w:szCs w:val="24"/>
        </w:rPr>
        <w:t>udge.</w:t>
      </w:r>
      <w:r>
        <w:rPr>
          <w:sz w:val="24"/>
          <w:szCs w:val="24"/>
        </w:rPr>
        <w:t xml:space="preserve"> </w:t>
      </w:r>
      <w:r w:rsidR="007E68BF" w:rsidRPr="00996790">
        <w:rPr>
          <w:sz w:val="24"/>
          <w:szCs w:val="24"/>
        </w:rPr>
        <w:t xml:space="preserve"> Another Tribunal might well have taken a different view of these facts without any error, nor is it necessary that this </w:t>
      </w:r>
      <w:r w:rsidR="00A9134A">
        <w:rPr>
          <w:sz w:val="24"/>
          <w:szCs w:val="24"/>
        </w:rPr>
        <w:t>a</w:t>
      </w:r>
      <w:r w:rsidR="007E68BF" w:rsidRPr="00996790">
        <w:rPr>
          <w:sz w:val="24"/>
          <w:szCs w:val="24"/>
        </w:rPr>
        <w:t xml:space="preserve">ppeal </w:t>
      </w:r>
      <w:r w:rsidR="00A9134A">
        <w:rPr>
          <w:sz w:val="24"/>
          <w:szCs w:val="24"/>
        </w:rPr>
        <w:t>t</w:t>
      </w:r>
      <w:r w:rsidR="007E68BF" w:rsidRPr="00996790">
        <w:rPr>
          <w:sz w:val="24"/>
          <w:szCs w:val="24"/>
        </w:rPr>
        <w:t>ribunal should agree with the finding.</w:t>
      </w:r>
      <w:r>
        <w:rPr>
          <w:sz w:val="24"/>
          <w:szCs w:val="24"/>
        </w:rPr>
        <w:t xml:space="preserve"> </w:t>
      </w:r>
      <w:r w:rsidR="007E68BF" w:rsidRPr="00996790">
        <w:rPr>
          <w:sz w:val="24"/>
          <w:szCs w:val="24"/>
        </w:rPr>
        <w:t xml:space="preserve"> Once it is accepted that the legal approach adopted by the </w:t>
      </w:r>
      <w:r w:rsidR="00A9134A">
        <w:rPr>
          <w:sz w:val="24"/>
          <w:szCs w:val="24"/>
        </w:rPr>
        <w:t>t</w:t>
      </w:r>
      <w:r w:rsidR="007E68BF" w:rsidRPr="00996790">
        <w:rPr>
          <w:sz w:val="24"/>
          <w:szCs w:val="24"/>
        </w:rPr>
        <w:t xml:space="preserve">ribunal is correct and the findings of fact are not perverse, the </w:t>
      </w:r>
      <w:r w:rsidR="00A9134A">
        <w:rPr>
          <w:sz w:val="24"/>
          <w:szCs w:val="24"/>
        </w:rPr>
        <w:t>e</w:t>
      </w:r>
      <w:r w:rsidR="007E68BF" w:rsidRPr="00996790">
        <w:rPr>
          <w:sz w:val="24"/>
          <w:szCs w:val="24"/>
        </w:rPr>
        <w:t xml:space="preserve">mployment </w:t>
      </w:r>
      <w:r w:rsidR="00A9134A">
        <w:rPr>
          <w:sz w:val="24"/>
          <w:szCs w:val="24"/>
        </w:rPr>
        <w:t>j</w:t>
      </w:r>
      <w:r w:rsidR="007E68BF" w:rsidRPr="00996790">
        <w:rPr>
          <w:sz w:val="24"/>
          <w:szCs w:val="24"/>
        </w:rPr>
        <w:t>udge's assessment must be respected</w:t>
      </w:r>
      <w:r w:rsidR="00A9134A">
        <w:rPr>
          <w:sz w:val="24"/>
          <w:szCs w:val="24"/>
        </w:rPr>
        <w:t>..</w:t>
      </w:r>
      <w:r w:rsidR="007E68BF" w:rsidRPr="00996790">
        <w:rPr>
          <w:sz w:val="24"/>
          <w:szCs w:val="24"/>
        </w:rPr>
        <w:t>.</w:t>
      </w:r>
      <w:r>
        <w:rPr>
          <w:sz w:val="24"/>
          <w:szCs w:val="24"/>
        </w:rPr>
        <w:t>”</w:t>
      </w:r>
    </w:p>
    <w:p w14:paraId="6DF8FFD5" w14:textId="106C8B61" w:rsidR="00492ABA" w:rsidRPr="000E1A06" w:rsidRDefault="00A9134A" w:rsidP="000E1A06">
      <w:pPr>
        <w:pStyle w:val="ListParagraph"/>
        <w:tabs>
          <w:tab w:val="left" w:pos="0"/>
        </w:tabs>
        <w:ind w:left="851" w:right="850"/>
        <w:contextualSpacing/>
        <w:jc w:val="both"/>
        <w:rPr>
          <w:rFonts w:ascii="Times New Roman" w:hAnsi="Times New Roman" w:cs="Times New Roman"/>
          <w:color w:val="010302"/>
          <w:sz w:val="24"/>
          <w:szCs w:val="24"/>
        </w:rPr>
      </w:pPr>
      <w:r>
        <w:rPr>
          <w:rFonts w:ascii="Times New Roman" w:hAnsi="Times New Roman" w:cs="Times New Roman"/>
          <w:color w:val="010302"/>
          <w:sz w:val="24"/>
          <w:szCs w:val="24"/>
        </w:rPr>
        <w:t>…</w:t>
      </w:r>
    </w:p>
    <w:p w14:paraId="112B521F" w14:textId="77777777" w:rsidR="00492ABA" w:rsidRPr="000E1A06" w:rsidRDefault="00492ABA" w:rsidP="000E1A06">
      <w:pPr>
        <w:tabs>
          <w:tab w:val="left" w:pos="0"/>
        </w:tabs>
        <w:ind w:right="850"/>
        <w:contextualSpacing/>
        <w:jc w:val="both"/>
        <w:rPr>
          <w:rFonts w:ascii="Times New Roman" w:hAnsi="Times New Roman" w:cs="Times New Roman"/>
          <w:color w:val="010302"/>
          <w:sz w:val="24"/>
          <w:szCs w:val="24"/>
        </w:rPr>
      </w:pPr>
    </w:p>
    <w:p w14:paraId="1CF055C9" w14:textId="499E6540" w:rsidR="001808AD" w:rsidRPr="00996790" w:rsidRDefault="00A46C75" w:rsidP="00DA35F6">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In</w:t>
      </w:r>
      <w:r w:rsidRPr="00A9134A">
        <w:rPr>
          <w:rFonts w:ascii="Times New Roman" w:hAnsi="Times New Roman" w:cs="Times New Roman"/>
          <w:b/>
          <w:bCs/>
          <w:color w:val="010302"/>
          <w:sz w:val="24"/>
          <w:szCs w:val="24"/>
        </w:rPr>
        <w:t xml:space="preserve"> </w:t>
      </w:r>
      <w:proofErr w:type="spellStart"/>
      <w:r w:rsidRPr="005D3C57">
        <w:rPr>
          <w:rFonts w:ascii="Times New Roman" w:hAnsi="Times New Roman" w:cs="Times New Roman"/>
          <w:b/>
          <w:bCs/>
          <w:color w:val="010302"/>
          <w:sz w:val="24"/>
          <w:szCs w:val="24"/>
          <w:u w:val="single"/>
        </w:rPr>
        <w:t>Huke</w:t>
      </w:r>
      <w:proofErr w:type="spellEnd"/>
      <w:r w:rsidR="008F6819" w:rsidRPr="00996790">
        <w:rPr>
          <w:rFonts w:ascii="Times New Roman" w:hAnsi="Times New Roman" w:cs="Times New Roman"/>
          <w:color w:val="010302"/>
          <w:sz w:val="24"/>
          <w:szCs w:val="24"/>
        </w:rPr>
        <w:t xml:space="preserve">, </w:t>
      </w:r>
      <w:r w:rsidR="004619B2">
        <w:rPr>
          <w:rFonts w:ascii="Times New Roman" w:hAnsi="Times New Roman" w:cs="Times New Roman"/>
          <w:color w:val="010302"/>
          <w:sz w:val="24"/>
          <w:szCs w:val="24"/>
        </w:rPr>
        <w:t xml:space="preserve">a </w:t>
      </w:r>
      <w:r w:rsidR="008F6819" w:rsidRPr="00996790">
        <w:rPr>
          <w:rFonts w:ascii="Times New Roman" w:hAnsi="Times New Roman" w:cs="Times New Roman"/>
          <w:color w:val="010302"/>
          <w:sz w:val="24"/>
          <w:szCs w:val="24"/>
        </w:rPr>
        <w:t xml:space="preserve">case </w:t>
      </w:r>
      <w:r w:rsidR="00766B6C" w:rsidRPr="00996790">
        <w:rPr>
          <w:rFonts w:ascii="Times New Roman" w:hAnsi="Times New Roman" w:cs="Times New Roman"/>
          <w:color w:val="010302"/>
          <w:sz w:val="24"/>
          <w:szCs w:val="24"/>
        </w:rPr>
        <w:t>where the appeal was allowed</w:t>
      </w:r>
      <w:r w:rsidR="0079500D">
        <w:rPr>
          <w:rFonts w:ascii="Times New Roman" w:hAnsi="Times New Roman" w:cs="Times New Roman"/>
          <w:color w:val="010302"/>
          <w:sz w:val="24"/>
          <w:szCs w:val="24"/>
        </w:rPr>
        <w:t xml:space="preserve"> and the case remitted to a differently constituted tribunal</w:t>
      </w:r>
      <w:r w:rsidR="00B532BC">
        <w:rPr>
          <w:rFonts w:ascii="Times New Roman" w:hAnsi="Times New Roman" w:cs="Times New Roman"/>
          <w:color w:val="010302"/>
          <w:sz w:val="24"/>
          <w:szCs w:val="24"/>
        </w:rPr>
        <w:t>,</w:t>
      </w:r>
      <w:r w:rsidR="00122C3A" w:rsidRPr="00996790">
        <w:rPr>
          <w:rFonts w:ascii="Times New Roman" w:hAnsi="Times New Roman" w:cs="Times New Roman"/>
          <w:color w:val="010302"/>
          <w:sz w:val="24"/>
          <w:szCs w:val="24"/>
        </w:rPr>
        <w:t xml:space="preserve"> the situation was a stark one</w:t>
      </w:r>
      <w:r w:rsidR="004039DD" w:rsidRPr="00996790">
        <w:rPr>
          <w:rFonts w:ascii="Times New Roman" w:hAnsi="Times New Roman" w:cs="Times New Roman"/>
          <w:color w:val="010302"/>
          <w:sz w:val="24"/>
          <w:szCs w:val="24"/>
        </w:rPr>
        <w:t xml:space="preserve">.  The tribunal's decision there that there had been an SPC </w:t>
      </w:r>
      <w:r w:rsidR="00CE2C2F" w:rsidRPr="00996790">
        <w:rPr>
          <w:rFonts w:ascii="Times New Roman" w:hAnsi="Times New Roman" w:cs="Times New Roman"/>
          <w:color w:val="010302"/>
          <w:sz w:val="24"/>
          <w:szCs w:val="24"/>
        </w:rPr>
        <w:t xml:space="preserve">had wholly failed to address a very substantial </w:t>
      </w:r>
      <w:r w:rsidR="00AE1151" w:rsidRPr="00996790">
        <w:rPr>
          <w:rFonts w:ascii="Times New Roman" w:hAnsi="Times New Roman" w:cs="Times New Roman"/>
          <w:color w:val="010302"/>
          <w:sz w:val="24"/>
          <w:szCs w:val="24"/>
        </w:rPr>
        <w:t xml:space="preserve">diminution </w:t>
      </w:r>
      <w:r w:rsidR="00A10138" w:rsidRPr="00996790">
        <w:rPr>
          <w:rFonts w:ascii="Times New Roman" w:hAnsi="Times New Roman" w:cs="Times New Roman"/>
          <w:color w:val="010302"/>
          <w:sz w:val="24"/>
          <w:szCs w:val="24"/>
        </w:rPr>
        <w:t xml:space="preserve">in the volume of the work </w:t>
      </w:r>
      <w:r w:rsidR="00ED6466" w:rsidRPr="00996790">
        <w:rPr>
          <w:rFonts w:ascii="Times New Roman" w:hAnsi="Times New Roman" w:cs="Times New Roman"/>
          <w:color w:val="010302"/>
          <w:sz w:val="24"/>
          <w:szCs w:val="24"/>
        </w:rPr>
        <w:t xml:space="preserve">in question.  </w:t>
      </w:r>
    </w:p>
    <w:p w14:paraId="4E5B3500" w14:textId="5459F6A9" w:rsidR="00384FE3" w:rsidRPr="00E16502" w:rsidRDefault="00384FE3" w:rsidP="00384FE3">
      <w:pPr>
        <w:pStyle w:val="ListParagraph"/>
        <w:tabs>
          <w:tab w:val="left" w:pos="0"/>
        </w:tabs>
        <w:spacing w:line="480" w:lineRule="auto"/>
        <w:contextualSpacing/>
        <w:jc w:val="both"/>
        <w:rPr>
          <w:rFonts w:ascii="Times New Roman" w:hAnsi="Times New Roman" w:cs="Times New Roman"/>
          <w:b/>
          <w:bCs/>
          <w:color w:val="010302"/>
          <w:sz w:val="24"/>
          <w:szCs w:val="24"/>
          <w:u w:val="single"/>
        </w:rPr>
      </w:pPr>
      <w:r w:rsidRPr="00E16502">
        <w:rPr>
          <w:rFonts w:ascii="Times New Roman" w:hAnsi="Times New Roman" w:cs="Times New Roman"/>
          <w:b/>
          <w:bCs/>
          <w:color w:val="010302"/>
          <w:sz w:val="24"/>
          <w:szCs w:val="24"/>
          <w:u w:val="single"/>
        </w:rPr>
        <w:t>Submissions</w:t>
      </w:r>
      <w:r w:rsidR="00F57F61" w:rsidRPr="00E16502">
        <w:rPr>
          <w:rFonts w:ascii="Times New Roman" w:hAnsi="Times New Roman" w:cs="Times New Roman"/>
          <w:b/>
          <w:bCs/>
          <w:color w:val="010302"/>
          <w:sz w:val="24"/>
          <w:szCs w:val="24"/>
          <w:u w:val="single"/>
        </w:rPr>
        <w:t>: the claimant</w:t>
      </w:r>
    </w:p>
    <w:p w14:paraId="729BE892" w14:textId="0B350864" w:rsidR="00384FE3" w:rsidRPr="00996790" w:rsidRDefault="00036DEA" w:rsidP="00DA35F6">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lastRenderedPageBreak/>
        <w:t xml:space="preserve">As regards the </w:t>
      </w:r>
      <w:r w:rsidR="00FE5B9E" w:rsidRPr="00996790">
        <w:rPr>
          <w:rFonts w:ascii="Times New Roman" w:hAnsi="Times New Roman" w:cs="Times New Roman"/>
          <w:color w:val="010302"/>
          <w:sz w:val="24"/>
          <w:szCs w:val="24"/>
        </w:rPr>
        <w:t>E</w:t>
      </w:r>
      <w:r w:rsidR="009C3877">
        <w:rPr>
          <w:rFonts w:ascii="Times New Roman" w:hAnsi="Times New Roman" w:cs="Times New Roman"/>
          <w:color w:val="010302"/>
          <w:sz w:val="24"/>
          <w:szCs w:val="24"/>
        </w:rPr>
        <w:t>T</w:t>
      </w:r>
      <w:r w:rsidR="00FE5B9E" w:rsidRPr="00996790">
        <w:rPr>
          <w:rFonts w:ascii="Times New Roman" w:hAnsi="Times New Roman" w:cs="Times New Roman"/>
          <w:color w:val="010302"/>
          <w:sz w:val="24"/>
          <w:szCs w:val="24"/>
        </w:rPr>
        <w:t xml:space="preserve">'s approach to the question of whether the activities were fundamentally </w:t>
      </w:r>
      <w:r w:rsidR="002A00D0" w:rsidRPr="00996790">
        <w:rPr>
          <w:rFonts w:ascii="Times New Roman" w:hAnsi="Times New Roman" w:cs="Times New Roman"/>
          <w:color w:val="010302"/>
          <w:sz w:val="24"/>
          <w:szCs w:val="24"/>
        </w:rPr>
        <w:t xml:space="preserve">the same, the claimant says </w:t>
      </w:r>
      <w:r w:rsidR="00C11BBB" w:rsidRPr="00996790">
        <w:rPr>
          <w:rFonts w:ascii="Times New Roman" w:hAnsi="Times New Roman" w:cs="Times New Roman"/>
          <w:color w:val="010302"/>
          <w:sz w:val="24"/>
          <w:szCs w:val="24"/>
        </w:rPr>
        <w:t xml:space="preserve">that the ET failed to follow the </w:t>
      </w:r>
      <w:r w:rsidR="001720FF" w:rsidRPr="00996790">
        <w:rPr>
          <w:rFonts w:ascii="Times New Roman" w:hAnsi="Times New Roman" w:cs="Times New Roman"/>
          <w:color w:val="010302"/>
          <w:sz w:val="24"/>
          <w:szCs w:val="24"/>
        </w:rPr>
        <w:t xml:space="preserve">legal guidance </w:t>
      </w:r>
      <w:r w:rsidR="008F515B" w:rsidRPr="00996790">
        <w:rPr>
          <w:rFonts w:ascii="Times New Roman" w:hAnsi="Times New Roman" w:cs="Times New Roman"/>
          <w:color w:val="010302"/>
          <w:sz w:val="24"/>
          <w:szCs w:val="24"/>
        </w:rPr>
        <w:t xml:space="preserve">in the </w:t>
      </w:r>
      <w:r w:rsidR="008F515B" w:rsidRPr="009C3877">
        <w:rPr>
          <w:rFonts w:ascii="Times New Roman" w:hAnsi="Times New Roman" w:cs="Times New Roman"/>
          <w:b/>
          <w:bCs/>
          <w:color w:val="010302"/>
          <w:sz w:val="24"/>
          <w:szCs w:val="24"/>
          <w:u w:val="single"/>
        </w:rPr>
        <w:t>Metropolitan Resources</w:t>
      </w:r>
      <w:r w:rsidR="008F515B" w:rsidRPr="00996790">
        <w:rPr>
          <w:rFonts w:ascii="Times New Roman" w:hAnsi="Times New Roman" w:cs="Times New Roman"/>
          <w:i/>
          <w:iCs/>
          <w:color w:val="010302"/>
          <w:sz w:val="24"/>
          <w:szCs w:val="24"/>
        </w:rPr>
        <w:t xml:space="preserve"> </w:t>
      </w:r>
      <w:r w:rsidR="008F515B" w:rsidRPr="00996790">
        <w:rPr>
          <w:rFonts w:ascii="Times New Roman" w:hAnsi="Times New Roman" w:cs="Times New Roman"/>
          <w:color w:val="010302"/>
          <w:sz w:val="24"/>
          <w:szCs w:val="24"/>
        </w:rPr>
        <w:t xml:space="preserve">and </w:t>
      </w:r>
      <w:r w:rsidR="008F515B" w:rsidRPr="009C3877">
        <w:rPr>
          <w:rFonts w:ascii="Times New Roman" w:hAnsi="Times New Roman" w:cs="Times New Roman"/>
          <w:b/>
          <w:bCs/>
          <w:color w:val="010302"/>
          <w:sz w:val="24"/>
          <w:szCs w:val="24"/>
          <w:u w:val="single"/>
        </w:rPr>
        <w:t>Johnson Control</w:t>
      </w:r>
      <w:r w:rsidR="003C4544" w:rsidRPr="009C3877">
        <w:rPr>
          <w:rFonts w:ascii="Times New Roman" w:hAnsi="Times New Roman" w:cs="Times New Roman"/>
          <w:b/>
          <w:bCs/>
          <w:color w:val="010302"/>
          <w:sz w:val="24"/>
          <w:szCs w:val="24"/>
          <w:u w:val="single"/>
        </w:rPr>
        <w:t>s</w:t>
      </w:r>
      <w:r w:rsidR="008F515B" w:rsidRPr="00996790">
        <w:rPr>
          <w:rFonts w:ascii="Times New Roman" w:hAnsi="Times New Roman" w:cs="Times New Roman"/>
          <w:i/>
          <w:iCs/>
          <w:color w:val="010302"/>
          <w:sz w:val="24"/>
          <w:szCs w:val="24"/>
        </w:rPr>
        <w:t xml:space="preserve"> </w:t>
      </w:r>
      <w:r w:rsidR="008F515B" w:rsidRPr="00996790">
        <w:rPr>
          <w:rFonts w:ascii="Times New Roman" w:hAnsi="Times New Roman" w:cs="Times New Roman"/>
          <w:color w:val="010302"/>
          <w:sz w:val="24"/>
          <w:szCs w:val="24"/>
        </w:rPr>
        <w:t>cases</w:t>
      </w:r>
      <w:r w:rsidR="00EE4A3F">
        <w:rPr>
          <w:rFonts w:ascii="Times New Roman" w:hAnsi="Times New Roman" w:cs="Times New Roman"/>
          <w:color w:val="010302"/>
          <w:sz w:val="24"/>
          <w:szCs w:val="24"/>
        </w:rPr>
        <w:t xml:space="preserve">, </w:t>
      </w:r>
      <w:r w:rsidR="00D910F8" w:rsidRPr="00996790">
        <w:rPr>
          <w:rFonts w:ascii="Times New Roman" w:hAnsi="Times New Roman" w:cs="Times New Roman"/>
          <w:color w:val="010302"/>
          <w:sz w:val="24"/>
          <w:szCs w:val="24"/>
        </w:rPr>
        <w:t xml:space="preserve">adopted </w:t>
      </w:r>
      <w:proofErr w:type="gramStart"/>
      <w:r w:rsidR="00D910F8" w:rsidRPr="00996790">
        <w:rPr>
          <w:rFonts w:ascii="Times New Roman" w:hAnsi="Times New Roman" w:cs="Times New Roman"/>
          <w:color w:val="010302"/>
          <w:sz w:val="24"/>
          <w:szCs w:val="24"/>
        </w:rPr>
        <w:t>to</w:t>
      </w:r>
      <w:r w:rsidR="00AD1C1F">
        <w:rPr>
          <w:rFonts w:ascii="Times New Roman" w:hAnsi="Times New Roman" w:cs="Times New Roman"/>
          <w:color w:val="010302"/>
          <w:sz w:val="24"/>
          <w:szCs w:val="24"/>
        </w:rPr>
        <w:t>o</w:t>
      </w:r>
      <w:proofErr w:type="gramEnd"/>
      <w:r w:rsidR="00D910F8" w:rsidRPr="00996790">
        <w:rPr>
          <w:rFonts w:ascii="Times New Roman" w:hAnsi="Times New Roman" w:cs="Times New Roman"/>
          <w:color w:val="010302"/>
          <w:sz w:val="24"/>
          <w:szCs w:val="24"/>
        </w:rPr>
        <w:t xml:space="preserve"> narrow a </w:t>
      </w:r>
      <w:r w:rsidR="005C5CCE" w:rsidRPr="00996790">
        <w:rPr>
          <w:rFonts w:ascii="Times New Roman" w:hAnsi="Times New Roman" w:cs="Times New Roman"/>
          <w:color w:val="010302"/>
          <w:sz w:val="24"/>
          <w:szCs w:val="24"/>
        </w:rPr>
        <w:t xml:space="preserve">view of what the activities </w:t>
      </w:r>
      <w:r w:rsidR="00175267" w:rsidRPr="00996790">
        <w:rPr>
          <w:rFonts w:ascii="Times New Roman" w:hAnsi="Times New Roman" w:cs="Times New Roman"/>
          <w:color w:val="010302"/>
          <w:sz w:val="24"/>
          <w:szCs w:val="24"/>
        </w:rPr>
        <w:t xml:space="preserve">were and focused on minor </w:t>
      </w:r>
      <w:r w:rsidR="00D95BB9" w:rsidRPr="00996790">
        <w:rPr>
          <w:rFonts w:ascii="Times New Roman" w:hAnsi="Times New Roman" w:cs="Times New Roman"/>
          <w:color w:val="010302"/>
          <w:sz w:val="24"/>
          <w:szCs w:val="24"/>
        </w:rPr>
        <w:t xml:space="preserve">differences between the activities </w:t>
      </w:r>
      <w:r w:rsidR="007A7A81" w:rsidRPr="00996790">
        <w:rPr>
          <w:rFonts w:ascii="Times New Roman" w:hAnsi="Times New Roman" w:cs="Times New Roman"/>
          <w:color w:val="010302"/>
          <w:sz w:val="24"/>
          <w:szCs w:val="24"/>
        </w:rPr>
        <w:t xml:space="preserve">before and after the </w:t>
      </w:r>
      <w:r w:rsidR="00A03A5D" w:rsidRPr="00996790">
        <w:rPr>
          <w:rFonts w:ascii="Times New Roman" w:hAnsi="Times New Roman" w:cs="Times New Roman"/>
          <w:color w:val="010302"/>
          <w:sz w:val="24"/>
          <w:szCs w:val="24"/>
        </w:rPr>
        <w:t>alleged transfer date</w:t>
      </w:r>
      <w:r w:rsidR="001239EF" w:rsidRPr="00996790">
        <w:rPr>
          <w:rFonts w:ascii="Times New Roman" w:hAnsi="Times New Roman" w:cs="Times New Roman"/>
          <w:color w:val="010302"/>
          <w:sz w:val="24"/>
          <w:szCs w:val="24"/>
        </w:rPr>
        <w:t xml:space="preserve"> and thereby failed to appreciate </w:t>
      </w:r>
      <w:r w:rsidR="005B449D" w:rsidRPr="00996790">
        <w:rPr>
          <w:rFonts w:ascii="Times New Roman" w:hAnsi="Times New Roman" w:cs="Times New Roman"/>
          <w:color w:val="010302"/>
          <w:sz w:val="24"/>
          <w:szCs w:val="24"/>
        </w:rPr>
        <w:t xml:space="preserve">that the activities </w:t>
      </w:r>
      <w:r w:rsidR="00BA1F97" w:rsidRPr="00996790">
        <w:rPr>
          <w:rFonts w:ascii="Times New Roman" w:hAnsi="Times New Roman" w:cs="Times New Roman"/>
          <w:color w:val="010302"/>
          <w:sz w:val="24"/>
          <w:szCs w:val="24"/>
        </w:rPr>
        <w:t xml:space="preserve">were fundamentally </w:t>
      </w:r>
      <w:r w:rsidR="00F03455" w:rsidRPr="00996790">
        <w:rPr>
          <w:rFonts w:ascii="Times New Roman" w:hAnsi="Times New Roman" w:cs="Times New Roman"/>
          <w:color w:val="010302"/>
          <w:sz w:val="24"/>
          <w:szCs w:val="24"/>
        </w:rPr>
        <w:t>the same</w:t>
      </w:r>
      <w:r w:rsidR="0058223F" w:rsidRPr="00996790">
        <w:rPr>
          <w:rFonts w:ascii="Times New Roman" w:hAnsi="Times New Roman" w:cs="Times New Roman"/>
          <w:color w:val="010302"/>
          <w:sz w:val="24"/>
          <w:szCs w:val="24"/>
        </w:rPr>
        <w:t xml:space="preserve">.  </w:t>
      </w:r>
      <w:r w:rsidR="00E24532" w:rsidRPr="00996790">
        <w:rPr>
          <w:rFonts w:ascii="Times New Roman" w:hAnsi="Times New Roman" w:cs="Times New Roman"/>
          <w:color w:val="010302"/>
          <w:sz w:val="24"/>
          <w:szCs w:val="24"/>
        </w:rPr>
        <w:t xml:space="preserve">Ms </w:t>
      </w:r>
      <w:proofErr w:type="spellStart"/>
      <w:r w:rsidR="00E24532" w:rsidRPr="00996790">
        <w:rPr>
          <w:rFonts w:ascii="Times New Roman" w:hAnsi="Times New Roman" w:cs="Times New Roman"/>
          <w:color w:val="010302"/>
          <w:sz w:val="24"/>
          <w:szCs w:val="24"/>
        </w:rPr>
        <w:t>Tuitt</w:t>
      </w:r>
      <w:proofErr w:type="spellEnd"/>
      <w:r w:rsidR="00E24532" w:rsidRPr="00996790">
        <w:rPr>
          <w:rFonts w:ascii="Times New Roman" w:hAnsi="Times New Roman" w:cs="Times New Roman"/>
          <w:color w:val="010302"/>
          <w:sz w:val="24"/>
          <w:szCs w:val="24"/>
        </w:rPr>
        <w:t xml:space="preserve"> also submitted to me </w:t>
      </w:r>
      <w:r w:rsidR="00403116" w:rsidRPr="00996790">
        <w:rPr>
          <w:rFonts w:ascii="Times New Roman" w:hAnsi="Times New Roman" w:cs="Times New Roman"/>
          <w:color w:val="010302"/>
          <w:sz w:val="24"/>
          <w:szCs w:val="24"/>
        </w:rPr>
        <w:t xml:space="preserve">that the ET misdirected </w:t>
      </w:r>
      <w:r w:rsidR="00BC41BA" w:rsidRPr="00996790">
        <w:rPr>
          <w:rFonts w:ascii="Times New Roman" w:hAnsi="Times New Roman" w:cs="Times New Roman"/>
          <w:color w:val="010302"/>
          <w:sz w:val="24"/>
          <w:szCs w:val="24"/>
        </w:rPr>
        <w:t xml:space="preserve">itself in focusing </w:t>
      </w:r>
      <w:r w:rsidR="000F52A7" w:rsidRPr="00996790">
        <w:rPr>
          <w:rFonts w:ascii="Times New Roman" w:hAnsi="Times New Roman" w:cs="Times New Roman"/>
          <w:color w:val="010302"/>
          <w:sz w:val="24"/>
          <w:szCs w:val="24"/>
        </w:rPr>
        <w:t xml:space="preserve">in effect on the change in </w:t>
      </w:r>
      <w:r w:rsidR="00011F8A">
        <w:rPr>
          <w:rFonts w:ascii="Times New Roman" w:hAnsi="Times New Roman" w:cs="Times New Roman"/>
          <w:color w:val="010302"/>
          <w:sz w:val="24"/>
          <w:szCs w:val="24"/>
        </w:rPr>
        <w:t xml:space="preserve">her </w:t>
      </w:r>
      <w:r w:rsidR="000F52A7" w:rsidRPr="00996790">
        <w:rPr>
          <w:rFonts w:ascii="Times New Roman" w:hAnsi="Times New Roman" w:cs="Times New Roman"/>
          <w:color w:val="010302"/>
          <w:sz w:val="24"/>
          <w:szCs w:val="24"/>
        </w:rPr>
        <w:t>availability</w:t>
      </w:r>
      <w:r w:rsidR="00710F3F" w:rsidRPr="00996790">
        <w:rPr>
          <w:rFonts w:ascii="Times New Roman" w:hAnsi="Times New Roman" w:cs="Times New Roman"/>
          <w:color w:val="010302"/>
          <w:sz w:val="24"/>
          <w:szCs w:val="24"/>
        </w:rPr>
        <w:t>,</w:t>
      </w:r>
      <w:r w:rsidR="000F52A7" w:rsidRPr="00996790">
        <w:rPr>
          <w:rFonts w:ascii="Times New Roman" w:hAnsi="Times New Roman" w:cs="Times New Roman"/>
          <w:color w:val="010302"/>
          <w:sz w:val="24"/>
          <w:szCs w:val="24"/>
        </w:rPr>
        <w:t xml:space="preserve"> </w:t>
      </w:r>
      <w:r w:rsidR="00011F8A">
        <w:rPr>
          <w:rFonts w:ascii="Times New Roman" w:hAnsi="Times New Roman" w:cs="Times New Roman"/>
          <w:color w:val="010302"/>
          <w:sz w:val="24"/>
          <w:szCs w:val="24"/>
        </w:rPr>
        <w:t xml:space="preserve">in </w:t>
      </w:r>
      <w:r w:rsidR="0073373E" w:rsidRPr="00996790">
        <w:rPr>
          <w:rFonts w:ascii="Times New Roman" w:hAnsi="Times New Roman" w:cs="Times New Roman"/>
          <w:color w:val="010302"/>
          <w:sz w:val="24"/>
          <w:szCs w:val="24"/>
        </w:rPr>
        <w:t xml:space="preserve">that before the alleged transfer </w:t>
      </w:r>
      <w:r w:rsidR="00710F3F" w:rsidRPr="00996790">
        <w:rPr>
          <w:rFonts w:ascii="Times New Roman" w:hAnsi="Times New Roman" w:cs="Times New Roman"/>
          <w:color w:val="010302"/>
          <w:sz w:val="24"/>
          <w:szCs w:val="24"/>
        </w:rPr>
        <w:t xml:space="preserve">she was available to undertake the CCTV monitoring full time, whereas after </w:t>
      </w:r>
      <w:r w:rsidR="00F863F5" w:rsidRPr="00996790">
        <w:rPr>
          <w:rFonts w:ascii="Times New Roman" w:hAnsi="Times New Roman" w:cs="Times New Roman"/>
          <w:color w:val="010302"/>
          <w:sz w:val="24"/>
          <w:szCs w:val="24"/>
        </w:rPr>
        <w:t>the alleged transfer the Careline staff only had limited availability to do so</w:t>
      </w:r>
      <w:r w:rsidR="006B1333" w:rsidRPr="00996790">
        <w:rPr>
          <w:rFonts w:ascii="Times New Roman" w:hAnsi="Times New Roman" w:cs="Times New Roman"/>
          <w:color w:val="010302"/>
          <w:sz w:val="24"/>
          <w:szCs w:val="24"/>
        </w:rPr>
        <w:t xml:space="preserve">, as it was not the main part </w:t>
      </w:r>
      <w:r w:rsidR="00A00336" w:rsidRPr="00996790">
        <w:rPr>
          <w:rFonts w:ascii="Times New Roman" w:hAnsi="Times New Roman" w:cs="Times New Roman"/>
          <w:color w:val="010302"/>
          <w:sz w:val="24"/>
          <w:szCs w:val="24"/>
        </w:rPr>
        <w:t xml:space="preserve">of their duties.  </w:t>
      </w:r>
      <w:r w:rsidR="006C68A6" w:rsidRPr="00996790">
        <w:rPr>
          <w:rFonts w:ascii="Times New Roman" w:hAnsi="Times New Roman" w:cs="Times New Roman"/>
          <w:color w:val="010302"/>
          <w:sz w:val="24"/>
          <w:szCs w:val="24"/>
        </w:rPr>
        <w:t xml:space="preserve">She said </w:t>
      </w:r>
      <w:r w:rsidR="00226282" w:rsidRPr="00996790">
        <w:rPr>
          <w:rFonts w:ascii="Times New Roman" w:hAnsi="Times New Roman" w:cs="Times New Roman"/>
          <w:color w:val="010302"/>
          <w:sz w:val="24"/>
          <w:szCs w:val="24"/>
        </w:rPr>
        <w:t xml:space="preserve">employee availability </w:t>
      </w:r>
      <w:r w:rsidR="007C3801" w:rsidRPr="00996790">
        <w:rPr>
          <w:rFonts w:ascii="Times New Roman" w:hAnsi="Times New Roman" w:cs="Times New Roman"/>
          <w:color w:val="010302"/>
          <w:sz w:val="24"/>
          <w:szCs w:val="24"/>
        </w:rPr>
        <w:t xml:space="preserve">was irrelevant </w:t>
      </w:r>
      <w:r w:rsidR="00396B3A" w:rsidRPr="00996790">
        <w:rPr>
          <w:rFonts w:ascii="Times New Roman" w:hAnsi="Times New Roman" w:cs="Times New Roman"/>
          <w:color w:val="010302"/>
          <w:sz w:val="24"/>
          <w:szCs w:val="24"/>
        </w:rPr>
        <w:t xml:space="preserve">and should not have been </w:t>
      </w:r>
      <w:proofErr w:type="gramStart"/>
      <w:r w:rsidR="00C47701" w:rsidRPr="00996790">
        <w:rPr>
          <w:rFonts w:ascii="Times New Roman" w:hAnsi="Times New Roman" w:cs="Times New Roman"/>
          <w:color w:val="010302"/>
          <w:sz w:val="24"/>
          <w:szCs w:val="24"/>
        </w:rPr>
        <w:t>taken into account</w:t>
      </w:r>
      <w:proofErr w:type="gramEnd"/>
      <w:r w:rsidR="00C47701" w:rsidRPr="00996790">
        <w:rPr>
          <w:rFonts w:ascii="Times New Roman" w:hAnsi="Times New Roman" w:cs="Times New Roman"/>
          <w:color w:val="010302"/>
          <w:sz w:val="24"/>
          <w:szCs w:val="24"/>
        </w:rPr>
        <w:t xml:space="preserve"> by the </w:t>
      </w:r>
      <w:r w:rsidR="00FC265F">
        <w:rPr>
          <w:rFonts w:ascii="Times New Roman" w:hAnsi="Times New Roman" w:cs="Times New Roman"/>
          <w:color w:val="010302"/>
          <w:sz w:val="24"/>
          <w:szCs w:val="24"/>
        </w:rPr>
        <w:t xml:space="preserve">ET as </w:t>
      </w:r>
      <w:r w:rsidR="00472D79" w:rsidRPr="00996790">
        <w:rPr>
          <w:rFonts w:ascii="Times New Roman" w:hAnsi="Times New Roman" w:cs="Times New Roman"/>
          <w:color w:val="010302"/>
          <w:sz w:val="24"/>
          <w:szCs w:val="24"/>
        </w:rPr>
        <w:t xml:space="preserve">the activity itself </w:t>
      </w:r>
      <w:r w:rsidR="005D47AE" w:rsidRPr="00996790">
        <w:rPr>
          <w:rFonts w:ascii="Times New Roman" w:hAnsi="Times New Roman" w:cs="Times New Roman"/>
          <w:color w:val="010302"/>
          <w:sz w:val="24"/>
          <w:szCs w:val="24"/>
        </w:rPr>
        <w:t xml:space="preserve">was still there to be done.  </w:t>
      </w:r>
      <w:r w:rsidR="00C32C64" w:rsidRPr="00996790">
        <w:rPr>
          <w:rFonts w:ascii="Times New Roman" w:hAnsi="Times New Roman" w:cs="Times New Roman"/>
          <w:color w:val="010302"/>
          <w:sz w:val="24"/>
          <w:szCs w:val="24"/>
        </w:rPr>
        <w:t xml:space="preserve">I will refer to this as the availability argument when I return to it in my conclusions.  </w:t>
      </w:r>
    </w:p>
    <w:p w14:paraId="1962917A" w14:textId="47E041CE" w:rsidR="00B7119F" w:rsidRDefault="003B7CF4" w:rsidP="00DA35F6">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claimant also </w:t>
      </w:r>
      <w:r w:rsidR="007C6971" w:rsidRPr="00996790">
        <w:rPr>
          <w:rFonts w:ascii="Times New Roman" w:hAnsi="Times New Roman" w:cs="Times New Roman"/>
          <w:color w:val="010302"/>
          <w:sz w:val="24"/>
          <w:szCs w:val="24"/>
        </w:rPr>
        <w:t xml:space="preserve">said that the </w:t>
      </w:r>
      <w:r w:rsidR="007C3CCC" w:rsidRPr="00996790">
        <w:rPr>
          <w:rFonts w:ascii="Times New Roman" w:hAnsi="Times New Roman" w:cs="Times New Roman"/>
          <w:color w:val="010302"/>
          <w:sz w:val="24"/>
          <w:szCs w:val="24"/>
        </w:rPr>
        <w:t>ET's conclusion was a perverse finding of fact</w:t>
      </w:r>
      <w:r w:rsidR="001D7F6F" w:rsidRPr="00996790">
        <w:rPr>
          <w:rFonts w:ascii="Times New Roman" w:hAnsi="Times New Roman" w:cs="Times New Roman"/>
          <w:color w:val="010302"/>
          <w:sz w:val="24"/>
          <w:szCs w:val="24"/>
        </w:rPr>
        <w:t xml:space="preserve">, and in that </w:t>
      </w:r>
      <w:r w:rsidR="001C5CD9" w:rsidRPr="00996790">
        <w:rPr>
          <w:rFonts w:ascii="Times New Roman" w:hAnsi="Times New Roman" w:cs="Times New Roman"/>
          <w:color w:val="010302"/>
          <w:sz w:val="24"/>
          <w:szCs w:val="24"/>
        </w:rPr>
        <w:t>regard,</w:t>
      </w:r>
      <w:r w:rsidR="001D7F6F" w:rsidRPr="00996790">
        <w:rPr>
          <w:rFonts w:ascii="Times New Roman" w:hAnsi="Times New Roman" w:cs="Times New Roman"/>
          <w:color w:val="010302"/>
          <w:sz w:val="24"/>
          <w:szCs w:val="24"/>
        </w:rPr>
        <w:t xml:space="preserve"> she relied </w:t>
      </w:r>
      <w:proofErr w:type="gramStart"/>
      <w:r w:rsidR="001D7F6F" w:rsidRPr="00996790">
        <w:rPr>
          <w:rFonts w:ascii="Times New Roman" w:hAnsi="Times New Roman" w:cs="Times New Roman"/>
          <w:color w:val="010302"/>
          <w:sz w:val="24"/>
          <w:szCs w:val="24"/>
        </w:rPr>
        <w:t>in particular on</w:t>
      </w:r>
      <w:proofErr w:type="gramEnd"/>
      <w:r w:rsidR="001D7F6F" w:rsidRPr="00996790">
        <w:rPr>
          <w:rFonts w:ascii="Times New Roman" w:hAnsi="Times New Roman" w:cs="Times New Roman"/>
          <w:color w:val="010302"/>
          <w:sz w:val="24"/>
          <w:szCs w:val="24"/>
        </w:rPr>
        <w:t xml:space="preserve"> </w:t>
      </w:r>
      <w:r w:rsidR="007E7461" w:rsidRPr="00996790">
        <w:rPr>
          <w:rFonts w:ascii="Times New Roman" w:hAnsi="Times New Roman" w:cs="Times New Roman"/>
          <w:color w:val="010302"/>
          <w:sz w:val="24"/>
          <w:szCs w:val="24"/>
        </w:rPr>
        <w:t>Mr Free's email</w:t>
      </w:r>
      <w:r w:rsidR="00681FC7" w:rsidRPr="00996790">
        <w:rPr>
          <w:rFonts w:ascii="Times New Roman" w:hAnsi="Times New Roman" w:cs="Times New Roman"/>
          <w:color w:val="010302"/>
          <w:sz w:val="24"/>
          <w:szCs w:val="24"/>
        </w:rPr>
        <w:t xml:space="preserve">, which I will come to.  </w:t>
      </w:r>
      <w:r w:rsidR="00A160F8" w:rsidRPr="00996790">
        <w:rPr>
          <w:rFonts w:ascii="Times New Roman" w:hAnsi="Times New Roman" w:cs="Times New Roman"/>
          <w:color w:val="010302"/>
          <w:sz w:val="24"/>
          <w:szCs w:val="24"/>
        </w:rPr>
        <w:t xml:space="preserve">Ms </w:t>
      </w:r>
      <w:proofErr w:type="spellStart"/>
      <w:r w:rsidR="00A160F8" w:rsidRPr="00996790">
        <w:rPr>
          <w:rFonts w:ascii="Times New Roman" w:hAnsi="Times New Roman" w:cs="Times New Roman"/>
          <w:color w:val="010302"/>
          <w:sz w:val="24"/>
          <w:szCs w:val="24"/>
        </w:rPr>
        <w:t>Tuitt</w:t>
      </w:r>
      <w:proofErr w:type="spellEnd"/>
      <w:r w:rsidR="00A160F8" w:rsidRPr="00996790">
        <w:rPr>
          <w:rFonts w:ascii="Times New Roman" w:hAnsi="Times New Roman" w:cs="Times New Roman"/>
          <w:color w:val="010302"/>
          <w:sz w:val="24"/>
          <w:szCs w:val="24"/>
        </w:rPr>
        <w:t xml:space="preserve"> also </w:t>
      </w:r>
      <w:r w:rsidR="00D45AC8" w:rsidRPr="00996790">
        <w:rPr>
          <w:rFonts w:ascii="Times New Roman" w:hAnsi="Times New Roman" w:cs="Times New Roman"/>
          <w:color w:val="010302"/>
          <w:sz w:val="24"/>
          <w:szCs w:val="24"/>
        </w:rPr>
        <w:t xml:space="preserve">drew my attention </w:t>
      </w:r>
      <w:r w:rsidR="007C26B8" w:rsidRPr="00996790">
        <w:rPr>
          <w:rFonts w:ascii="Times New Roman" w:hAnsi="Times New Roman" w:cs="Times New Roman"/>
          <w:color w:val="010302"/>
          <w:sz w:val="24"/>
          <w:szCs w:val="24"/>
        </w:rPr>
        <w:t xml:space="preserve">to the terms of regulation 3(3), </w:t>
      </w:r>
      <w:proofErr w:type="gramStart"/>
      <w:r w:rsidR="007C26B8" w:rsidRPr="00996790">
        <w:rPr>
          <w:rFonts w:ascii="Times New Roman" w:hAnsi="Times New Roman" w:cs="Times New Roman"/>
          <w:color w:val="010302"/>
          <w:sz w:val="24"/>
          <w:szCs w:val="24"/>
        </w:rPr>
        <w:t xml:space="preserve">in particular </w:t>
      </w:r>
      <w:r w:rsidR="005056F7" w:rsidRPr="00996790">
        <w:rPr>
          <w:rFonts w:ascii="Times New Roman" w:hAnsi="Times New Roman" w:cs="Times New Roman"/>
          <w:color w:val="010302"/>
          <w:sz w:val="24"/>
          <w:szCs w:val="24"/>
        </w:rPr>
        <w:t>submitting</w:t>
      </w:r>
      <w:proofErr w:type="gramEnd"/>
      <w:r w:rsidR="005056F7" w:rsidRPr="00996790">
        <w:rPr>
          <w:rFonts w:ascii="Times New Roman" w:hAnsi="Times New Roman" w:cs="Times New Roman"/>
          <w:color w:val="010302"/>
          <w:sz w:val="24"/>
          <w:szCs w:val="24"/>
        </w:rPr>
        <w:t xml:space="preserve"> </w:t>
      </w:r>
      <w:r w:rsidR="00EC41F0" w:rsidRPr="00996790">
        <w:rPr>
          <w:rFonts w:ascii="Times New Roman" w:hAnsi="Times New Roman" w:cs="Times New Roman"/>
          <w:color w:val="010302"/>
          <w:sz w:val="24"/>
          <w:szCs w:val="24"/>
        </w:rPr>
        <w:t xml:space="preserve">that the reference to </w:t>
      </w:r>
      <w:r w:rsidR="00F379FA" w:rsidRPr="00996790">
        <w:rPr>
          <w:rFonts w:ascii="Times New Roman" w:hAnsi="Times New Roman" w:cs="Times New Roman"/>
          <w:color w:val="010302"/>
          <w:sz w:val="24"/>
          <w:szCs w:val="24"/>
        </w:rPr>
        <w:t>an organised grouping of employees in regulation 3(3)</w:t>
      </w:r>
      <w:r w:rsidR="00BE6F0F" w:rsidRPr="00996790">
        <w:rPr>
          <w:rFonts w:ascii="Times New Roman" w:hAnsi="Times New Roman" w:cs="Times New Roman"/>
          <w:color w:val="010302"/>
          <w:sz w:val="24"/>
          <w:szCs w:val="24"/>
        </w:rPr>
        <w:t>(a)(</w:t>
      </w:r>
      <w:proofErr w:type="spellStart"/>
      <w:r w:rsidR="00BE6F0F" w:rsidRPr="00996790">
        <w:rPr>
          <w:rFonts w:ascii="Times New Roman" w:hAnsi="Times New Roman" w:cs="Times New Roman"/>
          <w:color w:val="010302"/>
          <w:sz w:val="24"/>
          <w:szCs w:val="24"/>
        </w:rPr>
        <w:t>i</w:t>
      </w:r>
      <w:proofErr w:type="spellEnd"/>
      <w:r w:rsidR="00BE6F0F" w:rsidRPr="00996790">
        <w:rPr>
          <w:rFonts w:ascii="Times New Roman" w:hAnsi="Times New Roman" w:cs="Times New Roman"/>
          <w:color w:val="010302"/>
          <w:sz w:val="24"/>
          <w:szCs w:val="24"/>
        </w:rPr>
        <w:t xml:space="preserve">) was </w:t>
      </w:r>
      <w:r w:rsidR="00F73CA4" w:rsidRPr="00996790">
        <w:rPr>
          <w:rFonts w:ascii="Times New Roman" w:hAnsi="Times New Roman" w:cs="Times New Roman"/>
          <w:color w:val="010302"/>
          <w:sz w:val="24"/>
          <w:szCs w:val="24"/>
        </w:rPr>
        <w:t xml:space="preserve">satisfied </w:t>
      </w:r>
      <w:r w:rsidR="001B0C48" w:rsidRPr="00996790">
        <w:rPr>
          <w:rFonts w:ascii="Times New Roman" w:hAnsi="Times New Roman" w:cs="Times New Roman"/>
          <w:color w:val="010302"/>
          <w:sz w:val="24"/>
          <w:szCs w:val="24"/>
        </w:rPr>
        <w:t xml:space="preserve">here </w:t>
      </w:r>
      <w:r w:rsidR="00FD16CD">
        <w:rPr>
          <w:rFonts w:ascii="Times New Roman" w:hAnsi="Times New Roman" w:cs="Times New Roman"/>
          <w:color w:val="010302"/>
          <w:sz w:val="24"/>
          <w:szCs w:val="24"/>
        </w:rPr>
        <w:t xml:space="preserve">in terms of the </w:t>
      </w:r>
      <w:r w:rsidR="00F73CA4" w:rsidRPr="00996790">
        <w:rPr>
          <w:rFonts w:ascii="Times New Roman" w:hAnsi="Times New Roman" w:cs="Times New Roman"/>
          <w:color w:val="010302"/>
          <w:sz w:val="24"/>
          <w:szCs w:val="24"/>
        </w:rPr>
        <w:t xml:space="preserve">activity </w:t>
      </w:r>
      <w:r w:rsidR="0074330F" w:rsidRPr="00996790">
        <w:rPr>
          <w:rFonts w:ascii="Times New Roman" w:hAnsi="Times New Roman" w:cs="Times New Roman"/>
          <w:color w:val="010302"/>
          <w:sz w:val="24"/>
          <w:szCs w:val="24"/>
        </w:rPr>
        <w:t xml:space="preserve">that she was carrying </w:t>
      </w:r>
      <w:r w:rsidR="004267E6" w:rsidRPr="00996790">
        <w:rPr>
          <w:rFonts w:ascii="Times New Roman" w:hAnsi="Times New Roman" w:cs="Times New Roman"/>
          <w:color w:val="010302"/>
          <w:sz w:val="24"/>
          <w:szCs w:val="24"/>
        </w:rPr>
        <w:t xml:space="preserve">on prior to the transfer.  </w:t>
      </w:r>
    </w:p>
    <w:p w14:paraId="0A63A4C9" w14:textId="37A80C63" w:rsidR="00C82F0F" w:rsidRDefault="0003313E" w:rsidP="00DA35F6">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She concluded by </w:t>
      </w:r>
      <w:r w:rsidR="00250941" w:rsidRPr="00996790">
        <w:rPr>
          <w:rFonts w:ascii="Times New Roman" w:hAnsi="Times New Roman" w:cs="Times New Roman"/>
          <w:color w:val="010302"/>
          <w:sz w:val="24"/>
          <w:szCs w:val="24"/>
        </w:rPr>
        <w:t xml:space="preserve">submitting </w:t>
      </w:r>
      <w:r w:rsidR="00AE5EB2" w:rsidRPr="00996790">
        <w:rPr>
          <w:rFonts w:ascii="Times New Roman" w:hAnsi="Times New Roman" w:cs="Times New Roman"/>
          <w:color w:val="010302"/>
          <w:sz w:val="24"/>
          <w:szCs w:val="24"/>
        </w:rPr>
        <w:t xml:space="preserve">in her oral address to me that </w:t>
      </w:r>
      <w:r w:rsidR="00464B84" w:rsidRPr="00996790">
        <w:rPr>
          <w:rFonts w:ascii="Times New Roman" w:hAnsi="Times New Roman" w:cs="Times New Roman"/>
          <w:color w:val="010302"/>
          <w:sz w:val="24"/>
          <w:szCs w:val="24"/>
        </w:rPr>
        <w:t xml:space="preserve">endorsing </w:t>
      </w:r>
      <w:r w:rsidR="00D42D01" w:rsidRPr="00996790">
        <w:rPr>
          <w:rFonts w:ascii="Times New Roman" w:hAnsi="Times New Roman" w:cs="Times New Roman"/>
          <w:color w:val="010302"/>
          <w:sz w:val="24"/>
          <w:szCs w:val="24"/>
        </w:rPr>
        <w:t xml:space="preserve">the </w:t>
      </w:r>
      <w:r w:rsidR="00FD16CD">
        <w:rPr>
          <w:rFonts w:ascii="Times New Roman" w:hAnsi="Times New Roman" w:cs="Times New Roman"/>
          <w:color w:val="010302"/>
          <w:sz w:val="24"/>
          <w:szCs w:val="24"/>
        </w:rPr>
        <w:t>ET</w:t>
      </w:r>
      <w:r w:rsidR="00D42D01" w:rsidRPr="00996790">
        <w:rPr>
          <w:rFonts w:ascii="Times New Roman" w:hAnsi="Times New Roman" w:cs="Times New Roman"/>
          <w:color w:val="010302"/>
          <w:sz w:val="24"/>
          <w:szCs w:val="24"/>
        </w:rPr>
        <w:t xml:space="preserve">'s approach </w:t>
      </w:r>
      <w:r w:rsidR="00345575" w:rsidRPr="00996790">
        <w:rPr>
          <w:rFonts w:ascii="Times New Roman" w:hAnsi="Times New Roman" w:cs="Times New Roman"/>
          <w:color w:val="010302"/>
          <w:sz w:val="24"/>
          <w:szCs w:val="24"/>
        </w:rPr>
        <w:t>would give rise to a loophole that would enable employ</w:t>
      </w:r>
      <w:r w:rsidR="0002499B">
        <w:rPr>
          <w:rFonts w:ascii="Times New Roman" w:hAnsi="Times New Roman" w:cs="Times New Roman"/>
          <w:color w:val="010302"/>
          <w:sz w:val="24"/>
          <w:szCs w:val="24"/>
        </w:rPr>
        <w:t>er</w:t>
      </w:r>
      <w:r w:rsidR="00345575" w:rsidRPr="00996790">
        <w:rPr>
          <w:rFonts w:ascii="Times New Roman" w:hAnsi="Times New Roman" w:cs="Times New Roman"/>
          <w:color w:val="010302"/>
          <w:sz w:val="24"/>
          <w:szCs w:val="24"/>
        </w:rPr>
        <w:t xml:space="preserve">s </w:t>
      </w:r>
      <w:r w:rsidR="00F35C33" w:rsidRPr="00996790">
        <w:rPr>
          <w:rFonts w:ascii="Times New Roman" w:hAnsi="Times New Roman" w:cs="Times New Roman"/>
          <w:color w:val="010302"/>
          <w:sz w:val="24"/>
          <w:szCs w:val="24"/>
        </w:rPr>
        <w:t xml:space="preserve">to restrict </w:t>
      </w:r>
      <w:r w:rsidR="001114B5" w:rsidRPr="00996790">
        <w:rPr>
          <w:rFonts w:ascii="Times New Roman" w:hAnsi="Times New Roman" w:cs="Times New Roman"/>
          <w:color w:val="010302"/>
          <w:sz w:val="24"/>
          <w:szCs w:val="24"/>
        </w:rPr>
        <w:t xml:space="preserve">the effectiveness of the TUPE provisions.  </w:t>
      </w:r>
    </w:p>
    <w:p w14:paraId="44EFF57A" w14:textId="651D37EA" w:rsidR="0002499B" w:rsidRPr="0002499B" w:rsidRDefault="0002499B" w:rsidP="0002499B">
      <w:pPr>
        <w:pStyle w:val="ListParagraph"/>
        <w:tabs>
          <w:tab w:val="left" w:pos="0"/>
        </w:tabs>
        <w:spacing w:line="480" w:lineRule="auto"/>
        <w:contextualSpacing/>
        <w:jc w:val="both"/>
        <w:rPr>
          <w:rFonts w:ascii="Times New Roman" w:hAnsi="Times New Roman" w:cs="Times New Roman"/>
          <w:b/>
          <w:bCs/>
          <w:color w:val="010302"/>
          <w:sz w:val="24"/>
          <w:szCs w:val="24"/>
          <w:u w:val="single"/>
        </w:rPr>
      </w:pPr>
      <w:r w:rsidRPr="0002499B">
        <w:rPr>
          <w:rFonts w:ascii="Times New Roman" w:hAnsi="Times New Roman" w:cs="Times New Roman"/>
          <w:b/>
          <w:bCs/>
          <w:color w:val="010302"/>
          <w:sz w:val="24"/>
          <w:szCs w:val="24"/>
          <w:u w:val="single"/>
        </w:rPr>
        <w:t>Submissions: the respondent</w:t>
      </w:r>
    </w:p>
    <w:p w14:paraId="4DD81FFC" w14:textId="77777777" w:rsidR="0046369A" w:rsidRDefault="00006F0B"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respondent submitted that the </w:t>
      </w:r>
      <w:r w:rsidR="008E20E3" w:rsidRPr="00996790">
        <w:rPr>
          <w:rFonts w:ascii="Times New Roman" w:hAnsi="Times New Roman" w:cs="Times New Roman"/>
          <w:color w:val="010302"/>
          <w:sz w:val="24"/>
          <w:szCs w:val="24"/>
        </w:rPr>
        <w:t xml:space="preserve">ET asked </w:t>
      </w:r>
      <w:r w:rsidR="00093C71" w:rsidRPr="00996790">
        <w:rPr>
          <w:rFonts w:ascii="Times New Roman" w:hAnsi="Times New Roman" w:cs="Times New Roman"/>
          <w:color w:val="010302"/>
          <w:sz w:val="24"/>
          <w:szCs w:val="24"/>
        </w:rPr>
        <w:t>itself the right question posed by regulation 3</w:t>
      </w:r>
      <w:r w:rsidR="00B46984" w:rsidRPr="00996790">
        <w:rPr>
          <w:rFonts w:ascii="Times New Roman" w:hAnsi="Times New Roman" w:cs="Times New Roman"/>
          <w:color w:val="010302"/>
          <w:sz w:val="24"/>
          <w:szCs w:val="24"/>
        </w:rPr>
        <w:t>(2</w:t>
      </w:r>
      <w:r w:rsidR="00970E99">
        <w:rPr>
          <w:rFonts w:ascii="Times New Roman" w:hAnsi="Times New Roman" w:cs="Times New Roman"/>
          <w:color w:val="010302"/>
          <w:sz w:val="24"/>
          <w:szCs w:val="24"/>
        </w:rPr>
        <w:t>A</w:t>
      </w:r>
      <w:r w:rsidR="00B46984" w:rsidRPr="00996790">
        <w:rPr>
          <w:rFonts w:ascii="Times New Roman" w:hAnsi="Times New Roman" w:cs="Times New Roman"/>
          <w:color w:val="010302"/>
          <w:sz w:val="24"/>
          <w:szCs w:val="24"/>
        </w:rPr>
        <w:t xml:space="preserve">) and adopted an approach </w:t>
      </w:r>
      <w:r w:rsidR="00057A9B" w:rsidRPr="00996790">
        <w:rPr>
          <w:rFonts w:ascii="Times New Roman" w:hAnsi="Times New Roman" w:cs="Times New Roman"/>
          <w:color w:val="010302"/>
          <w:sz w:val="24"/>
          <w:szCs w:val="24"/>
        </w:rPr>
        <w:t xml:space="preserve">consistent with the earlier </w:t>
      </w:r>
      <w:r w:rsidR="009E3FC3" w:rsidRPr="00996790">
        <w:rPr>
          <w:rFonts w:ascii="Times New Roman" w:hAnsi="Times New Roman" w:cs="Times New Roman"/>
          <w:color w:val="010302"/>
          <w:sz w:val="24"/>
          <w:szCs w:val="24"/>
        </w:rPr>
        <w:t xml:space="preserve">authorities, that it considered the evidence </w:t>
      </w:r>
      <w:r w:rsidR="007572E2" w:rsidRPr="00996790">
        <w:rPr>
          <w:rFonts w:ascii="Times New Roman" w:hAnsi="Times New Roman" w:cs="Times New Roman"/>
          <w:color w:val="010302"/>
          <w:sz w:val="24"/>
          <w:szCs w:val="24"/>
        </w:rPr>
        <w:t xml:space="preserve">and answered the correct </w:t>
      </w:r>
      <w:r w:rsidR="00652A80" w:rsidRPr="00996790">
        <w:rPr>
          <w:rFonts w:ascii="Times New Roman" w:hAnsi="Times New Roman" w:cs="Times New Roman"/>
          <w:color w:val="010302"/>
          <w:sz w:val="24"/>
          <w:szCs w:val="24"/>
        </w:rPr>
        <w:t>question based on that evidence</w:t>
      </w:r>
      <w:r w:rsidR="009D3507">
        <w:rPr>
          <w:rFonts w:ascii="Times New Roman" w:hAnsi="Times New Roman" w:cs="Times New Roman"/>
          <w:color w:val="010302"/>
          <w:sz w:val="24"/>
          <w:szCs w:val="24"/>
        </w:rPr>
        <w:t>. A</w:t>
      </w:r>
      <w:r w:rsidR="00E8571B" w:rsidRPr="00996790">
        <w:rPr>
          <w:rFonts w:ascii="Times New Roman" w:hAnsi="Times New Roman" w:cs="Times New Roman"/>
          <w:color w:val="010302"/>
          <w:sz w:val="24"/>
          <w:szCs w:val="24"/>
        </w:rPr>
        <w:t xml:space="preserve">ccordingly, no error of law was disclosed by </w:t>
      </w:r>
      <w:r w:rsidR="000B732B" w:rsidRPr="00996790">
        <w:rPr>
          <w:rFonts w:ascii="Times New Roman" w:hAnsi="Times New Roman" w:cs="Times New Roman"/>
          <w:color w:val="010302"/>
          <w:sz w:val="24"/>
          <w:szCs w:val="24"/>
        </w:rPr>
        <w:t xml:space="preserve">its reasons, and it cannot be said that </w:t>
      </w:r>
      <w:r w:rsidR="00815257" w:rsidRPr="00996790">
        <w:rPr>
          <w:rFonts w:ascii="Times New Roman" w:hAnsi="Times New Roman" w:cs="Times New Roman"/>
          <w:color w:val="010302"/>
          <w:sz w:val="24"/>
          <w:szCs w:val="24"/>
        </w:rPr>
        <w:t xml:space="preserve">the decision is one that no reasonable </w:t>
      </w:r>
      <w:r w:rsidR="0046369A">
        <w:rPr>
          <w:rFonts w:ascii="Times New Roman" w:hAnsi="Times New Roman" w:cs="Times New Roman"/>
          <w:color w:val="010302"/>
          <w:sz w:val="24"/>
          <w:szCs w:val="24"/>
        </w:rPr>
        <w:t>T</w:t>
      </w:r>
      <w:r w:rsidR="008935A3" w:rsidRPr="00996790">
        <w:rPr>
          <w:rFonts w:ascii="Times New Roman" w:hAnsi="Times New Roman" w:cs="Times New Roman"/>
          <w:color w:val="010302"/>
          <w:sz w:val="24"/>
          <w:szCs w:val="24"/>
        </w:rPr>
        <w:t xml:space="preserve">ribunal </w:t>
      </w:r>
      <w:r w:rsidR="00755AC8" w:rsidRPr="00996790">
        <w:rPr>
          <w:rFonts w:ascii="Times New Roman" w:hAnsi="Times New Roman" w:cs="Times New Roman"/>
          <w:color w:val="010302"/>
          <w:sz w:val="24"/>
          <w:szCs w:val="24"/>
        </w:rPr>
        <w:t>could come to.</w:t>
      </w:r>
    </w:p>
    <w:p w14:paraId="0426054B" w14:textId="77777777" w:rsidR="00664A55" w:rsidRDefault="00755AC8"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  </w:t>
      </w:r>
      <w:r w:rsidR="00C82F0F" w:rsidRPr="00996790">
        <w:rPr>
          <w:rFonts w:ascii="Times New Roman" w:hAnsi="Times New Roman" w:cs="Times New Roman"/>
          <w:color w:val="010302"/>
          <w:sz w:val="24"/>
          <w:szCs w:val="24"/>
        </w:rPr>
        <w:t>The respondent notes that the E</w:t>
      </w:r>
      <w:r w:rsidR="0046369A">
        <w:rPr>
          <w:rFonts w:ascii="Times New Roman" w:hAnsi="Times New Roman" w:cs="Times New Roman"/>
          <w:color w:val="010302"/>
          <w:sz w:val="24"/>
          <w:szCs w:val="24"/>
        </w:rPr>
        <w:t>A</w:t>
      </w:r>
      <w:r w:rsidR="00C82F0F" w:rsidRPr="00996790">
        <w:rPr>
          <w:rFonts w:ascii="Times New Roman" w:hAnsi="Times New Roman" w:cs="Times New Roman"/>
          <w:color w:val="010302"/>
          <w:sz w:val="24"/>
          <w:szCs w:val="24"/>
        </w:rPr>
        <w:t xml:space="preserve">T has </w:t>
      </w:r>
      <w:r w:rsidR="00E2344C" w:rsidRPr="00996790">
        <w:rPr>
          <w:rFonts w:ascii="Times New Roman" w:hAnsi="Times New Roman" w:cs="Times New Roman"/>
          <w:color w:val="010302"/>
          <w:sz w:val="24"/>
          <w:szCs w:val="24"/>
        </w:rPr>
        <w:t xml:space="preserve">repeatedly emphasised that the question of whether the activities </w:t>
      </w:r>
      <w:r w:rsidR="00423444" w:rsidRPr="00996790">
        <w:rPr>
          <w:rFonts w:ascii="Times New Roman" w:hAnsi="Times New Roman" w:cs="Times New Roman"/>
          <w:color w:val="010302"/>
          <w:sz w:val="24"/>
          <w:szCs w:val="24"/>
        </w:rPr>
        <w:t xml:space="preserve">carried out before </w:t>
      </w:r>
      <w:r w:rsidR="00A30A08" w:rsidRPr="00996790">
        <w:rPr>
          <w:rFonts w:ascii="Times New Roman" w:hAnsi="Times New Roman" w:cs="Times New Roman"/>
          <w:color w:val="010302"/>
          <w:sz w:val="24"/>
          <w:szCs w:val="24"/>
        </w:rPr>
        <w:t xml:space="preserve">and after the alleged </w:t>
      </w:r>
      <w:r w:rsidR="00053521" w:rsidRPr="00996790">
        <w:rPr>
          <w:rFonts w:ascii="Times New Roman" w:hAnsi="Times New Roman" w:cs="Times New Roman"/>
          <w:color w:val="010302"/>
          <w:sz w:val="24"/>
          <w:szCs w:val="24"/>
        </w:rPr>
        <w:t xml:space="preserve">transfer </w:t>
      </w:r>
      <w:r w:rsidR="0051095F">
        <w:rPr>
          <w:rFonts w:ascii="Times New Roman" w:hAnsi="Times New Roman" w:cs="Times New Roman"/>
          <w:color w:val="010302"/>
          <w:sz w:val="24"/>
          <w:szCs w:val="24"/>
        </w:rPr>
        <w:t>are fundamentally the same</w:t>
      </w:r>
      <w:r w:rsidR="007A1A9D">
        <w:rPr>
          <w:rFonts w:ascii="Times New Roman" w:hAnsi="Times New Roman" w:cs="Times New Roman"/>
          <w:color w:val="010302"/>
          <w:sz w:val="24"/>
          <w:szCs w:val="24"/>
        </w:rPr>
        <w:t>,</w:t>
      </w:r>
      <w:r w:rsidR="0051095F">
        <w:rPr>
          <w:rFonts w:ascii="Times New Roman" w:hAnsi="Times New Roman" w:cs="Times New Roman"/>
          <w:color w:val="010302"/>
          <w:sz w:val="24"/>
          <w:szCs w:val="24"/>
        </w:rPr>
        <w:t xml:space="preserve"> </w:t>
      </w:r>
      <w:r w:rsidR="00053521" w:rsidRPr="00996790">
        <w:rPr>
          <w:rFonts w:ascii="Times New Roman" w:hAnsi="Times New Roman" w:cs="Times New Roman"/>
          <w:color w:val="010302"/>
          <w:sz w:val="24"/>
          <w:szCs w:val="24"/>
        </w:rPr>
        <w:t xml:space="preserve">is a matter </w:t>
      </w:r>
      <w:r w:rsidR="00053521" w:rsidRPr="00996790">
        <w:rPr>
          <w:rFonts w:ascii="Times New Roman" w:hAnsi="Times New Roman" w:cs="Times New Roman"/>
          <w:color w:val="010302"/>
          <w:sz w:val="24"/>
          <w:szCs w:val="24"/>
        </w:rPr>
        <w:lastRenderedPageBreak/>
        <w:t xml:space="preserve">of fact and degree for the tribunal </w:t>
      </w:r>
      <w:r w:rsidR="00971449" w:rsidRPr="00996790">
        <w:rPr>
          <w:rFonts w:ascii="Times New Roman" w:hAnsi="Times New Roman" w:cs="Times New Roman"/>
          <w:color w:val="010302"/>
          <w:sz w:val="24"/>
          <w:szCs w:val="24"/>
        </w:rPr>
        <w:t>to determine</w:t>
      </w:r>
      <w:r w:rsidR="005650FD" w:rsidRPr="00996790">
        <w:rPr>
          <w:rFonts w:ascii="Times New Roman" w:hAnsi="Times New Roman" w:cs="Times New Roman"/>
          <w:color w:val="010302"/>
          <w:sz w:val="24"/>
          <w:szCs w:val="24"/>
        </w:rPr>
        <w:t xml:space="preserve">, and </w:t>
      </w:r>
      <w:r w:rsidR="007A1A9D">
        <w:rPr>
          <w:rFonts w:ascii="Times New Roman" w:hAnsi="Times New Roman" w:cs="Times New Roman"/>
          <w:color w:val="010302"/>
          <w:sz w:val="24"/>
          <w:szCs w:val="24"/>
        </w:rPr>
        <w:t xml:space="preserve">in this instance </w:t>
      </w:r>
      <w:r w:rsidR="005650FD" w:rsidRPr="00996790">
        <w:rPr>
          <w:rFonts w:ascii="Times New Roman" w:hAnsi="Times New Roman" w:cs="Times New Roman"/>
          <w:color w:val="010302"/>
          <w:sz w:val="24"/>
          <w:szCs w:val="24"/>
        </w:rPr>
        <w:t xml:space="preserve">the ET rightly </w:t>
      </w:r>
      <w:r w:rsidR="00611F47" w:rsidRPr="00996790">
        <w:rPr>
          <w:rFonts w:ascii="Times New Roman" w:hAnsi="Times New Roman" w:cs="Times New Roman"/>
          <w:color w:val="010302"/>
          <w:sz w:val="24"/>
          <w:szCs w:val="24"/>
        </w:rPr>
        <w:t xml:space="preserve">focused on the </w:t>
      </w:r>
      <w:r w:rsidR="00B64F90" w:rsidRPr="00996790">
        <w:rPr>
          <w:rFonts w:ascii="Times New Roman" w:hAnsi="Times New Roman" w:cs="Times New Roman"/>
          <w:color w:val="010302"/>
          <w:sz w:val="24"/>
          <w:szCs w:val="24"/>
        </w:rPr>
        <w:t>fundamental difference</w:t>
      </w:r>
      <w:r w:rsidR="002A24DE" w:rsidRPr="00996790">
        <w:rPr>
          <w:rFonts w:ascii="Times New Roman" w:hAnsi="Times New Roman" w:cs="Times New Roman"/>
          <w:color w:val="010302"/>
          <w:sz w:val="24"/>
          <w:szCs w:val="24"/>
        </w:rPr>
        <w:t xml:space="preserve"> it </w:t>
      </w:r>
      <w:r w:rsidR="00F30AFF">
        <w:rPr>
          <w:rFonts w:ascii="Times New Roman" w:hAnsi="Times New Roman" w:cs="Times New Roman"/>
          <w:color w:val="010302"/>
          <w:sz w:val="24"/>
          <w:szCs w:val="24"/>
        </w:rPr>
        <w:t xml:space="preserve">had </w:t>
      </w:r>
      <w:r w:rsidR="002A24DE" w:rsidRPr="00996790">
        <w:rPr>
          <w:rFonts w:ascii="Times New Roman" w:hAnsi="Times New Roman" w:cs="Times New Roman"/>
          <w:color w:val="010302"/>
          <w:sz w:val="24"/>
          <w:szCs w:val="24"/>
        </w:rPr>
        <w:t>identified</w:t>
      </w:r>
      <w:r w:rsidR="005668C3" w:rsidRPr="00996790">
        <w:rPr>
          <w:rFonts w:ascii="Times New Roman" w:hAnsi="Times New Roman" w:cs="Times New Roman"/>
          <w:color w:val="010302"/>
          <w:sz w:val="24"/>
          <w:szCs w:val="24"/>
        </w:rPr>
        <w:t xml:space="preserve">.  </w:t>
      </w:r>
      <w:r w:rsidR="00F30AFF">
        <w:rPr>
          <w:rFonts w:ascii="Times New Roman" w:hAnsi="Times New Roman" w:cs="Times New Roman"/>
          <w:color w:val="010302"/>
          <w:sz w:val="24"/>
          <w:szCs w:val="24"/>
        </w:rPr>
        <w:t>In addition</w:t>
      </w:r>
      <w:r w:rsidR="00D040AA" w:rsidRPr="00996790">
        <w:rPr>
          <w:rFonts w:ascii="Times New Roman" w:hAnsi="Times New Roman" w:cs="Times New Roman"/>
          <w:color w:val="010302"/>
          <w:sz w:val="24"/>
          <w:szCs w:val="24"/>
        </w:rPr>
        <w:t xml:space="preserve">, Mr Lee submits that </w:t>
      </w:r>
      <w:r w:rsidR="00383BF2" w:rsidRPr="00996790">
        <w:rPr>
          <w:rFonts w:ascii="Times New Roman" w:hAnsi="Times New Roman" w:cs="Times New Roman"/>
          <w:color w:val="010302"/>
          <w:sz w:val="24"/>
          <w:szCs w:val="24"/>
        </w:rPr>
        <w:t xml:space="preserve">the email from Mr </w:t>
      </w:r>
      <w:r w:rsidR="00A1375F" w:rsidRPr="00996790">
        <w:rPr>
          <w:rFonts w:ascii="Times New Roman" w:hAnsi="Times New Roman" w:cs="Times New Roman"/>
          <w:color w:val="010302"/>
          <w:sz w:val="24"/>
          <w:szCs w:val="24"/>
        </w:rPr>
        <w:t xml:space="preserve">Free supported rather than </w:t>
      </w:r>
      <w:r w:rsidR="00087B65" w:rsidRPr="00996790">
        <w:rPr>
          <w:rFonts w:ascii="Times New Roman" w:hAnsi="Times New Roman" w:cs="Times New Roman"/>
          <w:color w:val="010302"/>
          <w:sz w:val="24"/>
          <w:szCs w:val="24"/>
        </w:rPr>
        <w:t xml:space="preserve">contradicted </w:t>
      </w:r>
      <w:r w:rsidR="008543F2" w:rsidRPr="00996790">
        <w:rPr>
          <w:rFonts w:ascii="Times New Roman" w:hAnsi="Times New Roman" w:cs="Times New Roman"/>
          <w:color w:val="010302"/>
          <w:sz w:val="24"/>
          <w:szCs w:val="24"/>
        </w:rPr>
        <w:t xml:space="preserve">the respondent's case.  </w:t>
      </w:r>
    </w:p>
    <w:p w14:paraId="2062188D" w14:textId="3FFF42F5" w:rsidR="0001224C" w:rsidRPr="00996790" w:rsidRDefault="00E3616C"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Mr Lee also submitted that the </w:t>
      </w:r>
      <w:r w:rsidR="0001385F" w:rsidRPr="00996790">
        <w:rPr>
          <w:rFonts w:ascii="Times New Roman" w:hAnsi="Times New Roman" w:cs="Times New Roman"/>
          <w:color w:val="010302"/>
          <w:sz w:val="24"/>
          <w:szCs w:val="24"/>
        </w:rPr>
        <w:t xml:space="preserve">claimant had failed to </w:t>
      </w:r>
      <w:r w:rsidR="00EB6B66" w:rsidRPr="00996790">
        <w:rPr>
          <w:rFonts w:ascii="Times New Roman" w:hAnsi="Times New Roman" w:cs="Times New Roman"/>
          <w:color w:val="010302"/>
          <w:sz w:val="24"/>
          <w:szCs w:val="24"/>
        </w:rPr>
        <w:t xml:space="preserve">identify evidence in </w:t>
      </w:r>
      <w:r w:rsidR="0081605F" w:rsidRPr="00996790">
        <w:rPr>
          <w:rFonts w:ascii="Times New Roman" w:hAnsi="Times New Roman" w:cs="Times New Roman"/>
          <w:color w:val="010302"/>
          <w:sz w:val="24"/>
          <w:szCs w:val="24"/>
        </w:rPr>
        <w:t>support of her contention that the ET's conclusion was perverse</w:t>
      </w:r>
      <w:r w:rsidR="00E0475C" w:rsidRPr="00996790">
        <w:rPr>
          <w:rFonts w:ascii="Times New Roman" w:hAnsi="Times New Roman" w:cs="Times New Roman"/>
          <w:color w:val="010302"/>
          <w:sz w:val="24"/>
          <w:szCs w:val="24"/>
        </w:rPr>
        <w:t xml:space="preserve"> and that the only </w:t>
      </w:r>
      <w:r w:rsidR="004B34DA" w:rsidRPr="00996790">
        <w:rPr>
          <w:rFonts w:ascii="Times New Roman" w:hAnsi="Times New Roman" w:cs="Times New Roman"/>
          <w:color w:val="010302"/>
          <w:sz w:val="24"/>
          <w:szCs w:val="24"/>
        </w:rPr>
        <w:t xml:space="preserve">conclusion it could have arrived at </w:t>
      </w:r>
      <w:r w:rsidR="00F269E5" w:rsidRPr="00996790">
        <w:rPr>
          <w:rFonts w:ascii="Times New Roman" w:hAnsi="Times New Roman" w:cs="Times New Roman"/>
          <w:color w:val="010302"/>
          <w:sz w:val="24"/>
          <w:szCs w:val="24"/>
        </w:rPr>
        <w:t xml:space="preserve">was that the activities were </w:t>
      </w:r>
      <w:r w:rsidR="00991F54" w:rsidRPr="00996790">
        <w:rPr>
          <w:rFonts w:ascii="Times New Roman" w:hAnsi="Times New Roman" w:cs="Times New Roman"/>
          <w:color w:val="010302"/>
          <w:sz w:val="24"/>
          <w:szCs w:val="24"/>
        </w:rPr>
        <w:t xml:space="preserve">fundamentally the </w:t>
      </w:r>
      <w:r w:rsidR="0074273E" w:rsidRPr="00996790">
        <w:rPr>
          <w:rFonts w:ascii="Times New Roman" w:hAnsi="Times New Roman" w:cs="Times New Roman"/>
          <w:color w:val="010302"/>
          <w:sz w:val="24"/>
          <w:szCs w:val="24"/>
        </w:rPr>
        <w:t xml:space="preserve">same after the alleged transfer date.  </w:t>
      </w:r>
      <w:r w:rsidR="00664A55">
        <w:rPr>
          <w:rFonts w:ascii="Times New Roman" w:hAnsi="Times New Roman" w:cs="Times New Roman"/>
          <w:color w:val="010302"/>
          <w:sz w:val="24"/>
          <w:szCs w:val="24"/>
        </w:rPr>
        <w:t>He</w:t>
      </w:r>
      <w:r w:rsidR="00DD5C2E" w:rsidRPr="00996790">
        <w:rPr>
          <w:rFonts w:ascii="Times New Roman" w:hAnsi="Times New Roman" w:cs="Times New Roman"/>
          <w:color w:val="010302"/>
          <w:sz w:val="24"/>
          <w:szCs w:val="24"/>
        </w:rPr>
        <w:t xml:space="preserve"> submitted that although the ET did not set out the case law</w:t>
      </w:r>
      <w:r w:rsidR="00BC56F9" w:rsidRPr="00996790">
        <w:rPr>
          <w:rFonts w:ascii="Times New Roman" w:hAnsi="Times New Roman" w:cs="Times New Roman"/>
          <w:color w:val="010302"/>
          <w:sz w:val="24"/>
          <w:szCs w:val="24"/>
        </w:rPr>
        <w:t xml:space="preserve"> it relied on, this did not provide a freestanding </w:t>
      </w:r>
      <w:r w:rsidR="00F04D8D" w:rsidRPr="00996790">
        <w:rPr>
          <w:rFonts w:ascii="Times New Roman" w:hAnsi="Times New Roman" w:cs="Times New Roman"/>
          <w:color w:val="010302"/>
          <w:sz w:val="24"/>
          <w:szCs w:val="24"/>
        </w:rPr>
        <w:t xml:space="preserve">ground of appeal in the absence of any indication </w:t>
      </w:r>
      <w:r w:rsidR="004A54DE" w:rsidRPr="00996790">
        <w:rPr>
          <w:rFonts w:ascii="Times New Roman" w:hAnsi="Times New Roman" w:cs="Times New Roman"/>
          <w:color w:val="010302"/>
          <w:sz w:val="24"/>
          <w:szCs w:val="24"/>
        </w:rPr>
        <w:t>that there was a misdirection</w:t>
      </w:r>
      <w:r w:rsidR="00353E23" w:rsidRPr="00996790">
        <w:rPr>
          <w:rFonts w:ascii="Times New Roman" w:hAnsi="Times New Roman" w:cs="Times New Roman"/>
          <w:color w:val="010302"/>
          <w:sz w:val="24"/>
          <w:szCs w:val="24"/>
        </w:rPr>
        <w:t xml:space="preserve">, and he said that insofar as </w:t>
      </w:r>
      <w:r w:rsidR="005A3F39" w:rsidRPr="00996790">
        <w:rPr>
          <w:rFonts w:ascii="Times New Roman" w:hAnsi="Times New Roman" w:cs="Times New Roman"/>
          <w:color w:val="010302"/>
          <w:sz w:val="24"/>
          <w:szCs w:val="24"/>
        </w:rPr>
        <w:t>the claimant complain</w:t>
      </w:r>
      <w:r w:rsidR="00D5513F" w:rsidRPr="00996790">
        <w:rPr>
          <w:rFonts w:ascii="Times New Roman" w:hAnsi="Times New Roman" w:cs="Times New Roman"/>
          <w:color w:val="010302"/>
          <w:sz w:val="24"/>
          <w:szCs w:val="24"/>
        </w:rPr>
        <w:t xml:space="preserve">ed about the </w:t>
      </w:r>
      <w:r w:rsidR="0001224C" w:rsidRPr="00996790">
        <w:rPr>
          <w:rFonts w:ascii="Times New Roman" w:hAnsi="Times New Roman" w:cs="Times New Roman"/>
          <w:color w:val="010302"/>
          <w:sz w:val="24"/>
          <w:szCs w:val="24"/>
        </w:rPr>
        <w:t xml:space="preserve">ET's failure to address other aspects of the SPC definition and/or the reason for the dismissal, there was no need </w:t>
      </w:r>
      <w:r w:rsidR="00C27598">
        <w:rPr>
          <w:rFonts w:ascii="Times New Roman" w:hAnsi="Times New Roman" w:cs="Times New Roman"/>
          <w:color w:val="010302"/>
          <w:sz w:val="24"/>
          <w:szCs w:val="24"/>
        </w:rPr>
        <w:t xml:space="preserve">for it </w:t>
      </w:r>
      <w:r w:rsidR="0001224C" w:rsidRPr="00996790">
        <w:rPr>
          <w:rFonts w:ascii="Times New Roman" w:hAnsi="Times New Roman" w:cs="Times New Roman"/>
          <w:color w:val="010302"/>
          <w:sz w:val="24"/>
          <w:szCs w:val="24"/>
        </w:rPr>
        <w:t>to</w:t>
      </w:r>
      <w:r w:rsidR="003C1AA4" w:rsidRPr="00996790">
        <w:rPr>
          <w:rFonts w:ascii="Times New Roman" w:hAnsi="Times New Roman" w:cs="Times New Roman"/>
          <w:color w:val="010302"/>
          <w:sz w:val="24"/>
          <w:szCs w:val="24"/>
        </w:rPr>
        <w:t xml:space="preserve"> do </w:t>
      </w:r>
      <w:r w:rsidR="00520F07" w:rsidRPr="00996790">
        <w:rPr>
          <w:rFonts w:ascii="Times New Roman" w:hAnsi="Times New Roman" w:cs="Times New Roman"/>
          <w:color w:val="010302"/>
          <w:sz w:val="24"/>
          <w:szCs w:val="24"/>
        </w:rPr>
        <w:t xml:space="preserve">so as the tribunal had in any event rejected the </w:t>
      </w:r>
      <w:r w:rsidR="002312C9" w:rsidRPr="00996790">
        <w:rPr>
          <w:rFonts w:ascii="Times New Roman" w:hAnsi="Times New Roman" w:cs="Times New Roman"/>
          <w:color w:val="010302"/>
          <w:sz w:val="24"/>
          <w:szCs w:val="24"/>
        </w:rPr>
        <w:t xml:space="preserve">claimant's case </w:t>
      </w:r>
      <w:r w:rsidR="004B2DB9" w:rsidRPr="00996790">
        <w:rPr>
          <w:rFonts w:ascii="Times New Roman" w:hAnsi="Times New Roman" w:cs="Times New Roman"/>
          <w:color w:val="010302"/>
          <w:sz w:val="24"/>
          <w:szCs w:val="24"/>
        </w:rPr>
        <w:t xml:space="preserve">that there was a transfer within the applicable </w:t>
      </w:r>
      <w:r w:rsidR="0046328A" w:rsidRPr="00996790">
        <w:rPr>
          <w:rFonts w:ascii="Times New Roman" w:hAnsi="Times New Roman" w:cs="Times New Roman"/>
          <w:color w:val="010302"/>
          <w:sz w:val="24"/>
          <w:szCs w:val="24"/>
        </w:rPr>
        <w:t xml:space="preserve">definition.  </w:t>
      </w:r>
    </w:p>
    <w:p w14:paraId="1DF4E00A" w14:textId="7E10B8E7" w:rsidR="00EB6A5F" w:rsidRPr="00996790" w:rsidRDefault="00EB6A5F"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As regards ground 4</w:t>
      </w:r>
      <w:r w:rsidR="0058183A" w:rsidRPr="00996790">
        <w:rPr>
          <w:rFonts w:ascii="Times New Roman" w:hAnsi="Times New Roman" w:cs="Times New Roman"/>
          <w:color w:val="010302"/>
          <w:sz w:val="24"/>
          <w:szCs w:val="24"/>
        </w:rPr>
        <w:t xml:space="preserve">, the decision not to join </w:t>
      </w:r>
      <w:r w:rsidR="00787083" w:rsidRPr="00996790">
        <w:rPr>
          <w:rFonts w:ascii="Times New Roman" w:hAnsi="Times New Roman" w:cs="Times New Roman"/>
          <w:color w:val="010302"/>
          <w:sz w:val="24"/>
          <w:szCs w:val="24"/>
        </w:rPr>
        <w:t>LBW</w:t>
      </w:r>
      <w:r w:rsidR="00803707" w:rsidRPr="00996790">
        <w:rPr>
          <w:rFonts w:ascii="Times New Roman" w:hAnsi="Times New Roman" w:cs="Times New Roman"/>
          <w:color w:val="010302"/>
          <w:sz w:val="24"/>
          <w:szCs w:val="24"/>
        </w:rPr>
        <w:t xml:space="preserve"> to the proceedings, </w:t>
      </w:r>
      <w:r w:rsidR="0079240C" w:rsidRPr="00996790">
        <w:rPr>
          <w:rFonts w:ascii="Times New Roman" w:hAnsi="Times New Roman" w:cs="Times New Roman"/>
          <w:color w:val="010302"/>
          <w:sz w:val="24"/>
          <w:szCs w:val="24"/>
        </w:rPr>
        <w:t xml:space="preserve">Mr Lee </w:t>
      </w:r>
      <w:r w:rsidR="00C27598">
        <w:rPr>
          <w:rFonts w:ascii="Times New Roman" w:hAnsi="Times New Roman" w:cs="Times New Roman"/>
          <w:color w:val="010302"/>
          <w:sz w:val="24"/>
          <w:szCs w:val="24"/>
        </w:rPr>
        <w:t xml:space="preserve">contended </w:t>
      </w:r>
      <w:r w:rsidR="0079240C" w:rsidRPr="00996790">
        <w:rPr>
          <w:rFonts w:ascii="Times New Roman" w:hAnsi="Times New Roman" w:cs="Times New Roman"/>
          <w:color w:val="010302"/>
          <w:sz w:val="24"/>
          <w:szCs w:val="24"/>
        </w:rPr>
        <w:t xml:space="preserve">that </w:t>
      </w:r>
      <w:r w:rsidR="006908FD">
        <w:rPr>
          <w:rFonts w:ascii="Times New Roman" w:hAnsi="Times New Roman" w:cs="Times New Roman"/>
          <w:color w:val="010302"/>
          <w:sz w:val="24"/>
          <w:szCs w:val="24"/>
        </w:rPr>
        <w:t xml:space="preserve">this </w:t>
      </w:r>
      <w:r w:rsidR="0079240C" w:rsidRPr="00996790">
        <w:rPr>
          <w:rFonts w:ascii="Times New Roman" w:hAnsi="Times New Roman" w:cs="Times New Roman"/>
          <w:color w:val="010302"/>
          <w:sz w:val="24"/>
          <w:szCs w:val="24"/>
        </w:rPr>
        <w:t xml:space="preserve">was a case management </w:t>
      </w:r>
      <w:r w:rsidR="00FE2265" w:rsidRPr="00996790">
        <w:rPr>
          <w:rFonts w:ascii="Times New Roman" w:hAnsi="Times New Roman" w:cs="Times New Roman"/>
          <w:color w:val="010302"/>
          <w:sz w:val="24"/>
          <w:szCs w:val="24"/>
        </w:rPr>
        <w:t xml:space="preserve">decision </w:t>
      </w:r>
      <w:r w:rsidR="00062AF2" w:rsidRPr="00996790">
        <w:rPr>
          <w:rFonts w:ascii="Times New Roman" w:hAnsi="Times New Roman" w:cs="Times New Roman"/>
          <w:color w:val="010302"/>
          <w:sz w:val="24"/>
          <w:szCs w:val="24"/>
        </w:rPr>
        <w:t xml:space="preserve">the ET was entitled to </w:t>
      </w:r>
      <w:r w:rsidR="00617B60" w:rsidRPr="00996790">
        <w:rPr>
          <w:rFonts w:ascii="Times New Roman" w:hAnsi="Times New Roman" w:cs="Times New Roman"/>
          <w:color w:val="010302"/>
          <w:sz w:val="24"/>
          <w:szCs w:val="24"/>
        </w:rPr>
        <w:t xml:space="preserve">make.  Furthermore, even taking </w:t>
      </w:r>
      <w:r w:rsidR="00070738" w:rsidRPr="00996790">
        <w:rPr>
          <w:rFonts w:ascii="Times New Roman" w:hAnsi="Times New Roman" w:cs="Times New Roman"/>
          <w:color w:val="010302"/>
          <w:sz w:val="24"/>
          <w:szCs w:val="24"/>
        </w:rPr>
        <w:t xml:space="preserve">the matter at its highest, the position of </w:t>
      </w:r>
      <w:r w:rsidR="009B2195" w:rsidRPr="00996790">
        <w:rPr>
          <w:rFonts w:ascii="Times New Roman" w:hAnsi="Times New Roman" w:cs="Times New Roman"/>
          <w:color w:val="010302"/>
          <w:sz w:val="24"/>
          <w:szCs w:val="24"/>
        </w:rPr>
        <w:t xml:space="preserve">LBW could only be relevant </w:t>
      </w:r>
      <w:r w:rsidR="001E77EC" w:rsidRPr="00996790">
        <w:rPr>
          <w:rFonts w:ascii="Times New Roman" w:hAnsi="Times New Roman" w:cs="Times New Roman"/>
          <w:color w:val="010302"/>
          <w:sz w:val="24"/>
          <w:szCs w:val="24"/>
        </w:rPr>
        <w:t>to the short-term</w:t>
      </w:r>
      <w:r w:rsidR="00B22ADB" w:rsidRPr="00996790">
        <w:rPr>
          <w:rFonts w:ascii="Times New Roman" w:hAnsi="Times New Roman" w:cs="Times New Roman"/>
          <w:color w:val="010302"/>
          <w:sz w:val="24"/>
          <w:szCs w:val="24"/>
        </w:rPr>
        <w:t>-</w:t>
      </w:r>
      <w:r w:rsidR="001E77EC" w:rsidRPr="00996790">
        <w:rPr>
          <w:rFonts w:ascii="Times New Roman" w:hAnsi="Times New Roman" w:cs="Times New Roman"/>
          <w:color w:val="010302"/>
          <w:sz w:val="24"/>
          <w:szCs w:val="24"/>
        </w:rPr>
        <w:t>duration line of defence</w:t>
      </w:r>
      <w:r w:rsidR="00464A21" w:rsidRPr="00996790">
        <w:rPr>
          <w:rFonts w:ascii="Times New Roman" w:hAnsi="Times New Roman" w:cs="Times New Roman"/>
          <w:color w:val="010302"/>
          <w:sz w:val="24"/>
          <w:szCs w:val="24"/>
        </w:rPr>
        <w:t>, which in the event th</w:t>
      </w:r>
      <w:r w:rsidR="00BD360C" w:rsidRPr="00996790">
        <w:rPr>
          <w:rFonts w:ascii="Times New Roman" w:hAnsi="Times New Roman" w:cs="Times New Roman"/>
          <w:color w:val="010302"/>
          <w:sz w:val="24"/>
          <w:szCs w:val="24"/>
        </w:rPr>
        <w:t xml:space="preserve">e ET did not need to determine.  </w:t>
      </w:r>
    </w:p>
    <w:p w14:paraId="6FFAE78C" w14:textId="640122BB" w:rsidR="00CE6D71" w:rsidRPr="006908FD" w:rsidRDefault="00CE6D71" w:rsidP="00CE6D71">
      <w:pPr>
        <w:pStyle w:val="ListParagraph"/>
        <w:tabs>
          <w:tab w:val="left" w:pos="0"/>
        </w:tabs>
        <w:spacing w:line="480" w:lineRule="auto"/>
        <w:contextualSpacing/>
        <w:jc w:val="both"/>
        <w:rPr>
          <w:rFonts w:ascii="Times New Roman" w:hAnsi="Times New Roman" w:cs="Times New Roman"/>
          <w:b/>
          <w:bCs/>
          <w:color w:val="010302"/>
          <w:sz w:val="24"/>
          <w:szCs w:val="24"/>
          <w:u w:val="single"/>
        </w:rPr>
      </w:pPr>
      <w:r w:rsidRPr="006908FD">
        <w:rPr>
          <w:rFonts w:ascii="Times New Roman" w:hAnsi="Times New Roman" w:cs="Times New Roman"/>
          <w:b/>
          <w:bCs/>
          <w:color w:val="010302"/>
          <w:sz w:val="24"/>
          <w:szCs w:val="24"/>
          <w:u w:val="single"/>
        </w:rPr>
        <w:t>Conclusions</w:t>
      </w:r>
    </w:p>
    <w:p w14:paraId="36839CA7" w14:textId="43DCB6A5" w:rsidR="00CE6D71" w:rsidRPr="00996790" w:rsidRDefault="00990388"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 start by considering </w:t>
      </w:r>
      <w:r w:rsidR="00524739" w:rsidRPr="00996790">
        <w:rPr>
          <w:rFonts w:ascii="Times New Roman" w:hAnsi="Times New Roman" w:cs="Times New Roman"/>
          <w:color w:val="010302"/>
          <w:sz w:val="24"/>
          <w:szCs w:val="24"/>
        </w:rPr>
        <w:t xml:space="preserve">whether the ET </w:t>
      </w:r>
      <w:r w:rsidR="00915E63" w:rsidRPr="00996790">
        <w:rPr>
          <w:rFonts w:ascii="Times New Roman" w:hAnsi="Times New Roman" w:cs="Times New Roman"/>
          <w:color w:val="010302"/>
          <w:sz w:val="24"/>
          <w:szCs w:val="24"/>
        </w:rPr>
        <w:t xml:space="preserve">asked itself the correct question.  </w:t>
      </w:r>
      <w:r w:rsidR="003106EB" w:rsidRPr="00996790">
        <w:rPr>
          <w:rFonts w:ascii="Times New Roman" w:hAnsi="Times New Roman" w:cs="Times New Roman"/>
          <w:color w:val="010302"/>
          <w:sz w:val="24"/>
          <w:szCs w:val="24"/>
        </w:rPr>
        <w:t xml:space="preserve">Pursuant to </w:t>
      </w:r>
      <w:r w:rsidR="00EF1991" w:rsidRPr="00996790">
        <w:rPr>
          <w:rFonts w:ascii="Times New Roman" w:hAnsi="Times New Roman" w:cs="Times New Roman"/>
          <w:color w:val="010302"/>
          <w:sz w:val="24"/>
          <w:szCs w:val="24"/>
        </w:rPr>
        <w:t>regulation 3(2</w:t>
      </w:r>
      <w:r w:rsidR="00857EED">
        <w:rPr>
          <w:rFonts w:ascii="Times New Roman" w:hAnsi="Times New Roman" w:cs="Times New Roman"/>
          <w:color w:val="010302"/>
          <w:sz w:val="24"/>
          <w:szCs w:val="24"/>
        </w:rPr>
        <w:t>A</w:t>
      </w:r>
      <w:r w:rsidR="00EF1991" w:rsidRPr="00996790">
        <w:rPr>
          <w:rFonts w:ascii="Times New Roman" w:hAnsi="Times New Roman" w:cs="Times New Roman"/>
          <w:color w:val="010302"/>
          <w:sz w:val="24"/>
          <w:szCs w:val="24"/>
        </w:rPr>
        <w:t>)</w:t>
      </w:r>
      <w:r w:rsidR="00C1173B" w:rsidRPr="00996790">
        <w:rPr>
          <w:rFonts w:ascii="Times New Roman" w:hAnsi="Times New Roman" w:cs="Times New Roman"/>
          <w:color w:val="010302"/>
          <w:sz w:val="24"/>
          <w:szCs w:val="24"/>
        </w:rPr>
        <w:t xml:space="preserve"> and the authorities I have </w:t>
      </w:r>
      <w:proofErr w:type="gramStart"/>
      <w:r w:rsidR="00C1173B" w:rsidRPr="00996790">
        <w:rPr>
          <w:rFonts w:ascii="Times New Roman" w:hAnsi="Times New Roman" w:cs="Times New Roman"/>
          <w:color w:val="010302"/>
          <w:sz w:val="24"/>
          <w:szCs w:val="24"/>
        </w:rPr>
        <w:t>discussed,</w:t>
      </w:r>
      <w:proofErr w:type="gramEnd"/>
      <w:r w:rsidR="00C1173B" w:rsidRPr="00996790">
        <w:rPr>
          <w:rFonts w:ascii="Times New Roman" w:hAnsi="Times New Roman" w:cs="Times New Roman"/>
          <w:color w:val="010302"/>
          <w:sz w:val="24"/>
          <w:szCs w:val="24"/>
        </w:rPr>
        <w:t xml:space="preserve"> </w:t>
      </w:r>
      <w:r w:rsidR="00083D6F" w:rsidRPr="00996790">
        <w:rPr>
          <w:rFonts w:ascii="Times New Roman" w:hAnsi="Times New Roman" w:cs="Times New Roman"/>
          <w:color w:val="010302"/>
          <w:sz w:val="24"/>
          <w:szCs w:val="24"/>
        </w:rPr>
        <w:t xml:space="preserve">that question was whether </w:t>
      </w:r>
      <w:r w:rsidR="00AB6BAA" w:rsidRPr="00996790">
        <w:rPr>
          <w:rFonts w:ascii="Times New Roman" w:hAnsi="Times New Roman" w:cs="Times New Roman"/>
          <w:color w:val="010302"/>
          <w:sz w:val="24"/>
          <w:szCs w:val="24"/>
        </w:rPr>
        <w:t xml:space="preserve">the activities carried out by another person were </w:t>
      </w:r>
      <w:r w:rsidR="00FF281B">
        <w:rPr>
          <w:rFonts w:ascii="Times New Roman" w:hAnsi="Times New Roman" w:cs="Times New Roman"/>
          <w:color w:val="010302"/>
          <w:sz w:val="24"/>
          <w:szCs w:val="24"/>
        </w:rPr>
        <w:t>“</w:t>
      </w:r>
      <w:r w:rsidR="00AB6BAA" w:rsidRPr="00996790">
        <w:rPr>
          <w:rFonts w:ascii="Times New Roman" w:hAnsi="Times New Roman" w:cs="Times New Roman"/>
          <w:color w:val="010302"/>
          <w:sz w:val="24"/>
          <w:szCs w:val="24"/>
        </w:rPr>
        <w:t xml:space="preserve">fundamentally </w:t>
      </w:r>
      <w:r w:rsidR="009C6FDD" w:rsidRPr="00996790">
        <w:rPr>
          <w:rFonts w:ascii="Times New Roman" w:hAnsi="Times New Roman" w:cs="Times New Roman"/>
          <w:color w:val="010302"/>
          <w:sz w:val="24"/>
          <w:szCs w:val="24"/>
        </w:rPr>
        <w:t xml:space="preserve">the same as the activities carried out by </w:t>
      </w:r>
      <w:r w:rsidR="00C4496E" w:rsidRPr="00996790">
        <w:rPr>
          <w:rFonts w:ascii="Times New Roman" w:hAnsi="Times New Roman" w:cs="Times New Roman"/>
          <w:color w:val="010302"/>
          <w:sz w:val="24"/>
          <w:szCs w:val="24"/>
        </w:rPr>
        <w:t>the person who had ceased to carry them out</w:t>
      </w:r>
      <w:r w:rsidR="00FF281B">
        <w:rPr>
          <w:rFonts w:ascii="Times New Roman" w:hAnsi="Times New Roman" w:cs="Times New Roman"/>
          <w:color w:val="010302"/>
          <w:sz w:val="24"/>
          <w:szCs w:val="24"/>
        </w:rPr>
        <w:t>”</w:t>
      </w:r>
      <w:r w:rsidR="00400EF8" w:rsidRPr="00996790">
        <w:rPr>
          <w:rFonts w:ascii="Times New Roman" w:hAnsi="Times New Roman" w:cs="Times New Roman"/>
          <w:color w:val="010302"/>
          <w:sz w:val="24"/>
          <w:szCs w:val="24"/>
        </w:rPr>
        <w:t xml:space="preserve">.  </w:t>
      </w:r>
      <w:r w:rsidR="00C76B2E" w:rsidRPr="00996790">
        <w:rPr>
          <w:rFonts w:ascii="Times New Roman" w:hAnsi="Times New Roman" w:cs="Times New Roman"/>
          <w:color w:val="010302"/>
          <w:sz w:val="24"/>
          <w:szCs w:val="24"/>
        </w:rPr>
        <w:t xml:space="preserve">It is evident </w:t>
      </w:r>
      <w:r w:rsidR="00336AAE" w:rsidRPr="00996790">
        <w:rPr>
          <w:rFonts w:ascii="Times New Roman" w:hAnsi="Times New Roman" w:cs="Times New Roman"/>
          <w:color w:val="010302"/>
          <w:sz w:val="24"/>
          <w:szCs w:val="24"/>
        </w:rPr>
        <w:t xml:space="preserve">from the opening sentence of paragraph 24 and the second sentence of paragraph 29 of its </w:t>
      </w:r>
      <w:r w:rsidR="00FB7442">
        <w:rPr>
          <w:rFonts w:ascii="Times New Roman" w:hAnsi="Times New Roman" w:cs="Times New Roman"/>
          <w:color w:val="010302"/>
          <w:sz w:val="24"/>
          <w:szCs w:val="24"/>
        </w:rPr>
        <w:t>R</w:t>
      </w:r>
      <w:r w:rsidR="00336AAE" w:rsidRPr="00996790">
        <w:rPr>
          <w:rFonts w:ascii="Times New Roman" w:hAnsi="Times New Roman" w:cs="Times New Roman"/>
          <w:color w:val="010302"/>
          <w:sz w:val="24"/>
          <w:szCs w:val="24"/>
        </w:rPr>
        <w:t xml:space="preserve">easons (which I have already set out) </w:t>
      </w:r>
      <w:r w:rsidR="005732AB" w:rsidRPr="00996790">
        <w:rPr>
          <w:rFonts w:ascii="Times New Roman" w:hAnsi="Times New Roman" w:cs="Times New Roman"/>
          <w:color w:val="010302"/>
          <w:sz w:val="24"/>
          <w:szCs w:val="24"/>
        </w:rPr>
        <w:t xml:space="preserve">that the ET did ask the right question and concluded that </w:t>
      </w:r>
      <w:r w:rsidR="006B568C" w:rsidRPr="00996790">
        <w:rPr>
          <w:rFonts w:ascii="Times New Roman" w:hAnsi="Times New Roman" w:cs="Times New Roman"/>
          <w:color w:val="010302"/>
          <w:sz w:val="24"/>
          <w:szCs w:val="24"/>
        </w:rPr>
        <w:t xml:space="preserve">the activities undertaken </w:t>
      </w:r>
      <w:r w:rsidR="00BB16BF" w:rsidRPr="00996790">
        <w:rPr>
          <w:rFonts w:ascii="Times New Roman" w:hAnsi="Times New Roman" w:cs="Times New Roman"/>
          <w:color w:val="010302"/>
          <w:sz w:val="24"/>
          <w:szCs w:val="24"/>
        </w:rPr>
        <w:t xml:space="preserve">by the respondent were </w:t>
      </w:r>
      <w:r w:rsidR="006F5725" w:rsidRPr="00996790">
        <w:rPr>
          <w:rFonts w:ascii="Times New Roman" w:hAnsi="Times New Roman" w:cs="Times New Roman"/>
          <w:color w:val="010302"/>
          <w:sz w:val="24"/>
          <w:szCs w:val="24"/>
        </w:rPr>
        <w:t xml:space="preserve">fundamentally </w:t>
      </w:r>
      <w:r w:rsidR="001900FF" w:rsidRPr="00996790">
        <w:rPr>
          <w:rFonts w:ascii="Times New Roman" w:hAnsi="Times New Roman" w:cs="Times New Roman"/>
          <w:color w:val="010302"/>
          <w:sz w:val="24"/>
          <w:szCs w:val="24"/>
        </w:rPr>
        <w:t>different to th</w:t>
      </w:r>
      <w:r w:rsidR="003860CC" w:rsidRPr="00996790">
        <w:rPr>
          <w:rFonts w:ascii="Times New Roman" w:hAnsi="Times New Roman" w:cs="Times New Roman"/>
          <w:color w:val="010302"/>
          <w:sz w:val="24"/>
          <w:szCs w:val="24"/>
        </w:rPr>
        <w:t xml:space="preserve">ose which Broadland had previously </w:t>
      </w:r>
      <w:r w:rsidR="00D13BC1" w:rsidRPr="00996790">
        <w:rPr>
          <w:rFonts w:ascii="Times New Roman" w:hAnsi="Times New Roman" w:cs="Times New Roman"/>
          <w:color w:val="010302"/>
          <w:sz w:val="24"/>
          <w:szCs w:val="24"/>
        </w:rPr>
        <w:t xml:space="preserve">carried out before the alleged transfer date.  </w:t>
      </w:r>
    </w:p>
    <w:p w14:paraId="30DD917B" w14:textId="77777777" w:rsidR="008D0E87" w:rsidRDefault="009E39B6" w:rsidP="004B446E">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Next, I turn to the </w:t>
      </w:r>
      <w:r w:rsidR="00244241" w:rsidRPr="00996790">
        <w:rPr>
          <w:rFonts w:ascii="Times New Roman" w:hAnsi="Times New Roman" w:cs="Times New Roman"/>
          <w:color w:val="010302"/>
          <w:sz w:val="24"/>
          <w:szCs w:val="24"/>
        </w:rPr>
        <w:t>ET's reasoning</w:t>
      </w:r>
      <w:r w:rsidR="00372551" w:rsidRPr="00996790">
        <w:rPr>
          <w:rFonts w:ascii="Times New Roman" w:hAnsi="Times New Roman" w:cs="Times New Roman"/>
          <w:color w:val="010302"/>
          <w:sz w:val="24"/>
          <w:szCs w:val="24"/>
        </w:rPr>
        <w:t xml:space="preserve">.  The reasons why the activities provided by the respondent were found to be fundamentally </w:t>
      </w:r>
      <w:r w:rsidR="00915DF0">
        <w:rPr>
          <w:rFonts w:ascii="Times New Roman" w:hAnsi="Times New Roman" w:cs="Times New Roman"/>
          <w:color w:val="010302"/>
          <w:sz w:val="24"/>
          <w:szCs w:val="24"/>
        </w:rPr>
        <w:t xml:space="preserve">different </w:t>
      </w:r>
      <w:r w:rsidR="00A20E04">
        <w:rPr>
          <w:rFonts w:ascii="Times New Roman" w:hAnsi="Times New Roman" w:cs="Times New Roman"/>
          <w:color w:val="010302"/>
          <w:sz w:val="24"/>
          <w:szCs w:val="24"/>
        </w:rPr>
        <w:t>were as follows. F</w:t>
      </w:r>
      <w:r w:rsidR="009F35E7" w:rsidRPr="00996790">
        <w:rPr>
          <w:rFonts w:ascii="Times New Roman" w:hAnsi="Times New Roman" w:cs="Times New Roman"/>
          <w:color w:val="010302"/>
          <w:sz w:val="24"/>
          <w:szCs w:val="24"/>
        </w:rPr>
        <w:t xml:space="preserve">irstly, </w:t>
      </w:r>
      <w:r w:rsidR="000C74A2" w:rsidRPr="00996790">
        <w:rPr>
          <w:rFonts w:ascii="Times New Roman" w:hAnsi="Times New Roman" w:cs="Times New Roman"/>
          <w:color w:val="010302"/>
          <w:sz w:val="24"/>
          <w:szCs w:val="24"/>
        </w:rPr>
        <w:t xml:space="preserve">Broadland had provided </w:t>
      </w:r>
      <w:r w:rsidR="00CA0D05" w:rsidRPr="00996790">
        <w:rPr>
          <w:rFonts w:ascii="Times New Roman" w:hAnsi="Times New Roman" w:cs="Times New Roman"/>
          <w:color w:val="010302"/>
          <w:sz w:val="24"/>
          <w:szCs w:val="24"/>
        </w:rPr>
        <w:t xml:space="preserve">a full-time CCTV </w:t>
      </w:r>
      <w:r w:rsidR="00CE3B2C" w:rsidRPr="00996790">
        <w:rPr>
          <w:rFonts w:ascii="Times New Roman" w:hAnsi="Times New Roman" w:cs="Times New Roman"/>
          <w:color w:val="010302"/>
          <w:sz w:val="24"/>
          <w:szCs w:val="24"/>
        </w:rPr>
        <w:t xml:space="preserve">operator between the hours of </w:t>
      </w:r>
      <w:r w:rsidR="001604CD" w:rsidRPr="00996790">
        <w:rPr>
          <w:rFonts w:ascii="Times New Roman" w:hAnsi="Times New Roman" w:cs="Times New Roman"/>
          <w:color w:val="010302"/>
          <w:sz w:val="24"/>
          <w:szCs w:val="24"/>
        </w:rPr>
        <w:t xml:space="preserve">6 pm and 6 am, whose entire role was to </w:t>
      </w:r>
      <w:r w:rsidR="00B26526" w:rsidRPr="00996790">
        <w:rPr>
          <w:rFonts w:ascii="Times New Roman" w:hAnsi="Times New Roman" w:cs="Times New Roman"/>
          <w:color w:val="010302"/>
          <w:sz w:val="24"/>
          <w:szCs w:val="24"/>
        </w:rPr>
        <w:t xml:space="preserve">proactively </w:t>
      </w:r>
      <w:r w:rsidR="005713F4" w:rsidRPr="00996790">
        <w:rPr>
          <w:rFonts w:ascii="Times New Roman" w:hAnsi="Times New Roman" w:cs="Times New Roman"/>
          <w:color w:val="010302"/>
          <w:sz w:val="24"/>
          <w:szCs w:val="24"/>
        </w:rPr>
        <w:t xml:space="preserve">monitor </w:t>
      </w:r>
      <w:r w:rsidR="005713F4" w:rsidRPr="00996790">
        <w:rPr>
          <w:rFonts w:ascii="Times New Roman" w:hAnsi="Times New Roman" w:cs="Times New Roman"/>
          <w:color w:val="010302"/>
          <w:sz w:val="24"/>
          <w:szCs w:val="24"/>
        </w:rPr>
        <w:lastRenderedPageBreak/>
        <w:t xml:space="preserve">the CCTV footage on the </w:t>
      </w:r>
      <w:r w:rsidR="007D4FEA">
        <w:rPr>
          <w:rFonts w:ascii="Times New Roman" w:hAnsi="Times New Roman" w:cs="Times New Roman"/>
          <w:color w:val="010302"/>
          <w:sz w:val="24"/>
          <w:szCs w:val="24"/>
        </w:rPr>
        <w:t>12</w:t>
      </w:r>
      <w:r w:rsidR="005713F4" w:rsidRPr="00996790">
        <w:rPr>
          <w:rFonts w:ascii="Times New Roman" w:hAnsi="Times New Roman" w:cs="Times New Roman"/>
          <w:color w:val="010302"/>
          <w:sz w:val="24"/>
          <w:szCs w:val="24"/>
        </w:rPr>
        <w:t xml:space="preserve"> control room screens and to respond to </w:t>
      </w:r>
      <w:r w:rsidR="00EC4AF1" w:rsidRPr="00996790">
        <w:rPr>
          <w:rFonts w:ascii="Times New Roman" w:hAnsi="Times New Roman" w:cs="Times New Roman"/>
          <w:color w:val="010302"/>
          <w:sz w:val="24"/>
          <w:szCs w:val="24"/>
        </w:rPr>
        <w:t xml:space="preserve">safety-related calls from the police, pubs, </w:t>
      </w:r>
      <w:proofErr w:type="gramStart"/>
      <w:r w:rsidR="00EC4AF1" w:rsidRPr="00996790">
        <w:rPr>
          <w:rFonts w:ascii="Times New Roman" w:hAnsi="Times New Roman" w:cs="Times New Roman"/>
          <w:color w:val="010302"/>
          <w:sz w:val="24"/>
          <w:szCs w:val="24"/>
        </w:rPr>
        <w:t>clubs</w:t>
      </w:r>
      <w:proofErr w:type="gramEnd"/>
      <w:r w:rsidR="00F52BFA" w:rsidRPr="00996790">
        <w:rPr>
          <w:rFonts w:ascii="Times New Roman" w:hAnsi="Times New Roman" w:cs="Times New Roman"/>
          <w:color w:val="010302"/>
          <w:sz w:val="24"/>
          <w:szCs w:val="24"/>
        </w:rPr>
        <w:t xml:space="preserve"> and high street stores.  As </w:t>
      </w:r>
      <w:r w:rsidR="00904E0B" w:rsidRPr="00996790">
        <w:rPr>
          <w:rFonts w:ascii="Times New Roman" w:hAnsi="Times New Roman" w:cs="Times New Roman"/>
          <w:color w:val="010302"/>
          <w:sz w:val="24"/>
          <w:szCs w:val="24"/>
        </w:rPr>
        <w:t xml:space="preserve">indicated at </w:t>
      </w:r>
      <w:r w:rsidR="00D85BD6" w:rsidRPr="00996790">
        <w:rPr>
          <w:rFonts w:ascii="Times New Roman" w:hAnsi="Times New Roman" w:cs="Times New Roman"/>
          <w:color w:val="010302"/>
          <w:sz w:val="24"/>
          <w:szCs w:val="24"/>
        </w:rPr>
        <w:t>paragraph 20</w:t>
      </w:r>
      <w:r w:rsidR="007D4FEA">
        <w:rPr>
          <w:rFonts w:ascii="Times New Roman" w:hAnsi="Times New Roman" w:cs="Times New Roman"/>
          <w:color w:val="010302"/>
          <w:sz w:val="24"/>
          <w:szCs w:val="24"/>
        </w:rPr>
        <w:t xml:space="preserve"> of its Reasons</w:t>
      </w:r>
      <w:r w:rsidR="00D85BD6" w:rsidRPr="00996790">
        <w:rPr>
          <w:rFonts w:ascii="Times New Roman" w:hAnsi="Times New Roman" w:cs="Times New Roman"/>
          <w:color w:val="010302"/>
          <w:sz w:val="24"/>
          <w:szCs w:val="24"/>
        </w:rPr>
        <w:t xml:space="preserve">, the ET </w:t>
      </w:r>
      <w:r w:rsidR="003D1B21" w:rsidRPr="00996790">
        <w:rPr>
          <w:rFonts w:ascii="Times New Roman" w:hAnsi="Times New Roman" w:cs="Times New Roman"/>
          <w:color w:val="010302"/>
          <w:sz w:val="24"/>
          <w:szCs w:val="24"/>
        </w:rPr>
        <w:t xml:space="preserve">found as a fact that the role involved </w:t>
      </w:r>
      <w:r w:rsidR="007D4FEA">
        <w:rPr>
          <w:rFonts w:ascii="Times New Roman" w:hAnsi="Times New Roman" w:cs="Times New Roman"/>
          <w:color w:val="010302"/>
          <w:sz w:val="24"/>
          <w:szCs w:val="24"/>
        </w:rPr>
        <w:t>“</w:t>
      </w:r>
      <w:r w:rsidR="00AF51B1" w:rsidRPr="00996790">
        <w:rPr>
          <w:rFonts w:ascii="Times New Roman" w:hAnsi="Times New Roman" w:cs="Times New Roman"/>
          <w:color w:val="010302"/>
          <w:sz w:val="24"/>
          <w:szCs w:val="24"/>
        </w:rPr>
        <w:t>a great deal</w:t>
      </w:r>
      <w:r w:rsidR="007D4FEA">
        <w:rPr>
          <w:rFonts w:ascii="Times New Roman" w:hAnsi="Times New Roman" w:cs="Times New Roman"/>
          <w:color w:val="010302"/>
          <w:sz w:val="24"/>
          <w:szCs w:val="24"/>
        </w:rPr>
        <w:t>”</w:t>
      </w:r>
      <w:r w:rsidR="00AF51B1" w:rsidRPr="00996790">
        <w:rPr>
          <w:rFonts w:ascii="Times New Roman" w:hAnsi="Times New Roman" w:cs="Times New Roman"/>
          <w:color w:val="010302"/>
          <w:sz w:val="24"/>
          <w:szCs w:val="24"/>
        </w:rPr>
        <w:t xml:space="preserve"> of </w:t>
      </w:r>
      <w:r w:rsidR="009E53D8" w:rsidRPr="00996790">
        <w:rPr>
          <w:rFonts w:ascii="Times New Roman" w:hAnsi="Times New Roman" w:cs="Times New Roman"/>
          <w:color w:val="010302"/>
          <w:sz w:val="24"/>
          <w:szCs w:val="24"/>
        </w:rPr>
        <w:t>proactive monitoring</w:t>
      </w:r>
      <w:r w:rsidR="00B45B64" w:rsidRPr="00996790">
        <w:rPr>
          <w:rFonts w:ascii="Times New Roman" w:hAnsi="Times New Roman" w:cs="Times New Roman"/>
          <w:color w:val="010302"/>
          <w:sz w:val="24"/>
          <w:szCs w:val="24"/>
        </w:rPr>
        <w:t xml:space="preserve">.  </w:t>
      </w:r>
      <w:r w:rsidR="008901AF" w:rsidRPr="00996790">
        <w:rPr>
          <w:rFonts w:ascii="Times New Roman" w:hAnsi="Times New Roman" w:cs="Times New Roman"/>
          <w:color w:val="010302"/>
          <w:sz w:val="24"/>
          <w:szCs w:val="24"/>
        </w:rPr>
        <w:t>Secondly, by contrast</w:t>
      </w:r>
      <w:r w:rsidR="0047050B" w:rsidRPr="00996790">
        <w:rPr>
          <w:rFonts w:ascii="Times New Roman" w:hAnsi="Times New Roman" w:cs="Times New Roman"/>
          <w:color w:val="010302"/>
          <w:sz w:val="24"/>
          <w:szCs w:val="24"/>
        </w:rPr>
        <w:t xml:space="preserve">, after the alleged </w:t>
      </w:r>
      <w:r w:rsidR="00157E7E" w:rsidRPr="00996790">
        <w:rPr>
          <w:rFonts w:ascii="Times New Roman" w:hAnsi="Times New Roman" w:cs="Times New Roman"/>
          <w:color w:val="010302"/>
          <w:sz w:val="24"/>
          <w:szCs w:val="24"/>
        </w:rPr>
        <w:t xml:space="preserve">transfer date, any monitoring </w:t>
      </w:r>
      <w:r w:rsidR="00247717" w:rsidRPr="00996790">
        <w:rPr>
          <w:rFonts w:ascii="Times New Roman" w:hAnsi="Times New Roman" w:cs="Times New Roman"/>
          <w:color w:val="010302"/>
          <w:sz w:val="24"/>
          <w:szCs w:val="24"/>
        </w:rPr>
        <w:t xml:space="preserve">of the cameras was undertaken </w:t>
      </w:r>
      <w:r w:rsidR="00FD1A7C" w:rsidRPr="00996790">
        <w:rPr>
          <w:rFonts w:ascii="Times New Roman" w:hAnsi="Times New Roman" w:cs="Times New Roman"/>
          <w:color w:val="010302"/>
          <w:sz w:val="24"/>
          <w:szCs w:val="24"/>
        </w:rPr>
        <w:t xml:space="preserve">by the one member of Careline staff on duty as an addition to their </w:t>
      </w:r>
      <w:r w:rsidR="00383747" w:rsidRPr="00996790">
        <w:rPr>
          <w:rFonts w:ascii="Times New Roman" w:hAnsi="Times New Roman" w:cs="Times New Roman"/>
          <w:color w:val="010302"/>
          <w:sz w:val="24"/>
          <w:szCs w:val="24"/>
        </w:rPr>
        <w:t xml:space="preserve">main Careline duties, which were described by the </w:t>
      </w:r>
      <w:r w:rsidR="005C2CFF" w:rsidRPr="00996790">
        <w:rPr>
          <w:rFonts w:ascii="Times New Roman" w:hAnsi="Times New Roman" w:cs="Times New Roman"/>
          <w:color w:val="010302"/>
          <w:sz w:val="24"/>
          <w:szCs w:val="24"/>
        </w:rPr>
        <w:t xml:space="preserve">ET in paragraph 21.  The ET found as a fact </w:t>
      </w:r>
      <w:r w:rsidR="00036C7C" w:rsidRPr="00996790">
        <w:rPr>
          <w:rFonts w:ascii="Times New Roman" w:hAnsi="Times New Roman" w:cs="Times New Roman"/>
          <w:color w:val="010302"/>
          <w:sz w:val="24"/>
          <w:szCs w:val="24"/>
        </w:rPr>
        <w:t xml:space="preserve">that </w:t>
      </w:r>
      <w:r w:rsidR="007C39F1" w:rsidRPr="00996790">
        <w:rPr>
          <w:rFonts w:ascii="Times New Roman" w:hAnsi="Times New Roman" w:cs="Times New Roman"/>
          <w:color w:val="010302"/>
          <w:sz w:val="24"/>
          <w:szCs w:val="24"/>
        </w:rPr>
        <w:t xml:space="preserve">these employees were </w:t>
      </w:r>
      <w:r w:rsidR="00C836DA" w:rsidRPr="00996790">
        <w:rPr>
          <w:rFonts w:ascii="Times New Roman" w:hAnsi="Times New Roman" w:cs="Times New Roman"/>
          <w:color w:val="010302"/>
          <w:sz w:val="24"/>
          <w:szCs w:val="24"/>
        </w:rPr>
        <w:t xml:space="preserve">already </w:t>
      </w:r>
      <w:r w:rsidR="00FF281B">
        <w:rPr>
          <w:rFonts w:ascii="Times New Roman" w:hAnsi="Times New Roman" w:cs="Times New Roman"/>
          <w:color w:val="010302"/>
          <w:sz w:val="24"/>
          <w:szCs w:val="24"/>
        </w:rPr>
        <w:t>“</w:t>
      </w:r>
      <w:r w:rsidR="0077315B" w:rsidRPr="00996790">
        <w:rPr>
          <w:rFonts w:ascii="Times New Roman" w:hAnsi="Times New Roman" w:cs="Times New Roman"/>
          <w:color w:val="010302"/>
          <w:sz w:val="24"/>
          <w:szCs w:val="24"/>
        </w:rPr>
        <w:t>overloaded with Careline</w:t>
      </w:r>
      <w:r w:rsidR="00FF281B">
        <w:rPr>
          <w:rFonts w:ascii="Times New Roman" w:hAnsi="Times New Roman" w:cs="Times New Roman"/>
          <w:color w:val="010302"/>
          <w:sz w:val="24"/>
          <w:szCs w:val="24"/>
        </w:rPr>
        <w:t>”</w:t>
      </w:r>
      <w:r w:rsidR="0077315B" w:rsidRPr="00996790">
        <w:rPr>
          <w:rFonts w:ascii="Times New Roman" w:hAnsi="Times New Roman" w:cs="Times New Roman"/>
          <w:color w:val="010302"/>
          <w:sz w:val="24"/>
          <w:szCs w:val="24"/>
        </w:rPr>
        <w:t xml:space="preserve"> duties'' and therefore the extent </w:t>
      </w:r>
      <w:r w:rsidR="0096150D" w:rsidRPr="00996790">
        <w:rPr>
          <w:rFonts w:ascii="Times New Roman" w:hAnsi="Times New Roman" w:cs="Times New Roman"/>
          <w:color w:val="010302"/>
          <w:sz w:val="24"/>
          <w:szCs w:val="24"/>
        </w:rPr>
        <w:t xml:space="preserve">to which they were </w:t>
      </w:r>
      <w:r w:rsidR="007E6F4C" w:rsidRPr="00996790">
        <w:rPr>
          <w:rFonts w:ascii="Times New Roman" w:hAnsi="Times New Roman" w:cs="Times New Roman"/>
          <w:color w:val="010302"/>
          <w:sz w:val="24"/>
          <w:szCs w:val="24"/>
        </w:rPr>
        <w:t xml:space="preserve">able to perform </w:t>
      </w:r>
      <w:r w:rsidR="00D11F3E" w:rsidRPr="00996790">
        <w:rPr>
          <w:rFonts w:ascii="Times New Roman" w:hAnsi="Times New Roman" w:cs="Times New Roman"/>
          <w:color w:val="010302"/>
          <w:sz w:val="24"/>
          <w:szCs w:val="24"/>
        </w:rPr>
        <w:t xml:space="preserve">CCTV monitoring was </w:t>
      </w:r>
      <w:r w:rsidR="00FF281B">
        <w:rPr>
          <w:rFonts w:ascii="Times New Roman" w:hAnsi="Times New Roman" w:cs="Times New Roman"/>
          <w:color w:val="010302"/>
          <w:sz w:val="24"/>
          <w:szCs w:val="24"/>
        </w:rPr>
        <w:t>“</w:t>
      </w:r>
      <w:r w:rsidR="00D11F3E" w:rsidRPr="00996790">
        <w:rPr>
          <w:rFonts w:ascii="Times New Roman" w:hAnsi="Times New Roman" w:cs="Times New Roman"/>
          <w:color w:val="010302"/>
          <w:sz w:val="24"/>
          <w:szCs w:val="24"/>
        </w:rPr>
        <w:t>minimal</w:t>
      </w:r>
      <w:r w:rsidR="00FF281B">
        <w:rPr>
          <w:rFonts w:ascii="Times New Roman" w:hAnsi="Times New Roman" w:cs="Times New Roman"/>
          <w:color w:val="010302"/>
          <w:sz w:val="24"/>
          <w:szCs w:val="24"/>
        </w:rPr>
        <w:t>”</w:t>
      </w:r>
      <w:r w:rsidR="0064635C" w:rsidRPr="00996790">
        <w:rPr>
          <w:rFonts w:ascii="Times New Roman" w:hAnsi="Times New Roman" w:cs="Times New Roman"/>
          <w:color w:val="010302"/>
          <w:sz w:val="24"/>
          <w:szCs w:val="24"/>
        </w:rPr>
        <w:t xml:space="preserve"> (see paragraph 24</w:t>
      </w:r>
      <w:r w:rsidR="00A17F4A">
        <w:rPr>
          <w:rFonts w:ascii="Times New Roman" w:hAnsi="Times New Roman" w:cs="Times New Roman"/>
          <w:color w:val="010302"/>
          <w:sz w:val="24"/>
          <w:szCs w:val="24"/>
        </w:rPr>
        <w:t xml:space="preserve"> of the Reasons</w:t>
      </w:r>
      <w:r w:rsidR="0064635C" w:rsidRPr="00996790">
        <w:rPr>
          <w:rFonts w:ascii="Times New Roman" w:hAnsi="Times New Roman" w:cs="Times New Roman"/>
          <w:color w:val="010302"/>
          <w:sz w:val="24"/>
          <w:szCs w:val="24"/>
        </w:rPr>
        <w:t xml:space="preserve">).  </w:t>
      </w:r>
      <w:r w:rsidR="00D6394B" w:rsidRPr="00996790">
        <w:rPr>
          <w:rFonts w:ascii="Times New Roman" w:hAnsi="Times New Roman" w:cs="Times New Roman"/>
          <w:color w:val="010302"/>
          <w:sz w:val="24"/>
          <w:szCs w:val="24"/>
        </w:rPr>
        <w:t xml:space="preserve">Thirdly, </w:t>
      </w:r>
      <w:r w:rsidR="00837283" w:rsidRPr="00996790">
        <w:rPr>
          <w:rFonts w:ascii="Times New Roman" w:hAnsi="Times New Roman" w:cs="Times New Roman"/>
          <w:color w:val="010302"/>
          <w:sz w:val="24"/>
          <w:szCs w:val="24"/>
        </w:rPr>
        <w:t xml:space="preserve">the CCTV </w:t>
      </w:r>
      <w:r w:rsidR="008C473E" w:rsidRPr="00996790">
        <w:rPr>
          <w:rFonts w:ascii="Times New Roman" w:hAnsi="Times New Roman" w:cs="Times New Roman"/>
          <w:color w:val="010302"/>
          <w:sz w:val="24"/>
          <w:szCs w:val="24"/>
        </w:rPr>
        <w:t>monitoring that the</w:t>
      </w:r>
      <w:r w:rsidR="00DD72C9" w:rsidRPr="00996790">
        <w:rPr>
          <w:rFonts w:ascii="Times New Roman" w:hAnsi="Times New Roman" w:cs="Times New Roman"/>
          <w:color w:val="010302"/>
          <w:sz w:val="24"/>
          <w:szCs w:val="24"/>
        </w:rPr>
        <w:t xml:space="preserve">y did perform </w:t>
      </w:r>
      <w:r w:rsidR="00E84884" w:rsidRPr="00996790">
        <w:rPr>
          <w:rFonts w:ascii="Times New Roman" w:hAnsi="Times New Roman" w:cs="Times New Roman"/>
          <w:color w:val="010302"/>
          <w:sz w:val="24"/>
          <w:szCs w:val="24"/>
        </w:rPr>
        <w:t xml:space="preserve">was </w:t>
      </w:r>
      <w:r w:rsidR="00FF281B">
        <w:rPr>
          <w:rFonts w:ascii="Times New Roman" w:hAnsi="Times New Roman" w:cs="Times New Roman"/>
          <w:color w:val="010302"/>
          <w:sz w:val="24"/>
          <w:szCs w:val="24"/>
        </w:rPr>
        <w:t>“</w:t>
      </w:r>
      <w:r w:rsidR="00681B87" w:rsidRPr="00996790">
        <w:rPr>
          <w:rFonts w:ascii="Times New Roman" w:hAnsi="Times New Roman" w:cs="Times New Roman"/>
          <w:color w:val="010302"/>
          <w:sz w:val="24"/>
          <w:szCs w:val="24"/>
        </w:rPr>
        <w:t>only reactive support service</w:t>
      </w:r>
      <w:r w:rsidR="00FF281B">
        <w:rPr>
          <w:rFonts w:ascii="Times New Roman" w:hAnsi="Times New Roman" w:cs="Times New Roman"/>
          <w:color w:val="010302"/>
          <w:sz w:val="24"/>
          <w:szCs w:val="24"/>
        </w:rPr>
        <w:t>”</w:t>
      </w:r>
      <w:r w:rsidR="00681B87" w:rsidRPr="00996790">
        <w:rPr>
          <w:rFonts w:ascii="Times New Roman" w:hAnsi="Times New Roman" w:cs="Times New Roman"/>
          <w:color w:val="010302"/>
          <w:sz w:val="24"/>
          <w:szCs w:val="24"/>
        </w:rPr>
        <w:t xml:space="preserve"> and that even then </w:t>
      </w:r>
      <w:r w:rsidR="00AC729B" w:rsidRPr="00996790">
        <w:rPr>
          <w:rFonts w:ascii="Times New Roman" w:hAnsi="Times New Roman" w:cs="Times New Roman"/>
          <w:color w:val="010302"/>
          <w:sz w:val="24"/>
          <w:szCs w:val="24"/>
        </w:rPr>
        <w:t>calls went unanswered</w:t>
      </w:r>
      <w:r w:rsidR="00DF1761" w:rsidRPr="00996790">
        <w:rPr>
          <w:rFonts w:ascii="Times New Roman" w:hAnsi="Times New Roman" w:cs="Times New Roman"/>
          <w:color w:val="010302"/>
          <w:sz w:val="24"/>
          <w:szCs w:val="24"/>
        </w:rPr>
        <w:t xml:space="preserve"> (paragraph 24).  </w:t>
      </w:r>
      <w:r w:rsidR="001F41B1" w:rsidRPr="00996790">
        <w:rPr>
          <w:rFonts w:ascii="Times New Roman" w:hAnsi="Times New Roman" w:cs="Times New Roman"/>
          <w:color w:val="010302"/>
          <w:sz w:val="24"/>
          <w:szCs w:val="24"/>
        </w:rPr>
        <w:t xml:space="preserve">Fourthly, </w:t>
      </w:r>
      <w:r w:rsidR="002737C9" w:rsidRPr="00996790">
        <w:rPr>
          <w:rFonts w:ascii="Times New Roman" w:hAnsi="Times New Roman" w:cs="Times New Roman"/>
          <w:color w:val="010302"/>
          <w:sz w:val="24"/>
          <w:szCs w:val="24"/>
        </w:rPr>
        <w:t xml:space="preserve">as the ET found in </w:t>
      </w:r>
      <w:r w:rsidR="003065C8">
        <w:rPr>
          <w:rFonts w:ascii="Times New Roman" w:hAnsi="Times New Roman" w:cs="Times New Roman"/>
          <w:color w:val="010302"/>
          <w:sz w:val="24"/>
          <w:szCs w:val="24"/>
        </w:rPr>
        <w:t xml:space="preserve">its </w:t>
      </w:r>
      <w:r w:rsidR="002737C9" w:rsidRPr="00996790">
        <w:rPr>
          <w:rFonts w:ascii="Times New Roman" w:hAnsi="Times New Roman" w:cs="Times New Roman"/>
          <w:color w:val="010302"/>
          <w:sz w:val="24"/>
          <w:szCs w:val="24"/>
        </w:rPr>
        <w:t xml:space="preserve">paragraph 29, not only did the </w:t>
      </w:r>
      <w:r w:rsidR="00494C9A" w:rsidRPr="00996790">
        <w:rPr>
          <w:rFonts w:ascii="Times New Roman" w:hAnsi="Times New Roman" w:cs="Times New Roman"/>
          <w:color w:val="010302"/>
          <w:sz w:val="24"/>
          <w:szCs w:val="24"/>
        </w:rPr>
        <w:t xml:space="preserve">amount of monitoring </w:t>
      </w:r>
      <w:r w:rsidR="00C97E9D" w:rsidRPr="00996790">
        <w:rPr>
          <w:rFonts w:ascii="Times New Roman" w:hAnsi="Times New Roman" w:cs="Times New Roman"/>
          <w:color w:val="010302"/>
          <w:sz w:val="24"/>
          <w:szCs w:val="24"/>
        </w:rPr>
        <w:t xml:space="preserve">undertaken reduce </w:t>
      </w:r>
      <w:r w:rsidR="00671834" w:rsidRPr="00996790">
        <w:rPr>
          <w:rFonts w:ascii="Times New Roman" w:hAnsi="Times New Roman" w:cs="Times New Roman"/>
          <w:color w:val="010302"/>
          <w:sz w:val="24"/>
          <w:szCs w:val="24"/>
        </w:rPr>
        <w:t xml:space="preserve">very </w:t>
      </w:r>
      <w:r w:rsidR="00C177A9" w:rsidRPr="00996790">
        <w:rPr>
          <w:rFonts w:ascii="Times New Roman" w:hAnsi="Times New Roman" w:cs="Times New Roman"/>
          <w:color w:val="010302"/>
          <w:sz w:val="24"/>
          <w:szCs w:val="24"/>
        </w:rPr>
        <w:t>considerably</w:t>
      </w:r>
      <w:r w:rsidR="003065C8">
        <w:rPr>
          <w:rFonts w:ascii="Times New Roman" w:hAnsi="Times New Roman" w:cs="Times New Roman"/>
          <w:color w:val="010302"/>
          <w:sz w:val="24"/>
          <w:szCs w:val="24"/>
        </w:rPr>
        <w:t>,</w:t>
      </w:r>
      <w:r w:rsidR="00C177A9" w:rsidRPr="00996790">
        <w:rPr>
          <w:rFonts w:ascii="Times New Roman" w:hAnsi="Times New Roman" w:cs="Times New Roman"/>
          <w:color w:val="010302"/>
          <w:sz w:val="24"/>
          <w:szCs w:val="24"/>
        </w:rPr>
        <w:t xml:space="preserve"> </w:t>
      </w:r>
      <w:r w:rsidR="000149DD" w:rsidRPr="00996790">
        <w:rPr>
          <w:rFonts w:ascii="Times New Roman" w:hAnsi="Times New Roman" w:cs="Times New Roman"/>
          <w:color w:val="010302"/>
          <w:sz w:val="24"/>
          <w:szCs w:val="24"/>
        </w:rPr>
        <w:t xml:space="preserve">but the type of monitoring that was undertaken </w:t>
      </w:r>
      <w:r w:rsidR="006019F7" w:rsidRPr="00996790">
        <w:rPr>
          <w:rFonts w:ascii="Times New Roman" w:hAnsi="Times New Roman" w:cs="Times New Roman"/>
          <w:color w:val="010302"/>
          <w:sz w:val="24"/>
          <w:szCs w:val="24"/>
        </w:rPr>
        <w:t xml:space="preserve">changed </w:t>
      </w:r>
      <w:proofErr w:type="gramStart"/>
      <w:r w:rsidR="006019F7" w:rsidRPr="00996790">
        <w:rPr>
          <w:rFonts w:ascii="Times New Roman" w:hAnsi="Times New Roman" w:cs="Times New Roman"/>
          <w:color w:val="010302"/>
          <w:sz w:val="24"/>
          <w:szCs w:val="24"/>
        </w:rPr>
        <w:t>considerably</w:t>
      </w:r>
      <w:r w:rsidR="00E755B6">
        <w:rPr>
          <w:rFonts w:ascii="Times New Roman" w:hAnsi="Times New Roman" w:cs="Times New Roman"/>
          <w:color w:val="010302"/>
          <w:sz w:val="24"/>
          <w:szCs w:val="24"/>
        </w:rPr>
        <w:t>;</w:t>
      </w:r>
      <w:r w:rsidR="006019F7" w:rsidRPr="00996790">
        <w:rPr>
          <w:rFonts w:ascii="Times New Roman" w:hAnsi="Times New Roman" w:cs="Times New Roman"/>
          <w:color w:val="010302"/>
          <w:sz w:val="24"/>
          <w:szCs w:val="24"/>
        </w:rPr>
        <w:t xml:space="preserve">  </w:t>
      </w:r>
      <w:r w:rsidR="00E755B6">
        <w:rPr>
          <w:rFonts w:ascii="Times New Roman" w:hAnsi="Times New Roman" w:cs="Times New Roman"/>
          <w:color w:val="010302"/>
          <w:sz w:val="24"/>
          <w:szCs w:val="24"/>
        </w:rPr>
        <w:t>t</w:t>
      </w:r>
      <w:r w:rsidR="006019F7" w:rsidRPr="00996790">
        <w:rPr>
          <w:rFonts w:ascii="Times New Roman" w:hAnsi="Times New Roman" w:cs="Times New Roman"/>
          <w:color w:val="010302"/>
          <w:sz w:val="24"/>
          <w:szCs w:val="24"/>
        </w:rPr>
        <w:t>here</w:t>
      </w:r>
      <w:proofErr w:type="gramEnd"/>
      <w:r w:rsidR="006019F7" w:rsidRPr="00996790">
        <w:rPr>
          <w:rFonts w:ascii="Times New Roman" w:hAnsi="Times New Roman" w:cs="Times New Roman"/>
          <w:color w:val="010302"/>
          <w:sz w:val="24"/>
          <w:szCs w:val="24"/>
        </w:rPr>
        <w:t xml:space="preserve"> was no proactive </w:t>
      </w:r>
      <w:r w:rsidR="00D76D4A" w:rsidRPr="00996790">
        <w:rPr>
          <w:rFonts w:ascii="Times New Roman" w:hAnsi="Times New Roman" w:cs="Times New Roman"/>
          <w:color w:val="010302"/>
          <w:sz w:val="24"/>
          <w:szCs w:val="24"/>
        </w:rPr>
        <w:t>monitoring.  As the ET put it</w:t>
      </w:r>
      <w:r w:rsidR="0027126D" w:rsidRPr="00996790">
        <w:rPr>
          <w:rFonts w:ascii="Times New Roman" w:hAnsi="Times New Roman" w:cs="Times New Roman"/>
          <w:color w:val="010302"/>
          <w:sz w:val="24"/>
          <w:szCs w:val="24"/>
        </w:rPr>
        <w:t xml:space="preserve">, </w:t>
      </w:r>
      <w:r w:rsidR="00FF281B">
        <w:rPr>
          <w:rFonts w:ascii="Times New Roman" w:hAnsi="Times New Roman" w:cs="Times New Roman"/>
          <w:color w:val="010302"/>
          <w:sz w:val="24"/>
          <w:szCs w:val="24"/>
        </w:rPr>
        <w:t>“</w:t>
      </w:r>
      <w:r w:rsidR="004B446E" w:rsidRPr="00996790">
        <w:rPr>
          <w:rFonts w:ascii="Times New Roman" w:hAnsi="Times New Roman" w:cs="Times New Roman"/>
          <w:color w:val="010302"/>
          <w:sz w:val="24"/>
          <w:szCs w:val="24"/>
        </w:rPr>
        <w:t>Proactive support, which</w:t>
      </w:r>
      <w:r w:rsidR="0027126D" w:rsidRPr="00996790">
        <w:rPr>
          <w:rFonts w:ascii="Times New Roman" w:hAnsi="Times New Roman" w:cs="Times New Roman"/>
          <w:color w:val="010302"/>
          <w:sz w:val="24"/>
          <w:szCs w:val="24"/>
        </w:rPr>
        <w:t xml:space="preserve"> </w:t>
      </w:r>
      <w:r w:rsidR="004B446E" w:rsidRPr="00996790">
        <w:rPr>
          <w:rFonts w:ascii="Times New Roman" w:hAnsi="Times New Roman" w:cs="Times New Roman"/>
          <w:color w:val="010302"/>
          <w:sz w:val="24"/>
          <w:szCs w:val="24"/>
        </w:rPr>
        <w:t>played such a large part of the Claimant’s role, had disappeared over night</w:t>
      </w:r>
      <w:r w:rsidR="00FF281B">
        <w:rPr>
          <w:rFonts w:ascii="Times New Roman" w:hAnsi="Times New Roman" w:cs="Times New Roman"/>
          <w:color w:val="010302"/>
          <w:sz w:val="24"/>
          <w:szCs w:val="24"/>
        </w:rPr>
        <w:t>”</w:t>
      </w:r>
      <w:r w:rsidR="0027126D" w:rsidRPr="00996790">
        <w:rPr>
          <w:rFonts w:ascii="Times New Roman" w:hAnsi="Times New Roman" w:cs="Times New Roman"/>
          <w:color w:val="010302"/>
          <w:sz w:val="24"/>
          <w:szCs w:val="24"/>
        </w:rPr>
        <w:t xml:space="preserve">.  </w:t>
      </w:r>
    </w:p>
    <w:p w14:paraId="0400346C" w14:textId="385D87F1" w:rsidR="000440D0" w:rsidRPr="00996790" w:rsidRDefault="00841B79" w:rsidP="004B446E">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Absent any specific e</w:t>
      </w:r>
      <w:r w:rsidR="0075142A" w:rsidRPr="00996790">
        <w:rPr>
          <w:rFonts w:ascii="Times New Roman" w:hAnsi="Times New Roman" w:cs="Times New Roman"/>
          <w:color w:val="010302"/>
          <w:sz w:val="24"/>
          <w:szCs w:val="24"/>
        </w:rPr>
        <w:t xml:space="preserve">rror of law, which I will come on to address, </w:t>
      </w:r>
      <w:r w:rsidR="00F754C8" w:rsidRPr="00996790">
        <w:rPr>
          <w:rFonts w:ascii="Times New Roman" w:hAnsi="Times New Roman" w:cs="Times New Roman"/>
          <w:color w:val="010302"/>
          <w:sz w:val="24"/>
          <w:szCs w:val="24"/>
        </w:rPr>
        <w:t xml:space="preserve">these findings provide a legally sufficient basis for the </w:t>
      </w:r>
      <w:r w:rsidR="005D6D0C" w:rsidRPr="00996790">
        <w:rPr>
          <w:rFonts w:ascii="Times New Roman" w:hAnsi="Times New Roman" w:cs="Times New Roman"/>
          <w:color w:val="010302"/>
          <w:sz w:val="24"/>
          <w:szCs w:val="24"/>
        </w:rPr>
        <w:t xml:space="preserve">conclusion that the activities pre and post </w:t>
      </w:r>
      <w:r w:rsidR="006F54FA" w:rsidRPr="00996790">
        <w:rPr>
          <w:rFonts w:ascii="Times New Roman" w:hAnsi="Times New Roman" w:cs="Times New Roman"/>
          <w:color w:val="010302"/>
          <w:sz w:val="24"/>
          <w:szCs w:val="24"/>
        </w:rPr>
        <w:t xml:space="preserve">transfer </w:t>
      </w:r>
      <w:r w:rsidR="00D43C57" w:rsidRPr="00996790">
        <w:rPr>
          <w:rFonts w:ascii="Times New Roman" w:hAnsi="Times New Roman" w:cs="Times New Roman"/>
          <w:color w:val="010302"/>
          <w:sz w:val="24"/>
          <w:szCs w:val="24"/>
        </w:rPr>
        <w:t xml:space="preserve">were fundamentally different.  Whether or not a different </w:t>
      </w:r>
      <w:r w:rsidR="00AC4479" w:rsidRPr="00996790">
        <w:rPr>
          <w:rFonts w:ascii="Times New Roman" w:hAnsi="Times New Roman" w:cs="Times New Roman"/>
          <w:color w:val="010302"/>
          <w:sz w:val="24"/>
          <w:szCs w:val="24"/>
        </w:rPr>
        <w:t xml:space="preserve">tribunal </w:t>
      </w:r>
      <w:r w:rsidR="008D0E87">
        <w:rPr>
          <w:rFonts w:ascii="Times New Roman" w:hAnsi="Times New Roman" w:cs="Times New Roman"/>
          <w:color w:val="010302"/>
          <w:sz w:val="24"/>
          <w:szCs w:val="24"/>
        </w:rPr>
        <w:t>(</w:t>
      </w:r>
      <w:r w:rsidR="00AC4479" w:rsidRPr="00996790">
        <w:rPr>
          <w:rFonts w:ascii="Times New Roman" w:hAnsi="Times New Roman" w:cs="Times New Roman"/>
          <w:color w:val="010302"/>
          <w:sz w:val="24"/>
          <w:szCs w:val="24"/>
        </w:rPr>
        <w:t>or indeed this appeal tribunal</w:t>
      </w:r>
      <w:r w:rsidR="008D0E87">
        <w:rPr>
          <w:rFonts w:ascii="Times New Roman" w:hAnsi="Times New Roman" w:cs="Times New Roman"/>
          <w:color w:val="010302"/>
          <w:sz w:val="24"/>
          <w:szCs w:val="24"/>
        </w:rPr>
        <w:t>)</w:t>
      </w:r>
      <w:r w:rsidR="00AC4479" w:rsidRPr="00996790">
        <w:rPr>
          <w:rFonts w:ascii="Times New Roman" w:hAnsi="Times New Roman" w:cs="Times New Roman"/>
          <w:color w:val="010302"/>
          <w:sz w:val="24"/>
          <w:szCs w:val="24"/>
        </w:rPr>
        <w:t xml:space="preserve"> </w:t>
      </w:r>
      <w:r w:rsidR="001B2E9E" w:rsidRPr="00996790">
        <w:rPr>
          <w:rFonts w:ascii="Times New Roman" w:hAnsi="Times New Roman" w:cs="Times New Roman"/>
          <w:color w:val="010302"/>
          <w:sz w:val="24"/>
          <w:szCs w:val="24"/>
        </w:rPr>
        <w:t>would have come to the same conclusion</w:t>
      </w:r>
      <w:r w:rsidR="0079167D" w:rsidRPr="00996790">
        <w:rPr>
          <w:rFonts w:ascii="Times New Roman" w:hAnsi="Times New Roman" w:cs="Times New Roman"/>
          <w:color w:val="010302"/>
          <w:sz w:val="24"/>
          <w:szCs w:val="24"/>
        </w:rPr>
        <w:t xml:space="preserve"> is not in point.  </w:t>
      </w:r>
    </w:p>
    <w:p w14:paraId="1D22B852" w14:textId="59C6211F" w:rsidR="004B446E" w:rsidRDefault="00457FD8" w:rsidP="004B446E">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As regards her perversity </w:t>
      </w:r>
      <w:r w:rsidR="009B4F0E" w:rsidRPr="00996790">
        <w:rPr>
          <w:rFonts w:ascii="Times New Roman" w:hAnsi="Times New Roman" w:cs="Times New Roman"/>
          <w:color w:val="010302"/>
          <w:sz w:val="24"/>
          <w:szCs w:val="24"/>
        </w:rPr>
        <w:t xml:space="preserve">challenge, the claimant would have </w:t>
      </w:r>
      <w:r w:rsidR="00724629" w:rsidRPr="00996790">
        <w:rPr>
          <w:rFonts w:ascii="Times New Roman" w:hAnsi="Times New Roman" w:cs="Times New Roman"/>
          <w:color w:val="010302"/>
          <w:sz w:val="24"/>
          <w:szCs w:val="24"/>
        </w:rPr>
        <w:t xml:space="preserve">to show that no reasonable tribunal </w:t>
      </w:r>
      <w:r w:rsidR="00862410" w:rsidRPr="00996790">
        <w:rPr>
          <w:rFonts w:ascii="Times New Roman" w:hAnsi="Times New Roman" w:cs="Times New Roman"/>
          <w:color w:val="010302"/>
          <w:sz w:val="24"/>
          <w:szCs w:val="24"/>
        </w:rPr>
        <w:t xml:space="preserve">could have concluded </w:t>
      </w:r>
      <w:r w:rsidR="00E8424C" w:rsidRPr="00996790">
        <w:rPr>
          <w:rFonts w:ascii="Times New Roman" w:hAnsi="Times New Roman" w:cs="Times New Roman"/>
          <w:color w:val="010302"/>
          <w:sz w:val="24"/>
          <w:szCs w:val="24"/>
        </w:rPr>
        <w:t xml:space="preserve">that the activities were fundamentally different.  </w:t>
      </w:r>
      <w:proofErr w:type="gramStart"/>
      <w:r w:rsidR="00A070FE" w:rsidRPr="00996790">
        <w:rPr>
          <w:rFonts w:ascii="Times New Roman" w:hAnsi="Times New Roman" w:cs="Times New Roman"/>
          <w:color w:val="010302"/>
          <w:sz w:val="24"/>
          <w:szCs w:val="24"/>
        </w:rPr>
        <w:t>In light of</w:t>
      </w:r>
      <w:proofErr w:type="gramEnd"/>
      <w:r w:rsidR="00A070FE" w:rsidRPr="00996790">
        <w:rPr>
          <w:rFonts w:ascii="Times New Roman" w:hAnsi="Times New Roman" w:cs="Times New Roman"/>
          <w:color w:val="010302"/>
          <w:sz w:val="24"/>
          <w:szCs w:val="24"/>
        </w:rPr>
        <w:t xml:space="preserve"> these factual findings, any perversity argument falls a long way short of this.  </w:t>
      </w:r>
      <w:proofErr w:type="gramStart"/>
      <w:r w:rsidR="000440D0" w:rsidRPr="00996790">
        <w:rPr>
          <w:rFonts w:ascii="Times New Roman" w:hAnsi="Times New Roman" w:cs="Times New Roman"/>
          <w:color w:val="010302"/>
          <w:sz w:val="24"/>
          <w:szCs w:val="24"/>
        </w:rPr>
        <w:t>During the course of</w:t>
      </w:r>
      <w:proofErr w:type="gramEnd"/>
      <w:r w:rsidR="000440D0" w:rsidRPr="00996790">
        <w:rPr>
          <w:rFonts w:ascii="Times New Roman" w:hAnsi="Times New Roman" w:cs="Times New Roman"/>
          <w:color w:val="010302"/>
          <w:sz w:val="24"/>
          <w:szCs w:val="24"/>
        </w:rPr>
        <w:t xml:space="preserve"> her submissions, </w:t>
      </w:r>
      <w:r w:rsidR="00FD7E43" w:rsidRPr="00996790">
        <w:rPr>
          <w:rFonts w:ascii="Times New Roman" w:hAnsi="Times New Roman" w:cs="Times New Roman"/>
          <w:color w:val="010302"/>
          <w:sz w:val="24"/>
          <w:szCs w:val="24"/>
        </w:rPr>
        <w:t xml:space="preserve">I asked the claimant </w:t>
      </w:r>
      <w:r w:rsidR="00993A47" w:rsidRPr="00996790">
        <w:rPr>
          <w:rFonts w:ascii="Times New Roman" w:hAnsi="Times New Roman" w:cs="Times New Roman"/>
          <w:color w:val="010302"/>
          <w:sz w:val="24"/>
          <w:szCs w:val="24"/>
        </w:rPr>
        <w:t xml:space="preserve">what </w:t>
      </w:r>
      <w:r w:rsidR="00C16239">
        <w:rPr>
          <w:rFonts w:ascii="Times New Roman" w:hAnsi="Times New Roman" w:cs="Times New Roman"/>
          <w:color w:val="010302"/>
          <w:sz w:val="24"/>
          <w:szCs w:val="24"/>
        </w:rPr>
        <w:t xml:space="preserve">evidence </w:t>
      </w:r>
      <w:r w:rsidR="00993A47" w:rsidRPr="00996790">
        <w:rPr>
          <w:rFonts w:ascii="Times New Roman" w:hAnsi="Times New Roman" w:cs="Times New Roman"/>
          <w:color w:val="010302"/>
          <w:sz w:val="24"/>
          <w:szCs w:val="24"/>
        </w:rPr>
        <w:t xml:space="preserve">she relied on to support her </w:t>
      </w:r>
      <w:r w:rsidR="000A3CFE" w:rsidRPr="00996790">
        <w:rPr>
          <w:rFonts w:ascii="Times New Roman" w:hAnsi="Times New Roman" w:cs="Times New Roman"/>
          <w:color w:val="010302"/>
          <w:sz w:val="24"/>
          <w:szCs w:val="24"/>
        </w:rPr>
        <w:t>perversity argument</w:t>
      </w:r>
      <w:r w:rsidR="007B18F5">
        <w:rPr>
          <w:rFonts w:ascii="Times New Roman" w:hAnsi="Times New Roman" w:cs="Times New Roman"/>
          <w:color w:val="010302"/>
          <w:sz w:val="24"/>
          <w:szCs w:val="24"/>
        </w:rPr>
        <w:t xml:space="preserve"> </w:t>
      </w:r>
      <w:r w:rsidR="000A3CFE" w:rsidRPr="00996790">
        <w:rPr>
          <w:rFonts w:ascii="Times New Roman" w:hAnsi="Times New Roman" w:cs="Times New Roman"/>
          <w:color w:val="010302"/>
          <w:sz w:val="24"/>
          <w:szCs w:val="24"/>
        </w:rPr>
        <w:t xml:space="preserve">and the only evidential </w:t>
      </w:r>
      <w:r w:rsidR="0043115A" w:rsidRPr="00996790">
        <w:rPr>
          <w:rFonts w:ascii="Times New Roman" w:hAnsi="Times New Roman" w:cs="Times New Roman"/>
          <w:color w:val="010302"/>
          <w:sz w:val="24"/>
          <w:szCs w:val="24"/>
        </w:rPr>
        <w:t xml:space="preserve">material that she directed me to was Mr Free's email, which I will address </w:t>
      </w:r>
      <w:r w:rsidR="007B18F5">
        <w:rPr>
          <w:rFonts w:ascii="Times New Roman" w:hAnsi="Times New Roman" w:cs="Times New Roman"/>
          <w:color w:val="010302"/>
          <w:sz w:val="24"/>
          <w:szCs w:val="24"/>
        </w:rPr>
        <w:t xml:space="preserve">in relation </w:t>
      </w:r>
      <w:r w:rsidR="001C5CD9">
        <w:rPr>
          <w:rFonts w:ascii="Times New Roman" w:hAnsi="Times New Roman" w:cs="Times New Roman"/>
          <w:color w:val="010302"/>
          <w:sz w:val="24"/>
          <w:szCs w:val="24"/>
        </w:rPr>
        <w:t xml:space="preserve">to </w:t>
      </w:r>
      <w:r w:rsidR="001C5CD9" w:rsidRPr="00996790">
        <w:rPr>
          <w:rFonts w:ascii="Times New Roman" w:hAnsi="Times New Roman" w:cs="Times New Roman"/>
          <w:color w:val="010302"/>
          <w:sz w:val="24"/>
          <w:szCs w:val="24"/>
        </w:rPr>
        <w:t>ground</w:t>
      </w:r>
      <w:r w:rsidR="0043115A" w:rsidRPr="00996790">
        <w:rPr>
          <w:rFonts w:ascii="Times New Roman" w:hAnsi="Times New Roman" w:cs="Times New Roman"/>
          <w:color w:val="010302"/>
          <w:sz w:val="24"/>
          <w:szCs w:val="24"/>
        </w:rPr>
        <w:t xml:space="preserve"> 3.  </w:t>
      </w:r>
    </w:p>
    <w:p w14:paraId="15DC642A" w14:textId="6AA2CDD5" w:rsidR="00B44723" w:rsidRPr="00B44723" w:rsidRDefault="00B44723" w:rsidP="00B44723">
      <w:pPr>
        <w:pStyle w:val="ListParagraph"/>
        <w:tabs>
          <w:tab w:val="left" w:pos="0"/>
        </w:tabs>
        <w:spacing w:line="480" w:lineRule="auto"/>
        <w:contextualSpacing/>
        <w:jc w:val="both"/>
        <w:rPr>
          <w:rFonts w:ascii="Times New Roman" w:hAnsi="Times New Roman" w:cs="Times New Roman"/>
          <w:b/>
          <w:bCs/>
          <w:color w:val="010302"/>
          <w:sz w:val="24"/>
          <w:szCs w:val="24"/>
        </w:rPr>
      </w:pPr>
      <w:r w:rsidRPr="00B44723">
        <w:rPr>
          <w:rFonts w:ascii="Times New Roman" w:hAnsi="Times New Roman" w:cs="Times New Roman"/>
          <w:b/>
          <w:bCs/>
          <w:color w:val="010302"/>
          <w:sz w:val="24"/>
          <w:szCs w:val="24"/>
        </w:rPr>
        <w:t>Ground 1: paragraphs 1 -2:</w:t>
      </w:r>
    </w:p>
    <w:p w14:paraId="0BB22810" w14:textId="67ED66D1" w:rsidR="00185BEE" w:rsidRPr="00996790" w:rsidRDefault="008B4915"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 now turn to the specific </w:t>
      </w:r>
      <w:r w:rsidR="00F53DD4" w:rsidRPr="00996790">
        <w:rPr>
          <w:rFonts w:ascii="Times New Roman" w:hAnsi="Times New Roman" w:cs="Times New Roman"/>
          <w:color w:val="010302"/>
          <w:sz w:val="24"/>
          <w:szCs w:val="24"/>
        </w:rPr>
        <w:t xml:space="preserve">criticisms that </w:t>
      </w:r>
      <w:r w:rsidR="0035294E" w:rsidRPr="00996790">
        <w:rPr>
          <w:rFonts w:ascii="Times New Roman" w:hAnsi="Times New Roman" w:cs="Times New Roman"/>
          <w:color w:val="010302"/>
          <w:sz w:val="24"/>
          <w:szCs w:val="24"/>
        </w:rPr>
        <w:t>the claimant makes</w:t>
      </w:r>
      <w:r w:rsidR="00457F8B" w:rsidRPr="00996790">
        <w:rPr>
          <w:rFonts w:ascii="Times New Roman" w:hAnsi="Times New Roman" w:cs="Times New Roman"/>
          <w:color w:val="010302"/>
          <w:sz w:val="24"/>
          <w:szCs w:val="24"/>
        </w:rPr>
        <w:t>.  In essence the c</w:t>
      </w:r>
      <w:r w:rsidR="00B57D41" w:rsidRPr="00996790">
        <w:rPr>
          <w:rFonts w:ascii="Times New Roman" w:hAnsi="Times New Roman" w:cs="Times New Roman"/>
          <w:color w:val="010302"/>
          <w:sz w:val="24"/>
          <w:szCs w:val="24"/>
        </w:rPr>
        <w:t xml:space="preserve">omplaint here is </w:t>
      </w:r>
      <w:r w:rsidR="009E5BDB" w:rsidRPr="00996790">
        <w:rPr>
          <w:rFonts w:ascii="Times New Roman" w:hAnsi="Times New Roman" w:cs="Times New Roman"/>
          <w:color w:val="010302"/>
          <w:sz w:val="24"/>
          <w:szCs w:val="24"/>
        </w:rPr>
        <w:t xml:space="preserve">that the ET failed to clearly </w:t>
      </w:r>
      <w:r w:rsidR="00030EDC" w:rsidRPr="00996790">
        <w:rPr>
          <w:rFonts w:ascii="Times New Roman" w:hAnsi="Times New Roman" w:cs="Times New Roman"/>
          <w:color w:val="010302"/>
          <w:sz w:val="24"/>
          <w:szCs w:val="24"/>
        </w:rPr>
        <w:t xml:space="preserve">identify the relevant activity and/or adopted </w:t>
      </w:r>
      <w:r w:rsidR="009545B8" w:rsidRPr="00996790">
        <w:rPr>
          <w:rFonts w:ascii="Times New Roman" w:hAnsi="Times New Roman" w:cs="Times New Roman"/>
          <w:color w:val="010302"/>
          <w:sz w:val="24"/>
          <w:szCs w:val="24"/>
        </w:rPr>
        <w:t xml:space="preserve">a </w:t>
      </w:r>
      <w:r w:rsidR="00030EDC" w:rsidRPr="00996790">
        <w:rPr>
          <w:rFonts w:ascii="Times New Roman" w:hAnsi="Times New Roman" w:cs="Times New Roman"/>
          <w:color w:val="010302"/>
          <w:sz w:val="24"/>
          <w:szCs w:val="24"/>
        </w:rPr>
        <w:t xml:space="preserve">too narrow and pedantic </w:t>
      </w:r>
      <w:r w:rsidR="00FA7C4A" w:rsidRPr="00996790">
        <w:rPr>
          <w:rFonts w:ascii="Times New Roman" w:hAnsi="Times New Roman" w:cs="Times New Roman"/>
          <w:color w:val="010302"/>
          <w:sz w:val="24"/>
          <w:szCs w:val="24"/>
        </w:rPr>
        <w:lastRenderedPageBreak/>
        <w:t xml:space="preserve">approach </w:t>
      </w:r>
      <w:r w:rsidR="009545B8" w:rsidRPr="00996790">
        <w:rPr>
          <w:rFonts w:ascii="Times New Roman" w:hAnsi="Times New Roman" w:cs="Times New Roman"/>
          <w:color w:val="010302"/>
          <w:sz w:val="24"/>
          <w:szCs w:val="24"/>
        </w:rPr>
        <w:t xml:space="preserve">to what the relevant </w:t>
      </w:r>
      <w:r w:rsidR="002B06F4" w:rsidRPr="00996790">
        <w:rPr>
          <w:rFonts w:ascii="Times New Roman" w:hAnsi="Times New Roman" w:cs="Times New Roman"/>
          <w:color w:val="010302"/>
          <w:sz w:val="24"/>
          <w:szCs w:val="24"/>
        </w:rPr>
        <w:t xml:space="preserve">activity was.  </w:t>
      </w:r>
      <w:r w:rsidR="00941013" w:rsidRPr="00996790">
        <w:rPr>
          <w:rFonts w:ascii="Times New Roman" w:hAnsi="Times New Roman" w:cs="Times New Roman"/>
          <w:color w:val="010302"/>
          <w:sz w:val="24"/>
          <w:szCs w:val="24"/>
        </w:rPr>
        <w:t xml:space="preserve">I do not accept that </w:t>
      </w:r>
      <w:r w:rsidR="0027430F" w:rsidRPr="00996790">
        <w:rPr>
          <w:rFonts w:ascii="Times New Roman" w:hAnsi="Times New Roman" w:cs="Times New Roman"/>
          <w:color w:val="010302"/>
          <w:sz w:val="24"/>
          <w:szCs w:val="24"/>
        </w:rPr>
        <w:t>the ET f</w:t>
      </w:r>
      <w:r w:rsidR="007556DC">
        <w:rPr>
          <w:rFonts w:ascii="Times New Roman" w:hAnsi="Times New Roman" w:cs="Times New Roman"/>
          <w:color w:val="010302"/>
          <w:sz w:val="24"/>
          <w:szCs w:val="24"/>
        </w:rPr>
        <w:t>a</w:t>
      </w:r>
      <w:r w:rsidR="0027430F" w:rsidRPr="00996790">
        <w:rPr>
          <w:rFonts w:ascii="Times New Roman" w:hAnsi="Times New Roman" w:cs="Times New Roman"/>
          <w:color w:val="010302"/>
          <w:sz w:val="24"/>
          <w:szCs w:val="24"/>
        </w:rPr>
        <w:t xml:space="preserve">iled to identify the relevant activity.  </w:t>
      </w:r>
      <w:r w:rsidR="00FC7BFA" w:rsidRPr="00996790">
        <w:rPr>
          <w:rFonts w:ascii="Times New Roman" w:hAnsi="Times New Roman" w:cs="Times New Roman"/>
          <w:color w:val="010302"/>
          <w:sz w:val="24"/>
          <w:szCs w:val="24"/>
        </w:rPr>
        <w:t xml:space="preserve">I have already set out its reasoning </w:t>
      </w:r>
      <w:r w:rsidR="00147A16" w:rsidRPr="00996790">
        <w:rPr>
          <w:rFonts w:ascii="Times New Roman" w:hAnsi="Times New Roman" w:cs="Times New Roman"/>
          <w:color w:val="010302"/>
          <w:sz w:val="24"/>
          <w:szCs w:val="24"/>
        </w:rPr>
        <w:t xml:space="preserve">in this respect.  It was plainly </w:t>
      </w:r>
      <w:r w:rsidR="00144764" w:rsidRPr="00996790">
        <w:rPr>
          <w:rFonts w:ascii="Times New Roman" w:hAnsi="Times New Roman" w:cs="Times New Roman"/>
          <w:color w:val="010302"/>
          <w:sz w:val="24"/>
          <w:szCs w:val="24"/>
        </w:rPr>
        <w:t>alive to the significance of how the activity was characterised</w:t>
      </w:r>
      <w:r w:rsidR="00A67C63" w:rsidRPr="00996790">
        <w:rPr>
          <w:rFonts w:ascii="Times New Roman" w:hAnsi="Times New Roman" w:cs="Times New Roman"/>
          <w:color w:val="010302"/>
          <w:sz w:val="24"/>
          <w:szCs w:val="24"/>
        </w:rPr>
        <w:t xml:space="preserve">.  The opening sentence of </w:t>
      </w:r>
      <w:r w:rsidR="00B020CA" w:rsidRPr="00996790">
        <w:rPr>
          <w:rFonts w:ascii="Times New Roman" w:hAnsi="Times New Roman" w:cs="Times New Roman"/>
          <w:color w:val="010302"/>
          <w:sz w:val="24"/>
          <w:szCs w:val="24"/>
        </w:rPr>
        <w:t xml:space="preserve">paragraph 29 </w:t>
      </w:r>
      <w:r w:rsidR="00CB1644">
        <w:rPr>
          <w:rFonts w:ascii="Times New Roman" w:hAnsi="Times New Roman" w:cs="Times New Roman"/>
          <w:color w:val="010302"/>
          <w:sz w:val="24"/>
          <w:szCs w:val="24"/>
        </w:rPr>
        <w:t xml:space="preserve">of its Reasons </w:t>
      </w:r>
      <w:r w:rsidR="00B020CA" w:rsidRPr="00996790">
        <w:rPr>
          <w:rFonts w:ascii="Times New Roman" w:hAnsi="Times New Roman" w:cs="Times New Roman"/>
          <w:color w:val="010302"/>
          <w:sz w:val="24"/>
          <w:szCs w:val="24"/>
        </w:rPr>
        <w:t xml:space="preserve">shows that the ET </w:t>
      </w:r>
      <w:r w:rsidR="00C30504" w:rsidRPr="00996790">
        <w:rPr>
          <w:rFonts w:ascii="Times New Roman" w:hAnsi="Times New Roman" w:cs="Times New Roman"/>
          <w:color w:val="010302"/>
          <w:sz w:val="24"/>
          <w:szCs w:val="24"/>
        </w:rPr>
        <w:t xml:space="preserve">was aware that the activity </w:t>
      </w:r>
      <w:r w:rsidR="008752D4" w:rsidRPr="00996790">
        <w:rPr>
          <w:rFonts w:ascii="Times New Roman" w:hAnsi="Times New Roman" w:cs="Times New Roman"/>
          <w:color w:val="010302"/>
          <w:sz w:val="24"/>
          <w:szCs w:val="24"/>
        </w:rPr>
        <w:t xml:space="preserve">could have been characterised </w:t>
      </w:r>
      <w:r w:rsidR="008977DE" w:rsidRPr="00996790">
        <w:rPr>
          <w:rFonts w:ascii="Times New Roman" w:hAnsi="Times New Roman" w:cs="Times New Roman"/>
          <w:color w:val="010302"/>
          <w:sz w:val="24"/>
          <w:szCs w:val="24"/>
        </w:rPr>
        <w:t>as the provision of a CCTV monitoring service</w:t>
      </w:r>
      <w:r w:rsidR="00272210" w:rsidRPr="00996790">
        <w:rPr>
          <w:rFonts w:ascii="Times New Roman" w:hAnsi="Times New Roman" w:cs="Times New Roman"/>
          <w:color w:val="010302"/>
          <w:sz w:val="24"/>
          <w:szCs w:val="24"/>
        </w:rPr>
        <w:t xml:space="preserve">, but it then went on to </w:t>
      </w:r>
      <w:r w:rsidR="00FE3387" w:rsidRPr="00996790">
        <w:rPr>
          <w:rFonts w:ascii="Times New Roman" w:hAnsi="Times New Roman" w:cs="Times New Roman"/>
          <w:color w:val="010302"/>
          <w:sz w:val="24"/>
          <w:szCs w:val="24"/>
        </w:rPr>
        <w:t xml:space="preserve">explain why it considered that this </w:t>
      </w:r>
      <w:r w:rsidR="00CF6ABB" w:rsidRPr="00996790">
        <w:rPr>
          <w:rFonts w:ascii="Times New Roman" w:hAnsi="Times New Roman" w:cs="Times New Roman"/>
          <w:color w:val="010302"/>
          <w:sz w:val="24"/>
          <w:szCs w:val="24"/>
        </w:rPr>
        <w:t xml:space="preserve">would be superficial and inadequate and </w:t>
      </w:r>
      <w:r w:rsidR="00CB1644">
        <w:rPr>
          <w:rFonts w:ascii="Times New Roman" w:hAnsi="Times New Roman" w:cs="Times New Roman"/>
          <w:color w:val="010302"/>
          <w:sz w:val="24"/>
          <w:szCs w:val="24"/>
        </w:rPr>
        <w:t xml:space="preserve">would not </w:t>
      </w:r>
      <w:r w:rsidR="00CF6ABB" w:rsidRPr="00996790">
        <w:rPr>
          <w:rFonts w:ascii="Times New Roman" w:hAnsi="Times New Roman" w:cs="Times New Roman"/>
          <w:color w:val="010302"/>
          <w:sz w:val="24"/>
          <w:szCs w:val="24"/>
        </w:rPr>
        <w:t xml:space="preserve">reflect the fundamental </w:t>
      </w:r>
      <w:r w:rsidR="00495E6E" w:rsidRPr="00996790">
        <w:rPr>
          <w:rFonts w:ascii="Times New Roman" w:hAnsi="Times New Roman" w:cs="Times New Roman"/>
          <w:color w:val="010302"/>
          <w:sz w:val="24"/>
          <w:szCs w:val="24"/>
        </w:rPr>
        <w:t>changes that had taken place</w:t>
      </w:r>
      <w:r w:rsidR="007439AA" w:rsidRPr="00996790">
        <w:rPr>
          <w:rFonts w:ascii="Times New Roman" w:hAnsi="Times New Roman" w:cs="Times New Roman"/>
          <w:color w:val="010302"/>
          <w:sz w:val="24"/>
          <w:szCs w:val="24"/>
        </w:rPr>
        <w:t xml:space="preserve">.  </w:t>
      </w:r>
      <w:r w:rsidR="00D83379" w:rsidRPr="00996790">
        <w:rPr>
          <w:rFonts w:ascii="Times New Roman" w:hAnsi="Times New Roman" w:cs="Times New Roman"/>
          <w:color w:val="010302"/>
          <w:sz w:val="24"/>
          <w:szCs w:val="24"/>
        </w:rPr>
        <w:t xml:space="preserve">Further, I do not agree that the ET took an unduly </w:t>
      </w:r>
      <w:r w:rsidR="00B2432B" w:rsidRPr="00996790">
        <w:rPr>
          <w:rFonts w:ascii="Times New Roman" w:hAnsi="Times New Roman" w:cs="Times New Roman"/>
          <w:color w:val="010302"/>
          <w:sz w:val="24"/>
          <w:szCs w:val="24"/>
        </w:rPr>
        <w:t xml:space="preserve">narrow or pedantic approach to the </w:t>
      </w:r>
      <w:r w:rsidR="0035718A" w:rsidRPr="00996790">
        <w:rPr>
          <w:rFonts w:ascii="Times New Roman" w:hAnsi="Times New Roman" w:cs="Times New Roman"/>
          <w:color w:val="010302"/>
          <w:sz w:val="24"/>
          <w:szCs w:val="24"/>
        </w:rPr>
        <w:t>characterisation of the relevant activity</w:t>
      </w:r>
      <w:r w:rsidR="00C10852" w:rsidRPr="00996790">
        <w:rPr>
          <w:rFonts w:ascii="Times New Roman" w:hAnsi="Times New Roman" w:cs="Times New Roman"/>
          <w:color w:val="010302"/>
          <w:sz w:val="24"/>
          <w:szCs w:val="24"/>
        </w:rPr>
        <w:t xml:space="preserve"> i</w:t>
      </w:r>
      <w:r w:rsidR="0035718A" w:rsidRPr="00996790">
        <w:rPr>
          <w:rFonts w:ascii="Times New Roman" w:hAnsi="Times New Roman" w:cs="Times New Roman"/>
          <w:color w:val="010302"/>
          <w:sz w:val="24"/>
          <w:szCs w:val="24"/>
        </w:rPr>
        <w:t xml:space="preserve">n circumstances where they found </w:t>
      </w:r>
      <w:r w:rsidR="004414F2" w:rsidRPr="00996790">
        <w:rPr>
          <w:rFonts w:ascii="Times New Roman" w:hAnsi="Times New Roman" w:cs="Times New Roman"/>
          <w:color w:val="010302"/>
          <w:sz w:val="24"/>
          <w:szCs w:val="24"/>
        </w:rPr>
        <w:t xml:space="preserve">that the main part of the </w:t>
      </w:r>
      <w:r w:rsidR="00475E9C" w:rsidRPr="00996790">
        <w:rPr>
          <w:rFonts w:ascii="Times New Roman" w:hAnsi="Times New Roman" w:cs="Times New Roman"/>
          <w:color w:val="010302"/>
          <w:sz w:val="24"/>
          <w:szCs w:val="24"/>
        </w:rPr>
        <w:t xml:space="preserve">claimant's role had </w:t>
      </w:r>
      <w:r w:rsidR="00FF281B">
        <w:rPr>
          <w:rFonts w:ascii="Times New Roman" w:hAnsi="Times New Roman" w:cs="Times New Roman"/>
          <w:color w:val="010302"/>
          <w:sz w:val="24"/>
          <w:szCs w:val="24"/>
        </w:rPr>
        <w:t>“</w:t>
      </w:r>
      <w:r w:rsidR="000150BE" w:rsidRPr="00996790">
        <w:rPr>
          <w:rFonts w:ascii="Times New Roman" w:hAnsi="Times New Roman" w:cs="Times New Roman"/>
          <w:color w:val="010302"/>
          <w:sz w:val="24"/>
          <w:szCs w:val="24"/>
        </w:rPr>
        <w:t>disappeared overnight</w:t>
      </w:r>
      <w:r w:rsidR="00FF281B">
        <w:rPr>
          <w:rFonts w:ascii="Times New Roman" w:hAnsi="Times New Roman" w:cs="Times New Roman"/>
          <w:color w:val="010302"/>
          <w:sz w:val="24"/>
          <w:szCs w:val="24"/>
        </w:rPr>
        <w:t>”</w:t>
      </w:r>
      <w:r w:rsidR="000150BE" w:rsidRPr="00996790">
        <w:rPr>
          <w:rFonts w:ascii="Times New Roman" w:hAnsi="Times New Roman" w:cs="Times New Roman"/>
          <w:color w:val="010302"/>
          <w:sz w:val="24"/>
          <w:szCs w:val="24"/>
        </w:rPr>
        <w:t xml:space="preserve">.  </w:t>
      </w:r>
      <w:r w:rsidR="00C10852" w:rsidRPr="00996790">
        <w:rPr>
          <w:rFonts w:ascii="Times New Roman" w:hAnsi="Times New Roman" w:cs="Times New Roman"/>
          <w:color w:val="010302"/>
          <w:sz w:val="24"/>
          <w:szCs w:val="24"/>
        </w:rPr>
        <w:t xml:space="preserve">Engaging </w:t>
      </w:r>
      <w:r w:rsidR="00E4492B" w:rsidRPr="00996790">
        <w:rPr>
          <w:rFonts w:ascii="Times New Roman" w:hAnsi="Times New Roman" w:cs="Times New Roman"/>
          <w:color w:val="010302"/>
          <w:sz w:val="24"/>
          <w:szCs w:val="24"/>
        </w:rPr>
        <w:t xml:space="preserve">in minute comparisons with previously </w:t>
      </w:r>
      <w:r w:rsidR="00C752B6" w:rsidRPr="00996790">
        <w:rPr>
          <w:rFonts w:ascii="Times New Roman" w:hAnsi="Times New Roman" w:cs="Times New Roman"/>
          <w:color w:val="010302"/>
          <w:sz w:val="24"/>
          <w:szCs w:val="24"/>
        </w:rPr>
        <w:t xml:space="preserve">decided cases is not a fruitful exercise, as the question for the EAT in those cases too was whether </w:t>
      </w:r>
      <w:r w:rsidR="00F7693C" w:rsidRPr="00996790">
        <w:rPr>
          <w:rFonts w:ascii="Times New Roman" w:hAnsi="Times New Roman" w:cs="Times New Roman"/>
          <w:color w:val="010302"/>
          <w:sz w:val="24"/>
          <w:szCs w:val="24"/>
        </w:rPr>
        <w:t xml:space="preserve">the correct test applied, not whether the </w:t>
      </w:r>
      <w:r w:rsidR="007B2D0C" w:rsidRPr="00996790">
        <w:rPr>
          <w:rFonts w:ascii="Times New Roman" w:hAnsi="Times New Roman" w:cs="Times New Roman"/>
          <w:color w:val="010302"/>
          <w:sz w:val="24"/>
          <w:szCs w:val="24"/>
        </w:rPr>
        <w:t>EAT agreed with the conclusion</w:t>
      </w:r>
      <w:r w:rsidR="004A62A5">
        <w:rPr>
          <w:rFonts w:ascii="Times New Roman" w:hAnsi="Times New Roman" w:cs="Times New Roman"/>
          <w:color w:val="010302"/>
          <w:sz w:val="24"/>
          <w:szCs w:val="24"/>
        </w:rPr>
        <w:t xml:space="preserve"> reached</w:t>
      </w:r>
      <w:r w:rsidR="007B2D0C" w:rsidRPr="00996790">
        <w:rPr>
          <w:rFonts w:ascii="Times New Roman" w:hAnsi="Times New Roman" w:cs="Times New Roman"/>
          <w:color w:val="010302"/>
          <w:sz w:val="24"/>
          <w:szCs w:val="24"/>
        </w:rPr>
        <w:t xml:space="preserve">.  Nonetheless, in light of the criticism that the ET </w:t>
      </w:r>
      <w:r w:rsidR="00A44B91" w:rsidRPr="00996790">
        <w:rPr>
          <w:rFonts w:ascii="Times New Roman" w:hAnsi="Times New Roman" w:cs="Times New Roman"/>
          <w:color w:val="010302"/>
          <w:sz w:val="24"/>
          <w:szCs w:val="24"/>
        </w:rPr>
        <w:t xml:space="preserve">took </w:t>
      </w:r>
      <w:proofErr w:type="gramStart"/>
      <w:r w:rsidR="00A44B91" w:rsidRPr="00996790">
        <w:rPr>
          <w:rFonts w:ascii="Times New Roman" w:hAnsi="Times New Roman" w:cs="Times New Roman"/>
          <w:color w:val="010302"/>
          <w:sz w:val="24"/>
          <w:szCs w:val="24"/>
        </w:rPr>
        <w:t>to</w:t>
      </w:r>
      <w:r w:rsidR="001951E9">
        <w:rPr>
          <w:rFonts w:ascii="Times New Roman" w:hAnsi="Times New Roman" w:cs="Times New Roman"/>
          <w:color w:val="010302"/>
          <w:sz w:val="24"/>
          <w:szCs w:val="24"/>
        </w:rPr>
        <w:t>o</w:t>
      </w:r>
      <w:proofErr w:type="gramEnd"/>
      <w:r w:rsidR="00A44B91" w:rsidRPr="00996790">
        <w:rPr>
          <w:rFonts w:ascii="Times New Roman" w:hAnsi="Times New Roman" w:cs="Times New Roman"/>
          <w:color w:val="010302"/>
          <w:sz w:val="24"/>
          <w:szCs w:val="24"/>
        </w:rPr>
        <w:t xml:space="preserve"> narrow </w:t>
      </w:r>
      <w:r w:rsidR="00520CEF" w:rsidRPr="00996790">
        <w:rPr>
          <w:rFonts w:ascii="Times New Roman" w:hAnsi="Times New Roman" w:cs="Times New Roman"/>
          <w:color w:val="010302"/>
          <w:sz w:val="24"/>
          <w:szCs w:val="24"/>
        </w:rPr>
        <w:t>an approach, I observe, as will be apparent from the citations that I have already given</w:t>
      </w:r>
      <w:r w:rsidR="007C5B60" w:rsidRPr="00996790">
        <w:rPr>
          <w:rFonts w:ascii="Times New Roman" w:hAnsi="Times New Roman" w:cs="Times New Roman"/>
          <w:color w:val="010302"/>
          <w:sz w:val="24"/>
          <w:szCs w:val="24"/>
        </w:rPr>
        <w:t xml:space="preserve">, that the scale </w:t>
      </w:r>
      <w:r w:rsidR="00426148" w:rsidRPr="00996790">
        <w:rPr>
          <w:rFonts w:ascii="Times New Roman" w:hAnsi="Times New Roman" w:cs="Times New Roman"/>
          <w:color w:val="010302"/>
          <w:sz w:val="24"/>
          <w:szCs w:val="24"/>
        </w:rPr>
        <w:t xml:space="preserve">of change between the role </w:t>
      </w:r>
      <w:r w:rsidR="001951E9">
        <w:rPr>
          <w:rFonts w:ascii="Times New Roman" w:hAnsi="Times New Roman" w:cs="Times New Roman"/>
          <w:color w:val="010302"/>
          <w:sz w:val="24"/>
          <w:szCs w:val="24"/>
        </w:rPr>
        <w:t xml:space="preserve">previously </w:t>
      </w:r>
      <w:r w:rsidR="00426148" w:rsidRPr="00996790">
        <w:rPr>
          <w:rFonts w:ascii="Times New Roman" w:hAnsi="Times New Roman" w:cs="Times New Roman"/>
          <w:color w:val="010302"/>
          <w:sz w:val="24"/>
          <w:szCs w:val="24"/>
        </w:rPr>
        <w:t xml:space="preserve">undertaken </w:t>
      </w:r>
      <w:r w:rsidR="00C41BB7" w:rsidRPr="00996790">
        <w:rPr>
          <w:rFonts w:ascii="Times New Roman" w:hAnsi="Times New Roman" w:cs="Times New Roman"/>
          <w:color w:val="010302"/>
          <w:sz w:val="24"/>
          <w:szCs w:val="24"/>
        </w:rPr>
        <w:t xml:space="preserve">by the claimant and the activities carried out after the alleged </w:t>
      </w:r>
      <w:r w:rsidR="00417508" w:rsidRPr="00996790">
        <w:rPr>
          <w:rFonts w:ascii="Times New Roman" w:hAnsi="Times New Roman" w:cs="Times New Roman"/>
          <w:color w:val="010302"/>
          <w:sz w:val="24"/>
          <w:szCs w:val="24"/>
        </w:rPr>
        <w:t xml:space="preserve">transfer appears </w:t>
      </w:r>
      <w:r w:rsidR="001F00E7" w:rsidRPr="00996790">
        <w:rPr>
          <w:rFonts w:ascii="Times New Roman" w:hAnsi="Times New Roman" w:cs="Times New Roman"/>
          <w:color w:val="010302"/>
          <w:sz w:val="24"/>
          <w:szCs w:val="24"/>
        </w:rPr>
        <w:t xml:space="preserve">to be substantially greater than </w:t>
      </w:r>
      <w:r w:rsidR="00224F19" w:rsidRPr="00996790">
        <w:rPr>
          <w:rFonts w:ascii="Times New Roman" w:hAnsi="Times New Roman" w:cs="Times New Roman"/>
          <w:color w:val="010302"/>
          <w:sz w:val="24"/>
          <w:szCs w:val="24"/>
        </w:rPr>
        <w:t xml:space="preserve">the degree of change in a number of the earlier authorities where a tribunal's decision that the activities </w:t>
      </w:r>
      <w:r w:rsidR="0020771E" w:rsidRPr="00996790">
        <w:rPr>
          <w:rFonts w:ascii="Times New Roman" w:hAnsi="Times New Roman" w:cs="Times New Roman"/>
          <w:color w:val="010302"/>
          <w:sz w:val="24"/>
          <w:szCs w:val="24"/>
        </w:rPr>
        <w:t xml:space="preserve">were fundamentally </w:t>
      </w:r>
      <w:r w:rsidR="00836ACB" w:rsidRPr="00996790">
        <w:rPr>
          <w:rFonts w:ascii="Times New Roman" w:hAnsi="Times New Roman" w:cs="Times New Roman"/>
          <w:color w:val="010302"/>
          <w:sz w:val="24"/>
          <w:szCs w:val="24"/>
        </w:rPr>
        <w:t>different was upheld by the EAT</w:t>
      </w:r>
      <w:r w:rsidR="003B5ACB" w:rsidRPr="00996790">
        <w:rPr>
          <w:rFonts w:ascii="Times New Roman" w:hAnsi="Times New Roman" w:cs="Times New Roman"/>
          <w:color w:val="010302"/>
          <w:sz w:val="24"/>
          <w:szCs w:val="24"/>
        </w:rPr>
        <w:t xml:space="preserve">.  </w:t>
      </w:r>
    </w:p>
    <w:p w14:paraId="38694A9E" w14:textId="30B7BDD7" w:rsidR="004B446E" w:rsidRPr="00996790" w:rsidRDefault="00F1140A"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Although not </w:t>
      </w:r>
      <w:r w:rsidR="00B30B19" w:rsidRPr="00996790">
        <w:rPr>
          <w:rFonts w:ascii="Times New Roman" w:hAnsi="Times New Roman" w:cs="Times New Roman"/>
          <w:color w:val="010302"/>
          <w:sz w:val="24"/>
          <w:szCs w:val="24"/>
        </w:rPr>
        <w:t xml:space="preserve">a point </w:t>
      </w:r>
      <w:r w:rsidR="00EB1C40" w:rsidRPr="00996790">
        <w:rPr>
          <w:rFonts w:ascii="Times New Roman" w:hAnsi="Times New Roman" w:cs="Times New Roman"/>
          <w:color w:val="010302"/>
          <w:sz w:val="24"/>
          <w:szCs w:val="24"/>
        </w:rPr>
        <w:t>made with the same emphasis in the amended grounds</w:t>
      </w:r>
      <w:r w:rsidR="00F02A13">
        <w:rPr>
          <w:rFonts w:ascii="Times New Roman" w:hAnsi="Times New Roman" w:cs="Times New Roman"/>
          <w:color w:val="010302"/>
          <w:sz w:val="24"/>
          <w:szCs w:val="24"/>
        </w:rPr>
        <w:t xml:space="preserve"> of appeal</w:t>
      </w:r>
      <w:r w:rsidR="00EB1C40" w:rsidRPr="00996790">
        <w:rPr>
          <w:rFonts w:ascii="Times New Roman" w:hAnsi="Times New Roman" w:cs="Times New Roman"/>
          <w:color w:val="010302"/>
          <w:sz w:val="24"/>
          <w:szCs w:val="24"/>
        </w:rPr>
        <w:t xml:space="preserve">, the main </w:t>
      </w:r>
      <w:r w:rsidR="00E8790D">
        <w:rPr>
          <w:rFonts w:ascii="Times New Roman" w:hAnsi="Times New Roman" w:cs="Times New Roman"/>
          <w:color w:val="010302"/>
          <w:sz w:val="24"/>
          <w:szCs w:val="24"/>
        </w:rPr>
        <w:t xml:space="preserve">contention </w:t>
      </w:r>
      <w:r w:rsidR="00F02A13">
        <w:rPr>
          <w:rFonts w:ascii="Times New Roman" w:hAnsi="Times New Roman" w:cs="Times New Roman"/>
          <w:color w:val="010302"/>
          <w:sz w:val="24"/>
          <w:szCs w:val="24"/>
        </w:rPr>
        <w:t xml:space="preserve">that </w:t>
      </w:r>
      <w:r w:rsidR="00185BEE" w:rsidRPr="00996790">
        <w:rPr>
          <w:rFonts w:ascii="Times New Roman" w:hAnsi="Times New Roman" w:cs="Times New Roman"/>
          <w:color w:val="010302"/>
          <w:sz w:val="24"/>
          <w:szCs w:val="24"/>
        </w:rPr>
        <w:t xml:space="preserve">the claimant repeatedly </w:t>
      </w:r>
      <w:r w:rsidR="00E8790D">
        <w:rPr>
          <w:rFonts w:ascii="Times New Roman" w:hAnsi="Times New Roman" w:cs="Times New Roman"/>
          <w:color w:val="010302"/>
          <w:sz w:val="24"/>
          <w:szCs w:val="24"/>
        </w:rPr>
        <w:t xml:space="preserve">advanced </w:t>
      </w:r>
      <w:r w:rsidR="00185BEE" w:rsidRPr="00996790">
        <w:rPr>
          <w:rFonts w:ascii="Times New Roman" w:hAnsi="Times New Roman" w:cs="Times New Roman"/>
          <w:color w:val="010302"/>
          <w:sz w:val="24"/>
          <w:szCs w:val="24"/>
        </w:rPr>
        <w:t xml:space="preserve">in her oral submissions to me today was her </w:t>
      </w:r>
      <w:r w:rsidR="005F6E38" w:rsidRPr="00996790">
        <w:rPr>
          <w:rFonts w:ascii="Times New Roman" w:hAnsi="Times New Roman" w:cs="Times New Roman"/>
          <w:color w:val="010302"/>
          <w:sz w:val="24"/>
          <w:szCs w:val="24"/>
        </w:rPr>
        <w:t>availability argument</w:t>
      </w:r>
      <w:r w:rsidR="00A53A23">
        <w:rPr>
          <w:rFonts w:ascii="Times New Roman" w:hAnsi="Times New Roman" w:cs="Times New Roman"/>
          <w:color w:val="010302"/>
          <w:sz w:val="24"/>
          <w:szCs w:val="24"/>
        </w:rPr>
        <w:t>. As I have already indicated</w:t>
      </w:r>
      <w:r w:rsidR="005F6E38" w:rsidRPr="00996790">
        <w:rPr>
          <w:rFonts w:ascii="Times New Roman" w:hAnsi="Times New Roman" w:cs="Times New Roman"/>
          <w:color w:val="010302"/>
          <w:sz w:val="24"/>
          <w:szCs w:val="24"/>
        </w:rPr>
        <w:t xml:space="preserve">, I have taken </w:t>
      </w:r>
      <w:r w:rsidR="00E35CB9" w:rsidRPr="00996790">
        <w:rPr>
          <w:rFonts w:ascii="Times New Roman" w:hAnsi="Times New Roman" w:cs="Times New Roman"/>
          <w:color w:val="010302"/>
          <w:sz w:val="24"/>
          <w:szCs w:val="24"/>
        </w:rPr>
        <w:t xml:space="preserve">a </w:t>
      </w:r>
      <w:r w:rsidR="005013EF" w:rsidRPr="00996790">
        <w:rPr>
          <w:rFonts w:ascii="Times New Roman" w:hAnsi="Times New Roman" w:cs="Times New Roman"/>
          <w:color w:val="010302"/>
          <w:sz w:val="24"/>
          <w:szCs w:val="24"/>
        </w:rPr>
        <w:t xml:space="preserve">relatively </w:t>
      </w:r>
      <w:r w:rsidR="00C1318B" w:rsidRPr="00996790">
        <w:rPr>
          <w:rFonts w:ascii="Times New Roman" w:hAnsi="Times New Roman" w:cs="Times New Roman"/>
          <w:color w:val="010302"/>
          <w:sz w:val="24"/>
          <w:szCs w:val="24"/>
        </w:rPr>
        <w:t xml:space="preserve">broad view of the </w:t>
      </w:r>
      <w:r w:rsidR="00362F55">
        <w:rPr>
          <w:rFonts w:ascii="Times New Roman" w:hAnsi="Times New Roman" w:cs="Times New Roman"/>
          <w:color w:val="010302"/>
          <w:sz w:val="24"/>
          <w:szCs w:val="24"/>
        </w:rPr>
        <w:t xml:space="preserve">scope of the </w:t>
      </w:r>
      <w:r w:rsidR="00C1318B" w:rsidRPr="00996790">
        <w:rPr>
          <w:rFonts w:ascii="Times New Roman" w:hAnsi="Times New Roman" w:cs="Times New Roman"/>
          <w:color w:val="010302"/>
          <w:sz w:val="24"/>
          <w:szCs w:val="24"/>
        </w:rPr>
        <w:t xml:space="preserve">amended grounds and I accept that it is within </w:t>
      </w:r>
      <w:r w:rsidR="00CD2D3A">
        <w:rPr>
          <w:rFonts w:ascii="Times New Roman" w:hAnsi="Times New Roman" w:cs="Times New Roman"/>
          <w:color w:val="010302"/>
          <w:sz w:val="24"/>
          <w:szCs w:val="24"/>
        </w:rPr>
        <w:t xml:space="preserve">those grounds for </w:t>
      </w:r>
      <w:r w:rsidR="00DB5993" w:rsidRPr="00996790">
        <w:rPr>
          <w:rFonts w:ascii="Times New Roman" w:hAnsi="Times New Roman" w:cs="Times New Roman"/>
          <w:color w:val="010302"/>
          <w:sz w:val="24"/>
          <w:szCs w:val="24"/>
        </w:rPr>
        <w:t xml:space="preserve">her to </w:t>
      </w:r>
      <w:r w:rsidR="00464B54" w:rsidRPr="00996790">
        <w:rPr>
          <w:rFonts w:ascii="Times New Roman" w:hAnsi="Times New Roman" w:cs="Times New Roman"/>
          <w:color w:val="010302"/>
          <w:sz w:val="24"/>
          <w:szCs w:val="24"/>
        </w:rPr>
        <w:t>raise and develop th</w:t>
      </w:r>
      <w:r w:rsidR="00E8790D">
        <w:rPr>
          <w:rFonts w:ascii="Times New Roman" w:hAnsi="Times New Roman" w:cs="Times New Roman"/>
          <w:color w:val="010302"/>
          <w:sz w:val="24"/>
          <w:szCs w:val="24"/>
        </w:rPr>
        <w:t>is</w:t>
      </w:r>
      <w:r w:rsidR="00464B54" w:rsidRPr="00996790">
        <w:rPr>
          <w:rFonts w:ascii="Times New Roman" w:hAnsi="Times New Roman" w:cs="Times New Roman"/>
          <w:color w:val="010302"/>
          <w:sz w:val="24"/>
          <w:szCs w:val="24"/>
        </w:rPr>
        <w:t xml:space="preserve"> </w:t>
      </w:r>
      <w:r w:rsidR="00814190" w:rsidRPr="00996790">
        <w:rPr>
          <w:rFonts w:ascii="Times New Roman" w:hAnsi="Times New Roman" w:cs="Times New Roman"/>
          <w:color w:val="010302"/>
          <w:sz w:val="24"/>
          <w:szCs w:val="24"/>
        </w:rPr>
        <w:t xml:space="preserve">point.  </w:t>
      </w:r>
      <w:r w:rsidR="00F13A1F" w:rsidRPr="00996790">
        <w:rPr>
          <w:rFonts w:ascii="Times New Roman" w:hAnsi="Times New Roman" w:cs="Times New Roman"/>
          <w:color w:val="010302"/>
          <w:sz w:val="24"/>
          <w:szCs w:val="24"/>
        </w:rPr>
        <w:t xml:space="preserve">However, </w:t>
      </w:r>
      <w:r w:rsidR="00512A0F" w:rsidRPr="00996790">
        <w:rPr>
          <w:rFonts w:ascii="Times New Roman" w:hAnsi="Times New Roman" w:cs="Times New Roman"/>
          <w:color w:val="010302"/>
          <w:sz w:val="24"/>
          <w:szCs w:val="24"/>
        </w:rPr>
        <w:t xml:space="preserve">I do not accept that it is a well-founded </w:t>
      </w:r>
      <w:r w:rsidR="00E8790D">
        <w:rPr>
          <w:rFonts w:ascii="Times New Roman" w:hAnsi="Times New Roman" w:cs="Times New Roman"/>
          <w:color w:val="010302"/>
          <w:sz w:val="24"/>
          <w:szCs w:val="24"/>
        </w:rPr>
        <w:t>submission</w:t>
      </w:r>
      <w:r w:rsidR="00F653C6" w:rsidRPr="00996790">
        <w:rPr>
          <w:rFonts w:ascii="Times New Roman" w:hAnsi="Times New Roman" w:cs="Times New Roman"/>
          <w:color w:val="010302"/>
          <w:sz w:val="24"/>
          <w:szCs w:val="24"/>
        </w:rPr>
        <w:t xml:space="preserve">.  It is clear from the </w:t>
      </w:r>
      <w:r w:rsidR="00737C72" w:rsidRPr="00996790">
        <w:rPr>
          <w:rFonts w:ascii="Times New Roman" w:hAnsi="Times New Roman" w:cs="Times New Roman"/>
          <w:color w:val="010302"/>
          <w:sz w:val="24"/>
          <w:szCs w:val="24"/>
        </w:rPr>
        <w:t xml:space="preserve">statutory test </w:t>
      </w:r>
      <w:r w:rsidR="00A66DBF" w:rsidRPr="00996790">
        <w:rPr>
          <w:rFonts w:ascii="Times New Roman" w:hAnsi="Times New Roman" w:cs="Times New Roman"/>
          <w:color w:val="010302"/>
          <w:sz w:val="24"/>
          <w:szCs w:val="24"/>
        </w:rPr>
        <w:t>and the authorities</w:t>
      </w:r>
      <w:r w:rsidR="002C7B20">
        <w:rPr>
          <w:rFonts w:ascii="Times New Roman" w:hAnsi="Times New Roman" w:cs="Times New Roman"/>
          <w:color w:val="010302"/>
          <w:sz w:val="24"/>
          <w:szCs w:val="24"/>
        </w:rPr>
        <w:t xml:space="preserve"> </w:t>
      </w:r>
      <w:r w:rsidR="00A66DBF" w:rsidRPr="00996790">
        <w:rPr>
          <w:rFonts w:ascii="Times New Roman" w:hAnsi="Times New Roman" w:cs="Times New Roman"/>
          <w:color w:val="010302"/>
          <w:sz w:val="24"/>
          <w:szCs w:val="24"/>
        </w:rPr>
        <w:t xml:space="preserve">I have cited, </w:t>
      </w:r>
      <w:r w:rsidR="00A12F99" w:rsidRPr="00996790">
        <w:rPr>
          <w:rFonts w:ascii="Times New Roman" w:hAnsi="Times New Roman" w:cs="Times New Roman"/>
          <w:color w:val="010302"/>
          <w:sz w:val="24"/>
          <w:szCs w:val="24"/>
        </w:rPr>
        <w:t>that the focus is upon the</w:t>
      </w:r>
      <w:r w:rsidR="00587A30" w:rsidRPr="00996790">
        <w:rPr>
          <w:rFonts w:ascii="Times New Roman" w:hAnsi="Times New Roman" w:cs="Times New Roman"/>
          <w:color w:val="010302"/>
          <w:sz w:val="24"/>
          <w:szCs w:val="24"/>
        </w:rPr>
        <w:t xml:space="preserve"> activity undertaken </w:t>
      </w:r>
      <w:r w:rsidR="00A6138D" w:rsidRPr="00996790">
        <w:rPr>
          <w:rFonts w:ascii="Times New Roman" w:hAnsi="Times New Roman" w:cs="Times New Roman"/>
          <w:color w:val="010302"/>
          <w:sz w:val="24"/>
          <w:szCs w:val="24"/>
        </w:rPr>
        <w:t xml:space="preserve">and whether and to what degree </w:t>
      </w:r>
      <w:r w:rsidR="009F58C5" w:rsidRPr="00996790">
        <w:rPr>
          <w:rFonts w:ascii="Times New Roman" w:hAnsi="Times New Roman" w:cs="Times New Roman"/>
          <w:color w:val="010302"/>
          <w:sz w:val="24"/>
          <w:szCs w:val="24"/>
        </w:rPr>
        <w:t>th</w:t>
      </w:r>
      <w:r w:rsidR="00C156B2">
        <w:rPr>
          <w:rFonts w:ascii="Times New Roman" w:hAnsi="Times New Roman" w:cs="Times New Roman"/>
          <w:color w:val="010302"/>
          <w:sz w:val="24"/>
          <w:szCs w:val="24"/>
        </w:rPr>
        <w:t>is</w:t>
      </w:r>
      <w:r w:rsidR="009F58C5" w:rsidRPr="00996790">
        <w:rPr>
          <w:rFonts w:ascii="Times New Roman" w:hAnsi="Times New Roman" w:cs="Times New Roman"/>
          <w:color w:val="010302"/>
          <w:sz w:val="24"/>
          <w:szCs w:val="24"/>
        </w:rPr>
        <w:t xml:space="preserve"> change</w:t>
      </w:r>
      <w:r w:rsidR="00B4659F">
        <w:rPr>
          <w:rFonts w:ascii="Times New Roman" w:hAnsi="Times New Roman" w:cs="Times New Roman"/>
          <w:color w:val="010302"/>
          <w:sz w:val="24"/>
          <w:szCs w:val="24"/>
        </w:rPr>
        <w:t>d</w:t>
      </w:r>
      <w:r w:rsidR="0047547E" w:rsidRPr="00996790">
        <w:rPr>
          <w:rFonts w:ascii="Times New Roman" w:hAnsi="Times New Roman" w:cs="Times New Roman"/>
          <w:color w:val="010302"/>
          <w:sz w:val="24"/>
          <w:szCs w:val="24"/>
        </w:rPr>
        <w:t xml:space="preserve"> after the alleged transfer</w:t>
      </w:r>
      <w:r w:rsidR="004F57BF" w:rsidRPr="00996790">
        <w:rPr>
          <w:rFonts w:ascii="Times New Roman" w:hAnsi="Times New Roman" w:cs="Times New Roman"/>
          <w:color w:val="010302"/>
          <w:sz w:val="24"/>
          <w:szCs w:val="24"/>
        </w:rPr>
        <w:t>; s</w:t>
      </w:r>
      <w:r w:rsidR="0047547E" w:rsidRPr="00996790">
        <w:rPr>
          <w:rFonts w:ascii="Times New Roman" w:hAnsi="Times New Roman" w:cs="Times New Roman"/>
          <w:color w:val="010302"/>
          <w:sz w:val="24"/>
          <w:szCs w:val="24"/>
        </w:rPr>
        <w:t xml:space="preserve">imply </w:t>
      </w:r>
      <w:r w:rsidR="00B5248C" w:rsidRPr="00996790">
        <w:rPr>
          <w:rFonts w:ascii="Times New Roman" w:hAnsi="Times New Roman" w:cs="Times New Roman"/>
          <w:color w:val="010302"/>
          <w:sz w:val="24"/>
          <w:szCs w:val="24"/>
        </w:rPr>
        <w:t xml:space="preserve">by way </w:t>
      </w:r>
      <w:r w:rsidR="004546C6" w:rsidRPr="00996790">
        <w:rPr>
          <w:rFonts w:ascii="Times New Roman" w:hAnsi="Times New Roman" w:cs="Times New Roman"/>
          <w:color w:val="010302"/>
          <w:sz w:val="24"/>
          <w:szCs w:val="24"/>
        </w:rPr>
        <w:t xml:space="preserve">of example, </w:t>
      </w:r>
      <w:r w:rsidR="008A4B2D">
        <w:rPr>
          <w:rFonts w:ascii="Times New Roman" w:hAnsi="Times New Roman" w:cs="Times New Roman"/>
          <w:color w:val="010302"/>
          <w:sz w:val="24"/>
          <w:szCs w:val="24"/>
        </w:rPr>
        <w:t xml:space="preserve">see </w:t>
      </w:r>
      <w:r w:rsidR="005D423B" w:rsidRPr="00996790">
        <w:rPr>
          <w:rFonts w:ascii="Times New Roman" w:hAnsi="Times New Roman" w:cs="Times New Roman"/>
          <w:color w:val="010302"/>
          <w:sz w:val="24"/>
          <w:szCs w:val="24"/>
        </w:rPr>
        <w:t xml:space="preserve">paragraph 6 of </w:t>
      </w:r>
      <w:r w:rsidR="005D423B" w:rsidRPr="008A4B2D">
        <w:rPr>
          <w:rFonts w:ascii="Times New Roman" w:hAnsi="Times New Roman" w:cs="Times New Roman"/>
          <w:b/>
          <w:bCs/>
          <w:color w:val="010302"/>
          <w:sz w:val="24"/>
          <w:szCs w:val="24"/>
          <w:u w:val="single"/>
        </w:rPr>
        <w:t>Johnson Controls</w:t>
      </w:r>
      <w:r w:rsidR="008A4B2D">
        <w:rPr>
          <w:rFonts w:ascii="Times New Roman" w:hAnsi="Times New Roman" w:cs="Times New Roman"/>
          <w:color w:val="010302"/>
          <w:sz w:val="24"/>
          <w:szCs w:val="24"/>
        </w:rPr>
        <w:t xml:space="preserve"> (</w:t>
      </w:r>
      <w:r w:rsidR="005D423B" w:rsidRPr="008A4B2D">
        <w:rPr>
          <w:rFonts w:ascii="Times New Roman" w:hAnsi="Times New Roman" w:cs="Times New Roman"/>
          <w:color w:val="010302"/>
          <w:sz w:val="24"/>
          <w:szCs w:val="24"/>
        </w:rPr>
        <w:t>which</w:t>
      </w:r>
      <w:r w:rsidR="005D423B" w:rsidRPr="00996790">
        <w:rPr>
          <w:rFonts w:ascii="Times New Roman" w:hAnsi="Times New Roman" w:cs="Times New Roman"/>
          <w:color w:val="010302"/>
          <w:sz w:val="24"/>
          <w:szCs w:val="24"/>
        </w:rPr>
        <w:t xml:space="preserve"> is one of the paragraphs that the claimant relies on</w:t>
      </w:r>
      <w:r w:rsidR="008A4B2D">
        <w:rPr>
          <w:rFonts w:ascii="Times New Roman" w:hAnsi="Times New Roman" w:cs="Times New Roman"/>
          <w:color w:val="010302"/>
          <w:sz w:val="24"/>
          <w:szCs w:val="24"/>
        </w:rPr>
        <w:t>)</w:t>
      </w:r>
      <w:r w:rsidR="005D423B" w:rsidRPr="00996790">
        <w:rPr>
          <w:rFonts w:ascii="Times New Roman" w:hAnsi="Times New Roman" w:cs="Times New Roman"/>
          <w:color w:val="010302"/>
          <w:sz w:val="24"/>
          <w:szCs w:val="24"/>
        </w:rPr>
        <w:t xml:space="preserve">.  </w:t>
      </w:r>
      <w:r w:rsidR="00DE3580" w:rsidRPr="00996790">
        <w:rPr>
          <w:rFonts w:ascii="Times New Roman" w:hAnsi="Times New Roman" w:cs="Times New Roman"/>
          <w:color w:val="010302"/>
          <w:sz w:val="24"/>
          <w:szCs w:val="24"/>
        </w:rPr>
        <w:t>The ET did just that</w:t>
      </w:r>
      <w:r w:rsidR="002239AD">
        <w:rPr>
          <w:rFonts w:ascii="Times New Roman" w:hAnsi="Times New Roman" w:cs="Times New Roman"/>
          <w:color w:val="010302"/>
          <w:sz w:val="24"/>
          <w:szCs w:val="24"/>
        </w:rPr>
        <w:t xml:space="preserve">, focusing </w:t>
      </w:r>
      <w:r w:rsidR="00DE3580" w:rsidRPr="00996790">
        <w:rPr>
          <w:rFonts w:ascii="Times New Roman" w:hAnsi="Times New Roman" w:cs="Times New Roman"/>
          <w:color w:val="010302"/>
          <w:sz w:val="24"/>
          <w:szCs w:val="24"/>
        </w:rPr>
        <w:t xml:space="preserve">on the activity being undertaken and whether it </w:t>
      </w:r>
      <w:r w:rsidR="00860CD8">
        <w:rPr>
          <w:rFonts w:ascii="Times New Roman" w:hAnsi="Times New Roman" w:cs="Times New Roman"/>
          <w:color w:val="010302"/>
          <w:sz w:val="24"/>
          <w:szCs w:val="24"/>
        </w:rPr>
        <w:t xml:space="preserve">had </w:t>
      </w:r>
      <w:r w:rsidR="00DE3580" w:rsidRPr="00996790">
        <w:rPr>
          <w:rFonts w:ascii="Times New Roman" w:hAnsi="Times New Roman" w:cs="Times New Roman"/>
          <w:color w:val="010302"/>
          <w:sz w:val="24"/>
          <w:szCs w:val="24"/>
        </w:rPr>
        <w:t xml:space="preserve">changed.  </w:t>
      </w:r>
      <w:r w:rsidR="008E7593" w:rsidRPr="00996790">
        <w:rPr>
          <w:rFonts w:ascii="Times New Roman" w:hAnsi="Times New Roman" w:cs="Times New Roman"/>
          <w:color w:val="010302"/>
          <w:sz w:val="24"/>
          <w:szCs w:val="24"/>
        </w:rPr>
        <w:t>The reasons behind the change</w:t>
      </w:r>
      <w:r w:rsidR="00F52D8C" w:rsidRPr="00996790">
        <w:rPr>
          <w:rFonts w:ascii="Times New Roman" w:hAnsi="Times New Roman" w:cs="Times New Roman"/>
          <w:color w:val="010302"/>
          <w:sz w:val="24"/>
          <w:szCs w:val="24"/>
        </w:rPr>
        <w:t xml:space="preserve">, whilst part of the overall context, were not </w:t>
      </w:r>
      <w:r w:rsidR="00640B74" w:rsidRPr="00996790">
        <w:rPr>
          <w:rFonts w:ascii="Times New Roman" w:hAnsi="Times New Roman" w:cs="Times New Roman"/>
          <w:color w:val="010302"/>
          <w:sz w:val="24"/>
          <w:szCs w:val="24"/>
        </w:rPr>
        <w:t>directly in point save i</w:t>
      </w:r>
      <w:r w:rsidR="00526CD7">
        <w:rPr>
          <w:rFonts w:ascii="Times New Roman" w:hAnsi="Times New Roman" w:cs="Times New Roman"/>
          <w:color w:val="010302"/>
          <w:sz w:val="24"/>
          <w:szCs w:val="24"/>
        </w:rPr>
        <w:t>f and i</w:t>
      </w:r>
      <w:r w:rsidR="00640B74" w:rsidRPr="00996790">
        <w:rPr>
          <w:rFonts w:ascii="Times New Roman" w:hAnsi="Times New Roman" w:cs="Times New Roman"/>
          <w:color w:val="010302"/>
          <w:sz w:val="24"/>
          <w:szCs w:val="24"/>
        </w:rPr>
        <w:t xml:space="preserve">nsofar as they </w:t>
      </w:r>
      <w:r w:rsidR="00C97EF1" w:rsidRPr="00996790">
        <w:rPr>
          <w:rFonts w:ascii="Times New Roman" w:hAnsi="Times New Roman" w:cs="Times New Roman"/>
          <w:color w:val="010302"/>
          <w:sz w:val="24"/>
          <w:szCs w:val="24"/>
        </w:rPr>
        <w:t xml:space="preserve">indicated </w:t>
      </w:r>
      <w:r w:rsidR="00C97EF1" w:rsidRPr="00996790">
        <w:rPr>
          <w:rFonts w:ascii="Times New Roman" w:hAnsi="Times New Roman" w:cs="Times New Roman"/>
          <w:color w:val="010302"/>
          <w:sz w:val="24"/>
          <w:szCs w:val="24"/>
        </w:rPr>
        <w:lastRenderedPageBreak/>
        <w:t>deliberate engineering to evade the consequences of TUPE, a proposition that was rejected</w:t>
      </w:r>
      <w:r w:rsidR="0060299D" w:rsidRPr="00996790">
        <w:rPr>
          <w:rFonts w:ascii="Times New Roman" w:hAnsi="Times New Roman" w:cs="Times New Roman"/>
          <w:color w:val="010302"/>
          <w:sz w:val="24"/>
          <w:szCs w:val="24"/>
        </w:rPr>
        <w:t xml:space="preserve"> </w:t>
      </w:r>
      <w:r w:rsidR="00BE7267">
        <w:rPr>
          <w:rFonts w:ascii="Times New Roman" w:hAnsi="Times New Roman" w:cs="Times New Roman"/>
          <w:color w:val="010302"/>
          <w:sz w:val="24"/>
          <w:szCs w:val="24"/>
        </w:rPr>
        <w:t>as</w:t>
      </w:r>
      <w:r w:rsidR="00B4659F">
        <w:rPr>
          <w:rFonts w:ascii="Times New Roman" w:hAnsi="Times New Roman" w:cs="Times New Roman"/>
          <w:color w:val="010302"/>
          <w:sz w:val="24"/>
          <w:szCs w:val="24"/>
        </w:rPr>
        <w:t xml:space="preserve"> </w:t>
      </w:r>
      <w:r w:rsidR="0060299D" w:rsidRPr="00996790">
        <w:rPr>
          <w:rFonts w:ascii="Times New Roman" w:hAnsi="Times New Roman" w:cs="Times New Roman"/>
          <w:color w:val="010302"/>
          <w:sz w:val="24"/>
          <w:szCs w:val="24"/>
        </w:rPr>
        <w:t>I turn to in ground 2.  Acco</w:t>
      </w:r>
      <w:r w:rsidR="00690446" w:rsidRPr="00996790">
        <w:rPr>
          <w:rFonts w:ascii="Times New Roman" w:hAnsi="Times New Roman" w:cs="Times New Roman"/>
          <w:color w:val="010302"/>
          <w:sz w:val="24"/>
          <w:szCs w:val="24"/>
        </w:rPr>
        <w:t xml:space="preserve">rdingly, </w:t>
      </w:r>
      <w:r w:rsidR="00CE6C81" w:rsidRPr="00996790">
        <w:rPr>
          <w:rFonts w:ascii="Times New Roman" w:hAnsi="Times New Roman" w:cs="Times New Roman"/>
          <w:color w:val="010302"/>
          <w:sz w:val="24"/>
          <w:szCs w:val="24"/>
        </w:rPr>
        <w:t xml:space="preserve">if the activity </w:t>
      </w:r>
      <w:r w:rsidR="00C952C6" w:rsidRPr="00996790">
        <w:rPr>
          <w:rFonts w:ascii="Times New Roman" w:hAnsi="Times New Roman" w:cs="Times New Roman"/>
          <w:color w:val="010302"/>
          <w:sz w:val="24"/>
          <w:szCs w:val="24"/>
        </w:rPr>
        <w:t>was fundamentally different</w:t>
      </w:r>
      <w:r w:rsidR="00E246F1" w:rsidRPr="00996790">
        <w:rPr>
          <w:rFonts w:ascii="Times New Roman" w:hAnsi="Times New Roman" w:cs="Times New Roman"/>
          <w:color w:val="010302"/>
          <w:sz w:val="24"/>
          <w:szCs w:val="24"/>
        </w:rPr>
        <w:t xml:space="preserve">, it mattered not whether the </w:t>
      </w:r>
      <w:r w:rsidR="00BE629E" w:rsidRPr="00996790">
        <w:rPr>
          <w:rFonts w:ascii="Times New Roman" w:hAnsi="Times New Roman" w:cs="Times New Roman"/>
          <w:color w:val="010302"/>
          <w:sz w:val="24"/>
          <w:szCs w:val="24"/>
        </w:rPr>
        <w:t xml:space="preserve">reason for that </w:t>
      </w:r>
      <w:r w:rsidR="00F1165F">
        <w:rPr>
          <w:rFonts w:ascii="Times New Roman" w:hAnsi="Times New Roman" w:cs="Times New Roman"/>
          <w:color w:val="010302"/>
          <w:sz w:val="24"/>
          <w:szCs w:val="24"/>
        </w:rPr>
        <w:t xml:space="preserve">difference </w:t>
      </w:r>
      <w:r w:rsidR="00BE629E" w:rsidRPr="00996790">
        <w:rPr>
          <w:rFonts w:ascii="Times New Roman" w:hAnsi="Times New Roman" w:cs="Times New Roman"/>
          <w:color w:val="010302"/>
          <w:sz w:val="24"/>
          <w:szCs w:val="24"/>
        </w:rPr>
        <w:t xml:space="preserve">arose from </w:t>
      </w:r>
      <w:r w:rsidR="00F23B73" w:rsidRPr="00996790">
        <w:rPr>
          <w:rFonts w:ascii="Times New Roman" w:hAnsi="Times New Roman" w:cs="Times New Roman"/>
          <w:color w:val="010302"/>
          <w:sz w:val="24"/>
          <w:szCs w:val="24"/>
        </w:rPr>
        <w:t xml:space="preserve">staff availability or </w:t>
      </w:r>
      <w:r w:rsidR="00F1165F">
        <w:rPr>
          <w:rFonts w:ascii="Times New Roman" w:hAnsi="Times New Roman" w:cs="Times New Roman"/>
          <w:color w:val="010302"/>
          <w:sz w:val="24"/>
          <w:szCs w:val="24"/>
        </w:rPr>
        <w:t xml:space="preserve">from </w:t>
      </w:r>
      <w:r w:rsidR="00F23B73" w:rsidRPr="00996790">
        <w:rPr>
          <w:rFonts w:ascii="Times New Roman" w:hAnsi="Times New Roman" w:cs="Times New Roman"/>
          <w:color w:val="010302"/>
          <w:sz w:val="24"/>
          <w:szCs w:val="24"/>
        </w:rPr>
        <w:t xml:space="preserve">other reasons.  Furthermore, there is no authority </w:t>
      </w:r>
      <w:r w:rsidR="00F370C0">
        <w:rPr>
          <w:rFonts w:ascii="Times New Roman" w:hAnsi="Times New Roman" w:cs="Times New Roman"/>
          <w:color w:val="010302"/>
          <w:sz w:val="24"/>
          <w:szCs w:val="24"/>
        </w:rPr>
        <w:t xml:space="preserve">that I am aware of that </w:t>
      </w:r>
      <w:r w:rsidR="00CC7826" w:rsidRPr="00996790">
        <w:rPr>
          <w:rFonts w:ascii="Times New Roman" w:hAnsi="Times New Roman" w:cs="Times New Roman"/>
          <w:color w:val="010302"/>
          <w:sz w:val="24"/>
          <w:szCs w:val="24"/>
        </w:rPr>
        <w:t>support</w:t>
      </w:r>
      <w:r w:rsidR="00F370C0">
        <w:rPr>
          <w:rFonts w:ascii="Times New Roman" w:hAnsi="Times New Roman" w:cs="Times New Roman"/>
          <w:color w:val="010302"/>
          <w:sz w:val="24"/>
          <w:szCs w:val="24"/>
        </w:rPr>
        <w:t>s</w:t>
      </w:r>
      <w:r w:rsidR="00CC7826" w:rsidRPr="00996790">
        <w:rPr>
          <w:rFonts w:ascii="Times New Roman" w:hAnsi="Times New Roman" w:cs="Times New Roman"/>
          <w:color w:val="010302"/>
          <w:sz w:val="24"/>
          <w:szCs w:val="24"/>
        </w:rPr>
        <w:t xml:space="preserve"> </w:t>
      </w:r>
      <w:r w:rsidR="00DB5FA9" w:rsidRPr="00996790">
        <w:rPr>
          <w:rFonts w:ascii="Times New Roman" w:hAnsi="Times New Roman" w:cs="Times New Roman"/>
          <w:color w:val="010302"/>
          <w:sz w:val="24"/>
          <w:szCs w:val="24"/>
        </w:rPr>
        <w:t xml:space="preserve">the claimant's submission </w:t>
      </w:r>
      <w:r w:rsidR="00AE79FD" w:rsidRPr="00996790">
        <w:rPr>
          <w:rFonts w:ascii="Times New Roman" w:hAnsi="Times New Roman" w:cs="Times New Roman"/>
          <w:color w:val="010302"/>
          <w:sz w:val="24"/>
          <w:szCs w:val="24"/>
        </w:rPr>
        <w:t xml:space="preserve">that if a change arises from availability </w:t>
      </w:r>
      <w:r w:rsidR="00F370C0">
        <w:rPr>
          <w:rFonts w:ascii="Times New Roman" w:hAnsi="Times New Roman" w:cs="Times New Roman"/>
          <w:color w:val="010302"/>
          <w:sz w:val="24"/>
          <w:szCs w:val="24"/>
        </w:rPr>
        <w:t>consideration</w:t>
      </w:r>
      <w:r w:rsidR="00AE79FD" w:rsidRPr="00996790">
        <w:rPr>
          <w:rFonts w:ascii="Times New Roman" w:hAnsi="Times New Roman" w:cs="Times New Roman"/>
          <w:color w:val="010302"/>
          <w:sz w:val="24"/>
          <w:szCs w:val="24"/>
        </w:rPr>
        <w:t xml:space="preserve">s, it is irrelevant </w:t>
      </w:r>
      <w:r w:rsidR="00A33E55" w:rsidRPr="00996790">
        <w:rPr>
          <w:rFonts w:ascii="Times New Roman" w:hAnsi="Times New Roman" w:cs="Times New Roman"/>
          <w:color w:val="010302"/>
          <w:sz w:val="24"/>
          <w:szCs w:val="24"/>
        </w:rPr>
        <w:t xml:space="preserve">and must be left out of account by the </w:t>
      </w:r>
      <w:r w:rsidR="00F370C0">
        <w:rPr>
          <w:rFonts w:ascii="Times New Roman" w:hAnsi="Times New Roman" w:cs="Times New Roman"/>
          <w:color w:val="010302"/>
          <w:sz w:val="24"/>
          <w:szCs w:val="24"/>
        </w:rPr>
        <w:t>T</w:t>
      </w:r>
      <w:r w:rsidR="00A33E55" w:rsidRPr="00996790">
        <w:rPr>
          <w:rFonts w:ascii="Times New Roman" w:hAnsi="Times New Roman" w:cs="Times New Roman"/>
          <w:color w:val="010302"/>
          <w:sz w:val="24"/>
          <w:szCs w:val="24"/>
        </w:rPr>
        <w:t xml:space="preserve">ribunal.  </w:t>
      </w:r>
      <w:r w:rsidR="001257B9">
        <w:rPr>
          <w:rFonts w:ascii="Times New Roman" w:hAnsi="Times New Roman" w:cs="Times New Roman"/>
          <w:color w:val="010302"/>
          <w:sz w:val="24"/>
          <w:szCs w:val="24"/>
        </w:rPr>
        <w:t xml:space="preserve">Moreover, that approach would </w:t>
      </w:r>
      <w:r w:rsidR="004B1BF2" w:rsidRPr="00996790">
        <w:rPr>
          <w:rFonts w:ascii="Times New Roman" w:hAnsi="Times New Roman" w:cs="Times New Roman"/>
          <w:color w:val="010302"/>
          <w:sz w:val="24"/>
          <w:szCs w:val="24"/>
        </w:rPr>
        <w:t>run contra</w:t>
      </w:r>
      <w:r w:rsidR="005B7A83" w:rsidRPr="00996790">
        <w:rPr>
          <w:rFonts w:ascii="Times New Roman" w:hAnsi="Times New Roman" w:cs="Times New Roman"/>
          <w:color w:val="010302"/>
          <w:sz w:val="24"/>
          <w:szCs w:val="24"/>
        </w:rPr>
        <w:t xml:space="preserve">ry to </w:t>
      </w:r>
      <w:r w:rsidR="0049164E" w:rsidRPr="00996790">
        <w:rPr>
          <w:rFonts w:ascii="Times New Roman" w:hAnsi="Times New Roman" w:cs="Times New Roman"/>
          <w:color w:val="010302"/>
          <w:sz w:val="24"/>
          <w:szCs w:val="24"/>
        </w:rPr>
        <w:t xml:space="preserve">the </w:t>
      </w:r>
      <w:r w:rsidR="00C7515A" w:rsidRPr="00996790">
        <w:rPr>
          <w:rFonts w:ascii="Times New Roman" w:hAnsi="Times New Roman" w:cs="Times New Roman"/>
          <w:color w:val="010302"/>
          <w:sz w:val="24"/>
          <w:szCs w:val="24"/>
        </w:rPr>
        <w:t>authorities that I have cited from</w:t>
      </w:r>
      <w:r w:rsidR="001257B9">
        <w:rPr>
          <w:rFonts w:ascii="Times New Roman" w:hAnsi="Times New Roman" w:cs="Times New Roman"/>
          <w:color w:val="010302"/>
          <w:sz w:val="24"/>
          <w:szCs w:val="24"/>
        </w:rPr>
        <w:t xml:space="preserve">, </w:t>
      </w:r>
      <w:r w:rsidR="00B30ED4">
        <w:rPr>
          <w:rFonts w:ascii="Times New Roman" w:hAnsi="Times New Roman" w:cs="Times New Roman"/>
          <w:color w:val="010302"/>
          <w:sz w:val="24"/>
          <w:szCs w:val="24"/>
        </w:rPr>
        <w:t>as I have explained</w:t>
      </w:r>
      <w:r w:rsidR="00C7515A" w:rsidRPr="00996790">
        <w:rPr>
          <w:rFonts w:ascii="Times New Roman" w:hAnsi="Times New Roman" w:cs="Times New Roman"/>
          <w:color w:val="010302"/>
          <w:sz w:val="24"/>
          <w:szCs w:val="24"/>
        </w:rPr>
        <w:t xml:space="preserve">.  </w:t>
      </w:r>
    </w:p>
    <w:p w14:paraId="68F533CF" w14:textId="77777777" w:rsidR="001A592F" w:rsidRDefault="00D71C73"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Turning then to the specific </w:t>
      </w:r>
      <w:r w:rsidR="00383666" w:rsidRPr="00996790">
        <w:rPr>
          <w:rFonts w:ascii="Times New Roman" w:hAnsi="Times New Roman" w:cs="Times New Roman"/>
          <w:color w:val="010302"/>
          <w:sz w:val="24"/>
          <w:szCs w:val="24"/>
        </w:rPr>
        <w:t xml:space="preserve">subparagraphs of ground 1, </w:t>
      </w:r>
      <w:r w:rsidR="003038C7" w:rsidRPr="00996790">
        <w:rPr>
          <w:rFonts w:ascii="Times New Roman" w:hAnsi="Times New Roman" w:cs="Times New Roman"/>
          <w:color w:val="010302"/>
          <w:sz w:val="24"/>
          <w:szCs w:val="24"/>
        </w:rPr>
        <w:t xml:space="preserve">which I have already </w:t>
      </w:r>
      <w:r w:rsidR="00506C8B" w:rsidRPr="00996790">
        <w:rPr>
          <w:rFonts w:ascii="Times New Roman" w:hAnsi="Times New Roman" w:cs="Times New Roman"/>
          <w:color w:val="010302"/>
          <w:sz w:val="24"/>
          <w:szCs w:val="24"/>
        </w:rPr>
        <w:t xml:space="preserve">read, paragraph 1(a) asserts that the activities </w:t>
      </w:r>
      <w:r w:rsidR="00AC7371" w:rsidRPr="00996790">
        <w:rPr>
          <w:rFonts w:ascii="Times New Roman" w:hAnsi="Times New Roman" w:cs="Times New Roman"/>
          <w:color w:val="010302"/>
          <w:sz w:val="24"/>
          <w:szCs w:val="24"/>
        </w:rPr>
        <w:t xml:space="preserve">pre and post transfer were </w:t>
      </w:r>
      <w:r w:rsidR="00190EE6">
        <w:rPr>
          <w:rFonts w:ascii="Times New Roman" w:hAnsi="Times New Roman" w:cs="Times New Roman"/>
          <w:color w:val="010302"/>
          <w:sz w:val="24"/>
          <w:szCs w:val="24"/>
        </w:rPr>
        <w:t>“</w:t>
      </w:r>
      <w:r w:rsidR="00AC7371" w:rsidRPr="00996790">
        <w:rPr>
          <w:rFonts w:ascii="Times New Roman" w:hAnsi="Times New Roman" w:cs="Times New Roman"/>
          <w:color w:val="010302"/>
          <w:sz w:val="24"/>
          <w:szCs w:val="24"/>
        </w:rPr>
        <w:t>e</w:t>
      </w:r>
      <w:r w:rsidR="0093632E" w:rsidRPr="00996790">
        <w:rPr>
          <w:rFonts w:ascii="Times New Roman" w:hAnsi="Times New Roman" w:cs="Times New Roman"/>
          <w:color w:val="010302"/>
          <w:sz w:val="24"/>
          <w:szCs w:val="24"/>
        </w:rPr>
        <w:t>s</w:t>
      </w:r>
      <w:r w:rsidR="00AC7371" w:rsidRPr="00996790">
        <w:rPr>
          <w:rFonts w:ascii="Times New Roman" w:hAnsi="Times New Roman" w:cs="Times New Roman"/>
          <w:color w:val="010302"/>
          <w:sz w:val="24"/>
          <w:szCs w:val="24"/>
        </w:rPr>
        <w:t>sentially the same</w:t>
      </w:r>
      <w:r w:rsidR="00190EE6">
        <w:rPr>
          <w:rFonts w:ascii="Times New Roman" w:hAnsi="Times New Roman" w:cs="Times New Roman"/>
          <w:color w:val="010302"/>
          <w:sz w:val="24"/>
          <w:szCs w:val="24"/>
        </w:rPr>
        <w:t>”</w:t>
      </w:r>
      <w:r w:rsidR="00AC7371" w:rsidRPr="00996790">
        <w:rPr>
          <w:rFonts w:ascii="Times New Roman" w:hAnsi="Times New Roman" w:cs="Times New Roman"/>
          <w:color w:val="010302"/>
          <w:sz w:val="24"/>
          <w:szCs w:val="24"/>
        </w:rPr>
        <w:t xml:space="preserve">.  </w:t>
      </w:r>
      <w:r w:rsidR="0093632E" w:rsidRPr="00996790">
        <w:rPr>
          <w:rFonts w:ascii="Times New Roman" w:hAnsi="Times New Roman" w:cs="Times New Roman"/>
          <w:color w:val="010302"/>
          <w:sz w:val="24"/>
          <w:szCs w:val="24"/>
        </w:rPr>
        <w:t xml:space="preserve">That is plainly not correct on the ET's unassailable </w:t>
      </w:r>
      <w:r w:rsidR="0006214F" w:rsidRPr="00996790">
        <w:rPr>
          <w:rFonts w:ascii="Times New Roman" w:hAnsi="Times New Roman" w:cs="Times New Roman"/>
          <w:color w:val="010302"/>
          <w:sz w:val="24"/>
          <w:szCs w:val="24"/>
        </w:rPr>
        <w:t xml:space="preserve">findings of fact.  </w:t>
      </w:r>
      <w:r w:rsidR="00F50D05" w:rsidRPr="00996790">
        <w:rPr>
          <w:rFonts w:ascii="Times New Roman" w:hAnsi="Times New Roman" w:cs="Times New Roman"/>
          <w:color w:val="010302"/>
          <w:sz w:val="24"/>
          <w:szCs w:val="24"/>
        </w:rPr>
        <w:t xml:space="preserve">Paragraphs 1(b) and (c) refer to Mr Free's email, which I will address when I come on to </w:t>
      </w:r>
      <w:r w:rsidR="00677F08" w:rsidRPr="00996790">
        <w:rPr>
          <w:rFonts w:ascii="Times New Roman" w:hAnsi="Times New Roman" w:cs="Times New Roman"/>
          <w:color w:val="010302"/>
          <w:sz w:val="24"/>
          <w:szCs w:val="24"/>
        </w:rPr>
        <w:t xml:space="preserve">ground 3.  </w:t>
      </w:r>
    </w:p>
    <w:p w14:paraId="47E9A9ED" w14:textId="100D7283" w:rsidR="00197E85" w:rsidRDefault="00A10841"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Paragraph 1(d) relates to the fact that </w:t>
      </w:r>
      <w:r w:rsidR="001D0084" w:rsidRPr="00996790">
        <w:rPr>
          <w:rFonts w:ascii="Times New Roman" w:hAnsi="Times New Roman" w:cs="Times New Roman"/>
          <w:color w:val="010302"/>
          <w:sz w:val="24"/>
          <w:szCs w:val="24"/>
        </w:rPr>
        <w:t xml:space="preserve">the equipment </w:t>
      </w:r>
      <w:r w:rsidR="00105111" w:rsidRPr="00996790">
        <w:rPr>
          <w:rFonts w:ascii="Times New Roman" w:hAnsi="Times New Roman" w:cs="Times New Roman"/>
          <w:color w:val="010302"/>
          <w:sz w:val="24"/>
          <w:szCs w:val="24"/>
        </w:rPr>
        <w:t xml:space="preserve">did not move location.  That is </w:t>
      </w:r>
      <w:r w:rsidR="004466EE">
        <w:rPr>
          <w:rFonts w:ascii="Times New Roman" w:hAnsi="Times New Roman" w:cs="Times New Roman"/>
          <w:color w:val="010302"/>
          <w:sz w:val="24"/>
          <w:szCs w:val="24"/>
        </w:rPr>
        <w:t xml:space="preserve">factually </w:t>
      </w:r>
      <w:r w:rsidR="00105111" w:rsidRPr="00996790">
        <w:rPr>
          <w:rFonts w:ascii="Times New Roman" w:hAnsi="Times New Roman" w:cs="Times New Roman"/>
          <w:color w:val="010302"/>
          <w:sz w:val="24"/>
          <w:szCs w:val="24"/>
        </w:rPr>
        <w:t>correct</w:t>
      </w:r>
      <w:r w:rsidR="00975372" w:rsidRPr="00996790">
        <w:rPr>
          <w:rFonts w:ascii="Times New Roman" w:hAnsi="Times New Roman" w:cs="Times New Roman"/>
          <w:color w:val="010302"/>
          <w:sz w:val="24"/>
          <w:szCs w:val="24"/>
        </w:rPr>
        <w:t xml:space="preserve">, but it could not possibly </w:t>
      </w:r>
      <w:r w:rsidR="00861ACD" w:rsidRPr="00996790">
        <w:rPr>
          <w:rFonts w:ascii="Times New Roman" w:hAnsi="Times New Roman" w:cs="Times New Roman"/>
          <w:color w:val="010302"/>
          <w:sz w:val="24"/>
          <w:szCs w:val="24"/>
        </w:rPr>
        <w:t>be determinative of the pro</w:t>
      </w:r>
      <w:r w:rsidR="0080608F" w:rsidRPr="00996790">
        <w:rPr>
          <w:rFonts w:ascii="Times New Roman" w:hAnsi="Times New Roman" w:cs="Times New Roman"/>
          <w:color w:val="010302"/>
          <w:sz w:val="24"/>
          <w:szCs w:val="24"/>
        </w:rPr>
        <w:t xml:space="preserve">position that </w:t>
      </w:r>
      <w:r w:rsidR="001A592F">
        <w:rPr>
          <w:rFonts w:ascii="Times New Roman" w:hAnsi="Times New Roman" w:cs="Times New Roman"/>
          <w:color w:val="010302"/>
          <w:sz w:val="24"/>
          <w:szCs w:val="24"/>
        </w:rPr>
        <w:t xml:space="preserve">the </w:t>
      </w:r>
      <w:r w:rsidR="0080608F" w:rsidRPr="00996790">
        <w:rPr>
          <w:rFonts w:ascii="Times New Roman" w:hAnsi="Times New Roman" w:cs="Times New Roman"/>
          <w:color w:val="010302"/>
          <w:sz w:val="24"/>
          <w:szCs w:val="24"/>
        </w:rPr>
        <w:t xml:space="preserve">activities did not fundamentally change, particularly </w:t>
      </w:r>
      <w:proofErr w:type="gramStart"/>
      <w:r w:rsidR="0080608F" w:rsidRPr="00996790">
        <w:rPr>
          <w:rFonts w:ascii="Times New Roman" w:hAnsi="Times New Roman" w:cs="Times New Roman"/>
          <w:color w:val="010302"/>
          <w:sz w:val="24"/>
          <w:szCs w:val="24"/>
        </w:rPr>
        <w:t>in light of</w:t>
      </w:r>
      <w:proofErr w:type="gramEnd"/>
      <w:r w:rsidR="0080608F" w:rsidRPr="00996790">
        <w:rPr>
          <w:rFonts w:ascii="Times New Roman" w:hAnsi="Times New Roman" w:cs="Times New Roman"/>
          <w:color w:val="010302"/>
          <w:sz w:val="24"/>
          <w:szCs w:val="24"/>
        </w:rPr>
        <w:t xml:space="preserve"> the </w:t>
      </w:r>
      <w:r w:rsidR="005E0AE1">
        <w:rPr>
          <w:rFonts w:ascii="Times New Roman" w:hAnsi="Times New Roman" w:cs="Times New Roman"/>
          <w:color w:val="010302"/>
          <w:sz w:val="24"/>
          <w:szCs w:val="24"/>
        </w:rPr>
        <w:t xml:space="preserve">ET’s </w:t>
      </w:r>
      <w:r w:rsidR="0080608F" w:rsidRPr="00996790">
        <w:rPr>
          <w:rFonts w:ascii="Times New Roman" w:hAnsi="Times New Roman" w:cs="Times New Roman"/>
          <w:color w:val="010302"/>
          <w:sz w:val="24"/>
          <w:szCs w:val="24"/>
        </w:rPr>
        <w:t xml:space="preserve">factual findings I have highlighted.  </w:t>
      </w:r>
    </w:p>
    <w:p w14:paraId="4414498D" w14:textId="3D49DECB" w:rsidR="00EA4381" w:rsidRPr="00996790" w:rsidRDefault="002757E4" w:rsidP="0001224C">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At paragraph 1(e), referring to </w:t>
      </w:r>
      <w:r w:rsidRPr="001A592F">
        <w:rPr>
          <w:rFonts w:ascii="Times New Roman" w:hAnsi="Times New Roman" w:cs="Times New Roman"/>
          <w:b/>
          <w:bCs/>
          <w:color w:val="010302"/>
          <w:sz w:val="24"/>
          <w:szCs w:val="24"/>
          <w:u w:val="single"/>
        </w:rPr>
        <w:t>Metropolitan Resources</w:t>
      </w:r>
      <w:r w:rsidRPr="00996790">
        <w:rPr>
          <w:rFonts w:ascii="Times New Roman" w:hAnsi="Times New Roman" w:cs="Times New Roman"/>
          <w:color w:val="010302"/>
          <w:sz w:val="24"/>
          <w:szCs w:val="24"/>
        </w:rPr>
        <w:t xml:space="preserve">, the </w:t>
      </w:r>
      <w:r w:rsidR="0042413E" w:rsidRPr="00996790">
        <w:rPr>
          <w:rFonts w:ascii="Times New Roman" w:hAnsi="Times New Roman" w:cs="Times New Roman"/>
          <w:color w:val="010302"/>
          <w:sz w:val="24"/>
          <w:szCs w:val="24"/>
        </w:rPr>
        <w:t xml:space="preserve">claimant submits that performing some additional </w:t>
      </w:r>
      <w:r w:rsidR="004E3A64" w:rsidRPr="00996790">
        <w:rPr>
          <w:rFonts w:ascii="Times New Roman" w:hAnsi="Times New Roman" w:cs="Times New Roman"/>
          <w:color w:val="010302"/>
          <w:sz w:val="24"/>
          <w:szCs w:val="24"/>
        </w:rPr>
        <w:t>duty or f</w:t>
      </w:r>
      <w:r w:rsidR="00147738" w:rsidRPr="00996790">
        <w:rPr>
          <w:rFonts w:ascii="Times New Roman" w:hAnsi="Times New Roman" w:cs="Times New Roman"/>
          <w:color w:val="010302"/>
          <w:sz w:val="24"/>
          <w:szCs w:val="24"/>
        </w:rPr>
        <w:t xml:space="preserve">unction does not negate the application of regulation 3(1)(b).  </w:t>
      </w:r>
      <w:r w:rsidR="005F05E5" w:rsidRPr="00996790">
        <w:rPr>
          <w:rFonts w:ascii="Times New Roman" w:hAnsi="Times New Roman" w:cs="Times New Roman"/>
          <w:color w:val="010302"/>
          <w:sz w:val="24"/>
          <w:szCs w:val="24"/>
        </w:rPr>
        <w:t xml:space="preserve">However, </w:t>
      </w:r>
      <w:r w:rsidR="00EA1A48" w:rsidRPr="00996790">
        <w:rPr>
          <w:rFonts w:ascii="Times New Roman" w:hAnsi="Times New Roman" w:cs="Times New Roman"/>
          <w:color w:val="010302"/>
          <w:sz w:val="24"/>
          <w:szCs w:val="24"/>
        </w:rPr>
        <w:t xml:space="preserve">as I have set out earlier, the reference in paragraph 37 of the judgment in that case to additional </w:t>
      </w:r>
      <w:r w:rsidR="00390B5E" w:rsidRPr="00996790">
        <w:rPr>
          <w:rFonts w:ascii="Times New Roman" w:hAnsi="Times New Roman" w:cs="Times New Roman"/>
          <w:color w:val="010302"/>
          <w:sz w:val="24"/>
          <w:szCs w:val="24"/>
        </w:rPr>
        <w:t xml:space="preserve">duties was said in a context where the transferee was performing </w:t>
      </w:r>
      <w:proofErr w:type="gramStart"/>
      <w:r w:rsidR="00276A81" w:rsidRPr="00996790">
        <w:rPr>
          <w:rFonts w:ascii="Times New Roman" w:hAnsi="Times New Roman" w:cs="Times New Roman"/>
          <w:color w:val="010302"/>
          <w:sz w:val="24"/>
          <w:szCs w:val="24"/>
        </w:rPr>
        <w:t xml:space="preserve">all </w:t>
      </w:r>
      <w:r w:rsidR="00347BFD">
        <w:rPr>
          <w:rFonts w:ascii="Times New Roman" w:hAnsi="Times New Roman" w:cs="Times New Roman"/>
          <w:color w:val="010302"/>
          <w:sz w:val="24"/>
          <w:szCs w:val="24"/>
        </w:rPr>
        <w:t>of</w:t>
      </w:r>
      <w:proofErr w:type="gramEnd"/>
      <w:r w:rsidR="00347BFD">
        <w:rPr>
          <w:rFonts w:ascii="Times New Roman" w:hAnsi="Times New Roman" w:cs="Times New Roman"/>
          <w:color w:val="010302"/>
          <w:sz w:val="24"/>
          <w:szCs w:val="24"/>
        </w:rPr>
        <w:t xml:space="preserve"> </w:t>
      </w:r>
      <w:r w:rsidR="00276A81" w:rsidRPr="00996790">
        <w:rPr>
          <w:rFonts w:ascii="Times New Roman" w:hAnsi="Times New Roman" w:cs="Times New Roman"/>
          <w:color w:val="010302"/>
          <w:sz w:val="24"/>
          <w:szCs w:val="24"/>
        </w:rPr>
        <w:t>the services carried out by the predecessor</w:t>
      </w:r>
      <w:r w:rsidR="002B5FC2" w:rsidRPr="00996790">
        <w:rPr>
          <w:rFonts w:ascii="Times New Roman" w:hAnsi="Times New Roman" w:cs="Times New Roman"/>
          <w:color w:val="010302"/>
          <w:sz w:val="24"/>
          <w:szCs w:val="24"/>
        </w:rPr>
        <w:t xml:space="preserve">.  Here, to the contrary, </w:t>
      </w:r>
      <w:r w:rsidR="002A2A42" w:rsidRPr="00996790">
        <w:rPr>
          <w:rFonts w:ascii="Times New Roman" w:hAnsi="Times New Roman" w:cs="Times New Roman"/>
          <w:color w:val="010302"/>
          <w:sz w:val="24"/>
          <w:szCs w:val="24"/>
        </w:rPr>
        <w:t xml:space="preserve">on the ET's findings the transferee was not </w:t>
      </w:r>
      <w:r w:rsidR="00987929" w:rsidRPr="00996790">
        <w:rPr>
          <w:rFonts w:ascii="Times New Roman" w:hAnsi="Times New Roman" w:cs="Times New Roman"/>
          <w:color w:val="010302"/>
          <w:sz w:val="24"/>
          <w:szCs w:val="24"/>
        </w:rPr>
        <w:t xml:space="preserve">performing </w:t>
      </w:r>
      <w:proofErr w:type="gramStart"/>
      <w:r w:rsidR="00987929" w:rsidRPr="00996790">
        <w:rPr>
          <w:rFonts w:ascii="Times New Roman" w:hAnsi="Times New Roman" w:cs="Times New Roman"/>
          <w:color w:val="010302"/>
          <w:sz w:val="24"/>
          <w:szCs w:val="24"/>
        </w:rPr>
        <w:t>the majority of</w:t>
      </w:r>
      <w:proofErr w:type="gramEnd"/>
      <w:r w:rsidR="00987929" w:rsidRPr="00996790">
        <w:rPr>
          <w:rFonts w:ascii="Times New Roman" w:hAnsi="Times New Roman" w:cs="Times New Roman"/>
          <w:color w:val="010302"/>
          <w:sz w:val="24"/>
          <w:szCs w:val="24"/>
        </w:rPr>
        <w:t xml:space="preserve"> the duties carried out by the </w:t>
      </w:r>
      <w:r w:rsidR="00810BF9" w:rsidRPr="00996790">
        <w:rPr>
          <w:rFonts w:ascii="Times New Roman" w:hAnsi="Times New Roman" w:cs="Times New Roman"/>
          <w:color w:val="010302"/>
          <w:sz w:val="24"/>
          <w:szCs w:val="24"/>
        </w:rPr>
        <w:t xml:space="preserve">predecessor, in particular proactive monitoring, and far from </w:t>
      </w:r>
      <w:r w:rsidR="0087007D" w:rsidRPr="00996790">
        <w:rPr>
          <w:rFonts w:ascii="Times New Roman" w:hAnsi="Times New Roman" w:cs="Times New Roman"/>
          <w:color w:val="010302"/>
          <w:sz w:val="24"/>
          <w:szCs w:val="24"/>
        </w:rPr>
        <w:t>the Careline duties being some</w:t>
      </w:r>
      <w:r w:rsidR="00C501B0" w:rsidRPr="00996790">
        <w:rPr>
          <w:rFonts w:ascii="Times New Roman" w:hAnsi="Times New Roman" w:cs="Times New Roman"/>
          <w:color w:val="010302"/>
          <w:sz w:val="24"/>
          <w:szCs w:val="24"/>
        </w:rPr>
        <w:t>thing additional to the pre</w:t>
      </w:r>
      <w:r w:rsidR="0020681F">
        <w:rPr>
          <w:rFonts w:ascii="Times New Roman" w:hAnsi="Times New Roman" w:cs="Times New Roman"/>
          <w:color w:val="010302"/>
          <w:sz w:val="24"/>
          <w:szCs w:val="24"/>
        </w:rPr>
        <w:t>-</w:t>
      </w:r>
      <w:r w:rsidR="00C501B0" w:rsidRPr="00996790">
        <w:rPr>
          <w:rFonts w:ascii="Times New Roman" w:hAnsi="Times New Roman" w:cs="Times New Roman"/>
          <w:color w:val="010302"/>
          <w:sz w:val="24"/>
          <w:szCs w:val="24"/>
        </w:rPr>
        <w:t xml:space="preserve">transfer role, they lay at the heart </w:t>
      </w:r>
      <w:r w:rsidR="00505F58" w:rsidRPr="00996790">
        <w:rPr>
          <w:rFonts w:ascii="Times New Roman" w:hAnsi="Times New Roman" w:cs="Times New Roman"/>
          <w:color w:val="010302"/>
          <w:sz w:val="24"/>
          <w:szCs w:val="24"/>
        </w:rPr>
        <w:t xml:space="preserve">of the activity now being </w:t>
      </w:r>
      <w:r w:rsidR="00A72162">
        <w:rPr>
          <w:rFonts w:ascii="Times New Roman" w:hAnsi="Times New Roman" w:cs="Times New Roman"/>
          <w:color w:val="010302"/>
          <w:sz w:val="24"/>
          <w:szCs w:val="24"/>
        </w:rPr>
        <w:t>undertaken</w:t>
      </w:r>
      <w:r w:rsidR="00505F58" w:rsidRPr="00996790">
        <w:rPr>
          <w:rFonts w:ascii="Times New Roman" w:hAnsi="Times New Roman" w:cs="Times New Roman"/>
          <w:color w:val="010302"/>
          <w:sz w:val="24"/>
          <w:szCs w:val="24"/>
        </w:rPr>
        <w:t xml:space="preserve"> by the relevant </w:t>
      </w:r>
      <w:r w:rsidR="008F272D" w:rsidRPr="00996790">
        <w:rPr>
          <w:rFonts w:ascii="Times New Roman" w:hAnsi="Times New Roman" w:cs="Times New Roman"/>
          <w:color w:val="010302"/>
          <w:sz w:val="24"/>
          <w:szCs w:val="24"/>
        </w:rPr>
        <w:t xml:space="preserve">employees.  </w:t>
      </w:r>
      <w:r w:rsidR="00402EF6" w:rsidRPr="00996790">
        <w:rPr>
          <w:rFonts w:ascii="Times New Roman" w:hAnsi="Times New Roman" w:cs="Times New Roman"/>
          <w:color w:val="010302"/>
          <w:sz w:val="24"/>
          <w:szCs w:val="24"/>
        </w:rPr>
        <w:t xml:space="preserve">It </w:t>
      </w:r>
      <w:r w:rsidR="00A72162">
        <w:rPr>
          <w:rFonts w:ascii="Times New Roman" w:hAnsi="Times New Roman" w:cs="Times New Roman"/>
          <w:color w:val="010302"/>
          <w:sz w:val="24"/>
          <w:szCs w:val="24"/>
        </w:rPr>
        <w:t>i</w:t>
      </w:r>
      <w:r w:rsidR="00402EF6" w:rsidRPr="00996790">
        <w:rPr>
          <w:rFonts w:ascii="Times New Roman" w:hAnsi="Times New Roman" w:cs="Times New Roman"/>
          <w:color w:val="010302"/>
          <w:sz w:val="24"/>
          <w:szCs w:val="24"/>
        </w:rPr>
        <w:t xml:space="preserve">s also clear from paragraph 37 of HHJ Burke's judgment </w:t>
      </w:r>
      <w:r w:rsidR="00AC6AC5" w:rsidRPr="00996790">
        <w:rPr>
          <w:rFonts w:ascii="Times New Roman" w:hAnsi="Times New Roman" w:cs="Times New Roman"/>
          <w:color w:val="010302"/>
          <w:sz w:val="24"/>
          <w:szCs w:val="24"/>
        </w:rPr>
        <w:t xml:space="preserve">that it is always a question of </w:t>
      </w:r>
      <w:r w:rsidR="00C8529B" w:rsidRPr="00996790">
        <w:rPr>
          <w:rFonts w:ascii="Times New Roman" w:hAnsi="Times New Roman" w:cs="Times New Roman"/>
          <w:color w:val="010302"/>
          <w:sz w:val="24"/>
          <w:szCs w:val="24"/>
        </w:rPr>
        <w:t xml:space="preserve">fact and degree, and that indeed was the approach taken by </w:t>
      </w:r>
      <w:r w:rsidR="00FE548F" w:rsidRPr="00996790">
        <w:rPr>
          <w:rFonts w:ascii="Times New Roman" w:hAnsi="Times New Roman" w:cs="Times New Roman"/>
          <w:color w:val="010302"/>
          <w:sz w:val="24"/>
          <w:szCs w:val="24"/>
        </w:rPr>
        <w:t>the ET</w:t>
      </w:r>
      <w:r w:rsidR="00A72162">
        <w:rPr>
          <w:rFonts w:ascii="Times New Roman" w:hAnsi="Times New Roman" w:cs="Times New Roman"/>
          <w:color w:val="010302"/>
          <w:sz w:val="24"/>
          <w:szCs w:val="24"/>
        </w:rPr>
        <w:t xml:space="preserve"> in this case</w:t>
      </w:r>
      <w:r w:rsidR="00FE548F" w:rsidRPr="00996790">
        <w:rPr>
          <w:rFonts w:ascii="Times New Roman" w:hAnsi="Times New Roman" w:cs="Times New Roman"/>
          <w:color w:val="010302"/>
          <w:sz w:val="24"/>
          <w:szCs w:val="24"/>
        </w:rPr>
        <w:t xml:space="preserve">.  </w:t>
      </w:r>
    </w:p>
    <w:p w14:paraId="3F658631" w14:textId="42B95C36" w:rsidR="008941D5" w:rsidRPr="00996790" w:rsidRDefault="00F900C8" w:rsidP="00F900C8">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t>Ground 1</w:t>
      </w:r>
      <w:r w:rsidR="00035978">
        <w:rPr>
          <w:rFonts w:ascii="Times New Roman" w:hAnsi="Times New Roman" w:cs="Times New Roman"/>
          <w:b/>
          <w:bCs/>
          <w:color w:val="010302"/>
          <w:sz w:val="24"/>
          <w:szCs w:val="24"/>
        </w:rPr>
        <w:t xml:space="preserve">: paragraph </w:t>
      </w:r>
      <w:r w:rsidRPr="00996790">
        <w:rPr>
          <w:rFonts w:ascii="Times New Roman" w:hAnsi="Times New Roman" w:cs="Times New Roman"/>
          <w:b/>
          <w:bCs/>
          <w:color w:val="010302"/>
          <w:sz w:val="24"/>
          <w:szCs w:val="24"/>
        </w:rPr>
        <w:t>3</w:t>
      </w:r>
    </w:p>
    <w:p w14:paraId="5CD1C365" w14:textId="092728E3" w:rsidR="00FC3D93" w:rsidRPr="00996790" w:rsidRDefault="00F900C8" w:rsidP="00FC3D93">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claimant suggests here </w:t>
      </w:r>
      <w:r w:rsidR="00247789" w:rsidRPr="00996790">
        <w:rPr>
          <w:rFonts w:ascii="Times New Roman" w:hAnsi="Times New Roman" w:cs="Times New Roman"/>
          <w:color w:val="010302"/>
          <w:sz w:val="24"/>
          <w:szCs w:val="24"/>
        </w:rPr>
        <w:t xml:space="preserve">that the ET erred in </w:t>
      </w:r>
      <w:proofErr w:type="gramStart"/>
      <w:r w:rsidR="00247789" w:rsidRPr="00996790">
        <w:rPr>
          <w:rFonts w:ascii="Times New Roman" w:hAnsi="Times New Roman" w:cs="Times New Roman"/>
          <w:color w:val="010302"/>
          <w:sz w:val="24"/>
          <w:szCs w:val="24"/>
        </w:rPr>
        <w:t>taking into account</w:t>
      </w:r>
      <w:proofErr w:type="gramEnd"/>
      <w:r w:rsidR="00247789" w:rsidRPr="00996790">
        <w:rPr>
          <w:rFonts w:ascii="Times New Roman" w:hAnsi="Times New Roman" w:cs="Times New Roman"/>
          <w:color w:val="010302"/>
          <w:sz w:val="24"/>
          <w:szCs w:val="24"/>
        </w:rPr>
        <w:t xml:space="preserve"> the alleged </w:t>
      </w:r>
      <w:r w:rsidR="00035978">
        <w:rPr>
          <w:rFonts w:ascii="Times New Roman" w:hAnsi="Times New Roman" w:cs="Times New Roman"/>
          <w:color w:val="010302"/>
          <w:sz w:val="24"/>
          <w:szCs w:val="24"/>
        </w:rPr>
        <w:t>S</w:t>
      </w:r>
      <w:r w:rsidR="00247789" w:rsidRPr="00996790">
        <w:rPr>
          <w:rFonts w:ascii="Times New Roman" w:hAnsi="Times New Roman" w:cs="Times New Roman"/>
          <w:color w:val="010302"/>
          <w:sz w:val="24"/>
          <w:szCs w:val="24"/>
        </w:rPr>
        <w:t xml:space="preserve">PC itself.  </w:t>
      </w:r>
      <w:r w:rsidR="00AE35DF" w:rsidRPr="00996790">
        <w:rPr>
          <w:rFonts w:ascii="Times New Roman" w:hAnsi="Times New Roman" w:cs="Times New Roman"/>
          <w:color w:val="010302"/>
          <w:sz w:val="24"/>
          <w:szCs w:val="24"/>
        </w:rPr>
        <w:t xml:space="preserve">This is based on </w:t>
      </w:r>
      <w:r w:rsidR="00B07F42">
        <w:rPr>
          <w:rFonts w:ascii="Times New Roman" w:hAnsi="Times New Roman" w:cs="Times New Roman"/>
          <w:color w:val="010302"/>
          <w:sz w:val="24"/>
          <w:szCs w:val="24"/>
        </w:rPr>
        <w:t xml:space="preserve">a passage in </w:t>
      </w:r>
      <w:r w:rsidR="00D44EE5" w:rsidRPr="00996790">
        <w:rPr>
          <w:rFonts w:ascii="Times New Roman" w:hAnsi="Times New Roman" w:cs="Times New Roman"/>
          <w:color w:val="010302"/>
          <w:sz w:val="24"/>
          <w:szCs w:val="24"/>
        </w:rPr>
        <w:t xml:space="preserve">paragraph 29 </w:t>
      </w:r>
      <w:r w:rsidR="00B07F42">
        <w:rPr>
          <w:rFonts w:ascii="Times New Roman" w:hAnsi="Times New Roman" w:cs="Times New Roman"/>
          <w:color w:val="010302"/>
          <w:sz w:val="24"/>
          <w:szCs w:val="24"/>
        </w:rPr>
        <w:t xml:space="preserve">of its Reasons </w:t>
      </w:r>
      <w:r w:rsidR="00D44EE5" w:rsidRPr="00996790">
        <w:rPr>
          <w:rFonts w:ascii="Times New Roman" w:hAnsi="Times New Roman" w:cs="Times New Roman"/>
          <w:color w:val="010302"/>
          <w:sz w:val="24"/>
          <w:szCs w:val="24"/>
        </w:rPr>
        <w:t xml:space="preserve">where the ET </w:t>
      </w:r>
      <w:r w:rsidR="005D413D" w:rsidRPr="00996790">
        <w:rPr>
          <w:rFonts w:ascii="Times New Roman" w:hAnsi="Times New Roman" w:cs="Times New Roman"/>
          <w:color w:val="010302"/>
          <w:sz w:val="24"/>
          <w:szCs w:val="24"/>
        </w:rPr>
        <w:t>said</w:t>
      </w:r>
      <w:r w:rsidR="00F30A78" w:rsidRPr="00996790">
        <w:rPr>
          <w:rFonts w:ascii="Times New Roman" w:hAnsi="Times New Roman" w:cs="Times New Roman"/>
          <w:color w:val="010302"/>
          <w:sz w:val="24"/>
          <w:szCs w:val="24"/>
        </w:rPr>
        <w:t xml:space="preserve">, </w:t>
      </w:r>
      <w:r w:rsidR="00AD1659">
        <w:rPr>
          <w:rFonts w:ascii="Times New Roman" w:hAnsi="Times New Roman" w:cs="Times New Roman"/>
          <w:color w:val="010302"/>
          <w:sz w:val="24"/>
          <w:szCs w:val="24"/>
        </w:rPr>
        <w:t>“</w:t>
      </w:r>
      <w:r w:rsidR="005D413D" w:rsidRPr="00996790">
        <w:rPr>
          <w:rFonts w:ascii="Times New Roman" w:hAnsi="Times New Roman" w:cs="Times New Roman"/>
          <w:color w:val="010302"/>
          <w:sz w:val="24"/>
          <w:szCs w:val="24"/>
        </w:rPr>
        <w:t xml:space="preserve">It was a fundamentally </w:t>
      </w:r>
      <w:r w:rsidR="005D413D" w:rsidRPr="00996790">
        <w:rPr>
          <w:rFonts w:ascii="Times New Roman" w:hAnsi="Times New Roman" w:cs="Times New Roman"/>
          <w:color w:val="010302"/>
          <w:sz w:val="24"/>
          <w:szCs w:val="24"/>
        </w:rPr>
        <w:lastRenderedPageBreak/>
        <w:t xml:space="preserve">different service given that the first </w:t>
      </w:r>
      <w:r w:rsidR="00D73796" w:rsidRPr="00996790">
        <w:rPr>
          <w:rFonts w:ascii="Times New Roman" w:hAnsi="Times New Roman" w:cs="Times New Roman"/>
          <w:color w:val="010302"/>
          <w:sz w:val="24"/>
          <w:szCs w:val="24"/>
        </w:rPr>
        <w:t xml:space="preserve">respondent </w:t>
      </w:r>
      <w:r w:rsidR="003A27B2" w:rsidRPr="00996790">
        <w:rPr>
          <w:rFonts w:ascii="Times New Roman" w:hAnsi="Times New Roman" w:cs="Times New Roman"/>
          <w:color w:val="010302"/>
          <w:sz w:val="24"/>
          <w:szCs w:val="24"/>
        </w:rPr>
        <w:t xml:space="preserve">no longer engaged </w:t>
      </w:r>
      <w:r w:rsidR="00DA6E6F" w:rsidRPr="00996790">
        <w:rPr>
          <w:rFonts w:ascii="Times New Roman" w:hAnsi="Times New Roman" w:cs="Times New Roman"/>
          <w:color w:val="010302"/>
          <w:sz w:val="24"/>
          <w:szCs w:val="24"/>
        </w:rPr>
        <w:t xml:space="preserve">a company to </w:t>
      </w:r>
      <w:r w:rsidR="000A6354" w:rsidRPr="00996790">
        <w:rPr>
          <w:rFonts w:ascii="Times New Roman" w:hAnsi="Times New Roman" w:cs="Times New Roman"/>
          <w:color w:val="010302"/>
          <w:sz w:val="24"/>
          <w:szCs w:val="24"/>
        </w:rPr>
        <w:t xml:space="preserve">provide </w:t>
      </w:r>
      <w:r w:rsidR="00F30A78" w:rsidRPr="00996790">
        <w:rPr>
          <w:rFonts w:ascii="Times New Roman" w:hAnsi="Times New Roman" w:cs="Times New Roman"/>
          <w:color w:val="010302"/>
          <w:sz w:val="24"/>
          <w:szCs w:val="24"/>
        </w:rPr>
        <w:t>CCTV operatives</w:t>
      </w:r>
      <w:r w:rsidR="00AD1659">
        <w:rPr>
          <w:rFonts w:ascii="Times New Roman" w:hAnsi="Times New Roman" w:cs="Times New Roman"/>
          <w:color w:val="010302"/>
          <w:sz w:val="24"/>
          <w:szCs w:val="24"/>
        </w:rPr>
        <w:t>”</w:t>
      </w:r>
      <w:r w:rsidR="00F30A78" w:rsidRPr="00996790">
        <w:rPr>
          <w:rFonts w:ascii="Times New Roman" w:hAnsi="Times New Roman" w:cs="Times New Roman"/>
          <w:color w:val="010302"/>
          <w:sz w:val="24"/>
          <w:szCs w:val="24"/>
        </w:rPr>
        <w:t xml:space="preserve">.  </w:t>
      </w:r>
      <w:r w:rsidR="000614EE" w:rsidRPr="00996790">
        <w:rPr>
          <w:rFonts w:ascii="Times New Roman" w:hAnsi="Times New Roman" w:cs="Times New Roman"/>
          <w:color w:val="010302"/>
          <w:sz w:val="24"/>
          <w:szCs w:val="24"/>
        </w:rPr>
        <w:t xml:space="preserve">I do not consider this criticism is well-founded.  In this sentence, the ET </w:t>
      </w:r>
      <w:r w:rsidR="00340776" w:rsidRPr="00996790">
        <w:rPr>
          <w:rFonts w:ascii="Times New Roman" w:hAnsi="Times New Roman" w:cs="Times New Roman"/>
          <w:color w:val="010302"/>
          <w:sz w:val="24"/>
          <w:szCs w:val="24"/>
        </w:rPr>
        <w:t xml:space="preserve">is </w:t>
      </w:r>
      <w:proofErr w:type="gramStart"/>
      <w:r w:rsidR="00340776" w:rsidRPr="00996790">
        <w:rPr>
          <w:rFonts w:ascii="Times New Roman" w:hAnsi="Times New Roman" w:cs="Times New Roman"/>
          <w:color w:val="010302"/>
          <w:sz w:val="24"/>
          <w:szCs w:val="24"/>
        </w:rPr>
        <w:t>referring back</w:t>
      </w:r>
      <w:proofErr w:type="gramEnd"/>
      <w:r w:rsidR="00340776" w:rsidRPr="00996790">
        <w:rPr>
          <w:rFonts w:ascii="Times New Roman" w:hAnsi="Times New Roman" w:cs="Times New Roman"/>
          <w:color w:val="010302"/>
          <w:sz w:val="24"/>
          <w:szCs w:val="24"/>
        </w:rPr>
        <w:t xml:space="preserve"> to its earlier findings of fact, particularly those in paragraph </w:t>
      </w:r>
      <w:r w:rsidR="00662DB6" w:rsidRPr="00996790">
        <w:rPr>
          <w:rFonts w:ascii="Times New Roman" w:hAnsi="Times New Roman" w:cs="Times New Roman"/>
          <w:color w:val="010302"/>
          <w:sz w:val="24"/>
          <w:szCs w:val="24"/>
        </w:rPr>
        <w:t>24.  Therein the ET said</w:t>
      </w:r>
      <w:r w:rsidR="00FC3D93" w:rsidRPr="00996790">
        <w:rPr>
          <w:rFonts w:ascii="Times New Roman" w:hAnsi="Times New Roman" w:cs="Times New Roman"/>
          <w:color w:val="010302"/>
          <w:sz w:val="24"/>
          <w:szCs w:val="24"/>
        </w:rPr>
        <w:t xml:space="preserve">, </w:t>
      </w:r>
      <w:r w:rsidR="002474B5">
        <w:rPr>
          <w:rFonts w:ascii="Times New Roman" w:hAnsi="Times New Roman" w:cs="Times New Roman"/>
          <w:color w:val="010302"/>
          <w:sz w:val="24"/>
          <w:szCs w:val="24"/>
        </w:rPr>
        <w:t>“</w:t>
      </w:r>
      <w:r w:rsidR="00FC3D93" w:rsidRPr="00996790">
        <w:rPr>
          <w:rFonts w:ascii="Times New Roman" w:hAnsi="Times New Roman" w:cs="Times New Roman"/>
          <w:color w:val="010302"/>
          <w:sz w:val="24"/>
          <w:szCs w:val="24"/>
        </w:rPr>
        <w:t xml:space="preserve">Without the </w:t>
      </w:r>
      <w:proofErr w:type="gramStart"/>
      <w:r w:rsidR="00FC3D93" w:rsidRPr="00996790">
        <w:rPr>
          <w:rFonts w:ascii="Times New Roman" w:hAnsi="Times New Roman" w:cs="Times New Roman"/>
          <w:color w:val="010302"/>
          <w:sz w:val="24"/>
          <w:szCs w:val="24"/>
        </w:rPr>
        <w:t>full time</w:t>
      </w:r>
      <w:proofErr w:type="gramEnd"/>
      <w:r w:rsidR="00FC3D93" w:rsidRPr="00996790">
        <w:rPr>
          <w:rFonts w:ascii="Times New Roman" w:hAnsi="Times New Roman" w:cs="Times New Roman"/>
          <w:color w:val="010302"/>
          <w:sz w:val="24"/>
          <w:szCs w:val="24"/>
        </w:rPr>
        <w:t xml:space="preserve"> operatives provided by the Second Respondent, any monitoring of the CCTV cameras was left to the Careline staff</w:t>
      </w:r>
      <w:r w:rsidR="002474B5">
        <w:rPr>
          <w:rFonts w:ascii="Times New Roman" w:hAnsi="Times New Roman" w:cs="Times New Roman"/>
          <w:color w:val="010302"/>
          <w:sz w:val="24"/>
          <w:szCs w:val="24"/>
        </w:rPr>
        <w:t>”</w:t>
      </w:r>
      <w:r w:rsidR="00FC3D93" w:rsidRPr="00996790">
        <w:rPr>
          <w:rFonts w:ascii="Times New Roman" w:hAnsi="Times New Roman" w:cs="Times New Roman"/>
          <w:color w:val="010302"/>
          <w:sz w:val="24"/>
          <w:szCs w:val="24"/>
        </w:rPr>
        <w:t xml:space="preserve">, and then the ET went on to </w:t>
      </w:r>
      <w:r w:rsidR="00A02FAF" w:rsidRPr="00996790">
        <w:rPr>
          <w:rFonts w:ascii="Times New Roman" w:hAnsi="Times New Roman" w:cs="Times New Roman"/>
          <w:color w:val="010302"/>
          <w:sz w:val="24"/>
          <w:szCs w:val="24"/>
        </w:rPr>
        <w:t xml:space="preserve">explain why the activity was fundamentally different.  </w:t>
      </w:r>
      <w:r w:rsidR="00E55B4D" w:rsidRPr="00996790">
        <w:rPr>
          <w:rFonts w:ascii="Times New Roman" w:hAnsi="Times New Roman" w:cs="Times New Roman"/>
          <w:color w:val="010302"/>
          <w:sz w:val="24"/>
          <w:szCs w:val="24"/>
        </w:rPr>
        <w:t xml:space="preserve">There is no error of law </w:t>
      </w:r>
      <w:r w:rsidR="003746F4" w:rsidRPr="00996790">
        <w:rPr>
          <w:rFonts w:ascii="Times New Roman" w:hAnsi="Times New Roman" w:cs="Times New Roman"/>
          <w:color w:val="010302"/>
          <w:sz w:val="24"/>
          <w:szCs w:val="24"/>
        </w:rPr>
        <w:t xml:space="preserve">involved in noting that the monitoring </w:t>
      </w:r>
      <w:r w:rsidR="00CD04D9" w:rsidRPr="00996790">
        <w:rPr>
          <w:rFonts w:ascii="Times New Roman" w:hAnsi="Times New Roman" w:cs="Times New Roman"/>
          <w:color w:val="010302"/>
          <w:sz w:val="24"/>
          <w:szCs w:val="24"/>
        </w:rPr>
        <w:t xml:space="preserve">role which had previously </w:t>
      </w:r>
      <w:r w:rsidR="00C547E0" w:rsidRPr="00996790">
        <w:rPr>
          <w:rFonts w:ascii="Times New Roman" w:hAnsi="Times New Roman" w:cs="Times New Roman"/>
          <w:color w:val="010302"/>
          <w:sz w:val="24"/>
          <w:szCs w:val="24"/>
        </w:rPr>
        <w:t>been undertaken by</w:t>
      </w:r>
      <w:r w:rsidR="006D4306" w:rsidRPr="00996790">
        <w:rPr>
          <w:rFonts w:ascii="Times New Roman" w:hAnsi="Times New Roman" w:cs="Times New Roman"/>
          <w:color w:val="010302"/>
          <w:sz w:val="24"/>
          <w:szCs w:val="24"/>
        </w:rPr>
        <w:t xml:space="preserve"> a</w:t>
      </w:r>
      <w:r w:rsidR="00C547E0" w:rsidRPr="00996790">
        <w:rPr>
          <w:rFonts w:ascii="Times New Roman" w:hAnsi="Times New Roman" w:cs="Times New Roman"/>
          <w:color w:val="010302"/>
          <w:sz w:val="24"/>
          <w:szCs w:val="24"/>
        </w:rPr>
        <w:t xml:space="preserve"> full-time CCTV </w:t>
      </w:r>
      <w:r w:rsidR="006D4306" w:rsidRPr="00996790">
        <w:rPr>
          <w:rFonts w:ascii="Times New Roman" w:hAnsi="Times New Roman" w:cs="Times New Roman"/>
          <w:color w:val="010302"/>
          <w:sz w:val="24"/>
          <w:szCs w:val="24"/>
        </w:rPr>
        <w:t xml:space="preserve">operative </w:t>
      </w:r>
      <w:r w:rsidR="00CE14EE" w:rsidRPr="00996790">
        <w:rPr>
          <w:rFonts w:ascii="Times New Roman" w:hAnsi="Times New Roman" w:cs="Times New Roman"/>
          <w:color w:val="010302"/>
          <w:sz w:val="24"/>
          <w:szCs w:val="24"/>
        </w:rPr>
        <w:t xml:space="preserve">was now being undertaken, to the extent that it was being undertaken at all, </w:t>
      </w:r>
      <w:r w:rsidR="00161408" w:rsidRPr="00996790">
        <w:rPr>
          <w:rFonts w:ascii="Times New Roman" w:hAnsi="Times New Roman" w:cs="Times New Roman"/>
          <w:color w:val="010302"/>
          <w:sz w:val="24"/>
          <w:szCs w:val="24"/>
        </w:rPr>
        <w:t xml:space="preserve">as an adjunct </w:t>
      </w:r>
      <w:r w:rsidR="006C5C30" w:rsidRPr="00996790">
        <w:rPr>
          <w:rFonts w:ascii="Times New Roman" w:hAnsi="Times New Roman" w:cs="Times New Roman"/>
          <w:color w:val="010302"/>
          <w:sz w:val="24"/>
          <w:szCs w:val="24"/>
        </w:rPr>
        <w:t>to a Careline employee's existing and main dutie</w:t>
      </w:r>
      <w:r w:rsidR="00105653" w:rsidRPr="00996790">
        <w:rPr>
          <w:rFonts w:ascii="Times New Roman" w:hAnsi="Times New Roman" w:cs="Times New Roman"/>
          <w:color w:val="010302"/>
          <w:sz w:val="24"/>
          <w:szCs w:val="24"/>
        </w:rPr>
        <w:t xml:space="preserve">s with no additional staffing resources assigned.  </w:t>
      </w:r>
    </w:p>
    <w:p w14:paraId="1FB0F4C5" w14:textId="33D78AFD" w:rsidR="00F56980" w:rsidRPr="00996790" w:rsidRDefault="00F56980" w:rsidP="00F56980">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t>Ground 1</w:t>
      </w:r>
      <w:r w:rsidR="008927F2">
        <w:rPr>
          <w:rFonts w:ascii="Times New Roman" w:hAnsi="Times New Roman" w:cs="Times New Roman"/>
          <w:b/>
          <w:bCs/>
          <w:color w:val="010302"/>
          <w:sz w:val="24"/>
          <w:szCs w:val="24"/>
        </w:rPr>
        <w:t xml:space="preserve">: paragraph </w:t>
      </w:r>
      <w:r w:rsidRPr="00996790">
        <w:rPr>
          <w:rFonts w:ascii="Times New Roman" w:hAnsi="Times New Roman" w:cs="Times New Roman"/>
          <w:b/>
          <w:bCs/>
          <w:color w:val="010302"/>
          <w:sz w:val="24"/>
          <w:szCs w:val="24"/>
        </w:rPr>
        <w:t>4</w:t>
      </w:r>
    </w:p>
    <w:p w14:paraId="5B87EF8D" w14:textId="5B5FEEB5" w:rsidR="00204DC9" w:rsidRPr="00492ABA" w:rsidRDefault="00F56980" w:rsidP="00204DC9">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 claimant says the ET </w:t>
      </w:r>
      <w:r w:rsidR="00FB1B7C" w:rsidRPr="00996790">
        <w:rPr>
          <w:rFonts w:ascii="Times New Roman" w:hAnsi="Times New Roman" w:cs="Times New Roman"/>
          <w:color w:val="010302"/>
          <w:sz w:val="24"/>
          <w:szCs w:val="24"/>
        </w:rPr>
        <w:t xml:space="preserve">erred in law in not identifying </w:t>
      </w:r>
      <w:r w:rsidR="00873FD1" w:rsidRPr="00996790">
        <w:rPr>
          <w:rFonts w:ascii="Times New Roman" w:hAnsi="Times New Roman" w:cs="Times New Roman"/>
          <w:color w:val="010302"/>
          <w:sz w:val="24"/>
          <w:szCs w:val="24"/>
        </w:rPr>
        <w:t>the case law</w:t>
      </w:r>
      <w:r w:rsidR="005F2736" w:rsidRPr="00996790">
        <w:rPr>
          <w:rFonts w:ascii="Times New Roman" w:hAnsi="Times New Roman" w:cs="Times New Roman"/>
          <w:color w:val="010302"/>
          <w:sz w:val="24"/>
          <w:szCs w:val="24"/>
        </w:rPr>
        <w:t xml:space="preserve"> that it had considered and analysed.  </w:t>
      </w:r>
      <w:r w:rsidR="006F4B07" w:rsidRPr="00996790">
        <w:rPr>
          <w:rFonts w:ascii="Times New Roman" w:hAnsi="Times New Roman" w:cs="Times New Roman"/>
          <w:color w:val="010302"/>
          <w:sz w:val="24"/>
          <w:szCs w:val="24"/>
        </w:rPr>
        <w:t xml:space="preserve">At paragraph 35 of its decision, the ET </w:t>
      </w:r>
      <w:r w:rsidR="00B21053" w:rsidRPr="00996790">
        <w:rPr>
          <w:rFonts w:ascii="Times New Roman" w:hAnsi="Times New Roman" w:cs="Times New Roman"/>
          <w:color w:val="010302"/>
          <w:sz w:val="24"/>
          <w:szCs w:val="24"/>
        </w:rPr>
        <w:t xml:space="preserve">set out the material </w:t>
      </w:r>
      <w:r w:rsidR="00805324" w:rsidRPr="00996790">
        <w:rPr>
          <w:rFonts w:ascii="Times New Roman" w:hAnsi="Times New Roman" w:cs="Times New Roman"/>
          <w:color w:val="010302"/>
          <w:sz w:val="24"/>
          <w:szCs w:val="24"/>
        </w:rPr>
        <w:t xml:space="preserve">provisions of TUPE.  </w:t>
      </w:r>
      <w:r w:rsidR="00F96423" w:rsidRPr="00996790">
        <w:rPr>
          <w:rFonts w:ascii="Times New Roman" w:hAnsi="Times New Roman" w:cs="Times New Roman"/>
          <w:color w:val="010302"/>
          <w:sz w:val="24"/>
          <w:szCs w:val="24"/>
        </w:rPr>
        <w:t>It then said at paragraph 26:</w:t>
      </w:r>
    </w:p>
    <w:p w14:paraId="32D6E3DF" w14:textId="2AAA096D" w:rsidR="00BC181C" w:rsidRPr="002474B5" w:rsidRDefault="002474B5" w:rsidP="002474B5">
      <w:pPr>
        <w:pStyle w:val="ListParagraph"/>
        <w:tabs>
          <w:tab w:val="left" w:pos="0"/>
        </w:tabs>
        <w:ind w:left="851" w:right="850"/>
        <w:contextualSpacing/>
        <w:jc w:val="both"/>
        <w:rPr>
          <w:rFonts w:ascii="Times New Roman" w:hAnsi="Times New Roman" w:cs="Times New Roman"/>
          <w:color w:val="000000"/>
          <w:sz w:val="24"/>
          <w:szCs w:val="24"/>
        </w:rPr>
      </w:pPr>
      <w:r w:rsidRPr="002474B5">
        <w:rPr>
          <w:rFonts w:ascii="Times New Roman" w:hAnsi="Times New Roman" w:cs="Times New Roman"/>
          <w:color w:val="000000"/>
          <w:sz w:val="24"/>
          <w:szCs w:val="24"/>
        </w:rPr>
        <w:t>“</w:t>
      </w:r>
      <w:r w:rsidR="00BC181C" w:rsidRPr="002474B5">
        <w:rPr>
          <w:rFonts w:ascii="Times New Roman" w:hAnsi="Times New Roman" w:cs="Times New Roman"/>
          <w:color w:val="000000"/>
          <w:sz w:val="24"/>
          <w:szCs w:val="24"/>
        </w:rPr>
        <w:t>This area of law has been the subject of lots of litigation on the interpretation</w:t>
      </w:r>
    </w:p>
    <w:p w14:paraId="571936A6" w14:textId="443FF80E" w:rsidR="00204DC9" w:rsidRPr="003C71F6" w:rsidRDefault="00BC181C" w:rsidP="002474B5">
      <w:pPr>
        <w:pStyle w:val="ListParagraph"/>
        <w:tabs>
          <w:tab w:val="left" w:pos="0"/>
        </w:tabs>
        <w:ind w:left="851" w:right="850"/>
        <w:contextualSpacing/>
        <w:jc w:val="both"/>
        <w:rPr>
          <w:rFonts w:ascii="Times New Roman" w:hAnsi="Times New Roman" w:cs="Times New Roman"/>
          <w:color w:val="010302"/>
          <w:sz w:val="24"/>
          <w:szCs w:val="24"/>
        </w:rPr>
      </w:pPr>
      <w:r w:rsidRPr="002474B5">
        <w:rPr>
          <w:rFonts w:ascii="Times New Roman" w:hAnsi="Times New Roman" w:cs="Times New Roman"/>
          <w:color w:val="000000"/>
          <w:sz w:val="24"/>
          <w:szCs w:val="24"/>
        </w:rPr>
        <w:t>of the TUPE Regulations and the Tribunal’s attention was drawn to a</w:t>
      </w:r>
      <w:r w:rsidR="003C71F6" w:rsidRPr="002474B5">
        <w:rPr>
          <w:rFonts w:ascii="Times New Roman" w:hAnsi="Times New Roman" w:cs="Times New Roman"/>
          <w:color w:val="000000"/>
          <w:sz w:val="24"/>
          <w:szCs w:val="24"/>
        </w:rPr>
        <w:t xml:space="preserve"> </w:t>
      </w:r>
      <w:r w:rsidRPr="002474B5">
        <w:rPr>
          <w:rFonts w:ascii="Times New Roman" w:hAnsi="Times New Roman" w:cs="Times New Roman"/>
          <w:color w:val="000000"/>
          <w:sz w:val="24"/>
          <w:szCs w:val="24"/>
        </w:rPr>
        <w:t>number of cases by Counsel for the First Respondent which the Tribunal</w:t>
      </w:r>
      <w:r w:rsidR="003C71F6" w:rsidRPr="002474B5">
        <w:rPr>
          <w:rFonts w:ascii="Times New Roman" w:hAnsi="Times New Roman" w:cs="Times New Roman"/>
          <w:color w:val="000000"/>
          <w:sz w:val="24"/>
          <w:szCs w:val="24"/>
        </w:rPr>
        <w:t xml:space="preserve"> </w:t>
      </w:r>
      <w:r w:rsidRPr="002474B5">
        <w:rPr>
          <w:rFonts w:ascii="Times New Roman" w:hAnsi="Times New Roman" w:cs="Times New Roman"/>
          <w:color w:val="000000"/>
          <w:sz w:val="24"/>
          <w:szCs w:val="24"/>
        </w:rPr>
        <w:t>has considered in reaching its decision.</w:t>
      </w:r>
      <w:r w:rsidR="002474B5" w:rsidRPr="002474B5">
        <w:rPr>
          <w:rFonts w:ascii="Times New Roman" w:hAnsi="Times New Roman" w:cs="Times New Roman"/>
          <w:color w:val="000000"/>
          <w:sz w:val="24"/>
          <w:szCs w:val="24"/>
        </w:rPr>
        <w:t>”</w:t>
      </w:r>
    </w:p>
    <w:p w14:paraId="6B123008" w14:textId="77777777" w:rsidR="00204DC9" w:rsidRPr="00996790" w:rsidRDefault="00204DC9" w:rsidP="00204DC9">
      <w:pPr>
        <w:pStyle w:val="ListParagraph"/>
        <w:tabs>
          <w:tab w:val="left" w:pos="0"/>
        </w:tabs>
        <w:spacing w:line="480" w:lineRule="auto"/>
        <w:contextualSpacing/>
        <w:jc w:val="both"/>
        <w:rPr>
          <w:rFonts w:ascii="Times New Roman" w:hAnsi="Times New Roman" w:cs="Times New Roman"/>
          <w:color w:val="010302"/>
          <w:sz w:val="24"/>
          <w:szCs w:val="24"/>
        </w:rPr>
      </w:pPr>
    </w:p>
    <w:p w14:paraId="1AF9F222" w14:textId="76FD3B33" w:rsidR="004C2D5D" w:rsidRPr="00996790" w:rsidRDefault="004C2D5D" w:rsidP="004C2D5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Plainly, it would have </w:t>
      </w:r>
      <w:r w:rsidR="00136D89" w:rsidRPr="00996790">
        <w:rPr>
          <w:rFonts w:ascii="Times New Roman" w:hAnsi="Times New Roman" w:cs="Times New Roman"/>
          <w:color w:val="010302"/>
          <w:sz w:val="24"/>
          <w:szCs w:val="24"/>
        </w:rPr>
        <w:t xml:space="preserve">been </w:t>
      </w:r>
      <w:r w:rsidR="0049723E" w:rsidRPr="00996790">
        <w:rPr>
          <w:rFonts w:ascii="Times New Roman" w:hAnsi="Times New Roman" w:cs="Times New Roman"/>
          <w:color w:val="010302"/>
          <w:sz w:val="24"/>
          <w:szCs w:val="24"/>
        </w:rPr>
        <w:t xml:space="preserve">preferable for the ET to have identified the key cases it had been </w:t>
      </w:r>
      <w:r w:rsidR="008A4373" w:rsidRPr="00996790">
        <w:rPr>
          <w:rFonts w:ascii="Times New Roman" w:hAnsi="Times New Roman" w:cs="Times New Roman"/>
          <w:color w:val="010302"/>
          <w:sz w:val="24"/>
          <w:szCs w:val="24"/>
        </w:rPr>
        <w:t xml:space="preserve">referred to and the principles it drew from them.  </w:t>
      </w:r>
      <w:r w:rsidR="00B33EA4" w:rsidRPr="00996790">
        <w:rPr>
          <w:rFonts w:ascii="Times New Roman" w:hAnsi="Times New Roman" w:cs="Times New Roman"/>
          <w:color w:val="010302"/>
          <w:sz w:val="24"/>
          <w:szCs w:val="24"/>
        </w:rPr>
        <w:t xml:space="preserve">However, the failure to do so does not </w:t>
      </w:r>
      <w:r w:rsidR="006A5FBD" w:rsidRPr="00996790">
        <w:rPr>
          <w:rFonts w:ascii="Times New Roman" w:hAnsi="Times New Roman" w:cs="Times New Roman"/>
          <w:color w:val="010302"/>
          <w:sz w:val="24"/>
          <w:szCs w:val="24"/>
        </w:rPr>
        <w:t xml:space="preserve">in itself amount to </w:t>
      </w:r>
      <w:r w:rsidR="005528D1" w:rsidRPr="00996790">
        <w:rPr>
          <w:rFonts w:ascii="Times New Roman" w:hAnsi="Times New Roman" w:cs="Times New Roman"/>
          <w:color w:val="010302"/>
          <w:sz w:val="24"/>
          <w:szCs w:val="24"/>
        </w:rPr>
        <w:t xml:space="preserve">a freestanding </w:t>
      </w:r>
      <w:r w:rsidR="000F27CD" w:rsidRPr="00996790">
        <w:rPr>
          <w:rFonts w:ascii="Times New Roman" w:hAnsi="Times New Roman" w:cs="Times New Roman"/>
          <w:color w:val="010302"/>
          <w:sz w:val="24"/>
          <w:szCs w:val="24"/>
        </w:rPr>
        <w:t xml:space="preserve">material error of law.  </w:t>
      </w:r>
      <w:r w:rsidR="00F07AEE" w:rsidRPr="00996790">
        <w:rPr>
          <w:rFonts w:ascii="Times New Roman" w:hAnsi="Times New Roman" w:cs="Times New Roman"/>
          <w:color w:val="010302"/>
          <w:sz w:val="24"/>
          <w:szCs w:val="24"/>
        </w:rPr>
        <w:t>There will only be an error of law if the failure to identify the relevant case</w:t>
      </w:r>
      <w:r w:rsidR="000B2B10" w:rsidRPr="00996790">
        <w:rPr>
          <w:rFonts w:ascii="Times New Roman" w:hAnsi="Times New Roman" w:cs="Times New Roman"/>
          <w:color w:val="010302"/>
          <w:sz w:val="24"/>
          <w:szCs w:val="24"/>
        </w:rPr>
        <w:t xml:space="preserve"> law principles </w:t>
      </w:r>
      <w:r w:rsidR="00B62D2D" w:rsidRPr="00996790">
        <w:rPr>
          <w:rFonts w:ascii="Times New Roman" w:hAnsi="Times New Roman" w:cs="Times New Roman"/>
          <w:color w:val="010302"/>
          <w:sz w:val="24"/>
          <w:szCs w:val="24"/>
        </w:rPr>
        <w:t xml:space="preserve">led the tribunal to </w:t>
      </w:r>
      <w:r w:rsidR="00B6215A" w:rsidRPr="00996790">
        <w:rPr>
          <w:rFonts w:ascii="Times New Roman" w:hAnsi="Times New Roman" w:cs="Times New Roman"/>
          <w:color w:val="010302"/>
          <w:sz w:val="24"/>
          <w:szCs w:val="24"/>
        </w:rPr>
        <w:t>ask the wrong question, give itself a legally erroneous self-direction</w:t>
      </w:r>
      <w:r w:rsidR="00D940F7" w:rsidRPr="00996790">
        <w:rPr>
          <w:rFonts w:ascii="Times New Roman" w:hAnsi="Times New Roman" w:cs="Times New Roman"/>
          <w:color w:val="010302"/>
          <w:sz w:val="24"/>
          <w:szCs w:val="24"/>
        </w:rPr>
        <w:t xml:space="preserve"> or otherwise take a legally wrong approach; see for example </w:t>
      </w:r>
      <w:r w:rsidR="004913B4" w:rsidRPr="00B411E8">
        <w:rPr>
          <w:rFonts w:ascii="Times New Roman" w:hAnsi="Times New Roman" w:cs="Times New Roman"/>
          <w:b/>
          <w:bCs/>
          <w:color w:val="010302"/>
          <w:sz w:val="24"/>
          <w:szCs w:val="24"/>
          <w:u w:val="single"/>
        </w:rPr>
        <w:t>Simpson v Cantor Fitzgerald Europe</w:t>
      </w:r>
      <w:r w:rsidR="004913B4" w:rsidRPr="00996790">
        <w:rPr>
          <w:rFonts w:ascii="Times New Roman" w:hAnsi="Times New Roman" w:cs="Times New Roman"/>
          <w:i/>
          <w:iCs/>
          <w:color w:val="010302"/>
          <w:sz w:val="24"/>
          <w:szCs w:val="24"/>
        </w:rPr>
        <w:t xml:space="preserve"> </w:t>
      </w:r>
      <w:r w:rsidR="004913B4" w:rsidRPr="00996790">
        <w:rPr>
          <w:rFonts w:ascii="Times New Roman" w:hAnsi="Times New Roman" w:cs="Times New Roman"/>
          <w:color w:val="010302"/>
          <w:sz w:val="24"/>
          <w:szCs w:val="24"/>
        </w:rPr>
        <w:t xml:space="preserve">[2021] </w:t>
      </w:r>
      <w:r w:rsidR="009E6C8C" w:rsidRPr="00996790">
        <w:rPr>
          <w:rFonts w:ascii="Times New Roman" w:hAnsi="Times New Roman" w:cs="Times New Roman"/>
          <w:color w:val="010302"/>
          <w:sz w:val="24"/>
          <w:szCs w:val="24"/>
        </w:rPr>
        <w:t>ICR</w:t>
      </w:r>
      <w:r w:rsidR="004913B4" w:rsidRPr="00996790">
        <w:rPr>
          <w:rFonts w:ascii="Times New Roman" w:hAnsi="Times New Roman" w:cs="Times New Roman"/>
          <w:color w:val="010302"/>
          <w:sz w:val="24"/>
          <w:szCs w:val="24"/>
        </w:rPr>
        <w:t xml:space="preserve"> 695</w:t>
      </w:r>
      <w:r w:rsidR="009E6C8C" w:rsidRPr="00996790">
        <w:rPr>
          <w:rFonts w:ascii="Times New Roman" w:hAnsi="Times New Roman" w:cs="Times New Roman"/>
          <w:color w:val="010302"/>
          <w:sz w:val="24"/>
          <w:szCs w:val="24"/>
        </w:rPr>
        <w:t xml:space="preserve"> per Bean LJ </w:t>
      </w:r>
      <w:r w:rsidR="00E369B0" w:rsidRPr="00996790">
        <w:rPr>
          <w:rFonts w:ascii="Times New Roman" w:hAnsi="Times New Roman" w:cs="Times New Roman"/>
          <w:color w:val="010302"/>
          <w:sz w:val="24"/>
          <w:szCs w:val="24"/>
        </w:rPr>
        <w:t xml:space="preserve">at paragraphs 29 to 32.  </w:t>
      </w:r>
      <w:r w:rsidR="008351F5" w:rsidRPr="00996790">
        <w:rPr>
          <w:rFonts w:ascii="Times New Roman" w:hAnsi="Times New Roman" w:cs="Times New Roman"/>
          <w:color w:val="010302"/>
          <w:sz w:val="24"/>
          <w:szCs w:val="24"/>
        </w:rPr>
        <w:t xml:space="preserve">There is nothing to indicate </w:t>
      </w:r>
      <w:r w:rsidR="00714271" w:rsidRPr="00996790">
        <w:rPr>
          <w:rFonts w:ascii="Times New Roman" w:hAnsi="Times New Roman" w:cs="Times New Roman"/>
          <w:color w:val="010302"/>
          <w:sz w:val="24"/>
          <w:szCs w:val="24"/>
        </w:rPr>
        <w:t xml:space="preserve">that anything of that </w:t>
      </w:r>
      <w:r w:rsidR="00A210F6" w:rsidRPr="00996790">
        <w:rPr>
          <w:rFonts w:ascii="Times New Roman" w:hAnsi="Times New Roman" w:cs="Times New Roman"/>
          <w:color w:val="010302"/>
          <w:sz w:val="24"/>
          <w:szCs w:val="24"/>
        </w:rPr>
        <w:t xml:space="preserve">kind occurred </w:t>
      </w:r>
      <w:r w:rsidR="001C53D4" w:rsidRPr="00996790">
        <w:rPr>
          <w:rFonts w:ascii="Times New Roman" w:hAnsi="Times New Roman" w:cs="Times New Roman"/>
          <w:color w:val="010302"/>
          <w:sz w:val="24"/>
          <w:szCs w:val="24"/>
        </w:rPr>
        <w:t xml:space="preserve">here.  To the contrary, </w:t>
      </w:r>
      <w:r w:rsidR="00B15288" w:rsidRPr="00996790">
        <w:rPr>
          <w:rFonts w:ascii="Times New Roman" w:hAnsi="Times New Roman" w:cs="Times New Roman"/>
          <w:color w:val="010302"/>
          <w:sz w:val="24"/>
          <w:szCs w:val="24"/>
        </w:rPr>
        <w:t xml:space="preserve">the ET asked the correct </w:t>
      </w:r>
      <w:r w:rsidR="005556EC" w:rsidRPr="00996790">
        <w:rPr>
          <w:rFonts w:ascii="Times New Roman" w:hAnsi="Times New Roman" w:cs="Times New Roman"/>
          <w:color w:val="010302"/>
          <w:sz w:val="24"/>
          <w:szCs w:val="24"/>
        </w:rPr>
        <w:t xml:space="preserve">question, as I have already indicated.  </w:t>
      </w:r>
    </w:p>
    <w:p w14:paraId="789A9907" w14:textId="11D6AC6A" w:rsidR="009E5895" w:rsidRPr="00996790" w:rsidRDefault="009E5895" w:rsidP="009E5895">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t>Ground 1</w:t>
      </w:r>
      <w:r w:rsidR="000D6E87">
        <w:rPr>
          <w:rFonts w:ascii="Times New Roman" w:hAnsi="Times New Roman" w:cs="Times New Roman"/>
          <w:b/>
          <w:bCs/>
          <w:color w:val="010302"/>
          <w:sz w:val="24"/>
          <w:szCs w:val="24"/>
        </w:rPr>
        <w:t xml:space="preserve">: paragraph </w:t>
      </w:r>
      <w:r w:rsidRPr="00996790">
        <w:rPr>
          <w:rFonts w:ascii="Times New Roman" w:hAnsi="Times New Roman" w:cs="Times New Roman"/>
          <w:b/>
          <w:bCs/>
          <w:color w:val="010302"/>
          <w:sz w:val="24"/>
          <w:szCs w:val="24"/>
        </w:rPr>
        <w:t>5</w:t>
      </w:r>
    </w:p>
    <w:p w14:paraId="1A27A54D" w14:textId="3FBB9FC7" w:rsidR="009E5895" w:rsidRPr="00996790" w:rsidRDefault="00852A4C" w:rsidP="004C2D5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There is nothing in the </w:t>
      </w:r>
      <w:r w:rsidR="003A3F7D" w:rsidRPr="00996790">
        <w:rPr>
          <w:rFonts w:ascii="Times New Roman" w:hAnsi="Times New Roman" w:cs="Times New Roman"/>
          <w:color w:val="010302"/>
          <w:sz w:val="24"/>
          <w:szCs w:val="24"/>
        </w:rPr>
        <w:t xml:space="preserve">point that the ET erred in failing to ask itself whether the conditions </w:t>
      </w:r>
      <w:r w:rsidR="00BF2841" w:rsidRPr="00996790">
        <w:rPr>
          <w:rFonts w:ascii="Times New Roman" w:hAnsi="Times New Roman" w:cs="Times New Roman"/>
          <w:color w:val="010302"/>
          <w:sz w:val="24"/>
          <w:szCs w:val="24"/>
        </w:rPr>
        <w:lastRenderedPageBreak/>
        <w:t>set out in regulation 3(3) were satisfied</w:t>
      </w:r>
      <w:r w:rsidR="0044089D" w:rsidRPr="00996790">
        <w:rPr>
          <w:rFonts w:ascii="Times New Roman" w:hAnsi="Times New Roman" w:cs="Times New Roman"/>
          <w:color w:val="010302"/>
          <w:sz w:val="24"/>
          <w:szCs w:val="24"/>
        </w:rPr>
        <w:t xml:space="preserve">, as on the tribunal's findings </w:t>
      </w:r>
      <w:r w:rsidR="009D6209" w:rsidRPr="00996790">
        <w:rPr>
          <w:rFonts w:ascii="Times New Roman" w:hAnsi="Times New Roman" w:cs="Times New Roman"/>
          <w:color w:val="010302"/>
          <w:sz w:val="24"/>
          <w:szCs w:val="24"/>
        </w:rPr>
        <w:t>the claim failed before it got to that</w:t>
      </w:r>
      <w:r w:rsidR="00ED160B" w:rsidRPr="00996790">
        <w:rPr>
          <w:rFonts w:ascii="Times New Roman" w:hAnsi="Times New Roman" w:cs="Times New Roman"/>
          <w:color w:val="010302"/>
          <w:sz w:val="24"/>
          <w:szCs w:val="24"/>
        </w:rPr>
        <w:t xml:space="preserve"> stage</w:t>
      </w:r>
      <w:r w:rsidR="00B854FB">
        <w:rPr>
          <w:rFonts w:ascii="Times New Roman" w:hAnsi="Times New Roman" w:cs="Times New Roman"/>
          <w:color w:val="010302"/>
          <w:sz w:val="24"/>
          <w:szCs w:val="24"/>
        </w:rPr>
        <w:t>. Accordingly</w:t>
      </w:r>
      <w:r w:rsidR="00ED160B" w:rsidRPr="00996790">
        <w:rPr>
          <w:rFonts w:ascii="Times New Roman" w:hAnsi="Times New Roman" w:cs="Times New Roman"/>
          <w:color w:val="010302"/>
          <w:sz w:val="24"/>
          <w:szCs w:val="24"/>
        </w:rPr>
        <w:t xml:space="preserve">, it was simply unnecessary for </w:t>
      </w:r>
      <w:r w:rsidR="00F97638">
        <w:rPr>
          <w:rFonts w:ascii="Times New Roman" w:hAnsi="Times New Roman" w:cs="Times New Roman"/>
          <w:color w:val="010302"/>
          <w:sz w:val="24"/>
          <w:szCs w:val="24"/>
        </w:rPr>
        <w:t>the ET</w:t>
      </w:r>
      <w:r w:rsidR="00ED160B" w:rsidRPr="00996790">
        <w:rPr>
          <w:rFonts w:ascii="Times New Roman" w:hAnsi="Times New Roman" w:cs="Times New Roman"/>
          <w:color w:val="010302"/>
          <w:sz w:val="24"/>
          <w:szCs w:val="24"/>
        </w:rPr>
        <w:t xml:space="preserve"> to consider the regulation 3(3) criteria.  </w:t>
      </w:r>
      <w:r w:rsidR="00D22821" w:rsidRPr="00996790">
        <w:rPr>
          <w:rFonts w:ascii="Times New Roman" w:hAnsi="Times New Roman" w:cs="Times New Roman"/>
          <w:color w:val="010302"/>
          <w:sz w:val="24"/>
          <w:szCs w:val="24"/>
        </w:rPr>
        <w:t xml:space="preserve">As the claimant specifically mentioned the organised grouping criteria </w:t>
      </w:r>
      <w:r w:rsidR="005D65A7" w:rsidRPr="00996790">
        <w:rPr>
          <w:rFonts w:ascii="Times New Roman" w:hAnsi="Times New Roman" w:cs="Times New Roman"/>
          <w:color w:val="010302"/>
          <w:sz w:val="24"/>
          <w:szCs w:val="24"/>
        </w:rPr>
        <w:t>before me</w:t>
      </w:r>
      <w:r w:rsidR="00305852" w:rsidRPr="00996790">
        <w:rPr>
          <w:rFonts w:ascii="Times New Roman" w:hAnsi="Times New Roman" w:cs="Times New Roman"/>
          <w:color w:val="010302"/>
          <w:sz w:val="24"/>
          <w:szCs w:val="24"/>
        </w:rPr>
        <w:t>,</w:t>
      </w:r>
      <w:r w:rsidR="005D65A7" w:rsidRPr="00996790">
        <w:rPr>
          <w:rFonts w:ascii="Times New Roman" w:hAnsi="Times New Roman" w:cs="Times New Roman"/>
          <w:color w:val="010302"/>
          <w:sz w:val="24"/>
          <w:szCs w:val="24"/>
        </w:rPr>
        <w:t xml:space="preserve"> I make clear</w:t>
      </w:r>
      <w:r w:rsidR="00305852" w:rsidRPr="00996790">
        <w:rPr>
          <w:rFonts w:ascii="Times New Roman" w:hAnsi="Times New Roman" w:cs="Times New Roman"/>
          <w:color w:val="010302"/>
          <w:sz w:val="24"/>
          <w:szCs w:val="24"/>
        </w:rPr>
        <w:t xml:space="preserve"> that as the ET</w:t>
      </w:r>
      <w:r w:rsidR="00DC73D7" w:rsidRPr="00996790">
        <w:rPr>
          <w:rFonts w:ascii="Times New Roman" w:hAnsi="Times New Roman" w:cs="Times New Roman"/>
          <w:color w:val="010302"/>
          <w:sz w:val="24"/>
          <w:szCs w:val="24"/>
        </w:rPr>
        <w:t xml:space="preserve">'s list of issues shows, this point was not in </w:t>
      </w:r>
      <w:r w:rsidR="000523E6" w:rsidRPr="00996790">
        <w:rPr>
          <w:rFonts w:ascii="Times New Roman" w:hAnsi="Times New Roman" w:cs="Times New Roman"/>
          <w:color w:val="010302"/>
          <w:sz w:val="24"/>
          <w:szCs w:val="24"/>
        </w:rPr>
        <w:t xml:space="preserve">dispute </w:t>
      </w:r>
      <w:r w:rsidR="00C52758" w:rsidRPr="00996790">
        <w:rPr>
          <w:rFonts w:ascii="Times New Roman" w:hAnsi="Times New Roman" w:cs="Times New Roman"/>
          <w:color w:val="010302"/>
          <w:sz w:val="24"/>
          <w:szCs w:val="24"/>
        </w:rPr>
        <w:t>before the ET</w:t>
      </w:r>
      <w:r w:rsidR="0077777D" w:rsidRPr="00996790">
        <w:rPr>
          <w:rFonts w:ascii="Times New Roman" w:hAnsi="Times New Roman" w:cs="Times New Roman"/>
          <w:color w:val="010302"/>
          <w:sz w:val="24"/>
          <w:szCs w:val="24"/>
        </w:rPr>
        <w:t>.  Had the claimant succeeded</w:t>
      </w:r>
      <w:r w:rsidR="004F328E" w:rsidRPr="00996790">
        <w:rPr>
          <w:rFonts w:ascii="Times New Roman" w:hAnsi="Times New Roman" w:cs="Times New Roman"/>
          <w:color w:val="010302"/>
          <w:sz w:val="24"/>
          <w:szCs w:val="24"/>
        </w:rPr>
        <w:t xml:space="preserve"> on the </w:t>
      </w:r>
      <w:r w:rsidR="00DF778B">
        <w:rPr>
          <w:rFonts w:ascii="Times New Roman" w:hAnsi="Times New Roman" w:cs="Times New Roman"/>
          <w:color w:val="010302"/>
          <w:sz w:val="24"/>
          <w:szCs w:val="24"/>
        </w:rPr>
        <w:t xml:space="preserve">disputed </w:t>
      </w:r>
      <w:r w:rsidR="004F328E" w:rsidRPr="00996790">
        <w:rPr>
          <w:rFonts w:ascii="Times New Roman" w:hAnsi="Times New Roman" w:cs="Times New Roman"/>
          <w:color w:val="010302"/>
          <w:sz w:val="24"/>
          <w:szCs w:val="24"/>
        </w:rPr>
        <w:t xml:space="preserve">issue upon which the </w:t>
      </w:r>
      <w:r w:rsidR="00DF778B">
        <w:rPr>
          <w:rFonts w:ascii="Times New Roman" w:hAnsi="Times New Roman" w:cs="Times New Roman"/>
          <w:color w:val="010302"/>
          <w:sz w:val="24"/>
          <w:szCs w:val="24"/>
        </w:rPr>
        <w:t>ET</w:t>
      </w:r>
      <w:r w:rsidR="004F328E" w:rsidRPr="00996790">
        <w:rPr>
          <w:rFonts w:ascii="Times New Roman" w:hAnsi="Times New Roman" w:cs="Times New Roman"/>
          <w:color w:val="010302"/>
          <w:sz w:val="24"/>
          <w:szCs w:val="24"/>
        </w:rPr>
        <w:t xml:space="preserve"> </w:t>
      </w:r>
      <w:r w:rsidR="00384B6B" w:rsidRPr="00996790">
        <w:rPr>
          <w:rFonts w:ascii="Times New Roman" w:hAnsi="Times New Roman" w:cs="Times New Roman"/>
          <w:color w:val="010302"/>
          <w:sz w:val="24"/>
          <w:szCs w:val="24"/>
        </w:rPr>
        <w:t>ruled against her</w:t>
      </w:r>
      <w:r w:rsidR="00ED0E9C" w:rsidRPr="00996790">
        <w:rPr>
          <w:rFonts w:ascii="Times New Roman" w:hAnsi="Times New Roman" w:cs="Times New Roman"/>
          <w:color w:val="010302"/>
          <w:sz w:val="24"/>
          <w:szCs w:val="24"/>
        </w:rPr>
        <w:t>, then th</w:t>
      </w:r>
      <w:r w:rsidR="009E6246">
        <w:rPr>
          <w:rFonts w:ascii="Times New Roman" w:hAnsi="Times New Roman" w:cs="Times New Roman"/>
          <w:color w:val="010302"/>
          <w:sz w:val="24"/>
          <w:szCs w:val="24"/>
        </w:rPr>
        <w:t>is point</w:t>
      </w:r>
      <w:r w:rsidR="00ED0E9C" w:rsidRPr="00996790">
        <w:rPr>
          <w:rFonts w:ascii="Times New Roman" w:hAnsi="Times New Roman" w:cs="Times New Roman"/>
          <w:color w:val="010302"/>
          <w:sz w:val="24"/>
          <w:szCs w:val="24"/>
        </w:rPr>
        <w:t xml:space="preserve"> would have been taken </w:t>
      </w:r>
      <w:r w:rsidR="00654B97" w:rsidRPr="00996790">
        <w:rPr>
          <w:rFonts w:ascii="Times New Roman" w:hAnsi="Times New Roman" w:cs="Times New Roman"/>
          <w:color w:val="010302"/>
          <w:sz w:val="24"/>
          <w:szCs w:val="24"/>
        </w:rPr>
        <w:t xml:space="preserve">in her favour, but it did not avail </w:t>
      </w:r>
      <w:r w:rsidR="004E16C8" w:rsidRPr="00996790">
        <w:rPr>
          <w:rFonts w:ascii="Times New Roman" w:hAnsi="Times New Roman" w:cs="Times New Roman"/>
          <w:color w:val="010302"/>
          <w:sz w:val="24"/>
          <w:szCs w:val="24"/>
        </w:rPr>
        <w:t xml:space="preserve">the claimant at the stage that I am concerned </w:t>
      </w:r>
      <w:r w:rsidR="00DA5C95" w:rsidRPr="00996790">
        <w:rPr>
          <w:rFonts w:ascii="Times New Roman" w:hAnsi="Times New Roman" w:cs="Times New Roman"/>
          <w:color w:val="010302"/>
          <w:sz w:val="24"/>
          <w:szCs w:val="24"/>
        </w:rPr>
        <w:t xml:space="preserve">with, namely whether the </w:t>
      </w:r>
      <w:r w:rsidR="006D30A4" w:rsidRPr="00996790">
        <w:rPr>
          <w:rFonts w:ascii="Times New Roman" w:hAnsi="Times New Roman" w:cs="Times New Roman"/>
          <w:color w:val="010302"/>
          <w:sz w:val="24"/>
          <w:szCs w:val="24"/>
        </w:rPr>
        <w:t xml:space="preserve">activities were fundamentally the same </w:t>
      </w:r>
      <w:r w:rsidR="003B1C2B" w:rsidRPr="00996790">
        <w:rPr>
          <w:rFonts w:ascii="Times New Roman" w:hAnsi="Times New Roman" w:cs="Times New Roman"/>
          <w:color w:val="010302"/>
          <w:sz w:val="24"/>
          <w:szCs w:val="24"/>
        </w:rPr>
        <w:t xml:space="preserve">or not.  </w:t>
      </w:r>
    </w:p>
    <w:p w14:paraId="3C4E682B" w14:textId="6D7B3D03" w:rsidR="00523714" w:rsidRPr="00996790" w:rsidRDefault="00523714" w:rsidP="00523714">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t>Ground 2</w:t>
      </w:r>
    </w:p>
    <w:p w14:paraId="787E83FC" w14:textId="77777777" w:rsidR="00B33DCE" w:rsidRDefault="00034A67" w:rsidP="004C2D5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It is said </w:t>
      </w:r>
      <w:r w:rsidR="006C7582">
        <w:rPr>
          <w:rFonts w:ascii="Times New Roman" w:hAnsi="Times New Roman" w:cs="Times New Roman"/>
          <w:color w:val="010302"/>
          <w:sz w:val="24"/>
          <w:szCs w:val="24"/>
        </w:rPr>
        <w:t xml:space="preserve">that </w:t>
      </w:r>
      <w:r w:rsidRPr="00996790">
        <w:rPr>
          <w:rFonts w:ascii="Times New Roman" w:hAnsi="Times New Roman" w:cs="Times New Roman"/>
          <w:color w:val="010302"/>
          <w:sz w:val="24"/>
          <w:szCs w:val="24"/>
        </w:rPr>
        <w:t xml:space="preserve">there was </w:t>
      </w:r>
      <w:r w:rsidR="003812C5" w:rsidRPr="00996790">
        <w:rPr>
          <w:rFonts w:ascii="Times New Roman" w:hAnsi="Times New Roman" w:cs="Times New Roman"/>
          <w:color w:val="010302"/>
          <w:sz w:val="24"/>
          <w:szCs w:val="24"/>
        </w:rPr>
        <w:t xml:space="preserve">no evidential basis </w:t>
      </w:r>
      <w:r w:rsidR="009A294D" w:rsidRPr="00996790">
        <w:rPr>
          <w:rFonts w:ascii="Times New Roman" w:hAnsi="Times New Roman" w:cs="Times New Roman"/>
          <w:color w:val="010302"/>
          <w:sz w:val="24"/>
          <w:szCs w:val="24"/>
        </w:rPr>
        <w:t xml:space="preserve">for the ET's rejection of the proposition that the respondent had deliberately </w:t>
      </w:r>
      <w:r w:rsidR="00ED7A02" w:rsidRPr="00996790">
        <w:rPr>
          <w:rFonts w:ascii="Times New Roman" w:hAnsi="Times New Roman" w:cs="Times New Roman"/>
          <w:color w:val="010302"/>
          <w:sz w:val="24"/>
          <w:szCs w:val="24"/>
        </w:rPr>
        <w:t>acted to av</w:t>
      </w:r>
      <w:r w:rsidR="006014AF" w:rsidRPr="00996790">
        <w:rPr>
          <w:rFonts w:ascii="Times New Roman" w:hAnsi="Times New Roman" w:cs="Times New Roman"/>
          <w:color w:val="010302"/>
          <w:sz w:val="24"/>
          <w:szCs w:val="24"/>
        </w:rPr>
        <w:t xml:space="preserve">oid TUPE from </w:t>
      </w:r>
      <w:r w:rsidR="00A3222E" w:rsidRPr="00996790">
        <w:rPr>
          <w:rFonts w:ascii="Times New Roman" w:hAnsi="Times New Roman" w:cs="Times New Roman"/>
          <w:color w:val="010302"/>
          <w:sz w:val="24"/>
          <w:szCs w:val="24"/>
        </w:rPr>
        <w:t xml:space="preserve">applying.  </w:t>
      </w:r>
      <w:r w:rsidR="00616E73" w:rsidRPr="00996790">
        <w:rPr>
          <w:rFonts w:ascii="Times New Roman" w:hAnsi="Times New Roman" w:cs="Times New Roman"/>
          <w:color w:val="010302"/>
          <w:sz w:val="24"/>
          <w:szCs w:val="24"/>
        </w:rPr>
        <w:t xml:space="preserve">I do not accept that.  </w:t>
      </w:r>
      <w:r w:rsidR="005E5BC7" w:rsidRPr="00996790">
        <w:rPr>
          <w:rFonts w:ascii="Times New Roman" w:hAnsi="Times New Roman" w:cs="Times New Roman"/>
          <w:color w:val="010302"/>
          <w:sz w:val="24"/>
          <w:szCs w:val="24"/>
        </w:rPr>
        <w:t xml:space="preserve">The ET plainly </w:t>
      </w:r>
      <w:r w:rsidR="001F5553" w:rsidRPr="00996790">
        <w:rPr>
          <w:rFonts w:ascii="Times New Roman" w:hAnsi="Times New Roman" w:cs="Times New Roman"/>
          <w:color w:val="010302"/>
          <w:sz w:val="24"/>
          <w:szCs w:val="24"/>
        </w:rPr>
        <w:t xml:space="preserve">accepted the evidence </w:t>
      </w:r>
      <w:r w:rsidR="00936640" w:rsidRPr="00996790">
        <w:rPr>
          <w:rFonts w:ascii="Times New Roman" w:hAnsi="Times New Roman" w:cs="Times New Roman"/>
          <w:color w:val="010302"/>
          <w:sz w:val="24"/>
          <w:szCs w:val="24"/>
        </w:rPr>
        <w:t>of Mr Free, who explained the circumstances</w:t>
      </w:r>
      <w:r w:rsidR="00B752A8">
        <w:rPr>
          <w:rFonts w:ascii="Times New Roman" w:hAnsi="Times New Roman" w:cs="Times New Roman"/>
          <w:color w:val="010302"/>
          <w:sz w:val="24"/>
          <w:szCs w:val="24"/>
        </w:rPr>
        <w:t xml:space="preserve">, </w:t>
      </w:r>
      <w:proofErr w:type="gramStart"/>
      <w:r w:rsidR="00B752A8">
        <w:rPr>
          <w:rFonts w:ascii="Times New Roman" w:hAnsi="Times New Roman" w:cs="Times New Roman"/>
          <w:color w:val="010302"/>
          <w:sz w:val="24"/>
          <w:szCs w:val="24"/>
        </w:rPr>
        <w:t>i</w:t>
      </w:r>
      <w:r w:rsidR="00936640" w:rsidRPr="00996790">
        <w:rPr>
          <w:rFonts w:ascii="Times New Roman" w:hAnsi="Times New Roman" w:cs="Times New Roman"/>
          <w:color w:val="010302"/>
          <w:sz w:val="24"/>
          <w:szCs w:val="24"/>
        </w:rPr>
        <w:t xml:space="preserve">n particular </w:t>
      </w:r>
      <w:r w:rsidR="00B752A8">
        <w:rPr>
          <w:rFonts w:ascii="Times New Roman" w:hAnsi="Times New Roman" w:cs="Times New Roman"/>
          <w:color w:val="010302"/>
          <w:sz w:val="24"/>
          <w:szCs w:val="24"/>
        </w:rPr>
        <w:t>at</w:t>
      </w:r>
      <w:proofErr w:type="gramEnd"/>
      <w:r w:rsidR="00B752A8">
        <w:rPr>
          <w:rFonts w:ascii="Times New Roman" w:hAnsi="Times New Roman" w:cs="Times New Roman"/>
          <w:color w:val="010302"/>
          <w:sz w:val="24"/>
          <w:szCs w:val="24"/>
        </w:rPr>
        <w:t xml:space="preserve"> </w:t>
      </w:r>
      <w:r w:rsidR="00936640" w:rsidRPr="00996790">
        <w:rPr>
          <w:rFonts w:ascii="Times New Roman" w:hAnsi="Times New Roman" w:cs="Times New Roman"/>
          <w:color w:val="010302"/>
          <w:sz w:val="24"/>
          <w:szCs w:val="24"/>
        </w:rPr>
        <w:t xml:space="preserve">paragraphs 9 </w:t>
      </w:r>
      <w:r w:rsidR="00661E83">
        <w:rPr>
          <w:rFonts w:ascii="Times New Roman" w:hAnsi="Times New Roman" w:cs="Times New Roman"/>
          <w:color w:val="010302"/>
          <w:sz w:val="24"/>
          <w:szCs w:val="24"/>
        </w:rPr>
        <w:t>-</w:t>
      </w:r>
      <w:r w:rsidR="00936640" w:rsidRPr="00996790">
        <w:rPr>
          <w:rFonts w:ascii="Times New Roman" w:hAnsi="Times New Roman" w:cs="Times New Roman"/>
          <w:color w:val="010302"/>
          <w:sz w:val="24"/>
          <w:szCs w:val="24"/>
        </w:rPr>
        <w:t xml:space="preserve"> 15 of his witness statement</w:t>
      </w:r>
      <w:r w:rsidR="00AC3186" w:rsidRPr="00996790">
        <w:rPr>
          <w:rFonts w:ascii="Times New Roman" w:hAnsi="Times New Roman" w:cs="Times New Roman"/>
          <w:color w:val="010302"/>
          <w:sz w:val="24"/>
          <w:szCs w:val="24"/>
        </w:rPr>
        <w:t xml:space="preserve">, to which I have been directed.  </w:t>
      </w:r>
      <w:r w:rsidR="00045287" w:rsidRPr="00996790">
        <w:rPr>
          <w:rFonts w:ascii="Times New Roman" w:hAnsi="Times New Roman" w:cs="Times New Roman"/>
          <w:color w:val="010302"/>
          <w:sz w:val="24"/>
          <w:szCs w:val="24"/>
        </w:rPr>
        <w:t xml:space="preserve">It is not incumbent on a tribunal to </w:t>
      </w:r>
      <w:r w:rsidR="003C3455" w:rsidRPr="00996790">
        <w:rPr>
          <w:rFonts w:ascii="Times New Roman" w:hAnsi="Times New Roman" w:cs="Times New Roman"/>
          <w:color w:val="010302"/>
          <w:sz w:val="24"/>
          <w:szCs w:val="24"/>
        </w:rPr>
        <w:t xml:space="preserve">identify all </w:t>
      </w:r>
      <w:r w:rsidR="00E676CF" w:rsidRPr="00996790">
        <w:rPr>
          <w:rFonts w:ascii="Times New Roman" w:hAnsi="Times New Roman" w:cs="Times New Roman"/>
          <w:color w:val="010302"/>
          <w:sz w:val="24"/>
          <w:szCs w:val="24"/>
        </w:rPr>
        <w:t xml:space="preserve">the evidence it relies upon in reaching </w:t>
      </w:r>
      <w:r w:rsidR="003A300F">
        <w:rPr>
          <w:rFonts w:ascii="Times New Roman" w:hAnsi="Times New Roman" w:cs="Times New Roman"/>
          <w:color w:val="010302"/>
          <w:sz w:val="24"/>
          <w:szCs w:val="24"/>
        </w:rPr>
        <w:t>a</w:t>
      </w:r>
      <w:r w:rsidR="00E676CF" w:rsidRPr="00996790">
        <w:rPr>
          <w:rFonts w:ascii="Times New Roman" w:hAnsi="Times New Roman" w:cs="Times New Roman"/>
          <w:color w:val="010302"/>
          <w:sz w:val="24"/>
          <w:szCs w:val="24"/>
        </w:rPr>
        <w:t xml:space="preserve"> conclusion; for example, see </w:t>
      </w:r>
      <w:r w:rsidR="009C20EF" w:rsidRPr="00661E83">
        <w:rPr>
          <w:rFonts w:ascii="Times New Roman" w:hAnsi="Times New Roman" w:cs="Times New Roman"/>
          <w:b/>
          <w:bCs/>
          <w:color w:val="010302"/>
          <w:sz w:val="24"/>
          <w:szCs w:val="24"/>
          <w:u w:val="single"/>
        </w:rPr>
        <w:t>DPP Law Ltd v Greenberg</w:t>
      </w:r>
      <w:r w:rsidR="009C20EF" w:rsidRPr="00996790">
        <w:rPr>
          <w:rFonts w:ascii="Times New Roman" w:hAnsi="Times New Roman" w:cs="Times New Roman"/>
          <w:i/>
          <w:iCs/>
          <w:color w:val="010302"/>
          <w:sz w:val="24"/>
          <w:szCs w:val="24"/>
        </w:rPr>
        <w:t xml:space="preserve"> </w:t>
      </w:r>
      <w:r w:rsidR="009C20EF" w:rsidRPr="00996790">
        <w:rPr>
          <w:rFonts w:ascii="Times New Roman" w:hAnsi="Times New Roman" w:cs="Times New Roman"/>
          <w:color w:val="010302"/>
          <w:sz w:val="24"/>
          <w:szCs w:val="24"/>
        </w:rPr>
        <w:t>[2021] IRLR 1016</w:t>
      </w:r>
      <w:r w:rsidR="00661E83">
        <w:rPr>
          <w:rFonts w:ascii="Times New Roman" w:hAnsi="Times New Roman" w:cs="Times New Roman"/>
          <w:color w:val="010302"/>
          <w:sz w:val="24"/>
          <w:szCs w:val="24"/>
        </w:rPr>
        <w:t>,</w:t>
      </w:r>
      <w:r w:rsidR="009C20EF" w:rsidRPr="00996790">
        <w:rPr>
          <w:rFonts w:ascii="Times New Roman" w:hAnsi="Times New Roman" w:cs="Times New Roman"/>
          <w:color w:val="010302"/>
          <w:sz w:val="24"/>
          <w:szCs w:val="24"/>
        </w:rPr>
        <w:t xml:space="preserve"> per </w:t>
      </w:r>
      <w:proofErr w:type="spellStart"/>
      <w:r w:rsidR="009C20EF" w:rsidRPr="00996790">
        <w:rPr>
          <w:rFonts w:ascii="Times New Roman" w:hAnsi="Times New Roman" w:cs="Times New Roman"/>
          <w:color w:val="010302"/>
          <w:sz w:val="24"/>
          <w:szCs w:val="24"/>
        </w:rPr>
        <w:t>Popplewell</w:t>
      </w:r>
      <w:proofErr w:type="spellEnd"/>
      <w:r w:rsidR="009C20EF" w:rsidRPr="00996790">
        <w:rPr>
          <w:rFonts w:ascii="Times New Roman" w:hAnsi="Times New Roman" w:cs="Times New Roman"/>
          <w:color w:val="010302"/>
          <w:sz w:val="24"/>
          <w:szCs w:val="24"/>
        </w:rPr>
        <w:t xml:space="preserve"> LJ at paragraph 57.  Accordingly, the fact that the </w:t>
      </w:r>
      <w:r w:rsidR="003A300F">
        <w:rPr>
          <w:rFonts w:ascii="Times New Roman" w:hAnsi="Times New Roman" w:cs="Times New Roman"/>
          <w:color w:val="010302"/>
          <w:sz w:val="24"/>
          <w:szCs w:val="24"/>
        </w:rPr>
        <w:t>ET</w:t>
      </w:r>
      <w:r w:rsidR="00DB688B" w:rsidRPr="00996790">
        <w:rPr>
          <w:rFonts w:ascii="Times New Roman" w:hAnsi="Times New Roman" w:cs="Times New Roman"/>
          <w:color w:val="010302"/>
          <w:sz w:val="24"/>
          <w:szCs w:val="24"/>
        </w:rPr>
        <w:t xml:space="preserve"> did not refer to this specifically does not in itself provide a basis for inferring </w:t>
      </w:r>
      <w:r w:rsidR="005F07DF" w:rsidRPr="00996790">
        <w:rPr>
          <w:rFonts w:ascii="Times New Roman" w:hAnsi="Times New Roman" w:cs="Times New Roman"/>
          <w:color w:val="010302"/>
          <w:sz w:val="24"/>
          <w:szCs w:val="24"/>
        </w:rPr>
        <w:t xml:space="preserve">it was not </w:t>
      </w:r>
      <w:proofErr w:type="gramStart"/>
      <w:r w:rsidR="005F07DF" w:rsidRPr="00996790">
        <w:rPr>
          <w:rFonts w:ascii="Times New Roman" w:hAnsi="Times New Roman" w:cs="Times New Roman"/>
          <w:color w:val="010302"/>
          <w:sz w:val="24"/>
          <w:szCs w:val="24"/>
        </w:rPr>
        <w:t>taken into account</w:t>
      </w:r>
      <w:proofErr w:type="gramEnd"/>
      <w:r w:rsidR="005F07DF" w:rsidRPr="00996790">
        <w:rPr>
          <w:rFonts w:ascii="Times New Roman" w:hAnsi="Times New Roman" w:cs="Times New Roman"/>
          <w:color w:val="010302"/>
          <w:sz w:val="24"/>
          <w:szCs w:val="24"/>
        </w:rPr>
        <w:t>.</w:t>
      </w:r>
    </w:p>
    <w:p w14:paraId="71738A0B" w14:textId="77777777" w:rsidR="008505C8" w:rsidRDefault="00482C4B" w:rsidP="004C2D5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Furthermore, the </w:t>
      </w:r>
      <w:r w:rsidR="00F90956" w:rsidRPr="00996790">
        <w:rPr>
          <w:rFonts w:ascii="Times New Roman" w:hAnsi="Times New Roman" w:cs="Times New Roman"/>
          <w:color w:val="010302"/>
          <w:sz w:val="24"/>
          <w:szCs w:val="24"/>
        </w:rPr>
        <w:t xml:space="preserve">context had been one </w:t>
      </w:r>
      <w:r w:rsidR="007B2A08" w:rsidRPr="00996790">
        <w:rPr>
          <w:rFonts w:ascii="Times New Roman" w:hAnsi="Times New Roman" w:cs="Times New Roman"/>
          <w:color w:val="010302"/>
          <w:sz w:val="24"/>
          <w:szCs w:val="24"/>
        </w:rPr>
        <w:t>where Broadland</w:t>
      </w:r>
      <w:r w:rsidR="00317C28">
        <w:rPr>
          <w:rFonts w:ascii="Times New Roman" w:hAnsi="Times New Roman" w:cs="Times New Roman"/>
          <w:color w:val="010302"/>
          <w:sz w:val="24"/>
          <w:szCs w:val="24"/>
        </w:rPr>
        <w:t>,</w:t>
      </w:r>
      <w:r w:rsidR="007B2A08" w:rsidRPr="00996790">
        <w:rPr>
          <w:rFonts w:ascii="Times New Roman" w:hAnsi="Times New Roman" w:cs="Times New Roman"/>
          <w:color w:val="010302"/>
          <w:sz w:val="24"/>
          <w:szCs w:val="24"/>
        </w:rPr>
        <w:t xml:space="preserve"> </w:t>
      </w:r>
      <w:r w:rsidR="002D53D8" w:rsidRPr="00996790">
        <w:rPr>
          <w:rFonts w:ascii="Times New Roman" w:hAnsi="Times New Roman" w:cs="Times New Roman"/>
          <w:color w:val="010302"/>
          <w:sz w:val="24"/>
          <w:szCs w:val="24"/>
        </w:rPr>
        <w:t>rather than the respondent</w:t>
      </w:r>
      <w:r w:rsidR="00317C28">
        <w:rPr>
          <w:rFonts w:ascii="Times New Roman" w:hAnsi="Times New Roman" w:cs="Times New Roman"/>
          <w:color w:val="010302"/>
          <w:sz w:val="24"/>
          <w:szCs w:val="24"/>
        </w:rPr>
        <w:t>,</w:t>
      </w:r>
      <w:r w:rsidR="002D53D8" w:rsidRPr="00996790">
        <w:rPr>
          <w:rFonts w:ascii="Times New Roman" w:hAnsi="Times New Roman" w:cs="Times New Roman"/>
          <w:color w:val="010302"/>
          <w:sz w:val="24"/>
          <w:szCs w:val="24"/>
        </w:rPr>
        <w:t xml:space="preserve"> </w:t>
      </w:r>
      <w:r w:rsidR="00486997" w:rsidRPr="00996790">
        <w:rPr>
          <w:rFonts w:ascii="Times New Roman" w:hAnsi="Times New Roman" w:cs="Times New Roman"/>
          <w:color w:val="010302"/>
          <w:sz w:val="24"/>
          <w:szCs w:val="24"/>
        </w:rPr>
        <w:t xml:space="preserve">had served notice to terminate </w:t>
      </w:r>
      <w:r w:rsidR="009322A7" w:rsidRPr="00996790">
        <w:rPr>
          <w:rFonts w:ascii="Times New Roman" w:hAnsi="Times New Roman" w:cs="Times New Roman"/>
          <w:color w:val="010302"/>
          <w:sz w:val="24"/>
          <w:szCs w:val="24"/>
        </w:rPr>
        <w:t>the previous arrangement, and the ET found as a fact at paragraph</w:t>
      </w:r>
      <w:r w:rsidR="00A37F27">
        <w:rPr>
          <w:rFonts w:ascii="Times New Roman" w:hAnsi="Times New Roman" w:cs="Times New Roman"/>
          <w:color w:val="010302"/>
          <w:sz w:val="24"/>
          <w:szCs w:val="24"/>
        </w:rPr>
        <w:t>s</w:t>
      </w:r>
      <w:r w:rsidR="009322A7" w:rsidRPr="00996790">
        <w:rPr>
          <w:rFonts w:ascii="Times New Roman" w:hAnsi="Times New Roman" w:cs="Times New Roman"/>
          <w:color w:val="010302"/>
          <w:sz w:val="24"/>
          <w:szCs w:val="24"/>
        </w:rPr>
        <w:t xml:space="preserve"> 23 and 24 </w:t>
      </w:r>
      <w:r w:rsidR="00A37F27">
        <w:rPr>
          <w:rFonts w:ascii="Times New Roman" w:hAnsi="Times New Roman" w:cs="Times New Roman"/>
          <w:color w:val="010302"/>
          <w:sz w:val="24"/>
          <w:szCs w:val="24"/>
        </w:rPr>
        <w:t xml:space="preserve">of its Reasons </w:t>
      </w:r>
      <w:r w:rsidR="00BB4218" w:rsidRPr="00996790">
        <w:rPr>
          <w:rFonts w:ascii="Times New Roman" w:hAnsi="Times New Roman" w:cs="Times New Roman"/>
          <w:color w:val="010302"/>
          <w:sz w:val="24"/>
          <w:szCs w:val="24"/>
        </w:rPr>
        <w:t xml:space="preserve">that the decision not to employ full time CCTV </w:t>
      </w:r>
      <w:r w:rsidR="00007FA2" w:rsidRPr="00996790">
        <w:rPr>
          <w:rFonts w:ascii="Times New Roman" w:hAnsi="Times New Roman" w:cs="Times New Roman"/>
          <w:color w:val="010302"/>
          <w:sz w:val="24"/>
          <w:szCs w:val="24"/>
        </w:rPr>
        <w:t xml:space="preserve">operatives was driven by </w:t>
      </w:r>
      <w:r w:rsidR="00043E10" w:rsidRPr="00996790">
        <w:rPr>
          <w:rFonts w:ascii="Times New Roman" w:hAnsi="Times New Roman" w:cs="Times New Roman"/>
          <w:color w:val="010302"/>
          <w:sz w:val="24"/>
          <w:szCs w:val="24"/>
        </w:rPr>
        <w:t>budgetary pressu</w:t>
      </w:r>
      <w:r w:rsidR="009C10A7" w:rsidRPr="00996790">
        <w:rPr>
          <w:rFonts w:ascii="Times New Roman" w:hAnsi="Times New Roman" w:cs="Times New Roman"/>
          <w:color w:val="010302"/>
          <w:sz w:val="24"/>
          <w:szCs w:val="24"/>
        </w:rPr>
        <w:t>res.  In these ci</w:t>
      </w:r>
      <w:r w:rsidR="00940A0D" w:rsidRPr="00996790">
        <w:rPr>
          <w:rFonts w:ascii="Times New Roman" w:hAnsi="Times New Roman" w:cs="Times New Roman"/>
          <w:color w:val="010302"/>
          <w:sz w:val="24"/>
          <w:szCs w:val="24"/>
        </w:rPr>
        <w:t>rc</w:t>
      </w:r>
      <w:r w:rsidR="009C10A7" w:rsidRPr="00996790">
        <w:rPr>
          <w:rFonts w:ascii="Times New Roman" w:hAnsi="Times New Roman" w:cs="Times New Roman"/>
          <w:color w:val="010302"/>
          <w:sz w:val="24"/>
          <w:szCs w:val="24"/>
        </w:rPr>
        <w:t xml:space="preserve">umstances, </w:t>
      </w:r>
      <w:r w:rsidR="00940A0D" w:rsidRPr="00996790">
        <w:rPr>
          <w:rFonts w:ascii="Times New Roman" w:hAnsi="Times New Roman" w:cs="Times New Roman"/>
          <w:color w:val="010302"/>
          <w:sz w:val="24"/>
          <w:szCs w:val="24"/>
        </w:rPr>
        <w:t xml:space="preserve">there was an </w:t>
      </w:r>
      <w:r w:rsidR="0047418F" w:rsidRPr="00996790">
        <w:rPr>
          <w:rFonts w:ascii="Times New Roman" w:hAnsi="Times New Roman" w:cs="Times New Roman"/>
          <w:color w:val="010302"/>
          <w:sz w:val="24"/>
          <w:szCs w:val="24"/>
        </w:rPr>
        <w:t xml:space="preserve">evidential foundation </w:t>
      </w:r>
      <w:r w:rsidR="00F177E9" w:rsidRPr="00996790">
        <w:rPr>
          <w:rFonts w:ascii="Times New Roman" w:hAnsi="Times New Roman" w:cs="Times New Roman"/>
          <w:color w:val="010302"/>
          <w:sz w:val="24"/>
          <w:szCs w:val="24"/>
        </w:rPr>
        <w:t xml:space="preserve">for the ET's rejection of the proposition </w:t>
      </w:r>
      <w:r w:rsidR="00EC706E" w:rsidRPr="00996790">
        <w:rPr>
          <w:rFonts w:ascii="Times New Roman" w:hAnsi="Times New Roman" w:cs="Times New Roman"/>
          <w:color w:val="010302"/>
          <w:sz w:val="24"/>
          <w:szCs w:val="24"/>
        </w:rPr>
        <w:t xml:space="preserve">that the change in the activities </w:t>
      </w:r>
      <w:r w:rsidR="00972CF7" w:rsidRPr="00996790">
        <w:rPr>
          <w:rFonts w:ascii="Times New Roman" w:hAnsi="Times New Roman" w:cs="Times New Roman"/>
          <w:color w:val="010302"/>
          <w:sz w:val="24"/>
          <w:szCs w:val="24"/>
        </w:rPr>
        <w:t xml:space="preserve">had been designed to avoid TUPE applying to </w:t>
      </w:r>
      <w:r w:rsidR="000140A9" w:rsidRPr="00996790">
        <w:rPr>
          <w:rFonts w:ascii="Times New Roman" w:hAnsi="Times New Roman" w:cs="Times New Roman"/>
          <w:color w:val="010302"/>
          <w:sz w:val="24"/>
          <w:szCs w:val="24"/>
        </w:rPr>
        <w:t>the claimant.</w:t>
      </w:r>
      <w:r w:rsidR="004F016A" w:rsidRPr="00996790">
        <w:rPr>
          <w:rFonts w:ascii="Times New Roman" w:hAnsi="Times New Roman" w:cs="Times New Roman"/>
          <w:color w:val="010302"/>
          <w:sz w:val="24"/>
          <w:szCs w:val="24"/>
        </w:rPr>
        <w:t xml:space="preserve">  </w:t>
      </w:r>
    </w:p>
    <w:p w14:paraId="6E8A419D" w14:textId="400631C1" w:rsidR="00523714" w:rsidRPr="00996790" w:rsidRDefault="002B6A58" w:rsidP="004C2D5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Pr>
          <w:rFonts w:ascii="Times New Roman" w:hAnsi="Times New Roman" w:cs="Times New Roman"/>
          <w:color w:val="010302"/>
          <w:sz w:val="24"/>
          <w:szCs w:val="24"/>
        </w:rPr>
        <w:t>T</w:t>
      </w:r>
      <w:r w:rsidR="00327B98" w:rsidRPr="00996790">
        <w:rPr>
          <w:rFonts w:ascii="Times New Roman" w:hAnsi="Times New Roman" w:cs="Times New Roman"/>
          <w:color w:val="010302"/>
          <w:sz w:val="24"/>
          <w:szCs w:val="24"/>
        </w:rPr>
        <w:t xml:space="preserve">he claimant </w:t>
      </w:r>
      <w:r w:rsidR="00D46D65" w:rsidRPr="00996790">
        <w:rPr>
          <w:rFonts w:ascii="Times New Roman" w:hAnsi="Times New Roman" w:cs="Times New Roman"/>
          <w:color w:val="010302"/>
          <w:sz w:val="24"/>
          <w:szCs w:val="24"/>
        </w:rPr>
        <w:t xml:space="preserve">contends that it was perverse for the ET not to find that the change in activities </w:t>
      </w:r>
      <w:r w:rsidR="00464915" w:rsidRPr="00996790">
        <w:rPr>
          <w:rFonts w:ascii="Times New Roman" w:hAnsi="Times New Roman" w:cs="Times New Roman"/>
          <w:color w:val="010302"/>
          <w:sz w:val="24"/>
          <w:szCs w:val="24"/>
        </w:rPr>
        <w:t xml:space="preserve">had been engineered </w:t>
      </w:r>
      <w:r w:rsidR="007137D2" w:rsidRPr="00996790">
        <w:rPr>
          <w:rFonts w:ascii="Times New Roman" w:hAnsi="Times New Roman" w:cs="Times New Roman"/>
          <w:color w:val="010302"/>
          <w:sz w:val="24"/>
          <w:szCs w:val="24"/>
        </w:rPr>
        <w:t xml:space="preserve">to avoid TUPE </w:t>
      </w:r>
      <w:r w:rsidR="0077504B" w:rsidRPr="00996790">
        <w:rPr>
          <w:rFonts w:ascii="Times New Roman" w:hAnsi="Times New Roman" w:cs="Times New Roman"/>
          <w:color w:val="010302"/>
          <w:sz w:val="24"/>
          <w:szCs w:val="24"/>
        </w:rPr>
        <w:t>applying to her employ</w:t>
      </w:r>
      <w:r w:rsidR="00212954" w:rsidRPr="00996790">
        <w:rPr>
          <w:rFonts w:ascii="Times New Roman" w:hAnsi="Times New Roman" w:cs="Times New Roman"/>
          <w:color w:val="010302"/>
          <w:sz w:val="24"/>
          <w:szCs w:val="24"/>
        </w:rPr>
        <w:t xml:space="preserve">ment.  In other words, she </w:t>
      </w:r>
      <w:r w:rsidR="00A41B28" w:rsidRPr="00996790">
        <w:rPr>
          <w:rFonts w:ascii="Times New Roman" w:hAnsi="Times New Roman" w:cs="Times New Roman"/>
          <w:color w:val="010302"/>
          <w:sz w:val="24"/>
          <w:szCs w:val="24"/>
        </w:rPr>
        <w:t>says that th</w:t>
      </w:r>
      <w:r>
        <w:rPr>
          <w:rFonts w:ascii="Times New Roman" w:hAnsi="Times New Roman" w:cs="Times New Roman"/>
          <w:color w:val="010302"/>
          <w:sz w:val="24"/>
          <w:szCs w:val="24"/>
        </w:rPr>
        <w:t>is</w:t>
      </w:r>
      <w:r w:rsidR="00A41B28" w:rsidRPr="00996790">
        <w:rPr>
          <w:rFonts w:ascii="Times New Roman" w:hAnsi="Times New Roman" w:cs="Times New Roman"/>
          <w:color w:val="010302"/>
          <w:sz w:val="24"/>
          <w:szCs w:val="24"/>
        </w:rPr>
        <w:t xml:space="preserve"> is the </w:t>
      </w:r>
      <w:r w:rsidR="00A41B28" w:rsidRPr="002B6A58">
        <w:rPr>
          <w:rFonts w:ascii="Times New Roman" w:hAnsi="Times New Roman" w:cs="Times New Roman"/>
          <w:i/>
          <w:iCs/>
          <w:color w:val="010302"/>
          <w:sz w:val="24"/>
          <w:szCs w:val="24"/>
        </w:rPr>
        <w:t xml:space="preserve">only </w:t>
      </w:r>
      <w:r w:rsidR="00F84533" w:rsidRPr="00996790">
        <w:rPr>
          <w:rFonts w:ascii="Times New Roman" w:hAnsi="Times New Roman" w:cs="Times New Roman"/>
          <w:color w:val="010302"/>
          <w:sz w:val="24"/>
          <w:szCs w:val="24"/>
        </w:rPr>
        <w:t>legitimate conclusion that the ET could have reached</w:t>
      </w:r>
      <w:r w:rsidR="002C43B1">
        <w:rPr>
          <w:rFonts w:ascii="Times New Roman" w:hAnsi="Times New Roman" w:cs="Times New Roman"/>
          <w:color w:val="010302"/>
          <w:sz w:val="24"/>
          <w:szCs w:val="24"/>
        </w:rPr>
        <w:t>, despite the evidence and findings I have just referred to</w:t>
      </w:r>
      <w:r w:rsidR="0045562B" w:rsidRPr="00996790">
        <w:rPr>
          <w:rFonts w:ascii="Times New Roman" w:hAnsi="Times New Roman" w:cs="Times New Roman"/>
          <w:color w:val="010302"/>
          <w:sz w:val="24"/>
          <w:szCs w:val="24"/>
        </w:rPr>
        <w:t xml:space="preserve">.  However, </w:t>
      </w:r>
      <w:r w:rsidR="00485636" w:rsidRPr="00996790">
        <w:rPr>
          <w:rFonts w:ascii="Times New Roman" w:hAnsi="Times New Roman" w:cs="Times New Roman"/>
          <w:color w:val="010302"/>
          <w:sz w:val="24"/>
          <w:szCs w:val="24"/>
        </w:rPr>
        <w:t xml:space="preserve">the </w:t>
      </w:r>
      <w:r w:rsidR="007406A0">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 xml:space="preserve">mended </w:t>
      </w:r>
      <w:r w:rsidR="007406A0">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7406A0">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485636" w:rsidRPr="00996790">
        <w:rPr>
          <w:rFonts w:ascii="Times New Roman" w:hAnsi="Times New Roman" w:cs="Times New Roman"/>
          <w:color w:val="010302"/>
          <w:sz w:val="24"/>
          <w:szCs w:val="24"/>
        </w:rPr>
        <w:t xml:space="preserve"> identify no supporting evidence </w:t>
      </w:r>
      <w:r w:rsidR="00F469F0" w:rsidRPr="00996790">
        <w:rPr>
          <w:rFonts w:ascii="Times New Roman" w:hAnsi="Times New Roman" w:cs="Times New Roman"/>
          <w:color w:val="010302"/>
          <w:sz w:val="24"/>
          <w:szCs w:val="24"/>
        </w:rPr>
        <w:t xml:space="preserve">at all in respect of that proposition, and nor was any identified in the claimant's oral submissions to me.  </w:t>
      </w:r>
    </w:p>
    <w:p w14:paraId="02E597EE" w14:textId="5EB313EA" w:rsidR="004A3188" w:rsidRPr="00996790" w:rsidRDefault="004A3188" w:rsidP="004A3188">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lastRenderedPageBreak/>
        <w:t>Ground 3</w:t>
      </w:r>
    </w:p>
    <w:p w14:paraId="507DA621" w14:textId="028D12FC" w:rsidR="0060343D" w:rsidRPr="000E1A06" w:rsidRDefault="004A3188" w:rsidP="0060343D">
      <w:pPr>
        <w:pStyle w:val="ListParagraph"/>
        <w:numPr>
          <w:ilvl w:val="0"/>
          <w:numId w:val="2"/>
        </w:numPr>
        <w:tabs>
          <w:tab w:val="left" w:pos="0"/>
        </w:tabs>
        <w:spacing w:line="480" w:lineRule="auto"/>
        <w:ind w:left="0" w:firstLine="0"/>
        <w:contextualSpacing/>
        <w:jc w:val="both"/>
        <w:rPr>
          <w:rFonts w:ascii="Times New Roman" w:hAnsi="Times New Roman" w:cs="Times New Roman"/>
          <w:b/>
          <w:bCs/>
          <w:color w:val="010302"/>
          <w:sz w:val="24"/>
          <w:szCs w:val="24"/>
        </w:rPr>
      </w:pPr>
      <w:r w:rsidRPr="00996790">
        <w:rPr>
          <w:rFonts w:ascii="Times New Roman" w:hAnsi="Times New Roman" w:cs="Times New Roman"/>
          <w:color w:val="010302"/>
          <w:sz w:val="24"/>
          <w:szCs w:val="24"/>
        </w:rPr>
        <w:t xml:space="preserve">As I have earlier noted, </w:t>
      </w:r>
      <w:r w:rsidR="00831BEF" w:rsidRPr="00996790">
        <w:rPr>
          <w:rFonts w:ascii="Times New Roman" w:hAnsi="Times New Roman" w:cs="Times New Roman"/>
          <w:color w:val="010302"/>
          <w:sz w:val="24"/>
          <w:szCs w:val="24"/>
        </w:rPr>
        <w:t xml:space="preserve">the central complaint here concerns Mr </w:t>
      </w:r>
      <w:r w:rsidR="00076D1B" w:rsidRPr="00996790">
        <w:rPr>
          <w:rFonts w:ascii="Times New Roman" w:hAnsi="Times New Roman" w:cs="Times New Roman"/>
          <w:color w:val="010302"/>
          <w:sz w:val="24"/>
          <w:szCs w:val="24"/>
        </w:rPr>
        <w:t>Free's email dated 16</w:t>
      </w:r>
      <w:r w:rsidR="00BD08AC" w:rsidRPr="00996790">
        <w:rPr>
          <w:rFonts w:ascii="Times New Roman" w:hAnsi="Times New Roman" w:cs="Times New Roman"/>
          <w:color w:val="010302"/>
          <w:sz w:val="24"/>
          <w:szCs w:val="24"/>
        </w:rPr>
        <w:t> </w:t>
      </w:r>
      <w:r w:rsidR="00076D1B" w:rsidRPr="00996790">
        <w:rPr>
          <w:rFonts w:ascii="Times New Roman" w:hAnsi="Times New Roman" w:cs="Times New Roman"/>
          <w:color w:val="010302"/>
          <w:sz w:val="24"/>
          <w:szCs w:val="24"/>
        </w:rPr>
        <w:t>August</w:t>
      </w:r>
      <w:r w:rsidR="00BD08AC" w:rsidRPr="00996790">
        <w:rPr>
          <w:rFonts w:ascii="Times New Roman" w:hAnsi="Times New Roman" w:cs="Times New Roman"/>
          <w:color w:val="010302"/>
          <w:sz w:val="24"/>
          <w:szCs w:val="24"/>
        </w:rPr>
        <w:t> </w:t>
      </w:r>
      <w:r w:rsidR="00076D1B" w:rsidRPr="00996790">
        <w:rPr>
          <w:rFonts w:ascii="Times New Roman" w:hAnsi="Times New Roman" w:cs="Times New Roman"/>
          <w:color w:val="010302"/>
          <w:sz w:val="24"/>
          <w:szCs w:val="24"/>
        </w:rPr>
        <w:t xml:space="preserve">2018.  </w:t>
      </w:r>
      <w:r w:rsidR="001B1B34" w:rsidRPr="00996790">
        <w:rPr>
          <w:rFonts w:ascii="Times New Roman" w:hAnsi="Times New Roman" w:cs="Times New Roman"/>
          <w:color w:val="010302"/>
          <w:sz w:val="24"/>
          <w:szCs w:val="24"/>
        </w:rPr>
        <w:t xml:space="preserve">The context was that on </w:t>
      </w:r>
      <w:r w:rsidR="00796C33" w:rsidRPr="00996790">
        <w:rPr>
          <w:rFonts w:ascii="Times New Roman" w:hAnsi="Times New Roman" w:cs="Times New Roman"/>
          <w:color w:val="010302"/>
          <w:sz w:val="24"/>
          <w:szCs w:val="24"/>
        </w:rPr>
        <w:t xml:space="preserve">14 August 2018 Mr Free </w:t>
      </w:r>
      <w:r w:rsidR="003A10A4">
        <w:rPr>
          <w:rFonts w:ascii="Times New Roman" w:hAnsi="Times New Roman" w:cs="Times New Roman"/>
          <w:color w:val="010302"/>
          <w:sz w:val="24"/>
          <w:szCs w:val="24"/>
        </w:rPr>
        <w:t xml:space="preserve">had been </w:t>
      </w:r>
      <w:r w:rsidR="00796C33" w:rsidRPr="00996790">
        <w:rPr>
          <w:rFonts w:ascii="Times New Roman" w:hAnsi="Times New Roman" w:cs="Times New Roman"/>
          <w:color w:val="010302"/>
          <w:sz w:val="24"/>
          <w:szCs w:val="24"/>
        </w:rPr>
        <w:t>emailed by a Mr McGann from the Metro</w:t>
      </w:r>
      <w:r w:rsidR="00A3203B" w:rsidRPr="00996790">
        <w:rPr>
          <w:rFonts w:ascii="Times New Roman" w:hAnsi="Times New Roman" w:cs="Times New Roman"/>
          <w:color w:val="010302"/>
          <w:sz w:val="24"/>
          <w:szCs w:val="24"/>
        </w:rPr>
        <w:t>politan Police</w:t>
      </w:r>
      <w:r w:rsidR="00712268">
        <w:rPr>
          <w:rFonts w:ascii="Times New Roman" w:hAnsi="Times New Roman" w:cs="Times New Roman"/>
          <w:color w:val="010302"/>
          <w:sz w:val="24"/>
          <w:szCs w:val="24"/>
        </w:rPr>
        <w:t xml:space="preserve"> Service</w:t>
      </w:r>
      <w:r w:rsidR="00A3203B" w:rsidRPr="00996790">
        <w:rPr>
          <w:rFonts w:ascii="Times New Roman" w:hAnsi="Times New Roman" w:cs="Times New Roman"/>
          <w:color w:val="010302"/>
          <w:sz w:val="24"/>
          <w:szCs w:val="24"/>
        </w:rPr>
        <w:t xml:space="preserve">, who was raising concerns </w:t>
      </w:r>
      <w:r w:rsidR="00A7352D" w:rsidRPr="00996790">
        <w:rPr>
          <w:rFonts w:ascii="Times New Roman" w:hAnsi="Times New Roman" w:cs="Times New Roman"/>
          <w:color w:val="010302"/>
          <w:sz w:val="24"/>
          <w:szCs w:val="24"/>
        </w:rPr>
        <w:t xml:space="preserve">that on </w:t>
      </w:r>
      <w:proofErr w:type="gramStart"/>
      <w:r w:rsidR="00A7352D" w:rsidRPr="00996790">
        <w:rPr>
          <w:rFonts w:ascii="Times New Roman" w:hAnsi="Times New Roman" w:cs="Times New Roman"/>
          <w:color w:val="010302"/>
          <w:sz w:val="24"/>
          <w:szCs w:val="24"/>
        </w:rPr>
        <w:t>a number of</w:t>
      </w:r>
      <w:proofErr w:type="gramEnd"/>
      <w:r w:rsidR="00A7352D" w:rsidRPr="00996790">
        <w:rPr>
          <w:rFonts w:ascii="Times New Roman" w:hAnsi="Times New Roman" w:cs="Times New Roman"/>
          <w:color w:val="010302"/>
          <w:sz w:val="24"/>
          <w:szCs w:val="24"/>
        </w:rPr>
        <w:t xml:space="preserve"> occasions </w:t>
      </w:r>
      <w:r w:rsidR="00887DC3" w:rsidRPr="00996790">
        <w:rPr>
          <w:rFonts w:ascii="Times New Roman" w:hAnsi="Times New Roman" w:cs="Times New Roman"/>
          <w:color w:val="010302"/>
          <w:sz w:val="24"/>
          <w:szCs w:val="24"/>
        </w:rPr>
        <w:t xml:space="preserve">the radio link to the </w:t>
      </w:r>
      <w:r w:rsidR="00712268">
        <w:rPr>
          <w:rFonts w:ascii="Times New Roman" w:hAnsi="Times New Roman" w:cs="Times New Roman"/>
          <w:color w:val="010302"/>
          <w:sz w:val="24"/>
          <w:szCs w:val="24"/>
        </w:rPr>
        <w:t>C</w:t>
      </w:r>
      <w:r w:rsidR="00887DC3" w:rsidRPr="00996790">
        <w:rPr>
          <w:rFonts w:ascii="Times New Roman" w:hAnsi="Times New Roman" w:cs="Times New Roman"/>
          <w:color w:val="010302"/>
          <w:sz w:val="24"/>
          <w:szCs w:val="24"/>
        </w:rPr>
        <w:t xml:space="preserve">ouncil's CCTV monitoring room </w:t>
      </w:r>
      <w:r w:rsidR="00D64DFB" w:rsidRPr="00996790">
        <w:rPr>
          <w:rFonts w:ascii="Times New Roman" w:hAnsi="Times New Roman" w:cs="Times New Roman"/>
          <w:color w:val="010302"/>
          <w:sz w:val="24"/>
          <w:szCs w:val="24"/>
        </w:rPr>
        <w:t xml:space="preserve">had not responded to calls made from pubs </w:t>
      </w:r>
      <w:r w:rsidR="005458E9" w:rsidRPr="00996790">
        <w:rPr>
          <w:rFonts w:ascii="Times New Roman" w:hAnsi="Times New Roman" w:cs="Times New Roman"/>
          <w:color w:val="010302"/>
          <w:sz w:val="24"/>
          <w:szCs w:val="24"/>
        </w:rPr>
        <w:t xml:space="preserve">and security organisations.  </w:t>
      </w:r>
      <w:r w:rsidR="001A27F5" w:rsidRPr="00996790">
        <w:rPr>
          <w:rFonts w:ascii="Times New Roman" w:hAnsi="Times New Roman" w:cs="Times New Roman"/>
          <w:color w:val="010302"/>
          <w:sz w:val="24"/>
          <w:szCs w:val="24"/>
        </w:rPr>
        <w:t>On 16</w:t>
      </w:r>
      <w:r w:rsidR="005D7AB5" w:rsidRPr="00996790">
        <w:rPr>
          <w:rFonts w:ascii="Times New Roman" w:hAnsi="Times New Roman" w:cs="Times New Roman"/>
          <w:color w:val="010302"/>
          <w:sz w:val="24"/>
          <w:szCs w:val="24"/>
        </w:rPr>
        <w:t> </w:t>
      </w:r>
      <w:r w:rsidR="001A27F5" w:rsidRPr="00996790">
        <w:rPr>
          <w:rFonts w:ascii="Times New Roman" w:hAnsi="Times New Roman" w:cs="Times New Roman"/>
          <w:color w:val="010302"/>
          <w:sz w:val="24"/>
          <w:szCs w:val="24"/>
        </w:rPr>
        <w:t>August 2018 Mr Free sent a reply</w:t>
      </w:r>
      <w:r w:rsidR="005D7AB5" w:rsidRPr="00996790">
        <w:rPr>
          <w:rFonts w:ascii="Times New Roman" w:hAnsi="Times New Roman" w:cs="Times New Roman"/>
          <w:color w:val="010302"/>
          <w:sz w:val="24"/>
          <w:szCs w:val="24"/>
        </w:rPr>
        <w:t xml:space="preserve"> to Mr McGann, </w:t>
      </w:r>
      <w:r w:rsidR="00E02A6A">
        <w:rPr>
          <w:rFonts w:ascii="Times New Roman" w:hAnsi="Times New Roman" w:cs="Times New Roman"/>
          <w:color w:val="010302"/>
          <w:sz w:val="24"/>
          <w:szCs w:val="24"/>
        </w:rPr>
        <w:t>in which</w:t>
      </w:r>
      <w:r w:rsidR="005D7AB5" w:rsidRPr="00996790">
        <w:rPr>
          <w:rFonts w:ascii="Times New Roman" w:hAnsi="Times New Roman" w:cs="Times New Roman"/>
          <w:color w:val="010302"/>
          <w:sz w:val="24"/>
          <w:szCs w:val="24"/>
        </w:rPr>
        <w:t xml:space="preserve"> he </w:t>
      </w:r>
      <w:r w:rsidR="00500E41" w:rsidRPr="00996790">
        <w:rPr>
          <w:rFonts w:ascii="Times New Roman" w:hAnsi="Times New Roman" w:cs="Times New Roman"/>
          <w:color w:val="010302"/>
          <w:sz w:val="24"/>
          <w:szCs w:val="24"/>
        </w:rPr>
        <w:t xml:space="preserve">said that he had spoken </w:t>
      </w:r>
      <w:r w:rsidR="0060343D" w:rsidRPr="00996790">
        <w:rPr>
          <w:rFonts w:ascii="Times New Roman" w:hAnsi="Times New Roman" w:cs="Times New Roman"/>
          <w:color w:val="010302"/>
          <w:sz w:val="24"/>
          <w:szCs w:val="24"/>
        </w:rPr>
        <w:t xml:space="preserve">with staff and issued </w:t>
      </w:r>
      <w:r w:rsidR="00863A38">
        <w:rPr>
          <w:rFonts w:ascii="Times New Roman" w:hAnsi="Times New Roman" w:cs="Times New Roman"/>
          <w:color w:val="010302"/>
          <w:sz w:val="24"/>
          <w:szCs w:val="24"/>
        </w:rPr>
        <w:t xml:space="preserve">an </w:t>
      </w:r>
      <w:r w:rsidR="0060343D" w:rsidRPr="00996790">
        <w:rPr>
          <w:rFonts w:ascii="Times New Roman" w:hAnsi="Times New Roman" w:cs="Times New Roman"/>
          <w:color w:val="010302"/>
          <w:sz w:val="24"/>
          <w:szCs w:val="24"/>
        </w:rPr>
        <w:t xml:space="preserve">instruction, which he then set out.  The material parts of the </w:t>
      </w:r>
      <w:r w:rsidR="0060343D" w:rsidRPr="000E1A06">
        <w:rPr>
          <w:rFonts w:ascii="Times New Roman" w:hAnsi="Times New Roman" w:cs="Times New Roman"/>
          <w:color w:val="010302"/>
          <w:sz w:val="24"/>
          <w:szCs w:val="24"/>
        </w:rPr>
        <w:t>instruction were as follows:</w:t>
      </w:r>
    </w:p>
    <w:p w14:paraId="103CF6FE" w14:textId="470FF95C" w:rsidR="0060343D" w:rsidRPr="00E02A6A" w:rsidRDefault="007406A0" w:rsidP="00492ABA">
      <w:pPr>
        <w:pStyle w:val="ListParagraph"/>
        <w:tabs>
          <w:tab w:val="left" w:pos="0"/>
        </w:tabs>
        <w:ind w:left="851" w:right="851"/>
        <w:contextualSpacing/>
        <w:jc w:val="both"/>
        <w:rPr>
          <w:rFonts w:ascii="Times New Roman" w:hAnsi="Times New Roman" w:cs="Times New Roman"/>
          <w:color w:val="000000"/>
          <w:sz w:val="24"/>
          <w:szCs w:val="24"/>
        </w:rPr>
      </w:pPr>
      <w:r w:rsidRPr="00E02A6A">
        <w:rPr>
          <w:rFonts w:ascii="Times New Roman" w:hAnsi="Times New Roman" w:cs="Times New Roman"/>
          <w:color w:val="000000"/>
          <w:sz w:val="24"/>
          <w:szCs w:val="24"/>
        </w:rPr>
        <w:t>“</w:t>
      </w:r>
      <w:r w:rsidR="005D7B4D" w:rsidRPr="00E02A6A">
        <w:rPr>
          <w:rFonts w:ascii="Times New Roman" w:hAnsi="Times New Roman" w:cs="Times New Roman"/>
          <w:color w:val="000000"/>
          <w:sz w:val="24"/>
          <w:szCs w:val="24"/>
        </w:rPr>
        <w:t xml:space="preserve">Whilst I appreciate that losing the night-time CCTV </w:t>
      </w:r>
      <w:r w:rsidR="002C5FC1" w:rsidRPr="00E02A6A">
        <w:rPr>
          <w:rFonts w:ascii="Times New Roman" w:hAnsi="Times New Roman" w:cs="Times New Roman"/>
          <w:color w:val="000000"/>
          <w:sz w:val="24"/>
          <w:szCs w:val="24"/>
        </w:rPr>
        <w:t>operator has potentially raised demand on the night duty staff</w:t>
      </w:r>
      <w:r w:rsidRPr="00E02A6A">
        <w:rPr>
          <w:rFonts w:ascii="Times New Roman" w:hAnsi="Times New Roman" w:cs="Times New Roman"/>
          <w:color w:val="000000"/>
          <w:sz w:val="24"/>
          <w:szCs w:val="24"/>
        </w:rPr>
        <w:t xml:space="preserve"> </w:t>
      </w:r>
      <w:r w:rsidR="00867E13" w:rsidRPr="00E02A6A">
        <w:rPr>
          <w:rFonts w:ascii="Times New Roman" w:hAnsi="Times New Roman" w:cs="Times New Roman"/>
          <w:color w:val="000000"/>
          <w:sz w:val="24"/>
          <w:szCs w:val="24"/>
        </w:rPr>
        <w:t xml:space="preserve">it is not an excuse to fail to answer the </w:t>
      </w:r>
      <w:r w:rsidR="00757AB2" w:rsidRPr="00E02A6A">
        <w:rPr>
          <w:rFonts w:ascii="Times New Roman" w:hAnsi="Times New Roman" w:cs="Times New Roman"/>
          <w:color w:val="000000"/>
          <w:sz w:val="24"/>
          <w:szCs w:val="24"/>
        </w:rPr>
        <w:t xml:space="preserve">radios or respond to police requests.  I have had several complaints </w:t>
      </w:r>
      <w:r w:rsidR="0019116F" w:rsidRPr="00E02A6A">
        <w:rPr>
          <w:rFonts w:ascii="Times New Roman" w:hAnsi="Times New Roman" w:cs="Times New Roman"/>
          <w:color w:val="000000"/>
          <w:sz w:val="24"/>
          <w:szCs w:val="24"/>
        </w:rPr>
        <w:t>from the police that</w:t>
      </w:r>
      <w:r w:rsidRPr="00E02A6A">
        <w:rPr>
          <w:rFonts w:ascii="Times New Roman" w:hAnsi="Times New Roman" w:cs="Times New Roman"/>
          <w:color w:val="000000"/>
          <w:sz w:val="24"/>
          <w:szCs w:val="24"/>
        </w:rPr>
        <w:t>,</w:t>
      </w:r>
      <w:r w:rsidR="0019116F" w:rsidRPr="00E02A6A">
        <w:rPr>
          <w:rFonts w:ascii="Times New Roman" w:hAnsi="Times New Roman" w:cs="Times New Roman"/>
          <w:color w:val="000000"/>
          <w:sz w:val="24"/>
          <w:szCs w:val="24"/>
        </w:rPr>
        <w:t xml:space="preserve"> particularly during the night, the radios are not responded to</w:t>
      </w:r>
      <w:r w:rsidR="00353CE2" w:rsidRPr="00E02A6A">
        <w:rPr>
          <w:rFonts w:ascii="Times New Roman" w:hAnsi="Times New Roman" w:cs="Times New Roman"/>
          <w:color w:val="000000"/>
          <w:sz w:val="24"/>
          <w:szCs w:val="24"/>
        </w:rPr>
        <w:t xml:space="preserve"> and I would wish to remind you that the general job </w:t>
      </w:r>
      <w:r w:rsidR="008F07EB" w:rsidRPr="00E02A6A">
        <w:rPr>
          <w:rFonts w:ascii="Times New Roman" w:hAnsi="Times New Roman" w:cs="Times New Roman"/>
          <w:color w:val="000000"/>
          <w:sz w:val="24"/>
          <w:szCs w:val="24"/>
        </w:rPr>
        <w:t xml:space="preserve">designation is Careline </w:t>
      </w:r>
      <w:r w:rsidR="00267420" w:rsidRPr="00E02A6A">
        <w:rPr>
          <w:rFonts w:ascii="Times New Roman" w:hAnsi="Times New Roman" w:cs="Times New Roman"/>
          <w:color w:val="000000"/>
          <w:sz w:val="24"/>
          <w:szCs w:val="24"/>
        </w:rPr>
        <w:t>&amp;</w:t>
      </w:r>
      <w:r w:rsidR="008F07EB" w:rsidRPr="00E02A6A">
        <w:rPr>
          <w:rFonts w:ascii="Times New Roman" w:hAnsi="Times New Roman" w:cs="Times New Roman"/>
          <w:color w:val="000000"/>
          <w:sz w:val="24"/>
          <w:szCs w:val="24"/>
        </w:rPr>
        <w:t xml:space="preserve"> CCTV operator.  </w:t>
      </w:r>
      <w:r w:rsidR="00F0251B" w:rsidRPr="00E02A6A">
        <w:rPr>
          <w:rFonts w:ascii="Times New Roman" w:hAnsi="Times New Roman" w:cs="Times New Roman"/>
          <w:color w:val="000000"/>
          <w:sz w:val="24"/>
          <w:szCs w:val="24"/>
        </w:rPr>
        <w:t>Obviously Careline calls will take precedence</w:t>
      </w:r>
      <w:r w:rsidR="00267420" w:rsidRPr="00E02A6A">
        <w:rPr>
          <w:rFonts w:ascii="Times New Roman" w:hAnsi="Times New Roman" w:cs="Times New Roman"/>
          <w:color w:val="000000"/>
          <w:sz w:val="24"/>
          <w:szCs w:val="24"/>
        </w:rPr>
        <w:t xml:space="preserve"> </w:t>
      </w:r>
      <w:r w:rsidR="007E3074" w:rsidRPr="00E02A6A">
        <w:rPr>
          <w:rFonts w:ascii="Times New Roman" w:hAnsi="Times New Roman" w:cs="Times New Roman"/>
          <w:color w:val="000000"/>
          <w:sz w:val="24"/>
          <w:szCs w:val="24"/>
        </w:rPr>
        <w:t>but when not engaged on an urgent Careline or out</w:t>
      </w:r>
      <w:r w:rsidR="00267420" w:rsidRPr="00E02A6A">
        <w:rPr>
          <w:rFonts w:ascii="Times New Roman" w:hAnsi="Times New Roman" w:cs="Times New Roman"/>
          <w:color w:val="000000"/>
          <w:sz w:val="24"/>
          <w:szCs w:val="24"/>
        </w:rPr>
        <w:t xml:space="preserve"> </w:t>
      </w:r>
      <w:r w:rsidR="007E3074" w:rsidRPr="00E02A6A">
        <w:rPr>
          <w:rFonts w:ascii="Times New Roman" w:hAnsi="Times New Roman" w:cs="Times New Roman"/>
          <w:color w:val="000000"/>
          <w:sz w:val="24"/>
          <w:szCs w:val="24"/>
        </w:rPr>
        <w:t>of</w:t>
      </w:r>
      <w:r w:rsidR="00267420" w:rsidRPr="00E02A6A">
        <w:rPr>
          <w:rFonts w:ascii="Times New Roman" w:hAnsi="Times New Roman" w:cs="Times New Roman"/>
          <w:color w:val="000000"/>
          <w:sz w:val="24"/>
          <w:szCs w:val="24"/>
        </w:rPr>
        <w:t xml:space="preserve"> </w:t>
      </w:r>
      <w:r w:rsidR="007E3074" w:rsidRPr="00E02A6A">
        <w:rPr>
          <w:rFonts w:ascii="Times New Roman" w:hAnsi="Times New Roman" w:cs="Times New Roman"/>
          <w:color w:val="000000"/>
          <w:sz w:val="24"/>
          <w:szCs w:val="24"/>
        </w:rPr>
        <w:t xml:space="preserve">hours call </w:t>
      </w:r>
      <w:r w:rsidR="00B130BB" w:rsidRPr="00E02A6A">
        <w:rPr>
          <w:rFonts w:ascii="Times New Roman" w:hAnsi="Times New Roman" w:cs="Times New Roman"/>
          <w:color w:val="000000"/>
          <w:sz w:val="24"/>
          <w:szCs w:val="24"/>
        </w:rPr>
        <w:t>I expect staff to answer the radios or monitor the CCTV 24/7.  I have requested</w:t>
      </w:r>
      <w:r w:rsidR="00267420" w:rsidRPr="00E02A6A">
        <w:rPr>
          <w:rFonts w:ascii="Times New Roman" w:hAnsi="Times New Roman" w:cs="Times New Roman"/>
          <w:color w:val="000000"/>
          <w:sz w:val="24"/>
          <w:szCs w:val="24"/>
        </w:rPr>
        <w:t xml:space="preserve"> that</w:t>
      </w:r>
      <w:r w:rsidR="00B130BB" w:rsidRPr="00E02A6A">
        <w:rPr>
          <w:rFonts w:ascii="Times New Roman" w:hAnsi="Times New Roman" w:cs="Times New Roman"/>
          <w:color w:val="000000"/>
          <w:sz w:val="24"/>
          <w:szCs w:val="24"/>
        </w:rPr>
        <w:t xml:space="preserve"> </w:t>
      </w:r>
      <w:r w:rsidR="00890A38" w:rsidRPr="00E02A6A">
        <w:rPr>
          <w:rFonts w:ascii="Times New Roman" w:hAnsi="Times New Roman" w:cs="Times New Roman"/>
          <w:color w:val="000000"/>
          <w:sz w:val="24"/>
          <w:szCs w:val="24"/>
        </w:rPr>
        <w:t>I am informed by the police of any future issues and trust you will ensure we regain our reputation as a val</w:t>
      </w:r>
      <w:r w:rsidR="00267420" w:rsidRPr="00E02A6A">
        <w:rPr>
          <w:rFonts w:ascii="Times New Roman" w:hAnsi="Times New Roman" w:cs="Times New Roman"/>
          <w:color w:val="000000"/>
          <w:sz w:val="24"/>
          <w:szCs w:val="24"/>
        </w:rPr>
        <w:t>ued</w:t>
      </w:r>
      <w:r w:rsidR="00890A38" w:rsidRPr="00E02A6A">
        <w:rPr>
          <w:rFonts w:ascii="Times New Roman" w:hAnsi="Times New Roman" w:cs="Times New Roman"/>
          <w:color w:val="000000"/>
          <w:sz w:val="24"/>
          <w:szCs w:val="24"/>
        </w:rPr>
        <w:t xml:space="preserve"> partner in the borough strategy against crime and disorder.</w:t>
      </w:r>
      <w:r w:rsidRPr="00E02A6A">
        <w:rPr>
          <w:rFonts w:ascii="Times New Roman" w:hAnsi="Times New Roman" w:cs="Times New Roman"/>
          <w:color w:val="000000"/>
          <w:sz w:val="24"/>
          <w:szCs w:val="24"/>
        </w:rPr>
        <w:t>”</w:t>
      </w:r>
    </w:p>
    <w:p w14:paraId="60BB0420" w14:textId="77777777" w:rsidR="0060343D" w:rsidRPr="00996790" w:rsidRDefault="0060343D" w:rsidP="0060343D">
      <w:pPr>
        <w:pStyle w:val="ListParagraph"/>
        <w:tabs>
          <w:tab w:val="left" w:pos="0"/>
        </w:tabs>
        <w:spacing w:line="480" w:lineRule="auto"/>
        <w:contextualSpacing/>
        <w:jc w:val="both"/>
        <w:rPr>
          <w:rFonts w:ascii="Times New Roman" w:hAnsi="Times New Roman" w:cs="Times New Roman"/>
          <w:color w:val="010302"/>
          <w:sz w:val="24"/>
          <w:szCs w:val="24"/>
        </w:rPr>
      </w:pPr>
    </w:p>
    <w:p w14:paraId="091E2C24" w14:textId="54AAA06B" w:rsidR="007D08A5" w:rsidRPr="00996790" w:rsidRDefault="001327B0" w:rsidP="0060343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I do not accept </w:t>
      </w:r>
      <w:r w:rsidR="00CC56FA" w:rsidRPr="00996790">
        <w:rPr>
          <w:rFonts w:ascii="Times New Roman" w:hAnsi="Times New Roman" w:cs="Times New Roman"/>
          <w:color w:val="010302"/>
          <w:sz w:val="24"/>
          <w:szCs w:val="24"/>
        </w:rPr>
        <w:t xml:space="preserve">the claimant's contention that the contents of this email </w:t>
      </w:r>
      <w:r w:rsidR="007133B6" w:rsidRPr="00996790">
        <w:rPr>
          <w:rFonts w:ascii="Times New Roman" w:hAnsi="Times New Roman" w:cs="Times New Roman"/>
          <w:color w:val="010302"/>
          <w:sz w:val="24"/>
          <w:szCs w:val="24"/>
        </w:rPr>
        <w:t xml:space="preserve">contradict the ET's </w:t>
      </w:r>
      <w:r w:rsidR="00400EEE" w:rsidRPr="00996790">
        <w:rPr>
          <w:rFonts w:ascii="Times New Roman" w:hAnsi="Times New Roman" w:cs="Times New Roman"/>
          <w:color w:val="010302"/>
          <w:sz w:val="24"/>
          <w:szCs w:val="24"/>
        </w:rPr>
        <w:t xml:space="preserve">finding that monitoring </w:t>
      </w:r>
      <w:r w:rsidR="00503C9E" w:rsidRPr="00996790">
        <w:rPr>
          <w:rFonts w:ascii="Times New Roman" w:hAnsi="Times New Roman" w:cs="Times New Roman"/>
          <w:color w:val="010302"/>
          <w:sz w:val="24"/>
          <w:szCs w:val="24"/>
        </w:rPr>
        <w:t xml:space="preserve">undertaken after the alleged transfer date was reactive rather than </w:t>
      </w:r>
      <w:r w:rsidR="00A51B89" w:rsidRPr="00996790">
        <w:rPr>
          <w:rFonts w:ascii="Times New Roman" w:hAnsi="Times New Roman" w:cs="Times New Roman"/>
          <w:color w:val="010302"/>
          <w:sz w:val="24"/>
          <w:szCs w:val="24"/>
        </w:rPr>
        <w:t xml:space="preserve">proactive.  </w:t>
      </w:r>
      <w:r w:rsidR="00854DB5" w:rsidRPr="00996790">
        <w:rPr>
          <w:rFonts w:ascii="Times New Roman" w:hAnsi="Times New Roman" w:cs="Times New Roman"/>
          <w:color w:val="010302"/>
          <w:sz w:val="24"/>
          <w:szCs w:val="24"/>
        </w:rPr>
        <w:t xml:space="preserve">Firstly, this email </w:t>
      </w:r>
      <w:r w:rsidR="00120EC9" w:rsidRPr="00996790">
        <w:rPr>
          <w:rFonts w:ascii="Times New Roman" w:hAnsi="Times New Roman" w:cs="Times New Roman"/>
          <w:color w:val="010302"/>
          <w:sz w:val="24"/>
          <w:szCs w:val="24"/>
        </w:rPr>
        <w:t xml:space="preserve">very largely concerns reactive monitoring rather than </w:t>
      </w:r>
      <w:r w:rsidR="00127A7A" w:rsidRPr="00996790">
        <w:rPr>
          <w:rFonts w:ascii="Times New Roman" w:hAnsi="Times New Roman" w:cs="Times New Roman"/>
          <w:color w:val="010302"/>
          <w:sz w:val="24"/>
          <w:szCs w:val="24"/>
        </w:rPr>
        <w:t>proactive monitoring</w:t>
      </w:r>
      <w:r w:rsidR="00534CAB" w:rsidRPr="00996790">
        <w:rPr>
          <w:rFonts w:ascii="Times New Roman" w:hAnsi="Times New Roman" w:cs="Times New Roman"/>
          <w:color w:val="010302"/>
          <w:sz w:val="24"/>
          <w:szCs w:val="24"/>
        </w:rPr>
        <w:t xml:space="preserve">.  It is about the failure to respond to calls </w:t>
      </w:r>
      <w:r w:rsidR="00CC6DF7">
        <w:rPr>
          <w:rFonts w:ascii="Times New Roman" w:hAnsi="Times New Roman" w:cs="Times New Roman"/>
          <w:color w:val="010302"/>
          <w:sz w:val="24"/>
          <w:szCs w:val="24"/>
        </w:rPr>
        <w:t xml:space="preserve">made </w:t>
      </w:r>
      <w:r w:rsidR="00534CAB" w:rsidRPr="00996790">
        <w:rPr>
          <w:rFonts w:ascii="Times New Roman" w:hAnsi="Times New Roman" w:cs="Times New Roman"/>
          <w:color w:val="010302"/>
          <w:sz w:val="24"/>
          <w:szCs w:val="24"/>
        </w:rPr>
        <w:t xml:space="preserve">via the radio </w:t>
      </w:r>
      <w:r w:rsidR="00CC6DF7">
        <w:rPr>
          <w:rFonts w:ascii="Times New Roman" w:hAnsi="Times New Roman" w:cs="Times New Roman"/>
          <w:color w:val="010302"/>
          <w:sz w:val="24"/>
          <w:szCs w:val="24"/>
        </w:rPr>
        <w:t xml:space="preserve">link </w:t>
      </w:r>
      <w:r w:rsidR="00A414B8" w:rsidRPr="00996790">
        <w:rPr>
          <w:rFonts w:ascii="Times New Roman" w:hAnsi="Times New Roman" w:cs="Times New Roman"/>
          <w:color w:val="010302"/>
          <w:sz w:val="24"/>
          <w:szCs w:val="24"/>
        </w:rPr>
        <w:t xml:space="preserve">to the CCTV control room.  Secondly, </w:t>
      </w:r>
      <w:r w:rsidR="00E03911" w:rsidRPr="00996790">
        <w:rPr>
          <w:rFonts w:ascii="Times New Roman" w:hAnsi="Times New Roman" w:cs="Times New Roman"/>
          <w:color w:val="010302"/>
          <w:sz w:val="24"/>
          <w:szCs w:val="24"/>
        </w:rPr>
        <w:t xml:space="preserve">Mr Free's quoted communication with staff </w:t>
      </w:r>
      <w:r w:rsidR="006A06E1" w:rsidRPr="00996790">
        <w:rPr>
          <w:rFonts w:ascii="Times New Roman" w:hAnsi="Times New Roman" w:cs="Times New Roman"/>
          <w:color w:val="010302"/>
          <w:sz w:val="24"/>
          <w:szCs w:val="24"/>
        </w:rPr>
        <w:t xml:space="preserve">explicitly recognises that the Careline work is </w:t>
      </w:r>
      <w:r w:rsidR="00A5094B" w:rsidRPr="00996790">
        <w:rPr>
          <w:rFonts w:ascii="Times New Roman" w:hAnsi="Times New Roman" w:cs="Times New Roman"/>
          <w:color w:val="010302"/>
          <w:sz w:val="24"/>
          <w:szCs w:val="24"/>
        </w:rPr>
        <w:t xml:space="preserve">to take precedence.  Thirdly, the email </w:t>
      </w:r>
      <w:r w:rsidR="00AE2845" w:rsidRPr="00996790">
        <w:rPr>
          <w:rFonts w:ascii="Times New Roman" w:hAnsi="Times New Roman" w:cs="Times New Roman"/>
          <w:color w:val="010302"/>
          <w:sz w:val="24"/>
          <w:szCs w:val="24"/>
        </w:rPr>
        <w:t xml:space="preserve">states that the monitoring should be undertaken when the relevant staff members are not engaged on Careline tasks.  </w:t>
      </w:r>
      <w:r w:rsidR="00093415" w:rsidRPr="00996790">
        <w:rPr>
          <w:rFonts w:ascii="Times New Roman" w:hAnsi="Times New Roman" w:cs="Times New Roman"/>
          <w:color w:val="010302"/>
          <w:sz w:val="24"/>
          <w:szCs w:val="24"/>
        </w:rPr>
        <w:t xml:space="preserve">In that sense, it is, as Mr Lee </w:t>
      </w:r>
      <w:r w:rsidR="00064840">
        <w:rPr>
          <w:rFonts w:ascii="Times New Roman" w:hAnsi="Times New Roman" w:cs="Times New Roman"/>
          <w:color w:val="010302"/>
          <w:sz w:val="24"/>
          <w:szCs w:val="24"/>
        </w:rPr>
        <w:t>said</w:t>
      </w:r>
      <w:r w:rsidR="00093415" w:rsidRPr="00996790">
        <w:rPr>
          <w:rFonts w:ascii="Times New Roman" w:hAnsi="Times New Roman" w:cs="Times New Roman"/>
          <w:color w:val="010302"/>
          <w:sz w:val="24"/>
          <w:szCs w:val="24"/>
        </w:rPr>
        <w:t>, aspirational</w:t>
      </w:r>
      <w:r w:rsidR="00064840">
        <w:rPr>
          <w:rFonts w:ascii="Times New Roman" w:hAnsi="Times New Roman" w:cs="Times New Roman"/>
          <w:color w:val="010302"/>
          <w:sz w:val="24"/>
          <w:szCs w:val="24"/>
        </w:rPr>
        <w:t>;</w:t>
      </w:r>
      <w:r w:rsidR="006A21DD" w:rsidRPr="00996790">
        <w:rPr>
          <w:rFonts w:ascii="Times New Roman" w:hAnsi="Times New Roman" w:cs="Times New Roman"/>
          <w:color w:val="010302"/>
          <w:sz w:val="24"/>
          <w:szCs w:val="24"/>
        </w:rPr>
        <w:t xml:space="preserve"> a proposition reinforced by the context in which </w:t>
      </w:r>
      <w:r w:rsidR="00F80421" w:rsidRPr="00996790">
        <w:rPr>
          <w:rFonts w:ascii="Times New Roman" w:hAnsi="Times New Roman" w:cs="Times New Roman"/>
          <w:color w:val="010302"/>
          <w:sz w:val="24"/>
          <w:szCs w:val="24"/>
        </w:rPr>
        <w:t>it is written</w:t>
      </w:r>
      <w:r w:rsidR="00064840">
        <w:rPr>
          <w:rFonts w:ascii="Times New Roman" w:hAnsi="Times New Roman" w:cs="Times New Roman"/>
          <w:color w:val="010302"/>
          <w:sz w:val="24"/>
          <w:szCs w:val="24"/>
        </w:rPr>
        <w:t>, namely reassur</w:t>
      </w:r>
      <w:r w:rsidR="00841832">
        <w:rPr>
          <w:rFonts w:ascii="Times New Roman" w:hAnsi="Times New Roman" w:cs="Times New Roman"/>
          <w:color w:val="010302"/>
          <w:sz w:val="24"/>
          <w:szCs w:val="24"/>
        </w:rPr>
        <w:t>ing</w:t>
      </w:r>
      <w:r w:rsidR="00064840">
        <w:rPr>
          <w:rFonts w:ascii="Times New Roman" w:hAnsi="Times New Roman" w:cs="Times New Roman"/>
          <w:color w:val="010302"/>
          <w:sz w:val="24"/>
          <w:szCs w:val="24"/>
        </w:rPr>
        <w:t xml:space="preserve"> </w:t>
      </w:r>
      <w:r w:rsidR="00CC5C8E">
        <w:rPr>
          <w:rFonts w:ascii="Times New Roman" w:hAnsi="Times New Roman" w:cs="Times New Roman"/>
          <w:color w:val="010302"/>
          <w:sz w:val="24"/>
          <w:szCs w:val="24"/>
        </w:rPr>
        <w:t>the sender of the original email</w:t>
      </w:r>
      <w:r w:rsidR="00A4767D">
        <w:rPr>
          <w:rFonts w:ascii="Times New Roman" w:hAnsi="Times New Roman" w:cs="Times New Roman"/>
          <w:color w:val="010302"/>
          <w:sz w:val="24"/>
          <w:szCs w:val="24"/>
        </w:rPr>
        <w:t xml:space="preserve"> as to the future</w:t>
      </w:r>
      <w:r w:rsidR="00F80421" w:rsidRPr="00996790">
        <w:rPr>
          <w:rFonts w:ascii="Times New Roman" w:hAnsi="Times New Roman" w:cs="Times New Roman"/>
          <w:color w:val="010302"/>
          <w:sz w:val="24"/>
          <w:szCs w:val="24"/>
        </w:rPr>
        <w:t xml:space="preserve">.  </w:t>
      </w:r>
      <w:r w:rsidR="00E03E08" w:rsidRPr="00996790">
        <w:rPr>
          <w:rFonts w:ascii="Times New Roman" w:hAnsi="Times New Roman" w:cs="Times New Roman"/>
          <w:color w:val="010302"/>
          <w:sz w:val="24"/>
          <w:szCs w:val="24"/>
        </w:rPr>
        <w:t xml:space="preserve">The EAT was fully entitled to find as a fact </w:t>
      </w:r>
      <w:r w:rsidR="00E41C45" w:rsidRPr="00996790">
        <w:rPr>
          <w:rFonts w:ascii="Times New Roman" w:hAnsi="Times New Roman" w:cs="Times New Roman"/>
          <w:color w:val="010302"/>
          <w:sz w:val="24"/>
          <w:szCs w:val="24"/>
        </w:rPr>
        <w:t xml:space="preserve">that in practice, nearly </w:t>
      </w:r>
      <w:proofErr w:type="gramStart"/>
      <w:r w:rsidR="00E41C45" w:rsidRPr="00996790">
        <w:rPr>
          <w:rFonts w:ascii="Times New Roman" w:hAnsi="Times New Roman" w:cs="Times New Roman"/>
          <w:color w:val="010302"/>
          <w:sz w:val="24"/>
          <w:szCs w:val="24"/>
        </w:rPr>
        <w:t>all of</w:t>
      </w:r>
      <w:proofErr w:type="gramEnd"/>
      <w:r w:rsidR="00E41C45" w:rsidRPr="00996790">
        <w:rPr>
          <w:rFonts w:ascii="Times New Roman" w:hAnsi="Times New Roman" w:cs="Times New Roman"/>
          <w:color w:val="010302"/>
          <w:sz w:val="24"/>
          <w:szCs w:val="24"/>
        </w:rPr>
        <w:t xml:space="preserve"> the </w:t>
      </w:r>
      <w:r w:rsidR="00A70BA8" w:rsidRPr="00996790">
        <w:rPr>
          <w:rFonts w:ascii="Times New Roman" w:hAnsi="Times New Roman" w:cs="Times New Roman"/>
          <w:color w:val="010302"/>
          <w:sz w:val="24"/>
          <w:szCs w:val="24"/>
        </w:rPr>
        <w:t xml:space="preserve">Careline </w:t>
      </w:r>
      <w:r w:rsidR="00A126FD" w:rsidRPr="00996790">
        <w:rPr>
          <w:rFonts w:ascii="Times New Roman" w:hAnsi="Times New Roman" w:cs="Times New Roman"/>
          <w:color w:val="010302"/>
          <w:sz w:val="24"/>
          <w:szCs w:val="24"/>
        </w:rPr>
        <w:t xml:space="preserve">staff's tasks were taken up with Careline duties, so that the extent to which they were able to perform any </w:t>
      </w:r>
      <w:r w:rsidR="009E4E99" w:rsidRPr="00996790">
        <w:rPr>
          <w:rFonts w:ascii="Times New Roman" w:hAnsi="Times New Roman" w:cs="Times New Roman"/>
          <w:color w:val="010302"/>
          <w:sz w:val="24"/>
          <w:szCs w:val="24"/>
        </w:rPr>
        <w:t>monitoring was, in the ET's words</w:t>
      </w:r>
      <w:r w:rsidR="00C426CD">
        <w:rPr>
          <w:rFonts w:ascii="Times New Roman" w:hAnsi="Times New Roman" w:cs="Times New Roman"/>
          <w:color w:val="010302"/>
          <w:sz w:val="24"/>
          <w:szCs w:val="24"/>
        </w:rPr>
        <w:t>,</w:t>
      </w:r>
      <w:r w:rsidR="009E4E99" w:rsidRPr="00996790">
        <w:rPr>
          <w:rFonts w:ascii="Times New Roman" w:hAnsi="Times New Roman" w:cs="Times New Roman"/>
          <w:color w:val="010302"/>
          <w:sz w:val="24"/>
          <w:szCs w:val="24"/>
        </w:rPr>
        <w:t xml:space="preserve"> </w:t>
      </w:r>
      <w:r w:rsidR="00885301">
        <w:rPr>
          <w:rFonts w:ascii="Times New Roman" w:hAnsi="Times New Roman" w:cs="Times New Roman"/>
          <w:color w:val="010302"/>
          <w:sz w:val="24"/>
          <w:szCs w:val="24"/>
        </w:rPr>
        <w:t>“</w:t>
      </w:r>
      <w:r w:rsidR="009E4E99" w:rsidRPr="00996790">
        <w:rPr>
          <w:rFonts w:ascii="Times New Roman" w:hAnsi="Times New Roman" w:cs="Times New Roman"/>
          <w:color w:val="010302"/>
          <w:sz w:val="24"/>
          <w:szCs w:val="24"/>
        </w:rPr>
        <w:t>minimal</w:t>
      </w:r>
      <w:r w:rsidR="00885301">
        <w:rPr>
          <w:rFonts w:ascii="Times New Roman" w:hAnsi="Times New Roman" w:cs="Times New Roman"/>
          <w:color w:val="010302"/>
          <w:sz w:val="24"/>
          <w:szCs w:val="24"/>
        </w:rPr>
        <w:t>”</w:t>
      </w:r>
      <w:r w:rsidR="009E4E99" w:rsidRPr="00996790">
        <w:rPr>
          <w:rFonts w:ascii="Times New Roman" w:hAnsi="Times New Roman" w:cs="Times New Roman"/>
          <w:color w:val="010302"/>
          <w:sz w:val="24"/>
          <w:szCs w:val="24"/>
        </w:rPr>
        <w:t xml:space="preserve">.  </w:t>
      </w:r>
      <w:r w:rsidR="006F1957" w:rsidRPr="00996790">
        <w:rPr>
          <w:rFonts w:ascii="Times New Roman" w:hAnsi="Times New Roman" w:cs="Times New Roman"/>
          <w:color w:val="010302"/>
          <w:sz w:val="24"/>
          <w:szCs w:val="24"/>
        </w:rPr>
        <w:t xml:space="preserve">Fourthly, the email shows </w:t>
      </w:r>
      <w:r w:rsidR="00265F66" w:rsidRPr="00996790">
        <w:rPr>
          <w:rFonts w:ascii="Times New Roman" w:hAnsi="Times New Roman" w:cs="Times New Roman"/>
          <w:color w:val="010302"/>
          <w:sz w:val="24"/>
          <w:szCs w:val="24"/>
        </w:rPr>
        <w:t xml:space="preserve">that complaints had been received </w:t>
      </w:r>
      <w:r w:rsidR="00EA7D67">
        <w:rPr>
          <w:rFonts w:ascii="Times New Roman" w:hAnsi="Times New Roman" w:cs="Times New Roman"/>
          <w:color w:val="010302"/>
          <w:sz w:val="24"/>
          <w:szCs w:val="24"/>
        </w:rPr>
        <w:t xml:space="preserve">precisely </w:t>
      </w:r>
      <w:r w:rsidR="00265F66" w:rsidRPr="00996790">
        <w:rPr>
          <w:rFonts w:ascii="Times New Roman" w:hAnsi="Times New Roman" w:cs="Times New Roman"/>
          <w:color w:val="010302"/>
          <w:sz w:val="24"/>
          <w:szCs w:val="24"/>
        </w:rPr>
        <w:t xml:space="preserve">because even </w:t>
      </w:r>
      <w:r w:rsidR="00BC6BA1">
        <w:rPr>
          <w:rFonts w:ascii="Times New Roman" w:hAnsi="Times New Roman" w:cs="Times New Roman"/>
          <w:color w:val="010302"/>
          <w:sz w:val="24"/>
          <w:szCs w:val="24"/>
        </w:rPr>
        <w:t xml:space="preserve">the </w:t>
      </w:r>
      <w:r w:rsidR="00265F66" w:rsidRPr="00996790">
        <w:rPr>
          <w:rFonts w:ascii="Times New Roman" w:hAnsi="Times New Roman" w:cs="Times New Roman"/>
          <w:color w:val="010302"/>
          <w:sz w:val="24"/>
          <w:szCs w:val="24"/>
        </w:rPr>
        <w:t xml:space="preserve">reactive </w:t>
      </w:r>
      <w:r w:rsidR="00884410" w:rsidRPr="00996790">
        <w:rPr>
          <w:rFonts w:ascii="Times New Roman" w:hAnsi="Times New Roman" w:cs="Times New Roman"/>
          <w:color w:val="010302"/>
          <w:sz w:val="24"/>
          <w:szCs w:val="24"/>
        </w:rPr>
        <w:t xml:space="preserve">monitoring was not </w:t>
      </w:r>
      <w:r w:rsidR="00BB408C" w:rsidRPr="00996790">
        <w:rPr>
          <w:rFonts w:ascii="Times New Roman" w:hAnsi="Times New Roman" w:cs="Times New Roman"/>
          <w:color w:val="010302"/>
          <w:sz w:val="24"/>
          <w:szCs w:val="24"/>
        </w:rPr>
        <w:t xml:space="preserve">being </w:t>
      </w:r>
      <w:r w:rsidR="00BB408C" w:rsidRPr="00996790">
        <w:rPr>
          <w:rFonts w:ascii="Times New Roman" w:hAnsi="Times New Roman" w:cs="Times New Roman"/>
          <w:color w:val="010302"/>
          <w:sz w:val="24"/>
          <w:szCs w:val="24"/>
        </w:rPr>
        <w:lastRenderedPageBreak/>
        <w:t xml:space="preserve">undertaken.  </w:t>
      </w:r>
    </w:p>
    <w:p w14:paraId="0D7D56DD" w14:textId="7936DCD1" w:rsidR="00942D3D" w:rsidRPr="00996790" w:rsidRDefault="007D08A5" w:rsidP="00942D3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The remainder of ground 3 repeats points made under ground 1</w:t>
      </w:r>
      <w:r w:rsidR="00BC6BA1">
        <w:rPr>
          <w:rFonts w:ascii="Times New Roman" w:hAnsi="Times New Roman" w:cs="Times New Roman"/>
          <w:color w:val="010302"/>
          <w:sz w:val="24"/>
          <w:szCs w:val="24"/>
        </w:rPr>
        <w:t>,</w:t>
      </w:r>
      <w:r w:rsidRPr="00996790">
        <w:rPr>
          <w:rFonts w:ascii="Times New Roman" w:hAnsi="Times New Roman" w:cs="Times New Roman"/>
          <w:color w:val="010302"/>
          <w:sz w:val="24"/>
          <w:szCs w:val="24"/>
        </w:rPr>
        <w:t xml:space="preserve"> save that it is said that </w:t>
      </w:r>
      <w:r w:rsidR="00FB0910" w:rsidRPr="00996790">
        <w:rPr>
          <w:rFonts w:ascii="Times New Roman" w:hAnsi="Times New Roman" w:cs="Times New Roman"/>
          <w:color w:val="010302"/>
          <w:sz w:val="24"/>
          <w:szCs w:val="24"/>
        </w:rPr>
        <w:t>the ET erred in failing to identify the reason or principal reason for he</w:t>
      </w:r>
      <w:r w:rsidR="00F04E93">
        <w:rPr>
          <w:rFonts w:ascii="Times New Roman" w:hAnsi="Times New Roman" w:cs="Times New Roman"/>
          <w:color w:val="010302"/>
          <w:sz w:val="24"/>
          <w:szCs w:val="24"/>
        </w:rPr>
        <w:t>r</w:t>
      </w:r>
      <w:r w:rsidR="00FB0910" w:rsidRPr="00996790">
        <w:rPr>
          <w:rFonts w:ascii="Times New Roman" w:hAnsi="Times New Roman" w:cs="Times New Roman"/>
          <w:color w:val="010302"/>
          <w:sz w:val="24"/>
          <w:szCs w:val="24"/>
        </w:rPr>
        <w:t xml:space="preserve"> dismissal</w:t>
      </w:r>
      <w:r w:rsidR="00A323E5">
        <w:rPr>
          <w:rFonts w:ascii="Times New Roman" w:hAnsi="Times New Roman" w:cs="Times New Roman"/>
          <w:color w:val="010302"/>
          <w:sz w:val="24"/>
          <w:szCs w:val="24"/>
        </w:rPr>
        <w:t xml:space="preserve">. </w:t>
      </w:r>
      <w:r w:rsidR="00FB0910" w:rsidRPr="00996790">
        <w:rPr>
          <w:rFonts w:ascii="Times New Roman" w:hAnsi="Times New Roman" w:cs="Times New Roman"/>
          <w:color w:val="010302"/>
          <w:sz w:val="24"/>
          <w:szCs w:val="24"/>
        </w:rPr>
        <w:t xml:space="preserve">Ms </w:t>
      </w:r>
      <w:proofErr w:type="spellStart"/>
      <w:r w:rsidR="00FB0910" w:rsidRPr="00996790">
        <w:rPr>
          <w:rFonts w:ascii="Times New Roman" w:hAnsi="Times New Roman" w:cs="Times New Roman"/>
          <w:color w:val="010302"/>
          <w:sz w:val="24"/>
          <w:szCs w:val="24"/>
        </w:rPr>
        <w:t>Tuitt</w:t>
      </w:r>
      <w:proofErr w:type="spellEnd"/>
      <w:r w:rsidR="00FB0910" w:rsidRPr="00996790">
        <w:rPr>
          <w:rFonts w:ascii="Times New Roman" w:hAnsi="Times New Roman" w:cs="Times New Roman"/>
          <w:color w:val="010302"/>
          <w:sz w:val="24"/>
          <w:szCs w:val="24"/>
        </w:rPr>
        <w:t xml:space="preserve"> said to me this morning that th</w:t>
      </w:r>
      <w:r w:rsidR="00A323E5">
        <w:rPr>
          <w:rFonts w:ascii="Times New Roman" w:hAnsi="Times New Roman" w:cs="Times New Roman"/>
          <w:color w:val="010302"/>
          <w:sz w:val="24"/>
          <w:szCs w:val="24"/>
        </w:rPr>
        <w:t>is</w:t>
      </w:r>
      <w:r w:rsidR="00FB0910" w:rsidRPr="00996790">
        <w:rPr>
          <w:rFonts w:ascii="Times New Roman" w:hAnsi="Times New Roman" w:cs="Times New Roman"/>
          <w:color w:val="010302"/>
          <w:sz w:val="24"/>
          <w:szCs w:val="24"/>
        </w:rPr>
        <w:t xml:space="preserve"> was perverse.  However, as the ET </w:t>
      </w:r>
      <w:r w:rsidR="003159E1" w:rsidRPr="00996790">
        <w:rPr>
          <w:rFonts w:ascii="Times New Roman" w:hAnsi="Times New Roman" w:cs="Times New Roman"/>
          <w:color w:val="010302"/>
          <w:sz w:val="24"/>
          <w:szCs w:val="24"/>
        </w:rPr>
        <w:t>found</w:t>
      </w:r>
      <w:r w:rsidR="00A323E5">
        <w:rPr>
          <w:rFonts w:ascii="Times New Roman" w:hAnsi="Times New Roman" w:cs="Times New Roman"/>
          <w:color w:val="010302"/>
          <w:sz w:val="24"/>
          <w:szCs w:val="24"/>
        </w:rPr>
        <w:t xml:space="preserve"> that</w:t>
      </w:r>
      <w:r w:rsidR="003159E1" w:rsidRPr="00996790">
        <w:rPr>
          <w:rFonts w:ascii="Times New Roman" w:hAnsi="Times New Roman" w:cs="Times New Roman"/>
          <w:color w:val="010302"/>
          <w:sz w:val="24"/>
          <w:szCs w:val="24"/>
        </w:rPr>
        <w:t xml:space="preserve"> there was no </w:t>
      </w:r>
      <w:r w:rsidR="0000471B" w:rsidRPr="00996790">
        <w:rPr>
          <w:rFonts w:ascii="Times New Roman" w:hAnsi="Times New Roman" w:cs="Times New Roman"/>
          <w:color w:val="010302"/>
          <w:sz w:val="24"/>
          <w:szCs w:val="24"/>
        </w:rPr>
        <w:t xml:space="preserve">TUPE transfer </w:t>
      </w:r>
      <w:r w:rsidR="00FC27F4" w:rsidRPr="00996790">
        <w:rPr>
          <w:rFonts w:ascii="Times New Roman" w:hAnsi="Times New Roman" w:cs="Times New Roman"/>
          <w:color w:val="010302"/>
          <w:sz w:val="24"/>
          <w:szCs w:val="24"/>
        </w:rPr>
        <w:t>of the claimant's employment to the respondent</w:t>
      </w:r>
      <w:r w:rsidR="00A323E5">
        <w:rPr>
          <w:rFonts w:ascii="Times New Roman" w:hAnsi="Times New Roman" w:cs="Times New Roman"/>
          <w:color w:val="010302"/>
          <w:sz w:val="24"/>
          <w:szCs w:val="24"/>
        </w:rPr>
        <w:t>, t</w:t>
      </w:r>
      <w:r w:rsidR="00FC27F4" w:rsidRPr="00996790">
        <w:rPr>
          <w:rFonts w:ascii="Times New Roman" w:hAnsi="Times New Roman" w:cs="Times New Roman"/>
          <w:color w:val="010302"/>
          <w:sz w:val="24"/>
          <w:szCs w:val="24"/>
        </w:rPr>
        <w:t xml:space="preserve">here was no question of the respondent </w:t>
      </w:r>
      <w:r w:rsidR="00F2670D" w:rsidRPr="00996790">
        <w:rPr>
          <w:rFonts w:ascii="Times New Roman" w:hAnsi="Times New Roman" w:cs="Times New Roman"/>
          <w:color w:val="010302"/>
          <w:sz w:val="24"/>
          <w:szCs w:val="24"/>
        </w:rPr>
        <w:t xml:space="preserve">dismissing her, and so the question </w:t>
      </w:r>
      <w:r w:rsidR="002429E2" w:rsidRPr="00996790">
        <w:rPr>
          <w:rFonts w:ascii="Times New Roman" w:hAnsi="Times New Roman" w:cs="Times New Roman"/>
          <w:color w:val="010302"/>
          <w:sz w:val="24"/>
          <w:szCs w:val="24"/>
        </w:rPr>
        <w:t xml:space="preserve">simply did not arise.  </w:t>
      </w:r>
      <w:r w:rsidR="007F5D35" w:rsidRPr="00996790">
        <w:rPr>
          <w:rFonts w:ascii="Times New Roman" w:hAnsi="Times New Roman" w:cs="Times New Roman"/>
          <w:color w:val="010302"/>
          <w:sz w:val="24"/>
          <w:szCs w:val="24"/>
        </w:rPr>
        <w:t xml:space="preserve">The case cited in the </w:t>
      </w:r>
      <w:r w:rsidR="00267420">
        <w:rPr>
          <w:rFonts w:ascii="Times New Roman" w:hAnsi="Times New Roman" w:cs="Times New Roman"/>
          <w:color w:val="010302"/>
          <w:sz w:val="24"/>
          <w:szCs w:val="24"/>
        </w:rPr>
        <w:t>a</w:t>
      </w:r>
      <w:r w:rsidR="007F5D35" w:rsidRPr="00996790">
        <w:rPr>
          <w:rFonts w:ascii="Times New Roman" w:hAnsi="Times New Roman" w:cs="Times New Roman"/>
          <w:color w:val="010302"/>
          <w:sz w:val="24"/>
          <w:szCs w:val="24"/>
        </w:rPr>
        <w:t xml:space="preserve">mended </w:t>
      </w:r>
      <w:r w:rsidR="00267420">
        <w:rPr>
          <w:rFonts w:ascii="Times New Roman" w:hAnsi="Times New Roman" w:cs="Times New Roman"/>
          <w:color w:val="010302"/>
          <w:sz w:val="24"/>
          <w:szCs w:val="24"/>
        </w:rPr>
        <w:t>g</w:t>
      </w:r>
      <w:r w:rsidR="0065616F" w:rsidRPr="00996790">
        <w:rPr>
          <w:rFonts w:ascii="Times New Roman" w:hAnsi="Times New Roman" w:cs="Times New Roman"/>
          <w:color w:val="010302"/>
          <w:sz w:val="24"/>
          <w:szCs w:val="24"/>
        </w:rPr>
        <w:t xml:space="preserve">rounds of </w:t>
      </w:r>
      <w:r w:rsidR="00267420">
        <w:rPr>
          <w:rFonts w:ascii="Times New Roman" w:hAnsi="Times New Roman" w:cs="Times New Roman"/>
          <w:color w:val="010302"/>
          <w:sz w:val="24"/>
          <w:szCs w:val="24"/>
        </w:rPr>
        <w:t>a</w:t>
      </w:r>
      <w:r w:rsidR="0065616F" w:rsidRPr="00996790">
        <w:rPr>
          <w:rFonts w:ascii="Times New Roman" w:hAnsi="Times New Roman" w:cs="Times New Roman"/>
          <w:color w:val="010302"/>
          <w:sz w:val="24"/>
          <w:szCs w:val="24"/>
        </w:rPr>
        <w:t>ppeal</w:t>
      </w:r>
      <w:r w:rsidR="007F5D35" w:rsidRPr="00996790">
        <w:rPr>
          <w:rFonts w:ascii="Times New Roman" w:hAnsi="Times New Roman" w:cs="Times New Roman"/>
          <w:color w:val="010302"/>
          <w:sz w:val="24"/>
          <w:szCs w:val="24"/>
        </w:rPr>
        <w:t xml:space="preserve">, </w:t>
      </w:r>
      <w:r w:rsidR="00942D3D" w:rsidRPr="00A43883">
        <w:rPr>
          <w:rFonts w:ascii="Times New Roman" w:hAnsi="Times New Roman" w:cs="Times New Roman"/>
          <w:b/>
          <w:bCs/>
          <w:color w:val="010302"/>
          <w:sz w:val="24"/>
          <w:szCs w:val="24"/>
          <w:u w:val="single"/>
        </w:rPr>
        <w:t>British Railway Board v Jackson</w:t>
      </w:r>
      <w:r w:rsidR="00942D3D" w:rsidRPr="00996790">
        <w:rPr>
          <w:rFonts w:ascii="Times New Roman" w:hAnsi="Times New Roman" w:cs="Times New Roman"/>
          <w:i/>
          <w:iCs/>
          <w:color w:val="010302"/>
          <w:sz w:val="24"/>
          <w:szCs w:val="24"/>
        </w:rPr>
        <w:t xml:space="preserve"> </w:t>
      </w:r>
      <w:r w:rsidR="00942D3D" w:rsidRPr="00996790">
        <w:rPr>
          <w:rFonts w:ascii="Times New Roman" w:hAnsi="Times New Roman" w:cs="Times New Roman"/>
          <w:color w:val="010302"/>
          <w:sz w:val="24"/>
          <w:szCs w:val="24"/>
        </w:rPr>
        <w:t>[1984] IRLR 235, does not assist the claimant at all.  It was a case of an express dismissal by the respondent employer</w:t>
      </w:r>
      <w:r w:rsidR="00265075" w:rsidRPr="00996790">
        <w:rPr>
          <w:rFonts w:ascii="Times New Roman" w:hAnsi="Times New Roman" w:cs="Times New Roman"/>
          <w:color w:val="010302"/>
          <w:sz w:val="24"/>
          <w:szCs w:val="24"/>
        </w:rPr>
        <w:t>.</w:t>
      </w:r>
    </w:p>
    <w:p w14:paraId="61A3C6CB" w14:textId="274549A5" w:rsidR="00265075" w:rsidRPr="00996790" w:rsidRDefault="00265075" w:rsidP="00265075">
      <w:pPr>
        <w:pStyle w:val="ListParagraph"/>
        <w:tabs>
          <w:tab w:val="left" w:pos="0"/>
        </w:tabs>
        <w:spacing w:line="480" w:lineRule="auto"/>
        <w:contextualSpacing/>
        <w:jc w:val="both"/>
        <w:rPr>
          <w:rFonts w:ascii="Times New Roman" w:hAnsi="Times New Roman" w:cs="Times New Roman"/>
          <w:b/>
          <w:bCs/>
          <w:color w:val="010302"/>
          <w:sz w:val="24"/>
          <w:szCs w:val="24"/>
        </w:rPr>
      </w:pPr>
      <w:r w:rsidRPr="00996790">
        <w:rPr>
          <w:rFonts w:ascii="Times New Roman" w:hAnsi="Times New Roman" w:cs="Times New Roman"/>
          <w:b/>
          <w:bCs/>
          <w:color w:val="010302"/>
          <w:sz w:val="24"/>
          <w:szCs w:val="24"/>
        </w:rPr>
        <w:t>Ground 4</w:t>
      </w:r>
    </w:p>
    <w:p w14:paraId="56889130" w14:textId="0A9970B1" w:rsidR="00265075" w:rsidRPr="00996790" w:rsidRDefault="00265075" w:rsidP="00942D3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There is no basis </w:t>
      </w:r>
      <w:r w:rsidR="00DB3ED8" w:rsidRPr="00996790">
        <w:rPr>
          <w:rFonts w:ascii="Times New Roman" w:hAnsi="Times New Roman" w:cs="Times New Roman"/>
          <w:color w:val="010302"/>
          <w:sz w:val="24"/>
          <w:szCs w:val="24"/>
        </w:rPr>
        <w:t xml:space="preserve">for the suggestion that the ET erred in law in </w:t>
      </w:r>
      <w:r w:rsidR="004D354A" w:rsidRPr="00996790">
        <w:rPr>
          <w:rFonts w:ascii="Times New Roman" w:hAnsi="Times New Roman" w:cs="Times New Roman"/>
          <w:color w:val="010302"/>
          <w:sz w:val="24"/>
          <w:szCs w:val="24"/>
        </w:rPr>
        <w:t>failing to adjourn the hearing to allow the LBW to be added as an interest</w:t>
      </w:r>
      <w:r w:rsidR="00A43883">
        <w:rPr>
          <w:rFonts w:ascii="Times New Roman" w:hAnsi="Times New Roman" w:cs="Times New Roman"/>
          <w:color w:val="010302"/>
          <w:sz w:val="24"/>
          <w:szCs w:val="24"/>
        </w:rPr>
        <w:t>ed</w:t>
      </w:r>
      <w:r w:rsidR="004D354A" w:rsidRPr="00996790">
        <w:rPr>
          <w:rFonts w:ascii="Times New Roman" w:hAnsi="Times New Roman" w:cs="Times New Roman"/>
          <w:color w:val="010302"/>
          <w:sz w:val="24"/>
          <w:szCs w:val="24"/>
        </w:rPr>
        <w:t xml:space="preserve"> party.  </w:t>
      </w:r>
      <w:r w:rsidR="00192D33" w:rsidRPr="00996790">
        <w:rPr>
          <w:rFonts w:ascii="Times New Roman" w:hAnsi="Times New Roman" w:cs="Times New Roman"/>
          <w:color w:val="010302"/>
          <w:sz w:val="24"/>
          <w:szCs w:val="24"/>
        </w:rPr>
        <w:t xml:space="preserve">The question was a case management decision, and thus an appeal could only </w:t>
      </w:r>
      <w:r w:rsidR="00E53971" w:rsidRPr="00996790">
        <w:rPr>
          <w:rFonts w:ascii="Times New Roman" w:hAnsi="Times New Roman" w:cs="Times New Roman"/>
          <w:color w:val="010302"/>
          <w:sz w:val="24"/>
          <w:szCs w:val="24"/>
        </w:rPr>
        <w:t xml:space="preserve">succeed if the determination was not one that a reasonable tribunal could have arrived and/or there was a misdirection </w:t>
      </w:r>
      <w:r w:rsidR="00C91C19" w:rsidRPr="00996790">
        <w:rPr>
          <w:rFonts w:ascii="Times New Roman" w:hAnsi="Times New Roman" w:cs="Times New Roman"/>
          <w:color w:val="010302"/>
          <w:sz w:val="24"/>
          <w:szCs w:val="24"/>
        </w:rPr>
        <w:t>of law.  No misdirection of law has been suggested to me</w:t>
      </w:r>
      <w:r w:rsidR="00F25111" w:rsidRPr="00996790">
        <w:rPr>
          <w:rFonts w:ascii="Times New Roman" w:hAnsi="Times New Roman" w:cs="Times New Roman"/>
          <w:color w:val="010302"/>
          <w:sz w:val="24"/>
          <w:szCs w:val="24"/>
        </w:rPr>
        <w:t>.  Nor is the de</w:t>
      </w:r>
      <w:r w:rsidR="00D42B50">
        <w:rPr>
          <w:rFonts w:ascii="Times New Roman" w:hAnsi="Times New Roman" w:cs="Times New Roman"/>
          <w:color w:val="010302"/>
          <w:sz w:val="24"/>
          <w:szCs w:val="24"/>
        </w:rPr>
        <w:t>cision</w:t>
      </w:r>
      <w:r w:rsidR="00F25111" w:rsidRPr="00996790">
        <w:rPr>
          <w:rFonts w:ascii="Times New Roman" w:hAnsi="Times New Roman" w:cs="Times New Roman"/>
          <w:color w:val="010302"/>
          <w:sz w:val="24"/>
          <w:szCs w:val="24"/>
        </w:rPr>
        <w:t xml:space="preserve"> </w:t>
      </w:r>
      <w:r w:rsidR="00965677" w:rsidRPr="00996790">
        <w:rPr>
          <w:rFonts w:ascii="Times New Roman" w:hAnsi="Times New Roman" w:cs="Times New Roman"/>
          <w:color w:val="010302"/>
          <w:sz w:val="24"/>
          <w:szCs w:val="24"/>
        </w:rPr>
        <w:t>a perverse one.  Indeed, it appears to have been an ent</w:t>
      </w:r>
      <w:r w:rsidR="00356C64" w:rsidRPr="00996790">
        <w:rPr>
          <w:rFonts w:ascii="Times New Roman" w:hAnsi="Times New Roman" w:cs="Times New Roman"/>
          <w:color w:val="010302"/>
          <w:sz w:val="24"/>
          <w:szCs w:val="24"/>
        </w:rPr>
        <w:t>irely reasonable decision</w:t>
      </w:r>
      <w:r w:rsidR="000D74C6" w:rsidRPr="00996790">
        <w:rPr>
          <w:rFonts w:ascii="Times New Roman" w:hAnsi="Times New Roman" w:cs="Times New Roman"/>
          <w:color w:val="010302"/>
          <w:sz w:val="24"/>
          <w:szCs w:val="24"/>
        </w:rPr>
        <w:t xml:space="preserve">.  </w:t>
      </w:r>
      <w:r w:rsidR="00AD5E85" w:rsidRPr="00996790">
        <w:rPr>
          <w:rFonts w:ascii="Times New Roman" w:hAnsi="Times New Roman" w:cs="Times New Roman"/>
          <w:color w:val="010302"/>
          <w:sz w:val="24"/>
          <w:szCs w:val="24"/>
        </w:rPr>
        <w:t xml:space="preserve">There was no contractual </w:t>
      </w:r>
      <w:r w:rsidR="0045542E" w:rsidRPr="00996790">
        <w:rPr>
          <w:rFonts w:ascii="Times New Roman" w:hAnsi="Times New Roman" w:cs="Times New Roman"/>
          <w:color w:val="010302"/>
          <w:sz w:val="24"/>
          <w:szCs w:val="24"/>
        </w:rPr>
        <w:t xml:space="preserve">relationship between the claimant </w:t>
      </w:r>
      <w:r w:rsidR="004169C9" w:rsidRPr="00996790">
        <w:rPr>
          <w:rFonts w:ascii="Times New Roman" w:hAnsi="Times New Roman" w:cs="Times New Roman"/>
          <w:color w:val="010302"/>
          <w:sz w:val="24"/>
          <w:szCs w:val="24"/>
        </w:rPr>
        <w:t>and LBW</w:t>
      </w:r>
      <w:r w:rsidR="00837196" w:rsidRPr="00996790">
        <w:rPr>
          <w:rFonts w:ascii="Times New Roman" w:hAnsi="Times New Roman" w:cs="Times New Roman"/>
          <w:color w:val="010302"/>
          <w:sz w:val="24"/>
          <w:szCs w:val="24"/>
        </w:rPr>
        <w:t xml:space="preserve">.  She did not suggest </w:t>
      </w:r>
      <w:r w:rsidR="009D031F" w:rsidRPr="00996790">
        <w:rPr>
          <w:rFonts w:ascii="Times New Roman" w:hAnsi="Times New Roman" w:cs="Times New Roman"/>
          <w:color w:val="010302"/>
          <w:sz w:val="24"/>
          <w:szCs w:val="24"/>
        </w:rPr>
        <w:t>that it became her employer</w:t>
      </w:r>
      <w:r w:rsidR="00E877AA" w:rsidRPr="00996790">
        <w:rPr>
          <w:rFonts w:ascii="Times New Roman" w:hAnsi="Times New Roman" w:cs="Times New Roman"/>
          <w:color w:val="010302"/>
          <w:sz w:val="24"/>
          <w:szCs w:val="24"/>
        </w:rPr>
        <w:t xml:space="preserve">, nor that it had dismissed her.  </w:t>
      </w:r>
      <w:r w:rsidR="009878F7" w:rsidRPr="00996790">
        <w:rPr>
          <w:rFonts w:ascii="Times New Roman" w:hAnsi="Times New Roman" w:cs="Times New Roman"/>
          <w:color w:val="010302"/>
          <w:sz w:val="24"/>
          <w:szCs w:val="24"/>
        </w:rPr>
        <w:t xml:space="preserve">Furthermore, the respondent had indicated that if </w:t>
      </w:r>
      <w:r w:rsidR="005120D6" w:rsidRPr="00996790">
        <w:rPr>
          <w:rFonts w:ascii="Times New Roman" w:hAnsi="Times New Roman" w:cs="Times New Roman"/>
          <w:color w:val="010302"/>
          <w:sz w:val="24"/>
          <w:szCs w:val="24"/>
        </w:rPr>
        <w:t xml:space="preserve">the claim succeeded, it would not attempt to deflect </w:t>
      </w:r>
      <w:r w:rsidR="00846B74" w:rsidRPr="00996790">
        <w:rPr>
          <w:rFonts w:ascii="Times New Roman" w:hAnsi="Times New Roman" w:cs="Times New Roman"/>
          <w:color w:val="010302"/>
          <w:sz w:val="24"/>
          <w:szCs w:val="24"/>
        </w:rPr>
        <w:t>blame or liability</w:t>
      </w:r>
      <w:r w:rsidR="002E579E" w:rsidRPr="00996790">
        <w:rPr>
          <w:rFonts w:ascii="Times New Roman" w:hAnsi="Times New Roman" w:cs="Times New Roman"/>
          <w:color w:val="010302"/>
          <w:sz w:val="24"/>
          <w:szCs w:val="24"/>
        </w:rPr>
        <w:t xml:space="preserve"> onto LBW and would itself pay any compensation awarded by the ET.  </w:t>
      </w:r>
      <w:r w:rsidR="0005195C" w:rsidRPr="00996790">
        <w:rPr>
          <w:rFonts w:ascii="Times New Roman" w:hAnsi="Times New Roman" w:cs="Times New Roman"/>
          <w:color w:val="010302"/>
          <w:sz w:val="24"/>
          <w:szCs w:val="24"/>
        </w:rPr>
        <w:t xml:space="preserve">In addition to recording this, paragraph 12 of the ET's </w:t>
      </w:r>
      <w:r w:rsidR="00C75B3E">
        <w:rPr>
          <w:rFonts w:ascii="Times New Roman" w:hAnsi="Times New Roman" w:cs="Times New Roman"/>
          <w:color w:val="010302"/>
          <w:sz w:val="24"/>
          <w:szCs w:val="24"/>
        </w:rPr>
        <w:t>R</w:t>
      </w:r>
      <w:r w:rsidR="0005195C" w:rsidRPr="00996790">
        <w:rPr>
          <w:rFonts w:ascii="Times New Roman" w:hAnsi="Times New Roman" w:cs="Times New Roman"/>
          <w:color w:val="010302"/>
          <w:sz w:val="24"/>
          <w:szCs w:val="24"/>
        </w:rPr>
        <w:t>easons note</w:t>
      </w:r>
      <w:r w:rsidR="00A35F40">
        <w:rPr>
          <w:rFonts w:ascii="Times New Roman" w:hAnsi="Times New Roman" w:cs="Times New Roman"/>
          <w:color w:val="010302"/>
          <w:sz w:val="24"/>
          <w:szCs w:val="24"/>
        </w:rPr>
        <w:t>d</w:t>
      </w:r>
      <w:r w:rsidR="0005195C" w:rsidRPr="00996790">
        <w:rPr>
          <w:rFonts w:ascii="Times New Roman" w:hAnsi="Times New Roman" w:cs="Times New Roman"/>
          <w:color w:val="010302"/>
          <w:sz w:val="24"/>
          <w:szCs w:val="24"/>
        </w:rPr>
        <w:t xml:space="preserve"> that the claimant was unable to </w:t>
      </w:r>
      <w:r w:rsidR="00911E52" w:rsidRPr="00996790">
        <w:rPr>
          <w:rFonts w:ascii="Times New Roman" w:hAnsi="Times New Roman" w:cs="Times New Roman"/>
          <w:color w:val="010302"/>
          <w:sz w:val="24"/>
          <w:szCs w:val="24"/>
        </w:rPr>
        <w:t>identify a good reason for joining the LBW</w:t>
      </w:r>
      <w:r w:rsidR="00820001" w:rsidRPr="00996790">
        <w:rPr>
          <w:rFonts w:ascii="Times New Roman" w:hAnsi="Times New Roman" w:cs="Times New Roman"/>
          <w:color w:val="010302"/>
          <w:sz w:val="24"/>
          <w:szCs w:val="24"/>
        </w:rPr>
        <w:t xml:space="preserve">.  </w:t>
      </w:r>
      <w:r w:rsidR="00AD4F16" w:rsidRPr="00996790">
        <w:rPr>
          <w:rFonts w:ascii="Times New Roman" w:hAnsi="Times New Roman" w:cs="Times New Roman"/>
          <w:color w:val="010302"/>
          <w:sz w:val="24"/>
          <w:szCs w:val="24"/>
        </w:rPr>
        <w:t xml:space="preserve">A decision to join LBW </w:t>
      </w:r>
      <w:r w:rsidR="000815D4" w:rsidRPr="00996790">
        <w:rPr>
          <w:rFonts w:ascii="Times New Roman" w:hAnsi="Times New Roman" w:cs="Times New Roman"/>
          <w:color w:val="010302"/>
          <w:sz w:val="24"/>
          <w:szCs w:val="24"/>
        </w:rPr>
        <w:t>plainly would have had substantial consequences in that it would have resulted in an adjournment</w:t>
      </w:r>
      <w:r w:rsidR="00271415" w:rsidRPr="00996790">
        <w:rPr>
          <w:rFonts w:ascii="Times New Roman" w:hAnsi="Times New Roman" w:cs="Times New Roman"/>
          <w:color w:val="010302"/>
          <w:sz w:val="24"/>
          <w:szCs w:val="24"/>
        </w:rPr>
        <w:t xml:space="preserve"> of the </w:t>
      </w:r>
      <w:r w:rsidR="006B4E63">
        <w:rPr>
          <w:rFonts w:ascii="Times New Roman" w:hAnsi="Times New Roman" w:cs="Times New Roman"/>
          <w:color w:val="010302"/>
          <w:sz w:val="24"/>
          <w:szCs w:val="24"/>
        </w:rPr>
        <w:t xml:space="preserve">substantive </w:t>
      </w:r>
      <w:r w:rsidR="00271415" w:rsidRPr="00996790">
        <w:rPr>
          <w:rFonts w:ascii="Times New Roman" w:hAnsi="Times New Roman" w:cs="Times New Roman"/>
          <w:color w:val="010302"/>
          <w:sz w:val="24"/>
          <w:szCs w:val="24"/>
        </w:rPr>
        <w:t>hearing</w:t>
      </w:r>
      <w:r w:rsidR="00FA3CFB" w:rsidRPr="00996790">
        <w:rPr>
          <w:rFonts w:ascii="Times New Roman" w:hAnsi="Times New Roman" w:cs="Times New Roman"/>
          <w:color w:val="010302"/>
          <w:sz w:val="24"/>
          <w:szCs w:val="24"/>
        </w:rPr>
        <w:t xml:space="preserve">, and the claimant had already appealed unsuccessfully </w:t>
      </w:r>
      <w:r w:rsidR="006B4E63">
        <w:rPr>
          <w:rFonts w:ascii="Times New Roman" w:hAnsi="Times New Roman" w:cs="Times New Roman"/>
          <w:color w:val="010302"/>
          <w:sz w:val="24"/>
          <w:szCs w:val="24"/>
        </w:rPr>
        <w:t xml:space="preserve">against </w:t>
      </w:r>
      <w:r w:rsidR="00FA3CFB" w:rsidRPr="00996790">
        <w:rPr>
          <w:rFonts w:ascii="Times New Roman" w:hAnsi="Times New Roman" w:cs="Times New Roman"/>
          <w:color w:val="010302"/>
          <w:sz w:val="24"/>
          <w:szCs w:val="24"/>
        </w:rPr>
        <w:t>the earlier decision</w:t>
      </w:r>
      <w:r w:rsidR="001617FB" w:rsidRPr="00996790">
        <w:rPr>
          <w:rFonts w:ascii="Times New Roman" w:hAnsi="Times New Roman" w:cs="Times New Roman"/>
          <w:color w:val="010302"/>
          <w:sz w:val="24"/>
          <w:szCs w:val="24"/>
        </w:rPr>
        <w:t xml:space="preserve"> not to join LBW.</w:t>
      </w:r>
    </w:p>
    <w:p w14:paraId="3F8A7F0C" w14:textId="00428034" w:rsidR="001617FB" w:rsidRPr="00996790" w:rsidRDefault="001617FB" w:rsidP="00942D3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 xml:space="preserve">For all these reasons, I can detect no error of law in the </w:t>
      </w:r>
      <w:r w:rsidR="000631C1" w:rsidRPr="00996790">
        <w:rPr>
          <w:rFonts w:ascii="Times New Roman" w:hAnsi="Times New Roman" w:cs="Times New Roman"/>
          <w:color w:val="010302"/>
          <w:sz w:val="24"/>
          <w:szCs w:val="24"/>
        </w:rPr>
        <w:t xml:space="preserve">ET's approach to this matter.  Furthermore, the decision made as regards the LBW had </w:t>
      </w:r>
      <w:r w:rsidR="00293155" w:rsidRPr="00996790">
        <w:rPr>
          <w:rFonts w:ascii="Times New Roman" w:hAnsi="Times New Roman" w:cs="Times New Roman"/>
          <w:color w:val="010302"/>
          <w:sz w:val="24"/>
          <w:szCs w:val="24"/>
        </w:rPr>
        <w:t>n</w:t>
      </w:r>
      <w:r w:rsidR="00D9152C" w:rsidRPr="00996790">
        <w:rPr>
          <w:rFonts w:ascii="Times New Roman" w:hAnsi="Times New Roman" w:cs="Times New Roman"/>
          <w:color w:val="010302"/>
          <w:sz w:val="24"/>
          <w:szCs w:val="24"/>
        </w:rPr>
        <w:t xml:space="preserve">o bearing on the outcome </w:t>
      </w:r>
      <w:r w:rsidR="00293155" w:rsidRPr="00996790">
        <w:rPr>
          <w:rFonts w:ascii="Times New Roman" w:hAnsi="Times New Roman" w:cs="Times New Roman"/>
          <w:color w:val="010302"/>
          <w:sz w:val="24"/>
          <w:szCs w:val="24"/>
        </w:rPr>
        <w:t>of the case</w:t>
      </w:r>
      <w:r w:rsidR="00600CED" w:rsidRPr="00996790">
        <w:rPr>
          <w:rFonts w:ascii="Times New Roman" w:hAnsi="Times New Roman" w:cs="Times New Roman"/>
          <w:color w:val="010302"/>
          <w:sz w:val="24"/>
          <w:szCs w:val="24"/>
        </w:rPr>
        <w:t xml:space="preserve">, given that the respondent's services agreement with </w:t>
      </w:r>
      <w:r w:rsidR="00D6105C" w:rsidRPr="00996790">
        <w:rPr>
          <w:rFonts w:ascii="Times New Roman" w:hAnsi="Times New Roman" w:cs="Times New Roman"/>
          <w:color w:val="010302"/>
          <w:sz w:val="24"/>
          <w:szCs w:val="24"/>
        </w:rPr>
        <w:t xml:space="preserve">LBW was only relevant </w:t>
      </w:r>
      <w:r w:rsidR="00D53FB0">
        <w:rPr>
          <w:rFonts w:ascii="Times New Roman" w:hAnsi="Times New Roman" w:cs="Times New Roman"/>
          <w:color w:val="010302"/>
          <w:sz w:val="24"/>
          <w:szCs w:val="24"/>
        </w:rPr>
        <w:t>(</w:t>
      </w:r>
      <w:r w:rsidR="00284E67" w:rsidRPr="00996790">
        <w:rPr>
          <w:rFonts w:ascii="Times New Roman" w:hAnsi="Times New Roman" w:cs="Times New Roman"/>
          <w:color w:val="010302"/>
          <w:sz w:val="24"/>
          <w:szCs w:val="24"/>
        </w:rPr>
        <w:t>at it</w:t>
      </w:r>
      <w:r w:rsidR="00267420">
        <w:rPr>
          <w:rFonts w:ascii="Times New Roman" w:hAnsi="Times New Roman" w:cs="Times New Roman"/>
          <w:color w:val="010302"/>
          <w:sz w:val="24"/>
          <w:szCs w:val="24"/>
        </w:rPr>
        <w:t>s</w:t>
      </w:r>
      <w:r w:rsidR="00284E67" w:rsidRPr="00996790">
        <w:rPr>
          <w:rFonts w:ascii="Times New Roman" w:hAnsi="Times New Roman" w:cs="Times New Roman"/>
          <w:color w:val="010302"/>
          <w:sz w:val="24"/>
          <w:szCs w:val="24"/>
        </w:rPr>
        <w:t xml:space="preserve"> highest</w:t>
      </w:r>
      <w:r w:rsidR="00D53FB0">
        <w:rPr>
          <w:rFonts w:ascii="Times New Roman" w:hAnsi="Times New Roman" w:cs="Times New Roman"/>
          <w:color w:val="010302"/>
          <w:sz w:val="24"/>
          <w:szCs w:val="24"/>
        </w:rPr>
        <w:t>)</w:t>
      </w:r>
      <w:r w:rsidR="00284E67" w:rsidRPr="00996790">
        <w:rPr>
          <w:rFonts w:ascii="Times New Roman" w:hAnsi="Times New Roman" w:cs="Times New Roman"/>
          <w:color w:val="010302"/>
          <w:sz w:val="24"/>
          <w:szCs w:val="24"/>
        </w:rPr>
        <w:t xml:space="preserve"> to the secondary defence that the activities were to be carried out for </w:t>
      </w:r>
      <w:r w:rsidR="00F22571">
        <w:rPr>
          <w:rFonts w:ascii="Times New Roman" w:hAnsi="Times New Roman" w:cs="Times New Roman"/>
          <w:color w:val="010302"/>
          <w:sz w:val="24"/>
          <w:szCs w:val="24"/>
        </w:rPr>
        <w:t xml:space="preserve">a </w:t>
      </w:r>
      <w:r w:rsidR="00284E67" w:rsidRPr="00996790">
        <w:rPr>
          <w:rFonts w:ascii="Times New Roman" w:hAnsi="Times New Roman" w:cs="Times New Roman"/>
          <w:color w:val="010302"/>
          <w:sz w:val="24"/>
          <w:szCs w:val="24"/>
        </w:rPr>
        <w:t>short-term duration</w:t>
      </w:r>
      <w:r w:rsidR="00FE6465" w:rsidRPr="00996790">
        <w:rPr>
          <w:rFonts w:ascii="Times New Roman" w:hAnsi="Times New Roman" w:cs="Times New Roman"/>
          <w:color w:val="010302"/>
          <w:sz w:val="24"/>
          <w:szCs w:val="24"/>
        </w:rPr>
        <w:t xml:space="preserve">, which in any event the </w:t>
      </w:r>
      <w:r w:rsidR="00C05C14">
        <w:rPr>
          <w:rFonts w:ascii="Times New Roman" w:hAnsi="Times New Roman" w:cs="Times New Roman"/>
          <w:color w:val="010302"/>
          <w:sz w:val="24"/>
          <w:szCs w:val="24"/>
        </w:rPr>
        <w:t>ET</w:t>
      </w:r>
      <w:r w:rsidR="00FE6465" w:rsidRPr="00996790">
        <w:rPr>
          <w:rFonts w:ascii="Times New Roman" w:hAnsi="Times New Roman" w:cs="Times New Roman"/>
          <w:color w:val="010302"/>
          <w:sz w:val="24"/>
          <w:szCs w:val="24"/>
        </w:rPr>
        <w:t xml:space="preserve"> </w:t>
      </w:r>
      <w:r w:rsidR="00FE6465" w:rsidRPr="00996790">
        <w:rPr>
          <w:rFonts w:ascii="Times New Roman" w:hAnsi="Times New Roman" w:cs="Times New Roman"/>
          <w:color w:val="010302"/>
          <w:sz w:val="24"/>
          <w:szCs w:val="24"/>
        </w:rPr>
        <w:lastRenderedPageBreak/>
        <w:t xml:space="preserve">did not have </w:t>
      </w:r>
      <w:r w:rsidR="00A5161C" w:rsidRPr="00996790">
        <w:rPr>
          <w:rFonts w:ascii="Times New Roman" w:hAnsi="Times New Roman" w:cs="Times New Roman"/>
          <w:color w:val="010302"/>
          <w:sz w:val="24"/>
          <w:szCs w:val="24"/>
        </w:rPr>
        <w:t>to decide and did not decide</w:t>
      </w:r>
      <w:r w:rsidR="00441A03">
        <w:rPr>
          <w:rFonts w:ascii="Times New Roman" w:hAnsi="Times New Roman" w:cs="Times New Roman"/>
          <w:color w:val="010302"/>
          <w:sz w:val="24"/>
          <w:szCs w:val="24"/>
        </w:rPr>
        <w:t xml:space="preserve"> </w:t>
      </w:r>
      <w:proofErr w:type="gramStart"/>
      <w:r w:rsidR="00441A03">
        <w:rPr>
          <w:rFonts w:ascii="Times New Roman" w:hAnsi="Times New Roman" w:cs="Times New Roman"/>
          <w:color w:val="010302"/>
          <w:sz w:val="24"/>
          <w:szCs w:val="24"/>
        </w:rPr>
        <w:t>in light of</w:t>
      </w:r>
      <w:proofErr w:type="gramEnd"/>
      <w:r w:rsidR="00441A03">
        <w:rPr>
          <w:rFonts w:ascii="Times New Roman" w:hAnsi="Times New Roman" w:cs="Times New Roman"/>
          <w:color w:val="010302"/>
          <w:sz w:val="24"/>
          <w:szCs w:val="24"/>
        </w:rPr>
        <w:t xml:space="preserve"> its conclusion</w:t>
      </w:r>
      <w:r w:rsidR="00C05C14">
        <w:rPr>
          <w:rFonts w:ascii="Times New Roman" w:hAnsi="Times New Roman" w:cs="Times New Roman"/>
          <w:color w:val="010302"/>
          <w:sz w:val="24"/>
          <w:szCs w:val="24"/>
        </w:rPr>
        <w:t xml:space="preserve"> on the primary line of defence</w:t>
      </w:r>
      <w:r w:rsidR="00A5161C" w:rsidRPr="00996790">
        <w:rPr>
          <w:rFonts w:ascii="Times New Roman" w:hAnsi="Times New Roman" w:cs="Times New Roman"/>
          <w:color w:val="010302"/>
          <w:sz w:val="24"/>
          <w:szCs w:val="24"/>
        </w:rPr>
        <w:t xml:space="preserve">.  </w:t>
      </w:r>
    </w:p>
    <w:p w14:paraId="63B4CA51" w14:textId="6FA4B3B7" w:rsidR="005C2D48" w:rsidRPr="00C05C14" w:rsidRDefault="005C2D48" w:rsidP="005C2D48">
      <w:pPr>
        <w:pStyle w:val="ListParagraph"/>
        <w:tabs>
          <w:tab w:val="left" w:pos="0"/>
        </w:tabs>
        <w:spacing w:line="480" w:lineRule="auto"/>
        <w:contextualSpacing/>
        <w:jc w:val="both"/>
        <w:rPr>
          <w:rFonts w:ascii="Times New Roman" w:hAnsi="Times New Roman" w:cs="Times New Roman"/>
          <w:b/>
          <w:bCs/>
          <w:color w:val="010302"/>
          <w:sz w:val="24"/>
          <w:szCs w:val="24"/>
          <w:u w:val="single"/>
        </w:rPr>
      </w:pPr>
      <w:r w:rsidRPr="00C05C14">
        <w:rPr>
          <w:rFonts w:ascii="Times New Roman" w:hAnsi="Times New Roman" w:cs="Times New Roman"/>
          <w:b/>
          <w:bCs/>
          <w:color w:val="010302"/>
          <w:sz w:val="24"/>
          <w:szCs w:val="24"/>
          <w:u w:val="single"/>
        </w:rPr>
        <w:t>Outcome</w:t>
      </w:r>
    </w:p>
    <w:p w14:paraId="6BB7A0C9" w14:textId="3CBA8E30" w:rsidR="005C2D48" w:rsidRPr="00996790" w:rsidRDefault="005C2D48" w:rsidP="00942D3D">
      <w:pPr>
        <w:pStyle w:val="ListParagraph"/>
        <w:numPr>
          <w:ilvl w:val="0"/>
          <w:numId w:val="2"/>
        </w:numPr>
        <w:tabs>
          <w:tab w:val="left" w:pos="0"/>
        </w:tabs>
        <w:spacing w:line="480" w:lineRule="auto"/>
        <w:ind w:left="0" w:firstLine="0"/>
        <w:contextualSpacing/>
        <w:jc w:val="both"/>
        <w:rPr>
          <w:rFonts w:ascii="Times New Roman" w:hAnsi="Times New Roman" w:cs="Times New Roman"/>
          <w:color w:val="010302"/>
          <w:sz w:val="24"/>
          <w:szCs w:val="24"/>
        </w:rPr>
      </w:pPr>
      <w:r w:rsidRPr="00996790">
        <w:rPr>
          <w:rFonts w:ascii="Times New Roman" w:hAnsi="Times New Roman" w:cs="Times New Roman"/>
          <w:color w:val="010302"/>
          <w:sz w:val="24"/>
          <w:szCs w:val="24"/>
        </w:rPr>
        <w:t>I therefore dismiss the appeal.</w:t>
      </w:r>
      <w:r w:rsidR="003F4CEF" w:rsidRPr="00996790">
        <w:rPr>
          <w:rFonts w:ascii="Times New Roman" w:hAnsi="Times New Roman" w:cs="Times New Roman"/>
          <w:color w:val="010302"/>
          <w:sz w:val="24"/>
          <w:szCs w:val="24"/>
        </w:rPr>
        <w:t xml:space="preserve">  </w:t>
      </w:r>
    </w:p>
    <w:sectPr w:rsidR="005C2D48" w:rsidRPr="00996790" w:rsidSect="00443F54">
      <w:headerReference w:type="default" r:id="rId8"/>
      <w:footerReference w:type="default" r:id="rId9"/>
      <w:type w:val="continuous"/>
      <w:pgSz w:w="11918" w:h="16843"/>
      <w:pgMar w:top="500" w:right="1145" w:bottom="4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0B7F" w14:textId="77777777" w:rsidR="00B1428D" w:rsidRDefault="00B1428D" w:rsidP="00804446">
      <w:r>
        <w:separator/>
      </w:r>
    </w:p>
  </w:endnote>
  <w:endnote w:type="continuationSeparator" w:id="0">
    <w:p w14:paraId="3B115DB8" w14:textId="77777777" w:rsidR="00B1428D" w:rsidRDefault="00B1428D" w:rsidP="0080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B527" w14:textId="66855014" w:rsidR="00717B8E" w:rsidRPr="00443F54" w:rsidRDefault="00717B8E" w:rsidP="00443F54">
    <w:pPr>
      <w:pStyle w:val="Footer"/>
      <w:tabs>
        <w:tab w:val="left" w:pos="7938"/>
      </w:tabs>
      <w:rPr>
        <w:sz w:val="16"/>
        <w:szCs w:val="16"/>
      </w:rPr>
    </w:pPr>
    <w:r w:rsidRPr="00443F54">
      <w:rPr>
        <w:sz w:val="16"/>
        <w:szCs w:val="16"/>
      </w:rPr>
      <w:tab/>
      <w:t xml:space="preserve">Page </w:t>
    </w:r>
    <w:sdt>
      <w:sdtPr>
        <w:rPr>
          <w:sz w:val="16"/>
          <w:szCs w:val="16"/>
        </w:rPr>
        <w:id w:val="9112782"/>
        <w:docPartObj>
          <w:docPartGallery w:val="Page Numbers (Bottom of Page)"/>
          <w:docPartUnique/>
        </w:docPartObj>
      </w:sdtPr>
      <w:sdtEndPr>
        <w:rPr>
          <w:noProof/>
        </w:rPr>
      </w:sdtEndPr>
      <w:sdtContent>
        <w:r w:rsidRPr="00443F54">
          <w:rPr>
            <w:sz w:val="16"/>
            <w:szCs w:val="16"/>
          </w:rPr>
          <w:fldChar w:fldCharType="begin"/>
        </w:r>
        <w:r w:rsidRPr="00443F54">
          <w:rPr>
            <w:sz w:val="16"/>
            <w:szCs w:val="16"/>
          </w:rPr>
          <w:instrText xml:space="preserve"> PAGE   \* MERGEFORMAT </w:instrText>
        </w:r>
        <w:r w:rsidRPr="00443F54">
          <w:rPr>
            <w:sz w:val="16"/>
            <w:szCs w:val="16"/>
          </w:rPr>
          <w:fldChar w:fldCharType="separate"/>
        </w:r>
        <w:r w:rsidRPr="00443F54">
          <w:rPr>
            <w:sz w:val="16"/>
            <w:szCs w:val="16"/>
          </w:rPr>
          <w:t>1</w:t>
        </w:r>
        <w:r w:rsidRPr="00443F54">
          <w:rPr>
            <w:noProof/>
            <w:sz w:val="16"/>
            <w:szCs w:val="16"/>
          </w:rPr>
          <w:fldChar w:fldCharType="end"/>
        </w:r>
      </w:sdtContent>
    </w:sdt>
    <w:r w:rsidRPr="00443F54">
      <w:rPr>
        <w:sz w:val="16"/>
        <w:szCs w:val="16"/>
      </w:rPr>
      <w:tab/>
    </w:r>
    <w:r w:rsidR="009872CD">
      <w:rPr>
        <w:sz w:val="16"/>
        <w:szCs w:val="16"/>
      </w:rPr>
      <w:t>[2022] EAT</w:t>
    </w:r>
    <w:r w:rsidR="000066E1">
      <w:rPr>
        <w:sz w:val="16"/>
        <w:szCs w:val="16"/>
      </w:rPr>
      <w:t xml:space="preserve"> 124</w:t>
    </w:r>
  </w:p>
  <w:p w14:paraId="3769336F" w14:textId="2ABA7FA8" w:rsidR="00717B8E" w:rsidRPr="00443F54" w:rsidRDefault="00717B8E" w:rsidP="00717B8E">
    <w:pPr>
      <w:tabs>
        <w:tab w:val="center" w:pos="4820"/>
        <w:tab w:val="right" w:pos="9639"/>
      </w:tabs>
      <w:rPr>
        <w:sz w:val="16"/>
        <w:szCs w:val="16"/>
      </w:rPr>
    </w:pPr>
    <w:r w:rsidRPr="00443F54">
      <w:rPr>
        <w:sz w:val="16"/>
        <w:szCs w:val="16"/>
      </w:rPr>
      <w:t>© EAT 202</w:t>
    </w:r>
    <w:r w:rsidR="009872C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9CE1" w14:textId="77777777" w:rsidR="00B1428D" w:rsidRDefault="00B1428D" w:rsidP="00804446">
      <w:r>
        <w:separator/>
      </w:r>
    </w:p>
  </w:footnote>
  <w:footnote w:type="continuationSeparator" w:id="0">
    <w:p w14:paraId="2623EC60" w14:textId="77777777" w:rsidR="00B1428D" w:rsidRDefault="00B1428D" w:rsidP="0080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60F8" w14:textId="67B15A1E" w:rsidR="009A3442" w:rsidRDefault="00212729" w:rsidP="00212729">
    <w:pPr>
      <w:spacing w:before="226" w:line="178" w:lineRule="exact"/>
      <w:rPr>
        <w:rFonts w:ascii="Times New Roman" w:hAnsi="Times New Roman" w:cs="Times New Roman"/>
        <w:color w:val="010302"/>
      </w:rPr>
    </w:pPr>
    <w:r>
      <w:rPr>
        <w:rFonts w:ascii="Times New Roman" w:hAnsi="Times New Roman" w:cs="Times New Roman"/>
        <w:b/>
        <w:bCs/>
        <w:color w:val="000000"/>
        <w:sz w:val="16"/>
        <w:szCs w:val="16"/>
        <w:u w:val="single"/>
      </w:rPr>
      <w:t>Judgment approved by the court</w:t>
    </w:r>
    <w:r w:rsidRPr="00212729">
      <w:rPr>
        <w:rFonts w:ascii="Times New Roman" w:hAnsi="Times New Roman" w:cs="Times New Roman"/>
        <w:b/>
        <w:bCs/>
        <w:color w:val="000000"/>
        <w:sz w:val="16"/>
        <w:szCs w:val="16"/>
      </w:rPr>
      <w:tab/>
    </w:r>
    <w:r w:rsidRPr="00212729">
      <w:rPr>
        <w:rFonts w:ascii="Times New Roman" w:hAnsi="Times New Roman" w:cs="Times New Roman"/>
        <w:b/>
        <w:bCs/>
        <w:color w:val="000000"/>
        <w:sz w:val="16"/>
        <w:szCs w:val="16"/>
      </w:rPr>
      <w:tab/>
    </w:r>
    <w:r w:rsidRPr="00212729">
      <w:rPr>
        <w:rFonts w:ascii="Times New Roman" w:hAnsi="Times New Roman" w:cs="Times New Roman"/>
        <w:b/>
        <w:bCs/>
        <w:color w:val="000000"/>
        <w:sz w:val="16"/>
        <w:szCs w:val="16"/>
      </w:rPr>
      <w:tab/>
    </w:r>
    <w:r w:rsidRPr="00212729">
      <w:rPr>
        <w:rFonts w:ascii="Times New Roman" w:hAnsi="Times New Roman" w:cs="Times New Roman"/>
        <w:b/>
        <w:bCs/>
        <w:color w:val="000000"/>
        <w:sz w:val="16"/>
        <w:szCs w:val="16"/>
      </w:rPr>
      <w:tab/>
    </w:r>
    <w:r w:rsidRPr="00212729">
      <w:rPr>
        <w:rFonts w:ascii="Times New Roman" w:hAnsi="Times New Roman" w:cs="Times New Roman"/>
        <w:b/>
        <w:bCs/>
        <w:color w:val="000000"/>
        <w:sz w:val="16"/>
        <w:szCs w:val="16"/>
      </w:rPr>
      <w:tab/>
    </w:r>
    <w:r w:rsidR="009A3442">
      <w:rPr>
        <w:rFonts w:ascii="Times New Roman" w:hAnsi="Times New Roman" w:cs="Times New Roman"/>
        <w:color w:val="000000"/>
        <w:sz w:val="24"/>
        <w:szCs w:val="24"/>
      </w:rPr>
      <w:tab/>
    </w:r>
    <w:r w:rsidR="00814EFD">
      <w:rPr>
        <w:rFonts w:ascii="Times New Roman" w:hAnsi="Times New Roman" w:cs="Times New Roman"/>
        <w:position w:val="1"/>
        <w:sz w:val="12"/>
        <w:szCs w:val="12"/>
      </w:rPr>
      <w:t>TUITT</w:t>
    </w:r>
    <w:r w:rsidR="009A3442" w:rsidRPr="009A3442">
      <w:rPr>
        <w:rFonts w:ascii="Times New Roman" w:hAnsi="Times New Roman" w:cs="Times New Roman"/>
        <w:position w:val="1"/>
        <w:sz w:val="12"/>
        <w:szCs w:val="12"/>
      </w:rPr>
      <w:t xml:space="preserve"> v </w:t>
    </w:r>
    <w:r w:rsidR="00814EFD">
      <w:rPr>
        <w:rFonts w:ascii="Times New Roman" w:hAnsi="Times New Roman" w:cs="Times New Roman"/>
        <w:position w:val="1"/>
        <w:sz w:val="12"/>
        <w:szCs w:val="12"/>
      </w:rPr>
      <w:t>LONDON BOROUGH OF RICHMOND</w:t>
    </w:r>
  </w:p>
  <w:p w14:paraId="18ECDB66" w14:textId="49ED3DDE" w:rsidR="00804446" w:rsidRDefault="0080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A0C62"/>
    <w:multiLevelType w:val="hybridMultilevel"/>
    <w:tmpl w:val="66BCD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8104DB"/>
    <w:multiLevelType w:val="hybridMultilevel"/>
    <w:tmpl w:val="291EC176"/>
    <w:lvl w:ilvl="0" w:tplc="0EF42DDE">
      <w:start w:val="1"/>
      <w:numFmt w:val="decimal"/>
      <w:lvlText w:val="%1."/>
      <w:lvlJc w:val="left"/>
      <w:pPr>
        <w:ind w:left="72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89"/>
    <w:rsid w:val="00000388"/>
    <w:rsid w:val="0000471B"/>
    <w:rsid w:val="00004F54"/>
    <w:rsid w:val="000066DA"/>
    <w:rsid w:val="000066E1"/>
    <w:rsid w:val="00006F0B"/>
    <w:rsid w:val="00007FA2"/>
    <w:rsid w:val="00011F8A"/>
    <w:rsid w:val="0001224C"/>
    <w:rsid w:val="00012EBE"/>
    <w:rsid w:val="0001385F"/>
    <w:rsid w:val="00013B71"/>
    <w:rsid w:val="000140A9"/>
    <w:rsid w:val="00014284"/>
    <w:rsid w:val="000149DD"/>
    <w:rsid w:val="000150BE"/>
    <w:rsid w:val="00020AD8"/>
    <w:rsid w:val="000241CF"/>
    <w:rsid w:val="0002499B"/>
    <w:rsid w:val="00025066"/>
    <w:rsid w:val="00025A56"/>
    <w:rsid w:val="00030EDC"/>
    <w:rsid w:val="0003313E"/>
    <w:rsid w:val="00034A67"/>
    <w:rsid w:val="000354D3"/>
    <w:rsid w:val="00035978"/>
    <w:rsid w:val="0003625A"/>
    <w:rsid w:val="00036C7C"/>
    <w:rsid w:val="00036DEA"/>
    <w:rsid w:val="00036DFD"/>
    <w:rsid w:val="00042362"/>
    <w:rsid w:val="00043E10"/>
    <w:rsid w:val="000440D0"/>
    <w:rsid w:val="00045287"/>
    <w:rsid w:val="0005195C"/>
    <w:rsid w:val="000523E6"/>
    <w:rsid w:val="00053521"/>
    <w:rsid w:val="00057A9B"/>
    <w:rsid w:val="000614EE"/>
    <w:rsid w:val="0006214F"/>
    <w:rsid w:val="00062AF2"/>
    <w:rsid w:val="000631C1"/>
    <w:rsid w:val="000636E2"/>
    <w:rsid w:val="00064840"/>
    <w:rsid w:val="0006550D"/>
    <w:rsid w:val="00066A59"/>
    <w:rsid w:val="00070738"/>
    <w:rsid w:val="00072C0F"/>
    <w:rsid w:val="0007540F"/>
    <w:rsid w:val="00076D1B"/>
    <w:rsid w:val="000815D4"/>
    <w:rsid w:val="00083D6F"/>
    <w:rsid w:val="00086FBB"/>
    <w:rsid w:val="00087B65"/>
    <w:rsid w:val="00093415"/>
    <w:rsid w:val="00093C71"/>
    <w:rsid w:val="0009531F"/>
    <w:rsid w:val="00096C46"/>
    <w:rsid w:val="000A2B22"/>
    <w:rsid w:val="000A3CFE"/>
    <w:rsid w:val="000A4663"/>
    <w:rsid w:val="000A6354"/>
    <w:rsid w:val="000A6E67"/>
    <w:rsid w:val="000B1698"/>
    <w:rsid w:val="000B2B10"/>
    <w:rsid w:val="000B6AD0"/>
    <w:rsid w:val="000B732B"/>
    <w:rsid w:val="000C0B85"/>
    <w:rsid w:val="000C3CDF"/>
    <w:rsid w:val="000C4E35"/>
    <w:rsid w:val="000C74A2"/>
    <w:rsid w:val="000D0A78"/>
    <w:rsid w:val="000D4CC3"/>
    <w:rsid w:val="000D6E87"/>
    <w:rsid w:val="000D74C6"/>
    <w:rsid w:val="000E1A06"/>
    <w:rsid w:val="000E1A60"/>
    <w:rsid w:val="000E2FB1"/>
    <w:rsid w:val="000F02A8"/>
    <w:rsid w:val="000F1489"/>
    <w:rsid w:val="000F16F5"/>
    <w:rsid w:val="000F27CD"/>
    <w:rsid w:val="000F3D34"/>
    <w:rsid w:val="000F41F7"/>
    <w:rsid w:val="000F52A7"/>
    <w:rsid w:val="000F544C"/>
    <w:rsid w:val="000F67FA"/>
    <w:rsid w:val="000F76AB"/>
    <w:rsid w:val="001004DC"/>
    <w:rsid w:val="00102971"/>
    <w:rsid w:val="00105111"/>
    <w:rsid w:val="00105653"/>
    <w:rsid w:val="00105CB7"/>
    <w:rsid w:val="001114B5"/>
    <w:rsid w:val="00113707"/>
    <w:rsid w:val="00120EC9"/>
    <w:rsid w:val="00122C3A"/>
    <w:rsid w:val="00122E70"/>
    <w:rsid w:val="00122E9F"/>
    <w:rsid w:val="001239EF"/>
    <w:rsid w:val="00124AD8"/>
    <w:rsid w:val="001257B9"/>
    <w:rsid w:val="00125FEE"/>
    <w:rsid w:val="00126D5D"/>
    <w:rsid w:val="00127A7A"/>
    <w:rsid w:val="0013002E"/>
    <w:rsid w:val="001327B0"/>
    <w:rsid w:val="00133138"/>
    <w:rsid w:val="00136D89"/>
    <w:rsid w:val="00140A40"/>
    <w:rsid w:val="00141B84"/>
    <w:rsid w:val="00141DA6"/>
    <w:rsid w:val="001432C5"/>
    <w:rsid w:val="00144764"/>
    <w:rsid w:val="00147738"/>
    <w:rsid w:val="001478FA"/>
    <w:rsid w:val="00147A16"/>
    <w:rsid w:val="001508F9"/>
    <w:rsid w:val="00150E9A"/>
    <w:rsid w:val="0015529D"/>
    <w:rsid w:val="00156AD3"/>
    <w:rsid w:val="00156DA6"/>
    <w:rsid w:val="00157178"/>
    <w:rsid w:val="00157E7E"/>
    <w:rsid w:val="001604CD"/>
    <w:rsid w:val="00161408"/>
    <w:rsid w:val="001617FB"/>
    <w:rsid w:val="00163BBD"/>
    <w:rsid w:val="00164823"/>
    <w:rsid w:val="00167F22"/>
    <w:rsid w:val="001720FF"/>
    <w:rsid w:val="00175267"/>
    <w:rsid w:val="00176ADE"/>
    <w:rsid w:val="001808AD"/>
    <w:rsid w:val="00182972"/>
    <w:rsid w:val="00182E49"/>
    <w:rsid w:val="00184E29"/>
    <w:rsid w:val="0018585F"/>
    <w:rsid w:val="00185BEE"/>
    <w:rsid w:val="00190011"/>
    <w:rsid w:val="001900D4"/>
    <w:rsid w:val="001900FF"/>
    <w:rsid w:val="00190EE6"/>
    <w:rsid w:val="0019116F"/>
    <w:rsid w:val="001924D9"/>
    <w:rsid w:val="00192D33"/>
    <w:rsid w:val="001951E9"/>
    <w:rsid w:val="00196AE3"/>
    <w:rsid w:val="00197553"/>
    <w:rsid w:val="00197E85"/>
    <w:rsid w:val="001A27F5"/>
    <w:rsid w:val="001A4B90"/>
    <w:rsid w:val="001A592F"/>
    <w:rsid w:val="001A7489"/>
    <w:rsid w:val="001A766F"/>
    <w:rsid w:val="001B0C48"/>
    <w:rsid w:val="001B1B34"/>
    <w:rsid w:val="001B2E9E"/>
    <w:rsid w:val="001B4841"/>
    <w:rsid w:val="001B567A"/>
    <w:rsid w:val="001B595F"/>
    <w:rsid w:val="001B5BFC"/>
    <w:rsid w:val="001B6579"/>
    <w:rsid w:val="001B726A"/>
    <w:rsid w:val="001C1232"/>
    <w:rsid w:val="001C2980"/>
    <w:rsid w:val="001C48A8"/>
    <w:rsid w:val="001C4B09"/>
    <w:rsid w:val="001C4B4C"/>
    <w:rsid w:val="001C53D4"/>
    <w:rsid w:val="001C5CD9"/>
    <w:rsid w:val="001D0084"/>
    <w:rsid w:val="001D054E"/>
    <w:rsid w:val="001D0CE2"/>
    <w:rsid w:val="001D32E3"/>
    <w:rsid w:val="001D391B"/>
    <w:rsid w:val="001D79D6"/>
    <w:rsid w:val="001D7F6F"/>
    <w:rsid w:val="001E3588"/>
    <w:rsid w:val="001E74F3"/>
    <w:rsid w:val="001E77EC"/>
    <w:rsid w:val="001F00E7"/>
    <w:rsid w:val="001F41B1"/>
    <w:rsid w:val="001F4606"/>
    <w:rsid w:val="001F48DF"/>
    <w:rsid w:val="001F5553"/>
    <w:rsid w:val="00203B8E"/>
    <w:rsid w:val="00204DC9"/>
    <w:rsid w:val="0020681F"/>
    <w:rsid w:val="002074E7"/>
    <w:rsid w:val="0020771E"/>
    <w:rsid w:val="00207A7C"/>
    <w:rsid w:val="00212692"/>
    <w:rsid w:val="00212729"/>
    <w:rsid w:val="00212954"/>
    <w:rsid w:val="00213ABE"/>
    <w:rsid w:val="00214234"/>
    <w:rsid w:val="00221336"/>
    <w:rsid w:val="00222FFF"/>
    <w:rsid w:val="002239AD"/>
    <w:rsid w:val="00224F19"/>
    <w:rsid w:val="002250A8"/>
    <w:rsid w:val="00226282"/>
    <w:rsid w:val="00227530"/>
    <w:rsid w:val="002312C9"/>
    <w:rsid w:val="00232BEA"/>
    <w:rsid w:val="00234C27"/>
    <w:rsid w:val="0023723C"/>
    <w:rsid w:val="002429E2"/>
    <w:rsid w:val="00243CA4"/>
    <w:rsid w:val="00244241"/>
    <w:rsid w:val="002472F4"/>
    <w:rsid w:val="002474B5"/>
    <w:rsid w:val="00247717"/>
    <w:rsid w:val="00247789"/>
    <w:rsid w:val="002506E6"/>
    <w:rsid w:val="00250941"/>
    <w:rsid w:val="00254C3A"/>
    <w:rsid w:val="0026112D"/>
    <w:rsid w:val="00265075"/>
    <w:rsid w:val="00265F66"/>
    <w:rsid w:val="00267420"/>
    <w:rsid w:val="00267EE5"/>
    <w:rsid w:val="00270EDC"/>
    <w:rsid w:val="0027126D"/>
    <w:rsid w:val="00271415"/>
    <w:rsid w:val="00272210"/>
    <w:rsid w:val="00273035"/>
    <w:rsid w:val="002736D9"/>
    <w:rsid w:val="002737C9"/>
    <w:rsid w:val="0027430F"/>
    <w:rsid w:val="002757E4"/>
    <w:rsid w:val="00276A81"/>
    <w:rsid w:val="00284116"/>
    <w:rsid w:val="0028445D"/>
    <w:rsid w:val="00284E67"/>
    <w:rsid w:val="00285515"/>
    <w:rsid w:val="00293155"/>
    <w:rsid w:val="00296150"/>
    <w:rsid w:val="002967EE"/>
    <w:rsid w:val="002977E7"/>
    <w:rsid w:val="002A00D0"/>
    <w:rsid w:val="002A24DE"/>
    <w:rsid w:val="002A2A42"/>
    <w:rsid w:val="002A353C"/>
    <w:rsid w:val="002A4D0C"/>
    <w:rsid w:val="002A5E4C"/>
    <w:rsid w:val="002A7DCF"/>
    <w:rsid w:val="002B06F4"/>
    <w:rsid w:val="002B07AD"/>
    <w:rsid w:val="002B43BA"/>
    <w:rsid w:val="002B5FC2"/>
    <w:rsid w:val="002B6A58"/>
    <w:rsid w:val="002B71A7"/>
    <w:rsid w:val="002B7390"/>
    <w:rsid w:val="002C1A2C"/>
    <w:rsid w:val="002C1FEB"/>
    <w:rsid w:val="002C43B1"/>
    <w:rsid w:val="002C5FC1"/>
    <w:rsid w:val="002C6B7B"/>
    <w:rsid w:val="002C76E5"/>
    <w:rsid w:val="002C7B20"/>
    <w:rsid w:val="002D13BF"/>
    <w:rsid w:val="002D1F33"/>
    <w:rsid w:val="002D53D8"/>
    <w:rsid w:val="002D66F1"/>
    <w:rsid w:val="002E3D00"/>
    <w:rsid w:val="002E4BC4"/>
    <w:rsid w:val="002E579E"/>
    <w:rsid w:val="002F4E6F"/>
    <w:rsid w:val="002F6117"/>
    <w:rsid w:val="00303392"/>
    <w:rsid w:val="003038C7"/>
    <w:rsid w:val="00305852"/>
    <w:rsid w:val="0030596E"/>
    <w:rsid w:val="003065C8"/>
    <w:rsid w:val="003106EB"/>
    <w:rsid w:val="00312F12"/>
    <w:rsid w:val="003130AD"/>
    <w:rsid w:val="003159E1"/>
    <w:rsid w:val="00317436"/>
    <w:rsid w:val="00317C28"/>
    <w:rsid w:val="00321548"/>
    <w:rsid w:val="00327342"/>
    <w:rsid w:val="00327B98"/>
    <w:rsid w:val="003341FB"/>
    <w:rsid w:val="003368BE"/>
    <w:rsid w:val="00336AAE"/>
    <w:rsid w:val="00337DC5"/>
    <w:rsid w:val="003404E6"/>
    <w:rsid w:val="00340776"/>
    <w:rsid w:val="00341AC0"/>
    <w:rsid w:val="00341B04"/>
    <w:rsid w:val="00343900"/>
    <w:rsid w:val="00343E00"/>
    <w:rsid w:val="00343E62"/>
    <w:rsid w:val="00345575"/>
    <w:rsid w:val="00345A90"/>
    <w:rsid w:val="00347957"/>
    <w:rsid w:val="00347BFD"/>
    <w:rsid w:val="0035294E"/>
    <w:rsid w:val="00353CE2"/>
    <w:rsid w:val="00353E23"/>
    <w:rsid w:val="0035569B"/>
    <w:rsid w:val="00356C64"/>
    <w:rsid w:val="0035718A"/>
    <w:rsid w:val="0035793A"/>
    <w:rsid w:val="00362DF3"/>
    <w:rsid w:val="00362E5C"/>
    <w:rsid w:val="00362F55"/>
    <w:rsid w:val="0036410E"/>
    <w:rsid w:val="003710A2"/>
    <w:rsid w:val="00372551"/>
    <w:rsid w:val="00373B61"/>
    <w:rsid w:val="003746F4"/>
    <w:rsid w:val="0037479A"/>
    <w:rsid w:val="00374AAE"/>
    <w:rsid w:val="00380C6D"/>
    <w:rsid w:val="003812C5"/>
    <w:rsid w:val="00381EE9"/>
    <w:rsid w:val="00382018"/>
    <w:rsid w:val="00382B55"/>
    <w:rsid w:val="00383666"/>
    <w:rsid w:val="00383747"/>
    <w:rsid w:val="00383BF2"/>
    <w:rsid w:val="00384B6B"/>
    <w:rsid w:val="00384DE9"/>
    <w:rsid w:val="00384FE3"/>
    <w:rsid w:val="003860CC"/>
    <w:rsid w:val="00390B5E"/>
    <w:rsid w:val="00393E9E"/>
    <w:rsid w:val="00396B3A"/>
    <w:rsid w:val="003A08D5"/>
    <w:rsid w:val="003A10A4"/>
    <w:rsid w:val="003A14C4"/>
    <w:rsid w:val="003A27B2"/>
    <w:rsid w:val="003A300F"/>
    <w:rsid w:val="003A3F7D"/>
    <w:rsid w:val="003B17AF"/>
    <w:rsid w:val="003B1C2B"/>
    <w:rsid w:val="003B2F5F"/>
    <w:rsid w:val="003B50EB"/>
    <w:rsid w:val="003B5ACB"/>
    <w:rsid w:val="003B6705"/>
    <w:rsid w:val="003B6990"/>
    <w:rsid w:val="003B7CF4"/>
    <w:rsid w:val="003C1AA4"/>
    <w:rsid w:val="003C22A9"/>
    <w:rsid w:val="003C3455"/>
    <w:rsid w:val="003C4544"/>
    <w:rsid w:val="003C4ACF"/>
    <w:rsid w:val="003C4D5A"/>
    <w:rsid w:val="003C5739"/>
    <w:rsid w:val="003C71F6"/>
    <w:rsid w:val="003C7997"/>
    <w:rsid w:val="003D1B21"/>
    <w:rsid w:val="003D3BE3"/>
    <w:rsid w:val="003D49B4"/>
    <w:rsid w:val="003E054D"/>
    <w:rsid w:val="003E3036"/>
    <w:rsid w:val="003E6700"/>
    <w:rsid w:val="003F4CEF"/>
    <w:rsid w:val="00400EEE"/>
    <w:rsid w:val="00400EF8"/>
    <w:rsid w:val="00402EF6"/>
    <w:rsid w:val="00403116"/>
    <w:rsid w:val="004039DD"/>
    <w:rsid w:val="00410AF9"/>
    <w:rsid w:val="00412B1A"/>
    <w:rsid w:val="00413F7C"/>
    <w:rsid w:val="00414210"/>
    <w:rsid w:val="00414316"/>
    <w:rsid w:val="004169C9"/>
    <w:rsid w:val="00417508"/>
    <w:rsid w:val="004206BD"/>
    <w:rsid w:val="004228A7"/>
    <w:rsid w:val="00423444"/>
    <w:rsid w:val="0042413E"/>
    <w:rsid w:val="00426148"/>
    <w:rsid w:val="004267E6"/>
    <w:rsid w:val="0043115A"/>
    <w:rsid w:val="00432595"/>
    <w:rsid w:val="00434DC3"/>
    <w:rsid w:val="00435D6A"/>
    <w:rsid w:val="00436B8A"/>
    <w:rsid w:val="0044089D"/>
    <w:rsid w:val="00440F42"/>
    <w:rsid w:val="004414F2"/>
    <w:rsid w:val="00441A03"/>
    <w:rsid w:val="00443F54"/>
    <w:rsid w:val="0044406B"/>
    <w:rsid w:val="00444AA9"/>
    <w:rsid w:val="00444FAC"/>
    <w:rsid w:val="004466EE"/>
    <w:rsid w:val="0044726D"/>
    <w:rsid w:val="004527CA"/>
    <w:rsid w:val="004546C6"/>
    <w:rsid w:val="0045542E"/>
    <w:rsid w:val="0045562B"/>
    <w:rsid w:val="00457F8B"/>
    <w:rsid w:val="00457FD8"/>
    <w:rsid w:val="00460B2C"/>
    <w:rsid w:val="004619B2"/>
    <w:rsid w:val="0046328A"/>
    <w:rsid w:val="0046369A"/>
    <w:rsid w:val="00463FFE"/>
    <w:rsid w:val="00464915"/>
    <w:rsid w:val="00464A21"/>
    <w:rsid w:val="00464B54"/>
    <w:rsid w:val="00464B84"/>
    <w:rsid w:val="0047050B"/>
    <w:rsid w:val="004709FD"/>
    <w:rsid w:val="0047105A"/>
    <w:rsid w:val="00472D79"/>
    <w:rsid w:val="004739F0"/>
    <w:rsid w:val="00473BC9"/>
    <w:rsid w:val="00473D10"/>
    <w:rsid w:val="0047418F"/>
    <w:rsid w:val="0047547E"/>
    <w:rsid w:val="0047588A"/>
    <w:rsid w:val="00475E9C"/>
    <w:rsid w:val="004763E8"/>
    <w:rsid w:val="00476CEC"/>
    <w:rsid w:val="00477089"/>
    <w:rsid w:val="00482C4B"/>
    <w:rsid w:val="00485636"/>
    <w:rsid w:val="004857AF"/>
    <w:rsid w:val="00486997"/>
    <w:rsid w:val="004913B4"/>
    <w:rsid w:val="0049164E"/>
    <w:rsid w:val="00492ABA"/>
    <w:rsid w:val="00494C9A"/>
    <w:rsid w:val="00495246"/>
    <w:rsid w:val="00495E6E"/>
    <w:rsid w:val="00496BCC"/>
    <w:rsid w:val="0049723E"/>
    <w:rsid w:val="00497DA5"/>
    <w:rsid w:val="004A2864"/>
    <w:rsid w:val="004A3188"/>
    <w:rsid w:val="004A4833"/>
    <w:rsid w:val="004A4ADC"/>
    <w:rsid w:val="004A53D7"/>
    <w:rsid w:val="004A54DE"/>
    <w:rsid w:val="004A5DD3"/>
    <w:rsid w:val="004A62A5"/>
    <w:rsid w:val="004A7ACE"/>
    <w:rsid w:val="004A7D59"/>
    <w:rsid w:val="004B1BF2"/>
    <w:rsid w:val="004B2CD5"/>
    <w:rsid w:val="004B2DB9"/>
    <w:rsid w:val="004B3380"/>
    <w:rsid w:val="004B34DA"/>
    <w:rsid w:val="004B446E"/>
    <w:rsid w:val="004B663F"/>
    <w:rsid w:val="004B6EC5"/>
    <w:rsid w:val="004C133F"/>
    <w:rsid w:val="004C221B"/>
    <w:rsid w:val="004C2D5D"/>
    <w:rsid w:val="004C41B9"/>
    <w:rsid w:val="004C4596"/>
    <w:rsid w:val="004C4D97"/>
    <w:rsid w:val="004D331C"/>
    <w:rsid w:val="004D354A"/>
    <w:rsid w:val="004D5707"/>
    <w:rsid w:val="004D7FBC"/>
    <w:rsid w:val="004E014C"/>
    <w:rsid w:val="004E1594"/>
    <w:rsid w:val="004E16C8"/>
    <w:rsid w:val="004E2F6E"/>
    <w:rsid w:val="004E3A64"/>
    <w:rsid w:val="004E45CB"/>
    <w:rsid w:val="004E74AB"/>
    <w:rsid w:val="004F016A"/>
    <w:rsid w:val="004F328E"/>
    <w:rsid w:val="004F57BF"/>
    <w:rsid w:val="004F5E9F"/>
    <w:rsid w:val="004F6520"/>
    <w:rsid w:val="00500E41"/>
    <w:rsid w:val="005013EF"/>
    <w:rsid w:val="00501614"/>
    <w:rsid w:val="005039CE"/>
    <w:rsid w:val="00503C9E"/>
    <w:rsid w:val="005041A2"/>
    <w:rsid w:val="005052F9"/>
    <w:rsid w:val="005056F7"/>
    <w:rsid w:val="00505F58"/>
    <w:rsid w:val="00506C8B"/>
    <w:rsid w:val="0051095F"/>
    <w:rsid w:val="005120D6"/>
    <w:rsid w:val="00512A0F"/>
    <w:rsid w:val="00514CA0"/>
    <w:rsid w:val="0051766E"/>
    <w:rsid w:val="00517F7D"/>
    <w:rsid w:val="00520CEF"/>
    <w:rsid w:val="00520F07"/>
    <w:rsid w:val="00523714"/>
    <w:rsid w:val="00524739"/>
    <w:rsid w:val="00526CD7"/>
    <w:rsid w:val="00534CAB"/>
    <w:rsid w:val="00535EFE"/>
    <w:rsid w:val="005379F8"/>
    <w:rsid w:val="00541319"/>
    <w:rsid w:val="00542472"/>
    <w:rsid w:val="00545836"/>
    <w:rsid w:val="005458E9"/>
    <w:rsid w:val="00545F4B"/>
    <w:rsid w:val="005462EB"/>
    <w:rsid w:val="005475ED"/>
    <w:rsid w:val="0055000F"/>
    <w:rsid w:val="005504F3"/>
    <w:rsid w:val="00551541"/>
    <w:rsid w:val="005528D1"/>
    <w:rsid w:val="005542E1"/>
    <w:rsid w:val="005556EC"/>
    <w:rsid w:val="00556F54"/>
    <w:rsid w:val="005619F5"/>
    <w:rsid w:val="00561EC0"/>
    <w:rsid w:val="00562798"/>
    <w:rsid w:val="005628A6"/>
    <w:rsid w:val="005650FD"/>
    <w:rsid w:val="00565717"/>
    <w:rsid w:val="00565F49"/>
    <w:rsid w:val="005668C3"/>
    <w:rsid w:val="005713F4"/>
    <w:rsid w:val="005732AB"/>
    <w:rsid w:val="005749F1"/>
    <w:rsid w:val="00575CCC"/>
    <w:rsid w:val="0057643C"/>
    <w:rsid w:val="005805F4"/>
    <w:rsid w:val="0058183A"/>
    <w:rsid w:val="0058223F"/>
    <w:rsid w:val="00582634"/>
    <w:rsid w:val="00582DDC"/>
    <w:rsid w:val="00583AF9"/>
    <w:rsid w:val="0058716F"/>
    <w:rsid w:val="00587A30"/>
    <w:rsid w:val="00595F57"/>
    <w:rsid w:val="00597E55"/>
    <w:rsid w:val="005A1651"/>
    <w:rsid w:val="005A3F39"/>
    <w:rsid w:val="005B13CB"/>
    <w:rsid w:val="005B2141"/>
    <w:rsid w:val="005B22AB"/>
    <w:rsid w:val="005B2E92"/>
    <w:rsid w:val="005B325A"/>
    <w:rsid w:val="005B4240"/>
    <w:rsid w:val="005B449D"/>
    <w:rsid w:val="005B5AB3"/>
    <w:rsid w:val="005B5C98"/>
    <w:rsid w:val="005B7135"/>
    <w:rsid w:val="005B7A83"/>
    <w:rsid w:val="005C150C"/>
    <w:rsid w:val="005C200C"/>
    <w:rsid w:val="005C2CFF"/>
    <w:rsid w:val="005C2D48"/>
    <w:rsid w:val="005C3E22"/>
    <w:rsid w:val="005C4A78"/>
    <w:rsid w:val="005C5CCE"/>
    <w:rsid w:val="005C6D27"/>
    <w:rsid w:val="005D3C57"/>
    <w:rsid w:val="005D413D"/>
    <w:rsid w:val="005D423B"/>
    <w:rsid w:val="005D47AE"/>
    <w:rsid w:val="005D65A7"/>
    <w:rsid w:val="005D6D0C"/>
    <w:rsid w:val="005D7AB5"/>
    <w:rsid w:val="005D7B4D"/>
    <w:rsid w:val="005E0AE1"/>
    <w:rsid w:val="005E2EF6"/>
    <w:rsid w:val="005E5BC7"/>
    <w:rsid w:val="005F026E"/>
    <w:rsid w:val="005F04EC"/>
    <w:rsid w:val="005F05E5"/>
    <w:rsid w:val="005F07DF"/>
    <w:rsid w:val="005F2736"/>
    <w:rsid w:val="005F2E80"/>
    <w:rsid w:val="005F305A"/>
    <w:rsid w:val="005F3AD9"/>
    <w:rsid w:val="005F43E2"/>
    <w:rsid w:val="005F4F2B"/>
    <w:rsid w:val="005F6E38"/>
    <w:rsid w:val="005F708A"/>
    <w:rsid w:val="005F7566"/>
    <w:rsid w:val="00600CED"/>
    <w:rsid w:val="00600F27"/>
    <w:rsid w:val="006014AF"/>
    <w:rsid w:val="006019F7"/>
    <w:rsid w:val="0060299D"/>
    <w:rsid w:val="0060343D"/>
    <w:rsid w:val="00607EB2"/>
    <w:rsid w:val="00611F47"/>
    <w:rsid w:val="0061358B"/>
    <w:rsid w:val="0061684D"/>
    <w:rsid w:val="00616B3D"/>
    <w:rsid w:val="00616BA5"/>
    <w:rsid w:val="00616E73"/>
    <w:rsid w:val="00617B60"/>
    <w:rsid w:val="00631280"/>
    <w:rsid w:val="00633406"/>
    <w:rsid w:val="00640B74"/>
    <w:rsid w:val="00644751"/>
    <w:rsid w:val="006459E7"/>
    <w:rsid w:val="0064635C"/>
    <w:rsid w:val="00652A80"/>
    <w:rsid w:val="00652DA7"/>
    <w:rsid w:val="00654B97"/>
    <w:rsid w:val="0065616F"/>
    <w:rsid w:val="00656D6D"/>
    <w:rsid w:val="006604B5"/>
    <w:rsid w:val="00661E83"/>
    <w:rsid w:val="00662DB6"/>
    <w:rsid w:val="00663EE6"/>
    <w:rsid w:val="00664A55"/>
    <w:rsid w:val="0066626A"/>
    <w:rsid w:val="00666BD5"/>
    <w:rsid w:val="00671834"/>
    <w:rsid w:val="00671A81"/>
    <w:rsid w:val="00672856"/>
    <w:rsid w:val="006729CA"/>
    <w:rsid w:val="00674CA4"/>
    <w:rsid w:val="00677F08"/>
    <w:rsid w:val="006819C7"/>
    <w:rsid w:val="00681B87"/>
    <w:rsid w:val="00681FC7"/>
    <w:rsid w:val="006836FC"/>
    <w:rsid w:val="00690446"/>
    <w:rsid w:val="006908FD"/>
    <w:rsid w:val="00692D25"/>
    <w:rsid w:val="00693347"/>
    <w:rsid w:val="00693696"/>
    <w:rsid w:val="00693F21"/>
    <w:rsid w:val="00697053"/>
    <w:rsid w:val="006975AE"/>
    <w:rsid w:val="006976AE"/>
    <w:rsid w:val="006A06E1"/>
    <w:rsid w:val="006A21DD"/>
    <w:rsid w:val="006A250E"/>
    <w:rsid w:val="006A2691"/>
    <w:rsid w:val="006A39BE"/>
    <w:rsid w:val="006A4422"/>
    <w:rsid w:val="006A5FBD"/>
    <w:rsid w:val="006A607B"/>
    <w:rsid w:val="006B029B"/>
    <w:rsid w:val="006B1333"/>
    <w:rsid w:val="006B2B49"/>
    <w:rsid w:val="006B32CC"/>
    <w:rsid w:val="006B4E63"/>
    <w:rsid w:val="006B568C"/>
    <w:rsid w:val="006B61A3"/>
    <w:rsid w:val="006B7865"/>
    <w:rsid w:val="006B79B0"/>
    <w:rsid w:val="006C13F6"/>
    <w:rsid w:val="006C34EE"/>
    <w:rsid w:val="006C3B7F"/>
    <w:rsid w:val="006C589C"/>
    <w:rsid w:val="006C5C30"/>
    <w:rsid w:val="006C68A6"/>
    <w:rsid w:val="006C7582"/>
    <w:rsid w:val="006D0027"/>
    <w:rsid w:val="006D30A4"/>
    <w:rsid w:val="006D36DB"/>
    <w:rsid w:val="006D37FE"/>
    <w:rsid w:val="006D4306"/>
    <w:rsid w:val="006D767F"/>
    <w:rsid w:val="006D7D2C"/>
    <w:rsid w:val="006E09B5"/>
    <w:rsid w:val="006E25D5"/>
    <w:rsid w:val="006F0DD3"/>
    <w:rsid w:val="006F1957"/>
    <w:rsid w:val="006F4B07"/>
    <w:rsid w:val="006F54FA"/>
    <w:rsid w:val="006F5725"/>
    <w:rsid w:val="006F779D"/>
    <w:rsid w:val="00701027"/>
    <w:rsid w:val="007059FF"/>
    <w:rsid w:val="007063E7"/>
    <w:rsid w:val="007069D9"/>
    <w:rsid w:val="007109B4"/>
    <w:rsid w:val="00710F3F"/>
    <w:rsid w:val="00711A6B"/>
    <w:rsid w:val="00712268"/>
    <w:rsid w:val="007133B6"/>
    <w:rsid w:val="007137D2"/>
    <w:rsid w:val="00714271"/>
    <w:rsid w:val="007157D9"/>
    <w:rsid w:val="00716B85"/>
    <w:rsid w:val="00717B8E"/>
    <w:rsid w:val="00720471"/>
    <w:rsid w:val="00720A4A"/>
    <w:rsid w:val="007225D5"/>
    <w:rsid w:val="00722F8E"/>
    <w:rsid w:val="00724028"/>
    <w:rsid w:val="00724629"/>
    <w:rsid w:val="00725193"/>
    <w:rsid w:val="0072644E"/>
    <w:rsid w:val="007270C6"/>
    <w:rsid w:val="007279EC"/>
    <w:rsid w:val="00727DE6"/>
    <w:rsid w:val="00732B6A"/>
    <w:rsid w:val="0073373E"/>
    <w:rsid w:val="00733999"/>
    <w:rsid w:val="00735F80"/>
    <w:rsid w:val="00737C72"/>
    <w:rsid w:val="007406A0"/>
    <w:rsid w:val="00741664"/>
    <w:rsid w:val="0074273E"/>
    <w:rsid w:val="0074330F"/>
    <w:rsid w:val="0074369A"/>
    <w:rsid w:val="00743886"/>
    <w:rsid w:val="007439AA"/>
    <w:rsid w:val="00744F89"/>
    <w:rsid w:val="0075012E"/>
    <w:rsid w:val="0075142A"/>
    <w:rsid w:val="00753861"/>
    <w:rsid w:val="00753CC0"/>
    <w:rsid w:val="007556DC"/>
    <w:rsid w:val="00755AC8"/>
    <w:rsid w:val="007572E2"/>
    <w:rsid w:val="00757AB2"/>
    <w:rsid w:val="00766B6C"/>
    <w:rsid w:val="00767A48"/>
    <w:rsid w:val="007708DF"/>
    <w:rsid w:val="0077315B"/>
    <w:rsid w:val="00774B4D"/>
    <w:rsid w:val="0077504B"/>
    <w:rsid w:val="0077720E"/>
    <w:rsid w:val="0077777D"/>
    <w:rsid w:val="00786BB9"/>
    <w:rsid w:val="00786FD2"/>
    <w:rsid w:val="00787083"/>
    <w:rsid w:val="00790083"/>
    <w:rsid w:val="0079167D"/>
    <w:rsid w:val="0079240C"/>
    <w:rsid w:val="00792592"/>
    <w:rsid w:val="0079500D"/>
    <w:rsid w:val="00796C33"/>
    <w:rsid w:val="007979FD"/>
    <w:rsid w:val="007A1102"/>
    <w:rsid w:val="007A1A9D"/>
    <w:rsid w:val="007A2640"/>
    <w:rsid w:val="007A3C8A"/>
    <w:rsid w:val="007A6040"/>
    <w:rsid w:val="007A7A81"/>
    <w:rsid w:val="007B155F"/>
    <w:rsid w:val="007B18F5"/>
    <w:rsid w:val="007B2A08"/>
    <w:rsid w:val="007B2D0C"/>
    <w:rsid w:val="007B7694"/>
    <w:rsid w:val="007C26B8"/>
    <w:rsid w:val="007C3530"/>
    <w:rsid w:val="007C3801"/>
    <w:rsid w:val="007C39F1"/>
    <w:rsid w:val="007C3CCC"/>
    <w:rsid w:val="007C3DDB"/>
    <w:rsid w:val="007C51A4"/>
    <w:rsid w:val="007C5B60"/>
    <w:rsid w:val="007C6971"/>
    <w:rsid w:val="007D0550"/>
    <w:rsid w:val="007D08A5"/>
    <w:rsid w:val="007D4FEA"/>
    <w:rsid w:val="007E01C5"/>
    <w:rsid w:val="007E120E"/>
    <w:rsid w:val="007E1DC9"/>
    <w:rsid w:val="007E3074"/>
    <w:rsid w:val="007E4BFD"/>
    <w:rsid w:val="007E6304"/>
    <w:rsid w:val="007E68BF"/>
    <w:rsid w:val="007E6F4C"/>
    <w:rsid w:val="007E7219"/>
    <w:rsid w:val="007E7461"/>
    <w:rsid w:val="007F41F1"/>
    <w:rsid w:val="007F5BA5"/>
    <w:rsid w:val="007F5D35"/>
    <w:rsid w:val="0080121C"/>
    <w:rsid w:val="00803707"/>
    <w:rsid w:val="00804446"/>
    <w:rsid w:val="00804904"/>
    <w:rsid w:val="00805324"/>
    <w:rsid w:val="0080608F"/>
    <w:rsid w:val="008067ED"/>
    <w:rsid w:val="0080704A"/>
    <w:rsid w:val="00810BF9"/>
    <w:rsid w:val="0081259B"/>
    <w:rsid w:val="00814190"/>
    <w:rsid w:val="00814EFD"/>
    <w:rsid w:val="0081523F"/>
    <w:rsid w:val="00815257"/>
    <w:rsid w:val="0081605F"/>
    <w:rsid w:val="0081654F"/>
    <w:rsid w:val="00820001"/>
    <w:rsid w:val="0082184F"/>
    <w:rsid w:val="008268A3"/>
    <w:rsid w:val="00827C33"/>
    <w:rsid w:val="00831BEF"/>
    <w:rsid w:val="008351F5"/>
    <w:rsid w:val="00835BA8"/>
    <w:rsid w:val="00836ACB"/>
    <w:rsid w:val="00837196"/>
    <w:rsid w:val="00837283"/>
    <w:rsid w:val="00840040"/>
    <w:rsid w:val="0084124E"/>
    <w:rsid w:val="00841832"/>
    <w:rsid w:val="00841B79"/>
    <w:rsid w:val="008426C0"/>
    <w:rsid w:val="00842F2C"/>
    <w:rsid w:val="00844829"/>
    <w:rsid w:val="00844901"/>
    <w:rsid w:val="00844A99"/>
    <w:rsid w:val="00846B74"/>
    <w:rsid w:val="008505C8"/>
    <w:rsid w:val="008520C7"/>
    <w:rsid w:val="00852A4C"/>
    <w:rsid w:val="00852D9A"/>
    <w:rsid w:val="00853205"/>
    <w:rsid w:val="008543F2"/>
    <w:rsid w:val="00854DB5"/>
    <w:rsid w:val="00857913"/>
    <w:rsid w:val="00857EED"/>
    <w:rsid w:val="00860CD8"/>
    <w:rsid w:val="00861ACD"/>
    <w:rsid w:val="00862410"/>
    <w:rsid w:val="00863A38"/>
    <w:rsid w:val="00866CFF"/>
    <w:rsid w:val="00867E13"/>
    <w:rsid w:val="0087007D"/>
    <w:rsid w:val="008725A0"/>
    <w:rsid w:val="00872A5A"/>
    <w:rsid w:val="00872CA4"/>
    <w:rsid w:val="00873FD1"/>
    <w:rsid w:val="008752D4"/>
    <w:rsid w:val="008763C0"/>
    <w:rsid w:val="00884410"/>
    <w:rsid w:val="008846D4"/>
    <w:rsid w:val="00885301"/>
    <w:rsid w:val="008867A4"/>
    <w:rsid w:val="00887DC3"/>
    <w:rsid w:val="008901AF"/>
    <w:rsid w:val="00890A38"/>
    <w:rsid w:val="008927F2"/>
    <w:rsid w:val="008935A3"/>
    <w:rsid w:val="008941D5"/>
    <w:rsid w:val="008977DE"/>
    <w:rsid w:val="008A2E8B"/>
    <w:rsid w:val="008A3BD1"/>
    <w:rsid w:val="008A4235"/>
    <w:rsid w:val="008A4373"/>
    <w:rsid w:val="008A4B2D"/>
    <w:rsid w:val="008B31CD"/>
    <w:rsid w:val="008B3367"/>
    <w:rsid w:val="008B47BB"/>
    <w:rsid w:val="008B4915"/>
    <w:rsid w:val="008C473E"/>
    <w:rsid w:val="008C57FF"/>
    <w:rsid w:val="008C7EB4"/>
    <w:rsid w:val="008D0E87"/>
    <w:rsid w:val="008D2737"/>
    <w:rsid w:val="008D2B6F"/>
    <w:rsid w:val="008D4331"/>
    <w:rsid w:val="008D6CD7"/>
    <w:rsid w:val="008D7415"/>
    <w:rsid w:val="008E20E3"/>
    <w:rsid w:val="008E68B7"/>
    <w:rsid w:val="008E7593"/>
    <w:rsid w:val="008F07EB"/>
    <w:rsid w:val="008F272D"/>
    <w:rsid w:val="008F42C9"/>
    <w:rsid w:val="008F515B"/>
    <w:rsid w:val="008F57BD"/>
    <w:rsid w:val="008F5D03"/>
    <w:rsid w:val="008F64F7"/>
    <w:rsid w:val="008F6819"/>
    <w:rsid w:val="008F6B39"/>
    <w:rsid w:val="009018F8"/>
    <w:rsid w:val="00904DBD"/>
    <w:rsid w:val="00904E0B"/>
    <w:rsid w:val="0091102D"/>
    <w:rsid w:val="00911E52"/>
    <w:rsid w:val="009138F4"/>
    <w:rsid w:val="00915DF0"/>
    <w:rsid w:val="00915E63"/>
    <w:rsid w:val="00917F0C"/>
    <w:rsid w:val="00920C07"/>
    <w:rsid w:val="009211AE"/>
    <w:rsid w:val="009217A2"/>
    <w:rsid w:val="00923383"/>
    <w:rsid w:val="009240B4"/>
    <w:rsid w:val="00924D81"/>
    <w:rsid w:val="00926A52"/>
    <w:rsid w:val="00926F0B"/>
    <w:rsid w:val="009274B1"/>
    <w:rsid w:val="00927BE5"/>
    <w:rsid w:val="009322A7"/>
    <w:rsid w:val="00932DF4"/>
    <w:rsid w:val="00935D2E"/>
    <w:rsid w:val="0093632E"/>
    <w:rsid w:val="00936640"/>
    <w:rsid w:val="00937DD2"/>
    <w:rsid w:val="00940A0D"/>
    <w:rsid w:val="00940C1A"/>
    <w:rsid w:val="00941013"/>
    <w:rsid w:val="009413C5"/>
    <w:rsid w:val="00941461"/>
    <w:rsid w:val="009416B6"/>
    <w:rsid w:val="00942D3D"/>
    <w:rsid w:val="00943A23"/>
    <w:rsid w:val="00943B61"/>
    <w:rsid w:val="00944CD7"/>
    <w:rsid w:val="00952B53"/>
    <w:rsid w:val="009545B8"/>
    <w:rsid w:val="00955CDB"/>
    <w:rsid w:val="00957640"/>
    <w:rsid w:val="0096150D"/>
    <w:rsid w:val="009621ED"/>
    <w:rsid w:val="00965677"/>
    <w:rsid w:val="0096640F"/>
    <w:rsid w:val="00970E99"/>
    <w:rsid w:val="00971449"/>
    <w:rsid w:val="00972CF7"/>
    <w:rsid w:val="00975372"/>
    <w:rsid w:val="00980526"/>
    <w:rsid w:val="00982464"/>
    <w:rsid w:val="009861A1"/>
    <w:rsid w:val="009872CD"/>
    <w:rsid w:val="009878F7"/>
    <w:rsid w:val="00987929"/>
    <w:rsid w:val="00990388"/>
    <w:rsid w:val="00991302"/>
    <w:rsid w:val="00991F54"/>
    <w:rsid w:val="00993A47"/>
    <w:rsid w:val="009945C1"/>
    <w:rsid w:val="00996790"/>
    <w:rsid w:val="009A0BEF"/>
    <w:rsid w:val="009A294D"/>
    <w:rsid w:val="009A3442"/>
    <w:rsid w:val="009A497C"/>
    <w:rsid w:val="009A4D04"/>
    <w:rsid w:val="009A6E27"/>
    <w:rsid w:val="009A78B7"/>
    <w:rsid w:val="009A78EF"/>
    <w:rsid w:val="009B0E83"/>
    <w:rsid w:val="009B15E0"/>
    <w:rsid w:val="009B2195"/>
    <w:rsid w:val="009B21D4"/>
    <w:rsid w:val="009B4F0E"/>
    <w:rsid w:val="009B5873"/>
    <w:rsid w:val="009B7E3A"/>
    <w:rsid w:val="009C10A7"/>
    <w:rsid w:val="009C20EF"/>
    <w:rsid w:val="009C3877"/>
    <w:rsid w:val="009C3F8A"/>
    <w:rsid w:val="009C6FDD"/>
    <w:rsid w:val="009D031F"/>
    <w:rsid w:val="009D2351"/>
    <w:rsid w:val="009D314C"/>
    <w:rsid w:val="009D3507"/>
    <w:rsid w:val="009D513F"/>
    <w:rsid w:val="009D6209"/>
    <w:rsid w:val="009D6C53"/>
    <w:rsid w:val="009D7FA6"/>
    <w:rsid w:val="009E0CD4"/>
    <w:rsid w:val="009E171B"/>
    <w:rsid w:val="009E39B6"/>
    <w:rsid w:val="009E3A99"/>
    <w:rsid w:val="009E3F20"/>
    <w:rsid w:val="009E3FC3"/>
    <w:rsid w:val="009E4E99"/>
    <w:rsid w:val="009E53D8"/>
    <w:rsid w:val="009E5895"/>
    <w:rsid w:val="009E590E"/>
    <w:rsid w:val="009E5BDB"/>
    <w:rsid w:val="009E6246"/>
    <w:rsid w:val="009E6BAD"/>
    <w:rsid w:val="009E6C8C"/>
    <w:rsid w:val="009F35E7"/>
    <w:rsid w:val="009F393D"/>
    <w:rsid w:val="009F429C"/>
    <w:rsid w:val="009F58C5"/>
    <w:rsid w:val="00A00336"/>
    <w:rsid w:val="00A019C8"/>
    <w:rsid w:val="00A02FAF"/>
    <w:rsid w:val="00A03A5D"/>
    <w:rsid w:val="00A05A06"/>
    <w:rsid w:val="00A070FE"/>
    <w:rsid w:val="00A10138"/>
    <w:rsid w:val="00A10841"/>
    <w:rsid w:val="00A108F3"/>
    <w:rsid w:val="00A121E6"/>
    <w:rsid w:val="00A126FD"/>
    <w:rsid w:val="00A12F99"/>
    <w:rsid w:val="00A1375F"/>
    <w:rsid w:val="00A160F8"/>
    <w:rsid w:val="00A17F4A"/>
    <w:rsid w:val="00A20E04"/>
    <w:rsid w:val="00A210F6"/>
    <w:rsid w:val="00A26A20"/>
    <w:rsid w:val="00A30A08"/>
    <w:rsid w:val="00A3203B"/>
    <w:rsid w:val="00A3222E"/>
    <w:rsid w:val="00A323E5"/>
    <w:rsid w:val="00A33E55"/>
    <w:rsid w:val="00A34854"/>
    <w:rsid w:val="00A35F40"/>
    <w:rsid w:val="00A37F27"/>
    <w:rsid w:val="00A414B8"/>
    <w:rsid w:val="00A41756"/>
    <w:rsid w:val="00A41B28"/>
    <w:rsid w:val="00A43883"/>
    <w:rsid w:val="00A43DCD"/>
    <w:rsid w:val="00A44B91"/>
    <w:rsid w:val="00A46C75"/>
    <w:rsid w:val="00A4767D"/>
    <w:rsid w:val="00A5094B"/>
    <w:rsid w:val="00A5161C"/>
    <w:rsid w:val="00A51B89"/>
    <w:rsid w:val="00A53627"/>
    <w:rsid w:val="00A53A23"/>
    <w:rsid w:val="00A54FCF"/>
    <w:rsid w:val="00A5518D"/>
    <w:rsid w:val="00A56217"/>
    <w:rsid w:val="00A6138D"/>
    <w:rsid w:val="00A6301F"/>
    <w:rsid w:val="00A66DBF"/>
    <w:rsid w:val="00A67C63"/>
    <w:rsid w:val="00A70BA8"/>
    <w:rsid w:val="00A72162"/>
    <w:rsid w:val="00A7352D"/>
    <w:rsid w:val="00A75F30"/>
    <w:rsid w:val="00A822E9"/>
    <w:rsid w:val="00A83D59"/>
    <w:rsid w:val="00A83EDA"/>
    <w:rsid w:val="00A846E3"/>
    <w:rsid w:val="00A854B0"/>
    <w:rsid w:val="00A86AE1"/>
    <w:rsid w:val="00A9134A"/>
    <w:rsid w:val="00A974C2"/>
    <w:rsid w:val="00AA0795"/>
    <w:rsid w:val="00AA116F"/>
    <w:rsid w:val="00AA4874"/>
    <w:rsid w:val="00AB25F4"/>
    <w:rsid w:val="00AB6BAA"/>
    <w:rsid w:val="00AB7D49"/>
    <w:rsid w:val="00AC14D5"/>
    <w:rsid w:val="00AC167C"/>
    <w:rsid w:val="00AC1C5D"/>
    <w:rsid w:val="00AC3186"/>
    <w:rsid w:val="00AC4479"/>
    <w:rsid w:val="00AC6AC5"/>
    <w:rsid w:val="00AC729B"/>
    <w:rsid w:val="00AC7371"/>
    <w:rsid w:val="00AC7CF3"/>
    <w:rsid w:val="00AD142E"/>
    <w:rsid w:val="00AD1659"/>
    <w:rsid w:val="00AD1C1F"/>
    <w:rsid w:val="00AD4F16"/>
    <w:rsid w:val="00AD560E"/>
    <w:rsid w:val="00AD5E85"/>
    <w:rsid w:val="00AD7F58"/>
    <w:rsid w:val="00AE1151"/>
    <w:rsid w:val="00AE1B44"/>
    <w:rsid w:val="00AE2845"/>
    <w:rsid w:val="00AE35DF"/>
    <w:rsid w:val="00AE5586"/>
    <w:rsid w:val="00AE5D45"/>
    <w:rsid w:val="00AE5EB2"/>
    <w:rsid w:val="00AE79FD"/>
    <w:rsid w:val="00AF194B"/>
    <w:rsid w:val="00AF2C01"/>
    <w:rsid w:val="00AF38AE"/>
    <w:rsid w:val="00AF482B"/>
    <w:rsid w:val="00AF51B1"/>
    <w:rsid w:val="00AF6D94"/>
    <w:rsid w:val="00B020CA"/>
    <w:rsid w:val="00B03611"/>
    <w:rsid w:val="00B063C3"/>
    <w:rsid w:val="00B07F42"/>
    <w:rsid w:val="00B130BB"/>
    <w:rsid w:val="00B1428D"/>
    <w:rsid w:val="00B15288"/>
    <w:rsid w:val="00B15D79"/>
    <w:rsid w:val="00B21053"/>
    <w:rsid w:val="00B22ADB"/>
    <w:rsid w:val="00B2432B"/>
    <w:rsid w:val="00B26526"/>
    <w:rsid w:val="00B27247"/>
    <w:rsid w:val="00B30B19"/>
    <w:rsid w:val="00B30D3F"/>
    <w:rsid w:val="00B30ED4"/>
    <w:rsid w:val="00B333CF"/>
    <w:rsid w:val="00B33DCE"/>
    <w:rsid w:val="00B33EA4"/>
    <w:rsid w:val="00B411E8"/>
    <w:rsid w:val="00B416CC"/>
    <w:rsid w:val="00B42677"/>
    <w:rsid w:val="00B44723"/>
    <w:rsid w:val="00B45B64"/>
    <w:rsid w:val="00B4617A"/>
    <w:rsid w:val="00B4659F"/>
    <w:rsid w:val="00B46984"/>
    <w:rsid w:val="00B5248C"/>
    <w:rsid w:val="00B532BC"/>
    <w:rsid w:val="00B565B3"/>
    <w:rsid w:val="00B56A8B"/>
    <w:rsid w:val="00B57D41"/>
    <w:rsid w:val="00B6215A"/>
    <w:rsid w:val="00B62D2D"/>
    <w:rsid w:val="00B64F90"/>
    <w:rsid w:val="00B7119F"/>
    <w:rsid w:val="00B711EF"/>
    <w:rsid w:val="00B71E29"/>
    <w:rsid w:val="00B72DA7"/>
    <w:rsid w:val="00B74343"/>
    <w:rsid w:val="00B750FD"/>
    <w:rsid w:val="00B752A8"/>
    <w:rsid w:val="00B7738A"/>
    <w:rsid w:val="00B854FB"/>
    <w:rsid w:val="00B94D3D"/>
    <w:rsid w:val="00B94EB3"/>
    <w:rsid w:val="00BA1CFF"/>
    <w:rsid w:val="00BA1F97"/>
    <w:rsid w:val="00BA3EBC"/>
    <w:rsid w:val="00BA55E6"/>
    <w:rsid w:val="00BA627A"/>
    <w:rsid w:val="00BA69E3"/>
    <w:rsid w:val="00BB16BF"/>
    <w:rsid w:val="00BB34C7"/>
    <w:rsid w:val="00BB408C"/>
    <w:rsid w:val="00BB4218"/>
    <w:rsid w:val="00BB50FA"/>
    <w:rsid w:val="00BB7065"/>
    <w:rsid w:val="00BC02FC"/>
    <w:rsid w:val="00BC181C"/>
    <w:rsid w:val="00BC41BA"/>
    <w:rsid w:val="00BC4BEE"/>
    <w:rsid w:val="00BC5415"/>
    <w:rsid w:val="00BC56F9"/>
    <w:rsid w:val="00BC6BA1"/>
    <w:rsid w:val="00BC6F90"/>
    <w:rsid w:val="00BD01F0"/>
    <w:rsid w:val="00BD08AC"/>
    <w:rsid w:val="00BD2CF0"/>
    <w:rsid w:val="00BD360C"/>
    <w:rsid w:val="00BD55C3"/>
    <w:rsid w:val="00BD58C9"/>
    <w:rsid w:val="00BD5E83"/>
    <w:rsid w:val="00BD7CFF"/>
    <w:rsid w:val="00BE1EF9"/>
    <w:rsid w:val="00BE629E"/>
    <w:rsid w:val="00BE6F0F"/>
    <w:rsid w:val="00BE7267"/>
    <w:rsid w:val="00BF2841"/>
    <w:rsid w:val="00BF3EE0"/>
    <w:rsid w:val="00C01314"/>
    <w:rsid w:val="00C025D9"/>
    <w:rsid w:val="00C05C14"/>
    <w:rsid w:val="00C070CC"/>
    <w:rsid w:val="00C073E0"/>
    <w:rsid w:val="00C07ACE"/>
    <w:rsid w:val="00C10852"/>
    <w:rsid w:val="00C1173B"/>
    <w:rsid w:val="00C11AB8"/>
    <w:rsid w:val="00C11BBB"/>
    <w:rsid w:val="00C12413"/>
    <w:rsid w:val="00C1318B"/>
    <w:rsid w:val="00C132BC"/>
    <w:rsid w:val="00C149EF"/>
    <w:rsid w:val="00C14E15"/>
    <w:rsid w:val="00C156B2"/>
    <w:rsid w:val="00C16239"/>
    <w:rsid w:val="00C1686B"/>
    <w:rsid w:val="00C177A9"/>
    <w:rsid w:val="00C2190D"/>
    <w:rsid w:val="00C22393"/>
    <w:rsid w:val="00C2319D"/>
    <w:rsid w:val="00C27598"/>
    <w:rsid w:val="00C30504"/>
    <w:rsid w:val="00C31D80"/>
    <w:rsid w:val="00C32C64"/>
    <w:rsid w:val="00C35F3C"/>
    <w:rsid w:val="00C37C1D"/>
    <w:rsid w:val="00C40689"/>
    <w:rsid w:val="00C41BB7"/>
    <w:rsid w:val="00C426CD"/>
    <w:rsid w:val="00C427D0"/>
    <w:rsid w:val="00C42BA2"/>
    <w:rsid w:val="00C4496E"/>
    <w:rsid w:val="00C45543"/>
    <w:rsid w:val="00C47701"/>
    <w:rsid w:val="00C501B0"/>
    <w:rsid w:val="00C51287"/>
    <w:rsid w:val="00C5181C"/>
    <w:rsid w:val="00C52758"/>
    <w:rsid w:val="00C547E0"/>
    <w:rsid w:val="00C56049"/>
    <w:rsid w:val="00C63C50"/>
    <w:rsid w:val="00C63E99"/>
    <w:rsid w:val="00C65051"/>
    <w:rsid w:val="00C7021C"/>
    <w:rsid w:val="00C71F63"/>
    <w:rsid w:val="00C7515A"/>
    <w:rsid w:val="00C752B6"/>
    <w:rsid w:val="00C7561B"/>
    <w:rsid w:val="00C75B3E"/>
    <w:rsid w:val="00C76B2E"/>
    <w:rsid w:val="00C82F0F"/>
    <w:rsid w:val="00C836DA"/>
    <w:rsid w:val="00C84A06"/>
    <w:rsid w:val="00C84D3C"/>
    <w:rsid w:val="00C8529B"/>
    <w:rsid w:val="00C853FB"/>
    <w:rsid w:val="00C85566"/>
    <w:rsid w:val="00C85DFA"/>
    <w:rsid w:val="00C903B1"/>
    <w:rsid w:val="00C91C19"/>
    <w:rsid w:val="00C94BDC"/>
    <w:rsid w:val="00C952C6"/>
    <w:rsid w:val="00C973A1"/>
    <w:rsid w:val="00C97E2B"/>
    <w:rsid w:val="00C97E9D"/>
    <w:rsid w:val="00C97EF1"/>
    <w:rsid w:val="00CA0D05"/>
    <w:rsid w:val="00CA10C1"/>
    <w:rsid w:val="00CA7F14"/>
    <w:rsid w:val="00CB1644"/>
    <w:rsid w:val="00CB3B6F"/>
    <w:rsid w:val="00CB74AC"/>
    <w:rsid w:val="00CC3BF0"/>
    <w:rsid w:val="00CC56FA"/>
    <w:rsid w:val="00CC5C8E"/>
    <w:rsid w:val="00CC645D"/>
    <w:rsid w:val="00CC6DF7"/>
    <w:rsid w:val="00CC7826"/>
    <w:rsid w:val="00CD04D9"/>
    <w:rsid w:val="00CD08AD"/>
    <w:rsid w:val="00CD2D3A"/>
    <w:rsid w:val="00CD33C7"/>
    <w:rsid w:val="00CD66B7"/>
    <w:rsid w:val="00CD78F5"/>
    <w:rsid w:val="00CE1010"/>
    <w:rsid w:val="00CE1375"/>
    <w:rsid w:val="00CE14EE"/>
    <w:rsid w:val="00CE20BC"/>
    <w:rsid w:val="00CE2C2F"/>
    <w:rsid w:val="00CE3B2C"/>
    <w:rsid w:val="00CE3E4A"/>
    <w:rsid w:val="00CE4D5D"/>
    <w:rsid w:val="00CE5D0B"/>
    <w:rsid w:val="00CE6C81"/>
    <w:rsid w:val="00CE6D71"/>
    <w:rsid w:val="00CF54BE"/>
    <w:rsid w:val="00CF56D0"/>
    <w:rsid w:val="00CF6ABB"/>
    <w:rsid w:val="00CF719F"/>
    <w:rsid w:val="00D03228"/>
    <w:rsid w:val="00D040AA"/>
    <w:rsid w:val="00D04A26"/>
    <w:rsid w:val="00D1171E"/>
    <w:rsid w:val="00D11F3E"/>
    <w:rsid w:val="00D12578"/>
    <w:rsid w:val="00D13AF1"/>
    <w:rsid w:val="00D13BC1"/>
    <w:rsid w:val="00D13F30"/>
    <w:rsid w:val="00D14E6D"/>
    <w:rsid w:val="00D2064D"/>
    <w:rsid w:val="00D22821"/>
    <w:rsid w:val="00D23DE2"/>
    <w:rsid w:val="00D25408"/>
    <w:rsid w:val="00D27495"/>
    <w:rsid w:val="00D274D8"/>
    <w:rsid w:val="00D27D04"/>
    <w:rsid w:val="00D31593"/>
    <w:rsid w:val="00D321EF"/>
    <w:rsid w:val="00D362BB"/>
    <w:rsid w:val="00D37C4F"/>
    <w:rsid w:val="00D41013"/>
    <w:rsid w:val="00D42B50"/>
    <w:rsid w:val="00D42D01"/>
    <w:rsid w:val="00D43C57"/>
    <w:rsid w:val="00D43D99"/>
    <w:rsid w:val="00D44394"/>
    <w:rsid w:val="00D44EE5"/>
    <w:rsid w:val="00D45AC8"/>
    <w:rsid w:val="00D45DA3"/>
    <w:rsid w:val="00D46D65"/>
    <w:rsid w:val="00D5195F"/>
    <w:rsid w:val="00D53FB0"/>
    <w:rsid w:val="00D5513F"/>
    <w:rsid w:val="00D566C4"/>
    <w:rsid w:val="00D56A48"/>
    <w:rsid w:val="00D57301"/>
    <w:rsid w:val="00D573D2"/>
    <w:rsid w:val="00D60B3F"/>
    <w:rsid w:val="00D6105C"/>
    <w:rsid w:val="00D6394B"/>
    <w:rsid w:val="00D64DFB"/>
    <w:rsid w:val="00D664B6"/>
    <w:rsid w:val="00D67360"/>
    <w:rsid w:val="00D700D5"/>
    <w:rsid w:val="00D71613"/>
    <w:rsid w:val="00D71C73"/>
    <w:rsid w:val="00D73796"/>
    <w:rsid w:val="00D761D0"/>
    <w:rsid w:val="00D76D4A"/>
    <w:rsid w:val="00D83379"/>
    <w:rsid w:val="00D84C31"/>
    <w:rsid w:val="00D84FA1"/>
    <w:rsid w:val="00D85BD6"/>
    <w:rsid w:val="00D910F8"/>
    <w:rsid w:val="00D9152C"/>
    <w:rsid w:val="00D91CA2"/>
    <w:rsid w:val="00D940F7"/>
    <w:rsid w:val="00D95BB9"/>
    <w:rsid w:val="00DA13C2"/>
    <w:rsid w:val="00DA24A4"/>
    <w:rsid w:val="00DA35F6"/>
    <w:rsid w:val="00DA4D5F"/>
    <w:rsid w:val="00DA5C95"/>
    <w:rsid w:val="00DA6E6F"/>
    <w:rsid w:val="00DA79A1"/>
    <w:rsid w:val="00DB226C"/>
    <w:rsid w:val="00DB3ED8"/>
    <w:rsid w:val="00DB5993"/>
    <w:rsid w:val="00DB5FA9"/>
    <w:rsid w:val="00DB688B"/>
    <w:rsid w:val="00DC5729"/>
    <w:rsid w:val="00DC73D7"/>
    <w:rsid w:val="00DD0FD8"/>
    <w:rsid w:val="00DD1BF0"/>
    <w:rsid w:val="00DD552F"/>
    <w:rsid w:val="00DD5C2E"/>
    <w:rsid w:val="00DD72C9"/>
    <w:rsid w:val="00DE3580"/>
    <w:rsid w:val="00DE79BD"/>
    <w:rsid w:val="00DF1761"/>
    <w:rsid w:val="00DF2553"/>
    <w:rsid w:val="00DF52C9"/>
    <w:rsid w:val="00DF601E"/>
    <w:rsid w:val="00DF778B"/>
    <w:rsid w:val="00DF7E4D"/>
    <w:rsid w:val="00E021A5"/>
    <w:rsid w:val="00E02A6A"/>
    <w:rsid w:val="00E03911"/>
    <w:rsid w:val="00E0393A"/>
    <w:rsid w:val="00E03E08"/>
    <w:rsid w:val="00E0475C"/>
    <w:rsid w:val="00E05AFD"/>
    <w:rsid w:val="00E11F23"/>
    <w:rsid w:val="00E135FE"/>
    <w:rsid w:val="00E14E89"/>
    <w:rsid w:val="00E16502"/>
    <w:rsid w:val="00E202C3"/>
    <w:rsid w:val="00E22E0A"/>
    <w:rsid w:val="00E22EFA"/>
    <w:rsid w:val="00E2344C"/>
    <w:rsid w:val="00E2367D"/>
    <w:rsid w:val="00E24532"/>
    <w:rsid w:val="00E246F1"/>
    <w:rsid w:val="00E24D7B"/>
    <w:rsid w:val="00E3015C"/>
    <w:rsid w:val="00E30B9E"/>
    <w:rsid w:val="00E311A6"/>
    <w:rsid w:val="00E32E4F"/>
    <w:rsid w:val="00E33872"/>
    <w:rsid w:val="00E34015"/>
    <w:rsid w:val="00E34546"/>
    <w:rsid w:val="00E35CB9"/>
    <w:rsid w:val="00E3616C"/>
    <w:rsid w:val="00E369B0"/>
    <w:rsid w:val="00E41C45"/>
    <w:rsid w:val="00E42112"/>
    <w:rsid w:val="00E4492B"/>
    <w:rsid w:val="00E4586E"/>
    <w:rsid w:val="00E46D05"/>
    <w:rsid w:val="00E473AC"/>
    <w:rsid w:val="00E50F1E"/>
    <w:rsid w:val="00E51457"/>
    <w:rsid w:val="00E52749"/>
    <w:rsid w:val="00E53971"/>
    <w:rsid w:val="00E55B4D"/>
    <w:rsid w:val="00E56639"/>
    <w:rsid w:val="00E566E8"/>
    <w:rsid w:val="00E614ED"/>
    <w:rsid w:val="00E64766"/>
    <w:rsid w:val="00E676CF"/>
    <w:rsid w:val="00E755B6"/>
    <w:rsid w:val="00E82A17"/>
    <w:rsid w:val="00E8424C"/>
    <w:rsid w:val="00E84884"/>
    <w:rsid w:val="00E8571B"/>
    <w:rsid w:val="00E877AA"/>
    <w:rsid w:val="00E8790D"/>
    <w:rsid w:val="00E909B7"/>
    <w:rsid w:val="00E9358A"/>
    <w:rsid w:val="00EA11A3"/>
    <w:rsid w:val="00EA1A48"/>
    <w:rsid w:val="00EA2325"/>
    <w:rsid w:val="00EA27A8"/>
    <w:rsid w:val="00EA4381"/>
    <w:rsid w:val="00EA43B8"/>
    <w:rsid w:val="00EA5AC5"/>
    <w:rsid w:val="00EA6A81"/>
    <w:rsid w:val="00EA73E3"/>
    <w:rsid w:val="00EA7D67"/>
    <w:rsid w:val="00EA7E5D"/>
    <w:rsid w:val="00EB1C40"/>
    <w:rsid w:val="00EB2B65"/>
    <w:rsid w:val="00EB3803"/>
    <w:rsid w:val="00EB5279"/>
    <w:rsid w:val="00EB56BC"/>
    <w:rsid w:val="00EB6A5F"/>
    <w:rsid w:val="00EB6B66"/>
    <w:rsid w:val="00EC07AA"/>
    <w:rsid w:val="00EC0D3E"/>
    <w:rsid w:val="00EC41F0"/>
    <w:rsid w:val="00EC4AF1"/>
    <w:rsid w:val="00EC5074"/>
    <w:rsid w:val="00EC599A"/>
    <w:rsid w:val="00EC706E"/>
    <w:rsid w:val="00ED0E9C"/>
    <w:rsid w:val="00ED15FD"/>
    <w:rsid w:val="00ED160B"/>
    <w:rsid w:val="00ED6466"/>
    <w:rsid w:val="00ED699D"/>
    <w:rsid w:val="00ED79B5"/>
    <w:rsid w:val="00ED7A02"/>
    <w:rsid w:val="00EE0A8B"/>
    <w:rsid w:val="00EE2BDD"/>
    <w:rsid w:val="00EE4A3F"/>
    <w:rsid w:val="00EE4D98"/>
    <w:rsid w:val="00EE612B"/>
    <w:rsid w:val="00EE7579"/>
    <w:rsid w:val="00EF1386"/>
    <w:rsid w:val="00EF1991"/>
    <w:rsid w:val="00F013AB"/>
    <w:rsid w:val="00F0251B"/>
    <w:rsid w:val="00F02A13"/>
    <w:rsid w:val="00F03455"/>
    <w:rsid w:val="00F04C88"/>
    <w:rsid w:val="00F04D8D"/>
    <w:rsid w:val="00F04E93"/>
    <w:rsid w:val="00F06006"/>
    <w:rsid w:val="00F07AEE"/>
    <w:rsid w:val="00F10685"/>
    <w:rsid w:val="00F111C2"/>
    <w:rsid w:val="00F1140A"/>
    <w:rsid w:val="00F1165F"/>
    <w:rsid w:val="00F13A1F"/>
    <w:rsid w:val="00F160EA"/>
    <w:rsid w:val="00F16259"/>
    <w:rsid w:val="00F177E9"/>
    <w:rsid w:val="00F22571"/>
    <w:rsid w:val="00F23B73"/>
    <w:rsid w:val="00F24ACA"/>
    <w:rsid w:val="00F25111"/>
    <w:rsid w:val="00F2670D"/>
    <w:rsid w:val="00F269E5"/>
    <w:rsid w:val="00F30A78"/>
    <w:rsid w:val="00F30AFF"/>
    <w:rsid w:val="00F32040"/>
    <w:rsid w:val="00F35C33"/>
    <w:rsid w:val="00F370C0"/>
    <w:rsid w:val="00F371D5"/>
    <w:rsid w:val="00F379FA"/>
    <w:rsid w:val="00F40292"/>
    <w:rsid w:val="00F43ACF"/>
    <w:rsid w:val="00F469F0"/>
    <w:rsid w:val="00F50D05"/>
    <w:rsid w:val="00F52BFA"/>
    <w:rsid w:val="00F52D8C"/>
    <w:rsid w:val="00F53DD4"/>
    <w:rsid w:val="00F56980"/>
    <w:rsid w:val="00F56C9C"/>
    <w:rsid w:val="00F57F61"/>
    <w:rsid w:val="00F627FB"/>
    <w:rsid w:val="00F653C6"/>
    <w:rsid w:val="00F67C85"/>
    <w:rsid w:val="00F70713"/>
    <w:rsid w:val="00F70C92"/>
    <w:rsid w:val="00F7132D"/>
    <w:rsid w:val="00F73CA4"/>
    <w:rsid w:val="00F754C8"/>
    <w:rsid w:val="00F7693C"/>
    <w:rsid w:val="00F80421"/>
    <w:rsid w:val="00F84533"/>
    <w:rsid w:val="00F8482A"/>
    <w:rsid w:val="00F85980"/>
    <w:rsid w:val="00F863F5"/>
    <w:rsid w:val="00F86B01"/>
    <w:rsid w:val="00F900C8"/>
    <w:rsid w:val="00F90956"/>
    <w:rsid w:val="00F910E6"/>
    <w:rsid w:val="00F95B12"/>
    <w:rsid w:val="00F96423"/>
    <w:rsid w:val="00F97638"/>
    <w:rsid w:val="00FA0759"/>
    <w:rsid w:val="00FA2C04"/>
    <w:rsid w:val="00FA3CFB"/>
    <w:rsid w:val="00FA58AE"/>
    <w:rsid w:val="00FA74FF"/>
    <w:rsid w:val="00FA7C4A"/>
    <w:rsid w:val="00FB06E1"/>
    <w:rsid w:val="00FB0910"/>
    <w:rsid w:val="00FB1B7C"/>
    <w:rsid w:val="00FB2013"/>
    <w:rsid w:val="00FB280E"/>
    <w:rsid w:val="00FB6B98"/>
    <w:rsid w:val="00FB6C0A"/>
    <w:rsid w:val="00FB7442"/>
    <w:rsid w:val="00FC06F2"/>
    <w:rsid w:val="00FC0D06"/>
    <w:rsid w:val="00FC2383"/>
    <w:rsid w:val="00FC265F"/>
    <w:rsid w:val="00FC27F4"/>
    <w:rsid w:val="00FC2BA0"/>
    <w:rsid w:val="00FC3D93"/>
    <w:rsid w:val="00FC57A4"/>
    <w:rsid w:val="00FC6A7A"/>
    <w:rsid w:val="00FC72A7"/>
    <w:rsid w:val="00FC7BFA"/>
    <w:rsid w:val="00FD16CD"/>
    <w:rsid w:val="00FD1A7C"/>
    <w:rsid w:val="00FD7E43"/>
    <w:rsid w:val="00FE0E5F"/>
    <w:rsid w:val="00FE2265"/>
    <w:rsid w:val="00FE3387"/>
    <w:rsid w:val="00FE378F"/>
    <w:rsid w:val="00FE548F"/>
    <w:rsid w:val="00FE5B9E"/>
    <w:rsid w:val="00FE6465"/>
    <w:rsid w:val="00FF0343"/>
    <w:rsid w:val="00FF281B"/>
    <w:rsid w:val="00FF73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3C9C"/>
  <w15:docId w15:val="{BBEF2512-9ABE-4705-B97F-911C9132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CF54BE"/>
    <w:rPr>
      <w:color w:val="0000FF" w:themeColor="hyperlink"/>
      <w:u w:val="single"/>
    </w:rPr>
  </w:style>
  <w:style w:type="character" w:styleId="UnresolvedMention">
    <w:name w:val="Unresolved Mention"/>
    <w:basedOn w:val="DefaultParagraphFont"/>
    <w:uiPriority w:val="99"/>
    <w:semiHidden/>
    <w:unhideWhenUsed/>
    <w:rsid w:val="00CF54BE"/>
    <w:rPr>
      <w:color w:val="605E5C"/>
      <w:shd w:val="clear" w:color="auto" w:fill="E1DFDD"/>
    </w:rPr>
  </w:style>
  <w:style w:type="paragraph" w:styleId="Header">
    <w:name w:val="header"/>
    <w:basedOn w:val="Normal"/>
    <w:link w:val="HeaderChar"/>
    <w:uiPriority w:val="99"/>
    <w:unhideWhenUsed/>
    <w:rsid w:val="00804446"/>
    <w:pPr>
      <w:tabs>
        <w:tab w:val="center" w:pos="4513"/>
        <w:tab w:val="right" w:pos="9026"/>
      </w:tabs>
    </w:pPr>
  </w:style>
  <w:style w:type="character" w:customStyle="1" w:styleId="HeaderChar">
    <w:name w:val="Header Char"/>
    <w:basedOn w:val="DefaultParagraphFont"/>
    <w:link w:val="Header"/>
    <w:uiPriority w:val="99"/>
    <w:rsid w:val="00804446"/>
  </w:style>
  <w:style w:type="paragraph" w:styleId="Footer">
    <w:name w:val="footer"/>
    <w:basedOn w:val="Normal"/>
    <w:link w:val="FooterChar"/>
    <w:uiPriority w:val="99"/>
    <w:unhideWhenUsed/>
    <w:rsid w:val="00804446"/>
    <w:pPr>
      <w:tabs>
        <w:tab w:val="center" w:pos="4513"/>
        <w:tab w:val="right" w:pos="9026"/>
      </w:tabs>
    </w:pPr>
  </w:style>
  <w:style w:type="character" w:customStyle="1" w:styleId="FooterChar">
    <w:name w:val="Footer Char"/>
    <w:basedOn w:val="DefaultParagraphFont"/>
    <w:link w:val="Footer"/>
    <w:uiPriority w:val="99"/>
    <w:rsid w:val="00804446"/>
  </w:style>
  <w:style w:type="character" w:styleId="CommentReference">
    <w:name w:val="annotation reference"/>
    <w:basedOn w:val="DefaultParagraphFont"/>
    <w:uiPriority w:val="99"/>
    <w:semiHidden/>
    <w:unhideWhenUsed/>
    <w:rsid w:val="009217A2"/>
    <w:rPr>
      <w:sz w:val="16"/>
      <w:szCs w:val="16"/>
    </w:rPr>
  </w:style>
  <w:style w:type="paragraph" w:styleId="CommentText">
    <w:name w:val="annotation text"/>
    <w:basedOn w:val="Normal"/>
    <w:link w:val="CommentTextChar"/>
    <w:uiPriority w:val="99"/>
    <w:semiHidden/>
    <w:unhideWhenUsed/>
    <w:rsid w:val="009217A2"/>
    <w:rPr>
      <w:sz w:val="20"/>
      <w:szCs w:val="20"/>
    </w:rPr>
  </w:style>
  <w:style w:type="character" w:customStyle="1" w:styleId="CommentTextChar">
    <w:name w:val="Comment Text Char"/>
    <w:basedOn w:val="DefaultParagraphFont"/>
    <w:link w:val="CommentText"/>
    <w:uiPriority w:val="99"/>
    <w:semiHidden/>
    <w:rsid w:val="009217A2"/>
    <w:rPr>
      <w:sz w:val="20"/>
      <w:szCs w:val="20"/>
      <w:lang w:val="en-GB"/>
    </w:rPr>
  </w:style>
  <w:style w:type="paragraph" w:styleId="CommentSubject">
    <w:name w:val="annotation subject"/>
    <w:basedOn w:val="CommentText"/>
    <w:next w:val="CommentText"/>
    <w:link w:val="CommentSubjectChar"/>
    <w:uiPriority w:val="99"/>
    <w:semiHidden/>
    <w:unhideWhenUsed/>
    <w:rsid w:val="009217A2"/>
    <w:rPr>
      <w:b/>
      <w:bCs/>
    </w:rPr>
  </w:style>
  <w:style w:type="character" w:customStyle="1" w:styleId="CommentSubjectChar">
    <w:name w:val="Comment Subject Char"/>
    <w:basedOn w:val="CommentTextChar"/>
    <w:link w:val="CommentSubject"/>
    <w:uiPriority w:val="99"/>
    <w:semiHidden/>
    <w:rsid w:val="009217A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DA99-A8BA-4C01-B1D0-EF85C80C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Abbey</dc:creator>
  <cp:lastModifiedBy>Shaw, Alison</cp:lastModifiedBy>
  <cp:revision>2</cp:revision>
  <dcterms:created xsi:type="dcterms:W3CDTF">2022-08-22T09:37:00Z</dcterms:created>
  <dcterms:modified xsi:type="dcterms:W3CDTF">2022-08-22T09:37:00Z</dcterms:modified>
</cp:coreProperties>
</file>