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0D41A" w14:textId="77777777" w:rsidR="00C8460D" w:rsidRDefault="00C8460D" w:rsidP="00C8460D">
      <w:pPr>
        <w:spacing w:after="171" w:line="259" w:lineRule="auto"/>
        <w:ind w:left="0" w:right="3321" w:firstLine="0"/>
        <w:jc w:val="center"/>
      </w:pPr>
      <w:r>
        <w:rPr>
          <w:noProof/>
        </w:rPr>
        <w:drawing>
          <wp:inline distT="0" distB="0" distL="0" distR="0" wp14:anchorId="77D5FF1B" wp14:editId="67A89B27">
            <wp:extent cx="3420110" cy="361315"/>
            <wp:effectExtent l="0" t="0" r="0" b="0"/>
            <wp:docPr id="8966" name="Picture 8966"/>
            <wp:cNvGraphicFramePr/>
            <a:graphic xmlns:a="http://schemas.openxmlformats.org/drawingml/2006/main">
              <a:graphicData uri="http://schemas.openxmlformats.org/drawingml/2006/picture">
                <pic:pic xmlns:pic="http://schemas.openxmlformats.org/drawingml/2006/picture">
                  <pic:nvPicPr>
                    <pic:cNvPr id="8966" name="Picture 8966"/>
                    <pic:cNvPicPr/>
                  </pic:nvPicPr>
                  <pic:blipFill>
                    <a:blip r:embed="rId5"/>
                    <a:stretch>
                      <a:fillRect/>
                    </a:stretch>
                  </pic:blipFill>
                  <pic:spPr>
                    <a:xfrm>
                      <a:off x="0" y="0"/>
                      <a:ext cx="3420110" cy="361315"/>
                    </a:xfrm>
                    <a:prstGeom prst="rect">
                      <a:avLst/>
                    </a:prstGeom>
                  </pic:spPr>
                </pic:pic>
              </a:graphicData>
            </a:graphic>
          </wp:inline>
        </w:drawing>
      </w:r>
      <w:r>
        <w:t xml:space="preserve"> </w:t>
      </w:r>
    </w:p>
    <w:p w14:paraId="7845D411" w14:textId="77777777" w:rsidR="00C8460D" w:rsidRDefault="00C8460D" w:rsidP="00C8460D">
      <w:pPr>
        <w:spacing w:after="0" w:line="259" w:lineRule="auto"/>
        <w:ind w:left="529" w:right="3"/>
        <w:jc w:val="center"/>
      </w:pPr>
      <w:r>
        <w:rPr>
          <w:b/>
          <w:sz w:val="28"/>
        </w:rPr>
        <w:t xml:space="preserve">The Town and Country Planning (Section 62A </w:t>
      </w:r>
    </w:p>
    <w:p w14:paraId="29E57C4D" w14:textId="77777777" w:rsidR="00C8460D" w:rsidRDefault="00C8460D" w:rsidP="00C8460D">
      <w:pPr>
        <w:spacing w:after="0" w:line="259" w:lineRule="auto"/>
        <w:ind w:left="529"/>
        <w:jc w:val="center"/>
      </w:pPr>
      <w:r>
        <w:rPr>
          <w:b/>
          <w:sz w:val="28"/>
        </w:rPr>
        <w:t xml:space="preserve">Applications) (Hearings) Rules 2013 </w:t>
      </w:r>
    </w:p>
    <w:p w14:paraId="63DE4DA4" w14:textId="77777777" w:rsidR="00C8460D" w:rsidRDefault="00C8460D" w:rsidP="00C8460D">
      <w:pPr>
        <w:pStyle w:val="Heading1"/>
        <w:ind w:right="3"/>
      </w:pPr>
      <w:r>
        <w:t xml:space="preserve">AGENDA </w:t>
      </w:r>
    </w:p>
    <w:p w14:paraId="5DC29DF3" w14:textId="77777777" w:rsidR="00337C69" w:rsidRDefault="00337C69" w:rsidP="00C8460D">
      <w:pPr>
        <w:spacing w:after="168"/>
        <w:ind w:left="519"/>
        <w:rPr>
          <w:b/>
        </w:rPr>
      </w:pPr>
    </w:p>
    <w:p w14:paraId="62558B35" w14:textId="13667C7E" w:rsidR="00C8460D" w:rsidRDefault="00C8460D" w:rsidP="00C8460D">
      <w:pPr>
        <w:spacing w:after="168"/>
        <w:ind w:left="519"/>
      </w:pPr>
      <w:r>
        <w:rPr>
          <w:b/>
        </w:rPr>
        <w:t>Application Reference No:</w:t>
      </w:r>
      <w:r>
        <w:t xml:space="preserve">  </w:t>
      </w:r>
      <w:proofErr w:type="spellStart"/>
      <w:r>
        <w:t>S62A</w:t>
      </w:r>
      <w:proofErr w:type="spellEnd"/>
      <w:r>
        <w:t>/22/0000004</w:t>
      </w:r>
    </w:p>
    <w:p w14:paraId="06CA490C" w14:textId="77777777" w:rsidR="00C8460D" w:rsidRDefault="00C8460D" w:rsidP="00C8460D">
      <w:pPr>
        <w:spacing w:after="165"/>
        <w:ind w:left="519"/>
      </w:pPr>
      <w:r>
        <w:rPr>
          <w:b/>
        </w:rPr>
        <w:t>Applicant:</w:t>
      </w:r>
      <w:r>
        <w:t xml:space="preserve">  Stanstead Airport Limited (SAL)</w:t>
      </w:r>
    </w:p>
    <w:p w14:paraId="19610E34" w14:textId="77777777" w:rsidR="00C8460D" w:rsidRDefault="00C8460D" w:rsidP="00C8460D">
      <w:pPr>
        <w:spacing w:after="168"/>
        <w:ind w:left="519"/>
      </w:pPr>
      <w:r>
        <w:rPr>
          <w:b/>
        </w:rPr>
        <w:t>Description of proposal:</w:t>
      </w:r>
      <w:r>
        <w:t xml:space="preserve">  The erection of a </w:t>
      </w:r>
      <w:proofErr w:type="spellStart"/>
      <w:r>
        <w:t>14.3mw</w:t>
      </w:r>
      <w:proofErr w:type="spellEnd"/>
      <w:r>
        <w:t xml:space="preserve"> solar photovoltaic farm with associated access tracks, landscaping, supplementary battery storage, and associated infrastructure.</w:t>
      </w:r>
    </w:p>
    <w:p w14:paraId="3B6AA740" w14:textId="77777777" w:rsidR="00C8460D" w:rsidRDefault="00C8460D" w:rsidP="00C8460D">
      <w:pPr>
        <w:spacing w:after="0"/>
        <w:ind w:left="519"/>
      </w:pPr>
      <w:r>
        <w:rPr>
          <w:b/>
        </w:rPr>
        <w:t>Site address:</w:t>
      </w:r>
      <w:r>
        <w:t xml:space="preserve">  Land East of Parsonage Road and South of Hall Road, Stanstead, </w:t>
      </w:r>
    </w:p>
    <w:p w14:paraId="059F0B3C" w14:textId="77777777" w:rsidR="00C8460D" w:rsidRDefault="00C8460D" w:rsidP="00C8460D">
      <w:pPr>
        <w:spacing w:after="0"/>
        <w:ind w:left="519"/>
      </w:pPr>
      <w:r>
        <w:t xml:space="preserve">Essex </w:t>
      </w:r>
      <w:proofErr w:type="spellStart"/>
      <w:r>
        <w:t>CM22</w:t>
      </w:r>
      <w:proofErr w:type="spellEnd"/>
      <w:r>
        <w:t xml:space="preserve"> </w:t>
      </w:r>
      <w:proofErr w:type="spellStart"/>
      <w:r>
        <w:t>6PL</w:t>
      </w:r>
      <w:proofErr w:type="spellEnd"/>
    </w:p>
    <w:p w14:paraId="417EAD20" w14:textId="77777777" w:rsidR="00C8460D" w:rsidRDefault="00C8460D" w:rsidP="00C8460D">
      <w:pPr>
        <w:spacing w:after="0"/>
        <w:ind w:left="519"/>
      </w:pPr>
    </w:p>
    <w:p w14:paraId="33C48489" w14:textId="77777777" w:rsidR="00C8460D" w:rsidRDefault="00C8460D" w:rsidP="00C8460D">
      <w:pPr>
        <w:spacing w:after="0"/>
        <w:ind w:left="534" w:right="5"/>
      </w:pPr>
    </w:p>
    <w:p w14:paraId="151D426E" w14:textId="77777777" w:rsidR="00C8460D" w:rsidRDefault="00C8460D" w:rsidP="00C8460D">
      <w:pPr>
        <w:spacing w:after="50"/>
        <w:ind w:left="519" w:right="2822"/>
        <w:rPr>
          <w:b/>
        </w:rPr>
      </w:pPr>
      <w:r>
        <w:rPr>
          <w:b/>
        </w:rPr>
        <w:t xml:space="preserve">Hearing to be held at: Uttlesford Council Chamber  </w:t>
      </w:r>
    </w:p>
    <w:p w14:paraId="1E8A3474" w14:textId="77777777" w:rsidR="00C8460D" w:rsidRDefault="00C8460D" w:rsidP="00C8460D">
      <w:pPr>
        <w:spacing w:after="50"/>
        <w:ind w:left="519" w:right="3814"/>
        <w:rPr>
          <w:b/>
        </w:rPr>
      </w:pPr>
      <w:r>
        <w:rPr>
          <w:b/>
        </w:rPr>
        <w:t>By: Mike Robins MSc BSc(Hons) MRTPI</w:t>
      </w:r>
    </w:p>
    <w:p w14:paraId="370B0C59" w14:textId="77777777" w:rsidR="00C8460D" w:rsidRDefault="00C8460D" w:rsidP="00C8460D">
      <w:pPr>
        <w:spacing w:after="50"/>
        <w:ind w:left="519" w:right="3389"/>
        <w:rPr>
          <w:b/>
        </w:rPr>
      </w:pPr>
      <w:r>
        <w:rPr>
          <w:b/>
        </w:rPr>
        <w:t>Date and time of hearing:  10.00 9 August 2022</w:t>
      </w:r>
    </w:p>
    <w:p w14:paraId="3DE593BD" w14:textId="77777777" w:rsidR="00C8460D" w:rsidRDefault="00C8460D" w:rsidP="00C8460D">
      <w:pPr>
        <w:spacing w:after="50"/>
        <w:ind w:left="519" w:right="3389"/>
      </w:pPr>
    </w:p>
    <w:p w14:paraId="2B619899" w14:textId="77777777" w:rsidR="00C8460D" w:rsidRDefault="00C8460D" w:rsidP="00C8460D">
      <w:pPr>
        <w:pStyle w:val="Heading2"/>
        <w:spacing w:after="12"/>
        <w:ind w:left="519"/>
      </w:pPr>
      <w:r>
        <w:rPr>
          <w:sz w:val="28"/>
        </w:rPr>
        <w:t xml:space="preserve">Agenda  </w:t>
      </w:r>
    </w:p>
    <w:tbl>
      <w:tblPr>
        <w:tblStyle w:val="TableGrid"/>
        <w:tblW w:w="9241" w:type="dxa"/>
        <w:tblInd w:w="418" w:type="dxa"/>
        <w:tblCellMar>
          <w:top w:w="54" w:type="dxa"/>
          <w:left w:w="106" w:type="dxa"/>
          <w:bottom w:w="5" w:type="dxa"/>
          <w:right w:w="114" w:type="dxa"/>
        </w:tblCellMar>
        <w:tblLook w:val="04A0" w:firstRow="1" w:lastRow="0" w:firstColumn="1" w:lastColumn="0" w:noHBand="0" w:noVBand="1"/>
      </w:tblPr>
      <w:tblGrid>
        <w:gridCol w:w="958"/>
        <w:gridCol w:w="8283"/>
      </w:tblGrid>
      <w:tr w:rsidR="00C8460D" w14:paraId="468AFCF0" w14:textId="77777777" w:rsidTr="008133A3">
        <w:trPr>
          <w:trHeight w:val="457"/>
        </w:trPr>
        <w:tc>
          <w:tcPr>
            <w:tcW w:w="9241" w:type="dxa"/>
            <w:gridSpan w:val="2"/>
            <w:tcBorders>
              <w:top w:val="single" w:sz="4" w:space="0" w:color="000000"/>
              <w:left w:val="single" w:sz="4" w:space="0" w:color="000000"/>
              <w:bottom w:val="single" w:sz="4" w:space="0" w:color="000000"/>
              <w:right w:val="nil"/>
            </w:tcBorders>
            <w:shd w:val="clear" w:color="auto" w:fill="000000"/>
            <w:vAlign w:val="bottom"/>
          </w:tcPr>
          <w:p w14:paraId="5A27DE60" w14:textId="77777777" w:rsidR="00C8460D" w:rsidRDefault="00C8460D" w:rsidP="008133A3">
            <w:pPr>
              <w:spacing w:after="0" w:line="259" w:lineRule="auto"/>
              <w:ind w:left="0" w:firstLine="0"/>
            </w:pPr>
            <w:r>
              <w:rPr>
                <w:b/>
                <w:color w:val="FFFFFF"/>
              </w:rPr>
              <w:t xml:space="preserve">Time  Item  </w:t>
            </w:r>
          </w:p>
        </w:tc>
      </w:tr>
      <w:tr w:rsidR="00C8460D" w14:paraId="2B2D4825" w14:textId="77777777" w:rsidTr="008133A3">
        <w:trPr>
          <w:trHeight w:val="455"/>
        </w:trPr>
        <w:tc>
          <w:tcPr>
            <w:tcW w:w="958"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D166AE3" w14:textId="77777777" w:rsidR="00C8460D" w:rsidRDefault="00C8460D" w:rsidP="008133A3">
            <w:pPr>
              <w:spacing w:after="0" w:line="259" w:lineRule="auto"/>
              <w:ind w:left="0" w:firstLine="0"/>
              <w:jc w:val="both"/>
            </w:pPr>
            <w:r>
              <w:t xml:space="preserve">09:00 </w:t>
            </w:r>
          </w:p>
        </w:tc>
        <w:tc>
          <w:tcPr>
            <w:tcW w:w="8283"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00F6F4A" w14:textId="77777777" w:rsidR="00C8460D" w:rsidRDefault="00C8460D" w:rsidP="008133A3">
            <w:pPr>
              <w:spacing w:after="0" w:line="259" w:lineRule="auto"/>
              <w:ind w:left="2" w:firstLine="0"/>
            </w:pPr>
            <w:r>
              <w:rPr>
                <w:b/>
              </w:rPr>
              <w:t xml:space="preserve">Room open and seating available  </w:t>
            </w:r>
          </w:p>
        </w:tc>
      </w:tr>
      <w:tr w:rsidR="00C8460D" w14:paraId="4B09922E" w14:textId="77777777" w:rsidTr="008133A3">
        <w:trPr>
          <w:trHeight w:val="461"/>
        </w:trPr>
        <w:tc>
          <w:tcPr>
            <w:tcW w:w="958" w:type="dxa"/>
            <w:tcBorders>
              <w:top w:val="single" w:sz="4" w:space="0" w:color="000000"/>
              <w:left w:val="single" w:sz="4" w:space="0" w:color="000000"/>
              <w:bottom w:val="single" w:sz="4" w:space="0" w:color="000000"/>
              <w:right w:val="single" w:sz="4" w:space="0" w:color="000000"/>
            </w:tcBorders>
            <w:vAlign w:val="bottom"/>
          </w:tcPr>
          <w:p w14:paraId="03357A41" w14:textId="77777777" w:rsidR="00C8460D" w:rsidRDefault="00C8460D" w:rsidP="008133A3">
            <w:pPr>
              <w:spacing w:after="0" w:line="259" w:lineRule="auto"/>
              <w:ind w:left="0" w:firstLine="0"/>
            </w:pPr>
            <w:r>
              <w:t xml:space="preserve"> </w:t>
            </w:r>
          </w:p>
        </w:tc>
        <w:tc>
          <w:tcPr>
            <w:tcW w:w="8283" w:type="dxa"/>
            <w:tcBorders>
              <w:top w:val="single" w:sz="4" w:space="0" w:color="000000"/>
              <w:left w:val="single" w:sz="4" w:space="0" w:color="000000"/>
              <w:bottom w:val="single" w:sz="4" w:space="0" w:color="000000"/>
              <w:right w:val="single" w:sz="4" w:space="0" w:color="000000"/>
            </w:tcBorders>
            <w:vAlign w:val="bottom"/>
          </w:tcPr>
          <w:p w14:paraId="359FB5AE" w14:textId="77777777" w:rsidR="00C8460D" w:rsidRDefault="00C8460D" w:rsidP="008133A3">
            <w:pPr>
              <w:spacing w:after="0" w:line="259" w:lineRule="auto"/>
              <w:ind w:left="2" w:firstLine="0"/>
            </w:pPr>
            <w:r>
              <w:t xml:space="preserve"> </w:t>
            </w:r>
          </w:p>
        </w:tc>
      </w:tr>
      <w:tr w:rsidR="00C8460D" w14:paraId="619B3ADB" w14:textId="77777777" w:rsidTr="008133A3">
        <w:trPr>
          <w:trHeight w:val="454"/>
        </w:trPr>
        <w:tc>
          <w:tcPr>
            <w:tcW w:w="958"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939C182" w14:textId="77777777" w:rsidR="00C8460D" w:rsidRDefault="00C8460D" w:rsidP="008133A3">
            <w:pPr>
              <w:spacing w:after="0" w:line="259" w:lineRule="auto"/>
              <w:ind w:left="0" w:firstLine="0"/>
              <w:jc w:val="both"/>
            </w:pPr>
            <w:r>
              <w:t xml:space="preserve">10:00 </w:t>
            </w:r>
          </w:p>
        </w:tc>
        <w:tc>
          <w:tcPr>
            <w:tcW w:w="8283"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7C1670D" w14:textId="77777777" w:rsidR="00C8460D" w:rsidRDefault="00C8460D" w:rsidP="008133A3">
            <w:pPr>
              <w:spacing w:after="0" w:line="259" w:lineRule="auto"/>
              <w:ind w:left="0" w:firstLine="0"/>
            </w:pPr>
            <w:r>
              <w:rPr>
                <w:b/>
              </w:rPr>
              <w:t xml:space="preserve">Welcome, opening remarks and introductions  </w:t>
            </w:r>
          </w:p>
        </w:tc>
      </w:tr>
      <w:tr w:rsidR="00C8460D" w14:paraId="1E6B9A56" w14:textId="77777777" w:rsidTr="008133A3">
        <w:trPr>
          <w:trHeight w:val="461"/>
        </w:trPr>
        <w:tc>
          <w:tcPr>
            <w:tcW w:w="958" w:type="dxa"/>
            <w:tcBorders>
              <w:top w:val="single" w:sz="4" w:space="0" w:color="000000"/>
              <w:left w:val="single" w:sz="4" w:space="0" w:color="000000"/>
              <w:bottom w:val="single" w:sz="4" w:space="0" w:color="000000"/>
              <w:right w:val="single" w:sz="4" w:space="0" w:color="000000"/>
            </w:tcBorders>
            <w:vAlign w:val="bottom"/>
          </w:tcPr>
          <w:p w14:paraId="1B2DDB4C" w14:textId="77777777" w:rsidR="00C8460D" w:rsidRDefault="00C8460D" w:rsidP="008133A3">
            <w:pPr>
              <w:spacing w:after="0" w:line="259" w:lineRule="auto"/>
              <w:ind w:left="0" w:firstLine="0"/>
            </w:pPr>
            <w:r>
              <w:t xml:space="preserve"> </w:t>
            </w:r>
          </w:p>
        </w:tc>
        <w:tc>
          <w:tcPr>
            <w:tcW w:w="8283" w:type="dxa"/>
            <w:tcBorders>
              <w:top w:val="single" w:sz="4" w:space="0" w:color="000000"/>
              <w:left w:val="single" w:sz="4" w:space="0" w:color="000000"/>
              <w:bottom w:val="single" w:sz="4" w:space="0" w:color="000000"/>
              <w:right w:val="single" w:sz="4" w:space="0" w:color="000000"/>
            </w:tcBorders>
            <w:vAlign w:val="bottom"/>
          </w:tcPr>
          <w:p w14:paraId="4942B020" w14:textId="77777777" w:rsidR="00C8460D" w:rsidRDefault="00C8460D" w:rsidP="008133A3">
            <w:pPr>
              <w:spacing w:after="0" w:line="259" w:lineRule="auto"/>
              <w:ind w:left="2" w:firstLine="0"/>
            </w:pPr>
            <w:r>
              <w:rPr>
                <w:b/>
              </w:rPr>
              <w:t xml:space="preserve">The appointed persons summary of the main issues  </w:t>
            </w:r>
          </w:p>
        </w:tc>
      </w:tr>
      <w:tr w:rsidR="00C8460D" w14:paraId="16817C1B" w14:textId="77777777" w:rsidTr="008133A3">
        <w:trPr>
          <w:trHeight w:val="456"/>
        </w:trPr>
        <w:tc>
          <w:tcPr>
            <w:tcW w:w="958"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10C9F80" w14:textId="77777777" w:rsidR="00C8460D" w:rsidRDefault="00C8460D" w:rsidP="008133A3">
            <w:pPr>
              <w:spacing w:after="0" w:line="259" w:lineRule="auto"/>
              <w:ind w:left="0" w:firstLine="0"/>
            </w:pPr>
            <w:r>
              <w:t xml:space="preserve"> </w:t>
            </w:r>
          </w:p>
        </w:tc>
        <w:tc>
          <w:tcPr>
            <w:tcW w:w="8283"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7C4FA532" w14:textId="77777777" w:rsidR="00C8460D" w:rsidRDefault="00C8460D" w:rsidP="008133A3">
            <w:pPr>
              <w:spacing w:after="0" w:line="259" w:lineRule="auto"/>
              <w:ind w:left="0" w:firstLine="0"/>
            </w:pPr>
            <w:r>
              <w:rPr>
                <w:b/>
              </w:rPr>
              <w:t xml:space="preserve">Speakers  </w:t>
            </w:r>
          </w:p>
        </w:tc>
      </w:tr>
      <w:tr w:rsidR="00C8460D" w14:paraId="372384CD" w14:textId="77777777" w:rsidTr="008133A3">
        <w:trPr>
          <w:trHeight w:val="457"/>
        </w:trPr>
        <w:tc>
          <w:tcPr>
            <w:tcW w:w="958" w:type="dxa"/>
            <w:tcBorders>
              <w:top w:val="single" w:sz="4" w:space="0" w:color="000000"/>
              <w:left w:val="single" w:sz="4" w:space="0" w:color="000000"/>
              <w:bottom w:val="single" w:sz="4" w:space="0" w:color="000000"/>
              <w:right w:val="single" w:sz="4" w:space="0" w:color="000000"/>
            </w:tcBorders>
            <w:vAlign w:val="bottom"/>
          </w:tcPr>
          <w:p w14:paraId="0082E4EA" w14:textId="77777777" w:rsidR="00C8460D" w:rsidRDefault="00C8460D" w:rsidP="008133A3">
            <w:pPr>
              <w:spacing w:after="0" w:line="259" w:lineRule="auto"/>
              <w:ind w:left="0" w:firstLine="0"/>
            </w:pPr>
            <w:r>
              <w:t xml:space="preserve"> </w:t>
            </w:r>
          </w:p>
        </w:tc>
        <w:tc>
          <w:tcPr>
            <w:tcW w:w="8283" w:type="dxa"/>
            <w:tcBorders>
              <w:top w:val="single" w:sz="4" w:space="0" w:color="000000"/>
              <w:left w:val="single" w:sz="4" w:space="0" w:color="000000"/>
              <w:bottom w:val="single" w:sz="4" w:space="0" w:color="000000"/>
              <w:right w:val="single" w:sz="4" w:space="0" w:color="000000"/>
            </w:tcBorders>
            <w:vAlign w:val="bottom"/>
          </w:tcPr>
          <w:p w14:paraId="389494F6" w14:textId="77777777" w:rsidR="00C8460D" w:rsidRDefault="00C8460D" w:rsidP="008133A3">
            <w:pPr>
              <w:spacing w:after="0" w:line="259" w:lineRule="auto"/>
              <w:ind w:left="2" w:firstLine="0"/>
            </w:pPr>
            <w:r>
              <w:t xml:space="preserve">Members of the public – if required </w:t>
            </w:r>
            <w:r>
              <w:tab/>
            </w:r>
            <w:r>
              <w:tab/>
            </w:r>
            <w:r>
              <w:tab/>
            </w:r>
            <w:r>
              <w:tab/>
              <w:t xml:space="preserve">03 minutes </w:t>
            </w:r>
          </w:p>
        </w:tc>
      </w:tr>
      <w:tr w:rsidR="00C8460D" w14:paraId="390C6EDD" w14:textId="77777777" w:rsidTr="008133A3">
        <w:trPr>
          <w:trHeight w:val="376"/>
        </w:trPr>
        <w:tc>
          <w:tcPr>
            <w:tcW w:w="958" w:type="dxa"/>
            <w:tcBorders>
              <w:top w:val="single" w:sz="4" w:space="0" w:color="000000"/>
              <w:left w:val="single" w:sz="4" w:space="0" w:color="000000"/>
              <w:bottom w:val="single" w:sz="4" w:space="0" w:color="000000"/>
              <w:right w:val="single" w:sz="4" w:space="0" w:color="000000"/>
            </w:tcBorders>
            <w:vAlign w:val="bottom"/>
          </w:tcPr>
          <w:p w14:paraId="68AA6CD5" w14:textId="77777777" w:rsidR="00C8460D" w:rsidRDefault="00C8460D" w:rsidP="008133A3">
            <w:pPr>
              <w:spacing w:after="0" w:line="259" w:lineRule="auto"/>
              <w:ind w:left="0" w:firstLine="0"/>
            </w:pPr>
            <w:r>
              <w:t xml:space="preserve"> </w:t>
            </w:r>
          </w:p>
        </w:tc>
        <w:tc>
          <w:tcPr>
            <w:tcW w:w="8283" w:type="dxa"/>
            <w:tcBorders>
              <w:top w:val="single" w:sz="4" w:space="0" w:color="000000"/>
              <w:left w:val="single" w:sz="4" w:space="0" w:color="000000"/>
              <w:bottom w:val="single" w:sz="4" w:space="0" w:color="000000"/>
              <w:right w:val="single" w:sz="4" w:space="0" w:color="000000"/>
            </w:tcBorders>
          </w:tcPr>
          <w:p w14:paraId="6D1E28B4" w14:textId="77777777" w:rsidR="00C8460D" w:rsidRDefault="00C8460D" w:rsidP="008133A3">
            <w:pPr>
              <w:spacing w:after="0" w:line="259" w:lineRule="auto"/>
              <w:ind w:left="2" w:firstLine="0"/>
            </w:pPr>
            <w:r>
              <w:t xml:space="preserve">Parish Council representative </w:t>
            </w:r>
            <w:r>
              <w:tab/>
            </w:r>
            <w:r>
              <w:tab/>
            </w:r>
            <w:r>
              <w:tab/>
            </w:r>
            <w:r>
              <w:tab/>
            </w:r>
            <w:r>
              <w:tab/>
              <w:t xml:space="preserve">10 minutes </w:t>
            </w:r>
          </w:p>
        </w:tc>
      </w:tr>
      <w:tr w:rsidR="00C8460D" w14:paraId="5EB29AC4" w14:textId="77777777" w:rsidTr="008133A3">
        <w:trPr>
          <w:trHeight w:val="354"/>
        </w:trPr>
        <w:tc>
          <w:tcPr>
            <w:tcW w:w="958" w:type="dxa"/>
            <w:tcBorders>
              <w:top w:val="single" w:sz="4" w:space="0" w:color="000000"/>
              <w:left w:val="single" w:sz="4" w:space="0" w:color="000000"/>
              <w:bottom w:val="single" w:sz="4" w:space="0" w:color="000000"/>
              <w:right w:val="single" w:sz="4" w:space="0" w:color="000000"/>
            </w:tcBorders>
            <w:vAlign w:val="bottom"/>
          </w:tcPr>
          <w:p w14:paraId="2D05D64C" w14:textId="77777777" w:rsidR="00C8460D" w:rsidRDefault="00C8460D" w:rsidP="008133A3">
            <w:pPr>
              <w:spacing w:after="0" w:line="259" w:lineRule="auto"/>
              <w:ind w:left="0" w:firstLine="0"/>
            </w:pPr>
            <w:r>
              <w:t xml:space="preserve"> </w:t>
            </w:r>
          </w:p>
        </w:tc>
        <w:tc>
          <w:tcPr>
            <w:tcW w:w="8283" w:type="dxa"/>
            <w:tcBorders>
              <w:top w:val="single" w:sz="4" w:space="0" w:color="000000"/>
              <w:left w:val="single" w:sz="4" w:space="0" w:color="000000"/>
              <w:bottom w:val="single" w:sz="4" w:space="0" w:color="000000"/>
              <w:right w:val="single" w:sz="4" w:space="0" w:color="000000"/>
            </w:tcBorders>
            <w:vAlign w:val="bottom"/>
          </w:tcPr>
          <w:p w14:paraId="53FAFC6C" w14:textId="77777777" w:rsidR="00C8460D" w:rsidRDefault="00C8460D" w:rsidP="008133A3">
            <w:pPr>
              <w:spacing w:after="0" w:line="259" w:lineRule="auto"/>
              <w:ind w:left="2" w:firstLine="0"/>
            </w:pPr>
            <w:r>
              <w:t xml:space="preserve">Ward Members </w:t>
            </w:r>
            <w:r>
              <w:tab/>
            </w:r>
            <w:r>
              <w:tab/>
            </w:r>
            <w:r>
              <w:tab/>
            </w:r>
            <w:r>
              <w:tab/>
            </w:r>
            <w:r>
              <w:tab/>
            </w:r>
            <w:r>
              <w:tab/>
            </w:r>
            <w:r>
              <w:tab/>
              <w:t xml:space="preserve">10 minutes </w:t>
            </w:r>
          </w:p>
        </w:tc>
      </w:tr>
      <w:tr w:rsidR="00C8460D" w14:paraId="7171CC61" w14:textId="77777777" w:rsidTr="008133A3">
        <w:trPr>
          <w:trHeight w:val="360"/>
        </w:trPr>
        <w:tc>
          <w:tcPr>
            <w:tcW w:w="958" w:type="dxa"/>
            <w:tcBorders>
              <w:top w:val="single" w:sz="4" w:space="0" w:color="000000"/>
              <w:left w:val="single" w:sz="4" w:space="0" w:color="000000"/>
              <w:bottom w:val="single" w:sz="4" w:space="0" w:color="000000"/>
              <w:right w:val="single" w:sz="4" w:space="0" w:color="000000"/>
            </w:tcBorders>
            <w:vAlign w:val="bottom"/>
          </w:tcPr>
          <w:p w14:paraId="04E841C0" w14:textId="77777777" w:rsidR="00C8460D" w:rsidRDefault="00C8460D" w:rsidP="008133A3">
            <w:pPr>
              <w:spacing w:after="0" w:line="259" w:lineRule="auto"/>
              <w:ind w:left="0" w:firstLine="0"/>
            </w:pPr>
            <w:r>
              <w:t xml:space="preserve"> </w:t>
            </w:r>
          </w:p>
        </w:tc>
        <w:tc>
          <w:tcPr>
            <w:tcW w:w="8283" w:type="dxa"/>
            <w:tcBorders>
              <w:top w:val="single" w:sz="4" w:space="0" w:color="000000"/>
              <w:left w:val="single" w:sz="4" w:space="0" w:color="000000"/>
              <w:bottom w:val="single" w:sz="4" w:space="0" w:color="000000"/>
              <w:right w:val="single" w:sz="4" w:space="0" w:color="000000"/>
            </w:tcBorders>
            <w:vAlign w:val="bottom"/>
          </w:tcPr>
          <w:p w14:paraId="5D2F0F7B" w14:textId="77777777" w:rsidR="00C8460D" w:rsidRDefault="00C8460D" w:rsidP="008133A3">
            <w:pPr>
              <w:spacing w:after="0" w:line="259" w:lineRule="auto"/>
              <w:ind w:left="2" w:firstLine="0"/>
            </w:pPr>
            <w:r>
              <w:t xml:space="preserve">Statutory and non-statutory consultees  </w:t>
            </w:r>
            <w:r>
              <w:tab/>
            </w:r>
            <w:r>
              <w:tab/>
            </w:r>
            <w:r>
              <w:tab/>
              <w:t xml:space="preserve">05 minutes </w:t>
            </w:r>
          </w:p>
        </w:tc>
      </w:tr>
      <w:tr w:rsidR="00C8460D" w14:paraId="256DF2B6" w14:textId="77777777" w:rsidTr="008133A3">
        <w:trPr>
          <w:trHeight w:val="352"/>
        </w:trPr>
        <w:tc>
          <w:tcPr>
            <w:tcW w:w="958" w:type="dxa"/>
            <w:tcBorders>
              <w:top w:val="single" w:sz="4" w:space="0" w:color="000000"/>
              <w:left w:val="single" w:sz="4" w:space="0" w:color="000000"/>
              <w:bottom w:val="single" w:sz="4" w:space="0" w:color="000000"/>
              <w:right w:val="single" w:sz="4" w:space="0" w:color="000000"/>
            </w:tcBorders>
            <w:vAlign w:val="bottom"/>
          </w:tcPr>
          <w:p w14:paraId="35BA9841" w14:textId="77777777" w:rsidR="00C8460D" w:rsidRDefault="00C8460D" w:rsidP="008133A3">
            <w:pPr>
              <w:spacing w:after="0" w:line="259" w:lineRule="auto"/>
              <w:ind w:left="0" w:firstLine="0"/>
            </w:pPr>
            <w:r>
              <w:t xml:space="preserve"> </w:t>
            </w:r>
          </w:p>
        </w:tc>
        <w:tc>
          <w:tcPr>
            <w:tcW w:w="8283" w:type="dxa"/>
            <w:tcBorders>
              <w:top w:val="single" w:sz="4" w:space="0" w:color="000000"/>
              <w:left w:val="single" w:sz="4" w:space="0" w:color="000000"/>
              <w:bottom w:val="single" w:sz="4" w:space="0" w:color="000000"/>
              <w:right w:val="single" w:sz="4" w:space="0" w:color="000000"/>
            </w:tcBorders>
            <w:vAlign w:val="bottom"/>
          </w:tcPr>
          <w:p w14:paraId="526FC88F" w14:textId="77777777" w:rsidR="00C8460D" w:rsidRDefault="00C8460D" w:rsidP="008133A3">
            <w:pPr>
              <w:spacing w:after="0" w:line="259" w:lineRule="auto"/>
              <w:ind w:left="2" w:firstLine="0"/>
            </w:pPr>
            <w:r>
              <w:t xml:space="preserve">The LPA </w:t>
            </w:r>
            <w:r>
              <w:tab/>
            </w:r>
            <w:r>
              <w:tab/>
            </w:r>
            <w:r>
              <w:tab/>
            </w:r>
            <w:r>
              <w:tab/>
            </w:r>
            <w:r>
              <w:tab/>
            </w:r>
            <w:r>
              <w:tab/>
            </w:r>
            <w:r>
              <w:tab/>
            </w:r>
            <w:r>
              <w:tab/>
              <w:t xml:space="preserve">15 minutes </w:t>
            </w:r>
          </w:p>
        </w:tc>
      </w:tr>
      <w:tr w:rsidR="00C8460D" w14:paraId="10C6F275" w14:textId="77777777" w:rsidTr="008133A3">
        <w:trPr>
          <w:trHeight w:val="458"/>
        </w:trPr>
        <w:tc>
          <w:tcPr>
            <w:tcW w:w="958" w:type="dxa"/>
            <w:tcBorders>
              <w:top w:val="single" w:sz="4" w:space="0" w:color="000000"/>
              <w:left w:val="single" w:sz="4" w:space="0" w:color="000000"/>
              <w:bottom w:val="single" w:sz="4" w:space="0" w:color="000000"/>
              <w:right w:val="single" w:sz="4" w:space="0" w:color="000000"/>
            </w:tcBorders>
            <w:vAlign w:val="bottom"/>
          </w:tcPr>
          <w:p w14:paraId="06050504" w14:textId="77777777" w:rsidR="00C8460D" w:rsidRDefault="00C8460D" w:rsidP="008133A3">
            <w:pPr>
              <w:spacing w:after="0" w:line="259" w:lineRule="auto"/>
              <w:ind w:left="0" w:firstLine="0"/>
            </w:pPr>
            <w:r>
              <w:t xml:space="preserve"> </w:t>
            </w:r>
          </w:p>
        </w:tc>
        <w:tc>
          <w:tcPr>
            <w:tcW w:w="8283" w:type="dxa"/>
            <w:tcBorders>
              <w:top w:val="single" w:sz="4" w:space="0" w:color="000000"/>
              <w:left w:val="single" w:sz="4" w:space="0" w:color="000000"/>
              <w:bottom w:val="single" w:sz="4" w:space="0" w:color="000000"/>
              <w:right w:val="single" w:sz="4" w:space="0" w:color="000000"/>
            </w:tcBorders>
            <w:vAlign w:val="bottom"/>
          </w:tcPr>
          <w:p w14:paraId="099E1637" w14:textId="77777777" w:rsidR="00C8460D" w:rsidRDefault="00C8460D" w:rsidP="008133A3">
            <w:pPr>
              <w:spacing w:after="0" w:line="259" w:lineRule="auto"/>
              <w:ind w:left="2" w:firstLine="0"/>
            </w:pPr>
            <w:r>
              <w:t xml:space="preserve">The applicant  </w:t>
            </w:r>
            <w:r>
              <w:tab/>
            </w:r>
            <w:r>
              <w:tab/>
            </w:r>
            <w:r>
              <w:tab/>
            </w:r>
            <w:r>
              <w:tab/>
            </w:r>
            <w:r>
              <w:tab/>
            </w:r>
            <w:r>
              <w:tab/>
            </w:r>
            <w:r>
              <w:tab/>
              <w:t xml:space="preserve">30 minutes </w:t>
            </w:r>
          </w:p>
        </w:tc>
      </w:tr>
      <w:tr w:rsidR="00C8460D" w14:paraId="727ED8FE" w14:textId="77777777" w:rsidTr="008133A3">
        <w:trPr>
          <w:trHeight w:val="454"/>
        </w:trPr>
        <w:tc>
          <w:tcPr>
            <w:tcW w:w="958"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3B502801" w14:textId="77777777" w:rsidR="00C8460D" w:rsidRDefault="00C8460D" w:rsidP="008133A3">
            <w:pPr>
              <w:spacing w:after="0" w:line="259" w:lineRule="auto"/>
              <w:ind w:left="0" w:firstLine="0"/>
            </w:pPr>
            <w:r>
              <w:t xml:space="preserve"> </w:t>
            </w:r>
          </w:p>
        </w:tc>
        <w:tc>
          <w:tcPr>
            <w:tcW w:w="8283"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0D1B7C5E" w14:textId="5983467B" w:rsidR="00C8460D" w:rsidRDefault="00F010C3" w:rsidP="008133A3">
            <w:pPr>
              <w:spacing w:after="0" w:line="259" w:lineRule="auto"/>
              <w:ind w:left="0" w:firstLine="0"/>
            </w:pPr>
            <w:r>
              <w:rPr>
                <w:b/>
              </w:rPr>
              <w:t xml:space="preserve">Discussion on Conditions were the </w:t>
            </w:r>
            <w:r w:rsidR="00E71240">
              <w:rPr>
                <w:b/>
              </w:rPr>
              <w:t>application</w:t>
            </w:r>
            <w:r>
              <w:rPr>
                <w:b/>
              </w:rPr>
              <w:t xml:space="preserve"> to be permitted</w:t>
            </w:r>
            <w:r w:rsidR="00E71240">
              <w:rPr>
                <w:b/>
              </w:rPr>
              <w:t>.</w:t>
            </w:r>
            <w:r w:rsidR="00C8460D">
              <w:rPr>
                <w:b/>
              </w:rPr>
              <w:t xml:space="preserve"> </w:t>
            </w:r>
          </w:p>
        </w:tc>
      </w:tr>
      <w:tr w:rsidR="00C8460D" w14:paraId="50D960B8" w14:textId="77777777" w:rsidTr="008133A3">
        <w:trPr>
          <w:trHeight w:val="454"/>
        </w:trPr>
        <w:tc>
          <w:tcPr>
            <w:tcW w:w="958"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075786FB" w14:textId="77777777" w:rsidR="00C8460D" w:rsidRDefault="00C8460D" w:rsidP="008133A3">
            <w:pPr>
              <w:spacing w:after="0" w:line="259" w:lineRule="auto"/>
              <w:ind w:left="0" w:firstLine="0"/>
            </w:pPr>
            <w:r>
              <w:t xml:space="preserve"> </w:t>
            </w:r>
          </w:p>
        </w:tc>
        <w:tc>
          <w:tcPr>
            <w:tcW w:w="8283"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3E204A7" w14:textId="74DE02BD" w:rsidR="00C8460D" w:rsidRDefault="00E71240" w:rsidP="008133A3">
            <w:pPr>
              <w:spacing w:after="0" w:line="259" w:lineRule="auto"/>
              <w:ind w:left="2" w:firstLine="0"/>
            </w:pPr>
            <w:r>
              <w:rPr>
                <w:b/>
              </w:rPr>
              <w:t>The appointed persons closing remarks</w:t>
            </w:r>
            <w:r>
              <w:rPr>
                <w:b/>
              </w:rPr>
              <w:t>.</w:t>
            </w:r>
          </w:p>
        </w:tc>
      </w:tr>
      <w:tr w:rsidR="00E71240" w14:paraId="3FF0AD50" w14:textId="77777777" w:rsidTr="008133A3">
        <w:trPr>
          <w:trHeight w:val="454"/>
        </w:trPr>
        <w:tc>
          <w:tcPr>
            <w:tcW w:w="958"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1BCB4345" w14:textId="77777777" w:rsidR="00E71240" w:rsidRDefault="00E71240" w:rsidP="008133A3">
            <w:pPr>
              <w:spacing w:after="0" w:line="259" w:lineRule="auto"/>
              <w:ind w:left="0" w:firstLine="0"/>
            </w:pPr>
          </w:p>
        </w:tc>
        <w:tc>
          <w:tcPr>
            <w:tcW w:w="8283"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FE06E34" w14:textId="5659B4C5" w:rsidR="00E71240" w:rsidRDefault="00E71240" w:rsidP="008133A3">
            <w:pPr>
              <w:spacing w:after="0" w:line="259" w:lineRule="auto"/>
              <w:ind w:left="2" w:firstLine="0"/>
              <w:rPr>
                <w:b/>
              </w:rPr>
            </w:pPr>
            <w:r>
              <w:rPr>
                <w:b/>
              </w:rPr>
              <w:t>Close</w:t>
            </w:r>
          </w:p>
        </w:tc>
      </w:tr>
    </w:tbl>
    <w:p w14:paraId="3E605BD2" w14:textId="77777777" w:rsidR="00C8460D" w:rsidRDefault="00C8460D" w:rsidP="00C8460D">
      <w:pPr>
        <w:spacing w:after="0" w:line="259" w:lineRule="auto"/>
        <w:ind w:left="524" w:firstLine="0"/>
      </w:pPr>
      <w:r>
        <w:rPr>
          <w:b/>
        </w:rPr>
        <w:t>(Timings are approximate)</w:t>
      </w:r>
    </w:p>
    <w:p w14:paraId="11AF4D20" w14:textId="77777777" w:rsidR="00C8460D" w:rsidRDefault="00C8460D" w:rsidP="00C8460D">
      <w:pPr>
        <w:spacing w:after="0" w:line="259" w:lineRule="auto"/>
        <w:ind w:left="524" w:firstLine="0"/>
      </w:pPr>
      <w:r>
        <w:rPr>
          <w:b/>
        </w:rPr>
        <w:t xml:space="preserve"> </w:t>
      </w:r>
    </w:p>
    <w:p w14:paraId="0D2E8332" w14:textId="77777777" w:rsidR="00C8460D" w:rsidRDefault="00C8460D" w:rsidP="00C8460D">
      <w:pPr>
        <w:spacing w:after="14"/>
        <w:ind w:left="519"/>
        <w:rPr>
          <w:b/>
        </w:rPr>
      </w:pPr>
    </w:p>
    <w:p w14:paraId="4C6BBBFA" w14:textId="1F75AFB7" w:rsidR="00C8460D" w:rsidRDefault="00C8460D" w:rsidP="00337C69">
      <w:pPr>
        <w:spacing w:after="160" w:line="259" w:lineRule="auto"/>
        <w:ind w:left="0" w:firstLine="0"/>
        <w:rPr>
          <w:b/>
        </w:rPr>
      </w:pPr>
      <w:r>
        <w:rPr>
          <w:b/>
        </w:rPr>
        <w:t xml:space="preserve">Please note:  </w:t>
      </w:r>
    </w:p>
    <w:p w14:paraId="66E221E7" w14:textId="77777777" w:rsidR="00C8460D" w:rsidRDefault="00C8460D" w:rsidP="00C8460D">
      <w:pPr>
        <w:spacing w:after="14"/>
        <w:ind w:left="519"/>
      </w:pPr>
    </w:p>
    <w:p w14:paraId="5C17431B" w14:textId="77777777" w:rsidR="00C8460D" w:rsidRDefault="00C8460D" w:rsidP="00C8460D">
      <w:pPr>
        <w:numPr>
          <w:ilvl w:val="0"/>
          <w:numId w:val="1"/>
        </w:numPr>
        <w:spacing w:after="1" w:line="238" w:lineRule="auto"/>
        <w:ind w:right="5" w:hanging="384"/>
      </w:pPr>
      <w:r>
        <w:t xml:space="preserve">The appointed person will determine the procedure at the Hearing. Please see the </w:t>
      </w:r>
      <w:r>
        <w:rPr>
          <w:b/>
        </w:rPr>
        <w:t>Procedural Guidance</w:t>
      </w:r>
      <w:r>
        <w:t xml:space="preserve"> produced by the Planning Inspectorate for more information on how the Hearing will be conducted. </w:t>
      </w:r>
      <w:hyperlink r:id="rId6" w:history="1">
        <w:r w:rsidRPr="00885EAD">
          <w:rPr>
            <w:rStyle w:val="Hyperlink"/>
            <w:b/>
          </w:rPr>
          <w:t>https://www.gov.uk/government/publications/planning-applications-process-section-62a-authorities-in-special-measures/procedural-guidance-for-section-62a-authorities-in-special-measures</w:t>
        </w:r>
      </w:hyperlink>
      <w:r>
        <w:rPr>
          <w:b/>
        </w:rPr>
        <w:t xml:space="preserve"> </w:t>
      </w:r>
    </w:p>
    <w:p w14:paraId="0376421F" w14:textId="77777777" w:rsidR="00C8460D" w:rsidRDefault="00C8460D" w:rsidP="00C8460D">
      <w:pPr>
        <w:spacing w:after="9" w:line="259" w:lineRule="auto"/>
        <w:ind w:left="951" w:hanging="384"/>
      </w:pPr>
      <w:r>
        <w:t xml:space="preserve"> </w:t>
      </w:r>
    </w:p>
    <w:p w14:paraId="6AD35489" w14:textId="77777777" w:rsidR="00C8460D" w:rsidRDefault="00C8460D" w:rsidP="00C8460D">
      <w:pPr>
        <w:numPr>
          <w:ilvl w:val="0"/>
          <w:numId w:val="1"/>
        </w:numPr>
        <w:spacing w:after="9"/>
        <w:ind w:right="5" w:hanging="384"/>
      </w:pPr>
      <w:r>
        <w:t xml:space="preserve">The following are entitled to speak at the Hearing:  </w:t>
      </w:r>
    </w:p>
    <w:p w14:paraId="485EEB3A" w14:textId="77777777" w:rsidR="00C8460D" w:rsidRDefault="00C8460D" w:rsidP="00C8460D">
      <w:pPr>
        <w:spacing w:after="0" w:line="259" w:lineRule="auto"/>
        <w:ind w:left="951" w:hanging="384"/>
      </w:pPr>
      <w:r>
        <w:t xml:space="preserve"> </w:t>
      </w:r>
    </w:p>
    <w:p w14:paraId="7C72F9CA" w14:textId="77777777" w:rsidR="00C8460D" w:rsidRDefault="00C8460D" w:rsidP="00C8460D">
      <w:pPr>
        <w:spacing w:after="22"/>
        <w:ind w:left="951" w:right="5" w:firstLine="0"/>
      </w:pPr>
      <w:r>
        <w:t xml:space="preserve">the applicant, the designated planning authority, any councillor of the designated planning authority for the ward in which the application site (or any part of the application site) is situated, a statutory consultee, the district/county planning authority (where not the designated authority), the parish council and any person who made representations on the application within the representation period and, when making representations, requested to be heard. </w:t>
      </w:r>
    </w:p>
    <w:p w14:paraId="61E5C5E6" w14:textId="77777777" w:rsidR="00C8460D" w:rsidRDefault="00C8460D" w:rsidP="00C8460D">
      <w:pPr>
        <w:spacing w:after="22"/>
        <w:ind w:left="1254" w:right="5"/>
      </w:pPr>
    </w:p>
    <w:p w14:paraId="7FDCD624" w14:textId="56102767" w:rsidR="00C8460D" w:rsidRDefault="00C8460D" w:rsidP="00C8460D">
      <w:pPr>
        <w:pStyle w:val="ListParagraph"/>
        <w:numPr>
          <w:ilvl w:val="0"/>
          <w:numId w:val="1"/>
        </w:numPr>
        <w:spacing w:after="0" w:line="259" w:lineRule="auto"/>
        <w:ind w:right="5" w:hanging="384"/>
      </w:pPr>
      <w:r>
        <w:t xml:space="preserve">The appointed person may refuse to permit representations which are considered irrelevant or repetitious. </w:t>
      </w:r>
    </w:p>
    <w:p w14:paraId="44C46BDD" w14:textId="77777777" w:rsidR="00C8460D" w:rsidRDefault="00C8460D" w:rsidP="00C8460D">
      <w:pPr>
        <w:spacing w:after="0" w:line="259" w:lineRule="auto"/>
        <w:ind w:left="884" w:right="5" w:hanging="384"/>
      </w:pPr>
    </w:p>
    <w:p w14:paraId="0E456437" w14:textId="4ADE08E2" w:rsidR="00C8460D" w:rsidRDefault="00C8460D" w:rsidP="00C8460D">
      <w:pPr>
        <w:pStyle w:val="ListParagraph"/>
        <w:numPr>
          <w:ilvl w:val="0"/>
          <w:numId w:val="1"/>
        </w:numPr>
        <w:spacing w:after="0" w:line="259" w:lineRule="auto"/>
        <w:ind w:right="5" w:hanging="384"/>
      </w:pPr>
      <w:r>
        <w:t xml:space="preserve">The appointed person may require any person appearing or present at the hearing who, in his/her opinion, is behaving disruptively to leave. </w:t>
      </w:r>
    </w:p>
    <w:p w14:paraId="4307A38A" w14:textId="77777777" w:rsidR="00C8460D" w:rsidRDefault="00C8460D" w:rsidP="00C8460D">
      <w:pPr>
        <w:pStyle w:val="ListParagraph"/>
        <w:spacing w:after="0" w:line="259" w:lineRule="auto"/>
        <w:ind w:left="951" w:right="5" w:firstLine="0"/>
      </w:pPr>
    </w:p>
    <w:p w14:paraId="425F8D41" w14:textId="5839AD0A" w:rsidR="00C8460D" w:rsidRDefault="00C8460D" w:rsidP="00C8460D">
      <w:pPr>
        <w:numPr>
          <w:ilvl w:val="0"/>
          <w:numId w:val="1"/>
        </w:numPr>
        <w:spacing w:after="9" w:line="259" w:lineRule="auto"/>
        <w:ind w:right="5" w:hanging="384"/>
      </w:pPr>
      <w:r>
        <w:t xml:space="preserve">The appointed person may proceed with the hearing in the absence of any person entitled to appear at it. </w:t>
      </w:r>
    </w:p>
    <w:p w14:paraId="4EE8E8D9" w14:textId="77777777" w:rsidR="00C8460D" w:rsidRDefault="00C8460D" w:rsidP="00C8460D">
      <w:pPr>
        <w:spacing w:after="9" w:line="259" w:lineRule="auto"/>
        <w:ind w:left="951" w:right="5" w:firstLine="0"/>
      </w:pPr>
    </w:p>
    <w:p w14:paraId="193ED3BC" w14:textId="77777777" w:rsidR="00C8460D" w:rsidRDefault="00C8460D" w:rsidP="00C8460D">
      <w:pPr>
        <w:numPr>
          <w:ilvl w:val="0"/>
          <w:numId w:val="1"/>
        </w:numPr>
        <w:spacing w:after="9" w:line="259" w:lineRule="auto"/>
        <w:ind w:right="5" w:hanging="384"/>
      </w:pPr>
      <w:r>
        <w:t xml:space="preserve">The appointed person may adjourn a hearing. </w:t>
      </w:r>
    </w:p>
    <w:p w14:paraId="091C0D3D" w14:textId="1722489B" w:rsidR="00C8460D" w:rsidRDefault="00C8460D" w:rsidP="00C8460D">
      <w:pPr>
        <w:spacing w:after="9" w:line="259" w:lineRule="auto"/>
        <w:ind w:left="534" w:right="5" w:firstLine="0"/>
      </w:pPr>
    </w:p>
    <w:p w14:paraId="182BA65C" w14:textId="77777777" w:rsidR="00C8460D" w:rsidRDefault="00C8460D" w:rsidP="00C8460D">
      <w:pPr>
        <w:spacing w:after="9" w:line="259" w:lineRule="auto"/>
        <w:ind w:left="534" w:right="5" w:firstLine="0"/>
      </w:pPr>
    </w:p>
    <w:p w14:paraId="731A67EB" w14:textId="77777777" w:rsidR="00C8460D" w:rsidRDefault="00C8460D" w:rsidP="00C8460D">
      <w:pPr>
        <w:spacing w:after="9" w:line="259" w:lineRule="auto"/>
        <w:ind w:left="534" w:right="5" w:firstLine="0"/>
      </w:pPr>
    </w:p>
    <w:p w14:paraId="58A56999" w14:textId="26ADF165" w:rsidR="00C8460D" w:rsidRDefault="00C8460D" w:rsidP="00C8460D">
      <w:pPr>
        <w:spacing w:after="358" w:line="259" w:lineRule="auto"/>
        <w:ind w:left="524" w:firstLine="0"/>
      </w:pPr>
    </w:p>
    <w:p w14:paraId="5CD0E9F2" w14:textId="77777777" w:rsidR="00C8460D" w:rsidRDefault="00C8460D" w:rsidP="00C8460D">
      <w:pPr>
        <w:spacing w:after="0" w:line="259" w:lineRule="auto"/>
        <w:ind w:left="524" w:firstLine="0"/>
      </w:pPr>
      <w:r>
        <w:t xml:space="preserve"> </w:t>
      </w:r>
    </w:p>
    <w:p w14:paraId="55ABE12C" w14:textId="77777777" w:rsidR="00C8460D" w:rsidRDefault="00C8460D" w:rsidP="00C8460D">
      <w:pPr>
        <w:pStyle w:val="Heading3"/>
        <w:spacing w:after="14"/>
        <w:ind w:left="519"/>
        <w:rPr>
          <w:b/>
          <w:i w:val="0"/>
        </w:rPr>
      </w:pPr>
    </w:p>
    <w:p w14:paraId="3DEA4347" w14:textId="77777777" w:rsidR="00C8460D" w:rsidRDefault="00C8460D" w:rsidP="00C8460D">
      <w:pPr>
        <w:pStyle w:val="Heading3"/>
        <w:spacing w:after="14"/>
        <w:ind w:left="519"/>
        <w:rPr>
          <w:b/>
          <w:i w:val="0"/>
        </w:rPr>
      </w:pPr>
    </w:p>
    <w:p w14:paraId="5F23E304" w14:textId="77777777" w:rsidR="00C8460D" w:rsidRDefault="00C8460D" w:rsidP="00C8460D">
      <w:pPr>
        <w:pStyle w:val="Heading3"/>
        <w:spacing w:after="14"/>
        <w:ind w:left="519"/>
        <w:rPr>
          <w:b/>
          <w:i w:val="0"/>
        </w:rPr>
      </w:pPr>
    </w:p>
    <w:p w14:paraId="7EC903B0" w14:textId="77777777" w:rsidR="00C8460D" w:rsidRDefault="00C8460D" w:rsidP="00C8460D">
      <w:pPr>
        <w:pStyle w:val="Heading3"/>
        <w:spacing w:after="14"/>
        <w:ind w:left="519"/>
        <w:rPr>
          <w:b/>
          <w:i w:val="0"/>
        </w:rPr>
      </w:pPr>
    </w:p>
    <w:p w14:paraId="009F8515" w14:textId="77777777" w:rsidR="00C8460D" w:rsidRDefault="00C8460D" w:rsidP="00C8460D">
      <w:pPr>
        <w:pStyle w:val="Heading3"/>
        <w:spacing w:after="14"/>
        <w:ind w:left="519"/>
        <w:rPr>
          <w:b/>
          <w:i w:val="0"/>
        </w:rPr>
      </w:pPr>
    </w:p>
    <w:p w14:paraId="02C119C6" w14:textId="77777777" w:rsidR="00C8460D" w:rsidRDefault="00C8460D" w:rsidP="00C8460D">
      <w:pPr>
        <w:pStyle w:val="Heading3"/>
        <w:spacing w:after="14"/>
        <w:ind w:left="519"/>
        <w:rPr>
          <w:b/>
          <w:i w:val="0"/>
        </w:rPr>
      </w:pPr>
    </w:p>
    <w:p w14:paraId="45067BAD" w14:textId="77777777" w:rsidR="00C8460D" w:rsidRDefault="00C8460D" w:rsidP="00C8460D">
      <w:pPr>
        <w:pStyle w:val="Heading3"/>
        <w:spacing w:after="14"/>
        <w:ind w:left="519"/>
        <w:rPr>
          <w:b/>
          <w:i w:val="0"/>
        </w:rPr>
      </w:pPr>
    </w:p>
    <w:p w14:paraId="24C36A69" w14:textId="77777777" w:rsidR="00C8460D" w:rsidRDefault="00C8460D" w:rsidP="00C8460D">
      <w:pPr>
        <w:spacing w:after="17" w:line="259" w:lineRule="auto"/>
        <w:ind w:left="524" w:firstLine="0"/>
      </w:pPr>
    </w:p>
    <w:p w14:paraId="2D5887E8" w14:textId="77777777" w:rsidR="004464C7" w:rsidRDefault="004464C7"/>
    <w:sectPr w:rsidR="004464C7" w:rsidSect="00C8460D">
      <w:pgSz w:w="11906" w:h="16838"/>
      <w:pgMar w:top="720" w:right="720" w:bottom="720" w:left="993" w:header="720" w:footer="720" w:gutter="0"/>
      <w:pgNumType w:start="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43EB1"/>
    <w:multiLevelType w:val="hybridMultilevel"/>
    <w:tmpl w:val="8FE03034"/>
    <w:lvl w:ilvl="0" w:tplc="0809000F">
      <w:start w:val="1"/>
      <w:numFmt w:val="decimal"/>
      <w:lvlText w:val="%1."/>
      <w:lvlJc w:val="left"/>
      <w:pPr>
        <w:ind w:left="1604" w:hanging="360"/>
      </w:pPr>
    </w:lvl>
    <w:lvl w:ilvl="1" w:tplc="08090019" w:tentative="1">
      <w:start w:val="1"/>
      <w:numFmt w:val="lowerLetter"/>
      <w:lvlText w:val="%2."/>
      <w:lvlJc w:val="left"/>
      <w:pPr>
        <w:ind w:left="2324" w:hanging="360"/>
      </w:pPr>
    </w:lvl>
    <w:lvl w:ilvl="2" w:tplc="0809001B" w:tentative="1">
      <w:start w:val="1"/>
      <w:numFmt w:val="lowerRoman"/>
      <w:lvlText w:val="%3."/>
      <w:lvlJc w:val="right"/>
      <w:pPr>
        <w:ind w:left="3044" w:hanging="180"/>
      </w:pPr>
    </w:lvl>
    <w:lvl w:ilvl="3" w:tplc="0809000F" w:tentative="1">
      <w:start w:val="1"/>
      <w:numFmt w:val="decimal"/>
      <w:lvlText w:val="%4."/>
      <w:lvlJc w:val="left"/>
      <w:pPr>
        <w:ind w:left="3764" w:hanging="360"/>
      </w:pPr>
    </w:lvl>
    <w:lvl w:ilvl="4" w:tplc="08090019" w:tentative="1">
      <w:start w:val="1"/>
      <w:numFmt w:val="lowerLetter"/>
      <w:lvlText w:val="%5."/>
      <w:lvlJc w:val="left"/>
      <w:pPr>
        <w:ind w:left="4484" w:hanging="360"/>
      </w:pPr>
    </w:lvl>
    <w:lvl w:ilvl="5" w:tplc="0809001B" w:tentative="1">
      <w:start w:val="1"/>
      <w:numFmt w:val="lowerRoman"/>
      <w:lvlText w:val="%6."/>
      <w:lvlJc w:val="right"/>
      <w:pPr>
        <w:ind w:left="5204" w:hanging="180"/>
      </w:pPr>
    </w:lvl>
    <w:lvl w:ilvl="6" w:tplc="0809000F" w:tentative="1">
      <w:start w:val="1"/>
      <w:numFmt w:val="decimal"/>
      <w:lvlText w:val="%7."/>
      <w:lvlJc w:val="left"/>
      <w:pPr>
        <w:ind w:left="5924" w:hanging="360"/>
      </w:pPr>
    </w:lvl>
    <w:lvl w:ilvl="7" w:tplc="08090019" w:tentative="1">
      <w:start w:val="1"/>
      <w:numFmt w:val="lowerLetter"/>
      <w:lvlText w:val="%8."/>
      <w:lvlJc w:val="left"/>
      <w:pPr>
        <w:ind w:left="6644" w:hanging="360"/>
      </w:pPr>
    </w:lvl>
    <w:lvl w:ilvl="8" w:tplc="0809001B" w:tentative="1">
      <w:start w:val="1"/>
      <w:numFmt w:val="lowerRoman"/>
      <w:lvlText w:val="%9."/>
      <w:lvlJc w:val="right"/>
      <w:pPr>
        <w:ind w:left="7364" w:hanging="180"/>
      </w:pPr>
    </w:lvl>
  </w:abstractNum>
  <w:abstractNum w:abstractNumId="1" w15:restartNumberingAfterBreak="0">
    <w:nsid w:val="2356498D"/>
    <w:multiLevelType w:val="hybridMultilevel"/>
    <w:tmpl w:val="AD005AB2"/>
    <w:lvl w:ilvl="0" w:tplc="826875D0">
      <w:start w:val="1"/>
      <w:numFmt w:val="decimal"/>
      <w:lvlText w:val="%1."/>
      <w:lvlJc w:val="left"/>
      <w:pPr>
        <w:ind w:left="951" w:firstLine="0"/>
      </w:pPr>
      <w:rPr>
        <w:rFonts w:ascii="Verdana" w:eastAsia="Verdana" w:hAnsi="Verdana" w:cs="Verdana"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60D"/>
    <w:rsid w:val="00337C69"/>
    <w:rsid w:val="004464C7"/>
    <w:rsid w:val="00C8460D"/>
    <w:rsid w:val="00E71240"/>
    <w:rsid w:val="00F01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3D8D5"/>
  <w15:chartTrackingRefBased/>
  <w15:docId w15:val="{76202EAC-0CAD-4EE3-8BEA-02707DCE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60D"/>
    <w:pPr>
      <w:spacing w:after="201" w:line="249" w:lineRule="auto"/>
      <w:ind w:left="894" w:hanging="10"/>
    </w:pPr>
    <w:rPr>
      <w:rFonts w:ascii="Verdana" w:eastAsia="Verdana" w:hAnsi="Verdana" w:cs="Verdana"/>
      <w:color w:val="000000"/>
      <w:lang w:eastAsia="en-GB"/>
    </w:rPr>
  </w:style>
  <w:style w:type="paragraph" w:styleId="Heading1">
    <w:name w:val="heading 1"/>
    <w:next w:val="Normal"/>
    <w:link w:val="Heading1Char"/>
    <w:uiPriority w:val="9"/>
    <w:qFormat/>
    <w:rsid w:val="00C8460D"/>
    <w:pPr>
      <w:keepNext/>
      <w:keepLines/>
      <w:spacing w:after="46"/>
      <w:ind w:left="529" w:hanging="10"/>
      <w:jc w:val="center"/>
      <w:outlineLvl w:val="0"/>
    </w:pPr>
    <w:rPr>
      <w:rFonts w:ascii="Verdana" w:eastAsia="Verdana" w:hAnsi="Verdana" w:cs="Verdana"/>
      <w:b/>
      <w:color w:val="000000"/>
      <w:sz w:val="32"/>
      <w:lang w:eastAsia="en-GB"/>
    </w:rPr>
  </w:style>
  <w:style w:type="paragraph" w:styleId="Heading2">
    <w:name w:val="heading 2"/>
    <w:next w:val="Normal"/>
    <w:link w:val="Heading2Char"/>
    <w:uiPriority w:val="9"/>
    <w:unhideWhenUsed/>
    <w:qFormat/>
    <w:rsid w:val="00C8460D"/>
    <w:pPr>
      <w:keepNext/>
      <w:keepLines/>
      <w:spacing w:after="14" w:line="249" w:lineRule="auto"/>
      <w:ind w:left="534" w:hanging="10"/>
      <w:outlineLvl w:val="1"/>
    </w:pPr>
    <w:rPr>
      <w:rFonts w:ascii="Verdana" w:eastAsia="Verdana" w:hAnsi="Verdana" w:cs="Verdana"/>
      <w:b/>
      <w:color w:val="000000"/>
      <w:lang w:eastAsia="en-GB"/>
    </w:rPr>
  </w:style>
  <w:style w:type="paragraph" w:styleId="Heading3">
    <w:name w:val="heading 3"/>
    <w:next w:val="Normal"/>
    <w:link w:val="Heading3Char"/>
    <w:uiPriority w:val="9"/>
    <w:unhideWhenUsed/>
    <w:qFormat/>
    <w:rsid w:val="00C8460D"/>
    <w:pPr>
      <w:keepNext/>
      <w:keepLines/>
      <w:spacing w:after="202" w:line="249" w:lineRule="auto"/>
      <w:ind w:left="534" w:hanging="10"/>
      <w:outlineLvl w:val="2"/>
    </w:pPr>
    <w:rPr>
      <w:rFonts w:ascii="Verdana" w:eastAsia="Verdana" w:hAnsi="Verdana" w:cs="Verdana"/>
      <w: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60D"/>
    <w:rPr>
      <w:rFonts w:ascii="Verdana" w:eastAsia="Verdana" w:hAnsi="Verdana" w:cs="Verdana"/>
      <w:b/>
      <w:color w:val="000000"/>
      <w:sz w:val="32"/>
      <w:lang w:eastAsia="en-GB"/>
    </w:rPr>
  </w:style>
  <w:style w:type="character" w:customStyle="1" w:styleId="Heading2Char">
    <w:name w:val="Heading 2 Char"/>
    <w:basedOn w:val="DefaultParagraphFont"/>
    <w:link w:val="Heading2"/>
    <w:uiPriority w:val="9"/>
    <w:rsid w:val="00C8460D"/>
    <w:rPr>
      <w:rFonts w:ascii="Verdana" w:eastAsia="Verdana" w:hAnsi="Verdana" w:cs="Verdana"/>
      <w:b/>
      <w:color w:val="000000"/>
      <w:lang w:eastAsia="en-GB"/>
    </w:rPr>
  </w:style>
  <w:style w:type="character" w:customStyle="1" w:styleId="Heading3Char">
    <w:name w:val="Heading 3 Char"/>
    <w:basedOn w:val="DefaultParagraphFont"/>
    <w:link w:val="Heading3"/>
    <w:uiPriority w:val="9"/>
    <w:rsid w:val="00C8460D"/>
    <w:rPr>
      <w:rFonts w:ascii="Verdana" w:eastAsia="Verdana" w:hAnsi="Verdana" w:cs="Verdana"/>
      <w:i/>
      <w:color w:val="000000"/>
      <w:lang w:eastAsia="en-GB"/>
    </w:rPr>
  </w:style>
  <w:style w:type="table" w:customStyle="1" w:styleId="TableGrid">
    <w:name w:val="TableGrid"/>
    <w:rsid w:val="00C8460D"/>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C8460D"/>
    <w:rPr>
      <w:color w:val="0563C1" w:themeColor="hyperlink"/>
      <w:u w:val="single"/>
    </w:rPr>
  </w:style>
  <w:style w:type="paragraph" w:styleId="ListParagraph">
    <w:name w:val="List Paragraph"/>
    <w:basedOn w:val="Normal"/>
    <w:uiPriority w:val="34"/>
    <w:qFormat/>
    <w:rsid w:val="00C84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planning-applications-process-section-62a-authorities-in-special-measures/procedural-guidance-for-section-62a-authorities-in-special-measure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 Michael</dc:creator>
  <cp:keywords/>
  <dc:description/>
  <cp:lastModifiedBy>Robins, Michael</cp:lastModifiedBy>
  <cp:revision>4</cp:revision>
  <dcterms:created xsi:type="dcterms:W3CDTF">2022-07-29T12:25:00Z</dcterms:created>
  <dcterms:modified xsi:type="dcterms:W3CDTF">2022-08-01T10:45:00Z</dcterms:modified>
</cp:coreProperties>
</file>