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DD0C" w14:textId="69C056FF" w:rsidR="00697F83" w:rsidRPr="00697F83" w:rsidRDefault="00697F83" w:rsidP="00697F83">
      <w:pPr>
        <w:spacing w:line="288" w:lineRule="auto"/>
        <w:rPr>
          <w:rFonts w:ascii="Arial" w:eastAsia="Times New Roman" w:hAnsi="Arial" w:cs="Arial"/>
          <w:b/>
          <w:bCs/>
          <w:sz w:val="24"/>
          <w:szCs w:val="24"/>
          <w:lang w:eastAsia="en-GB"/>
        </w:rPr>
      </w:pPr>
      <w:r w:rsidRPr="00697F83">
        <w:rPr>
          <w:rFonts w:ascii="Arial" w:hAnsi="Arial" w:cs="Arial"/>
          <w:b/>
          <w:bCs/>
          <w:sz w:val="24"/>
          <w:szCs w:val="24"/>
        </w:rPr>
        <w:t xml:space="preserve">THE CONTEMPT “CODE” </w:t>
      </w:r>
    </w:p>
    <w:p w14:paraId="63A52201" w14:textId="405F5FFE" w:rsidR="00A70BEE" w:rsidRDefault="00697F83" w:rsidP="00697F83">
      <w:pPr>
        <w:pStyle w:val="submissionheading"/>
        <w:widowControl w:val="0"/>
        <w:spacing w:after="120" w:line="288" w:lineRule="auto"/>
        <w:rPr>
          <w:rFonts w:cs="Arial"/>
          <w:b w:val="0"/>
          <w:bCs w:val="0"/>
          <w:sz w:val="24"/>
          <w:szCs w:val="24"/>
        </w:rPr>
      </w:pPr>
      <w:r w:rsidRPr="00697F83">
        <w:rPr>
          <w:rFonts w:cs="Arial"/>
          <w:b w:val="0"/>
          <w:bCs w:val="0"/>
          <w:sz w:val="24"/>
          <w:szCs w:val="24"/>
        </w:rPr>
        <w:t xml:space="preserve">As with the </w:t>
      </w:r>
      <w:r w:rsidR="00EE2848">
        <w:rPr>
          <w:rFonts w:cs="Arial"/>
          <w:b w:val="0"/>
          <w:bCs w:val="0"/>
          <w:sz w:val="24"/>
          <w:szCs w:val="24"/>
        </w:rPr>
        <w:t xml:space="preserve">decision about whether to commence a criminal prosecution under the </w:t>
      </w:r>
      <w:r w:rsidRPr="00697F83">
        <w:rPr>
          <w:rFonts w:cs="Arial"/>
          <w:b w:val="0"/>
          <w:bCs w:val="0"/>
          <w:sz w:val="24"/>
          <w:szCs w:val="24"/>
        </w:rPr>
        <w:t xml:space="preserve">Code for Crown Prosecutors, </w:t>
      </w:r>
      <w:r w:rsidR="00EE2848">
        <w:rPr>
          <w:rFonts w:cs="Arial"/>
          <w:b w:val="0"/>
          <w:bCs w:val="0"/>
          <w:sz w:val="24"/>
          <w:szCs w:val="24"/>
        </w:rPr>
        <w:t>the normal procedure for deciding whether to instigate committal proceedings</w:t>
      </w:r>
      <w:r w:rsidR="00A70BEE">
        <w:rPr>
          <w:rFonts w:cs="Arial"/>
          <w:b w:val="0"/>
          <w:bCs w:val="0"/>
          <w:sz w:val="24"/>
          <w:szCs w:val="24"/>
        </w:rPr>
        <w:t xml:space="preserve"> </w:t>
      </w:r>
      <w:r w:rsidR="006F73BC">
        <w:rPr>
          <w:rFonts w:cs="Arial"/>
          <w:b w:val="0"/>
          <w:bCs w:val="0"/>
          <w:sz w:val="24"/>
          <w:szCs w:val="24"/>
        </w:rPr>
        <w:t xml:space="preserve">against a defendant </w:t>
      </w:r>
      <w:r w:rsidR="00EE2848">
        <w:rPr>
          <w:rFonts w:cs="Arial"/>
          <w:b w:val="0"/>
          <w:bCs w:val="0"/>
          <w:sz w:val="24"/>
          <w:szCs w:val="24"/>
        </w:rPr>
        <w:t xml:space="preserve">is </w:t>
      </w:r>
      <w:r w:rsidR="00A70BEE">
        <w:rPr>
          <w:rFonts w:cs="Arial"/>
          <w:b w:val="0"/>
          <w:bCs w:val="0"/>
          <w:sz w:val="24"/>
          <w:szCs w:val="24"/>
        </w:rPr>
        <w:t xml:space="preserve">to consider </w:t>
      </w:r>
      <w:r w:rsidR="00EE2848">
        <w:rPr>
          <w:rFonts w:cs="Arial"/>
          <w:b w:val="0"/>
          <w:bCs w:val="0"/>
          <w:sz w:val="24"/>
          <w:szCs w:val="24"/>
        </w:rPr>
        <w:t xml:space="preserve">first </w:t>
      </w:r>
      <w:r w:rsidR="00A70BEE">
        <w:rPr>
          <w:rFonts w:cs="Arial"/>
          <w:b w:val="0"/>
          <w:bCs w:val="0"/>
          <w:sz w:val="24"/>
          <w:szCs w:val="24"/>
        </w:rPr>
        <w:t xml:space="preserve">whether </w:t>
      </w:r>
      <w:r w:rsidRPr="00697F83">
        <w:rPr>
          <w:rFonts w:cs="Arial"/>
          <w:b w:val="0"/>
          <w:bCs w:val="0"/>
          <w:sz w:val="24"/>
          <w:szCs w:val="24"/>
        </w:rPr>
        <w:t>the evidential test is met</w:t>
      </w:r>
      <w:r w:rsidR="00A70BEE">
        <w:rPr>
          <w:rFonts w:cs="Arial"/>
          <w:b w:val="0"/>
          <w:bCs w:val="0"/>
          <w:sz w:val="24"/>
          <w:szCs w:val="24"/>
        </w:rPr>
        <w:t xml:space="preserve"> and, if it is, to consider whether it is in the public interest to commence</w:t>
      </w:r>
      <w:r w:rsidRPr="00697F83">
        <w:rPr>
          <w:rFonts w:cs="Arial"/>
          <w:b w:val="0"/>
          <w:bCs w:val="0"/>
          <w:sz w:val="24"/>
          <w:szCs w:val="24"/>
        </w:rPr>
        <w:t xml:space="preserve"> proceedings</w:t>
      </w:r>
      <w:r w:rsidR="00A70BEE">
        <w:rPr>
          <w:rFonts w:cs="Arial"/>
          <w:b w:val="0"/>
          <w:bCs w:val="0"/>
          <w:sz w:val="24"/>
          <w:szCs w:val="24"/>
        </w:rPr>
        <w:t>.</w:t>
      </w:r>
      <w:r w:rsidR="00844AB9">
        <w:rPr>
          <w:rFonts w:cs="Arial"/>
          <w:b w:val="0"/>
          <w:bCs w:val="0"/>
          <w:sz w:val="24"/>
          <w:szCs w:val="24"/>
        </w:rPr>
        <w:t xml:space="preserve"> In reaching a view on these matters the questions </w:t>
      </w:r>
      <w:r w:rsidR="00A3311F">
        <w:rPr>
          <w:rFonts w:cs="Arial"/>
          <w:b w:val="0"/>
          <w:bCs w:val="0"/>
          <w:sz w:val="24"/>
          <w:szCs w:val="24"/>
        </w:rPr>
        <w:t xml:space="preserve">set out below </w:t>
      </w:r>
      <w:r w:rsidR="00844AB9">
        <w:rPr>
          <w:rFonts w:cs="Arial"/>
          <w:b w:val="0"/>
          <w:bCs w:val="0"/>
          <w:sz w:val="24"/>
          <w:szCs w:val="24"/>
        </w:rPr>
        <w:t>are likely to be of assistance.</w:t>
      </w:r>
    </w:p>
    <w:p w14:paraId="63699939" w14:textId="5809AF09" w:rsidR="00A70BEE" w:rsidRDefault="00A70BEE" w:rsidP="00697F83">
      <w:pPr>
        <w:pStyle w:val="submissionheading"/>
        <w:widowControl w:val="0"/>
        <w:spacing w:after="120" w:line="288" w:lineRule="auto"/>
        <w:rPr>
          <w:rFonts w:cs="Arial"/>
          <w:b w:val="0"/>
          <w:bCs w:val="0"/>
          <w:sz w:val="24"/>
          <w:szCs w:val="24"/>
        </w:rPr>
      </w:pPr>
    </w:p>
    <w:p w14:paraId="3A4252B3" w14:textId="538FD1F8" w:rsidR="00697F83" w:rsidRPr="00697F83" w:rsidRDefault="00697F83" w:rsidP="00210A94">
      <w:pPr>
        <w:pStyle w:val="submissionheading"/>
        <w:widowControl w:val="0"/>
        <w:spacing w:after="120" w:line="288" w:lineRule="auto"/>
        <w:rPr>
          <w:rFonts w:cs="Arial"/>
          <w:b w:val="0"/>
          <w:bCs w:val="0"/>
          <w:sz w:val="24"/>
          <w:szCs w:val="24"/>
        </w:rPr>
      </w:pPr>
      <w:r w:rsidRPr="00697F83">
        <w:rPr>
          <w:rFonts w:cs="Arial"/>
          <w:b w:val="0"/>
          <w:bCs w:val="0"/>
          <w:sz w:val="24"/>
          <w:szCs w:val="24"/>
          <w:u w:val="single"/>
        </w:rPr>
        <w:t>Whether there is sufficient evidence to prove contempt to the criminal standard</w:t>
      </w:r>
      <w:r w:rsidRPr="00697F83">
        <w:rPr>
          <w:rFonts w:cs="Arial"/>
          <w:b w:val="0"/>
          <w:bCs w:val="0"/>
          <w:sz w:val="24"/>
          <w:szCs w:val="24"/>
        </w:rPr>
        <w:t xml:space="preserve">. </w:t>
      </w:r>
    </w:p>
    <w:p w14:paraId="1D6B70A6" w14:textId="170CDDE2" w:rsidR="00697F83" w:rsidRPr="00697F83" w:rsidRDefault="00697F83" w:rsidP="00697F83">
      <w:pPr>
        <w:pStyle w:val="submissionheading"/>
        <w:widowControl w:val="0"/>
        <w:numPr>
          <w:ilvl w:val="1"/>
          <w:numId w:val="3"/>
        </w:numPr>
        <w:spacing w:line="288" w:lineRule="auto"/>
        <w:ind w:left="1434" w:hanging="357"/>
        <w:rPr>
          <w:rFonts w:cs="Arial"/>
          <w:b w:val="0"/>
          <w:bCs w:val="0"/>
          <w:sz w:val="24"/>
          <w:szCs w:val="24"/>
        </w:rPr>
      </w:pPr>
      <w:r w:rsidRPr="00697F83">
        <w:rPr>
          <w:rFonts w:cs="Arial"/>
          <w:b w:val="0"/>
          <w:bCs w:val="0"/>
          <w:sz w:val="24"/>
          <w:szCs w:val="24"/>
        </w:rPr>
        <w:t xml:space="preserve">Can the evidence be used in court? </w:t>
      </w:r>
      <w:r w:rsidR="00210A94" w:rsidRPr="00697F83">
        <w:rPr>
          <w:rFonts w:cs="Arial"/>
          <w:b w:val="0"/>
          <w:bCs w:val="0"/>
          <w:sz w:val="24"/>
          <w:szCs w:val="24"/>
        </w:rPr>
        <w:t>I.e.,</w:t>
      </w:r>
      <w:r w:rsidRPr="00697F83">
        <w:rPr>
          <w:rFonts w:cs="Arial"/>
          <w:b w:val="0"/>
          <w:bCs w:val="0"/>
          <w:sz w:val="24"/>
          <w:szCs w:val="24"/>
        </w:rPr>
        <w:t xml:space="preserve"> is there any question over the admissibility of certain evidence?</w:t>
      </w:r>
    </w:p>
    <w:p w14:paraId="3DCD5F0E" w14:textId="277FDA24" w:rsidR="00697F83" w:rsidRPr="00697F83" w:rsidRDefault="00697F83" w:rsidP="00697F83">
      <w:pPr>
        <w:pStyle w:val="submissionheading"/>
        <w:widowControl w:val="0"/>
        <w:numPr>
          <w:ilvl w:val="1"/>
          <w:numId w:val="3"/>
        </w:numPr>
        <w:spacing w:line="288" w:lineRule="auto"/>
        <w:ind w:left="1434" w:hanging="357"/>
        <w:rPr>
          <w:rFonts w:cs="Arial"/>
          <w:b w:val="0"/>
          <w:bCs w:val="0"/>
          <w:sz w:val="24"/>
          <w:szCs w:val="24"/>
        </w:rPr>
      </w:pPr>
      <w:r w:rsidRPr="00697F83">
        <w:rPr>
          <w:rFonts w:cs="Arial"/>
          <w:b w:val="0"/>
          <w:bCs w:val="0"/>
          <w:sz w:val="24"/>
          <w:szCs w:val="24"/>
        </w:rPr>
        <w:t xml:space="preserve">Is the evidence reliable? </w:t>
      </w:r>
      <w:r w:rsidR="00210A94" w:rsidRPr="00697F83">
        <w:rPr>
          <w:rFonts w:cs="Arial"/>
          <w:b w:val="0"/>
          <w:bCs w:val="0"/>
          <w:sz w:val="24"/>
          <w:szCs w:val="24"/>
        </w:rPr>
        <w:t>I.e.,</w:t>
      </w:r>
      <w:r w:rsidRPr="00697F83">
        <w:rPr>
          <w:rFonts w:cs="Arial"/>
          <w:b w:val="0"/>
          <w:bCs w:val="0"/>
          <w:sz w:val="24"/>
          <w:szCs w:val="24"/>
        </w:rPr>
        <w:t xml:space="preserve"> are there any reasons to question the reliability of the evidence, including its accuracy or integrity?</w:t>
      </w:r>
    </w:p>
    <w:p w14:paraId="0AC47242" w14:textId="77777777" w:rsidR="00697F83" w:rsidRPr="00697F83" w:rsidRDefault="00697F83" w:rsidP="00697F83">
      <w:pPr>
        <w:pStyle w:val="submissionheading"/>
        <w:widowControl w:val="0"/>
        <w:numPr>
          <w:ilvl w:val="1"/>
          <w:numId w:val="3"/>
        </w:numPr>
        <w:spacing w:line="288" w:lineRule="auto"/>
        <w:ind w:left="1434" w:hanging="357"/>
        <w:rPr>
          <w:rFonts w:cs="Arial"/>
          <w:b w:val="0"/>
          <w:bCs w:val="0"/>
          <w:sz w:val="24"/>
          <w:szCs w:val="24"/>
        </w:rPr>
      </w:pPr>
      <w:r w:rsidRPr="00697F83">
        <w:rPr>
          <w:rFonts w:cs="Arial"/>
          <w:b w:val="0"/>
          <w:bCs w:val="0"/>
          <w:sz w:val="24"/>
          <w:szCs w:val="24"/>
        </w:rPr>
        <w:t>Is the evidence credible?</w:t>
      </w:r>
    </w:p>
    <w:p w14:paraId="34DF1BC3" w14:textId="774DDCA9" w:rsidR="00A70BEE" w:rsidRDefault="00697F83" w:rsidP="00A70BEE">
      <w:pPr>
        <w:pStyle w:val="submissionheading"/>
        <w:widowControl w:val="0"/>
        <w:numPr>
          <w:ilvl w:val="1"/>
          <w:numId w:val="3"/>
        </w:numPr>
        <w:spacing w:after="120" w:line="288" w:lineRule="auto"/>
        <w:rPr>
          <w:rFonts w:cs="Arial"/>
          <w:b w:val="0"/>
          <w:bCs w:val="0"/>
          <w:sz w:val="24"/>
          <w:szCs w:val="24"/>
        </w:rPr>
      </w:pPr>
      <w:r w:rsidRPr="00697F83">
        <w:rPr>
          <w:rFonts w:cs="Arial"/>
          <w:b w:val="0"/>
          <w:bCs w:val="0"/>
          <w:sz w:val="24"/>
          <w:szCs w:val="24"/>
        </w:rPr>
        <w:t>Is there any other material that might affect the sufficiency of evidence?</w:t>
      </w:r>
    </w:p>
    <w:p w14:paraId="43DE5CEA" w14:textId="77777777" w:rsidR="00EE2848" w:rsidRDefault="00EE2848" w:rsidP="00EE2848">
      <w:pPr>
        <w:pStyle w:val="submissionheading"/>
        <w:widowControl w:val="0"/>
        <w:spacing w:after="120" w:line="288" w:lineRule="auto"/>
        <w:rPr>
          <w:rFonts w:cs="Arial"/>
          <w:b w:val="0"/>
          <w:bCs w:val="0"/>
          <w:sz w:val="24"/>
          <w:szCs w:val="24"/>
        </w:rPr>
      </w:pPr>
    </w:p>
    <w:p w14:paraId="311CB522" w14:textId="0C0D0913" w:rsidR="00EE2848" w:rsidRDefault="00EE2848" w:rsidP="00EE2848">
      <w:pPr>
        <w:pStyle w:val="submissionheading"/>
        <w:widowControl w:val="0"/>
        <w:spacing w:after="120" w:line="288" w:lineRule="auto"/>
        <w:rPr>
          <w:rFonts w:cs="Arial"/>
          <w:b w:val="0"/>
          <w:bCs w:val="0"/>
          <w:sz w:val="24"/>
          <w:szCs w:val="24"/>
        </w:rPr>
      </w:pPr>
      <w:r>
        <w:rPr>
          <w:rFonts w:cs="Arial"/>
          <w:b w:val="0"/>
          <w:bCs w:val="0"/>
          <w:sz w:val="24"/>
          <w:szCs w:val="24"/>
        </w:rPr>
        <w:t>The evidence will be “sufficient” where it is more likely than not that the Court hearing the matter</w:t>
      </w:r>
      <w:r w:rsidR="006F73BC">
        <w:rPr>
          <w:rFonts w:cs="Arial"/>
          <w:b w:val="0"/>
          <w:bCs w:val="0"/>
          <w:sz w:val="24"/>
          <w:szCs w:val="24"/>
        </w:rPr>
        <w:t>, directing itself appropriately in law,</w:t>
      </w:r>
      <w:r>
        <w:rPr>
          <w:rFonts w:cs="Arial"/>
          <w:b w:val="0"/>
          <w:bCs w:val="0"/>
          <w:sz w:val="24"/>
          <w:szCs w:val="24"/>
        </w:rPr>
        <w:t xml:space="preserve"> will decide that the </w:t>
      </w:r>
      <w:r w:rsidR="006F73BC">
        <w:rPr>
          <w:rFonts w:cs="Arial"/>
          <w:b w:val="0"/>
          <w:bCs w:val="0"/>
          <w:sz w:val="24"/>
          <w:szCs w:val="24"/>
        </w:rPr>
        <w:t>defendant is in contempt of court.</w:t>
      </w:r>
    </w:p>
    <w:p w14:paraId="4E440771" w14:textId="77777777" w:rsidR="00EE2848" w:rsidRPr="00A70BEE" w:rsidRDefault="00EE2848" w:rsidP="00210A94">
      <w:pPr>
        <w:pStyle w:val="submissionheading"/>
        <w:widowControl w:val="0"/>
        <w:spacing w:after="120" w:line="288" w:lineRule="auto"/>
        <w:rPr>
          <w:rFonts w:cs="Arial"/>
          <w:b w:val="0"/>
          <w:bCs w:val="0"/>
          <w:sz w:val="24"/>
          <w:szCs w:val="24"/>
        </w:rPr>
      </w:pPr>
    </w:p>
    <w:p w14:paraId="567DD850" w14:textId="2B5E7C2C" w:rsidR="00697F83" w:rsidRDefault="00697F83" w:rsidP="00210A94">
      <w:pPr>
        <w:pStyle w:val="submissionheading"/>
        <w:widowControl w:val="0"/>
        <w:spacing w:after="120" w:line="288" w:lineRule="auto"/>
        <w:rPr>
          <w:rFonts w:cs="Arial"/>
          <w:b w:val="0"/>
          <w:bCs w:val="0"/>
          <w:sz w:val="24"/>
          <w:szCs w:val="24"/>
        </w:rPr>
      </w:pPr>
      <w:r w:rsidRPr="00697F83">
        <w:rPr>
          <w:rFonts w:cs="Arial"/>
          <w:b w:val="0"/>
          <w:bCs w:val="0"/>
          <w:sz w:val="24"/>
          <w:szCs w:val="24"/>
          <w:u w:val="single"/>
        </w:rPr>
        <w:t>Whether it is in the public interest to institute contempt proceedings</w:t>
      </w:r>
      <w:r w:rsidRPr="00697F83">
        <w:rPr>
          <w:rFonts w:cs="Arial"/>
          <w:b w:val="0"/>
          <w:bCs w:val="0"/>
          <w:sz w:val="24"/>
          <w:szCs w:val="24"/>
        </w:rPr>
        <w:t>.</w:t>
      </w:r>
    </w:p>
    <w:p w14:paraId="51AC872C" w14:textId="77777777" w:rsidR="00844AB9" w:rsidRDefault="00844AB9" w:rsidP="00844AB9">
      <w:pPr>
        <w:pStyle w:val="submissionheading"/>
        <w:widowControl w:val="0"/>
        <w:spacing w:after="120" w:line="288" w:lineRule="auto"/>
        <w:rPr>
          <w:rFonts w:cs="Arial"/>
          <w:b w:val="0"/>
          <w:bCs w:val="0"/>
          <w:sz w:val="24"/>
          <w:szCs w:val="24"/>
        </w:rPr>
      </w:pPr>
    </w:p>
    <w:p w14:paraId="07B41528" w14:textId="0E16E339" w:rsidR="00EE2848" w:rsidRDefault="00EE2848">
      <w:pPr>
        <w:pStyle w:val="submissionheading"/>
        <w:widowControl w:val="0"/>
        <w:spacing w:after="120" w:line="288" w:lineRule="auto"/>
        <w:rPr>
          <w:rFonts w:cs="Arial"/>
          <w:b w:val="0"/>
          <w:bCs w:val="0"/>
          <w:sz w:val="24"/>
          <w:szCs w:val="24"/>
        </w:rPr>
      </w:pPr>
      <w:r>
        <w:rPr>
          <w:rFonts w:cs="Arial"/>
          <w:b w:val="0"/>
          <w:bCs w:val="0"/>
          <w:sz w:val="24"/>
          <w:szCs w:val="24"/>
        </w:rPr>
        <w:t xml:space="preserve">The question of public interest should normally only be considered once it has been determined </w:t>
      </w:r>
      <w:r w:rsidR="006F73BC">
        <w:rPr>
          <w:rFonts w:cs="Arial"/>
          <w:b w:val="0"/>
          <w:bCs w:val="0"/>
          <w:sz w:val="24"/>
          <w:szCs w:val="24"/>
        </w:rPr>
        <w:t xml:space="preserve">that the evidence is sufficient. However, there may be circumstances where </w:t>
      </w:r>
      <w:r w:rsidR="003C35A0">
        <w:rPr>
          <w:rFonts w:cs="Arial"/>
          <w:b w:val="0"/>
          <w:bCs w:val="0"/>
          <w:sz w:val="24"/>
          <w:szCs w:val="24"/>
        </w:rPr>
        <w:t xml:space="preserve">it is appropriate to consider the public interest first, as where it is </w:t>
      </w:r>
      <w:r w:rsidR="00C47885">
        <w:rPr>
          <w:rFonts w:cs="Arial"/>
          <w:b w:val="0"/>
          <w:bCs w:val="0"/>
          <w:sz w:val="24"/>
          <w:szCs w:val="24"/>
        </w:rPr>
        <w:t>considered</w:t>
      </w:r>
      <w:r w:rsidR="003C35A0">
        <w:rPr>
          <w:rFonts w:cs="Arial"/>
          <w:b w:val="0"/>
          <w:bCs w:val="0"/>
          <w:sz w:val="24"/>
          <w:szCs w:val="24"/>
        </w:rPr>
        <w:t xml:space="preserve"> that, even if there is sufficient evidence, proceedings would not be in the public interest.</w:t>
      </w:r>
    </w:p>
    <w:p w14:paraId="143A99BB" w14:textId="77777777" w:rsidR="00EE2848" w:rsidRDefault="00EE2848">
      <w:pPr>
        <w:pStyle w:val="submissionheading"/>
        <w:widowControl w:val="0"/>
        <w:spacing w:after="120" w:line="288" w:lineRule="auto"/>
        <w:rPr>
          <w:rFonts w:cs="Arial"/>
          <w:b w:val="0"/>
          <w:bCs w:val="0"/>
          <w:sz w:val="24"/>
          <w:szCs w:val="24"/>
        </w:rPr>
      </w:pPr>
    </w:p>
    <w:p w14:paraId="11839900" w14:textId="23EAD9A2" w:rsidR="00844AB9" w:rsidRPr="00697F83" w:rsidRDefault="00C47885" w:rsidP="00210A94">
      <w:pPr>
        <w:pStyle w:val="submissionheading"/>
        <w:widowControl w:val="0"/>
        <w:spacing w:after="120" w:line="288" w:lineRule="auto"/>
        <w:rPr>
          <w:rFonts w:cs="Arial"/>
          <w:b w:val="0"/>
          <w:bCs w:val="0"/>
          <w:sz w:val="24"/>
          <w:szCs w:val="24"/>
        </w:rPr>
      </w:pPr>
      <w:r>
        <w:rPr>
          <w:rFonts w:cs="Arial"/>
          <w:b w:val="0"/>
          <w:bCs w:val="0"/>
          <w:sz w:val="24"/>
          <w:szCs w:val="24"/>
        </w:rPr>
        <w:t>P</w:t>
      </w:r>
      <w:r w:rsidR="00844AB9">
        <w:rPr>
          <w:rFonts w:cs="Arial"/>
          <w:b w:val="0"/>
          <w:bCs w:val="0"/>
          <w:sz w:val="24"/>
          <w:szCs w:val="24"/>
        </w:rPr>
        <w:t>roceedings</w:t>
      </w:r>
      <w:r w:rsidR="00844AB9" w:rsidRPr="00697F83">
        <w:rPr>
          <w:rFonts w:cs="Arial"/>
          <w:b w:val="0"/>
          <w:bCs w:val="0"/>
          <w:sz w:val="24"/>
          <w:szCs w:val="24"/>
        </w:rPr>
        <w:t xml:space="preserve"> will </w:t>
      </w:r>
      <w:r>
        <w:rPr>
          <w:rFonts w:cs="Arial"/>
          <w:b w:val="0"/>
          <w:bCs w:val="0"/>
          <w:sz w:val="24"/>
          <w:szCs w:val="24"/>
        </w:rPr>
        <w:t xml:space="preserve">not </w:t>
      </w:r>
      <w:r w:rsidR="00844AB9" w:rsidRPr="00697F83">
        <w:rPr>
          <w:rFonts w:cs="Arial"/>
          <w:b w:val="0"/>
          <w:bCs w:val="0"/>
          <w:sz w:val="24"/>
          <w:szCs w:val="24"/>
        </w:rPr>
        <w:t xml:space="preserve">be brought unless the Law Officer is </w:t>
      </w:r>
      <w:r w:rsidR="00844AB9">
        <w:rPr>
          <w:rFonts w:cs="Arial"/>
          <w:b w:val="0"/>
          <w:bCs w:val="0"/>
          <w:sz w:val="24"/>
          <w:szCs w:val="24"/>
        </w:rPr>
        <w:t>satisfied</w:t>
      </w:r>
      <w:r w:rsidR="00844AB9" w:rsidRPr="00697F83">
        <w:rPr>
          <w:rFonts w:cs="Arial"/>
          <w:b w:val="0"/>
          <w:bCs w:val="0"/>
          <w:sz w:val="24"/>
          <w:szCs w:val="24"/>
        </w:rPr>
        <w:t xml:space="preserve"> that the public interest factors tending against committal proceedings </w:t>
      </w:r>
      <w:r w:rsidR="00210A94">
        <w:rPr>
          <w:rFonts w:cs="Arial"/>
          <w:b w:val="0"/>
          <w:bCs w:val="0"/>
          <w:sz w:val="24"/>
          <w:szCs w:val="24"/>
        </w:rPr>
        <w:t xml:space="preserve">are </w:t>
      </w:r>
      <w:r w:rsidR="00844AB9" w:rsidRPr="00697F83">
        <w:rPr>
          <w:rFonts w:cs="Arial"/>
          <w:b w:val="0"/>
          <w:bCs w:val="0"/>
          <w:sz w:val="24"/>
          <w:szCs w:val="24"/>
        </w:rPr>
        <w:t>outweigh</w:t>
      </w:r>
      <w:r w:rsidR="00210A94">
        <w:rPr>
          <w:rFonts w:cs="Arial"/>
          <w:b w:val="0"/>
          <w:bCs w:val="0"/>
          <w:sz w:val="24"/>
          <w:szCs w:val="24"/>
        </w:rPr>
        <w:t>ed by</w:t>
      </w:r>
      <w:r w:rsidR="00844AB9" w:rsidRPr="00697F83">
        <w:rPr>
          <w:rFonts w:cs="Arial"/>
          <w:b w:val="0"/>
          <w:bCs w:val="0"/>
          <w:sz w:val="24"/>
          <w:szCs w:val="24"/>
        </w:rPr>
        <w:t xml:space="preserve"> those tending in favour. </w:t>
      </w:r>
      <w:r w:rsidR="00844AB9">
        <w:rPr>
          <w:rFonts w:cs="Arial"/>
          <w:b w:val="0"/>
          <w:bCs w:val="0"/>
          <w:sz w:val="24"/>
          <w:szCs w:val="24"/>
        </w:rPr>
        <w:t xml:space="preserve">In considering </w:t>
      </w:r>
      <w:r>
        <w:rPr>
          <w:rFonts w:cs="Arial"/>
          <w:b w:val="0"/>
          <w:bCs w:val="0"/>
          <w:sz w:val="24"/>
          <w:szCs w:val="24"/>
        </w:rPr>
        <w:t xml:space="preserve">the public interest </w:t>
      </w:r>
      <w:r w:rsidR="00844AB9">
        <w:rPr>
          <w:rFonts w:cs="Arial"/>
          <w:b w:val="0"/>
          <w:bCs w:val="0"/>
          <w:sz w:val="24"/>
          <w:szCs w:val="24"/>
        </w:rPr>
        <w:t xml:space="preserve">the Law Officer may be assisted by considering the questions below, which </w:t>
      </w:r>
      <w:r w:rsidR="00844AB9" w:rsidRPr="00697F83">
        <w:rPr>
          <w:rFonts w:cs="Arial"/>
          <w:b w:val="0"/>
          <w:bCs w:val="0"/>
          <w:sz w:val="24"/>
          <w:szCs w:val="24"/>
        </w:rPr>
        <w:t xml:space="preserve">are not exhaustive, and may </w:t>
      </w:r>
      <w:r w:rsidR="00844AB9">
        <w:rPr>
          <w:rFonts w:cs="Arial"/>
          <w:b w:val="0"/>
          <w:bCs w:val="0"/>
          <w:sz w:val="24"/>
          <w:szCs w:val="24"/>
        </w:rPr>
        <w:t xml:space="preserve">not </w:t>
      </w:r>
      <w:r w:rsidR="00844AB9" w:rsidRPr="00697F83">
        <w:rPr>
          <w:rFonts w:cs="Arial"/>
          <w:b w:val="0"/>
          <w:bCs w:val="0"/>
          <w:sz w:val="24"/>
          <w:szCs w:val="24"/>
        </w:rPr>
        <w:t>be relevant in every case. The weight to be attached to each of the questions, and the factors identified, will also vary according to the facts and merits of each case. It is possible that one public interest factor alone may outweigh a number of other factors which tend in the opposite direction.</w:t>
      </w:r>
    </w:p>
    <w:p w14:paraId="34E0574B" w14:textId="5A9BAEB7" w:rsidR="00697F83" w:rsidRPr="00697F83" w:rsidRDefault="00697F83" w:rsidP="00697F83">
      <w:pPr>
        <w:pStyle w:val="submissionheading"/>
        <w:widowControl w:val="0"/>
        <w:numPr>
          <w:ilvl w:val="0"/>
          <w:numId w:val="4"/>
        </w:numPr>
        <w:spacing w:after="120" w:line="288" w:lineRule="auto"/>
        <w:ind w:left="1418"/>
        <w:rPr>
          <w:rFonts w:cs="Arial"/>
          <w:b w:val="0"/>
          <w:bCs w:val="0"/>
          <w:sz w:val="24"/>
          <w:szCs w:val="24"/>
        </w:rPr>
      </w:pPr>
      <w:r w:rsidRPr="00697F83">
        <w:rPr>
          <w:rFonts w:cs="Arial"/>
          <w:b w:val="0"/>
          <w:bCs w:val="0"/>
          <w:sz w:val="24"/>
          <w:szCs w:val="24"/>
        </w:rPr>
        <w:t>How serious is the conduct (</w:t>
      </w:r>
      <w:r w:rsidR="00210A94" w:rsidRPr="00697F83">
        <w:rPr>
          <w:rFonts w:cs="Arial"/>
          <w:b w:val="0"/>
          <w:bCs w:val="0"/>
          <w:sz w:val="24"/>
          <w:szCs w:val="24"/>
        </w:rPr>
        <w:t>i.e.,</w:t>
      </w:r>
      <w:r w:rsidRPr="00697F83">
        <w:rPr>
          <w:rFonts w:cs="Arial"/>
          <w:b w:val="0"/>
          <w:bCs w:val="0"/>
          <w:sz w:val="24"/>
          <w:szCs w:val="24"/>
        </w:rPr>
        <w:t xml:space="preserve"> what was, or could have been, the </w:t>
      </w:r>
      <w:r w:rsidRPr="00697F83">
        <w:rPr>
          <w:rFonts w:cs="Arial"/>
          <w:b w:val="0"/>
          <w:bCs w:val="0"/>
          <w:sz w:val="24"/>
          <w:szCs w:val="24"/>
        </w:rPr>
        <w:lastRenderedPageBreak/>
        <w:t>impact on the administration of justice?)</w:t>
      </w:r>
    </w:p>
    <w:p w14:paraId="1D81B71C" w14:textId="77777777" w:rsidR="00697F83" w:rsidRPr="00697F83" w:rsidRDefault="00697F83" w:rsidP="00697F83">
      <w:pPr>
        <w:pStyle w:val="submissionheading"/>
        <w:widowControl w:val="0"/>
        <w:numPr>
          <w:ilvl w:val="0"/>
          <w:numId w:val="5"/>
        </w:numPr>
        <w:spacing w:line="288" w:lineRule="auto"/>
        <w:ind w:left="2127" w:hanging="357"/>
        <w:rPr>
          <w:rFonts w:cs="Arial"/>
          <w:b w:val="0"/>
          <w:bCs w:val="0"/>
          <w:sz w:val="24"/>
          <w:szCs w:val="24"/>
        </w:rPr>
      </w:pPr>
      <w:r w:rsidRPr="00697F83">
        <w:rPr>
          <w:rFonts w:cs="Arial"/>
          <w:b w:val="0"/>
          <w:bCs w:val="0"/>
          <w:sz w:val="24"/>
          <w:szCs w:val="24"/>
        </w:rPr>
        <w:t>What was the harm caused: was it actual or potential? How have the courts previously described the effect (or possible effect) of the particular conduct on the administration of justice, if at all?</w:t>
      </w:r>
    </w:p>
    <w:p w14:paraId="145A5F01" w14:textId="77777777" w:rsidR="00697F83" w:rsidRPr="00697F83" w:rsidRDefault="00697F83" w:rsidP="00697F83">
      <w:pPr>
        <w:pStyle w:val="submissionheading"/>
        <w:widowControl w:val="0"/>
        <w:numPr>
          <w:ilvl w:val="0"/>
          <w:numId w:val="5"/>
        </w:numPr>
        <w:spacing w:line="288" w:lineRule="auto"/>
        <w:ind w:left="2127" w:hanging="357"/>
        <w:rPr>
          <w:rFonts w:cs="Arial"/>
          <w:b w:val="0"/>
          <w:bCs w:val="0"/>
          <w:sz w:val="24"/>
          <w:szCs w:val="24"/>
        </w:rPr>
      </w:pPr>
      <w:r w:rsidRPr="00697F83">
        <w:rPr>
          <w:rFonts w:cs="Arial"/>
          <w:b w:val="0"/>
          <w:bCs w:val="0"/>
          <w:sz w:val="24"/>
          <w:szCs w:val="24"/>
        </w:rPr>
        <w:t xml:space="preserve">Was there endangerment or harassment to participants, or disruption to the proceedings? </w:t>
      </w:r>
    </w:p>
    <w:p w14:paraId="69FB54D2" w14:textId="4A702D9A" w:rsidR="00697F83" w:rsidRPr="00697F83" w:rsidRDefault="00697F83" w:rsidP="00697F83">
      <w:pPr>
        <w:pStyle w:val="submissionheading"/>
        <w:widowControl w:val="0"/>
        <w:numPr>
          <w:ilvl w:val="0"/>
          <w:numId w:val="5"/>
        </w:numPr>
        <w:spacing w:after="120" w:line="288" w:lineRule="auto"/>
        <w:ind w:left="2127" w:hanging="357"/>
        <w:rPr>
          <w:rFonts w:cs="Arial"/>
          <w:b w:val="0"/>
          <w:bCs w:val="0"/>
          <w:sz w:val="24"/>
          <w:szCs w:val="24"/>
        </w:rPr>
      </w:pPr>
      <w:r w:rsidRPr="00697F83">
        <w:rPr>
          <w:rFonts w:cs="Arial"/>
          <w:b w:val="0"/>
          <w:bCs w:val="0"/>
          <w:sz w:val="24"/>
          <w:szCs w:val="24"/>
        </w:rPr>
        <w:t xml:space="preserve">How ‘visible’ was the contempt (e.g. for publication contempt, (i) the nature of the publisher, (ii) the likely audience, (iii) how likely was it to poison the minds of potential jurors </w:t>
      </w:r>
      <w:r w:rsidR="00844AB9">
        <w:rPr>
          <w:rFonts w:cs="Arial"/>
          <w:b w:val="0"/>
          <w:bCs w:val="0"/>
          <w:sz w:val="24"/>
          <w:szCs w:val="24"/>
        </w:rPr>
        <w:t xml:space="preserve">or affect the availability of evidence </w:t>
      </w:r>
      <w:r w:rsidRPr="00697F83">
        <w:rPr>
          <w:rFonts w:cs="Arial"/>
          <w:b w:val="0"/>
          <w:bCs w:val="0"/>
          <w:sz w:val="24"/>
          <w:szCs w:val="24"/>
        </w:rPr>
        <w:t xml:space="preserve">and (iv) the </w:t>
      </w:r>
      <w:r w:rsidR="00844AB9">
        <w:rPr>
          <w:rFonts w:cs="Arial"/>
          <w:b w:val="0"/>
          <w:bCs w:val="0"/>
          <w:sz w:val="24"/>
          <w:szCs w:val="24"/>
        </w:rPr>
        <w:t>remoteness of the</w:t>
      </w:r>
      <w:r w:rsidRPr="00697F83">
        <w:rPr>
          <w:rFonts w:cs="Arial"/>
          <w:b w:val="0"/>
          <w:bCs w:val="0"/>
          <w:sz w:val="24"/>
          <w:szCs w:val="24"/>
        </w:rPr>
        <w:t xml:space="preserve"> trial</w:t>
      </w:r>
      <w:r w:rsidR="00844AB9">
        <w:rPr>
          <w:rFonts w:cs="Arial"/>
          <w:b w:val="0"/>
          <w:bCs w:val="0"/>
          <w:sz w:val="24"/>
          <w:szCs w:val="24"/>
        </w:rPr>
        <w:t>, if any</w:t>
      </w:r>
      <w:r w:rsidRPr="00697F83">
        <w:rPr>
          <w:rFonts w:cs="Arial"/>
          <w:b w:val="0"/>
          <w:bCs w:val="0"/>
          <w:sz w:val="24"/>
          <w:szCs w:val="24"/>
        </w:rPr>
        <w:t>)?</w:t>
      </w:r>
    </w:p>
    <w:p w14:paraId="69F1E39D" w14:textId="77777777" w:rsidR="00697F83" w:rsidRPr="00697F83" w:rsidRDefault="00697F83" w:rsidP="00697F83">
      <w:pPr>
        <w:pStyle w:val="submissionheading"/>
        <w:widowControl w:val="0"/>
        <w:numPr>
          <w:ilvl w:val="0"/>
          <w:numId w:val="4"/>
        </w:numPr>
        <w:spacing w:after="120" w:line="288" w:lineRule="auto"/>
        <w:ind w:left="1418"/>
        <w:rPr>
          <w:rFonts w:cs="Arial"/>
          <w:b w:val="0"/>
          <w:bCs w:val="0"/>
          <w:sz w:val="24"/>
          <w:szCs w:val="24"/>
        </w:rPr>
      </w:pPr>
      <w:r w:rsidRPr="00697F83">
        <w:rPr>
          <w:rFonts w:cs="Arial"/>
          <w:b w:val="0"/>
          <w:bCs w:val="0"/>
          <w:sz w:val="24"/>
          <w:szCs w:val="24"/>
        </w:rPr>
        <w:t>What is the culpability of the alleged contemnor?</w:t>
      </w:r>
    </w:p>
    <w:p w14:paraId="7FB5EA61" w14:textId="77777777" w:rsidR="00697F83" w:rsidRPr="00697F83" w:rsidRDefault="00697F83" w:rsidP="00697F83">
      <w:pPr>
        <w:pStyle w:val="submissionheading"/>
        <w:widowControl w:val="0"/>
        <w:numPr>
          <w:ilvl w:val="0"/>
          <w:numId w:val="6"/>
        </w:numPr>
        <w:spacing w:line="288" w:lineRule="auto"/>
        <w:ind w:left="2154" w:hanging="357"/>
        <w:rPr>
          <w:rFonts w:cs="Arial"/>
          <w:b w:val="0"/>
          <w:bCs w:val="0"/>
          <w:sz w:val="24"/>
          <w:szCs w:val="24"/>
        </w:rPr>
      </w:pPr>
      <w:r w:rsidRPr="00697F83">
        <w:rPr>
          <w:rFonts w:cs="Arial"/>
          <w:b w:val="0"/>
          <w:bCs w:val="0"/>
          <w:sz w:val="24"/>
          <w:szCs w:val="24"/>
        </w:rPr>
        <w:t>What was their level of involvement and knowledge?</w:t>
      </w:r>
    </w:p>
    <w:p w14:paraId="00ED7E1C" w14:textId="77777777" w:rsidR="00697F83" w:rsidRPr="00697F83" w:rsidRDefault="00697F83" w:rsidP="00697F83">
      <w:pPr>
        <w:pStyle w:val="submissionheading"/>
        <w:widowControl w:val="0"/>
        <w:numPr>
          <w:ilvl w:val="0"/>
          <w:numId w:val="6"/>
        </w:numPr>
        <w:spacing w:line="288" w:lineRule="auto"/>
        <w:ind w:left="2154" w:hanging="357"/>
        <w:rPr>
          <w:rFonts w:cs="Arial"/>
          <w:b w:val="0"/>
          <w:bCs w:val="0"/>
          <w:sz w:val="24"/>
          <w:szCs w:val="24"/>
        </w:rPr>
      </w:pPr>
      <w:r w:rsidRPr="00697F83">
        <w:rPr>
          <w:rFonts w:cs="Arial"/>
          <w:b w:val="0"/>
          <w:bCs w:val="0"/>
          <w:sz w:val="24"/>
          <w:szCs w:val="24"/>
        </w:rPr>
        <w:t>Was the conduct premeditated or planned?</w:t>
      </w:r>
    </w:p>
    <w:p w14:paraId="320B96D2" w14:textId="77777777" w:rsidR="00697F83" w:rsidRPr="00697F83" w:rsidRDefault="00697F83" w:rsidP="00697F83">
      <w:pPr>
        <w:pStyle w:val="submissionheading"/>
        <w:widowControl w:val="0"/>
        <w:numPr>
          <w:ilvl w:val="0"/>
          <w:numId w:val="6"/>
        </w:numPr>
        <w:spacing w:line="288" w:lineRule="auto"/>
        <w:ind w:left="2154" w:hanging="357"/>
        <w:rPr>
          <w:rFonts w:cs="Arial"/>
          <w:b w:val="0"/>
          <w:bCs w:val="0"/>
          <w:sz w:val="24"/>
          <w:szCs w:val="24"/>
        </w:rPr>
      </w:pPr>
      <w:r w:rsidRPr="00697F83">
        <w:rPr>
          <w:rFonts w:cs="Arial"/>
          <w:b w:val="0"/>
          <w:bCs w:val="0"/>
          <w:sz w:val="24"/>
          <w:szCs w:val="24"/>
        </w:rPr>
        <w:t>What was their motivation?</w:t>
      </w:r>
    </w:p>
    <w:p w14:paraId="01A5B4EF" w14:textId="77777777" w:rsidR="00697F83" w:rsidRPr="00697F83" w:rsidRDefault="00697F83" w:rsidP="00697F83">
      <w:pPr>
        <w:pStyle w:val="submissionheading"/>
        <w:widowControl w:val="0"/>
        <w:numPr>
          <w:ilvl w:val="0"/>
          <w:numId w:val="6"/>
        </w:numPr>
        <w:spacing w:line="288" w:lineRule="auto"/>
        <w:ind w:left="2154" w:hanging="357"/>
        <w:rPr>
          <w:rFonts w:cs="Arial"/>
          <w:b w:val="0"/>
          <w:bCs w:val="0"/>
          <w:sz w:val="24"/>
          <w:szCs w:val="24"/>
        </w:rPr>
      </w:pPr>
      <w:r w:rsidRPr="00697F83">
        <w:rPr>
          <w:rFonts w:cs="Arial"/>
          <w:b w:val="0"/>
          <w:bCs w:val="0"/>
          <w:sz w:val="24"/>
          <w:szCs w:val="24"/>
        </w:rPr>
        <w:t>Have they repeated their conduct or threatened to?</w:t>
      </w:r>
    </w:p>
    <w:p w14:paraId="4D1AEE1B" w14:textId="77777777" w:rsidR="00697F83" w:rsidRPr="00697F83" w:rsidRDefault="00697F83" w:rsidP="00697F83">
      <w:pPr>
        <w:pStyle w:val="submissionheading"/>
        <w:widowControl w:val="0"/>
        <w:numPr>
          <w:ilvl w:val="0"/>
          <w:numId w:val="6"/>
        </w:numPr>
        <w:spacing w:line="288" w:lineRule="auto"/>
        <w:ind w:left="2154" w:hanging="357"/>
        <w:rPr>
          <w:rFonts w:cs="Arial"/>
          <w:b w:val="0"/>
          <w:bCs w:val="0"/>
          <w:sz w:val="24"/>
          <w:szCs w:val="24"/>
        </w:rPr>
      </w:pPr>
      <w:r w:rsidRPr="00697F83">
        <w:rPr>
          <w:rFonts w:cs="Arial"/>
          <w:b w:val="0"/>
          <w:bCs w:val="0"/>
          <w:sz w:val="24"/>
          <w:szCs w:val="24"/>
        </w:rPr>
        <w:t>Have they been accused of similar previous conduct or previously been warned?</w:t>
      </w:r>
    </w:p>
    <w:p w14:paraId="1D2D69A0" w14:textId="77777777" w:rsidR="00697F83" w:rsidRPr="00697F83" w:rsidRDefault="00697F83" w:rsidP="00697F83">
      <w:pPr>
        <w:pStyle w:val="submissionheading"/>
        <w:widowControl w:val="0"/>
        <w:numPr>
          <w:ilvl w:val="0"/>
          <w:numId w:val="6"/>
        </w:numPr>
        <w:spacing w:line="288" w:lineRule="auto"/>
        <w:ind w:left="2154" w:hanging="357"/>
        <w:rPr>
          <w:rFonts w:cs="Arial"/>
          <w:b w:val="0"/>
          <w:bCs w:val="0"/>
          <w:sz w:val="24"/>
          <w:szCs w:val="24"/>
        </w:rPr>
      </w:pPr>
      <w:r w:rsidRPr="00697F83">
        <w:rPr>
          <w:rFonts w:cs="Arial"/>
          <w:b w:val="0"/>
          <w:bCs w:val="0"/>
          <w:sz w:val="24"/>
          <w:szCs w:val="24"/>
        </w:rPr>
        <w:t>What is the likelihood of repetition?</w:t>
      </w:r>
    </w:p>
    <w:p w14:paraId="7239E45B" w14:textId="44989874" w:rsidR="00697F83" w:rsidRPr="00697F83" w:rsidRDefault="00697F83" w:rsidP="00697F83">
      <w:pPr>
        <w:pStyle w:val="submissionheading"/>
        <w:widowControl w:val="0"/>
        <w:numPr>
          <w:ilvl w:val="0"/>
          <w:numId w:val="6"/>
        </w:numPr>
        <w:spacing w:line="288" w:lineRule="auto"/>
        <w:rPr>
          <w:rFonts w:cs="Arial"/>
          <w:b w:val="0"/>
          <w:bCs w:val="0"/>
          <w:sz w:val="24"/>
          <w:szCs w:val="24"/>
        </w:rPr>
      </w:pPr>
      <w:r w:rsidRPr="00697F83">
        <w:rPr>
          <w:rFonts w:cs="Arial"/>
          <w:b w:val="0"/>
          <w:bCs w:val="0"/>
          <w:sz w:val="24"/>
          <w:szCs w:val="24"/>
        </w:rPr>
        <w:t>What is their age and maturity?</w:t>
      </w:r>
    </w:p>
    <w:p w14:paraId="2D1D84C4" w14:textId="628FB7F5" w:rsidR="00697F83" w:rsidRPr="00697F83" w:rsidRDefault="00697F83" w:rsidP="00697F83">
      <w:pPr>
        <w:pStyle w:val="ListParagraph"/>
        <w:numPr>
          <w:ilvl w:val="0"/>
          <w:numId w:val="6"/>
        </w:numPr>
        <w:spacing w:line="288" w:lineRule="auto"/>
        <w:rPr>
          <w:rFonts w:ascii="Arial" w:eastAsia="Times New Roman" w:hAnsi="Arial" w:cs="Arial"/>
          <w:sz w:val="24"/>
          <w:szCs w:val="24"/>
          <w:lang w:eastAsia="en-GB"/>
        </w:rPr>
      </w:pPr>
      <w:r w:rsidRPr="00697F83">
        <w:rPr>
          <w:rFonts w:ascii="Arial" w:eastAsia="Times New Roman" w:hAnsi="Arial" w:cs="Arial"/>
          <w:sz w:val="24"/>
          <w:szCs w:val="24"/>
          <w:lang w:eastAsia="en-GB"/>
        </w:rPr>
        <w:t>Has the alleged contemnor apologised for their conduct?</w:t>
      </w:r>
    </w:p>
    <w:p w14:paraId="31FA70F8" w14:textId="77777777" w:rsidR="00697F83" w:rsidRPr="00697F83" w:rsidRDefault="00697F83" w:rsidP="00697F83">
      <w:pPr>
        <w:pStyle w:val="submissionheading"/>
        <w:widowControl w:val="0"/>
        <w:numPr>
          <w:ilvl w:val="0"/>
          <w:numId w:val="4"/>
        </w:numPr>
        <w:spacing w:after="120" w:line="288" w:lineRule="auto"/>
        <w:ind w:left="1418"/>
        <w:rPr>
          <w:rFonts w:cs="Arial"/>
          <w:b w:val="0"/>
          <w:bCs w:val="0"/>
          <w:sz w:val="24"/>
          <w:szCs w:val="24"/>
        </w:rPr>
      </w:pPr>
      <w:r w:rsidRPr="00697F83">
        <w:rPr>
          <w:rFonts w:cs="Arial"/>
          <w:b w:val="0"/>
          <w:bCs w:val="0"/>
          <w:sz w:val="24"/>
          <w:szCs w:val="24"/>
        </w:rPr>
        <w:t>Is there another public authority with the power to deal with the conduct?</w:t>
      </w:r>
    </w:p>
    <w:p w14:paraId="6FCCA1F3" w14:textId="77777777" w:rsidR="00697F83" w:rsidRPr="00697F83" w:rsidRDefault="00697F83" w:rsidP="00697F83">
      <w:pPr>
        <w:pStyle w:val="ListParagraph"/>
        <w:numPr>
          <w:ilvl w:val="0"/>
          <w:numId w:val="7"/>
        </w:numPr>
        <w:spacing w:after="0" w:line="288" w:lineRule="auto"/>
        <w:rPr>
          <w:rFonts w:ascii="Arial" w:eastAsia="Times New Roman" w:hAnsi="Arial" w:cs="Arial"/>
          <w:sz w:val="24"/>
          <w:szCs w:val="24"/>
          <w:lang w:eastAsia="en-GB"/>
        </w:rPr>
      </w:pPr>
      <w:r w:rsidRPr="00697F83">
        <w:rPr>
          <w:rFonts w:ascii="Arial" w:hAnsi="Arial" w:cs="Arial"/>
          <w:sz w:val="24"/>
          <w:szCs w:val="24"/>
        </w:rPr>
        <w:t xml:space="preserve">If so, </w:t>
      </w:r>
      <w:r w:rsidRPr="00697F83">
        <w:rPr>
          <w:rFonts w:ascii="Arial" w:eastAsia="Times New Roman" w:hAnsi="Arial" w:cs="Arial"/>
          <w:sz w:val="24"/>
          <w:szCs w:val="24"/>
          <w:lang w:eastAsia="en-GB"/>
        </w:rPr>
        <w:t>has the conduct already been dealt with?</w:t>
      </w:r>
    </w:p>
    <w:p w14:paraId="186DC889" w14:textId="77777777" w:rsidR="00697F83" w:rsidRPr="00697F83" w:rsidRDefault="00697F83" w:rsidP="00697F83">
      <w:pPr>
        <w:pStyle w:val="submissionheading"/>
        <w:widowControl w:val="0"/>
        <w:numPr>
          <w:ilvl w:val="0"/>
          <w:numId w:val="7"/>
        </w:numPr>
        <w:spacing w:line="288" w:lineRule="auto"/>
        <w:ind w:left="2137" w:hanging="357"/>
        <w:rPr>
          <w:rFonts w:cs="Arial"/>
          <w:b w:val="0"/>
          <w:bCs w:val="0"/>
          <w:sz w:val="24"/>
          <w:szCs w:val="24"/>
        </w:rPr>
      </w:pPr>
      <w:r w:rsidRPr="00697F83">
        <w:rPr>
          <w:rFonts w:cs="Arial"/>
          <w:b w:val="0"/>
          <w:bCs w:val="0"/>
          <w:sz w:val="24"/>
          <w:szCs w:val="24"/>
        </w:rPr>
        <w:t>If the authority has not dealt with the conduct, what is the reason for them not doing so, and does the case nonetheless require some action from the perspective of protecting the administration of justice?</w:t>
      </w:r>
    </w:p>
    <w:p w14:paraId="46B300EB" w14:textId="77777777" w:rsidR="00697F83" w:rsidRPr="00697F83" w:rsidRDefault="00697F83" w:rsidP="00697F83">
      <w:pPr>
        <w:pStyle w:val="submissionheading"/>
        <w:widowControl w:val="0"/>
        <w:numPr>
          <w:ilvl w:val="0"/>
          <w:numId w:val="7"/>
        </w:numPr>
        <w:spacing w:after="120" w:line="288" w:lineRule="auto"/>
        <w:ind w:left="2137" w:hanging="357"/>
        <w:rPr>
          <w:rFonts w:cs="Arial"/>
          <w:b w:val="0"/>
          <w:bCs w:val="0"/>
          <w:sz w:val="24"/>
          <w:szCs w:val="24"/>
        </w:rPr>
      </w:pPr>
      <w:r w:rsidRPr="00697F83">
        <w:rPr>
          <w:rFonts w:cs="Arial"/>
          <w:b w:val="0"/>
          <w:bCs w:val="0"/>
          <w:sz w:val="24"/>
          <w:szCs w:val="24"/>
        </w:rPr>
        <w:t>If the conduct is also a criminal offence, what is the status of any police investigation and might parallel contempt proceedings prejudice that investigation?</w:t>
      </w:r>
    </w:p>
    <w:p w14:paraId="45FB490B" w14:textId="65A415A4" w:rsidR="00697F83" w:rsidRPr="00697F83" w:rsidRDefault="00697F83" w:rsidP="00697F83">
      <w:pPr>
        <w:pStyle w:val="submissionheading"/>
        <w:widowControl w:val="0"/>
        <w:numPr>
          <w:ilvl w:val="0"/>
          <w:numId w:val="4"/>
        </w:numPr>
        <w:spacing w:after="120" w:line="288" w:lineRule="auto"/>
        <w:ind w:left="1418"/>
        <w:rPr>
          <w:rFonts w:cs="Arial"/>
          <w:b w:val="0"/>
          <w:bCs w:val="0"/>
          <w:sz w:val="24"/>
          <w:szCs w:val="24"/>
        </w:rPr>
      </w:pPr>
      <w:r w:rsidRPr="00697F83">
        <w:rPr>
          <w:rFonts w:cs="Arial"/>
          <w:b w:val="0"/>
          <w:bCs w:val="0"/>
          <w:sz w:val="24"/>
          <w:szCs w:val="24"/>
        </w:rPr>
        <w:t>Are contempt proceedings a proportionate response?</w:t>
      </w:r>
    </w:p>
    <w:p w14:paraId="542DF420" w14:textId="62DF2651" w:rsidR="00697F83" w:rsidRPr="00697F83" w:rsidRDefault="00697F83" w:rsidP="00697F83">
      <w:pPr>
        <w:pStyle w:val="submissionheading"/>
        <w:widowControl w:val="0"/>
        <w:numPr>
          <w:ilvl w:val="0"/>
          <w:numId w:val="8"/>
        </w:numPr>
        <w:spacing w:line="288" w:lineRule="auto"/>
        <w:ind w:left="2137" w:hanging="357"/>
        <w:rPr>
          <w:rFonts w:cs="Arial"/>
          <w:b w:val="0"/>
          <w:bCs w:val="0"/>
          <w:sz w:val="24"/>
          <w:szCs w:val="24"/>
        </w:rPr>
      </w:pPr>
      <w:r w:rsidRPr="00697F83">
        <w:rPr>
          <w:rFonts w:cs="Arial"/>
          <w:b w:val="0"/>
          <w:bCs w:val="0"/>
          <w:sz w:val="24"/>
          <w:szCs w:val="24"/>
        </w:rPr>
        <w:t xml:space="preserve">Consideration should be given to whether the bringing of proceedings in front of a court and in public also has intrinsic merit – sometimes the court will take the view that a finding of contempt does not require the imposition of any sanction over and above the “public humiliation” perceived as attaching to a public judgment identifying the contemnor’s reprehensible </w:t>
      </w:r>
      <w:r w:rsidRPr="00697F83">
        <w:rPr>
          <w:rFonts w:cs="Arial"/>
          <w:b w:val="0"/>
          <w:bCs w:val="0"/>
          <w:sz w:val="24"/>
          <w:szCs w:val="24"/>
        </w:rPr>
        <w:lastRenderedPageBreak/>
        <w:t xml:space="preserve">behaviour. </w:t>
      </w:r>
    </w:p>
    <w:p w14:paraId="4E99E426" w14:textId="6979A08B" w:rsidR="00697F83" w:rsidRPr="00697F83" w:rsidRDefault="00697F83" w:rsidP="00697F83">
      <w:pPr>
        <w:pStyle w:val="submissionheading"/>
        <w:widowControl w:val="0"/>
        <w:numPr>
          <w:ilvl w:val="0"/>
          <w:numId w:val="8"/>
        </w:numPr>
        <w:spacing w:line="288" w:lineRule="auto"/>
        <w:ind w:left="2137" w:hanging="357"/>
        <w:rPr>
          <w:rFonts w:cs="Arial"/>
          <w:b w:val="0"/>
          <w:bCs w:val="0"/>
          <w:sz w:val="24"/>
          <w:szCs w:val="24"/>
        </w:rPr>
      </w:pPr>
      <w:r w:rsidRPr="00697F83">
        <w:rPr>
          <w:rFonts w:cs="Arial"/>
          <w:b w:val="0"/>
          <w:bCs w:val="0"/>
          <w:sz w:val="24"/>
          <w:szCs w:val="24"/>
        </w:rPr>
        <w:t xml:space="preserve">What is the </w:t>
      </w:r>
      <w:r w:rsidR="00646482">
        <w:rPr>
          <w:rFonts w:cs="Arial"/>
          <w:b w:val="0"/>
          <w:bCs w:val="0"/>
          <w:sz w:val="24"/>
          <w:szCs w:val="24"/>
        </w:rPr>
        <w:t xml:space="preserve">likely resource commitment by </w:t>
      </w:r>
      <w:r w:rsidRPr="00697F83">
        <w:rPr>
          <w:rFonts w:cs="Arial"/>
          <w:b w:val="0"/>
          <w:bCs w:val="0"/>
          <w:sz w:val="24"/>
          <w:szCs w:val="24"/>
        </w:rPr>
        <w:t xml:space="preserve">the AGO and the wider justice system, especially where </w:t>
      </w:r>
      <w:r w:rsidR="00C47885">
        <w:rPr>
          <w:rFonts w:cs="Arial"/>
          <w:b w:val="0"/>
          <w:bCs w:val="0"/>
          <w:sz w:val="24"/>
          <w:szCs w:val="24"/>
        </w:rPr>
        <w:t>to issue proceedings</w:t>
      </w:r>
      <w:r w:rsidR="00C47885" w:rsidRPr="00697F83">
        <w:rPr>
          <w:rFonts w:cs="Arial"/>
          <w:b w:val="0"/>
          <w:bCs w:val="0"/>
          <w:sz w:val="24"/>
          <w:szCs w:val="24"/>
        </w:rPr>
        <w:t xml:space="preserve"> </w:t>
      </w:r>
      <w:r w:rsidRPr="00697F83">
        <w:rPr>
          <w:rFonts w:cs="Arial"/>
          <w:b w:val="0"/>
          <w:bCs w:val="0"/>
          <w:sz w:val="24"/>
          <w:szCs w:val="24"/>
        </w:rPr>
        <w:t xml:space="preserve">could be regarded as excessive when weighed against any likely penalty? Law officers should not decide the public interest on the basis of this factor alone. It is essential that regard is also given to the other identified public interest factors, but </w:t>
      </w:r>
      <w:r w:rsidR="003A57A7">
        <w:rPr>
          <w:rFonts w:cs="Arial"/>
          <w:b w:val="0"/>
          <w:bCs w:val="0"/>
          <w:sz w:val="24"/>
          <w:szCs w:val="24"/>
        </w:rPr>
        <w:t>resource commitment</w:t>
      </w:r>
      <w:r w:rsidR="003A57A7" w:rsidRPr="00697F83">
        <w:rPr>
          <w:rFonts w:cs="Arial"/>
          <w:b w:val="0"/>
          <w:bCs w:val="0"/>
          <w:sz w:val="24"/>
          <w:szCs w:val="24"/>
        </w:rPr>
        <w:t xml:space="preserve"> </w:t>
      </w:r>
      <w:r w:rsidR="000D6D2D">
        <w:rPr>
          <w:rFonts w:cs="Arial"/>
          <w:b w:val="0"/>
          <w:bCs w:val="0"/>
          <w:sz w:val="24"/>
          <w:szCs w:val="24"/>
        </w:rPr>
        <w:t>might, exceptionally,</w:t>
      </w:r>
      <w:r w:rsidR="000D6D2D" w:rsidRPr="00697F83">
        <w:rPr>
          <w:rFonts w:cs="Arial"/>
          <w:b w:val="0"/>
          <w:bCs w:val="0"/>
          <w:sz w:val="24"/>
          <w:szCs w:val="24"/>
        </w:rPr>
        <w:t xml:space="preserve"> </w:t>
      </w:r>
      <w:r w:rsidRPr="00697F83">
        <w:rPr>
          <w:rFonts w:cs="Arial"/>
          <w:b w:val="0"/>
          <w:bCs w:val="0"/>
          <w:sz w:val="24"/>
          <w:szCs w:val="24"/>
        </w:rPr>
        <w:t xml:space="preserve">be a relevant factor when making an overall assessment of </w:t>
      </w:r>
      <w:r w:rsidR="00646482">
        <w:rPr>
          <w:rFonts w:cs="Arial"/>
          <w:b w:val="0"/>
          <w:bCs w:val="0"/>
          <w:sz w:val="24"/>
          <w:szCs w:val="24"/>
        </w:rPr>
        <w:t xml:space="preserve">whether proceedings would be in </w:t>
      </w:r>
      <w:r w:rsidRPr="00697F83">
        <w:rPr>
          <w:rFonts w:cs="Arial"/>
          <w:b w:val="0"/>
          <w:bCs w:val="0"/>
          <w:sz w:val="24"/>
          <w:szCs w:val="24"/>
        </w:rPr>
        <w:t>the public interest</w:t>
      </w:r>
      <w:r w:rsidR="00646482">
        <w:rPr>
          <w:rFonts w:cs="Arial"/>
          <w:b w:val="0"/>
          <w:bCs w:val="0"/>
          <w:sz w:val="24"/>
          <w:szCs w:val="24"/>
        </w:rPr>
        <w:t xml:space="preserve"> </w:t>
      </w:r>
    </w:p>
    <w:sectPr w:rsidR="00697F83" w:rsidRPr="00697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45D"/>
    <w:multiLevelType w:val="hybridMultilevel"/>
    <w:tmpl w:val="0D082670"/>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0AE820FA"/>
    <w:multiLevelType w:val="hybridMultilevel"/>
    <w:tmpl w:val="7BD06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DB3945"/>
    <w:multiLevelType w:val="hybridMultilevel"/>
    <w:tmpl w:val="2AD0CC14"/>
    <w:lvl w:ilvl="0" w:tplc="94BA52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CF0C22"/>
    <w:multiLevelType w:val="hybridMultilevel"/>
    <w:tmpl w:val="EE8E4078"/>
    <w:lvl w:ilvl="0" w:tplc="365A8B78">
      <w:start w:val="1"/>
      <w:numFmt w:val="decimal"/>
      <w:lvlText w:val="%1."/>
      <w:lvlJc w:val="left"/>
      <w:pPr>
        <w:ind w:left="360" w:hanging="360"/>
      </w:pPr>
      <w:rPr>
        <w:b w:val="0"/>
        <w:bCs w:val="0"/>
        <w:i w:val="0"/>
        <w:iCs w:val="0"/>
      </w:rPr>
    </w:lvl>
    <w:lvl w:ilvl="1" w:tplc="08090019">
      <w:start w:val="1"/>
      <w:numFmt w:val="lowerLetter"/>
      <w:lvlText w:val="%2."/>
      <w:lvlJc w:val="left"/>
      <w:pPr>
        <w:ind w:left="1135"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9201E76"/>
    <w:multiLevelType w:val="hybridMultilevel"/>
    <w:tmpl w:val="8AA453FE"/>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15:restartNumberingAfterBreak="0">
    <w:nsid w:val="493369F9"/>
    <w:multiLevelType w:val="hybridMultilevel"/>
    <w:tmpl w:val="9B30F2DC"/>
    <w:lvl w:ilvl="0" w:tplc="0809001B">
      <w:start w:val="1"/>
      <w:numFmt w:val="lowerRoman"/>
      <w:lvlText w:val="%1."/>
      <w:lvlJc w:val="righ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6" w15:restartNumberingAfterBreak="0">
    <w:nsid w:val="6BFC771D"/>
    <w:multiLevelType w:val="hybridMultilevel"/>
    <w:tmpl w:val="E8A6A50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7" w15:restartNumberingAfterBreak="0">
    <w:nsid w:val="75A1615B"/>
    <w:multiLevelType w:val="hybridMultilevel"/>
    <w:tmpl w:val="606C72D0"/>
    <w:lvl w:ilvl="0" w:tplc="0809001B">
      <w:start w:val="1"/>
      <w:numFmt w:val="lowerRoman"/>
      <w:lvlText w:val="%1."/>
      <w:lvlJc w:val="righ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83"/>
    <w:rsid w:val="000D6D2D"/>
    <w:rsid w:val="00210A94"/>
    <w:rsid w:val="00226F34"/>
    <w:rsid w:val="002F46CF"/>
    <w:rsid w:val="003A57A7"/>
    <w:rsid w:val="003C35A0"/>
    <w:rsid w:val="00472911"/>
    <w:rsid w:val="00646482"/>
    <w:rsid w:val="00697F83"/>
    <w:rsid w:val="006F73BC"/>
    <w:rsid w:val="007B52DD"/>
    <w:rsid w:val="00844AB9"/>
    <w:rsid w:val="00976E89"/>
    <w:rsid w:val="00A3311F"/>
    <w:rsid w:val="00A70BEE"/>
    <w:rsid w:val="00C47885"/>
    <w:rsid w:val="00E22FD3"/>
    <w:rsid w:val="00EE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0021"/>
  <w15:chartTrackingRefBased/>
  <w15:docId w15:val="{AD340B88-9E55-43E3-A5CB-9A9085A1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83"/>
    <w:pPr>
      <w:ind w:left="720"/>
      <w:contextualSpacing/>
    </w:pPr>
  </w:style>
  <w:style w:type="paragraph" w:customStyle="1" w:styleId="submissionheading">
    <w:name w:val="submission heading"/>
    <w:rsid w:val="00697F83"/>
    <w:pPr>
      <w:keepNext/>
      <w:spacing w:after="0" w:line="280" w:lineRule="exact"/>
    </w:pPr>
    <w:rPr>
      <w:rFonts w:ascii="Arial" w:eastAsia="Times New Roman" w:hAnsi="Arial" w:cs="Times New Roman"/>
      <w:b/>
      <w:bCs/>
      <w:szCs w:val="20"/>
      <w:lang w:eastAsia="en-GB"/>
    </w:rPr>
  </w:style>
  <w:style w:type="paragraph" w:styleId="Revision">
    <w:name w:val="Revision"/>
    <w:hidden/>
    <w:uiPriority w:val="99"/>
    <w:semiHidden/>
    <w:rsid w:val="00EE2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Kapila (AGO)</dc:creator>
  <cp:keywords/>
  <dc:description/>
  <cp:lastModifiedBy>Laura Hunter (AGO)</cp:lastModifiedBy>
  <cp:revision>2</cp:revision>
  <dcterms:created xsi:type="dcterms:W3CDTF">2022-07-20T06:32:00Z</dcterms:created>
  <dcterms:modified xsi:type="dcterms:W3CDTF">2022-07-20T06:32:00Z</dcterms:modified>
</cp:coreProperties>
</file>