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AB23" w14:textId="77777777" w:rsidR="000B0589" w:rsidRDefault="000B0589" w:rsidP="00BC2702">
      <w:pPr>
        <w:pStyle w:val="Conditions1"/>
        <w:numPr>
          <w:ilvl w:val="0"/>
          <w:numId w:val="0"/>
        </w:numPr>
      </w:pPr>
      <w:r>
        <w:rPr>
          <w:noProof/>
        </w:rPr>
        <w:drawing>
          <wp:inline distT="0" distB="0" distL="0" distR="0" wp14:anchorId="2B6837A3" wp14:editId="6DAED3B0">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3BC3FF2" w14:textId="77777777" w:rsidR="000B0589" w:rsidRDefault="000B0589" w:rsidP="00A5760C"/>
    <w:p w14:paraId="77EE05C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7AE5828" w14:textId="77777777" w:rsidTr="0033728A">
        <w:trPr>
          <w:cantSplit/>
          <w:trHeight w:val="23"/>
        </w:trPr>
        <w:tc>
          <w:tcPr>
            <w:tcW w:w="9356" w:type="dxa"/>
            <w:shd w:val="clear" w:color="auto" w:fill="auto"/>
          </w:tcPr>
          <w:p w14:paraId="01605520" w14:textId="593A9FC8" w:rsidR="000B0589" w:rsidRPr="0033728A" w:rsidRDefault="0033728A"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361890" w14:paraId="18175616" w14:textId="77777777" w:rsidTr="0033728A">
        <w:trPr>
          <w:cantSplit/>
          <w:trHeight w:val="23"/>
        </w:trPr>
        <w:tc>
          <w:tcPr>
            <w:tcW w:w="9356" w:type="dxa"/>
            <w:shd w:val="clear" w:color="auto" w:fill="auto"/>
          </w:tcPr>
          <w:p w14:paraId="293602D4" w14:textId="1E55FBEF" w:rsidR="000B0589" w:rsidRPr="0033728A" w:rsidRDefault="0033728A" w:rsidP="0033728A">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1EFAB1DF" w14:textId="77777777" w:rsidTr="0033728A">
        <w:trPr>
          <w:cantSplit/>
          <w:trHeight w:val="23"/>
        </w:trPr>
        <w:tc>
          <w:tcPr>
            <w:tcW w:w="9356" w:type="dxa"/>
            <w:shd w:val="clear" w:color="auto" w:fill="auto"/>
          </w:tcPr>
          <w:p w14:paraId="524E4004" w14:textId="5975894E" w:rsidR="000B0589" w:rsidRPr="0033728A" w:rsidRDefault="0033728A"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BC4D5D6" w14:textId="77777777" w:rsidTr="0033728A">
        <w:trPr>
          <w:cantSplit/>
          <w:trHeight w:val="23"/>
        </w:trPr>
        <w:tc>
          <w:tcPr>
            <w:tcW w:w="9356" w:type="dxa"/>
            <w:shd w:val="clear" w:color="auto" w:fill="auto"/>
          </w:tcPr>
          <w:p w14:paraId="12867861" w14:textId="76B8602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77D72">
              <w:rPr>
                <w:b/>
                <w:color w:val="000000"/>
                <w:sz w:val="16"/>
                <w:szCs w:val="16"/>
              </w:rPr>
              <w:t xml:space="preserve"> 4 July2022</w:t>
            </w:r>
          </w:p>
        </w:tc>
      </w:tr>
    </w:tbl>
    <w:p w14:paraId="44C69BAD" w14:textId="77777777" w:rsidR="0033728A" w:rsidRDefault="0033728A" w:rsidP="000B0589"/>
    <w:tbl>
      <w:tblPr>
        <w:tblW w:w="0" w:type="auto"/>
        <w:tblLayout w:type="fixed"/>
        <w:tblLook w:val="0000" w:firstRow="0" w:lastRow="0" w:firstColumn="0" w:lastColumn="0" w:noHBand="0" w:noVBand="0"/>
      </w:tblPr>
      <w:tblGrid>
        <w:gridCol w:w="9520"/>
      </w:tblGrid>
      <w:tr w:rsidR="0033728A" w14:paraId="7EE60CD3" w14:textId="77777777" w:rsidTr="006C412C">
        <w:tc>
          <w:tcPr>
            <w:tcW w:w="9520" w:type="dxa"/>
            <w:shd w:val="clear" w:color="auto" w:fill="auto"/>
          </w:tcPr>
          <w:p w14:paraId="645A7FCF" w14:textId="60EA79F8" w:rsidR="0033728A" w:rsidRPr="00372CAB" w:rsidRDefault="0033728A" w:rsidP="006C412C">
            <w:pPr>
              <w:spacing w:after="60"/>
              <w:rPr>
                <w:b/>
                <w:color w:val="000000"/>
              </w:rPr>
            </w:pPr>
            <w:r>
              <w:rPr>
                <w:b/>
                <w:color w:val="000000"/>
              </w:rPr>
              <w:t>Appeal Ref: FPS/Z1585/14A/23</w:t>
            </w:r>
          </w:p>
        </w:tc>
      </w:tr>
      <w:tr w:rsidR="0033728A" w14:paraId="06FF1922" w14:textId="77777777" w:rsidTr="006C412C">
        <w:tc>
          <w:tcPr>
            <w:tcW w:w="9520" w:type="dxa"/>
            <w:shd w:val="clear" w:color="auto" w:fill="auto"/>
          </w:tcPr>
          <w:p w14:paraId="5A86F8AE" w14:textId="5FD15388" w:rsidR="0033728A" w:rsidRDefault="0033728A" w:rsidP="006C412C">
            <w:pPr>
              <w:pStyle w:val="TBullet"/>
            </w:pPr>
            <w:r>
              <w:t>The appeal is made under Section 53(5) and paragraph 4(1) to the Wildlife and Countryside Act 1981 (the 1981 Act) against the decision of Essex County Council not to make an Order under Section 53(2) of that Act.</w:t>
            </w:r>
          </w:p>
        </w:tc>
      </w:tr>
      <w:tr w:rsidR="0033728A" w14:paraId="6EB57331" w14:textId="77777777" w:rsidTr="006C412C">
        <w:tc>
          <w:tcPr>
            <w:tcW w:w="9520" w:type="dxa"/>
            <w:shd w:val="clear" w:color="auto" w:fill="auto"/>
          </w:tcPr>
          <w:p w14:paraId="0373F2BD" w14:textId="7439D72B" w:rsidR="0033728A" w:rsidRDefault="0033728A" w:rsidP="006C412C">
            <w:pPr>
              <w:pStyle w:val="TBullet"/>
            </w:pPr>
            <w:r>
              <w:t xml:space="preserve">The application was made on 19 November 2020 and was </w:t>
            </w:r>
            <w:r w:rsidRPr="001018DE">
              <w:t>refused by</w:t>
            </w:r>
            <w:r>
              <w:t xml:space="preserve"> Essex County Council on 13 July 2021</w:t>
            </w:r>
            <w:r w:rsidRPr="001018DE">
              <w:t>.</w:t>
            </w:r>
          </w:p>
          <w:p w14:paraId="1233F7C8" w14:textId="581C302A" w:rsidR="0033728A" w:rsidRDefault="0033728A" w:rsidP="006C412C">
            <w:pPr>
              <w:pStyle w:val="TBullet"/>
            </w:pPr>
            <w:r w:rsidRPr="001018DE">
              <w:t>The Appellant</w:t>
            </w:r>
            <w:r>
              <w:t xml:space="preserve"> claims</w:t>
            </w:r>
            <w:r w:rsidRPr="001018DE">
              <w:t xml:space="preserve"> that the appeal route </w:t>
            </w:r>
            <w:r w:rsidR="00F361F0">
              <w:t>connecting Footpath 24 and Bridleway 25 at Tiptree</w:t>
            </w:r>
            <w:r w:rsidR="00926103">
              <w:t>, Essex</w:t>
            </w:r>
            <w:r w:rsidR="00F361F0">
              <w:t xml:space="preserve"> </w:t>
            </w:r>
            <w:r w:rsidRPr="001018DE">
              <w:t xml:space="preserve">should be added to </w:t>
            </w:r>
            <w:r>
              <w:t xml:space="preserve">the </w:t>
            </w:r>
            <w:r w:rsidRPr="001018DE">
              <w:t xml:space="preserve">Definitive Map and Statement as a public footpath. </w:t>
            </w:r>
          </w:p>
        </w:tc>
      </w:tr>
      <w:tr w:rsidR="0033728A" w14:paraId="260D390B" w14:textId="77777777" w:rsidTr="006C412C">
        <w:tc>
          <w:tcPr>
            <w:tcW w:w="9520" w:type="dxa"/>
            <w:shd w:val="clear" w:color="auto" w:fill="auto"/>
          </w:tcPr>
          <w:p w14:paraId="42112034" w14:textId="77777777" w:rsidR="0033728A" w:rsidRPr="00372CAB" w:rsidRDefault="0033728A" w:rsidP="006C412C">
            <w:pPr>
              <w:spacing w:before="60"/>
              <w:rPr>
                <w:b/>
                <w:color w:val="000000"/>
              </w:rPr>
            </w:pPr>
            <w:r>
              <w:rPr>
                <w:b/>
                <w:color w:val="000000"/>
              </w:rPr>
              <w:t>Summary of Decision: The appeal is dismissed.</w:t>
            </w:r>
          </w:p>
        </w:tc>
      </w:tr>
      <w:tr w:rsidR="0033728A" w14:paraId="3D9A0BC1" w14:textId="77777777" w:rsidTr="006C412C">
        <w:tc>
          <w:tcPr>
            <w:tcW w:w="9520" w:type="dxa"/>
            <w:tcBorders>
              <w:bottom w:val="single" w:sz="6" w:space="0" w:color="000000"/>
            </w:tcBorders>
            <w:shd w:val="clear" w:color="auto" w:fill="auto"/>
          </w:tcPr>
          <w:p w14:paraId="64521FC7" w14:textId="77777777" w:rsidR="0033728A" w:rsidRPr="00372CAB" w:rsidRDefault="0033728A" w:rsidP="006C412C">
            <w:pPr>
              <w:spacing w:before="60"/>
              <w:rPr>
                <w:b/>
                <w:color w:val="000000"/>
                <w:sz w:val="2"/>
              </w:rPr>
            </w:pPr>
          </w:p>
        </w:tc>
      </w:tr>
    </w:tbl>
    <w:p w14:paraId="63B12E46" w14:textId="77777777" w:rsidR="00F361F0" w:rsidRPr="00F361F0" w:rsidRDefault="00F361F0" w:rsidP="00F361F0">
      <w:pPr>
        <w:keepNext/>
        <w:widowControl w:val="0"/>
        <w:spacing w:before="180"/>
        <w:outlineLvl w:val="5"/>
        <w:rPr>
          <w:b/>
          <w:color w:val="000000"/>
          <w:szCs w:val="22"/>
        </w:rPr>
      </w:pPr>
      <w:r w:rsidRPr="00F361F0">
        <w:rPr>
          <w:b/>
          <w:color w:val="000000"/>
          <w:szCs w:val="22"/>
        </w:rPr>
        <w:t>Procedural Matters</w:t>
      </w:r>
    </w:p>
    <w:p w14:paraId="1F49295E" w14:textId="77777777" w:rsidR="00F361F0" w:rsidRPr="00F361F0" w:rsidRDefault="00F361F0" w:rsidP="00F361F0">
      <w:pPr>
        <w:pStyle w:val="Style1"/>
        <w:rPr>
          <w:szCs w:val="22"/>
        </w:rPr>
      </w:pPr>
      <w:r w:rsidRPr="00F361F0">
        <w:t xml:space="preserve">I have been directed by the Secretary of State for Environment, Food and Rural Affairs to determine this appeal under Section 53(5) and Paragraph 4(1) of Schedule 14 to the 1981 Act. </w:t>
      </w:r>
    </w:p>
    <w:p w14:paraId="54C4D13D" w14:textId="7406ABA9" w:rsidR="00F361F0" w:rsidRPr="00F361F0" w:rsidRDefault="00F361F0" w:rsidP="00F361F0">
      <w:pPr>
        <w:pStyle w:val="Style1"/>
      </w:pPr>
      <w:r w:rsidRPr="00F361F0">
        <w:t>The appellant</w:t>
      </w:r>
      <w:r w:rsidRPr="00F361F0">
        <w:rPr>
          <w:vertAlign w:val="superscript"/>
        </w:rPr>
        <w:footnoteReference w:id="1"/>
      </w:r>
      <w:r w:rsidRPr="00F361F0">
        <w:t xml:space="preserve">, requests that the Secretary of State directs </w:t>
      </w:r>
      <w:r w:rsidR="00C44F30">
        <w:t xml:space="preserve">Essex </w:t>
      </w:r>
      <w:r w:rsidRPr="00F361F0">
        <w:t>County Council (</w:t>
      </w:r>
      <w:r w:rsidR="00C44F30">
        <w:t>E</w:t>
      </w:r>
      <w:r w:rsidRPr="00F361F0">
        <w:t xml:space="preserve">CC) to make a definitive map modification order under Schedule 15 of the 1981 Act to record the route which is the subject of this appeal as a public footpath. </w:t>
      </w:r>
      <w:r w:rsidR="00C44F30">
        <w:t xml:space="preserve"> </w:t>
      </w:r>
      <w:r w:rsidRPr="00F361F0">
        <w:t xml:space="preserve">The application </w:t>
      </w:r>
      <w:r w:rsidR="00C44F30">
        <w:t xml:space="preserve">was </w:t>
      </w:r>
      <w:r w:rsidRPr="00F361F0">
        <w:t>considered in a report</w:t>
      </w:r>
      <w:r w:rsidR="00BC6361">
        <w:t xml:space="preserve"> by Esse</w:t>
      </w:r>
      <w:r w:rsidR="00F820CF">
        <w:t>x</w:t>
      </w:r>
      <w:r w:rsidR="00BC6361">
        <w:t xml:space="preserve"> Legal Services </w:t>
      </w:r>
      <w:r w:rsidR="00F820CF">
        <w:t>ref HIGH/11770 dated 13 July 202</w:t>
      </w:r>
      <w:r w:rsidR="00BC1516">
        <w:t>1</w:t>
      </w:r>
      <w:r w:rsidRPr="00F361F0">
        <w:t>.  This appeal relates to the Council’s decision not to make an Order.</w:t>
      </w:r>
    </w:p>
    <w:p w14:paraId="1D9C060D" w14:textId="5DE0FBC1" w:rsidR="00F361F0" w:rsidRPr="00F361F0" w:rsidRDefault="00F361F0" w:rsidP="00F361F0">
      <w:pPr>
        <w:pStyle w:val="Style1"/>
      </w:pPr>
      <w:r w:rsidRPr="00F361F0">
        <w:t xml:space="preserve">For ease of reference, I shall refer to the points labelled on </w:t>
      </w:r>
      <w:r w:rsidR="00B6208F">
        <w:t>the Application Plan</w:t>
      </w:r>
      <w:r w:rsidRPr="00F361F0">
        <w:t>.  This plan show</w:t>
      </w:r>
      <w:r w:rsidR="00D60601">
        <w:t>s</w:t>
      </w:r>
      <w:r w:rsidRPr="00F361F0">
        <w:t xml:space="preserve"> the claimed footpath </w:t>
      </w:r>
      <w:r w:rsidR="00D60601">
        <w:t xml:space="preserve">commencing at Point A </w:t>
      </w:r>
      <w:r w:rsidR="00E24C1A">
        <w:t>on Footpath</w:t>
      </w:r>
      <w:r w:rsidR="00C462F2">
        <w:t xml:space="preserve"> 24,</w:t>
      </w:r>
      <w:r w:rsidR="00E24C1A">
        <w:t xml:space="preserve"> </w:t>
      </w:r>
      <w:r w:rsidR="00C462F2">
        <w:t>close to Birch Wood and then</w:t>
      </w:r>
      <w:r w:rsidR="00E24C1A">
        <w:t xml:space="preserve"> </w:t>
      </w:r>
      <w:r w:rsidR="004C4A0F">
        <w:t xml:space="preserve">travelling in a </w:t>
      </w:r>
      <w:r w:rsidR="00A44BE3">
        <w:t>northward</w:t>
      </w:r>
      <w:r w:rsidR="00EA596B">
        <w:t xml:space="preserve"> </w:t>
      </w:r>
      <w:r w:rsidR="00C462F2">
        <w:t xml:space="preserve">direction, </w:t>
      </w:r>
      <w:r w:rsidR="00EA596B">
        <w:t>following the field edge</w:t>
      </w:r>
      <w:r w:rsidR="00C462F2">
        <w:t>,</w:t>
      </w:r>
      <w:r w:rsidR="00EA596B">
        <w:t xml:space="preserve"> to Point B</w:t>
      </w:r>
      <w:r w:rsidR="008E15D1">
        <w:t xml:space="preserve">.  Here the route </w:t>
      </w:r>
      <w:r w:rsidR="00EA596B">
        <w:t>turn</w:t>
      </w:r>
      <w:r w:rsidR="001F1064">
        <w:t>s roughly 90</w:t>
      </w:r>
      <w:r w:rsidR="00666885">
        <w:t>º</w:t>
      </w:r>
      <w:r w:rsidR="001F1064">
        <w:t xml:space="preserve"> to Point C</w:t>
      </w:r>
      <w:r w:rsidR="008756B1">
        <w:t>,</w:t>
      </w:r>
      <w:r w:rsidR="001F1064">
        <w:t xml:space="preserve"> </w:t>
      </w:r>
      <w:r w:rsidR="008756B1">
        <w:t xml:space="preserve">after which there is another </w:t>
      </w:r>
      <w:r w:rsidR="00CB718E">
        <w:t>90</w:t>
      </w:r>
      <w:r w:rsidR="00504BD5">
        <w:t>º</w:t>
      </w:r>
      <w:r w:rsidR="00CB718E">
        <w:t xml:space="preserve"> turn towards point D</w:t>
      </w:r>
      <w:r w:rsidR="008756B1">
        <w:t xml:space="preserve"> where the route intersects with </w:t>
      </w:r>
      <w:r w:rsidR="00CB718E">
        <w:t>Bridlewa</w:t>
      </w:r>
      <w:r w:rsidR="00A44BE3">
        <w:t>y 25</w:t>
      </w:r>
      <w:r w:rsidR="00A42DEB">
        <w:t>,</w:t>
      </w:r>
      <w:r w:rsidR="00A44BE3">
        <w:t xml:space="preserve"> also known as Park Drive.  </w:t>
      </w:r>
    </w:p>
    <w:p w14:paraId="38E1E68C" w14:textId="7B39E713" w:rsidR="00F361F0" w:rsidRDefault="00F361F0" w:rsidP="0033728A">
      <w:pPr>
        <w:pStyle w:val="Style1"/>
      </w:pPr>
      <w:r w:rsidRPr="00F361F0">
        <w:t xml:space="preserve">In addition to the submissions from the appellant and </w:t>
      </w:r>
      <w:r w:rsidR="00A44BE3">
        <w:t>E</w:t>
      </w:r>
      <w:r w:rsidRPr="00F361F0">
        <w:t>CC, I have before me representations made by various interested parties.  I have considered all these documents in forming my conclusions.  I have not visited the site</w:t>
      </w:r>
      <w:r w:rsidR="00A44BE3">
        <w:t>,</w:t>
      </w:r>
      <w:r w:rsidRPr="00F361F0">
        <w:t xml:space="preserve"> but I am satisfied that I can make my decision without the need to do so. </w:t>
      </w:r>
    </w:p>
    <w:p w14:paraId="759C4FB3" w14:textId="729EA6F1" w:rsidR="0033728A" w:rsidRDefault="0033728A" w:rsidP="0033728A">
      <w:pPr>
        <w:pStyle w:val="Heading6blackfont"/>
      </w:pPr>
      <w:r>
        <w:t>Main Issues</w:t>
      </w:r>
    </w:p>
    <w:p w14:paraId="118E4634" w14:textId="77777777" w:rsidR="00F361F0" w:rsidRDefault="00F361F0" w:rsidP="00F361F0">
      <w:pPr>
        <w:pStyle w:val="Style1"/>
      </w:pPr>
      <w:r>
        <w:t>Section 53(2) of the 1981 Act requires a surveying authority to make orders to modify its definitive map and statement in consequence of certain events specified in Section 53(3).  One type of event is set out in sub-section 53(3)(c)(i): “</w:t>
      </w:r>
      <w:r w:rsidRPr="00AC1D05">
        <w:rPr>
          <w:i/>
          <w:iCs/>
        </w:rPr>
        <w:t xml:space="preserve">the discovery by the authority of evidence which (when considered with all other relevant evidence available to them) shows … that a </w:t>
      </w:r>
      <w:r w:rsidRPr="00AC1D05">
        <w:rPr>
          <w:i/>
          <w:iCs/>
        </w:rPr>
        <w:lastRenderedPageBreak/>
        <w:t>right of way which is not shown in the map and statement subsists or is reasonably alleged to subsist over land in the area to which the map relates …".</w:t>
      </w:r>
    </w:p>
    <w:p w14:paraId="1A2804B8" w14:textId="413752B6" w:rsidR="00F361F0" w:rsidRDefault="00F361F0" w:rsidP="00F361F0">
      <w:pPr>
        <w:pStyle w:val="Style1"/>
      </w:pPr>
      <w:proofErr w:type="gramStart"/>
      <w:r>
        <w:t>The majority of</w:t>
      </w:r>
      <w:proofErr w:type="gramEnd"/>
      <w:r>
        <w:t xml:space="preserve"> the evidence in this case relates to usage of the claimed route by local people up until</w:t>
      </w:r>
      <w:r w:rsidR="005D7442">
        <w:t xml:space="preserve"> the erection of barriers at point A and D in </w:t>
      </w:r>
      <w:r w:rsidR="00435571">
        <w:t xml:space="preserve">late August </w:t>
      </w:r>
      <w:r w:rsidR="007A4F2C">
        <w:t>2020</w:t>
      </w:r>
      <w:r>
        <w:t>.  In respect of this, the requirements of Section 31 of the Highways Act 1980 (the 1980 Act) are relevant.  This states that where a way over any land, other than a way of such a character that use of it by the public could not give rise at common law to any presumption of dedication, has been actually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0C49D9CB" w14:textId="77777777" w:rsidR="00F361F0" w:rsidRDefault="00F361F0" w:rsidP="00F361F0">
      <w:pPr>
        <w:pStyle w:val="Style1"/>
      </w:pPr>
      <w:r>
        <w:t>The statutory test to be applied to evidence under sub-section 53(3)(c)(i) is recognised as presenting two separate questions, one of which must be answered in the affirmative before an order is made: has a right of way been shown to subsist on the balance of probability? (Test A) or has a right of way been reasonably alleged to subsist? (Test B).  For the purposes of this Appeal, I need only be satisfied that the evidence meets Test B, the lesser test.</w:t>
      </w:r>
    </w:p>
    <w:p w14:paraId="2358122C" w14:textId="64A79807" w:rsidR="00F361F0" w:rsidRPr="00F361F0" w:rsidRDefault="00F361F0" w:rsidP="00EC0498">
      <w:pPr>
        <w:pStyle w:val="Style1"/>
      </w:pPr>
      <w:r>
        <w:t>It is also open to me to consider whether dedication of the way as a highway has taken place at common law. This requires me to examine whether the use of the route by the public and the actions of the landowners or previous landowners have been of such a nature that dedication of a right of way can be shown to have occurred expressly or, alternatively, whether dedication can be inferred.  No prescribed period of use is required at common law; the length of time required to allow such an inference to be drawn will depend on all the circumstances. The burden of proof lies with the person or persons claiming the rights.</w:t>
      </w:r>
    </w:p>
    <w:p w14:paraId="6213DFEA" w14:textId="0C8028A7" w:rsidR="00355FCC" w:rsidRDefault="0033728A" w:rsidP="0033728A">
      <w:pPr>
        <w:pStyle w:val="Heading6blackfont"/>
      </w:pPr>
      <w:r>
        <w:t>Reasons</w:t>
      </w:r>
    </w:p>
    <w:p w14:paraId="1A79CC43" w14:textId="77777777" w:rsidR="00EC0498" w:rsidRPr="00EC0498" w:rsidRDefault="00EC0498" w:rsidP="00EC0498">
      <w:pPr>
        <w:tabs>
          <w:tab w:val="left" w:pos="432"/>
        </w:tabs>
        <w:spacing w:before="180"/>
        <w:ind w:left="431" w:hanging="431"/>
        <w:outlineLvl w:val="0"/>
        <w:rPr>
          <w:i/>
          <w:color w:val="000000"/>
          <w:kern w:val="28"/>
        </w:rPr>
      </w:pPr>
      <w:r w:rsidRPr="00EC0498">
        <w:rPr>
          <w:i/>
          <w:color w:val="000000"/>
          <w:kern w:val="28"/>
        </w:rPr>
        <w:t>When the right to use the way was brought into question</w:t>
      </w:r>
    </w:p>
    <w:p w14:paraId="4D9DDBEA" w14:textId="3539F8ED" w:rsidR="00EC0498" w:rsidRPr="00EC0498" w:rsidRDefault="00EC0498" w:rsidP="00EC0498">
      <w:pPr>
        <w:numPr>
          <w:ilvl w:val="0"/>
          <w:numId w:val="21"/>
        </w:numPr>
        <w:tabs>
          <w:tab w:val="left" w:pos="432"/>
        </w:tabs>
        <w:spacing w:before="180"/>
        <w:outlineLvl w:val="0"/>
        <w:rPr>
          <w:color w:val="000000"/>
          <w:kern w:val="28"/>
        </w:rPr>
      </w:pPr>
      <w:proofErr w:type="gramStart"/>
      <w:r w:rsidRPr="00EC0498">
        <w:rPr>
          <w:color w:val="000000"/>
          <w:kern w:val="28"/>
        </w:rPr>
        <w:t>In order to</w:t>
      </w:r>
      <w:proofErr w:type="gramEnd"/>
      <w:r w:rsidRPr="00EC0498">
        <w:rPr>
          <w:color w:val="000000"/>
          <w:kern w:val="28"/>
        </w:rPr>
        <w:t xml:space="preserve"> calculate the relevant 20-year period, it is necessary to establish the point at which the public’s use of the route was called into question.  There is no dispute between the parties that the route was physically obstructed in </w:t>
      </w:r>
      <w:r w:rsidR="00D87C56">
        <w:rPr>
          <w:color w:val="000000"/>
          <w:kern w:val="28"/>
        </w:rPr>
        <w:t xml:space="preserve">August </w:t>
      </w:r>
      <w:r w:rsidRPr="00EC0498">
        <w:rPr>
          <w:color w:val="000000"/>
          <w:kern w:val="28"/>
        </w:rPr>
        <w:t>20</w:t>
      </w:r>
      <w:r>
        <w:rPr>
          <w:color w:val="000000"/>
          <w:kern w:val="28"/>
        </w:rPr>
        <w:t>20</w:t>
      </w:r>
      <w:r w:rsidRPr="00EC0498">
        <w:rPr>
          <w:color w:val="000000"/>
          <w:kern w:val="28"/>
        </w:rPr>
        <w:t xml:space="preserve">.  The latest possible 20-year period is therefore </w:t>
      </w:r>
      <w:r>
        <w:rPr>
          <w:color w:val="000000"/>
          <w:kern w:val="28"/>
        </w:rPr>
        <w:t>2000</w:t>
      </w:r>
      <w:r w:rsidRPr="00EC0498">
        <w:rPr>
          <w:color w:val="000000"/>
          <w:kern w:val="28"/>
        </w:rPr>
        <w:t>-20</w:t>
      </w:r>
      <w:r>
        <w:rPr>
          <w:color w:val="000000"/>
          <w:kern w:val="28"/>
        </w:rPr>
        <w:t>20</w:t>
      </w:r>
      <w:r w:rsidRPr="00EC0498">
        <w:rPr>
          <w:color w:val="000000"/>
          <w:kern w:val="28"/>
        </w:rPr>
        <w:t>.</w:t>
      </w:r>
    </w:p>
    <w:p w14:paraId="092F1FF9" w14:textId="77777777" w:rsidR="00374F9D" w:rsidRPr="00374F9D" w:rsidRDefault="00EC0498" w:rsidP="006B74F7">
      <w:pPr>
        <w:numPr>
          <w:ilvl w:val="0"/>
          <w:numId w:val="21"/>
        </w:numPr>
        <w:tabs>
          <w:tab w:val="left" w:pos="432"/>
        </w:tabs>
        <w:spacing w:before="180"/>
        <w:outlineLvl w:val="0"/>
        <w:rPr>
          <w:color w:val="000000"/>
          <w:kern w:val="28"/>
        </w:rPr>
      </w:pPr>
      <w:r w:rsidRPr="00EC0498">
        <w:rPr>
          <w:color w:val="000000"/>
          <w:kern w:val="28"/>
        </w:rPr>
        <w:t>However</w:t>
      </w:r>
      <w:r>
        <w:rPr>
          <w:color w:val="000000"/>
          <w:kern w:val="28"/>
        </w:rPr>
        <w:t xml:space="preserve">, </w:t>
      </w:r>
      <w:r w:rsidR="00345693">
        <w:rPr>
          <w:color w:val="000000"/>
          <w:kern w:val="28"/>
        </w:rPr>
        <w:t xml:space="preserve">there is </w:t>
      </w:r>
      <w:r w:rsidR="005733FF">
        <w:rPr>
          <w:color w:val="000000"/>
          <w:kern w:val="28"/>
        </w:rPr>
        <w:t>unequivocal</w:t>
      </w:r>
      <w:r w:rsidR="00345693">
        <w:rPr>
          <w:color w:val="000000"/>
          <w:kern w:val="28"/>
        </w:rPr>
        <w:t xml:space="preserve"> evidence that the landowner</w:t>
      </w:r>
      <w:r w:rsidR="00345693">
        <w:rPr>
          <w:rStyle w:val="FootnoteReference"/>
          <w:color w:val="000000"/>
          <w:kern w:val="28"/>
        </w:rPr>
        <w:footnoteReference w:id="2"/>
      </w:r>
      <w:r w:rsidR="002B0F50">
        <w:rPr>
          <w:color w:val="000000"/>
          <w:kern w:val="28"/>
        </w:rPr>
        <w:t xml:space="preserve"> made a series of</w:t>
      </w:r>
      <w:r w:rsidR="005733FF">
        <w:rPr>
          <w:color w:val="000000"/>
          <w:kern w:val="28"/>
        </w:rPr>
        <w:t xml:space="preserve"> deposits under </w:t>
      </w:r>
      <w:r w:rsidR="004155AA">
        <w:rPr>
          <w:color w:val="000000"/>
          <w:kern w:val="28"/>
        </w:rPr>
        <w:t xml:space="preserve">section 31(6) </w:t>
      </w:r>
      <w:r w:rsidR="005733FF">
        <w:rPr>
          <w:color w:val="000000"/>
          <w:kern w:val="28"/>
        </w:rPr>
        <w:t>of the Highways Act 1980</w:t>
      </w:r>
      <w:r w:rsidR="000E56C2">
        <w:rPr>
          <w:rStyle w:val="FootnoteReference"/>
          <w:color w:val="000000"/>
          <w:kern w:val="28"/>
        </w:rPr>
        <w:footnoteReference w:id="3"/>
      </w:r>
      <w:r w:rsidR="009B290E">
        <w:rPr>
          <w:color w:val="000000"/>
          <w:kern w:val="28"/>
        </w:rPr>
        <w:t xml:space="preserve">, the earliest being dated </w:t>
      </w:r>
      <w:r w:rsidR="006B74F7">
        <w:rPr>
          <w:color w:val="000000"/>
          <w:kern w:val="28"/>
        </w:rPr>
        <w:t>18 December 2002.  Consequently, there was a clear</w:t>
      </w:r>
      <w:r w:rsidRPr="006B74F7">
        <w:t xml:space="preserve"> lack of intention to dedicate on the part of the landowner </w:t>
      </w:r>
      <w:r w:rsidR="006B74F7">
        <w:t xml:space="preserve">from the </w:t>
      </w:r>
      <w:proofErr w:type="gramStart"/>
      <w:r w:rsidR="006B74F7">
        <w:t>aforementioned date</w:t>
      </w:r>
      <w:proofErr w:type="gramEnd"/>
      <w:r w:rsidR="006B74F7">
        <w:t xml:space="preserve"> forward. </w:t>
      </w:r>
      <w:r w:rsidRPr="006B74F7">
        <w:t xml:space="preserve"> </w:t>
      </w:r>
    </w:p>
    <w:p w14:paraId="2BA4358F" w14:textId="5F8890CD" w:rsidR="00EC0498" w:rsidRPr="00D13D8A" w:rsidRDefault="00A801DD" w:rsidP="00860BEF">
      <w:pPr>
        <w:numPr>
          <w:ilvl w:val="0"/>
          <w:numId w:val="21"/>
        </w:numPr>
        <w:tabs>
          <w:tab w:val="left" w:pos="432"/>
        </w:tabs>
        <w:spacing w:before="180"/>
        <w:outlineLvl w:val="0"/>
        <w:rPr>
          <w:color w:val="000000"/>
          <w:kern w:val="28"/>
        </w:rPr>
      </w:pPr>
      <w:r>
        <w:t xml:space="preserve">Although the </w:t>
      </w:r>
      <w:r w:rsidR="006F7683">
        <w:t>existence of the</w:t>
      </w:r>
      <w:r w:rsidR="00504BD5">
        <w:t xml:space="preserve"> 2002</w:t>
      </w:r>
      <w:r w:rsidR="006F7683">
        <w:t xml:space="preserve"> deposit is </w:t>
      </w:r>
      <w:r>
        <w:t>not dispute</w:t>
      </w:r>
      <w:r w:rsidR="006F7683">
        <w:t>d</w:t>
      </w:r>
      <w:r w:rsidR="00504BD5">
        <w:t xml:space="preserve"> by the </w:t>
      </w:r>
      <w:r w:rsidR="006F7683">
        <w:t>Applicant</w:t>
      </w:r>
      <w:r w:rsidR="00504BD5">
        <w:t xml:space="preserve">, its </w:t>
      </w:r>
      <w:r w:rsidR="00F95BD8">
        <w:t xml:space="preserve">legality </w:t>
      </w:r>
      <w:r w:rsidR="00504BD5">
        <w:t xml:space="preserve">has been questioned on the basis </w:t>
      </w:r>
      <w:r w:rsidR="00F95BD8">
        <w:t xml:space="preserve">that local </w:t>
      </w:r>
      <w:r w:rsidR="009A3078">
        <w:t>people were unaware of</w:t>
      </w:r>
      <w:r w:rsidR="00504BD5">
        <w:t xml:space="preserve"> it</w:t>
      </w:r>
      <w:r w:rsidR="00F95BD8">
        <w:t xml:space="preserve">.  </w:t>
      </w:r>
      <w:r w:rsidR="002544C3">
        <w:t>However,</w:t>
      </w:r>
      <w:r w:rsidR="006C1383">
        <w:t xml:space="preserve"> </w:t>
      </w:r>
      <w:r w:rsidR="002544C3">
        <w:t>th</w:t>
      </w:r>
      <w:r w:rsidR="004A4D48">
        <w:t xml:space="preserve">at </w:t>
      </w:r>
      <w:proofErr w:type="gramStart"/>
      <w:r w:rsidR="004A4D48">
        <w:t>particular</w:t>
      </w:r>
      <w:r w:rsidR="00F95BD8">
        <w:t xml:space="preserve"> line</w:t>
      </w:r>
      <w:proofErr w:type="gramEnd"/>
      <w:r w:rsidR="00F95BD8">
        <w:t xml:space="preserve"> of argument </w:t>
      </w:r>
      <w:r w:rsidR="002544C3">
        <w:t xml:space="preserve">is </w:t>
      </w:r>
      <w:r w:rsidR="00504BD5">
        <w:t xml:space="preserve">repudiated </w:t>
      </w:r>
      <w:r w:rsidR="002544C3">
        <w:t>on page 18 of the Council’s Report</w:t>
      </w:r>
      <w:r w:rsidR="006C1383">
        <w:t xml:space="preserve"> which cites the Fairey and Godmanchester Judgements</w:t>
      </w:r>
      <w:r w:rsidR="006C1383">
        <w:rPr>
          <w:rStyle w:val="FootnoteReference"/>
        </w:rPr>
        <w:footnoteReference w:id="4"/>
      </w:r>
      <w:r w:rsidR="006C1383">
        <w:t xml:space="preserve">.  Accordingly, I </w:t>
      </w:r>
      <w:r w:rsidR="004A4D48">
        <w:t xml:space="preserve">concur that the </w:t>
      </w:r>
      <w:r w:rsidR="0017403D">
        <w:t>2002 dep</w:t>
      </w:r>
      <w:r w:rsidR="007B32A5">
        <w:t>o</w:t>
      </w:r>
      <w:r w:rsidR="0017403D">
        <w:t>sit was valid at the time it was made</w:t>
      </w:r>
      <w:r w:rsidR="007631BB">
        <w:t>,</w:t>
      </w:r>
      <w:r w:rsidR="0017403D">
        <w:t xml:space="preserve"> </w:t>
      </w:r>
      <w:r w:rsidR="0017403D">
        <w:lastRenderedPageBreak/>
        <w:t xml:space="preserve">notwithstanding </w:t>
      </w:r>
      <w:proofErr w:type="gramStart"/>
      <w:r w:rsidR="0017403D">
        <w:t xml:space="preserve">that </w:t>
      </w:r>
      <w:r w:rsidR="007B32A5">
        <w:t>procedures</w:t>
      </w:r>
      <w:proofErr w:type="gramEnd"/>
      <w:r w:rsidR="007B32A5">
        <w:t xml:space="preserve"> for advertising notices ha</w:t>
      </w:r>
      <w:r w:rsidR="00504BD5">
        <w:t>ve</w:t>
      </w:r>
      <w:r w:rsidR="007B32A5">
        <w:t xml:space="preserve"> evolved since that time.  </w:t>
      </w:r>
      <w:r w:rsidR="00EC0498" w:rsidRPr="006B74F7">
        <w:t xml:space="preserve">I </w:t>
      </w:r>
      <w:r w:rsidR="006B74F7">
        <w:t xml:space="preserve">therefore intend </w:t>
      </w:r>
      <w:r w:rsidR="00EC0498" w:rsidRPr="006B74F7">
        <w:t xml:space="preserve">to use </w:t>
      </w:r>
      <w:r w:rsidR="00374F9D">
        <w:t>1982</w:t>
      </w:r>
      <w:r w:rsidR="00EC0498" w:rsidRPr="006B74F7">
        <w:t>-</w:t>
      </w:r>
      <w:r w:rsidR="006B74F7">
        <w:t>2002</w:t>
      </w:r>
      <w:r w:rsidR="00EC0498" w:rsidRPr="006B74F7">
        <w:t xml:space="preserve"> as the relevant 20</w:t>
      </w:r>
      <w:r w:rsidR="007631BB">
        <w:t>-</w:t>
      </w:r>
      <w:r w:rsidR="00EC0498" w:rsidRPr="006B74F7">
        <w:t>year period in this case</w:t>
      </w:r>
      <w:r w:rsidR="00860BEF">
        <w:t>.</w:t>
      </w:r>
    </w:p>
    <w:p w14:paraId="3943BC5A" w14:textId="77777777" w:rsidR="00D13D8A" w:rsidRPr="00806B74" w:rsidRDefault="00D13D8A" w:rsidP="00D13D8A">
      <w:pPr>
        <w:pStyle w:val="Style1"/>
        <w:numPr>
          <w:ilvl w:val="0"/>
          <w:numId w:val="0"/>
        </w:numPr>
      </w:pPr>
      <w:r w:rsidRPr="00806B74">
        <w:rPr>
          <w:i/>
        </w:rPr>
        <w:t xml:space="preserve">Documentary Evidence </w:t>
      </w:r>
    </w:p>
    <w:p w14:paraId="765AE5D2" w14:textId="77777777" w:rsidR="00175A93" w:rsidRDefault="00D13D8A" w:rsidP="00175A93">
      <w:pPr>
        <w:pStyle w:val="Style1"/>
        <w:numPr>
          <w:ilvl w:val="0"/>
          <w:numId w:val="21"/>
        </w:numPr>
      </w:pPr>
      <w:r>
        <w:t>The Council carried out a th</w:t>
      </w:r>
      <w:r w:rsidR="00E8501C">
        <w:t>o</w:t>
      </w:r>
      <w:r>
        <w:t xml:space="preserve">rough review of the </w:t>
      </w:r>
      <w:r w:rsidR="00E8501C">
        <w:t>documentary</w:t>
      </w:r>
      <w:r>
        <w:t xml:space="preserve"> evidence</w:t>
      </w:r>
      <w:r w:rsidR="003D5A73">
        <w:t xml:space="preserve"> and i</w:t>
      </w:r>
      <w:r w:rsidR="00E215BE">
        <w:t xml:space="preserve">t is not necessary to repeat </w:t>
      </w:r>
      <w:proofErr w:type="gramStart"/>
      <w:r w:rsidR="00E215BE">
        <w:t>all of</w:t>
      </w:r>
      <w:proofErr w:type="gramEnd"/>
      <w:r w:rsidR="00E215BE">
        <w:t xml:space="preserve"> t</w:t>
      </w:r>
      <w:r w:rsidR="003D5A73">
        <w:t xml:space="preserve">hat information again here.  What is germane is that the </w:t>
      </w:r>
      <w:r w:rsidR="003E596F">
        <w:t>application route is</w:t>
      </w:r>
      <w:r w:rsidR="003D5A73">
        <w:t xml:space="preserve"> not s</w:t>
      </w:r>
      <w:r w:rsidR="001B1D3A">
        <w:t xml:space="preserve">hown on any map </w:t>
      </w:r>
      <w:r w:rsidR="00191D30">
        <w:t>including the 1953 Definitive Ma</w:t>
      </w:r>
      <w:r w:rsidR="00263BED">
        <w:t>p nor any of the subsequent reviews in 1963, 1971</w:t>
      </w:r>
      <w:r w:rsidR="00F359BE">
        <w:t xml:space="preserve"> </w:t>
      </w:r>
      <w:r w:rsidR="00FC556E">
        <w:t>and</w:t>
      </w:r>
      <w:r w:rsidR="00F359BE">
        <w:t xml:space="preserve"> 2002</w:t>
      </w:r>
      <w:r w:rsidR="00FC556E">
        <w:t xml:space="preserve">.  There is also no record of any objections being received to the route’s omission from these maps.  </w:t>
      </w:r>
    </w:p>
    <w:p w14:paraId="193E6B77" w14:textId="64DD3810" w:rsidR="008E12EC" w:rsidRDefault="00175A93" w:rsidP="00175A93">
      <w:pPr>
        <w:pStyle w:val="Style1"/>
        <w:numPr>
          <w:ilvl w:val="0"/>
          <w:numId w:val="21"/>
        </w:numPr>
      </w:pPr>
      <w:r>
        <w:t xml:space="preserve">Neither </w:t>
      </w:r>
      <w:r w:rsidR="002C3B75">
        <w:t xml:space="preserve">Tiptree Parish Council </w:t>
      </w:r>
      <w:r w:rsidR="001677C9">
        <w:t>n</w:t>
      </w:r>
      <w:r>
        <w:t xml:space="preserve">or </w:t>
      </w:r>
      <w:r w:rsidR="0045207C">
        <w:t>the Ramblers</w:t>
      </w:r>
      <w:r>
        <w:t xml:space="preserve"> Association</w:t>
      </w:r>
      <w:r w:rsidR="008E12EC">
        <w:t xml:space="preserve"> have</w:t>
      </w:r>
      <w:r w:rsidR="00504BD5">
        <w:t xml:space="preserve"> any</w:t>
      </w:r>
      <w:r w:rsidR="008E12EC">
        <w:t xml:space="preserve"> knowledge of the route as a public footpath.  </w:t>
      </w:r>
    </w:p>
    <w:p w14:paraId="769DAC7F" w14:textId="101883C5" w:rsidR="00AC2B2E" w:rsidRDefault="00861BCA" w:rsidP="00AC2B2E">
      <w:pPr>
        <w:pStyle w:val="Style1"/>
        <w:numPr>
          <w:ilvl w:val="0"/>
          <w:numId w:val="21"/>
        </w:numPr>
      </w:pPr>
      <w:r>
        <w:t xml:space="preserve">There are two aerial </w:t>
      </w:r>
      <w:r w:rsidR="007902F0">
        <w:t>photographs</w:t>
      </w:r>
      <w:r>
        <w:t xml:space="preserve"> of the area pertaining to the </w:t>
      </w:r>
      <w:r w:rsidR="00CF77A5">
        <w:t xml:space="preserve">relevant 20-year period.  </w:t>
      </w:r>
      <w:r w:rsidR="005F2D00">
        <w:t xml:space="preserve">Neither the </w:t>
      </w:r>
      <w:r w:rsidR="00CF77A5">
        <w:t>1990</w:t>
      </w:r>
      <w:r w:rsidR="00A87301">
        <w:rPr>
          <w:rStyle w:val="FootnoteReference"/>
        </w:rPr>
        <w:footnoteReference w:id="5"/>
      </w:r>
      <w:r w:rsidR="00A87301">
        <w:t xml:space="preserve"> nor 2000</w:t>
      </w:r>
      <w:r w:rsidR="00A87301">
        <w:rPr>
          <w:rStyle w:val="FootnoteReference"/>
        </w:rPr>
        <w:footnoteReference w:id="6"/>
      </w:r>
      <w:r w:rsidR="00CF77A5">
        <w:t xml:space="preserve"> image</w:t>
      </w:r>
      <w:r w:rsidR="007902F0">
        <w:t xml:space="preserve"> provide </w:t>
      </w:r>
      <w:r w:rsidR="007200AE">
        <w:t xml:space="preserve">particularly strong </w:t>
      </w:r>
      <w:r w:rsidR="007902F0">
        <w:t>support for the existence of a walke</w:t>
      </w:r>
      <w:r w:rsidR="007200AE">
        <w:t xml:space="preserve">d path over the </w:t>
      </w:r>
      <w:r w:rsidR="0045207C">
        <w:t xml:space="preserve">whole of the application route. </w:t>
      </w:r>
    </w:p>
    <w:p w14:paraId="146452FA" w14:textId="1E4A3589" w:rsidR="00D13D8A" w:rsidRDefault="00D13D8A" w:rsidP="00D13D8A">
      <w:pPr>
        <w:pStyle w:val="Style1"/>
        <w:numPr>
          <w:ilvl w:val="0"/>
          <w:numId w:val="21"/>
        </w:numPr>
      </w:pPr>
      <w:r>
        <w:t>T</w:t>
      </w:r>
      <w:r w:rsidRPr="00115D32">
        <w:t xml:space="preserve">he </w:t>
      </w:r>
      <w:r w:rsidR="00AC2B2E">
        <w:t>documentary evidence does not</w:t>
      </w:r>
      <w:r w:rsidR="002F65F3">
        <w:t xml:space="preserve"> </w:t>
      </w:r>
      <w:r w:rsidR="00EC32AA">
        <w:t xml:space="preserve">therefore </w:t>
      </w:r>
      <w:r w:rsidR="002F65F3">
        <w:t>provide any material support for</w:t>
      </w:r>
      <w:r>
        <w:t xml:space="preserve"> the existence of a public footpath along the entirety of the claimed route during the relevant 20</w:t>
      </w:r>
      <w:r w:rsidR="001677C9">
        <w:t>-</w:t>
      </w:r>
      <w:r>
        <w:t xml:space="preserve">year period. </w:t>
      </w:r>
    </w:p>
    <w:p w14:paraId="67CFFB1D" w14:textId="77777777" w:rsidR="00D13D8A" w:rsidRDefault="00D13D8A" w:rsidP="00D13D8A">
      <w:pPr>
        <w:pStyle w:val="Style1"/>
        <w:numPr>
          <w:ilvl w:val="0"/>
          <w:numId w:val="0"/>
        </w:numPr>
        <w:ind w:left="431" w:hanging="431"/>
        <w:rPr>
          <w:i/>
        </w:rPr>
      </w:pPr>
      <w:r w:rsidRPr="00582189">
        <w:rPr>
          <w:i/>
        </w:rPr>
        <w:t xml:space="preserve">Evidence of public use </w:t>
      </w:r>
    </w:p>
    <w:p w14:paraId="69ACB943" w14:textId="6E3DC4B4" w:rsidR="00AA72D9" w:rsidRDefault="00EC32AA" w:rsidP="009F59B6">
      <w:pPr>
        <w:pStyle w:val="Style1"/>
        <w:numPr>
          <w:ilvl w:val="0"/>
          <w:numId w:val="21"/>
        </w:numPr>
      </w:pPr>
      <w:r>
        <w:t>Although e</w:t>
      </w:r>
      <w:r w:rsidR="004724AC">
        <w:t>ight</w:t>
      </w:r>
      <w:r w:rsidR="00570F8F">
        <w:t xml:space="preserve"> </w:t>
      </w:r>
      <w:r>
        <w:t>u</w:t>
      </w:r>
      <w:r w:rsidR="00570F8F">
        <w:t>ser evidence forms (</w:t>
      </w:r>
      <w:r w:rsidR="00D13D8A">
        <w:t>UEFs</w:t>
      </w:r>
      <w:r w:rsidR="00570F8F">
        <w:t xml:space="preserve">) were </w:t>
      </w:r>
      <w:r w:rsidR="00D13D8A" w:rsidRPr="005D4B6D">
        <w:t xml:space="preserve">submitted in support </w:t>
      </w:r>
      <w:r w:rsidR="00D13D8A">
        <w:t>of the</w:t>
      </w:r>
      <w:r w:rsidR="00AB6A5C">
        <w:t xml:space="preserve"> application, only </w:t>
      </w:r>
      <w:r w:rsidR="004724AC">
        <w:t xml:space="preserve">one </w:t>
      </w:r>
      <w:r w:rsidR="00603126">
        <w:t>cover</w:t>
      </w:r>
      <w:r w:rsidR="004724AC">
        <w:t>s</w:t>
      </w:r>
      <w:r w:rsidR="00603126">
        <w:t xml:space="preserve"> the whole </w:t>
      </w:r>
      <w:r w:rsidR="00AB6A5C">
        <w:t>20-year period</w:t>
      </w:r>
      <w:r w:rsidR="00603126">
        <w:rPr>
          <w:rStyle w:val="FootnoteReference"/>
        </w:rPr>
        <w:footnoteReference w:id="7"/>
      </w:r>
      <w:r w:rsidR="00AB6A5C">
        <w:t xml:space="preserve">. </w:t>
      </w:r>
      <w:r w:rsidR="007F2468">
        <w:t xml:space="preserve">Although </w:t>
      </w:r>
      <w:r w:rsidR="000F475D">
        <w:t>further</w:t>
      </w:r>
      <w:r>
        <w:t xml:space="preserve"> UEFs </w:t>
      </w:r>
      <w:r w:rsidR="00885B5D">
        <w:t>were</w:t>
      </w:r>
      <w:r w:rsidR="007F2468">
        <w:t xml:space="preserve"> submitted </w:t>
      </w:r>
      <w:proofErr w:type="gramStart"/>
      <w:r w:rsidR="007F2468">
        <w:t>at a later date</w:t>
      </w:r>
      <w:proofErr w:type="gramEnd"/>
      <w:r w:rsidR="007F2468">
        <w:t>, these related to the period</w:t>
      </w:r>
      <w:r w:rsidR="00AA72D9">
        <w:t xml:space="preserve"> </w:t>
      </w:r>
      <w:r w:rsidR="0058583B">
        <w:t>2002</w:t>
      </w:r>
      <w:r w:rsidR="00885B5D">
        <w:t xml:space="preserve"> </w:t>
      </w:r>
      <w:r w:rsidR="00AA72D9">
        <w:t xml:space="preserve">onwards. </w:t>
      </w:r>
    </w:p>
    <w:p w14:paraId="30E16D84" w14:textId="2BF25EDB" w:rsidR="00E01AAA" w:rsidRDefault="00AA72D9" w:rsidP="00314493">
      <w:pPr>
        <w:pStyle w:val="Style1"/>
        <w:numPr>
          <w:ilvl w:val="0"/>
          <w:numId w:val="21"/>
        </w:numPr>
      </w:pPr>
      <w:r>
        <w:t>An</w:t>
      </w:r>
      <w:r w:rsidR="00E01835">
        <w:t xml:space="preserve"> undated</w:t>
      </w:r>
      <w:r w:rsidR="00783BBE">
        <w:t xml:space="preserve"> </w:t>
      </w:r>
      <w:r w:rsidR="00E01835">
        <w:t xml:space="preserve">written statement from Paul Ellis </w:t>
      </w:r>
      <w:r w:rsidR="00B6332C">
        <w:t xml:space="preserve">states that the application route was one of the paths </w:t>
      </w:r>
      <w:r w:rsidR="00CD2D16">
        <w:t>he walked over th</w:t>
      </w:r>
      <w:r w:rsidR="000747B9">
        <w:t xml:space="preserve">e last </w:t>
      </w:r>
      <w:r w:rsidR="00745535">
        <w:t>4</w:t>
      </w:r>
      <w:r w:rsidR="000747B9">
        <w:t xml:space="preserve">0 years.  Assuming the statement was written </w:t>
      </w:r>
      <w:r w:rsidR="0022395C">
        <w:t>in 2020</w:t>
      </w:r>
      <w:r w:rsidR="00745535">
        <w:t>,</w:t>
      </w:r>
      <w:r w:rsidR="0022395C">
        <w:t xml:space="preserve"> then </w:t>
      </w:r>
      <w:r w:rsidR="00745535">
        <w:t xml:space="preserve">his </w:t>
      </w:r>
      <w:r w:rsidR="0022395C">
        <w:t>cl</w:t>
      </w:r>
      <w:r w:rsidR="006D270A">
        <w:t>a</w:t>
      </w:r>
      <w:r w:rsidR="0022395C">
        <w:t xml:space="preserve">imed use of the route would cover </w:t>
      </w:r>
      <w:proofErr w:type="gramStart"/>
      <w:r w:rsidR="0022395C">
        <w:t>all of</w:t>
      </w:r>
      <w:proofErr w:type="gramEnd"/>
      <w:r w:rsidR="0022395C">
        <w:t xml:space="preserve"> the 20-year </w:t>
      </w:r>
      <w:r w:rsidR="004C6678">
        <w:t>period.  However, since Mr Ellis did not complete a UEF</w:t>
      </w:r>
      <w:r w:rsidR="00EC32AA">
        <w:t>,</w:t>
      </w:r>
      <w:r w:rsidR="00074E64">
        <w:t xml:space="preserve"> </w:t>
      </w:r>
      <w:r w:rsidR="004C6678">
        <w:t xml:space="preserve">I do not know </w:t>
      </w:r>
      <w:r w:rsidR="00074E64">
        <w:t>when</w:t>
      </w:r>
      <w:r w:rsidR="00314493">
        <w:t xml:space="preserve"> he</w:t>
      </w:r>
      <w:r w:rsidR="00074E64">
        <w:t xml:space="preserve"> </w:t>
      </w:r>
      <w:r w:rsidR="006D270A">
        <w:t>retired</w:t>
      </w:r>
      <w:r w:rsidR="00314493">
        <w:t xml:space="preserve">.  I also do not </w:t>
      </w:r>
      <w:r w:rsidR="00074E64">
        <w:t xml:space="preserve">know how </w:t>
      </w:r>
      <w:r w:rsidR="006D270A">
        <w:t>frequently</w:t>
      </w:r>
      <w:r w:rsidR="00E01AAA">
        <w:t xml:space="preserve"> or over what period</w:t>
      </w:r>
      <w:r w:rsidR="00074E64">
        <w:t xml:space="preserve"> he used this </w:t>
      </w:r>
      <w:proofErr w:type="gramStart"/>
      <w:r w:rsidR="00074E64">
        <w:t>particular path</w:t>
      </w:r>
      <w:proofErr w:type="gramEnd"/>
      <w:r w:rsidR="00074E64">
        <w:t xml:space="preserve"> as opposed to </w:t>
      </w:r>
      <w:r w:rsidR="006D270A">
        <w:t>o</w:t>
      </w:r>
      <w:r w:rsidR="00074E64">
        <w:t>thers</w:t>
      </w:r>
      <w:r w:rsidR="006D270A">
        <w:t xml:space="preserve"> he refers to.  </w:t>
      </w:r>
      <w:r w:rsidR="00EA04CC">
        <w:t xml:space="preserve">I am also inclined to give reduced weight to Mr Ellis’ </w:t>
      </w:r>
      <w:r w:rsidR="00310644">
        <w:t xml:space="preserve">evidence </w:t>
      </w:r>
      <w:r w:rsidR="00EA04CC">
        <w:t xml:space="preserve">given </w:t>
      </w:r>
      <w:r w:rsidR="00310644">
        <w:t>the</w:t>
      </w:r>
      <w:r w:rsidR="00EA04CC">
        <w:t xml:space="preserve"> inconsistency</w:t>
      </w:r>
      <w:r w:rsidR="00310644">
        <w:t xml:space="preserve"> between his statement which refers to 40 years and the </w:t>
      </w:r>
      <w:r w:rsidR="00974C27">
        <w:t xml:space="preserve">entry on the collated signatures form which refers to 27 </w:t>
      </w:r>
      <w:r w:rsidR="00DC3D8F">
        <w:t>years o</w:t>
      </w:r>
      <w:r w:rsidR="0052620A">
        <w:t xml:space="preserve">f </w:t>
      </w:r>
      <w:r w:rsidR="00974C27">
        <w:t>use</w:t>
      </w:r>
      <w:r w:rsidR="00DC3D8F">
        <w:t>.  27 years from September 2020 would not cover</w:t>
      </w:r>
      <w:r w:rsidR="00EC32AA">
        <w:t xml:space="preserve"> </w:t>
      </w:r>
      <w:proofErr w:type="gramStart"/>
      <w:r w:rsidR="00EC32AA">
        <w:t>all of</w:t>
      </w:r>
      <w:proofErr w:type="gramEnd"/>
      <w:r w:rsidR="00DC3D8F">
        <w:t xml:space="preserve"> the relevant 20</w:t>
      </w:r>
      <w:r w:rsidR="0052620A">
        <w:t>-</w:t>
      </w:r>
      <w:r w:rsidR="00DC3D8F">
        <w:t xml:space="preserve">year period.  </w:t>
      </w:r>
    </w:p>
    <w:p w14:paraId="7D7FAE96" w14:textId="49FD14E1" w:rsidR="00721CAE" w:rsidRDefault="00721CAE" w:rsidP="00E01AAA">
      <w:pPr>
        <w:pStyle w:val="Style1"/>
        <w:numPr>
          <w:ilvl w:val="0"/>
          <w:numId w:val="21"/>
        </w:numPr>
      </w:pPr>
      <w:r>
        <w:t>I note</w:t>
      </w:r>
      <w:r w:rsidR="00B4440E">
        <w:t xml:space="preserve"> that Mr Peter North</w:t>
      </w:r>
      <w:r w:rsidR="00B4440E">
        <w:rPr>
          <w:rStyle w:val="FootnoteReference"/>
        </w:rPr>
        <w:footnoteReference w:id="8"/>
      </w:r>
      <w:r w:rsidR="00757086">
        <w:t xml:space="preserve"> </w:t>
      </w:r>
      <w:r w:rsidR="00065ECE">
        <w:t xml:space="preserve">also claims to have used the application route over the 20-year period.  However, the weight </w:t>
      </w:r>
      <w:r w:rsidR="00327372">
        <w:t xml:space="preserve">to be attached to </w:t>
      </w:r>
      <w:r w:rsidR="00EC32AA">
        <w:t xml:space="preserve">his evidence </w:t>
      </w:r>
      <w:r w:rsidR="00327372">
        <w:t xml:space="preserve">must </w:t>
      </w:r>
      <w:r w:rsidR="00EC32AA">
        <w:t xml:space="preserve">also </w:t>
      </w:r>
      <w:r w:rsidR="00327372">
        <w:t>be reduced by</w:t>
      </w:r>
      <w:r w:rsidR="00EC32AA">
        <w:t xml:space="preserve"> his failure to submit </w:t>
      </w:r>
      <w:r w:rsidR="00327372">
        <w:t>a UEF</w:t>
      </w:r>
      <w:r w:rsidR="00097E69">
        <w:t xml:space="preserve"> or any other supporting evidence</w:t>
      </w:r>
      <w:r w:rsidR="0052620A">
        <w:t xml:space="preserve"> </w:t>
      </w:r>
      <w:r w:rsidR="00EC32AA">
        <w:t xml:space="preserve">about his use of the route.  </w:t>
      </w:r>
    </w:p>
    <w:p w14:paraId="50F7E8F9" w14:textId="4BF99337" w:rsidR="00C22DAA" w:rsidRDefault="00097E69" w:rsidP="00E01AAA">
      <w:pPr>
        <w:pStyle w:val="Style1"/>
        <w:numPr>
          <w:ilvl w:val="0"/>
          <w:numId w:val="21"/>
        </w:numPr>
      </w:pPr>
      <w:r>
        <w:t>E</w:t>
      </w:r>
      <w:r w:rsidR="00E01AAA">
        <w:t>ven if I were to take Mr Ellis’</w:t>
      </w:r>
      <w:r>
        <w:t xml:space="preserve"> and </w:t>
      </w:r>
      <w:r w:rsidR="00733812">
        <w:t xml:space="preserve">Mr North’s </w:t>
      </w:r>
      <w:r w:rsidR="00E01AAA">
        <w:t>statement</w:t>
      </w:r>
      <w:r w:rsidR="00733812">
        <w:t xml:space="preserve">s at their </w:t>
      </w:r>
      <w:r w:rsidR="00E01AAA">
        <w:t>highest, t</w:t>
      </w:r>
      <w:r w:rsidR="00733812">
        <w:t>hree</w:t>
      </w:r>
      <w:r w:rsidR="00E01AAA">
        <w:t xml:space="preserve"> users</w:t>
      </w:r>
      <w:r w:rsidR="00733812">
        <w:t xml:space="preserve"> (two of which are related)</w:t>
      </w:r>
      <w:r w:rsidR="00E01AAA">
        <w:t xml:space="preserve"> is clearly </w:t>
      </w:r>
      <w:r w:rsidR="00733812">
        <w:t>in</w:t>
      </w:r>
      <w:r w:rsidR="00D13D8A" w:rsidRPr="00EE2E16">
        <w:t xml:space="preserve">sufficient </w:t>
      </w:r>
      <w:r w:rsidR="00733812">
        <w:t>to demonstrate the public’s use of the route over the</w:t>
      </w:r>
      <w:r w:rsidR="00314493">
        <w:t xml:space="preserve"> relevant</w:t>
      </w:r>
      <w:r w:rsidR="00733812">
        <w:t xml:space="preserve"> </w:t>
      </w:r>
      <w:r w:rsidR="00D13D8A" w:rsidRPr="00EE2E16">
        <w:t>20</w:t>
      </w:r>
      <w:r w:rsidR="00733812">
        <w:t>-</w:t>
      </w:r>
      <w:r w:rsidR="00D13D8A" w:rsidRPr="00EE2E16">
        <w:t>year period to raise a presumption of dedication.</w:t>
      </w:r>
      <w:r w:rsidR="00D13D8A">
        <w:t xml:space="preserve">  </w:t>
      </w:r>
    </w:p>
    <w:p w14:paraId="40918471" w14:textId="2992BD44" w:rsidR="00E174BC" w:rsidRDefault="00E174BC" w:rsidP="00E174BC">
      <w:pPr>
        <w:pStyle w:val="Style1"/>
        <w:numPr>
          <w:ilvl w:val="0"/>
          <w:numId w:val="0"/>
        </w:numPr>
        <w:ind w:left="431"/>
      </w:pPr>
    </w:p>
    <w:p w14:paraId="7D73A7DA" w14:textId="7BDB529E" w:rsidR="00E174BC" w:rsidRPr="00E174BC" w:rsidRDefault="00E174BC" w:rsidP="00E174BC">
      <w:pPr>
        <w:pStyle w:val="Style1"/>
        <w:numPr>
          <w:ilvl w:val="0"/>
          <w:numId w:val="0"/>
        </w:numPr>
        <w:rPr>
          <w:i/>
          <w:iCs/>
        </w:rPr>
      </w:pPr>
      <w:r w:rsidRPr="00E174BC">
        <w:rPr>
          <w:i/>
          <w:iCs/>
        </w:rPr>
        <w:lastRenderedPageBreak/>
        <w:t xml:space="preserve">Landowner evidence </w:t>
      </w:r>
    </w:p>
    <w:p w14:paraId="3FFBB19D" w14:textId="1893683C" w:rsidR="00662FBA" w:rsidRDefault="0064547A" w:rsidP="00662FBA">
      <w:pPr>
        <w:pStyle w:val="Style1"/>
        <w:numPr>
          <w:ilvl w:val="0"/>
          <w:numId w:val="21"/>
        </w:numPr>
      </w:pPr>
      <w:r>
        <w:t xml:space="preserve">The user evidence </w:t>
      </w:r>
      <w:r w:rsidR="009F59B6">
        <w:t xml:space="preserve">also </w:t>
      </w:r>
      <w:proofErr w:type="gramStart"/>
      <w:r>
        <w:t>has to</w:t>
      </w:r>
      <w:proofErr w:type="gramEnd"/>
      <w:r>
        <w:t xml:space="preserve"> be weighed against the witness statements </w:t>
      </w:r>
      <w:r w:rsidR="00265A83">
        <w:t>provided on behalf o</w:t>
      </w:r>
      <w:r w:rsidR="00EC32AA">
        <w:t>f</w:t>
      </w:r>
      <w:r w:rsidR="00265A83">
        <w:t xml:space="preserve"> the landowner.  </w:t>
      </w:r>
      <w:r w:rsidR="002E4F78">
        <w:t xml:space="preserve">Mr Monk was a farmworker employed between 1945 and 1994.  </w:t>
      </w:r>
      <w:r w:rsidR="00314493">
        <w:t xml:space="preserve">According to his evidence </w:t>
      </w:r>
      <w:r w:rsidR="0006518A">
        <w:t xml:space="preserve">he would </w:t>
      </w:r>
      <w:r w:rsidR="00A35C86">
        <w:t xml:space="preserve">work </w:t>
      </w:r>
      <w:r w:rsidR="0006518A">
        <w:t>long hours in the fiel</w:t>
      </w:r>
      <w:r w:rsidR="00B2082F">
        <w:t>d to the south of the application route</w:t>
      </w:r>
      <w:r w:rsidR="00A35C86">
        <w:t xml:space="preserve"> but does not recall any members of the public using</w:t>
      </w:r>
      <w:r w:rsidR="00314493">
        <w:t xml:space="preserve"> it</w:t>
      </w:r>
      <w:r w:rsidR="00A35C86">
        <w:t xml:space="preserve">.  </w:t>
      </w:r>
      <w:r w:rsidR="006B2069">
        <w:t xml:space="preserve">Had </w:t>
      </w:r>
      <w:r w:rsidR="00314493">
        <w:t xml:space="preserve">they done so </w:t>
      </w:r>
      <w:r w:rsidR="00EC32AA">
        <w:t>he</w:t>
      </w:r>
      <w:r w:rsidR="006B2069">
        <w:t xml:space="preserve"> would have seen them </w:t>
      </w:r>
      <w:r w:rsidR="009103FB">
        <w:t xml:space="preserve">and brought it to the attention of his manager.  </w:t>
      </w:r>
    </w:p>
    <w:p w14:paraId="09CE6A49" w14:textId="3C012AED" w:rsidR="00762754" w:rsidRDefault="003D21DF" w:rsidP="00662FBA">
      <w:pPr>
        <w:pStyle w:val="Style1"/>
        <w:numPr>
          <w:ilvl w:val="0"/>
          <w:numId w:val="21"/>
        </w:numPr>
      </w:pPr>
      <w:r>
        <w:t xml:space="preserve">Statements from Ian Thurgood, </w:t>
      </w:r>
      <w:r w:rsidR="000B64A2">
        <w:t xml:space="preserve">Daniel </w:t>
      </w:r>
      <w:proofErr w:type="spellStart"/>
      <w:r w:rsidR="000B64A2">
        <w:t>Waskett</w:t>
      </w:r>
      <w:proofErr w:type="spellEnd"/>
      <w:r w:rsidR="000B64A2">
        <w:t xml:space="preserve">, </w:t>
      </w:r>
      <w:r w:rsidR="00406D71">
        <w:t>Mick Sheen</w:t>
      </w:r>
      <w:r w:rsidR="001F7DBD">
        <w:t xml:space="preserve">, </w:t>
      </w:r>
      <w:r w:rsidR="00406D71">
        <w:t xml:space="preserve">Peter Wilkin </w:t>
      </w:r>
      <w:r w:rsidR="00AB6EB4">
        <w:t>Paul Brightwell, Nigel Stone</w:t>
      </w:r>
      <w:r w:rsidR="009103FB">
        <w:t xml:space="preserve"> </w:t>
      </w:r>
      <w:r w:rsidR="00D9083F">
        <w:t xml:space="preserve">who were all employees of the landowner for all or part of the 20-year period, </w:t>
      </w:r>
      <w:r w:rsidR="009103FB">
        <w:t xml:space="preserve">are in </w:t>
      </w:r>
      <w:r w:rsidR="00EC32AA">
        <w:t xml:space="preserve">a </w:t>
      </w:r>
      <w:r w:rsidR="009103FB">
        <w:t>similar vein</w:t>
      </w:r>
      <w:r w:rsidR="00D9083F">
        <w:t xml:space="preserve">.  </w:t>
      </w:r>
      <w:r w:rsidR="00762754">
        <w:t xml:space="preserve">The witnesses confirm that no accommodation was ever made for a footpath when the field was ploughed and planted.  Moreover, despite the witnesses sometimes being in the field for long periods of time particularly in the growing season and having a good view towards the claimed route, they do not recall seeing members of the public walking </w:t>
      </w:r>
      <w:r w:rsidR="00EC32AA">
        <w:t xml:space="preserve">along it.  </w:t>
      </w:r>
      <w:r w:rsidR="00762754">
        <w:t xml:space="preserve">  </w:t>
      </w:r>
    </w:p>
    <w:p w14:paraId="67B7BF58" w14:textId="756397BD" w:rsidR="00CE4144" w:rsidRDefault="00844D31" w:rsidP="00CE4144">
      <w:pPr>
        <w:pStyle w:val="Style1"/>
        <w:numPr>
          <w:ilvl w:val="0"/>
          <w:numId w:val="21"/>
        </w:numPr>
      </w:pPr>
      <w:r>
        <w:t>T</w:t>
      </w:r>
      <w:r w:rsidR="00662FBA">
        <w:t xml:space="preserve">he </w:t>
      </w:r>
      <w:r>
        <w:t xml:space="preserve">above </w:t>
      </w:r>
      <w:r w:rsidR="00662FBA">
        <w:t>witnes</w:t>
      </w:r>
      <w:r w:rsidR="00314493">
        <w:t>ses have</w:t>
      </w:r>
      <w:r w:rsidR="00662FBA">
        <w:t xml:space="preserve"> </w:t>
      </w:r>
      <w:r>
        <w:t>provide</w:t>
      </w:r>
      <w:r w:rsidR="00314493">
        <w:t>d</w:t>
      </w:r>
      <w:r>
        <w:t xml:space="preserve"> detailed </w:t>
      </w:r>
      <w:r w:rsidR="00314493">
        <w:t xml:space="preserve">accounts </w:t>
      </w:r>
      <w:r>
        <w:t xml:space="preserve">of </w:t>
      </w:r>
      <w:r w:rsidR="002F537A">
        <w:t>t</w:t>
      </w:r>
      <w:r w:rsidR="00CE4144">
        <w:t>heir interaction with the</w:t>
      </w:r>
      <w:r w:rsidR="00E174BC">
        <w:t xml:space="preserve"> claimed route.  The statements </w:t>
      </w:r>
      <w:r w:rsidR="00662FBA">
        <w:t>corroborate each other</w:t>
      </w:r>
      <w:r w:rsidR="00E174BC">
        <w:t xml:space="preserve"> and </w:t>
      </w:r>
      <w:r w:rsidR="00662FBA">
        <w:t xml:space="preserve">are provided by people who shared a working knowledge of the land. </w:t>
      </w:r>
      <w:r w:rsidR="00CE4144">
        <w:t xml:space="preserve"> </w:t>
      </w:r>
      <w:proofErr w:type="gramStart"/>
      <w:r w:rsidR="00D13D8A">
        <w:t>In</w:t>
      </w:r>
      <w:r w:rsidR="00CE4144">
        <w:t xml:space="preserve"> light of</w:t>
      </w:r>
      <w:proofErr w:type="gramEnd"/>
      <w:r w:rsidR="00CE4144">
        <w:t xml:space="preserve"> the foregoing, I give significant weight to the landowner evidence in this case. </w:t>
      </w:r>
    </w:p>
    <w:p w14:paraId="08C116CA" w14:textId="4540DC68" w:rsidR="00AC4E60" w:rsidRPr="00AC4E60" w:rsidRDefault="00AC4E60" w:rsidP="00AC4E60">
      <w:pPr>
        <w:pStyle w:val="Style1"/>
        <w:numPr>
          <w:ilvl w:val="0"/>
          <w:numId w:val="0"/>
        </w:numPr>
        <w:rPr>
          <w:i/>
          <w:iCs/>
        </w:rPr>
      </w:pPr>
      <w:r w:rsidRPr="00AC4E60">
        <w:rPr>
          <w:i/>
          <w:iCs/>
        </w:rPr>
        <w:t xml:space="preserve">Conclusions on the user evidence </w:t>
      </w:r>
    </w:p>
    <w:p w14:paraId="3711E353" w14:textId="322B12DC" w:rsidR="00D13D8A" w:rsidRDefault="00CE4144" w:rsidP="00CE4144">
      <w:pPr>
        <w:pStyle w:val="Style1"/>
        <w:numPr>
          <w:ilvl w:val="0"/>
          <w:numId w:val="21"/>
        </w:numPr>
      </w:pPr>
      <w:r>
        <w:t>Overall</w:t>
      </w:r>
      <w:r w:rsidR="00922464">
        <w:t>,</w:t>
      </w:r>
      <w:r>
        <w:t xml:space="preserve"> I conclude that the</w:t>
      </w:r>
      <w:r w:rsidR="00922464">
        <w:t xml:space="preserve"> user evidence</w:t>
      </w:r>
      <w:r>
        <w:t xml:space="preserve"> </w:t>
      </w:r>
      <w:r w:rsidR="00922464">
        <w:t xml:space="preserve">is </w:t>
      </w:r>
      <w:r w:rsidR="00D13D8A" w:rsidRPr="00431E99">
        <w:t>insufficient to raise a presumption of dedi</w:t>
      </w:r>
      <w:r w:rsidR="00D13D8A">
        <w:t>cation as a public right of way.  I have not identified any other 20-year period when the route could be</w:t>
      </w:r>
      <w:r w:rsidR="00D13D8A" w:rsidRPr="00D42D8E">
        <w:t xml:space="preserve"> reasonably alleged to subsist</w:t>
      </w:r>
      <w:r w:rsidR="00D13D8A">
        <w:t xml:space="preserve">. </w:t>
      </w:r>
    </w:p>
    <w:p w14:paraId="444AB800" w14:textId="77777777" w:rsidR="00D13D8A" w:rsidRPr="002B274B" w:rsidRDefault="00D13D8A" w:rsidP="00D13D8A">
      <w:pPr>
        <w:pStyle w:val="Style1"/>
        <w:numPr>
          <w:ilvl w:val="0"/>
          <w:numId w:val="0"/>
        </w:numPr>
        <w:rPr>
          <w:i/>
        </w:rPr>
      </w:pPr>
      <w:r w:rsidRPr="002B274B">
        <w:rPr>
          <w:i/>
        </w:rPr>
        <w:t>Common Law</w:t>
      </w:r>
    </w:p>
    <w:p w14:paraId="485D2740" w14:textId="65049DE2" w:rsidR="00D13D8A" w:rsidRDefault="00D13D8A" w:rsidP="00FF5247">
      <w:pPr>
        <w:pStyle w:val="Style1"/>
        <w:numPr>
          <w:ilvl w:val="0"/>
          <w:numId w:val="21"/>
        </w:numPr>
      </w:pPr>
      <w:r>
        <w:t>An inference that a way has been dedicated for public use may be drawn at common law where the actions of landowners (or lack of action) indicate that they intended a way to be dedicated as a highway and where the public have accepted it.  In this case</w:t>
      </w:r>
      <w:r w:rsidRPr="002B274B">
        <w:t xml:space="preserve">, </w:t>
      </w:r>
      <w:r>
        <w:t>there is clear evidence from</w:t>
      </w:r>
      <w:r w:rsidR="00C22DAA">
        <w:t xml:space="preserve"> December 2002 onwards through the section 31(6) deposits to d</w:t>
      </w:r>
      <w:r>
        <w:t>emonstrat</w:t>
      </w:r>
      <w:r w:rsidR="00C22DAA">
        <w:t xml:space="preserve">e </w:t>
      </w:r>
      <w:r>
        <w:t xml:space="preserve">the landowner’s lack of intention to dedicate.  Bearing in mind the </w:t>
      </w:r>
      <w:r w:rsidRPr="00264650">
        <w:t xml:space="preserve">burden of proof lies with the person </w:t>
      </w:r>
      <w:r>
        <w:t xml:space="preserve">claiming the rights, there is also insufficient evidence before me to demonstrate that the landowner intended to dedicate the route prior to </w:t>
      </w:r>
      <w:r w:rsidR="00C22DAA">
        <w:t xml:space="preserve">2002.  </w:t>
      </w:r>
    </w:p>
    <w:p w14:paraId="38B79798" w14:textId="77777777" w:rsidR="00D13D8A" w:rsidRDefault="00D13D8A" w:rsidP="00D13D8A">
      <w:pPr>
        <w:pStyle w:val="Heading6blackfont"/>
      </w:pPr>
      <w:r>
        <w:t>Conclusions</w:t>
      </w:r>
    </w:p>
    <w:p w14:paraId="763F77C9" w14:textId="44147FD8" w:rsidR="00D13D8A" w:rsidRDefault="00D13D8A" w:rsidP="00D13D8A">
      <w:pPr>
        <w:pStyle w:val="Style1"/>
        <w:numPr>
          <w:ilvl w:val="0"/>
          <w:numId w:val="21"/>
        </w:numPr>
      </w:pPr>
      <w:r>
        <w:t xml:space="preserve">On the evidence before me, </w:t>
      </w:r>
      <w:r w:rsidRPr="00912CA1">
        <w:t>the evidence</w:t>
      </w:r>
      <w:r w:rsidR="00FF5247">
        <w:t xml:space="preserve"> is clearly</w:t>
      </w:r>
      <w:r w:rsidRPr="00912CA1">
        <w:t xml:space="preserve"> insufficient to lead me to conclude that it is reasonable to allege that </w:t>
      </w:r>
      <w:r>
        <w:t xml:space="preserve">public rights subsist along the claimed route. </w:t>
      </w:r>
      <w:r w:rsidRPr="00912CA1">
        <w:t xml:space="preserve"> </w:t>
      </w:r>
      <w:r>
        <w:t xml:space="preserve">Accordingly, </w:t>
      </w:r>
      <w:r w:rsidRPr="00912CA1">
        <w:t xml:space="preserve">I conclude that neither Test A </w:t>
      </w:r>
      <w:r w:rsidR="00FF5247">
        <w:t>or</w:t>
      </w:r>
      <w:r w:rsidRPr="00912CA1">
        <w:t xml:space="preserve"> Test B is </w:t>
      </w:r>
      <w:proofErr w:type="gramStart"/>
      <w:r w:rsidRPr="00912CA1">
        <w:t>me</w:t>
      </w:r>
      <w:r>
        <w:t>t</w:t>
      </w:r>
      <w:proofErr w:type="gramEnd"/>
      <w:r>
        <w:t xml:space="preserve"> and </w:t>
      </w:r>
      <w:r>
        <w:rPr>
          <w:szCs w:val="22"/>
        </w:rPr>
        <w:t>the a</w:t>
      </w:r>
      <w:r w:rsidRPr="00A43028">
        <w:rPr>
          <w:szCs w:val="22"/>
        </w:rPr>
        <w:t xml:space="preserve">ppeal should be dismissed. </w:t>
      </w:r>
    </w:p>
    <w:p w14:paraId="7BE3447D" w14:textId="77777777" w:rsidR="00D13D8A" w:rsidRPr="00A43028" w:rsidRDefault="00D13D8A" w:rsidP="00D13D8A">
      <w:pPr>
        <w:pStyle w:val="Default"/>
        <w:rPr>
          <w:b/>
          <w:bCs/>
          <w:sz w:val="22"/>
          <w:szCs w:val="22"/>
        </w:rPr>
      </w:pPr>
    </w:p>
    <w:p w14:paraId="58C773F5" w14:textId="77777777" w:rsidR="00D13D8A" w:rsidRDefault="00D13D8A" w:rsidP="00D13D8A">
      <w:pPr>
        <w:pStyle w:val="Default"/>
        <w:rPr>
          <w:b/>
          <w:bCs/>
          <w:sz w:val="22"/>
          <w:szCs w:val="22"/>
        </w:rPr>
      </w:pPr>
      <w:r>
        <w:rPr>
          <w:b/>
          <w:bCs/>
          <w:sz w:val="22"/>
          <w:szCs w:val="22"/>
        </w:rPr>
        <w:t xml:space="preserve">Formal Decision </w:t>
      </w:r>
    </w:p>
    <w:p w14:paraId="76B86447" w14:textId="77777777" w:rsidR="00D13D8A" w:rsidRDefault="00D13D8A" w:rsidP="00D13D8A">
      <w:pPr>
        <w:pStyle w:val="Style1"/>
        <w:numPr>
          <w:ilvl w:val="0"/>
          <w:numId w:val="21"/>
        </w:numPr>
      </w:pPr>
      <w:r w:rsidRPr="00A43028">
        <w:t>The</w:t>
      </w:r>
      <w:r>
        <w:t xml:space="preserve"> a</w:t>
      </w:r>
      <w:r w:rsidRPr="00A43028">
        <w:t>ppeal is dismissed</w:t>
      </w:r>
      <w:r>
        <w:t>.</w:t>
      </w:r>
    </w:p>
    <w:p w14:paraId="1AEBF5AD" w14:textId="77777777" w:rsidR="00D13D8A" w:rsidRDefault="00D13D8A" w:rsidP="00D13D8A">
      <w:pPr>
        <w:pStyle w:val="Style1"/>
        <w:numPr>
          <w:ilvl w:val="0"/>
          <w:numId w:val="0"/>
        </w:numPr>
        <w:ind w:left="431" w:hanging="431"/>
      </w:pPr>
    </w:p>
    <w:p w14:paraId="693CA751" w14:textId="77777777" w:rsidR="00D13D8A" w:rsidRPr="00A43028" w:rsidRDefault="00D13D8A" w:rsidP="00D13D8A">
      <w:pPr>
        <w:tabs>
          <w:tab w:val="left" w:pos="432"/>
        </w:tabs>
        <w:spacing w:before="180"/>
        <w:outlineLvl w:val="0"/>
        <w:rPr>
          <w:rFonts w:ascii="Monotype Corsiva" w:hAnsi="Monotype Corsiva"/>
          <w:color w:val="000000"/>
          <w:kern w:val="28"/>
          <w:sz w:val="36"/>
          <w:szCs w:val="36"/>
        </w:rPr>
      </w:pPr>
      <w:r w:rsidRPr="00A43028">
        <w:rPr>
          <w:rFonts w:ascii="Monotype Corsiva" w:hAnsi="Monotype Corsiva"/>
          <w:color w:val="000000"/>
          <w:kern w:val="28"/>
          <w:sz w:val="36"/>
          <w:szCs w:val="36"/>
        </w:rPr>
        <w:t xml:space="preserve">D. M. Young </w:t>
      </w:r>
    </w:p>
    <w:p w14:paraId="06C06759" w14:textId="6D66FB3B" w:rsidR="00F361F0" w:rsidRDefault="00D13D8A" w:rsidP="00AC4E60">
      <w:pPr>
        <w:tabs>
          <w:tab w:val="left" w:pos="432"/>
        </w:tabs>
        <w:spacing w:before="180"/>
        <w:ind w:left="431" w:hanging="431"/>
        <w:outlineLvl w:val="0"/>
        <w:rPr>
          <w:b/>
          <w:color w:val="000000"/>
          <w:kern w:val="28"/>
          <w:szCs w:val="22"/>
        </w:rPr>
      </w:pPr>
      <w:r w:rsidRPr="00A43028">
        <w:rPr>
          <w:b/>
          <w:color w:val="000000"/>
          <w:kern w:val="28"/>
          <w:szCs w:val="22"/>
        </w:rPr>
        <w:t>Inspector</w:t>
      </w:r>
    </w:p>
    <w:p w14:paraId="22C10AAF" w14:textId="07E264C6" w:rsidR="00B12417" w:rsidRPr="00F361F0" w:rsidRDefault="00B12417" w:rsidP="00AC4E60">
      <w:pPr>
        <w:tabs>
          <w:tab w:val="left" w:pos="432"/>
        </w:tabs>
        <w:spacing w:before="180"/>
        <w:ind w:left="431" w:hanging="431"/>
        <w:outlineLvl w:val="0"/>
      </w:pPr>
      <w:r>
        <w:rPr>
          <w:noProof/>
        </w:rPr>
        <w:lastRenderedPageBreak/>
        <w:drawing>
          <wp:inline distT="0" distB="0" distL="0" distR="0" wp14:anchorId="3CDDF9E1" wp14:editId="423132D0">
            <wp:extent cx="5908040" cy="8355965"/>
            <wp:effectExtent l="0" t="0" r="0" b="6985"/>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B12417" w:rsidRPr="00F361F0"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8A1F" w14:textId="77777777" w:rsidR="00A26F04" w:rsidRDefault="00A26F04" w:rsidP="00F62916">
      <w:r>
        <w:separator/>
      </w:r>
    </w:p>
  </w:endnote>
  <w:endnote w:type="continuationSeparator" w:id="0">
    <w:p w14:paraId="4D2D4BDB" w14:textId="77777777" w:rsidR="00A26F04" w:rsidRDefault="00A26F0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05E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721A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60A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B996B66" wp14:editId="6B495D3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8C1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6393265" w14:textId="77777777" w:rsidR="00366F95" w:rsidRPr="00E45340" w:rsidRDefault="00FA7C5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5BA3" w14:textId="77777777" w:rsidR="00366F95" w:rsidRDefault="00366F95" w:rsidP="0033728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58E63E0" wp14:editId="788AEB3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3F9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D6D474B" w14:textId="77777777" w:rsidR="00366F95" w:rsidRPr="00451EE4" w:rsidRDefault="00FA7C5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D2C7" w14:textId="77777777" w:rsidR="00A26F04" w:rsidRDefault="00A26F04" w:rsidP="00F62916">
      <w:r>
        <w:separator/>
      </w:r>
    </w:p>
  </w:footnote>
  <w:footnote w:type="continuationSeparator" w:id="0">
    <w:p w14:paraId="7098525E" w14:textId="77777777" w:rsidR="00A26F04" w:rsidRDefault="00A26F04" w:rsidP="00F62916">
      <w:r>
        <w:continuationSeparator/>
      </w:r>
    </w:p>
  </w:footnote>
  <w:footnote w:id="1">
    <w:p w14:paraId="080A6268" w14:textId="38218C08" w:rsidR="00F361F0" w:rsidRDefault="00F361F0" w:rsidP="00F361F0">
      <w:pPr>
        <w:pStyle w:val="FootnoteText"/>
      </w:pPr>
      <w:r>
        <w:rPr>
          <w:rStyle w:val="FootnoteReference"/>
        </w:rPr>
        <w:footnoteRef/>
      </w:r>
      <w:r>
        <w:t xml:space="preserve"> </w:t>
      </w:r>
      <w:r w:rsidR="00C44F30">
        <w:t>Mr Simon Frater</w:t>
      </w:r>
    </w:p>
  </w:footnote>
  <w:footnote w:id="2">
    <w:p w14:paraId="069DC535" w14:textId="34BD9D41" w:rsidR="00345693" w:rsidRDefault="00345693">
      <w:pPr>
        <w:pStyle w:val="FootnoteText"/>
      </w:pPr>
      <w:r>
        <w:rPr>
          <w:rStyle w:val="FootnoteReference"/>
        </w:rPr>
        <w:footnoteRef/>
      </w:r>
      <w:r>
        <w:t xml:space="preserve"> </w:t>
      </w:r>
      <w:r w:rsidR="00AB5E30">
        <w:t>Wilkin &amp; Sons Limited</w:t>
      </w:r>
    </w:p>
  </w:footnote>
  <w:footnote w:id="3">
    <w:p w14:paraId="6D754A34" w14:textId="01210162" w:rsidR="000E56C2" w:rsidRDefault="000E56C2">
      <w:pPr>
        <w:pStyle w:val="FootnoteText"/>
      </w:pPr>
      <w:r>
        <w:rPr>
          <w:rStyle w:val="FootnoteReference"/>
        </w:rPr>
        <w:footnoteRef/>
      </w:r>
      <w:r>
        <w:t xml:space="preserve"> See Appendi</w:t>
      </w:r>
      <w:r w:rsidR="00AB5E30">
        <w:t>ces 3a-3c to the Council’s Report</w:t>
      </w:r>
      <w:r w:rsidR="00A00A7E">
        <w:t xml:space="preserve"> </w:t>
      </w:r>
    </w:p>
  </w:footnote>
  <w:footnote w:id="4">
    <w:p w14:paraId="52A4C0EF" w14:textId="6A3EBA61" w:rsidR="006C1383" w:rsidRDefault="006C1383">
      <w:pPr>
        <w:pStyle w:val="FootnoteText"/>
      </w:pPr>
      <w:r>
        <w:rPr>
          <w:rStyle w:val="FootnoteReference"/>
        </w:rPr>
        <w:footnoteRef/>
      </w:r>
      <w:r>
        <w:t xml:space="preserve"> </w:t>
      </w:r>
      <w:r w:rsidR="008E02B9" w:rsidRPr="00D57288">
        <w:rPr>
          <w:i/>
          <w:iCs/>
        </w:rPr>
        <w:t>Fairey v Southampton County Council</w:t>
      </w:r>
      <w:r w:rsidR="008E02B9" w:rsidRPr="008E02B9">
        <w:t xml:space="preserve"> (QBD</w:t>
      </w:r>
      <w:proofErr w:type="gramStart"/>
      <w:r w:rsidR="008E02B9" w:rsidRPr="008E02B9">
        <w:t>)[</w:t>
      </w:r>
      <w:proofErr w:type="gramEnd"/>
      <w:r w:rsidR="008E02B9" w:rsidRPr="008E02B9">
        <w:t>1956] 1 All ER 419, (CA) [1956] 2 QB 439</w:t>
      </w:r>
      <w:r w:rsidR="00D57288">
        <w:t xml:space="preserve"> &amp; </w:t>
      </w:r>
      <w:r w:rsidR="00A00A7E" w:rsidRPr="00A00A7E">
        <w:rPr>
          <w:i/>
          <w:iCs/>
        </w:rPr>
        <w:t>R (</w:t>
      </w:r>
      <w:proofErr w:type="spellStart"/>
      <w:r w:rsidR="00A00A7E" w:rsidRPr="00A00A7E">
        <w:rPr>
          <w:i/>
          <w:iCs/>
        </w:rPr>
        <w:t>oao</w:t>
      </w:r>
      <w:proofErr w:type="spellEnd"/>
      <w:r w:rsidR="00A00A7E" w:rsidRPr="00A00A7E">
        <w:rPr>
          <w:i/>
          <w:iCs/>
        </w:rPr>
        <w:t xml:space="preserve">) </w:t>
      </w:r>
      <w:proofErr w:type="spellStart"/>
      <w:r w:rsidR="00A00A7E" w:rsidRPr="00A00A7E">
        <w:rPr>
          <w:i/>
          <w:iCs/>
        </w:rPr>
        <w:t>Godmanchester</w:t>
      </w:r>
      <w:proofErr w:type="spellEnd"/>
      <w:r w:rsidR="00A00A7E" w:rsidRPr="00A00A7E">
        <w:rPr>
          <w:i/>
          <w:iCs/>
        </w:rPr>
        <w:t xml:space="preserve"> Town Council and Drain v SSEFRA and Cambridgeshire County Council</w:t>
      </w:r>
      <w:r w:rsidR="00A00A7E" w:rsidRPr="00A00A7E">
        <w:t xml:space="preserve"> [2005] EWCA </w:t>
      </w:r>
      <w:proofErr w:type="spellStart"/>
      <w:r w:rsidR="00A00A7E" w:rsidRPr="00A00A7E">
        <w:t>Civ</w:t>
      </w:r>
      <w:proofErr w:type="spellEnd"/>
      <w:r w:rsidR="00A00A7E" w:rsidRPr="00A00A7E">
        <w:t xml:space="preserve"> 1597, [2006] 2 All ER 960, [2006] 2 P &amp; CR 1) [2007] UKHL 28, [2007] 3 WLR 85, [2007] 4 All ER 273</w:t>
      </w:r>
    </w:p>
  </w:footnote>
  <w:footnote w:id="5">
    <w:p w14:paraId="65246C03" w14:textId="77777777" w:rsidR="00A87301" w:rsidRDefault="00A87301" w:rsidP="00A87301">
      <w:pPr>
        <w:pStyle w:val="FootnoteText"/>
      </w:pPr>
      <w:r>
        <w:rPr>
          <w:rStyle w:val="FootnoteReference"/>
        </w:rPr>
        <w:footnoteRef/>
      </w:r>
      <w:r>
        <w:t xml:space="preserve"> Appendix 18 to the Council’s Report </w:t>
      </w:r>
    </w:p>
  </w:footnote>
  <w:footnote w:id="6">
    <w:p w14:paraId="72E81DC9" w14:textId="4B3E334F" w:rsidR="00A87301" w:rsidRDefault="00A87301">
      <w:pPr>
        <w:pStyle w:val="FootnoteText"/>
      </w:pPr>
      <w:r>
        <w:rPr>
          <w:rStyle w:val="FootnoteReference"/>
        </w:rPr>
        <w:footnoteRef/>
      </w:r>
      <w:r>
        <w:t xml:space="preserve"> </w:t>
      </w:r>
      <w:r w:rsidR="007902F0">
        <w:t>Appendix 19</w:t>
      </w:r>
    </w:p>
  </w:footnote>
  <w:footnote w:id="7">
    <w:p w14:paraId="136A35D3" w14:textId="4C4615B5" w:rsidR="00603126" w:rsidRDefault="00603126">
      <w:pPr>
        <w:pStyle w:val="FootnoteText"/>
      </w:pPr>
      <w:r>
        <w:rPr>
          <w:rStyle w:val="FootnoteReference"/>
        </w:rPr>
        <w:footnoteRef/>
      </w:r>
      <w:r>
        <w:t xml:space="preserve"> </w:t>
      </w:r>
      <w:r w:rsidR="00FD3B19">
        <w:t>Penelope North</w:t>
      </w:r>
    </w:p>
  </w:footnote>
  <w:footnote w:id="8">
    <w:p w14:paraId="42625AB2" w14:textId="197BB61F" w:rsidR="00B4440E" w:rsidRDefault="00B4440E">
      <w:pPr>
        <w:pStyle w:val="FootnoteText"/>
      </w:pPr>
      <w:r>
        <w:rPr>
          <w:rStyle w:val="FootnoteReference"/>
        </w:rPr>
        <w:footnoteRef/>
      </w:r>
      <w:r>
        <w:t xml:space="preserve"> Husband </w:t>
      </w:r>
      <w:r w:rsidR="00757086">
        <w:t>of Penelope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6D8FA32" w14:textId="77777777">
      <w:tc>
        <w:tcPr>
          <w:tcW w:w="9520" w:type="dxa"/>
        </w:tcPr>
        <w:p w14:paraId="0E4C795F" w14:textId="4F148DEC" w:rsidR="00366F95" w:rsidRDefault="0033728A">
          <w:pPr>
            <w:pStyle w:val="Footer"/>
          </w:pPr>
          <w:r>
            <w:t>Appeal Decision FPS/Z1585/14A/23</w:t>
          </w:r>
        </w:p>
      </w:tc>
    </w:tr>
  </w:tbl>
  <w:p w14:paraId="6D030AF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05B21EF" wp14:editId="66FBF74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897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66E6"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3728A"/>
    <w:rsid w:val="0000335F"/>
    <w:rsid w:val="00024500"/>
    <w:rsid w:val="000247B2"/>
    <w:rsid w:val="00046145"/>
    <w:rsid w:val="0004625F"/>
    <w:rsid w:val="00053135"/>
    <w:rsid w:val="0006518A"/>
    <w:rsid w:val="00065ECE"/>
    <w:rsid w:val="000747B9"/>
    <w:rsid w:val="00074E64"/>
    <w:rsid w:val="00077358"/>
    <w:rsid w:val="00087477"/>
    <w:rsid w:val="00087DEC"/>
    <w:rsid w:val="00094A44"/>
    <w:rsid w:val="00097E69"/>
    <w:rsid w:val="000A4AEB"/>
    <w:rsid w:val="000A64AE"/>
    <w:rsid w:val="000B02BC"/>
    <w:rsid w:val="000B0589"/>
    <w:rsid w:val="000B4CA4"/>
    <w:rsid w:val="000B64A2"/>
    <w:rsid w:val="000C3F13"/>
    <w:rsid w:val="000C5098"/>
    <w:rsid w:val="000C698E"/>
    <w:rsid w:val="000D0673"/>
    <w:rsid w:val="000D3E91"/>
    <w:rsid w:val="000E56C2"/>
    <w:rsid w:val="000E57C1"/>
    <w:rsid w:val="000F16F4"/>
    <w:rsid w:val="000F475D"/>
    <w:rsid w:val="000F6EC2"/>
    <w:rsid w:val="001000CB"/>
    <w:rsid w:val="00100F48"/>
    <w:rsid w:val="00104D93"/>
    <w:rsid w:val="001440C3"/>
    <w:rsid w:val="00152C92"/>
    <w:rsid w:val="00161B5C"/>
    <w:rsid w:val="001677C9"/>
    <w:rsid w:val="00172E12"/>
    <w:rsid w:val="0017403D"/>
    <w:rsid w:val="00175A93"/>
    <w:rsid w:val="00191D30"/>
    <w:rsid w:val="00197B5B"/>
    <w:rsid w:val="001A56DC"/>
    <w:rsid w:val="001B1D3A"/>
    <w:rsid w:val="001B37BF"/>
    <w:rsid w:val="001F1064"/>
    <w:rsid w:val="001F5990"/>
    <w:rsid w:val="001F7DBD"/>
    <w:rsid w:val="00207816"/>
    <w:rsid w:val="00212C8F"/>
    <w:rsid w:val="0022395C"/>
    <w:rsid w:val="00226995"/>
    <w:rsid w:val="00242A5E"/>
    <w:rsid w:val="002544C3"/>
    <w:rsid w:val="00263BED"/>
    <w:rsid w:val="00265A83"/>
    <w:rsid w:val="002819AB"/>
    <w:rsid w:val="002958D9"/>
    <w:rsid w:val="002A4CD0"/>
    <w:rsid w:val="002B0F50"/>
    <w:rsid w:val="002B5A3A"/>
    <w:rsid w:val="002C068A"/>
    <w:rsid w:val="002C2524"/>
    <w:rsid w:val="002C3B75"/>
    <w:rsid w:val="002D5A7C"/>
    <w:rsid w:val="002E4F78"/>
    <w:rsid w:val="002F537A"/>
    <w:rsid w:val="002F65F3"/>
    <w:rsid w:val="00303CA5"/>
    <w:rsid w:val="0030500E"/>
    <w:rsid w:val="00310644"/>
    <w:rsid w:val="00314493"/>
    <w:rsid w:val="003206FD"/>
    <w:rsid w:val="00327372"/>
    <w:rsid w:val="0033728A"/>
    <w:rsid w:val="00343A1F"/>
    <w:rsid w:val="00344294"/>
    <w:rsid w:val="00344CD1"/>
    <w:rsid w:val="00345693"/>
    <w:rsid w:val="00355FCC"/>
    <w:rsid w:val="00360664"/>
    <w:rsid w:val="00361890"/>
    <w:rsid w:val="00364E17"/>
    <w:rsid w:val="00366F95"/>
    <w:rsid w:val="00374F9D"/>
    <w:rsid w:val="003753FE"/>
    <w:rsid w:val="003941CF"/>
    <w:rsid w:val="00397F6B"/>
    <w:rsid w:val="003A0F25"/>
    <w:rsid w:val="003B2FE6"/>
    <w:rsid w:val="003D1D4A"/>
    <w:rsid w:val="003D21DF"/>
    <w:rsid w:val="003D3715"/>
    <w:rsid w:val="003D5A73"/>
    <w:rsid w:val="003E38B8"/>
    <w:rsid w:val="003E54CC"/>
    <w:rsid w:val="003E596F"/>
    <w:rsid w:val="003F3533"/>
    <w:rsid w:val="003F7DFB"/>
    <w:rsid w:val="004029F3"/>
    <w:rsid w:val="0040432E"/>
    <w:rsid w:val="00406D71"/>
    <w:rsid w:val="004155AA"/>
    <w:rsid w:val="004156F0"/>
    <w:rsid w:val="004221D3"/>
    <w:rsid w:val="004247A0"/>
    <w:rsid w:val="004308CD"/>
    <w:rsid w:val="004334A2"/>
    <w:rsid w:val="00434739"/>
    <w:rsid w:val="00435571"/>
    <w:rsid w:val="004474DE"/>
    <w:rsid w:val="00451EE4"/>
    <w:rsid w:val="0045207C"/>
    <w:rsid w:val="004522C1"/>
    <w:rsid w:val="00453E15"/>
    <w:rsid w:val="00456D53"/>
    <w:rsid w:val="004724AC"/>
    <w:rsid w:val="0047718B"/>
    <w:rsid w:val="0048041A"/>
    <w:rsid w:val="00483D15"/>
    <w:rsid w:val="004976CF"/>
    <w:rsid w:val="004A2EB8"/>
    <w:rsid w:val="004A4D48"/>
    <w:rsid w:val="004C07CB"/>
    <w:rsid w:val="004C4A0F"/>
    <w:rsid w:val="004C6678"/>
    <w:rsid w:val="004E04E0"/>
    <w:rsid w:val="004E17CB"/>
    <w:rsid w:val="004E296A"/>
    <w:rsid w:val="004E6091"/>
    <w:rsid w:val="004F274A"/>
    <w:rsid w:val="00504BD5"/>
    <w:rsid w:val="00506851"/>
    <w:rsid w:val="0052347F"/>
    <w:rsid w:val="00523706"/>
    <w:rsid w:val="0052620A"/>
    <w:rsid w:val="00541734"/>
    <w:rsid w:val="00542B4C"/>
    <w:rsid w:val="00561E69"/>
    <w:rsid w:val="0056634F"/>
    <w:rsid w:val="0057098A"/>
    <w:rsid w:val="00570F8F"/>
    <w:rsid w:val="005718AF"/>
    <w:rsid w:val="00571FD4"/>
    <w:rsid w:val="00572879"/>
    <w:rsid w:val="005733FF"/>
    <w:rsid w:val="0057471E"/>
    <w:rsid w:val="0057782A"/>
    <w:rsid w:val="0058583B"/>
    <w:rsid w:val="00591235"/>
    <w:rsid w:val="005A0799"/>
    <w:rsid w:val="005A3A64"/>
    <w:rsid w:val="005D739E"/>
    <w:rsid w:val="005D7442"/>
    <w:rsid w:val="005E34E1"/>
    <w:rsid w:val="005E34FF"/>
    <w:rsid w:val="005E3542"/>
    <w:rsid w:val="005E52F9"/>
    <w:rsid w:val="005F1261"/>
    <w:rsid w:val="005F2D00"/>
    <w:rsid w:val="00602315"/>
    <w:rsid w:val="00603126"/>
    <w:rsid w:val="006052EF"/>
    <w:rsid w:val="006127F0"/>
    <w:rsid w:val="00614E46"/>
    <w:rsid w:val="00615462"/>
    <w:rsid w:val="006319E6"/>
    <w:rsid w:val="0063373D"/>
    <w:rsid w:val="0064547A"/>
    <w:rsid w:val="0065719B"/>
    <w:rsid w:val="00662FBA"/>
    <w:rsid w:val="0066322F"/>
    <w:rsid w:val="00666885"/>
    <w:rsid w:val="00681108"/>
    <w:rsid w:val="00683417"/>
    <w:rsid w:val="00685A46"/>
    <w:rsid w:val="0069559D"/>
    <w:rsid w:val="00696368"/>
    <w:rsid w:val="006A5BB3"/>
    <w:rsid w:val="006A7B8B"/>
    <w:rsid w:val="006B2069"/>
    <w:rsid w:val="006B74F7"/>
    <w:rsid w:val="006C0FD4"/>
    <w:rsid w:val="006C1383"/>
    <w:rsid w:val="006C4C25"/>
    <w:rsid w:val="006C6D1A"/>
    <w:rsid w:val="006D270A"/>
    <w:rsid w:val="006D2842"/>
    <w:rsid w:val="006D5133"/>
    <w:rsid w:val="006F16D9"/>
    <w:rsid w:val="006F6496"/>
    <w:rsid w:val="006F7683"/>
    <w:rsid w:val="00704126"/>
    <w:rsid w:val="0071604A"/>
    <w:rsid w:val="007200AE"/>
    <w:rsid w:val="00721CAE"/>
    <w:rsid w:val="00722706"/>
    <w:rsid w:val="00722EA3"/>
    <w:rsid w:val="00733812"/>
    <w:rsid w:val="00745535"/>
    <w:rsid w:val="00757086"/>
    <w:rsid w:val="00762754"/>
    <w:rsid w:val="007631BB"/>
    <w:rsid w:val="00783BBE"/>
    <w:rsid w:val="00785862"/>
    <w:rsid w:val="007902F0"/>
    <w:rsid w:val="007938D8"/>
    <w:rsid w:val="00797884"/>
    <w:rsid w:val="007A0537"/>
    <w:rsid w:val="007A06BE"/>
    <w:rsid w:val="007A4F2C"/>
    <w:rsid w:val="007B32A5"/>
    <w:rsid w:val="007B4C9B"/>
    <w:rsid w:val="007C1DBC"/>
    <w:rsid w:val="007D65B4"/>
    <w:rsid w:val="007F1352"/>
    <w:rsid w:val="007F2468"/>
    <w:rsid w:val="007F3F10"/>
    <w:rsid w:val="007F59EB"/>
    <w:rsid w:val="00806F2A"/>
    <w:rsid w:val="00817909"/>
    <w:rsid w:val="00821857"/>
    <w:rsid w:val="00827937"/>
    <w:rsid w:val="00834368"/>
    <w:rsid w:val="008411A4"/>
    <w:rsid w:val="00844D31"/>
    <w:rsid w:val="00860BEF"/>
    <w:rsid w:val="00861BCA"/>
    <w:rsid w:val="008756B1"/>
    <w:rsid w:val="00882B66"/>
    <w:rsid w:val="00885B5D"/>
    <w:rsid w:val="008A03E3"/>
    <w:rsid w:val="008C6FA3"/>
    <w:rsid w:val="008E02B9"/>
    <w:rsid w:val="008E12EC"/>
    <w:rsid w:val="008E15D1"/>
    <w:rsid w:val="008E359C"/>
    <w:rsid w:val="00901334"/>
    <w:rsid w:val="009103FB"/>
    <w:rsid w:val="009124CE"/>
    <w:rsid w:val="00912954"/>
    <w:rsid w:val="00921F34"/>
    <w:rsid w:val="00922464"/>
    <w:rsid w:val="0092304C"/>
    <w:rsid w:val="00923F06"/>
    <w:rsid w:val="0092562E"/>
    <w:rsid w:val="00926103"/>
    <w:rsid w:val="00960B10"/>
    <w:rsid w:val="00974C27"/>
    <w:rsid w:val="009841DA"/>
    <w:rsid w:val="00986627"/>
    <w:rsid w:val="00992043"/>
    <w:rsid w:val="00994A8E"/>
    <w:rsid w:val="009A2457"/>
    <w:rsid w:val="009A3078"/>
    <w:rsid w:val="009B290E"/>
    <w:rsid w:val="009B3075"/>
    <w:rsid w:val="009B72ED"/>
    <w:rsid w:val="009B7BD4"/>
    <w:rsid w:val="009B7F3F"/>
    <w:rsid w:val="009C1BA7"/>
    <w:rsid w:val="009E1447"/>
    <w:rsid w:val="009E179D"/>
    <w:rsid w:val="009E3C69"/>
    <w:rsid w:val="009E4076"/>
    <w:rsid w:val="009E6FB7"/>
    <w:rsid w:val="009F59B6"/>
    <w:rsid w:val="00A00A7E"/>
    <w:rsid w:val="00A00FCD"/>
    <w:rsid w:val="00A101CD"/>
    <w:rsid w:val="00A23FC7"/>
    <w:rsid w:val="00A26F04"/>
    <w:rsid w:val="00A35C86"/>
    <w:rsid w:val="00A418A7"/>
    <w:rsid w:val="00A42DEB"/>
    <w:rsid w:val="00A44BE3"/>
    <w:rsid w:val="00A5760C"/>
    <w:rsid w:val="00A60DB3"/>
    <w:rsid w:val="00A801DD"/>
    <w:rsid w:val="00A87301"/>
    <w:rsid w:val="00AA72D9"/>
    <w:rsid w:val="00AB5E30"/>
    <w:rsid w:val="00AB6A5C"/>
    <w:rsid w:val="00AB6EB4"/>
    <w:rsid w:val="00AC1D05"/>
    <w:rsid w:val="00AC2B2E"/>
    <w:rsid w:val="00AC4E60"/>
    <w:rsid w:val="00AD0E39"/>
    <w:rsid w:val="00AD2F56"/>
    <w:rsid w:val="00AE2FAA"/>
    <w:rsid w:val="00B049F2"/>
    <w:rsid w:val="00B12417"/>
    <w:rsid w:val="00B14D40"/>
    <w:rsid w:val="00B2082F"/>
    <w:rsid w:val="00B32324"/>
    <w:rsid w:val="00B345C9"/>
    <w:rsid w:val="00B4440E"/>
    <w:rsid w:val="00B5147C"/>
    <w:rsid w:val="00B51D9F"/>
    <w:rsid w:val="00B56990"/>
    <w:rsid w:val="00B61A59"/>
    <w:rsid w:val="00B6208F"/>
    <w:rsid w:val="00B6332C"/>
    <w:rsid w:val="00B7142C"/>
    <w:rsid w:val="00BC0524"/>
    <w:rsid w:val="00BC1516"/>
    <w:rsid w:val="00BC2702"/>
    <w:rsid w:val="00BC6361"/>
    <w:rsid w:val="00BD09CD"/>
    <w:rsid w:val="00BE6377"/>
    <w:rsid w:val="00BF34D7"/>
    <w:rsid w:val="00C00E8A"/>
    <w:rsid w:val="00C11BD0"/>
    <w:rsid w:val="00C22DAA"/>
    <w:rsid w:val="00C274BD"/>
    <w:rsid w:val="00C36797"/>
    <w:rsid w:val="00C40EA6"/>
    <w:rsid w:val="00C44F30"/>
    <w:rsid w:val="00C462F2"/>
    <w:rsid w:val="00C57B84"/>
    <w:rsid w:val="00C74873"/>
    <w:rsid w:val="00C8343C"/>
    <w:rsid w:val="00C857CB"/>
    <w:rsid w:val="00C8740F"/>
    <w:rsid w:val="00C915A8"/>
    <w:rsid w:val="00CA58B1"/>
    <w:rsid w:val="00CB718E"/>
    <w:rsid w:val="00CC50AC"/>
    <w:rsid w:val="00CD2D16"/>
    <w:rsid w:val="00CE21C0"/>
    <w:rsid w:val="00CE4144"/>
    <w:rsid w:val="00CE4E09"/>
    <w:rsid w:val="00CF77A5"/>
    <w:rsid w:val="00D02B48"/>
    <w:rsid w:val="00D1120A"/>
    <w:rsid w:val="00D125BE"/>
    <w:rsid w:val="00D13D8A"/>
    <w:rsid w:val="00D1410D"/>
    <w:rsid w:val="00D143B0"/>
    <w:rsid w:val="00D354A3"/>
    <w:rsid w:val="00D423EB"/>
    <w:rsid w:val="00D555DA"/>
    <w:rsid w:val="00D57288"/>
    <w:rsid w:val="00D60601"/>
    <w:rsid w:val="00D87C56"/>
    <w:rsid w:val="00D9083F"/>
    <w:rsid w:val="00DB1128"/>
    <w:rsid w:val="00DB7937"/>
    <w:rsid w:val="00DC3D8F"/>
    <w:rsid w:val="00DD0F21"/>
    <w:rsid w:val="00DE265F"/>
    <w:rsid w:val="00DE4565"/>
    <w:rsid w:val="00E01835"/>
    <w:rsid w:val="00E01AAA"/>
    <w:rsid w:val="00E11244"/>
    <w:rsid w:val="00E15353"/>
    <w:rsid w:val="00E16CAE"/>
    <w:rsid w:val="00E174BC"/>
    <w:rsid w:val="00E215BE"/>
    <w:rsid w:val="00E24BEC"/>
    <w:rsid w:val="00E24C1A"/>
    <w:rsid w:val="00E45340"/>
    <w:rsid w:val="00E515DB"/>
    <w:rsid w:val="00E54F7C"/>
    <w:rsid w:val="00E674DD"/>
    <w:rsid w:val="00E67B22"/>
    <w:rsid w:val="00E81323"/>
    <w:rsid w:val="00E8501C"/>
    <w:rsid w:val="00E85E3D"/>
    <w:rsid w:val="00E974ED"/>
    <w:rsid w:val="00EA04CC"/>
    <w:rsid w:val="00EA406E"/>
    <w:rsid w:val="00EA43AC"/>
    <w:rsid w:val="00EA52D3"/>
    <w:rsid w:val="00EA596B"/>
    <w:rsid w:val="00EA73CE"/>
    <w:rsid w:val="00EB2329"/>
    <w:rsid w:val="00EC0498"/>
    <w:rsid w:val="00EC32AA"/>
    <w:rsid w:val="00ED043A"/>
    <w:rsid w:val="00ED3727"/>
    <w:rsid w:val="00ED3DDF"/>
    <w:rsid w:val="00ED3FF4"/>
    <w:rsid w:val="00ED50F4"/>
    <w:rsid w:val="00EE1C1A"/>
    <w:rsid w:val="00EE2613"/>
    <w:rsid w:val="00EE550A"/>
    <w:rsid w:val="00EF1E98"/>
    <w:rsid w:val="00EF5820"/>
    <w:rsid w:val="00F1025A"/>
    <w:rsid w:val="00F2297F"/>
    <w:rsid w:val="00F359BE"/>
    <w:rsid w:val="00F35EDC"/>
    <w:rsid w:val="00F361F0"/>
    <w:rsid w:val="00F62916"/>
    <w:rsid w:val="00F63D9A"/>
    <w:rsid w:val="00F659A3"/>
    <w:rsid w:val="00F7417F"/>
    <w:rsid w:val="00F77D72"/>
    <w:rsid w:val="00F820CF"/>
    <w:rsid w:val="00F95BD8"/>
    <w:rsid w:val="00F97E76"/>
    <w:rsid w:val="00FA02D2"/>
    <w:rsid w:val="00FA7C5A"/>
    <w:rsid w:val="00FB743C"/>
    <w:rsid w:val="00FC556E"/>
    <w:rsid w:val="00FC6E8D"/>
    <w:rsid w:val="00FD307B"/>
    <w:rsid w:val="00FD3B19"/>
    <w:rsid w:val="00FD73AB"/>
    <w:rsid w:val="00FE67AB"/>
    <w:rsid w:val="00FE68E4"/>
    <w:rsid w:val="00FF34A3"/>
    <w:rsid w:val="00FF5247"/>
    <w:rsid w:val="00FF714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98E937"/>
  <w15:docId w15:val="{FE5B073A-B06F-4940-AE38-75E5868E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F361F0"/>
    <w:rPr>
      <w:rFonts w:ascii="Verdana" w:hAnsi="Verdana"/>
      <w:sz w:val="16"/>
    </w:rPr>
  </w:style>
  <w:style w:type="character" w:styleId="FootnoteReference">
    <w:name w:val="footnote reference"/>
    <w:basedOn w:val="DefaultParagraphFont"/>
    <w:rsid w:val="00F361F0"/>
    <w:rPr>
      <w:vertAlign w:val="superscript"/>
    </w:rPr>
  </w:style>
  <w:style w:type="paragraph" w:customStyle="1" w:styleId="Default">
    <w:name w:val="Default"/>
    <w:rsid w:val="00D13D8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4975458-194B-4522-B708-84A7A21A397D}">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B4207D1C-F390-452E-95AA-FAB8CF8529B3}">
  <ds:schemaRefs>
    <ds:schemaRef ds:uri="http://schemas.microsoft.com/sharepoint/v3/contenttype/forms"/>
  </ds:schemaRefs>
</ds:datastoreItem>
</file>

<file path=customXml/itemProps3.xml><?xml version="1.0" encoding="utf-8"?>
<ds:datastoreItem xmlns:ds="http://schemas.openxmlformats.org/officeDocument/2006/customXml" ds:itemID="{8D2F14F6-7A8F-4DEF-8601-7940DFA5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1895</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Cook, Robert</cp:lastModifiedBy>
  <cp:revision>3</cp:revision>
  <cp:lastPrinted>2022-07-04T09:44:00Z</cp:lastPrinted>
  <dcterms:created xsi:type="dcterms:W3CDTF">2022-07-04T09:45:00Z</dcterms:created>
  <dcterms:modified xsi:type="dcterms:W3CDTF">2022-07-06T08:00:00Z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