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5253" w14:textId="77777777" w:rsidR="000B0589" w:rsidRDefault="000B0589" w:rsidP="00BC2702">
      <w:pPr>
        <w:pStyle w:val="Conditions1"/>
        <w:numPr>
          <w:ilvl w:val="0"/>
          <w:numId w:val="0"/>
        </w:numPr>
      </w:pPr>
      <w:r>
        <w:rPr>
          <w:noProof/>
        </w:rPr>
        <w:drawing>
          <wp:inline distT="0" distB="0" distL="0" distR="0" wp14:anchorId="4F142191" wp14:editId="6D6A9351">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F882932" w14:textId="77777777" w:rsidR="000B0589" w:rsidRDefault="000B0589" w:rsidP="00A5760C"/>
    <w:p w14:paraId="25A15B5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99BB560" w14:textId="77777777" w:rsidTr="00801791">
        <w:trPr>
          <w:cantSplit/>
          <w:trHeight w:val="23"/>
        </w:trPr>
        <w:tc>
          <w:tcPr>
            <w:tcW w:w="9356" w:type="dxa"/>
            <w:shd w:val="clear" w:color="auto" w:fill="auto"/>
          </w:tcPr>
          <w:p w14:paraId="3A3A4CA9" w14:textId="1BE46CE2" w:rsidR="000B0589" w:rsidRPr="00801791" w:rsidRDefault="00801791" w:rsidP="002E2646">
            <w:pPr>
              <w:spacing w:before="120"/>
              <w:ind w:left="-108" w:right="34"/>
              <w:rPr>
                <w:b/>
                <w:color w:val="000000"/>
                <w:sz w:val="40"/>
                <w:szCs w:val="40"/>
              </w:rPr>
            </w:pPr>
            <w:bookmarkStart w:id="0" w:name="bmkTable00"/>
            <w:bookmarkEnd w:id="0"/>
            <w:r>
              <w:rPr>
                <w:b/>
                <w:color w:val="000000"/>
                <w:sz w:val="40"/>
                <w:szCs w:val="40"/>
              </w:rPr>
              <w:t>Appeal Decision</w:t>
            </w:r>
          </w:p>
        </w:tc>
      </w:tr>
      <w:tr w:rsidR="000B0589" w:rsidRPr="000C3F13" w14:paraId="6D973BF4" w14:textId="77777777" w:rsidTr="00801791">
        <w:trPr>
          <w:cantSplit/>
          <w:trHeight w:val="23"/>
        </w:trPr>
        <w:tc>
          <w:tcPr>
            <w:tcW w:w="9356" w:type="dxa"/>
            <w:shd w:val="clear" w:color="auto" w:fill="auto"/>
            <w:vAlign w:val="center"/>
          </w:tcPr>
          <w:p w14:paraId="5132D37A" w14:textId="77777777" w:rsidR="00801791" w:rsidRDefault="00801791" w:rsidP="00801791">
            <w:pPr>
              <w:spacing w:before="60"/>
              <w:ind w:left="-108" w:right="34"/>
              <w:rPr>
                <w:color w:val="000000"/>
                <w:szCs w:val="22"/>
              </w:rPr>
            </w:pPr>
          </w:p>
          <w:p w14:paraId="158A16BE" w14:textId="2DBD45FD" w:rsidR="000B0589" w:rsidRPr="00801791" w:rsidRDefault="000B0589" w:rsidP="00801791">
            <w:pPr>
              <w:spacing w:before="60"/>
              <w:ind w:left="-108" w:right="34"/>
              <w:rPr>
                <w:color w:val="000000"/>
                <w:szCs w:val="22"/>
              </w:rPr>
            </w:pPr>
          </w:p>
        </w:tc>
      </w:tr>
      <w:tr w:rsidR="000B0589" w:rsidRPr="00361890" w14:paraId="0F7BCBFA" w14:textId="77777777" w:rsidTr="00801791">
        <w:trPr>
          <w:cantSplit/>
          <w:trHeight w:val="23"/>
        </w:trPr>
        <w:tc>
          <w:tcPr>
            <w:tcW w:w="9356" w:type="dxa"/>
            <w:shd w:val="clear" w:color="auto" w:fill="auto"/>
          </w:tcPr>
          <w:p w14:paraId="5DE4040A" w14:textId="25562200" w:rsidR="000B0589" w:rsidRPr="00801791" w:rsidRDefault="00801791" w:rsidP="00801791">
            <w:pPr>
              <w:spacing w:before="180"/>
              <w:ind w:left="-108" w:right="34"/>
              <w:rPr>
                <w:b/>
                <w:color w:val="000000"/>
                <w:sz w:val="16"/>
                <w:szCs w:val="22"/>
              </w:rPr>
            </w:pPr>
            <w:r>
              <w:rPr>
                <w:b/>
                <w:color w:val="000000"/>
                <w:szCs w:val="22"/>
              </w:rPr>
              <w:t>by A Spencer-Peet  BSc(Hons) PGDip.LP Solicitor (Non Practicing)</w:t>
            </w:r>
          </w:p>
        </w:tc>
      </w:tr>
      <w:tr w:rsidR="000B0589" w:rsidRPr="00361890" w14:paraId="7181F010" w14:textId="77777777" w:rsidTr="00801791">
        <w:trPr>
          <w:cantSplit/>
          <w:trHeight w:val="23"/>
        </w:trPr>
        <w:tc>
          <w:tcPr>
            <w:tcW w:w="9356" w:type="dxa"/>
            <w:shd w:val="clear" w:color="auto" w:fill="auto"/>
          </w:tcPr>
          <w:p w14:paraId="1B4CEF38" w14:textId="32ACE440" w:rsidR="000B0589" w:rsidRPr="00801791" w:rsidRDefault="00801791"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5321EA1A" w14:textId="77777777" w:rsidTr="00801791">
        <w:trPr>
          <w:cantSplit/>
          <w:trHeight w:val="23"/>
        </w:trPr>
        <w:tc>
          <w:tcPr>
            <w:tcW w:w="9356" w:type="dxa"/>
            <w:shd w:val="clear" w:color="auto" w:fill="auto"/>
          </w:tcPr>
          <w:p w14:paraId="20E382E9" w14:textId="18A34355"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F42B14">
              <w:rPr>
                <w:b/>
                <w:color w:val="000000"/>
                <w:sz w:val="16"/>
                <w:szCs w:val="16"/>
              </w:rPr>
              <w:t xml:space="preserve"> 24 June 2022</w:t>
            </w:r>
          </w:p>
        </w:tc>
      </w:tr>
    </w:tbl>
    <w:p w14:paraId="46624F7C" w14:textId="77777777" w:rsidR="00801791" w:rsidRDefault="00801791" w:rsidP="000B0589"/>
    <w:tbl>
      <w:tblPr>
        <w:tblW w:w="0" w:type="auto"/>
        <w:tblLayout w:type="fixed"/>
        <w:tblLook w:val="0000" w:firstRow="0" w:lastRow="0" w:firstColumn="0" w:lastColumn="0" w:noHBand="0" w:noVBand="0"/>
      </w:tblPr>
      <w:tblGrid>
        <w:gridCol w:w="9520"/>
      </w:tblGrid>
      <w:tr w:rsidR="00801791" w14:paraId="695D7958" w14:textId="77777777" w:rsidTr="00801791">
        <w:tc>
          <w:tcPr>
            <w:tcW w:w="9520" w:type="dxa"/>
            <w:shd w:val="clear" w:color="auto" w:fill="auto"/>
          </w:tcPr>
          <w:p w14:paraId="65BEF22C" w14:textId="1173FD89" w:rsidR="00801791" w:rsidRPr="00801791" w:rsidRDefault="00801791" w:rsidP="00801791">
            <w:pPr>
              <w:spacing w:after="60"/>
              <w:rPr>
                <w:b/>
                <w:color w:val="000000"/>
              </w:rPr>
            </w:pPr>
            <w:r>
              <w:rPr>
                <w:b/>
                <w:color w:val="000000"/>
              </w:rPr>
              <w:t>Order Ref: FPS/X2600/14A/5</w:t>
            </w:r>
          </w:p>
        </w:tc>
      </w:tr>
      <w:tr w:rsidR="00801791" w14:paraId="27B489EA" w14:textId="77777777" w:rsidTr="00801791">
        <w:tc>
          <w:tcPr>
            <w:tcW w:w="9520" w:type="dxa"/>
            <w:shd w:val="clear" w:color="auto" w:fill="auto"/>
          </w:tcPr>
          <w:p w14:paraId="0168ACA9" w14:textId="2A4D32E0" w:rsidR="00801791" w:rsidRDefault="00801791" w:rsidP="00801791">
            <w:pPr>
              <w:pStyle w:val="TBullet"/>
            </w:pPr>
            <w:r>
              <w:t>The appeal is made under Section 53(5) and paragraph 4(1) of Schedule 14 of the Wildlife and Countryside Act 1981 (the 1981 Act) against the decision of Norfolk County Council (the Council) not to make an Order under section 53(2) of that Act.</w:t>
            </w:r>
          </w:p>
        </w:tc>
      </w:tr>
      <w:tr w:rsidR="00801791" w14:paraId="6D03E297" w14:textId="77777777" w:rsidTr="00801791">
        <w:tc>
          <w:tcPr>
            <w:tcW w:w="9520" w:type="dxa"/>
            <w:shd w:val="clear" w:color="auto" w:fill="auto"/>
          </w:tcPr>
          <w:p w14:paraId="51F342F2" w14:textId="66D74252" w:rsidR="00801791" w:rsidRDefault="007D510A" w:rsidP="00801791">
            <w:pPr>
              <w:pStyle w:val="TBullet"/>
            </w:pPr>
            <w:r>
              <w:t>The Application dated 1</w:t>
            </w:r>
            <w:r w:rsidR="00822578">
              <w:t>1</w:t>
            </w:r>
            <w:r>
              <w:t xml:space="preserve"> February 20</w:t>
            </w:r>
            <w:r w:rsidR="00822578">
              <w:t>19</w:t>
            </w:r>
            <w:r>
              <w:t xml:space="preserve"> was refused by the Council on 2</w:t>
            </w:r>
            <w:r w:rsidR="00822578">
              <w:t>6</w:t>
            </w:r>
            <w:r>
              <w:t xml:space="preserve"> March 2021</w:t>
            </w:r>
            <w:r w:rsidR="00822578">
              <w:t>.</w:t>
            </w:r>
          </w:p>
          <w:p w14:paraId="2C7DB134" w14:textId="4931BE7C" w:rsidR="007D510A" w:rsidRDefault="007D510A" w:rsidP="00801791">
            <w:pPr>
              <w:pStyle w:val="TBullet"/>
            </w:pPr>
            <w:r>
              <w:t xml:space="preserve">The Appellant claims that the definitive map and statement (the DMS) for the area should be modified by adding a Restricted Byway from Neatishead Restricted </w:t>
            </w:r>
            <w:r>
              <w:br/>
              <w:t>Byway No.9 to the western termination of the Neatishead Footpath No.6.</w:t>
            </w:r>
          </w:p>
        </w:tc>
      </w:tr>
      <w:tr w:rsidR="00801791" w14:paraId="18C4F4D5" w14:textId="77777777" w:rsidTr="00801791">
        <w:tc>
          <w:tcPr>
            <w:tcW w:w="9520" w:type="dxa"/>
            <w:shd w:val="clear" w:color="auto" w:fill="auto"/>
          </w:tcPr>
          <w:p w14:paraId="7304C34A" w14:textId="2B3E602B" w:rsidR="00801791" w:rsidRDefault="00801791" w:rsidP="007D510A">
            <w:pPr>
              <w:pStyle w:val="TBullet"/>
              <w:numPr>
                <w:ilvl w:val="0"/>
                <w:numId w:val="0"/>
              </w:numPr>
            </w:pPr>
          </w:p>
        </w:tc>
      </w:tr>
      <w:tr w:rsidR="00801791" w14:paraId="4A7D9012" w14:textId="77777777" w:rsidTr="00801791">
        <w:tc>
          <w:tcPr>
            <w:tcW w:w="9520" w:type="dxa"/>
            <w:shd w:val="clear" w:color="auto" w:fill="auto"/>
          </w:tcPr>
          <w:p w14:paraId="0743AE2C" w14:textId="7B0DA5A3" w:rsidR="00801791" w:rsidRPr="00801791" w:rsidRDefault="00801791" w:rsidP="00801791">
            <w:pPr>
              <w:spacing w:before="60"/>
              <w:rPr>
                <w:b/>
                <w:color w:val="000000"/>
              </w:rPr>
            </w:pPr>
            <w:r>
              <w:rPr>
                <w:b/>
                <w:color w:val="000000"/>
              </w:rPr>
              <w:t>Summary of Decision:</w:t>
            </w:r>
            <w:r w:rsidR="007D510A">
              <w:rPr>
                <w:b/>
                <w:color w:val="000000"/>
              </w:rPr>
              <w:t xml:space="preserve"> </w:t>
            </w:r>
            <w:r w:rsidR="007D510A" w:rsidRPr="00081F2F">
              <w:rPr>
                <w:b/>
              </w:rPr>
              <w:t>The appeal is dismissed</w:t>
            </w:r>
            <w:r w:rsidR="007D510A">
              <w:rPr>
                <w:b/>
                <w:color w:val="000000"/>
              </w:rPr>
              <w:t>.</w:t>
            </w:r>
          </w:p>
        </w:tc>
      </w:tr>
      <w:tr w:rsidR="00801791" w14:paraId="678AD30E" w14:textId="77777777" w:rsidTr="00801791">
        <w:tc>
          <w:tcPr>
            <w:tcW w:w="9520" w:type="dxa"/>
            <w:tcBorders>
              <w:bottom w:val="single" w:sz="6" w:space="0" w:color="000000"/>
            </w:tcBorders>
            <w:shd w:val="clear" w:color="auto" w:fill="auto"/>
          </w:tcPr>
          <w:p w14:paraId="3661F899" w14:textId="77777777" w:rsidR="00801791" w:rsidRPr="00801791" w:rsidRDefault="00801791" w:rsidP="00801791">
            <w:pPr>
              <w:spacing w:before="60"/>
              <w:rPr>
                <w:b/>
                <w:color w:val="000000"/>
                <w:sz w:val="2"/>
              </w:rPr>
            </w:pPr>
            <w:bookmarkStart w:id="1" w:name="bmkReturn"/>
            <w:bookmarkEnd w:id="1"/>
          </w:p>
        </w:tc>
      </w:tr>
    </w:tbl>
    <w:p w14:paraId="1D5FD7D4" w14:textId="4B4F193B" w:rsidR="00801791" w:rsidRDefault="00801791" w:rsidP="00801791">
      <w:pPr>
        <w:pStyle w:val="Heading6blackfont"/>
      </w:pPr>
      <w:r>
        <w:t>Pr</w:t>
      </w:r>
      <w:r w:rsidR="007D510A">
        <w:t>eliminary</w:t>
      </w:r>
      <w:r>
        <w:t xml:space="preserve"> Matters</w:t>
      </w:r>
    </w:p>
    <w:p w14:paraId="1ACED49D" w14:textId="77777777" w:rsidR="00680CCA" w:rsidRDefault="00680CCA" w:rsidP="00680CCA">
      <w:pPr>
        <w:pStyle w:val="Style1"/>
      </w:pPr>
      <w:r>
        <w:t>I have been directed by the Secretary of State for Environment, Food and Rural Affairs to determine an appeal under Section 53(5) and Paragraph 4(1) of Schedule 14 of the 1981 Act.</w:t>
      </w:r>
    </w:p>
    <w:p w14:paraId="0BBF39A5" w14:textId="0CF1FA64" w:rsidR="00680CCA" w:rsidRDefault="00680CCA" w:rsidP="00680CCA">
      <w:pPr>
        <w:pStyle w:val="Style1"/>
      </w:pPr>
      <w:r>
        <w:t xml:space="preserve">I am satisfied I can make my decision without the need to visit the site. The appeal has been determined on the </w:t>
      </w:r>
      <w:r w:rsidR="00686959">
        <w:t xml:space="preserve">basis of the </w:t>
      </w:r>
      <w:r>
        <w:t>papers submitted.</w:t>
      </w:r>
    </w:p>
    <w:p w14:paraId="60F5218D" w14:textId="50F8ABC6" w:rsidR="00955DA0" w:rsidRDefault="001214F9" w:rsidP="007D510A">
      <w:pPr>
        <w:pStyle w:val="Style1"/>
      </w:pPr>
      <w:r>
        <w:t xml:space="preserve">The application </w:t>
      </w:r>
      <w:r w:rsidR="005D25DA">
        <w:t xml:space="preserve">is </w:t>
      </w:r>
      <w:r>
        <w:t>made by Mr I Witham</w:t>
      </w:r>
      <w:r w:rsidR="007E0E5C">
        <w:t xml:space="preserve"> </w:t>
      </w:r>
      <w:r w:rsidR="005D25DA">
        <w:t xml:space="preserve">in respect of the route </w:t>
      </w:r>
      <w:r w:rsidR="005901A4">
        <w:t xml:space="preserve">(the Application Route) </w:t>
      </w:r>
      <w:r w:rsidR="00786285">
        <w:t xml:space="preserve">from Neatishead Restricted Byway No.9 </w:t>
      </w:r>
      <w:r w:rsidR="00250BA4">
        <w:t xml:space="preserve">(RB9) </w:t>
      </w:r>
      <w:r w:rsidR="00786285">
        <w:t>to the western termination of the Neatishead Footpath No.6</w:t>
      </w:r>
      <w:r w:rsidR="00692DA2">
        <w:t xml:space="preserve"> (FP6)</w:t>
      </w:r>
      <w:r w:rsidR="000D08B0">
        <w:t xml:space="preserve">. A copy of a map </w:t>
      </w:r>
      <w:r w:rsidR="00942837">
        <w:t xml:space="preserve">showing the </w:t>
      </w:r>
      <w:r w:rsidR="00786285">
        <w:t>Application</w:t>
      </w:r>
      <w:r w:rsidR="00942837">
        <w:t xml:space="preserve"> </w:t>
      </w:r>
      <w:r w:rsidR="00DE2CBB">
        <w:t>R</w:t>
      </w:r>
      <w:r w:rsidR="00942837">
        <w:t xml:space="preserve">oute </w:t>
      </w:r>
      <w:r w:rsidR="00EA4039">
        <w:t>is attached for reference.</w:t>
      </w:r>
    </w:p>
    <w:p w14:paraId="75D1AEC7" w14:textId="29533249" w:rsidR="00F071A1" w:rsidRPr="007D510A" w:rsidRDefault="00817553" w:rsidP="008A6C26">
      <w:pPr>
        <w:pStyle w:val="Style1"/>
      </w:pPr>
      <w:r w:rsidRPr="008A6C26">
        <w:rPr>
          <w:color w:val="auto"/>
        </w:rPr>
        <w:t xml:space="preserve">The Appellant has </w:t>
      </w:r>
      <w:r w:rsidR="00AF2F5D" w:rsidRPr="008A6C26">
        <w:rPr>
          <w:color w:val="auto"/>
        </w:rPr>
        <w:t xml:space="preserve">submitted evidence which, it is maintained, supports the existence of </w:t>
      </w:r>
      <w:r w:rsidR="00A550FB" w:rsidRPr="008A6C26">
        <w:rPr>
          <w:color w:val="auto"/>
        </w:rPr>
        <w:t xml:space="preserve">full vehicular rights over the Application Route </w:t>
      </w:r>
      <w:r w:rsidR="007A51CC" w:rsidRPr="008A6C26">
        <w:rPr>
          <w:color w:val="auto"/>
        </w:rPr>
        <w:t>in the past. However, i</w:t>
      </w:r>
      <w:r w:rsidR="00955DA0" w:rsidRPr="008A6C26">
        <w:rPr>
          <w:color w:val="auto"/>
        </w:rPr>
        <w:t xml:space="preserve">t is not disputed that the Natural Environment and Rural Communities Act 2006 has extinguished unrecorded public right of way for mechanically propelled vehicles. </w:t>
      </w:r>
      <w:r w:rsidR="00FC1FEB" w:rsidRPr="008A6C26">
        <w:rPr>
          <w:color w:val="auto"/>
        </w:rPr>
        <w:t>A re</w:t>
      </w:r>
      <w:r w:rsidR="006A22A2" w:rsidRPr="008A6C26">
        <w:rPr>
          <w:color w:val="auto"/>
        </w:rPr>
        <w:t xml:space="preserve">stricted </w:t>
      </w:r>
      <w:r w:rsidR="006A22A2">
        <w:t xml:space="preserve">byway is defined to include the rights of a </w:t>
      </w:r>
      <w:r w:rsidR="00C72304">
        <w:t xml:space="preserve">bridleway as well as the right to use non-mechanically </w:t>
      </w:r>
      <w:r w:rsidR="00D25FDD">
        <w:t>propelled vehicles.</w:t>
      </w:r>
    </w:p>
    <w:p w14:paraId="51931D9B" w14:textId="54C63FAD" w:rsidR="00801791" w:rsidRDefault="00801791" w:rsidP="00801791">
      <w:pPr>
        <w:pStyle w:val="Heading6blackfont"/>
      </w:pPr>
      <w:r>
        <w:t>The Main Issue</w:t>
      </w:r>
    </w:p>
    <w:p w14:paraId="66B6CDD6" w14:textId="023560ED" w:rsidR="00EA4039" w:rsidRDefault="00CC297A" w:rsidP="00EA4039">
      <w:pPr>
        <w:pStyle w:val="Style1"/>
      </w:pPr>
      <w:r>
        <w:t>For an addition to be made to the DMS</w:t>
      </w:r>
      <w:r w:rsidR="0084252D">
        <w:t xml:space="preserve">, section 53(3)(c)(i) provides that a modification order </w:t>
      </w:r>
      <w:r w:rsidR="004314C9">
        <w:t xml:space="preserve">shall be made where evidence is discovered which (when considered </w:t>
      </w:r>
      <w:r w:rsidR="00842777">
        <w:t xml:space="preserve">with other relevant evidence available) shows that a right of way </w:t>
      </w:r>
      <w:r w:rsidR="007873E7">
        <w:t xml:space="preserve">which is not shown in the map and statement subsists or is reasonably alleged to </w:t>
      </w:r>
      <w:r w:rsidR="00F9018C">
        <w:t xml:space="preserve">subsist over land in the area to which the map relates. </w:t>
      </w:r>
    </w:p>
    <w:p w14:paraId="23B81220" w14:textId="77777777" w:rsidR="004003E2" w:rsidRDefault="004003E2" w:rsidP="004003E2">
      <w:pPr>
        <w:pStyle w:val="Style1"/>
      </w:pPr>
      <w:r>
        <w:lastRenderedPageBreak/>
        <w:t xml:space="preserve">As set out in the case of </w:t>
      </w:r>
      <w:r w:rsidRPr="008D2292">
        <w:rPr>
          <w:i/>
          <w:iCs/>
        </w:rPr>
        <w:t>R v Secretary of State ex parte Norton and Bagshaw</w:t>
      </w:r>
      <w:r>
        <w:rPr>
          <w:rStyle w:val="FootnoteReference"/>
          <w:i/>
          <w:iCs/>
        </w:rPr>
        <w:footnoteReference w:id="1"/>
      </w:r>
      <w:r>
        <w:rPr>
          <w:i/>
          <w:iCs/>
        </w:rPr>
        <w:t>,</w:t>
      </w:r>
      <w:r>
        <w:t xml:space="preserve"> an Order to add a route should be made if either of two tests is met:</w:t>
      </w:r>
    </w:p>
    <w:p w14:paraId="679C266F" w14:textId="77777777" w:rsidR="004003E2" w:rsidRDefault="004003E2" w:rsidP="004003E2">
      <w:pPr>
        <w:pStyle w:val="Style1"/>
        <w:numPr>
          <w:ilvl w:val="0"/>
          <w:numId w:val="0"/>
        </w:numPr>
      </w:pPr>
      <w:r>
        <w:tab/>
        <w:t xml:space="preserve">A: Does a right of way subsist on the balance of probabilities? </w:t>
      </w:r>
    </w:p>
    <w:p w14:paraId="6C7B597C" w14:textId="77777777" w:rsidR="004003E2" w:rsidRDefault="004003E2" w:rsidP="004003E2">
      <w:pPr>
        <w:pStyle w:val="Style1"/>
        <w:numPr>
          <w:ilvl w:val="0"/>
          <w:numId w:val="0"/>
        </w:numPr>
        <w:ind w:left="431"/>
      </w:pPr>
      <w:r>
        <w:tab/>
        <w:t>B: Is it reasonable to allege that a right of way subsists? For this possibility to exist, it will be necessary to show that a reasonable person, having considered all the relevant evidence available, could reasonably allege that a right of way subsists.</w:t>
      </w:r>
    </w:p>
    <w:p w14:paraId="54D406CA" w14:textId="1A54ECF8" w:rsidR="00F9018C" w:rsidRDefault="00ED2936" w:rsidP="00EA4039">
      <w:pPr>
        <w:pStyle w:val="Style1"/>
      </w:pPr>
      <w:r>
        <w:t xml:space="preserve">The appeal relies on documentary evidence. Section 32 of the Highways </w:t>
      </w:r>
      <w:r>
        <w:br/>
        <w:t>Act 1980</w:t>
      </w:r>
      <w:r w:rsidR="00061F9A">
        <w:t xml:space="preserve"> </w:t>
      </w:r>
      <w:r>
        <w:t>requires a court or tribunal to take into consideration any map, plan or history of the locality, or other relevant document, which is tendered in evidence, giving it such weight as is appropriate, before determining whether or not a way has been dedicated as a highway.</w:t>
      </w:r>
    </w:p>
    <w:p w14:paraId="5FDB959B" w14:textId="558CAC6F" w:rsidR="00061F9A" w:rsidRPr="00EA4039" w:rsidRDefault="00290E5C" w:rsidP="00EA4039">
      <w:pPr>
        <w:pStyle w:val="Style1"/>
      </w:pPr>
      <w:r>
        <w:t xml:space="preserve">The main issue in this appeal is whether on the balance of probabilities </w:t>
      </w:r>
      <w:r w:rsidR="00F071A1">
        <w:t xml:space="preserve">a restricted byway </w:t>
      </w:r>
      <w:r w:rsidR="0048635C">
        <w:t xml:space="preserve">subsists along the </w:t>
      </w:r>
      <w:r w:rsidR="008F52F9">
        <w:t>Application Route</w:t>
      </w:r>
      <w:r w:rsidR="0048635C">
        <w:t xml:space="preserve"> or is reasonably alleged to subsist. </w:t>
      </w:r>
    </w:p>
    <w:p w14:paraId="1E4175BF" w14:textId="36ED0E90" w:rsidR="00801791" w:rsidRDefault="00801791" w:rsidP="00801791">
      <w:pPr>
        <w:pStyle w:val="Heading6blackfont"/>
      </w:pPr>
      <w:r>
        <w:t>Reasons</w:t>
      </w:r>
    </w:p>
    <w:p w14:paraId="7DB53153" w14:textId="42AC695B" w:rsidR="00EC4326" w:rsidRDefault="00A643FF" w:rsidP="00834C3B">
      <w:pPr>
        <w:pStyle w:val="Style1"/>
      </w:pPr>
      <w:r>
        <w:t xml:space="preserve">As noted above, this appeal relies on documentary evidence </w:t>
      </w:r>
      <w:r w:rsidR="004C6912">
        <w:t xml:space="preserve">alone. I shall consider the main elements of each </w:t>
      </w:r>
      <w:r w:rsidR="00EC4326">
        <w:t>of the types of documentary evidence, in turn below.</w:t>
      </w:r>
    </w:p>
    <w:p w14:paraId="6B52AC63" w14:textId="251B7755" w:rsidR="007E4D68" w:rsidRPr="007B37C6" w:rsidRDefault="007B37C6" w:rsidP="007B37C6">
      <w:pPr>
        <w:pStyle w:val="Style1"/>
        <w:numPr>
          <w:ilvl w:val="0"/>
          <w:numId w:val="0"/>
        </w:numPr>
        <w:rPr>
          <w:i/>
          <w:iCs/>
        </w:rPr>
      </w:pPr>
      <w:r w:rsidRPr="007B37C6">
        <w:rPr>
          <w:i/>
          <w:iCs/>
        </w:rPr>
        <w:t>Early Maps</w:t>
      </w:r>
    </w:p>
    <w:p w14:paraId="0C0A73F7" w14:textId="51BD6CE5" w:rsidR="00EC4326" w:rsidRPr="00B1190C" w:rsidRDefault="00533684" w:rsidP="00B1190C">
      <w:pPr>
        <w:pStyle w:val="Style1"/>
      </w:pPr>
      <w:r>
        <w:t xml:space="preserve">I have been provided with </w:t>
      </w:r>
      <w:r w:rsidR="00FB4416">
        <w:t>copies of Faden’s Map</w:t>
      </w:r>
      <w:r w:rsidR="00BC1734">
        <w:t xml:space="preserve"> of Norfolk (1797) and </w:t>
      </w:r>
      <w:r w:rsidR="00DE4263">
        <w:t xml:space="preserve">the </w:t>
      </w:r>
      <w:r w:rsidR="00AA44A6">
        <w:t>I</w:t>
      </w:r>
      <w:r w:rsidR="00DE4263">
        <w:t xml:space="preserve">nclosure </w:t>
      </w:r>
      <w:r w:rsidR="00F91966">
        <w:t xml:space="preserve">Award and </w:t>
      </w:r>
      <w:r w:rsidR="003501C5">
        <w:t xml:space="preserve">Map for </w:t>
      </w:r>
      <w:r w:rsidR="0038073B">
        <w:t>Neatishead (</w:t>
      </w:r>
      <w:r w:rsidR="005E6291">
        <w:t xml:space="preserve">1813 and </w:t>
      </w:r>
      <w:r w:rsidR="0038073B">
        <w:t>181</w:t>
      </w:r>
      <w:r w:rsidR="00F91966">
        <w:t>1</w:t>
      </w:r>
      <w:r w:rsidR="005E6291">
        <w:t xml:space="preserve"> respectively</w:t>
      </w:r>
      <w:r w:rsidR="0038073B">
        <w:t>)</w:t>
      </w:r>
      <w:r w:rsidR="0053462B">
        <w:t xml:space="preserve">. </w:t>
      </w:r>
      <w:r w:rsidR="00C86E2F">
        <w:t xml:space="preserve">Whilst it appears that both of these </w:t>
      </w:r>
      <w:r w:rsidR="00795EFE">
        <w:t>maps include the route now known as R</w:t>
      </w:r>
      <w:r w:rsidR="00382CC8">
        <w:t>B9</w:t>
      </w:r>
      <w:r w:rsidR="00F933D1">
        <w:t>,</w:t>
      </w:r>
      <w:r w:rsidR="00795EFE">
        <w:t xml:space="preserve"> </w:t>
      </w:r>
      <w:r w:rsidR="00F933D1">
        <w:t>n</w:t>
      </w:r>
      <w:r w:rsidR="00E214F1">
        <w:t>either of these maps shows</w:t>
      </w:r>
      <w:r w:rsidR="00F933D1">
        <w:t xml:space="preserve"> </w:t>
      </w:r>
      <w:r w:rsidR="00B927A8">
        <w:t xml:space="preserve">the </w:t>
      </w:r>
      <w:r w:rsidR="00DA77F8">
        <w:t>Application Route</w:t>
      </w:r>
      <w:r w:rsidR="00B1190C">
        <w:t xml:space="preserve">. </w:t>
      </w:r>
    </w:p>
    <w:p w14:paraId="7789ECC3" w14:textId="1633BD36" w:rsidR="00EC4326" w:rsidRPr="0088405C" w:rsidRDefault="004A45C9" w:rsidP="004A45C9">
      <w:pPr>
        <w:pStyle w:val="Style1"/>
        <w:numPr>
          <w:ilvl w:val="0"/>
          <w:numId w:val="0"/>
        </w:numPr>
        <w:rPr>
          <w:i/>
          <w:iCs/>
        </w:rPr>
      </w:pPr>
      <w:r w:rsidRPr="0088405C">
        <w:rPr>
          <w:i/>
          <w:iCs/>
        </w:rPr>
        <w:t>Bryant</w:t>
      </w:r>
      <w:r w:rsidR="005C0996">
        <w:rPr>
          <w:i/>
          <w:iCs/>
        </w:rPr>
        <w:t>’</w:t>
      </w:r>
      <w:r w:rsidRPr="0088405C">
        <w:rPr>
          <w:i/>
          <w:iCs/>
        </w:rPr>
        <w:t>s Map</w:t>
      </w:r>
      <w:r w:rsidR="005C0996">
        <w:rPr>
          <w:i/>
          <w:iCs/>
        </w:rPr>
        <w:t xml:space="preserve"> </w:t>
      </w:r>
      <w:r w:rsidR="00DD4840">
        <w:rPr>
          <w:i/>
          <w:iCs/>
        </w:rPr>
        <w:t>1826</w:t>
      </w:r>
    </w:p>
    <w:p w14:paraId="2B645457" w14:textId="5487E607" w:rsidR="00DD4840" w:rsidRDefault="00533687" w:rsidP="00834C3B">
      <w:pPr>
        <w:pStyle w:val="Style1"/>
      </w:pPr>
      <w:r>
        <w:t xml:space="preserve">This map shows </w:t>
      </w:r>
      <w:r w:rsidR="00267F50">
        <w:t>a route</w:t>
      </w:r>
      <w:r w:rsidR="004F0596">
        <w:t xml:space="preserve">, which appears to be on a similar alignment to the Application Route, </w:t>
      </w:r>
      <w:r w:rsidR="00EA0893">
        <w:t>connecting what is now known as R</w:t>
      </w:r>
      <w:r w:rsidR="00382CC8">
        <w:t>B</w:t>
      </w:r>
      <w:r w:rsidR="00EA0893">
        <w:t xml:space="preserve">9 </w:t>
      </w:r>
      <w:r w:rsidR="00E72AF8">
        <w:t>to a very small cluster of buildings</w:t>
      </w:r>
      <w:r w:rsidR="00B3628F">
        <w:t xml:space="preserve">. </w:t>
      </w:r>
      <w:r w:rsidR="00B630C7">
        <w:t xml:space="preserve">This route is depicted as </w:t>
      </w:r>
      <w:r w:rsidR="0055171B">
        <w:t>“</w:t>
      </w:r>
      <w:r w:rsidR="00C91E03">
        <w:t>L</w:t>
      </w:r>
      <w:r w:rsidR="0055171B">
        <w:t xml:space="preserve">anes and Bridle Ways” on the key which accompanies that map. </w:t>
      </w:r>
    </w:p>
    <w:p w14:paraId="448B8B58" w14:textId="58015209" w:rsidR="003B08D3" w:rsidRDefault="00396407" w:rsidP="00834C3B">
      <w:pPr>
        <w:pStyle w:val="Style1"/>
      </w:pPr>
      <w:r>
        <w:t xml:space="preserve">The Council </w:t>
      </w:r>
      <w:r w:rsidR="005C2C74">
        <w:t xml:space="preserve">have put it to me that no weight can be attributed to this map, maintaining </w:t>
      </w:r>
      <w:r w:rsidR="0006789F">
        <w:t xml:space="preserve">that there are other routes shown </w:t>
      </w:r>
      <w:r w:rsidR="00F91112">
        <w:t xml:space="preserve">on </w:t>
      </w:r>
      <w:r w:rsidR="0006789F">
        <w:t xml:space="preserve">the map in a similar fashion and which are not considered to be </w:t>
      </w:r>
      <w:r w:rsidR="00922AC2">
        <w:t xml:space="preserve">public highways today. </w:t>
      </w:r>
      <w:r w:rsidR="0047533F">
        <w:t xml:space="preserve">Whilst </w:t>
      </w:r>
      <w:r w:rsidR="00326860">
        <w:t xml:space="preserve">the examples given by the Council are acknowledged, </w:t>
      </w:r>
      <w:r w:rsidR="0084395E">
        <w:t xml:space="preserve">and that </w:t>
      </w:r>
      <w:r w:rsidR="00B37460">
        <w:t xml:space="preserve">there may not </w:t>
      </w:r>
      <w:r w:rsidR="002C1336">
        <w:t xml:space="preserve">currently </w:t>
      </w:r>
      <w:r w:rsidR="00B37460">
        <w:t>be any other supporti</w:t>
      </w:r>
      <w:r w:rsidR="00F9593F">
        <w:t>ng evidence</w:t>
      </w:r>
      <w:r w:rsidR="00B37460">
        <w:t xml:space="preserve"> to show those provided examples of nearby </w:t>
      </w:r>
      <w:r w:rsidR="00F9593F">
        <w:t xml:space="preserve">routes </w:t>
      </w:r>
      <w:r w:rsidR="002C1336">
        <w:t xml:space="preserve">have public rights, that is not to say that </w:t>
      </w:r>
      <w:r w:rsidR="003462B7">
        <w:t xml:space="preserve">those routes did </w:t>
      </w:r>
      <w:r w:rsidR="00F91112">
        <w:t xml:space="preserve">not </w:t>
      </w:r>
      <w:r w:rsidR="003462B7">
        <w:t>carry such rights when the map was produced.</w:t>
      </w:r>
      <w:r w:rsidR="002C1336">
        <w:t xml:space="preserve"> </w:t>
      </w:r>
    </w:p>
    <w:p w14:paraId="3DAEF133" w14:textId="4DD4F1B1" w:rsidR="00EC4326" w:rsidRDefault="00FD72C4" w:rsidP="003B08D3">
      <w:pPr>
        <w:pStyle w:val="Style1"/>
      </w:pPr>
      <w:r>
        <w:t xml:space="preserve">There was a market for selling these maps </w:t>
      </w:r>
      <w:r w:rsidR="00D67105">
        <w:t>to the public</w:t>
      </w:r>
      <w:r w:rsidR="005A00B6">
        <w:t xml:space="preserve">. </w:t>
      </w:r>
      <w:r w:rsidR="00695488">
        <w:t>Whilst not as accurate as Ordnance Survey M</w:t>
      </w:r>
      <w:r w:rsidR="00763EC0">
        <w:t xml:space="preserve">aps, </w:t>
      </w:r>
      <w:r w:rsidR="00D059DA">
        <w:t>the submitted</w:t>
      </w:r>
      <w:r w:rsidR="00695488">
        <w:t xml:space="preserve"> </w:t>
      </w:r>
      <w:r w:rsidR="00D059DA">
        <w:t>Bryant’s Map</w:t>
      </w:r>
      <w:r w:rsidR="00C462E0">
        <w:t xml:space="preserve"> does indicate the existence of a route</w:t>
      </w:r>
      <w:r w:rsidR="008D7C7C">
        <w:t xml:space="preserve"> and provides some, albeit </w:t>
      </w:r>
      <w:r w:rsidR="00396407">
        <w:t xml:space="preserve">very </w:t>
      </w:r>
      <w:r w:rsidR="008D7C7C">
        <w:t>limited</w:t>
      </w:r>
      <w:r w:rsidR="00F91112">
        <w:t>,</w:t>
      </w:r>
      <w:r w:rsidR="008D7C7C">
        <w:t xml:space="preserve"> support for the Application Route </w:t>
      </w:r>
      <w:r w:rsidR="00396407">
        <w:t>being a public right of way.</w:t>
      </w:r>
      <w:r w:rsidR="00B04BC8">
        <w:t xml:space="preserve"> </w:t>
      </w:r>
      <w:r w:rsidR="006814CB">
        <w:br/>
      </w:r>
      <w:r w:rsidR="006814CB">
        <w:br/>
      </w:r>
    </w:p>
    <w:p w14:paraId="4478A04A" w14:textId="61E60F3A" w:rsidR="00EC4326" w:rsidRPr="0088405C" w:rsidRDefault="004A45C9" w:rsidP="004A45C9">
      <w:pPr>
        <w:pStyle w:val="Style1"/>
        <w:numPr>
          <w:ilvl w:val="0"/>
          <w:numId w:val="0"/>
        </w:numPr>
        <w:rPr>
          <w:i/>
          <w:iCs/>
        </w:rPr>
      </w:pPr>
      <w:r w:rsidRPr="0088405C">
        <w:rPr>
          <w:i/>
          <w:iCs/>
        </w:rPr>
        <w:lastRenderedPageBreak/>
        <w:t>Tithe Map</w:t>
      </w:r>
      <w:r w:rsidR="005F4D9D">
        <w:rPr>
          <w:i/>
          <w:iCs/>
        </w:rPr>
        <w:t xml:space="preserve"> and App</w:t>
      </w:r>
      <w:r w:rsidR="0060308E">
        <w:rPr>
          <w:i/>
          <w:iCs/>
        </w:rPr>
        <w:t>ortionment</w:t>
      </w:r>
    </w:p>
    <w:p w14:paraId="3B4C466C" w14:textId="7EC8FEAE" w:rsidR="00A208F5" w:rsidRDefault="007D0985" w:rsidP="00834C3B">
      <w:pPr>
        <w:pStyle w:val="Style1"/>
      </w:pPr>
      <w:r>
        <w:t>The Appellant has provided a d</w:t>
      </w:r>
      <w:r w:rsidR="001F75C5">
        <w:t xml:space="preserve">iocesan copy of </w:t>
      </w:r>
      <w:r w:rsidR="001262C2">
        <w:t xml:space="preserve">the </w:t>
      </w:r>
      <w:r w:rsidR="00F77543">
        <w:t>Tithe Map and Appo</w:t>
      </w:r>
      <w:r w:rsidR="0060308E">
        <w:t xml:space="preserve">rtionment for Neatishead </w:t>
      </w:r>
      <w:r w:rsidR="00340D57">
        <w:t>as well as t</w:t>
      </w:r>
      <w:r w:rsidR="00896D0A">
        <w:t>he Tithe Map and Appo</w:t>
      </w:r>
      <w:r w:rsidR="000B7E79">
        <w:t>rtionment</w:t>
      </w:r>
      <w:r w:rsidR="00896D0A">
        <w:t xml:space="preserve"> for </w:t>
      </w:r>
      <w:r w:rsidR="00770F72">
        <w:t>Ne</w:t>
      </w:r>
      <w:r w:rsidR="00340D57">
        <w:t>atishead</w:t>
      </w:r>
      <w:r w:rsidR="00107149">
        <w:t xml:space="preserve"> as held at the National Archives</w:t>
      </w:r>
      <w:r w:rsidR="00B1438B">
        <w:t xml:space="preserve">. </w:t>
      </w:r>
      <w:r w:rsidR="00430D16">
        <w:t xml:space="preserve">The parties agree that the </w:t>
      </w:r>
      <w:r w:rsidR="00B1438B">
        <w:t>map that is held at the National Archive</w:t>
      </w:r>
      <w:r w:rsidR="00430D16">
        <w:t>s</w:t>
      </w:r>
      <w:r w:rsidR="00861BAF">
        <w:t xml:space="preserve"> </w:t>
      </w:r>
      <w:r w:rsidR="004921DC">
        <w:t xml:space="preserve">is identified as being a first class map, with the </w:t>
      </w:r>
      <w:r w:rsidR="00E23B01">
        <w:t xml:space="preserve">Commissioners’ seal affixed, meaning that it is reliable </w:t>
      </w:r>
      <w:r w:rsidR="0014062D">
        <w:t>as a true record for t</w:t>
      </w:r>
      <w:r w:rsidR="00430D16">
        <w:t>h</w:t>
      </w:r>
      <w:r w:rsidR="0014062D">
        <w:t xml:space="preserve">e purposes for which the map was drawn. </w:t>
      </w:r>
    </w:p>
    <w:p w14:paraId="66682F28" w14:textId="37D6ABEC" w:rsidR="00F87E1F" w:rsidRDefault="009B05D2" w:rsidP="00834C3B">
      <w:pPr>
        <w:pStyle w:val="Style1"/>
      </w:pPr>
      <w:r>
        <w:t xml:space="preserve">On the </w:t>
      </w:r>
      <w:r w:rsidR="00F9108D">
        <w:t>maps provided</w:t>
      </w:r>
      <w:r w:rsidR="003B0D79">
        <w:t xml:space="preserve">, the track which </w:t>
      </w:r>
      <w:r w:rsidR="00FB724E">
        <w:t>currently comprises R</w:t>
      </w:r>
      <w:r w:rsidR="00382CC8">
        <w:t>B</w:t>
      </w:r>
      <w:r w:rsidR="00FB724E">
        <w:t xml:space="preserve">9 </w:t>
      </w:r>
      <w:r w:rsidR="00330C7E">
        <w:t xml:space="preserve">and which </w:t>
      </w:r>
      <w:r w:rsidR="00FB724E">
        <w:t xml:space="preserve">connects with the </w:t>
      </w:r>
      <w:r w:rsidR="00DC33D0">
        <w:t>western end of the Application Route</w:t>
      </w:r>
      <w:r w:rsidR="00D44ED7">
        <w:t xml:space="preserve">, has been given the </w:t>
      </w:r>
      <w:r w:rsidR="00265BF1">
        <w:t>appo</w:t>
      </w:r>
      <w:r w:rsidR="00330C7E">
        <w:t>r</w:t>
      </w:r>
      <w:r w:rsidR="00265BF1">
        <w:t>t</w:t>
      </w:r>
      <w:r w:rsidR="000B7E79">
        <w:t>ion</w:t>
      </w:r>
      <w:r w:rsidR="00265BF1">
        <w:t>ment number 484</w:t>
      </w:r>
      <w:r w:rsidR="00F9108D">
        <w:t xml:space="preserve">. </w:t>
      </w:r>
      <w:r w:rsidR="00546DA1">
        <w:t xml:space="preserve">Apportionment number 484 </w:t>
      </w:r>
      <w:r w:rsidR="00616C33">
        <w:t xml:space="preserve">is listed as being </w:t>
      </w:r>
      <w:r w:rsidR="00581E62">
        <w:t>“Carngate Common Lane”</w:t>
      </w:r>
      <w:r w:rsidR="006C41C2">
        <w:t xml:space="preserve">. On the copy of the map held at National Archives, </w:t>
      </w:r>
      <w:r w:rsidR="00CB7447">
        <w:t xml:space="preserve">both </w:t>
      </w:r>
      <w:r w:rsidR="008A49D6">
        <w:t>that track</w:t>
      </w:r>
      <w:r w:rsidR="008A1ED8">
        <w:t>,</w:t>
      </w:r>
      <w:r w:rsidR="008A49D6">
        <w:t xml:space="preserve"> and the Application Route are uncoloured</w:t>
      </w:r>
      <w:r w:rsidR="005F276D">
        <w:t xml:space="preserve">. However, on the map held </w:t>
      </w:r>
      <w:r w:rsidR="008A1ED8">
        <w:t>by the Norfolk Records Office</w:t>
      </w:r>
      <w:r w:rsidR="00756BEB">
        <w:t xml:space="preserve">, both the connecting track and </w:t>
      </w:r>
      <w:r w:rsidR="00763206">
        <w:t xml:space="preserve">a majority of the length of the Application Route are coloured </w:t>
      </w:r>
      <w:r w:rsidR="00DE6F6B">
        <w:t xml:space="preserve">in light yellow. </w:t>
      </w:r>
    </w:p>
    <w:p w14:paraId="58E96D88" w14:textId="4950246B" w:rsidR="00AA77F9" w:rsidRDefault="00F87E1F" w:rsidP="00834C3B">
      <w:pPr>
        <w:pStyle w:val="Style1"/>
      </w:pPr>
      <w:r>
        <w:t>The Appellant maintains</w:t>
      </w:r>
      <w:r w:rsidR="00B87169">
        <w:t>,</w:t>
      </w:r>
      <w:r w:rsidR="001D7C82">
        <w:t xml:space="preserve"> by reason of the continuation of colouring shown on the second map</w:t>
      </w:r>
      <w:r w:rsidR="009060EF">
        <w:t xml:space="preserve"> and lack of any separate apportionment number</w:t>
      </w:r>
      <w:r w:rsidR="001D7C82">
        <w:t xml:space="preserve">, </w:t>
      </w:r>
      <w:r w:rsidR="00B87169">
        <w:t xml:space="preserve">that this is evidence that the </w:t>
      </w:r>
      <w:r w:rsidR="000D443A">
        <w:t xml:space="preserve">Application Route </w:t>
      </w:r>
      <w:r w:rsidR="0016031B">
        <w:t>was a</w:t>
      </w:r>
      <w:r w:rsidR="00874725">
        <w:t xml:space="preserve"> </w:t>
      </w:r>
      <w:r w:rsidR="0016031B">
        <w:t xml:space="preserve">public vehicular </w:t>
      </w:r>
      <w:r w:rsidR="00874725">
        <w:t>highway at the time the map was drawn up.</w:t>
      </w:r>
      <w:r w:rsidR="000C1F3F">
        <w:t xml:space="preserve"> Nonetheless, it is also noted that both copies of the Tithe Map </w:t>
      </w:r>
      <w:r w:rsidR="00AA77F9">
        <w:t>include</w:t>
      </w:r>
      <w:r w:rsidR="00C80513">
        <w:t xml:space="preserve"> a solid line feature which crosses the Application Route </w:t>
      </w:r>
      <w:r w:rsidR="00BA0210">
        <w:t xml:space="preserve">close to the junction with </w:t>
      </w:r>
      <w:r w:rsidR="00B636D0">
        <w:t>R</w:t>
      </w:r>
      <w:r w:rsidR="00382CC8">
        <w:t>B</w:t>
      </w:r>
      <w:r w:rsidR="00B636D0">
        <w:t>9</w:t>
      </w:r>
      <w:r w:rsidR="00534439">
        <w:t>,</w:t>
      </w:r>
      <w:r w:rsidR="00B636D0">
        <w:t xml:space="preserve"> </w:t>
      </w:r>
      <w:r w:rsidR="00C80513">
        <w:t xml:space="preserve">and </w:t>
      </w:r>
      <w:r w:rsidR="00534439">
        <w:t xml:space="preserve">which </w:t>
      </w:r>
      <w:r w:rsidR="00C80513">
        <w:t>the Council has put to me, demonstrates that the Application Route</w:t>
      </w:r>
      <w:r w:rsidR="004077B8">
        <w:t xml:space="preserve"> is separate</w:t>
      </w:r>
      <w:r w:rsidR="00534439">
        <w:t xml:space="preserve"> </w:t>
      </w:r>
      <w:r w:rsidR="00C85879">
        <w:t>from apportionment number 484</w:t>
      </w:r>
      <w:r w:rsidR="008E028E">
        <w:t xml:space="preserve">. </w:t>
      </w:r>
    </w:p>
    <w:p w14:paraId="1CEC9A72" w14:textId="450FD379" w:rsidR="0014062D" w:rsidRDefault="00E84BE4" w:rsidP="00834C3B">
      <w:pPr>
        <w:pStyle w:val="Style1"/>
      </w:pPr>
      <w:r>
        <w:t xml:space="preserve">Further to the above, the Council has also put it to me that </w:t>
      </w:r>
      <w:r w:rsidR="00200A20">
        <w:t>the area measurement for appo</w:t>
      </w:r>
      <w:r w:rsidR="000B7E79">
        <w:t>rtion</w:t>
      </w:r>
      <w:r w:rsidR="00200A20">
        <w:t xml:space="preserve">ment number 484 “Carngate Common Lane” </w:t>
      </w:r>
      <w:r w:rsidR="006E4EE5">
        <w:t>is given as being “1 rood and 38 perches”</w:t>
      </w:r>
      <w:r w:rsidR="000A1D60">
        <w:t xml:space="preserve">, which when converted to </w:t>
      </w:r>
      <w:r w:rsidR="009834BA">
        <w:t xml:space="preserve">square metres </w:t>
      </w:r>
      <w:r w:rsidR="00B8786A">
        <w:t xml:space="preserve">would be significantly less than </w:t>
      </w:r>
      <w:r w:rsidR="00754464">
        <w:t>the area that would be covered if the Application Route was included within appo</w:t>
      </w:r>
      <w:r w:rsidR="000B7E79">
        <w:t>r</w:t>
      </w:r>
      <w:r w:rsidR="00754464">
        <w:t>t</w:t>
      </w:r>
      <w:r w:rsidR="000B7E79">
        <w:t>ion</w:t>
      </w:r>
      <w:r w:rsidR="00754464">
        <w:t xml:space="preserve">ment number 484. </w:t>
      </w:r>
    </w:p>
    <w:p w14:paraId="3C0A5EC2" w14:textId="6B811632" w:rsidR="00A05266" w:rsidRDefault="00235BB9" w:rsidP="00BE557B">
      <w:pPr>
        <w:pStyle w:val="Style1"/>
      </w:pPr>
      <w:r>
        <w:t xml:space="preserve">Tithe maps </w:t>
      </w:r>
      <w:r w:rsidR="00DB6A15">
        <w:t xml:space="preserve">were prepared </w:t>
      </w:r>
      <w:r w:rsidR="002B3517">
        <w:t xml:space="preserve">to indicate productive land rather than to indicate rights of way. </w:t>
      </w:r>
      <w:r w:rsidR="00D91C4E">
        <w:t xml:space="preserve">Whilst the </w:t>
      </w:r>
      <w:r w:rsidR="00C57206">
        <w:t>maps provided appear to confirm that a route existed on the ground at the time</w:t>
      </w:r>
      <w:r w:rsidR="004D3284">
        <w:t>, in light of the above i</w:t>
      </w:r>
      <w:r w:rsidR="00721370">
        <w:t xml:space="preserve">dentified differences in colouration and in respect of the </w:t>
      </w:r>
      <w:r w:rsidR="00444629">
        <w:t xml:space="preserve">submissions regarding the area measurements included within the apportionment </w:t>
      </w:r>
      <w:r w:rsidR="00E04E56">
        <w:t xml:space="preserve">number 484, </w:t>
      </w:r>
      <w:r w:rsidR="008161BD">
        <w:t>and given th</w:t>
      </w:r>
      <w:r w:rsidR="00E561D7">
        <w:t>e</w:t>
      </w:r>
      <w:r w:rsidR="00944C8A">
        <w:t xml:space="preserve"> purpose of</w:t>
      </w:r>
      <w:r w:rsidR="00493C62">
        <w:t xml:space="preserve"> producing such maps, the</w:t>
      </w:r>
      <w:r w:rsidR="00C03397">
        <w:t xml:space="preserve"> submitted Tithe Maps and Apportionments provide no evidence of the</w:t>
      </w:r>
      <w:r w:rsidR="00E561D7">
        <w:t xml:space="preserve"> status of the Application Route. </w:t>
      </w:r>
    </w:p>
    <w:p w14:paraId="3F546907" w14:textId="24D51008" w:rsidR="00834C3B" w:rsidRPr="0088405C" w:rsidRDefault="004A45C9" w:rsidP="004A45C9">
      <w:pPr>
        <w:pStyle w:val="Style1"/>
        <w:numPr>
          <w:ilvl w:val="0"/>
          <w:numId w:val="0"/>
        </w:numPr>
        <w:rPr>
          <w:i/>
          <w:iCs/>
        </w:rPr>
      </w:pPr>
      <w:r w:rsidRPr="0088405C">
        <w:rPr>
          <w:i/>
          <w:iCs/>
        </w:rPr>
        <w:t>O</w:t>
      </w:r>
      <w:r w:rsidR="00753C16">
        <w:rPr>
          <w:i/>
          <w:iCs/>
        </w:rPr>
        <w:t xml:space="preserve">rdnance </w:t>
      </w:r>
      <w:r w:rsidRPr="0088405C">
        <w:rPr>
          <w:i/>
          <w:iCs/>
        </w:rPr>
        <w:t>S</w:t>
      </w:r>
      <w:r w:rsidR="00753C16">
        <w:rPr>
          <w:i/>
          <w:iCs/>
        </w:rPr>
        <w:t>urvey</w:t>
      </w:r>
      <w:r w:rsidRPr="0088405C">
        <w:rPr>
          <w:i/>
          <w:iCs/>
        </w:rPr>
        <w:t xml:space="preserve"> </w:t>
      </w:r>
      <w:r w:rsidR="00753C16">
        <w:rPr>
          <w:i/>
          <w:iCs/>
        </w:rPr>
        <w:t xml:space="preserve">(OS) </w:t>
      </w:r>
      <w:r w:rsidRPr="0088405C">
        <w:rPr>
          <w:i/>
          <w:iCs/>
        </w:rPr>
        <w:t>Maps</w:t>
      </w:r>
      <w:r w:rsidR="004C6912" w:rsidRPr="0088405C">
        <w:rPr>
          <w:i/>
          <w:iCs/>
        </w:rPr>
        <w:t xml:space="preserve"> </w:t>
      </w:r>
    </w:p>
    <w:p w14:paraId="0602086C" w14:textId="0F5B8297" w:rsidR="009460BF" w:rsidRDefault="00753C16" w:rsidP="00834C3B">
      <w:pPr>
        <w:pStyle w:val="Style1"/>
      </w:pPr>
      <w:r>
        <w:t xml:space="preserve">The Appellant has provided copies of OS maps from </w:t>
      </w:r>
      <w:r w:rsidR="00024755">
        <w:t xml:space="preserve">circa 1838 and from </w:t>
      </w:r>
      <w:r w:rsidR="00467305">
        <w:t xml:space="preserve">the first edition 1882. On both of these maps, the entire Application Route is </w:t>
      </w:r>
      <w:r w:rsidR="00437535">
        <w:t>shown</w:t>
      </w:r>
      <w:r w:rsidR="00873E3F">
        <w:t>. However, the earlier</w:t>
      </w:r>
      <w:r w:rsidR="003E7A28">
        <w:t xml:space="preserve"> map shows the Application Route as being continuous with the track which </w:t>
      </w:r>
      <w:r w:rsidR="006460DB">
        <w:t>is currently known as R</w:t>
      </w:r>
      <w:r w:rsidR="00D74FBA">
        <w:t>B</w:t>
      </w:r>
      <w:r w:rsidR="006460DB">
        <w:t xml:space="preserve">9, with the </w:t>
      </w:r>
      <w:r w:rsidR="00C432A3">
        <w:t xml:space="preserve">later 1882 map </w:t>
      </w:r>
      <w:r w:rsidR="00DA6787">
        <w:t xml:space="preserve">showing the Application Route as a separate </w:t>
      </w:r>
      <w:r w:rsidR="009460BF">
        <w:t xml:space="preserve">enclosed lane with a different land parcel number. I have not been provided with any key to these maps. </w:t>
      </w:r>
    </w:p>
    <w:p w14:paraId="72919209" w14:textId="63E8560E" w:rsidR="004A45C9" w:rsidRDefault="00391534" w:rsidP="00834C3B">
      <w:pPr>
        <w:pStyle w:val="Style1"/>
      </w:pPr>
      <w:r>
        <w:t>From the Council’s research</w:t>
      </w:r>
      <w:r w:rsidR="0014647B">
        <w:t xml:space="preserve">, further OS maps from </w:t>
      </w:r>
      <w:r w:rsidR="00093C03">
        <w:t xml:space="preserve">1905, 1951 and 1971 show the </w:t>
      </w:r>
      <w:r w:rsidR="00562020">
        <w:t>Application Route</w:t>
      </w:r>
      <w:r w:rsidR="004A4010">
        <w:t>. Whilst these maps are consistent in that regard, they differ in that</w:t>
      </w:r>
      <w:r w:rsidR="005E7D5D">
        <w:t xml:space="preserve"> the 1905 and 1971 maps show the Application Route separated from </w:t>
      </w:r>
      <w:r w:rsidR="00A22722">
        <w:t>what has bec</w:t>
      </w:r>
      <w:r w:rsidR="00755F2C">
        <w:t>o</w:t>
      </w:r>
      <w:r w:rsidR="00A22722">
        <w:t>me RB9</w:t>
      </w:r>
      <w:r w:rsidR="00755F2C">
        <w:t>,</w:t>
      </w:r>
      <w:r w:rsidR="005A51DE">
        <w:t xml:space="preserve"> </w:t>
      </w:r>
      <w:r w:rsidR="00D606D0">
        <w:t xml:space="preserve">by </w:t>
      </w:r>
      <w:r w:rsidR="00500471">
        <w:t xml:space="preserve">a dashed line. The 1951 OS map does not include that separation and shows the Application Route as a continuation of </w:t>
      </w:r>
      <w:r w:rsidR="00E84755">
        <w:t xml:space="preserve">what is now known as RB9. </w:t>
      </w:r>
    </w:p>
    <w:p w14:paraId="5AA6188F" w14:textId="72DE7610" w:rsidR="00E84755" w:rsidRDefault="0027161A" w:rsidP="00834C3B">
      <w:pPr>
        <w:pStyle w:val="Style1"/>
      </w:pPr>
      <w:r>
        <w:lastRenderedPageBreak/>
        <w:t>OS maps</w:t>
      </w:r>
      <w:r w:rsidR="000C4153">
        <w:t xml:space="preserve"> provide good evidence of features that were present on the ground at the time, </w:t>
      </w:r>
      <w:r w:rsidR="00673AA4">
        <w:t xml:space="preserve">but do not indicate the status of the routes shown. </w:t>
      </w:r>
      <w:r w:rsidR="005E6D15">
        <w:t>Whilst</w:t>
      </w:r>
      <w:r w:rsidR="00CE1E3C">
        <w:t xml:space="preserve"> I agree with the Council’s assessment that </w:t>
      </w:r>
      <w:r w:rsidR="00075536">
        <w:t xml:space="preserve">these maps are </w:t>
      </w:r>
      <w:r w:rsidR="005E6D15">
        <w:t xml:space="preserve">not </w:t>
      </w:r>
      <w:r w:rsidR="00075536">
        <w:t xml:space="preserve">determinative </w:t>
      </w:r>
      <w:r w:rsidR="00935F1E">
        <w:t>of the status of the Application Route</w:t>
      </w:r>
      <w:r w:rsidR="005E6D15">
        <w:t xml:space="preserve">, </w:t>
      </w:r>
      <w:r w:rsidR="00AC6179">
        <w:t xml:space="preserve">they suggest the physical existence of a long standing route </w:t>
      </w:r>
      <w:r w:rsidR="00C904FB">
        <w:t>in this area.</w:t>
      </w:r>
      <w:r w:rsidR="00935F1E">
        <w:t xml:space="preserve"> </w:t>
      </w:r>
    </w:p>
    <w:p w14:paraId="5446015B" w14:textId="6CD329B3" w:rsidR="00206B45" w:rsidRPr="000A3033" w:rsidRDefault="00206B45" w:rsidP="00206B45">
      <w:pPr>
        <w:pStyle w:val="Style1"/>
        <w:numPr>
          <w:ilvl w:val="0"/>
          <w:numId w:val="0"/>
        </w:numPr>
        <w:rPr>
          <w:i/>
          <w:iCs/>
        </w:rPr>
      </w:pPr>
      <w:r w:rsidRPr="000A3033">
        <w:rPr>
          <w:i/>
          <w:iCs/>
        </w:rPr>
        <w:t>Bart</w:t>
      </w:r>
      <w:r w:rsidR="000A3033" w:rsidRPr="000A3033">
        <w:rPr>
          <w:i/>
          <w:iCs/>
        </w:rPr>
        <w:t>holomew’s Map</w:t>
      </w:r>
    </w:p>
    <w:p w14:paraId="6D0346F9" w14:textId="5B1BABFA" w:rsidR="00202C39" w:rsidRPr="00C35565" w:rsidRDefault="00202C39" w:rsidP="00834C3B">
      <w:pPr>
        <w:pStyle w:val="Style1"/>
        <w:rPr>
          <w:color w:val="auto"/>
        </w:rPr>
      </w:pPr>
      <w:r w:rsidRPr="00C35565">
        <w:rPr>
          <w:color w:val="auto"/>
        </w:rPr>
        <w:t xml:space="preserve">The Bartholomew’s Map of 1903 like the Bryant’s Map above, was produced for use by the public and shows the </w:t>
      </w:r>
      <w:r w:rsidR="00F5212F" w:rsidRPr="00C35565">
        <w:rPr>
          <w:color w:val="auto"/>
        </w:rPr>
        <w:t>Application Route</w:t>
      </w:r>
      <w:r w:rsidRPr="00C35565">
        <w:rPr>
          <w:color w:val="auto"/>
        </w:rPr>
        <w:t xml:space="preserve"> as </w:t>
      </w:r>
      <w:r w:rsidR="00F5212F" w:rsidRPr="00C35565">
        <w:rPr>
          <w:color w:val="auto"/>
        </w:rPr>
        <w:t>being part of a continuous</w:t>
      </w:r>
      <w:r w:rsidR="00293E5D" w:rsidRPr="00C35565">
        <w:rPr>
          <w:color w:val="auto"/>
        </w:rPr>
        <w:t>, uncoloured,</w:t>
      </w:r>
      <w:r w:rsidR="00F5212F" w:rsidRPr="00C35565">
        <w:rPr>
          <w:color w:val="auto"/>
        </w:rPr>
        <w:t xml:space="preserve"> road running between what is now known as RB9 and Neatishead Restricted Byway No.4</w:t>
      </w:r>
      <w:r w:rsidR="001F5EE8" w:rsidRPr="00C35565">
        <w:rPr>
          <w:color w:val="auto"/>
        </w:rPr>
        <w:t xml:space="preserve"> (RB4)</w:t>
      </w:r>
      <w:r w:rsidR="00F5212F" w:rsidRPr="00C35565">
        <w:rPr>
          <w:color w:val="auto"/>
        </w:rPr>
        <w:t xml:space="preserve">. </w:t>
      </w:r>
      <w:r w:rsidR="00EF6929" w:rsidRPr="00C35565">
        <w:rPr>
          <w:color w:val="auto"/>
        </w:rPr>
        <w:t xml:space="preserve">The </w:t>
      </w:r>
      <w:r w:rsidR="00596AB4" w:rsidRPr="00C35565">
        <w:rPr>
          <w:color w:val="auto"/>
        </w:rPr>
        <w:t xml:space="preserve">continuous road between RB9 and RB4 is described within the key </w:t>
      </w:r>
      <w:r w:rsidR="00715AE9" w:rsidRPr="00C35565">
        <w:rPr>
          <w:color w:val="auto"/>
        </w:rPr>
        <w:t>as “inferior and not recommended to cyclists”.</w:t>
      </w:r>
      <w:r w:rsidR="00154111" w:rsidRPr="00C35565">
        <w:rPr>
          <w:color w:val="auto"/>
        </w:rPr>
        <w:t xml:space="preserve"> </w:t>
      </w:r>
    </w:p>
    <w:p w14:paraId="378B6F13" w14:textId="77777777" w:rsidR="002F3B8F" w:rsidRPr="00C35565" w:rsidRDefault="00953635" w:rsidP="00834C3B">
      <w:pPr>
        <w:pStyle w:val="Style1"/>
        <w:rPr>
          <w:color w:val="auto"/>
        </w:rPr>
      </w:pPr>
      <w:r w:rsidRPr="00C35565">
        <w:rPr>
          <w:color w:val="auto"/>
        </w:rPr>
        <w:t xml:space="preserve">It is noted that </w:t>
      </w:r>
      <w:r w:rsidR="00CC6A89" w:rsidRPr="00C35565">
        <w:rPr>
          <w:color w:val="auto"/>
        </w:rPr>
        <w:t xml:space="preserve">the </w:t>
      </w:r>
      <w:r w:rsidR="006A5309" w:rsidRPr="00C35565">
        <w:rPr>
          <w:color w:val="auto"/>
        </w:rPr>
        <w:t xml:space="preserve">details provided on the </w:t>
      </w:r>
      <w:r w:rsidR="00CC6A89" w:rsidRPr="00C35565">
        <w:rPr>
          <w:color w:val="auto"/>
        </w:rPr>
        <w:t>submitted copy of Bartholomew’s map</w:t>
      </w:r>
      <w:r w:rsidR="006A5309" w:rsidRPr="00C35565">
        <w:rPr>
          <w:color w:val="auto"/>
        </w:rPr>
        <w:t xml:space="preserve"> differs significantly from </w:t>
      </w:r>
      <w:r w:rsidR="00DC0E2F" w:rsidRPr="00C35565">
        <w:rPr>
          <w:color w:val="auto"/>
        </w:rPr>
        <w:t xml:space="preserve">those provided on the OS maps described above, where the track east of the abovementioned cluster of buildings is depicted as being a footpath, rather than being </w:t>
      </w:r>
      <w:r w:rsidR="00AE4D9F" w:rsidRPr="00C35565">
        <w:rPr>
          <w:color w:val="auto"/>
        </w:rPr>
        <w:t xml:space="preserve">part of </w:t>
      </w:r>
      <w:r w:rsidR="00DC0E2F" w:rsidRPr="00C35565">
        <w:rPr>
          <w:color w:val="auto"/>
        </w:rPr>
        <w:t>a continuous road</w:t>
      </w:r>
      <w:r w:rsidR="00AE4D9F" w:rsidRPr="00C35565">
        <w:rPr>
          <w:color w:val="auto"/>
        </w:rPr>
        <w:t xml:space="preserve"> between RB9 and RB4.</w:t>
      </w:r>
      <w:r w:rsidR="0054267A" w:rsidRPr="00C35565">
        <w:rPr>
          <w:color w:val="auto"/>
        </w:rPr>
        <w:t xml:space="preserve"> </w:t>
      </w:r>
      <w:r w:rsidR="00EA13ED" w:rsidRPr="00C35565">
        <w:rPr>
          <w:color w:val="auto"/>
        </w:rPr>
        <w:t xml:space="preserve">This brings into some doubt as to the </w:t>
      </w:r>
      <w:r w:rsidR="00585421" w:rsidRPr="00C35565">
        <w:rPr>
          <w:color w:val="auto"/>
        </w:rPr>
        <w:t xml:space="preserve">accuracy of the Bartholomew’s map in describing the </w:t>
      </w:r>
      <w:r w:rsidR="0091467C" w:rsidRPr="00C35565">
        <w:rPr>
          <w:color w:val="auto"/>
        </w:rPr>
        <w:t>status of the Application Route</w:t>
      </w:r>
      <w:r w:rsidR="002F3B8F" w:rsidRPr="00C35565">
        <w:rPr>
          <w:color w:val="auto"/>
        </w:rPr>
        <w:t xml:space="preserve">. </w:t>
      </w:r>
    </w:p>
    <w:p w14:paraId="4AA7BCC3" w14:textId="49A46DF9" w:rsidR="00A10716" w:rsidRPr="00C35565" w:rsidRDefault="0052545A" w:rsidP="00834C3B">
      <w:pPr>
        <w:pStyle w:val="Style1"/>
        <w:rPr>
          <w:color w:val="auto"/>
        </w:rPr>
      </w:pPr>
      <w:r w:rsidRPr="00C35565">
        <w:rPr>
          <w:color w:val="auto"/>
        </w:rPr>
        <w:t xml:space="preserve">Bartholomew’s maps (1901 and </w:t>
      </w:r>
      <w:r w:rsidR="001E28F3" w:rsidRPr="00C35565">
        <w:rPr>
          <w:color w:val="auto"/>
        </w:rPr>
        <w:t xml:space="preserve">1911 editions) were considered in Commission for New Towns v J J </w:t>
      </w:r>
      <w:r w:rsidR="00C64E30" w:rsidRPr="00C35565">
        <w:rPr>
          <w:color w:val="auto"/>
        </w:rPr>
        <w:t>Gallagher Ltd</w:t>
      </w:r>
      <w:r w:rsidR="00A947D5" w:rsidRPr="00C35565">
        <w:rPr>
          <w:rStyle w:val="FootnoteReference"/>
          <w:color w:val="auto"/>
        </w:rPr>
        <w:footnoteReference w:id="2"/>
      </w:r>
      <w:r w:rsidR="000A012F" w:rsidRPr="00C35565">
        <w:rPr>
          <w:color w:val="auto"/>
        </w:rPr>
        <w:t xml:space="preserve">. </w:t>
      </w:r>
      <w:r w:rsidR="00DE1F70" w:rsidRPr="00C35565">
        <w:rPr>
          <w:color w:val="auto"/>
        </w:rPr>
        <w:t xml:space="preserve">The Court </w:t>
      </w:r>
      <w:r w:rsidR="0004358C" w:rsidRPr="00C35565">
        <w:rPr>
          <w:color w:val="auto"/>
        </w:rPr>
        <w:t>observed that the implication of an uncol</w:t>
      </w:r>
      <w:r w:rsidR="00513F8D" w:rsidRPr="00C35565">
        <w:rPr>
          <w:color w:val="auto"/>
        </w:rPr>
        <w:t xml:space="preserve">oured inferior road on these maps would be that they are  </w:t>
      </w:r>
      <w:r w:rsidR="001F6680" w:rsidRPr="00C35565">
        <w:rPr>
          <w:color w:val="auto"/>
        </w:rPr>
        <w:t>public carriageways</w:t>
      </w:r>
      <w:r w:rsidR="00AB3D3B" w:rsidRPr="00C35565">
        <w:rPr>
          <w:color w:val="auto"/>
        </w:rPr>
        <w:t>. However, the Court also noted t</w:t>
      </w:r>
      <w:r w:rsidR="00EA6A2D" w:rsidRPr="00C35565">
        <w:rPr>
          <w:color w:val="auto"/>
        </w:rPr>
        <w:t xml:space="preserve">he disclaimer, which the parties to this appeal </w:t>
      </w:r>
      <w:r w:rsidR="00B02D41" w:rsidRPr="00C35565">
        <w:rPr>
          <w:color w:val="auto"/>
        </w:rPr>
        <w:t xml:space="preserve">also </w:t>
      </w:r>
      <w:r w:rsidR="00670A2A" w:rsidRPr="00C35565">
        <w:rPr>
          <w:color w:val="auto"/>
        </w:rPr>
        <w:t xml:space="preserve">agree </w:t>
      </w:r>
      <w:r w:rsidR="00B02D41" w:rsidRPr="00C35565">
        <w:rPr>
          <w:color w:val="auto"/>
        </w:rPr>
        <w:t xml:space="preserve">apply to the submitted copy of </w:t>
      </w:r>
      <w:r w:rsidR="00040A83">
        <w:rPr>
          <w:color w:val="auto"/>
        </w:rPr>
        <w:t>the</w:t>
      </w:r>
      <w:r w:rsidR="00B02D41" w:rsidRPr="00C35565">
        <w:rPr>
          <w:color w:val="auto"/>
        </w:rPr>
        <w:t xml:space="preserve"> map, </w:t>
      </w:r>
      <w:r w:rsidR="00231CD8" w:rsidRPr="00C35565">
        <w:rPr>
          <w:color w:val="auto"/>
        </w:rPr>
        <w:t xml:space="preserve">and </w:t>
      </w:r>
      <w:r w:rsidR="00DF5FFA" w:rsidRPr="00C35565">
        <w:rPr>
          <w:color w:val="auto"/>
        </w:rPr>
        <w:t>which provides that “the representation of a road or footpath is no evidence of the existence of a right of way”</w:t>
      </w:r>
      <w:r w:rsidR="00231CD8" w:rsidRPr="00C35565">
        <w:rPr>
          <w:color w:val="auto"/>
        </w:rPr>
        <w:t xml:space="preserve">. The Court concluded that </w:t>
      </w:r>
      <w:r w:rsidR="00055407" w:rsidRPr="00C35565">
        <w:rPr>
          <w:color w:val="auto"/>
        </w:rPr>
        <w:t>the disclaimer underlines the fact that one cannot place much weight on Bartholomew’s maps</w:t>
      </w:r>
      <w:r w:rsidR="0007448E" w:rsidRPr="00C35565">
        <w:rPr>
          <w:color w:val="auto"/>
        </w:rPr>
        <w:t xml:space="preserve">, or indeed any map </w:t>
      </w:r>
      <w:r w:rsidR="000E2C18" w:rsidRPr="00C35565">
        <w:rPr>
          <w:color w:val="auto"/>
        </w:rPr>
        <w:t>which does not have the positive function of identifying public carriageways</w:t>
      </w:r>
      <w:r w:rsidR="00A10716" w:rsidRPr="00C35565">
        <w:rPr>
          <w:color w:val="auto"/>
        </w:rPr>
        <w:t xml:space="preserve">. </w:t>
      </w:r>
    </w:p>
    <w:p w14:paraId="62D86397" w14:textId="72F5068A" w:rsidR="00154111" w:rsidRPr="00C35565" w:rsidRDefault="003D5DC8" w:rsidP="00834C3B">
      <w:pPr>
        <w:pStyle w:val="Style1"/>
        <w:rPr>
          <w:color w:val="auto"/>
        </w:rPr>
      </w:pPr>
      <w:r>
        <w:rPr>
          <w:color w:val="auto"/>
        </w:rPr>
        <w:t>I</w:t>
      </w:r>
      <w:r w:rsidR="00A10716" w:rsidRPr="00C35565">
        <w:rPr>
          <w:color w:val="auto"/>
        </w:rPr>
        <w:t>n light of the above</w:t>
      </w:r>
      <w:r w:rsidR="00580310">
        <w:rPr>
          <w:color w:val="auto"/>
        </w:rPr>
        <w:t xml:space="preserve"> and given the inconsistency </w:t>
      </w:r>
      <w:r>
        <w:rPr>
          <w:color w:val="auto"/>
        </w:rPr>
        <w:t xml:space="preserve">between the </w:t>
      </w:r>
      <w:r w:rsidR="00597D0D">
        <w:rPr>
          <w:color w:val="auto"/>
        </w:rPr>
        <w:t xml:space="preserve">submitted map and the </w:t>
      </w:r>
      <w:r>
        <w:rPr>
          <w:color w:val="auto"/>
        </w:rPr>
        <w:t>OS maps produced before and after th</w:t>
      </w:r>
      <w:r w:rsidR="00597D0D">
        <w:rPr>
          <w:color w:val="auto"/>
        </w:rPr>
        <w:t>at Bartholomew’s map</w:t>
      </w:r>
      <w:r w:rsidR="00A10716" w:rsidRPr="00C35565">
        <w:rPr>
          <w:color w:val="auto"/>
        </w:rPr>
        <w:t xml:space="preserve">, whilst </w:t>
      </w:r>
      <w:r w:rsidR="004E305D" w:rsidRPr="00C35565">
        <w:rPr>
          <w:color w:val="auto"/>
        </w:rPr>
        <w:t xml:space="preserve">the details provided on </w:t>
      </w:r>
      <w:r w:rsidR="000A4231">
        <w:rPr>
          <w:color w:val="auto"/>
        </w:rPr>
        <w:t>the 1903</w:t>
      </w:r>
      <w:r w:rsidR="004E305D" w:rsidRPr="00C35565">
        <w:rPr>
          <w:color w:val="auto"/>
        </w:rPr>
        <w:t xml:space="preserve"> map should not be disregarded </w:t>
      </w:r>
      <w:r w:rsidR="00F617EB" w:rsidRPr="00C35565">
        <w:rPr>
          <w:color w:val="auto"/>
        </w:rPr>
        <w:t>entirely, I treat the information that it provides with some caution</w:t>
      </w:r>
      <w:r w:rsidR="003640E1" w:rsidRPr="00C35565">
        <w:rPr>
          <w:color w:val="auto"/>
        </w:rPr>
        <w:t xml:space="preserve">. </w:t>
      </w:r>
      <w:r w:rsidR="00DC0E2F" w:rsidRPr="00C35565">
        <w:rPr>
          <w:color w:val="auto"/>
        </w:rPr>
        <w:t xml:space="preserve"> </w:t>
      </w:r>
      <w:r w:rsidR="00CC6A89" w:rsidRPr="00C35565">
        <w:rPr>
          <w:color w:val="auto"/>
        </w:rPr>
        <w:t xml:space="preserve"> </w:t>
      </w:r>
    </w:p>
    <w:p w14:paraId="2A1166E2" w14:textId="6D076F0F" w:rsidR="008A76AA" w:rsidRPr="0051420E" w:rsidRDefault="00EC0BAF" w:rsidP="0051420E">
      <w:pPr>
        <w:pStyle w:val="Style1"/>
        <w:numPr>
          <w:ilvl w:val="0"/>
          <w:numId w:val="0"/>
        </w:numPr>
        <w:rPr>
          <w:i/>
          <w:iCs/>
        </w:rPr>
      </w:pPr>
      <w:r w:rsidRPr="0088405C">
        <w:rPr>
          <w:i/>
          <w:iCs/>
        </w:rPr>
        <w:t>Finance Act</w:t>
      </w:r>
    </w:p>
    <w:p w14:paraId="14B8E1D9" w14:textId="7578A641" w:rsidR="00BF4A4A" w:rsidRPr="00BF4A4A" w:rsidRDefault="00CD3ED3" w:rsidP="005B69B3">
      <w:pPr>
        <w:pStyle w:val="Style1"/>
        <w:rPr>
          <w:color w:val="auto"/>
        </w:rPr>
      </w:pPr>
      <w:r w:rsidRPr="00BF4A4A">
        <w:rPr>
          <w:color w:val="auto"/>
        </w:rPr>
        <w:t xml:space="preserve">The Application Route is uncoloured on the </w:t>
      </w:r>
      <w:r w:rsidR="009A48E2" w:rsidRPr="00BF4A4A">
        <w:rPr>
          <w:color w:val="auto"/>
        </w:rPr>
        <w:t xml:space="preserve">map produced in respect of the 1910 Finance </w:t>
      </w:r>
      <w:r w:rsidR="00DB004E" w:rsidRPr="00BF4A4A">
        <w:rPr>
          <w:color w:val="auto"/>
        </w:rPr>
        <w:t>Act and</w:t>
      </w:r>
      <w:r w:rsidR="00B66C0F" w:rsidRPr="00BF4A4A">
        <w:rPr>
          <w:color w:val="auto"/>
        </w:rPr>
        <w:t xml:space="preserve"> is shown as being separate from the surrounding hereditaments</w:t>
      </w:r>
      <w:r w:rsidR="00F90EAA" w:rsidRPr="00BF4A4A">
        <w:rPr>
          <w:color w:val="auto"/>
        </w:rPr>
        <w:t xml:space="preserve">. The Appellant has put it to me that </w:t>
      </w:r>
      <w:r w:rsidR="007D6892" w:rsidRPr="00BF4A4A">
        <w:rPr>
          <w:color w:val="auto"/>
        </w:rPr>
        <w:t xml:space="preserve">as no valuation of </w:t>
      </w:r>
      <w:r w:rsidR="002A6676" w:rsidRPr="00BF4A4A">
        <w:rPr>
          <w:color w:val="auto"/>
        </w:rPr>
        <w:t xml:space="preserve">this parcel was taken, it is a strong suggestion that the Application Route is </w:t>
      </w:r>
      <w:r w:rsidR="00BA1F1D" w:rsidRPr="00BF4A4A">
        <w:rPr>
          <w:color w:val="auto"/>
        </w:rPr>
        <w:t xml:space="preserve">a vehicular highway. </w:t>
      </w:r>
      <w:r w:rsidR="0040195E" w:rsidRPr="00BF4A4A">
        <w:rPr>
          <w:color w:val="auto"/>
        </w:rPr>
        <w:t xml:space="preserve">However, the Council contends that the </w:t>
      </w:r>
      <w:r w:rsidR="000474A2" w:rsidRPr="00BF4A4A">
        <w:rPr>
          <w:color w:val="auto"/>
        </w:rPr>
        <w:t>rout</w:t>
      </w:r>
      <w:r w:rsidR="003517F2" w:rsidRPr="00BF4A4A">
        <w:rPr>
          <w:color w:val="auto"/>
        </w:rPr>
        <w:t xml:space="preserve">e appears to be an occupation road providing access </w:t>
      </w:r>
      <w:r w:rsidR="00C535F4" w:rsidRPr="00BF4A4A">
        <w:rPr>
          <w:color w:val="auto"/>
        </w:rPr>
        <w:t>to the surrounding hereditaments</w:t>
      </w:r>
      <w:r w:rsidR="00BF4A4A" w:rsidRPr="00BF4A4A">
        <w:rPr>
          <w:color w:val="auto"/>
        </w:rPr>
        <w:t>, that</w:t>
      </w:r>
      <w:r w:rsidR="00D71F78" w:rsidRPr="00BF4A4A">
        <w:rPr>
          <w:color w:val="auto"/>
        </w:rPr>
        <w:t xml:space="preserve"> such occupation road</w:t>
      </w:r>
      <w:r w:rsidR="003C3B86" w:rsidRPr="00BF4A4A">
        <w:rPr>
          <w:color w:val="auto"/>
        </w:rPr>
        <w:t>s</w:t>
      </w:r>
      <w:r w:rsidR="00D71F78" w:rsidRPr="00BF4A4A">
        <w:rPr>
          <w:color w:val="auto"/>
        </w:rPr>
        <w:t xml:space="preserve"> were </w:t>
      </w:r>
      <w:r w:rsidR="003C3B86" w:rsidRPr="00BF4A4A">
        <w:rPr>
          <w:color w:val="auto"/>
        </w:rPr>
        <w:t>exempt</w:t>
      </w:r>
      <w:r w:rsidR="00BF4A4A" w:rsidRPr="00BF4A4A">
        <w:rPr>
          <w:color w:val="auto"/>
        </w:rPr>
        <w:t xml:space="preserve"> from duty under the 1910 Finance Act</w:t>
      </w:r>
      <w:r w:rsidR="00AE4B9B">
        <w:rPr>
          <w:color w:val="auto"/>
        </w:rPr>
        <w:t xml:space="preserve"> and, consequently, </w:t>
      </w:r>
      <w:r w:rsidR="001F0CB8">
        <w:rPr>
          <w:color w:val="auto"/>
        </w:rPr>
        <w:t>that route was left uncoloured on the map</w:t>
      </w:r>
      <w:r w:rsidR="00BF4A4A" w:rsidRPr="00BF4A4A">
        <w:rPr>
          <w:color w:val="auto"/>
        </w:rPr>
        <w:t>.</w:t>
      </w:r>
      <w:r w:rsidR="00493039">
        <w:rPr>
          <w:color w:val="auto"/>
        </w:rPr>
        <w:t xml:space="preserve"> </w:t>
      </w:r>
      <w:r w:rsidR="009007E4">
        <w:rPr>
          <w:color w:val="auto"/>
        </w:rPr>
        <w:t xml:space="preserve">In that regard, the absence of </w:t>
      </w:r>
      <w:r w:rsidR="00AC3B0B">
        <w:rPr>
          <w:color w:val="auto"/>
        </w:rPr>
        <w:t xml:space="preserve">an outright owner or occupier of such roads </w:t>
      </w:r>
      <w:r w:rsidR="00EA66D0">
        <w:rPr>
          <w:color w:val="auto"/>
        </w:rPr>
        <w:t xml:space="preserve">might provide an explanation as to why </w:t>
      </w:r>
      <w:r w:rsidR="00025F89">
        <w:rPr>
          <w:color w:val="auto"/>
        </w:rPr>
        <w:t>the Application Route was not included within any of the surrounding hereditaments</w:t>
      </w:r>
      <w:r w:rsidR="00CC6F21">
        <w:rPr>
          <w:color w:val="auto"/>
        </w:rPr>
        <w:t>, with</w:t>
      </w:r>
      <w:r w:rsidR="00EE52B8">
        <w:rPr>
          <w:color w:val="auto"/>
        </w:rPr>
        <w:t xml:space="preserve"> a blurring of the distinction between </w:t>
      </w:r>
      <w:r w:rsidR="00F525BF">
        <w:rPr>
          <w:color w:val="auto"/>
        </w:rPr>
        <w:t>public roads and private occupation roads</w:t>
      </w:r>
      <w:r w:rsidR="00CC6F21">
        <w:rPr>
          <w:color w:val="auto"/>
        </w:rPr>
        <w:t xml:space="preserve"> potentially</w:t>
      </w:r>
      <w:r w:rsidR="00F12044">
        <w:rPr>
          <w:color w:val="auto"/>
        </w:rPr>
        <w:t xml:space="preserve"> hav</w:t>
      </w:r>
      <w:r w:rsidR="005E6291">
        <w:rPr>
          <w:color w:val="auto"/>
        </w:rPr>
        <w:t>ing</w:t>
      </w:r>
      <w:r w:rsidR="00F12044">
        <w:rPr>
          <w:color w:val="auto"/>
        </w:rPr>
        <w:t xml:space="preserve"> occurred over time</w:t>
      </w:r>
      <w:r w:rsidR="00CC6F21">
        <w:rPr>
          <w:color w:val="auto"/>
        </w:rPr>
        <w:t>.</w:t>
      </w:r>
      <w:r w:rsidR="00F525BF">
        <w:rPr>
          <w:color w:val="auto"/>
        </w:rPr>
        <w:t xml:space="preserve"> </w:t>
      </w:r>
    </w:p>
    <w:p w14:paraId="64507578" w14:textId="4DC5E7DF" w:rsidR="00905608" w:rsidRDefault="00010EC2" w:rsidP="005B69B3">
      <w:pPr>
        <w:pStyle w:val="Style1"/>
      </w:pPr>
      <w:r w:rsidRPr="00CC6F21">
        <w:rPr>
          <w:color w:val="auto"/>
        </w:rPr>
        <w:lastRenderedPageBreak/>
        <w:t>I note that the Finance Act’s primary purpose was not the identification of highways and there may be other reasons for the exclusion of the route</w:t>
      </w:r>
      <w:r w:rsidR="00FD5879" w:rsidRPr="00CC6F21">
        <w:rPr>
          <w:color w:val="auto"/>
        </w:rPr>
        <w:t>, such as that put forward by the Council as described above</w:t>
      </w:r>
      <w:r w:rsidR="003D7E8B" w:rsidRPr="00CC6F21">
        <w:rPr>
          <w:color w:val="auto"/>
        </w:rPr>
        <w:t xml:space="preserve">, where there is some credible evidence </w:t>
      </w:r>
      <w:r w:rsidR="00E10401" w:rsidRPr="00CC6F21">
        <w:rPr>
          <w:color w:val="auto"/>
        </w:rPr>
        <w:t>that the Application Route wa</w:t>
      </w:r>
      <w:r w:rsidR="00EA2486" w:rsidRPr="00CC6F21">
        <w:rPr>
          <w:color w:val="auto"/>
        </w:rPr>
        <w:t>s an occupation road. Consequently</w:t>
      </w:r>
      <w:r w:rsidR="00672F40" w:rsidRPr="00CC6F21">
        <w:rPr>
          <w:color w:val="auto"/>
        </w:rPr>
        <w:t xml:space="preserve">, the exclusion of </w:t>
      </w:r>
      <w:r w:rsidR="00D30EB0" w:rsidRPr="00CC6F21">
        <w:rPr>
          <w:color w:val="auto"/>
        </w:rPr>
        <w:t xml:space="preserve">the Application Route from the surrounding hereditaments </w:t>
      </w:r>
      <w:r w:rsidR="003B5693" w:rsidRPr="00CC6F21">
        <w:rPr>
          <w:color w:val="auto"/>
        </w:rPr>
        <w:t>m</w:t>
      </w:r>
      <w:r w:rsidR="00030009">
        <w:rPr>
          <w:color w:val="auto"/>
        </w:rPr>
        <w:t>ean</w:t>
      </w:r>
      <w:r w:rsidR="003B5693" w:rsidRPr="00CC6F21">
        <w:rPr>
          <w:color w:val="auto"/>
        </w:rPr>
        <w:t>s that this document provides little</w:t>
      </w:r>
      <w:r w:rsidR="001A7280" w:rsidRPr="00CC6F21">
        <w:rPr>
          <w:color w:val="auto"/>
        </w:rPr>
        <w:t xml:space="preserve">, if any, support </w:t>
      </w:r>
      <w:r w:rsidR="00D32788" w:rsidRPr="00CC6F21">
        <w:rPr>
          <w:color w:val="auto"/>
        </w:rPr>
        <w:t>for the Application Route being a public vehic</w:t>
      </w:r>
      <w:r w:rsidR="00AE1427" w:rsidRPr="00CC6F21">
        <w:rPr>
          <w:color w:val="auto"/>
        </w:rPr>
        <w:t xml:space="preserve">ular route. </w:t>
      </w:r>
      <w:r w:rsidR="00FD5879" w:rsidRPr="00CC6F21">
        <w:rPr>
          <w:color w:val="auto"/>
        </w:rPr>
        <w:t xml:space="preserve"> </w:t>
      </w:r>
    </w:p>
    <w:p w14:paraId="34CD7C23" w14:textId="7F30AB01" w:rsidR="004A45C9" w:rsidRPr="0088405C" w:rsidRDefault="00EC0BAF" w:rsidP="00EC0BAF">
      <w:pPr>
        <w:pStyle w:val="Style1"/>
        <w:numPr>
          <w:ilvl w:val="0"/>
          <w:numId w:val="0"/>
        </w:numPr>
        <w:rPr>
          <w:i/>
          <w:iCs/>
        </w:rPr>
      </w:pPr>
      <w:r w:rsidRPr="0088405C">
        <w:rPr>
          <w:i/>
          <w:iCs/>
        </w:rPr>
        <w:t>Ministry of Food</w:t>
      </w:r>
      <w:r w:rsidR="00BD7C98">
        <w:rPr>
          <w:i/>
          <w:iCs/>
        </w:rPr>
        <w:t xml:space="preserve"> </w:t>
      </w:r>
      <w:r w:rsidR="00872CC7">
        <w:rPr>
          <w:i/>
          <w:iCs/>
        </w:rPr>
        <w:t>National Farm Survey</w:t>
      </w:r>
    </w:p>
    <w:p w14:paraId="34E3290C" w14:textId="08FD232C" w:rsidR="004A45C9" w:rsidRDefault="004E775F" w:rsidP="00E076EF">
      <w:pPr>
        <w:pStyle w:val="Style1"/>
      </w:pPr>
      <w:r>
        <w:t xml:space="preserve">The </w:t>
      </w:r>
      <w:r w:rsidR="00FF1EAF">
        <w:t xml:space="preserve">submitted survey map </w:t>
      </w:r>
      <w:r w:rsidR="009A2F93">
        <w:t xml:space="preserve">shows the </w:t>
      </w:r>
      <w:r>
        <w:t xml:space="preserve">Application Route </w:t>
      </w:r>
      <w:r w:rsidR="009A2F93">
        <w:t>being</w:t>
      </w:r>
      <w:r>
        <w:t xml:space="preserve"> excluded </w:t>
      </w:r>
      <w:r w:rsidR="00977297">
        <w:t>from the surrounding agricultural holdings</w:t>
      </w:r>
      <w:r w:rsidR="00B002EA">
        <w:t xml:space="preserve">. The Appellant maintains that that exclusion </w:t>
      </w:r>
      <w:r w:rsidR="005D2D41">
        <w:t xml:space="preserve">is supporting evidence </w:t>
      </w:r>
      <w:r w:rsidR="00B601D0">
        <w:t>of</w:t>
      </w:r>
      <w:r w:rsidR="005D2D41">
        <w:t xml:space="preserve"> the Application Route </w:t>
      </w:r>
      <w:r w:rsidR="00B601D0">
        <w:t>being</w:t>
      </w:r>
      <w:r w:rsidR="00A00258">
        <w:t xml:space="preserve"> a vehicular route.</w:t>
      </w:r>
      <w:r w:rsidR="00977297">
        <w:t xml:space="preserve"> </w:t>
      </w:r>
      <w:r w:rsidR="00D660C2">
        <w:t>However</w:t>
      </w:r>
      <w:r w:rsidR="001A41F7">
        <w:t xml:space="preserve">, the primary purpose of the survey </w:t>
      </w:r>
      <w:r w:rsidR="0011047F">
        <w:t xml:space="preserve">was not to </w:t>
      </w:r>
      <w:r w:rsidR="003D3592">
        <w:t>record pub</w:t>
      </w:r>
      <w:r w:rsidR="004A1840">
        <w:t>l</w:t>
      </w:r>
      <w:r w:rsidR="003D3592">
        <w:t xml:space="preserve">ic rights of way and, consequently, the weight to be given to this evidence </w:t>
      </w:r>
      <w:r w:rsidR="00E076EF">
        <w:t>is very limited.</w:t>
      </w:r>
    </w:p>
    <w:p w14:paraId="18BC1BD5" w14:textId="506C9EDA" w:rsidR="004A45C9" w:rsidRPr="0065465F" w:rsidRDefault="00EC0BAF" w:rsidP="0065465F">
      <w:pPr>
        <w:pStyle w:val="Style1"/>
        <w:numPr>
          <w:ilvl w:val="0"/>
          <w:numId w:val="0"/>
        </w:numPr>
        <w:rPr>
          <w:i/>
          <w:iCs/>
        </w:rPr>
      </w:pPr>
      <w:r w:rsidRPr="0088405C">
        <w:rPr>
          <w:i/>
          <w:iCs/>
        </w:rPr>
        <w:t>The DMS</w:t>
      </w:r>
    </w:p>
    <w:p w14:paraId="2113754C" w14:textId="77777777" w:rsidR="002136AB" w:rsidRDefault="004C6AF7" w:rsidP="002136AB">
      <w:pPr>
        <w:pStyle w:val="Style1"/>
      </w:pPr>
      <w:r>
        <w:t xml:space="preserve">The Definitive Map shows </w:t>
      </w:r>
      <w:r w:rsidR="00692DA2">
        <w:t>FP6</w:t>
      </w:r>
      <w:r w:rsidR="00493FE2">
        <w:t xml:space="preserve"> connects </w:t>
      </w:r>
      <w:r w:rsidR="000E5106">
        <w:t xml:space="preserve">with RB4 and </w:t>
      </w:r>
      <w:r w:rsidR="00664934">
        <w:t>that FP6</w:t>
      </w:r>
      <w:r w:rsidR="000E5106">
        <w:t xml:space="preserve"> </w:t>
      </w:r>
      <w:r w:rsidR="0044579B">
        <w:t xml:space="preserve">comes to an end </w:t>
      </w:r>
      <w:r w:rsidR="00E21FFC">
        <w:t xml:space="preserve">at the Application Route, </w:t>
      </w:r>
      <w:r w:rsidR="0044579B">
        <w:t>west of the cluster of buildings</w:t>
      </w:r>
      <w:r w:rsidR="00905BD0">
        <w:t xml:space="preserve"> described above</w:t>
      </w:r>
      <w:r w:rsidR="00D63AAD">
        <w:t>.</w:t>
      </w:r>
      <w:r w:rsidR="00905BD0">
        <w:t xml:space="preserve"> </w:t>
      </w:r>
      <w:r w:rsidR="004E0D05">
        <w:t xml:space="preserve">The Definitive Statement for FP6 </w:t>
      </w:r>
      <w:r w:rsidR="00427C6F">
        <w:t xml:space="preserve">records the path </w:t>
      </w:r>
      <w:r w:rsidR="00BE6358">
        <w:t>as starting from RB4 running westwards towards the cottages</w:t>
      </w:r>
      <w:r w:rsidR="00BE32D7">
        <w:t xml:space="preserve">, which I have described above as the small cluster of buildings. </w:t>
      </w:r>
      <w:r w:rsidR="003D24AD">
        <w:t xml:space="preserve">Whilst the Application Route is shown on the </w:t>
      </w:r>
      <w:r w:rsidR="00207279">
        <w:t>Definitive Map,</w:t>
      </w:r>
      <w:r w:rsidR="00317090">
        <w:t xml:space="preserve"> no public rights of way are recorded over the Application Route.</w:t>
      </w:r>
      <w:r w:rsidR="00F37125">
        <w:t xml:space="preserve"> </w:t>
      </w:r>
    </w:p>
    <w:p w14:paraId="2F89752B" w14:textId="653ACB15" w:rsidR="00317090" w:rsidRDefault="001E7954" w:rsidP="002136AB">
      <w:pPr>
        <w:pStyle w:val="Style1"/>
      </w:pPr>
      <w:r>
        <w:t xml:space="preserve">It is maintained </w:t>
      </w:r>
      <w:r w:rsidR="00BC12AC">
        <w:t xml:space="preserve">by the Appellant </w:t>
      </w:r>
      <w:r>
        <w:t>that the Definitive Statement, which states FP6 ends at the cottages, cannot be relied upon as there are other examples within the area where similar descriptions have been used and which end on highways rather than at identified buildings</w:t>
      </w:r>
      <w:r w:rsidR="005A4F73">
        <w:t>. T</w:t>
      </w:r>
      <w:r w:rsidR="00F37125">
        <w:t xml:space="preserve">he Appellant </w:t>
      </w:r>
      <w:r w:rsidR="0074638F">
        <w:t xml:space="preserve">also </w:t>
      </w:r>
      <w:r w:rsidR="00BC12AC">
        <w:t>contends</w:t>
      </w:r>
      <w:r w:rsidR="00F37125">
        <w:t xml:space="preserve"> that the </w:t>
      </w:r>
      <w:r w:rsidR="006B1E98">
        <w:t xml:space="preserve">Application Route was not added to the DMS at the same time as </w:t>
      </w:r>
      <w:r w:rsidR="00E66AA1">
        <w:t xml:space="preserve">FP6 </w:t>
      </w:r>
      <w:r w:rsidR="000A4DD9">
        <w:t xml:space="preserve">by reason of the higher status that </w:t>
      </w:r>
      <w:r w:rsidR="00702656">
        <w:t>existed for the Application Route</w:t>
      </w:r>
      <w:r w:rsidR="00027AB7">
        <w:t>.</w:t>
      </w:r>
    </w:p>
    <w:p w14:paraId="164923ED" w14:textId="77777777" w:rsidR="001261F8" w:rsidRDefault="00CC5E2D" w:rsidP="00CB42F4">
      <w:pPr>
        <w:pStyle w:val="Style1"/>
      </w:pPr>
      <w:r>
        <w:t xml:space="preserve">The Council </w:t>
      </w:r>
      <w:r w:rsidR="00C34311">
        <w:t xml:space="preserve">has put it to me that at the time the </w:t>
      </w:r>
      <w:r w:rsidR="007F32D9">
        <w:t>DMS was compiled</w:t>
      </w:r>
      <w:r w:rsidR="005D53F6">
        <w:t>,</w:t>
      </w:r>
      <w:r w:rsidR="007F32D9">
        <w:t xml:space="preserve"> FP6 </w:t>
      </w:r>
      <w:r w:rsidR="005D53F6">
        <w:t xml:space="preserve">was considered to be a public right of way of a status </w:t>
      </w:r>
      <w:r w:rsidR="00A07873">
        <w:t xml:space="preserve">lower than that of a vehicular highway. This would appear consistent with other </w:t>
      </w:r>
      <w:r w:rsidR="002D6501">
        <w:t>information supplied in support of this appeal</w:t>
      </w:r>
      <w:r w:rsidR="002D71B4">
        <w:t>,</w:t>
      </w:r>
      <w:r w:rsidR="002D6501">
        <w:t xml:space="preserve"> where a variety of documents</w:t>
      </w:r>
      <w:r w:rsidR="002D71B4">
        <w:t xml:space="preserve">, as </w:t>
      </w:r>
      <w:r w:rsidR="002D6501">
        <w:t>described above</w:t>
      </w:r>
      <w:r w:rsidR="002D71B4">
        <w:t>,</w:t>
      </w:r>
      <w:r w:rsidR="002D6501">
        <w:t xml:space="preserve"> indicate a route along the alignment of FP6 </w:t>
      </w:r>
      <w:r w:rsidR="002D71B4">
        <w:t>as being a footpath</w:t>
      </w:r>
      <w:r w:rsidR="00D937A1">
        <w:t xml:space="preserve">. </w:t>
      </w:r>
      <w:r w:rsidR="002A2D57">
        <w:t xml:space="preserve">The Council therefore maintains that </w:t>
      </w:r>
      <w:r w:rsidR="00F81B55">
        <w:t xml:space="preserve">the Application Route would have been unlikely to </w:t>
      </w:r>
      <w:r w:rsidR="005559F6">
        <w:t xml:space="preserve">have public vehicular rights </w:t>
      </w:r>
      <w:r w:rsidR="00E53846">
        <w:t xml:space="preserve">given that it would be connected to a lower status route, FP6, </w:t>
      </w:r>
      <w:r w:rsidR="00A423C0">
        <w:t xml:space="preserve">creating a dead end </w:t>
      </w:r>
      <w:r w:rsidR="00845FA2">
        <w:t>or cul</w:t>
      </w:r>
      <w:r w:rsidR="001261F8">
        <w:t>-</w:t>
      </w:r>
      <w:r w:rsidR="00845FA2">
        <w:t>de</w:t>
      </w:r>
      <w:r w:rsidR="001261F8">
        <w:t>-</w:t>
      </w:r>
      <w:r w:rsidR="00845FA2">
        <w:t xml:space="preserve">sac for </w:t>
      </w:r>
      <w:r w:rsidR="001261F8">
        <w:t xml:space="preserve">public vehicular rights. </w:t>
      </w:r>
    </w:p>
    <w:p w14:paraId="07EDCB82" w14:textId="77777777" w:rsidR="00C21D84" w:rsidRDefault="0024169E" w:rsidP="00CB42F4">
      <w:pPr>
        <w:pStyle w:val="Style1"/>
      </w:pPr>
      <w:r>
        <w:t>In that regard, t</w:t>
      </w:r>
      <w:r w:rsidR="001261F8">
        <w:t>he Council and</w:t>
      </w:r>
      <w:r>
        <w:t xml:space="preserve"> the Appellant have referred me to the similarities </w:t>
      </w:r>
      <w:r w:rsidR="00EB4BE6">
        <w:t xml:space="preserve">in how a further </w:t>
      </w:r>
      <w:r w:rsidR="00FF0761">
        <w:t>footpath, Neatishead Footpath No.7 (FP7)</w:t>
      </w:r>
      <w:r w:rsidR="0016479F">
        <w:t>, located to the south of FP6, was recorded on the DMS</w:t>
      </w:r>
      <w:r w:rsidR="00FF0761">
        <w:t>.</w:t>
      </w:r>
      <w:r w:rsidR="0016479F">
        <w:t xml:space="preserve"> </w:t>
      </w:r>
    </w:p>
    <w:p w14:paraId="6029E647" w14:textId="12A0FCBC" w:rsidR="0088405C" w:rsidRPr="00CB42F4" w:rsidRDefault="00447D26" w:rsidP="00C66701">
      <w:pPr>
        <w:pStyle w:val="Style1"/>
      </w:pPr>
      <w:r>
        <w:t xml:space="preserve">Both FP6 and FP7 </w:t>
      </w:r>
      <w:r w:rsidR="00530A2B">
        <w:t xml:space="preserve">are recorded on the DMS </w:t>
      </w:r>
      <w:r w:rsidR="0062277F">
        <w:t>as starting at RB</w:t>
      </w:r>
      <w:r w:rsidR="00401EDC">
        <w:t xml:space="preserve">4 and which runs </w:t>
      </w:r>
      <w:r w:rsidR="003F25F1">
        <w:t xml:space="preserve">westwards to cottages, with no public rights of way continuing </w:t>
      </w:r>
      <w:r w:rsidR="00A6442B">
        <w:t xml:space="preserve">westward of those cottages. </w:t>
      </w:r>
      <w:r w:rsidR="007A437D">
        <w:t xml:space="preserve">Where these routes differ </w:t>
      </w:r>
      <w:r w:rsidR="00E73860">
        <w:t xml:space="preserve">is that FP7 </w:t>
      </w:r>
      <w:r w:rsidR="00C709A4">
        <w:t xml:space="preserve">was not shown on the Tithe map, discussed above, </w:t>
      </w:r>
      <w:r w:rsidR="005C6663">
        <w:t xml:space="preserve">but appears to have been included within a land holding of </w:t>
      </w:r>
      <w:r w:rsidR="00861E30">
        <w:t xml:space="preserve">the surrounding property as shown on the Finance Act 1910 map </w:t>
      </w:r>
      <w:r w:rsidR="00DC1C0E">
        <w:t>and on the Ministry of Food National Farm Survey</w:t>
      </w:r>
      <w:r w:rsidR="00F5175A">
        <w:t xml:space="preserve">. </w:t>
      </w:r>
      <w:r w:rsidR="00D93ABB">
        <w:t xml:space="preserve">As such, there </w:t>
      </w:r>
      <w:r w:rsidR="009E227A">
        <w:t xml:space="preserve">does not appear to be any evidence of </w:t>
      </w:r>
      <w:r w:rsidR="00C66701">
        <w:t xml:space="preserve">FP7 connecting with RB9 and </w:t>
      </w:r>
      <w:r w:rsidR="00D47C99">
        <w:t xml:space="preserve">this supports the contention that </w:t>
      </w:r>
      <w:r w:rsidR="00A43C98">
        <w:t>the Application Route</w:t>
      </w:r>
      <w:r w:rsidR="008525D6">
        <w:t xml:space="preserve"> did not necessarily connect </w:t>
      </w:r>
      <w:r w:rsidR="00A43C98">
        <w:t xml:space="preserve">FP6 </w:t>
      </w:r>
      <w:r w:rsidR="008525D6">
        <w:t>with RB9</w:t>
      </w:r>
      <w:r w:rsidR="00A43C98">
        <w:t xml:space="preserve">. </w:t>
      </w:r>
      <w:r w:rsidR="008525D6">
        <w:t xml:space="preserve"> </w:t>
      </w:r>
      <w:r w:rsidR="0042785E">
        <w:br/>
      </w:r>
    </w:p>
    <w:p w14:paraId="0BA9E317" w14:textId="5BE56111" w:rsidR="0093107B" w:rsidRPr="00EB427B" w:rsidRDefault="008A008B" w:rsidP="008A008B">
      <w:pPr>
        <w:pStyle w:val="Style1"/>
        <w:numPr>
          <w:ilvl w:val="0"/>
          <w:numId w:val="0"/>
        </w:numPr>
        <w:rPr>
          <w:b/>
          <w:bCs/>
        </w:rPr>
      </w:pPr>
      <w:r w:rsidRPr="00EB427B">
        <w:rPr>
          <w:b/>
          <w:bCs/>
        </w:rPr>
        <w:lastRenderedPageBreak/>
        <w:t>Other Matters</w:t>
      </w:r>
    </w:p>
    <w:p w14:paraId="5D395BF0" w14:textId="746058B9" w:rsidR="008A008B" w:rsidRPr="00834C3B" w:rsidRDefault="00C960F2" w:rsidP="000D1AE3">
      <w:pPr>
        <w:pStyle w:val="Style1"/>
      </w:pPr>
      <w:r>
        <w:t xml:space="preserve">Objections have been raised by </w:t>
      </w:r>
      <w:r w:rsidR="00704EAA">
        <w:t xml:space="preserve">the owners of the land over which the </w:t>
      </w:r>
      <w:r w:rsidR="00FD7FAD">
        <w:t xml:space="preserve">Application Route runs. The matters raised by the landowners </w:t>
      </w:r>
      <w:r w:rsidR="007E1D1C">
        <w:t xml:space="preserve">include </w:t>
      </w:r>
      <w:r w:rsidR="00157C93">
        <w:t xml:space="preserve">the effect of the Application Route being </w:t>
      </w:r>
      <w:r w:rsidR="00181AF4">
        <w:t>made as a Restricted Byway on their, and their neighbours, living conditions with regards to privacy</w:t>
      </w:r>
      <w:r w:rsidR="00FD7D4C">
        <w:t xml:space="preserve"> and security. </w:t>
      </w:r>
      <w:r w:rsidR="00A11E2D">
        <w:t xml:space="preserve">Whilst </w:t>
      </w:r>
      <w:r w:rsidR="00FD7D4C">
        <w:t>I have carefully considered the landowners’ submissions</w:t>
      </w:r>
      <w:r w:rsidR="00A11E2D">
        <w:t>, those matters fall outside the criteria set out in the relevant legislation</w:t>
      </w:r>
      <w:r w:rsidR="00993A9E">
        <w:t xml:space="preserve"> with regards to the potential addition </w:t>
      </w:r>
      <w:r w:rsidR="000D1AE3">
        <w:t xml:space="preserve">of a right of way to the DMS. </w:t>
      </w:r>
    </w:p>
    <w:p w14:paraId="541A65F9" w14:textId="06D1F4AA" w:rsidR="00355FCC" w:rsidRDefault="00801791" w:rsidP="00801791">
      <w:pPr>
        <w:pStyle w:val="Heading6blackfont"/>
      </w:pPr>
      <w:r>
        <w:t>Conclusion</w:t>
      </w:r>
    </w:p>
    <w:p w14:paraId="29ECFE12" w14:textId="245E45BE" w:rsidR="000D1AE3" w:rsidRDefault="00BF1E04" w:rsidP="00862037">
      <w:pPr>
        <w:pStyle w:val="Style1"/>
      </w:pPr>
      <w:r>
        <w:t>Having assessed the submitted evidence in</w:t>
      </w:r>
      <w:r w:rsidR="00030009">
        <w:t xml:space="preserve"> </w:t>
      </w:r>
      <w:r>
        <w:t xml:space="preserve">its entirety and in the round, I conclude that the evidence falls short of the standard of proof required to show that, on a balance of probability, a </w:t>
      </w:r>
      <w:r w:rsidR="004C6B80">
        <w:t>Restricted Byway</w:t>
      </w:r>
      <w:r>
        <w:t xml:space="preserve"> subsists along the</w:t>
      </w:r>
      <w:r w:rsidR="004C6B80">
        <w:t xml:space="preserve"> Application Route</w:t>
      </w:r>
      <w:r>
        <w:t xml:space="preserve">. </w:t>
      </w:r>
      <w:r w:rsidR="00A23C80">
        <w:t xml:space="preserve">Furthermore, </w:t>
      </w:r>
      <w:r w:rsidR="004A4F1F">
        <w:t xml:space="preserve">and for the reasons given above, </w:t>
      </w:r>
      <w:r w:rsidR="000F2F8B">
        <w:t>I conclude that the</w:t>
      </w:r>
      <w:r w:rsidR="001D252C">
        <w:t xml:space="preserve">re is insufficient evidence </w:t>
      </w:r>
      <w:r w:rsidR="00925991">
        <w:t>for the purposes of Test B</w:t>
      </w:r>
      <w:r w:rsidR="00564864">
        <w:t xml:space="preserve">, </w:t>
      </w:r>
      <w:r w:rsidR="00030009">
        <w:t>outlined</w:t>
      </w:r>
      <w:r w:rsidR="00564864">
        <w:t xml:space="preserve"> above, that it could reasonably be alleged that the Application Route </w:t>
      </w:r>
      <w:r w:rsidR="00862037">
        <w:t>was used by the public for highway purposes.</w:t>
      </w:r>
    </w:p>
    <w:p w14:paraId="0C25AAE2" w14:textId="4FA63E9F" w:rsidR="00A37854" w:rsidRDefault="00570483" w:rsidP="00862037">
      <w:pPr>
        <w:pStyle w:val="Style1"/>
      </w:pPr>
      <w:r>
        <w:t>Accordi</w:t>
      </w:r>
      <w:r w:rsidR="00C04BBA">
        <w:t>n</w:t>
      </w:r>
      <w:r>
        <w:t xml:space="preserve">gly, having regard to the </w:t>
      </w:r>
      <w:r w:rsidR="00045DAF">
        <w:t xml:space="preserve">submitted </w:t>
      </w:r>
      <w:r>
        <w:t>documentary evidence</w:t>
      </w:r>
      <w:r w:rsidR="00045DAF">
        <w:t>, and all other matters raise</w:t>
      </w:r>
      <w:r w:rsidR="00030009">
        <w:t>d</w:t>
      </w:r>
      <w:r w:rsidR="00045DAF">
        <w:t xml:space="preserve"> </w:t>
      </w:r>
      <w:r w:rsidR="00C04BBA">
        <w:t>within the submitted written representations, I conclude that the appeal should be dismissed.</w:t>
      </w:r>
    </w:p>
    <w:p w14:paraId="4C9B868D" w14:textId="0585B594" w:rsidR="00C04BBA" w:rsidRDefault="00C04BBA" w:rsidP="00C04BBA">
      <w:pPr>
        <w:pStyle w:val="Style1"/>
        <w:numPr>
          <w:ilvl w:val="0"/>
          <w:numId w:val="0"/>
        </w:numPr>
        <w:ind w:left="431" w:hanging="431"/>
      </w:pPr>
    </w:p>
    <w:p w14:paraId="2E654E67" w14:textId="77777777" w:rsidR="007F608A" w:rsidRPr="00985933" w:rsidRDefault="007F608A" w:rsidP="007F608A">
      <w:pPr>
        <w:tabs>
          <w:tab w:val="left" w:pos="432"/>
        </w:tabs>
        <w:spacing w:before="180"/>
        <w:outlineLvl w:val="0"/>
        <w:rPr>
          <w:rFonts w:ascii="Monotype Corsiva" w:hAnsi="Monotype Corsiva"/>
          <w:color w:val="000000"/>
          <w:kern w:val="28"/>
          <w:sz w:val="36"/>
          <w:szCs w:val="36"/>
        </w:rPr>
      </w:pPr>
      <w:r>
        <w:rPr>
          <w:rFonts w:ascii="Monotype Corsiva" w:hAnsi="Monotype Corsiva"/>
          <w:color w:val="000000"/>
          <w:kern w:val="28"/>
          <w:sz w:val="36"/>
          <w:szCs w:val="36"/>
        </w:rPr>
        <w:t>Mr A Spencer-Peet</w:t>
      </w:r>
      <w:r w:rsidRPr="00985933">
        <w:rPr>
          <w:rFonts w:ascii="Monotype Corsiva" w:hAnsi="Monotype Corsiva"/>
          <w:color w:val="000000"/>
          <w:kern w:val="28"/>
          <w:sz w:val="36"/>
          <w:szCs w:val="36"/>
        </w:rPr>
        <w:t xml:space="preserve"> </w:t>
      </w:r>
    </w:p>
    <w:p w14:paraId="7593A6E2" w14:textId="3467B7BA" w:rsidR="00C04BBA" w:rsidRDefault="007F608A" w:rsidP="007F608A">
      <w:pPr>
        <w:pStyle w:val="Style1"/>
        <w:numPr>
          <w:ilvl w:val="0"/>
          <w:numId w:val="0"/>
        </w:numPr>
        <w:ind w:left="431" w:hanging="431"/>
      </w:pPr>
      <w:r w:rsidRPr="00985933">
        <w:t>INSPECTOR</w:t>
      </w:r>
    </w:p>
    <w:p w14:paraId="0A002B92" w14:textId="43944114" w:rsidR="00F42B14" w:rsidRDefault="00F42B14" w:rsidP="007F608A">
      <w:pPr>
        <w:pStyle w:val="Style1"/>
        <w:numPr>
          <w:ilvl w:val="0"/>
          <w:numId w:val="0"/>
        </w:numPr>
        <w:ind w:left="431" w:hanging="431"/>
      </w:pPr>
    </w:p>
    <w:p w14:paraId="29916938" w14:textId="4A7E51B9" w:rsidR="00F42B14" w:rsidRDefault="00F42B14">
      <w:pPr>
        <w:rPr>
          <w:color w:val="000000"/>
          <w:kern w:val="28"/>
        </w:rPr>
      </w:pPr>
      <w:r>
        <w:br w:type="page"/>
      </w:r>
    </w:p>
    <w:p w14:paraId="6B1211E0" w14:textId="59CFD655" w:rsidR="00F42B14" w:rsidRPr="000D1AE3" w:rsidRDefault="00F42B14" w:rsidP="007F608A">
      <w:pPr>
        <w:pStyle w:val="Style1"/>
        <w:numPr>
          <w:ilvl w:val="0"/>
          <w:numId w:val="0"/>
        </w:numPr>
        <w:ind w:left="431" w:hanging="431"/>
      </w:pPr>
      <w:r>
        <w:rPr>
          <w:noProof/>
        </w:rPr>
        <w:lastRenderedPageBreak/>
        <w:drawing>
          <wp:inline distT="0" distB="0" distL="0" distR="0" wp14:anchorId="28672C18" wp14:editId="4AC527AD">
            <wp:extent cx="5908040" cy="8355965"/>
            <wp:effectExtent l="0" t="0" r="0" b="6985"/>
            <wp:docPr id="5" name="Picture 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F42B14" w:rsidRPr="000D1AE3"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C215" w14:textId="77777777" w:rsidR="009B152B" w:rsidRDefault="009B152B" w:rsidP="00F62916">
      <w:r>
        <w:separator/>
      </w:r>
    </w:p>
  </w:endnote>
  <w:endnote w:type="continuationSeparator" w:id="0">
    <w:p w14:paraId="1803A224" w14:textId="77777777" w:rsidR="009B152B" w:rsidRDefault="009B152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2E89"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D3C2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FCF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F182993" wp14:editId="6FE1548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621B"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286BE5C" w14:textId="77777777" w:rsidR="00366F95" w:rsidRPr="00E45340" w:rsidRDefault="00D31FC5"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E6CF" w14:textId="77777777" w:rsidR="00366F95" w:rsidRDefault="00366F95" w:rsidP="0080179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11668C7" wp14:editId="3274034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7A3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0BB97D2" w14:textId="77777777" w:rsidR="00366F95" w:rsidRPr="00451EE4" w:rsidRDefault="00D31FC5">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4C40" w14:textId="77777777" w:rsidR="009B152B" w:rsidRDefault="009B152B" w:rsidP="00F62916">
      <w:r>
        <w:separator/>
      </w:r>
    </w:p>
  </w:footnote>
  <w:footnote w:type="continuationSeparator" w:id="0">
    <w:p w14:paraId="5A843619" w14:textId="77777777" w:rsidR="009B152B" w:rsidRDefault="009B152B" w:rsidP="00F62916">
      <w:r>
        <w:continuationSeparator/>
      </w:r>
    </w:p>
  </w:footnote>
  <w:footnote w:id="1">
    <w:p w14:paraId="5324D472" w14:textId="77777777" w:rsidR="004003E2" w:rsidRDefault="004003E2" w:rsidP="004003E2">
      <w:pPr>
        <w:pStyle w:val="FootnoteText"/>
      </w:pPr>
      <w:r>
        <w:rPr>
          <w:rStyle w:val="FootnoteReference"/>
        </w:rPr>
        <w:footnoteRef/>
      </w:r>
      <w:r>
        <w:t xml:space="preserve"> </w:t>
      </w:r>
      <w:r w:rsidRPr="0049653B">
        <w:t>R v Secretary of State ex parte Norton and Bagshaw</w:t>
      </w:r>
      <w:r>
        <w:t xml:space="preserve"> [1994] 68 P &amp; CR 402 </w:t>
      </w:r>
    </w:p>
  </w:footnote>
  <w:footnote w:id="2">
    <w:p w14:paraId="55627BE8" w14:textId="5CE596BF" w:rsidR="00A947D5" w:rsidRDefault="00A947D5">
      <w:pPr>
        <w:pStyle w:val="FootnoteText"/>
      </w:pPr>
      <w:r>
        <w:rPr>
          <w:rStyle w:val="FootnoteReference"/>
        </w:rPr>
        <w:footnoteRef/>
      </w:r>
      <w:r>
        <w:t xml:space="preserve"> </w:t>
      </w:r>
      <w:r w:rsidR="006F72CA">
        <w:t>[2002] EWCH 2668 (C</w:t>
      </w:r>
      <w:r w:rsidR="000A012F">
        <w:t>h</w:t>
      </w:r>
      <w:r w:rsidR="006F72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75A66A4A" w14:textId="77777777">
      <w:tc>
        <w:tcPr>
          <w:tcW w:w="9520" w:type="dxa"/>
        </w:tcPr>
        <w:p w14:paraId="3B3EDCB9" w14:textId="70444740" w:rsidR="00366F95" w:rsidRDefault="00801791">
          <w:pPr>
            <w:pStyle w:val="Footer"/>
          </w:pPr>
          <w:r>
            <w:t>Order Decision FPS/X2600/14A/5</w:t>
          </w:r>
        </w:p>
      </w:tc>
    </w:tr>
  </w:tbl>
  <w:p w14:paraId="0C4884DC"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6607E45B" wp14:editId="2CA277F9">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EC37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1257"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01791"/>
    <w:rsid w:val="0000335F"/>
    <w:rsid w:val="00010EC2"/>
    <w:rsid w:val="00024219"/>
    <w:rsid w:val="00024500"/>
    <w:rsid w:val="00024755"/>
    <w:rsid w:val="000247B2"/>
    <w:rsid w:val="00025F89"/>
    <w:rsid w:val="00027AB7"/>
    <w:rsid w:val="00030009"/>
    <w:rsid w:val="0004049B"/>
    <w:rsid w:val="00040A83"/>
    <w:rsid w:val="0004358C"/>
    <w:rsid w:val="00045DAF"/>
    <w:rsid w:val="00046145"/>
    <w:rsid w:val="0004625F"/>
    <w:rsid w:val="000474A2"/>
    <w:rsid w:val="00053135"/>
    <w:rsid w:val="00055407"/>
    <w:rsid w:val="00061BA6"/>
    <w:rsid w:val="00061F9A"/>
    <w:rsid w:val="0006789F"/>
    <w:rsid w:val="0007448E"/>
    <w:rsid w:val="00075536"/>
    <w:rsid w:val="00077358"/>
    <w:rsid w:val="00081F2F"/>
    <w:rsid w:val="00087477"/>
    <w:rsid w:val="00087DEC"/>
    <w:rsid w:val="00093C03"/>
    <w:rsid w:val="00094A44"/>
    <w:rsid w:val="000A012F"/>
    <w:rsid w:val="000A10B3"/>
    <w:rsid w:val="000A1D60"/>
    <w:rsid w:val="000A3033"/>
    <w:rsid w:val="000A4231"/>
    <w:rsid w:val="000A4AEB"/>
    <w:rsid w:val="000A4DD9"/>
    <w:rsid w:val="000A64AE"/>
    <w:rsid w:val="000B02BC"/>
    <w:rsid w:val="000B0589"/>
    <w:rsid w:val="000B7E79"/>
    <w:rsid w:val="000C1F3F"/>
    <w:rsid w:val="000C3F13"/>
    <w:rsid w:val="000C4153"/>
    <w:rsid w:val="000C47DF"/>
    <w:rsid w:val="000C5098"/>
    <w:rsid w:val="000C698E"/>
    <w:rsid w:val="000D0673"/>
    <w:rsid w:val="000D08B0"/>
    <w:rsid w:val="000D1AE3"/>
    <w:rsid w:val="000D443A"/>
    <w:rsid w:val="000E2C18"/>
    <w:rsid w:val="000E5106"/>
    <w:rsid w:val="000E57C1"/>
    <w:rsid w:val="000F16F4"/>
    <w:rsid w:val="000F2F8B"/>
    <w:rsid w:val="000F6EC2"/>
    <w:rsid w:val="001000CB"/>
    <w:rsid w:val="00104D93"/>
    <w:rsid w:val="00107149"/>
    <w:rsid w:val="0011047F"/>
    <w:rsid w:val="001214F9"/>
    <w:rsid w:val="001261F8"/>
    <w:rsid w:val="001262C2"/>
    <w:rsid w:val="0014062D"/>
    <w:rsid w:val="001440C3"/>
    <w:rsid w:val="0014647B"/>
    <w:rsid w:val="0014672A"/>
    <w:rsid w:val="00152C92"/>
    <w:rsid w:val="00154111"/>
    <w:rsid w:val="00157C93"/>
    <w:rsid w:val="0016031B"/>
    <w:rsid w:val="00161B5C"/>
    <w:rsid w:val="0016479F"/>
    <w:rsid w:val="00174838"/>
    <w:rsid w:val="00181AF4"/>
    <w:rsid w:val="00197B5B"/>
    <w:rsid w:val="001A41F7"/>
    <w:rsid w:val="001A7280"/>
    <w:rsid w:val="001B37BF"/>
    <w:rsid w:val="001B66D8"/>
    <w:rsid w:val="001C55EF"/>
    <w:rsid w:val="001D252C"/>
    <w:rsid w:val="001D778F"/>
    <w:rsid w:val="001D7C82"/>
    <w:rsid w:val="001E28F3"/>
    <w:rsid w:val="001E7954"/>
    <w:rsid w:val="001F0CB8"/>
    <w:rsid w:val="001F5990"/>
    <w:rsid w:val="001F59A7"/>
    <w:rsid w:val="001F5EE8"/>
    <w:rsid w:val="001F6680"/>
    <w:rsid w:val="001F75C5"/>
    <w:rsid w:val="00200A20"/>
    <w:rsid w:val="00202C39"/>
    <w:rsid w:val="00206B45"/>
    <w:rsid w:val="00207279"/>
    <w:rsid w:val="00207816"/>
    <w:rsid w:val="00212C8F"/>
    <w:rsid w:val="00213526"/>
    <w:rsid w:val="002136AB"/>
    <w:rsid w:val="00214B6C"/>
    <w:rsid w:val="0021736F"/>
    <w:rsid w:val="00220A3B"/>
    <w:rsid w:val="00225DD4"/>
    <w:rsid w:val="00227A24"/>
    <w:rsid w:val="00231CD8"/>
    <w:rsid w:val="00235BB9"/>
    <w:rsid w:val="0024169E"/>
    <w:rsid w:val="00242A5E"/>
    <w:rsid w:val="00250BA4"/>
    <w:rsid w:val="00265BF1"/>
    <w:rsid w:val="00267F50"/>
    <w:rsid w:val="0027161A"/>
    <w:rsid w:val="002819AB"/>
    <w:rsid w:val="00284AB3"/>
    <w:rsid w:val="00290E5C"/>
    <w:rsid w:val="00293E5D"/>
    <w:rsid w:val="002958D9"/>
    <w:rsid w:val="002A2D57"/>
    <w:rsid w:val="002A6676"/>
    <w:rsid w:val="002B3517"/>
    <w:rsid w:val="002B5A3A"/>
    <w:rsid w:val="002C068A"/>
    <w:rsid w:val="002C1336"/>
    <w:rsid w:val="002C2524"/>
    <w:rsid w:val="002C2B03"/>
    <w:rsid w:val="002D5A7C"/>
    <w:rsid w:val="002D6501"/>
    <w:rsid w:val="002D65E7"/>
    <w:rsid w:val="002D71B4"/>
    <w:rsid w:val="002F3B8F"/>
    <w:rsid w:val="00303CA5"/>
    <w:rsid w:val="0030500E"/>
    <w:rsid w:val="00317090"/>
    <w:rsid w:val="003206FD"/>
    <w:rsid w:val="00320F3C"/>
    <w:rsid w:val="00325BF5"/>
    <w:rsid w:val="00326860"/>
    <w:rsid w:val="00330C7E"/>
    <w:rsid w:val="00340D57"/>
    <w:rsid w:val="00343A1F"/>
    <w:rsid w:val="00344294"/>
    <w:rsid w:val="00344CD1"/>
    <w:rsid w:val="003462B7"/>
    <w:rsid w:val="003501C5"/>
    <w:rsid w:val="003517F2"/>
    <w:rsid w:val="00355FCC"/>
    <w:rsid w:val="00360664"/>
    <w:rsid w:val="00361305"/>
    <w:rsid w:val="00361890"/>
    <w:rsid w:val="003640E1"/>
    <w:rsid w:val="00364E17"/>
    <w:rsid w:val="00366F95"/>
    <w:rsid w:val="00375065"/>
    <w:rsid w:val="003753FE"/>
    <w:rsid w:val="0038073B"/>
    <w:rsid w:val="00382CC8"/>
    <w:rsid w:val="00391534"/>
    <w:rsid w:val="003941CF"/>
    <w:rsid w:val="00396407"/>
    <w:rsid w:val="003A584D"/>
    <w:rsid w:val="003A67D4"/>
    <w:rsid w:val="003B08D3"/>
    <w:rsid w:val="003B0D79"/>
    <w:rsid w:val="003B2FE6"/>
    <w:rsid w:val="003B5693"/>
    <w:rsid w:val="003B678E"/>
    <w:rsid w:val="003C3B86"/>
    <w:rsid w:val="003C577A"/>
    <w:rsid w:val="003D1D4A"/>
    <w:rsid w:val="003D24AD"/>
    <w:rsid w:val="003D3592"/>
    <w:rsid w:val="003D3715"/>
    <w:rsid w:val="003D4AFD"/>
    <w:rsid w:val="003D5DC8"/>
    <w:rsid w:val="003D7E8B"/>
    <w:rsid w:val="003E54CC"/>
    <w:rsid w:val="003E7A28"/>
    <w:rsid w:val="003F12B1"/>
    <w:rsid w:val="003F25F1"/>
    <w:rsid w:val="003F3533"/>
    <w:rsid w:val="003F7DFB"/>
    <w:rsid w:val="004003E2"/>
    <w:rsid w:val="0040195E"/>
    <w:rsid w:val="00401EDC"/>
    <w:rsid w:val="004029F3"/>
    <w:rsid w:val="004077B8"/>
    <w:rsid w:val="00407A56"/>
    <w:rsid w:val="00414FEA"/>
    <w:rsid w:val="004156F0"/>
    <w:rsid w:val="00420905"/>
    <w:rsid w:val="0042785E"/>
    <w:rsid w:val="00427C6F"/>
    <w:rsid w:val="00430D16"/>
    <w:rsid w:val="004314C9"/>
    <w:rsid w:val="00434739"/>
    <w:rsid w:val="00437535"/>
    <w:rsid w:val="00440BD5"/>
    <w:rsid w:val="00444629"/>
    <w:rsid w:val="0044579B"/>
    <w:rsid w:val="004474DE"/>
    <w:rsid w:val="00447D26"/>
    <w:rsid w:val="00451EE4"/>
    <w:rsid w:val="004522C1"/>
    <w:rsid w:val="00453E15"/>
    <w:rsid w:val="00456C36"/>
    <w:rsid w:val="00467305"/>
    <w:rsid w:val="0047533F"/>
    <w:rsid w:val="0047718B"/>
    <w:rsid w:val="0048041A"/>
    <w:rsid w:val="00483D15"/>
    <w:rsid w:val="0048635C"/>
    <w:rsid w:val="004921DC"/>
    <w:rsid w:val="00493039"/>
    <w:rsid w:val="00493C62"/>
    <w:rsid w:val="00493FE2"/>
    <w:rsid w:val="004976CF"/>
    <w:rsid w:val="004A1840"/>
    <w:rsid w:val="004A2EB8"/>
    <w:rsid w:val="004A4010"/>
    <w:rsid w:val="004A45C9"/>
    <w:rsid w:val="004A4F1F"/>
    <w:rsid w:val="004C07CB"/>
    <w:rsid w:val="004C0E99"/>
    <w:rsid w:val="004C6912"/>
    <w:rsid w:val="004C6AF7"/>
    <w:rsid w:val="004C6B80"/>
    <w:rsid w:val="004D3284"/>
    <w:rsid w:val="004D63D4"/>
    <w:rsid w:val="004E04E0"/>
    <w:rsid w:val="004E0D05"/>
    <w:rsid w:val="004E17CB"/>
    <w:rsid w:val="004E305D"/>
    <w:rsid w:val="004E6091"/>
    <w:rsid w:val="004E775F"/>
    <w:rsid w:val="004F0596"/>
    <w:rsid w:val="004F274A"/>
    <w:rsid w:val="00500471"/>
    <w:rsid w:val="00506851"/>
    <w:rsid w:val="00513F8D"/>
    <w:rsid w:val="0051420E"/>
    <w:rsid w:val="0052347F"/>
    <w:rsid w:val="00523706"/>
    <w:rsid w:val="0052545A"/>
    <w:rsid w:val="00530A2B"/>
    <w:rsid w:val="00533684"/>
    <w:rsid w:val="00533687"/>
    <w:rsid w:val="00534439"/>
    <w:rsid w:val="0053462B"/>
    <w:rsid w:val="00536BB3"/>
    <w:rsid w:val="00541734"/>
    <w:rsid w:val="0054267A"/>
    <w:rsid w:val="00542B4C"/>
    <w:rsid w:val="00546DA1"/>
    <w:rsid w:val="0055171B"/>
    <w:rsid w:val="005559F6"/>
    <w:rsid w:val="00561E69"/>
    <w:rsid w:val="00562020"/>
    <w:rsid w:val="00563A49"/>
    <w:rsid w:val="00564864"/>
    <w:rsid w:val="0056634F"/>
    <w:rsid w:val="00566F95"/>
    <w:rsid w:val="00570483"/>
    <w:rsid w:val="0057098A"/>
    <w:rsid w:val="005718AF"/>
    <w:rsid w:val="00571FD4"/>
    <w:rsid w:val="00572879"/>
    <w:rsid w:val="0057471E"/>
    <w:rsid w:val="0057782A"/>
    <w:rsid w:val="00580310"/>
    <w:rsid w:val="00581E62"/>
    <w:rsid w:val="00585421"/>
    <w:rsid w:val="00585F65"/>
    <w:rsid w:val="005901A4"/>
    <w:rsid w:val="00591235"/>
    <w:rsid w:val="00596AB4"/>
    <w:rsid w:val="00597D0D"/>
    <w:rsid w:val="005A00B6"/>
    <w:rsid w:val="005A0799"/>
    <w:rsid w:val="005A3A64"/>
    <w:rsid w:val="005A4F73"/>
    <w:rsid w:val="005A51DE"/>
    <w:rsid w:val="005B0DC8"/>
    <w:rsid w:val="005B5C56"/>
    <w:rsid w:val="005B69B3"/>
    <w:rsid w:val="005C0996"/>
    <w:rsid w:val="005C2C74"/>
    <w:rsid w:val="005C4965"/>
    <w:rsid w:val="005C6663"/>
    <w:rsid w:val="005D0855"/>
    <w:rsid w:val="005D25DA"/>
    <w:rsid w:val="005D2D41"/>
    <w:rsid w:val="005D3608"/>
    <w:rsid w:val="005D53F6"/>
    <w:rsid w:val="005D739E"/>
    <w:rsid w:val="005E1457"/>
    <w:rsid w:val="005E34E1"/>
    <w:rsid w:val="005E34FF"/>
    <w:rsid w:val="005E3542"/>
    <w:rsid w:val="005E52F9"/>
    <w:rsid w:val="005E6291"/>
    <w:rsid w:val="005E6D15"/>
    <w:rsid w:val="005E7D5D"/>
    <w:rsid w:val="005F1261"/>
    <w:rsid w:val="005F276D"/>
    <w:rsid w:val="005F4D9D"/>
    <w:rsid w:val="00602315"/>
    <w:rsid w:val="0060308E"/>
    <w:rsid w:val="006052EF"/>
    <w:rsid w:val="006127F0"/>
    <w:rsid w:val="00614E46"/>
    <w:rsid w:val="00615462"/>
    <w:rsid w:val="00616C33"/>
    <w:rsid w:val="0062277F"/>
    <w:rsid w:val="006319E6"/>
    <w:rsid w:val="00633023"/>
    <w:rsid w:val="0063373D"/>
    <w:rsid w:val="006460DB"/>
    <w:rsid w:val="0065465F"/>
    <w:rsid w:val="0065719B"/>
    <w:rsid w:val="0066322F"/>
    <w:rsid w:val="00664934"/>
    <w:rsid w:val="00670A2A"/>
    <w:rsid w:val="00672F40"/>
    <w:rsid w:val="00673AA4"/>
    <w:rsid w:val="00680CCA"/>
    <w:rsid w:val="00681108"/>
    <w:rsid w:val="006814CB"/>
    <w:rsid w:val="00683417"/>
    <w:rsid w:val="00685A46"/>
    <w:rsid w:val="00686959"/>
    <w:rsid w:val="00692DA2"/>
    <w:rsid w:val="00695488"/>
    <w:rsid w:val="0069559D"/>
    <w:rsid w:val="00696368"/>
    <w:rsid w:val="006A22A2"/>
    <w:rsid w:val="006A5309"/>
    <w:rsid w:val="006A5BB3"/>
    <w:rsid w:val="006A7B8B"/>
    <w:rsid w:val="006B1E98"/>
    <w:rsid w:val="006C0FD4"/>
    <w:rsid w:val="006C2632"/>
    <w:rsid w:val="006C41C2"/>
    <w:rsid w:val="006C4C25"/>
    <w:rsid w:val="006C6D1A"/>
    <w:rsid w:val="006D0B98"/>
    <w:rsid w:val="006D2842"/>
    <w:rsid w:val="006D5133"/>
    <w:rsid w:val="006E4EE5"/>
    <w:rsid w:val="006F16D9"/>
    <w:rsid w:val="006F6496"/>
    <w:rsid w:val="006F72CA"/>
    <w:rsid w:val="00702656"/>
    <w:rsid w:val="00704126"/>
    <w:rsid w:val="00704EAA"/>
    <w:rsid w:val="00715AE9"/>
    <w:rsid w:val="0071604A"/>
    <w:rsid w:val="00721370"/>
    <w:rsid w:val="007354AC"/>
    <w:rsid w:val="00741B0A"/>
    <w:rsid w:val="0074638F"/>
    <w:rsid w:val="00753C16"/>
    <w:rsid w:val="00754464"/>
    <w:rsid w:val="00755F2C"/>
    <w:rsid w:val="00756BEB"/>
    <w:rsid w:val="00763206"/>
    <w:rsid w:val="00763EC0"/>
    <w:rsid w:val="00764A77"/>
    <w:rsid w:val="00770F72"/>
    <w:rsid w:val="00785862"/>
    <w:rsid w:val="00786285"/>
    <w:rsid w:val="007873E7"/>
    <w:rsid w:val="00795D14"/>
    <w:rsid w:val="00795EFE"/>
    <w:rsid w:val="007A0537"/>
    <w:rsid w:val="007A06BE"/>
    <w:rsid w:val="007A3830"/>
    <w:rsid w:val="007A437D"/>
    <w:rsid w:val="007A51CC"/>
    <w:rsid w:val="007B37C6"/>
    <w:rsid w:val="007B405D"/>
    <w:rsid w:val="007B4C9B"/>
    <w:rsid w:val="007C1DBC"/>
    <w:rsid w:val="007D0985"/>
    <w:rsid w:val="007D510A"/>
    <w:rsid w:val="007D59F6"/>
    <w:rsid w:val="007D65B4"/>
    <w:rsid w:val="007D6892"/>
    <w:rsid w:val="007E0E5C"/>
    <w:rsid w:val="007E1D1C"/>
    <w:rsid w:val="007E2F20"/>
    <w:rsid w:val="007E4D68"/>
    <w:rsid w:val="007F10E8"/>
    <w:rsid w:val="007F1352"/>
    <w:rsid w:val="007F32D9"/>
    <w:rsid w:val="007F3F10"/>
    <w:rsid w:val="007F59EB"/>
    <w:rsid w:val="007F608A"/>
    <w:rsid w:val="007F67F3"/>
    <w:rsid w:val="00801791"/>
    <w:rsid w:val="00806F2A"/>
    <w:rsid w:val="008161BD"/>
    <w:rsid w:val="00817553"/>
    <w:rsid w:val="00822578"/>
    <w:rsid w:val="00827937"/>
    <w:rsid w:val="00834368"/>
    <w:rsid w:val="00834C3B"/>
    <w:rsid w:val="008411A4"/>
    <w:rsid w:val="0084252D"/>
    <w:rsid w:val="00842777"/>
    <w:rsid w:val="0084395E"/>
    <w:rsid w:val="00845FA2"/>
    <w:rsid w:val="008525D6"/>
    <w:rsid w:val="00861BAF"/>
    <w:rsid w:val="00861E30"/>
    <w:rsid w:val="00862037"/>
    <w:rsid w:val="00872CC7"/>
    <w:rsid w:val="00873E3F"/>
    <w:rsid w:val="00874725"/>
    <w:rsid w:val="00882B66"/>
    <w:rsid w:val="0088405C"/>
    <w:rsid w:val="00884887"/>
    <w:rsid w:val="00896D0A"/>
    <w:rsid w:val="008A008B"/>
    <w:rsid w:val="008A03E3"/>
    <w:rsid w:val="008A1ED8"/>
    <w:rsid w:val="008A49D6"/>
    <w:rsid w:val="008A6C26"/>
    <w:rsid w:val="008A76AA"/>
    <w:rsid w:val="008B6F64"/>
    <w:rsid w:val="008C0E31"/>
    <w:rsid w:val="008C6FA3"/>
    <w:rsid w:val="008D7C7C"/>
    <w:rsid w:val="008E028E"/>
    <w:rsid w:val="008E359C"/>
    <w:rsid w:val="008E3CE4"/>
    <w:rsid w:val="008F52F9"/>
    <w:rsid w:val="009007E4"/>
    <w:rsid w:val="00901334"/>
    <w:rsid w:val="00905608"/>
    <w:rsid w:val="00905BD0"/>
    <w:rsid w:val="009060EF"/>
    <w:rsid w:val="009124CE"/>
    <w:rsid w:val="00912954"/>
    <w:rsid w:val="0091467C"/>
    <w:rsid w:val="00914780"/>
    <w:rsid w:val="00921F34"/>
    <w:rsid w:val="00922AC2"/>
    <w:rsid w:val="0092304C"/>
    <w:rsid w:val="00923F06"/>
    <w:rsid w:val="0092562E"/>
    <w:rsid w:val="00925991"/>
    <w:rsid w:val="0093107B"/>
    <w:rsid w:val="00935F1E"/>
    <w:rsid w:val="00942837"/>
    <w:rsid w:val="00944C8A"/>
    <w:rsid w:val="009460BF"/>
    <w:rsid w:val="0095355D"/>
    <w:rsid w:val="00953635"/>
    <w:rsid w:val="00955DA0"/>
    <w:rsid w:val="00960B10"/>
    <w:rsid w:val="009756F0"/>
    <w:rsid w:val="00977297"/>
    <w:rsid w:val="00981ADC"/>
    <w:rsid w:val="009834BA"/>
    <w:rsid w:val="009841DA"/>
    <w:rsid w:val="00986627"/>
    <w:rsid w:val="00993A9E"/>
    <w:rsid w:val="00994A8E"/>
    <w:rsid w:val="009A2F93"/>
    <w:rsid w:val="009A48E2"/>
    <w:rsid w:val="009A5397"/>
    <w:rsid w:val="009B05D2"/>
    <w:rsid w:val="009B152B"/>
    <w:rsid w:val="009B3075"/>
    <w:rsid w:val="009B72ED"/>
    <w:rsid w:val="009B7BD4"/>
    <w:rsid w:val="009B7F3F"/>
    <w:rsid w:val="009C1BA7"/>
    <w:rsid w:val="009D2317"/>
    <w:rsid w:val="009D3DC8"/>
    <w:rsid w:val="009E057A"/>
    <w:rsid w:val="009E1447"/>
    <w:rsid w:val="009E179D"/>
    <w:rsid w:val="009E227A"/>
    <w:rsid w:val="009E3C69"/>
    <w:rsid w:val="009E4076"/>
    <w:rsid w:val="009E6FB7"/>
    <w:rsid w:val="009E724F"/>
    <w:rsid w:val="009F31B0"/>
    <w:rsid w:val="009F6686"/>
    <w:rsid w:val="00A00258"/>
    <w:rsid w:val="00A00FCD"/>
    <w:rsid w:val="00A05266"/>
    <w:rsid w:val="00A07873"/>
    <w:rsid w:val="00A101CD"/>
    <w:rsid w:val="00A10716"/>
    <w:rsid w:val="00A11E2D"/>
    <w:rsid w:val="00A208F5"/>
    <w:rsid w:val="00A22722"/>
    <w:rsid w:val="00A23C80"/>
    <w:rsid w:val="00A23FC7"/>
    <w:rsid w:val="00A37854"/>
    <w:rsid w:val="00A400D6"/>
    <w:rsid w:val="00A418A7"/>
    <w:rsid w:val="00A423C0"/>
    <w:rsid w:val="00A43C98"/>
    <w:rsid w:val="00A550FB"/>
    <w:rsid w:val="00A5760C"/>
    <w:rsid w:val="00A60DB3"/>
    <w:rsid w:val="00A643FF"/>
    <w:rsid w:val="00A6442B"/>
    <w:rsid w:val="00A64A0B"/>
    <w:rsid w:val="00A947D5"/>
    <w:rsid w:val="00AA44A6"/>
    <w:rsid w:val="00AA77F9"/>
    <w:rsid w:val="00AB3D3B"/>
    <w:rsid w:val="00AB67B4"/>
    <w:rsid w:val="00AC3B0B"/>
    <w:rsid w:val="00AC6179"/>
    <w:rsid w:val="00AD0E39"/>
    <w:rsid w:val="00AD2CC0"/>
    <w:rsid w:val="00AD2F56"/>
    <w:rsid w:val="00AE1427"/>
    <w:rsid w:val="00AE2FAA"/>
    <w:rsid w:val="00AE4B9B"/>
    <w:rsid w:val="00AE4D9F"/>
    <w:rsid w:val="00AF2F5D"/>
    <w:rsid w:val="00B002EA"/>
    <w:rsid w:val="00B006F9"/>
    <w:rsid w:val="00B02D41"/>
    <w:rsid w:val="00B049F2"/>
    <w:rsid w:val="00B04BC8"/>
    <w:rsid w:val="00B1190C"/>
    <w:rsid w:val="00B1438B"/>
    <w:rsid w:val="00B150E5"/>
    <w:rsid w:val="00B20EB7"/>
    <w:rsid w:val="00B32324"/>
    <w:rsid w:val="00B345C9"/>
    <w:rsid w:val="00B3628F"/>
    <w:rsid w:val="00B37460"/>
    <w:rsid w:val="00B41ACE"/>
    <w:rsid w:val="00B47338"/>
    <w:rsid w:val="00B51D9F"/>
    <w:rsid w:val="00B5661A"/>
    <w:rsid w:val="00B56990"/>
    <w:rsid w:val="00B601D0"/>
    <w:rsid w:val="00B61A59"/>
    <w:rsid w:val="00B630C7"/>
    <w:rsid w:val="00B636D0"/>
    <w:rsid w:val="00B65723"/>
    <w:rsid w:val="00B66C0F"/>
    <w:rsid w:val="00B7142C"/>
    <w:rsid w:val="00B86649"/>
    <w:rsid w:val="00B87169"/>
    <w:rsid w:val="00B8786A"/>
    <w:rsid w:val="00B927A8"/>
    <w:rsid w:val="00BA0210"/>
    <w:rsid w:val="00BA1E9D"/>
    <w:rsid w:val="00BA1F1D"/>
    <w:rsid w:val="00BB78C5"/>
    <w:rsid w:val="00BC0524"/>
    <w:rsid w:val="00BC12AC"/>
    <w:rsid w:val="00BC1734"/>
    <w:rsid w:val="00BC2702"/>
    <w:rsid w:val="00BC4266"/>
    <w:rsid w:val="00BD09CD"/>
    <w:rsid w:val="00BD1E2A"/>
    <w:rsid w:val="00BD61EB"/>
    <w:rsid w:val="00BD7C98"/>
    <w:rsid w:val="00BE0259"/>
    <w:rsid w:val="00BE32D7"/>
    <w:rsid w:val="00BE557B"/>
    <w:rsid w:val="00BE5A90"/>
    <w:rsid w:val="00BE6358"/>
    <w:rsid w:val="00BE6377"/>
    <w:rsid w:val="00BF1E04"/>
    <w:rsid w:val="00BF34D7"/>
    <w:rsid w:val="00BF4A4A"/>
    <w:rsid w:val="00C00E8A"/>
    <w:rsid w:val="00C03397"/>
    <w:rsid w:val="00C04BBA"/>
    <w:rsid w:val="00C11BD0"/>
    <w:rsid w:val="00C21D84"/>
    <w:rsid w:val="00C274BD"/>
    <w:rsid w:val="00C34311"/>
    <w:rsid w:val="00C35565"/>
    <w:rsid w:val="00C36797"/>
    <w:rsid w:val="00C40EA6"/>
    <w:rsid w:val="00C4180F"/>
    <w:rsid w:val="00C432A3"/>
    <w:rsid w:val="00C462E0"/>
    <w:rsid w:val="00C535F4"/>
    <w:rsid w:val="00C57206"/>
    <w:rsid w:val="00C57640"/>
    <w:rsid w:val="00C57B84"/>
    <w:rsid w:val="00C64E30"/>
    <w:rsid w:val="00C66701"/>
    <w:rsid w:val="00C709A4"/>
    <w:rsid w:val="00C72304"/>
    <w:rsid w:val="00C74873"/>
    <w:rsid w:val="00C76239"/>
    <w:rsid w:val="00C80513"/>
    <w:rsid w:val="00C8343C"/>
    <w:rsid w:val="00C857CB"/>
    <w:rsid w:val="00C85879"/>
    <w:rsid w:val="00C86E2F"/>
    <w:rsid w:val="00C8740F"/>
    <w:rsid w:val="00C904FB"/>
    <w:rsid w:val="00C915A8"/>
    <w:rsid w:val="00C91E03"/>
    <w:rsid w:val="00C960F2"/>
    <w:rsid w:val="00CB42F4"/>
    <w:rsid w:val="00CB7447"/>
    <w:rsid w:val="00CC1D38"/>
    <w:rsid w:val="00CC297A"/>
    <w:rsid w:val="00CC50AC"/>
    <w:rsid w:val="00CC5E2D"/>
    <w:rsid w:val="00CC6A89"/>
    <w:rsid w:val="00CC6F21"/>
    <w:rsid w:val="00CD1CEC"/>
    <w:rsid w:val="00CD3ED3"/>
    <w:rsid w:val="00CE1E3C"/>
    <w:rsid w:val="00CE21C0"/>
    <w:rsid w:val="00CF5B7A"/>
    <w:rsid w:val="00D02B48"/>
    <w:rsid w:val="00D059DA"/>
    <w:rsid w:val="00D1120A"/>
    <w:rsid w:val="00D125BE"/>
    <w:rsid w:val="00D132C6"/>
    <w:rsid w:val="00D1410D"/>
    <w:rsid w:val="00D25FDD"/>
    <w:rsid w:val="00D30EB0"/>
    <w:rsid w:val="00D31FC5"/>
    <w:rsid w:val="00D32788"/>
    <w:rsid w:val="00D354A3"/>
    <w:rsid w:val="00D423EB"/>
    <w:rsid w:val="00D43941"/>
    <w:rsid w:val="00D44ED7"/>
    <w:rsid w:val="00D47C99"/>
    <w:rsid w:val="00D555DA"/>
    <w:rsid w:val="00D606D0"/>
    <w:rsid w:val="00D63AAD"/>
    <w:rsid w:val="00D660C2"/>
    <w:rsid w:val="00D67105"/>
    <w:rsid w:val="00D71F78"/>
    <w:rsid w:val="00D74FBA"/>
    <w:rsid w:val="00D8010E"/>
    <w:rsid w:val="00D91C4E"/>
    <w:rsid w:val="00D937A1"/>
    <w:rsid w:val="00D93ABB"/>
    <w:rsid w:val="00DA6787"/>
    <w:rsid w:val="00DA77F8"/>
    <w:rsid w:val="00DB004E"/>
    <w:rsid w:val="00DB0294"/>
    <w:rsid w:val="00DB1128"/>
    <w:rsid w:val="00DB6A15"/>
    <w:rsid w:val="00DB7937"/>
    <w:rsid w:val="00DC0E2F"/>
    <w:rsid w:val="00DC1C0E"/>
    <w:rsid w:val="00DC33D0"/>
    <w:rsid w:val="00DD0F21"/>
    <w:rsid w:val="00DD4840"/>
    <w:rsid w:val="00DE1F70"/>
    <w:rsid w:val="00DE265F"/>
    <w:rsid w:val="00DE2CBB"/>
    <w:rsid w:val="00DE4263"/>
    <w:rsid w:val="00DE6F6B"/>
    <w:rsid w:val="00DF5FFA"/>
    <w:rsid w:val="00E02142"/>
    <w:rsid w:val="00E04E56"/>
    <w:rsid w:val="00E076EF"/>
    <w:rsid w:val="00E10401"/>
    <w:rsid w:val="00E11244"/>
    <w:rsid w:val="00E14523"/>
    <w:rsid w:val="00E15353"/>
    <w:rsid w:val="00E16CAE"/>
    <w:rsid w:val="00E21280"/>
    <w:rsid w:val="00E214F1"/>
    <w:rsid w:val="00E21FFC"/>
    <w:rsid w:val="00E23B01"/>
    <w:rsid w:val="00E45340"/>
    <w:rsid w:val="00E515DB"/>
    <w:rsid w:val="00E53846"/>
    <w:rsid w:val="00E54F7C"/>
    <w:rsid w:val="00E561D7"/>
    <w:rsid w:val="00E60E96"/>
    <w:rsid w:val="00E66AA1"/>
    <w:rsid w:val="00E674DD"/>
    <w:rsid w:val="00E67B22"/>
    <w:rsid w:val="00E7240F"/>
    <w:rsid w:val="00E72AF8"/>
    <w:rsid w:val="00E73860"/>
    <w:rsid w:val="00E81323"/>
    <w:rsid w:val="00E84755"/>
    <w:rsid w:val="00E84BE4"/>
    <w:rsid w:val="00E85E3D"/>
    <w:rsid w:val="00E974ED"/>
    <w:rsid w:val="00EA0893"/>
    <w:rsid w:val="00EA13ED"/>
    <w:rsid w:val="00EA2486"/>
    <w:rsid w:val="00EA4039"/>
    <w:rsid w:val="00EA406E"/>
    <w:rsid w:val="00EA43AC"/>
    <w:rsid w:val="00EA52D3"/>
    <w:rsid w:val="00EA66D0"/>
    <w:rsid w:val="00EA6A2D"/>
    <w:rsid w:val="00EA73CE"/>
    <w:rsid w:val="00EB2329"/>
    <w:rsid w:val="00EB427B"/>
    <w:rsid w:val="00EB4BE6"/>
    <w:rsid w:val="00EC0BAF"/>
    <w:rsid w:val="00EC4326"/>
    <w:rsid w:val="00ED043A"/>
    <w:rsid w:val="00ED2936"/>
    <w:rsid w:val="00ED3727"/>
    <w:rsid w:val="00ED3DDF"/>
    <w:rsid w:val="00ED3FF4"/>
    <w:rsid w:val="00ED50F4"/>
    <w:rsid w:val="00ED6F6A"/>
    <w:rsid w:val="00EE1C1A"/>
    <w:rsid w:val="00EE2613"/>
    <w:rsid w:val="00EE52B8"/>
    <w:rsid w:val="00EE550A"/>
    <w:rsid w:val="00EF1E98"/>
    <w:rsid w:val="00EF5820"/>
    <w:rsid w:val="00EF6929"/>
    <w:rsid w:val="00F071A1"/>
    <w:rsid w:val="00F1025A"/>
    <w:rsid w:val="00F12044"/>
    <w:rsid w:val="00F179BA"/>
    <w:rsid w:val="00F2297F"/>
    <w:rsid w:val="00F35E29"/>
    <w:rsid w:val="00F35EDC"/>
    <w:rsid w:val="00F37125"/>
    <w:rsid w:val="00F42B14"/>
    <w:rsid w:val="00F458BA"/>
    <w:rsid w:val="00F5145D"/>
    <w:rsid w:val="00F5175A"/>
    <w:rsid w:val="00F5212F"/>
    <w:rsid w:val="00F525BF"/>
    <w:rsid w:val="00F52CC6"/>
    <w:rsid w:val="00F617EB"/>
    <w:rsid w:val="00F62916"/>
    <w:rsid w:val="00F63D9A"/>
    <w:rsid w:val="00F649CA"/>
    <w:rsid w:val="00F659A3"/>
    <w:rsid w:val="00F7417F"/>
    <w:rsid w:val="00F77543"/>
    <w:rsid w:val="00F81B55"/>
    <w:rsid w:val="00F87E1F"/>
    <w:rsid w:val="00F9018C"/>
    <w:rsid w:val="00F90EAA"/>
    <w:rsid w:val="00F9108D"/>
    <w:rsid w:val="00F91112"/>
    <w:rsid w:val="00F91966"/>
    <w:rsid w:val="00F933D1"/>
    <w:rsid w:val="00F9593F"/>
    <w:rsid w:val="00FA02D2"/>
    <w:rsid w:val="00FB4416"/>
    <w:rsid w:val="00FB644E"/>
    <w:rsid w:val="00FB66CF"/>
    <w:rsid w:val="00FB724E"/>
    <w:rsid w:val="00FB743C"/>
    <w:rsid w:val="00FC1FEB"/>
    <w:rsid w:val="00FC4029"/>
    <w:rsid w:val="00FC6E8D"/>
    <w:rsid w:val="00FD307B"/>
    <w:rsid w:val="00FD3B43"/>
    <w:rsid w:val="00FD5879"/>
    <w:rsid w:val="00FD72C4"/>
    <w:rsid w:val="00FD7D4C"/>
    <w:rsid w:val="00FD7FAD"/>
    <w:rsid w:val="00FE68E4"/>
    <w:rsid w:val="00FE7264"/>
    <w:rsid w:val="00FF0761"/>
    <w:rsid w:val="00FF1EAF"/>
    <w:rsid w:val="00FF34A3"/>
    <w:rsid w:val="00FF7763"/>
    <w:rsid w:val="00FF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CB41CE"/>
  <w15:docId w15:val="{F18E681D-E953-49BB-8C87-49FD7923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uiPriority w:val="99"/>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FootnoteTextChar">
    <w:name w:val="Footnote Text Char"/>
    <w:basedOn w:val="DefaultParagraphFont"/>
    <w:link w:val="FootnoteText"/>
    <w:uiPriority w:val="99"/>
    <w:semiHidden/>
    <w:rsid w:val="004003E2"/>
    <w:rPr>
      <w:rFonts w:ascii="Verdana" w:hAnsi="Verdana"/>
      <w:sz w:val="16"/>
    </w:rPr>
  </w:style>
  <w:style w:type="character" w:styleId="FootnoteReference">
    <w:name w:val="footnote reference"/>
    <w:basedOn w:val="DefaultParagraphFont"/>
    <w:uiPriority w:val="99"/>
    <w:semiHidden/>
    <w:unhideWhenUsed/>
    <w:rsid w:val="00400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D623A-17D0-48B3-BC00-43F0B3E93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4FC264E-99C0-4408-9A1E-CFAA945AFDAF}">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00A599D6-4E53-4CAD-9A56-FA7520B09B04}">
  <ds:schemaRefs>
    <ds:schemaRef ds:uri="http://schemas.openxmlformats.org/officeDocument/2006/bibliography"/>
  </ds:schemaRefs>
</ds:datastoreItem>
</file>

<file path=customXml/itemProps5.xml><?xml version="1.0" encoding="utf-8"?>
<ds:datastoreItem xmlns:ds="http://schemas.openxmlformats.org/officeDocument/2006/customXml" ds:itemID="{787EECB2-E8E5-4AFA-84C6-C85A60B8F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7</Pages>
  <Words>2657</Words>
  <Characters>12948</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Spencer-Peet, Andrew</dc:creator>
  <cp:lastModifiedBy>Cook, Robert</cp:lastModifiedBy>
  <cp:revision>3</cp:revision>
  <cp:lastPrinted>2022-06-24T14:35:00Z</cp:lastPrinted>
  <dcterms:created xsi:type="dcterms:W3CDTF">2022-06-24T14:35:00Z</dcterms:created>
  <dcterms:modified xsi:type="dcterms:W3CDTF">2022-06-24T14:50:00Z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