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40" w:lineRule="auto"/>
        <w:jc w:val="right"/>
        <w:rPr>
          <w:b w:val="1"/>
        </w:rPr>
      </w:pPr>
      <w:bookmarkStart w:colFirst="0" w:colLast="0" w:name="_4ifwb6gi2v8k" w:id="0"/>
      <w:bookmarkEnd w:id="0"/>
      <w:r w:rsidDel="00000000" w:rsidR="00000000" w:rsidRPr="00000000">
        <w:rPr>
          <w:b w:val="1"/>
          <w:rtl w:val="0"/>
        </w:rPr>
        <w:t xml:space="preserve">CSPL (21)</w:t>
      </w:r>
      <w:r w:rsidDel="00000000" w:rsidR="00000000" w:rsidRPr="00000000">
        <w:rPr>
          <w:b w:val="1"/>
          <w:rtl w:val="0"/>
        </w:rPr>
        <w:t xml:space="preserve"> </w:t>
      </w:r>
      <w:r w:rsidDel="00000000" w:rsidR="00000000" w:rsidRPr="00000000">
        <w:rPr>
          <w:b w:val="1"/>
          <w:rtl w:val="0"/>
        </w:rPr>
        <w:t xml:space="preserve">33</w:t>
      </w:r>
    </w:p>
    <w:p w:rsidR="00000000" w:rsidDel="00000000" w:rsidP="00000000" w:rsidRDefault="00000000" w:rsidRPr="00000000" w14:paraId="00000002">
      <w:pPr>
        <w:pageBreakBefore w:val="0"/>
        <w:spacing w:line="240" w:lineRule="auto"/>
        <w:jc w:val="right"/>
        <w:rPr>
          <w:b w:val="1"/>
        </w:rPr>
      </w:pPr>
      <w:bookmarkStart w:colFirst="0" w:colLast="0" w:name="_320ky7j5bhy2" w:id="1"/>
      <w:bookmarkEnd w:id="1"/>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rPr>
      </w:pPr>
      <w:bookmarkStart w:colFirst="0" w:colLast="0" w:name="_ggfxzu939m7f" w:id="2"/>
      <w:bookmarkEnd w:id="2"/>
      <w:r w:rsidDel="00000000" w:rsidR="00000000" w:rsidRPr="00000000">
        <w:rPr>
          <w:b w:val="1"/>
          <w:rtl w:val="0"/>
        </w:rPr>
        <w:t xml:space="preserve">COMMITTEE ON STANDARDS IN PUBLIC LIFE</w:t>
      </w: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rPr>
      </w:pPr>
      <w:r w:rsidDel="00000000" w:rsidR="00000000" w:rsidRPr="00000000">
        <w:rPr>
          <w:b w:val="1"/>
          <w:rtl w:val="0"/>
        </w:rPr>
        <w:t xml:space="preserve">301st </w:t>
      </w:r>
      <w:r w:rsidDel="00000000" w:rsidR="00000000" w:rsidRPr="00000000">
        <w:rPr>
          <w:b w:val="1"/>
          <w:rtl w:val="0"/>
        </w:rPr>
        <w:t xml:space="preserve">MEETING</w:t>
      </w:r>
      <w:r w:rsidDel="00000000" w:rsidR="00000000" w:rsidRPr="00000000">
        <w:rPr>
          <w:rtl w:val="0"/>
        </w:rPr>
      </w:r>
    </w:p>
    <w:p w:rsidR="00000000" w:rsidDel="00000000" w:rsidP="00000000" w:rsidRDefault="00000000" w:rsidRPr="00000000" w14:paraId="00000005">
      <w:pPr>
        <w:pageBreakBefore w:val="0"/>
        <w:spacing w:line="240" w:lineRule="auto"/>
        <w:jc w:val="center"/>
        <w:rPr>
          <w:b w:val="1"/>
        </w:rPr>
      </w:pPr>
      <w:r w:rsidDel="00000000" w:rsidR="00000000" w:rsidRPr="00000000">
        <w:rPr>
          <w:b w:val="1"/>
          <w:rtl w:val="0"/>
        </w:rPr>
        <w:t xml:space="preserve">HELD VIRTUALLY AT 16.00 ON TUESDAY 31 MAY 2022</w:t>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rPr>
      </w:pPr>
      <w:r w:rsidDel="00000000" w:rsidR="00000000" w:rsidRPr="00000000">
        <w:rPr>
          <w:b w:val="1"/>
          <w:rtl w:val="0"/>
        </w:rPr>
        <w:t xml:space="preserve">MINUTES</w:t>
      </w: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spacing w:line="240" w:lineRule="auto"/>
        <w:ind w:left="720" w:firstLine="0"/>
        <w:rPr/>
      </w:pPr>
      <w:r w:rsidDel="00000000" w:rsidR="00000000" w:rsidRPr="00000000">
        <w:rPr>
          <w:rtl w:val="0"/>
        </w:rPr>
        <w:t xml:space="preserve">Present:</w:t>
        <w:tab/>
        <w:tab/>
        <w:t xml:space="preserve">Lord Evans of Weardale KCB DL, Chair</w:t>
      </w:r>
    </w:p>
    <w:p w:rsidR="00000000" w:rsidDel="00000000" w:rsidP="00000000" w:rsidRDefault="00000000" w:rsidRPr="00000000" w14:paraId="0000000A">
      <w:pPr>
        <w:pageBreakBefore w:val="0"/>
        <w:spacing w:line="240" w:lineRule="auto"/>
        <w:ind w:left="2160" w:firstLine="720"/>
        <w:rPr/>
      </w:pPr>
      <w:r w:rsidDel="00000000" w:rsidR="00000000" w:rsidRPr="00000000">
        <w:rPr>
          <w:rtl w:val="0"/>
        </w:rPr>
        <w:t xml:space="preserve">Ewen Fergusson</w:t>
      </w:r>
    </w:p>
    <w:p w:rsidR="00000000" w:rsidDel="00000000" w:rsidP="00000000" w:rsidRDefault="00000000" w:rsidRPr="00000000" w14:paraId="0000000B">
      <w:pPr>
        <w:pageBreakBefore w:val="0"/>
        <w:spacing w:line="240" w:lineRule="auto"/>
        <w:ind w:left="2160" w:firstLine="720"/>
        <w:rPr/>
      </w:pPr>
      <w:r w:rsidDel="00000000" w:rsidR="00000000" w:rsidRPr="00000000">
        <w:rPr>
          <w:rtl w:val="0"/>
        </w:rPr>
        <w:t xml:space="preserve">Professor Dame Shirley Pearce DBE </w:t>
      </w:r>
    </w:p>
    <w:p w:rsidR="00000000" w:rsidDel="00000000" w:rsidP="00000000" w:rsidRDefault="00000000" w:rsidRPr="00000000" w14:paraId="0000000C">
      <w:pPr>
        <w:pageBreakBefore w:val="0"/>
        <w:spacing w:line="240" w:lineRule="auto"/>
        <w:ind w:left="2160" w:firstLine="720"/>
        <w:rPr/>
      </w:pPr>
      <w:r w:rsidDel="00000000" w:rsidR="00000000" w:rsidRPr="00000000">
        <w:rPr>
          <w:rtl w:val="0"/>
        </w:rPr>
        <w:t xml:space="preserve">Professor Gillian Peele</w:t>
      </w:r>
    </w:p>
    <w:p w:rsidR="00000000" w:rsidDel="00000000" w:rsidP="00000000" w:rsidRDefault="00000000" w:rsidRPr="00000000" w14:paraId="0000000D">
      <w:pPr>
        <w:spacing w:line="240" w:lineRule="auto"/>
        <w:ind w:left="2160" w:firstLine="720"/>
        <w:rPr/>
      </w:pPr>
      <w:r w:rsidDel="00000000" w:rsidR="00000000" w:rsidRPr="00000000">
        <w:rPr>
          <w:rtl w:val="0"/>
        </w:rPr>
        <w:t xml:space="preserve">Rt Hon Dame Margaret Beckett DBE MP</w:t>
      </w:r>
      <w:r w:rsidDel="00000000" w:rsidR="00000000" w:rsidRPr="00000000">
        <w:rPr>
          <w:rtl w:val="0"/>
        </w:rPr>
      </w:r>
    </w:p>
    <w:p w:rsidR="00000000" w:rsidDel="00000000" w:rsidP="00000000" w:rsidRDefault="00000000" w:rsidRPr="00000000" w14:paraId="0000000E">
      <w:pPr>
        <w:spacing w:line="240" w:lineRule="auto"/>
        <w:ind w:left="2160" w:firstLine="720"/>
        <w:rPr/>
      </w:pPr>
      <w:r w:rsidDel="00000000" w:rsidR="00000000" w:rsidRPr="00000000">
        <w:rPr>
          <w:rtl w:val="0"/>
        </w:rPr>
        <w:t xml:space="preserve">Rt Hon Lord Stunell OBE</w:t>
      </w:r>
    </w:p>
    <w:p w:rsidR="00000000" w:rsidDel="00000000" w:rsidP="00000000" w:rsidRDefault="00000000" w:rsidRPr="00000000" w14:paraId="0000000F">
      <w:pPr>
        <w:spacing w:line="240" w:lineRule="auto"/>
        <w:ind w:left="2160" w:firstLine="720"/>
        <w:rPr/>
      </w:pPr>
      <w:r w:rsidDel="00000000" w:rsidR="00000000" w:rsidRPr="00000000">
        <w:rPr>
          <w:rtl w:val="0"/>
        </w:rPr>
        <w:t xml:space="preserve">Rt Hon Sir Jeremy Wright MP</w:t>
      </w:r>
    </w:p>
    <w:p w:rsidR="00000000" w:rsidDel="00000000" w:rsidP="00000000" w:rsidRDefault="00000000" w:rsidRPr="00000000" w14:paraId="00000010">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11">
      <w:pPr>
        <w:pageBreakBefore w:val="0"/>
        <w:spacing w:line="240" w:lineRule="auto"/>
        <w:ind w:left="2160" w:firstLine="720"/>
        <w:rPr/>
      </w:pPr>
      <w:r w:rsidDel="00000000" w:rsidR="00000000" w:rsidRPr="00000000">
        <w:rPr>
          <w:rtl w:val="0"/>
        </w:rPr>
        <w:t xml:space="preserve">Lesley Bainsfair, Secretary</w:t>
      </w:r>
    </w:p>
    <w:p w:rsidR="00000000" w:rsidDel="00000000" w:rsidP="00000000" w:rsidRDefault="00000000" w:rsidRPr="00000000" w14:paraId="00000012">
      <w:pPr>
        <w:pageBreakBefore w:val="0"/>
        <w:spacing w:line="240" w:lineRule="auto"/>
        <w:ind w:left="2160" w:firstLine="720"/>
        <w:rPr/>
      </w:pPr>
      <w:r w:rsidDel="00000000" w:rsidR="00000000" w:rsidRPr="00000000">
        <w:rPr>
          <w:rtl w:val="0"/>
        </w:rPr>
        <w:t xml:space="preserve">Nicola Richardson, Senior Policy Adviser</w:t>
      </w:r>
    </w:p>
    <w:p w:rsidR="00000000" w:rsidDel="00000000" w:rsidP="00000000" w:rsidRDefault="00000000" w:rsidRPr="00000000" w14:paraId="00000013">
      <w:pPr>
        <w:pageBreakBefore w:val="0"/>
        <w:spacing w:line="240" w:lineRule="auto"/>
        <w:ind w:left="2160" w:firstLine="720"/>
        <w:rPr/>
      </w:pPr>
      <w:r w:rsidDel="00000000" w:rsidR="00000000" w:rsidRPr="00000000">
        <w:rPr>
          <w:rtl w:val="0"/>
        </w:rPr>
        <w:t xml:space="preserve">Aaron Simons, Senior Policy Adviser</w:t>
      </w:r>
    </w:p>
    <w:p w:rsidR="00000000" w:rsidDel="00000000" w:rsidP="00000000" w:rsidRDefault="00000000" w:rsidRPr="00000000" w14:paraId="00000014">
      <w:pPr>
        <w:pageBreakBefore w:val="0"/>
        <w:spacing w:line="240" w:lineRule="auto"/>
        <w:ind w:left="2160" w:firstLine="720"/>
        <w:rPr/>
      </w:pPr>
      <w:r w:rsidDel="00000000" w:rsidR="00000000" w:rsidRPr="00000000">
        <w:rPr>
          <w:rtl w:val="0"/>
        </w:rPr>
        <w:t xml:space="preserve">Amy Austin, Senior Policy Adviser</w:t>
      </w:r>
    </w:p>
    <w:p w:rsidR="00000000" w:rsidDel="00000000" w:rsidP="00000000" w:rsidRDefault="00000000" w:rsidRPr="00000000" w14:paraId="00000015">
      <w:pPr>
        <w:pageBreakBefore w:val="0"/>
        <w:spacing w:line="240" w:lineRule="auto"/>
        <w:ind w:left="2160" w:firstLine="720"/>
        <w:rPr/>
      </w:pPr>
      <w:r w:rsidDel="00000000" w:rsidR="00000000" w:rsidRPr="00000000">
        <w:rPr>
          <w:rtl w:val="0"/>
        </w:rPr>
        <w:t xml:space="preserve">Lesley Glanz, Executive Assistant</w:t>
      </w:r>
    </w:p>
    <w:p w:rsidR="00000000" w:rsidDel="00000000" w:rsidP="00000000" w:rsidRDefault="00000000" w:rsidRPr="00000000" w14:paraId="00000016">
      <w:pPr>
        <w:spacing w:line="240" w:lineRule="auto"/>
        <w:ind w:left="2160" w:firstLine="720"/>
        <w:rPr/>
      </w:pPr>
      <w:r w:rsidDel="00000000" w:rsidR="00000000" w:rsidRPr="00000000">
        <w:rPr>
          <w:rtl w:val="0"/>
        </w:rPr>
        <w:t xml:space="preserve">Maggie O’Boyle, Press Officer</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7">
      <w:pPr>
        <w:pageBreakBefore w:val="0"/>
        <w:spacing w:line="240" w:lineRule="auto"/>
        <w:ind w:left="0" w:firstLine="0"/>
        <w:rPr>
          <w:b w:val="1"/>
        </w:rPr>
      </w:pPr>
      <w:r w:rsidDel="00000000" w:rsidR="00000000" w:rsidRPr="00000000">
        <w:rPr>
          <w:rtl w:val="0"/>
        </w:rPr>
      </w:r>
    </w:p>
    <w:p w:rsidR="00000000" w:rsidDel="00000000" w:rsidP="00000000" w:rsidRDefault="00000000" w:rsidRPr="00000000" w14:paraId="00000018">
      <w:pPr>
        <w:pageBreakBefore w:val="0"/>
        <w:spacing w:line="240" w:lineRule="auto"/>
        <w:rPr>
          <w:b w:val="1"/>
        </w:rPr>
      </w:pPr>
      <w:r w:rsidDel="00000000" w:rsidR="00000000" w:rsidRPr="00000000">
        <w:rPr>
          <w:b w:val="1"/>
          <w:rtl w:val="0"/>
        </w:rPr>
        <w:t xml:space="preserve">1. </w:t>
        <w:tab/>
        <w:t xml:space="preserve">APOLOGIES</w:t>
      </w:r>
    </w:p>
    <w:p w:rsidR="00000000" w:rsidDel="00000000" w:rsidP="00000000" w:rsidRDefault="00000000" w:rsidRPr="00000000" w14:paraId="00000019">
      <w:pPr>
        <w:pageBreakBefore w:val="0"/>
        <w:spacing w:line="240" w:lineRule="auto"/>
        <w:rPr>
          <w:b w:val="1"/>
        </w:rPr>
      </w:pPr>
      <w:r w:rsidDel="00000000" w:rsidR="00000000" w:rsidRPr="00000000">
        <w:rPr>
          <w:rtl w:val="0"/>
        </w:rPr>
      </w:r>
    </w:p>
    <w:p w:rsidR="00000000" w:rsidDel="00000000" w:rsidP="00000000" w:rsidRDefault="00000000" w:rsidRPr="00000000" w14:paraId="0000001A">
      <w:pPr>
        <w:pageBreakBefore w:val="0"/>
        <w:spacing w:line="240" w:lineRule="auto"/>
        <w:rPr/>
      </w:pPr>
      <w:r w:rsidDel="00000000" w:rsidR="00000000" w:rsidRPr="00000000">
        <w:rPr>
          <w:rtl w:val="0"/>
        </w:rPr>
        <w:tab/>
        <w:t xml:space="preserve">Professor Mark Philp (Chair, Research Advisory Board)</w:t>
      </w:r>
    </w:p>
    <w:p w:rsidR="00000000" w:rsidDel="00000000" w:rsidP="00000000" w:rsidRDefault="00000000" w:rsidRPr="00000000" w14:paraId="0000001B">
      <w:pPr>
        <w:pageBreakBefore w:val="0"/>
        <w:spacing w:line="240" w:lineRule="auto"/>
        <w:rPr/>
      </w:pPr>
      <w:r w:rsidDel="00000000" w:rsidR="00000000" w:rsidRPr="00000000">
        <w:rPr>
          <w:rtl w:val="0"/>
        </w:rPr>
      </w:r>
    </w:p>
    <w:p w:rsidR="00000000" w:rsidDel="00000000" w:rsidP="00000000" w:rsidRDefault="00000000" w:rsidRPr="00000000" w14:paraId="0000001C">
      <w:pPr>
        <w:pageBreakBefore w:val="0"/>
        <w:spacing w:line="240" w:lineRule="auto"/>
        <w:ind w:left="0" w:firstLine="0"/>
        <w:rPr>
          <w:b w:val="1"/>
        </w:rPr>
      </w:pPr>
      <w:r w:rsidDel="00000000" w:rsidR="00000000" w:rsidRPr="00000000">
        <w:rPr>
          <w:b w:val="1"/>
          <w:rtl w:val="0"/>
        </w:rPr>
        <w:t xml:space="preserve">2. </w:t>
        <w:tab/>
        <w:t xml:space="preserve">PURPOSE OF MEETING</w:t>
      </w:r>
    </w:p>
    <w:p w:rsidR="00000000" w:rsidDel="00000000" w:rsidP="00000000" w:rsidRDefault="00000000" w:rsidRPr="00000000" w14:paraId="0000001D">
      <w:pPr>
        <w:pageBreakBefore w:val="0"/>
        <w:spacing w:line="240" w:lineRule="auto"/>
        <w:rPr/>
      </w:pPr>
      <w:r w:rsidDel="00000000" w:rsidR="00000000" w:rsidRPr="00000000">
        <w:rPr>
          <w:rtl w:val="0"/>
        </w:rPr>
      </w:r>
    </w:p>
    <w:p w:rsidR="00000000" w:rsidDel="00000000" w:rsidP="00000000" w:rsidRDefault="00000000" w:rsidRPr="00000000" w14:paraId="0000001E">
      <w:pPr>
        <w:pageBreakBefore w:val="0"/>
        <w:spacing w:line="240" w:lineRule="auto"/>
        <w:ind w:left="720" w:firstLine="0"/>
        <w:rPr/>
      </w:pPr>
      <w:r w:rsidDel="00000000" w:rsidR="00000000" w:rsidRPr="00000000">
        <w:rPr>
          <w:rtl w:val="0"/>
        </w:rPr>
        <w:t xml:space="preserve">This special meeting was called to discuss the government statement on changes to the Ministerial Code, and to the terms of reference of the role of Independent Adviser on Ministers’ Interests.  Lord True, Minister for the Cabinet Office, wrote to the Chair on 27 May about these changes.</w:t>
      </w:r>
    </w:p>
    <w:p w:rsidR="00000000" w:rsidDel="00000000" w:rsidP="00000000" w:rsidRDefault="00000000" w:rsidRPr="00000000" w14:paraId="0000001F">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20">
      <w:pPr>
        <w:pageBreakBefore w:val="0"/>
        <w:spacing w:line="240" w:lineRule="auto"/>
        <w:ind w:left="720" w:hanging="720"/>
        <w:rPr/>
      </w:pPr>
      <w:r w:rsidDel="00000000" w:rsidR="00000000" w:rsidRPr="00000000">
        <w:rPr>
          <w:rtl w:val="0"/>
        </w:rPr>
        <w:t xml:space="preserve">3.</w:t>
      </w:r>
      <w:r w:rsidDel="00000000" w:rsidR="00000000" w:rsidRPr="00000000">
        <w:rPr>
          <w:b w:val="1"/>
          <w:rtl w:val="0"/>
        </w:rPr>
        <w:tab/>
      </w:r>
      <w:r w:rsidDel="00000000" w:rsidR="00000000" w:rsidRPr="00000000">
        <w:rPr>
          <w:rtl w:val="0"/>
        </w:rPr>
        <w:t xml:space="preserve">The Chair replied to Lord True on 30 May, setting out the Committee’s response to the government statement.  </w:t>
      </w:r>
    </w:p>
    <w:p w:rsidR="00000000" w:rsidDel="00000000" w:rsidP="00000000" w:rsidRDefault="00000000" w:rsidRPr="00000000" w14:paraId="00000021">
      <w:pPr>
        <w:pageBreakBefore w:val="0"/>
        <w:spacing w:line="240" w:lineRule="auto"/>
        <w:ind w:left="720" w:hanging="720"/>
        <w:rPr/>
      </w:pPr>
      <w:r w:rsidDel="00000000" w:rsidR="00000000" w:rsidRPr="00000000">
        <w:rPr>
          <w:rtl w:val="0"/>
        </w:rPr>
      </w:r>
    </w:p>
    <w:p w:rsidR="00000000" w:rsidDel="00000000" w:rsidP="00000000" w:rsidRDefault="00000000" w:rsidRPr="00000000" w14:paraId="00000022">
      <w:pPr>
        <w:pageBreakBefore w:val="0"/>
        <w:spacing w:line="240" w:lineRule="auto"/>
        <w:ind w:left="720" w:hanging="720"/>
        <w:rPr/>
      </w:pPr>
      <w:r w:rsidDel="00000000" w:rsidR="00000000" w:rsidRPr="00000000">
        <w:rPr>
          <w:rtl w:val="0"/>
        </w:rPr>
        <w:t xml:space="preserve">4. </w:t>
        <w:tab/>
        <w:t xml:space="preserve">The Committee noted that the Code now set out a range of sanctions for breaches of the Code, and an improvement in the process for initiating investigations - the Independent Adviser may now initiate an investigation, </w:t>
      </w:r>
      <w:r w:rsidDel="00000000" w:rsidR="00000000" w:rsidRPr="00000000">
        <w:rPr>
          <w:i w:val="1"/>
          <w:rtl w:val="0"/>
        </w:rPr>
        <w:t xml:space="preserve">before doing so, the Independent Adviser will consult the Prime Minister who will normally give his consent</w:t>
      </w:r>
      <w:r w:rsidDel="00000000" w:rsidR="00000000" w:rsidRPr="00000000">
        <w:rPr>
          <w:rtl w:val="0"/>
        </w:rPr>
        <w:t xml:space="preserve">.</w:t>
      </w:r>
      <w:r w:rsidDel="00000000" w:rsidR="00000000" w:rsidRPr="00000000">
        <w:rPr>
          <w:vertAlign w:val="superscript"/>
        </w:rPr>
        <w:footnoteReference w:customMarkFollows="0" w:id="1"/>
      </w:r>
      <w:r w:rsidDel="00000000" w:rsidR="00000000" w:rsidRPr="00000000">
        <w:rPr>
          <w:rtl w:val="0"/>
        </w:rPr>
        <w:t xml:space="preserve"> However, the Committee agreed this still fell far short of the necessary independence of the role of Independent Adviser called for by the Committee.  The graduated sanctions and independence of the role of the Independent Advisor were mutually dependent recommendations.</w:t>
      </w:r>
    </w:p>
    <w:p w:rsidR="00000000" w:rsidDel="00000000" w:rsidP="00000000" w:rsidRDefault="00000000" w:rsidRPr="00000000" w14:paraId="00000023">
      <w:pPr>
        <w:pageBreakBefore w:val="0"/>
        <w:spacing w:line="240" w:lineRule="auto"/>
        <w:ind w:left="720" w:hanging="720"/>
        <w:rPr/>
      </w:pPr>
      <w:r w:rsidDel="00000000" w:rsidR="00000000" w:rsidRPr="00000000">
        <w:rPr>
          <w:rtl w:val="0"/>
        </w:rPr>
      </w:r>
    </w:p>
    <w:p w:rsidR="00000000" w:rsidDel="00000000" w:rsidP="00000000" w:rsidRDefault="00000000" w:rsidRPr="00000000" w14:paraId="00000024">
      <w:pPr>
        <w:pageBreakBefore w:val="0"/>
        <w:spacing w:line="240" w:lineRule="auto"/>
        <w:ind w:left="720" w:hanging="720"/>
        <w:rPr/>
      </w:pPr>
      <w:r w:rsidDel="00000000" w:rsidR="00000000" w:rsidRPr="00000000">
        <w:rPr>
          <w:rtl w:val="0"/>
        </w:rPr>
        <w:t xml:space="preserve"> 5. </w:t>
        <w:tab/>
        <w:t xml:space="preserve">The government had apparently ignored the Committee’s other recommendations which were part of an essential package to strengthen the independence of the role.  </w:t>
      </w:r>
    </w:p>
    <w:p w:rsidR="00000000" w:rsidDel="00000000" w:rsidP="00000000" w:rsidRDefault="00000000" w:rsidRPr="00000000" w14:paraId="00000025">
      <w:pPr>
        <w:pageBreakBefore w:val="0"/>
        <w:spacing w:line="240" w:lineRule="auto"/>
        <w:ind w:left="720" w:hanging="720"/>
        <w:rPr/>
      </w:pPr>
      <w:r w:rsidDel="00000000" w:rsidR="00000000" w:rsidRPr="00000000">
        <w:rPr>
          <w:rtl w:val="0"/>
        </w:rPr>
      </w:r>
    </w:p>
    <w:p w:rsidR="00000000" w:rsidDel="00000000" w:rsidP="00000000" w:rsidRDefault="00000000" w:rsidRPr="00000000" w14:paraId="00000026">
      <w:pPr>
        <w:pageBreakBefore w:val="0"/>
        <w:spacing w:line="240" w:lineRule="auto"/>
        <w:ind w:left="720" w:hanging="720"/>
        <w:rPr/>
      </w:pPr>
      <w:r w:rsidDel="00000000" w:rsidR="00000000" w:rsidRPr="00000000">
        <w:rPr>
          <w:rtl w:val="0"/>
        </w:rPr>
        <w:t xml:space="preserve">6. </w:t>
        <w:tab/>
        <w:t xml:space="preserve">The government had also not responded to the recommendations in</w:t>
      </w:r>
      <w:r w:rsidDel="00000000" w:rsidR="00000000" w:rsidRPr="00000000">
        <w:rPr>
          <w:i w:val="1"/>
          <w:rtl w:val="0"/>
        </w:rPr>
        <w:t xml:space="preserve"> Upholding Standards in Public Life</w:t>
      </w:r>
      <w:r w:rsidDel="00000000" w:rsidR="00000000" w:rsidRPr="00000000">
        <w:rPr>
          <w:rtl w:val="0"/>
        </w:rPr>
        <w:t xml:space="preserve"> relating to the public appointments process, the Business Appointment Rules and transparency around lobbying.</w:t>
      </w:r>
      <w:r w:rsidDel="00000000" w:rsidR="00000000" w:rsidRPr="00000000">
        <w:rPr>
          <w:rtl w:val="0"/>
        </w:rPr>
      </w:r>
    </w:p>
    <w:p w:rsidR="00000000" w:rsidDel="00000000" w:rsidP="00000000" w:rsidRDefault="00000000" w:rsidRPr="00000000" w14:paraId="00000027">
      <w:pPr>
        <w:pageBreakBefore w:val="0"/>
        <w:spacing w:line="240" w:lineRule="auto"/>
        <w:ind w:left="720" w:hanging="720"/>
        <w:rPr/>
      </w:pPr>
      <w:r w:rsidDel="00000000" w:rsidR="00000000" w:rsidRPr="00000000">
        <w:rPr>
          <w:rtl w:val="0"/>
        </w:rPr>
      </w:r>
    </w:p>
    <w:p w:rsidR="00000000" w:rsidDel="00000000" w:rsidP="00000000" w:rsidRDefault="00000000" w:rsidRPr="00000000" w14:paraId="00000028">
      <w:pPr>
        <w:pageBreakBefore w:val="0"/>
        <w:spacing w:line="240" w:lineRule="auto"/>
        <w:ind w:left="720" w:hanging="720"/>
        <w:rPr/>
      </w:pPr>
      <w:r w:rsidDel="00000000" w:rsidR="00000000" w:rsidRPr="00000000">
        <w:rPr>
          <w:rtl w:val="0"/>
        </w:rPr>
        <w:t xml:space="preserve">7.</w:t>
        <w:tab/>
        <w:t xml:space="preserve">Members discussed and agreed to publish a draft statement/blog which aimed to set out clearly the Committee’s view. </w:t>
      </w:r>
    </w:p>
    <w:p w:rsidR="00000000" w:rsidDel="00000000" w:rsidP="00000000" w:rsidRDefault="00000000" w:rsidRPr="00000000" w14:paraId="00000029">
      <w:pPr>
        <w:pageBreakBefore w:val="0"/>
        <w:spacing w:line="240" w:lineRule="auto"/>
        <w:ind w:left="720" w:hanging="720"/>
        <w:rPr/>
      </w:pPr>
      <w:r w:rsidDel="00000000" w:rsidR="00000000" w:rsidRPr="00000000">
        <w:rPr>
          <w:rtl w:val="0"/>
        </w:rPr>
      </w:r>
    </w:p>
    <w:p w:rsidR="00000000" w:rsidDel="00000000" w:rsidP="00000000" w:rsidRDefault="00000000" w:rsidRPr="00000000" w14:paraId="0000002A">
      <w:pPr>
        <w:pageBreakBefore w:val="0"/>
        <w:spacing w:line="240" w:lineRule="auto"/>
        <w:ind w:left="720" w:hanging="720"/>
        <w:rPr/>
      </w:pPr>
      <w:r w:rsidDel="00000000" w:rsidR="00000000" w:rsidRPr="00000000">
        <w:rPr>
          <w:rtl w:val="0"/>
        </w:rPr>
      </w:r>
    </w:p>
    <w:p w:rsidR="00000000" w:rsidDel="00000000" w:rsidP="00000000" w:rsidRDefault="00000000" w:rsidRPr="00000000" w14:paraId="0000002B">
      <w:pPr>
        <w:pageBreakBefore w:val="0"/>
        <w:spacing w:line="240" w:lineRule="auto"/>
        <w:ind w:left="720" w:hanging="720"/>
        <w:rPr/>
      </w:pPr>
      <w:r w:rsidDel="00000000" w:rsidR="00000000" w:rsidRPr="00000000">
        <w:rPr>
          <w:rtl w:val="0"/>
        </w:rPr>
      </w:r>
    </w:p>
    <w:p w:rsidR="00000000" w:rsidDel="00000000" w:rsidP="00000000" w:rsidRDefault="00000000" w:rsidRPr="00000000" w14:paraId="0000002C">
      <w:pPr>
        <w:pageBreakBefore w:val="0"/>
        <w:spacing w:line="240" w:lineRule="auto"/>
        <w:ind w:left="720" w:hanging="720"/>
        <w:rPr/>
      </w:pPr>
      <w:r w:rsidDel="00000000" w:rsidR="00000000" w:rsidRPr="00000000">
        <w:rPr>
          <w:rtl w:val="0"/>
        </w:rPr>
        <w:t xml:space="preserve">CSPL Secretariat</w:t>
      </w:r>
    </w:p>
    <w:p w:rsidR="00000000" w:rsidDel="00000000" w:rsidP="00000000" w:rsidRDefault="00000000" w:rsidRPr="00000000" w14:paraId="0000002D">
      <w:pPr>
        <w:pageBreakBefore w:val="0"/>
        <w:spacing w:line="240" w:lineRule="auto"/>
        <w:ind w:left="720" w:hanging="720"/>
        <w:rPr/>
      </w:pPr>
      <w:r w:rsidDel="00000000" w:rsidR="00000000" w:rsidRPr="00000000">
        <w:rPr>
          <w:rtl w:val="0"/>
        </w:rPr>
        <w:t xml:space="preserve">May 2022</w:t>
      </w:r>
      <w:r w:rsidDel="00000000" w:rsidR="00000000" w:rsidRPr="00000000">
        <w:rPr>
          <w:rtl w:val="0"/>
        </w:rPr>
      </w:r>
    </w:p>
    <w:sectPr>
      <w:headerReference r:id="rId7" w:type="default"/>
      <w:footerReference r:id="rId8" w:type="default"/>
      <w:pgSz w:h="16838" w:w="11906" w:orient="portrait"/>
      <w:pgMar w:bottom="1440.0000000000002" w:top="1440.0000000000002"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Maggie O’Boyle provides part-time press support to the Civil Service Commission, the House of Lords Appointments Commission, the Office</w:t>
      </w:r>
      <w:r w:rsidDel="00000000" w:rsidR="00000000" w:rsidRPr="00000000">
        <w:rPr>
          <w:sz w:val="20"/>
          <w:szCs w:val="20"/>
          <w:rtl w:val="0"/>
        </w:rPr>
        <w:t xml:space="preserve"> </w:t>
      </w:r>
      <w:r w:rsidDel="00000000" w:rsidR="00000000" w:rsidRPr="00000000">
        <w:rPr>
          <w:sz w:val="20"/>
          <w:szCs w:val="20"/>
          <w:rtl w:val="0"/>
        </w:rPr>
        <w:t xml:space="preserve">for the Commissioner for Public Appointments and the Committee on Standards in Public Life.</w:t>
      </w:r>
    </w:p>
    <w:p w:rsidR="00000000" w:rsidDel="00000000" w:rsidP="00000000" w:rsidRDefault="00000000" w:rsidRPr="00000000" w14:paraId="00000034">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3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Revised Ministerial Code May 2022 https://assets.publishing.service.gov.uk/government/uploads/system/uploads/attachment_data/file/1079310/Ministerial_Code.pdf</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jc w:val="center"/>
      <w:rPr/>
    </w:pPr>
    <w:r w:rsidDel="00000000" w:rsidR="00000000" w:rsidRPr="00000000">
      <w:rPr>
        <w:rtl w:val="0"/>
      </w:rPr>
    </w:r>
  </w:p>
  <w:p w:rsidR="00000000" w:rsidDel="00000000" w:rsidP="00000000" w:rsidRDefault="00000000" w:rsidRPr="00000000" w14:paraId="00000030">
    <w:pPr>
      <w:pageBreakBefore w:val="0"/>
      <w:jc w:val="center"/>
      <w:rPr/>
    </w:pPr>
    <w:r w:rsidDel="00000000" w:rsidR="00000000" w:rsidRPr="00000000">
      <w:rPr>
        <w:rtl w:val="0"/>
      </w:rPr>
    </w:r>
  </w:p>
  <w:p w:rsidR="00000000" w:rsidDel="00000000" w:rsidP="00000000" w:rsidRDefault="00000000" w:rsidRPr="00000000" w14:paraId="00000031">
    <w:pPr>
      <w:pageBreakBefore w:val="0"/>
      <w:jc w:val="center"/>
      <w:rPr>
        <w:b w:val="1"/>
        <w:color w:val="ff0000"/>
      </w:rPr>
    </w:pPr>
    <w:r w:rsidDel="00000000" w:rsidR="00000000" w:rsidRPr="00000000">
      <w:rPr>
        <w:rtl w:val="0"/>
      </w:rPr>
    </w:r>
  </w:p>
  <w:p w:rsidR="00000000" w:rsidDel="00000000" w:rsidP="00000000" w:rsidRDefault="00000000" w:rsidRPr="00000000" w14:paraId="00000032">
    <w:pPr>
      <w:pageBreakBefore w:val="0"/>
      <w:jc w:val="left"/>
      <w:rPr>
        <w:b w:val="1"/>
        <w:color w:val="ff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