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2966" w14:textId="77777777" w:rsidR="000B0589" w:rsidRDefault="000B0589" w:rsidP="00BC2702">
      <w:pPr>
        <w:pStyle w:val="Conditions1"/>
        <w:numPr>
          <w:ilvl w:val="0"/>
          <w:numId w:val="0"/>
        </w:numPr>
      </w:pPr>
      <w:r>
        <w:rPr>
          <w:noProof/>
        </w:rPr>
        <w:drawing>
          <wp:inline distT="0" distB="0" distL="0" distR="0" wp14:anchorId="4D2882E8" wp14:editId="319C759B">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6DB024AA" w14:textId="77777777" w:rsidR="000B0589" w:rsidRDefault="000B0589" w:rsidP="00A5760C"/>
    <w:p w14:paraId="197B7C48"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1F48E2B3" w14:textId="77777777" w:rsidTr="00E34E78">
        <w:trPr>
          <w:cantSplit/>
          <w:trHeight w:val="23"/>
        </w:trPr>
        <w:tc>
          <w:tcPr>
            <w:tcW w:w="9356" w:type="dxa"/>
            <w:shd w:val="clear" w:color="auto" w:fill="auto"/>
          </w:tcPr>
          <w:p w14:paraId="315B86A3" w14:textId="55598A9A" w:rsidR="000B0589" w:rsidRPr="00E34E78" w:rsidRDefault="00E34E78"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5516F3A7" w14:textId="77777777" w:rsidTr="00E34E78">
        <w:trPr>
          <w:cantSplit/>
          <w:trHeight w:val="23"/>
        </w:trPr>
        <w:tc>
          <w:tcPr>
            <w:tcW w:w="9356" w:type="dxa"/>
            <w:shd w:val="clear" w:color="auto" w:fill="auto"/>
            <w:vAlign w:val="center"/>
          </w:tcPr>
          <w:p w14:paraId="391A53D3" w14:textId="0150D483" w:rsidR="00E34E78" w:rsidRDefault="00E34E78" w:rsidP="00E34E78">
            <w:pPr>
              <w:spacing w:before="60"/>
              <w:ind w:left="-108" w:right="34"/>
              <w:rPr>
                <w:color w:val="000000"/>
                <w:szCs w:val="22"/>
              </w:rPr>
            </w:pPr>
            <w:r>
              <w:rPr>
                <w:color w:val="000000"/>
                <w:szCs w:val="22"/>
              </w:rPr>
              <w:t>Inquiry Held on 6-7 April 2022</w:t>
            </w:r>
          </w:p>
          <w:p w14:paraId="4A2DAB71" w14:textId="169AD239" w:rsidR="000B0589" w:rsidRPr="00E34E78" w:rsidRDefault="00E34E78" w:rsidP="00E34E78">
            <w:pPr>
              <w:spacing w:before="60"/>
              <w:ind w:left="-108" w:right="34"/>
              <w:rPr>
                <w:color w:val="000000"/>
                <w:szCs w:val="22"/>
              </w:rPr>
            </w:pPr>
            <w:r>
              <w:rPr>
                <w:color w:val="000000"/>
                <w:szCs w:val="22"/>
              </w:rPr>
              <w:t>Site visit made on 5 and 6 April 2022</w:t>
            </w:r>
          </w:p>
        </w:tc>
      </w:tr>
      <w:tr w:rsidR="000B0589" w:rsidRPr="00361890" w14:paraId="264EE3BA" w14:textId="77777777" w:rsidTr="00E34E78">
        <w:trPr>
          <w:cantSplit/>
          <w:trHeight w:val="23"/>
        </w:trPr>
        <w:tc>
          <w:tcPr>
            <w:tcW w:w="9356" w:type="dxa"/>
            <w:shd w:val="clear" w:color="auto" w:fill="auto"/>
          </w:tcPr>
          <w:p w14:paraId="6C8E3332" w14:textId="26485E88" w:rsidR="000B0589" w:rsidRPr="00E34E78" w:rsidRDefault="00E34E78" w:rsidP="00E34E78">
            <w:pPr>
              <w:spacing w:before="180"/>
              <w:ind w:left="-108" w:right="34"/>
              <w:rPr>
                <w:b/>
                <w:color w:val="000000"/>
                <w:sz w:val="16"/>
                <w:szCs w:val="22"/>
              </w:rPr>
            </w:pPr>
            <w:r>
              <w:rPr>
                <w:b/>
                <w:color w:val="000000"/>
                <w:szCs w:val="22"/>
              </w:rPr>
              <w:t xml:space="preserve">by D M Young JP BSc (Hons) MPlan MRTPI MIHE </w:t>
            </w:r>
          </w:p>
        </w:tc>
      </w:tr>
      <w:tr w:rsidR="000B0589" w:rsidRPr="00361890" w14:paraId="2E7E3083" w14:textId="77777777" w:rsidTr="00E34E78">
        <w:trPr>
          <w:cantSplit/>
          <w:trHeight w:val="23"/>
        </w:trPr>
        <w:tc>
          <w:tcPr>
            <w:tcW w:w="9356" w:type="dxa"/>
            <w:shd w:val="clear" w:color="auto" w:fill="auto"/>
          </w:tcPr>
          <w:p w14:paraId="3B83130A" w14:textId="284EFEDF" w:rsidR="000B0589" w:rsidRPr="00E34E78" w:rsidRDefault="00E34E78"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433F662B" w14:textId="77777777" w:rsidTr="00E34E78">
        <w:trPr>
          <w:cantSplit/>
          <w:trHeight w:val="23"/>
        </w:trPr>
        <w:tc>
          <w:tcPr>
            <w:tcW w:w="9356" w:type="dxa"/>
            <w:shd w:val="clear" w:color="auto" w:fill="auto"/>
          </w:tcPr>
          <w:p w14:paraId="3A17EF2D" w14:textId="194D0F79"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4457CA">
              <w:rPr>
                <w:b/>
                <w:color w:val="000000"/>
                <w:sz w:val="16"/>
                <w:szCs w:val="16"/>
              </w:rPr>
              <w:t xml:space="preserve"> 24 May 2022</w:t>
            </w:r>
          </w:p>
        </w:tc>
      </w:tr>
    </w:tbl>
    <w:p w14:paraId="3D3C60A0" w14:textId="77777777" w:rsidR="00E34E78" w:rsidRDefault="00E34E78" w:rsidP="000B0589"/>
    <w:tbl>
      <w:tblPr>
        <w:tblW w:w="0" w:type="auto"/>
        <w:tblLayout w:type="fixed"/>
        <w:tblLook w:val="0000" w:firstRow="0" w:lastRow="0" w:firstColumn="0" w:lastColumn="0" w:noHBand="0" w:noVBand="0"/>
      </w:tblPr>
      <w:tblGrid>
        <w:gridCol w:w="9520"/>
      </w:tblGrid>
      <w:tr w:rsidR="00E34E78" w14:paraId="0E8D8AE8" w14:textId="77777777" w:rsidTr="00E34E78">
        <w:tc>
          <w:tcPr>
            <w:tcW w:w="9520" w:type="dxa"/>
            <w:shd w:val="clear" w:color="auto" w:fill="auto"/>
          </w:tcPr>
          <w:p w14:paraId="36C7156B" w14:textId="5C64E8EB" w:rsidR="00E34E78" w:rsidRPr="00E34E78" w:rsidRDefault="00E34E78" w:rsidP="00E34E78">
            <w:pPr>
              <w:spacing w:after="60"/>
              <w:rPr>
                <w:b/>
                <w:color w:val="000000"/>
              </w:rPr>
            </w:pPr>
            <w:r>
              <w:rPr>
                <w:b/>
                <w:color w:val="000000"/>
              </w:rPr>
              <w:t>Order Ref: ROW/3273792</w:t>
            </w:r>
          </w:p>
        </w:tc>
      </w:tr>
      <w:tr w:rsidR="00E34E78" w14:paraId="4800CDAF" w14:textId="77777777" w:rsidTr="00E34E78">
        <w:tc>
          <w:tcPr>
            <w:tcW w:w="9520" w:type="dxa"/>
            <w:shd w:val="clear" w:color="auto" w:fill="auto"/>
          </w:tcPr>
          <w:p w14:paraId="63BF9695" w14:textId="06DD9E18" w:rsidR="00E34E78" w:rsidRDefault="00E34E78" w:rsidP="00E34E78">
            <w:pPr>
              <w:pStyle w:val="TBullet"/>
            </w:pPr>
            <w:r>
              <w:t xml:space="preserve">This Order is made under Section 53 (2) (b) of the Wildlife and Countryside Act 1981 (the 1981 Act) and is known as </w:t>
            </w:r>
            <w:r w:rsidRPr="00E34E78">
              <w:t>Kent County Council (Footpath AB70 at Tenterden Definitive Map Modification Order 2020)</w:t>
            </w:r>
            <w:r>
              <w:t>.</w:t>
            </w:r>
          </w:p>
        </w:tc>
      </w:tr>
      <w:tr w:rsidR="00E34E78" w14:paraId="0FCC1038" w14:textId="77777777" w:rsidTr="00E34E78">
        <w:tc>
          <w:tcPr>
            <w:tcW w:w="9520" w:type="dxa"/>
            <w:shd w:val="clear" w:color="auto" w:fill="auto"/>
          </w:tcPr>
          <w:p w14:paraId="6E1752B0" w14:textId="4A22DF22" w:rsidR="00E34E78" w:rsidRDefault="00E34E78" w:rsidP="00E34E78">
            <w:pPr>
              <w:pStyle w:val="TBullet"/>
            </w:pPr>
            <w:r>
              <w:t>The Order is dated 4 December 2020 and proposes to modify the Definitive Map and Statement for the area by adding a footpath as shown in the Order plan and described in the Order Schedule.</w:t>
            </w:r>
          </w:p>
        </w:tc>
      </w:tr>
      <w:tr w:rsidR="00E34E78" w14:paraId="6F606C9E" w14:textId="77777777" w:rsidTr="00E34E78">
        <w:tc>
          <w:tcPr>
            <w:tcW w:w="9520" w:type="dxa"/>
            <w:shd w:val="clear" w:color="auto" w:fill="auto"/>
          </w:tcPr>
          <w:p w14:paraId="0AE4320A" w14:textId="5AFC5115" w:rsidR="00E34E78" w:rsidRDefault="00E34E78" w:rsidP="00E34E78">
            <w:pPr>
              <w:pStyle w:val="TBullet"/>
            </w:pPr>
            <w:r>
              <w:t>There was one objection outstanding at the commencement of the Inquiry.</w:t>
            </w:r>
          </w:p>
        </w:tc>
      </w:tr>
      <w:tr w:rsidR="00E34E78" w14:paraId="6F4B25D4" w14:textId="77777777" w:rsidTr="00E34E78">
        <w:tc>
          <w:tcPr>
            <w:tcW w:w="9520" w:type="dxa"/>
            <w:shd w:val="clear" w:color="auto" w:fill="auto"/>
          </w:tcPr>
          <w:p w14:paraId="0498A6FF" w14:textId="730584D1" w:rsidR="00E34E78" w:rsidRPr="00E34E78" w:rsidRDefault="00E34E78" w:rsidP="00E34E78">
            <w:pPr>
              <w:spacing w:before="60"/>
              <w:rPr>
                <w:b/>
                <w:color w:val="000000"/>
              </w:rPr>
            </w:pPr>
            <w:r>
              <w:rPr>
                <w:b/>
                <w:color w:val="000000"/>
              </w:rPr>
              <w:t>Summary of Decision:</w:t>
            </w:r>
            <w:r>
              <w:t xml:space="preserve"> </w:t>
            </w:r>
            <w:r w:rsidRPr="00E34E78">
              <w:rPr>
                <w:b/>
                <w:color w:val="000000"/>
              </w:rPr>
              <w:t>The Order is not Confirmed</w:t>
            </w:r>
          </w:p>
        </w:tc>
      </w:tr>
      <w:tr w:rsidR="00E34E78" w14:paraId="15B0571F" w14:textId="77777777" w:rsidTr="00E34E78">
        <w:tc>
          <w:tcPr>
            <w:tcW w:w="9520" w:type="dxa"/>
            <w:tcBorders>
              <w:bottom w:val="single" w:sz="6" w:space="0" w:color="000000"/>
            </w:tcBorders>
            <w:shd w:val="clear" w:color="auto" w:fill="auto"/>
          </w:tcPr>
          <w:p w14:paraId="3DAC4A6F" w14:textId="77777777" w:rsidR="00E34E78" w:rsidRPr="00E34E78" w:rsidRDefault="00E34E78" w:rsidP="00E34E78">
            <w:pPr>
              <w:spacing w:before="60"/>
              <w:rPr>
                <w:b/>
                <w:color w:val="000000"/>
                <w:sz w:val="2"/>
              </w:rPr>
            </w:pPr>
            <w:bookmarkStart w:id="1" w:name="bmkReturn"/>
            <w:bookmarkEnd w:id="1"/>
          </w:p>
        </w:tc>
      </w:tr>
    </w:tbl>
    <w:p w14:paraId="01D30B5B" w14:textId="77777777" w:rsidR="00E34E78" w:rsidRDefault="00E34E78" w:rsidP="00E34E78">
      <w:pPr>
        <w:pStyle w:val="Heading6blackfont"/>
      </w:pPr>
      <w:r>
        <w:t>Procedural Matters</w:t>
      </w:r>
    </w:p>
    <w:p w14:paraId="1C0CF0A6" w14:textId="7A66FB3B" w:rsidR="00EA4122" w:rsidRDefault="00447244" w:rsidP="00EA4122">
      <w:pPr>
        <w:pStyle w:val="Style1"/>
        <w:numPr>
          <w:ilvl w:val="0"/>
          <w:numId w:val="24"/>
        </w:numPr>
        <w:tabs>
          <w:tab w:val="clear" w:pos="720"/>
        </w:tabs>
      </w:pPr>
      <w:r>
        <w:t xml:space="preserve">The application to </w:t>
      </w:r>
      <w:r w:rsidR="00F32580">
        <w:t xml:space="preserve">add a footpath to the Definitive Map and Statement </w:t>
      </w:r>
      <w:r w:rsidR="005B4F65">
        <w:t xml:space="preserve">(DMS) </w:t>
      </w:r>
      <w:r w:rsidR="00F32580">
        <w:t xml:space="preserve">for the area was made </w:t>
      </w:r>
      <w:r w:rsidR="003D4E46">
        <w:t>by a local resident (Samantha Ree</w:t>
      </w:r>
      <w:r w:rsidR="005B4F65">
        <w:t>d</w:t>
      </w:r>
      <w:r w:rsidR="003D4E46">
        <w:t xml:space="preserve">) in July 2019.  </w:t>
      </w:r>
      <w:r w:rsidR="00E37B36">
        <w:t xml:space="preserve">The application </w:t>
      </w:r>
      <w:r w:rsidR="00B76BC1">
        <w:t xml:space="preserve">was made shortly after </w:t>
      </w:r>
      <w:r w:rsidR="00D50D2E">
        <w:t>the landowners deposited a</w:t>
      </w:r>
      <w:r w:rsidR="003731FB">
        <w:t xml:space="preserve"> map and statement under section 31(6)</w:t>
      </w:r>
      <w:r w:rsidR="001B4194">
        <w:t xml:space="preserve"> of the Highways Act 1980</w:t>
      </w:r>
      <w:r w:rsidR="00F02A97" w:rsidRPr="00F02A97">
        <w:t xml:space="preserve"> </w:t>
      </w:r>
      <w:r w:rsidR="00F02A97">
        <w:t>(the 1980 Act)</w:t>
      </w:r>
      <w:r w:rsidR="00B17EE7">
        <w:t>.</w:t>
      </w:r>
    </w:p>
    <w:p w14:paraId="22F30CA4" w14:textId="3A53349A" w:rsidR="00B647DA" w:rsidRDefault="00B647DA" w:rsidP="00B647DA">
      <w:pPr>
        <w:pStyle w:val="Style1"/>
        <w:numPr>
          <w:ilvl w:val="0"/>
          <w:numId w:val="24"/>
        </w:numPr>
      </w:pPr>
      <w:r>
        <w:t xml:space="preserve">As objections to the Order were received, it was submitted to the Secretary of State for Environment, Food and Rural Affairs for confirmation.   </w:t>
      </w:r>
    </w:p>
    <w:p w14:paraId="50910407" w14:textId="1F986C0E" w:rsidR="00D50D2E" w:rsidRDefault="000C5AD7" w:rsidP="00287011">
      <w:pPr>
        <w:pStyle w:val="Style1"/>
        <w:numPr>
          <w:ilvl w:val="0"/>
          <w:numId w:val="24"/>
        </w:numPr>
      </w:pPr>
      <w:r>
        <w:t>The Order route</w:t>
      </w:r>
      <w:r w:rsidR="00237F52">
        <w:t xml:space="preserve"> </w:t>
      </w:r>
      <w:r w:rsidR="00E9701F">
        <w:t xml:space="preserve">(AB70) </w:t>
      </w:r>
      <w:r w:rsidR="00237F52">
        <w:t>is a</w:t>
      </w:r>
      <w:r w:rsidR="001B2B0F" w:rsidRPr="001B2B0F">
        <w:t xml:space="preserve"> circular route running from Woodchurch Road to Appledore Road around an area of land known locally as Limes Land</w:t>
      </w:r>
      <w:r w:rsidR="00B17EE7">
        <w:t>.  The landowners are C</w:t>
      </w:r>
      <w:r w:rsidR="00316F96">
        <w:t>arol Daniel</w:t>
      </w:r>
      <w:r w:rsidR="00E9701F">
        <w:t xml:space="preserve"> and </w:t>
      </w:r>
      <w:r w:rsidR="00173049">
        <w:t xml:space="preserve">Shaoul </w:t>
      </w:r>
      <w:r w:rsidR="007A1D4C">
        <w:t>Birshan</w:t>
      </w:r>
      <w:r w:rsidR="00B17EE7">
        <w:t>.</w:t>
      </w:r>
      <w:r w:rsidR="00FD5568">
        <w:t xml:space="preserve"> </w:t>
      </w:r>
    </w:p>
    <w:p w14:paraId="13735B43" w14:textId="7F2A412A" w:rsidR="007A1D4C" w:rsidRDefault="006B7B7D" w:rsidP="00287011">
      <w:pPr>
        <w:pStyle w:val="Style1"/>
        <w:numPr>
          <w:ilvl w:val="0"/>
          <w:numId w:val="24"/>
        </w:numPr>
      </w:pPr>
      <w:r>
        <w:t xml:space="preserve">The land has been managed </w:t>
      </w:r>
      <w:r w:rsidR="00B17EE7">
        <w:t xml:space="preserve">on behalf of the landowners </w:t>
      </w:r>
      <w:r>
        <w:t>since July 2013 by Wates Development Ltd</w:t>
      </w:r>
      <w:r w:rsidR="00173049">
        <w:t xml:space="preserve"> who </w:t>
      </w:r>
      <w:r w:rsidR="00A07446">
        <w:t>submitted a planning application</w:t>
      </w:r>
      <w:r w:rsidR="00B206C4">
        <w:rPr>
          <w:rStyle w:val="FootnoteReference"/>
        </w:rPr>
        <w:footnoteReference w:id="1"/>
      </w:r>
      <w:r w:rsidR="00A07446">
        <w:t xml:space="preserve"> </w:t>
      </w:r>
      <w:r w:rsidR="00287011">
        <w:t xml:space="preserve">for a residential development to </w:t>
      </w:r>
      <w:r w:rsidR="00A07446">
        <w:t xml:space="preserve">Ashford </w:t>
      </w:r>
      <w:r w:rsidR="00B206C4">
        <w:t>Borough</w:t>
      </w:r>
      <w:r w:rsidR="00A07446">
        <w:t xml:space="preserve"> Council in April </w:t>
      </w:r>
      <w:r w:rsidR="00287011">
        <w:t xml:space="preserve">2021.  </w:t>
      </w:r>
      <w:r w:rsidR="00437CE5">
        <w:t>In March 2022</w:t>
      </w:r>
      <w:r w:rsidR="00D50D2E">
        <w:t xml:space="preserve"> that application </w:t>
      </w:r>
      <w:r w:rsidR="00437CE5">
        <w:t>was granted</w:t>
      </w:r>
      <w:r w:rsidR="001E2D2F">
        <w:t xml:space="preserve"> </w:t>
      </w:r>
      <w:r w:rsidR="00F43965">
        <w:t xml:space="preserve">planning permission </w:t>
      </w:r>
      <w:r w:rsidR="001E2D2F">
        <w:t>on appeal</w:t>
      </w:r>
      <w:r w:rsidR="005B2B5B">
        <w:rPr>
          <w:rStyle w:val="FootnoteReference"/>
        </w:rPr>
        <w:footnoteReference w:id="2"/>
      </w:r>
      <w:r w:rsidR="000C5AD7">
        <w:t xml:space="preserve">.  </w:t>
      </w:r>
    </w:p>
    <w:p w14:paraId="0FB5AD3E" w14:textId="77777777" w:rsidR="000B4AAC" w:rsidRDefault="000C5AD7" w:rsidP="00E34E78">
      <w:pPr>
        <w:pStyle w:val="Style1"/>
        <w:numPr>
          <w:ilvl w:val="0"/>
          <w:numId w:val="24"/>
        </w:numPr>
      </w:pPr>
      <w:r>
        <w:t xml:space="preserve">I held a public Inquiry into the Order on 6 and 7 April 2022 having visited the site, unaccompanied, on 5 April.  At that visit I was able to walk </w:t>
      </w:r>
      <w:r w:rsidR="00C87323">
        <w:t>the entirety of the claimed route</w:t>
      </w:r>
      <w:r>
        <w:t xml:space="preserve">.  </w:t>
      </w:r>
      <w:r w:rsidR="008B778B">
        <w:t xml:space="preserve">Having heard </w:t>
      </w:r>
      <w:r w:rsidR="008C3F5E">
        <w:t xml:space="preserve">evidence for and against the Order on the first day of the Inquiry, </w:t>
      </w:r>
      <w:r w:rsidR="00931899">
        <w:t xml:space="preserve">I carried out </w:t>
      </w:r>
      <w:r w:rsidR="008C3F5E">
        <w:t xml:space="preserve">a further </w:t>
      </w:r>
      <w:r w:rsidR="00931899">
        <w:t>unaccompanied site vis</w:t>
      </w:r>
      <w:r w:rsidR="008B778B">
        <w:t>i</w:t>
      </w:r>
      <w:r w:rsidR="00931899">
        <w:t>t on the evening of the 6 April look</w:t>
      </w:r>
      <w:r w:rsidR="00B17EE7">
        <w:t>ing</w:t>
      </w:r>
      <w:r w:rsidR="00931899">
        <w:t xml:space="preserve"> specifically at the area </w:t>
      </w:r>
      <w:r w:rsidR="008B778B">
        <w:t>around the large oak tree</w:t>
      </w:r>
      <w:r w:rsidR="00237F52">
        <w:t>.</w:t>
      </w:r>
      <w:r w:rsidR="00F43965">
        <w:t xml:space="preserve">  A further site visit after the close of the Inquiry was not deemed necessary.  </w:t>
      </w:r>
      <w:r w:rsidR="00237F52">
        <w:t xml:space="preserve">  </w:t>
      </w:r>
    </w:p>
    <w:p w14:paraId="5477A504" w14:textId="77777777" w:rsidR="000B4AAC" w:rsidRDefault="000B4AAC" w:rsidP="000B4AAC">
      <w:pPr>
        <w:pStyle w:val="Style1"/>
        <w:numPr>
          <w:ilvl w:val="0"/>
          <w:numId w:val="0"/>
        </w:numPr>
      </w:pPr>
    </w:p>
    <w:p w14:paraId="33AE164D" w14:textId="77777777" w:rsidR="000B4AAC" w:rsidRDefault="000B4AAC" w:rsidP="000B4AAC">
      <w:pPr>
        <w:pStyle w:val="Style1"/>
        <w:numPr>
          <w:ilvl w:val="0"/>
          <w:numId w:val="0"/>
        </w:numPr>
      </w:pPr>
    </w:p>
    <w:p w14:paraId="4F54B9ED" w14:textId="0D027E25" w:rsidR="00E34E78" w:rsidRPr="000B4AAC" w:rsidRDefault="00E34E78" w:rsidP="000B4AAC">
      <w:pPr>
        <w:pStyle w:val="Style1"/>
        <w:numPr>
          <w:ilvl w:val="0"/>
          <w:numId w:val="0"/>
        </w:numPr>
        <w:rPr>
          <w:b/>
          <w:bCs/>
        </w:rPr>
      </w:pPr>
      <w:r w:rsidRPr="000B4AAC">
        <w:rPr>
          <w:b/>
          <w:bCs/>
        </w:rPr>
        <w:lastRenderedPageBreak/>
        <w:t>The Main Issues</w:t>
      </w:r>
    </w:p>
    <w:p w14:paraId="3CC8BC31" w14:textId="77777777" w:rsidR="00E34E78" w:rsidRDefault="00E34E78" w:rsidP="00E34E78">
      <w:pPr>
        <w:pStyle w:val="Style1"/>
      </w:pPr>
      <w:r>
        <w:t>The Order is made under Section 53(2)(b) of the 1981 Act, relying on the occurrence of an event specified in Section 53(3)(c)(i) of the Act.  This section requires me to consider whether the evidence discovered by the OMA, when considered with all other relevant evidence, is sufficient to show, on the balance of probabilities, that the right of way described in the Order subsists and that the DMS therefore requires modification.</w:t>
      </w:r>
    </w:p>
    <w:p w14:paraId="7BE8704D" w14:textId="00701BD9" w:rsidR="00E34E78" w:rsidRDefault="00E34E78" w:rsidP="00E34E78">
      <w:pPr>
        <w:pStyle w:val="Style1"/>
      </w:pPr>
      <w:r>
        <w:t xml:space="preserve">The Council rely on statutory dedication of the Order route under Section 31 of the 1980 </w:t>
      </w:r>
      <w:r w:rsidR="00F02A97">
        <w:t>Act.</w:t>
      </w:r>
      <w:r>
        <w:t xml:space="preserve">  This provides that where a way, other than a way of such a character that use of it could not give rise at common law to any presumption of dedication, has been actually enjoyed by the public, as of right and without interruption, for a period of twenty years, the way is deemed to have been dedicated as a highway unless there is sufficient evidence that the landowner demonstrated a lack of any intention during this period to dedicate the route.  As of right is set out in R v Oxfordshire County Council, ex parte Sunningwell Parish Council (1999) as being without force, secrecy or permission.  The 20-year period applies retrospectively from the date on which the right of the public to use the way was brought into question. </w:t>
      </w:r>
    </w:p>
    <w:p w14:paraId="1F292546" w14:textId="77777777" w:rsidR="00E34E78" w:rsidRDefault="00E34E78" w:rsidP="00E34E78">
      <w:pPr>
        <w:pStyle w:val="Style1"/>
      </w:pPr>
      <w:r>
        <w:t xml:space="preserve">The main issue is therefore whether the discovery by the OMA of evidence, when considered with all other relevant evidence, is sufficient to show that a right of way which is not shown on the DMS subsists over the land in the area to which the map relates. </w:t>
      </w:r>
    </w:p>
    <w:p w14:paraId="62AB8F73" w14:textId="503AB877" w:rsidR="00E34E78" w:rsidRDefault="00E34E78" w:rsidP="00E34E78">
      <w:pPr>
        <w:pStyle w:val="Style1"/>
      </w:pPr>
      <w:r>
        <w:t xml:space="preserve">In addition to considering the user evidence with regard to the provisions of section 31 of the 1980 Act, I am also required to consider whether dedication of the claimed route has taken place at common law.  The evidential test to be applied, at common law or under the statutory provisions, is the civil standard of proof; that is, the balance of probabilities.   </w:t>
      </w:r>
    </w:p>
    <w:p w14:paraId="0793A863" w14:textId="151BB2EB" w:rsidR="00E34E78" w:rsidRDefault="00E34E78" w:rsidP="00E34E78">
      <w:pPr>
        <w:pStyle w:val="Heading6blackfont"/>
      </w:pPr>
      <w:r>
        <w:t>Reasons</w:t>
      </w:r>
    </w:p>
    <w:p w14:paraId="62BB1E01" w14:textId="2BBE4862" w:rsidR="00AA1A20" w:rsidRDefault="00AA1A20" w:rsidP="004A7328">
      <w:pPr>
        <w:pStyle w:val="Style1"/>
        <w:numPr>
          <w:ilvl w:val="0"/>
          <w:numId w:val="0"/>
        </w:numPr>
        <w:rPr>
          <w:b/>
          <w:bCs/>
          <w:i/>
          <w:iCs/>
        </w:rPr>
      </w:pPr>
      <w:r>
        <w:rPr>
          <w:b/>
          <w:bCs/>
          <w:i/>
          <w:iCs/>
        </w:rPr>
        <w:t xml:space="preserve">Documentary Evidence </w:t>
      </w:r>
    </w:p>
    <w:p w14:paraId="7C32D107" w14:textId="3C83F937" w:rsidR="00271ACD" w:rsidRPr="00271ACD" w:rsidRDefault="00787DAF" w:rsidP="00271ACD">
      <w:pPr>
        <w:pStyle w:val="Style1"/>
        <w:rPr>
          <w:b/>
          <w:bCs/>
          <w:i/>
        </w:rPr>
      </w:pPr>
      <w:r>
        <w:t>Kent County Council (the</w:t>
      </w:r>
      <w:r w:rsidR="00C81F29">
        <w:t xml:space="preserve"> Council)</w:t>
      </w:r>
      <w:r>
        <w:t xml:space="preserve"> carried</w:t>
      </w:r>
      <w:r w:rsidR="00C81F29">
        <w:t xml:space="preserve"> out a review of the documentary evidence as part of its investigations</w:t>
      </w:r>
      <w:r w:rsidR="00C81F29">
        <w:rPr>
          <w:rStyle w:val="FootnoteReference"/>
        </w:rPr>
        <w:footnoteReference w:id="3"/>
      </w:r>
      <w:r w:rsidR="00EA77D7">
        <w:t xml:space="preserve">. </w:t>
      </w:r>
      <w:r>
        <w:t xml:space="preserve"> </w:t>
      </w:r>
      <w:r w:rsidR="00FC56F5">
        <w:t>Other than aerial images of the land,</w:t>
      </w:r>
      <w:r w:rsidR="00E34E1E">
        <w:t xml:space="preserve"> which I deal with below</w:t>
      </w:r>
      <w:r w:rsidR="002714A1">
        <w:t>,</w:t>
      </w:r>
      <w:r w:rsidR="00FC56F5">
        <w:t xml:space="preserve"> it is agreed that</w:t>
      </w:r>
      <w:r w:rsidR="00AA572D">
        <w:t xml:space="preserve"> the</w:t>
      </w:r>
      <w:r w:rsidR="00D22464">
        <w:t xml:space="preserve"> documentary evidence does not support the </w:t>
      </w:r>
      <w:r w:rsidR="008E30CC">
        <w:t>p</w:t>
      </w:r>
      <w:r w:rsidR="00660DA1">
        <w:t>ublic’s use of the Order route over the relevant 20-year period</w:t>
      </w:r>
      <w:r w:rsidR="003E0C8D">
        <w:t xml:space="preserve">.  </w:t>
      </w:r>
      <w:r w:rsidR="0049508C">
        <w:t xml:space="preserve">Accordingly, </w:t>
      </w:r>
      <w:r w:rsidR="00271ACD">
        <w:t>the case in support</w:t>
      </w:r>
      <w:r w:rsidR="009D6A72">
        <w:t xml:space="preserve"> of the Order re</w:t>
      </w:r>
      <w:r w:rsidR="00271ACD">
        <w:t xml:space="preserve">lies upon user evidence. </w:t>
      </w:r>
    </w:p>
    <w:p w14:paraId="72BCE96B" w14:textId="4B93B27A" w:rsidR="00EA77D7" w:rsidRDefault="00EA77D7" w:rsidP="00271ACD">
      <w:pPr>
        <w:pStyle w:val="Style1"/>
        <w:numPr>
          <w:ilvl w:val="0"/>
          <w:numId w:val="0"/>
        </w:numPr>
        <w:rPr>
          <w:b/>
          <w:bCs/>
          <w:i/>
        </w:rPr>
      </w:pPr>
      <w:r>
        <w:rPr>
          <w:b/>
          <w:bCs/>
          <w:i/>
        </w:rPr>
        <w:t xml:space="preserve">User Evidence </w:t>
      </w:r>
    </w:p>
    <w:p w14:paraId="0B18DF2C" w14:textId="413A402E" w:rsidR="001471D1" w:rsidRPr="00EA77D7" w:rsidRDefault="001471D1" w:rsidP="001471D1">
      <w:pPr>
        <w:tabs>
          <w:tab w:val="left" w:pos="432"/>
        </w:tabs>
        <w:spacing w:before="180"/>
        <w:outlineLvl w:val="0"/>
        <w:rPr>
          <w:i/>
          <w:color w:val="000000"/>
          <w:kern w:val="28"/>
        </w:rPr>
      </w:pPr>
      <w:r w:rsidRPr="00EA77D7">
        <w:rPr>
          <w:i/>
          <w:color w:val="000000"/>
          <w:kern w:val="28"/>
        </w:rPr>
        <w:t>When the right to use the route was first brought into question</w:t>
      </w:r>
    </w:p>
    <w:p w14:paraId="4B75578D" w14:textId="0E7F4F56" w:rsidR="000B4AAC" w:rsidRPr="001471D1" w:rsidRDefault="001471D1" w:rsidP="000B4AAC">
      <w:pPr>
        <w:pStyle w:val="Style1"/>
        <w:numPr>
          <w:ilvl w:val="0"/>
          <w:numId w:val="0"/>
        </w:numPr>
        <w:ind w:left="431"/>
      </w:pPr>
      <w:r w:rsidRPr="00F36E99">
        <w:t>It is common ground that the</w:t>
      </w:r>
      <w:r>
        <w:t xml:space="preserve"> public’s use of the route was first called into question on the 21 June 2019 when the </w:t>
      </w:r>
      <w:r w:rsidRPr="00F36E99">
        <w:t>landowner</w:t>
      </w:r>
      <w:r>
        <w:t>s</w:t>
      </w:r>
      <w:r w:rsidRPr="00F36E99">
        <w:t xml:space="preserve"> made a deposit</w:t>
      </w:r>
      <w:r>
        <w:t xml:space="preserve"> under </w:t>
      </w:r>
      <w:r w:rsidRPr="00F36E99">
        <w:t>s</w:t>
      </w:r>
      <w:r>
        <w:t xml:space="preserve">ection </w:t>
      </w:r>
      <w:r w:rsidRPr="00F36E99">
        <w:t>31(6)</w:t>
      </w:r>
      <w:r>
        <w:t xml:space="preserve"> of the 1980 Act.  The relevant</w:t>
      </w:r>
      <w:r w:rsidRPr="00F36E99">
        <w:t xml:space="preserve"> 20</w:t>
      </w:r>
      <w:r>
        <w:t>-</w:t>
      </w:r>
      <w:r w:rsidRPr="00F36E99">
        <w:t xml:space="preserve">year period </w:t>
      </w:r>
      <w:r>
        <w:t xml:space="preserve">is therefore 21 June 1999 to </w:t>
      </w:r>
      <w:r w:rsidRPr="00F36E99">
        <w:t>21 June 2019</w:t>
      </w:r>
      <w:r>
        <w:t xml:space="preserve">.  </w:t>
      </w:r>
    </w:p>
    <w:p w14:paraId="153CDF06" w14:textId="77777777" w:rsidR="000B4AAC" w:rsidRDefault="000B4AAC" w:rsidP="004A7328">
      <w:pPr>
        <w:pStyle w:val="Style1"/>
        <w:numPr>
          <w:ilvl w:val="0"/>
          <w:numId w:val="0"/>
        </w:numPr>
        <w:rPr>
          <w:i/>
          <w:iCs/>
        </w:rPr>
      </w:pPr>
    </w:p>
    <w:p w14:paraId="72040D28" w14:textId="77777777" w:rsidR="000B4AAC" w:rsidRDefault="000B4AAC" w:rsidP="004A7328">
      <w:pPr>
        <w:pStyle w:val="Style1"/>
        <w:numPr>
          <w:ilvl w:val="0"/>
          <w:numId w:val="0"/>
        </w:numPr>
        <w:rPr>
          <w:i/>
          <w:iCs/>
        </w:rPr>
      </w:pPr>
    </w:p>
    <w:p w14:paraId="7034071B" w14:textId="5B449B3B" w:rsidR="00366EB0" w:rsidRDefault="00366EB0" w:rsidP="004A7328">
      <w:pPr>
        <w:pStyle w:val="Style1"/>
        <w:numPr>
          <w:ilvl w:val="0"/>
          <w:numId w:val="0"/>
        </w:numPr>
        <w:rPr>
          <w:i/>
          <w:iCs/>
        </w:rPr>
      </w:pPr>
      <w:r w:rsidRPr="00366EB0">
        <w:rPr>
          <w:i/>
          <w:iCs/>
        </w:rPr>
        <w:lastRenderedPageBreak/>
        <w:t>Whether there has been use by the public for the required period of 20 years</w:t>
      </w:r>
    </w:p>
    <w:p w14:paraId="32A00626" w14:textId="78EE46AF" w:rsidR="000C0FA6" w:rsidRDefault="0066516E" w:rsidP="000C0FA6">
      <w:pPr>
        <w:pStyle w:val="Style1"/>
      </w:pPr>
      <w:r>
        <w:t>10</w:t>
      </w:r>
      <w:r w:rsidR="008F60CE">
        <w:t xml:space="preserve"> user evidence forms (UEFs) </w:t>
      </w:r>
      <w:r w:rsidR="006230C7">
        <w:t>were originally submitted</w:t>
      </w:r>
      <w:r w:rsidR="006230C7">
        <w:rPr>
          <w:rStyle w:val="FootnoteReference"/>
        </w:rPr>
        <w:footnoteReference w:id="4"/>
      </w:r>
      <w:r w:rsidR="003F672B">
        <w:t xml:space="preserve"> </w:t>
      </w:r>
      <w:r w:rsidR="007F6083">
        <w:t>with</w:t>
      </w:r>
      <w:r w:rsidR="003F672B">
        <w:t xml:space="preserve"> </w:t>
      </w:r>
      <w:r>
        <w:t xml:space="preserve">8 </w:t>
      </w:r>
      <w:r w:rsidR="007F6083">
        <w:t xml:space="preserve">of the respondents being </w:t>
      </w:r>
      <w:r w:rsidR="00BB78A2">
        <w:t>subsequently</w:t>
      </w:r>
      <w:r w:rsidR="00101A05">
        <w:t xml:space="preserve"> interview</w:t>
      </w:r>
      <w:r w:rsidR="00BB78A2">
        <w:t>ed</w:t>
      </w:r>
      <w:r w:rsidR="003F672B">
        <w:t xml:space="preserve"> by the Council.</w:t>
      </w:r>
      <w:r w:rsidR="006A200B">
        <w:t xml:space="preserve">  Claimed use of the Order route extends as far back as </w:t>
      </w:r>
      <w:r w:rsidR="006A200B" w:rsidRPr="006A200B">
        <w:t>the 1960s</w:t>
      </w:r>
      <w:r w:rsidR="006A200B">
        <w:t xml:space="preserve"> with</w:t>
      </w:r>
      <w:r w:rsidR="001D2C2D">
        <w:t xml:space="preserve"> several</w:t>
      </w:r>
      <w:r w:rsidR="00EE02C2">
        <w:t xml:space="preserve"> respondents </w:t>
      </w:r>
      <w:r w:rsidR="006A200B">
        <w:t xml:space="preserve">referring to </w:t>
      </w:r>
      <w:r w:rsidR="000E2830">
        <w:t xml:space="preserve">widespread use of the route </w:t>
      </w:r>
      <w:r w:rsidR="0037333E">
        <w:t>by</w:t>
      </w:r>
      <w:r w:rsidR="000E2830">
        <w:t xml:space="preserve"> local people.  </w:t>
      </w:r>
      <w:r w:rsidR="00B452DC">
        <w:t xml:space="preserve">Whilst the UEFs provide strong support for the recreational use of Limes </w:t>
      </w:r>
      <w:r w:rsidR="00A75394">
        <w:t>L</w:t>
      </w:r>
      <w:r w:rsidR="00B452DC">
        <w:t>and by the general p</w:t>
      </w:r>
      <w:r w:rsidR="001C38F6">
        <w:t xml:space="preserve">ublic over the relevant 20-year period, </w:t>
      </w:r>
      <w:r w:rsidR="00B316E9">
        <w:t>I</w:t>
      </w:r>
      <w:r w:rsidR="001C38F6">
        <w:t xml:space="preserve"> have </w:t>
      </w:r>
      <w:r w:rsidR="000C0FA6">
        <w:t>three</w:t>
      </w:r>
      <w:r w:rsidR="00B832BE">
        <w:t xml:space="preserve"> principal concerns </w:t>
      </w:r>
      <w:r w:rsidR="00A76C14">
        <w:t xml:space="preserve">with the veracity of the evidence as it relates </w:t>
      </w:r>
      <w:r w:rsidR="00B316E9">
        <w:t>to the Order route</w:t>
      </w:r>
      <w:r w:rsidR="00EE02C2">
        <w:t xml:space="preserve"> itself</w:t>
      </w:r>
      <w:r w:rsidR="00B316E9">
        <w:t xml:space="preserve">.  </w:t>
      </w:r>
    </w:p>
    <w:p w14:paraId="632B5DE5" w14:textId="64977B57" w:rsidR="009A75FE" w:rsidRDefault="00B316E9" w:rsidP="000C0FA6">
      <w:pPr>
        <w:pStyle w:val="Style1"/>
      </w:pPr>
      <w:r>
        <w:t xml:space="preserve">Firstly, </w:t>
      </w:r>
      <w:r w:rsidR="0066516E">
        <w:t>12</w:t>
      </w:r>
      <w:r w:rsidR="00D36DBE">
        <w:t xml:space="preserve"> is not </w:t>
      </w:r>
      <w:r w:rsidR="00955B70">
        <w:t>a particularly high number of UEFs</w:t>
      </w:r>
      <w:r w:rsidR="00894F1A">
        <w:t>,</w:t>
      </w:r>
      <w:r w:rsidR="0066516E">
        <w:t xml:space="preserve"> even less so when one con</w:t>
      </w:r>
      <w:r w:rsidR="00C630E1">
        <w:t xml:space="preserve">siders </w:t>
      </w:r>
      <w:r w:rsidR="0066516E">
        <w:t>that only 6 of the witness</w:t>
      </w:r>
      <w:r w:rsidR="00EE02C2">
        <w:t>es</w:t>
      </w:r>
      <w:r w:rsidR="0066516E">
        <w:t xml:space="preserve"> </w:t>
      </w:r>
      <w:r w:rsidR="009A75FE">
        <w:t xml:space="preserve">can attest to use of the route over the full </w:t>
      </w:r>
      <w:r w:rsidR="00EE02C2">
        <w:t xml:space="preserve">20-year </w:t>
      </w:r>
      <w:r w:rsidR="009A75FE">
        <w:t>period</w:t>
      </w:r>
      <w:r w:rsidR="009A75FE">
        <w:rPr>
          <w:rStyle w:val="FootnoteReference"/>
        </w:rPr>
        <w:footnoteReference w:id="5"/>
      </w:r>
      <w:r w:rsidR="009A75FE">
        <w:t>.</w:t>
      </w:r>
      <w:r w:rsidR="005953A9">
        <w:t xml:space="preserve"> </w:t>
      </w:r>
      <w:r w:rsidR="009A75FE">
        <w:t xml:space="preserve"> </w:t>
      </w:r>
      <w:r w:rsidR="00C630E1">
        <w:t>Whilst I accept there are likely to be</w:t>
      </w:r>
      <w:r w:rsidR="006008AC">
        <w:t xml:space="preserve"> people </w:t>
      </w:r>
      <w:r w:rsidR="00C630E1">
        <w:t>w</w:t>
      </w:r>
      <w:r w:rsidR="004C1AEE">
        <w:t>ho used the route but</w:t>
      </w:r>
      <w:r w:rsidR="006008AC">
        <w:t xml:space="preserve"> for whatever reason have</w:t>
      </w:r>
      <w:r w:rsidR="004C1AEE">
        <w:t xml:space="preserve"> not submitted UEFs</w:t>
      </w:r>
      <w:r w:rsidR="005A4B66">
        <w:t>,</w:t>
      </w:r>
      <w:r w:rsidR="004C1AEE">
        <w:t xml:space="preserve"> I must make my</w:t>
      </w:r>
      <w:r w:rsidR="005A4B66">
        <w:t xml:space="preserve"> determination </w:t>
      </w:r>
      <w:r w:rsidR="004C1AEE">
        <w:t>on the evidence before me</w:t>
      </w:r>
      <w:r w:rsidR="00A65FB6">
        <w:t xml:space="preserve"> and 6 UEFs is not a</w:t>
      </w:r>
      <w:r w:rsidR="005A4B66">
        <w:t xml:space="preserve"> particularly</w:t>
      </w:r>
      <w:r w:rsidR="00A65FB6">
        <w:t xml:space="preserve"> strong starting point. </w:t>
      </w:r>
      <w:r w:rsidR="004C1AEE">
        <w:t xml:space="preserve"> </w:t>
      </w:r>
    </w:p>
    <w:p w14:paraId="5450B0F6" w14:textId="2FD90F70" w:rsidR="004C1AEE" w:rsidRDefault="00A75394" w:rsidP="00BA0743">
      <w:pPr>
        <w:pStyle w:val="Style1"/>
      </w:pPr>
      <w:r>
        <w:t xml:space="preserve">Second, I concur with the </w:t>
      </w:r>
      <w:r w:rsidR="002931B8">
        <w:t>o</w:t>
      </w:r>
      <w:r>
        <w:t xml:space="preserve">bjector </w:t>
      </w:r>
      <w:r w:rsidR="00D4699E">
        <w:t xml:space="preserve">(and the Courts) </w:t>
      </w:r>
      <w:r w:rsidR="003B27B8">
        <w:t xml:space="preserve">that </w:t>
      </w:r>
      <w:r w:rsidRPr="00A75394">
        <w:t xml:space="preserve">human memory </w:t>
      </w:r>
      <w:r w:rsidR="003B27B8">
        <w:t xml:space="preserve">is </w:t>
      </w:r>
      <w:r w:rsidR="00436DCC">
        <w:t>inherently fallible</w:t>
      </w:r>
      <w:r w:rsidR="003B27B8">
        <w:t xml:space="preserve"> </w:t>
      </w:r>
      <w:r w:rsidR="00104048">
        <w:t xml:space="preserve">particularly when it concerns </w:t>
      </w:r>
      <w:r w:rsidRPr="00A75394">
        <w:t xml:space="preserve">events which occurred </w:t>
      </w:r>
      <w:r w:rsidR="00D21297">
        <w:t>many</w:t>
      </w:r>
      <w:r w:rsidRPr="00A75394">
        <w:t xml:space="preserve"> years ago. </w:t>
      </w:r>
      <w:r w:rsidR="00D21297">
        <w:t xml:space="preserve"> </w:t>
      </w:r>
      <w:r w:rsidRPr="00A75394">
        <w:t>This is especially so when memory is involved in litigation, where witnesses have a stake in a particular version of events.</w:t>
      </w:r>
      <w:r w:rsidR="00D4699E">
        <w:t xml:space="preserve">  </w:t>
      </w:r>
      <w:r w:rsidR="008C69B9">
        <w:t xml:space="preserve">In this case, that unreliability has been demonstrated on several occasions for example </w:t>
      </w:r>
      <w:r w:rsidR="00D21297">
        <w:t xml:space="preserve">by </w:t>
      </w:r>
      <w:r w:rsidR="00BC7C22">
        <w:t>the failure of witnesses to recall fences</w:t>
      </w:r>
      <w:r w:rsidR="0039132B">
        <w:t xml:space="preserve"> and/or notices</w:t>
      </w:r>
      <w:r w:rsidR="00BC7C22">
        <w:t xml:space="preserve"> which were known to</w:t>
      </w:r>
      <w:r w:rsidR="00E772CB">
        <w:t xml:space="preserve"> subsist</w:t>
      </w:r>
      <w:r w:rsidR="001D4196">
        <w:t xml:space="preserve"> at various </w:t>
      </w:r>
      <w:r w:rsidR="0039132B">
        <w:t>points during the 20-year period</w:t>
      </w:r>
      <w:r w:rsidR="00ED4498">
        <w:t>.</w:t>
      </w:r>
    </w:p>
    <w:p w14:paraId="482AD306" w14:textId="119FD038" w:rsidR="00B316E9" w:rsidRDefault="000C0FA6" w:rsidP="00761772">
      <w:pPr>
        <w:pStyle w:val="Style1"/>
      </w:pPr>
      <w:r>
        <w:t xml:space="preserve">Third and as </w:t>
      </w:r>
      <w:r w:rsidR="001D1C83">
        <w:t>the Council’s witness accepted, t</w:t>
      </w:r>
      <w:r w:rsidR="00A36524">
        <w:t>he weight to be attached to the UEFs must b</w:t>
      </w:r>
      <w:r w:rsidR="001D1C83">
        <w:t>e moderated by the provision of pre-prepared plans</w:t>
      </w:r>
      <w:r w:rsidR="00E42C1F">
        <w:t xml:space="preserve">.  In my view </w:t>
      </w:r>
      <w:r w:rsidR="001D1C83">
        <w:t>the</w:t>
      </w:r>
      <w:r w:rsidR="00CC7619">
        <w:t>se</w:t>
      </w:r>
      <w:r w:rsidR="00E42C1F">
        <w:t xml:space="preserve"> plans at least had the </w:t>
      </w:r>
      <w:r w:rsidR="001D1C83">
        <w:t xml:space="preserve">potential to </w:t>
      </w:r>
      <w:r w:rsidR="00E42C1F">
        <w:t>prejudice</w:t>
      </w:r>
      <w:r w:rsidR="002A4766">
        <w:t xml:space="preserve"> the information provided by the respondent</w:t>
      </w:r>
      <w:r w:rsidR="00161EB9">
        <w:t>s</w:t>
      </w:r>
      <w:r w:rsidR="00ED4498">
        <w:t xml:space="preserve"> particularly</w:t>
      </w:r>
      <w:r w:rsidR="00161EB9">
        <w:t xml:space="preserve"> so</w:t>
      </w:r>
      <w:r w:rsidR="00E42C1F">
        <w:t xml:space="preserve"> </w:t>
      </w:r>
      <w:r w:rsidR="00ED4498">
        <w:t xml:space="preserve">in this case </w:t>
      </w:r>
      <w:r w:rsidR="00161EB9">
        <w:t>where it is common ground that th</w:t>
      </w:r>
      <w:r w:rsidR="00BB5AC5">
        <w:t>ere are/were a</w:t>
      </w:r>
      <w:r w:rsidR="00E42C1F">
        <w:t xml:space="preserve"> </w:t>
      </w:r>
      <w:r w:rsidR="00A20BBD" w:rsidRPr="00ED4498">
        <w:t>‘myriad’ of walked routes over the land</w:t>
      </w:r>
      <w:r w:rsidR="005A339D">
        <w:t xml:space="preserve">. </w:t>
      </w:r>
      <w:r w:rsidR="002D4007">
        <w:t xml:space="preserve"> </w:t>
      </w:r>
      <w:r w:rsidR="00761772">
        <w:t>In my view</w:t>
      </w:r>
      <w:r w:rsidR="002D4007">
        <w:t>,</w:t>
      </w:r>
      <w:r w:rsidR="00761772">
        <w:t xml:space="preserve"> </w:t>
      </w:r>
      <w:r w:rsidR="002D4007">
        <w:t xml:space="preserve">the provision of a plan </w:t>
      </w:r>
      <w:r w:rsidR="002D1832">
        <w:t>reduces the weight to be attached to the</w:t>
      </w:r>
      <w:r w:rsidR="00E42C1F">
        <w:t xml:space="preserve"> UEFs.  </w:t>
      </w:r>
      <w:r w:rsidR="002D1832">
        <w:t xml:space="preserve"> </w:t>
      </w:r>
    </w:p>
    <w:p w14:paraId="71204628" w14:textId="5971D74A" w:rsidR="0054437E" w:rsidRDefault="00F72E4B" w:rsidP="00302E1C">
      <w:pPr>
        <w:pStyle w:val="Style1"/>
      </w:pPr>
      <w:r>
        <w:t>Turning to</w:t>
      </w:r>
      <w:r w:rsidR="00533E5C">
        <w:t xml:space="preserve"> the route described </w:t>
      </w:r>
      <w:r w:rsidR="00302E1C">
        <w:t>by the witnesses</w:t>
      </w:r>
      <w:r>
        <w:t>,</w:t>
      </w:r>
      <w:r w:rsidR="00302E1C">
        <w:t xml:space="preserve"> </w:t>
      </w:r>
      <w:r w:rsidR="0054437E">
        <w:t xml:space="preserve">Mr Forster’s UEF </w:t>
      </w:r>
      <w:r w:rsidR="009C35A5">
        <w:t xml:space="preserve">states that he </w:t>
      </w:r>
      <w:r w:rsidR="0054437E">
        <w:t>follow</w:t>
      </w:r>
      <w:r w:rsidR="009C35A5">
        <w:t xml:space="preserve">ed </w:t>
      </w:r>
      <w:r w:rsidR="0054437E">
        <w:t>an established route “</w:t>
      </w:r>
      <w:r w:rsidR="0054437E" w:rsidRPr="00302E1C">
        <w:rPr>
          <w:i/>
          <w:iCs/>
        </w:rPr>
        <w:t>around the edges of the field for the most part</w:t>
      </w:r>
      <w:r w:rsidR="0054437E">
        <w:t xml:space="preserve">”.  There is no mention of </w:t>
      </w:r>
      <w:r w:rsidR="003238A6">
        <w:t>the</w:t>
      </w:r>
      <w:r w:rsidR="0054437E">
        <w:t xml:space="preserve"> oak tree or ditch</w:t>
      </w:r>
      <w:r w:rsidR="0054437E">
        <w:rPr>
          <w:rStyle w:val="FootnoteReference"/>
        </w:rPr>
        <w:footnoteReference w:id="6"/>
      </w:r>
      <w:r w:rsidR="0054437E">
        <w:t>.  Many of the UEF’s are simply too vague to be of any evidential value.  For example, Ms Douglas simply refers to the route as “</w:t>
      </w:r>
      <w:r w:rsidR="0054437E" w:rsidRPr="00302E1C">
        <w:rPr>
          <w:i/>
          <w:iCs/>
        </w:rPr>
        <w:t>all of field for grazing</w:t>
      </w:r>
      <w:r w:rsidR="0054437E">
        <w:t>”, Dr Greaves refers to “</w:t>
      </w:r>
      <w:r w:rsidR="0054437E" w:rsidRPr="00302E1C">
        <w:rPr>
          <w:i/>
          <w:iCs/>
        </w:rPr>
        <w:t>circular route around fields</w:t>
      </w:r>
      <w:r w:rsidR="0054437E">
        <w:t xml:space="preserve">”, Roland Green’s description appears to refer to AB12, Andrew Meike refers to a circuit around Limes Land whereas several others refer to a route from Appledore Road to Woodchurch Road and back again.  I have not identified a single UEF which contains an accurate written description that corresponds to the alignment of the Order route.   </w:t>
      </w:r>
    </w:p>
    <w:p w14:paraId="1CAD7D55" w14:textId="41EB959C" w:rsidR="00F00D98" w:rsidRDefault="0054437E" w:rsidP="00CC745C">
      <w:pPr>
        <w:pStyle w:val="Style1"/>
      </w:pPr>
      <w:r>
        <w:t xml:space="preserve">More detailed descriptions were provided in the </w:t>
      </w:r>
      <w:r w:rsidR="00B2463B">
        <w:t>follow up in</w:t>
      </w:r>
      <w:r w:rsidR="001E7A01">
        <w:t>terview</w:t>
      </w:r>
      <w:r w:rsidR="00B2463B">
        <w:t>s</w:t>
      </w:r>
      <w:r w:rsidR="001E7A01">
        <w:t xml:space="preserve">.  </w:t>
      </w:r>
      <w:r w:rsidR="00EE02C2">
        <w:t xml:space="preserve">The </w:t>
      </w:r>
      <w:r w:rsidR="000919FB">
        <w:t>A</w:t>
      </w:r>
      <w:r w:rsidR="00EE02C2">
        <w:t xml:space="preserve">pplicant who has only used the route since 2006 </w:t>
      </w:r>
      <w:r w:rsidR="00D406C8">
        <w:t xml:space="preserve">refers to the route </w:t>
      </w:r>
      <w:r w:rsidR="00FE4564">
        <w:t>skirting “</w:t>
      </w:r>
      <w:r w:rsidR="00FE4564" w:rsidRPr="00CC745C">
        <w:rPr>
          <w:i/>
          <w:iCs/>
        </w:rPr>
        <w:t>around Limes Close…I then walk along the back of the houses on Appledore Road…”</w:t>
      </w:r>
      <w:r w:rsidR="00FE4564">
        <w:t xml:space="preserve">. </w:t>
      </w:r>
      <w:r w:rsidR="00CC745C">
        <w:t xml:space="preserve"> </w:t>
      </w:r>
      <w:r w:rsidR="0021498D">
        <w:t xml:space="preserve">Given that </w:t>
      </w:r>
      <w:r w:rsidR="009369EA">
        <w:t xml:space="preserve">several of the </w:t>
      </w:r>
      <w:r w:rsidR="0021498D">
        <w:t xml:space="preserve">aerial </w:t>
      </w:r>
      <w:r w:rsidR="009369EA">
        <w:t>photographs</w:t>
      </w:r>
      <w:r w:rsidR="0021498D">
        <w:t xml:space="preserve"> show a route</w:t>
      </w:r>
      <w:r w:rsidR="009369EA">
        <w:t xml:space="preserve"> along the back of these houses, I cannot discount the possibility that this </w:t>
      </w:r>
      <w:r w:rsidR="004B665D">
        <w:t>is a</w:t>
      </w:r>
      <w:r w:rsidR="000A7680">
        <w:t xml:space="preserve"> slightly</w:t>
      </w:r>
      <w:r w:rsidR="004B665D">
        <w:t xml:space="preserve"> different route and</w:t>
      </w:r>
      <w:r w:rsidR="00302E1C">
        <w:t xml:space="preserve"> more akin to</w:t>
      </w:r>
      <w:r w:rsidR="004B665D">
        <w:t xml:space="preserve"> the circular/field edge route</w:t>
      </w:r>
      <w:r w:rsidR="009760DE">
        <w:t xml:space="preserve"> mentioned</w:t>
      </w:r>
      <w:r w:rsidR="004B665D">
        <w:t xml:space="preserve"> </w:t>
      </w:r>
      <w:r w:rsidR="000D0029">
        <w:t>in</w:t>
      </w:r>
      <w:r w:rsidR="00EE02C2">
        <w:t xml:space="preserve"> several of the</w:t>
      </w:r>
      <w:r w:rsidR="000D0029">
        <w:t xml:space="preserve"> UEFs.</w:t>
      </w:r>
      <w:r w:rsidR="008816A0">
        <w:t xml:space="preserve">  That </w:t>
      </w:r>
      <w:r w:rsidR="00302E1C">
        <w:t>route is more</w:t>
      </w:r>
      <w:r w:rsidR="008816A0">
        <w:t xml:space="preserve"> consistent with some of the other evidence discussed below.</w:t>
      </w:r>
      <w:r w:rsidR="000D0029">
        <w:t xml:space="preserve"> </w:t>
      </w:r>
      <w:r w:rsidR="004B665D">
        <w:t xml:space="preserve"> </w:t>
      </w:r>
      <w:r w:rsidR="000C3379">
        <w:t>As the Council accepted</w:t>
      </w:r>
      <w:r w:rsidR="007E3582">
        <w:t>, p</w:t>
      </w:r>
      <w:r w:rsidR="007E3582" w:rsidRPr="007E3582">
        <w:t xml:space="preserve">roof of user must be over </w:t>
      </w:r>
      <w:r w:rsidR="007E3582" w:rsidRPr="007E3582">
        <w:lastRenderedPageBreak/>
        <w:t>an exactly demonstrated course, if people have crossed land in the same general direction but by varying routes, their user cannot be aggregated and attributed to a single route</w:t>
      </w:r>
      <w:r w:rsidR="007F1DAA">
        <w:rPr>
          <w:rStyle w:val="FootnoteReference"/>
        </w:rPr>
        <w:footnoteReference w:id="7"/>
      </w:r>
      <w:r w:rsidR="007E3582" w:rsidRPr="007E3582">
        <w:t>.</w:t>
      </w:r>
    </w:p>
    <w:p w14:paraId="68E4C8FD" w14:textId="752AF1D0" w:rsidR="007D15FB" w:rsidRDefault="00B2463B" w:rsidP="00E46A4A">
      <w:pPr>
        <w:pStyle w:val="Style1"/>
      </w:pPr>
      <w:r>
        <w:t xml:space="preserve">In their interviews, </w:t>
      </w:r>
      <w:r w:rsidR="007D2C7D">
        <w:t xml:space="preserve">John Burton and Ros Debling provide </w:t>
      </w:r>
      <w:r w:rsidR="004755C3">
        <w:t xml:space="preserve">a more </w:t>
      </w:r>
      <w:r w:rsidR="00963921">
        <w:t>detailed</w:t>
      </w:r>
      <w:r w:rsidR="004755C3">
        <w:t xml:space="preserve"> description of the route </w:t>
      </w:r>
      <w:r>
        <w:t xml:space="preserve">which </w:t>
      </w:r>
      <w:r w:rsidR="00645A86">
        <w:t xml:space="preserve">does </w:t>
      </w:r>
      <w:r w:rsidR="00963921">
        <w:t>refer to the</w:t>
      </w:r>
      <w:r w:rsidR="00302E1C">
        <w:t xml:space="preserve"> large</w:t>
      </w:r>
      <w:r w:rsidR="00963921">
        <w:t xml:space="preserve"> o</w:t>
      </w:r>
      <w:r w:rsidR="009D28D1">
        <w:t>a</w:t>
      </w:r>
      <w:r w:rsidR="00963921">
        <w:t>k tree and ditch in the western portion of the site.</w:t>
      </w:r>
      <w:r w:rsidR="00BE63FA">
        <w:t xml:space="preserve"> </w:t>
      </w:r>
      <w:r w:rsidR="009D28D1">
        <w:t xml:space="preserve"> To that extent</w:t>
      </w:r>
      <w:r w:rsidR="002446D9">
        <w:t xml:space="preserve"> there is some suppo</w:t>
      </w:r>
      <w:r w:rsidR="006232A0">
        <w:t>rt for the use of AB70</w:t>
      </w:r>
      <w:r w:rsidR="00645A86">
        <w:t xml:space="preserve"> from these </w:t>
      </w:r>
      <w:r w:rsidR="00C92300">
        <w:t>two users</w:t>
      </w:r>
      <w:r w:rsidR="006232A0">
        <w:t xml:space="preserve">. </w:t>
      </w:r>
      <w:r w:rsidR="00C92300">
        <w:t xml:space="preserve"> </w:t>
      </w:r>
      <w:r w:rsidR="006232A0">
        <w:t xml:space="preserve">However, </w:t>
      </w:r>
      <w:r w:rsidR="00C92300">
        <w:t xml:space="preserve">and </w:t>
      </w:r>
      <w:r w:rsidR="00302E1C">
        <w:t xml:space="preserve">in common </w:t>
      </w:r>
      <w:r w:rsidR="00C92300">
        <w:t xml:space="preserve">with the </w:t>
      </w:r>
      <w:r w:rsidR="000919FB">
        <w:t>A</w:t>
      </w:r>
      <w:r w:rsidR="00C92300">
        <w:t xml:space="preserve">pplicant, </w:t>
      </w:r>
      <w:r w:rsidR="006232A0">
        <w:t xml:space="preserve">Mr Burton’s </w:t>
      </w:r>
      <w:r w:rsidR="00302E1C">
        <w:t xml:space="preserve">claimed </w:t>
      </w:r>
      <w:r w:rsidR="006232A0">
        <w:t>use d</w:t>
      </w:r>
      <w:r w:rsidR="00302E1C">
        <w:t>oes</w:t>
      </w:r>
      <w:r w:rsidR="006232A0">
        <w:t xml:space="preserve"> not cover all of the relevant 20-year period.  </w:t>
      </w:r>
      <w:r w:rsidR="009D28D1" w:rsidRPr="001F7BBD">
        <w:t>Ms Debling</w:t>
      </w:r>
      <w:r w:rsidR="0065467D">
        <w:t xml:space="preserve"> used the route between </w:t>
      </w:r>
      <w:r w:rsidR="00B15169">
        <w:t>1985 and 2020</w:t>
      </w:r>
      <w:r w:rsidR="006A489F">
        <w:t xml:space="preserve"> which does cover all of the 20-year period. </w:t>
      </w:r>
      <w:r w:rsidR="00AD6EA1">
        <w:t xml:space="preserve"> Moreove</w:t>
      </w:r>
      <w:r w:rsidR="006A489F">
        <w:t xml:space="preserve">r, </w:t>
      </w:r>
      <w:r w:rsidR="00302E1C">
        <w:t xml:space="preserve">some confusion was introduced </w:t>
      </w:r>
      <w:r w:rsidR="0061597C">
        <w:t xml:space="preserve">during </w:t>
      </w:r>
      <w:r w:rsidR="00302E1C">
        <w:t>her</w:t>
      </w:r>
      <w:r w:rsidR="009D28D1">
        <w:t xml:space="preserve"> oral evidence</w:t>
      </w:r>
      <w:r w:rsidR="00302E1C">
        <w:t xml:space="preserve"> when it was claimed that </w:t>
      </w:r>
      <w:r w:rsidR="00302E1C" w:rsidRPr="001F7BBD">
        <w:t>the oak tree</w:t>
      </w:r>
      <w:r w:rsidR="00302E1C">
        <w:t xml:space="preserve"> would have been on her </w:t>
      </w:r>
      <w:r w:rsidR="00302E1C" w:rsidRPr="001F7BBD">
        <w:t>right</w:t>
      </w:r>
      <w:r w:rsidR="00302E1C">
        <w:t xml:space="preserve"> when walking </w:t>
      </w:r>
      <w:r w:rsidR="009D28D1" w:rsidRPr="001F7BBD">
        <w:t>in an anti-clockwise direction</w:t>
      </w:r>
      <w:r w:rsidR="009D28D1">
        <w:t xml:space="preserve">.  That </w:t>
      </w:r>
      <w:r w:rsidR="0061597C">
        <w:t>would not have been</w:t>
      </w:r>
      <w:r w:rsidR="009D28D1">
        <w:t xml:space="preserve"> consistent with the Order route.</w:t>
      </w:r>
      <w:r w:rsidR="00C4678B">
        <w:t xml:space="preserve">  </w:t>
      </w:r>
    </w:p>
    <w:p w14:paraId="0DDBA5E5" w14:textId="5E2F9627" w:rsidR="000D0029" w:rsidRDefault="00D72F45" w:rsidP="007D15FB">
      <w:pPr>
        <w:pStyle w:val="Style1"/>
      </w:pPr>
      <w:r>
        <w:t>Accordingly</w:t>
      </w:r>
      <w:r w:rsidR="00C4678B">
        <w:t xml:space="preserve">, there is some doubt as to whether </w:t>
      </w:r>
      <w:r w:rsidR="00A35F01">
        <w:t>Ms Debling used the Order route or one of the many alternative routes ‘criss-crossing’ the land that numerous</w:t>
      </w:r>
      <w:r w:rsidR="009D28D1">
        <w:t xml:space="preserve"> witnesses have referred to</w:t>
      </w:r>
      <w:r>
        <w:t xml:space="preserve">.  </w:t>
      </w:r>
      <w:r w:rsidR="00E46484">
        <w:t>There appears to have been a propensity to</w:t>
      </w:r>
      <w:r w:rsidR="009F3E6E">
        <w:t xml:space="preserve"> divert onto these </w:t>
      </w:r>
      <w:r w:rsidR="00A52F70">
        <w:t xml:space="preserve">other routes </w:t>
      </w:r>
      <w:r w:rsidR="009F3E6E">
        <w:t xml:space="preserve">particularly </w:t>
      </w:r>
      <w:r w:rsidR="00A52F70">
        <w:t xml:space="preserve">during the winter months when the boggy ground would </w:t>
      </w:r>
      <w:r w:rsidR="00DE3CD4">
        <w:t>make it difficult to walk some routes</w:t>
      </w:r>
      <w:r w:rsidR="009D28D1">
        <w:rPr>
          <w:rStyle w:val="FootnoteReference"/>
        </w:rPr>
        <w:footnoteReference w:id="8"/>
      </w:r>
      <w:r w:rsidR="009D28D1">
        <w:t xml:space="preserve">.  That </w:t>
      </w:r>
      <w:r w:rsidR="007D15FB">
        <w:t xml:space="preserve">narrative </w:t>
      </w:r>
      <w:r w:rsidR="009D28D1">
        <w:t>is entirely consistent with my observations on my site visit</w:t>
      </w:r>
      <w:r w:rsidR="007D15FB">
        <w:t>s</w:t>
      </w:r>
      <w:r w:rsidR="009D28D1">
        <w:t xml:space="preserve"> where I observed people opting to take the north-south route</w:t>
      </w:r>
      <w:r w:rsidR="008D3E04">
        <w:t xml:space="preserve"> near the oak tree</w:t>
      </w:r>
      <w:r w:rsidR="009D28D1">
        <w:t xml:space="preserve"> rather than jumping </w:t>
      </w:r>
      <w:r w:rsidR="00E46A4A">
        <w:t xml:space="preserve">what </w:t>
      </w:r>
      <w:r w:rsidR="007D15FB">
        <w:t xml:space="preserve">was </w:t>
      </w:r>
      <w:r w:rsidR="00E46A4A">
        <w:t>a</w:t>
      </w:r>
      <w:r w:rsidR="009D28D1">
        <w:t xml:space="preserve"> fairly</w:t>
      </w:r>
      <w:r w:rsidR="00E46A4A">
        <w:t xml:space="preserve"> wide </w:t>
      </w:r>
      <w:r w:rsidR="009D28D1">
        <w:t>ditch</w:t>
      </w:r>
      <w:r w:rsidR="007D15FB">
        <w:t xml:space="preserve"> adjacent to the oak tree.</w:t>
      </w:r>
    </w:p>
    <w:p w14:paraId="2089D033" w14:textId="0F8D47E9" w:rsidR="00CC2688" w:rsidRDefault="00140D34" w:rsidP="00761772">
      <w:pPr>
        <w:pStyle w:val="Style1"/>
      </w:pPr>
      <w:r>
        <w:t xml:space="preserve">In oral evidence, </w:t>
      </w:r>
      <w:r w:rsidR="001F7BBD">
        <w:t>Mr</w:t>
      </w:r>
      <w:r w:rsidR="001B188D">
        <w:t xml:space="preserve"> Greaves</w:t>
      </w:r>
      <w:r w:rsidR="00843C50">
        <w:t xml:space="preserve"> stated that </w:t>
      </w:r>
      <w:r w:rsidRPr="0084160B">
        <w:t xml:space="preserve">the fence </w:t>
      </w:r>
      <w:r>
        <w:t xml:space="preserve">being on his right when </w:t>
      </w:r>
      <w:r w:rsidR="0084160B" w:rsidRPr="0084160B">
        <w:t>walk</w:t>
      </w:r>
      <w:r>
        <w:t>ing</w:t>
      </w:r>
      <w:r w:rsidR="0084160B" w:rsidRPr="0084160B">
        <w:t xml:space="preserve"> from the back of his property </w:t>
      </w:r>
      <w:r w:rsidRPr="0084160B">
        <w:t>southwards</w:t>
      </w:r>
      <w:r>
        <w:t xml:space="preserve">.  </w:t>
      </w:r>
      <w:r w:rsidR="00C043AD">
        <w:t xml:space="preserve">This contradicts his UEF which refers </w:t>
      </w:r>
      <w:r w:rsidR="00475C9E">
        <w:t>walking south towards Appledore Road upon reaching the d</w:t>
      </w:r>
      <w:r w:rsidR="00817B82">
        <w:t>ee</w:t>
      </w:r>
      <w:r w:rsidR="00475C9E">
        <w:t>p</w:t>
      </w:r>
      <w:r w:rsidR="001F7BBD">
        <w:t>-</w:t>
      </w:r>
      <w:r w:rsidR="00475C9E">
        <w:t>water culvert</w:t>
      </w:r>
      <w:r w:rsidR="004D7887">
        <w:t xml:space="preserve">.  In my view, it is </w:t>
      </w:r>
      <w:r w:rsidR="005D6B0C">
        <w:t xml:space="preserve">also </w:t>
      </w:r>
      <w:r w:rsidR="004D7887">
        <w:t>likely M</w:t>
      </w:r>
      <w:r w:rsidR="00C82C00">
        <w:t>r Greaves walked a north-south route either side of the large oak tree but not</w:t>
      </w:r>
      <w:r w:rsidR="00817B82">
        <w:t xml:space="preserve"> the </w:t>
      </w:r>
      <w:r w:rsidR="002704E3">
        <w:t>alignment</w:t>
      </w:r>
      <w:r w:rsidR="00817B82">
        <w:t xml:space="preserve"> of AB70.  I say th</w:t>
      </w:r>
      <w:r w:rsidR="00843C50">
        <w:t>at</w:t>
      </w:r>
      <w:r w:rsidR="00817B82">
        <w:t xml:space="preserve"> because there is no mention of the oak </w:t>
      </w:r>
      <w:r w:rsidR="001F7BBD">
        <w:t>tree,</w:t>
      </w:r>
      <w:r w:rsidR="00817B82">
        <w:t xml:space="preserve"> nor the </w:t>
      </w:r>
      <w:r w:rsidR="007A09FE">
        <w:t>wide ditch</w:t>
      </w:r>
      <w:r w:rsidR="00382337">
        <w:t xml:space="preserve"> </w:t>
      </w:r>
      <w:r w:rsidR="002704E3">
        <w:t>immediately</w:t>
      </w:r>
      <w:r w:rsidR="00382337">
        <w:t xml:space="preserve"> adjacent to it.  As two of the most </w:t>
      </w:r>
      <w:r w:rsidR="002704E3">
        <w:t>distinguishable</w:t>
      </w:r>
      <w:r w:rsidR="00382337">
        <w:t xml:space="preserve"> features on the eastern side of AB70 </w:t>
      </w:r>
      <w:r w:rsidR="001772AC">
        <w:t>one</w:t>
      </w:r>
      <w:r w:rsidR="002704E3">
        <w:t xml:space="preserve"> would expect such features to be mentioned. </w:t>
      </w:r>
    </w:p>
    <w:p w14:paraId="48821C71" w14:textId="7C3F80DA" w:rsidR="0081270C" w:rsidRDefault="00CC2688" w:rsidP="00E92D98">
      <w:pPr>
        <w:pStyle w:val="Style1"/>
      </w:pPr>
      <w:r>
        <w:t>Perh</w:t>
      </w:r>
      <w:r w:rsidR="00FA7FB4">
        <w:t>a</w:t>
      </w:r>
      <w:r>
        <w:t xml:space="preserve">ps my biggest concern </w:t>
      </w:r>
      <w:r w:rsidR="001F0051">
        <w:t>is</w:t>
      </w:r>
      <w:r w:rsidR="00FA7FB4">
        <w:t xml:space="preserve"> th</w:t>
      </w:r>
      <w:r w:rsidR="0081270C">
        <w:t xml:space="preserve">at the </w:t>
      </w:r>
      <w:r w:rsidR="001F0051">
        <w:t xml:space="preserve">user evidence </w:t>
      </w:r>
      <w:r w:rsidR="00FA7FB4">
        <w:t>universal</w:t>
      </w:r>
      <w:r w:rsidR="0081270C">
        <w:t>ly</w:t>
      </w:r>
      <w:r w:rsidR="00FA7FB4">
        <w:t xml:space="preserve"> </w:t>
      </w:r>
      <w:r w:rsidR="0081270C">
        <w:t>omit</w:t>
      </w:r>
      <w:r w:rsidR="001F0051">
        <w:t>s</w:t>
      </w:r>
      <w:r w:rsidR="0081270C">
        <w:t xml:space="preserve"> to mention </w:t>
      </w:r>
      <w:r w:rsidR="00FA7FB4">
        <w:t xml:space="preserve">the stock fence that was erected </w:t>
      </w:r>
      <w:r w:rsidR="00B46864">
        <w:t>across the order route to the west of the oak tree and ditch.</w:t>
      </w:r>
      <w:r w:rsidR="003C7F4E">
        <w:t xml:space="preserve">  </w:t>
      </w:r>
      <w:r w:rsidR="004124B7">
        <w:t xml:space="preserve">The evidence is not </w:t>
      </w:r>
      <w:r w:rsidR="005C341E">
        <w:t>clear as to when this was erected.  Mr Greaves state</w:t>
      </w:r>
      <w:r w:rsidR="00E83D99">
        <w:t>d</w:t>
      </w:r>
      <w:r w:rsidR="005C341E">
        <w:t xml:space="preserve"> in oral evidence that it was around 199</w:t>
      </w:r>
      <w:r w:rsidR="00E83D99">
        <w:t>6</w:t>
      </w:r>
      <w:r w:rsidR="005C341E">
        <w:t>/97</w:t>
      </w:r>
      <w:r w:rsidR="0024428A">
        <w:t xml:space="preserve"> although aerial images suggest it was a few years later</w:t>
      </w:r>
      <w:r w:rsidR="00CF6FB9">
        <w:t xml:space="preserve"> </w:t>
      </w:r>
      <w:r w:rsidR="0081270C">
        <w:t>between 26 June 1999 whe</w:t>
      </w:r>
      <w:r w:rsidR="009E22D2">
        <w:t>n</w:t>
      </w:r>
      <w:r w:rsidR="0081270C">
        <w:t xml:space="preserve"> no fence can be seen and April 2001 when the fences are clearly visible.  The fences are visible on subsequent images from 2003, 2006, 2007 and 2008.</w:t>
      </w:r>
    </w:p>
    <w:p w14:paraId="2B7A1B72" w14:textId="6C641905" w:rsidR="00C945B3" w:rsidRDefault="00E328B1" w:rsidP="00761772">
      <w:pPr>
        <w:pStyle w:val="Style1"/>
      </w:pPr>
      <w:r>
        <w:t>On-site p</w:t>
      </w:r>
      <w:r w:rsidR="00437291">
        <w:t>hotographs</w:t>
      </w:r>
      <w:r w:rsidR="002F5425">
        <w:t xml:space="preserve"> taken</w:t>
      </w:r>
      <w:r>
        <w:t xml:space="preserve"> between</w:t>
      </w:r>
      <w:r w:rsidR="002F5425">
        <w:t xml:space="preserve"> </w:t>
      </w:r>
      <w:r w:rsidR="0057104C">
        <w:t>2001-20</w:t>
      </w:r>
      <w:r w:rsidR="00A978D1">
        <w:t>16</w:t>
      </w:r>
      <w:r w:rsidR="0008562B">
        <w:rPr>
          <w:rStyle w:val="FootnoteReference"/>
        </w:rPr>
        <w:footnoteReference w:id="9"/>
      </w:r>
      <w:r w:rsidR="00A978D1">
        <w:t xml:space="preserve"> </w:t>
      </w:r>
      <w:r w:rsidR="0008562B">
        <w:t>provide</w:t>
      </w:r>
      <w:r w:rsidR="00D042A2">
        <w:t xml:space="preserve"> further</w:t>
      </w:r>
      <w:r w:rsidR="008B5535">
        <w:t xml:space="preserve"> corroborating evidence</w:t>
      </w:r>
      <w:r w:rsidR="00E357A5">
        <w:t xml:space="preserve">.  In </w:t>
      </w:r>
      <w:r w:rsidR="00437291">
        <w:t>particular</w:t>
      </w:r>
      <w:r w:rsidR="00D042A2">
        <w:t>,</w:t>
      </w:r>
      <w:r w:rsidR="00E357A5">
        <w:t xml:space="preserve"> figure</w:t>
      </w:r>
      <w:r w:rsidR="00C101EC">
        <w:t>s</w:t>
      </w:r>
      <w:r w:rsidR="00E357A5">
        <w:t xml:space="preserve"> 8 </w:t>
      </w:r>
      <w:r w:rsidR="00C101EC">
        <w:t xml:space="preserve">and 21 </w:t>
      </w:r>
      <w:r w:rsidR="00E93FC9">
        <w:t>of</w:t>
      </w:r>
      <w:r w:rsidR="00FC5E97">
        <w:t xml:space="preserve"> </w:t>
      </w:r>
      <w:r w:rsidR="00C101EC">
        <w:t xml:space="preserve">the </w:t>
      </w:r>
      <w:r w:rsidR="001D3D4C">
        <w:t xml:space="preserve">June 2007 Landscape and </w:t>
      </w:r>
      <w:r w:rsidR="00437291">
        <w:t>Visual</w:t>
      </w:r>
      <w:r w:rsidR="001D3D4C">
        <w:t xml:space="preserve"> Appraisal</w:t>
      </w:r>
      <w:r w:rsidR="008B5535">
        <w:t xml:space="preserve"> categorically </w:t>
      </w:r>
      <w:r w:rsidR="00437291">
        <w:t>disprove</w:t>
      </w:r>
      <w:r w:rsidR="009B4C31">
        <w:t xml:space="preserve"> the </w:t>
      </w:r>
      <w:r w:rsidR="008B5535">
        <w:t xml:space="preserve">notion </w:t>
      </w:r>
      <w:r w:rsidR="009B4C31">
        <w:t>that the fence was</w:t>
      </w:r>
      <w:r w:rsidR="00C945B3">
        <w:t xml:space="preserve"> flimsy and</w:t>
      </w:r>
      <w:r w:rsidR="009B4C31">
        <w:t xml:space="preserve"> pushed over by </w:t>
      </w:r>
      <w:r w:rsidR="00AB494D">
        <w:t>livestock almost as soon as it was put up.</w:t>
      </w:r>
      <w:r w:rsidR="00EF14D8">
        <w:t xml:space="preserve">  </w:t>
      </w:r>
      <w:r w:rsidR="002C5985">
        <w:t xml:space="preserve">The topographical survey of December 2013 records a 0.8m chestnut paling fence running in a north-south direct across the Order route. </w:t>
      </w:r>
      <w:r w:rsidR="008816A0">
        <w:t xml:space="preserve"> </w:t>
      </w:r>
    </w:p>
    <w:p w14:paraId="0177BB67" w14:textId="3F09F376" w:rsidR="002565C0" w:rsidRDefault="00720E3B" w:rsidP="009122D0">
      <w:pPr>
        <w:pStyle w:val="Style1"/>
      </w:pPr>
      <w:r>
        <w:t>Other p</w:t>
      </w:r>
      <w:r w:rsidR="00694841">
        <w:t>hotographs</w:t>
      </w:r>
      <w:r w:rsidR="00EF14D8">
        <w:t xml:space="preserve"> suggest that a section</w:t>
      </w:r>
      <w:r w:rsidR="00694841">
        <w:t xml:space="preserve"> of the </w:t>
      </w:r>
      <w:r>
        <w:t xml:space="preserve">stock </w:t>
      </w:r>
      <w:r w:rsidR="00694841">
        <w:t>fence north-west of the oak tree fell down</w:t>
      </w:r>
      <w:r w:rsidR="00570D87">
        <w:t xml:space="preserve"> before June 2013</w:t>
      </w:r>
      <w:r w:rsidR="00B26CA3">
        <w:t>,</w:t>
      </w:r>
      <w:r w:rsidR="00890745">
        <w:t xml:space="preserve"> possibly </w:t>
      </w:r>
      <w:r w:rsidR="002565C0">
        <w:t xml:space="preserve">as early as </w:t>
      </w:r>
      <w:r w:rsidR="00890745">
        <w:t>2010</w:t>
      </w:r>
      <w:r w:rsidR="00B26CA3">
        <w:t>,</w:t>
      </w:r>
      <w:r w:rsidR="00D77F97">
        <w:t xml:space="preserve"> </w:t>
      </w:r>
      <w:r w:rsidR="00C945B3">
        <w:t xml:space="preserve">when a track </w:t>
      </w:r>
      <w:r w:rsidR="002565C0">
        <w:t>is</w:t>
      </w:r>
      <w:r w:rsidR="00C945B3">
        <w:t xml:space="preserve"> visible to the north of the oak tree</w:t>
      </w:r>
      <w:r w:rsidR="002565C0">
        <w:rPr>
          <w:rStyle w:val="FootnoteReference"/>
        </w:rPr>
        <w:footnoteReference w:id="10"/>
      </w:r>
      <w:r w:rsidR="00570D87">
        <w:t>.</w:t>
      </w:r>
      <w:r w:rsidR="00DB451B">
        <w:t xml:space="preserve">  Th</w:t>
      </w:r>
      <w:r w:rsidR="00C945B3">
        <w:t>e same section</w:t>
      </w:r>
      <w:r w:rsidR="00D05C71">
        <w:t xml:space="preserve"> of fallen fence</w:t>
      </w:r>
      <w:r w:rsidR="00C945B3">
        <w:t xml:space="preserve"> i</w:t>
      </w:r>
      <w:r w:rsidR="00DB451B">
        <w:t xml:space="preserve">s shown </w:t>
      </w:r>
      <w:r w:rsidR="00DB451B">
        <w:lastRenderedPageBreak/>
        <w:t xml:space="preserve">clearly on the March 2014 </w:t>
      </w:r>
      <w:r w:rsidR="008C2F21">
        <w:t>photograph</w:t>
      </w:r>
      <w:r w:rsidR="002565C0">
        <w:t xml:space="preserve"> and to a lesser extent the July 2016 image.</w:t>
      </w:r>
      <w:r w:rsidR="00E328B1">
        <w:t xml:space="preserve"> </w:t>
      </w:r>
      <w:r w:rsidR="002565C0">
        <w:t xml:space="preserve"> It was argued</w:t>
      </w:r>
      <w:r w:rsidR="00404A89">
        <w:t xml:space="preserve"> </w:t>
      </w:r>
      <w:r w:rsidR="002565C0">
        <w:t xml:space="preserve">that the section of fallen fence seen on those photographs </w:t>
      </w:r>
      <w:r w:rsidR="00404A89">
        <w:t xml:space="preserve">would have allowed the public to walk the alignment of the Order route. </w:t>
      </w:r>
      <w:r w:rsidR="002565C0">
        <w:t xml:space="preserve"> </w:t>
      </w:r>
      <w:r w:rsidR="00404A89">
        <w:t>However,</w:t>
      </w:r>
      <w:r w:rsidR="00FC5E97">
        <w:t xml:space="preserve"> on my second site visit </w:t>
      </w:r>
      <w:r w:rsidR="00D6750C">
        <w:t xml:space="preserve">I made a specific point to </w:t>
      </w:r>
      <w:r w:rsidR="008C2F21">
        <w:t>view the oak tree from the</w:t>
      </w:r>
      <w:r w:rsidR="00404A89">
        <w:t xml:space="preserve"> </w:t>
      </w:r>
      <w:r w:rsidR="00B26CA3">
        <w:t xml:space="preserve">same </w:t>
      </w:r>
      <w:r w:rsidR="00404A89">
        <w:t xml:space="preserve">approximate location as the June 2014 </w:t>
      </w:r>
      <w:r w:rsidR="00226753">
        <w:t>photograph</w:t>
      </w:r>
      <w:r w:rsidR="00D6750C">
        <w:t>.  O</w:t>
      </w:r>
      <w:r w:rsidR="008C2F21">
        <w:t>n the basis of my observations</w:t>
      </w:r>
      <w:r w:rsidR="00310B73">
        <w:t>,</w:t>
      </w:r>
      <w:r w:rsidR="008C2F21">
        <w:t xml:space="preserve"> I am satisfied that the </w:t>
      </w:r>
      <w:r w:rsidR="00C074EF">
        <w:t xml:space="preserve">alignment of AB70 </w:t>
      </w:r>
      <w:r w:rsidR="00310B73">
        <w:t xml:space="preserve">would still have been </w:t>
      </w:r>
      <w:r w:rsidR="002C5985">
        <w:t xml:space="preserve">obstructed </w:t>
      </w:r>
      <w:r w:rsidR="009122D0">
        <w:t>in 2014</w:t>
      </w:r>
      <w:r w:rsidR="007A4631">
        <w:t xml:space="preserve"> and</w:t>
      </w:r>
      <w:r w:rsidR="002C5985">
        <w:t xml:space="preserve"> </w:t>
      </w:r>
      <w:r w:rsidR="007A4631">
        <w:t>July 2016</w:t>
      </w:r>
      <w:r w:rsidR="00226753">
        <w:t>.  This is because t</w:t>
      </w:r>
      <w:r w:rsidR="002565C0">
        <w:t>he section of fallen fence seen on the</w:t>
      </w:r>
      <w:r w:rsidR="00226753">
        <w:t xml:space="preserve"> aforementioned images i</w:t>
      </w:r>
      <w:r w:rsidR="002565C0">
        <w:t>s to the north of the oak tree and not on the alignment of</w:t>
      </w:r>
      <w:r w:rsidR="00C074EF">
        <w:t xml:space="preserve"> the Order route. </w:t>
      </w:r>
      <w:r w:rsidR="002565C0">
        <w:t xml:space="preserve">  </w:t>
      </w:r>
    </w:p>
    <w:p w14:paraId="620E7ED8" w14:textId="6091AFC0" w:rsidR="009122D0" w:rsidRDefault="009122D0" w:rsidP="00226753">
      <w:pPr>
        <w:pStyle w:val="Style1"/>
      </w:pPr>
      <w:r>
        <w:t xml:space="preserve">As to whether the fence was pushed over by livestock or pedestrians, the evidence is unclear.  However, given that sections of the fence are still intact today over 20 years later, I am not persuaded that </w:t>
      </w:r>
      <w:r w:rsidR="00B0605D">
        <w:t xml:space="preserve">its demise </w:t>
      </w:r>
      <w:r>
        <w:t xml:space="preserve">can be </w:t>
      </w:r>
      <w:r w:rsidR="00226753">
        <w:t xml:space="preserve">solely </w:t>
      </w:r>
      <w:r>
        <w:t>attributed to animals.</w:t>
      </w:r>
      <w:r w:rsidR="00D77F97">
        <w:t xml:space="preserve">  </w:t>
      </w:r>
      <w:r w:rsidR="00226753">
        <w:t xml:space="preserve">I am also not persuaded that the average </w:t>
      </w:r>
      <w:r w:rsidR="00E02002">
        <w:t>pedestrian c</w:t>
      </w:r>
      <w:r w:rsidR="00226753">
        <w:t>ould</w:t>
      </w:r>
      <w:r w:rsidR="00E02002">
        <w:t xml:space="preserve"> have </w:t>
      </w:r>
      <w:r w:rsidR="001A7667">
        <w:t xml:space="preserve">simply </w:t>
      </w:r>
      <w:r w:rsidR="00E02002">
        <w:t>‘hopped over’</w:t>
      </w:r>
      <w:r w:rsidR="00226753">
        <w:t xml:space="preserve"> </w:t>
      </w:r>
      <w:r w:rsidR="00B1241A">
        <w:t>the ditch and</w:t>
      </w:r>
      <w:r w:rsidR="0007123E">
        <w:t xml:space="preserve"> then the</w:t>
      </w:r>
      <w:r w:rsidR="00B1241A">
        <w:t xml:space="preserve"> fence</w:t>
      </w:r>
      <w:r w:rsidR="0007123E">
        <w:t>,</w:t>
      </w:r>
      <w:r w:rsidR="00EA3D89">
        <w:t xml:space="preserve"> something which </w:t>
      </w:r>
      <w:r w:rsidR="00B1241A">
        <w:t xml:space="preserve">would have required a high level of athletic ability.  </w:t>
      </w:r>
      <w:r w:rsidR="009C6F7C">
        <w:t>C</w:t>
      </w:r>
      <w:r w:rsidR="00C96805">
        <w:t>limbing</w:t>
      </w:r>
      <w:r w:rsidR="004F03AF">
        <w:t xml:space="preserve">, </w:t>
      </w:r>
      <w:r w:rsidR="00C96805">
        <w:t>stepping or</w:t>
      </w:r>
      <w:r w:rsidR="004F03AF">
        <w:t xml:space="preserve"> vaulting </w:t>
      </w:r>
      <w:r w:rsidR="00C96805">
        <w:t xml:space="preserve">over </w:t>
      </w:r>
      <w:r w:rsidR="004F03AF">
        <w:t>the</w:t>
      </w:r>
      <w:r w:rsidR="00C96805">
        <w:t xml:space="preserve"> fence </w:t>
      </w:r>
      <w:r w:rsidR="004F03AF">
        <w:t xml:space="preserve">would not be </w:t>
      </w:r>
      <w:r w:rsidR="00C96805">
        <w:t xml:space="preserve">consistent with the </w:t>
      </w:r>
      <w:r w:rsidR="00C96805" w:rsidRPr="00183B74">
        <w:t>peaceable use of the route “as of right”</w:t>
      </w:r>
      <w:r w:rsidR="008525D1">
        <w:t xml:space="preserve"> irrespective of</w:t>
      </w:r>
      <w:r w:rsidR="000B4E16">
        <w:t xml:space="preserve"> its </w:t>
      </w:r>
      <w:r w:rsidR="008525D1">
        <w:t>purpose</w:t>
      </w:r>
      <w:r w:rsidR="00E328B1">
        <w:t>, which is not clear in any event.</w:t>
      </w:r>
      <w:r w:rsidR="00C96805">
        <w:t xml:space="preserve"> </w:t>
      </w:r>
    </w:p>
    <w:p w14:paraId="66FDEF64" w14:textId="77E2D21F" w:rsidR="00A90B78" w:rsidRDefault="00B1241A" w:rsidP="00B205A4">
      <w:pPr>
        <w:pStyle w:val="Style1"/>
      </w:pPr>
      <w:r>
        <w:t xml:space="preserve">When considered in the round, the </w:t>
      </w:r>
      <w:r w:rsidR="00A60D6B">
        <w:t xml:space="preserve">aerial images, site </w:t>
      </w:r>
      <w:r w:rsidR="00AE683F">
        <w:t>photographs</w:t>
      </w:r>
      <w:r w:rsidR="00A60D6B">
        <w:t xml:space="preserve"> and </w:t>
      </w:r>
      <w:r w:rsidR="00AE683F">
        <w:t>topographical</w:t>
      </w:r>
      <w:r w:rsidR="00A60D6B">
        <w:t xml:space="preserve"> </w:t>
      </w:r>
      <w:r w:rsidR="00AE683F">
        <w:t>survey</w:t>
      </w:r>
      <w:r w:rsidR="00A60D6B">
        <w:t xml:space="preserve"> collectively provide </w:t>
      </w:r>
      <w:r w:rsidR="00AE683F">
        <w:t xml:space="preserve">conclusive </w:t>
      </w:r>
      <w:r w:rsidR="00A60D6B">
        <w:t xml:space="preserve">evidence as to the </w:t>
      </w:r>
      <w:r w:rsidR="00AE683F">
        <w:t>existence</w:t>
      </w:r>
      <w:r w:rsidR="00A60D6B">
        <w:t xml:space="preserve"> of </w:t>
      </w:r>
      <w:r w:rsidR="00F12533">
        <w:t>the</w:t>
      </w:r>
      <w:r w:rsidR="00733670">
        <w:t xml:space="preserve"> stock</w:t>
      </w:r>
      <w:r w:rsidR="00F12533">
        <w:t xml:space="preserve"> fence </w:t>
      </w:r>
      <w:r w:rsidR="00733670">
        <w:t xml:space="preserve">across the Order route </w:t>
      </w:r>
      <w:r w:rsidR="00F12533">
        <w:t>between</w:t>
      </w:r>
      <w:r w:rsidR="00AE683F">
        <w:t xml:space="preserve"> 2001 </w:t>
      </w:r>
      <w:r w:rsidR="00A370DF">
        <w:t>(</w:t>
      </w:r>
      <w:r w:rsidR="00AE683F">
        <w:t>possibly earlier</w:t>
      </w:r>
      <w:r w:rsidR="00A370DF">
        <w:t>)</w:t>
      </w:r>
      <w:r w:rsidR="00AE683F">
        <w:t xml:space="preserve"> and </w:t>
      </w:r>
      <w:r w:rsidR="00045F98">
        <w:t>201</w:t>
      </w:r>
      <w:r w:rsidR="00733670">
        <w:t>6</w:t>
      </w:r>
      <w:r w:rsidR="00475E19">
        <w:t xml:space="preserve">.  I do not </w:t>
      </w:r>
      <w:r w:rsidR="00E328B1">
        <w:t xml:space="preserve">therefore </w:t>
      </w:r>
      <w:r w:rsidR="009B6AFA">
        <w:t>subscribe</w:t>
      </w:r>
      <w:r w:rsidR="00475E19">
        <w:t xml:space="preserve"> to the Council’s view that</w:t>
      </w:r>
      <w:r w:rsidR="00E328B1">
        <w:t xml:space="preserve"> the fence was only up for a</w:t>
      </w:r>
      <w:r w:rsidR="00475E19">
        <w:t xml:space="preserve"> </w:t>
      </w:r>
      <w:r w:rsidR="009B6AFA">
        <w:t>‘very short period of time’</w:t>
      </w:r>
      <w:r w:rsidR="00B205A4">
        <w:t xml:space="preserve">.  </w:t>
      </w:r>
      <w:r w:rsidR="00E30FEE">
        <w:t xml:space="preserve">If local people genuinely believed the route was public, I find it strange that not one person contacted the landowner or the Council as to enquire why the route had been obstructed.  </w:t>
      </w:r>
      <w:r w:rsidR="00A90B78">
        <w:t>For all the above reasons, I give only limited weight to the user evidence</w:t>
      </w:r>
    </w:p>
    <w:p w14:paraId="193734D8" w14:textId="3F15BA3D" w:rsidR="00334303" w:rsidRPr="00CA5576" w:rsidRDefault="00334303" w:rsidP="00334303">
      <w:pPr>
        <w:pStyle w:val="Style1"/>
        <w:numPr>
          <w:ilvl w:val="0"/>
          <w:numId w:val="0"/>
        </w:numPr>
        <w:rPr>
          <w:i/>
          <w:iCs/>
        </w:rPr>
      </w:pPr>
      <w:r w:rsidRPr="00CA5576">
        <w:rPr>
          <w:i/>
          <w:iCs/>
        </w:rPr>
        <w:t>Action</w:t>
      </w:r>
      <w:r w:rsidR="004255F9">
        <w:rPr>
          <w:i/>
          <w:iCs/>
        </w:rPr>
        <w:t>s</w:t>
      </w:r>
      <w:r w:rsidRPr="00CA5576">
        <w:rPr>
          <w:i/>
          <w:iCs/>
        </w:rPr>
        <w:t xml:space="preserve"> by the Landowners </w:t>
      </w:r>
    </w:p>
    <w:p w14:paraId="75F2F112" w14:textId="6829350D" w:rsidR="00334303" w:rsidRDefault="00334303" w:rsidP="00334303">
      <w:pPr>
        <w:pStyle w:val="Style1"/>
      </w:pPr>
      <w:r>
        <w:t>Two users</w:t>
      </w:r>
      <w:r>
        <w:rPr>
          <w:rStyle w:val="FootnoteReference"/>
        </w:rPr>
        <w:footnoteReference w:id="11"/>
      </w:r>
      <w:r>
        <w:t xml:space="preserve"> </w:t>
      </w:r>
      <w:r w:rsidR="0065748D">
        <w:t xml:space="preserve">confirm that </w:t>
      </w:r>
      <w:r>
        <w:t>notices</w:t>
      </w:r>
      <w:r w:rsidR="0065748D">
        <w:t xml:space="preserve"> were </w:t>
      </w:r>
      <w:r>
        <w:t>erected to</w:t>
      </w:r>
      <w:r w:rsidR="0083373D">
        <w:t xml:space="preserve"> inform the public that there was only one public footpath across the land.  </w:t>
      </w:r>
      <w:r w:rsidR="00504AC8">
        <w:t xml:space="preserve">For example, Mr Burton states that notices were erected around 2016 </w:t>
      </w:r>
      <w:r w:rsidR="006B6772">
        <w:t xml:space="preserve">which </w:t>
      </w:r>
      <w:r w:rsidR="00504AC8">
        <w:t xml:space="preserve">included a map advising the public </w:t>
      </w:r>
      <w:r w:rsidR="009000CB">
        <w:t xml:space="preserve">that they were only permitted to walk </w:t>
      </w:r>
      <w:r w:rsidR="004D1C65">
        <w:t>along the line of AB12</w:t>
      </w:r>
      <w:r w:rsidR="00504AC8">
        <w:t xml:space="preserve">.  </w:t>
      </w:r>
      <w:r w:rsidR="0083373D">
        <w:t xml:space="preserve">This </w:t>
      </w:r>
      <w:r>
        <w:t xml:space="preserve">is consistent with </w:t>
      </w:r>
      <w:r w:rsidR="0065748D">
        <w:t>the landowners’ evidence.</w:t>
      </w:r>
      <w:r>
        <w:t xml:space="preserve">  </w:t>
      </w:r>
      <w:r w:rsidR="0083373D">
        <w:t>P</w:t>
      </w:r>
      <w:r>
        <w:t xml:space="preserve">hotographs </w:t>
      </w:r>
      <w:r w:rsidR="0083373D">
        <w:t>from</w:t>
      </w:r>
      <w:r>
        <w:t xml:space="preserve"> May 2018 and February 2019</w:t>
      </w:r>
      <w:r>
        <w:rPr>
          <w:rStyle w:val="FootnoteReference"/>
        </w:rPr>
        <w:footnoteReference w:id="12"/>
      </w:r>
      <w:r>
        <w:t xml:space="preserve"> </w:t>
      </w:r>
      <w:r w:rsidR="0083373D">
        <w:t>display t</w:t>
      </w:r>
      <w:r>
        <w:t>he words “</w:t>
      </w:r>
      <w:r w:rsidRPr="00C90651">
        <w:rPr>
          <w:i/>
          <w:iCs/>
        </w:rPr>
        <w:t>Please stay on the only footpath”</w:t>
      </w:r>
      <w:r w:rsidRPr="00504AC8">
        <w:rPr>
          <w:rStyle w:val="FootnoteReference"/>
        </w:rPr>
        <w:footnoteReference w:id="13"/>
      </w:r>
      <w:r>
        <w:t>.  Whilst I accept this could have been open to interpretation</w:t>
      </w:r>
      <w:r w:rsidR="00504AC8">
        <w:t xml:space="preserve"> by the public, the</w:t>
      </w:r>
      <w:r>
        <w:t xml:space="preserve"> landowners’ intentions </w:t>
      </w:r>
      <w:r w:rsidR="00504AC8">
        <w:t>were</w:t>
      </w:r>
      <w:r>
        <w:t xml:space="preserve"> </w:t>
      </w:r>
      <w:r w:rsidR="00504AC8">
        <w:t xml:space="preserve">nonetheless clear. </w:t>
      </w:r>
    </w:p>
    <w:p w14:paraId="04173EFF" w14:textId="73B8FCCA" w:rsidR="00334303" w:rsidRDefault="00334303" w:rsidP="00334303">
      <w:pPr>
        <w:pStyle w:val="Style1"/>
      </w:pPr>
      <w:r>
        <w:t>Given the later evidence of signs being removed or vandalised</w:t>
      </w:r>
      <w:r>
        <w:rPr>
          <w:rStyle w:val="FootnoteReference"/>
        </w:rPr>
        <w:footnoteReference w:id="14"/>
      </w:r>
      <w:r>
        <w:t>, I</w:t>
      </w:r>
      <w:r w:rsidR="0032255A">
        <w:t xml:space="preserve"> consider there is a strong likelihood </w:t>
      </w:r>
      <w:r w:rsidR="00553B3B">
        <w:t xml:space="preserve">that </w:t>
      </w:r>
      <w:r w:rsidR="00553B3B" w:rsidRPr="005E5F70">
        <w:t>notices were</w:t>
      </w:r>
      <w:r w:rsidR="00553B3B">
        <w:t xml:space="preserve"> repeatedly</w:t>
      </w:r>
      <w:r w:rsidR="00553B3B" w:rsidRPr="005E5F70">
        <w:t xml:space="preserve"> </w:t>
      </w:r>
      <w:r w:rsidR="00553B3B">
        <w:t>“</w:t>
      </w:r>
      <w:r w:rsidR="00553B3B" w:rsidRPr="00E76116">
        <w:rPr>
          <w:i/>
          <w:iCs/>
        </w:rPr>
        <w:t>put up and torn down</w:t>
      </w:r>
      <w:r w:rsidR="00553B3B">
        <w:t xml:space="preserve">” during the 20-year period as claimed by the </w:t>
      </w:r>
      <w:r>
        <w:t>landowners</w:t>
      </w:r>
      <w:r w:rsidR="00553B3B">
        <w:t xml:space="preserve">. </w:t>
      </w:r>
      <w:r>
        <w:t xml:space="preserve"> Additionally, Both Carole and Rio Daniel recalled issuing verbal challenges to people they found walking away from AB12.   </w:t>
      </w:r>
    </w:p>
    <w:p w14:paraId="0AD86F11" w14:textId="3756EF08" w:rsidR="00334303" w:rsidRDefault="00334303" w:rsidP="00334303">
      <w:pPr>
        <w:pStyle w:val="Style1"/>
      </w:pPr>
      <w:r>
        <w:t>The above</w:t>
      </w:r>
      <w:r w:rsidR="00553B3B">
        <w:t xml:space="preserve"> actions were</w:t>
      </w:r>
      <w:r>
        <w:t xml:space="preserve"> in addition to letters sent to several local residents in </w:t>
      </w:r>
      <w:r w:rsidRPr="00D96A3C">
        <w:t>2014 and 2015</w:t>
      </w:r>
      <w:r>
        <w:t xml:space="preserve"> including Mr Greaves, Ms Debling and Mr Poole whose properties backed onto Limes Land.  The letters made it clear that </w:t>
      </w:r>
      <w:r w:rsidRPr="00D96A3C">
        <w:t xml:space="preserve">the </w:t>
      </w:r>
      <w:r>
        <w:t>l</w:t>
      </w:r>
      <w:r w:rsidRPr="00D96A3C">
        <w:t xml:space="preserve">and was private property and that the only access permitted to the public was the one public footpath running through the </w:t>
      </w:r>
      <w:r>
        <w:t>l</w:t>
      </w:r>
      <w:r w:rsidRPr="00D96A3C">
        <w:t xml:space="preserve">and from Appledore Road to Woodchurch </w:t>
      </w:r>
      <w:r w:rsidRPr="00D96A3C">
        <w:lastRenderedPageBreak/>
        <w:t>Road.</w:t>
      </w:r>
      <w:r>
        <w:t xml:space="preserve">  It follows that any use of the Order route thereafter by these individuals </w:t>
      </w:r>
      <w:r w:rsidRPr="0040370B">
        <w:t xml:space="preserve">would </w:t>
      </w:r>
      <w:r w:rsidR="004D1C65">
        <w:t xml:space="preserve">not have been </w:t>
      </w:r>
      <w:r w:rsidRPr="0040370B">
        <w:t>“as of right”.</w:t>
      </w:r>
    </w:p>
    <w:p w14:paraId="2C299C05" w14:textId="1CFC7802" w:rsidR="00334303" w:rsidRDefault="005E17AA" w:rsidP="00334303">
      <w:pPr>
        <w:pStyle w:val="Style1"/>
      </w:pPr>
      <w:r>
        <w:t xml:space="preserve">Considered as a whole, I consider the </w:t>
      </w:r>
      <w:r w:rsidR="00DA1AA6">
        <w:t>evidence demonstrates that repeated</w:t>
      </w:r>
      <w:r w:rsidR="00C56870">
        <w:t xml:space="preserve"> and proactive</w:t>
      </w:r>
      <w:r w:rsidR="00DA1AA6">
        <w:t xml:space="preserve"> attempts were made </w:t>
      </w:r>
      <w:r>
        <w:t xml:space="preserve">by the landowners </w:t>
      </w:r>
      <w:r w:rsidR="00DA1AA6">
        <w:t>to</w:t>
      </w:r>
      <w:r w:rsidR="00C56870">
        <w:t xml:space="preserve"> </w:t>
      </w:r>
      <w:r w:rsidR="006836BE">
        <w:t>discourage the public’s use of</w:t>
      </w:r>
      <w:r w:rsidR="00BB69F8">
        <w:t xml:space="preserve"> AB70 as well as</w:t>
      </w:r>
      <w:r w:rsidR="006836BE">
        <w:t xml:space="preserve"> Limes Land</w:t>
      </w:r>
      <w:r w:rsidR="00BB69F8">
        <w:t xml:space="preserve"> more generally</w:t>
      </w:r>
      <w:r w:rsidR="00AA0CDB">
        <w:t xml:space="preserve"> from 2014 onwards</w:t>
      </w:r>
      <w:r w:rsidR="00BB69F8">
        <w:t>.  In truth it is difficult to</w:t>
      </w:r>
      <w:r>
        <w:t xml:space="preserve"> know </w:t>
      </w:r>
      <w:r w:rsidR="00BB69F8">
        <w:t>what more the landowners could have done</w:t>
      </w:r>
      <w:r w:rsidR="00AA0CDB">
        <w:t xml:space="preserve"> during that period.  This </w:t>
      </w:r>
      <w:r w:rsidR="00334303">
        <w:t>lead</w:t>
      </w:r>
      <w:r w:rsidR="006E1D43">
        <w:t>s</w:t>
      </w:r>
      <w:r w:rsidR="00334303">
        <w:t xml:space="preserve"> me to the conclusion that the public’s use of AB70 was not </w:t>
      </w:r>
      <w:r w:rsidR="00334303" w:rsidRPr="00A54E06">
        <w:t xml:space="preserve">“as of right” </w:t>
      </w:r>
      <w:r w:rsidR="00334303">
        <w:t>as</w:t>
      </w:r>
      <w:r w:rsidR="00BC5082">
        <w:t xml:space="preserve"> </w:t>
      </w:r>
      <w:r w:rsidR="00334303" w:rsidRPr="00A54E06">
        <w:t xml:space="preserve">notices, </w:t>
      </w:r>
      <w:r w:rsidR="00334303">
        <w:t>verbal challenges and in some cases letters</w:t>
      </w:r>
      <w:r w:rsidR="00E258FF">
        <w:t xml:space="preserve">, were </w:t>
      </w:r>
      <w:r w:rsidR="003A4ECA">
        <w:t>ignored</w:t>
      </w:r>
      <w:r w:rsidR="00334303">
        <w:t xml:space="preserve">. </w:t>
      </w:r>
    </w:p>
    <w:p w14:paraId="47A59A00" w14:textId="4FEF5EEA" w:rsidR="00CA5576" w:rsidRPr="00F77D9D" w:rsidRDefault="00F77D9D" w:rsidP="00CA5576">
      <w:pPr>
        <w:pStyle w:val="Style1"/>
        <w:numPr>
          <w:ilvl w:val="0"/>
          <w:numId w:val="0"/>
        </w:numPr>
        <w:rPr>
          <w:i/>
          <w:iCs/>
        </w:rPr>
      </w:pPr>
      <w:r w:rsidRPr="00F77D9D">
        <w:rPr>
          <w:i/>
          <w:iCs/>
        </w:rPr>
        <w:t xml:space="preserve">A possible alternative route </w:t>
      </w:r>
    </w:p>
    <w:p w14:paraId="3D8828EB" w14:textId="77777777" w:rsidR="00A47189" w:rsidRDefault="00F77D9D" w:rsidP="00F77D9D">
      <w:pPr>
        <w:pStyle w:val="Style1"/>
      </w:pPr>
      <w:r>
        <w:t xml:space="preserve">When considered in the round, </w:t>
      </w:r>
      <w:r w:rsidR="000848F8">
        <w:t>I f</w:t>
      </w:r>
      <w:r w:rsidR="002943B4">
        <w:t xml:space="preserve">ind the evidence </w:t>
      </w:r>
      <w:r w:rsidR="00A47189">
        <w:t xml:space="preserve">in this case </w:t>
      </w:r>
      <w:r w:rsidR="002943B4">
        <w:t xml:space="preserve">points much more strongly to a </w:t>
      </w:r>
      <w:r w:rsidR="001E7332">
        <w:t xml:space="preserve">circular, </w:t>
      </w:r>
      <w:r w:rsidR="00653BF0">
        <w:t xml:space="preserve">field edge route </w:t>
      </w:r>
      <w:r w:rsidR="001E7332">
        <w:t>following the backs of houses on Appledore Road rather than the alig</w:t>
      </w:r>
      <w:r w:rsidR="00343B0A">
        <w:t>nment past the oak tree</w:t>
      </w:r>
      <w:r w:rsidR="00C24F99">
        <w:t xml:space="preserve">. </w:t>
      </w:r>
    </w:p>
    <w:p w14:paraId="02022010" w14:textId="42F7E14C" w:rsidR="001A7667" w:rsidRDefault="00A47189" w:rsidP="009C6F7C">
      <w:pPr>
        <w:pStyle w:val="Style1"/>
      </w:pPr>
      <w:r>
        <w:t>As recorded in 2013 topographical survey, a gap was known to exist in the stock fence close to the shared boundary with Rose Cottage</w:t>
      </w:r>
      <w:r>
        <w:rPr>
          <w:rStyle w:val="FootnoteReference"/>
        </w:rPr>
        <w:footnoteReference w:id="15"/>
      </w:r>
      <w:r>
        <w:t xml:space="preserve">.  </w:t>
      </w:r>
      <w:r w:rsidR="00C24F99">
        <w:t>The aerial images from 2003, 2006, 2007, 2008, 2010</w:t>
      </w:r>
      <w:r>
        <w:t xml:space="preserve"> also</w:t>
      </w:r>
      <w:r w:rsidR="00C24F99">
        <w:t xml:space="preserve"> lend support to</w:t>
      </w:r>
      <w:r w:rsidR="00794D6D">
        <w:t xml:space="preserve"> the existence of a gap at</w:t>
      </w:r>
      <w:r w:rsidR="00AC3E60">
        <w:t xml:space="preserve"> this location with</w:t>
      </w:r>
      <w:r>
        <w:t xml:space="preserve"> a</w:t>
      </w:r>
      <w:r w:rsidR="00AC3E60">
        <w:t xml:space="preserve"> walked path</w:t>
      </w:r>
      <w:r>
        <w:t xml:space="preserve"> visible</w:t>
      </w:r>
      <w:r w:rsidR="00F46064">
        <w:t xml:space="preserve"> along the southern boundary. </w:t>
      </w:r>
      <w:r>
        <w:t xml:space="preserve"> Moreover, none of the photographs discussed above, show the fence connecting to the southern site boundary.</w:t>
      </w:r>
      <w:r w:rsidR="009C6F7C">
        <w:t xml:space="preserve">  </w:t>
      </w:r>
      <w:r w:rsidR="000B6371">
        <w:t>Several</w:t>
      </w:r>
      <w:r w:rsidR="006B47DD">
        <w:t>, but not all,</w:t>
      </w:r>
      <w:r w:rsidR="00F46064">
        <w:t xml:space="preserve"> </w:t>
      </w:r>
      <w:r w:rsidR="000B6371">
        <w:t xml:space="preserve">of the aerial </w:t>
      </w:r>
      <w:r w:rsidR="00F46064">
        <w:t xml:space="preserve">images </w:t>
      </w:r>
      <w:r>
        <w:t xml:space="preserve">also </w:t>
      </w:r>
      <w:r w:rsidR="009E5EF3">
        <w:t>show a walked route leading north</w:t>
      </w:r>
      <w:r w:rsidR="00755942">
        <w:t xml:space="preserve"> (running parallel to the field edge) re-join</w:t>
      </w:r>
      <w:r w:rsidR="00D36440">
        <w:t>ing</w:t>
      </w:r>
      <w:r w:rsidR="007E7838">
        <w:t xml:space="preserve"> the line of AB70 </w:t>
      </w:r>
      <w:r w:rsidR="00755942">
        <w:t xml:space="preserve">to the </w:t>
      </w:r>
      <w:r w:rsidR="00F373F4">
        <w:t>west of the oak tree</w:t>
      </w:r>
      <w:r w:rsidR="00755942">
        <w:rPr>
          <w:rStyle w:val="FootnoteReference"/>
        </w:rPr>
        <w:footnoteReference w:id="16"/>
      </w:r>
      <w:r w:rsidR="00BF7407">
        <w:t>.  Thus</w:t>
      </w:r>
      <w:r w:rsidR="00D36440">
        <w:t>,</w:t>
      </w:r>
      <w:r w:rsidR="00124D8B">
        <w:t xml:space="preserve"> </w:t>
      </w:r>
      <w:r w:rsidR="00BF7407">
        <w:t xml:space="preserve">the </w:t>
      </w:r>
      <w:r w:rsidR="00572B85">
        <w:t xml:space="preserve">aerial images and topographical survey support </w:t>
      </w:r>
      <w:r w:rsidR="00C24F99">
        <w:t>the user</w:t>
      </w:r>
      <w:r>
        <w:t xml:space="preserve"> evidence which </w:t>
      </w:r>
      <w:r w:rsidR="009B6AFA">
        <w:t xml:space="preserve">refers </w:t>
      </w:r>
      <w:r w:rsidR="00C24F99">
        <w:t>to a</w:t>
      </w:r>
      <w:r w:rsidR="00D36440">
        <w:t xml:space="preserve"> circular</w:t>
      </w:r>
      <w:r w:rsidR="009B6AFA">
        <w:t>,</w:t>
      </w:r>
      <w:r w:rsidR="00C24F99">
        <w:t xml:space="preserve"> field edge route</w:t>
      </w:r>
      <w:r w:rsidR="004D65B9">
        <w:t xml:space="preserve">, </w:t>
      </w:r>
      <w:r w:rsidR="009B6AFA">
        <w:t xml:space="preserve">including the </w:t>
      </w:r>
      <w:r w:rsidR="000919FB">
        <w:t>A</w:t>
      </w:r>
      <w:r w:rsidR="009B6AFA">
        <w:t>pplicant herself</w:t>
      </w:r>
      <w:r w:rsidR="00C24F99">
        <w:t xml:space="preserve">.  </w:t>
      </w:r>
    </w:p>
    <w:p w14:paraId="00A7D9FE" w14:textId="25B5C0E7" w:rsidR="00A70046" w:rsidRDefault="00C24F99" w:rsidP="004D65B9">
      <w:pPr>
        <w:pStyle w:val="Style1"/>
      </w:pPr>
      <w:r>
        <w:t>It is notable that a deliberate gap was also provided in the fencing further north near the bomb crater.  Th</w:t>
      </w:r>
      <w:r w:rsidR="00F77D9D">
        <w:t>at</w:t>
      </w:r>
      <w:r>
        <w:t xml:space="preserve"> gap broadly correspondents to the line of the Order route.  </w:t>
      </w:r>
      <w:r w:rsidR="00572B85">
        <w:t>This raises the p</w:t>
      </w:r>
      <w:r w:rsidR="006D780C">
        <w:t xml:space="preserve">ossibility that </w:t>
      </w:r>
      <w:r w:rsidR="00D36440">
        <w:t>a</w:t>
      </w:r>
      <w:r w:rsidR="006D780C">
        <w:t xml:space="preserve"> gap</w:t>
      </w:r>
      <w:r w:rsidR="00D36440">
        <w:t xml:space="preserve"> in the fencing was deliberately provided</w:t>
      </w:r>
      <w:r w:rsidR="006D780C">
        <w:t xml:space="preserve"> adjacent to Rose Cottage </w:t>
      </w:r>
      <w:r w:rsidR="00D36440">
        <w:t>to also enable the movement of pedestrians onto the land</w:t>
      </w:r>
      <w:r>
        <w:t>.</w:t>
      </w:r>
      <w:r w:rsidR="006D780C">
        <w:t xml:space="preserve">  It is</w:t>
      </w:r>
      <w:r w:rsidR="004D65B9">
        <w:t xml:space="preserve"> also </w:t>
      </w:r>
      <w:r w:rsidR="006D780C">
        <w:t>possible that the fence</w:t>
      </w:r>
      <w:r w:rsidR="00F335C8">
        <w:t xml:space="preserve"> did connect to the southern site boundary when it was </w:t>
      </w:r>
      <w:r w:rsidR="00A47189">
        <w:t xml:space="preserve">first </w:t>
      </w:r>
      <w:r w:rsidR="00F335C8">
        <w:t xml:space="preserve">erected but </w:t>
      </w:r>
      <w:r w:rsidR="00F46064">
        <w:t>was subsequently removed prior to the topographical survey being carried out</w:t>
      </w:r>
      <w:r w:rsidR="004D65B9">
        <w:t xml:space="preserve"> or that </w:t>
      </w:r>
      <w:r w:rsidR="00F77D9D">
        <w:t xml:space="preserve">both </w:t>
      </w:r>
      <w:r w:rsidR="00D36440">
        <w:t>gap</w:t>
      </w:r>
      <w:r w:rsidR="00F77D9D">
        <w:t xml:space="preserve">s were intended </w:t>
      </w:r>
      <w:r w:rsidR="00CA5576">
        <w:t xml:space="preserve">to facilitate the movement of livestock rather than people.  </w:t>
      </w:r>
      <w:r w:rsidR="00F46064">
        <w:t xml:space="preserve"> </w:t>
      </w:r>
    </w:p>
    <w:p w14:paraId="612CD240" w14:textId="4C6CB16A" w:rsidR="006C6B6A" w:rsidRDefault="00A70046" w:rsidP="00A47189">
      <w:pPr>
        <w:pStyle w:val="Style1"/>
      </w:pPr>
      <w:r>
        <w:t xml:space="preserve">This alternative alignment would go some way to explaining why no complaints were received when the fence was erected and why witnesses failed to mention the </w:t>
      </w:r>
      <w:r w:rsidR="00A47189">
        <w:t xml:space="preserve">stock </w:t>
      </w:r>
      <w:r>
        <w:t xml:space="preserve">fence in their evidence.  There </w:t>
      </w:r>
      <w:r w:rsidR="00AA1627">
        <w:t xml:space="preserve">are however </w:t>
      </w:r>
      <w:r>
        <w:t>problems</w:t>
      </w:r>
      <w:r w:rsidR="005173C2">
        <w:t xml:space="preserve"> with the</w:t>
      </w:r>
      <w:r w:rsidR="00AA1627">
        <w:t xml:space="preserve"> user evidence for th</w:t>
      </w:r>
      <w:r w:rsidR="00A47189">
        <w:t>is</w:t>
      </w:r>
      <w:r w:rsidR="00AA1627">
        <w:t xml:space="preserve"> </w:t>
      </w:r>
      <w:r w:rsidR="005173C2">
        <w:t xml:space="preserve">alternative </w:t>
      </w:r>
      <w:r w:rsidR="00A47189">
        <w:t xml:space="preserve">route </w:t>
      </w:r>
      <w:r w:rsidR="005173C2">
        <w:t>alignment.</w:t>
      </w:r>
      <w:r w:rsidR="00A47189">
        <w:t xml:space="preserve"> </w:t>
      </w:r>
      <w:r w:rsidR="005173C2">
        <w:t xml:space="preserve"> </w:t>
      </w:r>
      <w:r w:rsidR="00A47189">
        <w:t xml:space="preserve">Although </w:t>
      </w:r>
      <w:r w:rsidR="00651508">
        <w:t xml:space="preserve">many </w:t>
      </w:r>
      <w:r w:rsidR="00A47189">
        <w:t xml:space="preserve">users </w:t>
      </w:r>
      <w:r w:rsidR="00651508">
        <w:t>refer</w:t>
      </w:r>
      <w:r w:rsidR="00A47189">
        <w:t>red</w:t>
      </w:r>
      <w:r w:rsidR="00651508">
        <w:t xml:space="preserve"> to a ‘circular’ or ‘field edge’ </w:t>
      </w:r>
      <w:r w:rsidR="00A47189">
        <w:t xml:space="preserve">walk, </w:t>
      </w:r>
      <w:r w:rsidR="002846A0">
        <w:t xml:space="preserve">that </w:t>
      </w:r>
      <w:r w:rsidR="00A47189">
        <w:t xml:space="preserve">has to be seen in the general context of </w:t>
      </w:r>
      <w:r w:rsidR="002846A0">
        <w:t xml:space="preserve">AB70 </w:t>
      </w:r>
      <w:r w:rsidR="00A47189">
        <w:t xml:space="preserve">as a whole </w:t>
      </w:r>
      <w:r w:rsidR="002846A0">
        <w:t xml:space="preserve">rather than this specific location and </w:t>
      </w:r>
      <w:r w:rsidR="00B544E8">
        <w:t>does not greatly assist</w:t>
      </w:r>
      <w:r w:rsidR="002846A0">
        <w:t>.  There is</w:t>
      </w:r>
      <w:r w:rsidR="00A47189">
        <w:t xml:space="preserve"> also </w:t>
      </w:r>
      <w:r w:rsidR="002846A0">
        <w:t xml:space="preserve">the </w:t>
      </w:r>
      <w:r w:rsidR="00A47189">
        <w:t xml:space="preserve">aforementioned concern </w:t>
      </w:r>
      <w:r w:rsidR="002846A0">
        <w:t>that no</w:t>
      </w:r>
      <w:r w:rsidR="00A11A9E">
        <w:t>ne of the</w:t>
      </w:r>
      <w:r w:rsidR="002846A0">
        <w:t xml:space="preserve"> witnesses have been able to provide</w:t>
      </w:r>
      <w:r w:rsidR="00B972C2">
        <w:t>;</w:t>
      </w:r>
      <w:r w:rsidR="002846A0">
        <w:t xml:space="preserve"> </w:t>
      </w:r>
      <w:r w:rsidR="007545AC">
        <w:t>their own map</w:t>
      </w:r>
      <w:r w:rsidR="00A11A9E">
        <w:t xml:space="preserve"> of the route</w:t>
      </w:r>
      <w:r w:rsidR="007545AC">
        <w:t>, a detailed description</w:t>
      </w:r>
      <w:r w:rsidR="00A11A9E">
        <w:t xml:space="preserve"> match</w:t>
      </w:r>
      <w:r w:rsidR="00A47189">
        <w:t>ing</w:t>
      </w:r>
      <w:r w:rsidR="00A11A9E">
        <w:t xml:space="preserve"> AB70</w:t>
      </w:r>
      <w:r w:rsidR="007545AC">
        <w:t xml:space="preserve"> or</w:t>
      </w:r>
      <w:r w:rsidR="00A11A9E">
        <w:t xml:space="preserve"> </w:t>
      </w:r>
      <w:r w:rsidR="007545AC">
        <w:t xml:space="preserve">evidence </w:t>
      </w:r>
      <w:r w:rsidR="00A11A9E">
        <w:t xml:space="preserve">of use </w:t>
      </w:r>
      <w:r w:rsidR="007545AC">
        <w:t xml:space="preserve">over the full 20-year period.  </w:t>
      </w:r>
    </w:p>
    <w:p w14:paraId="50C4B975" w14:textId="1E175762" w:rsidR="00F06C30" w:rsidRDefault="00A11A9E" w:rsidP="004D65B9">
      <w:pPr>
        <w:pStyle w:val="Style1"/>
      </w:pPr>
      <w:r>
        <w:t xml:space="preserve">As discussed above, </w:t>
      </w:r>
      <w:r w:rsidR="00B972C2">
        <w:t xml:space="preserve">it is also </w:t>
      </w:r>
      <w:r w:rsidR="004A7652">
        <w:t xml:space="preserve">clear </w:t>
      </w:r>
      <w:r w:rsidR="00B972C2">
        <w:t xml:space="preserve">from the landowners’ </w:t>
      </w:r>
      <w:r w:rsidR="004A7652">
        <w:t>evidence that</w:t>
      </w:r>
      <w:r w:rsidR="00B972C2">
        <w:t xml:space="preserve"> meaningful </w:t>
      </w:r>
      <w:r w:rsidR="004A7652">
        <w:t>steps</w:t>
      </w:r>
      <w:r w:rsidR="00B972C2">
        <w:t xml:space="preserve"> were taken</w:t>
      </w:r>
      <w:r w:rsidR="004A7652">
        <w:t xml:space="preserve"> during the 20-year period to disabuse mem</w:t>
      </w:r>
      <w:r w:rsidR="00423A90">
        <w:t xml:space="preserve">bers of the public </w:t>
      </w:r>
      <w:r w:rsidR="00451681">
        <w:t>of the notion that there were public rights of way on the land other than AB12.</w:t>
      </w:r>
      <w:r w:rsidR="00B972C2">
        <w:t xml:space="preserve"> </w:t>
      </w:r>
      <w:r w:rsidR="00451681">
        <w:t xml:space="preserve"> </w:t>
      </w:r>
      <w:r>
        <w:t>In light of the foregoing I am not persuaded</w:t>
      </w:r>
      <w:r w:rsidR="006C6B6A">
        <w:t>, on the balance of probabilities, that the evidence is support of the alternative route is</w:t>
      </w:r>
      <w:r w:rsidR="00B972C2">
        <w:t xml:space="preserve"> sufficiently</w:t>
      </w:r>
      <w:r w:rsidR="006C6B6A">
        <w:t xml:space="preserve"> strong to </w:t>
      </w:r>
      <w:r w:rsidR="006C6B6A" w:rsidRPr="006C6B6A">
        <w:t>meet the</w:t>
      </w:r>
      <w:r w:rsidR="006C6B6A">
        <w:t xml:space="preserve"> </w:t>
      </w:r>
      <w:r w:rsidR="006C6B6A" w:rsidRPr="006C6B6A">
        <w:t>standard for confirmation</w:t>
      </w:r>
      <w:r w:rsidR="006C6B6A">
        <w:t xml:space="preserve">. </w:t>
      </w:r>
    </w:p>
    <w:p w14:paraId="35121792" w14:textId="313219D8" w:rsidR="004D65B9" w:rsidRPr="004D65B9" w:rsidRDefault="004D65B9" w:rsidP="004D65B9">
      <w:pPr>
        <w:pStyle w:val="Style1"/>
        <w:numPr>
          <w:ilvl w:val="0"/>
          <w:numId w:val="0"/>
        </w:numPr>
        <w:rPr>
          <w:i/>
          <w:iCs/>
        </w:rPr>
      </w:pPr>
      <w:r w:rsidRPr="004D65B9">
        <w:rPr>
          <w:i/>
          <w:iCs/>
        </w:rPr>
        <w:lastRenderedPageBreak/>
        <w:t>Overall conclusions on the evidence</w:t>
      </w:r>
    </w:p>
    <w:p w14:paraId="0D223BEA" w14:textId="41E1D687" w:rsidR="003153A6" w:rsidRDefault="00D02383" w:rsidP="00E122A8">
      <w:pPr>
        <w:pStyle w:val="Style1"/>
      </w:pPr>
      <w:r>
        <w:t>I have no doubt that local people have enjoyed access over the majority of AB70 over the 20-year period</w:t>
      </w:r>
      <w:r w:rsidR="00DC5A7F">
        <w:t xml:space="preserve"> and possibly before. </w:t>
      </w:r>
      <w:r w:rsidR="004D0583">
        <w:t xml:space="preserve"> I also agree that </w:t>
      </w:r>
      <w:r w:rsidR="00877764">
        <w:t xml:space="preserve">witnesses have provided their evidence in good faith.  </w:t>
      </w:r>
      <w:r w:rsidR="00FD736A">
        <w:t>However, the aerial images, topographical survey, landowner testimony and on</w:t>
      </w:r>
      <w:r w:rsidR="004D0583">
        <w:t>-</w:t>
      </w:r>
      <w:r w:rsidR="00FD736A">
        <w:t xml:space="preserve">site photographs </w:t>
      </w:r>
      <w:r w:rsidR="00691A5F">
        <w:t xml:space="preserve">categorically disprove that the public </w:t>
      </w:r>
      <w:r w:rsidR="00DC5A7F">
        <w:t xml:space="preserve">could have </w:t>
      </w:r>
      <w:r w:rsidR="00691A5F">
        <w:t xml:space="preserve">used </w:t>
      </w:r>
      <w:r w:rsidR="007D2163">
        <w:t>the order route</w:t>
      </w:r>
      <w:r w:rsidR="00DC5A7F">
        <w:t xml:space="preserve"> </w:t>
      </w:r>
      <w:r w:rsidR="00CE7773" w:rsidRPr="00CE7773">
        <w:rPr>
          <w:i/>
          <w:iCs/>
        </w:rPr>
        <w:t>without force, secrecy or permission</w:t>
      </w:r>
      <w:r w:rsidR="007D2163">
        <w:t xml:space="preserve"> in the vicinity of the oak tree and ditch for a significant proportion of the 20-year period. </w:t>
      </w:r>
      <w:r w:rsidR="00631C75">
        <w:t xml:space="preserve"> Accordingly</w:t>
      </w:r>
      <w:r w:rsidR="003153A6">
        <w:t xml:space="preserve">, the claim to add </w:t>
      </w:r>
      <w:r w:rsidR="00631C75">
        <w:t xml:space="preserve">AB70 </w:t>
      </w:r>
      <w:r w:rsidR="003153A6">
        <w:t xml:space="preserve">to the </w:t>
      </w:r>
      <w:r w:rsidR="008E23A2">
        <w:t xml:space="preserve">DMS </w:t>
      </w:r>
      <w:r w:rsidR="003153A6">
        <w:t xml:space="preserve">must fail.  </w:t>
      </w:r>
    </w:p>
    <w:p w14:paraId="313B109E" w14:textId="5AC3DA59" w:rsidR="00400EBE" w:rsidRPr="004A7328" w:rsidRDefault="000C55AC" w:rsidP="00631C75">
      <w:pPr>
        <w:pStyle w:val="Style1"/>
      </w:pPr>
      <w:r>
        <w:t>In accordance with the Trevelyan principles</w:t>
      </w:r>
      <w:r w:rsidR="00E408AF">
        <w:rPr>
          <w:rStyle w:val="FootnoteReference"/>
        </w:rPr>
        <w:footnoteReference w:id="17"/>
      </w:r>
      <w:r w:rsidR="005D189E">
        <w:t xml:space="preserve"> </w:t>
      </w:r>
      <w:r w:rsidR="00B40F62">
        <w:t xml:space="preserve">I have carefully considered whether there </w:t>
      </w:r>
      <w:r w:rsidR="005D189E">
        <w:t>is</w:t>
      </w:r>
      <w:r w:rsidR="00455169">
        <w:t xml:space="preserve"> a case to modify the Order to include an alternative alignment following the backs of the house</w:t>
      </w:r>
      <w:r w:rsidR="008E23A2">
        <w:t>s</w:t>
      </w:r>
      <w:r w:rsidR="00455169">
        <w:t xml:space="preserve"> on Appledore Road making use of a gap in the fence that was known to exist in 2013.  Whilst I consider the evidence supporting this alignment is much stronger than </w:t>
      </w:r>
      <w:r w:rsidR="000000FC">
        <w:t xml:space="preserve">that for </w:t>
      </w:r>
      <w:r w:rsidR="00455169">
        <w:t xml:space="preserve">Order route, I am not persuaded </w:t>
      </w:r>
      <w:r w:rsidR="00CE7773">
        <w:t>that the evidence before me is strong enough to support</w:t>
      </w:r>
      <w:r w:rsidR="007C0040">
        <w:t xml:space="preserve"> statutory dedication</w:t>
      </w:r>
      <w:r w:rsidR="006B3BB4">
        <w:t>.</w:t>
      </w:r>
      <w:r w:rsidR="00296FDD">
        <w:t xml:space="preserve"> </w:t>
      </w:r>
      <w:r w:rsidR="006B3BB4">
        <w:t xml:space="preserve"> </w:t>
      </w:r>
      <w:r w:rsidR="00333777">
        <w:t>I do not therefore intend to propose</w:t>
      </w:r>
      <w:r w:rsidR="00400EBE">
        <w:t xml:space="preserve"> </w:t>
      </w:r>
      <w:r w:rsidR="00333777">
        <w:t xml:space="preserve">a modification to the Order.   </w:t>
      </w:r>
    </w:p>
    <w:p w14:paraId="15D0C150" w14:textId="77777777" w:rsidR="00E34E78" w:rsidRDefault="00E34E78" w:rsidP="00E34E78">
      <w:pPr>
        <w:pStyle w:val="Style1"/>
        <w:numPr>
          <w:ilvl w:val="0"/>
          <w:numId w:val="0"/>
        </w:numPr>
        <w:rPr>
          <w:b/>
          <w:bCs/>
          <w:i/>
          <w:iCs/>
        </w:rPr>
      </w:pPr>
      <w:r>
        <w:rPr>
          <w:b/>
          <w:bCs/>
          <w:i/>
          <w:iCs/>
        </w:rPr>
        <w:t xml:space="preserve">Common law Dedication </w:t>
      </w:r>
    </w:p>
    <w:p w14:paraId="4A87809C" w14:textId="77777777" w:rsidR="00EF3160" w:rsidRPr="00EF3160" w:rsidRDefault="00E34E78" w:rsidP="00E34E78">
      <w:pPr>
        <w:pStyle w:val="Style1"/>
        <w:numPr>
          <w:ilvl w:val="0"/>
          <w:numId w:val="24"/>
        </w:numPr>
        <w:rPr>
          <w:color w:val="FF0000"/>
        </w:rPr>
      </w:pPr>
      <w:r>
        <w:t>Where</w:t>
      </w:r>
      <w:r w:rsidRPr="00B4212F">
        <w:t xml:space="preserve"> a claim fails under statute</w:t>
      </w:r>
      <w:r>
        <w:t xml:space="preserve"> fails</w:t>
      </w:r>
      <w:r w:rsidRPr="00B4212F">
        <w:t>,</w:t>
      </w:r>
      <w:r>
        <w:t xml:space="preserve"> I am obliged to give co</w:t>
      </w:r>
      <w:r w:rsidRPr="00B4212F">
        <w:t>nsideration to the evidence at common law</w:t>
      </w:r>
      <w:r>
        <w:t xml:space="preserve">.  </w:t>
      </w:r>
      <w:r w:rsidRPr="00E8081A">
        <w:t>An inference that a way has been dedicated for public use may be drawn at common law where the actions of landowners (or lack of action) indicate that they intended a way to be dedicated as a highway and where the public have accepted it</w:t>
      </w:r>
      <w:r>
        <w:t xml:space="preserve">. </w:t>
      </w:r>
      <w:r w:rsidR="00AD4A52">
        <w:t xml:space="preserve"> </w:t>
      </w:r>
    </w:p>
    <w:p w14:paraId="5B055B79" w14:textId="27C857F6" w:rsidR="00E34E78" w:rsidRPr="000919FB" w:rsidRDefault="000000FC" w:rsidP="000919FB">
      <w:pPr>
        <w:pStyle w:val="Style1"/>
        <w:numPr>
          <w:ilvl w:val="0"/>
          <w:numId w:val="24"/>
        </w:numPr>
        <w:rPr>
          <w:color w:val="FF0000"/>
        </w:rPr>
      </w:pPr>
      <w:r>
        <w:t xml:space="preserve">Given </w:t>
      </w:r>
      <w:r w:rsidR="009A3CC3">
        <w:t xml:space="preserve">the </w:t>
      </w:r>
      <w:r w:rsidR="006E6894" w:rsidRPr="00EF3160">
        <w:t>user evidence submitted is insufficient to raise a presumption of dedication under the statutory provisions</w:t>
      </w:r>
      <w:r w:rsidR="009C6F7C">
        <w:t>,</w:t>
      </w:r>
      <w:r w:rsidR="006E6894" w:rsidRPr="00EF3160">
        <w:t xml:space="preserve"> it follows that such user evidence is also insufficient to raise an inference of dedication at common law</w:t>
      </w:r>
      <w:r w:rsidR="000919FB">
        <w:t xml:space="preserve">. </w:t>
      </w:r>
      <w:r w:rsidR="009A3CC3">
        <w:t xml:space="preserve"> </w:t>
      </w:r>
      <w:r w:rsidR="00E34E78" w:rsidRPr="000919FB">
        <w:rPr>
          <w:rFonts w:ascii="Verdana,Bold" w:hAnsi="Verdana,Bold" w:cs="Verdana,Bold"/>
          <w:szCs w:val="22"/>
        </w:rPr>
        <w:t>I therefore conclude there is insufficient evidence to</w:t>
      </w:r>
      <w:r w:rsidR="009C6F7C">
        <w:rPr>
          <w:rFonts w:ascii="Verdana,Bold" w:hAnsi="Verdana,Bold" w:cs="Verdana,Bold"/>
          <w:szCs w:val="22"/>
        </w:rPr>
        <w:t xml:space="preserve"> support </w:t>
      </w:r>
      <w:r w:rsidR="009C6F7C" w:rsidRPr="000919FB">
        <w:rPr>
          <w:rFonts w:ascii="Verdana,Bold" w:hAnsi="Verdana,Bold" w:cs="Verdana,Bold"/>
          <w:szCs w:val="22"/>
        </w:rPr>
        <w:t xml:space="preserve">common law </w:t>
      </w:r>
      <w:r w:rsidR="00E34E78" w:rsidRPr="000919FB">
        <w:rPr>
          <w:rFonts w:ascii="Verdana,Bold" w:hAnsi="Verdana,Bold" w:cs="Verdana,Bold"/>
          <w:szCs w:val="22"/>
        </w:rPr>
        <w:t>dedication</w:t>
      </w:r>
      <w:r w:rsidR="009C6F7C">
        <w:rPr>
          <w:rFonts w:ascii="Verdana,Bold" w:hAnsi="Verdana,Bold" w:cs="Verdana,Bold"/>
          <w:szCs w:val="22"/>
        </w:rPr>
        <w:t>.</w:t>
      </w:r>
    </w:p>
    <w:p w14:paraId="03FFD2BF" w14:textId="77777777" w:rsidR="00E34E78" w:rsidRPr="00E8081A" w:rsidRDefault="00E34E78" w:rsidP="00E34E78">
      <w:pPr>
        <w:pStyle w:val="Style1"/>
        <w:numPr>
          <w:ilvl w:val="0"/>
          <w:numId w:val="0"/>
        </w:numPr>
        <w:rPr>
          <w:b/>
          <w:bCs/>
        </w:rPr>
      </w:pPr>
      <w:r w:rsidRPr="00E8081A">
        <w:rPr>
          <w:b/>
          <w:bCs/>
        </w:rPr>
        <w:t>Conclusions</w:t>
      </w:r>
    </w:p>
    <w:p w14:paraId="0844A8A1" w14:textId="68C493B7" w:rsidR="00E34E78" w:rsidRDefault="00E34E78" w:rsidP="00E34E78">
      <w:pPr>
        <w:pStyle w:val="Style1"/>
        <w:numPr>
          <w:ilvl w:val="0"/>
          <w:numId w:val="24"/>
        </w:numPr>
      </w:pPr>
      <w:r w:rsidRPr="000E2169">
        <w:t xml:space="preserve">The burden of proof in this case lies initially with the </w:t>
      </w:r>
      <w:r>
        <w:t xml:space="preserve">Applicant </w:t>
      </w:r>
      <w:r w:rsidRPr="000E2169">
        <w:t xml:space="preserve">to demonstrate that public use of the route occurred for at least 20 years prior to </w:t>
      </w:r>
      <w:r>
        <w:t xml:space="preserve">the </w:t>
      </w:r>
      <w:r w:rsidRPr="000E2169">
        <w:t>use being brought into question.</w:t>
      </w:r>
      <w:r>
        <w:t xml:space="preserve">  For the reasons given, the evidence adduced in this case </w:t>
      </w:r>
      <w:r w:rsidR="009C6F7C">
        <w:t xml:space="preserve">does not </w:t>
      </w:r>
      <w:r>
        <w:t xml:space="preserve">meet the requisite standard for confirmation. </w:t>
      </w:r>
      <w:r w:rsidR="003F6FE8">
        <w:t xml:space="preserve"> </w:t>
      </w:r>
      <w:r w:rsidRPr="00BE1B23">
        <w:t>I</w:t>
      </w:r>
      <w:r>
        <w:t xml:space="preserve"> have also found there </w:t>
      </w:r>
      <w:r w:rsidRPr="00BE1B23">
        <w:t xml:space="preserve">is insufficient evidence to show dedication of the route at common law. </w:t>
      </w:r>
    </w:p>
    <w:p w14:paraId="4D05E7A7" w14:textId="77777777" w:rsidR="00E34E78" w:rsidRDefault="00E34E78" w:rsidP="00E34E78">
      <w:pPr>
        <w:pStyle w:val="Style1"/>
        <w:numPr>
          <w:ilvl w:val="0"/>
          <w:numId w:val="24"/>
        </w:numPr>
        <w:tabs>
          <w:tab w:val="clear" w:pos="720"/>
        </w:tabs>
      </w:pPr>
      <w:r>
        <w:t>Having regard to these and all other matters raised at the Inquiry and in the written representations, I conclude that the Order should not be confirmed.</w:t>
      </w:r>
    </w:p>
    <w:p w14:paraId="7694D039" w14:textId="77777777" w:rsidR="00E34E78" w:rsidRDefault="00E34E78" w:rsidP="00E34E78">
      <w:pPr>
        <w:pStyle w:val="Heading6"/>
      </w:pPr>
      <w:r>
        <w:t>Formal Decision</w:t>
      </w:r>
    </w:p>
    <w:p w14:paraId="460523C0" w14:textId="77777777" w:rsidR="00E34E78" w:rsidRDefault="00E34E78" w:rsidP="00E34E78">
      <w:pPr>
        <w:pStyle w:val="Style1"/>
        <w:numPr>
          <w:ilvl w:val="0"/>
          <w:numId w:val="24"/>
        </w:numPr>
        <w:tabs>
          <w:tab w:val="clear" w:pos="720"/>
        </w:tabs>
      </w:pPr>
      <w:r>
        <w:t>I do not confirm the Order.</w:t>
      </w:r>
    </w:p>
    <w:p w14:paraId="66E1BA72" w14:textId="77777777" w:rsidR="009C6F7C" w:rsidRDefault="009C6F7C" w:rsidP="00E34E78">
      <w:pPr>
        <w:tabs>
          <w:tab w:val="left" w:pos="432"/>
        </w:tabs>
        <w:spacing w:before="180"/>
        <w:outlineLvl w:val="0"/>
        <w:rPr>
          <w:rFonts w:ascii="Monotype Corsiva" w:hAnsi="Monotype Corsiva"/>
          <w:color w:val="000000"/>
          <w:kern w:val="28"/>
          <w:sz w:val="36"/>
          <w:szCs w:val="36"/>
        </w:rPr>
      </w:pPr>
    </w:p>
    <w:p w14:paraId="0A0361CA" w14:textId="4BE337D5" w:rsidR="00E34E78" w:rsidRPr="006C52C7" w:rsidRDefault="00E34E78" w:rsidP="00E34E78">
      <w:pPr>
        <w:tabs>
          <w:tab w:val="left" w:pos="432"/>
        </w:tabs>
        <w:spacing w:before="180"/>
        <w:outlineLvl w:val="0"/>
        <w:rPr>
          <w:rFonts w:ascii="Monotype Corsiva" w:hAnsi="Monotype Corsiva"/>
          <w:color w:val="000000"/>
          <w:kern w:val="28"/>
          <w:sz w:val="36"/>
          <w:szCs w:val="36"/>
        </w:rPr>
      </w:pPr>
      <w:r w:rsidRPr="006C52C7">
        <w:rPr>
          <w:rFonts w:ascii="Monotype Corsiva" w:hAnsi="Monotype Corsiva"/>
          <w:color w:val="000000"/>
          <w:kern w:val="28"/>
          <w:sz w:val="36"/>
          <w:szCs w:val="36"/>
        </w:rPr>
        <w:t xml:space="preserve">D. M. Young </w:t>
      </w:r>
    </w:p>
    <w:p w14:paraId="3ECB2BF8" w14:textId="2366AE0D" w:rsidR="00E34E78" w:rsidRDefault="00E34E78" w:rsidP="00E34E78">
      <w:pPr>
        <w:tabs>
          <w:tab w:val="left" w:pos="720"/>
        </w:tabs>
        <w:spacing w:before="120"/>
      </w:pPr>
      <w:r w:rsidRPr="006C52C7">
        <w:t>Inspec</w:t>
      </w:r>
      <w:r w:rsidR="00F6160E">
        <w:t>t</w:t>
      </w:r>
      <w:r w:rsidRPr="006C52C7">
        <w:t xml:space="preserve">or </w:t>
      </w:r>
    </w:p>
    <w:p w14:paraId="684A970D" w14:textId="514DB0B1" w:rsidR="00E34E78" w:rsidRPr="00B75A21" w:rsidRDefault="00E34E78" w:rsidP="00E34E78">
      <w:pPr>
        <w:tabs>
          <w:tab w:val="left" w:pos="432"/>
        </w:tabs>
        <w:spacing w:before="180"/>
        <w:outlineLvl w:val="0"/>
        <w:rPr>
          <w:b/>
          <w:bCs/>
          <w:color w:val="000000"/>
          <w:kern w:val="28"/>
        </w:rPr>
      </w:pPr>
      <w:r w:rsidRPr="00B75A21">
        <w:rPr>
          <w:b/>
          <w:bCs/>
          <w:color w:val="000000"/>
          <w:kern w:val="28"/>
        </w:rPr>
        <w:lastRenderedPageBreak/>
        <w:t>APPEARANCES</w:t>
      </w:r>
    </w:p>
    <w:p w14:paraId="1091B2F4" w14:textId="77777777" w:rsidR="00E34E78" w:rsidRPr="00B75A21" w:rsidRDefault="00E34E78" w:rsidP="00E34E78">
      <w:pPr>
        <w:tabs>
          <w:tab w:val="left" w:pos="432"/>
        </w:tabs>
        <w:spacing w:before="180"/>
        <w:outlineLvl w:val="0"/>
        <w:rPr>
          <w:color w:val="000000"/>
          <w:kern w:val="28"/>
        </w:rPr>
      </w:pPr>
    </w:p>
    <w:p w14:paraId="408AFD54" w14:textId="75ED186A" w:rsidR="00E34E78" w:rsidRPr="00B75A21" w:rsidRDefault="00E34E78" w:rsidP="00E34E78">
      <w:pPr>
        <w:tabs>
          <w:tab w:val="left" w:pos="432"/>
        </w:tabs>
        <w:spacing w:before="180"/>
        <w:outlineLvl w:val="0"/>
        <w:rPr>
          <w:b/>
          <w:bCs/>
          <w:color w:val="000000"/>
          <w:kern w:val="28"/>
        </w:rPr>
      </w:pPr>
      <w:r w:rsidRPr="008B7F97">
        <w:rPr>
          <w:b/>
          <w:bCs/>
          <w:color w:val="000000"/>
          <w:kern w:val="28"/>
        </w:rPr>
        <w:t xml:space="preserve">For </w:t>
      </w:r>
      <w:r>
        <w:rPr>
          <w:b/>
          <w:bCs/>
          <w:color w:val="000000"/>
          <w:kern w:val="28"/>
        </w:rPr>
        <w:t>Kent County Council</w:t>
      </w:r>
    </w:p>
    <w:p w14:paraId="2F254C52" w14:textId="11BA8151" w:rsidR="00E34E78" w:rsidRDefault="00E34E78" w:rsidP="00E34E78">
      <w:pPr>
        <w:tabs>
          <w:tab w:val="left" w:pos="432"/>
        </w:tabs>
        <w:spacing w:before="180"/>
        <w:outlineLvl w:val="0"/>
        <w:rPr>
          <w:color w:val="000000"/>
          <w:kern w:val="28"/>
        </w:rPr>
      </w:pPr>
      <w:r>
        <w:rPr>
          <w:color w:val="000000"/>
          <w:kern w:val="28"/>
        </w:rPr>
        <w:t>No</w:t>
      </w:r>
      <w:r w:rsidR="00D51CA3">
        <w:rPr>
          <w:color w:val="000000"/>
          <w:kern w:val="28"/>
        </w:rPr>
        <w:t xml:space="preserve">emi </w:t>
      </w:r>
      <w:r>
        <w:rPr>
          <w:color w:val="000000"/>
          <w:kern w:val="28"/>
        </w:rPr>
        <w:t xml:space="preserve">Byrd of Counsel </w:t>
      </w:r>
      <w:r w:rsidRPr="00B75A21">
        <w:rPr>
          <w:color w:val="000000"/>
          <w:kern w:val="28"/>
        </w:rPr>
        <w:t xml:space="preserve"> </w:t>
      </w:r>
    </w:p>
    <w:p w14:paraId="44EDA03C" w14:textId="0CD2CC4D" w:rsidR="00E34E78" w:rsidRPr="00F0750C" w:rsidRDefault="00E34E78" w:rsidP="00E34E78">
      <w:pPr>
        <w:tabs>
          <w:tab w:val="left" w:pos="432"/>
        </w:tabs>
        <w:spacing w:before="180"/>
        <w:outlineLvl w:val="0"/>
        <w:rPr>
          <w:i/>
          <w:iCs/>
          <w:color w:val="000000"/>
          <w:kern w:val="28"/>
        </w:rPr>
      </w:pPr>
      <w:r>
        <w:rPr>
          <w:i/>
          <w:iCs/>
          <w:color w:val="000000"/>
          <w:kern w:val="28"/>
        </w:rPr>
        <w:t>Sh</w:t>
      </w:r>
      <w:r w:rsidRPr="00F0750C">
        <w:rPr>
          <w:i/>
          <w:iCs/>
          <w:color w:val="000000"/>
          <w:kern w:val="28"/>
        </w:rPr>
        <w:t>e called</w:t>
      </w:r>
    </w:p>
    <w:p w14:paraId="6B28EB58" w14:textId="7D9A229D" w:rsidR="00E34E78" w:rsidRDefault="00E34E78" w:rsidP="00E34E78">
      <w:pPr>
        <w:tabs>
          <w:tab w:val="left" w:pos="432"/>
        </w:tabs>
        <w:spacing w:before="180"/>
        <w:outlineLvl w:val="0"/>
        <w:rPr>
          <w:color w:val="000000"/>
          <w:kern w:val="28"/>
        </w:rPr>
      </w:pPr>
      <w:r>
        <w:rPr>
          <w:color w:val="000000"/>
          <w:kern w:val="28"/>
        </w:rPr>
        <w:t>Maria McLaugh</w:t>
      </w:r>
      <w:r w:rsidR="00D51CA3">
        <w:rPr>
          <w:color w:val="000000"/>
          <w:kern w:val="28"/>
        </w:rPr>
        <w:t>lan</w:t>
      </w:r>
      <w:r>
        <w:rPr>
          <w:color w:val="000000"/>
          <w:kern w:val="28"/>
        </w:rPr>
        <w:tab/>
      </w:r>
      <w:r>
        <w:rPr>
          <w:color w:val="000000"/>
          <w:kern w:val="28"/>
        </w:rPr>
        <w:tab/>
      </w:r>
      <w:r>
        <w:rPr>
          <w:color w:val="000000"/>
          <w:kern w:val="28"/>
        </w:rPr>
        <w:tab/>
      </w:r>
      <w:r>
        <w:rPr>
          <w:color w:val="000000"/>
          <w:kern w:val="28"/>
        </w:rPr>
        <w:tab/>
      </w:r>
      <w:r w:rsidR="00D51CA3">
        <w:rPr>
          <w:color w:val="000000"/>
          <w:kern w:val="28"/>
        </w:rPr>
        <w:t xml:space="preserve">Kent County Council </w:t>
      </w:r>
      <w:r>
        <w:rPr>
          <w:color w:val="000000"/>
          <w:kern w:val="28"/>
        </w:rPr>
        <w:t>– Rights of Way Officer</w:t>
      </w:r>
    </w:p>
    <w:p w14:paraId="7C137526" w14:textId="75960138" w:rsidR="002E3144" w:rsidRDefault="002E3144" w:rsidP="00E34E78">
      <w:pPr>
        <w:tabs>
          <w:tab w:val="left" w:pos="432"/>
        </w:tabs>
        <w:spacing w:before="180"/>
        <w:outlineLvl w:val="0"/>
        <w:rPr>
          <w:color w:val="000000"/>
          <w:kern w:val="28"/>
        </w:rPr>
      </w:pPr>
      <w:r>
        <w:rPr>
          <w:color w:val="000000"/>
          <w:kern w:val="28"/>
        </w:rPr>
        <w:t xml:space="preserve">Adrian Greaves </w:t>
      </w:r>
      <w:r>
        <w:rPr>
          <w:color w:val="000000"/>
          <w:kern w:val="28"/>
        </w:rPr>
        <w:tab/>
      </w:r>
      <w:r>
        <w:rPr>
          <w:color w:val="000000"/>
          <w:kern w:val="28"/>
        </w:rPr>
        <w:tab/>
      </w:r>
      <w:r>
        <w:rPr>
          <w:color w:val="000000"/>
          <w:kern w:val="28"/>
        </w:rPr>
        <w:tab/>
      </w:r>
      <w:r>
        <w:rPr>
          <w:color w:val="000000"/>
          <w:kern w:val="28"/>
        </w:rPr>
        <w:tab/>
        <w:t xml:space="preserve">Local Resident </w:t>
      </w:r>
    </w:p>
    <w:p w14:paraId="31154843" w14:textId="1EC9CB14" w:rsidR="002E3144" w:rsidRDefault="002E3144" w:rsidP="002E3144">
      <w:pPr>
        <w:tabs>
          <w:tab w:val="left" w:pos="432"/>
        </w:tabs>
        <w:spacing w:before="180"/>
        <w:outlineLvl w:val="0"/>
        <w:rPr>
          <w:color w:val="000000"/>
          <w:kern w:val="28"/>
        </w:rPr>
      </w:pPr>
      <w:r>
        <w:rPr>
          <w:color w:val="000000"/>
          <w:kern w:val="28"/>
        </w:rPr>
        <w:t>Ros</w:t>
      </w:r>
      <w:r w:rsidR="00F35639">
        <w:rPr>
          <w:color w:val="000000"/>
          <w:kern w:val="28"/>
        </w:rPr>
        <w:t>alynd</w:t>
      </w:r>
      <w:r>
        <w:rPr>
          <w:color w:val="000000"/>
          <w:kern w:val="28"/>
        </w:rPr>
        <w:t xml:space="preserve"> Debling </w:t>
      </w:r>
      <w:r>
        <w:rPr>
          <w:color w:val="000000"/>
          <w:kern w:val="28"/>
        </w:rPr>
        <w:tab/>
      </w:r>
      <w:r>
        <w:rPr>
          <w:color w:val="000000"/>
          <w:kern w:val="28"/>
        </w:rPr>
        <w:tab/>
      </w:r>
      <w:r>
        <w:rPr>
          <w:color w:val="000000"/>
          <w:kern w:val="28"/>
        </w:rPr>
        <w:tab/>
      </w:r>
      <w:r>
        <w:rPr>
          <w:color w:val="000000"/>
          <w:kern w:val="28"/>
        </w:rPr>
        <w:tab/>
        <w:t xml:space="preserve">Local Resident </w:t>
      </w:r>
    </w:p>
    <w:p w14:paraId="04537CF0" w14:textId="1CD3954D" w:rsidR="00E34E78" w:rsidRDefault="002E3144" w:rsidP="00E34E78">
      <w:pPr>
        <w:tabs>
          <w:tab w:val="left" w:pos="432"/>
        </w:tabs>
        <w:spacing w:before="180"/>
        <w:outlineLvl w:val="0"/>
        <w:rPr>
          <w:color w:val="000000"/>
          <w:kern w:val="28"/>
        </w:rPr>
      </w:pPr>
      <w:r>
        <w:rPr>
          <w:color w:val="000000"/>
          <w:kern w:val="28"/>
        </w:rPr>
        <w:t>James Forster</w:t>
      </w:r>
      <w:r w:rsidR="00E34E78" w:rsidRPr="002E3144">
        <w:rPr>
          <w:b/>
          <w:bCs/>
          <w:color w:val="000000"/>
          <w:kern w:val="28"/>
        </w:rPr>
        <w:tab/>
      </w:r>
      <w:r w:rsidR="00E34E78">
        <w:rPr>
          <w:color w:val="000000"/>
          <w:kern w:val="28"/>
        </w:rPr>
        <w:tab/>
      </w:r>
      <w:r w:rsidR="00E34E78">
        <w:rPr>
          <w:color w:val="000000"/>
          <w:kern w:val="28"/>
        </w:rPr>
        <w:tab/>
      </w:r>
      <w:r w:rsidR="00E34E78">
        <w:rPr>
          <w:color w:val="000000"/>
          <w:kern w:val="28"/>
        </w:rPr>
        <w:tab/>
        <w:t xml:space="preserve">Local Resident </w:t>
      </w:r>
    </w:p>
    <w:p w14:paraId="3786FA22" w14:textId="203D6253" w:rsidR="00402CA7" w:rsidRDefault="00402CA7" w:rsidP="00402CA7">
      <w:pPr>
        <w:tabs>
          <w:tab w:val="left" w:pos="432"/>
        </w:tabs>
        <w:spacing w:before="180"/>
        <w:outlineLvl w:val="0"/>
        <w:rPr>
          <w:b/>
          <w:bCs/>
          <w:color w:val="000000"/>
          <w:kern w:val="28"/>
        </w:rPr>
      </w:pPr>
    </w:p>
    <w:p w14:paraId="6DF1C02C" w14:textId="60AE2AFE" w:rsidR="00402CA7" w:rsidRDefault="00402CA7" w:rsidP="00402CA7">
      <w:pPr>
        <w:tabs>
          <w:tab w:val="left" w:pos="432"/>
        </w:tabs>
        <w:spacing w:before="180"/>
        <w:outlineLvl w:val="0"/>
        <w:rPr>
          <w:b/>
          <w:bCs/>
          <w:color w:val="000000"/>
          <w:kern w:val="28"/>
        </w:rPr>
      </w:pPr>
      <w:r>
        <w:rPr>
          <w:b/>
          <w:bCs/>
          <w:color w:val="000000"/>
          <w:kern w:val="28"/>
        </w:rPr>
        <w:t>Other Persons Supporting the Order</w:t>
      </w:r>
    </w:p>
    <w:p w14:paraId="3329D35A" w14:textId="77777777" w:rsidR="00402CA7" w:rsidRDefault="00402CA7" w:rsidP="00402CA7">
      <w:pPr>
        <w:pStyle w:val="Style1"/>
        <w:numPr>
          <w:ilvl w:val="0"/>
          <w:numId w:val="0"/>
        </w:numPr>
        <w:ind w:left="431" w:hanging="431"/>
      </w:pPr>
      <w:r>
        <w:t xml:space="preserve">Samantha Reed </w:t>
      </w:r>
      <w:r>
        <w:tab/>
      </w:r>
      <w:r>
        <w:tab/>
      </w:r>
      <w:r>
        <w:tab/>
      </w:r>
      <w:r>
        <w:tab/>
        <w:t>Applicant</w:t>
      </w:r>
    </w:p>
    <w:p w14:paraId="669DFBA9" w14:textId="77777777" w:rsidR="00402CA7" w:rsidRPr="00E34E78" w:rsidRDefault="00402CA7" w:rsidP="00402CA7">
      <w:pPr>
        <w:pStyle w:val="Style1"/>
        <w:numPr>
          <w:ilvl w:val="0"/>
          <w:numId w:val="0"/>
        </w:numPr>
        <w:ind w:left="431" w:hanging="431"/>
      </w:pPr>
      <w:r>
        <w:t xml:space="preserve">Kevin Paige </w:t>
      </w:r>
      <w:r>
        <w:tab/>
      </w:r>
      <w:r>
        <w:tab/>
      </w:r>
      <w:r>
        <w:tab/>
      </w:r>
      <w:r>
        <w:tab/>
      </w:r>
      <w:r>
        <w:tab/>
      </w:r>
      <w:r w:rsidRPr="00402CA7">
        <w:t>Local Resident</w:t>
      </w:r>
    </w:p>
    <w:p w14:paraId="55CC65AC" w14:textId="77777777" w:rsidR="00402CA7" w:rsidRDefault="00402CA7" w:rsidP="00402CA7">
      <w:pPr>
        <w:pStyle w:val="Style1"/>
        <w:numPr>
          <w:ilvl w:val="0"/>
          <w:numId w:val="0"/>
        </w:numPr>
        <w:ind w:left="431" w:hanging="431"/>
      </w:pPr>
      <w:r>
        <w:t>Albert Poole</w:t>
      </w:r>
      <w:r>
        <w:tab/>
      </w:r>
      <w:r>
        <w:tab/>
      </w:r>
      <w:r>
        <w:tab/>
      </w:r>
      <w:r>
        <w:tab/>
      </w:r>
      <w:r>
        <w:tab/>
        <w:t xml:space="preserve">Local Resident </w:t>
      </w:r>
    </w:p>
    <w:p w14:paraId="1D656B2D" w14:textId="77777777" w:rsidR="00402CA7" w:rsidRDefault="00402CA7" w:rsidP="00402CA7">
      <w:pPr>
        <w:pStyle w:val="Style1"/>
        <w:numPr>
          <w:ilvl w:val="0"/>
          <w:numId w:val="0"/>
        </w:numPr>
        <w:ind w:left="431" w:hanging="431"/>
      </w:pPr>
      <w:r>
        <w:t>Stephen Parsons</w:t>
      </w:r>
      <w:r>
        <w:tab/>
      </w:r>
      <w:r>
        <w:tab/>
      </w:r>
      <w:r>
        <w:tab/>
      </w:r>
      <w:r>
        <w:tab/>
      </w:r>
      <w:r w:rsidRPr="00402CA7">
        <w:t>Local Resident</w:t>
      </w:r>
    </w:p>
    <w:p w14:paraId="56CD6235" w14:textId="77777777" w:rsidR="00402CA7" w:rsidRDefault="00402CA7" w:rsidP="00402CA7">
      <w:pPr>
        <w:pStyle w:val="Style1"/>
        <w:numPr>
          <w:ilvl w:val="0"/>
          <w:numId w:val="0"/>
        </w:numPr>
        <w:ind w:left="431" w:hanging="431"/>
      </w:pPr>
      <w:r>
        <w:t xml:space="preserve">Russell Parkin </w:t>
      </w:r>
      <w:r>
        <w:tab/>
      </w:r>
      <w:r>
        <w:tab/>
      </w:r>
      <w:r>
        <w:tab/>
      </w:r>
      <w:r>
        <w:tab/>
      </w:r>
      <w:r w:rsidRPr="00402CA7">
        <w:t>Local Resident</w:t>
      </w:r>
    </w:p>
    <w:p w14:paraId="5C1AAB20" w14:textId="77777777" w:rsidR="00402CA7" w:rsidRDefault="00402CA7" w:rsidP="00402CA7">
      <w:pPr>
        <w:tabs>
          <w:tab w:val="left" w:pos="432"/>
        </w:tabs>
        <w:spacing w:before="180"/>
        <w:outlineLvl w:val="0"/>
        <w:rPr>
          <w:b/>
          <w:bCs/>
          <w:color w:val="000000"/>
          <w:kern w:val="28"/>
        </w:rPr>
      </w:pPr>
    </w:p>
    <w:p w14:paraId="43CBEB0A" w14:textId="5036A9BE" w:rsidR="00E34E78" w:rsidRPr="002722C4" w:rsidRDefault="00E34E78" w:rsidP="00402CA7">
      <w:pPr>
        <w:tabs>
          <w:tab w:val="left" w:pos="432"/>
        </w:tabs>
        <w:spacing w:before="180"/>
        <w:outlineLvl w:val="0"/>
        <w:rPr>
          <w:b/>
          <w:bCs/>
          <w:color w:val="000000"/>
          <w:kern w:val="28"/>
        </w:rPr>
      </w:pPr>
      <w:r w:rsidRPr="002722C4">
        <w:rPr>
          <w:b/>
          <w:bCs/>
          <w:color w:val="000000"/>
          <w:kern w:val="28"/>
        </w:rPr>
        <w:t xml:space="preserve">In opposition to the Order </w:t>
      </w:r>
    </w:p>
    <w:p w14:paraId="0104AEA9" w14:textId="0E7CCC4F" w:rsidR="00E34E78" w:rsidRDefault="00E34E78" w:rsidP="00E34E78">
      <w:pPr>
        <w:tabs>
          <w:tab w:val="left" w:pos="432"/>
        </w:tabs>
        <w:spacing w:before="180"/>
        <w:outlineLvl w:val="0"/>
        <w:rPr>
          <w:color w:val="000000"/>
          <w:kern w:val="28"/>
        </w:rPr>
      </w:pPr>
      <w:r>
        <w:rPr>
          <w:color w:val="000000"/>
          <w:kern w:val="28"/>
        </w:rPr>
        <w:t>Anjoli Foster of Counsel</w:t>
      </w:r>
      <w:r>
        <w:rPr>
          <w:color w:val="000000"/>
          <w:kern w:val="28"/>
        </w:rPr>
        <w:tab/>
      </w:r>
      <w:r>
        <w:rPr>
          <w:color w:val="000000"/>
          <w:kern w:val="28"/>
        </w:rPr>
        <w:tab/>
      </w:r>
      <w:r>
        <w:rPr>
          <w:color w:val="000000"/>
          <w:kern w:val="28"/>
        </w:rPr>
        <w:tab/>
      </w:r>
    </w:p>
    <w:p w14:paraId="2BAD3C92" w14:textId="77777777" w:rsidR="00E34E78" w:rsidRPr="006E3811" w:rsidRDefault="00E34E78" w:rsidP="00E34E78">
      <w:pPr>
        <w:tabs>
          <w:tab w:val="left" w:pos="432"/>
        </w:tabs>
        <w:spacing w:before="180"/>
        <w:ind w:left="431" w:hanging="431"/>
        <w:outlineLvl w:val="0"/>
        <w:rPr>
          <w:i/>
          <w:iCs/>
          <w:color w:val="000000"/>
          <w:kern w:val="28"/>
        </w:rPr>
      </w:pPr>
      <w:r w:rsidRPr="006E3811">
        <w:rPr>
          <w:i/>
          <w:iCs/>
          <w:color w:val="000000"/>
          <w:kern w:val="28"/>
        </w:rPr>
        <w:t xml:space="preserve">She called </w:t>
      </w:r>
    </w:p>
    <w:p w14:paraId="4A2621FB" w14:textId="7280255E" w:rsidR="002E3144" w:rsidRDefault="002E3144" w:rsidP="00E34E78">
      <w:pPr>
        <w:tabs>
          <w:tab w:val="left" w:pos="432"/>
        </w:tabs>
        <w:spacing w:before="180"/>
        <w:ind w:left="431" w:hanging="431"/>
        <w:outlineLvl w:val="0"/>
        <w:rPr>
          <w:color w:val="000000"/>
          <w:kern w:val="28"/>
        </w:rPr>
      </w:pPr>
      <w:r>
        <w:rPr>
          <w:color w:val="000000"/>
          <w:kern w:val="28"/>
        </w:rPr>
        <w:t xml:space="preserve">Christine Cox </w:t>
      </w:r>
      <w:r>
        <w:rPr>
          <w:color w:val="000000"/>
          <w:kern w:val="28"/>
        </w:rPr>
        <w:tab/>
      </w:r>
      <w:r>
        <w:rPr>
          <w:color w:val="000000"/>
          <w:kern w:val="28"/>
        </w:rPr>
        <w:tab/>
      </w:r>
      <w:r>
        <w:rPr>
          <w:color w:val="000000"/>
          <w:kern w:val="28"/>
        </w:rPr>
        <w:tab/>
      </w:r>
      <w:r>
        <w:rPr>
          <w:color w:val="000000"/>
          <w:kern w:val="28"/>
        </w:rPr>
        <w:tab/>
        <w:t>Air Photo Services</w:t>
      </w:r>
    </w:p>
    <w:p w14:paraId="2FF98934" w14:textId="41E35AFB" w:rsidR="00E34E78" w:rsidRDefault="002E3144" w:rsidP="00E34E78">
      <w:pPr>
        <w:tabs>
          <w:tab w:val="left" w:pos="432"/>
        </w:tabs>
        <w:spacing w:before="180"/>
        <w:ind w:left="431" w:hanging="431"/>
        <w:outlineLvl w:val="0"/>
        <w:rPr>
          <w:color w:val="000000"/>
          <w:kern w:val="28"/>
        </w:rPr>
      </w:pPr>
      <w:r>
        <w:rPr>
          <w:color w:val="000000"/>
          <w:kern w:val="28"/>
        </w:rPr>
        <w:t>Carol Daniel</w:t>
      </w:r>
      <w:r w:rsidR="00E34E78">
        <w:rPr>
          <w:color w:val="000000"/>
          <w:kern w:val="28"/>
        </w:rPr>
        <w:tab/>
      </w:r>
      <w:r w:rsidR="00E34E78">
        <w:rPr>
          <w:color w:val="000000"/>
          <w:kern w:val="28"/>
        </w:rPr>
        <w:tab/>
      </w:r>
      <w:r w:rsidR="00E34E78">
        <w:rPr>
          <w:color w:val="000000"/>
          <w:kern w:val="28"/>
        </w:rPr>
        <w:tab/>
      </w:r>
      <w:r w:rsidR="00E34E78">
        <w:rPr>
          <w:color w:val="000000"/>
          <w:kern w:val="28"/>
        </w:rPr>
        <w:tab/>
      </w:r>
      <w:r w:rsidR="00E34E78">
        <w:rPr>
          <w:color w:val="000000"/>
          <w:kern w:val="28"/>
        </w:rPr>
        <w:tab/>
        <w:t xml:space="preserve">Landowner </w:t>
      </w:r>
    </w:p>
    <w:p w14:paraId="54A379A3" w14:textId="48F6DB3F" w:rsidR="002E3144" w:rsidRDefault="00D51CA3" w:rsidP="00631C75">
      <w:pPr>
        <w:tabs>
          <w:tab w:val="left" w:pos="432"/>
        </w:tabs>
        <w:spacing w:before="180"/>
        <w:ind w:left="431" w:hanging="431"/>
        <w:outlineLvl w:val="0"/>
        <w:rPr>
          <w:color w:val="000000"/>
          <w:kern w:val="28"/>
        </w:rPr>
      </w:pPr>
      <w:r>
        <w:rPr>
          <w:color w:val="000000"/>
          <w:kern w:val="28"/>
        </w:rPr>
        <w:t>Rio Daniel</w:t>
      </w:r>
      <w:r>
        <w:rPr>
          <w:color w:val="000000"/>
          <w:kern w:val="28"/>
        </w:rPr>
        <w:tab/>
      </w:r>
      <w:r w:rsidR="00E34E78">
        <w:rPr>
          <w:color w:val="000000"/>
          <w:kern w:val="28"/>
        </w:rPr>
        <w:tab/>
      </w:r>
      <w:r w:rsidR="00E34E78">
        <w:rPr>
          <w:color w:val="000000"/>
          <w:kern w:val="28"/>
        </w:rPr>
        <w:tab/>
      </w:r>
      <w:r w:rsidR="00E34E78">
        <w:rPr>
          <w:color w:val="000000"/>
          <w:kern w:val="28"/>
        </w:rPr>
        <w:tab/>
      </w:r>
      <w:r w:rsidR="00E34E78">
        <w:rPr>
          <w:color w:val="000000"/>
          <w:kern w:val="28"/>
        </w:rPr>
        <w:tab/>
      </w:r>
      <w:r>
        <w:rPr>
          <w:color w:val="000000"/>
          <w:kern w:val="28"/>
        </w:rPr>
        <w:t>Wates Development Ltd</w:t>
      </w:r>
      <w:r w:rsidR="00E34E78">
        <w:rPr>
          <w:color w:val="000000"/>
          <w:kern w:val="28"/>
        </w:rPr>
        <w:t xml:space="preserve"> </w:t>
      </w:r>
    </w:p>
    <w:p w14:paraId="4145E591" w14:textId="3184B1CF" w:rsidR="00631C75" w:rsidRDefault="00631C75" w:rsidP="00631C75">
      <w:pPr>
        <w:tabs>
          <w:tab w:val="left" w:pos="432"/>
        </w:tabs>
        <w:spacing w:before="180"/>
        <w:ind w:left="431" w:hanging="431"/>
        <w:outlineLvl w:val="0"/>
        <w:rPr>
          <w:color w:val="000000"/>
          <w:kern w:val="28"/>
        </w:rPr>
      </w:pPr>
    </w:p>
    <w:p w14:paraId="4AA62CA3" w14:textId="640B4C45" w:rsidR="00631C75" w:rsidRDefault="00631C75" w:rsidP="00631C75">
      <w:pPr>
        <w:tabs>
          <w:tab w:val="left" w:pos="432"/>
        </w:tabs>
        <w:spacing w:before="180"/>
        <w:ind w:left="431" w:hanging="431"/>
        <w:outlineLvl w:val="0"/>
        <w:rPr>
          <w:color w:val="000000"/>
          <w:kern w:val="28"/>
        </w:rPr>
      </w:pPr>
    </w:p>
    <w:p w14:paraId="2079D1DA" w14:textId="7C74696A" w:rsidR="00631C75" w:rsidRDefault="00631C75" w:rsidP="00631C75">
      <w:pPr>
        <w:tabs>
          <w:tab w:val="left" w:pos="432"/>
        </w:tabs>
        <w:spacing w:before="180"/>
        <w:ind w:left="431" w:hanging="431"/>
        <w:outlineLvl w:val="0"/>
        <w:rPr>
          <w:color w:val="000000"/>
          <w:kern w:val="28"/>
        </w:rPr>
      </w:pPr>
    </w:p>
    <w:p w14:paraId="18FD03D1" w14:textId="3D882997" w:rsidR="00631C75" w:rsidRDefault="00631C75" w:rsidP="00631C75">
      <w:pPr>
        <w:tabs>
          <w:tab w:val="left" w:pos="432"/>
        </w:tabs>
        <w:spacing w:before="180"/>
        <w:ind w:left="431" w:hanging="431"/>
        <w:outlineLvl w:val="0"/>
        <w:rPr>
          <w:color w:val="000000"/>
          <w:kern w:val="28"/>
        </w:rPr>
      </w:pPr>
    </w:p>
    <w:p w14:paraId="2BB05654" w14:textId="26ECB181" w:rsidR="00631C75" w:rsidRDefault="00631C75" w:rsidP="00631C75">
      <w:pPr>
        <w:tabs>
          <w:tab w:val="left" w:pos="432"/>
        </w:tabs>
        <w:spacing w:before="180"/>
        <w:ind w:left="431" w:hanging="431"/>
        <w:outlineLvl w:val="0"/>
        <w:rPr>
          <w:color w:val="000000"/>
          <w:kern w:val="28"/>
        </w:rPr>
      </w:pPr>
    </w:p>
    <w:p w14:paraId="6162654C" w14:textId="16D500BC" w:rsidR="00631C75" w:rsidRDefault="00631C75" w:rsidP="00631C75">
      <w:pPr>
        <w:tabs>
          <w:tab w:val="left" w:pos="432"/>
        </w:tabs>
        <w:spacing w:before="180"/>
        <w:ind w:left="431" w:hanging="431"/>
        <w:outlineLvl w:val="0"/>
        <w:rPr>
          <w:color w:val="000000"/>
          <w:kern w:val="28"/>
        </w:rPr>
      </w:pPr>
    </w:p>
    <w:p w14:paraId="0489E3E6" w14:textId="38F8997D" w:rsidR="00631C75" w:rsidRDefault="00631C75" w:rsidP="00631C75">
      <w:pPr>
        <w:tabs>
          <w:tab w:val="left" w:pos="432"/>
        </w:tabs>
        <w:spacing w:before="180"/>
        <w:ind w:left="431" w:hanging="431"/>
        <w:outlineLvl w:val="0"/>
        <w:rPr>
          <w:color w:val="000000"/>
          <w:kern w:val="28"/>
        </w:rPr>
      </w:pPr>
    </w:p>
    <w:p w14:paraId="34252D53" w14:textId="1148859F" w:rsidR="00631C75" w:rsidRDefault="00631C75" w:rsidP="00631C75">
      <w:pPr>
        <w:tabs>
          <w:tab w:val="left" w:pos="432"/>
        </w:tabs>
        <w:spacing w:before="180"/>
        <w:ind w:left="431" w:hanging="431"/>
        <w:outlineLvl w:val="0"/>
        <w:rPr>
          <w:color w:val="000000"/>
          <w:kern w:val="28"/>
        </w:rPr>
      </w:pPr>
    </w:p>
    <w:p w14:paraId="263AEEA5" w14:textId="3DE1E72A" w:rsidR="00631C75" w:rsidRDefault="00631C75" w:rsidP="00631C75">
      <w:pPr>
        <w:tabs>
          <w:tab w:val="left" w:pos="432"/>
        </w:tabs>
        <w:spacing w:before="180"/>
        <w:ind w:left="431" w:hanging="431"/>
        <w:outlineLvl w:val="0"/>
        <w:rPr>
          <w:color w:val="000000"/>
          <w:kern w:val="28"/>
        </w:rPr>
      </w:pPr>
    </w:p>
    <w:p w14:paraId="70E5DD0A" w14:textId="0A3F9416" w:rsidR="00DE7F2E" w:rsidRPr="00DE7F2E" w:rsidRDefault="00DE7F2E" w:rsidP="00DE7F2E">
      <w:pPr>
        <w:tabs>
          <w:tab w:val="left" w:pos="432"/>
        </w:tabs>
        <w:spacing w:before="180"/>
        <w:ind w:left="431" w:hanging="431"/>
        <w:outlineLvl w:val="0"/>
        <w:rPr>
          <w:b/>
          <w:bCs/>
          <w:color w:val="000000"/>
          <w:kern w:val="28"/>
        </w:rPr>
      </w:pPr>
      <w:r w:rsidRPr="00DE7F2E">
        <w:rPr>
          <w:b/>
          <w:bCs/>
          <w:color w:val="000000"/>
          <w:kern w:val="28"/>
        </w:rPr>
        <w:lastRenderedPageBreak/>
        <w:t>LIST OF INQUIRY DOCUMENTS</w:t>
      </w:r>
    </w:p>
    <w:p w14:paraId="515ED1F4" w14:textId="77777777" w:rsidR="00DE7F2E" w:rsidRDefault="00DE7F2E" w:rsidP="00DE7F2E">
      <w:pPr>
        <w:tabs>
          <w:tab w:val="left" w:pos="432"/>
        </w:tabs>
        <w:spacing w:before="180"/>
        <w:ind w:left="431" w:hanging="431"/>
        <w:outlineLvl w:val="0"/>
        <w:rPr>
          <w:color w:val="000000"/>
          <w:kern w:val="28"/>
        </w:rPr>
      </w:pPr>
    </w:p>
    <w:p w14:paraId="25E03EF3" w14:textId="26DBB6A3" w:rsidR="00DE7F2E" w:rsidRDefault="00DE7F2E" w:rsidP="00DE7F2E">
      <w:pPr>
        <w:pStyle w:val="ListParagraph"/>
        <w:numPr>
          <w:ilvl w:val="0"/>
          <w:numId w:val="25"/>
        </w:numPr>
        <w:tabs>
          <w:tab w:val="left" w:pos="432"/>
        </w:tabs>
        <w:spacing w:before="180"/>
        <w:outlineLvl w:val="0"/>
        <w:rPr>
          <w:color w:val="000000"/>
          <w:kern w:val="28"/>
        </w:rPr>
      </w:pPr>
      <w:r w:rsidRPr="00DE7F2E">
        <w:rPr>
          <w:color w:val="000000"/>
          <w:kern w:val="28"/>
        </w:rPr>
        <w:t>Statement of Case of Albert Poole – handed into the Inquiry on 6</w:t>
      </w:r>
      <w:r>
        <w:rPr>
          <w:color w:val="000000"/>
          <w:kern w:val="28"/>
        </w:rPr>
        <w:t xml:space="preserve"> </w:t>
      </w:r>
      <w:r w:rsidRPr="00DE7F2E">
        <w:rPr>
          <w:color w:val="000000"/>
          <w:kern w:val="28"/>
        </w:rPr>
        <w:t>April 2022</w:t>
      </w:r>
    </w:p>
    <w:p w14:paraId="55FA5432" w14:textId="77777777" w:rsidR="00DE7F2E" w:rsidRDefault="00DE7F2E" w:rsidP="00DE7F2E">
      <w:pPr>
        <w:pStyle w:val="ListParagraph"/>
        <w:tabs>
          <w:tab w:val="left" w:pos="432"/>
        </w:tabs>
        <w:spacing w:before="180"/>
        <w:outlineLvl w:val="0"/>
        <w:rPr>
          <w:color w:val="000000"/>
          <w:kern w:val="28"/>
        </w:rPr>
      </w:pPr>
    </w:p>
    <w:p w14:paraId="367276CD" w14:textId="77777777" w:rsidR="00DE7F2E" w:rsidRDefault="00DE7F2E" w:rsidP="00DE7F2E">
      <w:pPr>
        <w:pStyle w:val="ListParagraph"/>
        <w:numPr>
          <w:ilvl w:val="0"/>
          <w:numId w:val="25"/>
        </w:numPr>
        <w:tabs>
          <w:tab w:val="left" w:pos="432"/>
        </w:tabs>
        <w:spacing w:before="180"/>
        <w:outlineLvl w:val="0"/>
        <w:rPr>
          <w:color w:val="000000"/>
          <w:kern w:val="28"/>
        </w:rPr>
      </w:pPr>
      <w:r w:rsidRPr="00DE7F2E">
        <w:rPr>
          <w:color w:val="000000"/>
          <w:kern w:val="28"/>
        </w:rPr>
        <w:t>Appeal Decision dated 30 March 2022 Reference</w:t>
      </w:r>
      <w:r>
        <w:rPr>
          <w:color w:val="000000"/>
          <w:kern w:val="28"/>
        </w:rPr>
        <w:t xml:space="preserve"> </w:t>
      </w:r>
      <w:r w:rsidRPr="00DE7F2E">
        <w:rPr>
          <w:color w:val="000000"/>
          <w:kern w:val="28"/>
        </w:rPr>
        <w:t>APP/E2205/W/21/3284479</w:t>
      </w:r>
    </w:p>
    <w:p w14:paraId="60445676" w14:textId="77777777" w:rsidR="00DE7F2E" w:rsidRPr="00DE7F2E" w:rsidRDefault="00DE7F2E" w:rsidP="00DE7F2E">
      <w:pPr>
        <w:pStyle w:val="ListParagraph"/>
        <w:rPr>
          <w:color w:val="000000"/>
          <w:kern w:val="28"/>
        </w:rPr>
      </w:pPr>
    </w:p>
    <w:p w14:paraId="38D8FF2E" w14:textId="77777777" w:rsidR="00DE7F2E" w:rsidRDefault="00DE7F2E" w:rsidP="00DE7F2E">
      <w:pPr>
        <w:pStyle w:val="ListParagraph"/>
        <w:numPr>
          <w:ilvl w:val="0"/>
          <w:numId w:val="25"/>
        </w:numPr>
        <w:tabs>
          <w:tab w:val="left" w:pos="432"/>
        </w:tabs>
        <w:spacing w:before="180"/>
        <w:outlineLvl w:val="0"/>
        <w:rPr>
          <w:color w:val="000000"/>
          <w:kern w:val="28"/>
        </w:rPr>
      </w:pPr>
      <w:r>
        <w:rPr>
          <w:color w:val="000000"/>
          <w:kern w:val="28"/>
        </w:rPr>
        <w:t xml:space="preserve">Council’s </w:t>
      </w:r>
      <w:r w:rsidRPr="00DE7F2E">
        <w:rPr>
          <w:color w:val="000000"/>
          <w:kern w:val="28"/>
        </w:rPr>
        <w:t xml:space="preserve">Opening Statement </w:t>
      </w:r>
    </w:p>
    <w:p w14:paraId="77C259FB" w14:textId="77777777" w:rsidR="00DE7F2E" w:rsidRPr="00DE7F2E" w:rsidRDefault="00DE7F2E" w:rsidP="00DE7F2E">
      <w:pPr>
        <w:pStyle w:val="ListParagraph"/>
        <w:rPr>
          <w:color w:val="000000"/>
          <w:kern w:val="28"/>
        </w:rPr>
      </w:pPr>
    </w:p>
    <w:p w14:paraId="28A7BAF1" w14:textId="77777777" w:rsidR="00DE7F2E" w:rsidRDefault="00DE7F2E" w:rsidP="00DE7F2E">
      <w:pPr>
        <w:pStyle w:val="ListParagraph"/>
        <w:numPr>
          <w:ilvl w:val="0"/>
          <w:numId w:val="25"/>
        </w:numPr>
        <w:tabs>
          <w:tab w:val="left" w:pos="432"/>
        </w:tabs>
        <w:spacing w:before="180"/>
        <w:outlineLvl w:val="0"/>
        <w:rPr>
          <w:color w:val="000000"/>
          <w:kern w:val="28"/>
        </w:rPr>
      </w:pPr>
      <w:r>
        <w:rPr>
          <w:color w:val="000000"/>
          <w:kern w:val="28"/>
        </w:rPr>
        <w:t>Applicant’s O</w:t>
      </w:r>
      <w:r w:rsidRPr="00DE7F2E">
        <w:rPr>
          <w:color w:val="000000"/>
          <w:kern w:val="28"/>
        </w:rPr>
        <w:t>pening Statement</w:t>
      </w:r>
    </w:p>
    <w:p w14:paraId="45BB668C" w14:textId="77777777" w:rsidR="00DE7F2E" w:rsidRPr="00DE7F2E" w:rsidRDefault="00DE7F2E" w:rsidP="00DE7F2E">
      <w:pPr>
        <w:pStyle w:val="ListParagraph"/>
        <w:rPr>
          <w:color w:val="000000"/>
          <w:kern w:val="28"/>
        </w:rPr>
      </w:pPr>
    </w:p>
    <w:p w14:paraId="265312C9" w14:textId="77777777" w:rsidR="00DE7F2E" w:rsidRDefault="00DE7F2E" w:rsidP="00DE7F2E">
      <w:pPr>
        <w:pStyle w:val="ListParagraph"/>
        <w:numPr>
          <w:ilvl w:val="0"/>
          <w:numId w:val="25"/>
        </w:numPr>
        <w:tabs>
          <w:tab w:val="left" w:pos="432"/>
        </w:tabs>
        <w:spacing w:before="180"/>
        <w:outlineLvl w:val="0"/>
        <w:rPr>
          <w:color w:val="000000"/>
          <w:kern w:val="28"/>
        </w:rPr>
      </w:pPr>
      <w:r>
        <w:rPr>
          <w:color w:val="000000"/>
          <w:kern w:val="28"/>
        </w:rPr>
        <w:t xml:space="preserve">Objector’s </w:t>
      </w:r>
      <w:r w:rsidRPr="00DE7F2E">
        <w:rPr>
          <w:color w:val="000000"/>
          <w:kern w:val="28"/>
        </w:rPr>
        <w:t xml:space="preserve">Opening Statement </w:t>
      </w:r>
    </w:p>
    <w:p w14:paraId="5C0474C5" w14:textId="77777777" w:rsidR="00DE7F2E" w:rsidRPr="00DE7F2E" w:rsidRDefault="00DE7F2E" w:rsidP="00DE7F2E">
      <w:pPr>
        <w:pStyle w:val="ListParagraph"/>
        <w:rPr>
          <w:color w:val="000000"/>
          <w:kern w:val="28"/>
        </w:rPr>
      </w:pPr>
    </w:p>
    <w:p w14:paraId="60908888" w14:textId="4FD1D52F" w:rsidR="00DE7F2E" w:rsidRDefault="00DE7F2E" w:rsidP="00DE7F2E">
      <w:pPr>
        <w:pStyle w:val="ListParagraph"/>
        <w:numPr>
          <w:ilvl w:val="0"/>
          <w:numId w:val="25"/>
        </w:numPr>
        <w:tabs>
          <w:tab w:val="left" w:pos="432"/>
        </w:tabs>
        <w:spacing w:before="180"/>
        <w:outlineLvl w:val="0"/>
        <w:rPr>
          <w:color w:val="000000"/>
          <w:kern w:val="28"/>
        </w:rPr>
      </w:pPr>
      <w:r>
        <w:rPr>
          <w:color w:val="000000"/>
          <w:kern w:val="28"/>
        </w:rPr>
        <w:t>Objector’s C</w:t>
      </w:r>
      <w:r w:rsidRPr="00DE7F2E">
        <w:rPr>
          <w:color w:val="000000"/>
          <w:kern w:val="28"/>
        </w:rPr>
        <w:t xml:space="preserve">losing Statement </w:t>
      </w:r>
    </w:p>
    <w:p w14:paraId="23D2B215" w14:textId="77777777" w:rsidR="00DE7F2E" w:rsidRPr="00DE7F2E" w:rsidRDefault="00DE7F2E" w:rsidP="00DE7F2E">
      <w:pPr>
        <w:pStyle w:val="ListParagraph"/>
        <w:rPr>
          <w:color w:val="000000"/>
          <w:kern w:val="28"/>
        </w:rPr>
      </w:pPr>
    </w:p>
    <w:p w14:paraId="1E6E0B14" w14:textId="78B8C7B6" w:rsidR="00631C75" w:rsidRDefault="00DE7F2E" w:rsidP="00650929">
      <w:pPr>
        <w:pStyle w:val="ListParagraph"/>
        <w:numPr>
          <w:ilvl w:val="0"/>
          <w:numId w:val="25"/>
        </w:numPr>
        <w:tabs>
          <w:tab w:val="left" w:pos="432"/>
        </w:tabs>
        <w:spacing w:before="180"/>
        <w:outlineLvl w:val="0"/>
        <w:rPr>
          <w:color w:val="000000"/>
          <w:kern w:val="28"/>
        </w:rPr>
      </w:pPr>
      <w:r>
        <w:rPr>
          <w:color w:val="000000"/>
          <w:kern w:val="28"/>
        </w:rPr>
        <w:t xml:space="preserve">Council’s </w:t>
      </w:r>
      <w:r w:rsidRPr="00DE7F2E">
        <w:rPr>
          <w:color w:val="000000"/>
          <w:kern w:val="28"/>
        </w:rPr>
        <w:t>Clos</w:t>
      </w:r>
      <w:r w:rsidRPr="00650929">
        <w:rPr>
          <w:color w:val="000000"/>
          <w:kern w:val="28"/>
        </w:rPr>
        <w:t>ing Statement</w:t>
      </w:r>
    </w:p>
    <w:p w14:paraId="21A796BF" w14:textId="77777777" w:rsidR="00332F47" w:rsidRPr="00332F47" w:rsidRDefault="00332F47" w:rsidP="00332F47">
      <w:pPr>
        <w:pStyle w:val="ListParagraph"/>
        <w:rPr>
          <w:color w:val="000000"/>
          <w:kern w:val="28"/>
        </w:rPr>
      </w:pPr>
    </w:p>
    <w:p w14:paraId="63D29B95" w14:textId="255D39B1" w:rsidR="00332F47" w:rsidRDefault="00332F47" w:rsidP="00332F47">
      <w:pPr>
        <w:tabs>
          <w:tab w:val="left" w:pos="432"/>
        </w:tabs>
        <w:spacing w:before="180"/>
        <w:outlineLvl w:val="0"/>
        <w:rPr>
          <w:color w:val="000000"/>
          <w:kern w:val="28"/>
        </w:rPr>
      </w:pPr>
    </w:p>
    <w:p w14:paraId="047B0AA7" w14:textId="7F5469DA" w:rsidR="00332F47" w:rsidRDefault="00332F47">
      <w:pPr>
        <w:rPr>
          <w:color w:val="000000"/>
          <w:kern w:val="28"/>
        </w:rPr>
      </w:pPr>
      <w:r>
        <w:rPr>
          <w:color w:val="000000"/>
          <w:kern w:val="28"/>
        </w:rPr>
        <w:br w:type="page"/>
      </w:r>
    </w:p>
    <w:p w14:paraId="646DD172" w14:textId="7797EE18" w:rsidR="00332F47" w:rsidRPr="00332F47" w:rsidRDefault="00147213" w:rsidP="00332F47">
      <w:pPr>
        <w:tabs>
          <w:tab w:val="left" w:pos="432"/>
        </w:tabs>
        <w:spacing w:before="180"/>
        <w:outlineLvl w:val="0"/>
        <w:rPr>
          <w:color w:val="000000"/>
          <w:kern w:val="28"/>
        </w:rPr>
      </w:pPr>
      <w:r>
        <w:rPr>
          <w:noProof/>
        </w:rPr>
        <w:lastRenderedPageBreak/>
        <w:drawing>
          <wp:inline distT="0" distB="0" distL="0" distR="0" wp14:anchorId="1A96166B" wp14:editId="5DB78FA5">
            <wp:extent cx="5908040" cy="8367096"/>
            <wp:effectExtent l="0" t="0" r="0" b="0"/>
            <wp:docPr id="13" name="Picture 13" descr="PAGE 3 OF THE ORDER - COPY OF THE MAP SHOEING THE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AGE 3 OF THE ORDER - COPY OF THE MAP SHOEING THE ROU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040" cy="8367096"/>
                    </a:xfrm>
                    <a:prstGeom prst="rect">
                      <a:avLst/>
                    </a:prstGeom>
                    <a:noFill/>
                    <a:ln>
                      <a:noFill/>
                    </a:ln>
                  </pic:spPr>
                </pic:pic>
              </a:graphicData>
            </a:graphic>
          </wp:inline>
        </w:drawing>
      </w:r>
    </w:p>
    <w:sectPr w:rsidR="00332F47" w:rsidRPr="00332F47"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96FD" w14:textId="77777777" w:rsidR="007924C2" w:rsidRDefault="007924C2" w:rsidP="00F62916">
      <w:r>
        <w:separator/>
      </w:r>
    </w:p>
  </w:endnote>
  <w:endnote w:type="continuationSeparator" w:id="0">
    <w:p w14:paraId="1B69E3B0" w14:textId="77777777" w:rsidR="007924C2" w:rsidRDefault="007924C2"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44F3"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6F48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A7D4"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FD22453" wp14:editId="1344C5A5">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7CF74"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B583A45" w14:textId="77777777" w:rsidR="00366F95" w:rsidRPr="00E45340" w:rsidRDefault="007924C2"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BABD" w14:textId="77777777" w:rsidR="00366F95" w:rsidRDefault="00366F95" w:rsidP="00E34E78">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085AE0D" wp14:editId="505EFCB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8CF5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6F18CC35" w14:textId="77777777" w:rsidR="00366F95" w:rsidRPr="00451EE4" w:rsidRDefault="007924C2">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CA9D" w14:textId="77777777" w:rsidR="007924C2" w:rsidRDefault="007924C2" w:rsidP="00F62916">
      <w:r>
        <w:separator/>
      </w:r>
    </w:p>
  </w:footnote>
  <w:footnote w:type="continuationSeparator" w:id="0">
    <w:p w14:paraId="09DE0057" w14:textId="77777777" w:rsidR="007924C2" w:rsidRDefault="007924C2" w:rsidP="00F62916">
      <w:r>
        <w:continuationSeparator/>
      </w:r>
    </w:p>
  </w:footnote>
  <w:footnote w:id="1">
    <w:p w14:paraId="51080CA9" w14:textId="377DD8AC" w:rsidR="00B206C4" w:rsidRDefault="00B206C4">
      <w:pPr>
        <w:pStyle w:val="FootnoteText"/>
      </w:pPr>
      <w:r>
        <w:rPr>
          <w:rStyle w:val="FootnoteReference"/>
        </w:rPr>
        <w:footnoteRef/>
      </w:r>
      <w:r>
        <w:t xml:space="preserve"> </w:t>
      </w:r>
      <w:r w:rsidR="00F43965">
        <w:t xml:space="preserve">For the erection of up to 141 residential dwellings </w:t>
      </w:r>
      <w:r>
        <w:t>LPA Ref: 21/00790/AS</w:t>
      </w:r>
    </w:p>
  </w:footnote>
  <w:footnote w:id="2">
    <w:p w14:paraId="2EC3A9E8" w14:textId="209C56C8" w:rsidR="005B2B5B" w:rsidRDefault="005B2B5B">
      <w:pPr>
        <w:pStyle w:val="FootnoteText"/>
      </w:pPr>
      <w:r>
        <w:rPr>
          <w:rStyle w:val="FootnoteReference"/>
        </w:rPr>
        <w:footnoteRef/>
      </w:r>
      <w:r>
        <w:t xml:space="preserve"> PINS Ref: APP/</w:t>
      </w:r>
      <w:r w:rsidR="008D7922">
        <w:t>E2205/W/21/3284479</w:t>
      </w:r>
      <w:r w:rsidR="001E2D2F">
        <w:t xml:space="preserve"> – </w:t>
      </w:r>
      <w:r w:rsidR="00FD5568">
        <w:t xml:space="preserve">See Inquiry Document 2 for </w:t>
      </w:r>
      <w:r w:rsidR="001E2D2F">
        <w:t>Decision Letter</w:t>
      </w:r>
      <w:r w:rsidR="00314CD7">
        <w:t xml:space="preserve">.  </w:t>
      </w:r>
      <w:r w:rsidR="00755816">
        <w:t xml:space="preserve">On 19 May 2022 </w:t>
      </w:r>
      <w:r w:rsidR="00755816" w:rsidRPr="00755816">
        <w:t xml:space="preserve">Ashford Borough Council </w:t>
      </w:r>
      <w:r w:rsidR="00755816">
        <w:t xml:space="preserve">set out its intention to challenge </w:t>
      </w:r>
      <w:r w:rsidR="000B4AAC">
        <w:t xml:space="preserve">the decision.  </w:t>
      </w:r>
      <w:r w:rsidR="00755816">
        <w:t xml:space="preserve"> </w:t>
      </w:r>
    </w:p>
  </w:footnote>
  <w:footnote w:id="3">
    <w:p w14:paraId="65878832" w14:textId="55FC48F7" w:rsidR="00C81F29" w:rsidRDefault="00C81F29">
      <w:pPr>
        <w:pStyle w:val="FootnoteText"/>
      </w:pPr>
      <w:r>
        <w:rPr>
          <w:rStyle w:val="FootnoteReference"/>
        </w:rPr>
        <w:footnoteRef/>
      </w:r>
      <w:r>
        <w:t xml:space="preserve"> </w:t>
      </w:r>
      <w:r w:rsidR="001D538B">
        <w:t>See pages 5-8 of the Delegate</w:t>
      </w:r>
      <w:r w:rsidR="001471D1">
        <w:t>d</w:t>
      </w:r>
      <w:r w:rsidR="001D538B">
        <w:t xml:space="preserve"> Report </w:t>
      </w:r>
      <w:r w:rsidR="0093285A">
        <w:t xml:space="preserve">Appendix 20 the Council’s </w:t>
      </w:r>
      <w:r w:rsidR="001471D1">
        <w:t>Evidence</w:t>
      </w:r>
    </w:p>
  </w:footnote>
  <w:footnote w:id="4">
    <w:p w14:paraId="7EE6751E" w14:textId="1E05099D" w:rsidR="006230C7" w:rsidRDefault="006230C7">
      <w:pPr>
        <w:pStyle w:val="FootnoteText"/>
      </w:pPr>
      <w:r>
        <w:rPr>
          <w:rStyle w:val="FootnoteReference"/>
        </w:rPr>
        <w:footnoteRef/>
      </w:r>
      <w:r>
        <w:t xml:space="preserve"> As I understand it </w:t>
      </w:r>
      <w:r w:rsidR="006277E6">
        <w:t xml:space="preserve">two further UEFs were submitted at a later date by the </w:t>
      </w:r>
      <w:r w:rsidR="000919FB">
        <w:t>A</w:t>
      </w:r>
      <w:r w:rsidR="006277E6">
        <w:t>pplicant</w:t>
      </w:r>
    </w:p>
  </w:footnote>
  <w:footnote w:id="5">
    <w:p w14:paraId="29963063" w14:textId="0078B74F" w:rsidR="009A75FE" w:rsidRDefault="009A75FE" w:rsidP="009A75FE">
      <w:pPr>
        <w:pStyle w:val="FootnoteText"/>
      </w:pPr>
      <w:r>
        <w:rPr>
          <w:rStyle w:val="FootnoteReference"/>
        </w:rPr>
        <w:footnoteRef/>
      </w:r>
      <w:r>
        <w:t xml:space="preserve"> Page 22</w:t>
      </w:r>
      <w:r w:rsidRPr="009A75FE">
        <w:t xml:space="preserve"> </w:t>
      </w:r>
      <w:r>
        <w:t>Council’s Statement of Case</w:t>
      </w:r>
    </w:p>
  </w:footnote>
  <w:footnote w:id="6">
    <w:p w14:paraId="7E306550" w14:textId="77777777" w:rsidR="0054437E" w:rsidRDefault="0054437E" w:rsidP="0054437E">
      <w:pPr>
        <w:pStyle w:val="FootnoteText"/>
      </w:pPr>
      <w:r>
        <w:rPr>
          <w:rStyle w:val="FootnoteReference"/>
        </w:rPr>
        <w:footnoteRef/>
      </w:r>
      <w:r>
        <w:t xml:space="preserve"> The only UEFs to mention the oak tree and ditch are those from John Burton and Ros Debling </w:t>
      </w:r>
    </w:p>
  </w:footnote>
  <w:footnote w:id="7">
    <w:p w14:paraId="0CECA077" w14:textId="7793C3CC" w:rsidR="007F1DAA" w:rsidRDefault="007F1DAA">
      <w:pPr>
        <w:pStyle w:val="FootnoteText"/>
      </w:pPr>
      <w:r>
        <w:rPr>
          <w:rStyle w:val="FootnoteReference"/>
        </w:rPr>
        <w:footnoteRef/>
      </w:r>
      <w:r>
        <w:t xml:space="preserve"> See paragrap</w:t>
      </w:r>
      <w:r w:rsidR="00D2563A">
        <w:t xml:space="preserve">h 27 of the </w:t>
      </w:r>
      <w:r>
        <w:t xml:space="preserve">Council’s Statement of Case </w:t>
      </w:r>
    </w:p>
  </w:footnote>
  <w:footnote w:id="8">
    <w:p w14:paraId="16699DED" w14:textId="77777777" w:rsidR="009D28D1" w:rsidRDefault="009D28D1" w:rsidP="009D28D1">
      <w:pPr>
        <w:pStyle w:val="FootnoteText"/>
      </w:pPr>
      <w:r>
        <w:rPr>
          <w:rStyle w:val="FootnoteReference"/>
        </w:rPr>
        <w:footnoteRef/>
      </w:r>
      <w:r>
        <w:t xml:space="preserve"> Mr Parsons, Ms Debling, Ms Reed and Mr Poole Evidence in Chief </w:t>
      </w:r>
    </w:p>
  </w:footnote>
  <w:footnote w:id="9">
    <w:p w14:paraId="721E362E" w14:textId="029D51CB" w:rsidR="0008562B" w:rsidRDefault="0008562B">
      <w:pPr>
        <w:pStyle w:val="FootnoteText"/>
      </w:pPr>
      <w:r>
        <w:rPr>
          <w:rStyle w:val="FootnoteReference"/>
        </w:rPr>
        <w:footnoteRef/>
      </w:r>
      <w:r>
        <w:t xml:space="preserve"> See Appendix 4 to Rio Daniel</w:t>
      </w:r>
      <w:r w:rsidR="0087529B">
        <w:t xml:space="preserve">s’ Proof of Evidence </w:t>
      </w:r>
      <w:r>
        <w:t xml:space="preserve"> </w:t>
      </w:r>
    </w:p>
  </w:footnote>
  <w:footnote w:id="10">
    <w:p w14:paraId="215FDEB3" w14:textId="77777777" w:rsidR="002565C0" w:rsidRDefault="002565C0" w:rsidP="002565C0">
      <w:pPr>
        <w:pStyle w:val="FootnoteText"/>
      </w:pPr>
      <w:r>
        <w:rPr>
          <w:rStyle w:val="FootnoteReference"/>
        </w:rPr>
        <w:footnoteRef/>
      </w:r>
      <w:r>
        <w:t xml:space="preserve"> See July 2010 aerial image  </w:t>
      </w:r>
    </w:p>
  </w:footnote>
  <w:footnote w:id="11">
    <w:p w14:paraId="5353322C" w14:textId="77777777" w:rsidR="00334303" w:rsidRDefault="00334303" w:rsidP="00334303">
      <w:pPr>
        <w:pStyle w:val="FootnoteText"/>
      </w:pPr>
      <w:r>
        <w:rPr>
          <w:rStyle w:val="FootnoteReference"/>
        </w:rPr>
        <w:footnoteRef/>
      </w:r>
      <w:r>
        <w:t xml:space="preserve"> Mr Burton and Mr Forster </w:t>
      </w:r>
    </w:p>
  </w:footnote>
  <w:footnote w:id="12">
    <w:p w14:paraId="39B8B154" w14:textId="77777777" w:rsidR="00334303" w:rsidRDefault="00334303" w:rsidP="00334303">
      <w:pPr>
        <w:pStyle w:val="FootnoteText"/>
      </w:pPr>
      <w:r>
        <w:rPr>
          <w:rStyle w:val="FootnoteReference"/>
        </w:rPr>
        <w:footnoteRef/>
      </w:r>
      <w:r>
        <w:t xml:space="preserve"> </w:t>
      </w:r>
      <w:r w:rsidRPr="00CC1CDB">
        <w:t xml:space="preserve">See Appendix 4 to Rio Daniels’ Proof of Evidence  </w:t>
      </w:r>
    </w:p>
  </w:footnote>
  <w:footnote w:id="13">
    <w:p w14:paraId="7D77BA34" w14:textId="77777777" w:rsidR="00334303" w:rsidRDefault="00334303" w:rsidP="00334303">
      <w:pPr>
        <w:pStyle w:val="FootnoteText"/>
      </w:pPr>
      <w:r>
        <w:rPr>
          <w:rStyle w:val="FootnoteReference"/>
        </w:rPr>
        <w:footnoteRef/>
      </w:r>
      <w:r>
        <w:t xml:space="preserve"> On the basis of the word spacing and a clearly visible ‘y’ below the green twine </w:t>
      </w:r>
    </w:p>
  </w:footnote>
  <w:footnote w:id="14">
    <w:p w14:paraId="752F6329" w14:textId="77777777" w:rsidR="00334303" w:rsidRDefault="00334303" w:rsidP="00334303">
      <w:pPr>
        <w:pStyle w:val="FootnoteText"/>
      </w:pPr>
      <w:r>
        <w:rPr>
          <w:rStyle w:val="FootnoteReference"/>
        </w:rPr>
        <w:footnoteRef/>
      </w:r>
      <w:r>
        <w:t xml:space="preserve"> </w:t>
      </w:r>
      <w:r w:rsidRPr="007B3DEC">
        <w:t xml:space="preserve">See Appendix 4 to Rio Daniels’ Proof of Evidence  </w:t>
      </w:r>
    </w:p>
  </w:footnote>
  <w:footnote w:id="15">
    <w:p w14:paraId="51B33C91" w14:textId="77777777" w:rsidR="00A47189" w:rsidRDefault="00A47189" w:rsidP="00A47189">
      <w:pPr>
        <w:pStyle w:val="FootnoteText"/>
      </w:pPr>
      <w:r>
        <w:rPr>
          <w:rStyle w:val="FootnoteReference"/>
        </w:rPr>
        <w:footnoteRef/>
      </w:r>
      <w:r>
        <w:t xml:space="preserve"> See top right corner of topographical sheet 12</w:t>
      </w:r>
    </w:p>
  </w:footnote>
  <w:footnote w:id="16">
    <w:p w14:paraId="22B70B50" w14:textId="56BD6E4E" w:rsidR="00755942" w:rsidRDefault="00755942">
      <w:pPr>
        <w:pStyle w:val="FootnoteText"/>
      </w:pPr>
      <w:r>
        <w:rPr>
          <w:rStyle w:val="FootnoteReference"/>
        </w:rPr>
        <w:footnoteRef/>
      </w:r>
      <w:r>
        <w:t xml:space="preserve"> Image of July 2010 is good example</w:t>
      </w:r>
    </w:p>
  </w:footnote>
  <w:footnote w:id="17">
    <w:p w14:paraId="04F36525" w14:textId="0797CBD1" w:rsidR="00E408AF" w:rsidRDefault="00E408AF">
      <w:pPr>
        <w:pStyle w:val="FootnoteText"/>
      </w:pPr>
      <w:r>
        <w:rPr>
          <w:rStyle w:val="FootnoteReference"/>
        </w:rPr>
        <w:footnoteRef/>
      </w:r>
      <w:r>
        <w:t xml:space="preserve"> See</w:t>
      </w:r>
      <w:r w:rsidR="00425B8D">
        <w:t xml:space="preserve"> </w:t>
      </w:r>
      <w:r w:rsidR="00482A2C" w:rsidRPr="00F6160E">
        <w:rPr>
          <w:i/>
          <w:iCs/>
        </w:rPr>
        <w:t>Trevelyan v S</w:t>
      </w:r>
      <w:r w:rsidR="00455169" w:rsidRPr="00F6160E">
        <w:rPr>
          <w:i/>
          <w:iCs/>
        </w:rPr>
        <w:t>SETR</w:t>
      </w:r>
      <w:r w:rsidR="00455169">
        <w:t xml:space="preserve"> </w:t>
      </w:r>
      <w:r w:rsidR="00EA15D4">
        <w:t>[2000] NPC6, (CA) [200</w:t>
      </w:r>
      <w:r w:rsidR="004A7054">
        <w:t>1</w:t>
      </w:r>
      <w:r w:rsidR="00EA15D4">
        <w:t>] EWCA Civ 266</w:t>
      </w:r>
      <w:r w:rsidR="004A7054">
        <w:t xml:space="preserve"> [2002] 1 WLR 1264:</w:t>
      </w:r>
      <w:r w:rsidR="00455169">
        <w:t xml:space="preserve"> “</w:t>
      </w:r>
      <w:r w:rsidR="00425B8D" w:rsidRPr="004A7054">
        <w:rPr>
          <w:i/>
          <w:iCs/>
        </w:rPr>
        <w:t>if, in the course of an inquiry, facts come to light which persuade the inspector that the definitive map should depart from the proposed order, he should modify it accordingly, subject to any consequent representations and objections leading to a further inquiry</w:t>
      </w:r>
      <w:r w:rsidR="0045516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402AD7F" w14:textId="77777777">
      <w:tc>
        <w:tcPr>
          <w:tcW w:w="9520" w:type="dxa"/>
        </w:tcPr>
        <w:p w14:paraId="035020B0" w14:textId="57CC2DC6" w:rsidR="00366F95" w:rsidRDefault="00E34E78">
          <w:pPr>
            <w:pStyle w:val="Footer"/>
          </w:pPr>
          <w:r>
            <w:t xml:space="preserve">Order Decision </w:t>
          </w:r>
          <w:r w:rsidR="00402CA7">
            <w:t>ROW/3273792</w:t>
          </w:r>
        </w:p>
      </w:tc>
    </w:tr>
  </w:tbl>
  <w:p w14:paraId="65C6A566" w14:textId="77777777" w:rsidR="00366F95" w:rsidRDefault="00366F95" w:rsidP="00087477">
    <w:pPr>
      <w:pStyle w:val="Footer"/>
      <w:spacing w:after="180"/>
    </w:pPr>
    <w:r>
      <w:rPr>
        <w:noProof/>
      </w:rPr>
      <mc:AlternateContent>
        <mc:Choice Requires="wps">
          <w:drawing>
            <wp:anchor distT="0" distB="0" distL="114300" distR="114300" simplePos="0" relativeHeight="251668480" behindDoc="0" locked="0" layoutInCell="1" allowOverlap="1" wp14:anchorId="1219FCDD" wp14:editId="5A589479">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10FDF" id="Line 14" o:spid="_x0000_s1026" alt="&quot;&quot;"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2F90"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6DB073B"/>
    <w:multiLevelType w:val="hybridMultilevel"/>
    <w:tmpl w:val="EDCEB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DD7A15"/>
    <w:multiLevelType w:val="multilevel"/>
    <w:tmpl w:val="032AE16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8"/>
  </w:num>
  <w:num w:numId="6">
    <w:abstractNumId w:val="17"/>
  </w:num>
  <w:num w:numId="7">
    <w:abstractNumId w:val="21"/>
  </w:num>
  <w:num w:numId="8">
    <w:abstractNumId w:val="16"/>
  </w:num>
  <w:num w:numId="9">
    <w:abstractNumId w:val="3"/>
  </w:num>
  <w:num w:numId="10">
    <w:abstractNumId w:val="4"/>
  </w:num>
  <w:num w:numId="11">
    <w:abstractNumId w:val="12"/>
  </w:num>
  <w:num w:numId="12">
    <w:abstractNumId w:val="13"/>
  </w:num>
  <w:num w:numId="13">
    <w:abstractNumId w:val="7"/>
  </w:num>
  <w:num w:numId="14">
    <w:abstractNumId w:val="11"/>
  </w:num>
  <w:num w:numId="15">
    <w:abstractNumId w:val="14"/>
  </w:num>
  <w:num w:numId="16">
    <w:abstractNumId w:val="1"/>
  </w:num>
  <w:num w:numId="17">
    <w:abstractNumId w:val="15"/>
  </w:num>
  <w:num w:numId="18">
    <w:abstractNumId w:val="5"/>
  </w:num>
  <w:num w:numId="19">
    <w:abstractNumId w:val="2"/>
  </w:num>
  <w:num w:numId="20">
    <w:abstractNumId w:val="6"/>
  </w:num>
  <w:num w:numId="21">
    <w:abstractNumId w:val="10"/>
  </w:num>
  <w:num w:numId="22">
    <w:abstractNumId w:val="10"/>
    <w:lvlOverride w:ilvl="0">
      <w:lvl w:ilvl="0">
        <w:start w:val="1"/>
        <w:numFmt w:val="decimal"/>
        <w:pStyle w:val="Style1"/>
        <w:lvlText w:val="%1."/>
        <w:lvlJc w:val="left"/>
        <w:pPr>
          <w:tabs>
            <w:tab w:val="num" w:pos="720"/>
          </w:tabs>
          <w:ind w:left="431" w:hanging="431"/>
        </w:pPr>
        <w:rPr>
          <w:rFonts w:hint="default"/>
          <w:b w:val="0"/>
          <w:bCs w:val="0"/>
          <w:i w:val="0"/>
          <w:iCs/>
        </w:rPr>
      </w:lvl>
    </w:lvlOverride>
  </w:num>
  <w:num w:numId="23">
    <w:abstractNumId w:val="19"/>
  </w:num>
  <w:num w:numId="24">
    <w:abstractNumId w:val="10"/>
    <w:lvlOverride w:ilvl="0">
      <w:lvl w:ilvl="0">
        <w:start w:val="1"/>
        <w:numFmt w:val="decimal"/>
        <w:pStyle w:val="Style1"/>
        <w:lvlText w:val="%1."/>
        <w:lvlJc w:val="left"/>
        <w:pPr>
          <w:tabs>
            <w:tab w:val="num" w:pos="720"/>
          </w:tabs>
          <w:ind w:left="431" w:hanging="431"/>
        </w:pPr>
        <w:rPr>
          <w:rFonts w:hint="default"/>
          <w:b w:val="0"/>
          <w:bCs w:val="0"/>
          <w:i w:val="0"/>
          <w:iCs/>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34E78"/>
    <w:rsid w:val="000000FC"/>
    <w:rsid w:val="0000335F"/>
    <w:rsid w:val="00016986"/>
    <w:rsid w:val="00024500"/>
    <w:rsid w:val="000247B2"/>
    <w:rsid w:val="0003012F"/>
    <w:rsid w:val="00045F98"/>
    <w:rsid w:val="00046145"/>
    <w:rsid w:val="0004625F"/>
    <w:rsid w:val="00050610"/>
    <w:rsid w:val="00053135"/>
    <w:rsid w:val="00061709"/>
    <w:rsid w:val="00061F42"/>
    <w:rsid w:val="00070DC4"/>
    <w:rsid w:val="0007123E"/>
    <w:rsid w:val="00077358"/>
    <w:rsid w:val="000848F8"/>
    <w:rsid w:val="0008562B"/>
    <w:rsid w:val="00087477"/>
    <w:rsid w:val="00087DEC"/>
    <w:rsid w:val="000919FB"/>
    <w:rsid w:val="000940FB"/>
    <w:rsid w:val="00094A44"/>
    <w:rsid w:val="000A3294"/>
    <w:rsid w:val="000A4AEB"/>
    <w:rsid w:val="000A64AE"/>
    <w:rsid w:val="000A7680"/>
    <w:rsid w:val="000B02BC"/>
    <w:rsid w:val="000B0589"/>
    <w:rsid w:val="000B4AAC"/>
    <w:rsid w:val="000B4E16"/>
    <w:rsid w:val="000B6371"/>
    <w:rsid w:val="000C0FA6"/>
    <w:rsid w:val="000C3379"/>
    <w:rsid w:val="000C3F13"/>
    <w:rsid w:val="000C5098"/>
    <w:rsid w:val="000C55AC"/>
    <w:rsid w:val="000C5AD7"/>
    <w:rsid w:val="000C698E"/>
    <w:rsid w:val="000D0029"/>
    <w:rsid w:val="000D0673"/>
    <w:rsid w:val="000E2830"/>
    <w:rsid w:val="000E57C1"/>
    <w:rsid w:val="000E6C92"/>
    <w:rsid w:val="000F16F4"/>
    <w:rsid w:val="000F6EC2"/>
    <w:rsid w:val="000F79B4"/>
    <w:rsid w:val="001000CB"/>
    <w:rsid w:val="00101A05"/>
    <w:rsid w:val="00104048"/>
    <w:rsid w:val="00104D93"/>
    <w:rsid w:val="00124D8B"/>
    <w:rsid w:val="00140D34"/>
    <w:rsid w:val="001440C3"/>
    <w:rsid w:val="001471D1"/>
    <w:rsid w:val="00147213"/>
    <w:rsid w:val="00152C92"/>
    <w:rsid w:val="00157795"/>
    <w:rsid w:val="00161B5C"/>
    <w:rsid w:val="00161EB9"/>
    <w:rsid w:val="00173049"/>
    <w:rsid w:val="001772AC"/>
    <w:rsid w:val="00183B74"/>
    <w:rsid w:val="00184293"/>
    <w:rsid w:val="00195C98"/>
    <w:rsid w:val="00197B5B"/>
    <w:rsid w:val="001A3CA7"/>
    <w:rsid w:val="001A4274"/>
    <w:rsid w:val="001A7667"/>
    <w:rsid w:val="001B00B4"/>
    <w:rsid w:val="001B188D"/>
    <w:rsid w:val="001B19D2"/>
    <w:rsid w:val="001B2B0F"/>
    <w:rsid w:val="001B3020"/>
    <w:rsid w:val="001B37BF"/>
    <w:rsid w:val="001B4194"/>
    <w:rsid w:val="001C27D3"/>
    <w:rsid w:val="001C38F6"/>
    <w:rsid w:val="001D1C83"/>
    <w:rsid w:val="001D2C2D"/>
    <w:rsid w:val="001D3D4C"/>
    <w:rsid w:val="001D4196"/>
    <w:rsid w:val="001D538B"/>
    <w:rsid w:val="001E0ED5"/>
    <w:rsid w:val="001E2D2F"/>
    <w:rsid w:val="001E3923"/>
    <w:rsid w:val="001E7332"/>
    <w:rsid w:val="001E7A01"/>
    <w:rsid w:val="001F0051"/>
    <w:rsid w:val="001F5990"/>
    <w:rsid w:val="001F7BBD"/>
    <w:rsid w:val="00207816"/>
    <w:rsid w:val="00212C8F"/>
    <w:rsid w:val="0021498D"/>
    <w:rsid w:val="00221A7B"/>
    <w:rsid w:val="00226753"/>
    <w:rsid w:val="0023021D"/>
    <w:rsid w:val="00237F52"/>
    <w:rsid w:val="00242A5E"/>
    <w:rsid w:val="0024428A"/>
    <w:rsid w:val="002446D9"/>
    <w:rsid w:val="0024547F"/>
    <w:rsid w:val="002565C0"/>
    <w:rsid w:val="002704E3"/>
    <w:rsid w:val="002714A1"/>
    <w:rsid w:val="00271ACD"/>
    <w:rsid w:val="002819AB"/>
    <w:rsid w:val="002846A0"/>
    <w:rsid w:val="00287011"/>
    <w:rsid w:val="002931B8"/>
    <w:rsid w:val="002943B4"/>
    <w:rsid w:val="002958D9"/>
    <w:rsid w:val="00296FDD"/>
    <w:rsid w:val="002A2CB1"/>
    <w:rsid w:val="002A4766"/>
    <w:rsid w:val="002B06FB"/>
    <w:rsid w:val="002B4C08"/>
    <w:rsid w:val="002B5A3A"/>
    <w:rsid w:val="002C068A"/>
    <w:rsid w:val="002C2524"/>
    <w:rsid w:val="002C5985"/>
    <w:rsid w:val="002D098C"/>
    <w:rsid w:val="002D1832"/>
    <w:rsid w:val="002D4007"/>
    <w:rsid w:val="002D5A7C"/>
    <w:rsid w:val="002E3144"/>
    <w:rsid w:val="002E6D4B"/>
    <w:rsid w:val="002F5425"/>
    <w:rsid w:val="002F75CE"/>
    <w:rsid w:val="00302E1C"/>
    <w:rsid w:val="00303CA5"/>
    <w:rsid w:val="0030500E"/>
    <w:rsid w:val="00310B73"/>
    <w:rsid w:val="0031399A"/>
    <w:rsid w:val="00313F4E"/>
    <w:rsid w:val="00314CD7"/>
    <w:rsid w:val="003153A6"/>
    <w:rsid w:val="00316F96"/>
    <w:rsid w:val="003206FD"/>
    <w:rsid w:val="0032255A"/>
    <w:rsid w:val="003238A6"/>
    <w:rsid w:val="003304A4"/>
    <w:rsid w:val="00331060"/>
    <w:rsid w:val="00332CDB"/>
    <w:rsid w:val="00332F47"/>
    <w:rsid w:val="00333777"/>
    <w:rsid w:val="00334303"/>
    <w:rsid w:val="00340244"/>
    <w:rsid w:val="00343A1F"/>
    <w:rsid w:val="00343B0A"/>
    <w:rsid w:val="00344294"/>
    <w:rsid w:val="00344CD1"/>
    <w:rsid w:val="00351FAE"/>
    <w:rsid w:val="00355FCC"/>
    <w:rsid w:val="00357E91"/>
    <w:rsid w:val="00360664"/>
    <w:rsid w:val="00361890"/>
    <w:rsid w:val="00364E17"/>
    <w:rsid w:val="00366EB0"/>
    <w:rsid w:val="00366F95"/>
    <w:rsid w:val="003731FB"/>
    <w:rsid w:val="0037333E"/>
    <w:rsid w:val="003753FE"/>
    <w:rsid w:val="00382337"/>
    <w:rsid w:val="0039045E"/>
    <w:rsid w:val="0039132B"/>
    <w:rsid w:val="003941CF"/>
    <w:rsid w:val="0039429B"/>
    <w:rsid w:val="003A42A6"/>
    <w:rsid w:val="003A4ECA"/>
    <w:rsid w:val="003B1C04"/>
    <w:rsid w:val="003B27B8"/>
    <w:rsid w:val="003B2FE6"/>
    <w:rsid w:val="003B665A"/>
    <w:rsid w:val="003C7F4E"/>
    <w:rsid w:val="003D1D4A"/>
    <w:rsid w:val="003D3715"/>
    <w:rsid w:val="003D448A"/>
    <w:rsid w:val="003D4E46"/>
    <w:rsid w:val="003D5076"/>
    <w:rsid w:val="003E0C8D"/>
    <w:rsid w:val="003E30D3"/>
    <w:rsid w:val="003E54CC"/>
    <w:rsid w:val="003E7B31"/>
    <w:rsid w:val="003F3533"/>
    <w:rsid w:val="003F48C4"/>
    <w:rsid w:val="003F672B"/>
    <w:rsid w:val="003F6FE8"/>
    <w:rsid w:val="003F7B52"/>
    <w:rsid w:val="003F7DFB"/>
    <w:rsid w:val="00400EBE"/>
    <w:rsid w:val="004029F3"/>
    <w:rsid w:val="00402CA7"/>
    <w:rsid w:val="0040370B"/>
    <w:rsid w:val="00404A89"/>
    <w:rsid w:val="00412213"/>
    <w:rsid w:val="004124B7"/>
    <w:rsid w:val="004156F0"/>
    <w:rsid w:val="0042334F"/>
    <w:rsid w:val="00423A90"/>
    <w:rsid w:val="004255F9"/>
    <w:rsid w:val="00425B8D"/>
    <w:rsid w:val="004343B8"/>
    <w:rsid w:val="00434739"/>
    <w:rsid w:val="00435EE5"/>
    <w:rsid w:val="00436DCC"/>
    <w:rsid w:val="00437291"/>
    <w:rsid w:val="00437CE5"/>
    <w:rsid w:val="004457CA"/>
    <w:rsid w:val="00447244"/>
    <w:rsid w:val="004474DE"/>
    <w:rsid w:val="00451681"/>
    <w:rsid w:val="00451EE4"/>
    <w:rsid w:val="004522C1"/>
    <w:rsid w:val="00453E15"/>
    <w:rsid w:val="00455169"/>
    <w:rsid w:val="00456ABA"/>
    <w:rsid w:val="0047365B"/>
    <w:rsid w:val="00473795"/>
    <w:rsid w:val="00473844"/>
    <w:rsid w:val="004755C3"/>
    <w:rsid w:val="00475C9E"/>
    <w:rsid w:val="00475E19"/>
    <w:rsid w:val="0047718B"/>
    <w:rsid w:val="0048041A"/>
    <w:rsid w:val="00482A2C"/>
    <w:rsid w:val="00483D15"/>
    <w:rsid w:val="00486DCA"/>
    <w:rsid w:val="00490770"/>
    <w:rsid w:val="00494FD7"/>
    <w:rsid w:val="0049508C"/>
    <w:rsid w:val="004976CF"/>
    <w:rsid w:val="004A2EB8"/>
    <w:rsid w:val="004A7054"/>
    <w:rsid w:val="004A7328"/>
    <w:rsid w:val="004A7652"/>
    <w:rsid w:val="004B665D"/>
    <w:rsid w:val="004C07CB"/>
    <w:rsid w:val="004C1AEE"/>
    <w:rsid w:val="004C2BD6"/>
    <w:rsid w:val="004C5E59"/>
    <w:rsid w:val="004D0583"/>
    <w:rsid w:val="004D1C65"/>
    <w:rsid w:val="004D24E9"/>
    <w:rsid w:val="004D65B9"/>
    <w:rsid w:val="004D7887"/>
    <w:rsid w:val="004E04E0"/>
    <w:rsid w:val="004E17CB"/>
    <w:rsid w:val="004E52B8"/>
    <w:rsid w:val="004E6091"/>
    <w:rsid w:val="004F03AF"/>
    <w:rsid w:val="004F274A"/>
    <w:rsid w:val="00504AC8"/>
    <w:rsid w:val="00506851"/>
    <w:rsid w:val="005111C8"/>
    <w:rsid w:val="00512762"/>
    <w:rsid w:val="005173C2"/>
    <w:rsid w:val="00520B3A"/>
    <w:rsid w:val="0052347F"/>
    <w:rsid w:val="00523706"/>
    <w:rsid w:val="00533E5C"/>
    <w:rsid w:val="00541734"/>
    <w:rsid w:val="00542B4C"/>
    <w:rsid w:val="0054437E"/>
    <w:rsid w:val="00553B3B"/>
    <w:rsid w:val="00561E69"/>
    <w:rsid w:val="0056634F"/>
    <w:rsid w:val="0057098A"/>
    <w:rsid w:val="00570D87"/>
    <w:rsid w:val="0057104C"/>
    <w:rsid w:val="005718AF"/>
    <w:rsid w:val="00571FD4"/>
    <w:rsid w:val="00572879"/>
    <w:rsid w:val="00572AD9"/>
    <w:rsid w:val="00572B85"/>
    <w:rsid w:val="0057471E"/>
    <w:rsid w:val="0057782A"/>
    <w:rsid w:val="0058428F"/>
    <w:rsid w:val="00591235"/>
    <w:rsid w:val="005953A9"/>
    <w:rsid w:val="00597970"/>
    <w:rsid w:val="005A0799"/>
    <w:rsid w:val="005A339D"/>
    <w:rsid w:val="005A3A64"/>
    <w:rsid w:val="005A4B66"/>
    <w:rsid w:val="005B2B5B"/>
    <w:rsid w:val="005B4F65"/>
    <w:rsid w:val="005C341E"/>
    <w:rsid w:val="005D189E"/>
    <w:rsid w:val="005D230F"/>
    <w:rsid w:val="005D5067"/>
    <w:rsid w:val="005D6B0C"/>
    <w:rsid w:val="005D739E"/>
    <w:rsid w:val="005E17AA"/>
    <w:rsid w:val="005E34E1"/>
    <w:rsid w:val="005E34FF"/>
    <w:rsid w:val="005E3542"/>
    <w:rsid w:val="005E52F9"/>
    <w:rsid w:val="005E5F70"/>
    <w:rsid w:val="005F1261"/>
    <w:rsid w:val="006008AC"/>
    <w:rsid w:val="00602315"/>
    <w:rsid w:val="006052EF"/>
    <w:rsid w:val="006127F0"/>
    <w:rsid w:val="00614E46"/>
    <w:rsid w:val="00615462"/>
    <w:rsid w:val="0061597C"/>
    <w:rsid w:val="006230C7"/>
    <w:rsid w:val="006232A0"/>
    <w:rsid w:val="006277E6"/>
    <w:rsid w:val="006319E6"/>
    <w:rsid w:val="00631C75"/>
    <w:rsid w:val="0063373D"/>
    <w:rsid w:val="00634EEA"/>
    <w:rsid w:val="00645A86"/>
    <w:rsid w:val="00646614"/>
    <w:rsid w:val="00650929"/>
    <w:rsid w:val="00651508"/>
    <w:rsid w:val="00653BF0"/>
    <w:rsid w:val="0065467D"/>
    <w:rsid w:val="0065719B"/>
    <w:rsid w:val="0065748D"/>
    <w:rsid w:val="00660DA1"/>
    <w:rsid w:val="0066322F"/>
    <w:rsid w:val="00663C93"/>
    <w:rsid w:val="0066516E"/>
    <w:rsid w:val="00681108"/>
    <w:rsid w:val="00683417"/>
    <w:rsid w:val="0068344C"/>
    <w:rsid w:val="006836BE"/>
    <w:rsid w:val="00685A46"/>
    <w:rsid w:val="00691A5F"/>
    <w:rsid w:val="00694841"/>
    <w:rsid w:val="006948D2"/>
    <w:rsid w:val="0069559D"/>
    <w:rsid w:val="00696368"/>
    <w:rsid w:val="00697E6B"/>
    <w:rsid w:val="006A200B"/>
    <w:rsid w:val="006A489F"/>
    <w:rsid w:val="006A5BB3"/>
    <w:rsid w:val="006A7B8B"/>
    <w:rsid w:val="006B3BB4"/>
    <w:rsid w:val="006B47DD"/>
    <w:rsid w:val="006B6772"/>
    <w:rsid w:val="006B7B7D"/>
    <w:rsid w:val="006C0FD4"/>
    <w:rsid w:val="006C1DE4"/>
    <w:rsid w:val="006C4C25"/>
    <w:rsid w:val="006C6B6A"/>
    <w:rsid w:val="006C6D1A"/>
    <w:rsid w:val="006C72FC"/>
    <w:rsid w:val="006D2842"/>
    <w:rsid w:val="006D5133"/>
    <w:rsid w:val="006D780C"/>
    <w:rsid w:val="006E1D43"/>
    <w:rsid w:val="006E6894"/>
    <w:rsid w:val="006F16D9"/>
    <w:rsid w:val="006F6496"/>
    <w:rsid w:val="00704126"/>
    <w:rsid w:val="0071604A"/>
    <w:rsid w:val="00720E3B"/>
    <w:rsid w:val="00733670"/>
    <w:rsid w:val="007545AC"/>
    <w:rsid w:val="00755816"/>
    <w:rsid w:val="00755942"/>
    <w:rsid w:val="00761772"/>
    <w:rsid w:val="00775313"/>
    <w:rsid w:val="00776071"/>
    <w:rsid w:val="00785862"/>
    <w:rsid w:val="00787DAF"/>
    <w:rsid w:val="007924C2"/>
    <w:rsid w:val="00794D6D"/>
    <w:rsid w:val="007959CC"/>
    <w:rsid w:val="007A0537"/>
    <w:rsid w:val="007A06BE"/>
    <w:rsid w:val="007A09FE"/>
    <w:rsid w:val="007A1D4C"/>
    <w:rsid w:val="007A4631"/>
    <w:rsid w:val="007B3DEC"/>
    <w:rsid w:val="007B4C9B"/>
    <w:rsid w:val="007C0040"/>
    <w:rsid w:val="007C1DBC"/>
    <w:rsid w:val="007C34D3"/>
    <w:rsid w:val="007D15FB"/>
    <w:rsid w:val="007D2163"/>
    <w:rsid w:val="007D2C7D"/>
    <w:rsid w:val="007D30DB"/>
    <w:rsid w:val="007D65B4"/>
    <w:rsid w:val="007E1087"/>
    <w:rsid w:val="007E3582"/>
    <w:rsid w:val="007E7838"/>
    <w:rsid w:val="007F1352"/>
    <w:rsid w:val="007F1DAA"/>
    <w:rsid w:val="007F3F10"/>
    <w:rsid w:val="007F59EB"/>
    <w:rsid w:val="007F6083"/>
    <w:rsid w:val="00806F2A"/>
    <w:rsid w:val="00810805"/>
    <w:rsid w:val="0081270C"/>
    <w:rsid w:val="008133B1"/>
    <w:rsid w:val="00814694"/>
    <w:rsid w:val="0081690F"/>
    <w:rsid w:val="00817B82"/>
    <w:rsid w:val="00827937"/>
    <w:rsid w:val="008315E5"/>
    <w:rsid w:val="00832C3F"/>
    <w:rsid w:val="0083373D"/>
    <w:rsid w:val="00834368"/>
    <w:rsid w:val="00835BD3"/>
    <w:rsid w:val="008411A4"/>
    <w:rsid w:val="0084160B"/>
    <w:rsid w:val="00843C50"/>
    <w:rsid w:val="0085223C"/>
    <w:rsid w:val="008525D1"/>
    <w:rsid w:val="00862626"/>
    <w:rsid w:val="00866EB0"/>
    <w:rsid w:val="00874CBD"/>
    <w:rsid w:val="0087529B"/>
    <w:rsid w:val="00877764"/>
    <w:rsid w:val="008816A0"/>
    <w:rsid w:val="00881811"/>
    <w:rsid w:val="00882B66"/>
    <w:rsid w:val="00890745"/>
    <w:rsid w:val="00894F1A"/>
    <w:rsid w:val="008A03E3"/>
    <w:rsid w:val="008A1EF5"/>
    <w:rsid w:val="008A342B"/>
    <w:rsid w:val="008A54B1"/>
    <w:rsid w:val="008A59AD"/>
    <w:rsid w:val="008B5535"/>
    <w:rsid w:val="008B778B"/>
    <w:rsid w:val="008C2F21"/>
    <w:rsid w:val="008C3F5E"/>
    <w:rsid w:val="008C69B9"/>
    <w:rsid w:val="008C6FA3"/>
    <w:rsid w:val="008D2535"/>
    <w:rsid w:val="008D3E04"/>
    <w:rsid w:val="008D7922"/>
    <w:rsid w:val="008E23A2"/>
    <w:rsid w:val="008E30CC"/>
    <w:rsid w:val="008E359C"/>
    <w:rsid w:val="008F60CE"/>
    <w:rsid w:val="009000CB"/>
    <w:rsid w:val="00901334"/>
    <w:rsid w:val="009039FB"/>
    <w:rsid w:val="009122D0"/>
    <w:rsid w:val="009124CE"/>
    <w:rsid w:val="00912954"/>
    <w:rsid w:val="0091365D"/>
    <w:rsid w:val="00920ECF"/>
    <w:rsid w:val="00921F34"/>
    <w:rsid w:val="0092304C"/>
    <w:rsid w:val="00923F06"/>
    <w:rsid w:val="0092562E"/>
    <w:rsid w:val="00931899"/>
    <w:rsid w:val="0093285A"/>
    <w:rsid w:val="009369EA"/>
    <w:rsid w:val="0094490C"/>
    <w:rsid w:val="00955B70"/>
    <w:rsid w:val="00960385"/>
    <w:rsid w:val="00960B10"/>
    <w:rsid w:val="00963921"/>
    <w:rsid w:val="0097364E"/>
    <w:rsid w:val="009760DE"/>
    <w:rsid w:val="00977539"/>
    <w:rsid w:val="009841DA"/>
    <w:rsid w:val="00986627"/>
    <w:rsid w:val="00994A8E"/>
    <w:rsid w:val="00995397"/>
    <w:rsid w:val="00995FCC"/>
    <w:rsid w:val="009A3CC3"/>
    <w:rsid w:val="009A55D9"/>
    <w:rsid w:val="009A75FE"/>
    <w:rsid w:val="009B3075"/>
    <w:rsid w:val="009B4C31"/>
    <w:rsid w:val="009B6AFA"/>
    <w:rsid w:val="009B72ED"/>
    <w:rsid w:val="009B7BD4"/>
    <w:rsid w:val="009B7F3F"/>
    <w:rsid w:val="009C1BA7"/>
    <w:rsid w:val="009C1ED1"/>
    <w:rsid w:val="009C35A5"/>
    <w:rsid w:val="009C66F1"/>
    <w:rsid w:val="009C6F7C"/>
    <w:rsid w:val="009D28D1"/>
    <w:rsid w:val="009D6A72"/>
    <w:rsid w:val="009E0E17"/>
    <w:rsid w:val="009E1447"/>
    <w:rsid w:val="009E179D"/>
    <w:rsid w:val="009E22D2"/>
    <w:rsid w:val="009E3C69"/>
    <w:rsid w:val="009E4076"/>
    <w:rsid w:val="009E5EF3"/>
    <w:rsid w:val="009E6FB7"/>
    <w:rsid w:val="009F3E6E"/>
    <w:rsid w:val="009F6F06"/>
    <w:rsid w:val="00A00FCD"/>
    <w:rsid w:val="00A04D9E"/>
    <w:rsid w:val="00A07446"/>
    <w:rsid w:val="00A101CD"/>
    <w:rsid w:val="00A11113"/>
    <w:rsid w:val="00A11A9E"/>
    <w:rsid w:val="00A20BBD"/>
    <w:rsid w:val="00A23FC7"/>
    <w:rsid w:val="00A35F01"/>
    <w:rsid w:val="00A36524"/>
    <w:rsid w:val="00A370DF"/>
    <w:rsid w:val="00A418A7"/>
    <w:rsid w:val="00A43970"/>
    <w:rsid w:val="00A47189"/>
    <w:rsid w:val="00A52F70"/>
    <w:rsid w:val="00A54E06"/>
    <w:rsid w:val="00A5760C"/>
    <w:rsid w:val="00A60D6B"/>
    <w:rsid w:val="00A60DB3"/>
    <w:rsid w:val="00A65FB6"/>
    <w:rsid w:val="00A70046"/>
    <w:rsid w:val="00A7238C"/>
    <w:rsid w:val="00A75394"/>
    <w:rsid w:val="00A76C14"/>
    <w:rsid w:val="00A822D3"/>
    <w:rsid w:val="00A90B78"/>
    <w:rsid w:val="00A978D1"/>
    <w:rsid w:val="00AA0CDB"/>
    <w:rsid w:val="00AA1627"/>
    <w:rsid w:val="00AA1A20"/>
    <w:rsid w:val="00AA572D"/>
    <w:rsid w:val="00AA78EC"/>
    <w:rsid w:val="00AB494D"/>
    <w:rsid w:val="00AB5055"/>
    <w:rsid w:val="00AC0A07"/>
    <w:rsid w:val="00AC3966"/>
    <w:rsid w:val="00AC3E60"/>
    <w:rsid w:val="00AD0E39"/>
    <w:rsid w:val="00AD2F56"/>
    <w:rsid w:val="00AD4A52"/>
    <w:rsid w:val="00AD6EA1"/>
    <w:rsid w:val="00AE2FAA"/>
    <w:rsid w:val="00AE683F"/>
    <w:rsid w:val="00AF2F0A"/>
    <w:rsid w:val="00B049F2"/>
    <w:rsid w:val="00B0605D"/>
    <w:rsid w:val="00B1241A"/>
    <w:rsid w:val="00B15169"/>
    <w:rsid w:val="00B17EE7"/>
    <w:rsid w:val="00B205A4"/>
    <w:rsid w:val="00B206C4"/>
    <w:rsid w:val="00B2463B"/>
    <w:rsid w:val="00B26CA3"/>
    <w:rsid w:val="00B316E9"/>
    <w:rsid w:val="00B32324"/>
    <w:rsid w:val="00B33EFE"/>
    <w:rsid w:val="00B345C9"/>
    <w:rsid w:val="00B406A5"/>
    <w:rsid w:val="00B40F62"/>
    <w:rsid w:val="00B452DC"/>
    <w:rsid w:val="00B46864"/>
    <w:rsid w:val="00B51D9F"/>
    <w:rsid w:val="00B544E8"/>
    <w:rsid w:val="00B54C5F"/>
    <w:rsid w:val="00B56990"/>
    <w:rsid w:val="00B61A59"/>
    <w:rsid w:val="00B647DA"/>
    <w:rsid w:val="00B7142C"/>
    <w:rsid w:val="00B76BC1"/>
    <w:rsid w:val="00B810D0"/>
    <w:rsid w:val="00B832BE"/>
    <w:rsid w:val="00B870AC"/>
    <w:rsid w:val="00B972C2"/>
    <w:rsid w:val="00B97C02"/>
    <w:rsid w:val="00BA72A0"/>
    <w:rsid w:val="00BB5AC5"/>
    <w:rsid w:val="00BB69F8"/>
    <w:rsid w:val="00BB78A2"/>
    <w:rsid w:val="00BC0524"/>
    <w:rsid w:val="00BC2702"/>
    <w:rsid w:val="00BC5082"/>
    <w:rsid w:val="00BC7C22"/>
    <w:rsid w:val="00BD09CD"/>
    <w:rsid w:val="00BE6377"/>
    <w:rsid w:val="00BE63FA"/>
    <w:rsid w:val="00BF0744"/>
    <w:rsid w:val="00BF2F69"/>
    <w:rsid w:val="00BF34D7"/>
    <w:rsid w:val="00BF7407"/>
    <w:rsid w:val="00C00E8A"/>
    <w:rsid w:val="00C043AD"/>
    <w:rsid w:val="00C045A7"/>
    <w:rsid w:val="00C06FC7"/>
    <w:rsid w:val="00C074EF"/>
    <w:rsid w:val="00C101EC"/>
    <w:rsid w:val="00C11BD0"/>
    <w:rsid w:val="00C1312B"/>
    <w:rsid w:val="00C132DD"/>
    <w:rsid w:val="00C14411"/>
    <w:rsid w:val="00C24F99"/>
    <w:rsid w:val="00C274BD"/>
    <w:rsid w:val="00C27B0A"/>
    <w:rsid w:val="00C352F2"/>
    <w:rsid w:val="00C36797"/>
    <w:rsid w:val="00C37EED"/>
    <w:rsid w:val="00C40EA6"/>
    <w:rsid w:val="00C4678B"/>
    <w:rsid w:val="00C56870"/>
    <w:rsid w:val="00C57B84"/>
    <w:rsid w:val="00C630E1"/>
    <w:rsid w:val="00C74873"/>
    <w:rsid w:val="00C77651"/>
    <w:rsid w:val="00C81F29"/>
    <w:rsid w:val="00C82C00"/>
    <w:rsid w:val="00C82FC9"/>
    <w:rsid w:val="00C8343C"/>
    <w:rsid w:val="00C83709"/>
    <w:rsid w:val="00C84E3C"/>
    <w:rsid w:val="00C857CB"/>
    <w:rsid w:val="00C87323"/>
    <w:rsid w:val="00C8740F"/>
    <w:rsid w:val="00C90651"/>
    <w:rsid w:val="00C915A8"/>
    <w:rsid w:val="00C92300"/>
    <w:rsid w:val="00C945B3"/>
    <w:rsid w:val="00C96805"/>
    <w:rsid w:val="00CA5576"/>
    <w:rsid w:val="00CB516F"/>
    <w:rsid w:val="00CC1CDB"/>
    <w:rsid w:val="00CC2688"/>
    <w:rsid w:val="00CC50AC"/>
    <w:rsid w:val="00CC745C"/>
    <w:rsid w:val="00CC7619"/>
    <w:rsid w:val="00CE21C0"/>
    <w:rsid w:val="00CE636F"/>
    <w:rsid w:val="00CE7773"/>
    <w:rsid w:val="00CF020A"/>
    <w:rsid w:val="00CF0C0B"/>
    <w:rsid w:val="00CF6FB9"/>
    <w:rsid w:val="00D01358"/>
    <w:rsid w:val="00D02383"/>
    <w:rsid w:val="00D02B48"/>
    <w:rsid w:val="00D042A2"/>
    <w:rsid w:val="00D05C71"/>
    <w:rsid w:val="00D1120A"/>
    <w:rsid w:val="00D11429"/>
    <w:rsid w:val="00D125BE"/>
    <w:rsid w:val="00D1410D"/>
    <w:rsid w:val="00D21297"/>
    <w:rsid w:val="00D22464"/>
    <w:rsid w:val="00D2563A"/>
    <w:rsid w:val="00D354A3"/>
    <w:rsid w:val="00D36440"/>
    <w:rsid w:val="00D36DBE"/>
    <w:rsid w:val="00D406C8"/>
    <w:rsid w:val="00D423EB"/>
    <w:rsid w:val="00D4699E"/>
    <w:rsid w:val="00D50D2E"/>
    <w:rsid w:val="00D51CA3"/>
    <w:rsid w:val="00D555DA"/>
    <w:rsid w:val="00D6750C"/>
    <w:rsid w:val="00D72F45"/>
    <w:rsid w:val="00D77F97"/>
    <w:rsid w:val="00D96A3C"/>
    <w:rsid w:val="00DA1AA6"/>
    <w:rsid w:val="00DA27B1"/>
    <w:rsid w:val="00DA59F9"/>
    <w:rsid w:val="00DB1128"/>
    <w:rsid w:val="00DB451B"/>
    <w:rsid w:val="00DB7937"/>
    <w:rsid w:val="00DC5A7F"/>
    <w:rsid w:val="00DD0F21"/>
    <w:rsid w:val="00DE265F"/>
    <w:rsid w:val="00DE3CD4"/>
    <w:rsid w:val="00DE5EEC"/>
    <w:rsid w:val="00DE7F2E"/>
    <w:rsid w:val="00DF03DA"/>
    <w:rsid w:val="00E01525"/>
    <w:rsid w:val="00E02002"/>
    <w:rsid w:val="00E03973"/>
    <w:rsid w:val="00E05FA6"/>
    <w:rsid w:val="00E07922"/>
    <w:rsid w:val="00E11244"/>
    <w:rsid w:val="00E122A8"/>
    <w:rsid w:val="00E15353"/>
    <w:rsid w:val="00E16CAE"/>
    <w:rsid w:val="00E23218"/>
    <w:rsid w:val="00E2339A"/>
    <w:rsid w:val="00E258FF"/>
    <w:rsid w:val="00E30FEE"/>
    <w:rsid w:val="00E328B1"/>
    <w:rsid w:val="00E34E1E"/>
    <w:rsid w:val="00E34E78"/>
    <w:rsid w:val="00E357A5"/>
    <w:rsid w:val="00E37B36"/>
    <w:rsid w:val="00E402D0"/>
    <w:rsid w:val="00E408AF"/>
    <w:rsid w:val="00E41CC2"/>
    <w:rsid w:val="00E42C1F"/>
    <w:rsid w:val="00E44380"/>
    <w:rsid w:val="00E45340"/>
    <w:rsid w:val="00E46484"/>
    <w:rsid w:val="00E46A4A"/>
    <w:rsid w:val="00E515DB"/>
    <w:rsid w:val="00E54F7C"/>
    <w:rsid w:val="00E674DD"/>
    <w:rsid w:val="00E67B22"/>
    <w:rsid w:val="00E75D7E"/>
    <w:rsid w:val="00E76116"/>
    <w:rsid w:val="00E772CB"/>
    <w:rsid w:val="00E81323"/>
    <w:rsid w:val="00E83D99"/>
    <w:rsid w:val="00E85E3D"/>
    <w:rsid w:val="00E92D98"/>
    <w:rsid w:val="00E93FC9"/>
    <w:rsid w:val="00E9701F"/>
    <w:rsid w:val="00E974ED"/>
    <w:rsid w:val="00EA15D4"/>
    <w:rsid w:val="00EA2225"/>
    <w:rsid w:val="00EA3D89"/>
    <w:rsid w:val="00EA406E"/>
    <w:rsid w:val="00EA4122"/>
    <w:rsid w:val="00EA43AC"/>
    <w:rsid w:val="00EA52D3"/>
    <w:rsid w:val="00EA73CE"/>
    <w:rsid w:val="00EA77D7"/>
    <w:rsid w:val="00EA7A37"/>
    <w:rsid w:val="00EB2329"/>
    <w:rsid w:val="00EB5AB2"/>
    <w:rsid w:val="00ED043A"/>
    <w:rsid w:val="00ED3727"/>
    <w:rsid w:val="00ED3DDF"/>
    <w:rsid w:val="00ED3FF4"/>
    <w:rsid w:val="00ED4498"/>
    <w:rsid w:val="00ED50F4"/>
    <w:rsid w:val="00EE02C2"/>
    <w:rsid w:val="00EE1C1A"/>
    <w:rsid w:val="00EE2613"/>
    <w:rsid w:val="00EE550A"/>
    <w:rsid w:val="00EF14D8"/>
    <w:rsid w:val="00EF1E98"/>
    <w:rsid w:val="00EF3160"/>
    <w:rsid w:val="00EF5820"/>
    <w:rsid w:val="00F00D98"/>
    <w:rsid w:val="00F02A97"/>
    <w:rsid w:val="00F06C30"/>
    <w:rsid w:val="00F1025A"/>
    <w:rsid w:val="00F12533"/>
    <w:rsid w:val="00F165B9"/>
    <w:rsid w:val="00F2297F"/>
    <w:rsid w:val="00F26F46"/>
    <w:rsid w:val="00F32580"/>
    <w:rsid w:val="00F335C8"/>
    <w:rsid w:val="00F35639"/>
    <w:rsid w:val="00F35EDC"/>
    <w:rsid w:val="00F36E99"/>
    <w:rsid w:val="00F373F4"/>
    <w:rsid w:val="00F43965"/>
    <w:rsid w:val="00F46064"/>
    <w:rsid w:val="00F538F8"/>
    <w:rsid w:val="00F53954"/>
    <w:rsid w:val="00F6160E"/>
    <w:rsid w:val="00F62916"/>
    <w:rsid w:val="00F63D9A"/>
    <w:rsid w:val="00F64243"/>
    <w:rsid w:val="00F659A3"/>
    <w:rsid w:val="00F72E4B"/>
    <w:rsid w:val="00F7417F"/>
    <w:rsid w:val="00F77D9D"/>
    <w:rsid w:val="00FA02D2"/>
    <w:rsid w:val="00FA7FB4"/>
    <w:rsid w:val="00FB743C"/>
    <w:rsid w:val="00FC56F5"/>
    <w:rsid w:val="00FC5E97"/>
    <w:rsid w:val="00FC6E8D"/>
    <w:rsid w:val="00FD307B"/>
    <w:rsid w:val="00FD5568"/>
    <w:rsid w:val="00FD736A"/>
    <w:rsid w:val="00FE4564"/>
    <w:rsid w:val="00FE68E4"/>
    <w:rsid w:val="00FE7C16"/>
    <w:rsid w:val="00FF2AFE"/>
    <w:rsid w:val="00FF34A3"/>
    <w:rsid w:val="00FF5C36"/>
    <w:rsid w:val="00FF68D0"/>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60C35"/>
  <w15:docId w15:val="{24BD68C8-3C9D-4619-8284-801CD757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link w:val="Heading6Char"/>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Heading6Char">
    <w:name w:val="Heading 6 Char"/>
    <w:basedOn w:val="DefaultParagraphFont"/>
    <w:link w:val="Heading6"/>
    <w:rsid w:val="00E34E78"/>
    <w:rPr>
      <w:rFonts w:ascii="Verdana" w:hAnsi="Verdana"/>
      <w:b/>
      <w:color w:val="000000"/>
      <w:sz w:val="22"/>
      <w:szCs w:val="22"/>
    </w:rPr>
  </w:style>
  <w:style w:type="character" w:customStyle="1" w:styleId="FootnoteTextChar">
    <w:name w:val="Footnote Text Char"/>
    <w:basedOn w:val="DefaultParagraphFont"/>
    <w:link w:val="FootnoteText"/>
    <w:semiHidden/>
    <w:rsid w:val="000C5AD7"/>
    <w:rPr>
      <w:rFonts w:ascii="Verdana" w:hAnsi="Verdana"/>
      <w:sz w:val="16"/>
    </w:rPr>
  </w:style>
  <w:style w:type="character" w:styleId="FootnoteReference">
    <w:name w:val="footnote reference"/>
    <w:basedOn w:val="DefaultParagraphFont"/>
    <w:semiHidden/>
    <w:unhideWhenUsed/>
    <w:rsid w:val="000C5AD7"/>
    <w:rPr>
      <w:vertAlign w:val="superscript"/>
    </w:rPr>
  </w:style>
  <w:style w:type="paragraph" w:styleId="ListParagraph">
    <w:name w:val="List Paragraph"/>
    <w:basedOn w:val="Normal"/>
    <w:uiPriority w:val="34"/>
    <w:qFormat/>
    <w:rsid w:val="00DE7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B4A28CE-A007-4ECB-B8E8-F2EBBC10482F}"/>
</file>

<file path=customXml/itemProps3.xml><?xml version="1.0" encoding="utf-8"?>
<ds:datastoreItem xmlns:ds="http://schemas.openxmlformats.org/officeDocument/2006/customXml" ds:itemID="{6DFB614C-C175-479A-915E-F2D0A5C6B185}"/>
</file>

<file path=customXml/itemProps4.xml><?xml version="1.0" encoding="utf-8"?>
<ds:datastoreItem xmlns:ds="http://schemas.openxmlformats.org/officeDocument/2006/customXml" ds:itemID="{43DF96AE-B64C-4DEC-93BF-09C8167E665A}"/>
</file>

<file path=docProps/app.xml><?xml version="1.0" encoding="utf-8"?>
<Properties xmlns="http://schemas.openxmlformats.org/officeDocument/2006/extended-properties" xmlns:vt="http://schemas.openxmlformats.org/officeDocument/2006/docPropsVTypes">
  <Template>Decisions.dotm</Template>
  <TotalTime>4</TotalTime>
  <Pages>10</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Young, Dominic</dc:creator>
  <cp:lastModifiedBy>Richards, Clive</cp:lastModifiedBy>
  <cp:revision>6</cp:revision>
  <cp:lastPrinted>2022-05-24T11:17:00Z</cp:lastPrinted>
  <dcterms:created xsi:type="dcterms:W3CDTF">2022-05-24T11:18:00Z</dcterms:created>
  <dcterms:modified xsi:type="dcterms:W3CDTF">2022-05-24T11:22:00Z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