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F68D" w14:textId="1A8EF98A" w:rsidR="00BD09CD" w:rsidRPr="00897BDC" w:rsidRDefault="00225101">
      <w:r>
        <w:rPr>
          <w:noProof/>
        </w:rPr>
        <w:drawing>
          <wp:inline distT="0" distB="0" distL="0" distR="0" wp14:anchorId="63EF4C2F" wp14:editId="37CC4089">
            <wp:extent cx="3765550" cy="387350"/>
            <wp:effectExtent l="0" t="0" r="0" b="0"/>
            <wp:docPr id="5"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PIN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5550" cy="387350"/>
                    </a:xfrm>
                    <a:prstGeom prst="rect">
                      <a:avLst/>
                    </a:prstGeom>
                    <a:noFill/>
                    <a:ln>
                      <a:noFill/>
                    </a:ln>
                  </pic:spPr>
                </pic:pic>
              </a:graphicData>
            </a:graphic>
          </wp:inline>
        </w:drawing>
      </w:r>
    </w:p>
    <w:p w14:paraId="6B0E3B9D" w14:textId="77777777" w:rsidR="0004625F" w:rsidRDefault="0004625F"/>
    <w:p w14:paraId="1C11DF50" w14:textId="77777777" w:rsidR="0004625F" w:rsidRDefault="0004625F"/>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3B153919" w14:textId="77777777" w:rsidTr="00DD37E9">
        <w:trPr>
          <w:cantSplit/>
          <w:trHeight w:val="659"/>
        </w:trPr>
        <w:tc>
          <w:tcPr>
            <w:tcW w:w="9356" w:type="dxa"/>
            <w:shd w:val="clear" w:color="auto" w:fill="auto"/>
          </w:tcPr>
          <w:p w14:paraId="74B0BB7A" w14:textId="77777777" w:rsidR="0004625F" w:rsidRPr="00DD37E9" w:rsidRDefault="00DD37E9" w:rsidP="0069559D">
            <w:pPr>
              <w:spacing w:before="120"/>
              <w:ind w:left="-108" w:right="34"/>
              <w:rPr>
                <w:b/>
                <w:color w:val="000000"/>
                <w:sz w:val="40"/>
                <w:szCs w:val="40"/>
              </w:rPr>
            </w:pPr>
            <w:bookmarkStart w:id="0" w:name="bmkTable00"/>
            <w:bookmarkEnd w:id="0"/>
            <w:r>
              <w:rPr>
                <w:b/>
                <w:color w:val="000000"/>
                <w:sz w:val="40"/>
                <w:szCs w:val="40"/>
              </w:rPr>
              <w:t>Appeal Decision</w:t>
            </w:r>
          </w:p>
        </w:tc>
      </w:tr>
      <w:tr w:rsidR="0004625F" w:rsidRPr="000C3F13" w14:paraId="7A3BC2C9" w14:textId="77777777" w:rsidTr="00DD37E9">
        <w:trPr>
          <w:cantSplit/>
          <w:trHeight w:val="425"/>
        </w:trPr>
        <w:tc>
          <w:tcPr>
            <w:tcW w:w="9356" w:type="dxa"/>
            <w:shd w:val="clear" w:color="auto" w:fill="auto"/>
            <w:vAlign w:val="center"/>
          </w:tcPr>
          <w:p w14:paraId="383C3EA3" w14:textId="77777777" w:rsidR="0004625F" w:rsidRPr="00DD37E9" w:rsidRDefault="0004625F" w:rsidP="00DD37E9">
            <w:pPr>
              <w:spacing w:before="60"/>
              <w:ind w:left="-108" w:right="34"/>
              <w:rPr>
                <w:color w:val="000000"/>
                <w:szCs w:val="22"/>
              </w:rPr>
            </w:pPr>
          </w:p>
        </w:tc>
      </w:tr>
      <w:tr w:rsidR="0004625F" w:rsidRPr="00361890" w14:paraId="34EF37EC" w14:textId="77777777" w:rsidTr="00DD37E9">
        <w:trPr>
          <w:cantSplit/>
          <w:trHeight w:val="374"/>
        </w:trPr>
        <w:tc>
          <w:tcPr>
            <w:tcW w:w="9356" w:type="dxa"/>
            <w:shd w:val="clear" w:color="auto" w:fill="auto"/>
          </w:tcPr>
          <w:p w14:paraId="61AC9579" w14:textId="77777777" w:rsidR="0004625F" w:rsidRPr="00DD37E9" w:rsidRDefault="00DD37E9" w:rsidP="00DD37E9">
            <w:pPr>
              <w:spacing w:before="180"/>
              <w:ind w:left="-108" w:right="34"/>
              <w:rPr>
                <w:b/>
                <w:color w:val="000000"/>
                <w:sz w:val="16"/>
                <w:szCs w:val="22"/>
              </w:rPr>
            </w:pPr>
            <w:r>
              <w:rPr>
                <w:b/>
                <w:color w:val="000000"/>
                <w:szCs w:val="22"/>
              </w:rPr>
              <w:t xml:space="preserve">by </w:t>
            </w:r>
            <w:r w:rsidR="00246BC4">
              <w:rPr>
                <w:b/>
                <w:color w:val="000000"/>
                <w:szCs w:val="22"/>
              </w:rPr>
              <w:t xml:space="preserve">Barney </w:t>
            </w:r>
            <w:proofErr w:type="gramStart"/>
            <w:r w:rsidR="00246BC4">
              <w:rPr>
                <w:b/>
                <w:color w:val="000000"/>
                <w:szCs w:val="22"/>
              </w:rPr>
              <w:t>Grimshaw  BA</w:t>
            </w:r>
            <w:proofErr w:type="gramEnd"/>
            <w:r w:rsidR="00246BC4">
              <w:rPr>
                <w:b/>
                <w:color w:val="000000"/>
                <w:szCs w:val="22"/>
              </w:rPr>
              <w:t xml:space="preserve"> DPA MRTPI (</w:t>
            </w:r>
            <w:proofErr w:type="spellStart"/>
            <w:r w:rsidR="00246BC4">
              <w:rPr>
                <w:b/>
                <w:color w:val="000000"/>
                <w:szCs w:val="22"/>
              </w:rPr>
              <w:t>Rtd</w:t>
            </w:r>
            <w:proofErr w:type="spellEnd"/>
            <w:r w:rsidR="00246BC4">
              <w:rPr>
                <w:b/>
                <w:color w:val="000000"/>
                <w:szCs w:val="22"/>
              </w:rPr>
              <w:t>)</w:t>
            </w:r>
          </w:p>
        </w:tc>
      </w:tr>
      <w:tr w:rsidR="0004625F" w:rsidRPr="00361890" w14:paraId="559A8177" w14:textId="77777777" w:rsidTr="00DD37E9">
        <w:trPr>
          <w:cantSplit/>
          <w:trHeight w:val="357"/>
        </w:trPr>
        <w:tc>
          <w:tcPr>
            <w:tcW w:w="9356" w:type="dxa"/>
            <w:shd w:val="clear" w:color="auto" w:fill="auto"/>
          </w:tcPr>
          <w:p w14:paraId="584120F7" w14:textId="77777777" w:rsidR="0004625F" w:rsidRPr="00DD37E9" w:rsidRDefault="00DD37E9" w:rsidP="0069559D">
            <w:pPr>
              <w:spacing w:before="120"/>
              <w:ind w:left="-108" w:right="34"/>
              <w:rPr>
                <w:b/>
                <w:color w:val="000000"/>
                <w:sz w:val="16"/>
                <w:szCs w:val="16"/>
              </w:rPr>
            </w:pPr>
            <w:r>
              <w:rPr>
                <w:b/>
                <w:color w:val="000000"/>
                <w:sz w:val="16"/>
                <w:szCs w:val="16"/>
              </w:rPr>
              <w:t xml:space="preserve">an Inspector </w:t>
            </w:r>
            <w:r w:rsidR="006F0594">
              <w:rPr>
                <w:b/>
                <w:color w:val="000000"/>
                <w:sz w:val="16"/>
                <w:szCs w:val="16"/>
              </w:rPr>
              <w:t xml:space="preserve">appointed by </w:t>
            </w:r>
            <w:r>
              <w:rPr>
                <w:b/>
                <w:color w:val="000000"/>
                <w:sz w:val="16"/>
                <w:szCs w:val="16"/>
              </w:rPr>
              <w:t>the Secretary of State for Environment, Food and Rural Affairs</w:t>
            </w:r>
          </w:p>
        </w:tc>
      </w:tr>
      <w:tr w:rsidR="0004625F" w:rsidRPr="00A101CD" w14:paraId="0B1170D3" w14:textId="77777777" w:rsidTr="00DD37E9">
        <w:trPr>
          <w:cantSplit/>
          <w:trHeight w:val="335"/>
        </w:trPr>
        <w:tc>
          <w:tcPr>
            <w:tcW w:w="9356" w:type="dxa"/>
            <w:shd w:val="clear" w:color="auto" w:fill="auto"/>
          </w:tcPr>
          <w:p w14:paraId="236594FD" w14:textId="2016253A" w:rsidR="0004625F" w:rsidRPr="00A101CD" w:rsidRDefault="0004625F" w:rsidP="0069559D">
            <w:pPr>
              <w:spacing w:before="120"/>
              <w:ind w:left="-108" w:right="176"/>
              <w:rPr>
                <w:b/>
                <w:color w:val="000000"/>
                <w:sz w:val="16"/>
                <w:szCs w:val="16"/>
              </w:rPr>
            </w:pPr>
            <w:r w:rsidRPr="00A101CD">
              <w:rPr>
                <w:b/>
                <w:color w:val="000000"/>
                <w:sz w:val="16"/>
                <w:szCs w:val="16"/>
              </w:rPr>
              <w:t>Decision date:</w:t>
            </w:r>
            <w:r w:rsidR="00225101">
              <w:rPr>
                <w:b/>
                <w:color w:val="000000"/>
                <w:sz w:val="16"/>
                <w:szCs w:val="16"/>
              </w:rPr>
              <w:t xml:space="preserve"> 11 May 2022</w:t>
            </w:r>
          </w:p>
        </w:tc>
      </w:tr>
    </w:tbl>
    <w:p w14:paraId="372209FF" w14:textId="77777777" w:rsidR="00DD37E9" w:rsidRDefault="00DD37E9"/>
    <w:tbl>
      <w:tblPr>
        <w:tblW w:w="0" w:type="auto"/>
        <w:tblLayout w:type="fixed"/>
        <w:tblLook w:val="0000" w:firstRow="0" w:lastRow="0" w:firstColumn="0" w:lastColumn="0" w:noHBand="0" w:noVBand="0"/>
      </w:tblPr>
      <w:tblGrid>
        <w:gridCol w:w="9520"/>
      </w:tblGrid>
      <w:tr w:rsidR="00DD37E9" w14:paraId="319B044E" w14:textId="77777777" w:rsidTr="00DD37E9">
        <w:tc>
          <w:tcPr>
            <w:tcW w:w="9520" w:type="dxa"/>
            <w:shd w:val="clear" w:color="auto" w:fill="auto"/>
          </w:tcPr>
          <w:p w14:paraId="2FE65015" w14:textId="56B349EE" w:rsidR="00DD37E9" w:rsidRPr="00DD37E9" w:rsidRDefault="00C5189E" w:rsidP="000F33E2">
            <w:pPr>
              <w:spacing w:after="60"/>
              <w:rPr>
                <w:b/>
                <w:color w:val="000000"/>
              </w:rPr>
            </w:pPr>
            <w:r>
              <w:rPr>
                <w:b/>
                <w:color w:val="000000"/>
              </w:rPr>
              <w:t>Appeal</w:t>
            </w:r>
            <w:r w:rsidR="00DD37E9">
              <w:rPr>
                <w:b/>
                <w:color w:val="000000"/>
              </w:rPr>
              <w:t xml:space="preserve"> Ref: </w:t>
            </w:r>
            <w:r w:rsidR="00246BC4">
              <w:rPr>
                <w:b/>
                <w:color w:val="000000"/>
              </w:rPr>
              <w:t>FPS</w:t>
            </w:r>
            <w:r w:rsidR="00DD37E9">
              <w:rPr>
                <w:b/>
                <w:color w:val="000000"/>
              </w:rPr>
              <w:t>/</w:t>
            </w:r>
            <w:r w:rsidR="001209C5">
              <w:rPr>
                <w:b/>
                <w:color w:val="000000"/>
              </w:rPr>
              <w:t>Z1585</w:t>
            </w:r>
            <w:r w:rsidR="000F33E2">
              <w:rPr>
                <w:b/>
                <w:color w:val="000000"/>
              </w:rPr>
              <w:t>/</w:t>
            </w:r>
            <w:r w:rsidR="00EF402C">
              <w:rPr>
                <w:b/>
                <w:color w:val="000000"/>
              </w:rPr>
              <w:t>14A/</w:t>
            </w:r>
            <w:r w:rsidR="001209C5">
              <w:rPr>
                <w:b/>
                <w:color w:val="000000"/>
              </w:rPr>
              <w:t>22</w:t>
            </w:r>
          </w:p>
        </w:tc>
      </w:tr>
      <w:tr w:rsidR="00DD37E9" w14:paraId="768BA861" w14:textId="77777777" w:rsidTr="00DD37E9">
        <w:tc>
          <w:tcPr>
            <w:tcW w:w="9520" w:type="dxa"/>
            <w:shd w:val="clear" w:color="auto" w:fill="auto"/>
          </w:tcPr>
          <w:p w14:paraId="2300F38A" w14:textId="72DF5724" w:rsidR="00DD37E9" w:rsidRDefault="00DD37E9" w:rsidP="005018AE">
            <w:pPr>
              <w:pStyle w:val="TBullet"/>
            </w:pPr>
            <w:r>
              <w:t xml:space="preserve">This Appeal is made under Section 53(5) and Paragraph 4(1) of </w:t>
            </w:r>
            <w:r w:rsidR="00B925A5">
              <w:t>Schedule</w:t>
            </w:r>
            <w:r>
              <w:t xml:space="preserve"> 14 of the Wildlife and Countryside Act 1981 </w:t>
            </w:r>
            <w:r w:rsidR="0041539C">
              <w:t>against the d</w:t>
            </w:r>
            <w:r w:rsidR="002C6E5C">
              <w:t xml:space="preserve">ecision of </w:t>
            </w:r>
            <w:r w:rsidR="001209C5">
              <w:t xml:space="preserve">Essex County </w:t>
            </w:r>
            <w:r w:rsidR="00B925A5">
              <w:t>Council</w:t>
            </w:r>
            <w:r w:rsidR="0041539C">
              <w:t xml:space="preserve"> not to make an Order under section 53(2) of that Act.</w:t>
            </w:r>
          </w:p>
        </w:tc>
      </w:tr>
      <w:tr w:rsidR="00DD37E9" w14:paraId="1287DDC4" w14:textId="77777777" w:rsidTr="00DD37E9">
        <w:tc>
          <w:tcPr>
            <w:tcW w:w="9520" w:type="dxa"/>
            <w:shd w:val="clear" w:color="auto" w:fill="auto"/>
          </w:tcPr>
          <w:p w14:paraId="66C79ABB" w14:textId="57C612FC" w:rsidR="00DD37E9" w:rsidRDefault="00DD37E9" w:rsidP="005018AE">
            <w:pPr>
              <w:pStyle w:val="TBullet"/>
            </w:pPr>
            <w:r>
              <w:t xml:space="preserve">The </w:t>
            </w:r>
            <w:r w:rsidR="00E42FB7">
              <w:t>Application dated</w:t>
            </w:r>
            <w:r w:rsidR="000F33E2">
              <w:t xml:space="preserve"> </w:t>
            </w:r>
            <w:r w:rsidR="001209C5">
              <w:t xml:space="preserve">28 March 2019 </w:t>
            </w:r>
            <w:r w:rsidR="00EF402C">
              <w:t xml:space="preserve">was refused by </w:t>
            </w:r>
            <w:r w:rsidR="001209C5">
              <w:t xml:space="preserve">Essex County Council </w:t>
            </w:r>
            <w:r w:rsidR="000F33E2">
              <w:t>on</w:t>
            </w:r>
            <w:r w:rsidR="001209C5">
              <w:t xml:space="preserve"> 4 November 2020</w:t>
            </w:r>
            <w:r w:rsidR="00DD353F">
              <w:t>.</w:t>
            </w:r>
            <w:r w:rsidR="0041539C">
              <w:t xml:space="preserve"> </w:t>
            </w:r>
          </w:p>
        </w:tc>
      </w:tr>
      <w:tr w:rsidR="00DD37E9" w14:paraId="75139DD7" w14:textId="77777777" w:rsidTr="00DD37E9">
        <w:tc>
          <w:tcPr>
            <w:tcW w:w="9520" w:type="dxa"/>
            <w:shd w:val="clear" w:color="auto" w:fill="auto"/>
          </w:tcPr>
          <w:p w14:paraId="015355EA" w14:textId="35493340" w:rsidR="00DD37E9" w:rsidRDefault="00DD37E9" w:rsidP="005018AE">
            <w:pPr>
              <w:pStyle w:val="TBullet"/>
            </w:pPr>
            <w:r>
              <w:t>The</w:t>
            </w:r>
            <w:r w:rsidR="00FE6B66">
              <w:t xml:space="preserve"> Appellant</w:t>
            </w:r>
            <w:r w:rsidR="002C6E5C">
              <w:t xml:space="preserve"> </w:t>
            </w:r>
            <w:r w:rsidR="00DD353F">
              <w:t>claims that</w:t>
            </w:r>
            <w:r w:rsidR="002A7C1A">
              <w:t xml:space="preserve"> a route running</w:t>
            </w:r>
            <w:r w:rsidR="000F33E2">
              <w:t xml:space="preserve"> </w:t>
            </w:r>
            <w:r w:rsidR="00BC756F">
              <w:t xml:space="preserve">from Shingle Hall Road to </w:t>
            </w:r>
            <w:r w:rsidR="00F04A81">
              <w:t xml:space="preserve">Severs Green </w:t>
            </w:r>
            <w:r w:rsidR="002A7C1A">
              <w:t>should be</w:t>
            </w:r>
            <w:r w:rsidR="00014005">
              <w:t xml:space="preserve"> </w:t>
            </w:r>
            <w:r w:rsidR="003B3253">
              <w:t xml:space="preserve">added to the definitive map as a </w:t>
            </w:r>
            <w:r w:rsidR="00346CE6">
              <w:t>Restricted Byway</w:t>
            </w:r>
            <w:r w:rsidR="00AB3D6E">
              <w:t>.</w:t>
            </w:r>
          </w:p>
        </w:tc>
      </w:tr>
      <w:tr w:rsidR="00DD37E9" w14:paraId="5F5F0E6C" w14:textId="77777777" w:rsidTr="00DD37E9">
        <w:tc>
          <w:tcPr>
            <w:tcW w:w="9520" w:type="dxa"/>
            <w:shd w:val="clear" w:color="auto" w:fill="auto"/>
          </w:tcPr>
          <w:p w14:paraId="0C9B24EA" w14:textId="77777777" w:rsidR="00EF402C" w:rsidRDefault="00EF402C" w:rsidP="00DD37E9">
            <w:pPr>
              <w:spacing w:before="60"/>
              <w:rPr>
                <w:b/>
                <w:color w:val="000000"/>
              </w:rPr>
            </w:pPr>
          </w:p>
          <w:p w14:paraId="36E3E1ED" w14:textId="436C9E43" w:rsidR="00DD37E9" w:rsidRPr="00DD37E9" w:rsidRDefault="00DD37E9" w:rsidP="005018AE">
            <w:pPr>
              <w:spacing w:before="60"/>
              <w:ind w:left="2835" w:hanging="2835"/>
              <w:rPr>
                <w:b/>
                <w:color w:val="000000"/>
              </w:rPr>
            </w:pPr>
            <w:r>
              <w:rPr>
                <w:b/>
                <w:color w:val="000000"/>
              </w:rPr>
              <w:t>Summary of Decision:</w:t>
            </w:r>
            <w:r w:rsidR="00B925A5">
              <w:rPr>
                <w:b/>
                <w:color w:val="000000"/>
              </w:rPr>
              <w:t xml:space="preserve"> </w:t>
            </w:r>
            <w:r w:rsidR="007C01BC">
              <w:rPr>
                <w:b/>
                <w:color w:val="000000"/>
              </w:rPr>
              <w:t xml:space="preserve"> The appeal is</w:t>
            </w:r>
            <w:r w:rsidR="00AC2667">
              <w:rPr>
                <w:b/>
                <w:color w:val="000000"/>
              </w:rPr>
              <w:t xml:space="preserve"> allowed</w:t>
            </w:r>
            <w:r w:rsidR="000D3FA0">
              <w:rPr>
                <w:b/>
                <w:color w:val="000000"/>
              </w:rPr>
              <w:t>.</w:t>
            </w:r>
            <w:r w:rsidR="007C01BC">
              <w:rPr>
                <w:b/>
                <w:color w:val="000000"/>
              </w:rPr>
              <w:t xml:space="preserve"> </w:t>
            </w:r>
          </w:p>
        </w:tc>
      </w:tr>
      <w:tr w:rsidR="00DD37E9" w14:paraId="4784CF92" w14:textId="77777777" w:rsidTr="00DD37E9">
        <w:tc>
          <w:tcPr>
            <w:tcW w:w="9520" w:type="dxa"/>
            <w:tcBorders>
              <w:bottom w:val="single" w:sz="6" w:space="0" w:color="000000"/>
            </w:tcBorders>
            <w:shd w:val="clear" w:color="auto" w:fill="auto"/>
          </w:tcPr>
          <w:p w14:paraId="5CB93075" w14:textId="77777777" w:rsidR="00DD37E9" w:rsidRPr="00DD37E9" w:rsidRDefault="00DD37E9" w:rsidP="00DD37E9">
            <w:pPr>
              <w:spacing w:before="60"/>
              <w:rPr>
                <w:b/>
                <w:color w:val="000000"/>
                <w:sz w:val="2"/>
              </w:rPr>
            </w:pPr>
            <w:bookmarkStart w:id="1" w:name="bmkReturn"/>
            <w:bookmarkEnd w:id="1"/>
          </w:p>
        </w:tc>
      </w:tr>
    </w:tbl>
    <w:p w14:paraId="4D1BF06D" w14:textId="77777777" w:rsidR="000C5BE4" w:rsidRDefault="000C5BE4" w:rsidP="000C5BE4">
      <w:pPr>
        <w:pStyle w:val="Heading6blackfont"/>
      </w:pPr>
      <w:r>
        <w:t>Preliminary Matters</w:t>
      </w:r>
    </w:p>
    <w:p w14:paraId="43E35E03" w14:textId="77777777" w:rsidR="000C5BE4" w:rsidRPr="00C5189E" w:rsidRDefault="000C5BE4" w:rsidP="000C5BE4">
      <w:pPr>
        <w:pStyle w:val="Style1"/>
        <w:tabs>
          <w:tab w:val="clear" w:pos="6107"/>
          <w:tab w:val="num" w:pos="720"/>
        </w:tabs>
        <w:ind w:left="432"/>
      </w:pPr>
      <w:r>
        <w:t>I have been directed by the Secretary of State for Environment, Food and Rural Affairs to determine this appeal under Section 53(5) and Paragraph 4(1) of Schedule 14 of the Wildlife and Countryside Act 1981 (the 1981 Act).</w:t>
      </w:r>
    </w:p>
    <w:p w14:paraId="049A7FD2" w14:textId="0CBF2BA6" w:rsidR="002403E5" w:rsidRDefault="000C5BE4" w:rsidP="000F33E2">
      <w:pPr>
        <w:pStyle w:val="Style1"/>
        <w:tabs>
          <w:tab w:val="clear" w:pos="6107"/>
          <w:tab w:val="num" w:pos="720"/>
        </w:tabs>
        <w:ind w:left="432"/>
      </w:pPr>
      <w:r>
        <w:t xml:space="preserve">I have not visited the </w:t>
      </w:r>
      <w:r w:rsidR="007825EE">
        <w:t>site,</w:t>
      </w:r>
      <w:r>
        <w:t xml:space="preserve"> but I am satisfied I can make my decision without the need to do so.</w:t>
      </w:r>
    </w:p>
    <w:p w14:paraId="36264FE4" w14:textId="77777777" w:rsidR="000C5BE4" w:rsidRPr="00174A3B" w:rsidRDefault="003B3253" w:rsidP="000C5BE4">
      <w:pPr>
        <w:pStyle w:val="Style1"/>
        <w:tabs>
          <w:tab w:val="clear" w:pos="6107"/>
          <w:tab w:val="num" w:pos="720"/>
        </w:tabs>
        <w:ind w:left="432"/>
      </w:pPr>
      <w:r>
        <w:t xml:space="preserve">I attach </w:t>
      </w:r>
      <w:r w:rsidR="002403E5">
        <w:t>a copy</w:t>
      </w:r>
      <w:r>
        <w:t xml:space="preserve"> of a</w:t>
      </w:r>
      <w:r w:rsidR="000C5BE4">
        <w:t xml:space="preserve"> map</w:t>
      </w:r>
      <w:r>
        <w:t xml:space="preserve"> </w:t>
      </w:r>
      <w:r w:rsidR="00307C3E">
        <w:t xml:space="preserve">submitted with the application </w:t>
      </w:r>
      <w:r w:rsidR="000C5BE4">
        <w:t xml:space="preserve">showing the claimed route for reference purposes. </w:t>
      </w:r>
    </w:p>
    <w:p w14:paraId="76D3A4EF" w14:textId="77777777" w:rsidR="004F7801" w:rsidRPr="004F7801" w:rsidRDefault="000C5BE4" w:rsidP="004F7801">
      <w:pPr>
        <w:pStyle w:val="Heading6blackfont"/>
      </w:pPr>
      <w:r>
        <w:t>Main issues</w:t>
      </w:r>
    </w:p>
    <w:p w14:paraId="494E4155" w14:textId="35EF5C53" w:rsidR="000C5BE4" w:rsidRPr="00491E4A" w:rsidRDefault="004F7801" w:rsidP="00491E4A">
      <w:pPr>
        <w:pStyle w:val="Style1"/>
        <w:tabs>
          <w:tab w:val="clear" w:pos="6107"/>
        </w:tabs>
        <w:ind w:left="432"/>
        <w:rPr>
          <w:rFonts w:cs="Verdana"/>
          <w:szCs w:val="22"/>
        </w:rPr>
      </w:pPr>
      <w:r w:rsidRPr="004F0043">
        <w:rPr>
          <w:rFonts w:cs="Tahoma"/>
        </w:rPr>
        <w:t>Section 53(3)(c)(</w:t>
      </w:r>
      <w:proofErr w:type="spellStart"/>
      <w:r w:rsidRPr="004F0043">
        <w:rPr>
          <w:rFonts w:cs="Tahoma"/>
        </w:rPr>
        <w:t>i</w:t>
      </w:r>
      <w:proofErr w:type="spellEnd"/>
      <w:r w:rsidRPr="004F0043">
        <w:rPr>
          <w:rFonts w:cs="Tahoma"/>
        </w:rPr>
        <w:t>) of the 1981 Act states that an order should be made on the discovery by the authority of evidence which, when considered with all other relevant evidence available, shows that a right of way which is not shown on the map and statement subsists or is reasonably alleged to subsist over land to which the map relates.</w:t>
      </w:r>
    </w:p>
    <w:p w14:paraId="32E3298A" w14:textId="11554442" w:rsidR="00A01DA5" w:rsidRPr="009D673F" w:rsidRDefault="00A01DA5" w:rsidP="009D673F">
      <w:pPr>
        <w:pStyle w:val="Style1"/>
        <w:tabs>
          <w:tab w:val="clear" w:pos="6107"/>
          <w:tab w:val="num" w:pos="720"/>
        </w:tabs>
        <w:ind w:left="432"/>
        <w:rPr>
          <w:rFonts w:cs="Verdana"/>
          <w:szCs w:val="22"/>
        </w:rPr>
      </w:pPr>
      <w:r>
        <w:t>As the application concerns a possible unrecorded vehicular route, it is also necessary to have regard to the provisions of Section 67 of the Natural Environment and Rural Communities Act 2006 (the 2006 Act) which extinguished rights of way for mechanically propelled vehicles (MPVs) subject to certain exceptions.</w:t>
      </w:r>
    </w:p>
    <w:p w14:paraId="5A2D24A8" w14:textId="5CC459AD" w:rsidR="000C5BE4" w:rsidRDefault="002C6E5C" w:rsidP="000D3FA0">
      <w:pPr>
        <w:pStyle w:val="Heading6blackfont"/>
      </w:pPr>
      <w:r>
        <w:t>Reasons</w:t>
      </w:r>
    </w:p>
    <w:p w14:paraId="73B118D6" w14:textId="1664A859" w:rsidR="00764BB0" w:rsidRDefault="00ED5FCC" w:rsidP="00ED5FCC">
      <w:pPr>
        <w:pStyle w:val="Style1"/>
        <w:tabs>
          <w:tab w:val="clear" w:pos="6107"/>
          <w:tab w:val="num" w:pos="720"/>
        </w:tabs>
        <w:ind w:left="432"/>
      </w:pPr>
      <w:r>
        <w:t xml:space="preserve">No evidence of use of the claimed route has been submitted. The determination </w:t>
      </w:r>
      <w:r w:rsidR="00DF4F52">
        <w:t>of the app</w:t>
      </w:r>
      <w:r w:rsidR="0034735A">
        <w:t>eal</w:t>
      </w:r>
      <w:r w:rsidR="00DF4F52">
        <w:t xml:space="preserve"> therefore depends entirely on the documentary evidence available.</w:t>
      </w:r>
    </w:p>
    <w:p w14:paraId="3F067CF2" w14:textId="4511DDFF" w:rsidR="00897806" w:rsidRDefault="00293729" w:rsidP="00ED5FCC">
      <w:pPr>
        <w:pStyle w:val="Style1"/>
        <w:tabs>
          <w:tab w:val="clear" w:pos="6107"/>
          <w:tab w:val="num" w:pos="720"/>
        </w:tabs>
        <w:ind w:left="432"/>
      </w:pPr>
      <w:r>
        <w:lastRenderedPageBreak/>
        <w:t>The claimed route runs from the currently recorded public road</w:t>
      </w:r>
      <w:r w:rsidR="00CC0EAA">
        <w:t>,</w:t>
      </w:r>
      <w:r w:rsidR="007B61C8">
        <w:t xml:space="preserve"> which terminates as a </w:t>
      </w:r>
      <w:proofErr w:type="spellStart"/>
      <w:r w:rsidR="007B61C8">
        <w:t>cul</w:t>
      </w:r>
      <w:proofErr w:type="spellEnd"/>
      <w:r w:rsidR="007B61C8">
        <w:t xml:space="preserve"> de sac at </w:t>
      </w:r>
      <w:r w:rsidR="008C74E9">
        <w:t xml:space="preserve">the site of the former </w:t>
      </w:r>
      <w:r w:rsidR="007B61C8">
        <w:t>Shingle Hall</w:t>
      </w:r>
      <w:r w:rsidR="00CC0EAA">
        <w:t>, northwards to Severs Green.</w:t>
      </w:r>
      <w:r w:rsidR="00664B7E">
        <w:t xml:space="preserve"> It is argued o</w:t>
      </w:r>
      <w:r w:rsidR="00EF25B0">
        <w:t xml:space="preserve">n </w:t>
      </w:r>
      <w:r w:rsidR="00664B7E">
        <w:t xml:space="preserve">behalf of the applicant that </w:t>
      </w:r>
      <w:r w:rsidR="00C1113F">
        <w:t>S</w:t>
      </w:r>
      <w:r w:rsidR="00664B7E">
        <w:t xml:space="preserve">evers Green </w:t>
      </w:r>
      <w:r w:rsidR="00C52A01">
        <w:t>is itself a place of public resort for horse riders and others</w:t>
      </w:r>
      <w:r w:rsidR="00EF25B0">
        <w:t xml:space="preserve"> and that it is likely that a route continued northwards</w:t>
      </w:r>
      <w:r w:rsidR="0042299D">
        <w:t xml:space="preserve"> to join Epping Long Green which is a byway</w:t>
      </w:r>
      <w:r w:rsidR="008C1A2C">
        <w:t>.</w:t>
      </w:r>
    </w:p>
    <w:p w14:paraId="597E6803" w14:textId="13847350" w:rsidR="00A1492F" w:rsidRPr="00764BB0" w:rsidRDefault="00A1492F" w:rsidP="00ED5FCC">
      <w:pPr>
        <w:pStyle w:val="Style1"/>
        <w:tabs>
          <w:tab w:val="clear" w:pos="6107"/>
          <w:tab w:val="num" w:pos="720"/>
        </w:tabs>
        <w:ind w:left="432"/>
      </w:pPr>
      <w:r>
        <w:t xml:space="preserve">The public road </w:t>
      </w:r>
      <w:r w:rsidR="006F6B8C">
        <w:t>which runs from Upland Road to the site of the former Shingle Hall is referred to as Shingle Hall Road</w:t>
      </w:r>
      <w:r w:rsidR="0034735A">
        <w:t xml:space="preserve"> by the appellant</w:t>
      </w:r>
      <w:r w:rsidR="00D6426F">
        <w:t xml:space="preserve"> and I have referred to it in the same way</w:t>
      </w:r>
      <w:r w:rsidR="00C35F01">
        <w:t>,</w:t>
      </w:r>
      <w:r w:rsidR="00684207">
        <w:t xml:space="preserve"> although I have not seen it so named on any map.</w:t>
      </w:r>
    </w:p>
    <w:p w14:paraId="10E42583" w14:textId="7E417E5A" w:rsidR="00B26CF0" w:rsidRDefault="00B26CF0" w:rsidP="00B26CF0">
      <w:pPr>
        <w:pStyle w:val="Style1"/>
        <w:numPr>
          <w:ilvl w:val="0"/>
          <w:numId w:val="0"/>
        </w:numPr>
        <w:rPr>
          <w:b/>
          <w:i/>
        </w:rPr>
      </w:pPr>
      <w:r>
        <w:rPr>
          <w:b/>
          <w:i/>
        </w:rPr>
        <w:t>Documentary Evidence</w:t>
      </w:r>
    </w:p>
    <w:p w14:paraId="4EC310EF" w14:textId="6CED6DD3" w:rsidR="008B2976" w:rsidRPr="008B2976" w:rsidRDefault="00491E4A" w:rsidP="00B26CF0">
      <w:pPr>
        <w:pStyle w:val="Style1"/>
        <w:numPr>
          <w:ilvl w:val="0"/>
          <w:numId w:val="0"/>
        </w:numPr>
        <w:rPr>
          <w:bCs/>
          <w:i/>
        </w:rPr>
      </w:pPr>
      <w:r>
        <w:rPr>
          <w:bCs/>
          <w:i/>
        </w:rPr>
        <w:t>Early Comme</w:t>
      </w:r>
      <w:r w:rsidR="008B2976">
        <w:rPr>
          <w:bCs/>
          <w:i/>
        </w:rPr>
        <w:t>r</w:t>
      </w:r>
      <w:r>
        <w:rPr>
          <w:bCs/>
          <w:i/>
        </w:rPr>
        <w:t>cial Map</w:t>
      </w:r>
      <w:r w:rsidR="008B2976">
        <w:rPr>
          <w:bCs/>
          <w:i/>
        </w:rPr>
        <w:t>s</w:t>
      </w:r>
    </w:p>
    <w:p w14:paraId="1B7FDC52" w14:textId="2957F37D" w:rsidR="00157CEC" w:rsidRDefault="00E343A6" w:rsidP="00FF158F">
      <w:pPr>
        <w:pStyle w:val="Style1"/>
        <w:tabs>
          <w:tab w:val="clear" w:pos="6107"/>
          <w:tab w:val="num" w:pos="720"/>
        </w:tabs>
        <w:ind w:left="432"/>
      </w:pPr>
      <w:r>
        <w:t xml:space="preserve">The </w:t>
      </w:r>
      <w:r w:rsidR="004731F6">
        <w:t>Chapman and Andre</w:t>
      </w:r>
      <w:r>
        <w:t xml:space="preserve"> Atlas of 1777 shows the </w:t>
      </w:r>
      <w:r w:rsidR="00957D5B">
        <w:t>claimed route in the same manner as other</w:t>
      </w:r>
      <w:r w:rsidR="00547C4B">
        <w:t>s which are public roads.</w:t>
      </w:r>
      <w:r w:rsidR="00952CC7">
        <w:t xml:space="preserve"> </w:t>
      </w:r>
      <w:r w:rsidR="00AA34D9">
        <w:t xml:space="preserve">However, no key to these maps </w:t>
      </w:r>
      <w:r w:rsidR="00F01EF1">
        <w:t>ha</w:t>
      </w:r>
      <w:r w:rsidR="00AA34D9">
        <w:t>s been</w:t>
      </w:r>
      <w:r w:rsidR="00F01EF1">
        <w:t xml:space="preserve"> submitted and it appears that some private routes are</w:t>
      </w:r>
      <w:r w:rsidR="00E73A10">
        <w:t xml:space="preserve"> also shown in the same way.</w:t>
      </w:r>
    </w:p>
    <w:p w14:paraId="2E24D74E" w14:textId="0BC93C16" w:rsidR="00E73A10" w:rsidRDefault="00B01B56" w:rsidP="00FF158F">
      <w:pPr>
        <w:pStyle w:val="Style1"/>
        <w:tabs>
          <w:tab w:val="clear" w:pos="6107"/>
          <w:tab w:val="num" w:pos="720"/>
        </w:tabs>
        <w:ind w:left="432"/>
      </w:pPr>
      <w:r>
        <w:t>A</w:t>
      </w:r>
      <w:r w:rsidR="00550030">
        <w:t xml:space="preserve"> later map, </w:t>
      </w:r>
      <w:proofErr w:type="spellStart"/>
      <w:r w:rsidR="00550030">
        <w:t>Cruchley</w:t>
      </w:r>
      <w:r w:rsidR="00DE6825">
        <w:t>’s</w:t>
      </w:r>
      <w:proofErr w:type="spellEnd"/>
      <w:r w:rsidR="00DE6825">
        <w:t xml:space="preserve"> </w:t>
      </w:r>
      <w:proofErr w:type="gramStart"/>
      <w:r w:rsidR="00DE6825">
        <w:t>Road</w:t>
      </w:r>
      <w:proofErr w:type="gramEnd"/>
      <w:r w:rsidR="00DE6825">
        <w:t xml:space="preserve"> and Railway Map of Essex</w:t>
      </w:r>
      <w:r w:rsidR="000E0529">
        <w:t xml:space="preserve"> </w:t>
      </w:r>
      <w:r w:rsidR="00A56CA9">
        <w:t>[1885]</w:t>
      </w:r>
      <w:r w:rsidR="00DE6825">
        <w:t xml:space="preserve">, </w:t>
      </w:r>
      <w:r w:rsidR="00A56CA9">
        <w:t>also sho</w:t>
      </w:r>
      <w:r w:rsidR="005B448B">
        <w:t>w</w:t>
      </w:r>
      <w:r w:rsidR="00A56CA9">
        <w:t xml:space="preserve">s the route in the same </w:t>
      </w:r>
      <w:r w:rsidR="00B52960">
        <w:t>manner</w:t>
      </w:r>
      <w:r w:rsidR="00A56CA9">
        <w:t xml:space="preserve"> as </w:t>
      </w:r>
      <w:r w:rsidR="005B448B">
        <w:t xml:space="preserve">other public roads but again there is no key and </w:t>
      </w:r>
      <w:r w:rsidR="00B52960">
        <w:t>private roads also appear to be shown in the same way</w:t>
      </w:r>
      <w:r w:rsidR="00C736C5">
        <w:t xml:space="preserve">. Also, this map states that it is ‘improved from the Ordnance Survey’ </w:t>
      </w:r>
      <w:r w:rsidR="00603E1D">
        <w:t>but does not say on what basis and at this time Ordnance Survey maps included a disclaimer to the effect that routes shown were not necessarily public.</w:t>
      </w:r>
    </w:p>
    <w:p w14:paraId="4212D103" w14:textId="2C5DABE1" w:rsidR="00377767" w:rsidRDefault="00377767" w:rsidP="00FF158F">
      <w:pPr>
        <w:pStyle w:val="Style1"/>
        <w:tabs>
          <w:tab w:val="clear" w:pos="6107"/>
          <w:tab w:val="num" w:pos="720"/>
        </w:tabs>
        <w:ind w:left="432"/>
      </w:pPr>
      <w:r>
        <w:t>Some more recent commercial maps</w:t>
      </w:r>
      <w:r w:rsidR="00355B13">
        <w:t xml:space="preserve"> also show the route but again cannot</w:t>
      </w:r>
      <w:r w:rsidR="00231668">
        <w:t xml:space="preserve"> be relied </w:t>
      </w:r>
      <w:r w:rsidR="00012A91">
        <w:t>upon regarding the determination of its stat</w:t>
      </w:r>
      <w:r w:rsidR="008E617A">
        <w:t xml:space="preserve">us. Overall, theses commercial maps </w:t>
      </w:r>
      <w:r w:rsidR="00F52D4F">
        <w:t xml:space="preserve">show </w:t>
      </w:r>
      <w:r w:rsidR="008E617A">
        <w:t>that the route has exis</w:t>
      </w:r>
      <w:r w:rsidR="004F156B">
        <w:t>te</w:t>
      </w:r>
      <w:r w:rsidR="008E617A">
        <w:t>d</w:t>
      </w:r>
      <w:r w:rsidR="004F156B">
        <w:t xml:space="preserve"> since at least the second half of the 18</w:t>
      </w:r>
      <w:r w:rsidR="004F156B" w:rsidRPr="004F156B">
        <w:rPr>
          <w:vertAlign w:val="superscript"/>
        </w:rPr>
        <w:t>th</w:t>
      </w:r>
      <w:r w:rsidR="004F156B">
        <w:t xml:space="preserve"> </w:t>
      </w:r>
      <w:r w:rsidR="006F182B">
        <w:t>century,</w:t>
      </w:r>
      <w:r w:rsidR="00F52D4F">
        <w:t xml:space="preserve"> but they do not indicate </w:t>
      </w:r>
      <w:r w:rsidR="00464788">
        <w:t>whether it is a public highway of any sort.</w:t>
      </w:r>
    </w:p>
    <w:p w14:paraId="2F4B8612" w14:textId="60EE4F40" w:rsidR="00464788" w:rsidRDefault="00464788" w:rsidP="00464788">
      <w:pPr>
        <w:pStyle w:val="Style1"/>
        <w:numPr>
          <w:ilvl w:val="0"/>
          <w:numId w:val="0"/>
        </w:numPr>
        <w:rPr>
          <w:i/>
          <w:iCs/>
        </w:rPr>
      </w:pPr>
      <w:r>
        <w:rPr>
          <w:i/>
          <w:iCs/>
        </w:rPr>
        <w:t>Ordnance Survey (OS) Maps</w:t>
      </w:r>
    </w:p>
    <w:p w14:paraId="31632C55" w14:textId="6F43C0FF" w:rsidR="002A544A" w:rsidRDefault="008D499D" w:rsidP="004902E2">
      <w:pPr>
        <w:pStyle w:val="Style1"/>
        <w:tabs>
          <w:tab w:val="clear" w:pos="6107"/>
          <w:tab w:val="num" w:pos="720"/>
        </w:tabs>
        <w:ind w:left="432"/>
      </w:pPr>
      <w:r>
        <w:t xml:space="preserve">OS </w:t>
      </w:r>
      <w:r w:rsidR="004902E2">
        <w:t>Surveyors Drawings (1799) and subsequent OS maps show the claimed route</w:t>
      </w:r>
      <w:r w:rsidR="004943AB">
        <w:t xml:space="preserve">. </w:t>
      </w:r>
      <w:r w:rsidR="00E01FB4">
        <w:t>Later maps show a line across the route where it enters Severs Green</w:t>
      </w:r>
      <w:r w:rsidR="00CE69C2">
        <w:t xml:space="preserve"> possibly indicating the presence of a gate.</w:t>
      </w:r>
    </w:p>
    <w:p w14:paraId="154FDF51" w14:textId="42420CC7" w:rsidR="00CE69C2" w:rsidRDefault="00CE69C2" w:rsidP="004902E2">
      <w:pPr>
        <w:pStyle w:val="Style1"/>
        <w:tabs>
          <w:tab w:val="clear" w:pos="6107"/>
          <w:tab w:val="num" w:pos="720"/>
        </w:tabs>
        <w:ind w:left="432"/>
      </w:pPr>
      <w:r>
        <w:t xml:space="preserve">On behalf of the </w:t>
      </w:r>
      <w:r w:rsidR="006F182B">
        <w:t>applicant,</w:t>
      </w:r>
      <w:r>
        <w:t xml:space="preserve"> </w:t>
      </w:r>
      <w:r w:rsidR="00076F62">
        <w:t xml:space="preserve">it is argued that </w:t>
      </w:r>
      <w:r w:rsidR="003A615B">
        <w:t xml:space="preserve">some weight should be given to </w:t>
      </w:r>
      <w:r w:rsidR="00076F62">
        <w:t xml:space="preserve">the indication of a </w:t>
      </w:r>
      <w:proofErr w:type="gramStart"/>
      <w:r w:rsidR="00076F62">
        <w:t>Guide Post</w:t>
      </w:r>
      <w:proofErr w:type="gramEnd"/>
      <w:r w:rsidR="00076F62">
        <w:t xml:space="preserve"> (G.P.) at the southern end of Shingle Hall Road</w:t>
      </w:r>
      <w:r w:rsidR="006B4DB6">
        <w:t xml:space="preserve"> </w:t>
      </w:r>
      <w:r w:rsidR="00C35F01">
        <w:t>at its junction with Upland Road</w:t>
      </w:r>
      <w:r w:rsidR="00DA510B">
        <w:t xml:space="preserve"> </w:t>
      </w:r>
      <w:r w:rsidR="006B4DB6">
        <w:t>on the 189</w:t>
      </w:r>
      <w:r w:rsidR="00351AFD">
        <w:t>7</w:t>
      </w:r>
      <w:r w:rsidR="006B4DB6">
        <w:t xml:space="preserve"> map</w:t>
      </w:r>
      <w:r w:rsidR="003A615B">
        <w:t xml:space="preserve">. </w:t>
      </w:r>
      <w:r w:rsidR="00EE6A3F">
        <w:t>Under the 1835 Highways Act</w:t>
      </w:r>
      <w:r w:rsidR="00971C27">
        <w:t xml:space="preserve"> (the 1835 Act)</w:t>
      </w:r>
      <w:r w:rsidR="007D63FD">
        <w:t xml:space="preserve">, it was required that a stone or post should be erected at </w:t>
      </w:r>
      <w:r w:rsidR="00593282">
        <w:t xml:space="preserve">points where two or more </w:t>
      </w:r>
      <w:r w:rsidR="00CE18A7">
        <w:t>hig</w:t>
      </w:r>
      <w:r w:rsidR="00DE54B3">
        <w:t>h</w:t>
      </w:r>
      <w:r w:rsidR="00593282">
        <w:t>ways meet</w:t>
      </w:r>
      <w:r w:rsidR="008A7AC9">
        <w:t xml:space="preserve"> with an inscription of the name of the next market</w:t>
      </w:r>
      <w:r w:rsidR="00CE18A7">
        <w:t xml:space="preserve"> town, </w:t>
      </w:r>
      <w:r w:rsidR="006F182B">
        <w:t>village,</w:t>
      </w:r>
      <w:r w:rsidR="00CE18A7">
        <w:t xml:space="preserve"> or other place to which the </w:t>
      </w:r>
      <w:r w:rsidR="00DE54B3">
        <w:t xml:space="preserve">highways respectively lead. </w:t>
      </w:r>
      <w:r w:rsidR="000909F0">
        <w:t>As such posts were to be erected</w:t>
      </w:r>
      <w:r w:rsidR="000518C0">
        <w:t xml:space="preserve"> by the parish surveyor of highways,</w:t>
      </w:r>
      <w:r w:rsidR="00422180">
        <w:t xml:space="preserve"> who had no remit </w:t>
      </w:r>
      <w:proofErr w:type="gramStart"/>
      <w:r w:rsidR="00422180">
        <w:t>with regard to</w:t>
      </w:r>
      <w:proofErr w:type="gramEnd"/>
      <w:r w:rsidR="00422180">
        <w:t xml:space="preserve"> private roads,</w:t>
      </w:r>
      <w:r w:rsidR="000518C0">
        <w:t xml:space="preserve"> it is </w:t>
      </w:r>
      <w:r w:rsidR="003C6E1B">
        <w:t xml:space="preserve">argued </w:t>
      </w:r>
      <w:r w:rsidR="000518C0">
        <w:t>that</w:t>
      </w:r>
      <w:r w:rsidR="00492920">
        <w:t xml:space="preserve"> the presence of this post indicates that the claimed route was a public highway </w:t>
      </w:r>
      <w:r w:rsidR="0021184D">
        <w:t xml:space="preserve">which </w:t>
      </w:r>
      <w:r w:rsidR="00265481">
        <w:t>led</w:t>
      </w:r>
      <w:r w:rsidR="006851F8">
        <w:t xml:space="preserve"> to </w:t>
      </w:r>
      <w:r w:rsidR="00131256">
        <w:t>a more significant public destination</w:t>
      </w:r>
      <w:r w:rsidR="006E58DA">
        <w:t xml:space="preserve"> than Shingle Hall</w:t>
      </w:r>
      <w:r w:rsidR="00D60268">
        <w:t>, the current termination of the public road</w:t>
      </w:r>
      <w:r w:rsidR="00A20A48">
        <w:t>.</w:t>
      </w:r>
      <w:r w:rsidR="00DB6E91">
        <w:t xml:space="preserve"> </w:t>
      </w:r>
      <w:r w:rsidR="00D14C67">
        <w:t>It is</w:t>
      </w:r>
      <w:r w:rsidR="00B970C8">
        <w:t xml:space="preserve"> </w:t>
      </w:r>
      <w:r w:rsidR="00D14C67">
        <w:t>suggested that th</w:t>
      </w:r>
      <w:r w:rsidR="00DA510B">
        <w:t>e likely destination might have been Harlow</w:t>
      </w:r>
      <w:r w:rsidR="00B970C8">
        <w:t xml:space="preserve">. </w:t>
      </w:r>
      <w:r w:rsidR="00676BD9">
        <w:t>On behalf of the County Council</w:t>
      </w:r>
      <w:r w:rsidR="002839D5">
        <w:t>,</w:t>
      </w:r>
      <w:r w:rsidR="00676BD9">
        <w:t xml:space="preserve"> it is </w:t>
      </w:r>
      <w:r w:rsidR="00971C27">
        <w:t>argued that the 1835 Act</w:t>
      </w:r>
      <w:r w:rsidR="009D037E">
        <w:t xml:space="preserve"> did not preclude the erection of </w:t>
      </w:r>
      <w:proofErr w:type="gramStart"/>
      <w:r w:rsidR="009D037E">
        <w:t>Guide Posts</w:t>
      </w:r>
      <w:proofErr w:type="gramEnd"/>
      <w:r w:rsidR="009D037E">
        <w:t xml:space="preserve"> at other locations </w:t>
      </w:r>
      <w:r w:rsidR="00366A76">
        <w:t>nor posts indicating destinations other than</w:t>
      </w:r>
      <w:r w:rsidR="00047993">
        <w:t xml:space="preserve"> market towns.</w:t>
      </w:r>
    </w:p>
    <w:p w14:paraId="368724D0" w14:textId="1BBF17E0" w:rsidR="000352CB" w:rsidRDefault="006615C5" w:rsidP="004902E2">
      <w:pPr>
        <w:pStyle w:val="Style1"/>
        <w:tabs>
          <w:tab w:val="clear" w:pos="6107"/>
          <w:tab w:val="num" w:pos="720"/>
        </w:tabs>
        <w:ind w:left="432"/>
      </w:pPr>
      <w:r>
        <w:t xml:space="preserve">OS maps are </w:t>
      </w:r>
      <w:r w:rsidR="006B1B06">
        <w:t>regarded as good evidence of the existence of physical features on the g</w:t>
      </w:r>
      <w:r w:rsidR="00F468EF">
        <w:t>r</w:t>
      </w:r>
      <w:r w:rsidR="006B1B06">
        <w:t>ound at the time they were surveyed</w:t>
      </w:r>
      <w:r w:rsidR="00F468EF">
        <w:t xml:space="preserve"> but not </w:t>
      </w:r>
      <w:r w:rsidR="009503D3">
        <w:t>of the status of routes shown and several will have included a disclaimer</w:t>
      </w:r>
      <w:r w:rsidR="009D4D07">
        <w:t xml:space="preserve"> specifically stating that routes shown were not necessarily</w:t>
      </w:r>
      <w:r w:rsidR="007531A9">
        <w:t xml:space="preserve"> public rights of way. </w:t>
      </w:r>
      <w:r w:rsidR="00841DB3">
        <w:t>However, t</w:t>
      </w:r>
      <w:r w:rsidR="00991F02">
        <w:t>h</w:t>
      </w:r>
      <w:r w:rsidR="00841DB3">
        <w:t>ese</w:t>
      </w:r>
      <w:r w:rsidR="00991F02">
        <w:t xml:space="preserve"> maps </w:t>
      </w:r>
      <w:r w:rsidR="00991F02">
        <w:lastRenderedPageBreak/>
        <w:t>indicate the continued existence of the claimed route</w:t>
      </w:r>
      <w:r w:rsidR="006726B8">
        <w:t xml:space="preserve"> and the </w:t>
      </w:r>
      <w:r w:rsidR="00464344">
        <w:t xml:space="preserve">showing of the </w:t>
      </w:r>
      <w:proofErr w:type="gramStart"/>
      <w:r w:rsidR="00464344">
        <w:t>Guide Post</w:t>
      </w:r>
      <w:proofErr w:type="gramEnd"/>
      <w:r w:rsidR="001744AD">
        <w:t xml:space="preserve"> is suggestive of the possibility that the route was a public highway</w:t>
      </w:r>
      <w:r w:rsidR="0012781E">
        <w:t xml:space="preserve"> even though it is not known</w:t>
      </w:r>
      <w:r w:rsidR="005D1B51">
        <w:t xml:space="preserve"> what, if any, inscription </w:t>
      </w:r>
      <w:r w:rsidR="00076768">
        <w:t xml:space="preserve">was </w:t>
      </w:r>
      <w:r w:rsidR="005D1B51">
        <w:t>on the post.</w:t>
      </w:r>
    </w:p>
    <w:p w14:paraId="26F70CF3" w14:textId="44D78707" w:rsidR="004B4AF7" w:rsidRDefault="004C60B5" w:rsidP="004B4AF7">
      <w:pPr>
        <w:pStyle w:val="Style1"/>
        <w:numPr>
          <w:ilvl w:val="0"/>
          <w:numId w:val="0"/>
        </w:numPr>
        <w:rPr>
          <w:i/>
          <w:iCs/>
        </w:rPr>
      </w:pPr>
      <w:r>
        <w:rPr>
          <w:i/>
          <w:iCs/>
        </w:rPr>
        <w:t xml:space="preserve">Tithe </w:t>
      </w:r>
      <w:r w:rsidR="0067193D">
        <w:rPr>
          <w:i/>
          <w:iCs/>
        </w:rPr>
        <w:t>Map and Award</w:t>
      </w:r>
    </w:p>
    <w:p w14:paraId="4D6BBB8C" w14:textId="0EB0E6A5" w:rsidR="000C24E4" w:rsidRDefault="000C24E4" w:rsidP="00C975E8">
      <w:pPr>
        <w:pStyle w:val="Style1"/>
        <w:tabs>
          <w:tab w:val="clear" w:pos="6107"/>
          <w:tab w:val="num" w:pos="720"/>
        </w:tabs>
        <w:ind w:left="432"/>
      </w:pPr>
      <w:r>
        <w:t xml:space="preserve">Under the Tithe </w:t>
      </w:r>
      <w:r w:rsidR="00326BE5">
        <w:t xml:space="preserve">Commutation Act 1836, tithes were converted to a fixed money rent. In most areas this required detailed surveys to be carried out </w:t>
      </w:r>
      <w:proofErr w:type="gramStart"/>
      <w:r w:rsidR="00326BE5">
        <w:t>in order to</w:t>
      </w:r>
      <w:proofErr w:type="gramEnd"/>
      <w:r w:rsidR="00326BE5">
        <w:t xml:space="preserve"> apportion the amount of tithe payable among the landowners of a parish. Tithe documents that were prepared had the sole purpose of identifying </w:t>
      </w:r>
      <w:proofErr w:type="spellStart"/>
      <w:r w:rsidR="00326BE5">
        <w:t>titheable</w:t>
      </w:r>
      <w:proofErr w:type="spellEnd"/>
      <w:r w:rsidR="00326BE5">
        <w:t xml:space="preserve"> or productive land. They are statutory documents which were in the public domain </w:t>
      </w:r>
      <w:r w:rsidR="008A7B41">
        <w:t xml:space="preserve">and, although </w:t>
      </w:r>
      <w:r w:rsidR="00326BE5">
        <w:t>not produced to record public rights of way, they can sometimes be helpful in determining the existence and status of routes.</w:t>
      </w:r>
    </w:p>
    <w:p w14:paraId="1B63EBEA" w14:textId="1467359F" w:rsidR="0067193D" w:rsidRDefault="0067193D" w:rsidP="00C975E8">
      <w:pPr>
        <w:pStyle w:val="Style1"/>
        <w:tabs>
          <w:tab w:val="clear" w:pos="6107"/>
          <w:tab w:val="num" w:pos="720"/>
        </w:tabs>
        <w:ind w:left="432"/>
      </w:pPr>
      <w:r>
        <w:t xml:space="preserve">The Epping Tithe Map </w:t>
      </w:r>
      <w:r w:rsidR="000C24E4">
        <w:t>(1839</w:t>
      </w:r>
      <w:r w:rsidR="00C975E8">
        <w:t>)</w:t>
      </w:r>
      <w:r w:rsidR="00303E8B">
        <w:t xml:space="preserve"> shows the claimed route in the same manner as other public roads</w:t>
      </w:r>
      <w:r w:rsidR="00D72FD3">
        <w:t xml:space="preserve">. </w:t>
      </w:r>
      <w:r w:rsidR="009906C8">
        <w:t>Opposite Shingle Hall</w:t>
      </w:r>
      <w:r w:rsidR="001762F6">
        <w:t xml:space="preserve">, apportionment number 517 is </w:t>
      </w:r>
      <w:proofErr w:type="gramStart"/>
      <w:r w:rsidR="001762F6">
        <w:t>recorded</w:t>
      </w:r>
      <w:proofErr w:type="gramEnd"/>
      <w:r w:rsidR="008759E0">
        <w:t xml:space="preserve"> </w:t>
      </w:r>
      <w:r w:rsidR="001762F6">
        <w:t xml:space="preserve">and the </w:t>
      </w:r>
      <w:r w:rsidR="008759E0">
        <w:t>award describes this as a road used for pasture</w:t>
      </w:r>
      <w:r w:rsidR="00C00338">
        <w:t>. North of the hall a line is shown across the route</w:t>
      </w:r>
      <w:r w:rsidR="00532555">
        <w:t>,</w:t>
      </w:r>
      <w:r w:rsidR="00C00338">
        <w:t xml:space="preserve"> possibly indicating a gate</w:t>
      </w:r>
      <w:r w:rsidR="00532555">
        <w:t xml:space="preserve">, </w:t>
      </w:r>
      <w:r w:rsidR="00D44EF3">
        <w:t>and</w:t>
      </w:r>
      <w:r w:rsidR="00532555">
        <w:t xml:space="preserve"> further north apportionment 516 is recorded</w:t>
      </w:r>
      <w:r w:rsidR="00CB1414">
        <w:t>, also described as road (pasture).</w:t>
      </w:r>
      <w:r w:rsidR="004D29B8">
        <w:t xml:space="preserve"> The award also indicates that apporti</w:t>
      </w:r>
      <w:r w:rsidR="002D6364">
        <w:t>o</w:t>
      </w:r>
      <w:r w:rsidR="004D29B8">
        <w:t>nments 516 and 517 were in private ownership</w:t>
      </w:r>
      <w:r w:rsidR="00343173">
        <w:t>, possibly suggesting that the ro</w:t>
      </w:r>
      <w:r w:rsidR="00A868FA">
        <w:t>ad may have been private</w:t>
      </w:r>
      <w:r w:rsidR="002E1F7A">
        <w:t xml:space="preserve"> although not precluding the </w:t>
      </w:r>
      <w:r w:rsidR="00844F85">
        <w:t>possibility of public rights over it.</w:t>
      </w:r>
    </w:p>
    <w:p w14:paraId="409EF8FD" w14:textId="5E1FE242" w:rsidR="00A868FA" w:rsidRDefault="00E225E2" w:rsidP="00A868FA">
      <w:pPr>
        <w:pStyle w:val="Style1"/>
        <w:numPr>
          <w:ilvl w:val="0"/>
          <w:numId w:val="0"/>
        </w:numPr>
        <w:rPr>
          <w:i/>
          <w:iCs/>
        </w:rPr>
      </w:pPr>
      <w:r>
        <w:rPr>
          <w:i/>
          <w:iCs/>
        </w:rPr>
        <w:t>The Finance Act 1910</w:t>
      </w:r>
    </w:p>
    <w:p w14:paraId="0837DDD0" w14:textId="0D142C78" w:rsidR="00E225E2" w:rsidRDefault="006969B7" w:rsidP="006969B7">
      <w:pPr>
        <w:pStyle w:val="Style1"/>
        <w:tabs>
          <w:tab w:val="clear" w:pos="6107"/>
          <w:tab w:val="num" w:pos="720"/>
        </w:tabs>
        <w:ind w:left="432"/>
      </w:pPr>
      <w:r>
        <w:t xml:space="preserve">This act imposed a tax on the incremental value of land which was payable each time it changed hands. </w:t>
      </w:r>
      <w:proofErr w:type="gramStart"/>
      <w:r>
        <w:t>In order to</w:t>
      </w:r>
      <w:proofErr w:type="gramEnd"/>
      <w:r>
        <w:t xml:space="preserve"> levy the tax a comprehensive survey of all land in the </w:t>
      </w:r>
      <w:smartTag w:uri="urn:schemas-microsoft-com:office:smarttags" w:element="country-region">
        <w:smartTag w:uri="urn:schemas-microsoft-com:office:smarttags" w:element="place">
          <w:r>
            <w:t>UK</w:t>
          </w:r>
        </w:smartTag>
      </w:smartTag>
      <w:r>
        <w:t xml:space="preserve"> was undertaken between 1910 and 1920. This survey was carried out by the Board of Inland Revenue under statutory </w:t>
      </w:r>
      <w:proofErr w:type="gramStart"/>
      <w:r>
        <w:t>powers</w:t>
      </w:r>
      <w:proofErr w:type="gramEnd"/>
      <w:r>
        <w:t xml:space="preserve"> and it was a criminal offence for any false statement to be made for the purpose of reducing liability. The existence of public rights of way over land had the effect of reducing the value of the land and hence liability for the tax; they were therefore recorded in the survey.</w:t>
      </w:r>
    </w:p>
    <w:p w14:paraId="59FAAAB2" w14:textId="7077092F" w:rsidR="006969B7" w:rsidRDefault="00336446" w:rsidP="006969B7">
      <w:pPr>
        <w:pStyle w:val="Style1"/>
        <w:tabs>
          <w:tab w:val="clear" w:pos="6107"/>
          <w:tab w:val="num" w:pos="720"/>
        </w:tabs>
        <w:ind w:left="432"/>
      </w:pPr>
      <w:r>
        <w:t xml:space="preserve">Working copies of the records held </w:t>
      </w:r>
      <w:r w:rsidR="00602FD3">
        <w:t xml:space="preserve">in the Essex Record Office </w:t>
      </w:r>
      <w:r w:rsidR="00D41358">
        <w:t xml:space="preserve">have been submitted. It was not possible to view original copies held </w:t>
      </w:r>
      <w:r w:rsidR="00BD7690">
        <w:t xml:space="preserve">as the </w:t>
      </w:r>
      <w:r w:rsidR="001A5CC5">
        <w:t>N</w:t>
      </w:r>
      <w:r w:rsidR="00BD7690">
        <w:t xml:space="preserve">ational </w:t>
      </w:r>
      <w:r w:rsidR="001A5CC5">
        <w:t xml:space="preserve">Archive </w:t>
      </w:r>
      <w:r w:rsidR="00BD7690">
        <w:t>was closed</w:t>
      </w:r>
      <w:r w:rsidR="00151339">
        <w:t xml:space="preserve"> although</w:t>
      </w:r>
      <w:r w:rsidR="00394339">
        <w:t xml:space="preserve"> they have been seen </w:t>
      </w:r>
      <w:r w:rsidR="007F783D">
        <w:t>since</w:t>
      </w:r>
      <w:r w:rsidR="00394339">
        <w:t xml:space="preserve"> the app</w:t>
      </w:r>
      <w:r w:rsidR="007F783D">
        <w:t>lication was made</w:t>
      </w:r>
      <w:r w:rsidR="00251C62">
        <w:t xml:space="preserve">. On the available records </w:t>
      </w:r>
      <w:r w:rsidR="008F0A56">
        <w:t xml:space="preserve">most of </w:t>
      </w:r>
      <w:r w:rsidR="00251C62">
        <w:t xml:space="preserve">the claimed route </w:t>
      </w:r>
      <w:r w:rsidR="008F0A56">
        <w:t xml:space="preserve">appears uncoloured and excluded from adjoining hereditaments </w:t>
      </w:r>
      <w:r w:rsidR="00E90CD8">
        <w:t xml:space="preserve">in the same way as public roads would be </w:t>
      </w:r>
      <w:r w:rsidR="007A0AC7">
        <w:t xml:space="preserve">shown. However, the northernmost part of the route appears to be shaded and included within hereditament </w:t>
      </w:r>
      <w:r w:rsidR="0045220F">
        <w:t>1702. Also, the working copy of the map has a pencilled notation added</w:t>
      </w:r>
      <w:r w:rsidR="00A91375">
        <w:t xml:space="preserve"> on the route north of Shingle Hall stating </w:t>
      </w:r>
      <w:r w:rsidR="00A60A3A">
        <w:t xml:space="preserve">that ‘lane to be included in 1702’. </w:t>
      </w:r>
      <w:r w:rsidR="0085464F">
        <w:t xml:space="preserve">The </w:t>
      </w:r>
      <w:r w:rsidR="008201AD">
        <w:t xml:space="preserve">basis for this annotation is not known and it is not clear what length of the lane </w:t>
      </w:r>
      <w:r w:rsidR="003767EE">
        <w:t xml:space="preserve">should be included or why. </w:t>
      </w:r>
      <w:r w:rsidR="005B7F8A">
        <w:t xml:space="preserve">The entry in the Valuation Book for hereditament 1702 describes it as </w:t>
      </w:r>
      <w:proofErr w:type="spellStart"/>
      <w:r w:rsidR="004A3F15">
        <w:t>Takeleys</w:t>
      </w:r>
      <w:proofErr w:type="spellEnd"/>
      <w:r w:rsidR="004A3F15">
        <w:t xml:space="preserve"> Farm and a deduction of £275 is recorded </w:t>
      </w:r>
      <w:r w:rsidR="008F2B07">
        <w:t>for public rights of way but with no details of the location or type of rights of way referred to.</w:t>
      </w:r>
    </w:p>
    <w:p w14:paraId="1C74882F" w14:textId="2B378288" w:rsidR="009C0834" w:rsidRDefault="001A5CC5" w:rsidP="006969B7">
      <w:pPr>
        <w:pStyle w:val="Style1"/>
        <w:tabs>
          <w:tab w:val="clear" w:pos="6107"/>
          <w:tab w:val="num" w:pos="720"/>
        </w:tabs>
        <w:ind w:left="432"/>
      </w:pPr>
      <w:r>
        <w:t xml:space="preserve">On copies of the records held in the National Archive, shading </w:t>
      </w:r>
      <w:r w:rsidR="0011545F">
        <w:t>of the route is unclear</w:t>
      </w:r>
      <w:r w:rsidR="008C2BE9">
        <w:t>.</w:t>
      </w:r>
    </w:p>
    <w:p w14:paraId="0B975AB9" w14:textId="0C6A30FD" w:rsidR="008C2BE9" w:rsidRDefault="009E5B8F" w:rsidP="006969B7">
      <w:pPr>
        <w:pStyle w:val="Style1"/>
        <w:tabs>
          <w:tab w:val="clear" w:pos="6107"/>
          <w:tab w:val="num" w:pos="720"/>
        </w:tabs>
        <w:ind w:left="432"/>
      </w:pPr>
      <w:r>
        <w:t>Overall,</w:t>
      </w:r>
      <w:r w:rsidR="001C7F3F">
        <w:t xml:space="preserve"> t</w:t>
      </w:r>
      <w:r w:rsidR="008C2BE9">
        <w:t>he available Finance Act records are somewhat confusing</w:t>
      </w:r>
      <w:r w:rsidR="00E928E6">
        <w:t xml:space="preserve"> but suggest that part of the claimed route at least may have been regarded as a public road</w:t>
      </w:r>
      <w:r w:rsidR="00110F9F">
        <w:t>.</w:t>
      </w:r>
    </w:p>
    <w:p w14:paraId="242D0DBE" w14:textId="77777777" w:rsidR="00844F85" w:rsidRDefault="00844F85" w:rsidP="0097702A">
      <w:pPr>
        <w:pStyle w:val="Style1"/>
        <w:numPr>
          <w:ilvl w:val="0"/>
          <w:numId w:val="0"/>
        </w:numPr>
        <w:rPr>
          <w:i/>
          <w:iCs/>
        </w:rPr>
      </w:pPr>
    </w:p>
    <w:p w14:paraId="672FA897" w14:textId="5680BF05" w:rsidR="00312C4E" w:rsidRDefault="0097702A" w:rsidP="0097702A">
      <w:pPr>
        <w:pStyle w:val="Style1"/>
        <w:numPr>
          <w:ilvl w:val="0"/>
          <w:numId w:val="0"/>
        </w:numPr>
        <w:rPr>
          <w:i/>
          <w:iCs/>
        </w:rPr>
      </w:pPr>
      <w:r>
        <w:rPr>
          <w:i/>
          <w:iCs/>
        </w:rPr>
        <w:lastRenderedPageBreak/>
        <w:t>The Definitive Map</w:t>
      </w:r>
    </w:p>
    <w:p w14:paraId="6CF5A3B4" w14:textId="144B3338" w:rsidR="0097702A" w:rsidRDefault="001A7D3D" w:rsidP="00F05319">
      <w:pPr>
        <w:pStyle w:val="Style1"/>
        <w:tabs>
          <w:tab w:val="clear" w:pos="6107"/>
          <w:tab w:val="num" w:pos="720"/>
        </w:tabs>
        <w:ind w:left="432"/>
      </w:pPr>
      <w:r>
        <w:t>In 1951/52</w:t>
      </w:r>
      <w:r w:rsidR="00F05319">
        <w:t xml:space="preserve"> parish surveys were carried out to form the basis of the first definitive map.</w:t>
      </w:r>
      <w:r w:rsidR="00F02B7A">
        <w:t xml:space="preserve"> In the survey for Epping Upland</w:t>
      </w:r>
      <w:r w:rsidR="0014122B">
        <w:t>, the claimed route is not shown as a public right of way of any sort</w:t>
      </w:r>
      <w:r w:rsidR="00A92E41">
        <w:t xml:space="preserve">, </w:t>
      </w:r>
      <w:r w:rsidR="0014122B">
        <w:t>although it appears on the base map used</w:t>
      </w:r>
      <w:r w:rsidR="00A92E41">
        <w:t xml:space="preserve">. What is now Footpath 21 is shown running </w:t>
      </w:r>
      <w:r w:rsidR="00D117D2">
        <w:t xml:space="preserve">adjacent and </w:t>
      </w:r>
      <w:r w:rsidR="00A92E41">
        <w:t xml:space="preserve">parallel to the route </w:t>
      </w:r>
      <w:r w:rsidR="00D117D2">
        <w:t>for part of its length.</w:t>
      </w:r>
      <w:r w:rsidR="003E70E0">
        <w:t xml:space="preserve"> This might indicate that the route was not thought to be a public highway of any sort or, alternatively, that it was a pu</w:t>
      </w:r>
      <w:r w:rsidR="009134DE">
        <w:t>blic road and therefore not appropriately recorded on the defin</w:t>
      </w:r>
      <w:r w:rsidR="00F57768">
        <w:t>itive map.</w:t>
      </w:r>
    </w:p>
    <w:p w14:paraId="23F89A53" w14:textId="3FA4B150" w:rsidR="00F57768" w:rsidRDefault="007E3688" w:rsidP="00F05319">
      <w:pPr>
        <w:pStyle w:val="Style1"/>
        <w:tabs>
          <w:tab w:val="clear" w:pos="6107"/>
          <w:tab w:val="num" w:pos="720"/>
        </w:tabs>
        <w:ind w:left="432"/>
      </w:pPr>
      <w:r>
        <w:t xml:space="preserve">The Draft and Provisional maps subsequently published </w:t>
      </w:r>
      <w:r w:rsidR="00392A7C">
        <w:t>attracted no objection to the omission of the claimed route and the first definitive map did not include it</w:t>
      </w:r>
      <w:r w:rsidR="00676661">
        <w:t xml:space="preserve"> nor has it been included in subsequent versions</w:t>
      </w:r>
      <w:r w:rsidR="00EC5ECF">
        <w:t>.</w:t>
      </w:r>
      <w:r w:rsidR="00BF006F">
        <w:t xml:space="preserve"> Footpath 21 continued to be shown running adjacent to the </w:t>
      </w:r>
      <w:r w:rsidR="005B2DDC">
        <w:t>route.</w:t>
      </w:r>
    </w:p>
    <w:p w14:paraId="17C5EECC" w14:textId="0F5BE80A" w:rsidR="00EC5ECF" w:rsidRDefault="001C6E08" w:rsidP="001C6E08">
      <w:pPr>
        <w:pStyle w:val="Style1"/>
        <w:numPr>
          <w:ilvl w:val="0"/>
          <w:numId w:val="0"/>
        </w:numPr>
        <w:rPr>
          <w:i/>
          <w:iCs/>
        </w:rPr>
      </w:pPr>
      <w:r>
        <w:rPr>
          <w:i/>
          <w:iCs/>
        </w:rPr>
        <w:t xml:space="preserve">Highway </w:t>
      </w:r>
      <w:r w:rsidR="00E77D9E">
        <w:rPr>
          <w:i/>
          <w:iCs/>
        </w:rPr>
        <w:t>R</w:t>
      </w:r>
      <w:r>
        <w:rPr>
          <w:i/>
          <w:iCs/>
        </w:rPr>
        <w:t>ecords</w:t>
      </w:r>
    </w:p>
    <w:p w14:paraId="53E1890B" w14:textId="7616C60B" w:rsidR="00AD0DFB" w:rsidRDefault="00B30141" w:rsidP="009E3D8A">
      <w:pPr>
        <w:pStyle w:val="Style1"/>
        <w:tabs>
          <w:tab w:val="clear" w:pos="6107"/>
          <w:tab w:val="num" w:pos="720"/>
        </w:tabs>
        <w:ind w:left="432"/>
      </w:pPr>
      <w:r>
        <w:t xml:space="preserve">A County </w:t>
      </w:r>
      <w:r w:rsidR="00A0013A">
        <w:t xml:space="preserve">Road Map of 1906 shows the claimed route as an </w:t>
      </w:r>
      <w:r w:rsidR="00BC4187">
        <w:t>‘other road’ which would not have been publicly maintainable by the County Council</w:t>
      </w:r>
      <w:r w:rsidR="009E3D8A">
        <w:t xml:space="preserve">, which was only responsible for major routes at that time. </w:t>
      </w:r>
      <w:r w:rsidR="009D4A9E">
        <w:t>A subsequent map (1930</w:t>
      </w:r>
      <w:r w:rsidR="00546E31">
        <w:t>) is somew</w:t>
      </w:r>
      <w:r w:rsidR="004F66A3">
        <w:t>hat unclear but does not appear to include the route as a publicly maintainable highway</w:t>
      </w:r>
      <w:r w:rsidR="00A43D4E">
        <w:t>.</w:t>
      </w:r>
    </w:p>
    <w:p w14:paraId="62B89326" w14:textId="54D34977" w:rsidR="00A43D4E" w:rsidRPr="00AD0DFB" w:rsidRDefault="00A43D4E" w:rsidP="009E3D8A">
      <w:pPr>
        <w:pStyle w:val="Style1"/>
        <w:tabs>
          <w:tab w:val="clear" w:pos="6107"/>
          <w:tab w:val="num" w:pos="720"/>
        </w:tabs>
        <w:ind w:left="432"/>
      </w:pPr>
      <w:r>
        <w:t>Current highway records include Shingle Hall Road as a</w:t>
      </w:r>
      <w:r w:rsidR="00B9063A">
        <w:t xml:space="preserve"> public highway terminating at </w:t>
      </w:r>
      <w:r w:rsidR="00AA3653">
        <w:t xml:space="preserve">the site of the former </w:t>
      </w:r>
      <w:r w:rsidR="00B9063A">
        <w:t>Shingle Hall.</w:t>
      </w:r>
      <w:r w:rsidR="00C9006C">
        <w:t xml:space="preserve"> The records do not prov</w:t>
      </w:r>
      <w:r w:rsidR="00356140">
        <w:t xml:space="preserve">ide any evidence as to </w:t>
      </w:r>
      <w:r w:rsidR="00AA3653">
        <w:t>why</w:t>
      </w:r>
      <w:r w:rsidR="003B7CD9">
        <w:t xml:space="preserve"> this was considered an appropriate terminus.</w:t>
      </w:r>
    </w:p>
    <w:p w14:paraId="028DC137" w14:textId="7E672B16" w:rsidR="00E77D9E" w:rsidRDefault="00840991" w:rsidP="001C6E08">
      <w:pPr>
        <w:pStyle w:val="Style1"/>
        <w:numPr>
          <w:ilvl w:val="0"/>
          <w:numId w:val="0"/>
        </w:numPr>
        <w:rPr>
          <w:i/>
          <w:iCs/>
        </w:rPr>
      </w:pPr>
      <w:r>
        <w:rPr>
          <w:i/>
          <w:iCs/>
        </w:rPr>
        <w:t>Other Documents</w:t>
      </w:r>
    </w:p>
    <w:p w14:paraId="56ECEF9D" w14:textId="6D731E86" w:rsidR="00F54A59" w:rsidRPr="00F54A59" w:rsidRDefault="00713ED7" w:rsidP="00E41063">
      <w:pPr>
        <w:pStyle w:val="Style1"/>
        <w:tabs>
          <w:tab w:val="clear" w:pos="6107"/>
          <w:tab w:val="num" w:pos="720"/>
        </w:tabs>
        <w:ind w:left="432"/>
      </w:pPr>
      <w:r>
        <w:t>A document titled Survey of the Parish of Epping 1751</w:t>
      </w:r>
      <w:r w:rsidR="00E41063">
        <w:t xml:space="preserve"> shows </w:t>
      </w:r>
      <w:r w:rsidR="00B15672">
        <w:t>Shingle Hall Road and</w:t>
      </w:r>
      <w:r w:rsidR="00B75FC8">
        <w:t xml:space="preserve"> </w:t>
      </w:r>
      <w:r w:rsidR="00E41063">
        <w:t>the whole of the claimed route</w:t>
      </w:r>
      <w:r w:rsidR="00B75FC8">
        <w:t xml:space="preserve"> coloured brown in the same manner as other public roads</w:t>
      </w:r>
      <w:r w:rsidR="00F16E0C">
        <w:t xml:space="preserve">. </w:t>
      </w:r>
      <w:r w:rsidR="0039220C">
        <w:t>However, it is pointed out by the County Council that</w:t>
      </w:r>
      <w:r w:rsidR="00E46E1B">
        <w:t xml:space="preserve"> the </w:t>
      </w:r>
      <w:r w:rsidR="005B2DDC">
        <w:t xml:space="preserve">colouring on this </w:t>
      </w:r>
      <w:r w:rsidR="00E46E1B">
        <w:t xml:space="preserve">document is not entirely consistent with the </w:t>
      </w:r>
      <w:r w:rsidR="005F5027">
        <w:t>current public road network.</w:t>
      </w:r>
    </w:p>
    <w:p w14:paraId="3A2B6E63" w14:textId="2637C606" w:rsidR="00D27A6D" w:rsidRDefault="00713ED7" w:rsidP="00A11621">
      <w:pPr>
        <w:pStyle w:val="Style1"/>
        <w:tabs>
          <w:tab w:val="clear" w:pos="6107"/>
          <w:tab w:val="num" w:pos="720"/>
        </w:tabs>
        <w:ind w:left="432"/>
      </w:pPr>
      <w:r>
        <w:t>A plan of Copped Hall Estate 1868</w:t>
      </w:r>
      <w:r w:rsidR="00A11621">
        <w:t xml:space="preserve"> </w:t>
      </w:r>
      <w:r w:rsidR="00132358">
        <w:t>sh</w:t>
      </w:r>
      <w:r w:rsidR="00C60B9C">
        <w:t xml:space="preserve">ows the claimed route in the same manner as other public roads. The route was not part of the </w:t>
      </w:r>
      <w:r w:rsidR="00DD4638">
        <w:t>estate and the applicant suggests that its inclusion</w:t>
      </w:r>
      <w:r w:rsidR="00767EE0">
        <w:t xml:space="preserve"> is therefore indicative of it having been considered a public road</w:t>
      </w:r>
      <w:r w:rsidR="00093D68">
        <w:t xml:space="preserve">. On behalf of the County </w:t>
      </w:r>
      <w:r>
        <w:t>Council,</w:t>
      </w:r>
      <w:r w:rsidR="00093D68">
        <w:t xml:space="preserve"> it is argued that </w:t>
      </w:r>
      <w:r w:rsidR="003F292F">
        <w:t>the depiction of the route simply indicated its existence.</w:t>
      </w:r>
      <w:r w:rsidR="00F51E60">
        <w:t xml:space="preserve"> Similar </w:t>
      </w:r>
      <w:r w:rsidR="000C296B">
        <w:t>arguments were put forward with regard to the inclusion of the route on a sale plan</w:t>
      </w:r>
      <w:r w:rsidR="0084129B">
        <w:t xml:space="preserve"> for the estate in 1869.</w:t>
      </w:r>
    </w:p>
    <w:p w14:paraId="095AD902" w14:textId="3E590C05" w:rsidR="00747839" w:rsidRDefault="003955C2" w:rsidP="00A11621">
      <w:pPr>
        <w:pStyle w:val="Style1"/>
        <w:tabs>
          <w:tab w:val="clear" w:pos="6107"/>
          <w:tab w:val="num" w:pos="720"/>
        </w:tabs>
        <w:ind w:left="432"/>
      </w:pPr>
      <w:r>
        <w:t xml:space="preserve">In a Sales Catalogue relating to </w:t>
      </w:r>
      <w:proofErr w:type="spellStart"/>
      <w:r w:rsidR="007D457E">
        <w:t>Takeleys</w:t>
      </w:r>
      <w:proofErr w:type="spellEnd"/>
      <w:r w:rsidR="007D457E">
        <w:t xml:space="preserve"> and Shingle Hall Farms (1900), </w:t>
      </w:r>
      <w:r w:rsidR="00576752">
        <w:t>part of Shingle Hall Road is shown coloured sepia as a public road</w:t>
      </w:r>
      <w:r w:rsidR="004F0F6E">
        <w:t xml:space="preserve"> although not the whole length that is recorded in current highway records</w:t>
      </w:r>
      <w:r w:rsidR="000F507F">
        <w:t xml:space="preserve">. The remainder of the road and the claimed route </w:t>
      </w:r>
      <w:r w:rsidR="00850EEB">
        <w:t>appear to be included in the sale suggesting that they were regarded as private</w:t>
      </w:r>
      <w:r w:rsidR="00DA3473">
        <w:t xml:space="preserve">. </w:t>
      </w:r>
      <w:r w:rsidR="00133B19">
        <w:t xml:space="preserve">It is difficult to </w:t>
      </w:r>
      <w:r w:rsidR="00450F25">
        <w:t xml:space="preserve">see why a public road should terminate at the point shown in this </w:t>
      </w:r>
      <w:r w:rsidR="00713ED7">
        <w:t>document,</w:t>
      </w:r>
      <w:r w:rsidR="000D3816">
        <w:t xml:space="preserve"> but it may reflect </w:t>
      </w:r>
      <w:r w:rsidR="00194F59">
        <w:t xml:space="preserve">in some way </w:t>
      </w:r>
      <w:r w:rsidR="000D3816">
        <w:t>the fact that Shingle Hall itself is said to have been demolished in 1899</w:t>
      </w:r>
      <w:r w:rsidR="00747839">
        <w:t>.</w:t>
      </w:r>
    </w:p>
    <w:p w14:paraId="20F2CEA8" w14:textId="7EB875BD" w:rsidR="003F292F" w:rsidRDefault="00BA254E" w:rsidP="00A11621">
      <w:pPr>
        <w:pStyle w:val="Style1"/>
        <w:tabs>
          <w:tab w:val="clear" w:pos="6107"/>
          <w:tab w:val="num" w:pos="720"/>
        </w:tabs>
        <w:ind w:left="432"/>
      </w:pPr>
      <w:r>
        <w:t xml:space="preserve"> </w:t>
      </w:r>
      <w:r w:rsidR="00C15760">
        <w:t xml:space="preserve">An extract from </w:t>
      </w:r>
      <w:r w:rsidR="00261173">
        <w:t>British History Online : Epping includes a reference to Shingle Hall</w:t>
      </w:r>
      <w:r w:rsidR="00962DDC">
        <w:t xml:space="preserve"> stating that </w:t>
      </w:r>
      <w:r w:rsidR="00962DDC">
        <w:rPr>
          <w:i/>
          <w:iCs/>
        </w:rPr>
        <w:t xml:space="preserve">“The </w:t>
      </w:r>
      <w:r w:rsidR="003569B7">
        <w:rPr>
          <w:i/>
          <w:iCs/>
        </w:rPr>
        <w:t>manor house which lay on the lane from Pinch Timber Farm to Severs Green</w:t>
      </w:r>
      <w:r w:rsidR="00E36265">
        <w:rPr>
          <w:i/>
          <w:iCs/>
        </w:rPr>
        <w:t xml:space="preserve"> was demolished in 1899…”</w:t>
      </w:r>
      <w:r w:rsidR="00E36265">
        <w:t xml:space="preserve">. </w:t>
      </w:r>
      <w:r w:rsidR="006E37F8">
        <w:t xml:space="preserve">This would appear to be a reference to the </w:t>
      </w:r>
      <w:r w:rsidR="00481412">
        <w:t>claimed route along with Shingle Hall Road</w:t>
      </w:r>
      <w:r w:rsidR="00853964">
        <w:t xml:space="preserve"> forming a single continuous route</w:t>
      </w:r>
      <w:r w:rsidR="00C10B5F">
        <w:t>.</w:t>
      </w:r>
    </w:p>
    <w:p w14:paraId="0B26389D" w14:textId="175DFDF1" w:rsidR="00692583" w:rsidRPr="00D27A6D" w:rsidRDefault="00846737" w:rsidP="00A11621">
      <w:pPr>
        <w:pStyle w:val="Style1"/>
        <w:tabs>
          <w:tab w:val="clear" w:pos="6107"/>
          <w:tab w:val="num" w:pos="720"/>
        </w:tabs>
        <w:ind w:left="432"/>
      </w:pPr>
      <w:r>
        <w:lastRenderedPageBreak/>
        <w:t>Aerial p</w:t>
      </w:r>
      <w:r w:rsidR="007027CD">
        <w:t>hotographs taken between 1947 and 2010</w:t>
      </w:r>
      <w:r w:rsidR="00B47379">
        <w:t xml:space="preserve"> </w:t>
      </w:r>
      <w:r w:rsidR="001A1E59">
        <w:t xml:space="preserve">generally </w:t>
      </w:r>
      <w:r w:rsidR="00B47379">
        <w:t>show the route</w:t>
      </w:r>
      <w:r w:rsidR="0075693B">
        <w:t xml:space="preserve"> as a clear surfaced </w:t>
      </w:r>
      <w:r w:rsidR="00787F66">
        <w:t>track.</w:t>
      </w:r>
    </w:p>
    <w:p w14:paraId="13340571" w14:textId="77777777" w:rsidR="00157CEC" w:rsidRDefault="00157CEC" w:rsidP="00157CEC">
      <w:pPr>
        <w:pStyle w:val="Style1"/>
        <w:numPr>
          <w:ilvl w:val="0"/>
          <w:numId w:val="0"/>
        </w:numPr>
        <w:rPr>
          <w:i/>
          <w:u w:val="single"/>
        </w:rPr>
      </w:pPr>
      <w:r>
        <w:rPr>
          <w:i/>
        </w:rPr>
        <w:t xml:space="preserve">Conclusions regarding the Documentary </w:t>
      </w:r>
      <w:r w:rsidR="0051487C">
        <w:rPr>
          <w:i/>
        </w:rPr>
        <w:t>E</w:t>
      </w:r>
      <w:r>
        <w:rPr>
          <w:i/>
        </w:rPr>
        <w:t>vidence</w:t>
      </w:r>
    </w:p>
    <w:p w14:paraId="4DC176BF" w14:textId="15E4510E" w:rsidR="0051487C" w:rsidRPr="0051487C" w:rsidRDefault="00370A42" w:rsidP="0051487C">
      <w:pPr>
        <w:pStyle w:val="Style1"/>
        <w:tabs>
          <w:tab w:val="clear" w:pos="6107"/>
          <w:tab w:val="num" w:pos="720"/>
        </w:tabs>
        <w:ind w:left="432"/>
      </w:pPr>
      <w:r>
        <w:t>The</w:t>
      </w:r>
      <w:r w:rsidR="00FF54AE">
        <w:t xml:space="preserve"> claimed route has existed since before 1751</w:t>
      </w:r>
      <w:r w:rsidR="000D5A32">
        <w:t xml:space="preserve"> and has been consistently</w:t>
      </w:r>
      <w:r w:rsidR="009617AF">
        <w:t xml:space="preserve"> shown </w:t>
      </w:r>
      <w:r w:rsidR="008245B0">
        <w:t xml:space="preserve">on the same alignment </w:t>
      </w:r>
      <w:r w:rsidR="009617AF">
        <w:t xml:space="preserve">in a </w:t>
      </w:r>
      <w:r w:rsidR="00D769F9">
        <w:t>larg</w:t>
      </w:r>
      <w:r w:rsidR="00A519BA">
        <w:t xml:space="preserve">e </w:t>
      </w:r>
      <w:r w:rsidR="000332A4">
        <w:t xml:space="preserve">number </w:t>
      </w:r>
      <w:r w:rsidR="00AC25DE">
        <w:t>of documentary evidence</w:t>
      </w:r>
      <w:r w:rsidR="00D769F9">
        <w:t xml:space="preserve">. </w:t>
      </w:r>
      <w:r w:rsidR="001A1E59">
        <w:t>M</w:t>
      </w:r>
      <w:r w:rsidR="00B90B21">
        <w:t>ost of the evidence that is available</w:t>
      </w:r>
      <w:r w:rsidR="000A1B51">
        <w:t xml:space="preserve"> does not indicate the presence o</w:t>
      </w:r>
      <w:r w:rsidR="00967ED9">
        <w:t xml:space="preserve">f public rights over </w:t>
      </w:r>
      <w:r w:rsidR="00D769F9">
        <w:t>the route</w:t>
      </w:r>
      <w:r w:rsidR="009E2C41">
        <w:t xml:space="preserve"> but neither does it preclude the existence of such rights</w:t>
      </w:r>
      <w:r w:rsidR="006279EA">
        <w:t>.</w:t>
      </w:r>
    </w:p>
    <w:p w14:paraId="6A231DC7" w14:textId="44CEB045" w:rsidR="0050775D" w:rsidRDefault="0044452E" w:rsidP="00BA2347">
      <w:pPr>
        <w:pStyle w:val="Style1"/>
        <w:tabs>
          <w:tab w:val="clear" w:pos="6107"/>
          <w:tab w:val="num" w:pos="720"/>
        </w:tabs>
        <w:ind w:left="432"/>
      </w:pPr>
      <w:r>
        <w:t xml:space="preserve">The termination of the </w:t>
      </w:r>
      <w:r w:rsidR="00137405">
        <w:t xml:space="preserve">publicly maintainable Shingle Hall Road as a </w:t>
      </w:r>
      <w:proofErr w:type="spellStart"/>
      <w:r w:rsidR="00137405">
        <w:t>cul</w:t>
      </w:r>
      <w:proofErr w:type="spellEnd"/>
      <w:r w:rsidR="00137405">
        <w:t xml:space="preserve"> de sac</w:t>
      </w:r>
      <w:r w:rsidR="00BD0A89">
        <w:t xml:space="preserve"> at a point</w:t>
      </w:r>
      <w:r w:rsidR="00082686">
        <w:t xml:space="preserve"> with no apparent significance as a destination for </w:t>
      </w:r>
      <w:r w:rsidR="003514BB">
        <w:t>public travellers is somewhat puzzling</w:t>
      </w:r>
      <w:r w:rsidR="00697A26">
        <w:t xml:space="preserve"> and could suggest the possibility</w:t>
      </w:r>
      <w:r w:rsidR="000276CE">
        <w:t xml:space="preserve"> of the road continuing along the claimed route</w:t>
      </w:r>
      <w:r w:rsidR="007D271D">
        <w:t>.</w:t>
      </w:r>
    </w:p>
    <w:p w14:paraId="484D246D" w14:textId="41707612" w:rsidR="00AA5ADB" w:rsidRPr="00BA2347" w:rsidRDefault="0037273E" w:rsidP="00BA2347">
      <w:pPr>
        <w:pStyle w:val="Style1"/>
        <w:tabs>
          <w:tab w:val="clear" w:pos="6107"/>
          <w:tab w:val="num" w:pos="720"/>
        </w:tabs>
        <w:ind w:left="432"/>
      </w:pPr>
      <w:r>
        <w:t>Overall</w:t>
      </w:r>
      <w:r w:rsidR="00EC2B5C">
        <w:t>, when all the evidence is considered</w:t>
      </w:r>
      <w:r w:rsidR="008572FF">
        <w:t xml:space="preserve"> together</w:t>
      </w:r>
      <w:r w:rsidR="009375C8">
        <w:t xml:space="preserve">, </w:t>
      </w:r>
      <w:r w:rsidR="00C26C71">
        <w:t xml:space="preserve">some of it is suggestive of the existence of </w:t>
      </w:r>
      <w:r w:rsidR="002B5889">
        <w:t xml:space="preserve">public vehicular rights </w:t>
      </w:r>
      <w:r w:rsidR="004E0774">
        <w:t xml:space="preserve">and none precludes this possibility, Accordingly, </w:t>
      </w:r>
      <w:r w:rsidR="009375C8">
        <w:t>it is in my view reasonable to allege</w:t>
      </w:r>
      <w:r w:rsidR="002557AC">
        <w:t xml:space="preserve"> that </w:t>
      </w:r>
      <w:r w:rsidR="00DC1E22">
        <w:t xml:space="preserve">such rights </w:t>
      </w:r>
      <w:r w:rsidR="00AB6088">
        <w:t>subsist over the claimed route.</w:t>
      </w:r>
    </w:p>
    <w:p w14:paraId="303AEA94" w14:textId="58C6B7C7" w:rsidR="00CF1C0B" w:rsidRDefault="00CF1C0B" w:rsidP="00CF1C0B">
      <w:pPr>
        <w:pStyle w:val="Style1"/>
        <w:numPr>
          <w:ilvl w:val="0"/>
          <w:numId w:val="0"/>
        </w:numPr>
        <w:rPr>
          <w:b/>
          <w:bCs/>
        </w:rPr>
      </w:pPr>
      <w:r>
        <w:rPr>
          <w:b/>
          <w:bCs/>
        </w:rPr>
        <w:t>The 2006 Act</w:t>
      </w:r>
    </w:p>
    <w:p w14:paraId="28013CBB" w14:textId="77777777" w:rsidR="00161F51" w:rsidRPr="00C93FCA" w:rsidRDefault="00161F51" w:rsidP="00B20C24">
      <w:pPr>
        <w:pStyle w:val="Style1"/>
        <w:tabs>
          <w:tab w:val="clear" w:pos="6107"/>
          <w:tab w:val="num" w:pos="720"/>
        </w:tabs>
        <w:ind w:left="432"/>
      </w:pPr>
      <w:r>
        <w:t>As mentioned before, this act extinguished rights of way for MPVs subject to certain exceptions. In this case it would appear that none of the exceptions is applicable.</w:t>
      </w:r>
      <w:r w:rsidRPr="00453772">
        <w:t xml:space="preserve"> </w:t>
      </w:r>
      <w:r>
        <w:t>Accordingly, any right of way for MPVs over the route have now been extinguished and, in the light of my conclusions regarding the documentary evidence, it is appropriate that the route be recorded as a Restricted Byway.</w:t>
      </w:r>
    </w:p>
    <w:p w14:paraId="5A852BB4" w14:textId="39D3DE18" w:rsidR="00784143" w:rsidRDefault="002C52C9" w:rsidP="00CF1C0B">
      <w:pPr>
        <w:pStyle w:val="Style1"/>
        <w:numPr>
          <w:ilvl w:val="0"/>
          <w:numId w:val="0"/>
        </w:numPr>
        <w:rPr>
          <w:b/>
          <w:bCs/>
        </w:rPr>
      </w:pPr>
      <w:r>
        <w:rPr>
          <w:b/>
          <w:bCs/>
        </w:rPr>
        <w:t>Other Matters</w:t>
      </w:r>
    </w:p>
    <w:p w14:paraId="1F861107" w14:textId="03E2C1B1" w:rsidR="007B69CC" w:rsidRPr="002C52C9" w:rsidRDefault="00035F71" w:rsidP="00D75BEF">
      <w:pPr>
        <w:pStyle w:val="Style1"/>
        <w:tabs>
          <w:tab w:val="clear" w:pos="6107"/>
          <w:tab w:val="num" w:pos="720"/>
        </w:tabs>
        <w:ind w:left="432"/>
      </w:pPr>
      <w:r>
        <w:t xml:space="preserve">The appellant states that on </w:t>
      </w:r>
      <w:r w:rsidR="00D87CD4">
        <w:t>Google Maps</w:t>
      </w:r>
      <w:r w:rsidR="00B846D9">
        <w:t xml:space="preserve">, </w:t>
      </w:r>
      <w:r w:rsidR="00AB58B9">
        <w:t>part of the road from the Guide Post shown on the 1897 OS map</w:t>
      </w:r>
      <w:r w:rsidR="00903516">
        <w:t xml:space="preserve"> is named as Lancaster Street. It is suggested th</w:t>
      </w:r>
      <w:r w:rsidR="003747FA">
        <w:t>a</w:t>
      </w:r>
      <w:r w:rsidR="00903516">
        <w:t>t this</w:t>
      </w:r>
      <w:r w:rsidR="003747FA">
        <w:t xml:space="preserve"> might indicate </w:t>
      </w:r>
      <w:r w:rsidR="003F12AA">
        <w:t>an ancient highway of some sort</w:t>
      </w:r>
      <w:r w:rsidR="00BD72FD">
        <w:t>. However</w:t>
      </w:r>
      <w:r w:rsidR="00B72380">
        <w:t>, local landowners have stated that</w:t>
      </w:r>
      <w:r w:rsidR="0035058C">
        <w:t xml:space="preserve"> the route has never been known by this name</w:t>
      </w:r>
      <w:r w:rsidR="005948E7">
        <w:t xml:space="preserve"> and it is understood that Google has now removed the annotation.</w:t>
      </w:r>
      <w:r w:rsidR="00CD3367">
        <w:t xml:space="preserve"> </w:t>
      </w:r>
    </w:p>
    <w:p w14:paraId="28B7EDA3" w14:textId="77777777" w:rsidR="002C6E5C" w:rsidRDefault="002C6E5C" w:rsidP="002C6E5C">
      <w:pPr>
        <w:pStyle w:val="Heading6blackfont"/>
      </w:pPr>
      <w:r>
        <w:t>Conclusion</w:t>
      </w:r>
    </w:p>
    <w:p w14:paraId="33243E30" w14:textId="41F0BA0B" w:rsidR="006D39E9" w:rsidRPr="006D39E9" w:rsidRDefault="006D39E9" w:rsidP="006D39E9">
      <w:pPr>
        <w:pStyle w:val="Style1"/>
        <w:tabs>
          <w:tab w:val="clear" w:pos="6107"/>
          <w:tab w:val="num" w:pos="720"/>
        </w:tabs>
        <w:ind w:left="432"/>
      </w:pPr>
      <w:r>
        <w:t xml:space="preserve">Having regard to these and all other matters raised in the written representations I conclude that the evidence </w:t>
      </w:r>
      <w:r w:rsidR="001164E3">
        <w:t>that is available show</w:t>
      </w:r>
      <w:r w:rsidR="001F45A7">
        <w:t>s</w:t>
      </w:r>
      <w:r>
        <w:t xml:space="preserve"> th</w:t>
      </w:r>
      <w:r w:rsidR="00357C3F">
        <w:t xml:space="preserve">at </w:t>
      </w:r>
      <w:r w:rsidR="001F45A7">
        <w:t xml:space="preserve">it is reasonable to allege that </w:t>
      </w:r>
      <w:r>
        <w:t>the claimed route is a</w:t>
      </w:r>
      <w:r w:rsidR="00D25DD6">
        <w:t xml:space="preserve"> Restricted Byway</w:t>
      </w:r>
      <w:r>
        <w:t>.</w:t>
      </w:r>
      <w:r w:rsidR="001164E3">
        <w:t xml:space="preserve"> The appeal should therefore be </w:t>
      </w:r>
      <w:r w:rsidR="001F45A7">
        <w:t>allow</w:t>
      </w:r>
      <w:r w:rsidR="001164E3">
        <w:t>ed.</w:t>
      </w:r>
    </w:p>
    <w:p w14:paraId="10728537" w14:textId="77777777" w:rsidR="002C6E5C" w:rsidRDefault="002C6E5C" w:rsidP="002C6E5C">
      <w:pPr>
        <w:pStyle w:val="Heading6blackfont"/>
      </w:pPr>
      <w:r>
        <w:t>Formal Decision</w:t>
      </w:r>
    </w:p>
    <w:p w14:paraId="146D574A" w14:textId="4AB9DAE4" w:rsidR="00C301BF" w:rsidRPr="00C301BF" w:rsidRDefault="002E4D9D" w:rsidP="00C47141">
      <w:pPr>
        <w:pStyle w:val="Style1"/>
        <w:tabs>
          <w:tab w:val="clear" w:pos="6107"/>
          <w:tab w:val="num" w:pos="720"/>
        </w:tabs>
        <w:ind w:left="432"/>
      </w:pPr>
      <w:r>
        <w:t>The appeal is allowed and in accordance with paragraph 4(2)</w:t>
      </w:r>
      <w:r w:rsidR="0041742F">
        <w:t xml:space="preserve"> of Schedule 14 to the 1981 Act</w:t>
      </w:r>
      <w:r w:rsidR="004D410F">
        <w:t xml:space="preserve"> </w:t>
      </w:r>
      <w:r w:rsidR="00D76206">
        <w:t xml:space="preserve">Essex County </w:t>
      </w:r>
      <w:r>
        <w:t>Council is directed to make an order under section 53(2) and Schedule 15 of the Act to modify the definitive map and statement to add a</w:t>
      </w:r>
      <w:r w:rsidR="00C630E4">
        <w:t xml:space="preserve"> R</w:t>
      </w:r>
      <w:r w:rsidR="00D76206">
        <w:t>estricted Byway</w:t>
      </w:r>
      <w:r>
        <w:t>, as prop</w:t>
      </w:r>
      <w:r w:rsidR="004D410F">
        <w:t>osed in the application dated</w:t>
      </w:r>
      <w:r w:rsidR="00C630E4">
        <w:t xml:space="preserve"> 28 March 2019</w:t>
      </w:r>
      <w:r>
        <w:t xml:space="preserve">.  </w:t>
      </w:r>
      <w:r w:rsidR="0050570A">
        <w:t xml:space="preserve">This order to be made </w:t>
      </w:r>
      <w:r w:rsidR="001A5AAB">
        <w:t xml:space="preserve">within 3 months of the date of this decision. </w:t>
      </w:r>
      <w:r>
        <w:t>This decision is made without prejudice to any decision that may be given by the Secretary</w:t>
      </w:r>
      <w:r w:rsidR="001F45A7">
        <w:t xml:space="preserve"> of State in accordance with his</w:t>
      </w:r>
      <w:r>
        <w:t xml:space="preserve"> powers under Schedule 15 of the 1981 Act.</w:t>
      </w:r>
    </w:p>
    <w:p w14:paraId="3E784CB3" w14:textId="77777777" w:rsidR="00D75BEF" w:rsidRDefault="008D2CB2" w:rsidP="000332A4">
      <w:pPr>
        <w:pStyle w:val="Style2"/>
        <w:numPr>
          <w:ilvl w:val="0"/>
          <w:numId w:val="0"/>
        </w:numPr>
        <w:rPr>
          <w:rFonts w:ascii="Monotype Corsiva" w:hAnsi="Monotype Corsiva"/>
          <w:sz w:val="32"/>
          <w:szCs w:val="32"/>
        </w:rPr>
      </w:pPr>
      <w:r w:rsidRPr="002674BA">
        <w:rPr>
          <w:rFonts w:ascii="Monotype Corsiva" w:hAnsi="Monotype Corsiva"/>
          <w:sz w:val="32"/>
          <w:szCs w:val="32"/>
        </w:rPr>
        <w:t>Barney Grimshaw</w:t>
      </w:r>
      <w:r w:rsidR="007B69CC">
        <w:rPr>
          <w:rFonts w:ascii="Monotype Corsiva" w:hAnsi="Monotype Corsiva"/>
          <w:sz w:val="32"/>
          <w:szCs w:val="32"/>
        </w:rPr>
        <w:t xml:space="preserve"> </w:t>
      </w:r>
    </w:p>
    <w:p w14:paraId="6F890840" w14:textId="2D2D508F" w:rsidR="002C6E5C" w:rsidRDefault="002C6E5C" w:rsidP="000332A4">
      <w:pPr>
        <w:pStyle w:val="Style2"/>
        <w:numPr>
          <w:ilvl w:val="0"/>
          <w:numId w:val="0"/>
        </w:numPr>
      </w:pPr>
      <w:r>
        <w:t>Inspector</w:t>
      </w:r>
      <w:bookmarkStart w:id="2" w:name="bmkPageBreak"/>
      <w:bookmarkEnd w:id="2"/>
    </w:p>
    <w:p w14:paraId="770E83CC" w14:textId="77DFF22B" w:rsidR="00B925A5" w:rsidRDefault="00A95437" w:rsidP="002C6E5C">
      <w:pPr>
        <w:pStyle w:val="Style1"/>
        <w:numPr>
          <w:ilvl w:val="0"/>
          <w:numId w:val="0"/>
        </w:numPr>
      </w:pPr>
      <w:r>
        <w:br w:type="page"/>
      </w:r>
      <w:r w:rsidR="00225101">
        <w:rPr>
          <w:noProof/>
        </w:rPr>
        <w:lastRenderedPageBreak/>
        <w:drawing>
          <wp:inline distT="0" distB="0" distL="0" distR="0" wp14:anchorId="3F158221" wp14:editId="6F92BC0B">
            <wp:extent cx="6216650" cy="8045450"/>
            <wp:effectExtent l="0" t="0" r="0" b="0"/>
            <wp:docPr id="4" name="Picture 2"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6650" cy="8045450"/>
                    </a:xfrm>
                    <a:prstGeom prst="rect">
                      <a:avLst/>
                    </a:prstGeom>
                    <a:noFill/>
                    <a:ln>
                      <a:noFill/>
                    </a:ln>
                  </pic:spPr>
                </pic:pic>
              </a:graphicData>
            </a:graphic>
          </wp:inline>
        </w:drawing>
      </w:r>
    </w:p>
    <w:p w14:paraId="02E30F64" w14:textId="77777777" w:rsidR="008A14B3" w:rsidRDefault="008A14B3" w:rsidP="002C6E5C">
      <w:pPr>
        <w:pStyle w:val="Style1"/>
        <w:numPr>
          <w:ilvl w:val="0"/>
          <w:numId w:val="0"/>
        </w:numPr>
      </w:pPr>
    </w:p>
    <w:p w14:paraId="5BD2208E" w14:textId="77777777" w:rsidR="002C6E5C" w:rsidRDefault="002C6E5C" w:rsidP="002C6E5C">
      <w:pPr>
        <w:pStyle w:val="Style1"/>
        <w:numPr>
          <w:ilvl w:val="0"/>
          <w:numId w:val="0"/>
        </w:numPr>
      </w:pPr>
    </w:p>
    <w:p w14:paraId="2737CE64" w14:textId="77777777" w:rsidR="002C6E5C" w:rsidRDefault="002C6E5C" w:rsidP="002C6E5C">
      <w:pPr>
        <w:pStyle w:val="Style1"/>
        <w:numPr>
          <w:ilvl w:val="0"/>
          <w:numId w:val="0"/>
        </w:numPr>
      </w:pPr>
    </w:p>
    <w:sectPr w:rsidR="002C6E5C" w:rsidSect="0004625F">
      <w:headerReference w:type="default" r:id="rId13"/>
      <w:footerReference w:type="even" r:id="rId14"/>
      <w:footerReference w:type="default" r:id="rId15"/>
      <w:headerReference w:type="first" r:id="rId16"/>
      <w:footerReference w:type="first" r:id="rId17"/>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AD62" w14:textId="77777777" w:rsidR="00455183" w:rsidRDefault="00455183" w:rsidP="00F62916">
      <w:r>
        <w:separator/>
      </w:r>
    </w:p>
  </w:endnote>
  <w:endnote w:type="continuationSeparator" w:id="0">
    <w:p w14:paraId="5DC198CC" w14:textId="77777777" w:rsidR="00455183" w:rsidRDefault="00455183"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B57B" w14:textId="77777777" w:rsidR="00C57B84" w:rsidRDefault="00C57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FF824" w14:textId="77777777" w:rsidR="00C57B84" w:rsidRDefault="00C57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FE74" w14:textId="020D06A4" w:rsidR="00C57B84" w:rsidRDefault="00225101">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8977D8A" wp14:editId="43C780AC">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5FE99"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4C76C2E" w14:textId="77777777" w:rsidR="00C57B84" w:rsidRDefault="006255BA" w:rsidP="00872153">
    <w:pPr>
      <w:pStyle w:val="Noindent"/>
    </w:pPr>
    <w:hyperlink r:id="rId1" w:history="1">
      <w:r w:rsidR="00071339" w:rsidRPr="00071339">
        <w:rPr>
          <w:rStyle w:val="Hyperlink"/>
          <w:sz w:val="18"/>
          <w:szCs w:val="18"/>
        </w:rPr>
        <w:t>www.gov.uk/guidance/object-to-a-public-right-of-way-order</w:t>
      </w:r>
    </w:hyperlink>
    <w:r w:rsidR="00071339" w:rsidRPr="00071339">
      <w:rPr>
        <w:sz w:val="18"/>
        <w:szCs w:val="18"/>
      </w:rPr>
      <w:t>.</w:t>
    </w:r>
    <w:r w:rsidR="00071339">
      <w:t xml:space="preserve"> </w:t>
    </w:r>
    <w:r w:rsidR="00C57B84">
      <w:rPr>
        <w:rStyle w:val="PageNumber"/>
      </w:rPr>
      <w:t xml:space="preserve">               </w:t>
    </w:r>
    <w:r w:rsidR="00C57B84">
      <w:rPr>
        <w:rStyle w:val="PageNumber"/>
      </w:rPr>
      <w:fldChar w:fldCharType="begin"/>
    </w:r>
    <w:r w:rsidR="00C57B84">
      <w:rPr>
        <w:rStyle w:val="PageNumber"/>
      </w:rPr>
      <w:instrText xml:space="preserve"> PAGE </w:instrText>
    </w:r>
    <w:r w:rsidR="00C57B84">
      <w:rPr>
        <w:rStyle w:val="PageNumber"/>
      </w:rPr>
      <w:fldChar w:fldCharType="separate"/>
    </w:r>
    <w:r w:rsidR="005018AE">
      <w:rPr>
        <w:rStyle w:val="PageNumber"/>
        <w:noProof/>
      </w:rPr>
      <w:t>2</w:t>
    </w:r>
    <w:r w:rsidR="00C57B8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9951" w14:textId="1344F764" w:rsidR="00C57B84" w:rsidRDefault="00225101" w:rsidP="00DD37E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6B7F264" wp14:editId="57A02F02">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FBB76"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4E27078" w14:textId="77777777" w:rsidR="00E31B70" w:rsidRPr="008A03E3" w:rsidRDefault="006255BA" w:rsidP="00E31B70">
    <w:pPr>
      <w:pStyle w:val="Footer"/>
      <w:ind w:right="-52"/>
      <w:rPr>
        <w:sz w:val="16"/>
        <w:szCs w:val="16"/>
      </w:rPr>
    </w:pPr>
    <w:hyperlink r:id="rId1" w:history="1">
      <w:r w:rsidR="009A4664" w:rsidRPr="00071339">
        <w:rPr>
          <w:rStyle w:val="Hyperlink"/>
          <w:szCs w:val="18"/>
        </w:rPr>
        <w:t>www.gov.uk/guidance/object-to-a-public-right-of-way-order</w:t>
      </w:r>
    </w:hyperlink>
  </w:p>
  <w:p w14:paraId="5E01A6B3" w14:textId="77777777" w:rsidR="00C57B84" w:rsidRPr="008A03E3" w:rsidRDefault="00C57B84">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787C0" w14:textId="77777777" w:rsidR="00455183" w:rsidRDefault="00455183" w:rsidP="00F62916">
      <w:r>
        <w:separator/>
      </w:r>
    </w:p>
  </w:footnote>
  <w:footnote w:type="continuationSeparator" w:id="0">
    <w:p w14:paraId="3C149E57" w14:textId="77777777" w:rsidR="00455183" w:rsidRDefault="00455183"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57B84" w14:paraId="15F326CB" w14:textId="77777777">
      <w:tc>
        <w:tcPr>
          <w:tcW w:w="9520" w:type="dxa"/>
        </w:tcPr>
        <w:p w14:paraId="01E6FFE2" w14:textId="7BC6577B" w:rsidR="00C57B84" w:rsidRDefault="007277A3">
          <w:pPr>
            <w:pStyle w:val="Footer"/>
          </w:pPr>
          <w:r>
            <w:t>Appeal</w:t>
          </w:r>
          <w:r w:rsidR="00DD37E9">
            <w:t xml:space="preserve"> Decisi</w:t>
          </w:r>
          <w:r w:rsidR="00246BC4">
            <w:t>on FPS</w:t>
          </w:r>
          <w:r w:rsidR="00DD37E9">
            <w:t>/</w:t>
          </w:r>
          <w:r w:rsidR="001209C5">
            <w:t>Z1585</w:t>
          </w:r>
          <w:r w:rsidR="00246BC4">
            <w:t>/14A/</w:t>
          </w:r>
          <w:r w:rsidR="001209C5">
            <w:t>22</w:t>
          </w:r>
        </w:p>
      </w:tc>
    </w:tr>
  </w:tbl>
  <w:p w14:paraId="2C23FB3D" w14:textId="75942F8C" w:rsidR="00C57B84" w:rsidRDefault="00225101" w:rsidP="00ED3FF4">
    <w:pPr>
      <w:pStyle w:val="Footer"/>
    </w:pPr>
    <w:r>
      <w:rPr>
        <w:noProof/>
      </w:rPr>
      <mc:AlternateContent>
        <mc:Choice Requires="wps">
          <w:drawing>
            <wp:anchor distT="0" distB="0" distL="114300" distR="114300" simplePos="0" relativeHeight="251657728" behindDoc="0" locked="0" layoutInCell="1" allowOverlap="1" wp14:anchorId="434BA8CC" wp14:editId="31D49792">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F078F"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8BC3" w14:textId="77777777" w:rsidR="00C57B84" w:rsidRDefault="00C57B8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3" w15:restartNumberingAfterBreak="0">
    <w:nsid w:val="62CA1CF1"/>
    <w:multiLevelType w:val="multilevel"/>
    <w:tmpl w:val="0D5CC23A"/>
    <w:lvl w:ilvl="0">
      <w:start w:val="1"/>
      <w:numFmt w:val="decimal"/>
      <w:pStyle w:val="Style1"/>
      <w:lvlText w:val="%1."/>
      <w:lvlJc w:val="left"/>
      <w:pPr>
        <w:tabs>
          <w:tab w:val="num" w:pos="6107"/>
        </w:tabs>
        <w:ind w:left="5819"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6"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4"/>
  </w:num>
  <w:num w:numId="3">
    <w:abstractNumId w:val="5"/>
  </w:num>
  <w:num w:numId="4">
    <w:abstractNumId w:val="0"/>
  </w:num>
  <w:num w:numId="5">
    <w:abstractNumId w:val="1"/>
  </w:num>
  <w:num w:numId="6">
    <w:abstractNumId w:val="3"/>
  </w:num>
  <w:num w:numId="7">
    <w:abstractNumId w:val="6"/>
  </w:num>
  <w:num w:numId="8">
    <w:abstractNumId w:val="2"/>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num>
  <w:num w:numId="27">
    <w:abstractNumId w:val="3"/>
  </w:num>
  <w:num w:numId="2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D37E9"/>
    <w:rsid w:val="0000335F"/>
    <w:rsid w:val="00003D72"/>
    <w:rsid w:val="00010EF8"/>
    <w:rsid w:val="000112EA"/>
    <w:rsid w:val="00012A91"/>
    <w:rsid w:val="0001305E"/>
    <w:rsid w:val="00014005"/>
    <w:rsid w:val="0001767B"/>
    <w:rsid w:val="000276CE"/>
    <w:rsid w:val="000321AF"/>
    <w:rsid w:val="000332A4"/>
    <w:rsid w:val="000352CB"/>
    <w:rsid w:val="00035307"/>
    <w:rsid w:val="00035F71"/>
    <w:rsid w:val="00046145"/>
    <w:rsid w:val="0004625F"/>
    <w:rsid w:val="000474EE"/>
    <w:rsid w:val="00047993"/>
    <w:rsid w:val="000518C0"/>
    <w:rsid w:val="00053135"/>
    <w:rsid w:val="00056066"/>
    <w:rsid w:val="0006047E"/>
    <w:rsid w:val="000607FD"/>
    <w:rsid w:val="00065907"/>
    <w:rsid w:val="00071339"/>
    <w:rsid w:val="0007303D"/>
    <w:rsid w:val="00073DFA"/>
    <w:rsid w:val="00076768"/>
    <w:rsid w:val="00076F62"/>
    <w:rsid w:val="00077358"/>
    <w:rsid w:val="00082686"/>
    <w:rsid w:val="000840E0"/>
    <w:rsid w:val="00087DEC"/>
    <w:rsid w:val="000909F0"/>
    <w:rsid w:val="00093D68"/>
    <w:rsid w:val="000A1B51"/>
    <w:rsid w:val="000A2EA3"/>
    <w:rsid w:val="000A4AEB"/>
    <w:rsid w:val="000A64AE"/>
    <w:rsid w:val="000B1CA7"/>
    <w:rsid w:val="000B1DB7"/>
    <w:rsid w:val="000B5246"/>
    <w:rsid w:val="000B5B5A"/>
    <w:rsid w:val="000C09CF"/>
    <w:rsid w:val="000C24E4"/>
    <w:rsid w:val="000C296B"/>
    <w:rsid w:val="000C3F13"/>
    <w:rsid w:val="000C5BE4"/>
    <w:rsid w:val="000C698E"/>
    <w:rsid w:val="000D0673"/>
    <w:rsid w:val="000D2255"/>
    <w:rsid w:val="000D3816"/>
    <w:rsid w:val="000D3FA0"/>
    <w:rsid w:val="000D5A32"/>
    <w:rsid w:val="000D6057"/>
    <w:rsid w:val="000E0478"/>
    <w:rsid w:val="000E0529"/>
    <w:rsid w:val="000E0B56"/>
    <w:rsid w:val="000E3E2B"/>
    <w:rsid w:val="000F33E2"/>
    <w:rsid w:val="000F507F"/>
    <w:rsid w:val="001000CB"/>
    <w:rsid w:val="00101916"/>
    <w:rsid w:val="00102E42"/>
    <w:rsid w:val="00110F9F"/>
    <w:rsid w:val="00114678"/>
    <w:rsid w:val="0011545F"/>
    <w:rsid w:val="001164E3"/>
    <w:rsid w:val="001209C5"/>
    <w:rsid w:val="00123E18"/>
    <w:rsid w:val="0012781E"/>
    <w:rsid w:val="00127935"/>
    <w:rsid w:val="00131256"/>
    <w:rsid w:val="00132358"/>
    <w:rsid w:val="00132E64"/>
    <w:rsid w:val="00133B19"/>
    <w:rsid w:val="00137405"/>
    <w:rsid w:val="0014122B"/>
    <w:rsid w:val="00142134"/>
    <w:rsid w:val="00144841"/>
    <w:rsid w:val="001456C8"/>
    <w:rsid w:val="00151339"/>
    <w:rsid w:val="00152C92"/>
    <w:rsid w:val="00156570"/>
    <w:rsid w:val="00157CEC"/>
    <w:rsid w:val="00161F51"/>
    <w:rsid w:val="00162AB9"/>
    <w:rsid w:val="00162DDB"/>
    <w:rsid w:val="001744AD"/>
    <w:rsid w:val="0017624F"/>
    <w:rsid w:val="001762F6"/>
    <w:rsid w:val="001943A2"/>
    <w:rsid w:val="00194F59"/>
    <w:rsid w:val="00196F2F"/>
    <w:rsid w:val="00197B5B"/>
    <w:rsid w:val="001A1E59"/>
    <w:rsid w:val="001A28CE"/>
    <w:rsid w:val="001A3DC5"/>
    <w:rsid w:val="001A444D"/>
    <w:rsid w:val="001A5AAB"/>
    <w:rsid w:val="001A5CC5"/>
    <w:rsid w:val="001A7D3D"/>
    <w:rsid w:val="001B7B00"/>
    <w:rsid w:val="001C59B2"/>
    <w:rsid w:val="001C6E08"/>
    <w:rsid w:val="001C7F3F"/>
    <w:rsid w:val="001D19F5"/>
    <w:rsid w:val="001D3881"/>
    <w:rsid w:val="001E379F"/>
    <w:rsid w:val="001E3926"/>
    <w:rsid w:val="001E4777"/>
    <w:rsid w:val="001E5AF4"/>
    <w:rsid w:val="001E7563"/>
    <w:rsid w:val="001F45A7"/>
    <w:rsid w:val="001F6363"/>
    <w:rsid w:val="0020033A"/>
    <w:rsid w:val="002040FF"/>
    <w:rsid w:val="00205981"/>
    <w:rsid w:val="00207816"/>
    <w:rsid w:val="0021184D"/>
    <w:rsid w:val="00212C8F"/>
    <w:rsid w:val="00220706"/>
    <w:rsid w:val="00221FAC"/>
    <w:rsid w:val="00225101"/>
    <w:rsid w:val="00225CA7"/>
    <w:rsid w:val="00226B2B"/>
    <w:rsid w:val="0023155D"/>
    <w:rsid w:val="00231668"/>
    <w:rsid w:val="002333BC"/>
    <w:rsid w:val="002350BE"/>
    <w:rsid w:val="00235A64"/>
    <w:rsid w:val="00237A13"/>
    <w:rsid w:val="002403E5"/>
    <w:rsid w:val="00242A5E"/>
    <w:rsid w:val="00246B4E"/>
    <w:rsid w:val="00246BC4"/>
    <w:rsid w:val="00251C62"/>
    <w:rsid w:val="00251EF9"/>
    <w:rsid w:val="00251EFD"/>
    <w:rsid w:val="002557AC"/>
    <w:rsid w:val="00261173"/>
    <w:rsid w:val="00265481"/>
    <w:rsid w:val="0027431D"/>
    <w:rsid w:val="002839D5"/>
    <w:rsid w:val="00283D4D"/>
    <w:rsid w:val="00285E4D"/>
    <w:rsid w:val="00293729"/>
    <w:rsid w:val="002A3FCB"/>
    <w:rsid w:val="002A544A"/>
    <w:rsid w:val="002A7C1A"/>
    <w:rsid w:val="002B5889"/>
    <w:rsid w:val="002C068A"/>
    <w:rsid w:val="002C11E1"/>
    <w:rsid w:val="002C247C"/>
    <w:rsid w:val="002C3B40"/>
    <w:rsid w:val="002C52C9"/>
    <w:rsid w:val="002C6E5C"/>
    <w:rsid w:val="002D528A"/>
    <w:rsid w:val="002D6364"/>
    <w:rsid w:val="002E1F7A"/>
    <w:rsid w:val="002E4D9D"/>
    <w:rsid w:val="002F70F1"/>
    <w:rsid w:val="003009C3"/>
    <w:rsid w:val="00303E8B"/>
    <w:rsid w:val="0030500E"/>
    <w:rsid w:val="00305D28"/>
    <w:rsid w:val="00307C3E"/>
    <w:rsid w:val="00312C4E"/>
    <w:rsid w:val="00313954"/>
    <w:rsid w:val="00314BD1"/>
    <w:rsid w:val="003206FD"/>
    <w:rsid w:val="00326BE5"/>
    <w:rsid w:val="0032791C"/>
    <w:rsid w:val="003314CF"/>
    <w:rsid w:val="003355D1"/>
    <w:rsid w:val="003358AA"/>
    <w:rsid w:val="00336446"/>
    <w:rsid w:val="00337B15"/>
    <w:rsid w:val="00343173"/>
    <w:rsid w:val="00343A1F"/>
    <w:rsid w:val="00344294"/>
    <w:rsid w:val="00344CD1"/>
    <w:rsid w:val="00346CE6"/>
    <w:rsid w:val="0034735A"/>
    <w:rsid w:val="0035058C"/>
    <w:rsid w:val="003514BB"/>
    <w:rsid w:val="00351AFD"/>
    <w:rsid w:val="00355B13"/>
    <w:rsid w:val="00356140"/>
    <w:rsid w:val="003569B7"/>
    <w:rsid w:val="00357C3F"/>
    <w:rsid w:val="00360115"/>
    <w:rsid w:val="00360664"/>
    <w:rsid w:val="00361890"/>
    <w:rsid w:val="00364538"/>
    <w:rsid w:val="00364E17"/>
    <w:rsid w:val="0036629E"/>
    <w:rsid w:val="0036657A"/>
    <w:rsid w:val="00366A76"/>
    <w:rsid w:val="00370A42"/>
    <w:rsid w:val="00371A32"/>
    <w:rsid w:val="0037273E"/>
    <w:rsid w:val="003747FA"/>
    <w:rsid w:val="00375DE3"/>
    <w:rsid w:val="003767EE"/>
    <w:rsid w:val="00377767"/>
    <w:rsid w:val="00377FA4"/>
    <w:rsid w:val="00385C97"/>
    <w:rsid w:val="0039220C"/>
    <w:rsid w:val="00392A7C"/>
    <w:rsid w:val="003941CF"/>
    <w:rsid w:val="00394339"/>
    <w:rsid w:val="003952A4"/>
    <w:rsid w:val="003955C2"/>
    <w:rsid w:val="00395AFE"/>
    <w:rsid w:val="00396E4D"/>
    <w:rsid w:val="003A615B"/>
    <w:rsid w:val="003B2FE6"/>
    <w:rsid w:val="003B3253"/>
    <w:rsid w:val="003B7CD9"/>
    <w:rsid w:val="003C3BD0"/>
    <w:rsid w:val="003C6E1B"/>
    <w:rsid w:val="003E70E0"/>
    <w:rsid w:val="003F12AA"/>
    <w:rsid w:val="003F1F54"/>
    <w:rsid w:val="003F2915"/>
    <w:rsid w:val="003F292F"/>
    <w:rsid w:val="003F2EE0"/>
    <w:rsid w:val="003F3572"/>
    <w:rsid w:val="003F5E08"/>
    <w:rsid w:val="00402EDD"/>
    <w:rsid w:val="0040594D"/>
    <w:rsid w:val="004147EA"/>
    <w:rsid w:val="00414F81"/>
    <w:rsid w:val="0041539C"/>
    <w:rsid w:val="004156F0"/>
    <w:rsid w:val="0041742F"/>
    <w:rsid w:val="00422180"/>
    <w:rsid w:val="0042299D"/>
    <w:rsid w:val="0044452E"/>
    <w:rsid w:val="004474DE"/>
    <w:rsid w:val="00450F25"/>
    <w:rsid w:val="0045220F"/>
    <w:rsid w:val="0045250A"/>
    <w:rsid w:val="00453E15"/>
    <w:rsid w:val="00455183"/>
    <w:rsid w:val="00462FB4"/>
    <w:rsid w:val="00464344"/>
    <w:rsid w:val="00464788"/>
    <w:rsid w:val="0046539C"/>
    <w:rsid w:val="004708CD"/>
    <w:rsid w:val="004731F6"/>
    <w:rsid w:val="00474FE0"/>
    <w:rsid w:val="00477217"/>
    <w:rsid w:val="0048041A"/>
    <w:rsid w:val="00481412"/>
    <w:rsid w:val="004902E2"/>
    <w:rsid w:val="00491E4A"/>
    <w:rsid w:val="00492920"/>
    <w:rsid w:val="004943AB"/>
    <w:rsid w:val="004976CF"/>
    <w:rsid w:val="004A2EB8"/>
    <w:rsid w:val="004A3F15"/>
    <w:rsid w:val="004A593D"/>
    <w:rsid w:val="004A62F5"/>
    <w:rsid w:val="004B2D0A"/>
    <w:rsid w:val="004B4AF7"/>
    <w:rsid w:val="004C07CB"/>
    <w:rsid w:val="004C459A"/>
    <w:rsid w:val="004C60B5"/>
    <w:rsid w:val="004D29B8"/>
    <w:rsid w:val="004D410F"/>
    <w:rsid w:val="004E0774"/>
    <w:rsid w:val="004E6091"/>
    <w:rsid w:val="004E613A"/>
    <w:rsid w:val="004F0043"/>
    <w:rsid w:val="004F0F6E"/>
    <w:rsid w:val="004F156B"/>
    <w:rsid w:val="004F1F43"/>
    <w:rsid w:val="004F375E"/>
    <w:rsid w:val="004F3CC0"/>
    <w:rsid w:val="004F66A3"/>
    <w:rsid w:val="004F7801"/>
    <w:rsid w:val="005018AE"/>
    <w:rsid w:val="0050570A"/>
    <w:rsid w:val="0050775D"/>
    <w:rsid w:val="0051487C"/>
    <w:rsid w:val="00520926"/>
    <w:rsid w:val="0052347F"/>
    <w:rsid w:val="00523A56"/>
    <w:rsid w:val="00526F07"/>
    <w:rsid w:val="00527C31"/>
    <w:rsid w:val="005305DE"/>
    <w:rsid w:val="00532555"/>
    <w:rsid w:val="005348CE"/>
    <w:rsid w:val="00542B4C"/>
    <w:rsid w:val="00546E31"/>
    <w:rsid w:val="00547C4B"/>
    <w:rsid w:val="00550030"/>
    <w:rsid w:val="00550EFB"/>
    <w:rsid w:val="005528A4"/>
    <w:rsid w:val="00561E69"/>
    <w:rsid w:val="00563F1F"/>
    <w:rsid w:val="0056634F"/>
    <w:rsid w:val="005664AF"/>
    <w:rsid w:val="005718AF"/>
    <w:rsid w:val="00571FD4"/>
    <w:rsid w:val="00572879"/>
    <w:rsid w:val="00573BEA"/>
    <w:rsid w:val="00576752"/>
    <w:rsid w:val="00576F98"/>
    <w:rsid w:val="005834D8"/>
    <w:rsid w:val="00590655"/>
    <w:rsid w:val="00593282"/>
    <w:rsid w:val="005948E7"/>
    <w:rsid w:val="00595AA8"/>
    <w:rsid w:val="005964EC"/>
    <w:rsid w:val="005A3A64"/>
    <w:rsid w:val="005A63B5"/>
    <w:rsid w:val="005A74D4"/>
    <w:rsid w:val="005B2DDC"/>
    <w:rsid w:val="005B448B"/>
    <w:rsid w:val="005B783F"/>
    <w:rsid w:val="005B7F8A"/>
    <w:rsid w:val="005C2C82"/>
    <w:rsid w:val="005C68C0"/>
    <w:rsid w:val="005C7072"/>
    <w:rsid w:val="005D1B51"/>
    <w:rsid w:val="005D739E"/>
    <w:rsid w:val="005E34FF"/>
    <w:rsid w:val="005E52F9"/>
    <w:rsid w:val="005F0E50"/>
    <w:rsid w:val="005F1261"/>
    <w:rsid w:val="005F5027"/>
    <w:rsid w:val="005F6C8E"/>
    <w:rsid w:val="0060005F"/>
    <w:rsid w:val="006003CC"/>
    <w:rsid w:val="00602315"/>
    <w:rsid w:val="006023BE"/>
    <w:rsid w:val="00602FD3"/>
    <w:rsid w:val="00603E1D"/>
    <w:rsid w:val="00612F7A"/>
    <w:rsid w:val="00614E46"/>
    <w:rsid w:val="00622555"/>
    <w:rsid w:val="00622D99"/>
    <w:rsid w:val="00624B10"/>
    <w:rsid w:val="006255BA"/>
    <w:rsid w:val="00626782"/>
    <w:rsid w:val="006279EA"/>
    <w:rsid w:val="006319E6"/>
    <w:rsid w:val="006346C9"/>
    <w:rsid w:val="00635F79"/>
    <w:rsid w:val="006360C4"/>
    <w:rsid w:val="00637C61"/>
    <w:rsid w:val="006433C5"/>
    <w:rsid w:val="00644FDD"/>
    <w:rsid w:val="0065600B"/>
    <w:rsid w:val="0065719B"/>
    <w:rsid w:val="0066039D"/>
    <w:rsid w:val="006615C5"/>
    <w:rsid w:val="0066322F"/>
    <w:rsid w:val="006633A1"/>
    <w:rsid w:val="00664B7E"/>
    <w:rsid w:val="00666C26"/>
    <w:rsid w:val="0067193D"/>
    <w:rsid w:val="006726B8"/>
    <w:rsid w:val="00676661"/>
    <w:rsid w:val="00676BD9"/>
    <w:rsid w:val="006824BB"/>
    <w:rsid w:val="00684207"/>
    <w:rsid w:val="00684C46"/>
    <w:rsid w:val="006851F8"/>
    <w:rsid w:val="00692583"/>
    <w:rsid w:val="0069559D"/>
    <w:rsid w:val="006969B7"/>
    <w:rsid w:val="00697A26"/>
    <w:rsid w:val="006B0494"/>
    <w:rsid w:val="006B147B"/>
    <w:rsid w:val="006B1B06"/>
    <w:rsid w:val="006B40E5"/>
    <w:rsid w:val="006B4B1B"/>
    <w:rsid w:val="006B4DB6"/>
    <w:rsid w:val="006C6C8C"/>
    <w:rsid w:val="006D2842"/>
    <w:rsid w:val="006D39E9"/>
    <w:rsid w:val="006E37F8"/>
    <w:rsid w:val="006E58DA"/>
    <w:rsid w:val="006F0594"/>
    <w:rsid w:val="006F182B"/>
    <w:rsid w:val="006F5816"/>
    <w:rsid w:val="006F6496"/>
    <w:rsid w:val="006F6B4C"/>
    <w:rsid w:val="006F6B8C"/>
    <w:rsid w:val="007027CD"/>
    <w:rsid w:val="00713ED7"/>
    <w:rsid w:val="00721B43"/>
    <w:rsid w:val="00726210"/>
    <w:rsid w:val="007277A3"/>
    <w:rsid w:val="007300C5"/>
    <w:rsid w:val="00731888"/>
    <w:rsid w:val="00746F67"/>
    <w:rsid w:val="00747525"/>
    <w:rsid w:val="00747839"/>
    <w:rsid w:val="007531A9"/>
    <w:rsid w:val="0075693B"/>
    <w:rsid w:val="0076052B"/>
    <w:rsid w:val="00761E15"/>
    <w:rsid w:val="00762311"/>
    <w:rsid w:val="00764BB0"/>
    <w:rsid w:val="00767EE0"/>
    <w:rsid w:val="00781040"/>
    <w:rsid w:val="007825EE"/>
    <w:rsid w:val="00784143"/>
    <w:rsid w:val="00785862"/>
    <w:rsid w:val="00786419"/>
    <w:rsid w:val="00787F66"/>
    <w:rsid w:val="007913D6"/>
    <w:rsid w:val="00795E32"/>
    <w:rsid w:val="007A0537"/>
    <w:rsid w:val="007A05DE"/>
    <w:rsid w:val="007A0AC7"/>
    <w:rsid w:val="007B61C8"/>
    <w:rsid w:val="007B69CC"/>
    <w:rsid w:val="007C01BC"/>
    <w:rsid w:val="007C1DBC"/>
    <w:rsid w:val="007C2627"/>
    <w:rsid w:val="007C7240"/>
    <w:rsid w:val="007C7FEB"/>
    <w:rsid w:val="007D271D"/>
    <w:rsid w:val="007D457E"/>
    <w:rsid w:val="007D63FD"/>
    <w:rsid w:val="007D65B4"/>
    <w:rsid w:val="007E1486"/>
    <w:rsid w:val="007E3688"/>
    <w:rsid w:val="007E4668"/>
    <w:rsid w:val="007F0052"/>
    <w:rsid w:val="007F1352"/>
    <w:rsid w:val="007F2543"/>
    <w:rsid w:val="007F31B8"/>
    <w:rsid w:val="007F3D26"/>
    <w:rsid w:val="007F783D"/>
    <w:rsid w:val="008075A4"/>
    <w:rsid w:val="00813A29"/>
    <w:rsid w:val="008201AD"/>
    <w:rsid w:val="008245B0"/>
    <w:rsid w:val="008339FC"/>
    <w:rsid w:val="00834368"/>
    <w:rsid w:val="00840991"/>
    <w:rsid w:val="008410A6"/>
    <w:rsid w:val="0084129B"/>
    <w:rsid w:val="00841DB3"/>
    <w:rsid w:val="00842599"/>
    <w:rsid w:val="00844F85"/>
    <w:rsid w:val="00846737"/>
    <w:rsid w:val="00850EEB"/>
    <w:rsid w:val="00853964"/>
    <w:rsid w:val="00853A4C"/>
    <w:rsid w:val="008541F1"/>
    <w:rsid w:val="0085464F"/>
    <w:rsid w:val="008572FF"/>
    <w:rsid w:val="00872153"/>
    <w:rsid w:val="008759E0"/>
    <w:rsid w:val="00887A17"/>
    <w:rsid w:val="00897806"/>
    <w:rsid w:val="00897BDC"/>
    <w:rsid w:val="008A03E3"/>
    <w:rsid w:val="008A0AEE"/>
    <w:rsid w:val="008A14B3"/>
    <w:rsid w:val="008A2C45"/>
    <w:rsid w:val="008A7AC9"/>
    <w:rsid w:val="008A7B41"/>
    <w:rsid w:val="008B2976"/>
    <w:rsid w:val="008B5D4B"/>
    <w:rsid w:val="008B6A5C"/>
    <w:rsid w:val="008C0C80"/>
    <w:rsid w:val="008C1A2C"/>
    <w:rsid w:val="008C2BE9"/>
    <w:rsid w:val="008C6FA3"/>
    <w:rsid w:val="008C74E9"/>
    <w:rsid w:val="008D12F9"/>
    <w:rsid w:val="008D2CB2"/>
    <w:rsid w:val="008D499D"/>
    <w:rsid w:val="008D4E79"/>
    <w:rsid w:val="008D7178"/>
    <w:rsid w:val="008D7C7E"/>
    <w:rsid w:val="008E0FB7"/>
    <w:rsid w:val="008E359C"/>
    <w:rsid w:val="008E617A"/>
    <w:rsid w:val="008E7A91"/>
    <w:rsid w:val="008F0A56"/>
    <w:rsid w:val="008F2B07"/>
    <w:rsid w:val="008F3062"/>
    <w:rsid w:val="008F6D96"/>
    <w:rsid w:val="008F7D0B"/>
    <w:rsid w:val="00903516"/>
    <w:rsid w:val="00904491"/>
    <w:rsid w:val="00904ED4"/>
    <w:rsid w:val="009134DE"/>
    <w:rsid w:val="00923F06"/>
    <w:rsid w:val="009375C8"/>
    <w:rsid w:val="00940568"/>
    <w:rsid w:val="00944825"/>
    <w:rsid w:val="00945380"/>
    <w:rsid w:val="00950178"/>
    <w:rsid w:val="009503D3"/>
    <w:rsid w:val="00952CC7"/>
    <w:rsid w:val="00954A31"/>
    <w:rsid w:val="00956282"/>
    <w:rsid w:val="00957D5B"/>
    <w:rsid w:val="00960B10"/>
    <w:rsid w:val="009617AF"/>
    <w:rsid w:val="00962DDC"/>
    <w:rsid w:val="00964742"/>
    <w:rsid w:val="00966991"/>
    <w:rsid w:val="00967ED9"/>
    <w:rsid w:val="00971BDC"/>
    <w:rsid w:val="00971C27"/>
    <w:rsid w:val="00973075"/>
    <w:rsid w:val="0097614E"/>
    <w:rsid w:val="0097702A"/>
    <w:rsid w:val="00981525"/>
    <w:rsid w:val="009841DA"/>
    <w:rsid w:val="009906C8"/>
    <w:rsid w:val="009912E4"/>
    <w:rsid w:val="00991F02"/>
    <w:rsid w:val="00995E14"/>
    <w:rsid w:val="009A2527"/>
    <w:rsid w:val="009A4664"/>
    <w:rsid w:val="009B3075"/>
    <w:rsid w:val="009B72ED"/>
    <w:rsid w:val="009B7BD4"/>
    <w:rsid w:val="009C0834"/>
    <w:rsid w:val="009D037E"/>
    <w:rsid w:val="009D04FF"/>
    <w:rsid w:val="009D469D"/>
    <w:rsid w:val="009D4A9E"/>
    <w:rsid w:val="009D4D07"/>
    <w:rsid w:val="009D673F"/>
    <w:rsid w:val="009E0C3E"/>
    <w:rsid w:val="009E1447"/>
    <w:rsid w:val="009E2C41"/>
    <w:rsid w:val="009E3D8A"/>
    <w:rsid w:val="009E5B8F"/>
    <w:rsid w:val="009F6EEE"/>
    <w:rsid w:val="00A0013A"/>
    <w:rsid w:val="00A00FCD"/>
    <w:rsid w:val="00A01DA5"/>
    <w:rsid w:val="00A101CD"/>
    <w:rsid w:val="00A11621"/>
    <w:rsid w:val="00A1492F"/>
    <w:rsid w:val="00A20A48"/>
    <w:rsid w:val="00A22D8E"/>
    <w:rsid w:val="00A271EF"/>
    <w:rsid w:val="00A300C5"/>
    <w:rsid w:val="00A30D51"/>
    <w:rsid w:val="00A35A23"/>
    <w:rsid w:val="00A42EA5"/>
    <w:rsid w:val="00A43D4E"/>
    <w:rsid w:val="00A448D7"/>
    <w:rsid w:val="00A519BA"/>
    <w:rsid w:val="00A56CA9"/>
    <w:rsid w:val="00A60A3A"/>
    <w:rsid w:val="00A60DB3"/>
    <w:rsid w:val="00A67EBE"/>
    <w:rsid w:val="00A761DD"/>
    <w:rsid w:val="00A84B41"/>
    <w:rsid w:val="00A84D50"/>
    <w:rsid w:val="00A868FA"/>
    <w:rsid w:val="00A8707A"/>
    <w:rsid w:val="00A91375"/>
    <w:rsid w:val="00A91E7A"/>
    <w:rsid w:val="00A92E41"/>
    <w:rsid w:val="00A95437"/>
    <w:rsid w:val="00AA15D9"/>
    <w:rsid w:val="00AA34D9"/>
    <w:rsid w:val="00AA3653"/>
    <w:rsid w:val="00AA5ADB"/>
    <w:rsid w:val="00AB3D6E"/>
    <w:rsid w:val="00AB4DB4"/>
    <w:rsid w:val="00AB58B9"/>
    <w:rsid w:val="00AB6088"/>
    <w:rsid w:val="00AC25DE"/>
    <w:rsid w:val="00AC2667"/>
    <w:rsid w:val="00AC26B9"/>
    <w:rsid w:val="00AC27BA"/>
    <w:rsid w:val="00AC5E30"/>
    <w:rsid w:val="00AC7BAE"/>
    <w:rsid w:val="00AD0DFB"/>
    <w:rsid w:val="00AD0E39"/>
    <w:rsid w:val="00AD2F56"/>
    <w:rsid w:val="00AE2CDD"/>
    <w:rsid w:val="00AE5529"/>
    <w:rsid w:val="00AF6B94"/>
    <w:rsid w:val="00B01B56"/>
    <w:rsid w:val="00B049F2"/>
    <w:rsid w:val="00B065C8"/>
    <w:rsid w:val="00B13DDC"/>
    <w:rsid w:val="00B15672"/>
    <w:rsid w:val="00B16C85"/>
    <w:rsid w:val="00B20C24"/>
    <w:rsid w:val="00B26869"/>
    <w:rsid w:val="00B26CF0"/>
    <w:rsid w:val="00B30141"/>
    <w:rsid w:val="00B30EC3"/>
    <w:rsid w:val="00B3504A"/>
    <w:rsid w:val="00B35CFF"/>
    <w:rsid w:val="00B372BE"/>
    <w:rsid w:val="00B40C4C"/>
    <w:rsid w:val="00B42503"/>
    <w:rsid w:val="00B466F3"/>
    <w:rsid w:val="00B47379"/>
    <w:rsid w:val="00B477E7"/>
    <w:rsid w:val="00B52960"/>
    <w:rsid w:val="00B56990"/>
    <w:rsid w:val="00B61A59"/>
    <w:rsid w:val="00B62F24"/>
    <w:rsid w:val="00B72380"/>
    <w:rsid w:val="00B74497"/>
    <w:rsid w:val="00B75FC8"/>
    <w:rsid w:val="00B82D03"/>
    <w:rsid w:val="00B835C9"/>
    <w:rsid w:val="00B84479"/>
    <w:rsid w:val="00B846D9"/>
    <w:rsid w:val="00B84909"/>
    <w:rsid w:val="00B865D3"/>
    <w:rsid w:val="00B87EC7"/>
    <w:rsid w:val="00B9063A"/>
    <w:rsid w:val="00B90B21"/>
    <w:rsid w:val="00B91B16"/>
    <w:rsid w:val="00B925A5"/>
    <w:rsid w:val="00B946B0"/>
    <w:rsid w:val="00B963EA"/>
    <w:rsid w:val="00B96E90"/>
    <w:rsid w:val="00B970C8"/>
    <w:rsid w:val="00BA0CF4"/>
    <w:rsid w:val="00BA2347"/>
    <w:rsid w:val="00BA254E"/>
    <w:rsid w:val="00BA2E8E"/>
    <w:rsid w:val="00BA4178"/>
    <w:rsid w:val="00BA522A"/>
    <w:rsid w:val="00BA771B"/>
    <w:rsid w:val="00BC1A29"/>
    <w:rsid w:val="00BC4187"/>
    <w:rsid w:val="00BC756F"/>
    <w:rsid w:val="00BC7DF7"/>
    <w:rsid w:val="00BD0085"/>
    <w:rsid w:val="00BD09CD"/>
    <w:rsid w:val="00BD0A89"/>
    <w:rsid w:val="00BD66DA"/>
    <w:rsid w:val="00BD72FD"/>
    <w:rsid w:val="00BD7690"/>
    <w:rsid w:val="00BF006F"/>
    <w:rsid w:val="00BF11A8"/>
    <w:rsid w:val="00BF29F3"/>
    <w:rsid w:val="00BF4265"/>
    <w:rsid w:val="00C00338"/>
    <w:rsid w:val="00C00E8A"/>
    <w:rsid w:val="00C01A0C"/>
    <w:rsid w:val="00C06243"/>
    <w:rsid w:val="00C10B04"/>
    <w:rsid w:val="00C10B5F"/>
    <w:rsid w:val="00C1109E"/>
    <w:rsid w:val="00C1113F"/>
    <w:rsid w:val="00C11BD0"/>
    <w:rsid w:val="00C1527D"/>
    <w:rsid w:val="00C15760"/>
    <w:rsid w:val="00C25BC9"/>
    <w:rsid w:val="00C26473"/>
    <w:rsid w:val="00C26C71"/>
    <w:rsid w:val="00C274BD"/>
    <w:rsid w:val="00C301BF"/>
    <w:rsid w:val="00C35F01"/>
    <w:rsid w:val="00C36B75"/>
    <w:rsid w:val="00C4045E"/>
    <w:rsid w:val="00C40EA6"/>
    <w:rsid w:val="00C43A9C"/>
    <w:rsid w:val="00C47141"/>
    <w:rsid w:val="00C5189E"/>
    <w:rsid w:val="00C51E15"/>
    <w:rsid w:val="00C52A01"/>
    <w:rsid w:val="00C5388B"/>
    <w:rsid w:val="00C57B84"/>
    <w:rsid w:val="00C60B9C"/>
    <w:rsid w:val="00C630E4"/>
    <w:rsid w:val="00C6361B"/>
    <w:rsid w:val="00C639BA"/>
    <w:rsid w:val="00C677A0"/>
    <w:rsid w:val="00C736C5"/>
    <w:rsid w:val="00C803AE"/>
    <w:rsid w:val="00C8343C"/>
    <w:rsid w:val="00C857CB"/>
    <w:rsid w:val="00C8740F"/>
    <w:rsid w:val="00C9006C"/>
    <w:rsid w:val="00C91A9C"/>
    <w:rsid w:val="00C94FE9"/>
    <w:rsid w:val="00C95668"/>
    <w:rsid w:val="00C975E8"/>
    <w:rsid w:val="00CA1684"/>
    <w:rsid w:val="00CB1414"/>
    <w:rsid w:val="00CB2946"/>
    <w:rsid w:val="00CC0EAA"/>
    <w:rsid w:val="00CD3367"/>
    <w:rsid w:val="00CE0E71"/>
    <w:rsid w:val="00CE18A7"/>
    <w:rsid w:val="00CE21C0"/>
    <w:rsid w:val="00CE69C2"/>
    <w:rsid w:val="00CE6C85"/>
    <w:rsid w:val="00CE7198"/>
    <w:rsid w:val="00CF1C0B"/>
    <w:rsid w:val="00CF4C9A"/>
    <w:rsid w:val="00D02B88"/>
    <w:rsid w:val="00D117D2"/>
    <w:rsid w:val="00D12304"/>
    <w:rsid w:val="00D125BE"/>
    <w:rsid w:val="00D14C67"/>
    <w:rsid w:val="00D2061C"/>
    <w:rsid w:val="00D22BC7"/>
    <w:rsid w:val="00D25DD6"/>
    <w:rsid w:val="00D27A6D"/>
    <w:rsid w:val="00D354A3"/>
    <w:rsid w:val="00D377A4"/>
    <w:rsid w:val="00D41358"/>
    <w:rsid w:val="00D44EF3"/>
    <w:rsid w:val="00D555DA"/>
    <w:rsid w:val="00D60268"/>
    <w:rsid w:val="00D6426F"/>
    <w:rsid w:val="00D65830"/>
    <w:rsid w:val="00D72FD3"/>
    <w:rsid w:val="00D73D8F"/>
    <w:rsid w:val="00D75BEF"/>
    <w:rsid w:val="00D76206"/>
    <w:rsid w:val="00D769F9"/>
    <w:rsid w:val="00D80512"/>
    <w:rsid w:val="00D86BE4"/>
    <w:rsid w:val="00D8785B"/>
    <w:rsid w:val="00D87CD4"/>
    <w:rsid w:val="00DA04AE"/>
    <w:rsid w:val="00DA2196"/>
    <w:rsid w:val="00DA29F2"/>
    <w:rsid w:val="00DA3473"/>
    <w:rsid w:val="00DA510B"/>
    <w:rsid w:val="00DB6E91"/>
    <w:rsid w:val="00DB7937"/>
    <w:rsid w:val="00DC1E22"/>
    <w:rsid w:val="00DD1068"/>
    <w:rsid w:val="00DD353F"/>
    <w:rsid w:val="00DD37E9"/>
    <w:rsid w:val="00DD4638"/>
    <w:rsid w:val="00DD649B"/>
    <w:rsid w:val="00DD7590"/>
    <w:rsid w:val="00DE45F6"/>
    <w:rsid w:val="00DE54B3"/>
    <w:rsid w:val="00DE6825"/>
    <w:rsid w:val="00DF0B59"/>
    <w:rsid w:val="00DF4F52"/>
    <w:rsid w:val="00E00C39"/>
    <w:rsid w:val="00E01FB4"/>
    <w:rsid w:val="00E06611"/>
    <w:rsid w:val="00E11244"/>
    <w:rsid w:val="00E14A94"/>
    <w:rsid w:val="00E16CAE"/>
    <w:rsid w:val="00E16D26"/>
    <w:rsid w:val="00E225E2"/>
    <w:rsid w:val="00E23614"/>
    <w:rsid w:val="00E31B70"/>
    <w:rsid w:val="00E337CD"/>
    <w:rsid w:val="00E340AC"/>
    <w:rsid w:val="00E343A6"/>
    <w:rsid w:val="00E3487C"/>
    <w:rsid w:val="00E36265"/>
    <w:rsid w:val="00E41063"/>
    <w:rsid w:val="00E425D1"/>
    <w:rsid w:val="00E42FB7"/>
    <w:rsid w:val="00E46BC1"/>
    <w:rsid w:val="00E46E1B"/>
    <w:rsid w:val="00E515DB"/>
    <w:rsid w:val="00E53610"/>
    <w:rsid w:val="00E54EF6"/>
    <w:rsid w:val="00E54F7C"/>
    <w:rsid w:val="00E6711E"/>
    <w:rsid w:val="00E72314"/>
    <w:rsid w:val="00E72F7F"/>
    <w:rsid w:val="00E73A10"/>
    <w:rsid w:val="00E77D9E"/>
    <w:rsid w:val="00E8788F"/>
    <w:rsid w:val="00E90CD8"/>
    <w:rsid w:val="00E928E6"/>
    <w:rsid w:val="00E9325C"/>
    <w:rsid w:val="00E943A7"/>
    <w:rsid w:val="00EA406E"/>
    <w:rsid w:val="00EA52D3"/>
    <w:rsid w:val="00EA7890"/>
    <w:rsid w:val="00EB1B72"/>
    <w:rsid w:val="00EB1C60"/>
    <w:rsid w:val="00EB2329"/>
    <w:rsid w:val="00EB37A0"/>
    <w:rsid w:val="00EB6682"/>
    <w:rsid w:val="00EC2B5C"/>
    <w:rsid w:val="00EC3FEC"/>
    <w:rsid w:val="00EC5ECF"/>
    <w:rsid w:val="00ED3727"/>
    <w:rsid w:val="00ED3FF4"/>
    <w:rsid w:val="00ED495A"/>
    <w:rsid w:val="00ED5FCC"/>
    <w:rsid w:val="00EE3149"/>
    <w:rsid w:val="00EE550A"/>
    <w:rsid w:val="00EE6A3F"/>
    <w:rsid w:val="00EE6F7F"/>
    <w:rsid w:val="00EF25B0"/>
    <w:rsid w:val="00EF3F67"/>
    <w:rsid w:val="00EF402C"/>
    <w:rsid w:val="00EF5820"/>
    <w:rsid w:val="00F01EF1"/>
    <w:rsid w:val="00F02B7A"/>
    <w:rsid w:val="00F04A81"/>
    <w:rsid w:val="00F05319"/>
    <w:rsid w:val="00F131CA"/>
    <w:rsid w:val="00F16E0C"/>
    <w:rsid w:val="00F405B7"/>
    <w:rsid w:val="00F40E9A"/>
    <w:rsid w:val="00F430D8"/>
    <w:rsid w:val="00F468EF"/>
    <w:rsid w:val="00F51E60"/>
    <w:rsid w:val="00F52D4F"/>
    <w:rsid w:val="00F53EF3"/>
    <w:rsid w:val="00F54A59"/>
    <w:rsid w:val="00F5505A"/>
    <w:rsid w:val="00F55C1D"/>
    <w:rsid w:val="00F57768"/>
    <w:rsid w:val="00F62916"/>
    <w:rsid w:val="00F629CF"/>
    <w:rsid w:val="00F63D9A"/>
    <w:rsid w:val="00F64A71"/>
    <w:rsid w:val="00F6772D"/>
    <w:rsid w:val="00F67DD6"/>
    <w:rsid w:val="00F8074E"/>
    <w:rsid w:val="00F846DF"/>
    <w:rsid w:val="00FA02D2"/>
    <w:rsid w:val="00FA1503"/>
    <w:rsid w:val="00FA25C2"/>
    <w:rsid w:val="00FA49B1"/>
    <w:rsid w:val="00FA6CA8"/>
    <w:rsid w:val="00FB743C"/>
    <w:rsid w:val="00FD0886"/>
    <w:rsid w:val="00FD307B"/>
    <w:rsid w:val="00FD3706"/>
    <w:rsid w:val="00FE68E4"/>
    <w:rsid w:val="00FE6B66"/>
    <w:rsid w:val="00FF158F"/>
    <w:rsid w:val="00FF2C60"/>
    <w:rsid w:val="00FF30D4"/>
    <w:rsid w:val="00FF34A3"/>
    <w:rsid w:val="00FF54AE"/>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2F297160"/>
  <w15:chartTrackingRefBased/>
  <w15:docId w15:val="{8B6FC921-1C71-4C6A-B734-97D0274C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paragraph" w:styleId="BalloonText">
    <w:name w:val="Balloon Text"/>
    <w:basedOn w:val="Normal"/>
    <w:link w:val="BalloonTextChar"/>
    <w:rsid w:val="008B6A5C"/>
    <w:rPr>
      <w:rFonts w:ascii="Tahoma" w:hAnsi="Tahoma" w:cs="Tahoma"/>
      <w:sz w:val="16"/>
      <w:szCs w:val="16"/>
    </w:rPr>
  </w:style>
  <w:style w:type="character" w:customStyle="1" w:styleId="BalloonTextChar">
    <w:name w:val="Balloon Text Char"/>
    <w:link w:val="BalloonText"/>
    <w:rsid w:val="008B6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gov.uk/guidance/object-to-a-public-right-of-way-ord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v.uk/guidance/object-to-a-public-right-of-way-or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3C06219B-6936-4BBD-B132-DCEC74B4DC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7AEA79-CA1E-48A2-B8BD-F8635CFBBADF}">
  <ds:schemaRefs>
    <ds:schemaRef ds:uri="http://schemas.microsoft.com/sharepoint/v3/contenttype/forms"/>
  </ds:schemaRefs>
</ds:datastoreItem>
</file>

<file path=customXml/itemProps3.xml><?xml version="1.0" encoding="utf-8"?>
<ds:datastoreItem xmlns:ds="http://schemas.openxmlformats.org/officeDocument/2006/customXml" ds:itemID="{562E12B8-87D2-4CB2-9724-D63D78334375}"/>
</file>

<file path=customXml/itemProps4.xml><?xml version="1.0" encoding="utf-8"?>
<ds:datastoreItem xmlns:ds="http://schemas.openxmlformats.org/officeDocument/2006/customXml" ds:itemID="{D59FE378-A8AF-44E8-980C-967BCE9ED0F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3</TotalTime>
  <Pages>6</Pages>
  <Words>2476</Words>
  <Characters>11558</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14006</CharactersWithSpaces>
  <SharedDoc>false</SharedDoc>
  <HLinks>
    <vt:vector size="12" baseType="variant">
      <vt:variant>
        <vt:i4>5505116</vt:i4>
      </vt:variant>
      <vt:variant>
        <vt:i4>8</vt:i4>
      </vt:variant>
      <vt:variant>
        <vt:i4>0</vt:i4>
      </vt:variant>
      <vt:variant>
        <vt:i4>5</vt:i4>
      </vt:variant>
      <vt:variant>
        <vt:lpwstr>http://www.gov.uk/guidance/object-to-a-public-right-of-way-order</vt:lpwstr>
      </vt:variant>
      <vt:variant>
        <vt:lpwstr/>
      </vt:variant>
      <vt:variant>
        <vt:i4>5505116</vt:i4>
      </vt:variant>
      <vt:variant>
        <vt:i4>2</vt:i4>
      </vt:variant>
      <vt:variant>
        <vt:i4>0</vt:i4>
      </vt:variant>
      <vt:variant>
        <vt:i4>5</vt:i4>
      </vt:variant>
      <vt:variant>
        <vt:lpwstr>http://www.gov.uk/guidance/object-to-a-public-right-of-way-order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Martin Elliott</dc:creator>
  <cp:keywords/>
  <cp:lastModifiedBy>Cook, Robert</cp:lastModifiedBy>
  <cp:revision>4</cp:revision>
  <cp:lastPrinted>2017-07-25T15:54:00Z</cp:lastPrinted>
  <dcterms:created xsi:type="dcterms:W3CDTF">2022-05-11T08:52:00Z</dcterms:created>
  <dcterms:modified xsi:type="dcterms:W3CDTF">2022-05-11T09:13:00Z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64dec578-6a99-4c6e-9061-4ee554de8cbd</vt:lpwstr>
  </property>
  <property fmtid="{D5CDD505-2E9C-101B-9397-08002B2CF9AE}" pid="6" name="bjSaver">
    <vt:lpwstr>RI5c9/ORO0M3Jj9fwTumn5FfqTQxtfxg</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