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100E" w14:textId="2513FB91" w:rsidR="00C779E8" w:rsidRDefault="00CD6684">
      <w:r>
        <w:rPr>
          <w:noProof/>
        </w:rPr>
        <w:drawing>
          <wp:inline distT="0" distB="0" distL="0" distR="0" wp14:anchorId="7EE02D16" wp14:editId="7AE3A737">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6103AC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45608C36" w14:textId="77777777">
        <w:tblPrEx>
          <w:tblCellMar>
            <w:top w:w="0" w:type="dxa"/>
            <w:bottom w:w="0" w:type="dxa"/>
          </w:tblCellMar>
        </w:tblPrEx>
        <w:trPr>
          <w:cantSplit/>
          <w:trHeight w:val="659"/>
        </w:trPr>
        <w:tc>
          <w:tcPr>
            <w:tcW w:w="9356" w:type="dxa"/>
          </w:tcPr>
          <w:p w14:paraId="6509D5EB"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409B9F55" w14:textId="77777777">
        <w:tblPrEx>
          <w:tblCellMar>
            <w:top w:w="0" w:type="dxa"/>
            <w:bottom w:w="0" w:type="dxa"/>
          </w:tblCellMar>
        </w:tblPrEx>
        <w:trPr>
          <w:cantSplit/>
          <w:trHeight w:val="374"/>
        </w:trPr>
        <w:tc>
          <w:tcPr>
            <w:tcW w:w="9356" w:type="dxa"/>
          </w:tcPr>
          <w:p w14:paraId="23EFC66A" w14:textId="77777777" w:rsidR="00C779E8" w:rsidRDefault="00C779E8" w:rsidP="00D25177">
            <w:pPr>
              <w:spacing w:before="120"/>
              <w:ind w:left="-108" w:right="34"/>
              <w:rPr>
                <w:b/>
                <w:color w:val="000000"/>
                <w:sz w:val="16"/>
                <w:szCs w:val="22"/>
              </w:rPr>
            </w:pPr>
            <w:r>
              <w:rPr>
                <w:b/>
                <w:color w:val="000000"/>
                <w:szCs w:val="22"/>
              </w:rPr>
              <w:t xml:space="preserve">by </w:t>
            </w:r>
            <w:r w:rsidR="005D0DCE">
              <w:rPr>
                <w:b/>
                <w:color w:val="000000"/>
                <w:szCs w:val="22"/>
              </w:rPr>
              <w:t>C Beeby BA (Hons) MIPROW</w:t>
            </w:r>
          </w:p>
        </w:tc>
      </w:tr>
      <w:tr w:rsidR="00C779E8" w14:paraId="7FC933D2" w14:textId="77777777">
        <w:tblPrEx>
          <w:tblCellMar>
            <w:top w:w="0" w:type="dxa"/>
            <w:bottom w:w="0" w:type="dxa"/>
          </w:tblCellMar>
        </w:tblPrEx>
        <w:trPr>
          <w:cantSplit/>
          <w:trHeight w:val="357"/>
        </w:trPr>
        <w:tc>
          <w:tcPr>
            <w:tcW w:w="9356" w:type="dxa"/>
          </w:tcPr>
          <w:p w14:paraId="2D3C5D04"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02388532" w14:textId="77777777" w:rsidTr="00D25177">
        <w:tblPrEx>
          <w:tblCellMar>
            <w:top w:w="0" w:type="dxa"/>
            <w:bottom w:w="0" w:type="dxa"/>
          </w:tblCellMar>
        </w:tblPrEx>
        <w:trPr>
          <w:cantSplit/>
          <w:trHeight w:val="434"/>
        </w:trPr>
        <w:tc>
          <w:tcPr>
            <w:tcW w:w="9356" w:type="dxa"/>
          </w:tcPr>
          <w:p w14:paraId="64D60988" w14:textId="77777777" w:rsidR="00C779E8" w:rsidRDefault="00C779E8">
            <w:pPr>
              <w:spacing w:before="120"/>
              <w:ind w:left="-108" w:right="176"/>
              <w:rPr>
                <w:b/>
                <w:color w:val="000000"/>
                <w:sz w:val="16"/>
                <w:szCs w:val="16"/>
              </w:rPr>
            </w:pPr>
            <w:r>
              <w:rPr>
                <w:b/>
                <w:color w:val="000000"/>
                <w:sz w:val="16"/>
                <w:szCs w:val="16"/>
              </w:rPr>
              <w:t xml:space="preserve">Decision date: </w:t>
            </w:r>
            <w:r w:rsidR="00C846E3">
              <w:rPr>
                <w:b/>
                <w:color w:val="000000"/>
                <w:sz w:val="16"/>
                <w:szCs w:val="16"/>
              </w:rPr>
              <w:t>8 June 2022</w:t>
            </w:r>
          </w:p>
        </w:tc>
      </w:tr>
    </w:tbl>
    <w:p w14:paraId="4D5A7A06"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rsidRPr="000A62A8" w14:paraId="502376EA" w14:textId="77777777">
        <w:tblPrEx>
          <w:tblCellMar>
            <w:top w:w="0" w:type="dxa"/>
            <w:bottom w:w="0" w:type="dxa"/>
          </w:tblCellMar>
        </w:tblPrEx>
        <w:tc>
          <w:tcPr>
            <w:tcW w:w="9520" w:type="dxa"/>
          </w:tcPr>
          <w:p w14:paraId="23080E20" w14:textId="77777777" w:rsidR="00C779E8" w:rsidRPr="000A62A8" w:rsidRDefault="00C779E8">
            <w:pPr>
              <w:spacing w:after="60"/>
              <w:rPr>
                <w:b/>
              </w:rPr>
            </w:pPr>
            <w:r w:rsidRPr="000A62A8">
              <w:rPr>
                <w:b/>
              </w:rPr>
              <w:t>Ref: FPS/</w:t>
            </w:r>
            <w:r w:rsidR="000A62A8" w:rsidRPr="000A62A8">
              <w:rPr>
                <w:b/>
              </w:rPr>
              <w:t>V3500/14D/23</w:t>
            </w:r>
          </w:p>
          <w:p w14:paraId="0712B938" w14:textId="77777777" w:rsidR="00C779E8" w:rsidRPr="000A62A8" w:rsidRDefault="00C779E8">
            <w:pPr>
              <w:spacing w:after="60"/>
              <w:rPr>
                <w:b/>
              </w:rPr>
            </w:pPr>
            <w:r w:rsidRPr="000A62A8">
              <w:rPr>
                <w:b/>
              </w:rPr>
              <w:t xml:space="preserve">Representation by </w:t>
            </w:r>
            <w:r w:rsidR="000A62A8" w:rsidRPr="000A62A8">
              <w:rPr>
                <w:b/>
              </w:rPr>
              <w:t>John Andrews</w:t>
            </w:r>
          </w:p>
          <w:p w14:paraId="745859C7" w14:textId="77777777" w:rsidR="00C779E8" w:rsidRPr="000A62A8" w:rsidRDefault="000A62A8">
            <w:pPr>
              <w:spacing w:after="60"/>
              <w:rPr>
                <w:b/>
              </w:rPr>
            </w:pPr>
            <w:r w:rsidRPr="000A62A8">
              <w:rPr>
                <w:b/>
              </w:rPr>
              <w:t>Suffolk</w:t>
            </w:r>
            <w:r w:rsidR="00E70974" w:rsidRPr="000A62A8">
              <w:rPr>
                <w:b/>
              </w:rPr>
              <w:t xml:space="preserve"> County</w:t>
            </w:r>
            <w:r w:rsidR="00C779E8" w:rsidRPr="000A62A8">
              <w:rPr>
                <w:b/>
              </w:rPr>
              <w:t xml:space="preserve"> Council</w:t>
            </w:r>
          </w:p>
          <w:p w14:paraId="7C792F96" w14:textId="77777777" w:rsidR="00C779E8" w:rsidRPr="00D91E79" w:rsidRDefault="00E70974">
            <w:pPr>
              <w:spacing w:after="60"/>
              <w:rPr>
                <w:b/>
              </w:rPr>
            </w:pPr>
            <w:r w:rsidRPr="00D91E79">
              <w:rPr>
                <w:b/>
              </w:rPr>
              <w:t xml:space="preserve">Application to </w:t>
            </w:r>
            <w:r w:rsidR="000A62A8" w:rsidRPr="00D91E79">
              <w:rPr>
                <w:b/>
              </w:rPr>
              <w:t>add a public footpath along the line of the U 8307 road</w:t>
            </w:r>
            <w:r w:rsidR="00CB086F">
              <w:rPr>
                <w:b/>
              </w:rPr>
              <w:t xml:space="preserve">, parishes of </w:t>
            </w:r>
            <w:proofErr w:type="spellStart"/>
            <w:r w:rsidR="00CB086F">
              <w:rPr>
                <w:b/>
              </w:rPr>
              <w:t>Chelsworth</w:t>
            </w:r>
            <w:proofErr w:type="spellEnd"/>
            <w:r w:rsidR="00CB086F">
              <w:rPr>
                <w:b/>
              </w:rPr>
              <w:t xml:space="preserve"> and </w:t>
            </w:r>
            <w:proofErr w:type="spellStart"/>
            <w:r w:rsidR="00CB086F">
              <w:rPr>
                <w:b/>
              </w:rPr>
              <w:t>Nedging</w:t>
            </w:r>
            <w:proofErr w:type="spellEnd"/>
            <w:r w:rsidR="00CB086F">
              <w:rPr>
                <w:b/>
              </w:rPr>
              <w:t xml:space="preserve"> with Naughton</w:t>
            </w:r>
            <w:r w:rsidRPr="00D91E79">
              <w:rPr>
                <w:b/>
              </w:rPr>
              <w:t xml:space="preserve"> </w:t>
            </w:r>
            <w:r w:rsidR="00C779E8" w:rsidRPr="00D91E79">
              <w:rPr>
                <w:b/>
              </w:rPr>
              <w:t>(O</w:t>
            </w:r>
            <w:r w:rsidR="001C3557" w:rsidRPr="00D91E79">
              <w:rPr>
                <w:b/>
              </w:rPr>
              <w:t xml:space="preserve">rder </w:t>
            </w:r>
            <w:r w:rsidR="00C779E8" w:rsidRPr="00D91E79">
              <w:rPr>
                <w:b/>
              </w:rPr>
              <w:t>M</w:t>
            </w:r>
            <w:r w:rsidR="001C3557" w:rsidRPr="00D91E79">
              <w:rPr>
                <w:b/>
              </w:rPr>
              <w:t xml:space="preserve">aking </w:t>
            </w:r>
            <w:r w:rsidR="00C779E8" w:rsidRPr="00D91E79">
              <w:rPr>
                <w:b/>
              </w:rPr>
              <w:t>A</w:t>
            </w:r>
            <w:r w:rsidR="001C3557" w:rsidRPr="00D91E79">
              <w:rPr>
                <w:b/>
              </w:rPr>
              <w:t>uthority</w:t>
            </w:r>
            <w:r w:rsidR="00C779E8" w:rsidRPr="00D91E79">
              <w:rPr>
                <w:b/>
              </w:rPr>
              <w:t xml:space="preserve"> ref. </w:t>
            </w:r>
            <w:r w:rsidR="00D91E79" w:rsidRPr="00D91E79">
              <w:rPr>
                <w:b/>
              </w:rPr>
              <w:t>CPM946</w:t>
            </w:r>
            <w:r w:rsidR="00C779E8" w:rsidRPr="00D91E79">
              <w:rPr>
                <w:b/>
              </w:rPr>
              <w:t>)</w:t>
            </w:r>
          </w:p>
        </w:tc>
      </w:tr>
      <w:tr w:rsidR="00C779E8" w:rsidRPr="000A62A8" w14:paraId="3EEFEACA" w14:textId="77777777">
        <w:tblPrEx>
          <w:tblCellMar>
            <w:top w:w="0" w:type="dxa"/>
            <w:bottom w:w="0" w:type="dxa"/>
          </w:tblCellMar>
        </w:tblPrEx>
        <w:tc>
          <w:tcPr>
            <w:tcW w:w="9520" w:type="dxa"/>
          </w:tcPr>
          <w:p w14:paraId="7B95DEB9" w14:textId="77777777" w:rsidR="005D0DCE" w:rsidRPr="00B76ECB" w:rsidRDefault="005D0DCE">
            <w:pPr>
              <w:pStyle w:val="TBullet"/>
              <w:spacing w:after="60"/>
              <w:ind w:left="357" w:hanging="357"/>
              <w:rPr>
                <w:color w:val="auto"/>
              </w:rPr>
            </w:pPr>
            <w:r w:rsidRPr="00B76ECB">
              <w:rPr>
                <w:color w:val="auto"/>
              </w:rPr>
              <w:t xml:space="preserve">An application was made by Mr </w:t>
            </w:r>
            <w:r w:rsidR="000A62A8" w:rsidRPr="00B76ECB">
              <w:rPr>
                <w:color w:val="auto"/>
              </w:rPr>
              <w:t>John Andrews</w:t>
            </w:r>
            <w:r w:rsidRPr="00B76ECB">
              <w:rPr>
                <w:color w:val="auto"/>
              </w:rPr>
              <w:t xml:space="preserve"> to </w:t>
            </w:r>
            <w:r w:rsidR="000A62A8" w:rsidRPr="00B76ECB">
              <w:rPr>
                <w:color w:val="auto"/>
              </w:rPr>
              <w:t>Suffolk</w:t>
            </w:r>
            <w:r w:rsidRPr="00B76ECB">
              <w:rPr>
                <w:color w:val="auto"/>
              </w:rPr>
              <w:t xml:space="preserve"> County Council for an order to modify its Definitive Map and Statement of Public Rights of Way (DMS) under Section 53(5) of the Wildlife and Countryside Act 1981 (the 1981 Act).</w:t>
            </w:r>
          </w:p>
          <w:p w14:paraId="3F8E58BE" w14:textId="77777777" w:rsidR="009876FC" w:rsidRPr="00B76ECB" w:rsidRDefault="009876FC">
            <w:pPr>
              <w:pStyle w:val="TBullet"/>
              <w:spacing w:after="60"/>
              <w:ind w:left="357" w:hanging="357"/>
              <w:rPr>
                <w:color w:val="auto"/>
              </w:rPr>
            </w:pPr>
            <w:r w:rsidRPr="00B76ECB">
              <w:rPr>
                <w:color w:val="auto"/>
              </w:rPr>
              <w:t xml:space="preserve">The certificate attached to the application, as required under Paragraph 2(3) of Schedule 14 of the 1981 Act, is dated </w:t>
            </w:r>
            <w:r w:rsidR="000A62A8" w:rsidRPr="00B76ECB">
              <w:rPr>
                <w:color w:val="auto"/>
              </w:rPr>
              <w:t>18 January 2021</w:t>
            </w:r>
            <w:r w:rsidRPr="00B76ECB">
              <w:rPr>
                <w:color w:val="auto"/>
              </w:rPr>
              <w:t>.</w:t>
            </w:r>
          </w:p>
          <w:p w14:paraId="52EF3C7A" w14:textId="77777777" w:rsidR="00C779E8" w:rsidRPr="00B76ECB" w:rsidRDefault="009876FC">
            <w:pPr>
              <w:pStyle w:val="TBullet"/>
              <w:spacing w:after="60"/>
              <w:ind w:left="357" w:hanging="357"/>
              <w:rPr>
                <w:color w:val="auto"/>
              </w:rPr>
            </w:pPr>
            <w:r w:rsidRPr="00B76ECB">
              <w:rPr>
                <w:color w:val="auto"/>
              </w:rPr>
              <w:t>A</w:t>
            </w:r>
            <w:r w:rsidR="00C779E8" w:rsidRPr="00B76ECB">
              <w:rPr>
                <w:color w:val="auto"/>
              </w:rPr>
              <w:t xml:space="preserve"> representation </w:t>
            </w:r>
            <w:r w:rsidRPr="00B76ECB">
              <w:rPr>
                <w:color w:val="auto"/>
              </w:rPr>
              <w:t>has been</w:t>
            </w:r>
            <w:r w:rsidR="00C779E8" w:rsidRPr="00B76ECB">
              <w:rPr>
                <w:color w:val="auto"/>
              </w:rPr>
              <w:t xml:space="preserve"> made </w:t>
            </w:r>
            <w:r w:rsidRPr="00B76ECB">
              <w:rPr>
                <w:color w:val="auto"/>
              </w:rPr>
              <w:t xml:space="preserve">by the applicant </w:t>
            </w:r>
            <w:r w:rsidR="00C779E8" w:rsidRPr="00B76ECB">
              <w:rPr>
                <w:color w:val="auto"/>
              </w:rPr>
              <w:t xml:space="preserve">under Paragraph 3(2) of Schedule 14 of the 1981 Act seeking a direction </w:t>
            </w:r>
            <w:r w:rsidRPr="00B76ECB">
              <w:rPr>
                <w:color w:val="auto"/>
              </w:rPr>
              <w:t xml:space="preserve">from the Secretary of State to </w:t>
            </w:r>
            <w:r w:rsidR="00C779E8" w:rsidRPr="00B76ECB">
              <w:rPr>
                <w:color w:val="auto"/>
              </w:rPr>
              <w:t xml:space="preserve">be given to </w:t>
            </w:r>
            <w:r w:rsidRPr="00B76ECB">
              <w:rPr>
                <w:color w:val="auto"/>
              </w:rPr>
              <w:t>the C</w:t>
            </w:r>
            <w:r w:rsidR="00E70974" w:rsidRPr="00B76ECB">
              <w:rPr>
                <w:color w:val="auto"/>
              </w:rPr>
              <w:t>ouncil</w:t>
            </w:r>
            <w:r w:rsidR="00C779E8" w:rsidRPr="00B76ECB">
              <w:rPr>
                <w:color w:val="auto"/>
              </w:rPr>
              <w:t xml:space="preserve"> to determine </w:t>
            </w:r>
            <w:r w:rsidRPr="00B76ECB">
              <w:rPr>
                <w:color w:val="auto"/>
              </w:rPr>
              <w:t>the application</w:t>
            </w:r>
            <w:r w:rsidR="00C779E8" w:rsidRPr="00B76ECB">
              <w:rPr>
                <w:color w:val="auto"/>
              </w:rPr>
              <w:t>.</w:t>
            </w:r>
          </w:p>
        </w:tc>
      </w:tr>
      <w:tr w:rsidR="00C779E8" w:rsidRPr="000A62A8" w14:paraId="7E4132FB" w14:textId="77777777">
        <w:tblPrEx>
          <w:tblCellMar>
            <w:top w:w="0" w:type="dxa"/>
            <w:bottom w:w="0" w:type="dxa"/>
          </w:tblCellMar>
        </w:tblPrEx>
        <w:tc>
          <w:tcPr>
            <w:tcW w:w="9520" w:type="dxa"/>
          </w:tcPr>
          <w:p w14:paraId="150F1264" w14:textId="77777777" w:rsidR="00C779E8" w:rsidRPr="00B76ECB" w:rsidRDefault="00C779E8">
            <w:pPr>
              <w:pStyle w:val="TBullet"/>
              <w:spacing w:after="60"/>
              <w:ind w:left="357" w:hanging="357"/>
              <w:rPr>
                <w:color w:val="auto"/>
              </w:rPr>
            </w:pPr>
            <w:r w:rsidRPr="00B76ECB">
              <w:rPr>
                <w:color w:val="auto"/>
              </w:rPr>
              <w:t xml:space="preserve">The </w:t>
            </w:r>
            <w:r w:rsidR="004712DF">
              <w:rPr>
                <w:color w:val="auto"/>
              </w:rPr>
              <w:t xml:space="preserve">initial </w:t>
            </w:r>
            <w:r w:rsidRPr="00B76ECB">
              <w:rPr>
                <w:color w:val="auto"/>
              </w:rPr>
              <w:t xml:space="preserve">representation is dated </w:t>
            </w:r>
            <w:r w:rsidR="00B76ECB" w:rsidRPr="00B76ECB">
              <w:rPr>
                <w:color w:val="auto"/>
              </w:rPr>
              <w:t>7 January 2022</w:t>
            </w:r>
            <w:r w:rsidRPr="00B76ECB">
              <w:rPr>
                <w:color w:val="auto"/>
              </w:rPr>
              <w:t>.</w:t>
            </w:r>
          </w:p>
        </w:tc>
      </w:tr>
      <w:tr w:rsidR="00C779E8" w:rsidRPr="000A62A8" w14:paraId="126261A5" w14:textId="77777777">
        <w:tblPrEx>
          <w:tblCellMar>
            <w:top w:w="0" w:type="dxa"/>
            <w:bottom w:w="0" w:type="dxa"/>
          </w:tblCellMar>
        </w:tblPrEx>
        <w:tc>
          <w:tcPr>
            <w:tcW w:w="9520" w:type="dxa"/>
          </w:tcPr>
          <w:p w14:paraId="264DD147" w14:textId="77777777" w:rsidR="00C779E8" w:rsidRPr="00B76ECB" w:rsidRDefault="009876FC">
            <w:pPr>
              <w:pStyle w:val="TBullet"/>
              <w:spacing w:after="60"/>
              <w:ind w:left="357" w:hanging="357"/>
              <w:rPr>
                <w:color w:val="auto"/>
              </w:rPr>
            </w:pPr>
            <w:r w:rsidRPr="00B76ECB">
              <w:rPr>
                <w:color w:val="auto"/>
              </w:rPr>
              <w:t xml:space="preserve">The Council was consulted about the representation on </w:t>
            </w:r>
            <w:r w:rsidR="00B76ECB" w:rsidRPr="00B76ECB">
              <w:rPr>
                <w:color w:val="auto"/>
              </w:rPr>
              <w:t>18 January 2022</w:t>
            </w:r>
            <w:r w:rsidRPr="00B76ECB">
              <w:rPr>
                <w:color w:val="auto"/>
              </w:rPr>
              <w:t xml:space="preserve"> and its response is dated</w:t>
            </w:r>
            <w:r w:rsidR="00AD0077" w:rsidRPr="00B76ECB">
              <w:rPr>
                <w:color w:val="auto"/>
              </w:rPr>
              <w:t xml:space="preserve"> </w:t>
            </w:r>
            <w:r w:rsidR="000E07D7">
              <w:rPr>
                <w:color w:val="auto"/>
              </w:rPr>
              <w:t>3 February 2022</w:t>
            </w:r>
            <w:r w:rsidRPr="00B76ECB">
              <w:rPr>
                <w:color w:val="auto"/>
              </w:rPr>
              <w:t>.</w:t>
            </w:r>
          </w:p>
        </w:tc>
      </w:tr>
      <w:tr w:rsidR="00C779E8" w:rsidRPr="000A62A8" w14:paraId="75B03D30" w14:textId="77777777">
        <w:tblPrEx>
          <w:tblCellMar>
            <w:top w:w="0" w:type="dxa"/>
            <w:bottom w:w="0" w:type="dxa"/>
          </w:tblCellMar>
        </w:tblPrEx>
        <w:tc>
          <w:tcPr>
            <w:tcW w:w="9520" w:type="dxa"/>
          </w:tcPr>
          <w:p w14:paraId="6348AA0A" w14:textId="77777777" w:rsidR="00C779E8" w:rsidRPr="000A62A8" w:rsidRDefault="00C779E8" w:rsidP="009876FC">
            <w:pPr>
              <w:pStyle w:val="TBullet"/>
              <w:numPr>
                <w:ilvl w:val="0"/>
                <w:numId w:val="0"/>
              </w:numPr>
              <w:rPr>
                <w:color w:val="FF0000"/>
              </w:rPr>
            </w:pPr>
          </w:p>
        </w:tc>
      </w:tr>
      <w:tr w:rsidR="00C779E8" w:rsidRPr="000A62A8" w14:paraId="756F96AC" w14:textId="77777777">
        <w:tblPrEx>
          <w:tblCellMar>
            <w:top w:w="0" w:type="dxa"/>
            <w:bottom w:w="0" w:type="dxa"/>
          </w:tblCellMar>
        </w:tblPrEx>
        <w:tc>
          <w:tcPr>
            <w:tcW w:w="9520" w:type="dxa"/>
            <w:tcBorders>
              <w:bottom w:val="single" w:sz="6" w:space="0" w:color="000000"/>
            </w:tcBorders>
          </w:tcPr>
          <w:p w14:paraId="05284870" w14:textId="77777777" w:rsidR="00C779E8" w:rsidRPr="000A62A8" w:rsidRDefault="00C779E8">
            <w:pPr>
              <w:spacing w:before="60"/>
              <w:rPr>
                <w:b/>
                <w:color w:val="FF0000"/>
                <w:sz w:val="8"/>
              </w:rPr>
            </w:pPr>
            <w:bookmarkStart w:id="1" w:name="bmkReturn"/>
            <w:bookmarkEnd w:id="1"/>
          </w:p>
        </w:tc>
      </w:tr>
    </w:tbl>
    <w:p w14:paraId="54F44835" w14:textId="77777777" w:rsidR="00C779E8" w:rsidRPr="0024617F" w:rsidRDefault="00C779E8">
      <w:pPr>
        <w:pStyle w:val="Heading6blackfont"/>
        <w:rPr>
          <w:color w:val="auto"/>
        </w:rPr>
      </w:pPr>
      <w:r w:rsidRPr="0024617F">
        <w:rPr>
          <w:color w:val="auto"/>
        </w:rPr>
        <w:t>Decision</w:t>
      </w:r>
    </w:p>
    <w:p w14:paraId="3A82FFAE" w14:textId="77777777" w:rsidR="00803EA6" w:rsidRDefault="00C779E8" w:rsidP="00803EA6">
      <w:pPr>
        <w:pStyle w:val="Style1"/>
        <w:rPr>
          <w:color w:val="auto"/>
        </w:rPr>
      </w:pPr>
      <w:r w:rsidRPr="0024617F">
        <w:rPr>
          <w:color w:val="auto"/>
        </w:rPr>
        <w:t>The Council is directed to determine the above-mention</w:t>
      </w:r>
      <w:r w:rsidR="00D25177" w:rsidRPr="0024617F">
        <w:rPr>
          <w:color w:val="auto"/>
        </w:rPr>
        <w:t>ed</w:t>
      </w:r>
      <w:r w:rsidRPr="0024617F">
        <w:rPr>
          <w:color w:val="auto"/>
        </w:rPr>
        <w:t xml:space="preserve"> application</w:t>
      </w:r>
      <w:r w:rsidR="00803EA6" w:rsidRPr="0024617F">
        <w:rPr>
          <w:color w:val="auto"/>
        </w:rPr>
        <w:t xml:space="preserve"> not later than 1</w:t>
      </w:r>
      <w:r w:rsidR="0024617F" w:rsidRPr="0024617F">
        <w:rPr>
          <w:color w:val="auto"/>
        </w:rPr>
        <w:t>8</w:t>
      </w:r>
      <w:r w:rsidR="00803EA6" w:rsidRPr="0024617F">
        <w:rPr>
          <w:color w:val="auto"/>
        </w:rPr>
        <w:t xml:space="preserve"> months from the date of this decision</w:t>
      </w:r>
      <w:r w:rsidRPr="0024617F">
        <w:rPr>
          <w:color w:val="auto"/>
        </w:rPr>
        <w:t>.</w:t>
      </w:r>
    </w:p>
    <w:p w14:paraId="4E979BAA" w14:textId="77777777" w:rsidR="00557C6F" w:rsidRPr="00557C6F" w:rsidRDefault="00557C6F" w:rsidP="00557C6F">
      <w:pPr>
        <w:pStyle w:val="Style1"/>
        <w:numPr>
          <w:ilvl w:val="0"/>
          <w:numId w:val="0"/>
        </w:numPr>
        <w:rPr>
          <w:b/>
          <w:bCs/>
          <w:color w:val="auto"/>
        </w:rPr>
      </w:pPr>
      <w:r w:rsidRPr="00557C6F">
        <w:rPr>
          <w:b/>
          <w:bCs/>
          <w:color w:val="auto"/>
        </w:rPr>
        <w:t>Procedural Matter</w:t>
      </w:r>
    </w:p>
    <w:p w14:paraId="293BA05A" w14:textId="77777777" w:rsidR="004E4EBA" w:rsidRPr="004E4EBA" w:rsidRDefault="00557C6F" w:rsidP="00557C6F">
      <w:pPr>
        <w:pStyle w:val="Style1"/>
      </w:pPr>
      <w:r>
        <w:t xml:space="preserve">An initial application for a direction to determine the application was submitted within the </w:t>
      </w:r>
      <w:r w:rsidRPr="00557C6F">
        <w:rPr>
          <w:color w:val="auto"/>
          <w:kern w:val="0"/>
        </w:rPr>
        <w:t xml:space="preserve">12 months following the </w:t>
      </w:r>
      <w:r w:rsidR="004A5AF6">
        <w:rPr>
          <w:color w:val="auto"/>
          <w:kern w:val="0"/>
        </w:rPr>
        <w:t xml:space="preserve">date of the </w:t>
      </w:r>
      <w:r w:rsidRPr="00557C6F">
        <w:rPr>
          <w:color w:val="auto"/>
          <w:kern w:val="0"/>
        </w:rPr>
        <w:t>certificate of service of notice</w:t>
      </w:r>
      <w:r w:rsidR="0017141B">
        <w:rPr>
          <w:color w:val="auto"/>
          <w:kern w:val="0"/>
        </w:rPr>
        <w:t>, as set out above</w:t>
      </w:r>
      <w:r>
        <w:rPr>
          <w:color w:val="auto"/>
          <w:kern w:val="0"/>
        </w:rPr>
        <w:t>.</w:t>
      </w:r>
      <w:r w:rsidR="00037210">
        <w:rPr>
          <w:color w:val="auto"/>
          <w:kern w:val="0"/>
        </w:rPr>
        <w:t xml:space="preserve">  However, this was invalid because the 1981 Act provides that applications for directions can only be made once an authority has exceeded a 12</w:t>
      </w:r>
      <w:r w:rsidR="0017141B">
        <w:rPr>
          <w:color w:val="auto"/>
          <w:kern w:val="0"/>
        </w:rPr>
        <w:t>-</w:t>
      </w:r>
      <w:r w:rsidR="00037210">
        <w:rPr>
          <w:color w:val="auto"/>
          <w:kern w:val="0"/>
        </w:rPr>
        <w:t xml:space="preserve">month period to determine a modification application.  </w:t>
      </w:r>
    </w:p>
    <w:p w14:paraId="6F835D22" w14:textId="77777777" w:rsidR="00557C6F" w:rsidRPr="0024617F" w:rsidRDefault="00F14C57" w:rsidP="00557C6F">
      <w:pPr>
        <w:pStyle w:val="Style1"/>
      </w:pPr>
      <w:r>
        <w:rPr>
          <w:color w:val="auto"/>
          <w:kern w:val="0"/>
        </w:rPr>
        <w:t>The applicant consequently submitted a further application following the end of the 12</w:t>
      </w:r>
      <w:r w:rsidR="0017141B">
        <w:rPr>
          <w:color w:val="auto"/>
          <w:kern w:val="0"/>
        </w:rPr>
        <w:t>-</w:t>
      </w:r>
      <w:r>
        <w:rPr>
          <w:color w:val="auto"/>
          <w:kern w:val="0"/>
        </w:rPr>
        <w:t xml:space="preserve">month period, on which the Council was </w:t>
      </w:r>
      <w:r w:rsidR="00F93310">
        <w:rPr>
          <w:color w:val="auto"/>
          <w:kern w:val="0"/>
        </w:rPr>
        <w:t>also</w:t>
      </w:r>
      <w:r w:rsidR="00EA65FB">
        <w:rPr>
          <w:color w:val="auto"/>
          <w:kern w:val="0"/>
        </w:rPr>
        <w:t xml:space="preserve"> </w:t>
      </w:r>
      <w:r>
        <w:rPr>
          <w:color w:val="auto"/>
          <w:kern w:val="0"/>
        </w:rPr>
        <w:t>consulted.</w:t>
      </w:r>
      <w:r w:rsidR="009D4C5A">
        <w:rPr>
          <w:color w:val="auto"/>
          <w:kern w:val="0"/>
        </w:rPr>
        <w:t xml:space="preserve">  As a result, this decision </w:t>
      </w:r>
      <w:r w:rsidR="00C6630D">
        <w:rPr>
          <w:color w:val="auto"/>
          <w:kern w:val="0"/>
        </w:rPr>
        <w:t>results from</w:t>
      </w:r>
      <w:r w:rsidR="009D4C5A">
        <w:rPr>
          <w:color w:val="auto"/>
          <w:kern w:val="0"/>
        </w:rPr>
        <w:t xml:space="preserve"> the latter application, which is dated </w:t>
      </w:r>
      <w:r w:rsidR="0089347F" w:rsidRPr="0089347F">
        <w:rPr>
          <w:color w:val="auto"/>
          <w:kern w:val="0"/>
        </w:rPr>
        <w:t>6 May 2022.</w:t>
      </w:r>
      <w:r w:rsidR="00C6630D">
        <w:rPr>
          <w:color w:val="auto"/>
          <w:kern w:val="0"/>
        </w:rPr>
        <w:t xml:space="preserve">  Nevertheless, I have taken </w:t>
      </w:r>
      <w:r w:rsidR="00AC4725">
        <w:rPr>
          <w:color w:val="auto"/>
          <w:kern w:val="0"/>
        </w:rPr>
        <w:t xml:space="preserve">the grounds of both applications and </w:t>
      </w:r>
      <w:proofErr w:type="gramStart"/>
      <w:r w:rsidR="00C6630D">
        <w:rPr>
          <w:color w:val="auto"/>
          <w:kern w:val="0"/>
        </w:rPr>
        <w:t>both</w:t>
      </w:r>
      <w:r w:rsidR="00AC4725">
        <w:rPr>
          <w:color w:val="auto"/>
          <w:kern w:val="0"/>
        </w:rPr>
        <w:t xml:space="preserve"> of the Council’s</w:t>
      </w:r>
      <w:proofErr w:type="gramEnd"/>
      <w:r w:rsidR="00C6630D">
        <w:rPr>
          <w:color w:val="auto"/>
          <w:kern w:val="0"/>
        </w:rPr>
        <w:t xml:space="preserve"> responses into account in determining the application</w:t>
      </w:r>
      <w:r w:rsidR="001C24A9">
        <w:rPr>
          <w:color w:val="auto"/>
          <w:kern w:val="0"/>
        </w:rPr>
        <w:t>,</w:t>
      </w:r>
      <w:r w:rsidR="001C24A9" w:rsidRPr="001C24A9">
        <w:rPr>
          <w:color w:val="auto"/>
          <w:kern w:val="0"/>
        </w:rPr>
        <w:t xml:space="preserve"> </w:t>
      </w:r>
      <w:r w:rsidR="001C24A9">
        <w:rPr>
          <w:color w:val="auto"/>
          <w:kern w:val="0"/>
        </w:rPr>
        <w:t xml:space="preserve">due to the close timeframe within which </w:t>
      </w:r>
      <w:r w:rsidR="004712DF">
        <w:rPr>
          <w:color w:val="auto"/>
          <w:kern w:val="0"/>
        </w:rPr>
        <w:t>the</w:t>
      </w:r>
      <w:r w:rsidR="001C24A9">
        <w:rPr>
          <w:color w:val="auto"/>
          <w:kern w:val="0"/>
        </w:rPr>
        <w:t xml:space="preserve"> applications were submitted</w:t>
      </w:r>
      <w:r w:rsidR="00C6630D">
        <w:rPr>
          <w:color w:val="auto"/>
          <w:kern w:val="0"/>
        </w:rPr>
        <w:t>.</w:t>
      </w:r>
    </w:p>
    <w:p w14:paraId="1D98C349" w14:textId="77777777" w:rsidR="00C779E8" w:rsidRPr="00B76ECB" w:rsidRDefault="00C779E8" w:rsidP="00803EA6">
      <w:pPr>
        <w:pStyle w:val="Style1"/>
        <w:numPr>
          <w:ilvl w:val="0"/>
          <w:numId w:val="0"/>
        </w:numPr>
        <w:rPr>
          <w:b/>
          <w:bCs/>
          <w:color w:val="auto"/>
        </w:rPr>
      </w:pPr>
      <w:r w:rsidRPr="00B76ECB">
        <w:rPr>
          <w:b/>
          <w:bCs/>
          <w:color w:val="auto"/>
        </w:rPr>
        <w:t>Reasons</w:t>
      </w:r>
    </w:p>
    <w:p w14:paraId="08888A96" w14:textId="77777777" w:rsidR="00E0535F" w:rsidRPr="00B76ECB" w:rsidRDefault="00E0535F">
      <w:pPr>
        <w:pStyle w:val="Style1"/>
        <w:rPr>
          <w:color w:val="auto"/>
        </w:rPr>
      </w:pPr>
      <w:r w:rsidRPr="00B76ECB">
        <w:rPr>
          <w:color w:val="auto"/>
        </w:rPr>
        <w:t>Schedule 14 of the 1981 Act sets out provisions for applications made under section 53(5) for a</w:t>
      </w:r>
      <w:r w:rsidR="00102072" w:rsidRPr="00B76ECB">
        <w:rPr>
          <w:color w:val="auto"/>
        </w:rPr>
        <w:t xml:space="preserve"> definitive map modification</w:t>
      </w:r>
      <w:r w:rsidRPr="00B76ECB">
        <w:rPr>
          <w:color w:val="auto"/>
        </w:rPr>
        <w:t xml:space="preserve"> order</w:t>
      </w:r>
      <w:r w:rsidR="00102072" w:rsidRPr="00B76ECB">
        <w:rPr>
          <w:color w:val="auto"/>
        </w:rPr>
        <w:t xml:space="preserve"> (DMMO)</w:t>
      </w:r>
      <w:r w:rsidRPr="00B76ECB">
        <w:rPr>
          <w:color w:val="auto"/>
        </w:rPr>
        <w:t>.</w:t>
      </w:r>
    </w:p>
    <w:p w14:paraId="79393F68" w14:textId="77777777" w:rsidR="004A5FE7" w:rsidRPr="00B76ECB" w:rsidRDefault="00C779E8">
      <w:pPr>
        <w:pStyle w:val="Style1"/>
        <w:rPr>
          <w:color w:val="auto"/>
        </w:rPr>
      </w:pPr>
      <w:r w:rsidRPr="00B76ECB">
        <w:rPr>
          <w:rFonts w:cs="Arial"/>
          <w:color w:val="auto"/>
          <w:szCs w:val="22"/>
        </w:rPr>
        <w:lastRenderedPageBreak/>
        <w:t xml:space="preserve">Authorities are required to investigate applications as soon as reasonably practicable and, after consulting the relevant district and parish councils, </w:t>
      </w:r>
      <w:r w:rsidR="004A5FE7" w:rsidRPr="00B76ECB">
        <w:rPr>
          <w:rFonts w:cs="Arial"/>
          <w:color w:val="auto"/>
          <w:szCs w:val="22"/>
        </w:rPr>
        <w:t xml:space="preserve">to </w:t>
      </w:r>
      <w:r w:rsidRPr="00B76ECB">
        <w:rPr>
          <w:rFonts w:cs="Arial"/>
          <w:color w:val="auto"/>
          <w:szCs w:val="22"/>
        </w:rPr>
        <w:t xml:space="preserve">decide whether to make an order </w:t>
      </w:r>
      <w:proofErr w:type="gramStart"/>
      <w:r w:rsidRPr="00B76ECB">
        <w:rPr>
          <w:rFonts w:cs="Arial"/>
          <w:color w:val="auto"/>
          <w:szCs w:val="22"/>
        </w:rPr>
        <w:t>on the basis of</w:t>
      </w:r>
      <w:proofErr w:type="gramEnd"/>
      <w:r w:rsidRPr="00B76ECB">
        <w:rPr>
          <w:rFonts w:cs="Arial"/>
          <w:color w:val="auto"/>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w:t>
      </w:r>
      <w:r w:rsidR="004A5FE7" w:rsidRPr="00B76ECB">
        <w:rPr>
          <w:rFonts w:cs="Arial"/>
          <w:color w:val="auto"/>
          <w:szCs w:val="22"/>
        </w:rPr>
        <w:t>in accordance with paragraph 2(3) of Schedule 14</w:t>
      </w:r>
      <w:r w:rsidRPr="00B76ECB">
        <w:rPr>
          <w:rFonts w:cs="Arial"/>
          <w:color w:val="auto"/>
          <w:szCs w:val="22"/>
        </w:rPr>
        <w:t xml:space="preserve">.  </w:t>
      </w:r>
    </w:p>
    <w:p w14:paraId="24426B59" w14:textId="77777777" w:rsidR="00C92A6E" w:rsidRPr="008953D0" w:rsidRDefault="007C102D" w:rsidP="008953D0">
      <w:pPr>
        <w:pStyle w:val="Style1"/>
        <w:rPr>
          <w:color w:val="auto"/>
        </w:rPr>
      </w:pPr>
      <w:r w:rsidRPr="00C92A6E">
        <w:rPr>
          <w:rFonts w:cs="Arial"/>
          <w:color w:val="auto"/>
          <w:szCs w:val="22"/>
        </w:rPr>
        <w:t xml:space="preserve">Current guidance is contained within Rights of Way Circular 1/09 Version 2, October 2009 published by the Department for Environment, Food and Rural Affairs. This explains </w:t>
      </w:r>
      <w:r w:rsidR="00A36791" w:rsidRPr="00C92A6E">
        <w:rPr>
          <w:rFonts w:cs="Arial"/>
          <w:color w:val="auto"/>
          <w:szCs w:val="22"/>
        </w:rPr>
        <w:t xml:space="preserve">the matters </w:t>
      </w:r>
      <w:r w:rsidRPr="00C92A6E">
        <w:rPr>
          <w:rFonts w:cs="Arial"/>
          <w:color w:val="auto"/>
          <w:szCs w:val="22"/>
        </w:rPr>
        <w:t>that t</w:t>
      </w:r>
      <w:r w:rsidR="00C779E8" w:rsidRPr="00C92A6E">
        <w:rPr>
          <w:rFonts w:cs="Arial"/>
          <w:color w:val="auto"/>
          <w:szCs w:val="22"/>
        </w:rPr>
        <w:t xml:space="preserve">he Secretary of State </w:t>
      </w:r>
      <w:r w:rsidR="00BB5324" w:rsidRPr="00C92A6E">
        <w:rPr>
          <w:rFonts w:cs="Arial"/>
          <w:color w:val="auto"/>
          <w:szCs w:val="22"/>
        </w:rPr>
        <w:t xml:space="preserve">will </w:t>
      </w:r>
      <w:proofErr w:type="gramStart"/>
      <w:r w:rsidR="00BB5324" w:rsidRPr="00C92A6E">
        <w:rPr>
          <w:rFonts w:cs="Arial"/>
          <w:color w:val="auto"/>
          <w:szCs w:val="22"/>
        </w:rPr>
        <w:t>take into account</w:t>
      </w:r>
      <w:proofErr w:type="gramEnd"/>
      <w:r w:rsidR="00BB5324" w:rsidRPr="00C92A6E">
        <w:rPr>
          <w:rFonts w:cs="Arial"/>
          <w:color w:val="auto"/>
          <w:szCs w:val="22"/>
        </w:rPr>
        <w:t xml:space="preserve"> </w:t>
      </w:r>
      <w:r w:rsidR="00C779E8" w:rsidRPr="00C92A6E">
        <w:rPr>
          <w:rFonts w:cs="Arial"/>
          <w:color w:val="auto"/>
          <w:szCs w:val="22"/>
        </w:rPr>
        <w:t>in considering whether, in response to such a request, to direct an authority to determine an application for an order within a specified period</w:t>
      </w:r>
      <w:r w:rsidR="00A36791" w:rsidRPr="00C92A6E">
        <w:rPr>
          <w:rFonts w:cs="Arial"/>
          <w:color w:val="auto"/>
          <w:szCs w:val="22"/>
        </w:rPr>
        <w:t>.  These are</w:t>
      </w:r>
      <w:r w:rsidR="00C779E8" w:rsidRPr="00C92A6E">
        <w:rPr>
          <w:rFonts w:cs="Arial"/>
          <w:color w:val="auto"/>
          <w:szCs w:val="22"/>
        </w:rPr>
        <w:t xml:space="preserve">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231D04D5" w14:textId="77777777" w:rsidR="00D326BE" w:rsidRDefault="00D326BE" w:rsidP="00803EA6">
      <w:pPr>
        <w:pStyle w:val="Style1"/>
        <w:rPr>
          <w:color w:val="auto"/>
        </w:rPr>
      </w:pPr>
      <w:r>
        <w:rPr>
          <w:color w:val="auto"/>
        </w:rPr>
        <w:t>The Council refers to its Green Access Strategy 2020, which sets out that the Council “will continue to prioritise definitive map case work in the public interest”, with the aim to deliver “a public rights of way network that meets the needs of today’s user”.</w:t>
      </w:r>
    </w:p>
    <w:p w14:paraId="2B4F2E81" w14:textId="77777777" w:rsidR="00D241FA" w:rsidRPr="00D241FA" w:rsidRDefault="00D241FA" w:rsidP="00D241FA">
      <w:pPr>
        <w:pStyle w:val="Style1"/>
      </w:pPr>
      <w:r>
        <w:t xml:space="preserve">The Council determines applications in accordance with its prioritising scheme, which was introduced in 2013.  Cases are prioritised </w:t>
      </w:r>
      <w:proofErr w:type="gramStart"/>
      <w:r>
        <w:t>on the basis of</w:t>
      </w:r>
      <w:proofErr w:type="gramEnd"/>
      <w:r>
        <w:t xml:space="preserve"> potential public benefit, resulting in a priority score from high to low.  Such an approach appears reasonable.  </w:t>
      </w:r>
    </w:p>
    <w:p w14:paraId="17B7DD83" w14:textId="77777777" w:rsidR="00890EAD" w:rsidRDefault="00890EAD" w:rsidP="00890EAD">
      <w:pPr>
        <w:pStyle w:val="Style1"/>
      </w:pPr>
      <w:r>
        <w:t xml:space="preserve">At the date of its response the Council had 112 formal DMMO applications outstanding.  It also had </w:t>
      </w:r>
      <w:proofErr w:type="gramStart"/>
      <w:r>
        <w:t>a large number of</w:t>
      </w:r>
      <w:proofErr w:type="gramEnd"/>
      <w:r>
        <w:t xml:space="preserve"> other identified issues including “informal” DMMO applications, potential public path order cases and cases with a known issue but no identified potential means of resolution.</w:t>
      </w:r>
      <w:r w:rsidR="00786B4B">
        <w:t xml:space="preserve">  It considers that a limited number of these are likely to fail to accord with statutory provisions.</w:t>
      </w:r>
    </w:p>
    <w:p w14:paraId="03B9AB7B" w14:textId="77777777" w:rsidR="00890EAD" w:rsidRDefault="00383377" w:rsidP="00803EA6">
      <w:pPr>
        <w:pStyle w:val="Style1"/>
        <w:rPr>
          <w:color w:val="auto"/>
        </w:rPr>
      </w:pPr>
      <w:r>
        <w:rPr>
          <w:color w:val="auto"/>
        </w:rPr>
        <w:t>The application has been assessed as low priority and hence it was ranked 82</w:t>
      </w:r>
      <w:r w:rsidRPr="00383377">
        <w:rPr>
          <w:color w:val="auto"/>
          <w:vertAlign w:val="superscript"/>
        </w:rPr>
        <w:t>nd</w:t>
      </w:r>
      <w:r>
        <w:rPr>
          <w:color w:val="auto"/>
        </w:rPr>
        <w:t xml:space="preserve"> in the prioritising scheme</w:t>
      </w:r>
      <w:r w:rsidR="009F0A25">
        <w:rPr>
          <w:color w:val="auto"/>
        </w:rPr>
        <w:t xml:space="preserve"> at the date of the Council’s response</w:t>
      </w:r>
      <w:r>
        <w:rPr>
          <w:color w:val="auto"/>
        </w:rPr>
        <w:t>.</w:t>
      </w:r>
      <w:r w:rsidR="00282A9D">
        <w:rPr>
          <w:color w:val="auto"/>
        </w:rPr>
        <w:t xml:space="preserve">  The Council </w:t>
      </w:r>
      <w:r w:rsidR="0049638B">
        <w:rPr>
          <w:color w:val="auto"/>
        </w:rPr>
        <w:t xml:space="preserve">does not refer to any work having been started on the </w:t>
      </w:r>
      <w:proofErr w:type="gramStart"/>
      <w:r w:rsidR="0049638B">
        <w:rPr>
          <w:color w:val="auto"/>
        </w:rPr>
        <w:t>application, and</w:t>
      </w:r>
      <w:proofErr w:type="gramEnd"/>
      <w:r w:rsidR="0049638B">
        <w:rPr>
          <w:color w:val="auto"/>
        </w:rPr>
        <w:t xml:space="preserve"> </w:t>
      </w:r>
      <w:r w:rsidR="00282A9D">
        <w:rPr>
          <w:color w:val="auto"/>
        </w:rPr>
        <w:t>considers that</w:t>
      </w:r>
      <w:r w:rsidR="0049638B">
        <w:rPr>
          <w:color w:val="auto"/>
        </w:rPr>
        <w:t xml:space="preserve"> it</w:t>
      </w:r>
      <w:r w:rsidR="00282A9D">
        <w:rPr>
          <w:color w:val="auto"/>
        </w:rPr>
        <w:t xml:space="preserve"> is unlikely to be determined for some considerable time.</w:t>
      </w:r>
    </w:p>
    <w:p w14:paraId="04F44CB4" w14:textId="77777777" w:rsidR="008953D0" w:rsidRDefault="007300B9" w:rsidP="00803EA6">
      <w:pPr>
        <w:pStyle w:val="Style1"/>
        <w:rPr>
          <w:color w:val="auto"/>
        </w:rPr>
      </w:pPr>
      <w:r>
        <w:rPr>
          <w:color w:val="auto"/>
        </w:rPr>
        <w:t>The applicant considers that evidence of use of the Order route should be investigated due to the potential for such evidence to become unavailable as time passes.</w:t>
      </w:r>
    </w:p>
    <w:p w14:paraId="2B2F3FA7" w14:textId="77777777" w:rsidR="007300B9" w:rsidRPr="007300B9" w:rsidRDefault="008953D0" w:rsidP="00803EA6">
      <w:pPr>
        <w:pStyle w:val="Style1"/>
        <w:rPr>
          <w:color w:val="auto"/>
        </w:rPr>
      </w:pPr>
      <w:r>
        <w:rPr>
          <w:color w:val="auto"/>
        </w:rPr>
        <w:t xml:space="preserve">The Council sets out that the application’s low priority for investigation arises in part as the route is recorded in the Council’s List of Streets as a maintainable highway.  Nevertheless, the </w:t>
      </w:r>
      <w:r w:rsidR="00C36DA5">
        <w:rPr>
          <w:color w:val="auto"/>
        </w:rPr>
        <w:t xml:space="preserve">purpose of the </w:t>
      </w:r>
      <w:r>
        <w:rPr>
          <w:color w:val="auto"/>
        </w:rPr>
        <w:t xml:space="preserve">List of Streets </w:t>
      </w:r>
      <w:r w:rsidR="00C36DA5">
        <w:rPr>
          <w:color w:val="auto"/>
        </w:rPr>
        <w:t>is to identify and record streets which are publicly maintainable, whereas a confirmed DMMO will precisely delineate the type and extent of any unrecorded public rights which exist over a route.</w:t>
      </w:r>
      <w:r w:rsidR="0024617F">
        <w:rPr>
          <w:color w:val="auto"/>
        </w:rPr>
        <w:t xml:space="preserve">  </w:t>
      </w:r>
      <w:proofErr w:type="gramStart"/>
      <w:r w:rsidR="0024617F">
        <w:rPr>
          <w:color w:val="auto"/>
        </w:rPr>
        <w:t>Therefore</w:t>
      </w:r>
      <w:proofErr w:type="gramEnd"/>
      <w:r w:rsidR="0024617F">
        <w:rPr>
          <w:color w:val="auto"/>
        </w:rPr>
        <w:t xml:space="preserve"> the two </w:t>
      </w:r>
      <w:r w:rsidR="000D0891">
        <w:rPr>
          <w:color w:val="auto"/>
        </w:rPr>
        <w:t>designations</w:t>
      </w:r>
      <w:r w:rsidR="0024617F">
        <w:rPr>
          <w:color w:val="auto"/>
        </w:rPr>
        <w:t xml:space="preserve"> relate to different considerations and the route’s presence in the List of Streets consequently does not provide justification for me not to issue a direction.</w:t>
      </w:r>
    </w:p>
    <w:p w14:paraId="4EA9AE3A" w14:textId="77777777" w:rsidR="00D62DDD" w:rsidRPr="008953D0" w:rsidRDefault="00D62DDD" w:rsidP="00D62DDD">
      <w:pPr>
        <w:pStyle w:val="Style1"/>
        <w:rPr>
          <w:color w:val="auto"/>
        </w:rPr>
      </w:pPr>
      <w:bookmarkStart w:id="2" w:name="_Hlk97128442"/>
      <w:r w:rsidRPr="008953D0">
        <w:rPr>
          <w:color w:val="auto"/>
        </w:rPr>
        <w:t xml:space="preserve">Whilst I sympathise with the pressures that the Definitive Map service is under, the Council still has a statutory duty to keep the DMS </w:t>
      </w:r>
      <w:proofErr w:type="gramStart"/>
      <w:r w:rsidRPr="008953D0">
        <w:rPr>
          <w:color w:val="auto"/>
        </w:rPr>
        <w:t>up-to-date</w:t>
      </w:r>
      <w:proofErr w:type="gramEnd"/>
      <w:r w:rsidRPr="008953D0">
        <w:rPr>
          <w:color w:val="auto"/>
        </w:rPr>
        <w:t xml:space="preserve">.  Circular </w:t>
      </w:r>
      <w:r w:rsidRPr="008953D0">
        <w:rPr>
          <w:color w:val="auto"/>
        </w:rPr>
        <w:lastRenderedPageBreak/>
        <w:t xml:space="preserve">1/09 is clear that authorities should ensure that sufficient resources are devoted to meeting their statutory duties </w:t>
      </w:r>
      <w:proofErr w:type="gramStart"/>
      <w:r w:rsidRPr="008953D0">
        <w:rPr>
          <w:color w:val="auto"/>
        </w:rPr>
        <w:t>with regard to</w:t>
      </w:r>
      <w:proofErr w:type="gramEnd"/>
      <w:r w:rsidRPr="008953D0">
        <w:rPr>
          <w:color w:val="auto"/>
        </w:rPr>
        <w:t xml:space="preserve"> the protection and recording of public rights of way.</w:t>
      </w:r>
    </w:p>
    <w:bookmarkEnd w:id="2"/>
    <w:p w14:paraId="5E8DC8A0" w14:textId="77777777" w:rsidR="00620E9D" w:rsidRPr="000A62A8" w:rsidRDefault="00C779E8" w:rsidP="00620E9D">
      <w:pPr>
        <w:pStyle w:val="Style1"/>
        <w:rPr>
          <w:rFonts w:cs="Arial"/>
          <w:color w:val="FF0000"/>
          <w:szCs w:val="22"/>
        </w:rPr>
      </w:pPr>
      <w:r w:rsidRPr="0024617F">
        <w:rPr>
          <w:color w:val="auto"/>
        </w:rPr>
        <w:t xml:space="preserve">An applicant’s right to seek a direction from the Secretary of State gives rise to the expectation of a determination of that application within 12 months under normal circumstances.  In </w:t>
      </w:r>
      <w:r w:rsidR="005F7B97" w:rsidRPr="0024617F">
        <w:rPr>
          <w:color w:val="auto"/>
        </w:rPr>
        <w:t>this</w:t>
      </w:r>
      <w:r w:rsidRPr="0024617F">
        <w:rPr>
          <w:color w:val="auto"/>
        </w:rPr>
        <w:t xml:space="preserve"> case, </w:t>
      </w:r>
      <w:r w:rsidR="0024617F" w:rsidRPr="0024617F">
        <w:rPr>
          <w:color w:val="auto"/>
        </w:rPr>
        <w:t xml:space="preserve">over a year has </w:t>
      </w:r>
      <w:r w:rsidRPr="0024617F">
        <w:rPr>
          <w:color w:val="auto"/>
        </w:rPr>
        <w:t xml:space="preserve">passed since </w:t>
      </w:r>
      <w:r w:rsidR="005F7B97" w:rsidRPr="0024617F">
        <w:rPr>
          <w:color w:val="auto"/>
        </w:rPr>
        <w:t xml:space="preserve">the </w:t>
      </w:r>
      <w:r w:rsidRPr="0024617F">
        <w:rPr>
          <w:color w:val="auto"/>
        </w:rPr>
        <w:t xml:space="preserve">application was submitted and no exceptional circumstances have been </w:t>
      </w:r>
      <w:r w:rsidR="005F7B97" w:rsidRPr="0024617F">
        <w:rPr>
          <w:color w:val="auto"/>
        </w:rPr>
        <w:t>demonstrated</w:t>
      </w:r>
      <w:r w:rsidR="00B42085" w:rsidRPr="0024617F">
        <w:rPr>
          <w:color w:val="auto"/>
        </w:rPr>
        <w:t xml:space="preserve"> by the Council</w:t>
      </w:r>
      <w:r w:rsidRPr="0024617F">
        <w:rPr>
          <w:color w:val="auto"/>
        </w:rPr>
        <w:t xml:space="preserve">.  </w:t>
      </w:r>
      <w:r w:rsidR="002B75E5" w:rsidRPr="0024617F">
        <w:rPr>
          <w:color w:val="auto"/>
        </w:rPr>
        <w:t xml:space="preserve">Furthermore, the number of preceding </w:t>
      </w:r>
      <w:r w:rsidR="00D71D81">
        <w:rPr>
          <w:color w:val="auto"/>
        </w:rPr>
        <w:t>cases</w:t>
      </w:r>
      <w:r w:rsidR="002B75E5" w:rsidRPr="0024617F">
        <w:rPr>
          <w:color w:val="auto"/>
        </w:rPr>
        <w:t xml:space="preserve"> </w:t>
      </w:r>
      <w:r w:rsidR="00D71D81">
        <w:rPr>
          <w:color w:val="auto"/>
        </w:rPr>
        <w:t>outstanding</w:t>
      </w:r>
      <w:r w:rsidR="002B75E5" w:rsidRPr="0024617F">
        <w:rPr>
          <w:color w:val="auto"/>
        </w:rPr>
        <w:t xml:space="preserve"> suggest</w:t>
      </w:r>
      <w:r w:rsidR="0024617F" w:rsidRPr="0024617F">
        <w:rPr>
          <w:color w:val="auto"/>
        </w:rPr>
        <w:t>s</w:t>
      </w:r>
      <w:r w:rsidR="002B75E5" w:rsidRPr="0024617F">
        <w:rPr>
          <w:color w:val="auto"/>
        </w:rPr>
        <w:t xml:space="preserve"> that </w:t>
      </w:r>
      <w:r w:rsidR="0024617F" w:rsidRPr="0024617F">
        <w:rPr>
          <w:color w:val="auto"/>
        </w:rPr>
        <w:t xml:space="preserve">the </w:t>
      </w:r>
      <w:r w:rsidR="00F4058F">
        <w:rPr>
          <w:color w:val="auto"/>
        </w:rPr>
        <w:t>application</w:t>
      </w:r>
      <w:r w:rsidR="0024617F" w:rsidRPr="0024617F">
        <w:rPr>
          <w:color w:val="auto"/>
        </w:rPr>
        <w:t xml:space="preserve"> would be unlikely to be determined for several years</w:t>
      </w:r>
      <w:r w:rsidR="002B75E5" w:rsidRPr="0024617F">
        <w:rPr>
          <w:color w:val="auto"/>
        </w:rPr>
        <w:t>.</w:t>
      </w:r>
      <w:r w:rsidR="002B75E5" w:rsidRPr="000A62A8">
        <w:rPr>
          <w:color w:val="FF0000"/>
        </w:rPr>
        <w:t xml:space="preserve">  </w:t>
      </w:r>
      <w:r w:rsidR="0024617F" w:rsidRPr="0024617F">
        <w:rPr>
          <w:color w:val="auto"/>
        </w:rPr>
        <w:t xml:space="preserve">I acknowledge that it is desirable for user evidence to be investigated as soon as possible.  </w:t>
      </w:r>
      <w:r w:rsidR="00620E9D" w:rsidRPr="0024617F">
        <w:rPr>
          <w:rFonts w:cs="Arial"/>
          <w:color w:val="auto"/>
          <w:szCs w:val="22"/>
        </w:rPr>
        <w:t xml:space="preserve">In the circumstances I have </w:t>
      </w:r>
      <w:r w:rsidR="00911957" w:rsidRPr="0024617F">
        <w:rPr>
          <w:rFonts w:cs="Arial"/>
          <w:color w:val="auto"/>
          <w:szCs w:val="22"/>
        </w:rPr>
        <w:t xml:space="preserve">consequently </w:t>
      </w:r>
      <w:r w:rsidR="00620E9D" w:rsidRPr="0024617F">
        <w:rPr>
          <w:rFonts w:cs="Arial"/>
          <w:color w:val="auto"/>
          <w:szCs w:val="22"/>
        </w:rPr>
        <w:t>decided that there is a case for setting a date by which time the application should be determined.</w:t>
      </w:r>
    </w:p>
    <w:p w14:paraId="00568F00" w14:textId="77777777" w:rsidR="00C779E8" w:rsidRPr="0024617F" w:rsidRDefault="00C779E8">
      <w:pPr>
        <w:pStyle w:val="Style1"/>
        <w:rPr>
          <w:color w:val="auto"/>
        </w:rPr>
      </w:pPr>
      <w:r w:rsidRPr="0024617F">
        <w:rPr>
          <w:rFonts w:cs="Arial"/>
          <w:color w:val="auto"/>
          <w:szCs w:val="22"/>
        </w:rPr>
        <w:t xml:space="preserve">It is appreciated that the Council will require some time to carry out its investigation and </w:t>
      </w:r>
      <w:r w:rsidR="00F63A74" w:rsidRPr="0024617F">
        <w:rPr>
          <w:rFonts w:cs="Arial"/>
          <w:color w:val="auto"/>
          <w:szCs w:val="22"/>
        </w:rPr>
        <w:t xml:space="preserve">to </w:t>
      </w:r>
      <w:proofErr w:type="gramStart"/>
      <w:r w:rsidRPr="0024617F">
        <w:rPr>
          <w:rFonts w:cs="Arial"/>
          <w:color w:val="auto"/>
          <w:szCs w:val="22"/>
        </w:rPr>
        <w:t>make a decision</w:t>
      </w:r>
      <w:proofErr w:type="gramEnd"/>
      <w:r w:rsidRPr="0024617F">
        <w:rPr>
          <w:rFonts w:cs="Arial"/>
          <w:color w:val="auto"/>
          <w:szCs w:val="22"/>
        </w:rPr>
        <w:t xml:space="preserve"> on the application.  </w:t>
      </w:r>
      <w:r w:rsidR="006B1E89" w:rsidRPr="0024617F">
        <w:rPr>
          <w:rFonts w:cs="Arial"/>
          <w:color w:val="auto"/>
          <w:szCs w:val="22"/>
        </w:rPr>
        <w:t>Accordingly, a</w:t>
      </w:r>
      <w:r w:rsidRPr="0024617F">
        <w:rPr>
          <w:rFonts w:cs="Arial"/>
          <w:color w:val="auto"/>
          <w:szCs w:val="22"/>
        </w:rPr>
        <w:t xml:space="preserve"> further period of </w:t>
      </w:r>
      <w:r w:rsidR="00620E9D" w:rsidRPr="0024617F">
        <w:rPr>
          <w:rFonts w:cs="Arial"/>
          <w:color w:val="auto"/>
          <w:szCs w:val="22"/>
        </w:rPr>
        <w:t>1</w:t>
      </w:r>
      <w:r w:rsidR="0024617F" w:rsidRPr="0024617F">
        <w:rPr>
          <w:rFonts w:cs="Arial"/>
          <w:color w:val="auto"/>
          <w:szCs w:val="22"/>
        </w:rPr>
        <w:t>8</w:t>
      </w:r>
      <w:r w:rsidR="00620E9D" w:rsidRPr="0024617F">
        <w:rPr>
          <w:rFonts w:cs="Arial"/>
          <w:color w:val="auto"/>
          <w:szCs w:val="22"/>
        </w:rPr>
        <w:t xml:space="preserve"> </w:t>
      </w:r>
      <w:r w:rsidRPr="0024617F">
        <w:rPr>
          <w:rFonts w:cs="Arial"/>
          <w:color w:val="auto"/>
          <w:szCs w:val="22"/>
        </w:rPr>
        <w:t>months has</w:t>
      </w:r>
      <w:r w:rsidR="005F7B97" w:rsidRPr="0024617F">
        <w:rPr>
          <w:rFonts w:cs="Arial"/>
          <w:color w:val="auto"/>
          <w:szCs w:val="22"/>
        </w:rPr>
        <w:t xml:space="preserve"> </w:t>
      </w:r>
      <w:r w:rsidRPr="0024617F">
        <w:rPr>
          <w:rFonts w:cs="Arial"/>
          <w:color w:val="auto"/>
          <w:szCs w:val="22"/>
        </w:rPr>
        <w:t>been allowed</w:t>
      </w:r>
      <w:r w:rsidRPr="0024617F">
        <w:rPr>
          <w:color w:val="auto"/>
        </w:rPr>
        <w:t>.</w:t>
      </w:r>
      <w:r w:rsidR="00620E9D" w:rsidRPr="0024617F">
        <w:rPr>
          <w:color w:val="auto"/>
        </w:rPr>
        <w:t xml:space="preserve">  This includes an allowance to address working constraints arising from the coronavirus pandemic.</w:t>
      </w:r>
    </w:p>
    <w:p w14:paraId="13B8A38E" w14:textId="77777777" w:rsidR="00C779E8" w:rsidRPr="000A62A8" w:rsidRDefault="00C779E8">
      <w:pPr>
        <w:ind w:left="720" w:hanging="720"/>
        <w:rPr>
          <w:color w:val="FF0000"/>
          <w:szCs w:val="22"/>
        </w:rPr>
      </w:pPr>
    </w:p>
    <w:p w14:paraId="2D674D0A" w14:textId="77777777" w:rsidR="00C779E8" w:rsidRPr="0024617F" w:rsidRDefault="00C779E8">
      <w:pPr>
        <w:rPr>
          <w:b/>
          <w:szCs w:val="22"/>
        </w:rPr>
      </w:pPr>
      <w:r w:rsidRPr="0024617F">
        <w:rPr>
          <w:b/>
          <w:szCs w:val="22"/>
        </w:rPr>
        <w:t>Direction</w:t>
      </w:r>
    </w:p>
    <w:p w14:paraId="6F03414B" w14:textId="77777777" w:rsidR="00C779E8" w:rsidRPr="0024617F" w:rsidRDefault="00C779E8">
      <w:pPr>
        <w:ind w:left="720" w:hanging="720"/>
        <w:rPr>
          <w:szCs w:val="22"/>
        </w:rPr>
      </w:pPr>
    </w:p>
    <w:p w14:paraId="6AECC34B" w14:textId="77777777" w:rsidR="00C779E8" w:rsidRPr="0024617F" w:rsidRDefault="00C779E8" w:rsidP="008538C8">
      <w:pPr>
        <w:rPr>
          <w:szCs w:val="22"/>
        </w:rPr>
      </w:pPr>
      <w:r w:rsidRPr="0024617F">
        <w:rPr>
          <w:szCs w:val="22"/>
        </w:rPr>
        <w:t xml:space="preserve">On behalf of the Secretary of State for Environment, Food and Rural Affairs and pursuant to Paragraph 3(2) of Schedule 14 of the Wildlife and Countryside Act 1981, </w:t>
      </w:r>
      <w:r w:rsidRPr="0024617F">
        <w:rPr>
          <w:b/>
          <w:szCs w:val="22"/>
        </w:rPr>
        <w:t>I HEREBY</w:t>
      </w:r>
      <w:r w:rsidRPr="0024617F">
        <w:rPr>
          <w:szCs w:val="22"/>
        </w:rPr>
        <w:t xml:space="preserve"> </w:t>
      </w:r>
      <w:r w:rsidRPr="0024617F">
        <w:rPr>
          <w:b/>
          <w:szCs w:val="22"/>
        </w:rPr>
        <w:t>DIRECT</w:t>
      </w:r>
      <w:r w:rsidRPr="0024617F">
        <w:rPr>
          <w:szCs w:val="22"/>
        </w:rPr>
        <w:t xml:space="preserve"> the </w:t>
      </w:r>
      <w:r w:rsidR="0024617F" w:rsidRPr="0024617F">
        <w:rPr>
          <w:szCs w:val="22"/>
        </w:rPr>
        <w:t>Suffolk</w:t>
      </w:r>
      <w:r w:rsidR="004F332A" w:rsidRPr="0024617F">
        <w:rPr>
          <w:szCs w:val="22"/>
        </w:rPr>
        <w:t xml:space="preserve"> County </w:t>
      </w:r>
      <w:r w:rsidRPr="0024617F">
        <w:rPr>
          <w:szCs w:val="22"/>
        </w:rPr>
        <w:t>Council to determine the above-</w:t>
      </w:r>
      <w:r w:rsidR="008538C8" w:rsidRPr="0024617F">
        <w:rPr>
          <w:szCs w:val="22"/>
        </w:rPr>
        <w:t>m</w:t>
      </w:r>
      <w:r w:rsidRPr="0024617F">
        <w:rPr>
          <w:szCs w:val="22"/>
        </w:rPr>
        <w:t xml:space="preserve">entioned application </w:t>
      </w:r>
      <w:bookmarkStart w:id="3" w:name="_Hlk97109144"/>
      <w:r w:rsidRPr="0024617F">
        <w:rPr>
          <w:szCs w:val="22"/>
        </w:rPr>
        <w:t>not later tha</w:t>
      </w:r>
      <w:r w:rsidR="004F332A" w:rsidRPr="0024617F">
        <w:rPr>
          <w:szCs w:val="22"/>
        </w:rPr>
        <w:t>n 1</w:t>
      </w:r>
      <w:r w:rsidR="0024617F" w:rsidRPr="0024617F">
        <w:rPr>
          <w:szCs w:val="22"/>
        </w:rPr>
        <w:t>8</w:t>
      </w:r>
      <w:r w:rsidR="004F332A" w:rsidRPr="0024617F">
        <w:rPr>
          <w:szCs w:val="22"/>
        </w:rPr>
        <w:t xml:space="preserve"> months from the date of this decision</w:t>
      </w:r>
      <w:bookmarkEnd w:id="3"/>
      <w:r w:rsidRPr="0024617F">
        <w:rPr>
          <w:szCs w:val="22"/>
        </w:rPr>
        <w:t>.</w:t>
      </w:r>
    </w:p>
    <w:p w14:paraId="180D0790" w14:textId="77777777" w:rsidR="008538C8" w:rsidRPr="0024617F" w:rsidRDefault="008538C8" w:rsidP="008538C8">
      <w:pPr>
        <w:rPr>
          <w:szCs w:val="22"/>
        </w:rPr>
      </w:pPr>
    </w:p>
    <w:p w14:paraId="46E7E7C5" w14:textId="77777777" w:rsidR="00C779E8" w:rsidRPr="0024617F" w:rsidRDefault="004F332A">
      <w:pPr>
        <w:pStyle w:val="Style1"/>
        <w:numPr>
          <w:ilvl w:val="0"/>
          <w:numId w:val="0"/>
        </w:numPr>
        <w:spacing w:before="60"/>
        <w:rPr>
          <w:rFonts w:ascii="Monotype Corsiva" w:hAnsi="Monotype Corsiva"/>
          <w:color w:val="auto"/>
          <w:sz w:val="36"/>
          <w:szCs w:val="36"/>
        </w:rPr>
      </w:pPr>
      <w:r w:rsidRPr="0024617F">
        <w:rPr>
          <w:rFonts w:ascii="Monotype Corsiva" w:hAnsi="Monotype Corsiva"/>
          <w:color w:val="auto"/>
          <w:sz w:val="36"/>
        </w:rPr>
        <w:t>C Beeby</w:t>
      </w:r>
    </w:p>
    <w:p w14:paraId="49B33CD8" w14:textId="77777777" w:rsidR="00C779E8" w:rsidRPr="0024617F" w:rsidRDefault="00C779E8">
      <w:pPr>
        <w:pStyle w:val="Style1"/>
        <w:numPr>
          <w:ilvl w:val="0"/>
          <w:numId w:val="0"/>
        </w:numPr>
        <w:spacing w:before="120"/>
        <w:rPr>
          <w:color w:val="auto"/>
        </w:rPr>
      </w:pPr>
      <w:bookmarkStart w:id="4" w:name="bmkPageBreak"/>
      <w:bookmarkEnd w:id="4"/>
      <w:r w:rsidRPr="0024617F">
        <w:rPr>
          <w:color w:val="auto"/>
        </w:rPr>
        <w:t>INSPECTOR</w:t>
      </w:r>
    </w:p>
    <w:p w14:paraId="7C3200DC" w14:textId="77777777" w:rsidR="00C779E8" w:rsidRPr="000A62A8" w:rsidRDefault="00C779E8">
      <w:pPr>
        <w:pStyle w:val="Style1"/>
        <w:numPr>
          <w:ilvl w:val="0"/>
          <w:numId w:val="0"/>
        </w:numPr>
        <w:spacing w:before="120"/>
        <w:rPr>
          <w:color w:val="FF0000"/>
        </w:rPr>
      </w:pPr>
    </w:p>
    <w:sectPr w:rsidR="00C779E8" w:rsidRPr="000A62A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F086" w14:textId="77777777" w:rsidR="007D05BB" w:rsidRDefault="007D05BB">
      <w:r>
        <w:separator/>
      </w:r>
    </w:p>
  </w:endnote>
  <w:endnote w:type="continuationSeparator" w:id="0">
    <w:p w14:paraId="39544051" w14:textId="77777777" w:rsidR="007D05BB" w:rsidRDefault="007D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653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C2E9E"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00C6" w14:textId="6368523D" w:rsidR="00C779E8" w:rsidRDefault="00CD6684">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EAF0756" wp14:editId="40422AD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8D8A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4DA766A"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50E3" w14:textId="7E0E74BF" w:rsidR="00C779E8" w:rsidRDefault="00CD668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BB9684E" wp14:editId="45718B1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E1FFA"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CE8E490"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E252" w14:textId="77777777" w:rsidR="007D05BB" w:rsidRDefault="007D05BB">
      <w:r>
        <w:separator/>
      </w:r>
    </w:p>
  </w:footnote>
  <w:footnote w:type="continuationSeparator" w:id="0">
    <w:p w14:paraId="7FEB9FD0" w14:textId="77777777" w:rsidR="007D05BB" w:rsidRDefault="007D0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5250F1" w14:textId="77777777">
      <w:tblPrEx>
        <w:tblCellMar>
          <w:top w:w="0" w:type="dxa"/>
          <w:bottom w:w="0" w:type="dxa"/>
        </w:tblCellMar>
      </w:tblPrEx>
      <w:tc>
        <w:tcPr>
          <w:tcW w:w="9520" w:type="dxa"/>
        </w:tcPr>
        <w:p w14:paraId="1BE070C1" w14:textId="77777777" w:rsidR="00C779E8" w:rsidRDefault="00D25177">
          <w:pPr>
            <w:pStyle w:val="Footer"/>
          </w:pPr>
          <w:r>
            <w:t>Direction</w:t>
          </w:r>
          <w:r w:rsidR="00C779E8">
            <w:t xml:space="preserve"> Decision FPS/</w:t>
          </w:r>
          <w:r w:rsidR="00E1549A">
            <w:t>V3500</w:t>
          </w:r>
          <w:r w:rsidR="00C779E8">
            <w:t>/14D/</w:t>
          </w:r>
          <w:r w:rsidR="00E1549A">
            <w:t>23</w:t>
          </w:r>
        </w:p>
      </w:tc>
    </w:tr>
  </w:tbl>
  <w:p w14:paraId="4CF7E333" w14:textId="4D1D978B" w:rsidR="00C779E8" w:rsidRDefault="00CD6684">
    <w:pPr>
      <w:pStyle w:val="Footer"/>
    </w:pPr>
    <w:r>
      <w:rPr>
        <w:noProof/>
      </w:rPr>
      <mc:AlternateContent>
        <mc:Choice Requires="wps">
          <w:drawing>
            <wp:anchor distT="0" distB="0" distL="114300" distR="114300" simplePos="0" relativeHeight="251657728" behindDoc="0" locked="0" layoutInCell="1" allowOverlap="1" wp14:anchorId="6B3F83C5" wp14:editId="0A92E404">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DE8B"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9F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590AC3C"/>
    <w:lvl w:ilvl="0">
      <w:start w:val="1"/>
      <w:numFmt w:val="decimal"/>
      <w:pStyle w:val="Style1"/>
      <w:lvlText w:val="%1."/>
      <w:lvlJc w:val="left"/>
      <w:pPr>
        <w:tabs>
          <w:tab w:val="num" w:pos="720"/>
        </w:tabs>
        <w:ind w:left="432" w:hanging="432"/>
      </w:pPr>
      <w:rPr>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354D9"/>
    <w:rsid w:val="00037210"/>
    <w:rsid w:val="00056B7D"/>
    <w:rsid w:val="00063F28"/>
    <w:rsid w:val="000A62A8"/>
    <w:rsid w:val="000D0891"/>
    <w:rsid w:val="000E07D7"/>
    <w:rsid w:val="000F1787"/>
    <w:rsid w:val="00102072"/>
    <w:rsid w:val="00105F1A"/>
    <w:rsid w:val="001073F1"/>
    <w:rsid w:val="0017141B"/>
    <w:rsid w:val="00173520"/>
    <w:rsid w:val="001927C0"/>
    <w:rsid w:val="001B5B09"/>
    <w:rsid w:val="001C24A9"/>
    <w:rsid w:val="001C3557"/>
    <w:rsid w:val="002317B6"/>
    <w:rsid w:val="00231BF1"/>
    <w:rsid w:val="0024617F"/>
    <w:rsid w:val="00282A9D"/>
    <w:rsid w:val="00286132"/>
    <w:rsid w:val="002A1EEF"/>
    <w:rsid w:val="002B75E5"/>
    <w:rsid w:val="002C56D5"/>
    <w:rsid w:val="002D14C2"/>
    <w:rsid w:val="003043EC"/>
    <w:rsid w:val="00343947"/>
    <w:rsid w:val="003533DD"/>
    <w:rsid w:val="00383377"/>
    <w:rsid w:val="004712DF"/>
    <w:rsid w:val="0049638B"/>
    <w:rsid w:val="004A5AF6"/>
    <w:rsid w:val="004A5FE7"/>
    <w:rsid w:val="004B6AFB"/>
    <w:rsid w:val="004E4EBA"/>
    <w:rsid w:val="004F332A"/>
    <w:rsid w:val="00506D92"/>
    <w:rsid w:val="00517CE8"/>
    <w:rsid w:val="00557C6F"/>
    <w:rsid w:val="005D0DCE"/>
    <w:rsid w:val="005F7B97"/>
    <w:rsid w:val="0061408E"/>
    <w:rsid w:val="00620E9D"/>
    <w:rsid w:val="00633310"/>
    <w:rsid w:val="006467DC"/>
    <w:rsid w:val="006932BD"/>
    <w:rsid w:val="006B1E89"/>
    <w:rsid w:val="006D0AF7"/>
    <w:rsid w:val="007076B7"/>
    <w:rsid w:val="007300B9"/>
    <w:rsid w:val="00752257"/>
    <w:rsid w:val="00773733"/>
    <w:rsid w:val="00786B4B"/>
    <w:rsid w:val="007C102D"/>
    <w:rsid w:val="007D05BB"/>
    <w:rsid w:val="00803AB5"/>
    <w:rsid w:val="00803EA6"/>
    <w:rsid w:val="008045E1"/>
    <w:rsid w:val="00834006"/>
    <w:rsid w:val="008368E6"/>
    <w:rsid w:val="008538C8"/>
    <w:rsid w:val="00875BC3"/>
    <w:rsid w:val="00890EAD"/>
    <w:rsid w:val="008913B4"/>
    <w:rsid w:val="0089347F"/>
    <w:rsid w:val="008953D0"/>
    <w:rsid w:val="008963AC"/>
    <w:rsid w:val="008E16B7"/>
    <w:rsid w:val="00911957"/>
    <w:rsid w:val="00943554"/>
    <w:rsid w:val="00947DEA"/>
    <w:rsid w:val="009876FC"/>
    <w:rsid w:val="009A01FC"/>
    <w:rsid w:val="009A268E"/>
    <w:rsid w:val="009B2E1D"/>
    <w:rsid w:val="009D4C5A"/>
    <w:rsid w:val="009E075E"/>
    <w:rsid w:val="009E42F1"/>
    <w:rsid w:val="009F0A25"/>
    <w:rsid w:val="00A36791"/>
    <w:rsid w:val="00A549D2"/>
    <w:rsid w:val="00A941CA"/>
    <w:rsid w:val="00AB2E58"/>
    <w:rsid w:val="00AC4725"/>
    <w:rsid w:val="00AD0077"/>
    <w:rsid w:val="00AD35FB"/>
    <w:rsid w:val="00B02546"/>
    <w:rsid w:val="00B42085"/>
    <w:rsid w:val="00B60587"/>
    <w:rsid w:val="00B76ECB"/>
    <w:rsid w:val="00BB5324"/>
    <w:rsid w:val="00C32EB9"/>
    <w:rsid w:val="00C36DA5"/>
    <w:rsid w:val="00C6630D"/>
    <w:rsid w:val="00C779E8"/>
    <w:rsid w:val="00C846E3"/>
    <w:rsid w:val="00C92A6E"/>
    <w:rsid w:val="00C93AB2"/>
    <w:rsid w:val="00CA5C7A"/>
    <w:rsid w:val="00CB086F"/>
    <w:rsid w:val="00CD6684"/>
    <w:rsid w:val="00D22721"/>
    <w:rsid w:val="00D241FA"/>
    <w:rsid w:val="00D25177"/>
    <w:rsid w:val="00D277C7"/>
    <w:rsid w:val="00D326BE"/>
    <w:rsid w:val="00D62DDD"/>
    <w:rsid w:val="00D6769A"/>
    <w:rsid w:val="00D71D81"/>
    <w:rsid w:val="00D91E79"/>
    <w:rsid w:val="00DE72DD"/>
    <w:rsid w:val="00DF7908"/>
    <w:rsid w:val="00E0535F"/>
    <w:rsid w:val="00E10EAA"/>
    <w:rsid w:val="00E1549A"/>
    <w:rsid w:val="00E26EA4"/>
    <w:rsid w:val="00E514F9"/>
    <w:rsid w:val="00E65BB5"/>
    <w:rsid w:val="00E70974"/>
    <w:rsid w:val="00E75A9A"/>
    <w:rsid w:val="00E97613"/>
    <w:rsid w:val="00EA65FB"/>
    <w:rsid w:val="00EB0C5B"/>
    <w:rsid w:val="00F14C57"/>
    <w:rsid w:val="00F37563"/>
    <w:rsid w:val="00F4058F"/>
    <w:rsid w:val="00F44430"/>
    <w:rsid w:val="00F63A74"/>
    <w:rsid w:val="00F67348"/>
    <w:rsid w:val="00F711E7"/>
    <w:rsid w:val="00F93310"/>
    <w:rsid w:val="00FD5CD3"/>
    <w:rsid w:val="00FF4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796338"/>
  <w15:chartTrackingRefBased/>
  <w15:docId w15:val="{CA43D8E6-1B5F-4A72-9A31-7379A803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0CCF5C-F600-4C99-8633-0E62F9B7E262}"/>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2C74CED7-CB8D-405C-A2C6-EFC38567A6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3</Pages>
  <Words>1177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2</cp:revision>
  <cp:lastPrinted>2010-06-22T07:33:00Z</cp:lastPrinted>
  <dcterms:created xsi:type="dcterms:W3CDTF">2022-06-08T15:01:00Z</dcterms:created>
  <dcterms:modified xsi:type="dcterms:W3CDTF">2022-06-08T15:01:00Z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