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170" w:type="dxa"/>
          <w:right w:w="170" w:type="dxa"/>
        </w:tblCellMar>
        <w:tblLook w:val="04A0" w:firstRow="1" w:lastRow="0" w:firstColumn="1" w:lastColumn="0" w:noHBand="0" w:noVBand="1"/>
      </w:tblPr>
      <w:tblGrid>
        <w:gridCol w:w="10034"/>
      </w:tblGrid>
      <w:tr w:rsidR="00C20562" w:rsidRPr="00C20562" w14:paraId="707AB863" w14:textId="77777777" w:rsidTr="00BB3712">
        <w:trPr>
          <w:trHeight w:hRule="exact" w:val="2796"/>
        </w:trPr>
        <w:tc>
          <w:tcPr>
            <w:tcW w:w="9468" w:type="dxa"/>
            <w:shd w:val="clear" w:color="auto" w:fill="auto"/>
          </w:tcPr>
          <w:p w14:paraId="5B33E23A" w14:textId="77777777" w:rsidR="00C20562" w:rsidRPr="00C20562" w:rsidRDefault="00C20562" w:rsidP="00323E71"/>
        </w:tc>
      </w:tr>
      <w:tr w:rsidR="00C20562" w:rsidRPr="00550D4A" w14:paraId="7F1BC156" w14:textId="77777777" w:rsidTr="00BB3712">
        <w:trPr>
          <w:trHeight w:hRule="exact" w:val="4253"/>
        </w:trPr>
        <w:tc>
          <w:tcPr>
            <w:tcW w:w="9468" w:type="dxa"/>
            <w:shd w:val="clear" w:color="auto" w:fill="auto"/>
          </w:tcPr>
          <w:p w14:paraId="2F00AEB1" w14:textId="77777777" w:rsidR="00262D6E" w:rsidRDefault="00262D6E" w:rsidP="00262D6E">
            <w:pPr>
              <w:outlineLvl w:val="0"/>
              <w:rPr>
                <w:b/>
                <w:sz w:val="52"/>
                <w:szCs w:val="52"/>
              </w:rPr>
            </w:pPr>
          </w:p>
          <w:p w14:paraId="483A988A" w14:textId="77777777" w:rsidR="00262D6E" w:rsidRPr="00E5329B" w:rsidRDefault="00262D6E" w:rsidP="00262D6E">
            <w:pPr>
              <w:outlineLvl w:val="0"/>
              <w:rPr>
                <w:sz w:val="48"/>
                <w:szCs w:val="48"/>
                <w:lang w:bidi="ar-SA"/>
              </w:rPr>
            </w:pPr>
            <w:r w:rsidRPr="00E5329B">
              <w:rPr>
                <w:b/>
                <w:sz w:val="48"/>
                <w:szCs w:val="48"/>
              </w:rPr>
              <w:t>Mental Health Casework Section</w:t>
            </w:r>
          </w:p>
          <w:p w14:paraId="0AFAB09D" w14:textId="77777777" w:rsidR="00973B17" w:rsidRDefault="00973B17" w:rsidP="00262D6E">
            <w:pPr>
              <w:tabs>
                <w:tab w:val="left" w:pos="6795"/>
              </w:tabs>
              <w:outlineLvl w:val="0"/>
              <w:rPr>
                <w:sz w:val="40"/>
                <w:szCs w:val="40"/>
              </w:rPr>
            </w:pPr>
          </w:p>
          <w:p w14:paraId="4E563FA4" w14:textId="77777777" w:rsidR="00973B17" w:rsidRDefault="00973B17" w:rsidP="00973B17">
            <w:pPr>
              <w:tabs>
                <w:tab w:val="left" w:pos="6795"/>
              </w:tabs>
              <w:outlineLvl w:val="0"/>
              <w:rPr>
                <w:sz w:val="38"/>
                <w:szCs w:val="38"/>
              </w:rPr>
            </w:pPr>
            <w:r>
              <w:rPr>
                <w:sz w:val="38"/>
                <w:szCs w:val="38"/>
              </w:rPr>
              <w:t>Guidance:</w:t>
            </w:r>
          </w:p>
          <w:p w14:paraId="5DD450CA" w14:textId="6178B4C6" w:rsidR="00973B17" w:rsidRDefault="00A72292" w:rsidP="00262D6E">
            <w:pPr>
              <w:tabs>
                <w:tab w:val="left" w:pos="6795"/>
              </w:tabs>
              <w:outlineLvl w:val="0"/>
              <w:rPr>
                <w:sz w:val="38"/>
                <w:szCs w:val="38"/>
              </w:rPr>
            </w:pPr>
            <w:r>
              <w:rPr>
                <w:sz w:val="38"/>
                <w:szCs w:val="38"/>
              </w:rPr>
              <w:t>The Designation and Management of High Profile Restricted Patients</w:t>
            </w:r>
          </w:p>
          <w:p w14:paraId="352C49E6" w14:textId="77777777" w:rsidR="00550D4A" w:rsidRPr="00550D4A" w:rsidRDefault="00550D4A" w:rsidP="00973B17">
            <w:pPr>
              <w:tabs>
                <w:tab w:val="left" w:pos="6795"/>
              </w:tabs>
              <w:outlineLvl w:val="0"/>
            </w:pPr>
          </w:p>
        </w:tc>
      </w:tr>
      <w:tr w:rsidR="00C20562" w:rsidRPr="00EA1B3A" w14:paraId="130937FA" w14:textId="77777777" w:rsidTr="00BB3712">
        <w:trPr>
          <w:trHeight w:hRule="exact" w:val="1985"/>
        </w:trPr>
        <w:tc>
          <w:tcPr>
            <w:tcW w:w="9468" w:type="dxa"/>
            <w:shd w:val="clear" w:color="auto" w:fill="auto"/>
          </w:tcPr>
          <w:p w14:paraId="66D4F6B4" w14:textId="77777777" w:rsidR="00C20562" w:rsidRPr="00EA1B3A" w:rsidRDefault="00C20562" w:rsidP="00EA1B3A">
            <w:pPr>
              <w:pStyle w:val="CoverAuthor"/>
            </w:pPr>
          </w:p>
        </w:tc>
      </w:tr>
      <w:tr w:rsidR="00550D4A" w:rsidRPr="00EA1B3A" w14:paraId="382AFD5C" w14:textId="77777777" w:rsidTr="00BB3712">
        <w:tblPrEx>
          <w:tblCellMar>
            <w:left w:w="108" w:type="dxa"/>
            <w:right w:w="108" w:type="dxa"/>
          </w:tblCellMar>
        </w:tblPrEx>
        <w:tc>
          <w:tcPr>
            <w:tcW w:w="10286" w:type="dxa"/>
            <w:shd w:val="clear" w:color="auto" w:fill="auto"/>
          </w:tcPr>
          <w:p w14:paraId="63B52A77" w14:textId="0BE1E1E5" w:rsidR="00550D4A" w:rsidRPr="00EA1B3A" w:rsidRDefault="007F5383" w:rsidP="00262D6E">
            <w:pPr>
              <w:pStyle w:val="CoverDate"/>
            </w:pPr>
            <w:r>
              <w:t>April 2024</w:t>
            </w:r>
          </w:p>
        </w:tc>
      </w:tr>
    </w:tbl>
    <w:p w14:paraId="64467C00" w14:textId="77777777" w:rsidR="00B230A3" w:rsidRDefault="00B230A3" w:rsidP="00B230A3">
      <w:pPr>
        <w:spacing w:after="0"/>
      </w:pPr>
    </w:p>
    <w:p w14:paraId="7F0FF412" w14:textId="77777777" w:rsidR="008C7094" w:rsidRDefault="008C7094" w:rsidP="008C7094">
      <w:pPr>
        <w:spacing w:after="0"/>
      </w:pPr>
      <w:r w:rsidRPr="00B230A3">
        <w:br w:type="page"/>
      </w:r>
    </w:p>
    <w:tbl>
      <w:tblPr>
        <w:tblW w:w="0" w:type="auto"/>
        <w:tblLook w:val="04A0" w:firstRow="1" w:lastRow="0" w:firstColumn="1" w:lastColumn="0" w:noHBand="0" w:noVBand="1"/>
      </w:tblPr>
      <w:tblGrid>
        <w:gridCol w:w="10034"/>
      </w:tblGrid>
      <w:tr w:rsidR="008C7094" w:rsidRPr="006D116C" w14:paraId="5CAB54E8" w14:textId="77777777" w:rsidTr="00BB3712">
        <w:trPr>
          <w:trHeight w:hRule="exact" w:val="5500"/>
        </w:trPr>
        <w:tc>
          <w:tcPr>
            <w:tcW w:w="10286" w:type="dxa"/>
            <w:shd w:val="clear" w:color="auto" w:fill="auto"/>
          </w:tcPr>
          <w:p w14:paraId="22136235" w14:textId="77777777" w:rsidR="008C7094" w:rsidRPr="006D116C" w:rsidRDefault="008C7094" w:rsidP="00CC608E"/>
        </w:tc>
      </w:tr>
      <w:tr w:rsidR="008C7094" w:rsidRPr="006D116C" w14:paraId="46A9463A" w14:textId="77777777" w:rsidTr="00BB3712">
        <w:tc>
          <w:tcPr>
            <w:tcW w:w="10286" w:type="dxa"/>
            <w:shd w:val="clear" w:color="auto" w:fill="auto"/>
          </w:tcPr>
          <w:p w14:paraId="33E53753" w14:textId="77777777" w:rsidR="008C7094" w:rsidRPr="001820BD" w:rsidRDefault="00973B17" w:rsidP="00CC608E">
            <w:r w:rsidRPr="003543E2">
              <w:rPr>
                <w:noProof/>
                <w:lang w:eastAsia="en-GB" w:bidi="ar-SA"/>
              </w:rPr>
              <w:drawing>
                <wp:inline distT="0" distB="0" distL="0" distR="0" wp14:anchorId="23952472" wp14:editId="2BA3EFB3">
                  <wp:extent cx="775970" cy="382905"/>
                  <wp:effectExtent l="0" t="0" r="0" b="0"/>
                  <wp:docPr id="14" name="Picture 12" descr="OG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G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970" cy="382905"/>
                          </a:xfrm>
                          <a:prstGeom prst="rect">
                            <a:avLst/>
                          </a:prstGeom>
                          <a:noFill/>
                          <a:ln>
                            <a:noFill/>
                          </a:ln>
                        </pic:spPr>
                      </pic:pic>
                    </a:graphicData>
                  </a:graphic>
                </wp:inline>
              </w:drawing>
            </w:r>
          </w:p>
          <w:p w14:paraId="7B884C55" w14:textId="77777777" w:rsidR="008C7094" w:rsidRPr="00BB3712" w:rsidRDefault="0060603A" w:rsidP="00CC608E">
            <w:pPr>
              <w:rPr>
                <w:b/>
              </w:rPr>
            </w:pPr>
            <w:r w:rsidRPr="00BB3712">
              <w:rPr>
                <w:b/>
              </w:rPr>
              <w:t>© Crown copyright 2017</w:t>
            </w:r>
          </w:p>
          <w:p w14:paraId="36E54946" w14:textId="77777777" w:rsidR="008C7094" w:rsidRPr="001820BD" w:rsidRDefault="008C7094" w:rsidP="00CC608E">
            <w:r w:rsidRPr="001820BD">
              <w:t xml:space="preserve">This publication is licensed under the terms of the Open Government Licence v3.0 except where otherwise stated. To view this licence, visit </w:t>
            </w:r>
            <w:hyperlink r:id="rId9" w:history="1">
              <w:r w:rsidRPr="001820BD">
                <w:rPr>
                  <w:rStyle w:val="Hyperlink"/>
                </w:rPr>
                <w:t>nationalarchives.gov.uk/doc/open-government-licence/version/3</w:t>
              </w:r>
            </w:hyperlink>
            <w:r w:rsidRPr="001820BD">
              <w:t xml:space="preserve"> or write to the Information Policy Team, The National Archives, Kew, London TW9 4DU, or email: </w:t>
            </w:r>
            <w:hyperlink r:id="rId10" w:history="1">
              <w:r w:rsidRPr="001820BD">
                <w:rPr>
                  <w:rStyle w:val="Hyperlink"/>
                </w:rPr>
                <w:t>psi@nationalarchives.gsi.gov.uk</w:t>
              </w:r>
            </w:hyperlink>
            <w:r w:rsidRPr="001820BD">
              <w:t>.</w:t>
            </w:r>
          </w:p>
          <w:p w14:paraId="74D9D873" w14:textId="77777777" w:rsidR="00EE4E05" w:rsidRDefault="008C7094" w:rsidP="00CC608E">
            <w:r w:rsidRPr="001820BD">
              <w:t>Any enquiries regarding this publication should be sent to us at</w:t>
            </w:r>
            <w:r w:rsidR="000D2FD4">
              <w:t>:</w:t>
            </w:r>
            <w:r w:rsidR="00257750">
              <w:t xml:space="preserve"> </w:t>
            </w:r>
          </w:p>
          <w:p w14:paraId="1538C797" w14:textId="435AC19D" w:rsidR="008C7094" w:rsidRDefault="00EE4E05" w:rsidP="00CC608E">
            <w:hyperlink r:id="rId11" w:history="1">
              <w:r w:rsidRPr="004C46BB">
                <w:rPr>
                  <w:rStyle w:val="Hyperlink"/>
                </w:rPr>
                <w:t>mhcscpst@justice.gov.uk</w:t>
              </w:r>
            </w:hyperlink>
          </w:p>
          <w:p w14:paraId="5B4800A0" w14:textId="77777777" w:rsidR="00EE4E05" w:rsidRDefault="00EE4E05" w:rsidP="00CC608E"/>
          <w:p w14:paraId="7EED1AFA" w14:textId="77777777" w:rsidR="00040C89" w:rsidRDefault="00040C89" w:rsidP="00CC608E"/>
          <w:p w14:paraId="3E4DB86F" w14:textId="77777777" w:rsidR="008C7094" w:rsidRPr="006D116C" w:rsidRDefault="008C7094" w:rsidP="00CC608E"/>
        </w:tc>
      </w:tr>
    </w:tbl>
    <w:p w14:paraId="66F7F8FB" w14:textId="77777777" w:rsidR="00267815" w:rsidRDefault="00267815" w:rsidP="00323E71"/>
    <w:p w14:paraId="5217B430" w14:textId="77777777" w:rsidR="001D0DE0" w:rsidRDefault="001D0DE0" w:rsidP="00323E71">
      <w:pPr>
        <w:sectPr w:rsidR="001D0DE0" w:rsidSect="00F739F9">
          <w:headerReference w:type="first" r:id="rId12"/>
          <w:footerReference w:type="first" r:id="rId13"/>
          <w:pgSz w:w="11906" w:h="16838" w:code="9"/>
          <w:pgMar w:top="1531" w:right="851" w:bottom="1134" w:left="851" w:header="737" w:footer="227" w:gutter="170"/>
          <w:cols w:space="312"/>
          <w:titlePg/>
          <w:docGrid w:linePitch="360"/>
        </w:sectPr>
      </w:pPr>
    </w:p>
    <w:p w14:paraId="72686AB4" w14:textId="77777777" w:rsidR="00B230A3" w:rsidRPr="00B230A3" w:rsidRDefault="00B230A3" w:rsidP="00B230A3">
      <w:pPr>
        <w:pStyle w:val="Default"/>
        <w:rPr>
          <w:rFonts w:eastAsia="Calibri"/>
          <w:b/>
          <w:sz w:val="28"/>
          <w:szCs w:val="28"/>
          <w:lang w:eastAsia="en-US"/>
        </w:rPr>
      </w:pPr>
      <w:r w:rsidRPr="00B230A3">
        <w:rPr>
          <w:rFonts w:eastAsia="Calibri"/>
          <w:b/>
          <w:sz w:val="28"/>
          <w:szCs w:val="28"/>
          <w:lang w:eastAsia="en-US"/>
        </w:rPr>
        <w:lastRenderedPageBreak/>
        <w:t>1</w:t>
      </w:r>
      <w:r w:rsidRPr="00B230A3">
        <w:rPr>
          <w:rFonts w:eastAsia="Calibri"/>
          <w:b/>
          <w:sz w:val="28"/>
          <w:szCs w:val="28"/>
          <w:lang w:eastAsia="en-US"/>
        </w:rPr>
        <w:tab/>
        <w:t>Introduction</w:t>
      </w:r>
    </w:p>
    <w:p w14:paraId="2AD2705B" w14:textId="77777777" w:rsidR="00B230A3" w:rsidRPr="00B230A3" w:rsidRDefault="00B230A3" w:rsidP="00B230A3">
      <w:pPr>
        <w:pStyle w:val="Default"/>
        <w:rPr>
          <w:rFonts w:eastAsia="Calibri"/>
          <w:sz w:val="22"/>
          <w:szCs w:val="22"/>
          <w:lang w:eastAsia="en-US"/>
        </w:rPr>
      </w:pPr>
    </w:p>
    <w:p w14:paraId="6EBBFDD9" w14:textId="5AD0A3E7" w:rsidR="00A72292" w:rsidRDefault="00A72292" w:rsidP="00B230A3">
      <w:pPr>
        <w:pStyle w:val="Default"/>
        <w:rPr>
          <w:rFonts w:eastAsia="Calibri"/>
          <w:sz w:val="22"/>
          <w:szCs w:val="22"/>
          <w:lang w:eastAsia="en-US"/>
        </w:rPr>
      </w:pPr>
      <w:r>
        <w:rPr>
          <w:rFonts w:eastAsia="Calibri"/>
          <w:sz w:val="22"/>
          <w:szCs w:val="22"/>
          <w:lang w:eastAsia="en-US"/>
        </w:rPr>
        <w:t xml:space="preserve">This document sets out what </w:t>
      </w:r>
      <w:r w:rsidR="007C1E1D">
        <w:rPr>
          <w:rFonts w:eastAsia="Calibri"/>
          <w:sz w:val="22"/>
          <w:szCs w:val="22"/>
          <w:lang w:eastAsia="en-US"/>
        </w:rPr>
        <w:t xml:space="preserve">criteria </w:t>
      </w:r>
      <w:r w:rsidR="005A68F6">
        <w:rPr>
          <w:rFonts w:eastAsia="Calibri"/>
          <w:sz w:val="22"/>
          <w:szCs w:val="22"/>
          <w:lang w:eastAsia="en-US"/>
        </w:rPr>
        <w:t>are</w:t>
      </w:r>
      <w:r w:rsidR="00130AEB">
        <w:rPr>
          <w:rFonts w:eastAsia="Calibri"/>
          <w:sz w:val="22"/>
          <w:szCs w:val="22"/>
          <w:lang w:eastAsia="en-US"/>
        </w:rPr>
        <w:t xml:space="preserve"> </w:t>
      </w:r>
      <w:r w:rsidR="007C1E1D">
        <w:rPr>
          <w:rFonts w:eastAsia="Calibri"/>
          <w:sz w:val="22"/>
          <w:szCs w:val="22"/>
          <w:lang w:eastAsia="en-US"/>
        </w:rPr>
        <w:t>considered when designating a</w:t>
      </w:r>
      <w:r>
        <w:rPr>
          <w:rFonts w:eastAsia="Calibri"/>
          <w:sz w:val="22"/>
          <w:szCs w:val="22"/>
          <w:lang w:eastAsia="en-US"/>
        </w:rPr>
        <w:t xml:space="preserve"> restricted patient ‘high profile’ and what effects that has on the management of that patient whilst detained in a hospital or </w:t>
      </w:r>
      <w:r w:rsidR="007C1E1D">
        <w:rPr>
          <w:rFonts w:eastAsia="Calibri"/>
          <w:sz w:val="22"/>
          <w:szCs w:val="22"/>
          <w:lang w:eastAsia="en-US"/>
        </w:rPr>
        <w:t xml:space="preserve">in the community, following a conditional discharge. </w:t>
      </w:r>
      <w:r w:rsidR="00530D01">
        <w:rPr>
          <w:rFonts w:eastAsia="Calibri"/>
          <w:sz w:val="22"/>
          <w:szCs w:val="22"/>
          <w:lang w:eastAsia="en-US"/>
        </w:rPr>
        <w:t>This document should be read in conjunction with the briefing titled ‘Mentally Disordered Offenders – The restricted patient system</w:t>
      </w:r>
      <w:r w:rsidR="007C0DF7">
        <w:rPr>
          <w:rFonts w:eastAsia="Calibri"/>
          <w:sz w:val="22"/>
          <w:szCs w:val="22"/>
          <w:lang w:eastAsia="en-US"/>
        </w:rPr>
        <w:t xml:space="preserve">’ </w:t>
      </w:r>
      <w:r w:rsidR="00530D01">
        <w:rPr>
          <w:rFonts w:eastAsia="Calibri"/>
          <w:sz w:val="22"/>
          <w:szCs w:val="22"/>
          <w:lang w:eastAsia="en-US"/>
        </w:rPr>
        <w:t>which is available on the following link;</w:t>
      </w:r>
    </w:p>
    <w:p w14:paraId="0E564B47" w14:textId="77777777" w:rsidR="00530D01" w:rsidRDefault="00530D01" w:rsidP="00B230A3">
      <w:pPr>
        <w:pStyle w:val="Default"/>
        <w:rPr>
          <w:rFonts w:eastAsia="Calibri"/>
          <w:sz w:val="22"/>
          <w:szCs w:val="22"/>
          <w:lang w:eastAsia="en-US"/>
        </w:rPr>
      </w:pPr>
    </w:p>
    <w:p w14:paraId="5453F57B" w14:textId="4A926FC1" w:rsidR="00530D01" w:rsidRDefault="00530D01" w:rsidP="00B230A3">
      <w:pPr>
        <w:pStyle w:val="Default"/>
        <w:rPr>
          <w:rStyle w:val="Hyperlink"/>
          <w:rFonts w:eastAsia="Calibri"/>
          <w:sz w:val="22"/>
          <w:szCs w:val="22"/>
          <w:lang w:eastAsia="en-US"/>
        </w:rPr>
      </w:pPr>
      <w:hyperlink r:id="rId14" w:history="1">
        <w:r w:rsidRPr="0002713D">
          <w:rPr>
            <w:rStyle w:val="Hyperlink"/>
            <w:rFonts w:eastAsia="Calibri"/>
            <w:sz w:val="22"/>
            <w:szCs w:val="22"/>
            <w:lang w:eastAsia="en-US"/>
          </w:rPr>
          <w:t>https://assets.publishing.service.gov.uk/government/uploads/system/uploads/attachment_data/file/670671/RP_Background_Brief_v1_Dec_2017.pdf</w:t>
        </w:r>
      </w:hyperlink>
    </w:p>
    <w:p w14:paraId="6ED6283C" w14:textId="28D27FEF" w:rsidR="005C6C34" w:rsidRDefault="005C6C34" w:rsidP="00B230A3">
      <w:pPr>
        <w:pStyle w:val="Default"/>
        <w:rPr>
          <w:rStyle w:val="Hyperlink"/>
          <w:rFonts w:eastAsia="Calibri"/>
          <w:sz w:val="22"/>
          <w:szCs w:val="22"/>
          <w:lang w:eastAsia="en-US"/>
        </w:rPr>
      </w:pPr>
    </w:p>
    <w:p w14:paraId="3D065994" w14:textId="77777777" w:rsidR="00A72292" w:rsidRDefault="00A72292" w:rsidP="00B230A3">
      <w:pPr>
        <w:pStyle w:val="Default"/>
        <w:rPr>
          <w:rFonts w:eastAsia="Calibri"/>
          <w:sz w:val="22"/>
          <w:szCs w:val="22"/>
          <w:lang w:eastAsia="en-US"/>
        </w:rPr>
      </w:pPr>
    </w:p>
    <w:p w14:paraId="159D75BB" w14:textId="77777777" w:rsidR="0021195D" w:rsidRDefault="0021195D" w:rsidP="00B230A3">
      <w:pPr>
        <w:pStyle w:val="Default"/>
        <w:rPr>
          <w:rFonts w:eastAsia="Calibri"/>
          <w:b/>
          <w:sz w:val="28"/>
          <w:szCs w:val="28"/>
          <w:lang w:eastAsia="en-US"/>
        </w:rPr>
      </w:pPr>
    </w:p>
    <w:p w14:paraId="696689C2" w14:textId="0B960729" w:rsidR="00B230A3" w:rsidRDefault="00B230A3" w:rsidP="00B230A3">
      <w:pPr>
        <w:pStyle w:val="Default"/>
        <w:rPr>
          <w:rFonts w:eastAsia="Calibri"/>
          <w:b/>
          <w:sz w:val="28"/>
          <w:szCs w:val="28"/>
          <w:lang w:eastAsia="en-US"/>
        </w:rPr>
      </w:pPr>
      <w:r w:rsidRPr="00B230A3">
        <w:rPr>
          <w:rFonts w:eastAsia="Calibri"/>
          <w:b/>
          <w:sz w:val="28"/>
          <w:szCs w:val="28"/>
          <w:lang w:eastAsia="en-US"/>
        </w:rPr>
        <w:t>2</w:t>
      </w:r>
      <w:r w:rsidRPr="00B230A3">
        <w:rPr>
          <w:rFonts w:eastAsia="Calibri"/>
          <w:b/>
          <w:sz w:val="28"/>
          <w:szCs w:val="28"/>
          <w:lang w:eastAsia="en-US"/>
        </w:rPr>
        <w:tab/>
      </w:r>
      <w:r w:rsidR="007C1E1D">
        <w:rPr>
          <w:rFonts w:eastAsia="Calibri"/>
          <w:b/>
          <w:sz w:val="28"/>
          <w:szCs w:val="28"/>
          <w:lang w:eastAsia="en-US"/>
        </w:rPr>
        <w:t>High Profile Criteria</w:t>
      </w:r>
    </w:p>
    <w:p w14:paraId="2E73437D" w14:textId="77777777" w:rsidR="007C1E1D" w:rsidRDefault="007C1E1D" w:rsidP="00B230A3">
      <w:pPr>
        <w:pStyle w:val="Default"/>
        <w:rPr>
          <w:rFonts w:eastAsia="Calibri"/>
          <w:b/>
          <w:sz w:val="28"/>
          <w:szCs w:val="28"/>
          <w:lang w:eastAsia="en-US"/>
        </w:rPr>
      </w:pPr>
    </w:p>
    <w:p w14:paraId="7879867A" w14:textId="20574D0D" w:rsidR="00757496" w:rsidRDefault="00530D01" w:rsidP="00B230A3">
      <w:pPr>
        <w:pStyle w:val="Default"/>
        <w:rPr>
          <w:rFonts w:eastAsia="Calibri"/>
          <w:sz w:val="22"/>
          <w:szCs w:val="22"/>
          <w:lang w:eastAsia="en-US"/>
        </w:rPr>
      </w:pPr>
      <w:r>
        <w:rPr>
          <w:rFonts w:eastAsia="Calibri"/>
          <w:sz w:val="22"/>
          <w:szCs w:val="22"/>
          <w:lang w:eastAsia="en-US"/>
        </w:rPr>
        <w:t xml:space="preserve">The Mental Health Casework Section (MHCS) is responsible for making certain key decisions on behalf of the Secretary of State for Justice for the management of restricted patients. These decisions include the authorisation of community leave, transfers between secure hospital, transfers from and remission </w:t>
      </w:r>
      <w:r w:rsidR="00281F77">
        <w:rPr>
          <w:rFonts w:eastAsia="Calibri"/>
          <w:sz w:val="22"/>
          <w:szCs w:val="22"/>
          <w:lang w:eastAsia="en-US"/>
        </w:rPr>
        <w:t xml:space="preserve">to </w:t>
      </w:r>
      <w:r>
        <w:rPr>
          <w:rFonts w:eastAsia="Calibri"/>
          <w:sz w:val="22"/>
          <w:szCs w:val="22"/>
          <w:lang w:eastAsia="en-US"/>
        </w:rPr>
        <w:t>prisons</w:t>
      </w:r>
      <w:r w:rsidR="007C0DF7">
        <w:rPr>
          <w:rFonts w:eastAsia="Calibri"/>
          <w:sz w:val="22"/>
          <w:szCs w:val="22"/>
          <w:lang w:eastAsia="en-US"/>
        </w:rPr>
        <w:t xml:space="preserve">, </w:t>
      </w:r>
      <w:r>
        <w:rPr>
          <w:rFonts w:eastAsia="Calibri"/>
          <w:sz w:val="22"/>
          <w:szCs w:val="22"/>
          <w:lang w:eastAsia="en-US"/>
        </w:rPr>
        <w:t>the discharge of restricted patients from hospitals</w:t>
      </w:r>
      <w:r w:rsidR="007C0DF7">
        <w:rPr>
          <w:rFonts w:eastAsia="Calibri"/>
          <w:sz w:val="22"/>
          <w:szCs w:val="22"/>
          <w:lang w:eastAsia="en-US"/>
        </w:rPr>
        <w:t xml:space="preserve"> and the variation or removal of certain conditions of discharge</w:t>
      </w:r>
      <w:r>
        <w:rPr>
          <w:rFonts w:eastAsia="Calibri"/>
          <w:sz w:val="22"/>
          <w:szCs w:val="22"/>
          <w:lang w:eastAsia="en-US"/>
        </w:rPr>
        <w:t xml:space="preserve">. </w:t>
      </w:r>
      <w:r w:rsidR="007C0DF7">
        <w:rPr>
          <w:rFonts w:eastAsia="Calibri"/>
          <w:sz w:val="22"/>
          <w:szCs w:val="22"/>
          <w:lang w:eastAsia="en-US"/>
        </w:rPr>
        <w:t xml:space="preserve">Therefore, the purpose of designating certain restricted patients as high profile is to ensure that an increased </w:t>
      </w:r>
      <w:r w:rsidR="005A68F6">
        <w:rPr>
          <w:rFonts w:eastAsia="Calibri"/>
          <w:sz w:val="22"/>
          <w:szCs w:val="22"/>
          <w:lang w:eastAsia="en-US"/>
        </w:rPr>
        <w:t xml:space="preserve">level </w:t>
      </w:r>
      <w:r w:rsidR="007C0DF7">
        <w:rPr>
          <w:rFonts w:eastAsia="Calibri"/>
          <w:sz w:val="22"/>
          <w:szCs w:val="22"/>
          <w:lang w:eastAsia="en-US"/>
        </w:rPr>
        <w:t xml:space="preserve">of scrutiny is given to any decision or action that will affect the patient or the wider public. </w:t>
      </w:r>
    </w:p>
    <w:p w14:paraId="60D18F0E" w14:textId="77777777" w:rsidR="00757496" w:rsidRDefault="00757496" w:rsidP="00B230A3">
      <w:pPr>
        <w:pStyle w:val="Default"/>
        <w:rPr>
          <w:rFonts w:eastAsia="Calibri"/>
          <w:sz w:val="22"/>
          <w:szCs w:val="22"/>
          <w:lang w:eastAsia="en-US"/>
        </w:rPr>
      </w:pPr>
    </w:p>
    <w:p w14:paraId="626A0684" w14:textId="5B27268F" w:rsidR="00757496" w:rsidRDefault="00757496" w:rsidP="00B230A3">
      <w:pPr>
        <w:pStyle w:val="Default"/>
        <w:rPr>
          <w:rFonts w:eastAsia="Calibri"/>
          <w:sz w:val="22"/>
          <w:szCs w:val="22"/>
          <w:lang w:eastAsia="en-US"/>
        </w:rPr>
      </w:pPr>
      <w:r>
        <w:rPr>
          <w:rFonts w:eastAsia="Calibri"/>
          <w:sz w:val="22"/>
          <w:szCs w:val="22"/>
          <w:lang w:eastAsia="en-US"/>
        </w:rPr>
        <w:t>MHCS can determine whether or not a restricted patient will be considered high profile at any point of their detention</w:t>
      </w:r>
      <w:r w:rsidR="000771B9">
        <w:rPr>
          <w:rFonts w:eastAsia="Calibri"/>
          <w:sz w:val="22"/>
          <w:szCs w:val="22"/>
          <w:lang w:eastAsia="en-US"/>
        </w:rPr>
        <w:t xml:space="preserve"> and that decision will be taken by a senior manager in MHCS</w:t>
      </w:r>
      <w:r>
        <w:rPr>
          <w:rFonts w:eastAsia="Calibri"/>
          <w:sz w:val="22"/>
          <w:szCs w:val="22"/>
          <w:lang w:eastAsia="en-US"/>
        </w:rPr>
        <w:t>. However, it is more likely that the patient’s status will be considered at the first point of entry into the hospital system, such as following a transfer from prison or the imposition of a hospital order, in conjunction with a restriction</w:t>
      </w:r>
      <w:r w:rsidR="000771B9">
        <w:rPr>
          <w:rFonts w:eastAsia="Calibri"/>
          <w:sz w:val="22"/>
          <w:szCs w:val="22"/>
          <w:lang w:eastAsia="en-US"/>
        </w:rPr>
        <w:t xml:space="preserve"> order</w:t>
      </w:r>
      <w:r>
        <w:rPr>
          <w:rFonts w:eastAsia="Calibri"/>
          <w:sz w:val="22"/>
          <w:szCs w:val="22"/>
          <w:lang w:eastAsia="en-US"/>
        </w:rPr>
        <w:t xml:space="preserve">, by a Crown Court. </w:t>
      </w:r>
    </w:p>
    <w:p w14:paraId="07FF1651" w14:textId="77777777" w:rsidR="000771B9" w:rsidRDefault="000771B9" w:rsidP="00B230A3">
      <w:pPr>
        <w:pStyle w:val="Default"/>
        <w:rPr>
          <w:rFonts w:eastAsia="Calibri"/>
          <w:sz w:val="22"/>
          <w:szCs w:val="22"/>
          <w:lang w:eastAsia="en-US"/>
        </w:rPr>
      </w:pPr>
    </w:p>
    <w:p w14:paraId="6007D726" w14:textId="2389DC48" w:rsidR="000771B9" w:rsidRDefault="000771B9" w:rsidP="00B230A3">
      <w:pPr>
        <w:pStyle w:val="Default"/>
        <w:rPr>
          <w:rFonts w:eastAsia="Calibri"/>
          <w:sz w:val="22"/>
          <w:szCs w:val="22"/>
          <w:lang w:eastAsia="en-US"/>
        </w:rPr>
      </w:pPr>
      <w:r>
        <w:rPr>
          <w:rFonts w:eastAsia="Calibri"/>
          <w:sz w:val="22"/>
          <w:szCs w:val="22"/>
          <w:lang w:eastAsia="en-US"/>
        </w:rPr>
        <w:t xml:space="preserve">Certain cases will automatically be assigned high profile status due to the potential risk they pose to the security of the detaining hospital or the wider public in general. Those who are automatically </w:t>
      </w:r>
      <w:r w:rsidR="00444712">
        <w:rPr>
          <w:rFonts w:eastAsia="Calibri"/>
          <w:sz w:val="22"/>
          <w:szCs w:val="22"/>
          <w:lang w:eastAsia="en-US"/>
        </w:rPr>
        <w:t>assigned</w:t>
      </w:r>
      <w:r>
        <w:rPr>
          <w:rFonts w:eastAsia="Calibri"/>
          <w:sz w:val="22"/>
          <w:szCs w:val="22"/>
          <w:lang w:eastAsia="en-US"/>
        </w:rPr>
        <w:t xml:space="preserve"> high profile</w:t>
      </w:r>
      <w:r w:rsidR="00444712">
        <w:rPr>
          <w:rFonts w:eastAsia="Calibri"/>
          <w:sz w:val="22"/>
          <w:szCs w:val="22"/>
          <w:lang w:eastAsia="en-US"/>
        </w:rPr>
        <w:t xml:space="preserve"> status</w:t>
      </w:r>
      <w:r>
        <w:rPr>
          <w:rFonts w:eastAsia="Calibri"/>
          <w:sz w:val="22"/>
          <w:szCs w:val="22"/>
          <w:lang w:eastAsia="en-US"/>
        </w:rPr>
        <w:t xml:space="preserve"> are as follows:</w:t>
      </w:r>
    </w:p>
    <w:p w14:paraId="27D5AFB6" w14:textId="77777777" w:rsidR="000771B9" w:rsidRDefault="000771B9" w:rsidP="00B230A3">
      <w:pPr>
        <w:pStyle w:val="Default"/>
        <w:rPr>
          <w:rFonts w:eastAsia="Calibri"/>
          <w:sz w:val="22"/>
          <w:szCs w:val="22"/>
          <w:lang w:eastAsia="en-US"/>
        </w:rPr>
      </w:pPr>
    </w:p>
    <w:p w14:paraId="6CB05541" w14:textId="001DC3A1" w:rsidR="000771B9" w:rsidRPr="000771B9" w:rsidRDefault="000771B9" w:rsidP="000771B9">
      <w:pPr>
        <w:pStyle w:val="Default"/>
        <w:numPr>
          <w:ilvl w:val="0"/>
          <w:numId w:val="36"/>
        </w:numPr>
        <w:rPr>
          <w:sz w:val="22"/>
        </w:rPr>
      </w:pPr>
      <w:r w:rsidRPr="000771B9">
        <w:rPr>
          <w:sz w:val="22"/>
        </w:rPr>
        <w:t>Terroris</w:t>
      </w:r>
      <w:r w:rsidR="00444712">
        <w:rPr>
          <w:sz w:val="22"/>
        </w:rPr>
        <w:t>ts or those who have committed terrorism related offences</w:t>
      </w:r>
      <w:r w:rsidR="00E84ECE">
        <w:rPr>
          <w:sz w:val="22"/>
        </w:rPr>
        <w:t>.</w:t>
      </w:r>
    </w:p>
    <w:p w14:paraId="43C38797" w14:textId="10E6A7E5" w:rsidR="000771B9" w:rsidRPr="000771B9" w:rsidRDefault="000771B9" w:rsidP="000771B9">
      <w:pPr>
        <w:pStyle w:val="Default"/>
        <w:numPr>
          <w:ilvl w:val="0"/>
          <w:numId w:val="36"/>
        </w:numPr>
        <w:rPr>
          <w:sz w:val="22"/>
        </w:rPr>
      </w:pPr>
      <w:r w:rsidRPr="000771B9">
        <w:rPr>
          <w:sz w:val="22"/>
        </w:rPr>
        <w:t xml:space="preserve">Category A prisoners (or equivalent for females and </w:t>
      </w:r>
      <w:r w:rsidR="003C6046">
        <w:rPr>
          <w:sz w:val="22"/>
        </w:rPr>
        <w:t>under 18s</w:t>
      </w:r>
      <w:r w:rsidRPr="000771B9">
        <w:rPr>
          <w:sz w:val="22"/>
        </w:rPr>
        <w:t>)</w:t>
      </w:r>
      <w:r w:rsidR="00E84ECE">
        <w:rPr>
          <w:sz w:val="22"/>
        </w:rPr>
        <w:t>.</w:t>
      </w:r>
    </w:p>
    <w:p w14:paraId="3F3571C4" w14:textId="7BC3BCB4" w:rsidR="000771B9" w:rsidRPr="000771B9" w:rsidRDefault="00444712" w:rsidP="000771B9">
      <w:pPr>
        <w:pStyle w:val="Default"/>
        <w:numPr>
          <w:ilvl w:val="0"/>
          <w:numId w:val="36"/>
        </w:numPr>
        <w:rPr>
          <w:sz w:val="22"/>
        </w:rPr>
      </w:pPr>
      <w:r>
        <w:rPr>
          <w:sz w:val="22"/>
        </w:rPr>
        <w:t>R</w:t>
      </w:r>
      <w:r w:rsidR="000771B9" w:rsidRPr="000771B9">
        <w:rPr>
          <w:sz w:val="22"/>
        </w:rPr>
        <w:t>emand prisoners charged with an offence of murder</w:t>
      </w:r>
      <w:r>
        <w:rPr>
          <w:sz w:val="22"/>
        </w:rPr>
        <w:t xml:space="preserve"> and who have been transferred to hospital</w:t>
      </w:r>
      <w:r w:rsidR="00E84ECE">
        <w:rPr>
          <w:sz w:val="22"/>
        </w:rPr>
        <w:t>.</w:t>
      </w:r>
    </w:p>
    <w:p w14:paraId="05FF4233" w14:textId="77777777" w:rsidR="000771B9" w:rsidRDefault="000771B9" w:rsidP="00B230A3">
      <w:pPr>
        <w:pStyle w:val="Default"/>
        <w:rPr>
          <w:rFonts w:eastAsia="Calibri"/>
          <w:sz w:val="22"/>
          <w:szCs w:val="22"/>
          <w:lang w:eastAsia="en-US"/>
        </w:rPr>
      </w:pPr>
    </w:p>
    <w:p w14:paraId="49448172" w14:textId="5033A81D" w:rsidR="00757496" w:rsidRDefault="00757496" w:rsidP="00B230A3">
      <w:pPr>
        <w:pStyle w:val="Default"/>
        <w:rPr>
          <w:rFonts w:eastAsia="Calibri"/>
          <w:sz w:val="22"/>
          <w:szCs w:val="22"/>
          <w:lang w:eastAsia="en-US"/>
        </w:rPr>
      </w:pPr>
      <w:r>
        <w:rPr>
          <w:rFonts w:eastAsia="Calibri"/>
          <w:sz w:val="22"/>
          <w:szCs w:val="22"/>
          <w:lang w:eastAsia="en-US"/>
        </w:rPr>
        <w:t xml:space="preserve">Examples of what </w:t>
      </w:r>
      <w:r w:rsidR="00281F77">
        <w:rPr>
          <w:rFonts w:eastAsia="Calibri"/>
          <w:sz w:val="22"/>
          <w:szCs w:val="22"/>
          <w:lang w:eastAsia="en-US"/>
        </w:rPr>
        <w:t>may</w:t>
      </w:r>
      <w:r w:rsidR="003C6046">
        <w:rPr>
          <w:rFonts w:eastAsia="Calibri"/>
          <w:sz w:val="22"/>
          <w:szCs w:val="22"/>
          <w:lang w:eastAsia="en-US"/>
        </w:rPr>
        <w:t xml:space="preserve"> </w:t>
      </w:r>
      <w:r>
        <w:rPr>
          <w:rFonts w:eastAsia="Calibri"/>
          <w:sz w:val="22"/>
          <w:szCs w:val="22"/>
          <w:lang w:eastAsia="en-US"/>
        </w:rPr>
        <w:t>be considered when designating a restricted patient as high profile or not are as follows:</w:t>
      </w:r>
    </w:p>
    <w:p w14:paraId="6426D11F" w14:textId="77777777" w:rsidR="00757496" w:rsidRDefault="00757496" w:rsidP="00B230A3">
      <w:pPr>
        <w:pStyle w:val="Default"/>
        <w:rPr>
          <w:rFonts w:eastAsia="Calibri"/>
          <w:sz w:val="22"/>
          <w:szCs w:val="22"/>
          <w:lang w:eastAsia="en-US"/>
        </w:rPr>
      </w:pPr>
    </w:p>
    <w:p w14:paraId="680C1D0A" w14:textId="03A10C84" w:rsidR="00757496" w:rsidRPr="00757496" w:rsidRDefault="00757496" w:rsidP="00757496">
      <w:pPr>
        <w:pStyle w:val="Default"/>
        <w:numPr>
          <w:ilvl w:val="0"/>
          <w:numId w:val="36"/>
        </w:numPr>
        <w:rPr>
          <w:sz w:val="22"/>
        </w:rPr>
      </w:pPr>
      <w:r>
        <w:rPr>
          <w:sz w:val="22"/>
        </w:rPr>
        <w:t xml:space="preserve">The </w:t>
      </w:r>
      <w:r w:rsidRPr="00757496">
        <w:rPr>
          <w:sz w:val="22"/>
        </w:rPr>
        <w:t>offence</w:t>
      </w:r>
      <w:r>
        <w:rPr>
          <w:sz w:val="22"/>
        </w:rPr>
        <w:t xml:space="preserve"> committed by the patient has certain</w:t>
      </w:r>
      <w:r w:rsidRPr="00757496">
        <w:rPr>
          <w:sz w:val="22"/>
        </w:rPr>
        <w:t xml:space="preserve"> aggravating features such as age of </w:t>
      </w:r>
      <w:r>
        <w:rPr>
          <w:sz w:val="22"/>
        </w:rPr>
        <w:t xml:space="preserve">the </w:t>
      </w:r>
      <w:r w:rsidRPr="00757496">
        <w:rPr>
          <w:sz w:val="22"/>
        </w:rPr>
        <w:t>victim</w:t>
      </w:r>
      <w:r>
        <w:rPr>
          <w:sz w:val="22"/>
        </w:rPr>
        <w:t>(</w:t>
      </w:r>
      <w:r w:rsidRPr="00757496">
        <w:rPr>
          <w:sz w:val="22"/>
        </w:rPr>
        <w:t>s</w:t>
      </w:r>
      <w:r>
        <w:rPr>
          <w:sz w:val="22"/>
        </w:rPr>
        <w:t>)</w:t>
      </w:r>
      <w:r w:rsidRPr="00757496">
        <w:rPr>
          <w:sz w:val="22"/>
        </w:rPr>
        <w:t xml:space="preserve"> or offender (e.g. child committing a very serious offence), relationship with victims, excessive use of violence, multiple victims, serious further offence while subject to</w:t>
      </w:r>
      <w:r w:rsidR="00281F77">
        <w:rPr>
          <w:sz w:val="22"/>
        </w:rPr>
        <w:t xml:space="preserve"> formal supervision be that under the </w:t>
      </w:r>
      <w:r w:rsidR="00517DD0">
        <w:rPr>
          <w:sz w:val="22"/>
        </w:rPr>
        <w:t>c</w:t>
      </w:r>
      <w:r w:rsidR="00281F77">
        <w:rPr>
          <w:sz w:val="22"/>
        </w:rPr>
        <w:t xml:space="preserve">riminal </w:t>
      </w:r>
      <w:r w:rsidR="00517DD0">
        <w:rPr>
          <w:sz w:val="22"/>
        </w:rPr>
        <w:t>j</w:t>
      </w:r>
      <w:r w:rsidR="00281F77">
        <w:rPr>
          <w:sz w:val="22"/>
        </w:rPr>
        <w:t>ustice system or the Mental Health Act.</w:t>
      </w:r>
    </w:p>
    <w:p w14:paraId="33C2F355" w14:textId="77777777" w:rsidR="00757496" w:rsidRPr="00757496" w:rsidRDefault="00757496" w:rsidP="00757496">
      <w:pPr>
        <w:pStyle w:val="Default"/>
        <w:numPr>
          <w:ilvl w:val="0"/>
          <w:numId w:val="36"/>
        </w:numPr>
        <w:rPr>
          <w:sz w:val="22"/>
        </w:rPr>
      </w:pPr>
      <w:r w:rsidRPr="00757496">
        <w:rPr>
          <w:sz w:val="22"/>
        </w:rPr>
        <w:t>Where the victim is a member of the Emergency Services or Armed Forces.</w:t>
      </w:r>
    </w:p>
    <w:p w14:paraId="58FDD088" w14:textId="7B354491" w:rsidR="00757496" w:rsidRDefault="00757496" w:rsidP="00757496">
      <w:pPr>
        <w:pStyle w:val="Default"/>
        <w:numPr>
          <w:ilvl w:val="0"/>
          <w:numId w:val="36"/>
        </w:numPr>
        <w:rPr>
          <w:sz w:val="22"/>
        </w:rPr>
      </w:pPr>
      <w:r w:rsidRPr="00757496">
        <w:rPr>
          <w:sz w:val="22"/>
        </w:rPr>
        <w:t xml:space="preserve">Media interest –the coverage extensive </w:t>
      </w:r>
      <w:r w:rsidR="000771B9">
        <w:rPr>
          <w:sz w:val="22"/>
        </w:rPr>
        <w:t>with</w:t>
      </w:r>
      <w:r w:rsidR="00281F77">
        <w:rPr>
          <w:sz w:val="22"/>
        </w:rPr>
        <w:t xml:space="preserve"> complex</w:t>
      </w:r>
      <w:r w:rsidRPr="00757496">
        <w:rPr>
          <w:sz w:val="22"/>
        </w:rPr>
        <w:t xml:space="preserve"> media campaigns</w:t>
      </w:r>
      <w:r w:rsidR="000771B9">
        <w:rPr>
          <w:sz w:val="22"/>
        </w:rPr>
        <w:t xml:space="preserve"> which are likely to mean that the patient will remain well known throughout their detention in or discharge from hospital</w:t>
      </w:r>
      <w:r w:rsidRPr="00757496">
        <w:rPr>
          <w:sz w:val="22"/>
        </w:rPr>
        <w:t xml:space="preserve">. </w:t>
      </w:r>
    </w:p>
    <w:p w14:paraId="6808CEDD" w14:textId="7D8CD484" w:rsidR="00281F77" w:rsidRPr="00757496" w:rsidRDefault="00281F77" w:rsidP="00757496">
      <w:pPr>
        <w:pStyle w:val="Default"/>
        <w:numPr>
          <w:ilvl w:val="0"/>
          <w:numId w:val="36"/>
        </w:numPr>
        <w:rPr>
          <w:sz w:val="22"/>
        </w:rPr>
      </w:pPr>
      <w:r>
        <w:rPr>
          <w:sz w:val="22"/>
        </w:rPr>
        <w:t>Complex victims matters – Whether the victim was known to the patient, the nature of the offence and if the patient’s progression through the hospital system is likely to have a direct or indirect impact on the victims.</w:t>
      </w:r>
    </w:p>
    <w:p w14:paraId="1C35C448" w14:textId="2C0176A0" w:rsidR="00757496" w:rsidRPr="00757496" w:rsidRDefault="00281F77" w:rsidP="00757496">
      <w:pPr>
        <w:pStyle w:val="Default"/>
        <w:numPr>
          <w:ilvl w:val="0"/>
          <w:numId w:val="36"/>
        </w:numPr>
        <w:rPr>
          <w:sz w:val="22"/>
        </w:rPr>
      </w:pPr>
      <w:r>
        <w:rPr>
          <w:sz w:val="22"/>
        </w:rPr>
        <w:lastRenderedPageBreak/>
        <w:t>Risk to the</w:t>
      </w:r>
      <w:r w:rsidR="00757496" w:rsidRPr="00757496">
        <w:rPr>
          <w:sz w:val="22"/>
        </w:rPr>
        <w:t xml:space="preserve"> patient –</w:t>
      </w:r>
      <w:r>
        <w:rPr>
          <w:sz w:val="22"/>
        </w:rPr>
        <w:t xml:space="preserve"> </w:t>
      </w:r>
      <w:r w:rsidR="00757496" w:rsidRPr="00757496">
        <w:rPr>
          <w:sz w:val="22"/>
        </w:rPr>
        <w:t xml:space="preserve">they </w:t>
      </w:r>
      <w:r>
        <w:rPr>
          <w:sz w:val="22"/>
        </w:rPr>
        <w:t xml:space="preserve">are </w:t>
      </w:r>
      <w:r w:rsidR="00757496" w:rsidRPr="00757496">
        <w:rPr>
          <w:sz w:val="22"/>
        </w:rPr>
        <w:t>notorious and there</w:t>
      </w:r>
      <w:r>
        <w:rPr>
          <w:sz w:val="22"/>
        </w:rPr>
        <w:t>fore likely to be at risk or</w:t>
      </w:r>
      <w:r w:rsidR="00757496" w:rsidRPr="00757496">
        <w:rPr>
          <w:sz w:val="22"/>
        </w:rPr>
        <w:t xml:space="preserve"> they </w:t>
      </w:r>
      <w:r>
        <w:rPr>
          <w:sz w:val="22"/>
        </w:rPr>
        <w:t xml:space="preserve">may be </w:t>
      </w:r>
      <w:r w:rsidR="00757496" w:rsidRPr="00757496">
        <w:rPr>
          <w:sz w:val="22"/>
        </w:rPr>
        <w:t>potentially at risk of retaliation attacks due to the nature of the index offence</w:t>
      </w:r>
      <w:r w:rsidR="000771B9">
        <w:rPr>
          <w:sz w:val="22"/>
        </w:rPr>
        <w:t>.</w:t>
      </w:r>
    </w:p>
    <w:p w14:paraId="55B7AD96" w14:textId="1C4D5A55" w:rsidR="00757496" w:rsidRPr="00757496" w:rsidRDefault="00757496" w:rsidP="00757496">
      <w:pPr>
        <w:pStyle w:val="Default"/>
        <w:numPr>
          <w:ilvl w:val="0"/>
          <w:numId w:val="36"/>
        </w:numPr>
        <w:rPr>
          <w:sz w:val="22"/>
        </w:rPr>
      </w:pPr>
      <w:r w:rsidRPr="00757496">
        <w:rPr>
          <w:sz w:val="22"/>
        </w:rPr>
        <w:t>Is the person subject to an a</w:t>
      </w:r>
      <w:r w:rsidR="000771B9">
        <w:rPr>
          <w:sz w:val="22"/>
        </w:rPr>
        <w:t>dditional judicial process, such as extradition proceedings</w:t>
      </w:r>
      <w:r w:rsidR="00281F77">
        <w:rPr>
          <w:sz w:val="22"/>
        </w:rPr>
        <w:t xml:space="preserve"> or further criminal proceedings</w:t>
      </w:r>
      <w:r w:rsidR="000771B9">
        <w:rPr>
          <w:sz w:val="22"/>
        </w:rPr>
        <w:t xml:space="preserve"> </w:t>
      </w:r>
      <w:r w:rsidRPr="00757496">
        <w:rPr>
          <w:sz w:val="22"/>
        </w:rPr>
        <w:t>that might mean that senior management oversight of the case is necessary</w:t>
      </w:r>
      <w:r w:rsidR="000771B9">
        <w:rPr>
          <w:sz w:val="22"/>
        </w:rPr>
        <w:t xml:space="preserve"> so that </w:t>
      </w:r>
      <w:r w:rsidR="00281F77">
        <w:rPr>
          <w:sz w:val="22"/>
        </w:rPr>
        <w:t>those judicial processes are</w:t>
      </w:r>
      <w:r w:rsidR="000771B9">
        <w:rPr>
          <w:sz w:val="22"/>
        </w:rPr>
        <w:t xml:space="preserve"> given due weight when making any decisions. </w:t>
      </w:r>
    </w:p>
    <w:p w14:paraId="303748FA" w14:textId="23D33B64" w:rsidR="00757496" w:rsidRPr="00757496" w:rsidRDefault="00757496" w:rsidP="00757496">
      <w:pPr>
        <w:pStyle w:val="Default"/>
        <w:numPr>
          <w:ilvl w:val="0"/>
          <w:numId w:val="36"/>
        </w:numPr>
        <w:rPr>
          <w:sz w:val="22"/>
        </w:rPr>
      </w:pPr>
      <w:r w:rsidRPr="00757496">
        <w:rPr>
          <w:sz w:val="22"/>
        </w:rPr>
        <w:t>Serious Organised Crime</w:t>
      </w:r>
      <w:r w:rsidR="000771B9">
        <w:rPr>
          <w:sz w:val="22"/>
        </w:rPr>
        <w:t xml:space="preserve"> – This will take into consideration patients w</w:t>
      </w:r>
      <w:r w:rsidR="00444712">
        <w:rPr>
          <w:sz w:val="22"/>
        </w:rPr>
        <w:t>ith previous gang affiliations or affiliations with an Organised Crime Group.</w:t>
      </w:r>
    </w:p>
    <w:p w14:paraId="53F758D1" w14:textId="1D1512FC" w:rsidR="00757496" w:rsidRDefault="00757496" w:rsidP="00757496">
      <w:pPr>
        <w:pStyle w:val="Default"/>
        <w:numPr>
          <w:ilvl w:val="0"/>
          <w:numId w:val="36"/>
        </w:numPr>
        <w:rPr>
          <w:sz w:val="22"/>
        </w:rPr>
      </w:pPr>
      <w:r w:rsidRPr="00757496">
        <w:rPr>
          <w:sz w:val="22"/>
        </w:rPr>
        <w:t xml:space="preserve">Any other issues </w:t>
      </w:r>
      <w:r w:rsidR="00444712">
        <w:rPr>
          <w:sz w:val="22"/>
        </w:rPr>
        <w:t xml:space="preserve">that </w:t>
      </w:r>
      <w:r w:rsidR="005A68F6">
        <w:rPr>
          <w:sz w:val="22"/>
        </w:rPr>
        <w:t xml:space="preserve">are </w:t>
      </w:r>
      <w:r w:rsidRPr="00757496">
        <w:rPr>
          <w:sz w:val="22"/>
        </w:rPr>
        <w:t xml:space="preserve">relevant and that require additional scrutiny by a Senior Manager </w:t>
      </w:r>
      <w:r w:rsidR="00444712">
        <w:rPr>
          <w:sz w:val="22"/>
        </w:rPr>
        <w:t xml:space="preserve">such as complex legal issues around the </w:t>
      </w:r>
      <w:r w:rsidR="00281F77">
        <w:rPr>
          <w:sz w:val="22"/>
        </w:rPr>
        <w:t>ongoing detention of a patient or the conditions of their discharge.</w:t>
      </w:r>
    </w:p>
    <w:p w14:paraId="4FD8BE61" w14:textId="77777777" w:rsidR="00DC6DE6" w:rsidRDefault="00DC6DE6" w:rsidP="00DC6DE6">
      <w:pPr>
        <w:pStyle w:val="Default"/>
        <w:rPr>
          <w:sz w:val="22"/>
        </w:rPr>
      </w:pPr>
    </w:p>
    <w:p w14:paraId="490C7D4F" w14:textId="2C45CEDE" w:rsidR="00DC6DE6" w:rsidRDefault="00DC6DE6" w:rsidP="00DC6DE6">
      <w:pPr>
        <w:pStyle w:val="Default"/>
        <w:rPr>
          <w:sz w:val="22"/>
        </w:rPr>
      </w:pPr>
      <w:r>
        <w:rPr>
          <w:sz w:val="22"/>
        </w:rPr>
        <w:t xml:space="preserve">This list is not exhaustive and each case will be considered on an individual basis. </w:t>
      </w:r>
    </w:p>
    <w:p w14:paraId="3440D661" w14:textId="77777777" w:rsidR="00444712" w:rsidRDefault="00444712" w:rsidP="00444712">
      <w:pPr>
        <w:pStyle w:val="Default"/>
        <w:rPr>
          <w:sz w:val="22"/>
        </w:rPr>
      </w:pPr>
    </w:p>
    <w:p w14:paraId="569775FB" w14:textId="77777777" w:rsidR="0021195D" w:rsidRDefault="0021195D" w:rsidP="00444712">
      <w:pPr>
        <w:pStyle w:val="Default"/>
        <w:rPr>
          <w:b/>
          <w:sz w:val="28"/>
          <w:szCs w:val="28"/>
        </w:rPr>
      </w:pPr>
    </w:p>
    <w:p w14:paraId="366D1F48" w14:textId="440A34C6" w:rsidR="00444712" w:rsidRDefault="00444712" w:rsidP="00444712">
      <w:pPr>
        <w:pStyle w:val="Default"/>
        <w:rPr>
          <w:b/>
          <w:sz w:val="28"/>
          <w:szCs w:val="28"/>
        </w:rPr>
      </w:pPr>
      <w:r>
        <w:rPr>
          <w:b/>
          <w:sz w:val="28"/>
          <w:szCs w:val="28"/>
        </w:rPr>
        <w:t>3</w:t>
      </w:r>
      <w:r w:rsidRPr="00444712">
        <w:rPr>
          <w:b/>
          <w:sz w:val="28"/>
          <w:szCs w:val="28"/>
        </w:rPr>
        <w:t xml:space="preserve"> </w:t>
      </w:r>
      <w:r w:rsidR="00110270">
        <w:rPr>
          <w:b/>
          <w:sz w:val="28"/>
          <w:szCs w:val="28"/>
        </w:rPr>
        <w:tab/>
      </w:r>
      <w:r w:rsidRPr="00444712">
        <w:rPr>
          <w:b/>
          <w:sz w:val="28"/>
          <w:szCs w:val="28"/>
        </w:rPr>
        <w:t>The Management of High Profile Patients</w:t>
      </w:r>
    </w:p>
    <w:p w14:paraId="5FD3E6DA" w14:textId="77777777" w:rsidR="00444712" w:rsidRDefault="00444712" w:rsidP="00444712">
      <w:pPr>
        <w:pStyle w:val="Default"/>
        <w:rPr>
          <w:b/>
          <w:sz w:val="28"/>
          <w:szCs w:val="28"/>
        </w:rPr>
      </w:pPr>
    </w:p>
    <w:p w14:paraId="68F99044" w14:textId="166CB37D" w:rsidR="001F7268" w:rsidRDefault="00281F77" w:rsidP="00634163">
      <w:pPr>
        <w:pStyle w:val="Default"/>
        <w:rPr>
          <w:sz w:val="22"/>
          <w:szCs w:val="22"/>
        </w:rPr>
      </w:pPr>
      <w:r>
        <w:rPr>
          <w:sz w:val="22"/>
          <w:szCs w:val="22"/>
        </w:rPr>
        <w:t xml:space="preserve">Those patients designated as high profile will </w:t>
      </w:r>
      <w:r w:rsidR="001F7268">
        <w:rPr>
          <w:sz w:val="22"/>
          <w:szCs w:val="22"/>
        </w:rPr>
        <w:t xml:space="preserve">be referred to senior managers in MHCS when key decisions are required to be made or at other points in the patient’s progression through the hospital system and in the community. </w:t>
      </w:r>
      <w:r w:rsidR="000944EB">
        <w:rPr>
          <w:sz w:val="22"/>
          <w:szCs w:val="22"/>
        </w:rPr>
        <w:t>Those decisions are be based on an assessment of risk, the evidence of which will be provided in reports from hospitals and other criminal justice agencies.</w:t>
      </w:r>
      <w:r w:rsidR="001F7268">
        <w:rPr>
          <w:sz w:val="22"/>
          <w:szCs w:val="22"/>
        </w:rPr>
        <w:t xml:space="preserve"> </w:t>
      </w:r>
      <w:r w:rsidR="000944EB">
        <w:rPr>
          <w:sz w:val="22"/>
          <w:szCs w:val="22"/>
        </w:rPr>
        <w:t>S</w:t>
      </w:r>
      <w:r w:rsidR="001F7268">
        <w:rPr>
          <w:sz w:val="22"/>
          <w:szCs w:val="22"/>
        </w:rPr>
        <w:t>enior managers will take decisions that would not have ordinarily required their involvement in a patient’s case. Examples of the decisions or actions that senior managers will take include</w:t>
      </w:r>
      <w:r w:rsidR="00517DD0">
        <w:rPr>
          <w:sz w:val="22"/>
          <w:szCs w:val="22"/>
        </w:rPr>
        <w:t>,</w:t>
      </w:r>
      <w:r w:rsidR="001F7268">
        <w:rPr>
          <w:sz w:val="22"/>
          <w:szCs w:val="22"/>
        </w:rPr>
        <w:t xml:space="preserve"> but are not limited</w:t>
      </w:r>
      <w:r w:rsidR="00517DD0">
        <w:rPr>
          <w:sz w:val="22"/>
          <w:szCs w:val="22"/>
        </w:rPr>
        <w:t>,</w:t>
      </w:r>
      <w:r w:rsidR="001F7268">
        <w:rPr>
          <w:sz w:val="22"/>
          <w:szCs w:val="22"/>
        </w:rPr>
        <w:t xml:space="preserve"> to the following:</w:t>
      </w:r>
    </w:p>
    <w:p w14:paraId="5554FE42" w14:textId="77777777" w:rsidR="001F7268" w:rsidRDefault="001F7268" w:rsidP="00634163">
      <w:pPr>
        <w:pStyle w:val="Default"/>
        <w:rPr>
          <w:sz w:val="22"/>
          <w:szCs w:val="22"/>
        </w:rPr>
      </w:pPr>
    </w:p>
    <w:p w14:paraId="38AB1799" w14:textId="0B19CEC1" w:rsidR="001F7268" w:rsidRDefault="001F7268" w:rsidP="001F7268">
      <w:pPr>
        <w:pStyle w:val="Default"/>
        <w:numPr>
          <w:ilvl w:val="0"/>
          <w:numId w:val="38"/>
        </w:numPr>
        <w:rPr>
          <w:sz w:val="22"/>
          <w:szCs w:val="22"/>
        </w:rPr>
      </w:pPr>
      <w:r>
        <w:rPr>
          <w:sz w:val="22"/>
          <w:szCs w:val="22"/>
        </w:rPr>
        <w:t xml:space="preserve">Community leave </w:t>
      </w:r>
      <w:r w:rsidR="00FE6F4C">
        <w:rPr>
          <w:sz w:val="22"/>
          <w:szCs w:val="22"/>
        </w:rPr>
        <w:t>and medical leave</w:t>
      </w:r>
    </w:p>
    <w:p w14:paraId="3CFEF8CB" w14:textId="22B8F5CB" w:rsidR="001F7268" w:rsidRDefault="001F7268" w:rsidP="001F7268">
      <w:pPr>
        <w:pStyle w:val="Default"/>
        <w:numPr>
          <w:ilvl w:val="0"/>
          <w:numId w:val="38"/>
        </w:numPr>
        <w:rPr>
          <w:sz w:val="22"/>
          <w:szCs w:val="22"/>
        </w:rPr>
      </w:pPr>
      <w:r>
        <w:rPr>
          <w:sz w:val="22"/>
          <w:szCs w:val="22"/>
        </w:rPr>
        <w:t>Transfers between hospitals</w:t>
      </w:r>
    </w:p>
    <w:p w14:paraId="6767590F" w14:textId="169E9F72" w:rsidR="00517DD0" w:rsidRPr="00517DD0" w:rsidRDefault="00517DD0" w:rsidP="00517DD0">
      <w:pPr>
        <w:pStyle w:val="Default"/>
        <w:numPr>
          <w:ilvl w:val="0"/>
          <w:numId w:val="38"/>
        </w:numPr>
        <w:rPr>
          <w:sz w:val="22"/>
          <w:szCs w:val="22"/>
        </w:rPr>
      </w:pPr>
      <w:r>
        <w:rPr>
          <w:sz w:val="22"/>
          <w:szCs w:val="22"/>
        </w:rPr>
        <w:t>Remitting a sentenced person from hospital to prison</w:t>
      </w:r>
    </w:p>
    <w:p w14:paraId="3119B6A6" w14:textId="77777777" w:rsidR="00517DD0" w:rsidRPr="00517DD0" w:rsidRDefault="00517DD0" w:rsidP="00517DD0">
      <w:pPr>
        <w:pStyle w:val="Default"/>
        <w:numPr>
          <w:ilvl w:val="0"/>
          <w:numId w:val="38"/>
        </w:numPr>
        <w:rPr>
          <w:sz w:val="22"/>
        </w:rPr>
      </w:pPr>
      <w:r>
        <w:rPr>
          <w:sz w:val="22"/>
          <w:szCs w:val="22"/>
        </w:rPr>
        <w:t>Request for conditional discharge</w:t>
      </w:r>
    </w:p>
    <w:p w14:paraId="6444315C" w14:textId="77777777" w:rsidR="00517DD0" w:rsidRPr="00517DD0" w:rsidRDefault="001F7268" w:rsidP="00517DD0">
      <w:pPr>
        <w:pStyle w:val="Default"/>
        <w:numPr>
          <w:ilvl w:val="0"/>
          <w:numId w:val="38"/>
        </w:numPr>
        <w:rPr>
          <w:sz w:val="22"/>
        </w:rPr>
      </w:pPr>
      <w:r>
        <w:rPr>
          <w:sz w:val="22"/>
          <w:szCs w:val="22"/>
        </w:rPr>
        <w:t>Removal or variation of conditions of discharge</w:t>
      </w:r>
    </w:p>
    <w:p w14:paraId="77511448" w14:textId="272691C1" w:rsidR="00517DD0" w:rsidRPr="00517DD0" w:rsidRDefault="00517DD0" w:rsidP="00517DD0">
      <w:pPr>
        <w:pStyle w:val="Default"/>
        <w:numPr>
          <w:ilvl w:val="0"/>
          <w:numId w:val="38"/>
        </w:numPr>
        <w:rPr>
          <w:sz w:val="22"/>
        </w:rPr>
      </w:pPr>
      <w:r>
        <w:rPr>
          <w:sz w:val="22"/>
        </w:rPr>
        <w:t>Request</w:t>
      </w:r>
      <w:r w:rsidRPr="00517DD0">
        <w:rPr>
          <w:sz w:val="22"/>
        </w:rPr>
        <w:t xml:space="preserve"> for absolute discharge</w:t>
      </w:r>
    </w:p>
    <w:p w14:paraId="0F672577" w14:textId="77777777" w:rsidR="00517DD0" w:rsidRDefault="00517DD0" w:rsidP="00517DD0">
      <w:pPr>
        <w:pStyle w:val="Default"/>
        <w:ind w:left="720"/>
        <w:rPr>
          <w:sz w:val="22"/>
          <w:szCs w:val="22"/>
        </w:rPr>
      </w:pPr>
    </w:p>
    <w:p w14:paraId="42053200" w14:textId="1F2B3CA9" w:rsidR="00634163" w:rsidRPr="00634163" w:rsidRDefault="001F7268" w:rsidP="00634163">
      <w:pPr>
        <w:pStyle w:val="Default"/>
        <w:rPr>
          <w:sz w:val="22"/>
        </w:rPr>
      </w:pPr>
      <w:r>
        <w:rPr>
          <w:sz w:val="22"/>
          <w:szCs w:val="22"/>
        </w:rPr>
        <w:t>The involvement of senior managers in</w:t>
      </w:r>
      <w:r w:rsidR="00DC6DE6">
        <w:rPr>
          <w:sz w:val="22"/>
          <w:szCs w:val="22"/>
        </w:rPr>
        <w:t xml:space="preserve"> MHCS</w:t>
      </w:r>
      <w:r w:rsidR="00DC6DE6" w:rsidRPr="00DC6DE6">
        <w:rPr>
          <w:sz w:val="22"/>
          <w:szCs w:val="22"/>
        </w:rPr>
        <w:t xml:space="preserve"> is not intended to further restrict or inhibit a patient and their progress in the hospital system</w:t>
      </w:r>
      <w:r>
        <w:rPr>
          <w:sz w:val="22"/>
          <w:szCs w:val="22"/>
        </w:rPr>
        <w:t xml:space="preserve"> or in the community. Instead</w:t>
      </w:r>
      <w:r w:rsidR="00E84ECE">
        <w:rPr>
          <w:sz w:val="22"/>
          <w:szCs w:val="22"/>
        </w:rPr>
        <w:t>,</w:t>
      </w:r>
      <w:r>
        <w:rPr>
          <w:sz w:val="22"/>
          <w:szCs w:val="22"/>
        </w:rPr>
        <w:t xml:space="preserve"> the increased level of scrutiny is to </w:t>
      </w:r>
      <w:r w:rsidR="004D30E8">
        <w:rPr>
          <w:sz w:val="22"/>
          <w:szCs w:val="22"/>
        </w:rPr>
        <w:t>ensure that the appropriate level of consideration is given to cases that are more complex and where the risks to the public or the restricted patient system are heightened</w:t>
      </w:r>
      <w:r w:rsidR="00DC6DE6">
        <w:rPr>
          <w:sz w:val="22"/>
          <w:szCs w:val="22"/>
        </w:rPr>
        <w:t xml:space="preserve">. When making any decision that may affect a high profile patient MHCS </w:t>
      </w:r>
      <w:r w:rsidR="005A68F6">
        <w:rPr>
          <w:sz w:val="22"/>
          <w:szCs w:val="22"/>
        </w:rPr>
        <w:t xml:space="preserve">is </w:t>
      </w:r>
      <w:r w:rsidR="00DC6DE6">
        <w:rPr>
          <w:sz w:val="22"/>
          <w:szCs w:val="22"/>
        </w:rPr>
        <w:t xml:space="preserve">required to ensure that those decisions are made within the targets agreed in the </w:t>
      </w:r>
    </w:p>
    <w:p w14:paraId="5F4C3008" w14:textId="23129487" w:rsidR="00444712" w:rsidRPr="00634163" w:rsidRDefault="00634163" w:rsidP="00634163">
      <w:pPr>
        <w:pStyle w:val="Default"/>
        <w:rPr>
          <w:sz w:val="22"/>
          <w:szCs w:val="22"/>
        </w:rPr>
      </w:pPr>
      <w:r>
        <w:rPr>
          <w:sz w:val="22"/>
          <w:szCs w:val="22"/>
        </w:rPr>
        <w:t>‘</w:t>
      </w:r>
      <w:r w:rsidRPr="00634163">
        <w:rPr>
          <w:bCs/>
          <w:sz w:val="22"/>
          <w:szCs w:val="22"/>
        </w:rPr>
        <w:t>Mental Health Casework Section and NHS England - joint performance management framework and target timescales</w:t>
      </w:r>
      <w:r>
        <w:rPr>
          <w:bCs/>
          <w:sz w:val="22"/>
          <w:szCs w:val="22"/>
        </w:rPr>
        <w:t>’, which is set out in the following link;</w:t>
      </w:r>
    </w:p>
    <w:p w14:paraId="4764A7A7" w14:textId="77777777" w:rsidR="00634163" w:rsidRDefault="00634163" w:rsidP="00DC6DE6">
      <w:pPr>
        <w:pStyle w:val="Default"/>
        <w:rPr>
          <w:sz w:val="22"/>
          <w:szCs w:val="22"/>
        </w:rPr>
      </w:pPr>
    </w:p>
    <w:p w14:paraId="1AD8C94D" w14:textId="1DCAE591" w:rsidR="00634163" w:rsidRDefault="00D31230" w:rsidP="00DC6DE6">
      <w:pPr>
        <w:pStyle w:val="Default"/>
        <w:rPr>
          <w:sz w:val="22"/>
          <w:szCs w:val="22"/>
        </w:rPr>
      </w:pPr>
      <w:hyperlink r:id="rId15" w:history="1">
        <w:r w:rsidRPr="00E867E9">
          <w:rPr>
            <w:rStyle w:val="Hyperlink"/>
          </w:rPr>
          <w:t>https://www.gov.uk/government/publications/mhcs-performance-management-framework-and-target-timescales-202122</w:t>
        </w:r>
      </w:hyperlink>
      <w:r>
        <w:t xml:space="preserve"> </w:t>
      </w:r>
    </w:p>
    <w:p w14:paraId="727DE017" w14:textId="2AD39F24" w:rsidR="00004A97" w:rsidRDefault="00634163" w:rsidP="00DC6DE6">
      <w:pPr>
        <w:pStyle w:val="Default"/>
        <w:rPr>
          <w:sz w:val="22"/>
          <w:szCs w:val="22"/>
        </w:rPr>
      </w:pPr>
      <w:r>
        <w:rPr>
          <w:sz w:val="22"/>
          <w:szCs w:val="22"/>
        </w:rPr>
        <w:t xml:space="preserve"> </w:t>
      </w:r>
    </w:p>
    <w:p w14:paraId="1D51D8DE" w14:textId="77777777" w:rsidR="0021195D" w:rsidRDefault="0021195D" w:rsidP="00DC6DE6">
      <w:pPr>
        <w:pStyle w:val="Default"/>
        <w:rPr>
          <w:b/>
          <w:sz w:val="28"/>
          <w:szCs w:val="28"/>
        </w:rPr>
      </w:pPr>
    </w:p>
    <w:p w14:paraId="6885BF54" w14:textId="77777777" w:rsidR="0021195D" w:rsidRDefault="0021195D" w:rsidP="00DC6DE6">
      <w:pPr>
        <w:pStyle w:val="Default"/>
        <w:rPr>
          <w:b/>
          <w:sz w:val="28"/>
          <w:szCs w:val="28"/>
        </w:rPr>
      </w:pPr>
    </w:p>
    <w:p w14:paraId="0C374221" w14:textId="77777777" w:rsidR="0021195D" w:rsidRDefault="0021195D" w:rsidP="00DC6DE6">
      <w:pPr>
        <w:pStyle w:val="Default"/>
        <w:rPr>
          <w:b/>
          <w:sz w:val="28"/>
          <w:szCs w:val="28"/>
        </w:rPr>
      </w:pPr>
    </w:p>
    <w:p w14:paraId="2E847C87" w14:textId="77777777" w:rsidR="0021195D" w:rsidRDefault="0021195D" w:rsidP="00DC6DE6">
      <w:pPr>
        <w:pStyle w:val="Default"/>
        <w:rPr>
          <w:b/>
          <w:sz w:val="28"/>
          <w:szCs w:val="28"/>
        </w:rPr>
      </w:pPr>
    </w:p>
    <w:p w14:paraId="359D33BA" w14:textId="77777777" w:rsidR="0021195D" w:rsidRDefault="0021195D" w:rsidP="00DC6DE6">
      <w:pPr>
        <w:pStyle w:val="Default"/>
        <w:rPr>
          <w:b/>
          <w:sz w:val="28"/>
          <w:szCs w:val="28"/>
        </w:rPr>
      </w:pPr>
    </w:p>
    <w:p w14:paraId="379757A5" w14:textId="77777777" w:rsidR="0021195D" w:rsidRDefault="0021195D" w:rsidP="00DC6DE6">
      <w:pPr>
        <w:pStyle w:val="Default"/>
        <w:rPr>
          <w:b/>
          <w:sz w:val="28"/>
          <w:szCs w:val="28"/>
        </w:rPr>
      </w:pPr>
    </w:p>
    <w:p w14:paraId="3FC8960F" w14:textId="6AD63AB6" w:rsidR="00634163" w:rsidRDefault="00634163" w:rsidP="00DC6DE6">
      <w:pPr>
        <w:pStyle w:val="Default"/>
        <w:rPr>
          <w:b/>
          <w:sz w:val="28"/>
          <w:szCs w:val="28"/>
        </w:rPr>
      </w:pPr>
      <w:r w:rsidRPr="00100F3E">
        <w:rPr>
          <w:b/>
          <w:sz w:val="28"/>
          <w:szCs w:val="28"/>
        </w:rPr>
        <w:t xml:space="preserve">4 </w:t>
      </w:r>
      <w:r w:rsidR="00110270">
        <w:rPr>
          <w:b/>
          <w:sz w:val="28"/>
          <w:szCs w:val="28"/>
        </w:rPr>
        <w:tab/>
      </w:r>
      <w:r w:rsidRPr="00100F3E">
        <w:rPr>
          <w:b/>
          <w:sz w:val="28"/>
          <w:szCs w:val="28"/>
        </w:rPr>
        <w:t>The Removal of</w:t>
      </w:r>
      <w:r w:rsidR="00E94F1A">
        <w:rPr>
          <w:b/>
          <w:sz w:val="28"/>
          <w:szCs w:val="28"/>
        </w:rPr>
        <w:t xml:space="preserve"> the</w:t>
      </w:r>
      <w:r w:rsidRPr="00100F3E">
        <w:rPr>
          <w:b/>
          <w:sz w:val="28"/>
          <w:szCs w:val="28"/>
        </w:rPr>
        <w:t xml:space="preserve"> High</w:t>
      </w:r>
      <w:r w:rsidR="00E94F1A">
        <w:rPr>
          <w:b/>
          <w:sz w:val="28"/>
          <w:szCs w:val="28"/>
        </w:rPr>
        <w:t xml:space="preserve"> Profile Designation</w:t>
      </w:r>
      <w:r w:rsidR="00E94F1A">
        <w:rPr>
          <w:b/>
          <w:sz w:val="28"/>
          <w:szCs w:val="28"/>
        </w:rPr>
        <w:tab/>
      </w:r>
    </w:p>
    <w:p w14:paraId="04EF3364" w14:textId="77777777" w:rsidR="00E94F1A" w:rsidRDefault="00E94F1A" w:rsidP="00DC6DE6">
      <w:pPr>
        <w:pStyle w:val="Default"/>
        <w:rPr>
          <w:b/>
          <w:sz w:val="28"/>
          <w:szCs w:val="28"/>
        </w:rPr>
      </w:pPr>
    </w:p>
    <w:p w14:paraId="17FD53BD" w14:textId="50DB2D7F" w:rsidR="00E94F1A" w:rsidRDefault="00E94F1A" w:rsidP="00DC6DE6">
      <w:pPr>
        <w:pStyle w:val="Default"/>
        <w:rPr>
          <w:sz w:val="22"/>
          <w:szCs w:val="22"/>
        </w:rPr>
      </w:pPr>
      <w:r>
        <w:rPr>
          <w:sz w:val="22"/>
          <w:szCs w:val="22"/>
        </w:rPr>
        <w:t xml:space="preserve">Patients who are designated as high profile will have that designation reviewed on an annual basis but in practice a review can be made at any point. The removal of the high profile marking will be made by a senior manager in MHCS and they will record the reasons why the designation is no longer required. When the high profile marking is removed the MHCS will write to the patient’s responsible clinician notifying them of the removal. </w:t>
      </w:r>
    </w:p>
    <w:p w14:paraId="036D4DDD" w14:textId="77777777" w:rsidR="00E94F1A" w:rsidRDefault="00E94F1A" w:rsidP="00DC6DE6">
      <w:pPr>
        <w:pStyle w:val="Default"/>
        <w:rPr>
          <w:sz w:val="22"/>
          <w:szCs w:val="22"/>
        </w:rPr>
      </w:pPr>
    </w:p>
    <w:p w14:paraId="4B55ECA9" w14:textId="112CBBDF" w:rsidR="0050515B" w:rsidRDefault="00E94F1A" w:rsidP="00DC6DE6">
      <w:pPr>
        <w:pStyle w:val="Default"/>
        <w:rPr>
          <w:sz w:val="22"/>
          <w:szCs w:val="22"/>
        </w:rPr>
      </w:pPr>
      <w:r>
        <w:rPr>
          <w:sz w:val="22"/>
          <w:szCs w:val="22"/>
        </w:rPr>
        <w:t xml:space="preserve">A high profile marking can be re-imposed at any point but the expectation would be that there has been a material change in the </w:t>
      </w:r>
      <w:r w:rsidR="00130AEB">
        <w:rPr>
          <w:sz w:val="22"/>
          <w:szCs w:val="22"/>
        </w:rPr>
        <w:t xml:space="preserve">circumstances of the </w:t>
      </w:r>
      <w:r>
        <w:rPr>
          <w:sz w:val="22"/>
          <w:szCs w:val="22"/>
        </w:rPr>
        <w:t xml:space="preserve">case to </w:t>
      </w:r>
      <w:r w:rsidR="00E13844">
        <w:rPr>
          <w:sz w:val="22"/>
          <w:szCs w:val="22"/>
        </w:rPr>
        <w:t>warrant the designation’s re-imposition.</w:t>
      </w:r>
    </w:p>
    <w:p w14:paraId="4B49207F" w14:textId="77777777" w:rsidR="0050515B" w:rsidRDefault="0050515B" w:rsidP="00DC6DE6">
      <w:pPr>
        <w:pStyle w:val="Default"/>
        <w:rPr>
          <w:sz w:val="22"/>
          <w:szCs w:val="22"/>
        </w:rPr>
      </w:pPr>
    </w:p>
    <w:p w14:paraId="3C644871" w14:textId="77777777" w:rsidR="00E94F1A" w:rsidRPr="00E94F1A" w:rsidRDefault="00E94F1A" w:rsidP="00DC6DE6">
      <w:pPr>
        <w:pStyle w:val="Default"/>
        <w:rPr>
          <w:sz w:val="22"/>
          <w:szCs w:val="22"/>
        </w:rPr>
      </w:pPr>
    </w:p>
    <w:sectPr w:rsidR="00E94F1A" w:rsidRPr="00E94F1A" w:rsidSect="00F739F9">
      <w:footerReference w:type="default" r:id="rId16"/>
      <w:pgSz w:w="11900" w:h="16840"/>
      <w:pgMar w:top="1843" w:right="510" w:bottom="1440" w:left="510" w:header="709" w:footer="97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9761A" w14:textId="77777777" w:rsidR="00F739F9" w:rsidRDefault="00F739F9" w:rsidP="007D199A">
      <w:pPr>
        <w:spacing w:after="0"/>
      </w:pPr>
      <w:r>
        <w:separator/>
      </w:r>
    </w:p>
  </w:endnote>
  <w:endnote w:type="continuationSeparator" w:id="0">
    <w:p w14:paraId="5D999EA5" w14:textId="77777777" w:rsidR="00F739F9" w:rsidRDefault="00F739F9" w:rsidP="007D19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97401" w14:textId="77777777" w:rsidR="00AD6DD0" w:rsidRDefault="00AD6DD0">
    <w:pPr>
      <w:pStyle w:val="Footer"/>
    </w:pPr>
    <w:r>
      <w:rPr>
        <w:noProof/>
        <w:lang w:eastAsia="en-GB" w:bidi="ar-SA"/>
      </w:rPr>
      <w:drawing>
        <wp:anchor distT="0" distB="1778" distL="114300" distR="114300" simplePos="0" relativeHeight="251656192" behindDoc="1" locked="1" layoutInCell="1" allowOverlap="1" wp14:anchorId="07A04EA8" wp14:editId="2BF647AB">
          <wp:simplePos x="0" y="0"/>
          <wp:positionH relativeFrom="page">
            <wp:align>left</wp:align>
          </wp:positionH>
          <wp:positionV relativeFrom="page">
            <wp:align>bottom</wp:align>
          </wp:positionV>
          <wp:extent cx="7560310" cy="2059432"/>
          <wp:effectExtent l="0" t="0" r="2540" b="0"/>
          <wp:wrapNone/>
          <wp:docPr id="3" name="Picture 1" descr="Cover page footer decorative background image." title="Cover page footer decorative 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ver page footer decorative background image." title="Cover page footer decorative background im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205930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ACA8A" w14:textId="7B3337F9" w:rsidR="00AD6DD0" w:rsidRDefault="00AD6DD0">
    <w:pPr>
      <w:pStyle w:val="Footer"/>
      <w:jc w:val="center"/>
      <w:rPr>
        <w:noProof/>
        <w:sz w:val="18"/>
        <w:szCs w:val="18"/>
      </w:rPr>
    </w:pPr>
    <w:r w:rsidRPr="00E57E64">
      <w:rPr>
        <w:sz w:val="18"/>
        <w:szCs w:val="18"/>
      </w:rPr>
      <w:fldChar w:fldCharType="begin"/>
    </w:r>
    <w:r w:rsidRPr="00E57E64">
      <w:rPr>
        <w:sz w:val="18"/>
        <w:szCs w:val="18"/>
      </w:rPr>
      <w:instrText xml:space="preserve"> PAGE   \* MERGEFORMAT </w:instrText>
    </w:r>
    <w:r w:rsidRPr="00E57E64">
      <w:rPr>
        <w:sz w:val="18"/>
        <w:szCs w:val="18"/>
      </w:rPr>
      <w:fldChar w:fldCharType="separate"/>
    </w:r>
    <w:r w:rsidR="00116362">
      <w:rPr>
        <w:noProof/>
        <w:sz w:val="18"/>
        <w:szCs w:val="18"/>
      </w:rPr>
      <w:t>3</w:t>
    </w:r>
    <w:r w:rsidRPr="00E57E64">
      <w:rPr>
        <w:noProof/>
        <w:sz w:val="18"/>
        <w:szCs w:val="18"/>
      </w:rPr>
      <w:fldChar w:fldCharType="end"/>
    </w:r>
  </w:p>
  <w:p w14:paraId="31B8F98F" w14:textId="77777777" w:rsidR="00AD6DD0" w:rsidRDefault="00AD6DD0">
    <w:pPr>
      <w:pStyle w:val="Footer"/>
      <w:jc w:val="center"/>
      <w:rPr>
        <w:noProof/>
        <w:sz w:val="18"/>
        <w:szCs w:val="18"/>
      </w:rPr>
    </w:pPr>
  </w:p>
  <w:p w14:paraId="5AEF4CD6" w14:textId="77777777" w:rsidR="00111636" w:rsidRPr="00111636" w:rsidRDefault="00AD6DD0" w:rsidP="00111636">
    <w:pPr>
      <w:tabs>
        <w:tab w:val="center" w:pos="-1276"/>
        <w:tab w:val="right" w:pos="10348"/>
      </w:tabs>
      <w:spacing w:after="0" w:line="240" w:lineRule="auto"/>
      <w:ind w:right="357"/>
      <w:jc w:val="right"/>
      <w:rPr>
        <w:sz w:val="18"/>
        <w:szCs w:val="18"/>
      </w:rPr>
    </w:pPr>
    <w:r>
      <w:rPr>
        <w:sz w:val="18"/>
        <w:szCs w:val="18"/>
      </w:rPr>
      <w:t xml:space="preserve">MHCS – </w:t>
    </w:r>
    <w:r w:rsidR="00111636" w:rsidRPr="00111636">
      <w:rPr>
        <w:sz w:val="18"/>
        <w:szCs w:val="18"/>
      </w:rPr>
      <w:t>The Designation and Management of High Profile Restricted Patients</w:t>
    </w:r>
  </w:p>
  <w:p w14:paraId="6BC0FF81" w14:textId="5202944D" w:rsidR="00AD6DD0" w:rsidRDefault="00AD6DD0" w:rsidP="00B230A3">
    <w:pPr>
      <w:tabs>
        <w:tab w:val="center" w:pos="-1276"/>
        <w:tab w:val="right" w:pos="10348"/>
      </w:tabs>
      <w:spacing w:after="0" w:line="240" w:lineRule="auto"/>
      <w:ind w:right="357"/>
      <w:jc w:val="right"/>
      <w:rPr>
        <w:sz w:val="18"/>
        <w:szCs w:val="18"/>
      </w:rPr>
    </w:pPr>
    <w:r w:rsidRPr="00E57E64">
      <w:rPr>
        <w:sz w:val="18"/>
        <w:szCs w:val="18"/>
      </w:rPr>
      <w:t xml:space="preserve">Version </w:t>
    </w:r>
    <w:r w:rsidR="007F5383">
      <w:rPr>
        <w:sz w:val="18"/>
        <w:szCs w:val="18"/>
      </w:rPr>
      <w:t>2</w:t>
    </w:r>
    <w:r w:rsidRPr="00E57E64">
      <w:rPr>
        <w:sz w:val="18"/>
        <w:szCs w:val="18"/>
      </w:rPr>
      <w:t xml:space="preserve"> issued </w:t>
    </w:r>
    <w:r w:rsidR="007F5383">
      <w:rPr>
        <w:sz w:val="18"/>
        <w:szCs w:val="18"/>
      </w:rPr>
      <w:t>April 2024</w:t>
    </w:r>
  </w:p>
  <w:p w14:paraId="6616E987" w14:textId="77777777" w:rsidR="00AD6DD0" w:rsidRPr="00E57E64" w:rsidRDefault="00AD6DD0" w:rsidP="00AD6DD0">
    <w:pPr>
      <w:tabs>
        <w:tab w:val="center" w:pos="-1276"/>
        <w:tab w:val="right" w:pos="10348"/>
      </w:tabs>
      <w:ind w:right="36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45A10" w14:textId="77777777" w:rsidR="00F739F9" w:rsidRPr="00BB3712" w:rsidRDefault="00F739F9" w:rsidP="005E0344">
      <w:pPr>
        <w:spacing w:after="120"/>
        <w:rPr>
          <w:color w:val="7F4098"/>
        </w:rPr>
      </w:pPr>
      <w:r w:rsidRPr="00BB3712">
        <w:rPr>
          <w:color w:val="7F4098"/>
        </w:rPr>
        <w:separator/>
      </w:r>
    </w:p>
  </w:footnote>
  <w:footnote w:type="continuationSeparator" w:id="0">
    <w:p w14:paraId="09D7F570" w14:textId="77777777" w:rsidR="00F739F9" w:rsidRPr="00BB3712" w:rsidRDefault="00F739F9" w:rsidP="0090581D">
      <w:pPr>
        <w:spacing w:after="120"/>
        <w:rPr>
          <w:color w:val="7F4098"/>
        </w:rPr>
      </w:pPr>
      <w:r w:rsidRPr="00BB3712">
        <w:rPr>
          <w:color w:val="7F4098"/>
        </w:rPr>
        <w:continuationSeparator/>
      </w:r>
    </w:p>
  </w:footnote>
  <w:footnote w:type="continuationNotice" w:id="1">
    <w:p w14:paraId="4956F4CD" w14:textId="77777777" w:rsidR="00F739F9" w:rsidRDefault="00F739F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C6F8" w14:textId="77777777" w:rsidR="00AD6DD0" w:rsidRDefault="00AD6DD0">
    <w:pPr>
      <w:pStyle w:val="Header"/>
    </w:pPr>
    <w:r>
      <w:rPr>
        <w:noProof/>
        <w:lang w:eastAsia="en-GB" w:bidi="ar-SA"/>
      </w:rPr>
      <w:drawing>
        <wp:anchor distT="0" distB="0" distL="114300" distR="114300" simplePos="0" relativeHeight="251657216" behindDoc="1" locked="1" layoutInCell="1" allowOverlap="1" wp14:anchorId="76E1FE7C" wp14:editId="56ECC631">
          <wp:simplePos x="0" y="0"/>
          <wp:positionH relativeFrom="page">
            <wp:align>left</wp:align>
          </wp:positionH>
          <wp:positionV relativeFrom="page">
            <wp:posOffset>1864995</wp:posOffset>
          </wp:positionV>
          <wp:extent cx="7560310" cy="6851015"/>
          <wp:effectExtent l="0" t="0" r="2540" b="0"/>
          <wp:wrapNone/>
          <wp:docPr id="1" name="Picture 2" descr="Cover page decorative background image" title="Cover page decorative backgroun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er page decorative background image" title="Cover page decorative background im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685101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bidi="ar-SA"/>
      </w:rPr>
      <w:drawing>
        <wp:anchor distT="0" distB="0" distL="114300" distR="114300" simplePos="0" relativeHeight="251658240" behindDoc="1" locked="1" layoutInCell="1" allowOverlap="1" wp14:anchorId="547C3C69" wp14:editId="3D267697">
          <wp:simplePos x="0" y="0"/>
          <wp:positionH relativeFrom="page">
            <wp:posOffset>118745</wp:posOffset>
          </wp:positionH>
          <wp:positionV relativeFrom="page">
            <wp:posOffset>0</wp:posOffset>
          </wp:positionV>
          <wp:extent cx="2609850" cy="1536700"/>
          <wp:effectExtent l="0" t="0" r="0" b="0"/>
          <wp:wrapTight wrapText="bothSides">
            <wp:wrapPolygon edited="0">
              <wp:start x="4099" y="6962"/>
              <wp:lineTo x="4099" y="20350"/>
              <wp:lineTo x="20654" y="20350"/>
              <wp:lineTo x="21127" y="18476"/>
              <wp:lineTo x="20181" y="17405"/>
              <wp:lineTo x="16555" y="16066"/>
              <wp:lineTo x="16870" y="13924"/>
              <wp:lineTo x="15609" y="13388"/>
              <wp:lineTo x="8672" y="11782"/>
              <wp:lineTo x="9145" y="10711"/>
              <wp:lineTo x="8829" y="9104"/>
              <wp:lineTo x="8041" y="6962"/>
              <wp:lineTo x="4099" y="6962"/>
            </wp:wrapPolygon>
          </wp:wrapTight>
          <wp:docPr id="2" name="Picture 34" descr="HM Prison &amp; Probation Service logo" title="HMP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HM Prison &amp; Probation Service logo" title="HMPPS logo"/>
                  <pic:cNvPicPr/>
                </pic:nvPicPr>
                <pic:blipFill>
                  <a:blip r:embed="rId2">
                    <a:extLst>
                      <a:ext uri="{28A0092B-C50C-407E-A947-70E740481C1C}">
                        <a14:useLocalDpi xmlns:a14="http://schemas.microsoft.com/office/drawing/2010/main" val="0"/>
                      </a:ext>
                    </a:extLst>
                  </a:blip>
                  <a:stretch>
                    <a:fillRect/>
                  </a:stretch>
                </pic:blipFill>
                <pic:spPr>
                  <a:xfrm>
                    <a:off x="0" y="0"/>
                    <a:ext cx="2609850" cy="15367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B1387B"/>
    <w:multiLevelType w:val="hybridMultilevel"/>
    <w:tmpl w:val="B93ED1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03AE679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4E8A9E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0AE39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E465F5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D416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07039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494767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DB8721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F7454C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22A67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486AF8"/>
    <w:multiLevelType w:val="hybridMultilevel"/>
    <w:tmpl w:val="F71A24E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86B30B1"/>
    <w:multiLevelType w:val="hybridMultilevel"/>
    <w:tmpl w:val="0C2C3C5A"/>
    <w:lvl w:ilvl="0" w:tplc="92E022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972CA1"/>
    <w:multiLevelType w:val="hybridMultilevel"/>
    <w:tmpl w:val="ACEC80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B43C77"/>
    <w:multiLevelType w:val="hybridMultilevel"/>
    <w:tmpl w:val="C8E80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542A77"/>
    <w:multiLevelType w:val="multilevel"/>
    <w:tmpl w:val="25CC6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117"/>
        </w:tabs>
        <w:ind w:left="1117" w:hanging="397"/>
      </w:pPr>
      <w:rPr>
        <w:rFonts w:hint="default"/>
      </w:rPr>
    </w:lvl>
    <w:lvl w:ilvl="3">
      <w:start w:val="1"/>
      <w:numFmt w:val="lowerRoman"/>
      <w:lvlText w:val="%4)"/>
      <w:lvlJc w:val="left"/>
      <w:pPr>
        <w:tabs>
          <w:tab w:val="num" w:pos="1514"/>
        </w:tabs>
        <w:ind w:left="1514"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AFE351B"/>
    <w:multiLevelType w:val="hybridMultilevel"/>
    <w:tmpl w:val="080E5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EC1D74"/>
    <w:multiLevelType w:val="hybridMultilevel"/>
    <w:tmpl w:val="45ECD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463BEC"/>
    <w:multiLevelType w:val="multilevel"/>
    <w:tmpl w:val="3CA6FE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4C6DB9"/>
    <w:multiLevelType w:val="hybridMultilevel"/>
    <w:tmpl w:val="BAB65E54"/>
    <w:lvl w:ilvl="0" w:tplc="13AAB4A8">
      <w:start w:val="1"/>
      <w:numFmt w:val="bullet"/>
      <w:pStyle w:val="Bulletlist3"/>
      <w:lvlText w:val=""/>
      <w:lvlJc w:val="left"/>
      <w:pPr>
        <w:ind w:left="720" w:hanging="360"/>
      </w:pPr>
      <w:rPr>
        <w:rFonts w:ascii="Symbol" w:hAnsi="Symbol" w:hint="default"/>
        <w:color w:val="7F409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681DAC"/>
    <w:multiLevelType w:val="hybridMultilevel"/>
    <w:tmpl w:val="267CD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70C27"/>
    <w:multiLevelType w:val="hybridMultilevel"/>
    <w:tmpl w:val="14B4A702"/>
    <w:lvl w:ilvl="0" w:tplc="A0C093DE">
      <w:start w:val="1"/>
      <w:numFmt w:val="bullet"/>
      <w:pStyle w:val="Bulletlist2"/>
      <w:lvlText w:val=""/>
      <w:lvlJc w:val="left"/>
      <w:pPr>
        <w:ind w:left="720" w:hanging="360"/>
      </w:pPr>
      <w:rPr>
        <w:rFonts w:ascii="Symbol" w:hAnsi="Symbol" w:hint="default"/>
        <w:color w:val="7F409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CE7E78"/>
    <w:multiLevelType w:val="multilevel"/>
    <w:tmpl w:val="3CA6FE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E60DD7"/>
    <w:multiLevelType w:val="hybridMultilevel"/>
    <w:tmpl w:val="2534850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53156B"/>
    <w:multiLevelType w:val="hybridMultilevel"/>
    <w:tmpl w:val="96E455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766C55"/>
    <w:multiLevelType w:val="hybridMultilevel"/>
    <w:tmpl w:val="B782906C"/>
    <w:lvl w:ilvl="0" w:tplc="B816D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B642D0"/>
    <w:multiLevelType w:val="hybridMultilevel"/>
    <w:tmpl w:val="A47CA7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9445C5"/>
    <w:multiLevelType w:val="hybridMultilevel"/>
    <w:tmpl w:val="A7FAC8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0A3D3B"/>
    <w:multiLevelType w:val="hybridMultilevel"/>
    <w:tmpl w:val="8B92E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FF59CA"/>
    <w:multiLevelType w:val="hybridMultilevel"/>
    <w:tmpl w:val="46FC8C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262AAF"/>
    <w:multiLevelType w:val="hybridMultilevel"/>
    <w:tmpl w:val="799A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7E4915"/>
    <w:multiLevelType w:val="hybridMultilevel"/>
    <w:tmpl w:val="C848F42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FE2127"/>
    <w:multiLevelType w:val="hybridMultilevel"/>
    <w:tmpl w:val="F70E98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F46359"/>
    <w:multiLevelType w:val="hybridMultilevel"/>
    <w:tmpl w:val="14984C2A"/>
    <w:lvl w:ilvl="0" w:tplc="61E6387C">
      <w:start w:val="1"/>
      <w:numFmt w:val="bullet"/>
      <w:pStyle w:val="Bulletlist1"/>
      <w:lvlText w:val=""/>
      <w:lvlJc w:val="left"/>
      <w:pPr>
        <w:ind w:left="720" w:hanging="360"/>
      </w:pPr>
      <w:rPr>
        <w:rFonts w:ascii="Symbol" w:hAnsi="Symbol" w:hint="default"/>
        <w:color w:val="7F409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5A7F20"/>
    <w:multiLevelType w:val="hybridMultilevel"/>
    <w:tmpl w:val="933AA6A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02260387">
    <w:abstractNumId w:val="10"/>
  </w:num>
  <w:num w:numId="2" w16cid:durableId="866913226">
    <w:abstractNumId w:val="8"/>
  </w:num>
  <w:num w:numId="3" w16cid:durableId="495850286">
    <w:abstractNumId w:val="7"/>
  </w:num>
  <w:num w:numId="4" w16cid:durableId="1758552158">
    <w:abstractNumId w:val="6"/>
  </w:num>
  <w:num w:numId="5" w16cid:durableId="1833370171">
    <w:abstractNumId w:val="5"/>
  </w:num>
  <w:num w:numId="6" w16cid:durableId="842823237">
    <w:abstractNumId w:val="9"/>
  </w:num>
  <w:num w:numId="7" w16cid:durableId="1429815576">
    <w:abstractNumId w:val="4"/>
  </w:num>
  <w:num w:numId="8" w16cid:durableId="1084258646">
    <w:abstractNumId w:val="3"/>
  </w:num>
  <w:num w:numId="9" w16cid:durableId="1657564925">
    <w:abstractNumId w:val="2"/>
  </w:num>
  <w:num w:numId="10" w16cid:durableId="346106149">
    <w:abstractNumId w:val="1"/>
  </w:num>
  <w:num w:numId="11" w16cid:durableId="1473717660">
    <w:abstractNumId w:val="15"/>
  </w:num>
  <w:num w:numId="12" w16cid:durableId="1817070402">
    <w:abstractNumId w:val="33"/>
  </w:num>
  <w:num w:numId="13" w16cid:durableId="252514325">
    <w:abstractNumId w:val="21"/>
  </w:num>
  <w:num w:numId="14" w16cid:durableId="131100989">
    <w:abstractNumId w:val="19"/>
  </w:num>
  <w:num w:numId="15" w16cid:durableId="496071612">
    <w:abstractNumId w:val="33"/>
    <w:lvlOverride w:ilvl="0">
      <w:startOverride w:val="1"/>
    </w:lvlOverride>
  </w:num>
  <w:num w:numId="16" w16cid:durableId="1463884037">
    <w:abstractNumId w:val="21"/>
    <w:lvlOverride w:ilvl="0">
      <w:startOverride w:val="1"/>
    </w:lvlOverride>
  </w:num>
  <w:num w:numId="17" w16cid:durableId="576405834">
    <w:abstractNumId w:val="19"/>
    <w:lvlOverride w:ilvl="0">
      <w:startOverride w:val="1"/>
    </w:lvlOverride>
  </w:num>
  <w:num w:numId="18" w16cid:durableId="399405308">
    <w:abstractNumId w:val="20"/>
  </w:num>
  <w:num w:numId="19" w16cid:durableId="690378372">
    <w:abstractNumId w:val="24"/>
  </w:num>
  <w:num w:numId="20" w16cid:durableId="1483039584">
    <w:abstractNumId w:val="16"/>
  </w:num>
  <w:num w:numId="21" w16cid:durableId="1767116225">
    <w:abstractNumId w:val="25"/>
  </w:num>
  <w:num w:numId="22" w16cid:durableId="69741602">
    <w:abstractNumId w:val="12"/>
  </w:num>
  <w:num w:numId="23" w16cid:durableId="686299390">
    <w:abstractNumId w:val="32"/>
  </w:num>
  <w:num w:numId="24" w16cid:durableId="765618321">
    <w:abstractNumId w:val="27"/>
  </w:num>
  <w:num w:numId="25" w16cid:durableId="64882805">
    <w:abstractNumId w:val="13"/>
  </w:num>
  <w:num w:numId="26" w16cid:durableId="14623550">
    <w:abstractNumId w:val="29"/>
  </w:num>
  <w:num w:numId="27" w16cid:durableId="1539395384">
    <w:abstractNumId w:val="34"/>
  </w:num>
  <w:num w:numId="28" w16cid:durableId="901453443">
    <w:abstractNumId w:val="17"/>
  </w:num>
  <w:num w:numId="29" w16cid:durableId="622462044">
    <w:abstractNumId w:val="28"/>
  </w:num>
  <w:num w:numId="30" w16cid:durableId="1405058518">
    <w:abstractNumId w:val="11"/>
  </w:num>
  <w:num w:numId="31" w16cid:durableId="37777968">
    <w:abstractNumId w:val="31"/>
  </w:num>
  <w:num w:numId="32" w16cid:durableId="983312449">
    <w:abstractNumId w:val="23"/>
  </w:num>
  <w:num w:numId="33" w16cid:durableId="997423386">
    <w:abstractNumId w:val="0"/>
  </w:num>
  <w:num w:numId="34" w16cid:durableId="1323194364">
    <w:abstractNumId w:val="22"/>
    <w:lvlOverride w:ilvl="0">
      <w:startOverride w:val="24"/>
    </w:lvlOverride>
  </w:num>
  <w:num w:numId="35" w16cid:durableId="710805335">
    <w:abstractNumId w:val="18"/>
  </w:num>
  <w:num w:numId="36" w16cid:durableId="1647779879">
    <w:abstractNumId w:val="26"/>
  </w:num>
  <w:num w:numId="37" w16cid:durableId="184826079">
    <w:abstractNumId w:val="30"/>
  </w:num>
  <w:num w:numId="38" w16cid:durableId="947388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750"/>
    <w:rsid w:val="00004A97"/>
    <w:rsid w:val="00014814"/>
    <w:rsid w:val="00024522"/>
    <w:rsid w:val="00024B2E"/>
    <w:rsid w:val="00025292"/>
    <w:rsid w:val="00030430"/>
    <w:rsid w:val="0003078E"/>
    <w:rsid w:val="00031B89"/>
    <w:rsid w:val="0003693D"/>
    <w:rsid w:val="00040C89"/>
    <w:rsid w:val="0004440F"/>
    <w:rsid w:val="00044BA6"/>
    <w:rsid w:val="00052C8A"/>
    <w:rsid w:val="00061FE4"/>
    <w:rsid w:val="000758E7"/>
    <w:rsid w:val="000771B9"/>
    <w:rsid w:val="00082879"/>
    <w:rsid w:val="000944EB"/>
    <w:rsid w:val="000A0850"/>
    <w:rsid w:val="000A3FDA"/>
    <w:rsid w:val="000B3EAB"/>
    <w:rsid w:val="000B526E"/>
    <w:rsid w:val="000D2FD4"/>
    <w:rsid w:val="000F53E9"/>
    <w:rsid w:val="00100F3E"/>
    <w:rsid w:val="001028E8"/>
    <w:rsid w:val="00110270"/>
    <w:rsid w:val="00111636"/>
    <w:rsid w:val="0011188B"/>
    <w:rsid w:val="00116362"/>
    <w:rsid w:val="00117BD7"/>
    <w:rsid w:val="00122367"/>
    <w:rsid w:val="00130AEB"/>
    <w:rsid w:val="00154B59"/>
    <w:rsid w:val="001571E5"/>
    <w:rsid w:val="00171D9F"/>
    <w:rsid w:val="001746E0"/>
    <w:rsid w:val="001849CA"/>
    <w:rsid w:val="00185D98"/>
    <w:rsid w:val="00190AED"/>
    <w:rsid w:val="00192352"/>
    <w:rsid w:val="001A21D8"/>
    <w:rsid w:val="001A6D5B"/>
    <w:rsid w:val="001B71A7"/>
    <w:rsid w:val="001C35AC"/>
    <w:rsid w:val="001C4D63"/>
    <w:rsid w:val="001D0DE0"/>
    <w:rsid w:val="001D238E"/>
    <w:rsid w:val="001E1BBB"/>
    <w:rsid w:val="001F059F"/>
    <w:rsid w:val="001F7268"/>
    <w:rsid w:val="00200811"/>
    <w:rsid w:val="0021195D"/>
    <w:rsid w:val="0021325A"/>
    <w:rsid w:val="0021338D"/>
    <w:rsid w:val="002319AB"/>
    <w:rsid w:val="00234342"/>
    <w:rsid w:val="00236D24"/>
    <w:rsid w:val="00237273"/>
    <w:rsid w:val="0024040D"/>
    <w:rsid w:val="00255FA3"/>
    <w:rsid w:val="00257750"/>
    <w:rsid w:val="002629F8"/>
    <w:rsid w:val="00262D6E"/>
    <w:rsid w:val="00263396"/>
    <w:rsid w:val="00264971"/>
    <w:rsid w:val="00267815"/>
    <w:rsid w:val="002734AC"/>
    <w:rsid w:val="00280DDF"/>
    <w:rsid w:val="00281F77"/>
    <w:rsid w:val="002917FF"/>
    <w:rsid w:val="00292ADF"/>
    <w:rsid w:val="002A3412"/>
    <w:rsid w:val="002A43BF"/>
    <w:rsid w:val="002B2C33"/>
    <w:rsid w:val="002B52C4"/>
    <w:rsid w:val="002B5A84"/>
    <w:rsid w:val="002C4FC1"/>
    <w:rsid w:val="002E0BE4"/>
    <w:rsid w:val="002E2166"/>
    <w:rsid w:val="002E6A6A"/>
    <w:rsid w:val="0030380D"/>
    <w:rsid w:val="00323E71"/>
    <w:rsid w:val="00331528"/>
    <w:rsid w:val="003434D6"/>
    <w:rsid w:val="003434F4"/>
    <w:rsid w:val="0034742F"/>
    <w:rsid w:val="00367BD5"/>
    <w:rsid w:val="00393B78"/>
    <w:rsid w:val="003A01E9"/>
    <w:rsid w:val="003A7F9F"/>
    <w:rsid w:val="003B713C"/>
    <w:rsid w:val="003C019B"/>
    <w:rsid w:val="003C0306"/>
    <w:rsid w:val="003C1048"/>
    <w:rsid w:val="003C465D"/>
    <w:rsid w:val="003C6046"/>
    <w:rsid w:val="003D495D"/>
    <w:rsid w:val="003E098E"/>
    <w:rsid w:val="003E2FAE"/>
    <w:rsid w:val="00407CF7"/>
    <w:rsid w:val="00415ED6"/>
    <w:rsid w:val="0042144E"/>
    <w:rsid w:val="00422265"/>
    <w:rsid w:val="004373A7"/>
    <w:rsid w:val="00437D94"/>
    <w:rsid w:val="0044030C"/>
    <w:rsid w:val="00444712"/>
    <w:rsid w:val="00460723"/>
    <w:rsid w:val="00471380"/>
    <w:rsid w:val="004855DF"/>
    <w:rsid w:val="00487D9F"/>
    <w:rsid w:val="00494166"/>
    <w:rsid w:val="00496BFD"/>
    <w:rsid w:val="00496F1C"/>
    <w:rsid w:val="004C361D"/>
    <w:rsid w:val="004D30E8"/>
    <w:rsid w:val="004D65A8"/>
    <w:rsid w:val="004E6B30"/>
    <w:rsid w:val="004F1E79"/>
    <w:rsid w:val="004F5F33"/>
    <w:rsid w:val="0050103A"/>
    <w:rsid w:val="0050515B"/>
    <w:rsid w:val="00517DD0"/>
    <w:rsid w:val="00530D01"/>
    <w:rsid w:val="00532718"/>
    <w:rsid w:val="00550D4A"/>
    <w:rsid w:val="00555052"/>
    <w:rsid w:val="00560DEC"/>
    <w:rsid w:val="00561247"/>
    <w:rsid w:val="005731D0"/>
    <w:rsid w:val="005733FA"/>
    <w:rsid w:val="00577FB5"/>
    <w:rsid w:val="00582C9C"/>
    <w:rsid w:val="0059299D"/>
    <w:rsid w:val="005A49F6"/>
    <w:rsid w:val="005A4CDD"/>
    <w:rsid w:val="005A68F6"/>
    <w:rsid w:val="005B23AE"/>
    <w:rsid w:val="005B5ABD"/>
    <w:rsid w:val="005C6763"/>
    <w:rsid w:val="005C6C34"/>
    <w:rsid w:val="005E0344"/>
    <w:rsid w:val="005E2107"/>
    <w:rsid w:val="005E440B"/>
    <w:rsid w:val="005F7569"/>
    <w:rsid w:val="005F7702"/>
    <w:rsid w:val="00605ADB"/>
    <w:rsid w:val="0060603A"/>
    <w:rsid w:val="006074D5"/>
    <w:rsid w:val="00611C9F"/>
    <w:rsid w:val="00624A85"/>
    <w:rsid w:val="006322A0"/>
    <w:rsid w:val="00634163"/>
    <w:rsid w:val="0064226F"/>
    <w:rsid w:val="00647394"/>
    <w:rsid w:val="00652016"/>
    <w:rsid w:val="00653298"/>
    <w:rsid w:val="00655A04"/>
    <w:rsid w:val="00661B91"/>
    <w:rsid w:val="00670DF1"/>
    <w:rsid w:val="00671345"/>
    <w:rsid w:val="00672A9B"/>
    <w:rsid w:val="00684AF8"/>
    <w:rsid w:val="00696EE0"/>
    <w:rsid w:val="006A19EF"/>
    <w:rsid w:val="006A1EBE"/>
    <w:rsid w:val="006B529A"/>
    <w:rsid w:val="006C185A"/>
    <w:rsid w:val="006C63B0"/>
    <w:rsid w:val="006C792E"/>
    <w:rsid w:val="006D116C"/>
    <w:rsid w:val="006E2706"/>
    <w:rsid w:val="006E2EE1"/>
    <w:rsid w:val="006E6A61"/>
    <w:rsid w:val="006E7C42"/>
    <w:rsid w:val="006F168A"/>
    <w:rsid w:val="006F29CB"/>
    <w:rsid w:val="006F6275"/>
    <w:rsid w:val="007068BA"/>
    <w:rsid w:val="00716AB1"/>
    <w:rsid w:val="0072254A"/>
    <w:rsid w:val="00734D2B"/>
    <w:rsid w:val="00737705"/>
    <w:rsid w:val="007420AC"/>
    <w:rsid w:val="00742617"/>
    <w:rsid w:val="00757496"/>
    <w:rsid w:val="00780629"/>
    <w:rsid w:val="00785427"/>
    <w:rsid w:val="00790540"/>
    <w:rsid w:val="007931DB"/>
    <w:rsid w:val="00794825"/>
    <w:rsid w:val="007A43FF"/>
    <w:rsid w:val="007B3918"/>
    <w:rsid w:val="007B46D3"/>
    <w:rsid w:val="007B6310"/>
    <w:rsid w:val="007C0DF7"/>
    <w:rsid w:val="007C187C"/>
    <w:rsid w:val="007C1E1D"/>
    <w:rsid w:val="007C3B49"/>
    <w:rsid w:val="007D199A"/>
    <w:rsid w:val="007E1C07"/>
    <w:rsid w:val="007E1DD9"/>
    <w:rsid w:val="007E6916"/>
    <w:rsid w:val="007F0DFC"/>
    <w:rsid w:val="007F24B6"/>
    <w:rsid w:val="007F5383"/>
    <w:rsid w:val="00803D94"/>
    <w:rsid w:val="00805743"/>
    <w:rsid w:val="00810E59"/>
    <w:rsid w:val="00825B14"/>
    <w:rsid w:val="00845390"/>
    <w:rsid w:val="008606F0"/>
    <w:rsid w:val="00865489"/>
    <w:rsid w:val="0086553D"/>
    <w:rsid w:val="008657FC"/>
    <w:rsid w:val="00874FEB"/>
    <w:rsid w:val="00881C90"/>
    <w:rsid w:val="00882AA4"/>
    <w:rsid w:val="00883E22"/>
    <w:rsid w:val="00887EC6"/>
    <w:rsid w:val="0089084C"/>
    <w:rsid w:val="00893409"/>
    <w:rsid w:val="00897AF6"/>
    <w:rsid w:val="008A2379"/>
    <w:rsid w:val="008A578E"/>
    <w:rsid w:val="008A7B4C"/>
    <w:rsid w:val="008B5886"/>
    <w:rsid w:val="008B7BCC"/>
    <w:rsid w:val="008B7BE0"/>
    <w:rsid w:val="008C50C3"/>
    <w:rsid w:val="008C7094"/>
    <w:rsid w:val="008D2B97"/>
    <w:rsid w:val="008D6C81"/>
    <w:rsid w:val="008E0047"/>
    <w:rsid w:val="008E1C99"/>
    <w:rsid w:val="008E6CF0"/>
    <w:rsid w:val="008F1439"/>
    <w:rsid w:val="008F7051"/>
    <w:rsid w:val="0090581D"/>
    <w:rsid w:val="00920BF2"/>
    <w:rsid w:val="009349A9"/>
    <w:rsid w:val="009527D1"/>
    <w:rsid w:val="0095489B"/>
    <w:rsid w:val="00955DBD"/>
    <w:rsid w:val="00960F2A"/>
    <w:rsid w:val="00966FB9"/>
    <w:rsid w:val="0097051C"/>
    <w:rsid w:val="00973B17"/>
    <w:rsid w:val="00980A88"/>
    <w:rsid w:val="00980F9C"/>
    <w:rsid w:val="00982F2E"/>
    <w:rsid w:val="00997BFB"/>
    <w:rsid w:val="009A58EE"/>
    <w:rsid w:val="009B13CD"/>
    <w:rsid w:val="009B4BC7"/>
    <w:rsid w:val="009C15F3"/>
    <w:rsid w:val="009D7C85"/>
    <w:rsid w:val="009E07C2"/>
    <w:rsid w:val="009F72F9"/>
    <w:rsid w:val="00A00AF0"/>
    <w:rsid w:val="00A14B5A"/>
    <w:rsid w:val="00A20622"/>
    <w:rsid w:val="00A3567F"/>
    <w:rsid w:val="00A37698"/>
    <w:rsid w:val="00A42BBE"/>
    <w:rsid w:val="00A71A36"/>
    <w:rsid w:val="00A72292"/>
    <w:rsid w:val="00A81D82"/>
    <w:rsid w:val="00A878E1"/>
    <w:rsid w:val="00A93E33"/>
    <w:rsid w:val="00AB31C6"/>
    <w:rsid w:val="00AC1939"/>
    <w:rsid w:val="00AD167C"/>
    <w:rsid w:val="00AD17C7"/>
    <w:rsid w:val="00AD4027"/>
    <w:rsid w:val="00AD4041"/>
    <w:rsid w:val="00AD6DD0"/>
    <w:rsid w:val="00AE302B"/>
    <w:rsid w:val="00AF1642"/>
    <w:rsid w:val="00AF607A"/>
    <w:rsid w:val="00AF741D"/>
    <w:rsid w:val="00B13B2A"/>
    <w:rsid w:val="00B13D48"/>
    <w:rsid w:val="00B147C0"/>
    <w:rsid w:val="00B22DE3"/>
    <w:rsid w:val="00B230A3"/>
    <w:rsid w:val="00B259DF"/>
    <w:rsid w:val="00B30670"/>
    <w:rsid w:val="00B407C5"/>
    <w:rsid w:val="00B5519A"/>
    <w:rsid w:val="00B66AE6"/>
    <w:rsid w:val="00B77913"/>
    <w:rsid w:val="00B95B36"/>
    <w:rsid w:val="00BA2E56"/>
    <w:rsid w:val="00BA3EB3"/>
    <w:rsid w:val="00BA4E58"/>
    <w:rsid w:val="00BA5485"/>
    <w:rsid w:val="00BA7074"/>
    <w:rsid w:val="00BB3712"/>
    <w:rsid w:val="00BB7829"/>
    <w:rsid w:val="00BD1457"/>
    <w:rsid w:val="00BD4812"/>
    <w:rsid w:val="00BD55DE"/>
    <w:rsid w:val="00BE2A07"/>
    <w:rsid w:val="00BE2AD9"/>
    <w:rsid w:val="00BF27FE"/>
    <w:rsid w:val="00C043B3"/>
    <w:rsid w:val="00C079AB"/>
    <w:rsid w:val="00C14787"/>
    <w:rsid w:val="00C20562"/>
    <w:rsid w:val="00C23A96"/>
    <w:rsid w:val="00C249C6"/>
    <w:rsid w:val="00C32CC1"/>
    <w:rsid w:val="00C47C53"/>
    <w:rsid w:val="00C51E71"/>
    <w:rsid w:val="00C55C8D"/>
    <w:rsid w:val="00C6483C"/>
    <w:rsid w:val="00C70CFF"/>
    <w:rsid w:val="00C718FE"/>
    <w:rsid w:val="00C8773D"/>
    <w:rsid w:val="00C87ABB"/>
    <w:rsid w:val="00C87BFE"/>
    <w:rsid w:val="00C93CDD"/>
    <w:rsid w:val="00C953DF"/>
    <w:rsid w:val="00CC608E"/>
    <w:rsid w:val="00CC7946"/>
    <w:rsid w:val="00CD69B5"/>
    <w:rsid w:val="00CD7574"/>
    <w:rsid w:val="00CE2D64"/>
    <w:rsid w:val="00CE6198"/>
    <w:rsid w:val="00CF6230"/>
    <w:rsid w:val="00D052BF"/>
    <w:rsid w:val="00D13147"/>
    <w:rsid w:val="00D1316A"/>
    <w:rsid w:val="00D266AB"/>
    <w:rsid w:val="00D31230"/>
    <w:rsid w:val="00D5715A"/>
    <w:rsid w:val="00D71687"/>
    <w:rsid w:val="00D74035"/>
    <w:rsid w:val="00D74813"/>
    <w:rsid w:val="00D759B7"/>
    <w:rsid w:val="00D961A4"/>
    <w:rsid w:val="00DA30BC"/>
    <w:rsid w:val="00DB6050"/>
    <w:rsid w:val="00DC2C34"/>
    <w:rsid w:val="00DC6DE6"/>
    <w:rsid w:val="00DF27DA"/>
    <w:rsid w:val="00DF7821"/>
    <w:rsid w:val="00E13844"/>
    <w:rsid w:val="00E33674"/>
    <w:rsid w:val="00E40C2D"/>
    <w:rsid w:val="00E444B8"/>
    <w:rsid w:val="00E4658F"/>
    <w:rsid w:val="00E5329B"/>
    <w:rsid w:val="00E53CE6"/>
    <w:rsid w:val="00E54A67"/>
    <w:rsid w:val="00E63D7A"/>
    <w:rsid w:val="00E63EB4"/>
    <w:rsid w:val="00E71329"/>
    <w:rsid w:val="00E7707F"/>
    <w:rsid w:val="00E80F2E"/>
    <w:rsid w:val="00E8363B"/>
    <w:rsid w:val="00E84ECE"/>
    <w:rsid w:val="00E92383"/>
    <w:rsid w:val="00E94F1A"/>
    <w:rsid w:val="00EA1B3A"/>
    <w:rsid w:val="00EA2109"/>
    <w:rsid w:val="00EA2CEF"/>
    <w:rsid w:val="00EC15DD"/>
    <w:rsid w:val="00ED4D4E"/>
    <w:rsid w:val="00EE305F"/>
    <w:rsid w:val="00EE4E05"/>
    <w:rsid w:val="00EE4E54"/>
    <w:rsid w:val="00EF094D"/>
    <w:rsid w:val="00EF76F3"/>
    <w:rsid w:val="00F10641"/>
    <w:rsid w:val="00F164D0"/>
    <w:rsid w:val="00F436BB"/>
    <w:rsid w:val="00F44E26"/>
    <w:rsid w:val="00F525C7"/>
    <w:rsid w:val="00F545BF"/>
    <w:rsid w:val="00F71B56"/>
    <w:rsid w:val="00F739F9"/>
    <w:rsid w:val="00F873B3"/>
    <w:rsid w:val="00FA42B9"/>
    <w:rsid w:val="00FA6F8D"/>
    <w:rsid w:val="00FA755A"/>
    <w:rsid w:val="00FB2B0F"/>
    <w:rsid w:val="00FB3402"/>
    <w:rsid w:val="00FB4F6B"/>
    <w:rsid w:val="00FB5FE1"/>
    <w:rsid w:val="00FD1FDC"/>
    <w:rsid w:val="00FD452F"/>
    <w:rsid w:val="00FE6F4C"/>
    <w:rsid w:val="00FF0874"/>
    <w:rsid w:val="00FF3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E0BE7"/>
  <w15:docId w15:val="{9633A011-28BA-4134-A703-847194F7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BD7"/>
    <w:pPr>
      <w:spacing w:after="240" w:line="264" w:lineRule="auto"/>
    </w:pPr>
    <w:rPr>
      <w:rFonts w:ascii="Arial" w:hAnsi="Arial"/>
      <w:sz w:val="24"/>
      <w:szCs w:val="22"/>
      <w:lang w:eastAsia="en-US" w:bidi="he-IL"/>
    </w:rPr>
  </w:style>
  <w:style w:type="paragraph" w:styleId="Heading1">
    <w:name w:val="heading 1"/>
    <w:basedOn w:val="Normal"/>
    <w:next w:val="Normal"/>
    <w:link w:val="Heading1Char"/>
    <w:uiPriority w:val="9"/>
    <w:qFormat/>
    <w:rsid w:val="007C3B49"/>
    <w:pPr>
      <w:keepNext/>
      <w:spacing w:before="240" w:after="480"/>
      <w:outlineLvl w:val="0"/>
    </w:pPr>
    <w:rPr>
      <w:b/>
      <w:color w:val="7F4098"/>
      <w:sz w:val="54"/>
    </w:rPr>
  </w:style>
  <w:style w:type="paragraph" w:styleId="Heading2">
    <w:name w:val="heading 2"/>
    <w:basedOn w:val="Normal"/>
    <w:next w:val="Normal"/>
    <w:link w:val="Heading2Char"/>
    <w:uiPriority w:val="9"/>
    <w:unhideWhenUsed/>
    <w:qFormat/>
    <w:rsid w:val="00F10641"/>
    <w:pPr>
      <w:keepNext/>
      <w:spacing w:after="180"/>
      <w:outlineLvl w:val="1"/>
    </w:pPr>
    <w:rPr>
      <w:b/>
      <w:sz w:val="34"/>
    </w:rPr>
  </w:style>
  <w:style w:type="paragraph" w:styleId="Heading3">
    <w:name w:val="heading 3"/>
    <w:basedOn w:val="Normal"/>
    <w:next w:val="Normal"/>
    <w:link w:val="Heading3Char"/>
    <w:uiPriority w:val="9"/>
    <w:unhideWhenUsed/>
    <w:qFormat/>
    <w:rsid w:val="007C3B49"/>
    <w:pPr>
      <w:keepNext/>
      <w:spacing w:after="80"/>
      <w:outlineLvl w:val="2"/>
    </w:pPr>
    <w:rPr>
      <w:b/>
    </w:rPr>
  </w:style>
  <w:style w:type="paragraph" w:styleId="Heading4">
    <w:name w:val="heading 4"/>
    <w:basedOn w:val="Normal"/>
    <w:next w:val="Normal"/>
    <w:link w:val="Heading4Char"/>
    <w:uiPriority w:val="9"/>
    <w:unhideWhenUsed/>
    <w:qFormat/>
    <w:rsid w:val="002C4FC1"/>
    <w:pPr>
      <w:keepNext/>
      <w:spacing w:after="40"/>
      <w:outlineLvl w:val="3"/>
    </w:pPr>
    <w:rPr>
      <w:b/>
      <w:i/>
    </w:rPr>
  </w:style>
  <w:style w:type="paragraph" w:styleId="Heading5">
    <w:name w:val="heading 5"/>
    <w:basedOn w:val="Normal"/>
    <w:next w:val="Normal"/>
    <w:link w:val="Heading5Char"/>
    <w:uiPriority w:val="9"/>
    <w:unhideWhenUsed/>
    <w:qFormat/>
    <w:rsid w:val="00F436BB"/>
    <w:pPr>
      <w:keepNext/>
      <w:spacing w:after="0"/>
      <w:outlineLvl w:val="4"/>
    </w:pPr>
    <w:rPr>
      <w:i/>
      <w:noProof/>
      <w:color w:val="008F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87C"/>
    <w:pPr>
      <w:tabs>
        <w:tab w:val="center" w:pos="4513"/>
        <w:tab w:val="right" w:pos="9026"/>
      </w:tabs>
    </w:pPr>
    <w:rPr>
      <w:sz w:val="18"/>
    </w:rPr>
  </w:style>
  <w:style w:type="character" w:customStyle="1" w:styleId="HeaderChar">
    <w:name w:val="Header Char"/>
    <w:link w:val="Header"/>
    <w:uiPriority w:val="99"/>
    <w:rsid w:val="007C187C"/>
    <w:rPr>
      <w:rFonts w:ascii="Arial" w:hAnsi="Arial"/>
      <w:sz w:val="18"/>
      <w:szCs w:val="22"/>
      <w:lang w:eastAsia="en-US" w:bidi="he-IL"/>
    </w:rPr>
  </w:style>
  <w:style w:type="paragraph" w:styleId="Footer">
    <w:name w:val="footer"/>
    <w:basedOn w:val="Normal"/>
    <w:link w:val="FooterChar"/>
    <w:uiPriority w:val="99"/>
    <w:unhideWhenUsed/>
    <w:rsid w:val="007D199A"/>
    <w:pPr>
      <w:tabs>
        <w:tab w:val="center" w:pos="4513"/>
        <w:tab w:val="right" w:pos="9026"/>
      </w:tabs>
    </w:pPr>
  </w:style>
  <w:style w:type="character" w:customStyle="1" w:styleId="FooterChar">
    <w:name w:val="Footer Char"/>
    <w:link w:val="Footer"/>
    <w:uiPriority w:val="99"/>
    <w:rsid w:val="007D199A"/>
    <w:rPr>
      <w:sz w:val="24"/>
      <w:szCs w:val="22"/>
      <w:lang w:eastAsia="en-US" w:bidi="he-IL"/>
    </w:rPr>
  </w:style>
  <w:style w:type="character" w:styleId="PageNumber">
    <w:name w:val="page number"/>
    <w:uiPriority w:val="99"/>
    <w:unhideWhenUsed/>
    <w:rsid w:val="007068BA"/>
    <w:rPr>
      <w:rFonts w:ascii="Arial" w:hAnsi="Arial"/>
      <w:b/>
      <w:color w:val="7F4098"/>
      <w:sz w:val="22"/>
    </w:rPr>
  </w:style>
  <w:style w:type="character" w:customStyle="1" w:styleId="Heading2Char">
    <w:name w:val="Heading 2 Char"/>
    <w:link w:val="Heading2"/>
    <w:uiPriority w:val="9"/>
    <w:rsid w:val="00F10641"/>
    <w:rPr>
      <w:rFonts w:ascii="Arial" w:hAnsi="Arial"/>
      <w:b/>
      <w:sz w:val="34"/>
      <w:szCs w:val="22"/>
      <w:lang w:eastAsia="en-US" w:bidi="he-IL"/>
    </w:rPr>
  </w:style>
  <w:style w:type="character" w:customStyle="1" w:styleId="Heading3Char">
    <w:name w:val="Heading 3 Char"/>
    <w:link w:val="Heading3"/>
    <w:uiPriority w:val="9"/>
    <w:rsid w:val="007C3B49"/>
    <w:rPr>
      <w:rFonts w:ascii="Arial" w:hAnsi="Arial"/>
      <w:b/>
      <w:sz w:val="24"/>
      <w:szCs w:val="22"/>
      <w:lang w:eastAsia="en-US" w:bidi="he-IL"/>
    </w:rPr>
  </w:style>
  <w:style w:type="character" w:customStyle="1" w:styleId="Heading4Char">
    <w:name w:val="Heading 4 Char"/>
    <w:link w:val="Heading4"/>
    <w:uiPriority w:val="9"/>
    <w:rsid w:val="002C4FC1"/>
    <w:rPr>
      <w:rFonts w:ascii="Arial" w:hAnsi="Arial"/>
      <w:b/>
      <w:i/>
      <w:sz w:val="22"/>
      <w:szCs w:val="22"/>
      <w:lang w:eastAsia="en-US" w:bidi="he-IL"/>
    </w:rPr>
  </w:style>
  <w:style w:type="character" w:customStyle="1" w:styleId="Heading5Char">
    <w:name w:val="Heading 5 Char"/>
    <w:link w:val="Heading5"/>
    <w:uiPriority w:val="9"/>
    <w:rsid w:val="00F436BB"/>
    <w:rPr>
      <w:i/>
      <w:noProof/>
      <w:color w:val="008FD1"/>
      <w:sz w:val="24"/>
      <w:szCs w:val="22"/>
      <w:lang w:eastAsia="en-US" w:bidi="he-IL"/>
    </w:rPr>
  </w:style>
  <w:style w:type="character" w:customStyle="1" w:styleId="Heading1Char">
    <w:name w:val="Heading 1 Char"/>
    <w:link w:val="Heading1"/>
    <w:uiPriority w:val="9"/>
    <w:rsid w:val="007C3B49"/>
    <w:rPr>
      <w:rFonts w:ascii="Arial" w:hAnsi="Arial"/>
      <w:b/>
      <w:color w:val="7F4098"/>
      <w:sz w:val="54"/>
      <w:szCs w:val="22"/>
      <w:lang w:eastAsia="en-US" w:bidi="he-IL"/>
    </w:rPr>
  </w:style>
  <w:style w:type="table" w:styleId="TableGrid">
    <w:name w:val="Table Grid"/>
    <w:basedOn w:val="TableNormal"/>
    <w:rsid w:val="00BB7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
    <w:name w:val="Bullet list 1"/>
    <w:basedOn w:val="Normal"/>
    <w:qFormat/>
    <w:rsid w:val="00805743"/>
    <w:pPr>
      <w:numPr>
        <w:numId w:val="12"/>
      </w:numPr>
      <w:ind w:left="397" w:hanging="397"/>
    </w:pPr>
    <w:rPr>
      <w:noProof/>
    </w:rPr>
  </w:style>
  <w:style w:type="paragraph" w:customStyle="1" w:styleId="Bulletlist2">
    <w:name w:val="Bullet list 2"/>
    <w:basedOn w:val="Normal"/>
    <w:qFormat/>
    <w:rsid w:val="00805743"/>
    <w:pPr>
      <w:numPr>
        <w:numId w:val="13"/>
      </w:numPr>
      <w:ind w:left="794" w:hanging="397"/>
    </w:pPr>
    <w:rPr>
      <w:noProof/>
    </w:rPr>
  </w:style>
  <w:style w:type="paragraph" w:customStyle="1" w:styleId="Bulletlist3">
    <w:name w:val="Bullet list 3"/>
    <w:basedOn w:val="Normal"/>
    <w:qFormat/>
    <w:rsid w:val="00805743"/>
    <w:pPr>
      <w:numPr>
        <w:numId w:val="14"/>
      </w:numPr>
      <w:ind w:left="1191" w:hanging="397"/>
    </w:pPr>
    <w:rPr>
      <w:noProof/>
    </w:rPr>
  </w:style>
  <w:style w:type="paragraph" w:customStyle="1" w:styleId="TableandChartNote">
    <w:name w:val="Table and Chart Note"/>
    <w:basedOn w:val="Normal"/>
    <w:qFormat/>
    <w:rsid w:val="007068BA"/>
    <w:pPr>
      <w:spacing w:before="60"/>
    </w:pPr>
    <w:rPr>
      <w:b/>
      <w:noProof/>
      <w:color w:val="7F4098"/>
      <w:sz w:val="20"/>
      <w:szCs w:val="20"/>
    </w:rPr>
  </w:style>
  <w:style w:type="table" w:customStyle="1" w:styleId="HMPPSTable">
    <w:name w:val="HMPPS Table"/>
    <w:basedOn w:val="TableNormal"/>
    <w:uiPriority w:val="99"/>
    <w:rsid w:val="008F1439"/>
    <w:rPr>
      <w:rFonts w:ascii="Arial" w:hAnsi="Arial"/>
      <w:sz w:val="22"/>
    </w:rPr>
    <w:tblPr>
      <w:tblBorders>
        <w:top w:val="single" w:sz="4" w:space="0" w:color="7F4098"/>
        <w:left w:val="single" w:sz="4" w:space="0" w:color="7F4098"/>
        <w:bottom w:val="single" w:sz="4" w:space="0" w:color="7F4098"/>
        <w:right w:val="single" w:sz="4" w:space="0" w:color="7F4098"/>
        <w:insideH w:val="single" w:sz="4" w:space="0" w:color="7F4098"/>
        <w:insideV w:val="single" w:sz="4" w:space="0" w:color="7F4098"/>
      </w:tblBorders>
      <w:tblCellMar>
        <w:top w:w="57" w:type="dxa"/>
        <w:left w:w="113" w:type="dxa"/>
        <w:bottom w:w="57" w:type="dxa"/>
        <w:right w:w="113" w:type="dxa"/>
      </w:tblCellMar>
    </w:tblPr>
    <w:tblStylePr w:type="firstRow">
      <w:rPr>
        <w:b/>
        <w:color w:val="FFFFFF"/>
      </w:rPr>
      <w:tblPr/>
      <w:tcPr>
        <w:tcBorders>
          <w:top w:val="single" w:sz="4" w:space="0" w:color="7F4098"/>
          <w:left w:val="single" w:sz="4" w:space="0" w:color="7F4098"/>
          <w:bottom w:val="single" w:sz="4" w:space="0" w:color="7F4098"/>
          <w:right w:val="single" w:sz="4" w:space="0" w:color="7F4098"/>
          <w:insideH w:val="single" w:sz="4" w:space="0" w:color="7F4098"/>
          <w:insideV w:val="single" w:sz="4" w:space="0" w:color="7F4098"/>
          <w:tl2br w:val="nil"/>
          <w:tr2bl w:val="nil"/>
        </w:tcBorders>
        <w:shd w:val="clear" w:color="auto" w:fill="7F4098"/>
      </w:tcPr>
    </w:tblStylePr>
  </w:style>
  <w:style w:type="paragraph" w:customStyle="1" w:styleId="TableText">
    <w:name w:val="Table Text"/>
    <w:basedOn w:val="Normal"/>
    <w:qFormat/>
    <w:rsid w:val="00C718FE"/>
    <w:pPr>
      <w:spacing w:after="0"/>
    </w:pPr>
  </w:style>
  <w:style w:type="table" w:customStyle="1" w:styleId="HMPPSBox">
    <w:name w:val="HMPPS Box"/>
    <w:basedOn w:val="TableNormal"/>
    <w:uiPriority w:val="99"/>
    <w:rsid w:val="008F1439"/>
    <w:rPr>
      <w:rFonts w:ascii="Arial" w:hAnsi="Arial"/>
      <w:sz w:val="22"/>
    </w:rPr>
    <w:tblPr>
      <w:tblBorders>
        <w:top w:val="single" w:sz="4" w:space="0" w:color="7F4098"/>
        <w:left w:val="single" w:sz="4" w:space="0" w:color="7F4098"/>
        <w:bottom w:val="single" w:sz="4" w:space="0" w:color="7F4098"/>
        <w:right w:val="single" w:sz="4" w:space="0" w:color="7F4098"/>
      </w:tblBorders>
      <w:tblCellMar>
        <w:top w:w="142" w:type="dxa"/>
        <w:left w:w="113" w:type="dxa"/>
        <w:bottom w:w="142" w:type="dxa"/>
        <w:right w:w="113" w:type="dxa"/>
      </w:tblCellMar>
    </w:tblPr>
  </w:style>
  <w:style w:type="paragraph" w:styleId="TOC1">
    <w:name w:val="toc 1"/>
    <w:basedOn w:val="Normal"/>
    <w:next w:val="Normal"/>
    <w:autoRedefine/>
    <w:uiPriority w:val="39"/>
    <w:unhideWhenUsed/>
    <w:rsid w:val="003434F4"/>
    <w:pPr>
      <w:tabs>
        <w:tab w:val="right" w:leader="dot" w:pos="9469"/>
      </w:tabs>
      <w:spacing w:before="240" w:after="0"/>
    </w:pPr>
    <w:rPr>
      <w:b/>
    </w:rPr>
  </w:style>
  <w:style w:type="paragraph" w:styleId="TOC2">
    <w:name w:val="toc 2"/>
    <w:basedOn w:val="Normal"/>
    <w:next w:val="Normal"/>
    <w:autoRedefine/>
    <w:uiPriority w:val="39"/>
    <w:unhideWhenUsed/>
    <w:rsid w:val="008E1C99"/>
    <w:pPr>
      <w:tabs>
        <w:tab w:val="right" w:leader="dot" w:pos="9469"/>
      </w:tabs>
      <w:spacing w:before="120" w:after="0"/>
      <w:ind w:left="397"/>
    </w:pPr>
    <w:rPr>
      <w:noProof/>
    </w:rPr>
  </w:style>
  <w:style w:type="character" w:styleId="Hyperlink">
    <w:name w:val="Hyperlink"/>
    <w:uiPriority w:val="99"/>
    <w:unhideWhenUsed/>
    <w:rsid w:val="00F71B56"/>
    <w:rPr>
      <w:color w:val="0563C1"/>
      <w:u w:val="single"/>
    </w:rPr>
  </w:style>
  <w:style w:type="paragraph" w:styleId="TOC3">
    <w:name w:val="toc 3"/>
    <w:basedOn w:val="Normal"/>
    <w:next w:val="Normal"/>
    <w:autoRedefine/>
    <w:uiPriority w:val="39"/>
    <w:unhideWhenUsed/>
    <w:rsid w:val="004C361D"/>
    <w:pPr>
      <w:tabs>
        <w:tab w:val="right" w:leader="dot" w:pos="9469"/>
      </w:tabs>
      <w:spacing w:before="120" w:after="0"/>
      <w:ind w:left="720"/>
    </w:pPr>
  </w:style>
  <w:style w:type="paragraph" w:customStyle="1" w:styleId="ContentsHeading">
    <w:name w:val="Contents Heading"/>
    <w:basedOn w:val="Normal"/>
    <w:qFormat/>
    <w:rsid w:val="00647394"/>
    <w:pPr>
      <w:spacing w:before="240" w:after="480"/>
    </w:pPr>
    <w:rPr>
      <w:b/>
      <w:color w:val="7F4098"/>
      <w:sz w:val="54"/>
      <w:szCs w:val="50"/>
    </w:rPr>
  </w:style>
  <w:style w:type="paragraph" w:customStyle="1" w:styleId="CoverDate">
    <w:name w:val="Cover Date"/>
    <w:basedOn w:val="Normal"/>
    <w:qFormat/>
    <w:rsid w:val="009B13CD"/>
    <w:pPr>
      <w:spacing w:before="240"/>
    </w:pPr>
    <w:rPr>
      <w:sz w:val="32"/>
      <w:szCs w:val="28"/>
    </w:rPr>
  </w:style>
  <w:style w:type="paragraph" w:customStyle="1" w:styleId="CoverTitle">
    <w:name w:val="Cover Title"/>
    <w:basedOn w:val="Normal"/>
    <w:qFormat/>
    <w:rsid w:val="009B13CD"/>
    <w:pPr>
      <w:spacing w:line="240" w:lineRule="auto"/>
    </w:pPr>
    <w:rPr>
      <w:b/>
      <w:sz w:val="80"/>
      <w:szCs w:val="88"/>
    </w:rPr>
  </w:style>
  <w:style w:type="paragraph" w:customStyle="1" w:styleId="CoverAuthor">
    <w:name w:val="Cover Author"/>
    <w:basedOn w:val="Normal"/>
    <w:qFormat/>
    <w:rsid w:val="009B13CD"/>
    <w:rPr>
      <w:sz w:val="40"/>
      <w:szCs w:val="28"/>
    </w:rPr>
  </w:style>
  <w:style w:type="paragraph" w:customStyle="1" w:styleId="InnerCoverTitle">
    <w:name w:val="Inner Cover Title"/>
    <w:basedOn w:val="Normal"/>
    <w:qFormat/>
    <w:rsid w:val="009B13CD"/>
    <w:rPr>
      <w:b/>
      <w:sz w:val="60"/>
    </w:rPr>
  </w:style>
  <w:style w:type="paragraph" w:customStyle="1" w:styleId="AppendixHeading">
    <w:name w:val="Appendix Heading"/>
    <w:basedOn w:val="Normal"/>
    <w:qFormat/>
    <w:rsid w:val="00647394"/>
    <w:pPr>
      <w:keepNext/>
      <w:spacing w:before="240" w:after="480"/>
    </w:pPr>
    <w:rPr>
      <w:b/>
      <w:color w:val="7F4098"/>
      <w:sz w:val="54"/>
    </w:rPr>
  </w:style>
  <w:style w:type="paragraph" w:styleId="FootnoteText">
    <w:name w:val="footnote text"/>
    <w:basedOn w:val="Normal"/>
    <w:link w:val="FootnoteTextChar"/>
    <w:uiPriority w:val="99"/>
    <w:semiHidden/>
    <w:unhideWhenUsed/>
    <w:rsid w:val="00C32CC1"/>
    <w:pPr>
      <w:spacing w:after="120"/>
      <w:ind w:left="397" w:hanging="397"/>
    </w:pPr>
    <w:rPr>
      <w:sz w:val="20"/>
      <w:szCs w:val="20"/>
    </w:rPr>
  </w:style>
  <w:style w:type="character" w:customStyle="1" w:styleId="FootnoteTextChar">
    <w:name w:val="Footnote Text Char"/>
    <w:link w:val="FootnoteText"/>
    <w:uiPriority w:val="99"/>
    <w:semiHidden/>
    <w:rsid w:val="00C32CC1"/>
    <w:rPr>
      <w:lang w:eastAsia="en-US" w:bidi="he-IL"/>
    </w:rPr>
  </w:style>
  <w:style w:type="character" w:styleId="FootnoteReference">
    <w:name w:val="footnote reference"/>
    <w:uiPriority w:val="99"/>
    <w:semiHidden/>
    <w:unhideWhenUsed/>
    <w:rsid w:val="00C32CC1"/>
    <w:rPr>
      <w:vertAlign w:val="superscript"/>
    </w:rPr>
  </w:style>
  <w:style w:type="character" w:styleId="PlaceholderText">
    <w:name w:val="Placeholder Text"/>
    <w:uiPriority w:val="99"/>
    <w:semiHidden/>
    <w:rsid w:val="0095489B"/>
    <w:rPr>
      <w:color w:val="808080"/>
    </w:rPr>
  </w:style>
  <w:style w:type="paragraph" w:styleId="BalloonText">
    <w:name w:val="Balloon Text"/>
    <w:basedOn w:val="Normal"/>
    <w:link w:val="BalloonTextChar"/>
    <w:uiPriority w:val="99"/>
    <w:semiHidden/>
    <w:unhideWhenUsed/>
    <w:rsid w:val="00696EE0"/>
    <w:pPr>
      <w:spacing w:after="0"/>
    </w:pPr>
    <w:rPr>
      <w:rFonts w:ascii="Tahoma" w:hAnsi="Tahoma" w:cs="Tahoma"/>
      <w:sz w:val="16"/>
      <w:szCs w:val="16"/>
    </w:rPr>
  </w:style>
  <w:style w:type="character" w:customStyle="1" w:styleId="BalloonTextChar">
    <w:name w:val="Balloon Text Char"/>
    <w:link w:val="BalloonText"/>
    <w:uiPriority w:val="99"/>
    <w:semiHidden/>
    <w:rsid w:val="00696EE0"/>
    <w:rPr>
      <w:rFonts w:ascii="Tahoma" w:hAnsi="Tahoma" w:cs="Tahoma"/>
      <w:sz w:val="16"/>
      <w:szCs w:val="16"/>
      <w:lang w:eastAsia="en-US" w:bidi="he-IL"/>
    </w:rPr>
  </w:style>
  <w:style w:type="character" w:customStyle="1" w:styleId="FooterChar2">
    <w:name w:val="Footer Char2"/>
    <w:uiPriority w:val="99"/>
    <w:semiHidden/>
    <w:locked/>
    <w:rsid w:val="00B230A3"/>
    <w:rPr>
      <w:rFonts w:cs="Times New Roman"/>
    </w:rPr>
  </w:style>
  <w:style w:type="paragraph" w:customStyle="1" w:styleId="Default">
    <w:name w:val="Default"/>
    <w:rsid w:val="00B230A3"/>
    <w:pPr>
      <w:autoSpaceDE w:val="0"/>
      <w:autoSpaceDN w:val="0"/>
      <w:adjustRightInd w:val="0"/>
    </w:pPr>
    <w:rPr>
      <w:rFonts w:ascii="Arial" w:eastAsia="Times New Roman" w:hAnsi="Arial"/>
      <w:color w:val="000000"/>
      <w:sz w:val="24"/>
      <w:szCs w:val="24"/>
    </w:rPr>
  </w:style>
  <w:style w:type="paragraph" w:styleId="ListParagraph">
    <w:name w:val="List Paragraph"/>
    <w:basedOn w:val="Normal"/>
    <w:uiPriority w:val="34"/>
    <w:qFormat/>
    <w:rsid w:val="00B230A3"/>
    <w:pPr>
      <w:spacing w:after="0" w:line="240" w:lineRule="auto"/>
      <w:ind w:left="720"/>
    </w:pPr>
    <w:rPr>
      <w:rFonts w:ascii="Cambria" w:eastAsia="Times New Roman" w:hAnsi="Cambria" w:cs="Times New Roman"/>
      <w:szCs w:val="24"/>
      <w:lang w:val="en-US" w:bidi="ar-SA"/>
    </w:rPr>
  </w:style>
  <w:style w:type="character" w:styleId="CommentReference">
    <w:name w:val="annotation reference"/>
    <w:basedOn w:val="DefaultParagraphFont"/>
    <w:uiPriority w:val="99"/>
    <w:semiHidden/>
    <w:unhideWhenUsed/>
    <w:rsid w:val="00EF094D"/>
    <w:rPr>
      <w:sz w:val="16"/>
      <w:szCs w:val="16"/>
    </w:rPr>
  </w:style>
  <w:style w:type="paragraph" w:styleId="CommentText">
    <w:name w:val="annotation text"/>
    <w:basedOn w:val="Normal"/>
    <w:link w:val="CommentTextChar"/>
    <w:uiPriority w:val="99"/>
    <w:semiHidden/>
    <w:unhideWhenUsed/>
    <w:rsid w:val="00EF094D"/>
    <w:pPr>
      <w:spacing w:line="240" w:lineRule="auto"/>
    </w:pPr>
    <w:rPr>
      <w:sz w:val="20"/>
      <w:szCs w:val="20"/>
    </w:rPr>
  </w:style>
  <w:style w:type="character" w:customStyle="1" w:styleId="CommentTextChar">
    <w:name w:val="Comment Text Char"/>
    <w:basedOn w:val="DefaultParagraphFont"/>
    <w:link w:val="CommentText"/>
    <w:uiPriority w:val="99"/>
    <w:semiHidden/>
    <w:rsid w:val="00EF094D"/>
    <w:rPr>
      <w:rFonts w:ascii="Arial" w:hAnsi="Arial"/>
      <w:lang w:eastAsia="en-US" w:bidi="he-IL"/>
    </w:rPr>
  </w:style>
  <w:style w:type="paragraph" w:styleId="CommentSubject">
    <w:name w:val="annotation subject"/>
    <w:basedOn w:val="CommentText"/>
    <w:next w:val="CommentText"/>
    <w:link w:val="CommentSubjectChar"/>
    <w:uiPriority w:val="99"/>
    <w:semiHidden/>
    <w:unhideWhenUsed/>
    <w:rsid w:val="00EF094D"/>
    <w:rPr>
      <w:b/>
      <w:bCs/>
    </w:rPr>
  </w:style>
  <w:style w:type="character" w:customStyle="1" w:styleId="CommentSubjectChar">
    <w:name w:val="Comment Subject Char"/>
    <w:basedOn w:val="CommentTextChar"/>
    <w:link w:val="CommentSubject"/>
    <w:uiPriority w:val="99"/>
    <w:semiHidden/>
    <w:rsid w:val="00EF094D"/>
    <w:rPr>
      <w:rFonts w:ascii="Arial" w:hAnsi="Arial"/>
      <w:b/>
      <w:bCs/>
      <w:lang w:eastAsia="en-US" w:bidi="he-IL"/>
    </w:rPr>
  </w:style>
  <w:style w:type="paragraph" w:styleId="NormalWeb">
    <w:name w:val="Normal (Web)"/>
    <w:basedOn w:val="Normal"/>
    <w:uiPriority w:val="99"/>
    <w:unhideWhenUsed/>
    <w:rsid w:val="007B46D3"/>
    <w:rPr>
      <w:rFonts w:ascii="Times New Roman" w:hAnsi="Times New Roman" w:cs="Times New Roman"/>
      <w:szCs w:val="24"/>
    </w:rPr>
  </w:style>
  <w:style w:type="character" w:styleId="FollowedHyperlink">
    <w:name w:val="FollowedHyperlink"/>
    <w:basedOn w:val="DefaultParagraphFont"/>
    <w:uiPriority w:val="99"/>
    <w:semiHidden/>
    <w:unhideWhenUsed/>
    <w:rsid w:val="003C6046"/>
    <w:rPr>
      <w:color w:val="954F72" w:themeColor="followedHyperlink"/>
      <w:u w:val="single"/>
    </w:rPr>
  </w:style>
  <w:style w:type="character" w:styleId="UnresolvedMention">
    <w:name w:val="Unresolved Mention"/>
    <w:basedOn w:val="DefaultParagraphFont"/>
    <w:uiPriority w:val="99"/>
    <w:semiHidden/>
    <w:unhideWhenUsed/>
    <w:rsid w:val="00D31230"/>
    <w:rPr>
      <w:color w:val="605E5C"/>
      <w:shd w:val="clear" w:color="auto" w:fill="E1DFDD"/>
    </w:rPr>
  </w:style>
  <w:style w:type="paragraph" w:styleId="Revision">
    <w:name w:val="Revision"/>
    <w:hidden/>
    <w:uiPriority w:val="99"/>
    <w:semiHidden/>
    <w:rsid w:val="007F5383"/>
    <w:rPr>
      <w:rFonts w:ascii="Arial" w:hAnsi="Arial"/>
      <w:sz w:val="24"/>
      <w:szCs w:val="22"/>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82689">
      <w:bodyDiv w:val="1"/>
      <w:marLeft w:val="0"/>
      <w:marRight w:val="0"/>
      <w:marTop w:val="0"/>
      <w:marBottom w:val="0"/>
      <w:divBdr>
        <w:top w:val="none" w:sz="0" w:space="0" w:color="auto"/>
        <w:left w:val="none" w:sz="0" w:space="0" w:color="auto"/>
        <w:bottom w:val="none" w:sz="0" w:space="0" w:color="auto"/>
        <w:right w:val="none" w:sz="0" w:space="0" w:color="auto"/>
      </w:divBdr>
    </w:div>
    <w:div w:id="160380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cscpst@justice.gov.uk" TargetMode="External"/><Relationship Id="rId5" Type="http://schemas.openxmlformats.org/officeDocument/2006/relationships/webSettings" Target="webSettings.xml"/><Relationship Id="rId15" Type="http://schemas.openxmlformats.org/officeDocument/2006/relationships/hyperlink" Target="https://www.gov.uk/government/publications/mhcs-performance-management-framework-and-target-timescales-202122" TargetMode="External"/><Relationship Id="rId10" Type="http://schemas.openxmlformats.org/officeDocument/2006/relationships/hyperlink" Target="mailto:psi@nationalarchives.gsi.gov.uk" TargetMode="External"/><Relationship Id="rId4" Type="http://schemas.openxmlformats.org/officeDocument/2006/relationships/settings" Target="settings.xml"/><Relationship Id="rId9" Type="http://schemas.openxmlformats.org/officeDocument/2006/relationships/hyperlink" Target="http://nationalarchives.gov.uk/doc/open-government-licence/version/3/" TargetMode="External"/><Relationship Id="rId14" Type="http://schemas.openxmlformats.org/officeDocument/2006/relationships/hyperlink" Target="https://assets.publishing.service.gov.uk/government/uploads/system/uploads/attachment_data/file/670671/RP_Background_Brief_v1_Dec_2017.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65600-7B1C-45DD-9C33-0CCC0843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HMPPS Report Template</vt:lpstr>
    </vt:vector>
  </TitlesOfParts>
  <Manager>HM Prison &amp; Probation Service</Manager>
  <Company>HM Prison &amp; Probation Service</Company>
  <LinksUpToDate>false</LinksUpToDate>
  <CharactersWithSpaces>7455</CharactersWithSpaces>
  <SharedDoc>false</SharedDoc>
  <HLinks>
    <vt:vector size="36" baseType="variant">
      <vt:variant>
        <vt:i4>1179711</vt:i4>
      </vt:variant>
      <vt:variant>
        <vt:i4>23</vt:i4>
      </vt:variant>
      <vt:variant>
        <vt:i4>0</vt:i4>
      </vt:variant>
      <vt:variant>
        <vt:i4>5</vt:i4>
      </vt:variant>
      <vt:variant>
        <vt:lpwstr/>
      </vt:variant>
      <vt:variant>
        <vt:lpwstr>_Toc478030020</vt:lpwstr>
      </vt:variant>
      <vt:variant>
        <vt:i4>1114175</vt:i4>
      </vt:variant>
      <vt:variant>
        <vt:i4>17</vt:i4>
      </vt:variant>
      <vt:variant>
        <vt:i4>0</vt:i4>
      </vt:variant>
      <vt:variant>
        <vt:i4>5</vt:i4>
      </vt:variant>
      <vt:variant>
        <vt:lpwstr/>
      </vt:variant>
      <vt:variant>
        <vt:lpwstr>_Toc478030019</vt:lpwstr>
      </vt:variant>
      <vt:variant>
        <vt:i4>1114175</vt:i4>
      </vt:variant>
      <vt:variant>
        <vt:i4>11</vt:i4>
      </vt:variant>
      <vt:variant>
        <vt:i4>0</vt:i4>
      </vt:variant>
      <vt:variant>
        <vt:i4>5</vt:i4>
      </vt:variant>
      <vt:variant>
        <vt:lpwstr/>
      </vt:variant>
      <vt:variant>
        <vt:lpwstr>_Toc478030018</vt:lpwstr>
      </vt:variant>
      <vt:variant>
        <vt:i4>524372</vt:i4>
      </vt:variant>
      <vt:variant>
        <vt:i4>6</vt:i4>
      </vt:variant>
      <vt:variant>
        <vt:i4>0</vt:i4>
      </vt:variant>
      <vt:variant>
        <vt:i4>5</vt:i4>
      </vt:variant>
      <vt:variant>
        <vt:lpwstr>http://www.gov.uk/government/publications</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5505106</vt:i4>
      </vt:variant>
      <vt:variant>
        <vt:i4>0</vt:i4>
      </vt:variant>
      <vt:variant>
        <vt:i4>0</vt:i4>
      </vt:variant>
      <vt:variant>
        <vt:i4>5</vt:i4>
      </vt:variant>
      <vt:variant>
        <vt:lpwstr>http://nationalarchives.gov.uk/doc/open-government-licence/version/3/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HMPPS Report Template</dc:title>
  <dc:subject>HMPPS Report Template</dc:subject>
  <dc:creator>O'Prey, Natalya [NOMS]</dc:creator>
  <cp:keywords/>
  <dc:description/>
  <cp:lastModifiedBy>Noise, Matt R</cp:lastModifiedBy>
  <cp:revision>3</cp:revision>
  <cp:lastPrinted>2017-03-31T08:53:00Z</cp:lastPrinted>
  <dcterms:created xsi:type="dcterms:W3CDTF">2025-03-14T11:14:00Z</dcterms:created>
  <dcterms:modified xsi:type="dcterms:W3CDTF">2025-03-14T11:16:00Z</dcterms:modified>
</cp:coreProperties>
</file>