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22E30" w14:textId="77777777" w:rsidR="000B0589" w:rsidRDefault="000B0589" w:rsidP="00BC2702">
      <w:pPr>
        <w:pStyle w:val="Conditions1"/>
        <w:numPr>
          <w:ilvl w:val="0"/>
          <w:numId w:val="0"/>
        </w:numPr>
      </w:pPr>
      <w:r>
        <w:rPr>
          <w:noProof/>
        </w:rPr>
        <w:drawing>
          <wp:inline distT="0" distB="0" distL="0" distR="0" wp14:anchorId="0844AD35" wp14:editId="58946B20">
            <wp:extent cx="3419475" cy="359623"/>
            <wp:effectExtent l="0" t="0" r="0" b="2540"/>
            <wp:docPr id="4" name="Picture 1" descr="Planning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lanning Inspectorate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2052A57B" w14:textId="77777777" w:rsidR="000B0589" w:rsidRDefault="000B0589" w:rsidP="00A5760C"/>
    <w:p w14:paraId="1DA32272"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78B73EC2" w14:textId="77777777" w:rsidTr="002D3E2A">
        <w:trPr>
          <w:cantSplit/>
          <w:trHeight w:val="23"/>
        </w:trPr>
        <w:tc>
          <w:tcPr>
            <w:tcW w:w="9356" w:type="dxa"/>
            <w:shd w:val="clear" w:color="auto" w:fill="auto"/>
          </w:tcPr>
          <w:p w14:paraId="166D4330" w14:textId="52EB12DC" w:rsidR="000B0589" w:rsidRPr="00732923" w:rsidRDefault="002D3E2A" w:rsidP="002E2646">
            <w:pPr>
              <w:spacing w:before="120"/>
              <w:ind w:left="-108" w:right="34"/>
              <w:rPr>
                <w:rFonts w:cs="Arial"/>
                <w:b/>
                <w:color w:val="000000"/>
                <w:sz w:val="40"/>
                <w:szCs w:val="40"/>
              </w:rPr>
            </w:pPr>
            <w:bookmarkStart w:id="0" w:name="bmkTable00"/>
            <w:bookmarkEnd w:id="0"/>
            <w:r w:rsidRPr="00732923">
              <w:rPr>
                <w:rFonts w:cs="Arial"/>
                <w:b/>
                <w:color w:val="000000"/>
                <w:sz w:val="40"/>
                <w:szCs w:val="40"/>
              </w:rPr>
              <w:t>Order Decision</w:t>
            </w:r>
          </w:p>
        </w:tc>
      </w:tr>
      <w:tr w:rsidR="000B0589" w:rsidRPr="000C3F13" w14:paraId="08F81173" w14:textId="77777777" w:rsidTr="002D3E2A">
        <w:trPr>
          <w:cantSplit/>
          <w:trHeight w:val="23"/>
        </w:trPr>
        <w:tc>
          <w:tcPr>
            <w:tcW w:w="9356" w:type="dxa"/>
            <w:shd w:val="clear" w:color="auto" w:fill="auto"/>
            <w:vAlign w:val="center"/>
          </w:tcPr>
          <w:p w14:paraId="28EF8CC4" w14:textId="15A85CA1" w:rsidR="000B0589" w:rsidRPr="00732923" w:rsidRDefault="002D3E2A" w:rsidP="002D3E2A">
            <w:pPr>
              <w:spacing w:before="60"/>
              <w:ind w:left="-108" w:right="34"/>
              <w:rPr>
                <w:rFonts w:cs="Arial"/>
                <w:color w:val="000000"/>
                <w:szCs w:val="22"/>
              </w:rPr>
            </w:pPr>
            <w:r w:rsidRPr="00732923">
              <w:rPr>
                <w:rFonts w:cs="Arial"/>
                <w:color w:val="000000"/>
                <w:szCs w:val="22"/>
              </w:rPr>
              <w:t>Site visit made on 15 March 2022</w:t>
            </w:r>
          </w:p>
        </w:tc>
      </w:tr>
      <w:tr w:rsidR="000B0589" w:rsidRPr="00361890" w14:paraId="452756C2" w14:textId="77777777" w:rsidTr="002D3E2A">
        <w:trPr>
          <w:cantSplit/>
          <w:trHeight w:val="23"/>
        </w:trPr>
        <w:tc>
          <w:tcPr>
            <w:tcW w:w="9356" w:type="dxa"/>
            <w:shd w:val="clear" w:color="auto" w:fill="auto"/>
          </w:tcPr>
          <w:p w14:paraId="2FC21EE0" w14:textId="0D4E05E0" w:rsidR="000B0589" w:rsidRPr="00732923" w:rsidRDefault="002D3E2A" w:rsidP="002D3E2A">
            <w:pPr>
              <w:spacing w:before="180"/>
              <w:ind w:left="-108" w:right="34"/>
              <w:rPr>
                <w:rFonts w:cs="Arial"/>
                <w:b/>
                <w:color w:val="000000"/>
                <w:sz w:val="16"/>
                <w:szCs w:val="22"/>
              </w:rPr>
            </w:pPr>
            <w:r w:rsidRPr="00732923">
              <w:rPr>
                <w:rFonts w:cs="Arial"/>
                <w:b/>
                <w:color w:val="000000"/>
                <w:szCs w:val="22"/>
              </w:rPr>
              <w:t>by Alan Beckett BA MSc MIPROW</w:t>
            </w:r>
          </w:p>
        </w:tc>
      </w:tr>
      <w:tr w:rsidR="000B0589" w:rsidRPr="00361890" w14:paraId="340C87F8" w14:textId="77777777" w:rsidTr="002D3E2A">
        <w:trPr>
          <w:cantSplit/>
          <w:trHeight w:val="23"/>
        </w:trPr>
        <w:tc>
          <w:tcPr>
            <w:tcW w:w="9356" w:type="dxa"/>
            <w:shd w:val="clear" w:color="auto" w:fill="auto"/>
          </w:tcPr>
          <w:p w14:paraId="11383316" w14:textId="04BFD9C5" w:rsidR="000B0589" w:rsidRPr="00732923" w:rsidRDefault="002D3E2A" w:rsidP="002E2646">
            <w:pPr>
              <w:spacing w:before="120"/>
              <w:ind w:left="-108" w:right="34"/>
              <w:rPr>
                <w:rFonts w:cs="Arial"/>
                <w:b/>
                <w:color w:val="000000"/>
                <w:sz w:val="16"/>
                <w:szCs w:val="16"/>
              </w:rPr>
            </w:pPr>
            <w:r w:rsidRPr="00732923">
              <w:rPr>
                <w:rFonts w:cs="Arial"/>
                <w:b/>
                <w:color w:val="000000"/>
                <w:sz w:val="16"/>
                <w:szCs w:val="16"/>
              </w:rPr>
              <w:t>An Inspector appointed by the Secretary of State for Environment, Food and Rural Affairs</w:t>
            </w:r>
          </w:p>
        </w:tc>
      </w:tr>
      <w:tr w:rsidR="000B0589" w:rsidRPr="00A101CD" w14:paraId="3BF8FEE8" w14:textId="77777777" w:rsidTr="002D3E2A">
        <w:trPr>
          <w:cantSplit/>
          <w:trHeight w:val="23"/>
        </w:trPr>
        <w:tc>
          <w:tcPr>
            <w:tcW w:w="9356" w:type="dxa"/>
            <w:shd w:val="clear" w:color="auto" w:fill="auto"/>
          </w:tcPr>
          <w:p w14:paraId="5FC8F8AD" w14:textId="43022365" w:rsidR="000B0589" w:rsidRPr="00732923" w:rsidRDefault="000B0589" w:rsidP="002E2646">
            <w:pPr>
              <w:spacing w:before="120"/>
              <w:ind w:left="-108" w:right="176"/>
              <w:rPr>
                <w:rFonts w:cs="Arial"/>
                <w:b/>
                <w:color w:val="000000"/>
                <w:sz w:val="16"/>
                <w:szCs w:val="16"/>
              </w:rPr>
            </w:pPr>
            <w:r w:rsidRPr="00732923">
              <w:rPr>
                <w:rFonts w:cs="Arial"/>
                <w:b/>
                <w:color w:val="000000"/>
                <w:sz w:val="16"/>
                <w:szCs w:val="16"/>
              </w:rPr>
              <w:t>Decision date:</w:t>
            </w:r>
            <w:r w:rsidR="00880A52">
              <w:rPr>
                <w:rFonts w:cs="Arial"/>
                <w:b/>
                <w:color w:val="000000"/>
                <w:sz w:val="16"/>
                <w:szCs w:val="16"/>
              </w:rPr>
              <w:t xml:space="preserve"> 22 April 2022</w:t>
            </w:r>
          </w:p>
        </w:tc>
      </w:tr>
    </w:tbl>
    <w:p w14:paraId="631A14B5" w14:textId="77777777" w:rsidR="002D3E2A" w:rsidRDefault="002D3E2A" w:rsidP="000B0589"/>
    <w:tbl>
      <w:tblPr>
        <w:tblW w:w="0" w:type="auto"/>
        <w:tblLayout w:type="fixed"/>
        <w:tblLook w:val="0000" w:firstRow="0" w:lastRow="0" w:firstColumn="0" w:lastColumn="0" w:noHBand="0" w:noVBand="0"/>
      </w:tblPr>
      <w:tblGrid>
        <w:gridCol w:w="9520"/>
      </w:tblGrid>
      <w:tr w:rsidR="002D3E2A" w14:paraId="776FEE1F" w14:textId="77777777" w:rsidTr="002D3E2A">
        <w:tc>
          <w:tcPr>
            <w:tcW w:w="9520" w:type="dxa"/>
            <w:shd w:val="clear" w:color="auto" w:fill="auto"/>
          </w:tcPr>
          <w:p w14:paraId="65D6AB21" w14:textId="08E2ED8C" w:rsidR="002D3E2A" w:rsidRPr="00732923" w:rsidRDefault="002D3E2A" w:rsidP="002D3E2A">
            <w:pPr>
              <w:spacing w:after="60"/>
              <w:rPr>
                <w:rFonts w:cs="Arial"/>
                <w:b/>
                <w:color w:val="000000"/>
                <w:sz w:val="24"/>
                <w:szCs w:val="24"/>
              </w:rPr>
            </w:pPr>
            <w:r w:rsidRPr="00732923">
              <w:rPr>
                <w:rFonts w:cs="Arial"/>
                <w:b/>
                <w:color w:val="000000"/>
                <w:sz w:val="24"/>
                <w:szCs w:val="24"/>
              </w:rPr>
              <w:t>Order Ref: ROW/3241912</w:t>
            </w:r>
          </w:p>
        </w:tc>
      </w:tr>
      <w:tr w:rsidR="002D3E2A" w14:paraId="35CADD8A" w14:textId="77777777" w:rsidTr="002D3E2A">
        <w:tc>
          <w:tcPr>
            <w:tcW w:w="9520" w:type="dxa"/>
            <w:shd w:val="clear" w:color="auto" w:fill="auto"/>
          </w:tcPr>
          <w:p w14:paraId="16076C1A" w14:textId="368EB799" w:rsidR="002D3E2A" w:rsidRPr="00732923" w:rsidRDefault="002D3E2A" w:rsidP="002D3E2A">
            <w:pPr>
              <w:pStyle w:val="TBullet"/>
              <w:rPr>
                <w:rFonts w:cs="Arial"/>
              </w:rPr>
            </w:pPr>
            <w:r w:rsidRPr="00732923">
              <w:rPr>
                <w:rFonts w:cs="Arial"/>
              </w:rPr>
              <w:t>This Order is made under Section 53 (2) (b) of the Wildlife and Countryside Act 1981 (the 1981 Act) and is known as the East Sussex (Public Footpath Chiddingly 67) Definitive Map Modification Order 2019.</w:t>
            </w:r>
          </w:p>
        </w:tc>
      </w:tr>
      <w:tr w:rsidR="002D3E2A" w14:paraId="5457D6CE" w14:textId="77777777" w:rsidTr="002D3E2A">
        <w:tc>
          <w:tcPr>
            <w:tcW w:w="9520" w:type="dxa"/>
            <w:shd w:val="clear" w:color="auto" w:fill="auto"/>
          </w:tcPr>
          <w:p w14:paraId="6347CB87" w14:textId="7616BE80" w:rsidR="002D3E2A" w:rsidRPr="00732923" w:rsidRDefault="002D3E2A" w:rsidP="002D3E2A">
            <w:pPr>
              <w:pStyle w:val="TBullet"/>
              <w:rPr>
                <w:rFonts w:cs="Arial"/>
              </w:rPr>
            </w:pPr>
            <w:r w:rsidRPr="00732923">
              <w:rPr>
                <w:rFonts w:cs="Arial"/>
              </w:rPr>
              <w:t xml:space="preserve">The Order is dated </w:t>
            </w:r>
            <w:r w:rsidR="0071563E" w:rsidRPr="00732923">
              <w:rPr>
                <w:rFonts w:cs="Arial"/>
              </w:rPr>
              <w:t>18 April 2019</w:t>
            </w:r>
            <w:r w:rsidRPr="00732923">
              <w:rPr>
                <w:rFonts w:cs="Arial"/>
              </w:rPr>
              <w:t xml:space="preserve"> and proposes to modify the Definitive Map and Statement for the area by </w:t>
            </w:r>
            <w:r w:rsidR="0071563E" w:rsidRPr="00732923">
              <w:rPr>
                <w:rFonts w:cs="Arial"/>
              </w:rPr>
              <w:t>adding a public footpath</w:t>
            </w:r>
            <w:r w:rsidRPr="00732923">
              <w:rPr>
                <w:rFonts w:cs="Arial"/>
              </w:rPr>
              <w:t xml:space="preserve"> as shown in the Order plan and described in the Order Schedule.</w:t>
            </w:r>
          </w:p>
        </w:tc>
      </w:tr>
      <w:tr w:rsidR="002D3E2A" w14:paraId="72090798" w14:textId="77777777" w:rsidTr="002D3E2A">
        <w:tc>
          <w:tcPr>
            <w:tcW w:w="9520" w:type="dxa"/>
            <w:shd w:val="clear" w:color="auto" w:fill="auto"/>
          </w:tcPr>
          <w:p w14:paraId="555326EC" w14:textId="7FBCBC7B" w:rsidR="002D3E2A" w:rsidRPr="00732923" w:rsidRDefault="002D3E2A" w:rsidP="002D3E2A">
            <w:pPr>
              <w:pStyle w:val="TBullet"/>
              <w:rPr>
                <w:rFonts w:cs="Arial"/>
              </w:rPr>
            </w:pPr>
            <w:r w:rsidRPr="00732923">
              <w:rPr>
                <w:rFonts w:cs="Arial"/>
              </w:rPr>
              <w:t xml:space="preserve">There were </w:t>
            </w:r>
            <w:r w:rsidR="0071563E" w:rsidRPr="00732923">
              <w:rPr>
                <w:rFonts w:cs="Arial"/>
              </w:rPr>
              <w:t xml:space="preserve">3 </w:t>
            </w:r>
            <w:r w:rsidRPr="00732923">
              <w:rPr>
                <w:rFonts w:cs="Arial"/>
              </w:rPr>
              <w:t xml:space="preserve">objections outstanding when </w:t>
            </w:r>
            <w:r w:rsidR="0071563E" w:rsidRPr="00732923">
              <w:rPr>
                <w:rFonts w:cs="Arial"/>
              </w:rPr>
              <w:t xml:space="preserve">East Sussex County Council (‘the Council’) </w:t>
            </w:r>
            <w:r w:rsidRPr="00732923">
              <w:rPr>
                <w:rFonts w:cs="Arial"/>
              </w:rPr>
              <w:t>submitted the Order to the Secretary of State for Environment, Food and Rural Affairs for confirmation.</w:t>
            </w:r>
          </w:p>
        </w:tc>
      </w:tr>
      <w:tr w:rsidR="002D3E2A" w14:paraId="400D2190" w14:textId="77777777" w:rsidTr="002D3E2A">
        <w:tc>
          <w:tcPr>
            <w:tcW w:w="9520" w:type="dxa"/>
            <w:shd w:val="clear" w:color="auto" w:fill="auto"/>
          </w:tcPr>
          <w:p w14:paraId="71ED84D0" w14:textId="62FF9A6E" w:rsidR="002D3E2A" w:rsidRPr="00732923" w:rsidRDefault="002D3E2A" w:rsidP="002D3E2A">
            <w:pPr>
              <w:spacing w:before="60"/>
              <w:rPr>
                <w:rFonts w:cs="Arial"/>
                <w:b/>
                <w:color w:val="000000"/>
                <w:sz w:val="24"/>
                <w:szCs w:val="24"/>
              </w:rPr>
            </w:pPr>
            <w:r w:rsidRPr="00732923">
              <w:rPr>
                <w:rFonts w:cs="Arial"/>
                <w:b/>
                <w:color w:val="000000"/>
                <w:sz w:val="24"/>
                <w:szCs w:val="24"/>
              </w:rPr>
              <w:t>Summary of Decision:</w:t>
            </w:r>
            <w:r w:rsidR="0071563E" w:rsidRPr="00732923">
              <w:rPr>
                <w:rFonts w:cs="Arial"/>
                <w:b/>
                <w:color w:val="000000"/>
                <w:sz w:val="24"/>
                <w:szCs w:val="24"/>
              </w:rPr>
              <w:t xml:space="preserve"> The Order is not confirmed.</w:t>
            </w:r>
          </w:p>
        </w:tc>
      </w:tr>
      <w:tr w:rsidR="002D3E2A" w14:paraId="0FB39AC6" w14:textId="77777777" w:rsidTr="002D3E2A">
        <w:tc>
          <w:tcPr>
            <w:tcW w:w="9520" w:type="dxa"/>
            <w:tcBorders>
              <w:bottom w:val="single" w:sz="6" w:space="0" w:color="000000"/>
            </w:tcBorders>
            <w:shd w:val="clear" w:color="auto" w:fill="auto"/>
          </w:tcPr>
          <w:p w14:paraId="7339E92F" w14:textId="77777777" w:rsidR="002D3E2A" w:rsidRPr="002D3E2A" w:rsidRDefault="002D3E2A" w:rsidP="002D3E2A">
            <w:pPr>
              <w:spacing w:before="60"/>
              <w:rPr>
                <w:b/>
                <w:color w:val="000000"/>
                <w:sz w:val="2"/>
              </w:rPr>
            </w:pPr>
            <w:bookmarkStart w:id="1" w:name="bmkReturn"/>
            <w:bookmarkEnd w:id="1"/>
          </w:p>
        </w:tc>
      </w:tr>
    </w:tbl>
    <w:p w14:paraId="5115A1EA" w14:textId="02D457C4" w:rsidR="002D3E2A" w:rsidRPr="00732923" w:rsidRDefault="002D3E2A" w:rsidP="002D3E2A">
      <w:pPr>
        <w:pStyle w:val="Heading6blackfont"/>
        <w:rPr>
          <w:rFonts w:cs="Arial"/>
          <w:sz w:val="24"/>
          <w:szCs w:val="24"/>
        </w:rPr>
      </w:pPr>
      <w:r w:rsidRPr="00732923">
        <w:rPr>
          <w:rFonts w:cs="Arial"/>
          <w:sz w:val="24"/>
          <w:szCs w:val="24"/>
        </w:rPr>
        <w:t>Procedural Matters</w:t>
      </w:r>
    </w:p>
    <w:p w14:paraId="4257C4A7" w14:textId="0B608978" w:rsidR="00BB7840" w:rsidRPr="00276A9A" w:rsidRDefault="00BB7840" w:rsidP="00BB7840">
      <w:pPr>
        <w:pStyle w:val="Style1"/>
        <w:rPr>
          <w:rFonts w:cs="Arial"/>
          <w:szCs w:val="22"/>
        </w:rPr>
      </w:pPr>
      <w:r w:rsidRPr="00276A9A">
        <w:rPr>
          <w:rFonts w:cs="Arial"/>
          <w:szCs w:val="22"/>
        </w:rPr>
        <w:t xml:space="preserve">None of the parties requested an inquiry or hearing into the Order. I have therefore considered this case on the basis of the written representations forwarded to me. I made an inspection of the path at issue on Tuesday 15 March 2022 in the company of a representative of the Council; representatives of </w:t>
      </w:r>
      <w:r w:rsidR="00A11689" w:rsidRPr="00276A9A">
        <w:rPr>
          <w:rFonts w:cs="Arial"/>
          <w:szCs w:val="22"/>
        </w:rPr>
        <w:t>Chiddingly Footpath Group (‘CFG’</w:t>
      </w:r>
      <w:r w:rsidR="001D79EB" w:rsidRPr="00276A9A">
        <w:rPr>
          <w:rFonts w:cs="Arial"/>
          <w:szCs w:val="22"/>
        </w:rPr>
        <w:t xml:space="preserve">), </w:t>
      </w:r>
      <w:r w:rsidRPr="00276A9A">
        <w:rPr>
          <w:rFonts w:cs="Arial"/>
          <w:szCs w:val="22"/>
        </w:rPr>
        <w:t>the applicant for the Order; the owners of the land crossed by the claimed footpath, and their land surveyor.</w:t>
      </w:r>
    </w:p>
    <w:p w14:paraId="2971FFF3" w14:textId="77777777" w:rsidR="009B727A" w:rsidRPr="00276A9A" w:rsidRDefault="009B727A" w:rsidP="009B727A">
      <w:pPr>
        <w:pStyle w:val="Heading6blackfont"/>
        <w:rPr>
          <w:rFonts w:cs="Arial"/>
        </w:rPr>
      </w:pPr>
      <w:r w:rsidRPr="00276A9A">
        <w:rPr>
          <w:rFonts w:cs="Arial"/>
        </w:rPr>
        <w:t>The Main Issues</w:t>
      </w:r>
    </w:p>
    <w:p w14:paraId="1574D4E9" w14:textId="77777777" w:rsidR="009B727A" w:rsidRPr="00276A9A" w:rsidRDefault="009B727A" w:rsidP="009B727A">
      <w:pPr>
        <w:pStyle w:val="Style1"/>
        <w:rPr>
          <w:rFonts w:cs="Arial"/>
          <w:szCs w:val="22"/>
        </w:rPr>
      </w:pPr>
      <w:r w:rsidRPr="00276A9A">
        <w:rPr>
          <w:rFonts w:cs="Arial"/>
          <w:szCs w:val="22"/>
        </w:rPr>
        <w:t xml:space="preserve">The Order has been made under Section 53(2)(b) of the 1981 Act in consequence of the occurrence of an event specified in Section 53(3)(c)(i). </w:t>
      </w:r>
    </w:p>
    <w:p w14:paraId="3E18BAFF" w14:textId="25073024" w:rsidR="009B727A" w:rsidRPr="00276A9A" w:rsidRDefault="009B727A" w:rsidP="009B727A">
      <w:pPr>
        <w:pStyle w:val="Style1"/>
        <w:rPr>
          <w:rFonts w:cs="Arial"/>
          <w:szCs w:val="22"/>
        </w:rPr>
      </w:pPr>
      <w:r w:rsidRPr="00276A9A">
        <w:rPr>
          <w:rFonts w:cs="Arial"/>
          <w:szCs w:val="22"/>
        </w:rPr>
        <w:t>Therefore, the main issue is whether the Council ha</w:t>
      </w:r>
      <w:r w:rsidR="00DF4149" w:rsidRPr="00276A9A">
        <w:rPr>
          <w:rFonts w:cs="Arial"/>
          <w:szCs w:val="22"/>
        </w:rPr>
        <w:t>s</w:t>
      </w:r>
      <w:r w:rsidRPr="00276A9A">
        <w:rPr>
          <w:rFonts w:cs="Arial"/>
          <w:szCs w:val="22"/>
        </w:rPr>
        <w:t xml:space="preserve"> discovered evidence which, when considered with all other evidence available, is sufficient to show that a right of way which is not shown in the definitive map and statement subsists over land in the area to which the map relates such that the definitive map and statement require modification.</w:t>
      </w:r>
    </w:p>
    <w:p w14:paraId="55CAA5FF" w14:textId="77777777" w:rsidR="009B727A" w:rsidRPr="00276A9A" w:rsidRDefault="009B727A" w:rsidP="009B727A">
      <w:pPr>
        <w:pStyle w:val="Style1"/>
        <w:numPr>
          <w:ilvl w:val="0"/>
          <w:numId w:val="0"/>
        </w:numPr>
        <w:rPr>
          <w:rFonts w:cs="Arial"/>
          <w:szCs w:val="22"/>
        </w:rPr>
      </w:pPr>
      <w:r w:rsidRPr="00276A9A">
        <w:rPr>
          <w:rFonts w:cs="Arial"/>
          <w:szCs w:val="22"/>
        </w:rPr>
        <w:t xml:space="preserve"> </w:t>
      </w:r>
      <w:r w:rsidRPr="00276A9A">
        <w:rPr>
          <w:rFonts w:cs="Arial"/>
          <w:b/>
          <w:iCs/>
          <w:szCs w:val="22"/>
        </w:rPr>
        <w:t>Legal Framework</w:t>
      </w:r>
    </w:p>
    <w:p w14:paraId="0FFCBDCE" w14:textId="77777777" w:rsidR="00EC7475" w:rsidRPr="00276A9A" w:rsidRDefault="00813000" w:rsidP="00EC7475">
      <w:pPr>
        <w:pStyle w:val="Style1"/>
        <w:rPr>
          <w:rFonts w:cs="Arial"/>
          <w:szCs w:val="22"/>
        </w:rPr>
      </w:pPr>
      <w:r w:rsidRPr="00276A9A">
        <w:rPr>
          <w:rFonts w:cs="Arial"/>
          <w:szCs w:val="22"/>
        </w:rPr>
        <w:t xml:space="preserve">The application to add the claimed footpath to the definitive map and statement </w:t>
      </w:r>
      <w:r w:rsidR="00DB5643" w:rsidRPr="00276A9A">
        <w:rPr>
          <w:rFonts w:cs="Arial"/>
          <w:szCs w:val="22"/>
        </w:rPr>
        <w:t xml:space="preserve">was made in 2015. </w:t>
      </w:r>
      <w:r w:rsidR="00A137B6" w:rsidRPr="00276A9A">
        <w:rPr>
          <w:rFonts w:cs="Arial"/>
          <w:szCs w:val="22"/>
        </w:rPr>
        <w:t>Following its investigation of the application</w:t>
      </w:r>
      <w:r w:rsidR="00954739" w:rsidRPr="00276A9A">
        <w:rPr>
          <w:rFonts w:cs="Arial"/>
          <w:szCs w:val="22"/>
        </w:rPr>
        <w:t xml:space="preserve"> under the provisions of Schedule 14 of the 1981 Act</w:t>
      </w:r>
      <w:r w:rsidR="00A137B6" w:rsidRPr="00276A9A">
        <w:rPr>
          <w:rFonts w:cs="Arial"/>
          <w:szCs w:val="22"/>
        </w:rPr>
        <w:t xml:space="preserve">, </w:t>
      </w:r>
      <w:r w:rsidR="00F52F81" w:rsidRPr="00276A9A">
        <w:rPr>
          <w:rFonts w:cs="Arial"/>
          <w:szCs w:val="22"/>
        </w:rPr>
        <w:t>t</w:t>
      </w:r>
      <w:r w:rsidR="00F01A6D" w:rsidRPr="00276A9A">
        <w:rPr>
          <w:rFonts w:cs="Arial"/>
          <w:szCs w:val="22"/>
        </w:rPr>
        <w:t xml:space="preserve">he Council </w:t>
      </w:r>
      <w:r w:rsidR="00F52F81" w:rsidRPr="00276A9A">
        <w:rPr>
          <w:rFonts w:cs="Arial"/>
          <w:szCs w:val="22"/>
        </w:rPr>
        <w:t>applied</w:t>
      </w:r>
      <w:r w:rsidR="00F01A6D" w:rsidRPr="00276A9A">
        <w:rPr>
          <w:rFonts w:cs="Arial"/>
          <w:szCs w:val="22"/>
        </w:rPr>
        <w:t xml:space="preserve"> the tests outlined in </w:t>
      </w:r>
      <w:r w:rsidR="00F01A6D" w:rsidRPr="00276A9A">
        <w:rPr>
          <w:rFonts w:cs="Arial"/>
          <w:i/>
          <w:szCs w:val="22"/>
        </w:rPr>
        <w:t xml:space="preserve">R v Secretary of State for the Environment ex parte Norton and Bagshaw [1994] </w:t>
      </w:r>
      <w:r w:rsidR="00D93017" w:rsidRPr="00276A9A">
        <w:rPr>
          <w:rFonts w:cs="Arial"/>
          <w:i/>
          <w:szCs w:val="22"/>
        </w:rPr>
        <w:t xml:space="preserve">68 P&amp;CR 402 </w:t>
      </w:r>
      <w:r w:rsidR="00F01A6D" w:rsidRPr="00276A9A">
        <w:rPr>
          <w:rFonts w:cs="Arial"/>
          <w:szCs w:val="22"/>
        </w:rPr>
        <w:t>and conclude</w:t>
      </w:r>
      <w:r w:rsidR="00C80731" w:rsidRPr="00276A9A">
        <w:rPr>
          <w:rFonts w:cs="Arial"/>
          <w:szCs w:val="22"/>
        </w:rPr>
        <w:t>d</w:t>
      </w:r>
      <w:r w:rsidR="00F01A6D" w:rsidRPr="00276A9A">
        <w:rPr>
          <w:rFonts w:cs="Arial"/>
          <w:szCs w:val="22"/>
        </w:rPr>
        <w:t xml:space="preserve"> that as there was conflicting evidence in the case, a reasonable allegation could be made as to the existence of the claimed right of way and that an Order should be made.</w:t>
      </w:r>
    </w:p>
    <w:p w14:paraId="06202F4F" w14:textId="77777777" w:rsidR="00ED32D3" w:rsidRPr="00276A9A" w:rsidRDefault="00EC7475" w:rsidP="00EC7475">
      <w:pPr>
        <w:pStyle w:val="Style1"/>
        <w:rPr>
          <w:rFonts w:cs="Arial"/>
          <w:szCs w:val="22"/>
        </w:rPr>
      </w:pPr>
      <w:r w:rsidRPr="00276A9A">
        <w:rPr>
          <w:rFonts w:cs="Arial"/>
          <w:szCs w:val="22"/>
        </w:rPr>
        <w:t>T</w:t>
      </w:r>
      <w:r w:rsidR="00F01A6D" w:rsidRPr="00276A9A">
        <w:rPr>
          <w:rFonts w:cs="Arial"/>
          <w:szCs w:val="22"/>
        </w:rPr>
        <w:t xml:space="preserve">he findings of the court in the case of </w:t>
      </w:r>
      <w:r w:rsidR="00F01A6D" w:rsidRPr="00276A9A">
        <w:rPr>
          <w:rFonts w:cs="Arial"/>
          <w:i/>
          <w:szCs w:val="22"/>
        </w:rPr>
        <w:t>Todd and another v Secretary of State for the Environment, Food and Rural Affairs [2004]</w:t>
      </w:r>
      <w:r w:rsidR="00F01A6D" w:rsidRPr="00276A9A">
        <w:rPr>
          <w:rFonts w:cs="Arial"/>
          <w:szCs w:val="22"/>
        </w:rPr>
        <w:t xml:space="preserve"> </w:t>
      </w:r>
      <w:r w:rsidRPr="00276A9A">
        <w:rPr>
          <w:rFonts w:cs="Arial"/>
          <w:szCs w:val="22"/>
        </w:rPr>
        <w:t xml:space="preserve">EWHC 1450 (Admin) </w:t>
      </w:r>
      <w:r w:rsidR="00F01A6D" w:rsidRPr="00276A9A">
        <w:rPr>
          <w:rFonts w:cs="Arial"/>
          <w:szCs w:val="22"/>
        </w:rPr>
        <w:t xml:space="preserve">are </w:t>
      </w:r>
      <w:r w:rsidR="00F01A6D" w:rsidRPr="00276A9A">
        <w:rPr>
          <w:rFonts w:cs="Arial"/>
          <w:szCs w:val="22"/>
        </w:rPr>
        <w:lastRenderedPageBreak/>
        <w:t>relevant to my consideration of the Order.  In that case, the court held that at the Schedule 15 confirmation stage (i.e. when the decision maker is considering the evidence before determining whether to confirm an Order or not), the standard of proof that the evidence must satisfy is the civil standard, namely the balance of probabilities, and an Order should not be confirmed on the basis of the less onerous “gatekeeper” test of it being possible to reasonably allege that a right of way subsists.</w:t>
      </w:r>
    </w:p>
    <w:p w14:paraId="25D5A187" w14:textId="43D522DC" w:rsidR="009B727A" w:rsidRPr="00276A9A" w:rsidRDefault="009B727A" w:rsidP="009B727A">
      <w:pPr>
        <w:pStyle w:val="Style1"/>
        <w:rPr>
          <w:rFonts w:cs="Arial"/>
          <w:szCs w:val="22"/>
        </w:rPr>
      </w:pPr>
      <w:r w:rsidRPr="00276A9A">
        <w:rPr>
          <w:rFonts w:cs="Arial"/>
          <w:szCs w:val="22"/>
        </w:rPr>
        <w:t xml:space="preserve">Dedication of a public right of way through a long period of use can be deemed to have occurred under </w:t>
      </w:r>
      <w:r w:rsidR="003A0C5A">
        <w:rPr>
          <w:rFonts w:cs="Arial"/>
          <w:szCs w:val="22"/>
        </w:rPr>
        <w:t>s</w:t>
      </w:r>
      <w:r w:rsidRPr="00276A9A">
        <w:rPr>
          <w:rFonts w:cs="Arial"/>
          <w:szCs w:val="22"/>
        </w:rPr>
        <w:t>ection 31 of the Highways Act 1980 (‘the 1980 Act’). Section 31 provides that where a way has been actually enjoyed by the public as of right and without interruption for a full period of 20 years, that way is deemed to have been dedicated as a highway unless there is sufficient evidence that during that period the landowner had no intention to dedicate it. Use ‘as of right’ is use which has been without force, secrecy, or permission.</w:t>
      </w:r>
    </w:p>
    <w:p w14:paraId="0FA27184" w14:textId="77777777" w:rsidR="009B727A" w:rsidRPr="00276A9A" w:rsidRDefault="009B727A" w:rsidP="009B727A">
      <w:pPr>
        <w:pStyle w:val="Style1"/>
        <w:rPr>
          <w:rFonts w:cs="Arial"/>
          <w:szCs w:val="22"/>
        </w:rPr>
      </w:pPr>
      <w:r w:rsidRPr="00276A9A">
        <w:rPr>
          <w:rFonts w:cs="Arial"/>
          <w:szCs w:val="22"/>
        </w:rPr>
        <w:t>The period of 20 years is to be calculated retrospectively from the date when the right of the public to use the way was brought into question, either by a notice or otherwise.</w:t>
      </w:r>
    </w:p>
    <w:p w14:paraId="5B34E9F7" w14:textId="2D536A5A" w:rsidR="002D3E2A" w:rsidRPr="00276A9A" w:rsidRDefault="009B727A" w:rsidP="001739F7">
      <w:pPr>
        <w:pStyle w:val="Style1"/>
        <w:rPr>
          <w:szCs w:val="22"/>
        </w:rPr>
      </w:pPr>
      <w:r w:rsidRPr="00276A9A">
        <w:rPr>
          <w:rFonts w:cs="Arial"/>
          <w:szCs w:val="22"/>
        </w:rPr>
        <w:t>Should the tests for deemed dedication under section 31 not be met, then it may be appropriate to consider the dedication of the way at common law. This requires consideration of three issues: (i) whether any current or previous owners of the land had capacity to dedicate a highway (ii) whether there was express or implied dedication by the landowners and (iii) whether there is acceptance of the highway by the public. There is no fixed period of use at common law and depending on the facts of the case it may range from a few months to several decades. There is no particular date from which use must be calculated.</w:t>
      </w:r>
    </w:p>
    <w:p w14:paraId="6921CFBD" w14:textId="2A93D21A" w:rsidR="002D3E2A" w:rsidRPr="00C01FBE" w:rsidRDefault="002D3E2A" w:rsidP="002D3E2A">
      <w:pPr>
        <w:pStyle w:val="Heading6blackfont"/>
        <w:rPr>
          <w:rFonts w:cs="Arial"/>
        </w:rPr>
      </w:pPr>
      <w:r w:rsidRPr="00C01FBE">
        <w:rPr>
          <w:rFonts w:cs="Arial"/>
        </w:rPr>
        <w:t>Reasons</w:t>
      </w:r>
    </w:p>
    <w:p w14:paraId="4844B211" w14:textId="2AE56DF4" w:rsidR="00C81C8A" w:rsidRPr="00C01FBE" w:rsidRDefault="00BA4BAD" w:rsidP="004756FB">
      <w:pPr>
        <w:pStyle w:val="Style1"/>
        <w:numPr>
          <w:ilvl w:val="0"/>
          <w:numId w:val="0"/>
        </w:numPr>
        <w:ind w:left="431" w:hanging="431"/>
        <w:rPr>
          <w:rFonts w:cs="Arial"/>
          <w:i/>
          <w:iCs/>
          <w:szCs w:val="22"/>
        </w:rPr>
      </w:pPr>
      <w:r w:rsidRPr="00C01FBE">
        <w:rPr>
          <w:rFonts w:cs="Arial"/>
          <w:i/>
          <w:iCs/>
          <w:szCs w:val="22"/>
        </w:rPr>
        <w:t>The site and surroundings</w:t>
      </w:r>
    </w:p>
    <w:p w14:paraId="4BC70AE5" w14:textId="3E24706E" w:rsidR="00CE2364" w:rsidRPr="00C01FBE" w:rsidRDefault="006C53EC" w:rsidP="00E37AA7">
      <w:pPr>
        <w:pStyle w:val="Style1"/>
        <w:rPr>
          <w:rFonts w:cs="Arial"/>
          <w:szCs w:val="22"/>
        </w:rPr>
      </w:pPr>
      <w:r w:rsidRPr="00C01FBE">
        <w:rPr>
          <w:rFonts w:cs="Arial"/>
          <w:szCs w:val="22"/>
        </w:rPr>
        <w:t>Footpath 18a commences at its junction with bridleway 7</w:t>
      </w:r>
      <w:r w:rsidR="00D121D7" w:rsidRPr="00C01FBE">
        <w:rPr>
          <w:rFonts w:cs="Arial"/>
          <w:szCs w:val="22"/>
        </w:rPr>
        <w:t>b</w:t>
      </w:r>
      <w:r w:rsidRPr="00C01FBE">
        <w:rPr>
          <w:rFonts w:cs="Arial"/>
          <w:szCs w:val="22"/>
        </w:rPr>
        <w:t xml:space="preserve"> a little to the east of the </w:t>
      </w:r>
      <w:r w:rsidR="00420E37" w:rsidRPr="00C01FBE">
        <w:rPr>
          <w:rFonts w:cs="Arial"/>
          <w:szCs w:val="22"/>
        </w:rPr>
        <w:t>bridge over the weir</w:t>
      </w:r>
      <w:r w:rsidR="00A80146" w:rsidRPr="00C01FBE">
        <w:rPr>
          <w:rFonts w:cs="Arial"/>
          <w:szCs w:val="22"/>
        </w:rPr>
        <w:t xml:space="preserve"> associated with the mill pool</w:t>
      </w:r>
      <w:r w:rsidR="005204C6" w:rsidRPr="00C01FBE">
        <w:rPr>
          <w:rFonts w:cs="Arial"/>
          <w:szCs w:val="22"/>
        </w:rPr>
        <w:t xml:space="preserve"> of the former Stream Mill.</w:t>
      </w:r>
      <w:r w:rsidR="00625136" w:rsidRPr="00C01FBE">
        <w:rPr>
          <w:rFonts w:cs="Arial"/>
          <w:szCs w:val="22"/>
        </w:rPr>
        <w:t xml:space="preserve"> Bridleway 7 runs on a generally east-west alignment, whereas footpath 18a </w:t>
      </w:r>
      <w:r w:rsidR="00BB165B" w:rsidRPr="00C01FBE">
        <w:rPr>
          <w:rFonts w:cs="Arial"/>
          <w:szCs w:val="22"/>
        </w:rPr>
        <w:t xml:space="preserve">runs in a generally southerly direction to a footbridge over the </w:t>
      </w:r>
      <w:r w:rsidR="000313C4" w:rsidRPr="00C01FBE">
        <w:rPr>
          <w:rFonts w:cs="Arial"/>
          <w:szCs w:val="22"/>
        </w:rPr>
        <w:t xml:space="preserve">stream before turning </w:t>
      </w:r>
      <w:r w:rsidR="00CE2364" w:rsidRPr="00C01FBE">
        <w:rPr>
          <w:rFonts w:cs="Arial"/>
          <w:szCs w:val="22"/>
        </w:rPr>
        <w:t>south-west.</w:t>
      </w:r>
    </w:p>
    <w:p w14:paraId="7F96D774" w14:textId="531BABF3" w:rsidR="00CE2364" w:rsidRPr="00C01FBE" w:rsidRDefault="003C6D94" w:rsidP="00E37AA7">
      <w:pPr>
        <w:pStyle w:val="Style1"/>
        <w:rPr>
          <w:rFonts w:cs="Arial"/>
          <w:szCs w:val="22"/>
        </w:rPr>
      </w:pPr>
      <w:r w:rsidRPr="00C01FBE">
        <w:rPr>
          <w:rFonts w:cs="Arial"/>
          <w:szCs w:val="22"/>
        </w:rPr>
        <w:t xml:space="preserve">To the east of the </w:t>
      </w:r>
      <w:r w:rsidR="008E662B" w:rsidRPr="00C01FBE">
        <w:rPr>
          <w:rFonts w:cs="Arial"/>
          <w:szCs w:val="22"/>
        </w:rPr>
        <w:t>junction of footpath 18a and bridleway 7b are two properties known as Stre</w:t>
      </w:r>
      <w:r w:rsidR="00FF3323" w:rsidRPr="00C01FBE">
        <w:rPr>
          <w:rFonts w:cs="Arial"/>
          <w:szCs w:val="22"/>
        </w:rPr>
        <w:t>a</w:t>
      </w:r>
      <w:r w:rsidR="008E662B" w:rsidRPr="00C01FBE">
        <w:rPr>
          <w:rFonts w:cs="Arial"/>
          <w:szCs w:val="22"/>
        </w:rPr>
        <w:t>m Mill and The Mill.</w:t>
      </w:r>
      <w:r w:rsidR="00FF3323" w:rsidRPr="00C01FBE">
        <w:rPr>
          <w:rFonts w:cs="Arial"/>
          <w:szCs w:val="22"/>
        </w:rPr>
        <w:t xml:space="preserve"> The properties occupy the site of a corn mill </w:t>
      </w:r>
      <w:r w:rsidR="004D2A86" w:rsidRPr="00C01FBE">
        <w:rPr>
          <w:rFonts w:cs="Arial"/>
          <w:szCs w:val="22"/>
        </w:rPr>
        <w:t xml:space="preserve">which was </w:t>
      </w:r>
      <w:r w:rsidR="00AF6FBA" w:rsidRPr="00C01FBE">
        <w:rPr>
          <w:rFonts w:cs="Arial"/>
          <w:szCs w:val="22"/>
        </w:rPr>
        <w:t>powered by the water held in the mill pond to the north of the bridleway</w:t>
      </w:r>
      <w:r w:rsidR="00155E83" w:rsidRPr="00C01FBE">
        <w:rPr>
          <w:rFonts w:cs="Arial"/>
          <w:szCs w:val="22"/>
        </w:rPr>
        <w:t xml:space="preserve">. </w:t>
      </w:r>
      <w:r w:rsidR="00200025" w:rsidRPr="00C01FBE">
        <w:rPr>
          <w:rFonts w:cs="Arial"/>
          <w:szCs w:val="22"/>
        </w:rPr>
        <w:t xml:space="preserve">It is known that cannon were </w:t>
      </w:r>
      <w:r w:rsidR="00A940ED" w:rsidRPr="00C01FBE">
        <w:rPr>
          <w:rFonts w:cs="Arial"/>
          <w:szCs w:val="22"/>
        </w:rPr>
        <w:t>cast and bored on the mill site during the 1660s</w:t>
      </w:r>
      <w:r w:rsidR="00A22C81" w:rsidRPr="00C01FBE">
        <w:rPr>
          <w:rFonts w:cs="Arial"/>
          <w:szCs w:val="22"/>
        </w:rPr>
        <w:t xml:space="preserve"> and that a mill was recorded at the site </w:t>
      </w:r>
      <w:r w:rsidR="004B7FC9" w:rsidRPr="00C01FBE">
        <w:rPr>
          <w:rFonts w:cs="Arial"/>
          <w:szCs w:val="22"/>
        </w:rPr>
        <w:t>in the Domesday Book</w:t>
      </w:r>
      <w:r w:rsidR="00050FAF" w:rsidRPr="00C01FBE">
        <w:rPr>
          <w:rFonts w:cs="Arial"/>
          <w:szCs w:val="22"/>
        </w:rPr>
        <w:t>;</w:t>
      </w:r>
      <w:r w:rsidR="00A63121" w:rsidRPr="00C01FBE">
        <w:rPr>
          <w:rFonts w:cs="Arial"/>
          <w:szCs w:val="22"/>
        </w:rPr>
        <w:t xml:space="preserve"> the weir under the bridleway bridge was part and parcel of this </w:t>
      </w:r>
      <w:r w:rsidR="00284F9E" w:rsidRPr="00C01FBE">
        <w:rPr>
          <w:rFonts w:cs="Arial"/>
          <w:szCs w:val="22"/>
        </w:rPr>
        <w:t xml:space="preserve">long-established </w:t>
      </w:r>
      <w:r w:rsidR="00694298" w:rsidRPr="00C01FBE">
        <w:rPr>
          <w:rFonts w:cs="Arial"/>
          <w:szCs w:val="22"/>
        </w:rPr>
        <w:t xml:space="preserve">industrial </w:t>
      </w:r>
      <w:r w:rsidR="00904EAB">
        <w:rPr>
          <w:rFonts w:cs="Arial"/>
          <w:szCs w:val="22"/>
        </w:rPr>
        <w:t>site</w:t>
      </w:r>
      <w:r w:rsidR="00694298" w:rsidRPr="00C01FBE">
        <w:rPr>
          <w:rFonts w:cs="Arial"/>
          <w:szCs w:val="22"/>
        </w:rPr>
        <w:t>.</w:t>
      </w:r>
      <w:r w:rsidR="00284F9E" w:rsidRPr="00C01FBE">
        <w:rPr>
          <w:rFonts w:cs="Arial"/>
          <w:szCs w:val="22"/>
        </w:rPr>
        <w:t xml:space="preserve"> I understand that the mill ceased to function in or around the 1930s.</w:t>
      </w:r>
    </w:p>
    <w:p w14:paraId="3C66332B" w14:textId="063C282D" w:rsidR="00357D88" w:rsidRPr="00C01FBE" w:rsidRDefault="00C108D2" w:rsidP="00C6616C">
      <w:pPr>
        <w:pStyle w:val="Style1"/>
        <w:rPr>
          <w:rFonts w:cs="Arial"/>
          <w:szCs w:val="22"/>
        </w:rPr>
      </w:pPr>
      <w:r w:rsidRPr="00C01FBE">
        <w:rPr>
          <w:rFonts w:cs="Arial"/>
          <w:szCs w:val="22"/>
        </w:rPr>
        <w:t>The</w:t>
      </w:r>
      <w:r w:rsidR="009D71D9" w:rsidRPr="00C01FBE">
        <w:rPr>
          <w:rFonts w:cs="Arial"/>
          <w:szCs w:val="22"/>
        </w:rPr>
        <w:t xml:space="preserve"> land crossed by the </w:t>
      </w:r>
      <w:r w:rsidR="003F58EE" w:rsidRPr="00C01FBE">
        <w:rPr>
          <w:rFonts w:cs="Arial"/>
          <w:szCs w:val="22"/>
        </w:rPr>
        <w:t xml:space="preserve">claimed footpath </w:t>
      </w:r>
      <w:r w:rsidR="00C6616C" w:rsidRPr="00C01FBE">
        <w:rPr>
          <w:rFonts w:cs="Arial"/>
          <w:szCs w:val="22"/>
        </w:rPr>
        <w:t xml:space="preserve">is </w:t>
      </w:r>
      <w:r w:rsidR="0043560C" w:rsidRPr="00C01FBE">
        <w:rPr>
          <w:rFonts w:cs="Arial"/>
          <w:szCs w:val="22"/>
        </w:rPr>
        <w:t xml:space="preserve">currently </w:t>
      </w:r>
      <w:r w:rsidR="00C6616C" w:rsidRPr="00C01FBE">
        <w:rPr>
          <w:rFonts w:cs="Arial"/>
          <w:szCs w:val="22"/>
        </w:rPr>
        <w:t xml:space="preserve">part of </w:t>
      </w:r>
      <w:r w:rsidR="0043560C" w:rsidRPr="00C01FBE">
        <w:rPr>
          <w:rFonts w:cs="Arial"/>
          <w:szCs w:val="22"/>
        </w:rPr>
        <w:t xml:space="preserve">the property known as </w:t>
      </w:r>
      <w:r w:rsidR="00C6616C" w:rsidRPr="00C01FBE">
        <w:rPr>
          <w:rFonts w:cs="Arial"/>
          <w:szCs w:val="22"/>
        </w:rPr>
        <w:t>The Mill</w:t>
      </w:r>
      <w:r w:rsidR="00385591" w:rsidRPr="00C01FBE">
        <w:rPr>
          <w:rFonts w:cs="Arial"/>
          <w:szCs w:val="22"/>
        </w:rPr>
        <w:t xml:space="preserve">. Prior to 2000, Stream Mill and The Mill had been </w:t>
      </w:r>
      <w:r w:rsidR="008D28F1" w:rsidRPr="00C01FBE">
        <w:rPr>
          <w:rFonts w:cs="Arial"/>
          <w:szCs w:val="22"/>
        </w:rPr>
        <w:t xml:space="preserve">a single property which was sub-divided in that year. The current owners of The Mill </w:t>
      </w:r>
      <w:r w:rsidR="00BB5254" w:rsidRPr="00C01FBE">
        <w:rPr>
          <w:rFonts w:cs="Arial"/>
          <w:szCs w:val="22"/>
        </w:rPr>
        <w:t xml:space="preserve">bought their property in 2012 and </w:t>
      </w:r>
      <w:r w:rsidR="008D28F1" w:rsidRPr="00C01FBE">
        <w:rPr>
          <w:rFonts w:cs="Arial"/>
          <w:szCs w:val="22"/>
        </w:rPr>
        <w:t xml:space="preserve">object to the </w:t>
      </w:r>
      <w:r w:rsidR="00FB64CF" w:rsidRPr="00C01FBE">
        <w:rPr>
          <w:rFonts w:cs="Arial"/>
          <w:szCs w:val="22"/>
        </w:rPr>
        <w:t xml:space="preserve">Order. The claimed footpath </w:t>
      </w:r>
      <w:r w:rsidR="00357D88" w:rsidRPr="00C01FBE">
        <w:rPr>
          <w:rFonts w:cs="Arial"/>
          <w:szCs w:val="22"/>
        </w:rPr>
        <w:t xml:space="preserve">would provide a deviation from the line of </w:t>
      </w:r>
      <w:r w:rsidR="005359C4" w:rsidRPr="00C01FBE">
        <w:rPr>
          <w:rFonts w:cs="Arial"/>
          <w:szCs w:val="22"/>
        </w:rPr>
        <w:t>footpath</w:t>
      </w:r>
      <w:r w:rsidR="00DF0A33" w:rsidRPr="00C01FBE">
        <w:rPr>
          <w:rFonts w:cs="Arial"/>
          <w:szCs w:val="22"/>
        </w:rPr>
        <w:t xml:space="preserve"> 18a with the loop created providing access to the pool </w:t>
      </w:r>
      <w:r w:rsidR="004332E9" w:rsidRPr="00C01FBE">
        <w:rPr>
          <w:rFonts w:cs="Arial"/>
          <w:szCs w:val="22"/>
        </w:rPr>
        <w:t>of water at the base of the weir.</w:t>
      </w:r>
    </w:p>
    <w:p w14:paraId="755CF372" w14:textId="4BF9EA6A" w:rsidR="00451EB8" w:rsidRPr="00C01FBE" w:rsidRDefault="00451EB8" w:rsidP="00451EB8">
      <w:pPr>
        <w:pStyle w:val="Heading6"/>
        <w:jc w:val="both"/>
        <w:rPr>
          <w:rFonts w:cs="Arial"/>
          <w:i/>
          <w:color w:val="auto"/>
        </w:rPr>
      </w:pPr>
      <w:r w:rsidRPr="00C01FBE">
        <w:rPr>
          <w:rFonts w:cs="Arial"/>
          <w:i/>
          <w:color w:val="auto"/>
        </w:rPr>
        <w:lastRenderedPageBreak/>
        <w:t>The date on which the right of the public to use the claimed footpath was brought into question</w:t>
      </w:r>
    </w:p>
    <w:p w14:paraId="7E745FA4" w14:textId="09A804AC" w:rsidR="004A0B15" w:rsidRPr="00C01FBE" w:rsidRDefault="00CF5646" w:rsidP="00A04C59">
      <w:pPr>
        <w:pStyle w:val="Style1"/>
        <w:rPr>
          <w:rFonts w:cs="Arial"/>
          <w:szCs w:val="22"/>
        </w:rPr>
      </w:pPr>
      <w:r w:rsidRPr="00C01FBE">
        <w:rPr>
          <w:rFonts w:cs="Arial"/>
          <w:szCs w:val="22"/>
        </w:rPr>
        <w:t>It is common ground between the parties that the event which brough</w:t>
      </w:r>
      <w:r w:rsidR="005359C4" w:rsidRPr="00C01FBE">
        <w:rPr>
          <w:rFonts w:cs="Arial"/>
          <w:szCs w:val="22"/>
        </w:rPr>
        <w:t>t</w:t>
      </w:r>
      <w:r w:rsidRPr="00C01FBE">
        <w:rPr>
          <w:rFonts w:cs="Arial"/>
          <w:szCs w:val="22"/>
        </w:rPr>
        <w:t xml:space="preserve"> public </w:t>
      </w:r>
      <w:r w:rsidR="005E4FDE" w:rsidRPr="00C01FBE">
        <w:rPr>
          <w:rFonts w:cs="Arial"/>
          <w:szCs w:val="22"/>
        </w:rPr>
        <w:t xml:space="preserve">use of the claimed footpath into question was the erection </w:t>
      </w:r>
      <w:r w:rsidR="00860642" w:rsidRPr="00C01FBE">
        <w:rPr>
          <w:rFonts w:cs="Arial"/>
          <w:szCs w:val="22"/>
        </w:rPr>
        <w:t>in 20</w:t>
      </w:r>
      <w:r w:rsidR="00C93B36" w:rsidRPr="00C01FBE">
        <w:rPr>
          <w:rFonts w:cs="Arial"/>
          <w:szCs w:val="22"/>
        </w:rPr>
        <w:t xml:space="preserve">12 </w:t>
      </w:r>
      <w:r w:rsidR="005E4FDE" w:rsidRPr="00C01FBE">
        <w:rPr>
          <w:rFonts w:cs="Arial"/>
          <w:szCs w:val="22"/>
        </w:rPr>
        <w:t xml:space="preserve">of fencing </w:t>
      </w:r>
      <w:r w:rsidR="005A0A6D" w:rsidRPr="00C01FBE">
        <w:rPr>
          <w:rFonts w:cs="Arial"/>
          <w:szCs w:val="22"/>
        </w:rPr>
        <w:t>along both sides of the walked line of footpath 18a</w:t>
      </w:r>
      <w:r w:rsidR="00FB0640" w:rsidRPr="00C01FBE">
        <w:rPr>
          <w:rFonts w:cs="Arial"/>
          <w:szCs w:val="22"/>
        </w:rPr>
        <w:t>. The fence</w:t>
      </w:r>
      <w:r w:rsidR="00DC0F92" w:rsidRPr="00C01FBE">
        <w:rPr>
          <w:rFonts w:cs="Arial"/>
          <w:szCs w:val="22"/>
        </w:rPr>
        <w:t xml:space="preserve"> on the western side of the walked line of the footpath </w:t>
      </w:r>
      <w:r w:rsidR="00A347C5" w:rsidRPr="00C01FBE">
        <w:rPr>
          <w:rFonts w:cs="Arial"/>
          <w:szCs w:val="22"/>
        </w:rPr>
        <w:t xml:space="preserve">blocked access to the stream and mill pool. </w:t>
      </w:r>
    </w:p>
    <w:p w14:paraId="7FE3A127" w14:textId="16BDE1F1" w:rsidR="0000218E" w:rsidRPr="00C01FBE" w:rsidRDefault="005F03B8" w:rsidP="00A04C59">
      <w:pPr>
        <w:pStyle w:val="Style1"/>
        <w:rPr>
          <w:rFonts w:cs="Arial"/>
          <w:szCs w:val="22"/>
        </w:rPr>
      </w:pPr>
      <w:r w:rsidRPr="00C01FBE">
        <w:rPr>
          <w:rFonts w:cs="Arial"/>
          <w:szCs w:val="22"/>
        </w:rPr>
        <w:t>The owner of Stream Mill between 1979 and 2</w:t>
      </w:r>
      <w:r w:rsidR="000A6592" w:rsidRPr="00C01FBE">
        <w:rPr>
          <w:rFonts w:cs="Arial"/>
          <w:szCs w:val="22"/>
        </w:rPr>
        <w:t xml:space="preserve">000 </w:t>
      </w:r>
      <w:r w:rsidR="00977BB0" w:rsidRPr="00C01FBE">
        <w:rPr>
          <w:rFonts w:cs="Arial"/>
          <w:szCs w:val="22"/>
        </w:rPr>
        <w:t>submitted evidence</w:t>
      </w:r>
      <w:r w:rsidR="000A6592" w:rsidRPr="00C01FBE">
        <w:rPr>
          <w:rFonts w:cs="Arial"/>
          <w:szCs w:val="22"/>
        </w:rPr>
        <w:t xml:space="preserve"> that </w:t>
      </w:r>
      <w:r w:rsidR="00B8217A" w:rsidRPr="00C01FBE">
        <w:rPr>
          <w:rFonts w:cs="Arial"/>
          <w:szCs w:val="22"/>
        </w:rPr>
        <w:t xml:space="preserve">up to 1981 </w:t>
      </w:r>
      <w:r w:rsidR="00AE4115" w:rsidRPr="00C01FBE">
        <w:rPr>
          <w:rFonts w:cs="Arial"/>
          <w:szCs w:val="22"/>
        </w:rPr>
        <w:t xml:space="preserve">the field through which footpath 18a ran had been rented by a livestock farmer, and that a fence </w:t>
      </w:r>
      <w:r w:rsidR="00A46804" w:rsidRPr="00C01FBE">
        <w:rPr>
          <w:rFonts w:cs="Arial"/>
          <w:szCs w:val="22"/>
        </w:rPr>
        <w:t xml:space="preserve">had </w:t>
      </w:r>
      <w:r w:rsidR="00D74A19" w:rsidRPr="00C01FBE">
        <w:rPr>
          <w:rFonts w:cs="Arial"/>
          <w:szCs w:val="22"/>
        </w:rPr>
        <w:t>r</w:t>
      </w:r>
      <w:r w:rsidR="002B1065" w:rsidRPr="00C01FBE">
        <w:rPr>
          <w:rFonts w:cs="Arial"/>
          <w:szCs w:val="22"/>
        </w:rPr>
        <w:t>u</w:t>
      </w:r>
      <w:r w:rsidR="00D74A19" w:rsidRPr="00C01FBE">
        <w:rPr>
          <w:rFonts w:cs="Arial"/>
          <w:szCs w:val="22"/>
        </w:rPr>
        <w:t xml:space="preserve">n alongside the stream and the pool to prevent livestock from entering the water. </w:t>
      </w:r>
      <w:r w:rsidR="005B6484" w:rsidRPr="00C01FBE">
        <w:rPr>
          <w:rFonts w:cs="Arial"/>
          <w:szCs w:val="22"/>
        </w:rPr>
        <w:t>On the termination of the tenancy agreement</w:t>
      </w:r>
      <w:r w:rsidR="00A46804" w:rsidRPr="00C01FBE">
        <w:rPr>
          <w:rFonts w:cs="Arial"/>
          <w:szCs w:val="22"/>
        </w:rPr>
        <w:t xml:space="preserve"> in 1981</w:t>
      </w:r>
      <w:r w:rsidR="005B6484" w:rsidRPr="00C01FBE">
        <w:rPr>
          <w:rFonts w:cs="Arial"/>
          <w:szCs w:val="22"/>
        </w:rPr>
        <w:t xml:space="preserve">, the fence had been removed </w:t>
      </w:r>
      <w:r w:rsidR="005430AE" w:rsidRPr="00C01FBE">
        <w:rPr>
          <w:rFonts w:cs="Arial"/>
          <w:szCs w:val="22"/>
        </w:rPr>
        <w:t xml:space="preserve">to create a large open space </w:t>
      </w:r>
      <w:r w:rsidR="00375A03" w:rsidRPr="00C01FBE">
        <w:rPr>
          <w:rFonts w:cs="Arial"/>
          <w:szCs w:val="22"/>
        </w:rPr>
        <w:t xml:space="preserve">east of </w:t>
      </w:r>
      <w:r w:rsidR="00923847" w:rsidRPr="00C01FBE">
        <w:rPr>
          <w:rFonts w:cs="Arial"/>
          <w:szCs w:val="22"/>
        </w:rPr>
        <w:t>Stream Mill</w:t>
      </w:r>
      <w:r w:rsidR="00375A03" w:rsidRPr="00C01FBE">
        <w:rPr>
          <w:rFonts w:cs="Arial"/>
          <w:szCs w:val="22"/>
        </w:rPr>
        <w:t>.</w:t>
      </w:r>
      <w:r w:rsidR="00EC76B0" w:rsidRPr="00C01FBE">
        <w:rPr>
          <w:rFonts w:cs="Arial"/>
          <w:szCs w:val="22"/>
        </w:rPr>
        <w:t xml:space="preserve"> A </w:t>
      </w:r>
      <w:r w:rsidR="000C3C7E" w:rsidRPr="00C01FBE">
        <w:rPr>
          <w:rFonts w:cs="Arial"/>
          <w:szCs w:val="22"/>
        </w:rPr>
        <w:t xml:space="preserve">path </w:t>
      </w:r>
      <w:r w:rsidR="0000218E" w:rsidRPr="00C01FBE">
        <w:rPr>
          <w:rFonts w:cs="Arial"/>
          <w:szCs w:val="22"/>
        </w:rPr>
        <w:t xml:space="preserve">which crossed the line of footpath 18a </w:t>
      </w:r>
      <w:r w:rsidR="000C3C7E" w:rsidRPr="00C01FBE">
        <w:rPr>
          <w:rFonts w:cs="Arial"/>
          <w:szCs w:val="22"/>
        </w:rPr>
        <w:t>was mown through the field</w:t>
      </w:r>
      <w:r w:rsidR="00EC76B0" w:rsidRPr="00C01FBE">
        <w:rPr>
          <w:rFonts w:cs="Arial"/>
          <w:szCs w:val="22"/>
        </w:rPr>
        <w:t xml:space="preserve"> from the house to the </w:t>
      </w:r>
      <w:r w:rsidR="000C3C7E" w:rsidRPr="00C01FBE">
        <w:rPr>
          <w:rFonts w:cs="Arial"/>
          <w:szCs w:val="22"/>
        </w:rPr>
        <w:t xml:space="preserve">mill pool which </w:t>
      </w:r>
      <w:r w:rsidR="00C14846" w:rsidRPr="00C01FBE">
        <w:rPr>
          <w:rFonts w:cs="Arial"/>
          <w:szCs w:val="22"/>
        </w:rPr>
        <w:t>family</w:t>
      </w:r>
      <w:r w:rsidR="00620A5E">
        <w:rPr>
          <w:rFonts w:cs="Arial"/>
          <w:szCs w:val="22"/>
        </w:rPr>
        <w:t>,</w:t>
      </w:r>
      <w:r w:rsidR="00C14846" w:rsidRPr="00C01FBE">
        <w:rPr>
          <w:rFonts w:cs="Arial"/>
          <w:szCs w:val="22"/>
        </w:rPr>
        <w:t xml:space="preserve"> friends </w:t>
      </w:r>
      <w:r w:rsidR="00620A5E">
        <w:rPr>
          <w:rFonts w:cs="Arial"/>
          <w:szCs w:val="22"/>
        </w:rPr>
        <w:t xml:space="preserve">and those with permission </w:t>
      </w:r>
      <w:r w:rsidR="00C14846" w:rsidRPr="00C01FBE">
        <w:rPr>
          <w:rFonts w:cs="Arial"/>
          <w:szCs w:val="22"/>
        </w:rPr>
        <w:t xml:space="preserve">used to access the stream. </w:t>
      </w:r>
    </w:p>
    <w:p w14:paraId="2CADB5CB" w14:textId="08A3DBB4" w:rsidR="00CC7489" w:rsidRPr="00C01FBE" w:rsidRDefault="0000218E" w:rsidP="00CC7489">
      <w:pPr>
        <w:pStyle w:val="Style1"/>
        <w:rPr>
          <w:rFonts w:cs="Arial"/>
          <w:szCs w:val="22"/>
        </w:rPr>
      </w:pPr>
      <w:r w:rsidRPr="00C01FBE">
        <w:rPr>
          <w:rFonts w:cs="Arial"/>
          <w:szCs w:val="22"/>
        </w:rPr>
        <w:t>The owner of The Mill between 200</w:t>
      </w:r>
      <w:r w:rsidR="00205549" w:rsidRPr="00C01FBE">
        <w:rPr>
          <w:rFonts w:cs="Arial"/>
          <w:szCs w:val="22"/>
        </w:rPr>
        <w:t>0 and 201</w:t>
      </w:r>
      <w:r w:rsidR="00512A15" w:rsidRPr="00C01FBE">
        <w:rPr>
          <w:rFonts w:cs="Arial"/>
          <w:szCs w:val="22"/>
        </w:rPr>
        <w:t xml:space="preserve">1 submitted that </w:t>
      </w:r>
      <w:r w:rsidR="008E29A7" w:rsidRPr="00C01FBE">
        <w:rPr>
          <w:rFonts w:cs="Arial"/>
          <w:szCs w:val="22"/>
        </w:rPr>
        <w:t xml:space="preserve">he </w:t>
      </w:r>
      <w:r w:rsidR="002B0A95" w:rsidRPr="00C01FBE">
        <w:rPr>
          <w:rFonts w:cs="Arial"/>
          <w:szCs w:val="22"/>
        </w:rPr>
        <w:t>“</w:t>
      </w:r>
      <w:r w:rsidR="008E29A7" w:rsidRPr="00C01FBE">
        <w:rPr>
          <w:rFonts w:cs="Arial"/>
          <w:i/>
          <w:iCs/>
          <w:szCs w:val="22"/>
        </w:rPr>
        <w:t>ha</w:t>
      </w:r>
      <w:r w:rsidR="00C70496" w:rsidRPr="00C01FBE">
        <w:rPr>
          <w:rFonts w:cs="Arial"/>
          <w:i/>
          <w:iCs/>
          <w:szCs w:val="22"/>
        </w:rPr>
        <w:t>d not prevented an</w:t>
      </w:r>
      <w:r w:rsidR="00E70FCB" w:rsidRPr="00C01FBE">
        <w:rPr>
          <w:rFonts w:cs="Arial"/>
          <w:i/>
          <w:iCs/>
          <w:szCs w:val="22"/>
        </w:rPr>
        <w:t>ybody</w:t>
      </w:r>
      <w:r w:rsidR="00C70496" w:rsidRPr="00C01FBE">
        <w:rPr>
          <w:rFonts w:cs="Arial"/>
          <w:i/>
          <w:iCs/>
          <w:szCs w:val="22"/>
        </w:rPr>
        <w:t xml:space="preserve"> from </w:t>
      </w:r>
      <w:r w:rsidR="00E70FCB" w:rsidRPr="00C01FBE">
        <w:rPr>
          <w:rFonts w:cs="Arial"/>
          <w:i/>
          <w:iCs/>
          <w:szCs w:val="22"/>
        </w:rPr>
        <w:t>e</w:t>
      </w:r>
      <w:r w:rsidR="00D579FD" w:rsidRPr="00C01FBE">
        <w:rPr>
          <w:rFonts w:cs="Arial"/>
          <w:i/>
          <w:iCs/>
          <w:szCs w:val="22"/>
        </w:rPr>
        <w:t>n</w:t>
      </w:r>
      <w:r w:rsidR="00E70FCB" w:rsidRPr="00C01FBE">
        <w:rPr>
          <w:rFonts w:cs="Arial"/>
          <w:i/>
          <w:iCs/>
          <w:szCs w:val="22"/>
        </w:rPr>
        <w:t>joying this piece of la</w:t>
      </w:r>
      <w:r w:rsidR="00D579FD" w:rsidRPr="00C01FBE">
        <w:rPr>
          <w:rFonts w:cs="Arial"/>
          <w:i/>
          <w:iCs/>
          <w:szCs w:val="22"/>
        </w:rPr>
        <w:t>n</w:t>
      </w:r>
      <w:r w:rsidR="00E70FCB" w:rsidRPr="00C01FBE">
        <w:rPr>
          <w:rFonts w:cs="Arial"/>
          <w:i/>
          <w:iCs/>
          <w:szCs w:val="22"/>
        </w:rPr>
        <w:t xml:space="preserve">d </w:t>
      </w:r>
      <w:r w:rsidR="00B15B4F" w:rsidRPr="00C01FBE">
        <w:rPr>
          <w:rFonts w:cs="Arial"/>
          <w:i/>
          <w:iCs/>
          <w:szCs w:val="22"/>
        </w:rPr>
        <w:t>(</w:t>
      </w:r>
      <w:r w:rsidR="00904910" w:rsidRPr="00C01FBE">
        <w:rPr>
          <w:rFonts w:cs="Arial"/>
          <w:szCs w:val="22"/>
        </w:rPr>
        <w:t>that is,</w:t>
      </w:r>
      <w:r w:rsidR="00904910" w:rsidRPr="00C01FBE">
        <w:rPr>
          <w:rFonts w:cs="Arial"/>
          <w:i/>
          <w:iCs/>
          <w:szCs w:val="22"/>
        </w:rPr>
        <w:t xml:space="preserve"> </w:t>
      </w:r>
      <w:r w:rsidR="00B15B4F" w:rsidRPr="00C01FBE">
        <w:rPr>
          <w:rFonts w:cs="Arial"/>
          <w:szCs w:val="22"/>
        </w:rPr>
        <w:t>the land between</w:t>
      </w:r>
      <w:r w:rsidR="00C70496" w:rsidRPr="00C01FBE">
        <w:rPr>
          <w:rFonts w:cs="Arial"/>
          <w:szCs w:val="22"/>
        </w:rPr>
        <w:t xml:space="preserve"> </w:t>
      </w:r>
      <w:r w:rsidR="00044272" w:rsidRPr="00C01FBE">
        <w:rPr>
          <w:rFonts w:cs="Arial"/>
          <w:szCs w:val="22"/>
        </w:rPr>
        <w:t>footpath 18a and the stream</w:t>
      </w:r>
      <w:r w:rsidR="00811CF3" w:rsidRPr="00C01FBE">
        <w:rPr>
          <w:rFonts w:cs="Arial"/>
          <w:i/>
          <w:iCs/>
          <w:szCs w:val="22"/>
        </w:rPr>
        <w:t xml:space="preserve">) </w:t>
      </w:r>
      <w:r w:rsidR="00044272" w:rsidRPr="00C01FBE">
        <w:rPr>
          <w:rFonts w:cs="Arial"/>
          <w:i/>
          <w:iCs/>
          <w:szCs w:val="22"/>
        </w:rPr>
        <w:t xml:space="preserve">which </w:t>
      </w:r>
      <w:r w:rsidR="00811CF3" w:rsidRPr="00C01FBE">
        <w:rPr>
          <w:rFonts w:cs="Arial"/>
          <w:i/>
          <w:iCs/>
          <w:szCs w:val="22"/>
        </w:rPr>
        <w:t>was used regularly by</w:t>
      </w:r>
      <w:r w:rsidR="00044272" w:rsidRPr="00C01FBE">
        <w:rPr>
          <w:rFonts w:cs="Arial"/>
          <w:i/>
          <w:iCs/>
          <w:szCs w:val="22"/>
        </w:rPr>
        <w:t xml:space="preserve"> numerous dog-walkers</w:t>
      </w:r>
      <w:r w:rsidR="00CC7489" w:rsidRPr="00C01FBE">
        <w:rPr>
          <w:rFonts w:cs="Arial"/>
          <w:i/>
          <w:iCs/>
          <w:szCs w:val="22"/>
        </w:rPr>
        <w:t>, ramblers, and horse riders</w:t>
      </w:r>
      <w:r w:rsidR="00AF5975" w:rsidRPr="00C01FBE">
        <w:rPr>
          <w:rFonts w:cs="Arial"/>
          <w:szCs w:val="22"/>
        </w:rPr>
        <w:t>”</w:t>
      </w:r>
      <w:r w:rsidR="00CC7489" w:rsidRPr="00C01FBE">
        <w:rPr>
          <w:rFonts w:cs="Arial"/>
          <w:szCs w:val="22"/>
        </w:rPr>
        <w:t xml:space="preserve">. </w:t>
      </w:r>
      <w:r w:rsidR="00EF6AA8" w:rsidRPr="00C01FBE">
        <w:rPr>
          <w:rFonts w:cs="Arial"/>
          <w:szCs w:val="22"/>
        </w:rPr>
        <w:t>On the evidence of current and previous owners of the land, there does not appear</w:t>
      </w:r>
      <w:r w:rsidR="00CC7489" w:rsidRPr="00C01FBE">
        <w:rPr>
          <w:rFonts w:cs="Arial"/>
          <w:szCs w:val="22"/>
        </w:rPr>
        <w:t xml:space="preserve"> to have been any other physical obstruction or barrier between footpath 18a and the stream </w:t>
      </w:r>
      <w:r w:rsidR="00F95EB5" w:rsidRPr="00C01FBE">
        <w:rPr>
          <w:rFonts w:cs="Arial"/>
          <w:szCs w:val="22"/>
        </w:rPr>
        <w:t xml:space="preserve">and mill pool </w:t>
      </w:r>
      <w:r w:rsidR="00CC7489" w:rsidRPr="00C01FBE">
        <w:rPr>
          <w:rFonts w:cs="Arial"/>
          <w:szCs w:val="22"/>
        </w:rPr>
        <w:t>until the current owner’s fence was erected in 2012.</w:t>
      </w:r>
    </w:p>
    <w:p w14:paraId="4DA2B2E2" w14:textId="2C87FAD6" w:rsidR="005A292D" w:rsidRPr="00D53700" w:rsidRDefault="001F6BE2" w:rsidP="00CC7489">
      <w:pPr>
        <w:pStyle w:val="Style1"/>
        <w:rPr>
          <w:rFonts w:cs="Arial"/>
          <w:sz w:val="24"/>
          <w:szCs w:val="24"/>
        </w:rPr>
      </w:pPr>
      <w:r w:rsidRPr="00C01FBE">
        <w:rPr>
          <w:rFonts w:cs="Arial"/>
          <w:szCs w:val="22"/>
        </w:rPr>
        <w:t>Consequently, I conclude that the relevant 20-year period for the purposes of section 31 (</w:t>
      </w:r>
      <w:r w:rsidR="00FB3DE1" w:rsidRPr="00C01FBE">
        <w:rPr>
          <w:rFonts w:cs="Arial"/>
          <w:szCs w:val="22"/>
        </w:rPr>
        <w:t>2</w:t>
      </w:r>
      <w:r w:rsidRPr="00C01FBE">
        <w:rPr>
          <w:rFonts w:cs="Arial"/>
          <w:szCs w:val="22"/>
        </w:rPr>
        <w:t>) of the 1980 Act is 1</w:t>
      </w:r>
      <w:r w:rsidR="000E714E" w:rsidRPr="00C01FBE">
        <w:rPr>
          <w:rFonts w:cs="Arial"/>
          <w:szCs w:val="22"/>
        </w:rPr>
        <w:t>992</w:t>
      </w:r>
      <w:r w:rsidRPr="00C01FBE">
        <w:rPr>
          <w:rFonts w:cs="Arial"/>
          <w:szCs w:val="22"/>
        </w:rPr>
        <w:t xml:space="preserve"> to 20</w:t>
      </w:r>
      <w:r w:rsidR="000E714E" w:rsidRPr="00C01FBE">
        <w:rPr>
          <w:rFonts w:cs="Arial"/>
          <w:szCs w:val="22"/>
        </w:rPr>
        <w:t>12</w:t>
      </w:r>
      <w:r w:rsidRPr="00C01FBE">
        <w:rPr>
          <w:rFonts w:cs="Arial"/>
          <w:szCs w:val="22"/>
        </w:rPr>
        <w:t>.</w:t>
      </w:r>
    </w:p>
    <w:p w14:paraId="0F904AA0" w14:textId="3A37A643" w:rsidR="00014C15" w:rsidRPr="006A721E" w:rsidRDefault="00FC7FA6" w:rsidP="006F475F">
      <w:pPr>
        <w:pStyle w:val="Style1"/>
        <w:numPr>
          <w:ilvl w:val="0"/>
          <w:numId w:val="0"/>
        </w:numPr>
        <w:rPr>
          <w:rFonts w:cs="Arial"/>
          <w:b/>
          <w:bCs/>
          <w:szCs w:val="22"/>
        </w:rPr>
      </w:pPr>
      <w:r w:rsidRPr="006A721E">
        <w:rPr>
          <w:rFonts w:cs="Arial"/>
          <w:b/>
          <w:bCs/>
          <w:i/>
          <w:szCs w:val="22"/>
        </w:rPr>
        <w:t xml:space="preserve">Whether </w:t>
      </w:r>
      <w:r w:rsidR="000F1989" w:rsidRPr="006A721E">
        <w:rPr>
          <w:rFonts w:cs="Arial"/>
          <w:b/>
          <w:bCs/>
          <w:i/>
          <w:szCs w:val="22"/>
        </w:rPr>
        <w:t>a way has been actually enjoyed</w:t>
      </w:r>
      <w:r w:rsidRPr="006A721E">
        <w:rPr>
          <w:rFonts w:cs="Arial"/>
          <w:b/>
          <w:bCs/>
          <w:i/>
          <w:szCs w:val="22"/>
        </w:rPr>
        <w:t xml:space="preserve"> by the public as of right and without interruption for a period of not less than 20 years ending on the date the public right was brought into question</w:t>
      </w:r>
    </w:p>
    <w:p w14:paraId="1455BE5F" w14:textId="3694BAB1" w:rsidR="00CF4C08" w:rsidRPr="006A721E" w:rsidRDefault="00070196" w:rsidP="007F5078">
      <w:pPr>
        <w:pStyle w:val="Style1"/>
        <w:rPr>
          <w:rFonts w:cs="Arial"/>
          <w:szCs w:val="22"/>
        </w:rPr>
      </w:pPr>
      <w:r w:rsidRPr="006A721E">
        <w:rPr>
          <w:rFonts w:cs="Arial"/>
          <w:szCs w:val="22"/>
        </w:rPr>
        <w:t xml:space="preserve">The application was supported by </w:t>
      </w:r>
      <w:r w:rsidR="00731E7E" w:rsidRPr="006A721E">
        <w:rPr>
          <w:rFonts w:cs="Arial"/>
          <w:szCs w:val="22"/>
        </w:rPr>
        <w:t>2</w:t>
      </w:r>
      <w:r w:rsidR="0096787D" w:rsidRPr="006A721E">
        <w:rPr>
          <w:rFonts w:cs="Arial"/>
          <w:szCs w:val="22"/>
        </w:rPr>
        <w:t>1</w:t>
      </w:r>
      <w:r w:rsidR="00731E7E" w:rsidRPr="006A721E">
        <w:rPr>
          <w:rFonts w:cs="Arial"/>
          <w:szCs w:val="22"/>
        </w:rPr>
        <w:t xml:space="preserve"> </w:t>
      </w:r>
      <w:r w:rsidR="00BA4F75" w:rsidRPr="006A721E">
        <w:rPr>
          <w:rFonts w:cs="Arial"/>
          <w:szCs w:val="22"/>
        </w:rPr>
        <w:t>user evidence forms (‘UEFs’)</w:t>
      </w:r>
      <w:r w:rsidR="00100F13" w:rsidRPr="006A721E">
        <w:rPr>
          <w:rFonts w:cs="Arial"/>
          <w:szCs w:val="22"/>
        </w:rPr>
        <w:t xml:space="preserve">, 3 of which </w:t>
      </w:r>
      <w:r w:rsidR="00EE485B">
        <w:rPr>
          <w:rFonts w:cs="Arial"/>
          <w:szCs w:val="22"/>
        </w:rPr>
        <w:t xml:space="preserve">each </w:t>
      </w:r>
      <w:r w:rsidR="00100F13" w:rsidRPr="006A721E">
        <w:rPr>
          <w:rFonts w:cs="Arial"/>
          <w:szCs w:val="22"/>
        </w:rPr>
        <w:t>provided the evidence of 2 persons</w:t>
      </w:r>
      <w:r w:rsidR="006120C2" w:rsidRPr="006A721E">
        <w:rPr>
          <w:rFonts w:cs="Arial"/>
          <w:szCs w:val="22"/>
        </w:rPr>
        <w:t xml:space="preserve">. </w:t>
      </w:r>
      <w:r w:rsidR="00100F13" w:rsidRPr="006A721E">
        <w:rPr>
          <w:rFonts w:cs="Arial"/>
          <w:szCs w:val="22"/>
        </w:rPr>
        <w:t xml:space="preserve">In addition to the UEFs, </w:t>
      </w:r>
      <w:r w:rsidR="00D15F95" w:rsidRPr="006A721E">
        <w:rPr>
          <w:rFonts w:cs="Arial"/>
          <w:szCs w:val="22"/>
        </w:rPr>
        <w:t xml:space="preserve">there were also </w:t>
      </w:r>
      <w:r w:rsidR="00100F13" w:rsidRPr="006A721E">
        <w:rPr>
          <w:rFonts w:cs="Arial"/>
          <w:szCs w:val="22"/>
        </w:rPr>
        <w:t>three letters of support</w:t>
      </w:r>
      <w:r w:rsidR="00D15F95" w:rsidRPr="006A721E">
        <w:rPr>
          <w:rFonts w:cs="Arial"/>
          <w:szCs w:val="22"/>
        </w:rPr>
        <w:t xml:space="preserve"> submitted. </w:t>
      </w:r>
      <w:r w:rsidR="00100F13" w:rsidRPr="006A721E">
        <w:rPr>
          <w:rFonts w:cs="Arial"/>
          <w:szCs w:val="22"/>
        </w:rPr>
        <w:t xml:space="preserve"> </w:t>
      </w:r>
      <w:r w:rsidR="006120C2" w:rsidRPr="006A721E">
        <w:rPr>
          <w:rFonts w:cs="Arial"/>
          <w:szCs w:val="22"/>
        </w:rPr>
        <w:t xml:space="preserve">Of </w:t>
      </w:r>
      <w:r w:rsidR="00C65F2B" w:rsidRPr="006A721E">
        <w:rPr>
          <w:rFonts w:cs="Arial"/>
          <w:szCs w:val="22"/>
        </w:rPr>
        <w:t>t</w:t>
      </w:r>
      <w:r w:rsidR="006120C2" w:rsidRPr="006A721E">
        <w:rPr>
          <w:rFonts w:cs="Arial"/>
          <w:szCs w:val="22"/>
        </w:rPr>
        <w:t>hose who completed a UEF, 1</w:t>
      </w:r>
      <w:r w:rsidR="00521C2C" w:rsidRPr="006A721E">
        <w:rPr>
          <w:rFonts w:cs="Arial"/>
          <w:szCs w:val="22"/>
        </w:rPr>
        <w:t>6</w:t>
      </w:r>
      <w:r w:rsidR="006120C2" w:rsidRPr="006A721E">
        <w:rPr>
          <w:rFonts w:cs="Arial"/>
          <w:szCs w:val="22"/>
        </w:rPr>
        <w:t xml:space="preserve"> respondents claimed to have used </w:t>
      </w:r>
      <w:r w:rsidR="00CE3352" w:rsidRPr="006A721E">
        <w:rPr>
          <w:rFonts w:cs="Arial"/>
          <w:szCs w:val="22"/>
        </w:rPr>
        <w:t xml:space="preserve">a route between bridleway 7a and footpath 18a </w:t>
      </w:r>
      <w:r w:rsidR="008B2CDC" w:rsidRPr="006A721E">
        <w:rPr>
          <w:rFonts w:cs="Arial"/>
          <w:szCs w:val="22"/>
        </w:rPr>
        <w:t>which gave access to the stream and mill weir</w:t>
      </w:r>
      <w:r w:rsidR="009F14BE" w:rsidRPr="006A721E">
        <w:rPr>
          <w:rFonts w:cs="Arial"/>
          <w:szCs w:val="22"/>
        </w:rPr>
        <w:t xml:space="preserve"> throughout the 20-year period under consideration</w:t>
      </w:r>
      <w:r w:rsidR="001E1A46" w:rsidRPr="006A721E">
        <w:rPr>
          <w:rFonts w:cs="Arial"/>
          <w:szCs w:val="22"/>
        </w:rPr>
        <w:t>.</w:t>
      </w:r>
      <w:r w:rsidR="00C16680" w:rsidRPr="006A721E">
        <w:rPr>
          <w:rFonts w:cs="Arial"/>
          <w:szCs w:val="22"/>
        </w:rPr>
        <w:t xml:space="preserve"> </w:t>
      </w:r>
    </w:p>
    <w:p w14:paraId="45A6D676" w14:textId="6780D19E" w:rsidR="007F5078" w:rsidRPr="006A721E" w:rsidRDefault="00C16680" w:rsidP="007F5078">
      <w:pPr>
        <w:pStyle w:val="Style1"/>
        <w:rPr>
          <w:rFonts w:cs="Arial"/>
          <w:szCs w:val="22"/>
        </w:rPr>
      </w:pPr>
      <w:r w:rsidRPr="006A721E">
        <w:rPr>
          <w:rFonts w:cs="Arial"/>
          <w:szCs w:val="22"/>
        </w:rPr>
        <w:t>The period of use claimed by the remainder of the respondents</w:t>
      </w:r>
      <w:r w:rsidR="00FB05FE" w:rsidRPr="006A721E">
        <w:rPr>
          <w:rFonts w:cs="Arial"/>
          <w:szCs w:val="22"/>
        </w:rPr>
        <w:t xml:space="preserve"> varied between 3 and 15 years</w:t>
      </w:r>
      <w:r w:rsidR="008E5569" w:rsidRPr="006A721E">
        <w:rPr>
          <w:rFonts w:cs="Arial"/>
          <w:szCs w:val="22"/>
        </w:rPr>
        <w:t>.</w:t>
      </w:r>
      <w:r w:rsidR="002F3295" w:rsidRPr="006A721E">
        <w:rPr>
          <w:rFonts w:cs="Arial"/>
          <w:szCs w:val="22"/>
        </w:rPr>
        <w:t xml:space="preserve"> </w:t>
      </w:r>
      <w:r w:rsidR="00981D9B" w:rsidRPr="006A721E">
        <w:rPr>
          <w:rFonts w:cs="Arial"/>
          <w:szCs w:val="22"/>
        </w:rPr>
        <w:t>One other</w:t>
      </w:r>
      <w:r w:rsidR="002F3295" w:rsidRPr="006A721E">
        <w:rPr>
          <w:rFonts w:cs="Arial"/>
          <w:szCs w:val="22"/>
        </w:rPr>
        <w:t xml:space="preserve"> respondent</w:t>
      </w:r>
      <w:r w:rsidR="00065CF8" w:rsidRPr="006A721E">
        <w:rPr>
          <w:rFonts w:cs="Arial"/>
          <w:szCs w:val="22"/>
        </w:rPr>
        <w:t>’s period of use commenced in 1962 but had ended in 1979.</w:t>
      </w:r>
      <w:r w:rsidR="00D436B6" w:rsidRPr="006A721E">
        <w:rPr>
          <w:rFonts w:cs="Arial"/>
          <w:szCs w:val="22"/>
        </w:rPr>
        <w:t xml:space="preserve"> </w:t>
      </w:r>
      <w:r w:rsidR="001E1A46" w:rsidRPr="006A721E">
        <w:rPr>
          <w:rFonts w:cs="Arial"/>
          <w:szCs w:val="22"/>
        </w:rPr>
        <w:t>Use is said to have occurred on a daily or weekly</w:t>
      </w:r>
      <w:r w:rsidRPr="006A721E">
        <w:rPr>
          <w:rFonts w:cs="Arial"/>
          <w:szCs w:val="22"/>
        </w:rPr>
        <w:t xml:space="preserve"> basis by </w:t>
      </w:r>
      <w:r w:rsidR="00411455" w:rsidRPr="006A721E">
        <w:rPr>
          <w:rFonts w:cs="Arial"/>
          <w:szCs w:val="22"/>
        </w:rPr>
        <w:t>twelve respondents</w:t>
      </w:r>
      <w:r w:rsidR="00013ACD" w:rsidRPr="006A721E">
        <w:rPr>
          <w:rFonts w:cs="Arial"/>
          <w:szCs w:val="22"/>
        </w:rPr>
        <w:t xml:space="preserve">, with </w:t>
      </w:r>
      <w:r w:rsidR="00BB543A" w:rsidRPr="006A721E">
        <w:rPr>
          <w:rFonts w:cs="Arial"/>
          <w:szCs w:val="22"/>
        </w:rPr>
        <w:t xml:space="preserve">others </w:t>
      </w:r>
      <w:r w:rsidR="00790B27" w:rsidRPr="006A721E">
        <w:rPr>
          <w:rFonts w:cs="Arial"/>
          <w:szCs w:val="22"/>
        </w:rPr>
        <w:t>using the route</w:t>
      </w:r>
      <w:r w:rsidR="009340D4" w:rsidRPr="006A721E">
        <w:rPr>
          <w:rFonts w:cs="Arial"/>
          <w:szCs w:val="22"/>
        </w:rPr>
        <w:t xml:space="preserve"> once per month </w:t>
      </w:r>
      <w:r w:rsidR="00C71082" w:rsidRPr="006A721E">
        <w:rPr>
          <w:rFonts w:cs="Arial"/>
          <w:szCs w:val="22"/>
        </w:rPr>
        <w:t>or less</w:t>
      </w:r>
      <w:r w:rsidR="008B2CDC" w:rsidRPr="006A721E">
        <w:rPr>
          <w:rFonts w:cs="Arial"/>
          <w:szCs w:val="22"/>
        </w:rPr>
        <w:t>.</w:t>
      </w:r>
      <w:r w:rsidR="006A171D" w:rsidRPr="006A721E">
        <w:rPr>
          <w:rFonts w:cs="Arial"/>
          <w:szCs w:val="22"/>
        </w:rPr>
        <w:t xml:space="preserve"> The purpose of using the path had been to access the pool to </w:t>
      </w:r>
      <w:r w:rsidR="0019348F" w:rsidRPr="006A721E">
        <w:rPr>
          <w:rFonts w:cs="Arial"/>
          <w:szCs w:val="22"/>
        </w:rPr>
        <w:t xml:space="preserve">paddle, </w:t>
      </w:r>
      <w:r w:rsidR="003E304A" w:rsidRPr="006A721E">
        <w:rPr>
          <w:rFonts w:cs="Arial"/>
          <w:szCs w:val="22"/>
        </w:rPr>
        <w:t xml:space="preserve">to fish, to </w:t>
      </w:r>
      <w:r w:rsidR="0019348F" w:rsidRPr="006A721E">
        <w:rPr>
          <w:rFonts w:cs="Arial"/>
          <w:szCs w:val="22"/>
        </w:rPr>
        <w:t>let the dog swim in the water</w:t>
      </w:r>
      <w:r w:rsidR="0039387A" w:rsidRPr="006A721E">
        <w:rPr>
          <w:rFonts w:cs="Arial"/>
          <w:szCs w:val="22"/>
        </w:rPr>
        <w:t>,</w:t>
      </w:r>
      <w:r w:rsidR="0019348F" w:rsidRPr="006A721E">
        <w:rPr>
          <w:rFonts w:cs="Arial"/>
          <w:szCs w:val="22"/>
        </w:rPr>
        <w:t xml:space="preserve"> and to observe the wildlife present </w:t>
      </w:r>
      <w:r w:rsidR="001B233C" w:rsidRPr="006A721E">
        <w:rPr>
          <w:rFonts w:cs="Arial"/>
          <w:szCs w:val="22"/>
        </w:rPr>
        <w:t xml:space="preserve">in the vicinity of the weir. </w:t>
      </w:r>
      <w:r w:rsidR="00607531" w:rsidRPr="006A721E">
        <w:rPr>
          <w:rFonts w:cs="Arial"/>
          <w:szCs w:val="22"/>
        </w:rPr>
        <w:t>None of the respond</w:t>
      </w:r>
      <w:r w:rsidR="007F5078" w:rsidRPr="006A721E">
        <w:rPr>
          <w:rFonts w:cs="Arial"/>
          <w:szCs w:val="22"/>
        </w:rPr>
        <w:t>ent</w:t>
      </w:r>
      <w:r w:rsidR="00607531" w:rsidRPr="006A721E">
        <w:rPr>
          <w:rFonts w:cs="Arial"/>
          <w:szCs w:val="22"/>
        </w:rPr>
        <w:t>s state</w:t>
      </w:r>
      <w:r w:rsidR="00BF5E07" w:rsidRPr="006A721E">
        <w:rPr>
          <w:rFonts w:cs="Arial"/>
          <w:szCs w:val="22"/>
        </w:rPr>
        <w:t>d</w:t>
      </w:r>
      <w:r w:rsidR="00607531" w:rsidRPr="006A721E">
        <w:rPr>
          <w:rFonts w:cs="Arial"/>
          <w:szCs w:val="22"/>
        </w:rPr>
        <w:t xml:space="preserve"> that use </w:t>
      </w:r>
      <w:r w:rsidR="00BF5E07" w:rsidRPr="006A721E">
        <w:rPr>
          <w:rFonts w:cs="Arial"/>
          <w:szCs w:val="22"/>
        </w:rPr>
        <w:t>had been</w:t>
      </w:r>
      <w:r w:rsidR="00607531" w:rsidRPr="006A721E">
        <w:rPr>
          <w:rFonts w:cs="Arial"/>
          <w:szCs w:val="22"/>
        </w:rPr>
        <w:t xml:space="preserve"> with permi</w:t>
      </w:r>
      <w:r w:rsidR="008A7EBE" w:rsidRPr="006A721E">
        <w:rPr>
          <w:rFonts w:cs="Arial"/>
          <w:szCs w:val="22"/>
        </w:rPr>
        <w:t>ssion nor that</w:t>
      </w:r>
      <w:r w:rsidR="007F5078" w:rsidRPr="006A721E">
        <w:rPr>
          <w:rFonts w:cs="Arial"/>
          <w:szCs w:val="22"/>
        </w:rPr>
        <w:t xml:space="preserve"> use had ever been interrupted or challenged.</w:t>
      </w:r>
    </w:p>
    <w:p w14:paraId="32B99CF1" w14:textId="103C2F75" w:rsidR="00FB6AA3" w:rsidRPr="006A721E" w:rsidRDefault="00607531" w:rsidP="00D436B6">
      <w:pPr>
        <w:pStyle w:val="Style1"/>
        <w:rPr>
          <w:rFonts w:cs="Arial"/>
          <w:szCs w:val="22"/>
        </w:rPr>
      </w:pPr>
      <w:r w:rsidRPr="006A721E">
        <w:rPr>
          <w:rFonts w:cs="Arial"/>
          <w:szCs w:val="22"/>
        </w:rPr>
        <w:t xml:space="preserve">The Council submits that </w:t>
      </w:r>
      <w:r w:rsidR="007F5078" w:rsidRPr="006A721E">
        <w:rPr>
          <w:rFonts w:cs="Arial"/>
          <w:szCs w:val="22"/>
        </w:rPr>
        <w:t xml:space="preserve">the evidence demonstrates that </w:t>
      </w:r>
      <w:r w:rsidR="00CE1FFB" w:rsidRPr="006A721E">
        <w:rPr>
          <w:rFonts w:cs="Arial"/>
          <w:szCs w:val="22"/>
        </w:rPr>
        <w:t xml:space="preserve">use </w:t>
      </w:r>
      <w:r w:rsidR="00862871" w:rsidRPr="006A721E">
        <w:rPr>
          <w:rFonts w:cs="Arial"/>
          <w:szCs w:val="22"/>
        </w:rPr>
        <w:t xml:space="preserve">has been made </w:t>
      </w:r>
      <w:r w:rsidR="00CE1FFB" w:rsidRPr="006A721E">
        <w:rPr>
          <w:rFonts w:cs="Arial"/>
          <w:szCs w:val="22"/>
        </w:rPr>
        <w:t>of a route to the mill pool and strea</w:t>
      </w:r>
      <w:r w:rsidR="00862871" w:rsidRPr="006A721E">
        <w:rPr>
          <w:rFonts w:cs="Arial"/>
          <w:szCs w:val="22"/>
        </w:rPr>
        <w:t>m throughout the relevant 20</w:t>
      </w:r>
      <w:r w:rsidR="0012608F" w:rsidRPr="006A721E">
        <w:rPr>
          <w:rFonts w:cs="Arial"/>
          <w:szCs w:val="22"/>
        </w:rPr>
        <w:t>-</w:t>
      </w:r>
      <w:r w:rsidR="00862871" w:rsidRPr="006A721E">
        <w:rPr>
          <w:rFonts w:cs="Arial"/>
          <w:szCs w:val="22"/>
        </w:rPr>
        <w:t xml:space="preserve">year period. </w:t>
      </w:r>
    </w:p>
    <w:p w14:paraId="64810797" w14:textId="77777777" w:rsidR="002E671E" w:rsidRPr="006A721E" w:rsidRDefault="00C310D5" w:rsidP="00D436B6">
      <w:pPr>
        <w:pStyle w:val="Style1"/>
        <w:rPr>
          <w:rFonts w:cs="Arial"/>
          <w:szCs w:val="22"/>
        </w:rPr>
      </w:pPr>
      <w:r w:rsidRPr="006A721E">
        <w:rPr>
          <w:rFonts w:cs="Arial"/>
          <w:szCs w:val="22"/>
        </w:rPr>
        <w:t>On a</w:t>
      </w:r>
      <w:r w:rsidR="0012608F" w:rsidRPr="006A721E">
        <w:rPr>
          <w:rFonts w:cs="Arial"/>
          <w:szCs w:val="22"/>
        </w:rPr>
        <w:t xml:space="preserve"> picture postcard of </w:t>
      </w:r>
      <w:r w:rsidR="00CB4F49" w:rsidRPr="006A721E">
        <w:rPr>
          <w:rFonts w:cs="Arial"/>
          <w:szCs w:val="22"/>
        </w:rPr>
        <w:t xml:space="preserve">“The Mill </w:t>
      </w:r>
      <w:r w:rsidR="00D77AC0" w:rsidRPr="006A721E">
        <w:rPr>
          <w:rFonts w:cs="Arial"/>
          <w:szCs w:val="22"/>
        </w:rPr>
        <w:t>D</w:t>
      </w:r>
      <w:r w:rsidR="00CB4F49" w:rsidRPr="006A721E">
        <w:rPr>
          <w:rFonts w:cs="Arial"/>
          <w:szCs w:val="22"/>
        </w:rPr>
        <w:t>am, Chiddingly”</w:t>
      </w:r>
      <w:r w:rsidR="00D77AC0" w:rsidRPr="006A721E">
        <w:rPr>
          <w:rFonts w:cs="Arial"/>
          <w:szCs w:val="22"/>
        </w:rPr>
        <w:t xml:space="preserve"> </w:t>
      </w:r>
      <w:r w:rsidR="00A33178" w:rsidRPr="006A721E">
        <w:rPr>
          <w:rFonts w:cs="Arial"/>
          <w:szCs w:val="22"/>
        </w:rPr>
        <w:t>(posted on</w:t>
      </w:r>
      <w:r w:rsidR="00A22DEE" w:rsidRPr="006A721E">
        <w:rPr>
          <w:rFonts w:cs="Arial"/>
          <w:szCs w:val="22"/>
        </w:rPr>
        <w:t xml:space="preserve"> 28 August 1906</w:t>
      </w:r>
      <w:r w:rsidRPr="006A721E">
        <w:rPr>
          <w:rFonts w:cs="Arial"/>
          <w:szCs w:val="22"/>
        </w:rPr>
        <w:t xml:space="preserve">) the correspondent wrote </w:t>
      </w:r>
      <w:r w:rsidR="00886646" w:rsidRPr="006A721E">
        <w:rPr>
          <w:rFonts w:cs="Arial"/>
          <w:szCs w:val="22"/>
        </w:rPr>
        <w:t>‘</w:t>
      </w:r>
      <w:r w:rsidR="00886646" w:rsidRPr="006A721E">
        <w:rPr>
          <w:rFonts w:cs="Arial"/>
          <w:i/>
          <w:iCs/>
          <w:szCs w:val="22"/>
        </w:rPr>
        <w:t>This is where we went fishing last week</w:t>
      </w:r>
      <w:r w:rsidR="006716CE" w:rsidRPr="006A721E">
        <w:rPr>
          <w:rFonts w:cs="Arial"/>
          <w:i/>
          <w:iCs/>
          <w:szCs w:val="22"/>
        </w:rPr>
        <w:t>, am having a ripping time’</w:t>
      </w:r>
      <w:r w:rsidR="006716CE" w:rsidRPr="006A721E">
        <w:rPr>
          <w:rFonts w:cs="Arial"/>
          <w:szCs w:val="22"/>
        </w:rPr>
        <w:t xml:space="preserve">. </w:t>
      </w:r>
      <w:r w:rsidR="00DA686F" w:rsidRPr="006A721E">
        <w:rPr>
          <w:rFonts w:cs="Arial"/>
          <w:szCs w:val="22"/>
        </w:rPr>
        <w:t xml:space="preserve">A poem </w:t>
      </w:r>
      <w:r w:rsidR="001378D4" w:rsidRPr="006A721E">
        <w:rPr>
          <w:rFonts w:cs="Arial"/>
          <w:szCs w:val="22"/>
        </w:rPr>
        <w:t>entitled “</w:t>
      </w:r>
      <w:r w:rsidR="001378D4" w:rsidRPr="006A721E">
        <w:rPr>
          <w:rFonts w:cs="Arial"/>
          <w:i/>
          <w:iCs/>
          <w:szCs w:val="22"/>
        </w:rPr>
        <w:t xml:space="preserve">The </w:t>
      </w:r>
      <w:r w:rsidR="00054FF2" w:rsidRPr="006A721E">
        <w:rPr>
          <w:rFonts w:cs="Arial"/>
          <w:i/>
          <w:iCs/>
          <w:szCs w:val="22"/>
        </w:rPr>
        <w:t>F</w:t>
      </w:r>
      <w:r w:rsidR="001378D4" w:rsidRPr="006A721E">
        <w:rPr>
          <w:rFonts w:cs="Arial"/>
          <w:i/>
          <w:iCs/>
          <w:szCs w:val="22"/>
        </w:rPr>
        <w:t xml:space="preserve">loodgates at the </w:t>
      </w:r>
      <w:r w:rsidR="00054FF2" w:rsidRPr="006A721E">
        <w:rPr>
          <w:rFonts w:cs="Arial"/>
          <w:i/>
          <w:iCs/>
          <w:szCs w:val="22"/>
        </w:rPr>
        <w:t>S</w:t>
      </w:r>
      <w:r w:rsidR="001378D4" w:rsidRPr="006A721E">
        <w:rPr>
          <w:rFonts w:cs="Arial"/>
          <w:i/>
          <w:iCs/>
          <w:szCs w:val="22"/>
        </w:rPr>
        <w:t xml:space="preserve">tream </w:t>
      </w:r>
      <w:r w:rsidR="00054FF2" w:rsidRPr="006A721E">
        <w:rPr>
          <w:rFonts w:cs="Arial"/>
          <w:i/>
          <w:iCs/>
          <w:szCs w:val="22"/>
        </w:rPr>
        <w:t>M</w:t>
      </w:r>
      <w:r w:rsidR="001378D4" w:rsidRPr="006A721E">
        <w:rPr>
          <w:rFonts w:cs="Arial"/>
          <w:i/>
          <w:iCs/>
          <w:szCs w:val="22"/>
        </w:rPr>
        <w:t xml:space="preserve">ill </w:t>
      </w:r>
      <w:r w:rsidR="00054FF2" w:rsidRPr="006A721E">
        <w:rPr>
          <w:rFonts w:cs="Arial"/>
          <w:i/>
          <w:iCs/>
          <w:szCs w:val="22"/>
        </w:rPr>
        <w:t>P</w:t>
      </w:r>
      <w:r w:rsidR="001378D4" w:rsidRPr="006A721E">
        <w:rPr>
          <w:rFonts w:cs="Arial"/>
          <w:i/>
          <w:iCs/>
          <w:szCs w:val="22"/>
        </w:rPr>
        <w:t>ond</w:t>
      </w:r>
      <w:r w:rsidR="001378D4" w:rsidRPr="006A721E">
        <w:rPr>
          <w:rFonts w:cs="Arial"/>
          <w:szCs w:val="22"/>
        </w:rPr>
        <w:t xml:space="preserve">” (1900) by </w:t>
      </w:r>
      <w:r w:rsidR="004F1649" w:rsidRPr="006A721E">
        <w:rPr>
          <w:rFonts w:cs="Arial"/>
          <w:szCs w:val="22"/>
        </w:rPr>
        <w:t xml:space="preserve">William Chives </w:t>
      </w:r>
      <w:r w:rsidR="00054FF2" w:rsidRPr="006A721E">
        <w:rPr>
          <w:rFonts w:cs="Arial"/>
          <w:szCs w:val="22"/>
        </w:rPr>
        <w:t xml:space="preserve">describes the </w:t>
      </w:r>
      <w:r w:rsidR="00EA3A4C" w:rsidRPr="006A721E">
        <w:rPr>
          <w:rFonts w:cs="Arial"/>
          <w:szCs w:val="22"/>
        </w:rPr>
        <w:t>weir and that visitors</w:t>
      </w:r>
      <w:r w:rsidR="009A472F" w:rsidRPr="006A721E">
        <w:rPr>
          <w:rFonts w:cs="Arial"/>
          <w:szCs w:val="22"/>
        </w:rPr>
        <w:t xml:space="preserve"> to it</w:t>
      </w:r>
      <w:r w:rsidR="00EA3A4C" w:rsidRPr="006A721E">
        <w:rPr>
          <w:rFonts w:cs="Arial"/>
          <w:szCs w:val="22"/>
        </w:rPr>
        <w:t xml:space="preserve"> would </w:t>
      </w:r>
      <w:r w:rsidR="00EA3A4C" w:rsidRPr="006A721E">
        <w:rPr>
          <w:rFonts w:cs="Arial"/>
          <w:szCs w:val="22"/>
        </w:rPr>
        <w:lastRenderedPageBreak/>
        <w:t xml:space="preserve">sit on the grass nearby to </w:t>
      </w:r>
      <w:r w:rsidR="00884E2B" w:rsidRPr="006A721E">
        <w:rPr>
          <w:rFonts w:cs="Arial"/>
          <w:szCs w:val="22"/>
        </w:rPr>
        <w:t xml:space="preserve">view it. In an undated self-guided walk </w:t>
      </w:r>
      <w:r w:rsidR="00D97D35" w:rsidRPr="006A721E">
        <w:rPr>
          <w:rFonts w:cs="Arial"/>
          <w:szCs w:val="22"/>
        </w:rPr>
        <w:t xml:space="preserve">from </w:t>
      </w:r>
      <w:r w:rsidR="00E94EE1" w:rsidRPr="006A721E">
        <w:rPr>
          <w:rFonts w:cs="Arial"/>
          <w:szCs w:val="22"/>
        </w:rPr>
        <w:t>T</w:t>
      </w:r>
      <w:r w:rsidR="00D97D35" w:rsidRPr="006A721E">
        <w:rPr>
          <w:rFonts w:cs="Arial"/>
          <w:szCs w:val="22"/>
        </w:rPr>
        <w:t xml:space="preserve">he Gun public house </w:t>
      </w:r>
      <w:r w:rsidR="00BF75F9" w:rsidRPr="006A721E">
        <w:rPr>
          <w:rFonts w:cs="Arial"/>
          <w:szCs w:val="22"/>
        </w:rPr>
        <w:t>(‘</w:t>
      </w:r>
      <w:r w:rsidR="00BF75F9" w:rsidRPr="006A721E">
        <w:rPr>
          <w:rFonts w:cs="Arial"/>
          <w:i/>
          <w:iCs/>
          <w:szCs w:val="22"/>
        </w:rPr>
        <w:t>Walks of the Gun’</w:t>
      </w:r>
      <w:r w:rsidR="00BF75F9" w:rsidRPr="006A721E">
        <w:rPr>
          <w:rFonts w:cs="Arial"/>
          <w:szCs w:val="22"/>
        </w:rPr>
        <w:t>)</w:t>
      </w:r>
      <w:r w:rsidR="00D97D35" w:rsidRPr="006A721E">
        <w:rPr>
          <w:rFonts w:cs="Arial"/>
          <w:szCs w:val="22"/>
        </w:rPr>
        <w:t xml:space="preserve"> </w:t>
      </w:r>
      <w:r w:rsidR="00BF75F9" w:rsidRPr="006A721E">
        <w:rPr>
          <w:rFonts w:cs="Arial"/>
          <w:szCs w:val="22"/>
        </w:rPr>
        <w:t>the suggested route</w:t>
      </w:r>
      <w:r w:rsidR="00FF6085" w:rsidRPr="006A721E">
        <w:rPr>
          <w:rFonts w:cs="Arial"/>
          <w:szCs w:val="22"/>
        </w:rPr>
        <w:t xml:space="preserve"> follows bridleway 7b and notes</w:t>
      </w:r>
      <w:r w:rsidR="00C973F4" w:rsidRPr="006A721E">
        <w:rPr>
          <w:rFonts w:cs="Arial"/>
          <w:szCs w:val="22"/>
        </w:rPr>
        <w:t xml:space="preserve"> </w:t>
      </w:r>
      <w:r w:rsidR="00ED3F2C" w:rsidRPr="006A721E">
        <w:rPr>
          <w:rFonts w:cs="Arial"/>
          <w:szCs w:val="22"/>
        </w:rPr>
        <w:t>“</w:t>
      </w:r>
      <w:r w:rsidR="00C973F4" w:rsidRPr="006A721E">
        <w:rPr>
          <w:rFonts w:cs="Arial"/>
          <w:i/>
          <w:iCs/>
          <w:szCs w:val="22"/>
        </w:rPr>
        <w:t>There is a nice waterfall just underneath the bridge. If you want to see it</w:t>
      </w:r>
      <w:r w:rsidR="00ED3F2C" w:rsidRPr="006A721E">
        <w:rPr>
          <w:rFonts w:cs="Arial"/>
          <w:i/>
          <w:iCs/>
          <w:szCs w:val="22"/>
        </w:rPr>
        <w:t xml:space="preserve"> walk over the bridge, turn right and go down close to the stream</w:t>
      </w:r>
      <w:r w:rsidR="00ED3F2C" w:rsidRPr="006A721E">
        <w:rPr>
          <w:rFonts w:cs="Arial"/>
          <w:szCs w:val="22"/>
        </w:rPr>
        <w:t>”.</w:t>
      </w:r>
      <w:r w:rsidR="0093661F" w:rsidRPr="006A721E">
        <w:rPr>
          <w:rFonts w:cs="Arial"/>
          <w:szCs w:val="22"/>
        </w:rPr>
        <w:t xml:space="preserve"> </w:t>
      </w:r>
    </w:p>
    <w:p w14:paraId="1BA14A13" w14:textId="77777777" w:rsidR="00935DC5" w:rsidRPr="006A721E" w:rsidRDefault="00125163" w:rsidP="00935DC5">
      <w:pPr>
        <w:pStyle w:val="Style1"/>
        <w:rPr>
          <w:rFonts w:cs="Arial"/>
          <w:szCs w:val="22"/>
        </w:rPr>
      </w:pPr>
      <w:r w:rsidRPr="006A721E">
        <w:rPr>
          <w:rFonts w:cs="Arial"/>
          <w:szCs w:val="22"/>
        </w:rPr>
        <w:t xml:space="preserve">These items of documentary evidence suggest that </w:t>
      </w:r>
      <w:r w:rsidR="00315205" w:rsidRPr="006A721E">
        <w:rPr>
          <w:rFonts w:cs="Arial"/>
          <w:szCs w:val="22"/>
        </w:rPr>
        <w:t>access to the stream and mill pool was possible from at least the beginning of the twentieth century</w:t>
      </w:r>
      <w:r w:rsidR="00C238BB" w:rsidRPr="006A721E">
        <w:rPr>
          <w:rFonts w:cs="Arial"/>
          <w:szCs w:val="22"/>
        </w:rPr>
        <w:t xml:space="preserve">; </w:t>
      </w:r>
      <w:r w:rsidR="00BC0D94" w:rsidRPr="006A721E">
        <w:rPr>
          <w:rFonts w:cs="Arial"/>
          <w:szCs w:val="22"/>
        </w:rPr>
        <w:t xml:space="preserve">I consider </w:t>
      </w:r>
      <w:r w:rsidR="00083FBB" w:rsidRPr="006A721E">
        <w:rPr>
          <w:rFonts w:cs="Arial"/>
          <w:szCs w:val="22"/>
        </w:rPr>
        <w:t>that the evidence of use found in the UEFs is a continuation of that earlier use.</w:t>
      </w:r>
      <w:r w:rsidR="00935DC5" w:rsidRPr="006A721E">
        <w:rPr>
          <w:rFonts w:cs="Arial"/>
          <w:szCs w:val="22"/>
        </w:rPr>
        <w:t xml:space="preserve"> </w:t>
      </w:r>
      <w:r w:rsidR="00614EAF" w:rsidRPr="006A721E">
        <w:rPr>
          <w:rFonts w:cs="Arial"/>
          <w:szCs w:val="22"/>
        </w:rPr>
        <w:t xml:space="preserve">However, </w:t>
      </w:r>
      <w:r w:rsidR="008719AF" w:rsidRPr="006A721E">
        <w:rPr>
          <w:rFonts w:cs="Arial"/>
          <w:szCs w:val="22"/>
        </w:rPr>
        <w:t>w</w:t>
      </w:r>
      <w:r w:rsidR="00A33CC7" w:rsidRPr="006A721E">
        <w:rPr>
          <w:rFonts w:cs="Arial"/>
          <w:szCs w:val="22"/>
        </w:rPr>
        <w:t>hat the picture pos</w:t>
      </w:r>
      <w:r w:rsidR="00B97DD4" w:rsidRPr="006A721E">
        <w:rPr>
          <w:rFonts w:cs="Arial"/>
          <w:szCs w:val="22"/>
        </w:rPr>
        <w:t>t</w:t>
      </w:r>
      <w:r w:rsidR="00A33CC7" w:rsidRPr="006A721E">
        <w:rPr>
          <w:rFonts w:cs="Arial"/>
          <w:szCs w:val="22"/>
        </w:rPr>
        <w:t xml:space="preserve">card, the </w:t>
      </w:r>
      <w:r w:rsidR="00956DB2" w:rsidRPr="006A721E">
        <w:rPr>
          <w:rFonts w:cs="Arial"/>
          <w:szCs w:val="22"/>
        </w:rPr>
        <w:t xml:space="preserve">poem and the self-guided walk leaflet do not demonstrate is the route used by </w:t>
      </w:r>
      <w:r w:rsidR="004A1667" w:rsidRPr="006A721E">
        <w:rPr>
          <w:rFonts w:cs="Arial"/>
          <w:szCs w:val="22"/>
        </w:rPr>
        <w:t xml:space="preserve">the public to access the stream. </w:t>
      </w:r>
    </w:p>
    <w:p w14:paraId="767C4EA0" w14:textId="02A89F0E" w:rsidR="008A54DF" w:rsidRPr="006A721E" w:rsidRDefault="004A1667" w:rsidP="00935DC5">
      <w:pPr>
        <w:pStyle w:val="Style1"/>
        <w:rPr>
          <w:rFonts w:cs="Arial"/>
          <w:szCs w:val="22"/>
        </w:rPr>
      </w:pPr>
      <w:r w:rsidRPr="006A721E">
        <w:rPr>
          <w:rFonts w:cs="Arial"/>
          <w:szCs w:val="22"/>
        </w:rPr>
        <w:t>It is the objector</w:t>
      </w:r>
      <w:r w:rsidR="00B97DD4" w:rsidRPr="006A721E">
        <w:rPr>
          <w:rFonts w:cs="Arial"/>
          <w:szCs w:val="22"/>
        </w:rPr>
        <w:t>’</w:t>
      </w:r>
      <w:r w:rsidRPr="006A721E">
        <w:rPr>
          <w:rFonts w:cs="Arial"/>
          <w:szCs w:val="22"/>
        </w:rPr>
        <w:t xml:space="preserve">s case that </w:t>
      </w:r>
      <w:r w:rsidR="00BB7BB2" w:rsidRPr="006A721E">
        <w:rPr>
          <w:rFonts w:cs="Arial"/>
          <w:szCs w:val="22"/>
        </w:rPr>
        <w:t xml:space="preserve">in relation to the statutory test under section 31 of the 1980 Act, the user evidence does not demonstrate use of </w:t>
      </w:r>
      <w:r w:rsidR="00A764D2" w:rsidRPr="006A721E">
        <w:rPr>
          <w:rFonts w:cs="Arial"/>
          <w:szCs w:val="22"/>
        </w:rPr>
        <w:t>‘</w:t>
      </w:r>
      <w:r w:rsidR="00BB7BB2" w:rsidRPr="006A721E">
        <w:rPr>
          <w:rFonts w:cs="Arial"/>
          <w:szCs w:val="22"/>
        </w:rPr>
        <w:t>a way’</w:t>
      </w:r>
      <w:r w:rsidR="008719AF" w:rsidRPr="006A721E">
        <w:rPr>
          <w:rFonts w:cs="Arial"/>
          <w:szCs w:val="22"/>
        </w:rPr>
        <w:t xml:space="preserve">; that is, </w:t>
      </w:r>
      <w:r w:rsidR="00A764D2" w:rsidRPr="006A721E">
        <w:rPr>
          <w:rFonts w:cs="Arial"/>
          <w:szCs w:val="22"/>
        </w:rPr>
        <w:t>a single defined route by which the public accessed the stream and wei</w:t>
      </w:r>
      <w:r w:rsidR="008719AF" w:rsidRPr="006A721E">
        <w:rPr>
          <w:rFonts w:cs="Arial"/>
          <w:szCs w:val="22"/>
        </w:rPr>
        <w:t>r. In</w:t>
      </w:r>
      <w:r w:rsidR="00222CE2" w:rsidRPr="006A721E">
        <w:rPr>
          <w:rFonts w:cs="Arial"/>
          <w:szCs w:val="22"/>
        </w:rPr>
        <w:t xml:space="preserve"> the objector’s view</w:t>
      </w:r>
      <w:r w:rsidR="008719AF" w:rsidRPr="006A721E">
        <w:rPr>
          <w:rFonts w:cs="Arial"/>
          <w:szCs w:val="22"/>
        </w:rPr>
        <w:t>,</w:t>
      </w:r>
      <w:r w:rsidR="00222CE2" w:rsidRPr="006A721E">
        <w:rPr>
          <w:rFonts w:cs="Arial"/>
          <w:szCs w:val="22"/>
        </w:rPr>
        <w:t xml:space="preserve"> </w:t>
      </w:r>
      <w:r w:rsidR="00723864" w:rsidRPr="006A721E">
        <w:rPr>
          <w:rFonts w:cs="Arial"/>
          <w:szCs w:val="22"/>
        </w:rPr>
        <w:t>the</w:t>
      </w:r>
      <w:r w:rsidR="008719AF" w:rsidRPr="006A721E">
        <w:rPr>
          <w:rFonts w:cs="Arial"/>
          <w:szCs w:val="22"/>
        </w:rPr>
        <w:t xml:space="preserve"> use</w:t>
      </w:r>
      <w:r w:rsidR="00DF1BEF" w:rsidRPr="006A721E">
        <w:rPr>
          <w:rFonts w:cs="Arial"/>
          <w:szCs w:val="22"/>
        </w:rPr>
        <w:t>r</w:t>
      </w:r>
      <w:r w:rsidR="00723864" w:rsidRPr="006A721E">
        <w:rPr>
          <w:rFonts w:cs="Arial"/>
          <w:szCs w:val="22"/>
        </w:rPr>
        <w:t xml:space="preserve"> evidence is of the public wandering at will over the open area of land between the definitive line of footpath 18a and the strea</w:t>
      </w:r>
      <w:r w:rsidR="008A54DF" w:rsidRPr="006A721E">
        <w:rPr>
          <w:rFonts w:cs="Arial"/>
          <w:szCs w:val="22"/>
        </w:rPr>
        <w:t>m</w:t>
      </w:r>
      <w:r w:rsidR="00A764D2" w:rsidRPr="006A721E">
        <w:rPr>
          <w:rFonts w:cs="Arial"/>
          <w:szCs w:val="22"/>
        </w:rPr>
        <w:t>.</w:t>
      </w:r>
      <w:r w:rsidR="00C87414" w:rsidRPr="006A721E">
        <w:rPr>
          <w:rFonts w:cs="Arial"/>
          <w:szCs w:val="22"/>
        </w:rPr>
        <w:t xml:space="preserve"> </w:t>
      </w:r>
      <w:r w:rsidR="0040229D" w:rsidRPr="006A721E">
        <w:rPr>
          <w:rFonts w:cs="Arial"/>
          <w:szCs w:val="22"/>
        </w:rPr>
        <w:t xml:space="preserve">Furthermore, </w:t>
      </w:r>
      <w:r w:rsidR="00EA4721" w:rsidRPr="006A721E">
        <w:rPr>
          <w:rFonts w:cs="Arial"/>
          <w:szCs w:val="22"/>
        </w:rPr>
        <w:t xml:space="preserve">and in the alternative, </w:t>
      </w:r>
      <w:r w:rsidR="0040229D" w:rsidRPr="006A721E">
        <w:rPr>
          <w:rFonts w:cs="Arial"/>
          <w:szCs w:val="22"/>
        </w:rPr>
        <w:t xml:space="preserve">the objectors contend that </w:t>
      </w:r>
      <w:r w:rsidR="00A93342" w:rsidRPr="006A721E">
        <w:rPr>
          <w:rFonts w:cs="Arial"/>
          <w:szCs w:val="22"/>
        </w:rPr>
        <w:t xml:space="preserve">the claimed use </w:t>
      </w:r>
      <w:r w:rsidR="00520A62" w:rsidRPr="006A721E">
        <w:rPr>
          <w:rFonts w:cs="Arial"/>
          <w:szCs w:val="22"/>
        </w:rPr>
        <w:t>of a way whic</w:t>
      </w:r>
      <w:r w:rsidR="00D858E5" w:rsidRPr="006A721E">
        <w:rPr>
          <w:rFonts w:cs="Arial"/>
          <w:szCs w:val="22"/>
        </w:rPr>
        <w:t xml:space="preserve">h is ancillary to </w:t>
      </w:r>
      <w:r w:rsidR="00A93342" w:rsidRPr="006A721E">
        <w:rPr>
          <w:rFonts w:cs="Arial"/>
          <w:szCs w:val="22"/>
        </w:rPr>
        <w:t xml:space="preserve">recreational activities such as swimming, </w:t>
      </w:r>
      <w:r w:rsidR="0051742A" w:rsidRPr="006A721E">
        <w:rPr>
          <w:rFonts w:cs="Arial"/>
          <w:szCs w:val="22"/>
        </w:rPr>
        <w:t>paddling,</w:t>
      </w:r>
      <w:r w:rsidR="00A93342" w:rsidRPr="006A721E">
        <w:rPr>
          <w:rFonts w:cs="Arial"/>
          <w:szCs w:val="22"/>
        </w:rPr>
        <w:t xml:space="preserve"> and fishing</w:t>
      </w:r>
      <w:r w:rsidR="00D858E5" w:rsidRPr="006A721E">
        <w:rPr>
          <w:rFonts w:cs="Arial"/>
          <w:szCs w:val="22"/>
        </w:rPr>
        <w:t xml:space="preserve"> cannot give rise to a public right of way and cite </w:t>
      </w:r>
      <w:r w:rsidR="00AE290C">
        <w:rPr>
          <w:rFonts w:cs="Arial"/>
          <w:szCs w:val="22"/>
        </w:rPr>
        <w:t xml:space="preserve">in support </w:t>
      </w:r>
      <w:r w:rsidR="00D27D0F" w:rsidRPr="006A721E">
        <w:rPr>
          <w:rFonts w:cs="Arial"/>
          <w:szCs w:val="22"/>
        </w:rPr>
        <w:t xml:space="preserve">the findings of the Court of Appeal in </w:t>
      </w:r>
      <w:r w:rsidR="00AB0FC7" w:rsidRPr="006A721E">
        <w:rPr>
          <w:rFonts w:cs="Arial"/>
          <w:i/>
          <w:iCs/>
          <w:szCs w:val="22"/>
        </w:rPr>
        <w:t>Dyfed CC v Secretary of State for Wales</w:t>
      </w:r>
      <w:r w:rsidR="00AB0FC7" w:rsidRPr="006A721E">
        <w:rPr>
          <w:rFonts w:cs="Arial"/>
          <w:szCs w:val="22"/>
        </w:rPr>
        <w:t xml:space="preserve"> (1990) </w:t>
      </w:r>
      <w:r w:rsidR="00D27D0F" w:rsidRPr="006A721E">
        <w:rPr>
          <w:rFonts w:cs="Arial"/>
          <w:szCs w:val="22"/>
        </w:rPr>
        <w:t>59 P. &amp; C.R. 275.</w:t>
      </w:r>
    </w:p>
    <w:p w14:paraId="4AAC248D" w14:textId="4BFA8EBD" w:rsidR="00607531" w:rsidRPr="006A721E" w:rsidRDefault="009A4155" w:rsidP="00C87414">
      <w:pPr>
        <w:pStyle w:val="Style1"/>
        <w:rPr>
          <w:rFonts w:cs="Arial"/>
          <w:szCs w:val="22"/>
        </w:rPr>
      </w:pPr>
      <w:r w:rsidRPr="006A721E">
        <w:rPr>
          <w:rFonts w:cs="Arial"/>
          <w:szCs w:val="22"/>
        </w:rPr>
        <w:t xml:space="preserve">The question which arises therefore, is whether the user evidence demonstrates that ‘a way’ has been </w:t>
      </w:r>
      <w:r w:rsidR="006C7562" w:rsidRPr="006A721E">
        <w:rPr>
          <w:rFonts w:cs="Arial"/>
          <w:szCs w:val="22"/>
        </w:rPr>
        <w:t xml:space="preserve">actually enjoyed by the public. </w:t>
      </w:r>
      <w:r w:rsidR="0040229D" w:rsidRPr="006A721E">
        <w:rPr>
          <w:rFonts w:cs="Arial"/>
          <w:szCs w:val="22"/>
        </w:rPr>
        <w:t>I</w:t>
      </w:r>
      <w:r w:rsidR="00C87414" w:rsidRPr="006A721E">
        <w:rPr>
          <w:rFonts w:cs="Arial"/>
          <w:szCs w:val="22"/>
        </w:rPr>
        <w:t xml:space="preserve">f </w:t>
      </w:r>
      <w:r w:rsidR="00E11E8A" w:rsidRPr="006A721E">
        <w:rPr>
          <w:rFonts w:cs="Arial"/>
          <w:szCs w:val="22"/>
        </w:rPr>
        <w:t xml:space="preserve">it cannot be demonstrated that </w:t>
      </w:r>
      <w:r w:rsidR="00C02D74" w:rsidRPr="006A721E">
        <w:rPr>
          <w:rFonts w:cs="Arial"/>
          <w:szCs w:val="22"/>
        </w:rPr>
        <w:t>‘</w:t>
      </w:r>
      <w:r w:rsidR="00E11E8A" w:rsidRPr="006A721E">
        <w:rPr>
          <w:rFonts w:cs="Arial"/>
          <w:szCs w:val="22"/>
        </w:rPr>
        <w:t>a way’ has actually been enjoyed by the public, then the</w:t>
      </w:r>
      <w:r w:rsidR="00982B93" w:rsidRPr="006A721E">
        <w:rPr>
          <w:rFonts w:cs="Arial"/>
          <w:szCs w:val="22"/>
        </w:rPr>
        <w:t xml:space="preserve"> s</w:t>
      </w:r>
      <w:r w:rsidR="00263407">
        <w:rPr>
          <w:rFonts w:cs="Arial"/>
          <w:szCs w:val="22"/>
        </w:rPr>
        <w:t xml:space="preserve">ection </w:t>
      </w:r>
      <w:r w:rsidR="00E11E8A" w:rsidRPr="006A721E">
        <w:rPr>
          <w:rFonts w:cs="Arial"/>
          <w:szCs w:val="22"/>
        </w:rPr>
        <w:t xml:space="preserve">31 test </w:t>
      </w:r>
      <w:r w:rsidR="00982B93" w:rsidRPr="006A721E">
        <w:rPr>
          <w:rFonts w:cs="Arial"/>
          <w:szCs w:val="22"/>
        </w:rPr>
        <w:t xml:space="preserve">under the 1980 Act </w:t>
      </w:r>
      <w:r w:rsidR="00263407">
        <w:rPr>
          <w:rFonts w:cs="Arial"/>
          <w:szCs w:val="22"/>
        </w:rPr>
        <w:t>will not be</w:t>
      </w:r>
      <w:r w:rsidR="00E11E8A" w:rsidRPr="006A721E">
        <w:rPr>
          <w:rFonts w:cs="Arial"/>
          <w:szCs w:val="22"/>
        </w:rPr>
        <w:t xml:space="preserve"> engaged.</w:t>
      </w:r>
    </w:p>
    <w:p w14:paraId="663A277C" w14:textId="319BF263" w:rsidR="0033422A" w:rsidRPr="006A721E" w:rsidRDefault="007B0DAC" w:rsidP="00065CF8">
      <w:pPr>
        <w:pStyle w:val="Style1"/>
        <w:rPr>
          <w:rFonts w:cs="Arial"/>
          <w:szCs w:val="22"/>
        </w:rPr>
      </w:pPr>
      <w:r w:rsidRPr="006A721E">
        <w:rPr>
          <w:rFonts w:cs="Arial"/>
          <w:szCs w:val="22"/>
        </w:rPr>
        <w:t>Of the copies of the UEFs which have been forwarded to me, only 9</w:t>
      </w:r>
      <w:r w:rsidR="004C7F5F" w:rsidRPr="006A721E">
        <w:rPr>
          <w:rFonts w:cs="Arial"/>
          <w:szCs w:val="22"/>
        </w:rPr>
        <w:t xml:space="preserve"> have a plan attached, despite a number of th</w:t>
      </w:r>
      <w:r w:rsidR="005033C3" w:rsidRPr="006A721E">
        <w:rPr>
          <w:rFonts w:cs="Arial"/>
          <w:szCs w:val="22"/>
        </w:rPr>
        <w:t xml:space="preserve">ose which do not have a </w:t>
      </w:r>
      <w:r w:rsidR="006D47C7" w:rsidRPr="006A721E">
        <w:rPr>
          <w:rFonts w:cs="Arial"/>
          <w:szCs w:val="22"/>
        </w:rPr>
        <w:t>plan</w:t>
      </w:r>
      <w:r w:rsidR="005033C3" w:rsidRPr="006A721E">
        <w:rPr>
          <w:rFonts w:cs="Arial"/>
          <w:szCs w:val="22"/>
        </w:rPr>
        <w:t xml:space="preserve"> of the route used</w:t>
      </w:r>
      <w:r w:rsidR="004C7F5F" w:rsidRPr="006A721E">
        <w:rPr>
          <w:rFonts w:cs="Arial"/>
          <w:szCs w:val="22"/>
        </w:rPr>
        <w:t xml:space="preserve"> stating “</w:t>
      </w:r>
      <w:r w:rsidR="009431B4" w:rsidRPr="006A721E">
        <w:rPr>
          <w:rFonts w:cs="Arial"/>
          <w:i/>
          <w:iCs/>
          <w:szCs w:val="22"/>
        </w:rPr>
        <w:t>see map</w:t>
      </w:r>
      <w:r w:rsidR="009431B4" w:rsidRPr="006A721E">
        <w:rPr>
          <w:rFonts w:cs="Arial"/>
          <w:szCs w:val="22"/>
        </w:rPr>
        <w:t>”</w:t>
      </w:r>
      <w:r w:rsidR="005033C3" w:rsidRPr="006A721E">
        <w:rPr>
          <w:rFonts w:cs="Arial"/>
          <w:szCs w:val="22"/>
        </w:rPr>
        <w:t>;</w:t>
      </w:r>
      <w:r w:rsidR="009431B4" w:rsidRPr="006A721E">
        <w:rPr>
          <w:rFonts w:cs="Arial"/>
          <w:szCs w:val="22"/>
        </w:rPr>
        <w:t xml:space="preserve"> “</w:t>
      </w:r>
      <w:r w:rsidR="009431B4" w:rsidRPr="006A721E">
        <w:rPr>
          <w:rFonts w:cs="Arial"/>
          <w:i/>
          <w:iCs/>
          <w:szCs w:val="22"/>
        </w:rPr>
        <w:t>see plan marked in yellow</w:t>
      </w:r>
      <w:r w:rsidR="009431B4" w:rsidRPr="006A721E">
        <w:rPr>
          <w:rFonts w:cs="Arial"/>
          <w:szCs w:val="22"/>
        </w:rPr>
        <w:t xml:space="preserve">” </w:t>
      </w:r>
      <w:r w:rsidR="003629EF" w:rsidRPr="006A721E">
        <w:rPr>
          <w:rFonts w:cs="Arial"/>
          <w:szCs w:val="22"/>
        </w:rPr>
        <w:t>“</w:t>
      </w:r>
      <w:r w:rsidR="003629EF" w:rsidRPr="006A721E">
        <w:rPr>
          <w:rFonts w:cs="Arial"/>
          <w:i/>
          <w:iCs/>
          <w:szCs w:val="22"/>
        </w:rPr>
        <w:t>as shown on pla</w:t>
      </w:r>
      <w:r w:rsidR="00EF21A8" w:rsidRPr="006A721E">
        <w:rPr>
          <w:rFonts w:cs="Arial"/>
          <w:i/>
          <w:iCs/>
          <w:szCs w:val="22"/>
        </w:rPr>
        <w:t>n</w:t>
      </w:r>
      <w:r w:rsidR="00EF21A8" w:rsidRPr="006A721E">
        <w:rPr>
          <w:rFonts w:cs="Arial"/>
          <w:szCs w:val="22"/>
        </w:rPr>
        <w:t>”</w:t>
      </w:r>
      <w:r w:rsidR="00E636EC" w:rsidRPr="006A721E">
        <w:rPr>
          <w:rFonts w:cs="Arial"/>
          <w:szCs w:val="22"/>
        </w:rPr>
        <w:t>;</w:t>
      </w:r>
      <w:r w:rsidR="00EF21A8" w:rsidRPr="006A721E">
        <w:rPr>
          <w:rFonts w:cs="Arial"/>
          <w:szCs w:val="22"/>
        </w:rPr>
        <w:t xml:space="preserve"> </w:t>
      </w:r>
      <w:r w:rsidR="0011738A" w:rsidRPr="006A721E">
        <w:rPr>
          <w:rFonts w:cs="Arial"/>
          <w:szCs w:val="22"/>
        </w:rPr>
        <w:t xml:space="preserve">or </w:t>
      </w:r>
      <w:r w:rsidR="00EF21A8" w:rsidRPr="006A721E">
        <w:rPr>
          <w:rFonts w:cs="Arial"/>
          <w:szCs w:val="22"/>
        </w:rPr>
        <w:t>“</w:t>
      </w:r>
      <w:r w:rsidR="00EF21A8" w:rsidRPr="006A721E">
        <w:rPr>
          <w:rFonts w:cs="Arial"/>
          <w:i/>
          <w:iCs/>
          <w:szCs w:val="22"/>
        </w:rPr>
        <w:t>see attached map marked in yellow</w:t>
      </w:r>
      <w:r w:rsidR="00EF21A8" w:rsidRPr="006A721E">
        <w:rPr>
          <w:rFonts w:cs="Arial"/>
          <w:szCs w:val="22"/>
        </w:rPr>
        <w:t>”</w:t>
      </w:r>
      <w:r w:rsidR="00901D33" w:rsidRPr="006A721E">
        <w:rPr>
          <w:rFonts w:cs="Arial"/>
          <w:szCs w:val="22"/>
        </w:rPr>
        <w:t xml:space="preserve">. </w:t>
      </w:r>
    </w:p>
    <w:p w14:paraId="6E5E67CB" w14:textId="2DB7997F" w:rsidR="008662C7" w:rsidRPr="006A721E" w:rsidRDefault="0003134F" w:rsidP="008662C7">
      <w:pPr>
        <w:pStyle w:val="Style1"/>
        <w:rPr>
          <w:rFonts w:cs="Arial"/>
          <w:szCs w:val="22"/>
        </w:rPr>
      </w:pPr>
      <w:r w:rsidRPr="006A721E">
        <w:rPr>
          <w:rFonts w:cs="Arial"/>
          <w:szCs w:val="22"/>
        </w:rPr>
        <w:t>O</w:t>
      </w:r>
      <w:r w:rsidR="00901D33" w:rsidRPr="006A721E">
        <w:rPr>
          <w:rFonts w:cs="Arial"/>
          <w:szCs w:val="22"/>
        </w:rPr>
        <w:t xml:space="preserve">f those UEFs </w:t>
      </w:r>
      <w:r w:rsidR="00602406" w:rsidRPr="006A721E">
        <w:rPr>
          <w:rFonts w:cs="Arial"/>
          <w:szCs w:val="22"/>
        </w:rPr>
        <w:t xml:space="preserve">which were accompanied by a plan, </w:t>
      </w:r>
      <w:r w:rsidR="0003193A" w:rsidRPr="006A721E">
        <w:rPr>
          <w:rFonts w:cs="Arial"/>
          <w:szCs w:val="22"/>
        </w:rPr>
        <w:t>the route</w:t>
      </w:r>
      <w:r w:rsidR="009874EA" w:rsidRPr="006A721E">
        <w:rPr>
          <w:rFonts w:cs="Arial"/>
          <w:szCs w:val="22"/>
        </w:rPr>
        <w:t xml:space="preserve"> claimed is shown in yellow</w:t>
      </w:r>
      <w:r w:rsidR="004E4FC9" w:rsidRPr="006A721E">
        <w:rPr>
          <w:rFonts w:cs="Arial"/>
          <w:szCs w:val="22"/>
        </w:rPr>
        <w:t xml:space="preserve"> </w:t>
      </w:r>
      <w:r w:rsidR="00FE5C55">
        <w:rPr>
          <w:rFonts w:cs="Arial"/>
          <w:szCs w:val="22"/>
        </w:rPr>
        <w:t>but does not</w:t>
      </w:r>
      <w:r w:rsidR="00AA18C0" w:rsidRPr="006A721E">
        <w:rPr>
          <w:rFonts w:cs="Arial"/>
          <w:szCs w:val="22"/>
        </w:rPr>
        <w:t xml:space="preserve"> </w:t>
      </w:r>
      <w:r w:rsidR="00C033D9">
        <w:rPr>
          <w:rFonts w:cs="Arial"/>
          <w:szCs w:val="22"/>
        </w:rPr>
        <w:t>represent the route</w:t>
      </w:r>
      <w:r w:rsidR="00AA18C0" w:rsidRPr="006A721E">
        <w:rPr>
          <w:rFonts w:cs="Arial"/>
          <w:szCs w:val="22"/>
        </w:rPr>
        <w:t xml:space="preserve"> </w:t>
      </w:r>
      <w:r w:rsidR="00C033D9">
        <w:rPr>
          <w:rFonts w:cs="Arial"/>
          <w:szCs w:val="22"/>
        </w:rPr>
        <w:t>shown</w:t>
      </w:r>
      <w:r w:rsidR="00AA18C0" w:rsidRPr="006A721E">
        <w:rPr>
          <w:rFonts w:cs="Arial"/>
          <w:szCs w:val="22"/>
        </w:rPr>
        <w:t xml:space="preserve"> A – B – C in the Order plan</w:t>
      </w:r>
      <w:r w:rsidR="00CC0D21" w:rsidRPr="006A721E">
        <w:rPr>
          <w:rFonts w:cs="Arial"/>
          <w:szCs w:val="22"/>
        </w:rPr>
        <w:t>. T</w:t>
      </w:r>
      <w:r w:rsidR="008B43C6" w:rsidRPr="006A721E">
        <w:rPr>
          <w:rFonts w:cs="Arial"/>
          <w:szCs w:val="22"/>
        </w:rPr>
        <w:t xml:space="preserve">he route shown </w:t>
      </w:r>
      <w:r w:rsidR="00AB73B6" w:rsidRPr="006A721E">
        <w:rPr>
          <w:rFonts w:cs="Arial"/>
          <w:szCs w:val="22"/>
        </w:rPr>
        <w:t xml:space="preserve">in yellow </w:t>
      </w:r>
      <w:r w:rsidR="00F86BD4" w:rsidRPr="006A721E">
        <w:rPr>
          <w:rFonts w:cs="Arial"/>
          <w:szCs w:val="22"/>
        </w:rPr>
        <w:t xml:space="preserve">is identical on all 9 </w:t>
      </w:r>
      <w:r w:rsidR="00AB73B6" w:rsidRPr="006A721E">
        <w:rPr>
          <w:rFonts w:cs="Arial"/>
          <w:szCs w:val="22"/>
        </w:rPr>
        <w:t>plans</w:t>
      </w:r>
      <w:r w:rsidR="00F86BD4" w:rsidRPr="006A721E">
        <w:rPr>
          <w:rFonts w:cs="Arial"/>
          <w:szCs w:val="22"/>
        </w:rPr>
        <w:t xml:space="preserve"> </w:t>
      </w:r>
      <w:r w:rsidR="00236505" w:rsidRPr="006A721E">
        <w:rPr>
          <w:rFonts w:cs="Arial"/>
          <w:szCs w:val="22"/>
        </w:rPr>
        <w:t>which were submitted.</w:t>
      </w:r>
      <w:r w:rsidR="008662C7" w:rsidRPr="006A721E">
        <w:rPr>
          <w:rFonts w:cs="Arial"/>
          <w:szCs w:val="22"/>
        </w:rPr>
        <w:t xml:space="preserve"> </w:t>
      </w:r>
      <w:r w:rsidRPr="006A721E">
        <w:rPr>
          <w:rFonts w:cs="Arial"/>
          <w:szCs w:val="22"/>
        </w:rPr>
        <w:t>However, 5</w:t>
      </w:r>
      <w:r w:rsidR="008662C7" w:rsidRPr="006A721E">
        <w:rPr>
          <w:rFonts w:cs="Arial"/>
          <w:szCs w:val="22"/>
        </w:rPr>
        <w:t xml:space="preserve"> of these 9 plans have been annotated to show an alternative route</w:t>
      </w:r>
      <w:r w:rsidR="00E8189B" w:rsidRPr="006A721E">
        <w:rPr>
          <w:rFonts w:cs="Arial"/>
          <w:szCs w:val="22"/>
        </w:rPr>
        <w:t xml:space="preserve"> </w:t>
      </w:r>
      <w:r w:rsidR="008662C7" w:rsidRPr="006A721E">
        <w:rPr>
          <w:rFonts w:cs="Arial"/>
          <w:szCs w:val="22"/>
        </w:rPr>
        <w:t>by means of a blue line with cross hatching</w:t>
      </w:r>
      <w:r w:rsidR="007566E5" w:rsidRPr="006A721E">
        <w:rPr>
          <w:rFonts w:cs="Arial"/>
          <w:szCs w:val="22"/>
        </w:rPr>
        <w:t xml:space="preserve">; this second </w:t>
      </w:r>
      <w:r w:rsidR="00FC47F8" w:rsidRPr="006A721E">
        <w:rPr>
          <w:rFonts w:cs="Arial"/>
          <w:szCs w:val="22"/>
        </w:rPr>
        <w:t xml:space="preserve">route is also identical across all </w:t>
      </w:r>
      <w:r w:rsidR="00263407">
        <w:rPr>
          <w:rFonts w:cs="Arial"/>
          <w:szCs w:val="22"/>
        </w:rPr>
        <w:t>5</w:t>
      </w:r>
      <w:r w:rsidR="00FC47F8" w:rsidRPr="006A721E">
        <w:rPr>
          <w:rFonts w:cs="Arial"/>
          <w:szCs w:val="22"/>
        </w:rPr>
        <w:t xml:space="preserve"> of these plans.</w:t>
      </w:r>
      <w:r w:rsidR="008662C7" w:rsidRPr="006A721E">
        <w:rPr>
          <w:rFonts w:cs="Arial"/>
          <w:szCs w:val="22"/>
        </w:rPr>
        <w:t xml:space="preserve"> </w:t>
      </w:r>
      <w:r w:rsidR="004E7661" w:rsidRPr="006A721E">
        <w:rPr>
          <w:rFonts w:cs="Arial"/>
          <w:szCs w:val="22"/>
        </w:rPr>
        <w:t xml:space="preserve">None of the </w:t>
      </w:r>
      <w:r w:rsidR="00A5632F" w:rsidRPr="006A721E">
        <w:rPr>
          <w:rFonts w:cs="Arial"/>
          <w:szCs w:val="22"/>
        </w:rPr>
        <w:t>plans are signed by those who completed the UEF to which the plan is attached.</w:t>
      </w:r>
      <w:r w:rsidR="008662C7" w:rsidRPr="006A721E">
        <w:rPr>
          <w:rFonts w:cs="Arial"/>
          <w:szCs w:val="22"/>
        </w:rPr>
        <w:t xml:space="preserve"> </w:t>
      </w:r>
    </w:p>
    <w:p w14:paraId="0FF3F66B" w14:textId="7F48D454" w:rsidR="004E7661" w:rsidRPr="006A721E" w:rsidRDefault="00FC47F8" w:rsidP="008662C7">
      <w:pPr>
        <w:pStyle w:val="Style1"/>
        <w:rPr>
          <w:rFonts w:cs="Arial"/>
          <w:szCs w:val="22"/>
        </w:rPr>
      </w:pPr>
      <w:r w:rsidRPr="006A721E">
        <w:rPr>
          <w:rFonts w:cs="Arial"/>
          <w:szCs w:val="22"/>
        </w:rPr>
        <w:t>Th</w:t>
      </w:r>
      <w:r w:rsidR="0065562E" w:rsidRPr="006A721E">
        <w:rPr>
          <w:rFonts w:cs="Arial"/>
          <w:szCs w:val="22"/>
        </w:rPr>
        <w:t>at the yellow route is shown identically acr</w:t>
      </w:r>
      <w:r w:rsidR="008169E9" w:rsidRPr="006A721E">
        <w:rPr>
          <w:rFonts w:cs="Arial"/>
          <w:szCs w:val="22"/>
        </w:rPr>
        <w:t xml:space="preserve">oss the </w:t>
      </w:r>
      <w:r w:rsidR="00263407">
        <w:rPr>
          <w:rFonts w:cs="Arial"/>
          <w:szCs w:val="22"/>
        </w:rPr>
        <w:t>9</w:t>
      </w:r>
      <w:r w:rsidR="008169E9" w:rsidRPr="006A721E">
        <w:rPr>
          <w:rFonts w:cs="Arial"/>
          <w:szCs w:val="22"/>
        </w:rPr>
        <w:t xml:space="preserve"> submitted plans </w:t>
      </w:r>
      <w:r w:rsidR="00FF4B27" w:rsidRPr="006A721E">
        <w:rPr>
          <w:rFonts w:cs="Arial"/>
          <w:szCs w:val="22"/>
        </w:rPr>
        <w:t xml:space="preserve">and the alternative route </w:t>
      </w:r>
      <w:r w:rsidR="00736BE4" w:rsidRPr="006A721E">
        <w:rPr>
          <w:rFonts w:cs="Arial"/>
          <w:szCs w:val="22"/>
        </w:rPr>
        <w:t xml:space="preserve">is identical on </w:t>
      </w:r>
      <w:r w:rsidR="00263407">
        <w:rPr>
          <w:rFonts w:cs="Arial"/>
          <w:szCs w:val="22"/>
        </w:rPr>
        <w:t>5</w:t>
      </w:r>
      <w:r w:rsidR="00736BE4" w:rsidRPr="006A721E">
        <w:rPr>
          <w:rFonts w:cs="Arial"/>
          <w:szCs w:val="22"/>
        </w:rPr>
        <w:t xml:space="preserve"> of th</w:t>
      </w:r>
      <w:r w:rsidR="0011738A" w:rsidRPr="006A721E">
        <w:rPr>
          <w:rFonts w:cs="Arial"/>
          <w:szCs w:val="22"/>
        </w:rPr>
        <w:t>em</w:t>
      </w:r>
      <w:r w:rsidR="00736BE4" w:rsidRPr="006A721E">
        <w:rPr>
          <w:rFonts w:cs="Arial"/>
          <w:szCs w:val="22"/>
        </w:rPr>
        <w:t xml:space="preserve"> </w:t>
      </w:r>
      <w:r w:rsidR="008169E9" w:rsidRPr="006A721E">
        <w:rPr>
          <w:rFonts w:cs="Arial"/>
          <w:szCs w:val="22"/>
        </w:rPr>
        <w:t>suggests</w:t>
      </w:r>
      <w:r w:rsidR="00F86BD4" w:rsidRPr="006A721E">
        <w:rPr>
          <w:rFonts w:cs="Arial"/>
          <w:szCs w:val="22"/>
        </w:rPr>
        <w:t xml:space="preserve"> the plan</w:t>
      </w:r>
      <w:r w:rsidR="00CB1E3D" w:rsidRPr="006A721E">
        <w:rPr>
          <w:rFonts w:cs="Arial"/>
          <w:szCs w:val="22"/>
        </w:rPr>
        <w:t>s</w:t>
      </w:r>
      <w:r w:rsidR="00F86BD4" w:rsidRPr="006A721E">
        <w:rPr>
          <w:rFonts w:cs="Arial"/>
          <w:szCs w:val="22"/>
        </w:rPr>
        <w:t xml:space="preserve"> </w:t>
      </w:r>
      <w:r w:rsidR="00CB1E3D" w:rsidRPr="006A721E">
        <w:rPr>
          <w:rFonts w:cs="Arial"/>
          <w:szCs w:val="22"/>
        </w:rPr>
        <w:t>had</w:t>
      </w:r>
      <w:r w:rsidR="00F86BD4" w:rsidRPr="006A721E">
        <w:rPr>
          <w:rFonts w:cs="Arial"/>
          <w:szCs w:val="22"/>
        </w:rPr>
        <w:t xml:space="preserve"> been created </w:t>
      </w:r>
      <w:r w:rsidR="00AB73B6" w:rsidRPr="006A721E">
        <w:rPr>
          <w:rFonts w:cs="Arial"/>
          <w:szCs w:val="22"/>
        </w:rPr>
        <w:t xml:space="preserve">by a third party </w:t>
      </w:r>
      <w:r w:rsidR="003A695E" w:rsidRPr="006A721E">
        <w:rPr>
          <w:rFonts w:cs="Arial"/>
          <w:szCs w:val="22"/>
        </w:rPr>
        <w:t xml:space="preserve">and issued to at least some of those who submitted </w:t>
      </w:r>
      <w:r w:rsidR="00736BE4" w:rsidRPr="006A721E">
        <w:rPr>
          <w:rFonts w:cs="Arial"/>
          <w:szCs w:val="22"/>
        </w:rPr>
        <w:t xml:space="preserve">user evidence. </w:t>
      </w:r>
      <w:r w:rsidR="00F56FB7" w:rsidRPr="006A721E">
        <w:rPr>
          <w:rFonts w:cs="Arial"/>
          <w:szCs w:val="22"/>
        </w:rPr>
        <w:t>T</w:t>
      </w:r>
      <w:r w:rsidR="00967862" w:rsidRPr="006A721E">
        <w:rPr>
          <w:rFonts w:cs="Arial"/>
          <w:szCs w:val="22"/>
        </w:rPr>
        <w:t xml:space="preserve">hat a number of the UEFs which did not include a plan refer to </w:t>
      </w:r>
      <w:r w:rsidR="00DE1C52" w:rsidRPr="006A721E">
        <w:rPr>
          <w:rFonts w:cs="Arial"/>
          <w:szCs w:val="22"/>
        </w:rPr>
        <w:t>a “</w:t>
      </w:r>
      <w:r w:rsidR="00DE1C52" w:rsidRPr="006A721E">
        <w:rPr>
          <w:rFonts w:cs="Arial"/>
          <w:i/>
          <w:iCs/>
          <w:szCs w:val="22"/>
        </w:rPr>
        <w:t>plan marked in yellow</w:t>
      </w:r>
      <w:r w:rsidR="00DE1C52" w:rsidRPr="006A721E">
        <w:rPr>
          <w:rFonts w:cs="Arial"/>
          <w:szCs w:val="22"/>
        </w:rPr>
        <w:t xml:space="preserve">” </w:t>
      </w:r>
      <w:r w:rsidR="00D625ED" w:rsidRPr="006A721E">
        <w:rPr>
          <w:rFonts w:cs="Arial"/>
          <w:szCs w:val="22"/>
        </w:rPr>
        <w:t>also suggests that the plan was created for general circulation.</w:t>
      </w:r>
      <w:r w:rsidR="00F56FB7" w:rsidRPr="006A721E">
        <w:rPr>
          <w:rFonts w:cs="Arial"/>
          <w:szCs w:val="22"/>
        </w:rPr>
        <w:t xml:space="preserve"> </w:t>
      </w:r>
    </w:p>
    <w:p w14:paraId="03F220CD" w14:textId="2CD4AB47" w:rsidR="00114926" w:rsidRPr="006A721E" w:rsidRDefault="00E31421" w:rsidP="00497995">
      <w:pPr>
        <w:pStyle w:val="Style1"/>
        <w:rPr>
          <w:rFonts w:cs="Arial"/>
          <w:szCs w:val="22"/>
        </w:rPr>
      </w:pPr>
      <w:r w:rsidRPr="006A721E">
        <w:rPr>
          <w:rFonts w:cs="Arial"/>
          <w:szCs w:val="22"/>
        </w:rPr>
        <w:t xml:space="preserve">Whilst the preparation of a plan to assist respondents in focusing </w:t>
      </w:r>
      <w:r w:rsidR="00F257DC" w:rsidRPr="006A721E">
        <w:rPr>
          <w:rFonts w:cs="Arial"/>
          <w:szCs w:val="22"/>
        </w:rPr>
        <w:t xml:space="preserve">their evidence </w:t>
      </w:r>
      <w:r w:rsidR="002A50A3" w:rsidRPr="006A721E">
        <w:rPr>
          <w:rFonts w:cs="Arial"/>
          <w:szCs w:val="22"/>
        </w:rPr>
        <w:t xml:space="preserve">is not unusual, the </w:t>
      </w:r>
      <w:r w:rsidR="00DC360D" w:rsidRPr="006A721E">
        <w:rPr>
          <w:rFonts w:cs="Arial"/>
          <w:szCs w:val="22"/>
        </w:rPr>
        <w:t xml:space="preserve">absence of </w:t>
      </w:r>
      <w:r w:rsidR="00BD6BC9" w:rsidRPr="006A721E">
        <w:rPr>
          <w:rFonts w:cs="Arial"/>
          <w:szCs w:val="22"/>
        </w:rPr>
        <w:t xml:space="preserve">plans from the majority of the UEFs </w:t>
      </w:r>
      <w:r w:rsidR="00B40BDE" w:rsidRPr="006A721E">
        <w:rPr>
          <w:rFonts w:cs="Arial"/>
          <w:szCs w:val="22"/>
        </w:rPr>
        <w:t xml:space="preserve">limits </w:t>
      </w:r>
      <w:r w:rsidR="00497995" w:rsidRPr="006A721E">
        <w:rPr>
          <w:rFonts w:cs="Arial"/>
          <w:szCs w:val="22"/>
        </w:rPr>
        <w:t>the weight that can be attached to the evidence as relating to the use of a specific route</w:t>
      </w:r>
      <w:r w:rsidR="00C76A4C" w:rsidRPr="006A721E">
        <w:rPr>
          <w:rFonts w:cs="Arial"/>
          <w:szCs w:val="22"/>
        </w:rPr>
        <w:t>.</w:t>
      </w:r>
    </w:p>
    <w:p w14:paraId="04CB173B" w14:textId="4E870B21" w:rsidR="009C2FD1" w:rsidRPr="006A721E" w:rsidRDefault="00EB5524" w:rsidP="00497995">
      <w:pPr>
        <w:pStyle w:val="Style1"/>
        <w:rPr>
          <w:rFonts w:cs="Arial"/>
          <w:szCs w:val="22"/>
        </w:rPr>
      </w:pPr>
      <w:r w:rsidRPr="006A721E">
        <w:rPr>
          <w:rFonts w:cs="Arial"/>
          <w:szCs w:val="22"/>
        </w:rPr>
        <w:t xml:space="preserve">Furthermore, the route shown in the plans attached to the UEFs </w:t>
      </w:r>
      <w:r w:rsidR="005D3A74" w:rsidRPr="006A721E">
        <w:rPr>
          <w:rFonts w:cs="Arial"/>
          <w:szCs w:val="22"/>
        </w:rPr>
        <w:t xml:space="preserve">and shown in the Order plan does not appear to have been that which the respondents claim </w:t>
      </w:r>
      <w:r w:rsidR="005D3A74" w:rsidRPr="006A721E">
        <w:rPr>
          <w:rFonts w:cs="Arial"/>
          <w:szCs w:val="22"/>
        </w:rPr>
        <w:lastRenderedPageBreak/>
        <w:t xml:space="preserve">to have used. </w:t>
      </w:r>
      <w:r w:rsidR="009C2FD1" w:rsidRPr="006A721E">
        <w:rPr>
          <w:rFonts w:cs="Arial"/>
          <w:szCs w:val="22"/>
        </w:rPr>
        <w:t>In its submissions, CFG stated that the route being claimed ‘</w:t>
      </w:r>
      <w:r w:rsidR="009C2FD1" w:rsidRPr="006A721E">
        <w:rPr>
          <w:rFonts w:cs="Arial"/>
          <w:i/>
          <w:iCs/>
          <w:szCs w:val="22"/>
        </w:rPr>
        <w:t>leaves footpath 18a at the bottom of the slope at a point about 15 metres south of the junction of footpath 18a and bridleway 7b. It then proceeds to the edge of the mill pond and returns to footpath 18a at a point approximately 45 metres south of the junction of footpath 18a and bridleway 7b</w:t>
      </w:r>
      <w:r w:rsidR="009C2FD1" w:rsidRPr="006A721E">
        <w:rPr>
          <w:rFonts w:cs="Arial"/>
          <w:szCs w:val="22"/>
        </w:rPr>
        <w:t>”. At the site inspection it was this route which the supporters of the Order indicated to me as being the one they had used.</w:t>
      </w:r>
    </w:p>
    <w:p w14:paraId="54536678" w14:textId="4ABCE285" w:rsidR="008C6FB1" w:rsidRPr="006A721E" w:rsidRDefault="0001047B" w:rsidP="00497995">
      <w:pPr>
        <w:pStyle w:val="Style1"/>
        <w:rPr>
          <w:rFonts w:cs="Arial"/>
          <w:szCs w:val="22"/>
        </w:rPr>
      </w:pPr>
      <w:r w:rsidRPr="006A721E">
        <w:rPr>
          <w:rFonts w:cs="Arial"/>
          <w:szCs w:val="22"/>
        </w:rPr>
        <w:t>That part of the Order route A – B would run over ground which is steep</w:t>
      </w:r>
      <w:r w:rsidR="0009288B" w:rsidRPr="006A721E">
        <w:rPr>
          <w:rFonts w:cs="Arial"/>
          <w:szCs w:val="22"/>
        </w:rPr>
        <w:t xml:space="preserve"> and </w:t>
      </w:r>
      <w:r w:rsidR="00561826" w:rsidRPr="006A721E">
        <w:rPr>
          <w:rFonts w:cs="Arial"/>
          <w:szCs w:val="22"/>
        </w:rPr>
        <w:t xml:space="preserve">was thickly vegetated at the time of my site inspection. </w:t>
      </w:r>
      <w:r w:rsidR="00CF33B8" w:rsidRPr="006A721E">
        <w:rPr>
          <w:rFonts w:cs="Arial"/>
          <w:szCs w:val="22"/>
        </w:rPr>
        <w:t>Whilst i</w:t>
      </w:r>
      <w:r w:rsidR="000F35AC" w:rsidRPr="006A721E">
        <w:rPr>
          <w:rFonts w:cs="Arial"/>
          <w:szCs w:val="22"/>
        </w:rPr>
        <w:t xml:space="preserve">t may be that erosion </w:t>
      </w:r>
      <w:r w:rsidR="00CE39AE" w:rsidRPr="006A721E">
        <w:rPr>
          <w:rFonts w:cs="Arial"/>
          <w:szCs w:val="22"/>
        </w:rPr>
        <w:t xml:space="preserve">of the stream bank has occurred </w:t>
      </w:r>
      <w:r w:rsidR="007573D9" w:rsidRPr="006A721E">
        <w:rPr>
          <w:rFonts w:cs="Arial"/>
          <w:szCs w:val="22"/>
        </w:rPr>
        <w:t>post</w:t>
      </w:r>
      <w:r w:rsidR="00386063" w:rsidRPr="006A721E">
        <w:rPr>
          <w:rFonts w:cs="Arial"/>
          <w:szCs w:val="22"/>
        </w:rPr>
        <w:t>-</w:t>
      </w:r>
      <w:r w:rsidR="007573D9" w:rsidRPr="006A721E">
        <w:rPr>
          <w:rFonts w:cs="Arial"/>
          <w:szCs w:val="22"/>
        </w:rPr>
        <w:t xml:space="preserve">2012 which </w:t>
      </w:r>
      <w:r w:rsidR="006144B1" w:rsidRPr="006A721E">
        <w:rPr>
          <w:rFonts w:cs="Arial"/>
          <w:szCs w:val="22"/>
        </w:rPr>
        <w:t xml:space="preserve">would </w:t>
      </w:r>
      <w:r w:rsidR="00316201" w:rsidRPr="006A721E">
        <w:rPr>
          <w:rFonts w:cs="Arial"/>
          <w:szCs w:val="22"/>
        </w:rPr>
        <w:t>now make</w:t>
      </w:r>
      <w:r w:rsidR="006144B1" w:rsidRPr="006A721E">
        <w:rPr>
          <w:rFonts w:cs="Arial"/>
          <w:szCs w:val="22"/>
        </w:rPr>
        <w:t xml:space="preserve"> access more problematic on this alignment, </w:t>
      </w:r>
      <w:r w:rsidR="00376356" w:rsidRPr="006A721E">
        <w:rPr>
          <w:rFonts w:cs="Arial"/>
          <w:szCs w:val="22"/>
        </w:rPr>
        <w:t xml:space="preserve">the evidence offered by </w:t>
      </w:r>
      <w:r w:rsidR="003A7E75" w:rsidRPr="006A721E">
        <w:rPr>
          <w:rFonts w:cs="Arial"/>
          <w:szCs w:val="22"/>
        </w:rPr>
        <w:t xml:space="preserve">CFG </w:t>
      </w:r>
      <w:r w:rsidR="00386063" w:rsidRPr="006A721E">
        <w:rPr>
          <w:rFonts w:cs="Arial"/>
          <w:szCs w:val="22"/>
        </w:rPr>
        <w:t>does not support A – B as having been part of the</w:t>
      </w:r>
      <w:r w:rsidR="00376356" w:rsidRPr="006A721E">
        <w:rPr>
          <w:rFonts w:cs="Arial"/>
          <w:szCs w:val="22"/>
        </w:rPr>
        <w:t xml:space="preserve"> route</w:t>
      </w:r>
      <w:r w:rsidR="00C97099" w:rsidRPr="006A721E">
        <w:rPr>
          <w:rFonts w:cs="Arial"/>
          <w:szCs w:val="22"/>
        </w:rPr>
        <w:t xml:space="preserve"> </w:t>
      </w:r>
      <w:r w:rsidR="008C6FB1" w:rsidRPr="006A721E">
        <w:rPr>
          <w:rFonts w:cs="Arial"/>
          <w:szCs w:val="22"/>
        </w:rPr>
        <w:t>which is claimed to have been used.</w:t>
      </w:r>
    </w:p>
    <w:p w14:paraId="0D34090D" w14:textId="717F9D5A" w:rsidR="00623702" w:rsidRPr="006A721E" w:rsidRDefault="003A0149" w:rsidP="0071617D">
      <w:pPr>
        <w:pStyle w:val="Style1"/>
        <w:rPr>
          <w:rFonts w:cs="Arial"/>
          <w:szCs w:val="22"/>
        </w:rPr>
      </w:pPr>
      <w:r w:rsidRPr="006A721E">
        <w:rPr>
          <w:rFonts w:cs="Arial"/>
          <w:szCs w:val="22"/>
        </w:rPr>
        <w:t xml:space="preserve">If the route described in the Order is not one which the </w:t>
      </w:r>
      <w:r w:rsidR="00895F82" w:rsidRPr="006A721E">
        <w:rPr>
          <w:rFonts w:cs="Arial"/>
          <w:szCs w:val="22"/>
        </w:rPr>
        <w:t>supporters of the Order claim to have used, the evidence contained within the UE</w:t>
      </w:r>
      <w:r w:rsidR="008D5917" w:rsidRPr="006A721E">
        <w:rPr>
          <w:rFonts w:cs="Arial"/>
          <w:szCs w:val="22"/>
        </w:rPr>
        <w:t>F</w:t>
      </w:r>
      <w:r w:rsidR="00895F82" w:rsidRPr="006A721E">
        <w:rPr>
          <w:rFonts w:cs="Arial"/>
          <w:szCs w:val="22"/>
        </w:rPr>
        <w:t xml:space="preserve">s </w:t>
      </w:r>
      <w:r w:rsidR="008D5917" w:rsidRPr="006A721E">
        <w:rPr>
          <w:rFonts w:cs="Arial"/>
          <w:szCs w:val="22"/>
        </w:rPr>
        <w:t xml:space="preserve">must relate to some other route. </w:t>
      </w:r>
      <w:r w:rsidR="00623702" w:rsidRPr="006A721E">
        <w:rPr>
          <w:rFonts w:cs="Arial"/>
          <w:szCs w:val="22"/>
        </w:rPr>
        <w:t xml:space="preserve">However, the routes shown in yellow and blue with cross hatching </w:t>
      </w:r>
      <w:r w:rsidR="002D7C75" w:rsidRPr="006A721E">
        <w:rPr>
          <w:rFonts w:cs="Arial"/>
          <w:szCs w:val="22"/>
        </w:rPr>
        <w:t xml:space="preserve">on the plans attached to </w:t>
      </w:r>
      <w:r w:rsidR="0051292E">
        <w:rPr>
          <w:rFonts w:cs="Arial"/>
          <w:szCs w:val="22"/>
        </w:rPr>
        <w:t>9</w:t>
      </w:r>
      <w:r w:rsidR="002D7C75" w:rsidRPr="006A721E">
        <w:rPr>
          <w:rFonts w:cs="Arial"/>
          <w:szCs w:val="22"/>
        </w:rPr>
        <w:t xml:space="preserve"> of the UEFs do not correspond </w:t>
      </w:r>
      <w:r w:rsidR="00BB0103" w:rsidRPr="006A721E">
        <w:rPr>
          <w:rFonts w:cs="Arial"/>
          <w:szCs w:val="22"/>
        </w:rPr>
        <w:t>with the description of the claimed route given by the CF</w:t>
      </w:r>
      <w:r w:rsidR="00D612B5" w:rsidRPr="006A721E">
        <w:rPr>
          <w:rFonts w:cs="Arial"/>
          <w:szCs w:val="22"/>
        </w:rPr>
        <w:t xml:space="preserve">G; </w:t>
      </w:r>
      <w:r w:rsidR="00C06E1B" w:rsidRPr="006A721E">
        <w:rPr>
          <w:rFonts w:cs="Arial"/>
          <w:szCs w:val="22"/>
        </w:rPr>
        <w:t xml:space="preserve">there is some uncertainty therefore as to which route the </w:t>
      </w:r>
      <w:r w:rsidR="00725E58" w:rsidRPr="006A721E">
        <w:rPr>
          <w:rFonts w:cs="Arial"/>
          <w:szCs w:val="22"/>
        </w:rPr>
        <w:t>user</w:t>
      </w:r>
      <w:r w:rsidR="00524ABB" w:rsidRPr="006A721E">
        <w:rPr>
          <w:rFonts w:cs="Arial"/>
          <w:szCs w:val="22"/>
        </w:rPr>
        <w:t xml:space="preserve"> evidence </w:t>
      </w:r>
      <w:r w:rsidR="00626448" w:rsidRPr="006A721E">
        <w:rPr>
          <w:rFonts w:cs="Arial"/>
          <w:szCs w:val="22"/>
        </w:rPr>
        <w:t>is referring to.</w:t>
      </w:r>
    </w:p>
    <w:p w14:paraId="1C495160" w14:textId="2D4BF7F0" w:rsidR="001F24CE" w:rsidRPr="006A721E" w:rsidRDefault="00615508" w:rsidP="00497995">
      <w:pPr>
        <w:pStyle w:val="Style1"/>
        <w:rPr>
          <w:rFonts w:cs="Arial"/>
          <w:szCs w:val="22"/>
        </w:rPr>
      </w:pPr>
      <w:r w:rsidRPr="006A721E">
        <w:rPr>
          <w:rFonts w:cs="Arial"/>
          <w:szCs w:val="22"/>
        </w:rPr>
        <w:t xml:space="preserve">The various routes </w:t>
      </w:r>
      <w:r w:rsidR="000A7CB6">
        <w:rPr>
          <w:rFonts w:cs="Arial"/>
          <w:szCs w:val="22"/>
        </w:rPr>
        <w:t>at issue</w:t>
      </w:r>
      <w:r w:rsidR="00636474" w:rsidRPr="006A721E">
        <w:rPr>
          <w:rFonts w:cs="Arial"/>
          <w:szCs w:val="22"/>
        </w:rPr>
        <w:t xml:space="preserve"> in this case are shown on a plan devised by </w:t>
      </w:r>
      <w:r w:rsidR="006604FA" w:rsidRPr="006A721E">
        <w:rPr>
          <w:rFonts w:cs="Arial"/>
          <w:szCs w:val="22"/>
        </w:rPr>
        <w:t>the objector’s appointed sur</w:t>
      </w:r>
      <w:r w:rsidR="00D52234" w:rsidRPr="006A721E">
        <w:rPr>
          <w:rFonts w:cs="Arial"/>
          <w:szCs w:val="22"/>
        </w:rPr>
        <w:t xml:space="preserve">veyors </w:t>
      </w:r>
      <w:r w:rsidR="00FA4B3F" w:rsidRPr="006A721E">
        <w:rPr>
          <w:rFonts w:cs="Arial"/>
          <w:szCs w:val="22"/>
        </w:rPr>
        <w:t xml:space="preserve">(‘the Aworth plan’) </w:t>
      </w:r>
      <w:r w:rsidR="00D52234" w:rsidRPr="006A721E">
        <w:rPr>
          <w:rFonts w:cs="Arial"/>
          <w:szCs w:val="22"/>
        </w:rPr>
        <w:t xml:space="preserve">which demonstrates in graphic form </w:t>
      </w:r>
      <w:r w:rsidR="005B7722" w:rsidRPr="006A721E">
        <w:rPr>
          <w:rFonts w:cs="Arial"/>
          <w:szCs w:val="22"/>
        </w:rPr>
        <w:t xml:space="preserve">the </w:t>
      </w:r>
      <w:r w:rsidR="006807F0" w:rsidRPr="006A721E">
        <w:rPr>
          <w:rFonts w:cs="Arial"/>
          <w:szCs w:val="22"/>
        </w:rPr>
        <w:t>position of the current</w:t>
      </w:r>
      <w:r w:rsidR="005B7722" w:rsidRPr="006A721E">
        <w:rPr>
          <w:rFonts w:cs="Arial"/>
          <w:szCs w:val="22"/>
        </w:rPr>
        <w:t xml:space="preserve"> </w:t>
      </w:r>
      <w:r w:rsidR="00F61094" w:rsidRPr="006A721E">
        <w:rPr>
          <w:rFonts w:cs="Arial"/>
          <w:szCs w:val="22"/>
        </w:rPr>
        <w:t>walked line of footpath 18a</w:t>
      </w:r>
      <w:r w:rsidR="005F25D3" w:rsidRPr="006A721E">
        <w:rPr>
          <w:rFonts w:cs="Arial"/>
          <w:szCs w:val="22"/>
        </w:rPr>
        <w:t>;</w:t>
      </w:r>
      <w:r w:rsidR="00F61094" w:rsidRPr="006A721E">
        <w:rPr>
          <w:rFonts w:cs="Arial"/>
          <w:szCs w:val="22"/>
        </w:rPr>
        <w:t xml:space="preserve"> the definitive line of footpath 18a</w:t>
      </w:r>
      <w:r w:rsidR="005F25D3" w:rsidRPr="006A721E">
        <w:rPr>
          <w:rFonts w:cs="Arial"/>
          <w:szCs w:val="22"/>
        </w:rPr>
        <w:t>;</w:t>
      </w:r>
      <w:r w:rsidR="00445B63" w:rsidRPr="006A721E">
        <w:rPr>
          <w:rFonts w:cs="Arial"/>
          <w:szCs w:val="22"/>
        </w:rPr>
        <w:t xml:space="preserve"> the route described in the Order</w:t>
      </w:r>
      <w:r w:rsidR="005F25D3" w:rsidRPr="006A721E">
        <w:rPr>
          <w:rFonts w:cs="Arial"/>
          <w:szCs w:val="22"/>
        </w:rPr>
        <w:t>;</w:t>
      </w:r>
      <w:r w:rsidR="00445B63" w:rsidRPr="006A721E">
        <w:rPr>
          <w:rFonts w:cs="Arial"/>
          <w:szCs w:val="22"/>
        </w:rPr>
        <w:t xml:space="preserve"> </w:t>
      </w:r>
      <w:r w:rsidR="0051292E">
        <w:rPr>
          <w:rFonts w:cs="Arial"/>
          <w:szCs w:val="22"/>
        </w:rPr>
        <w:t xml:space="preserve">the yellow route from the </w:t>
      </w:r>
      <w:r w:rsidR="00C034C0">
        <w:rPr>
          <w:rFonts w:cs="Arial"/>
          <w:szCs w:val="22"/>
        </w:rPr>
        <w:t xml:space="preserve">UEF plans; </w:t>
      </w:r>
      <w:r w:rsidR="00445B63" w:rsidRPr="006A721E">
        <w:rPr>
          <w:rFonts w:cs="Arial"/>
          <w:szCs w:val="22"/>
        </w:rPr>
        <w:t xml:space="preserve">and the route claimed </w:t>
      </w:r>
      <w:r w:rsidR="00DC5EAE" w:rsidRPr="006A721E">
        <w:rPr>
          <w:rFonts w:cs="Arial"/>
          <w:szCs w:val="22"/>
        </w:rPr>
        <w:t xml:space="preserve">to have been used by the CFG. Also shown on that plan is the position </w:t>
      </w:r>
      <w:r w:rsidR="00792413" w:rsidRPr="006A721E">
        <w:rPr>
          <w:rFonts w:cs="Arial"/>
          <w:szCs w:val="22"/>
        </w:rPr>
        <w:t xml:space="preserve">of the permissive path </w:t>
      </w:r>
      <w:r w:rsidR="00E31E01" w:rsidRPr="006A721E">
        <w:rPr>
          <w:rFonts w:cs="Arial"/>
          <w:szCs w:val="22"/>
        </w:rPr>
        <w:t xml:space="preserve">mown by the former owners of the land </w:t>
      </w:r>
      <w:r w:rsidR="001F24CE" w:rsidRPr="006A721E">
        <w:rPr>
          <w:rFonts w:cs="Arial"/>
          <w:szCs w:val="22"/>
        </w:rPr>
        <w:t>mentioned in paragraph 13 above.</w:t>
      </w:r>
      <w:r w:rsidR="00CE42CC">
        <w:rPr>
          <w:rFonts w:cs="Arial"/>
          <w:szCs w:val="22"/>
        </w:rPr>
        <w:t xml:space="preserve"> The Aworth plan </w:t>
      </w:r>
      <w:r w:rsidR="00170859">
        <w:rPr>
          <w:rFonts w:cs="Arial"/>
          <w:szCs w:val="22"/>
        </w:rPr>
        <w:t xml:space="preserve">demonstrates </w:t>
      </w:r>
      <w:r w:rsidR="005F3122">
        <w:rPr>
          <w:rFonts w:cs="Arial"/>
          <w:szCs w:val="22"/>
        </w:rPr>
        <w:t xml:space="preserve">the </w:t>
      </w:r>
      <w:r w:rsidR="00CE42CC">
        <w:rPr>
          <w:rFonts w:cs="Arial"/>
          <w:szCs w:val="22"/>
        </w:rPr>
        <w:t xml:space="preserve">limited </w:t>
      </w:r>
      <w:r w:rsidR="00F54371">
        <w:rPr>
          <w:rFonts w:cs="Arial"/>
          <w:szCs w:val="22"/>
        </w:rPr>
        <w:t>coincidence</w:t>
      </w:r>
      <w:r w:rsidR="00CE42CC">
        <w:rPr>
          <w:rFonts w:cs="Arial"/>
          <w:szCs w:val="22"/>
        </w:rPr>
        <w:t xml:space="preserve"> between these routes. </w:t>
      </w:r>
      <w:r w:rsidR="001F24CE" w:rsidRPr="006A721E">
        <w:rPr>
          <w:rFonts w:cs="Arial"/>
          <w:szCs w:val="22"/>
        </w:rPr>
        <w:t xml:space="preserve"> </w:t>
      </w:r>
    </w:p>
    <w:p w14:paraId="1237EF04" w14:textId="4FBF48EF" w:rsidR="001F24CE" w:rsidRPr="006A721E" w:rsidRDefault="00CB0FC2" w:rsidP="00497995">
      <w:pPr>
        <w:pStyle w:val="Style1"/>
        <w:rPr>
          <w:rFonts w:cs="Arial"/>
          <w:szCs w:val="22"/>
        </w:rPr>
      </w:pPr>
      <w:r w:rsidRPr="006A721E">
        <w:rPr>
          <w:rFonts w:cs="Arial"/>
          <w:szCs w:val="22"/>
        </w:rPr>
        <w:t xml:space="preserve">It is not disputed that prior to </w:t>
      </w:r>
      <w:r w:rsidR="00D8399B" w:rsidRPr="006A721E">
        <w:rPr>
          <w:rFonts w:cs="Arial"/>
          <w:szCs w:val="22"/>
        </w:rPr>
        <w:t xml:space="preserve">2012 the land east of the stream formed part of the </w:t>
      </w:r>
      <w:r w:rsidR="00C308D2" w:rsidRPr="006A721E">
        <w:rPr>
          <w:rFonts w:cs="Arial"/>
          <w:szCs w:val="22"/>
        </w:rPr>
        <w:t>extended</w:t>
      </w:r>
      <w:r w:rsidR="004705A1" w:rsidRPr="006A721E">
        <w:rPr>
          <w:rFonts w:cs="Arial"/>
          <w:szCs w:val="22"/>
        </w:rPr>
        <w:t xml:space="preserve"> garden or amenity land belonging to </w:t>
      </w:r>
      <w:r w:rsidR="00C308D2" w:rsidRPr="006A721E">
        <w:rPr>
          <w:rFonts w:cs="Arial"/>
          <w:szCs w:val="22"/>
        </w:rPr>
        <w:t>Stream Mill (until 2000) and then The Mill (2000-2012</w:t>
      </w:r>
      <w:r w:rsidR="004705A1" w:rsidRPr="006A721E">
        <w:rPr>
          <w:rFonts w:cs="Arial"/>
          <w:szCs w:val="22"/>
        </w:rPr>
        <w:t xml:space="preserve">) </w:t>
      </w:r>
      <w:r w:rsidR="00FF04E8" w:rsidRPr="006A721E">
        <w:rPr>
          <w:rFonts w:cs="Arial"/>
          <w:szCs w:val="22"/>
        </w:rPr>
        <w:t xml:space="preserve">and that </w:t>
      </w:r>
      <w:r w:rsidR="00550FEF" w:rsidRPr="006A721E">
        <w:rPr>
          <w:rFonts w:cs="Arial"/>
          <w:szCs w:val="22"/>
        </w:rPr>
        <w:t xml:space="preserve">this land was unfenced. </w:t>
      </w:r>
      <w:r w:rsidR="00252130" w:rsidRPr="006A721E">
        <w:rPr>
          <w:rFonts w:cs="Arial"/>
          <w:szCs w:val="22"/>
        </w:rPr>
        <w:t xml:space="preserve">Photographs taken in 2012 of the area demonstrate that this was the case </w:t>
      </w:r>
      <w:r w:rsidR="00C9607A" w:rsidRPr="006A721E">
        <w:rPr>
          <w:rFonts w:cs="Arial"/>
          <w:szCs w:val="22"/>
        </w:rPr>
        <w:t>at the end of the 20-year period under consideration</w:t>
      </w:r>
      <w:r w:rsidR="006441EB" w:rsidRPr="006A721E">
        <w:rPr>
          <w:rFonts w:cs="Arial"/>
          <w:szCs w:val="22"/>
        </w:rPr>
        <w:t>;</w:t>
      </w:r>
      <w:r w:rsidR="00C9607A" w:rsidRPr="006A721E">
        <w:rPr>
          <w:rFonts w:cs="Arial"/>
          <w:szCs w:val="22"/>
        </w:rPr>
        <w:t xml:space="preserve"> aeri</w:t>
      </w:r>
      <w:r w:rsidR="00A30E20" w:rsidRPr="006A721E">
        <w:rPr>
          <w:rFonts w:cs="Arial"/>
          <w:szCs w:val="22"/>
        </w:rPr>
        <w:t>a</w:t>
      </w:r>
      <w:r w:rsidR="00C9607A" w:rsidRPr="006A721E">
        <w:rPr>
          <w:rFonts w:cs="Arial"/>
          <w:szCs w:val="22"/>
        </w:rPr>
        <w:t xml:space="preserve">l images obtained from Google </w:t>
      </w:r>
      <w:r w:rsidR="006441EB" w:rsidRPr="006A721E">
        <w:rPr>
          <w:rFonts w:cs="Arial"/>
          <w:szCs w:val="22"/>
        </w:rPr>
        <w:t>E</w:t>
      </w:r>
      <w:r w:rsidR="00C9607A" w:rsidRPr="006A721E">
        <w:rPr>
          <w:rFonts w:cs="Arial"/>
          <w:szCs w:val="22"/>
        </w:rPr>
        <w:t xml:space="preserve">arth </w:t>
      </w:r>
      <w:r w:rsidR="00A30E20" w:rsidRPr="006A721E">
        <w:rPr>
          <w:rFonts w:cs="Arial"/>
          <w:szCs w:val="22"/>
        </w:rPr>
        <w:t>taken</w:t>
      </w:r>
      <w:r w:rsidR="0028428F" w:rsidRPr="006A721E">
        <w:rPr>
          <w:rFonts w:cs="Arial"/>
          <w:szCs w:val="22"/>
        </w:rPr>
        <w:t xml:space="preserve"> between 2004 and 2009 </w:t>
      </w:r>
      <w:r w:rsidR="001D59CF" w:rsidRPr="006A721E">
        <w:rPr>
          <w:rFonts w:cs="Arial"/>
          <w:szCs w:val="22"/>
        </w:rPr>
        <w:t>show the open nature of the land to the east of the stream.</w:t>
      </w:r>
    </w:p>
    <w:p w14:paraId="1CAFD12C" w14:textId="5B52F001" w:rsidR="007C4334" w:rsidRDefault="007C4334" w:rsidP="00497995">
      <w:pPr>
        <w:pStyle w:val="Style1"/>
        <w:rPr>
          <w:rFonts w:cs="Arial"/>
          <w:szCs w:val="22"/>
        </w:rPr>
      </w:pPr>
      <w:r w:rsidRPr="006A721E">
        <w:rPr>
          <w:rFonts w:cs="Arial"/>
          <w:szCs w:val="22"/>
        </w:rPr>
        <w:t>Footpath 18a appears to have been undefined within this are</w:t>
      </w:r>
      <w:r w:rsidR="007A7841" w:rsidRPr="006A721E">
        <w:rPr>
          <w:rFonts w:cs="Arial"/>
          <w:szCs w:val="22"/>
        </w:rPr>
        <w:t xml:space="preserve">a. During the relevant 20-year period </w:t>
      </w:r>
      <w:r w:rsidR="00F85024" w:rsidRPr="006A721E">
        <w:rPr>
          <w:rFonts w:cs="Arial"/>
          <w:szCs w:val="22"/>
        </w:rPr>
        <w:t>t</w:t>
      </w:r>
      <w:r w:rsidRPr="006A721E">
        <w:rPr>
          <w:rFonts w:cs="Arial"/>
          <w:szCs w:val="22"/>
        </w:rPr>
        <w:t xml:space="preserve">here was no physical barrier which would have prevented users of footpath 18a from accessing the stream or walking alongside it. </w:t>
      </w:r>
      <w:r w:rsidR="006775A0" w:rsidRPr="006A721E">
        <w:rPr>
          <w:rFonts w:cs="Arial"/>
          <w:szCs w:val="22"/>
        </w:rPr>
        <w:t xml:space="preserve">The 2012 photographs do not show an evident wear line in the ground </w:t>
      </w:r>
      <w:r w:rsidR="00034EA1" w:rsidRPr="006A721E">
        <w:rPr>
          <w:rFonts w:cs="Arial"/>
          <w:szCs w:val="22"/>
        </w:rPr>
        <w:t xml:space="preserve">on the line of footpath 18a or </w:t>
      </w:r>
      <w:r w:rsidR="0043607E" w:rsidRPr="006A721E">
        <w:rPr>
          <w:rFonts w:cs="Arial"/>
          <w:szCs w:val="22"/>
        </w:rPr>
        <w:t>alongside the stream or leading to it</w:t>
      </w:r>
      <w:r w:rsidR="00953395">
        <w:rPr>
          <w:rFonts w:cs="Arial"/>
          <w:szCs w:val="22"/>
        </w:rPr>
        <w:t>; such a wear line</w:t>
      </w:r>
      <w:r w:rsidR="0043607E" w:rsidRPr="006A721E">
        <w:rPr>
          <w:rFonts w:cs="Arial"/>
          <w:szCs w:val="22"/>
        </w:rPr>
        <w:t xml:space="preserve"> might have been expected if </w:t>
      </w:r>
      <w:r w:rsidR="00AD7FEB" w:rsidRPr="006A721E">
        <w:rPr>
          <w:rFonts w:cs="Arial"/>
          <w:szCs w:val="22"/>
        </w:rPr>
        <w:t xml:space="preserve">a </w:t>
      </w:r>
      <w:r w:rsidR="00FC4AA8">
        <w:rPr>
          <w:rFonts w:cs="Arial"/>
          <w:szCs w:val="22"/>
        </w:rPr>
        <w:t xml:space="preserve">defined </w:t>
      </w:r>
      <w:r w:rsidR="00AD7FEB" w:rsidRPr="006A721E">
        <w:rPr>
          <w:rFonts w:cs="Arial"/>
          <w:szCs w:val="22"/>
        </w:rPr>
        <w:t xml:space="preserve">route was being walked </w:t>
      </w:r>
      <w:r w:rsidR="00BE468A" w:rsidRPr="006A721E">
        <w:rPr>
          <w:rFonts w:cs="Arial"/>
          <w:szCs w:val="22"/>
        </w:rPr>
        <w:t xml:space="preserve">on a daily or weekly basis as claimed by </w:t>
      </w:r>
      <w:r w:rsidR="00FC4AA8">
        <w:rPr>
          <w:rFonts w:cs="Arial"/>
          <w:szCs w:val="22"/>
        </w:rPr>
        <w:t>the users</w:t>
      </w:r>
      <w:r w:rsidR="00BE468A" w:rsidRPr="006A721E">
        <w:rPr>
          <w:rFonts w:cs="Arial"/>
          <w:szCs w:val="22"/>
        </w:rPr>
        <w:t xml:space="preserve">. </w:t>
      </w:r>
      <w:r w:rsidR="0073579E" w:rsidRPr="006A721E">
        <w:rPr>
          <w:rFonts w:cs="Arial"/>
          <w:szCs w:val="22"/>
        </w:rPr>
        <w:t xml:space="preserve">The available photographic evidence does not demonstrate </w:t>
      </w:r>
      <w:r w:rsidR="002858A8" w:rsidRPr="006A721E">
        <w:rPr>
          <w:rFonts w:cs="Arial"/>
          <w:szCs w:val="22"/>
        </w:rPr>
        <w:t>that ‘a way’ was evident on the ground</w:t>
      </w:r>
      <w:r w:rsidR="00066533">
        <w:rPr>
          <w:rFonts w:cs="Arial"/>
          <w:szCs w:val="22"/>
        </w:rPr>
        <w:t xml:space="preserve"> or in use</w:t>
      </w:r>
      <w:r w:rsidR="002858A8" w:rsidRPr="006A721E">
        <w:rPr>
          <w:rFonts w:cs="Arial"/>
          <w:szCs w:val="22"/>
        </w:rPr>
        <w:t>.</w:t>
      </w:r>
    </w:p>
    <w:p w14:paraId="36961467" w14:textId="2849AA9F" w:rsidR="00505232" w:rsidRPr="006A721E" w:rsidRDefault="00505232" w:rsidP="00497995">
      <w:pPr>
        <w:pStyle w:val="Style1"/>
        <w:rPr>
          <w:rFonts w:cs="Arial"/>
          <w:szCs w:val="22"/>
        </w:rPr>
      </w:pPr>
      <w:r>
        <w:rPr>
          <w:rFonts w:cs="Arial"/>
          <w:szCs w:val="22"/>
        </w:rPr>
        <w:t>One of the letters submitted in support stated: “</w:t>
      </w:r>
      <w:r w:rsidRPr="00102392">
        <w:rPr>
          <w:rFonts w:cs="Arial"/>
          <w:i/>
          <w:iCs/>
          <w:szCs w:val="22"/>
        </w:rPr>
        <w:t>The public have only the right to cross the land by the designated route…..and generally the way is quite narrow. However exceptions exist and this is one of them. All of the previous owners I have met have been aware that the public make use of all the area from the “official” footpath and the stream….”</w:t>
      </w:r>
      <w:r>
        <w:rPr>
          <w:rFonts w:cs="Arial"/>
          <w:szCs w:val="22"/>
        </w:rPr>
        <w:t xml:space="preserve">. This statement is consistent </w:t>
      </w:r>
      <w:r>
        <w:rPr>
          <w:rFonts w:cs="Arial"/>
          <w:szCs w:val="22"/>
        </w:rPr>
        <w:lastRenderedPageBreak/>
        <w:t xml:space="preserve">with the objectors’ submission </w:t>
      </w:r>
      <w:r w:rsidR="00A37ACD">
        <w:rPr>
          <w:rFonts w:cs="Arial"/>
          <w:szCs w:val="22"/>
        </w:rPr>
        <w:t>that</w:t>
      </w:r>
      <w:r>
        <w:rPr>
          <w:rFonts w:cs="Arial"/>
          <w:szCs w:val="22"/>
        </w:rPr>
        <w:t xml:space="preserve"> the </w:t>
      </w:r>
      <w:r w:rsidR="00A37ACD">
        <w:rPr>
          <w:rFonts w:cs="Arial"/>
          <w:szCs w:val="22"/>
        </w:rPr>
        <w:t xml:space="preserve">user </w:t>
      </w:r>
      <w:r>
        <w:rPr>
          <w:rFonts w:cs="Arial"/>
          <w:szCs w:val="22"/>
        </w:rPr>
        <w:t xml:space="preserve">evidence </w:t>
      </w:r>
      <w:r w:rsidR="00A37ACD">
        <w:rPr>
          <w:rFonts w:cs="Arial"/>
          <w:szCs w:val="22"/>
        </w:rPr>
        <w:t xml:space="preserve">is </w:t>
      </w:r>
      <w:r>
        <w:rPr>
          <w:rFonts w:cs="Arial"/>
          <w:szCs w:val="22"/>
        </w:rPr>
        <w:t>of wandering at will over the area between footpath 18a and the stream.</w:t>
      </w:r>
    </w:p>
    <w:p w14:paraId="3F48F28A" w14:textId="0F7B2CA6" w:rsidR="00DB2C71" w:rsidRPr="006A721E" w:rsidRDefault="008C33B4" w:rsidP="00497995">
      <w:pPr>
        <w:pStyle w:val="Style1"/>
        <w:rPr>
          <w:rFonts w:cs="Arial"/>
          <w:szCs w:val="22"/>
        </w:rPr>
      </w:pPr>
      <w:r w:rsidRPr="006A721E">
        <w:rPr>
          <w:rFonts w:cs="Arial"/>
          <w:szCs w:val="22"/>
        </w:rPr>
        <w:t xml:space="preserve">The UEFs </w:t>
      </w:r>
      <w:r w:rsidR="009808F8">
        <w:rPr>
          <w:rFonts w:cs="Arial"/>
          <w:szCs w:val="22"/>
        </w:rPr>
        <w:t xml:space="preserve">also </w:t>
      </w:r>
      <w:r w:rsidRPr="006A721E">
        <w:rPr>
          <w:rFonts w:cs="Arial"/>
          <w:szCs w:val="22"/>
        </w:rPr>
        <w:t>provide evidenc</w:t>
      </w:r>
      <w:r w:rsidR="008703C1" w:rsidRPr="006A721E">
        <w:rPr>
          <w:rFonts w:cs="Arial"/>
          <w:szCs w:val="22"/>
        </w:rPr>
        <w:t>e of the width of the route which the responde</w:t>
      </w:r>
      <w:r w:rsidR="00051B4D" w:rsidRPr="006A721E">
        <w:rPr>
          <w:rFonts w:cs="Arial"/>
          <w:szCs w:val="22"/>
        </w:rPr>
        <w:t xml:space="preserve">nts considered to </w:t>
      </w:r>
      <w:r w:rsidR="003063FF" w:rsidRPr="006A721E">
        <w:rPr>
          <w:rFonts w:cs="Arial"/>
          <w:szCs w:val="22"/>
        </w:rPr>
        <w:t xml:space="preserve">have been </w:t>
      </w:r>
      <w:r w:rsidR="00051B4D" w:rsidRPr="006A721E">
        <w:rPr>
          <w:rFonts w:cs="Arial"/>
          <w:szCs w:val="22"/>
        </w:rPr>
        <w:t xml:space="preserve">available to them. Whilst some describe a </w:t>
      </w:r>
      <w:r w:rsidR="00A91D9B" w:rsidRPr="006A721E">
        <w:rPr>
          <w:rFonts w:cs="Arial"/>
          <w:szCs w:val="22"/>
        </w:rPr>
        <w:t>fairly narrow path (‘a walkway’; ‘</w:t>
      </w:r>
      <w:r w:rsidR="008D55A8" w:rsidRPr="006A721E">
        <w:rPr>
          <w:rFonts w:cs="Arial"/>
          <w:szCs w:val="22"/>
        </w:rPr>
        <w:t xml:space="preserve">approx 2 feet’; </w:t>
      </w:r>
      <w:r w:rsidR="0073661A" w:rsidRPr="006A721E">
        <w:rPr>
          <w:rFonts w:cs="Arial"/>
          <w:szCs w:val="22"/>
        </w:rPr>
        <w:t xml:space="preserve">‘3-4 feet’) others </w:t>
      </w:r>
      <w:r w:rsidR="00D47FBE" w:rsidRPr="006A721E">
        <w:rPr>
          <w:rFonts w:cs="Arial"/>
          <w:szCs w:val="22"/>
        </w:rPr>
        <w:t>contend that the width in use was substantial (‘</w:t>
      </w:r>
      <w:r w:rsidR="00575C76" w:rsidRPr="006A721E">
        <w:rPr>
          <w:rFonts w:cs="Arial"/>
          <w:szCs w:val="22"/>
        </w:rPr>
        <w:t xml:space="preserve">approx 40 yards’; ‘approx </w:t>
      </w:r>
      <w:r w:rsidR="0089467E" w:rsidRPr="006A721E">
        <w:rPr>
          <w:rFonts w:cs="Arial"/>
          <w:szCs w:val="22"/>
        </w:rPr>
        <w:t>20m’; ‘previously 20m in places’)</w:t>
      </w:r>
      <w:r w:rsidR="000D0D82" w:rsidRPr="006A721E">
        <w:rPr>
          <w:rFonts w:cs="Arial"/>
          <w:szCs w:val="22"/>
        </w:rPr>
        <w:t xml:space="preserve">. </w:t>
      </w:r>
      <w:r w:rsidR="00576C9D" w:rsidRPr="006A721E">
        <w:rPr>
          <w:rFonts w:cs="Arial"/>
          <w:szCs w:val="22"/>
        </w:rPr>
        <w:t>The former statements are consistent with a</w:t>
      </w:r>
      <w:r w:rsidR="00005071" w:rsidRPr="006A721E">
        <w:rPr>
          <w:rFonts w:cs="Arial"/>
          <w:szCs w:val="22"/>
        </w:rPr>
        <w:t>n identifiable</w:t>
      </w:r>
      <w:r w:rsidR="00576C9D" w:rsidRPr="006A721E">
        <w:rPr>
          <w:rFonts w:cs="Arial"/>
          <w:szCs w:val="22"/>
        </w:rPr>
        <w:t xml:space="preserve"> route being used</w:t>
      </w:r>
      <w:r w:rsidR="00005071" w:rsidRPr="006A721E">
        <w:rPr>
          <w:rFonts w:cs="Arial"/>
          <w:szCs w:val="22"/>
        </w:rPr>
        <w:t xml:space="preserve"> (although the exact location of that route is unclear)</w:t>
      </w:r>
      <w:r w:rsidR="00576C9D" w:rsidRPr="006A721E">
        <w:rPr>
          <w:rFonts w:cs="Arial"/>
          <w:szCs w:val="22"/>
        </w:rPr>
        <w:t xml:space="preserve">, whereas the latter statements suggest that </w:t>
      </w:r>
      <w:r w:rsidR="003E124B" w:rsidRPr="006A721E">
        <w:rPr>
          <w:rFonts w:cs="Arial"/>
          <w:szCs w:val="22"/>
        </w:rPr>
        <w:t>what had been available and what had been used was a much wider area and through which there would be no defined ‘way’.</w:t>
      </w:r>
      <w:r w:rsidR="00A84AE1">
        <w:rPr>
          <w:rFonts w:cs="Arial"/>
          <w:szCs w:val="22"/>
        </w:rPr>
        <w:t xml:space="preserve"> </w:t>
      </w:r>
    </w:p>
    <w:p w14:paraId="68B4ECD2" w14:textId="1BE2E0FF" w:rsidR="00CB1FB0" w:rsidRPr="00C43012" w:rsidRDefault="00325796" w:rsidP="00C43012">
      <w:pPr>
        <w:pStyle w:val="Style1"/>
        <w:rPr>
          <w:rFonts w:cs="Arial"/>
          <w:szCs w:val="22"/>
        </w:rPr>
      </w:pPr>
      <w:r w:rsidRPr="006A721E">
        <w:rPr>
          <w:rFonts w:cs="Arial"/>
          <w:szCs w:val="22"/>
        </w:rPr>
        <w:t xml:space="preserve">In response to </w:t>
      </w:r>
      <w:r w:rsidR="006507B0" w:rsidRPr="006A721E">
        <w:rPr>
          <w:rFonts w:cs="Arial"/>
          <w:szCs w:val="22"/>
        </w:rPr>
        <w:t>question 16 o</w:t>
      </w:r>
      <w:r w:rsidR="00420CFB" w:rsidRPr="006A721E">
        <w:rPr>
          <w:rFonts w:cs="Arial"/>
          <w:szCs w:val="22"/>
        </w:rPr>
        <w:t>n</w:t>
      </w:r>
      <w:r w:rsidR="006507B0" w:rsidRPr="006A721E">
        <w:rPr>
          <w:rFonts w:cs="Arial"/>
          <w:szCs w:val="22"/>
        </w:rPr>
        <w:t xml:space="preserve"> the UEF (‘has the claimed path been maintained?’) </w:t>
      </w:r>
      <w:r w:rsidR="00482211" w:rsidRPr="006A721E">
        <w:rPr>
          <w:rFonts w:cs="Arial"/>
          <w:szCs w:val="22"/>
        </w:rPr>
        <w:t>some</w:t>
      </w:r>
      <w:r w:rsidR="009A73C3" w:rsidRPr="006A721E">
        <w:rPr>
          <w:rFonts w:cs="Arial"/>
          <w:szCs w:val="22"/>
        </w:rPr>
        <w:t xml:space="preserve"> </w:t>
      </w:r>
      <w:r w:rsidR="00482211" w:rsidRPr="006A721E">
        <w:rPr>
          <w:rFonts w:cs="Arial"/>
          <w:szCs w:val="22"/>
        </w:rPr>
        <w:t xml:space="preserve">respondents </w:t>
      </w:r>
      <w:r w:rsidR="005D141D" w:rsidRPr="006A721E">
        <w:rPr>
          <w:rFonts w:cs="Arial"/>
          <w:szCs w:val="22"/>
        </w:rPr>
        <w:t xml:space="preserve">state </w:t>
      </w:r>
      <w:r w:rsidR="00223285" w:rsidRPr="006A721E">
        <w:rPr>
          <w:rFonts w:cs="Arial"/>
          <w:szCs w:val="22"/>
        </w:rPr>
        <w:t>that the path had</w:t>
      </w:r>
      <w:r w:rsidR="00482211" w:rsidRPr="006A721E">
        <w:rPr>
          <w:rFonts w:cs="Arial"/>
          <w:szCs w:val="22"/>
        </w:rPr>
        <w:t xml:space="preserve"> been kept clear by previous owners</w:t>
      </w:r>
      <w:r w:rsidR="006D16A0" w:rsidRPr="006A721E">
        <w:rPr>
          <w:rFonts w:cs="Arial"/>
          <w:szCs w:val="22"/>
        </w:rPr>
        <w:t xml:space="preserve"> or had been maintained </w:t>
      </w:r>
      <w:r w:rsidR="00CB1FB0" w:rsidRPr="006A721E">
        <w:rPr>
          <w:rFonts w:cs="Arial"/>
          <w:szCs w:val="22"/>
        </w:rPr>
        <w:t xml:space="preserve">by them by cutting the grass. </w:t>
      </w:r>
      <w:r w:rsidR="00F721A3" w:rsidRPr="00C43012">
        <w:rPr>
          <w:rFonts w:cs="Arial"/>
          <w:szCs w:val="22"/>
        </w:rPr>
        <w:t>Th</w:t>
      </w:r>
      <w:r w:rsidR="00FE73F2" w:rsidRPr="00C43012">
        <w:rPr>
          <w:rFonts w:cs="Arial"/>
          <w:szCs w:val="22"/>
        </w:rPr>
        <w:t>e</w:t>
      </w:r>
      <w:r w:rsidR="00C966BB">
        <w:rPr>
          <w:rFonts w:cs="Arial"/>
          <w:szCs w:val="22"/>
        </w:rPr>
        <w:t>se references</w:t>
      </w:r>
      <w:r w:rsidR="006047FD" w:rsidRPr="00C43012">
        <w:rPr>
          <w:rFonts w:cs="Arial"/>
          <w:szCs w:val="22"/>
        </w:rPr>
        <w:t xml:space="preserve"> </w:t>
      </w:r>
      <w:r w:rsidR="00DB272A" w:rsidRPr="00C43012">
        <w:rPr>
          <w:rFonts w:cs="Arial"/>
          <w:szCs w:val="22"/>
        </w:rPr>
        <w:t>suggest that the respondents had used</w:t>
      </w:r>
      <w:r w:rsidR="00F721A3" w:rsidRPr="00C43012">
        <w:rPr>
          <w:rFonts w:cs="Arial"/>
          <w:szCs w:val="22"/>
        </w:rPr>
        <w:t xml:space="preserve"> the mown path which crossed footpath 18</w:t>
      </w:r>
      <w:r w:rsidR="001F3D76" w:rsidRPr="00C43012">
        <w:rPr>
          <w:rFonts w:cs="Arial"/>
          <w:szCs w:val="22"/>
        </w:rPr>
        <w:t xml:space="preserve">a and led </w:t>
      </w:r>
      <w:r w:rsidR="00C966BB">
        <w:rPr>
          <w:rFonts w:cs="Arial"/>
          <w:szCs w:val="22"/>
        </w:rPr>
        <w:t xml:space="preserve">from Stream Mill </w:t>
      </w:r>
      <w:r w:rsidR="001F3D76" w:rsidRPr="00C43012">
        <w:rPr>
          <w:rFonts w:cs="Arial"/>
          <w:szCs w:val="22"/>
        </w:rPr>
        <w:t xml:space="preserve">to the stream bank at or around point B. Whilst this route might </w:t>
      </w:r>
      <w:r w:rsidR="002B7FAC" w:rsidRPr="00C43012">
        <w:rPr>
          <w:rFonts w:cs="Arial"/>
          <w:szCs w:val="22"/>
        </w:rPr>
        <w:t xml:space="preserve">have provided users </w:t>
      </w:r>
      <w:r w:rsidR="004E2DE3" w:rsidRPr="00C43012">
        <w:rPr>
          <w:rFonts w:cs="Arial"/>
          <w:szCs w:val="22"/>
        </w:rPr>
        <w:t xml:space="preserve">with </w:t>
      </w:r>
      <w:r w:rsidR="002B7FAC" w:rsidRPr="00C43012">
        <w:rPr>
          <w:rFonts w:cs="Arial"/>
          <w:szCs w:val="22"/>
        </w:rPr>
        <w:t xml:space="preserve">a means of </w:t>
      </w:r>
      <w:r w:rsidR="00F50DE5" w:rsidRPr="00C43012">
        <w:rPr>
          <w:rFonts w:cs="Arial"/>
          <w:szCs w:val="22"/>
        </w:rPr>
        <w:t>access to the stream during the summer months when the grass was long, the Aworth plan shows that this route</w:t>
      </w:r>
      <w:r w:rsidR="009544D9" w:rsidRPr="00C43012">
        <w:rPr>
          <w:rFonts w:cs="Arial"/>
          <w:szCs w:val="22"/>
        </w:rPr>
        <w:t xml:space="preserve"> does not equate with either the route described in the Order</w:t>
      </w:r>
      <w:r w:rsidR="00061E08" w:rsidRPr="00C43012">
        <w:rPr>
          <w:rFonts w:cs="Arial"/>
          <w:szCs w:val="22"/>
        </w:rPr>
        <w:t xml:space="preserve"> or the route claimed to have been used by the CFG.</w:t>
      </w:r>
    </w:p>
    <w:p w14:paraId="73C17AD8" w14:textId="169CD333" w:rsidR="00AE08F6" w:rsidRPr="006A721E" w:rsidRDefault="00AE08F6" w:rsidP="00AE08F6">
      <w:pPr>
        <w:pStyle w:val="Style1"/>
        <w:numPr>
          <w:ilvl w:val="0"/>
          <w:numId w:val="0"/>
        </w:numPr>
        <w:rPr>
          <w:b/>
          <w:bCs/>
          <w:szCs w:val="22"/>
        </w:rPr>
      </w:pPr>
      <w:r w:rsidRPr="006A721E">
        <w:rPr>
          <w:b/>
          <w:bCs/>
          <w:szCs w:val="22"/>
        </w:rPr>
        <w:t>Conclusions</w:t>
      </w:r>
    </w:p>
    <w:p w14:paraId="2D4A8969" w14:textId="2404080D" w:rsidR="008F2879" w:rsidRPr="006A721E" w:rsidRDefault="00624BE3" w:rsidP="00497995">
      <w:pPr>
        <w:pStyle w:val="Style1"/>
        <w:rPr>
          <w:rFonts w:cs="Arial"/>
          <w:szCs w:val="22"/>
        </w:rPr>
      </w:pPr>
      <w:r w:rsidRPr="006A721E">
        <w:rPr>
          <w:rFonts w:cs="Arial"/>
          <w:szCs w:val="22"/>
        </w:rPr>
        <w:t xml:space="preserve">Drawing these strands of evidence together, it is evident that there has been access to </w:t>
      </w:r>
      <w:r w:rsidR="00580061" w:rsidRPr="006A721E">
        <w:rPr>
          <w:rFonts w:cs="Arial"/>
          <w:szCs w:val="22"/>
        </w:rPr>
        <w:t xml:space="preserve">the weir and mill pool for some considerable time; the </w:t>
      </w:r>
      <w:r w:rsidR="001F3D47" w:rsidRPr="006A721E">
        <w:rPr>
          <w:rFonts w:cs="Arial"/>
          <w:szCs w:val="22"/>
        </w:rPr>
        <w:t xml:space="preserve">poems of William Chives and the </w:t>
      </w:r>
      <w:r w:rsidR="001D5A7D" w:rsidRPr="006A721E">
        <w:rPr>
          <w:rFonts w:cs="Arial"/>
          <w:szCs w:val="22"/>
        </w:rPr>
        <w:t xml:space="preserve">correspondence on the picture postcard from 1906 </w:t>
      </w:r>
      <w:r w:rsidR="002731CA" w:rsidRPr="006A721E">
        <w:rPr>
          <w:rFonts w:cs="Arial"/>
          <w:szCs w:val="22"/>
        </w:rPr>
        <w:t>demonstrate</w:t>
      </w:r>
      <w:r w:rsidR="00653193">
        <w:rPr>
          <w:rFonts w:cs="Arial"/>
          <w:szCs w:val="22"/>
        </w:rPr>
        <w:t>s</w:t>
      </w:r>
      <w:r w:rsidR="002731CA" w:rsidRPr="006A721E">
        <w:rPr>
          <w:rFonts w:cs="Arial"/>
          <w:szCs w:val="22"/>
        </w:rPr>
        <w:t xml:space="preserve"> that it was possible to access the mill pool in the early part of the twentieth century</w:t>
      </w:r>
      <w:r w:rsidR="000046E0" w:rsidRPr="006A721E">
        <w:rPr>
          <w:rFonts w:cs="Arial"/>
          <w:szCs w:val="22"/>
        </w:rPr>
        <w:t>;</w:t>
      </w:r>
      <w:r w:rsidR="002731CA" w:rsidRPr="006A721E">
        <w:rPr>
          <w:rFonts w:cs="Arial"/>
          <w:szCs w:val="22"/>
        </w:rPr>
        <w:t xml:space="preserve"> </w:t>
      </w:r>
      <w:r w:rsidR="003A76CE" w:rsidRPr="006A721E">
        <w:rPr>
          <w:rFonts w:cs="Arial"/>
          <w:szCs w:val="22"/>
        </w:rPr>
        <w:t xml:space="preserve">such </w:t>
      </w:r>
      <w:r w:rsidR="00565F8B" w:rsidRPr="006A721E">
        <w:rPr>
          <w:rFonts w:cs="Arial"/>
          <w:szCs w:val="22"/>
        </w:rPr>
        <w:t>access</w:t>
      </w:r>
      <w:r w:rsidR="00772A7A" w:rsidRPr="006A721E">
        <w:rPr>
          <w:rFonts w:cs="Arial"/>
          <w:szCs w:val="22"/>
        </w:rPr>
        <w:t xml:space="preserve"> </w:t>
      </w:r>
      <w:r w:rsidR="00565F8B" w:rsidRPr="006A721E">
        <w:rPr>
          <w:rFonts w:cs="Arial"/>
          <w:szCs w:val="22"/>
        </w:rPr>
        <w:t xml:space="preserve">appears to have </w:t>
      </w:r>
      <w:r w:rsidR="003A76CE" w:rsidRPr="006A721E">
        <w:rPr>
          <w:rFonts w:cs="Arial"/>
          <w:szCs w:val="22"/>
        </w:rPr>
        <w:t>remained available</w:t>
      </w:r>
      <w:r w:rsidR="00565F8B" w:rsidRPr="006A721E">
        <w:rPr>
          <w:rFonts w:cs="Arial"/>
          <w:szCs w:val="22"/>
        </w:rPr>
        <w:t xml:space="preserve"> until 2012. </w:t>
      </w:r>
    </w:p>
    <w:p w14:paraId="59745BF3" w14:textId="3243FE39" w:rsidR="00602D77" w:rsidRPr="006A721E" w:rsidRDefault="00565F8B" w:rsidP="00642474">
      <w:pPr>
        <w:pStyle w:val="Style1"/>
        <w:rPr>
          <w:rFonts w:cs="Arial"/>
          <w:szCs w:val="22"/>
        </w:rPr>
      </w:pPr>
      <w:r w:rsidRPr="006A721E">
        <w:rPr>
          <w:rFonts w:cs="Arial"/>
          <w:szCs w:val="22"/>
        </w:rPr>
        <w:t xml:space="preserve">However, the </w:t>
      </w:r>
      <w:r w:rsidR="00815143" w:rsidRPr="006A721E">
        <w:rPr>
          <w:rFonts w:cs="Arial"/>
          <w:szCs w:val="22"/>
        </w:rPr>
        <w:t xml:space="preserve">evidence of use in support of the claim for a public right of way having come into existence through long use </w:t>
      </w:r>
      <w:r w:rsidR="00DA2EFE" w:rsidRPr="006A721E">
        <w:rPr>
          <w:rFonts w:cs="Arial"/>
          <w:szCs w:val="22"/>
        </w:rPr>
        <w:t>does not demonstrate, to my mind, that access to the weir and mill pool has been over any single defined route</w:t>
      </w:r>
      <w:r w:rsidR="008911AE" w:rsidRPr="006A721E">
        <w:rPr>
          <w:rFonts w:cs="Arial"/>
          <w:szCs w:val="22"/>
        </w:rPr>
        <w:t xml:space="preserve">. The route claimed by the CFG </w:t>
      </w:r>
      <w:r w:rsidR="007A2E99" w:rsidRPr="006A721E">
        <w:rPr>
          <w:rFonts w:cs="Arial"/>
          <w:szCs w:val="22"/>
        </w:rPr>
        <w:t xml:space="preserve">is not the </w:t>
      </w:r>
      <w:r w:rsidR="00F960DC" w:rsidRPr="006A721E">
        <w:rPr>
          <w:rFonts w:cs="Arial"/>
          <w:szCs w:val="22"/>
        </w:rPr>
        <w:t xml:space="preserve">route shown on the plans attached to the </w:t>
      </w:r>
      <w:r w:rsidR="008F2879" w:rsidRPr="006A721E">
        <w:rPr>
          <w:rFonts w:cs="Arial"/>
          <w:szCs w:val="22"/>
        </w:rPr>
        <w:t>UEF</w:t>
      </w:r>
      <w:r w:rsidR="00DB3621" w:rsidRPr="006A721E">
        <w:rPr>
          <w:rFonts w:cs="Arial"/>
          <w:szCs w:val="22"/>
        </w:rPr>
        <w:t>s</w:t>
      </w:r>
      <w:r w:rsidR="008F2879" w:rsidRPr="006A721E">
        <w:rPr>
          <w:rFonts w:cs="Arial"/>
          <w:szCs w:val="22"/>
        </w:rPr>
        <w:t xml:space="preserve"> and </w:t>
      </w:r>
      <w:r w:rsidR="007A2E99" w:rsidRPr="006A721E">
        <w:rPr>
          <w:rFonts w:cs="Arial"/>
          <w:szCs w:val="22"/>
        </w:rPr>
        <w:t>is not</w:t>
      </w:r>
      <w:r w:rsidR="008F2879" w:rsidRPr="006A721E">
        <w:rPr>
          <w:rFonts w:cs="Arial"/>
          <w:szCs w:val="22"/>
        </w:rPr>
        <w:t xml:space="preserve"> the route described in the Order. </w:t>
      </w:r>
    </w:p>
    <w:p w14:paraId="70C2BDC2" w14:textId="7466BC47" w:rsidR="00D451BC" w:rsidRPr="006A721E" w:rsidRDefault="00804A8D" w:rsidP="00602D77">
      <w:pPr>
        <w:pStyle w:val="Style1"/>
        <w:rPr>
          <w:rFonts w:cs="Arial"/>
          <w:szCs w:val="22"/>
        </w:rPr>
      </w:pPr>
      <w:r w:rsidRPr="006A721E">
        <w:rPr>
          <w:rFonts w:cs="Arial"/>
          <w:szCs w:val="22"/>
        </w:rPr>
        <w:t>The UEFs</w:t>
      </w:r>
      <w:r w:rsidR="00D35F45" w:rsidRPr="006A721E">
        <w:rPr>
          <w:rFonts w:cs="Arial"/>
          <w:szCs w:val="22"/>
        </w:rPr>
        <w:t xml:space="preserve"> </w:t>
      </w:r>
      <w:r w:rsidRPr="006A721E">
        <w:rPr>
          <w:rFonts w:cs="Arial"/>
          <w:szCs w:val="22"/>
        </w:rPr>
        <w:t xml:space="preserve">suggest that the route used varied between </w:t>
      </w:r>
      <w:r w:rsidR="00AF5051" w:rsidRPr="006A721E">
        <w:rPr>
          <w:rFonts w:cs="Arial"/>
          <w:szCs w:val="22"/>
        </w:rPr>
        <w:t>2 feet and 40 yards in width</w:t>
      </w:r>
      <w:r w:rsidR="006E303B" w:rsidRPr="006A721E">
        <w:rPr>
          <w:rFonts w:cs="Arial"/>
          <w:szCs w:val="22"/>
        </w:rPr>
        <w:t>;</w:t>
      </w:r>
      <w:r w:rsidR="00111E9B" w:rsidRPr="006A721E">
        <w:rPr>
          <w:rFonts w:cs="Arial"/>
          <w:szCs w:val="22"/>
        </w:rPr>
        <w:t xml:space="preserve"> within that width there may have been any number of possible routes which </w:t>
      </w:r>
      <w:r w:rsidR="000E4C86" w:rsidRPr="006A721E">
        <w:rPr>
          <w:rFonts w:cs="Arial"/>
          <w:szCs w:val="22"/>
        </w:rPr>
        <w:t>users of footpath 18a could have taken to access the stream and mill pool</w:t>
      </w:r>
      <w:r w:rsidR="00160451" w:rsidRPr="006A721E">
        <w:rPr>
          <w:rFonts w:cs="Arial"/>
          <w:szCs w:val="22"/>
        </w:rPr>
        <w:t>.</w:t>
      </w:r>
      <w:r w:rsidR="00602D77" w:rsidRPr="006A721E">
        <w:rPr>
          <w:rFonts w:cs="Arial"/>
          <w:szCs w:val="22"/>
        </w:rPr>
        <w:t xml:space="preserve"> I consider that the user evidence </w:t>
      </w:r>
      <w:r w:rsidR="00637887" w:rsidRPr="006A721E">
        <w:rPr>
          <w:rFonts w:cs="Arial"/>
          <w:szCs w:val="22"/>
        </w:rPr>
        <w:t>demonstrates that</w:t>
      </w:r>
      <w:r w:rsidR="00805724" w:rsidRPr="006A721E">
        <w:rPr>
          <w:rFonts w:cs="Arial"/>
          <w:szCs w:val="22"/>
        </w:rPr>
        <w:t xml:space="preserve"> individuals </w:t>
      </w:r>
      <w:r w:rsidR="00637887" w:rsidRPr="006A721E">
        <w:rPr>
          <w:rFonts w:cs="Arial"/>
          <w:szCs w:val="22"/>
        </w:rPr>
        <w:t xml:space="preserve">were in the habit of </w:t>
      </w:r>
      <w:r w:rsidR="00805724" w:rsidRPr="006A721E">
        <w:rPr>
          <w:rFonts w:cs="Arial"/>
          <w:szCs w:val="22"/>
        </w:rPr>
        <w:t xml:space="preserve">roaming over </w:t>
      </w:r>
      <w:r w:rsidR="007F236A" w:rsidRPr="006A721E">
        <w:rPr>
          <w:rFonts w:cs="Arial"/>
          <w:szCs w:val="22"/>
        </w:rPr>
        <w:t xml:space="preserve">the open </w:t>
      </w:r>
      <w:r w:rsidR="00805724" w:rsidRPr="006A721E">
        <w:rPr>
          <w:rFonts w:cs="Arial"/>
          <w:szCs w:val="22"/>
        </w:rPr>
        <w:t>a</w:t>
      </w:r>
      <w:r w:rsidR="00D451BC" w:rsidRPr="006A721E">
        <w:rPr>
          <w:rFonts w:cs="Arial"/>
          <w:szCs w:val="22"/>
        </w:rPr>
        <w:t>rea</w:t>
      </w:r>
      <w:r w:rsidR="007F236A" w:rsidRPr="006A721E">
        <w:rPr>
          <w:rFonts w:cs="Arial"/>
          <w:szCs w:val="22"/>
        </w:rPr>
        <w:t xml:space="preserve"> of land between footpath 18a and the stream</w:t>
      </w:r>
      <w:r w:rsidR="005E427D" w:rsidRPr="006A721E">
        <w:rPr>
          <w:rFonts w:cs="Arial"/>
          <w:szCs w:val="22"/>
        </w:rPr>
        <w:t xml:space="preserve"> and did not follow a single defined </w:t>
      </w:r>
      <w:r w:rsidR="00F97D61" w:rsidRPr="006A721E">
        <w:rPr>
          <w:rFonts w:cs="Arial"/>
          <w:szCs w:val="22"/>
        </w:rPr>
        <w:t>route to reach the stream</w:t>
      </w:r>
      <w:r w:rsidR="00532D95">
        <w:rPr>
          <w:rFonts w:cs="Arial"/>
          <w:szCs w:val="22"/>
        </w:rPr>
        <w:t xml:space="preserve"> and mill pool</w:t>
      </w:r>
      <w:r w:rsidR="007F236A" w:rsidRPr="006A721E">
        <w:rPr>
          <w:rFonts w:cs="Arial"/>
          <w:szCs w:val="22"/>
        </w:rPr>
        <w:t>.</w:t>
      </w:r>
      <w:r w:rsidR="00D451BC" w:rsidRPr="006A721E">
        <w:rPr>
          <w:rFonts w:cs="Arial"/>
          <w:szCs w:val="22"/>
        </w:rPr>
        <w:t xml:space="preserve"> </w:t>
      </w:r>
    </w:p>
    <w:p w14:paraId="64BCF3EA" w14:textId="77777777" w:rsidR="00E044D0" w:rsidRDefault="00F7612D" w:rsidP="00642474">
      <w:pPr>
        <w:pStyle w:val="Style1"/>
        <w:rPr>
          <w:rFonts w:cs="Arial"/>
          <w:szCs w:val="22"/>
        </w:rPr>
      </w:pPr>
      <w:r w:rsidRPr="006A721E">
        <w:rPr>
          <w:rFonts w:cs="Arial"/>
          <w:szCs w:val="22"/>
        </w:rPr>
        <w:t>In short, I am not persua</w:t>
      </w:r>
      <w:r w:rsidR="008958B8" w:rsidRPr="006A721E">
        <w:rPr>
          <w:rFonts w:cs="Arial"/>
          <w:szCs w:val="22"/>
        </w:rPr>
        <w:t xml:space="preserve">ded that the evidence of use adduced in this case demonstrates that the public have enjoyed </w:t>
      </w:r>
      <w:r w:rsidR="00EC25B1" w:rsidRPr="006A721E">
        <w:rPr>
          <w:rFonts w:cs="Arial"/>
          <w:szCs w:val="22"/>
        </w:rPr>
        <w:t xml:space="preserve">the use of ‘a way’ such that the statutory test set out in section 31 of the 1980 Act is engaged. As </w:t>
      </w:r>
      <w:r w:rsidR="00A95BA7" w:rsidRPr="006A721E">
        <w:rPr>
          <w:rFonts w:cs="Arial"/>
          <w:szCs w:val="22"/>
        </w:rPr>
        <w:t>use of</w:t>
      </w:r>
      <w:r w:rsidR="00531EDD" w:rsidRPr="006A721E">
        <w:rPr>
          <w:rFonts w:cs="Arial"/>
          <w:szCs w:val="22"/>
        </w:rPr>
        <w:t xml:space="preserve"> a defined ‘way’ </w:t>
      </w:r>
      <w:r w:rsidR="00A95BA7" w:rsidRPr="006A721E">
        <w:rPr>
          <w:rFonts w:cs="Arial"/>
          <w:szCs w:val="22"/>
        </w:rPr>
        <w:t>has not been demonstrated</w:t>
      </w:r>
      <w:r w:rsidR="00531EDD" w:rsidRPr="006A721E">
        <w:rPr>
          <w:rFonts w:cs="Arial"/>
          <w:szCs w:val="22"/>
        </w:rPr>
        <w:t>, it also follows that it would not be possible for an inference of dedication at common law to be draw</w:t>
      </w:r>
      <w:r w:rsidR="00C150C0" w:rsidRPr="006A721E">
        <w:rPr>
          <w:rFonts w:cs="Arial"/>
          <w:szCs w:val="22"/>
        </w:rPr>
        <w:t>n from the available evidence.</w:t>
      </w:r>
      <w:r w:rsidR="000E5599" w:rsidRPr="006A721E">
        <w:rPr>
          <w:rFonts w:cs="Arial"/>
          <w:szCs w:val="22"/>
        </w:rPr>
        <w:t xml:space="preserve"> </w:t>
      </w:r>
    </w:p>
    <w:p w14:paraId="42FB5241" w14:textId="00E96298" w:rsidR="00442C84" w:rsidRPr="006A721E" w:rsidRDefault="00DD0738" w:rsidP="00642474">
      <w:pPr>
        <w:pStyle w:val="Style1"/>
        <w:rPr>
          <w:rFonts w:cs="Arial"/>
          <w:szCs w:val="22"/>
        </w:rPr>
      </w:pPr>
      <w:r>
        <w:rPr>
          <w:rFonts w:cs="Arial"/>
          <w:szCs w:val="22"/>
        </w:rPr>
        <w:t xml:space="preserve">As the evidence does not support the use of a </w:t>
      </w:r>
      <w:r w:rsidR="00131270">
        <w:rPr>
          <w:rFonts w:cs="Arial"/>
          <w:szCs w:val="22"/>
        </w:rPr>
        <w:t>defined ‘</w:t>
      </w:r>
      <w:r>
        <w:rPr>
          <w:rFonts w:cs="Arial"/>
          <w:szCs w:val="22"/>
        </w:rPr>
        <w:t>way</w:t>
      </w:r>
      <w:r w:rsidR="00131270">
        <w:rPr>
          <w:rFonts w:cs="Arial"/>
          <w:szCs w:val="22"/>
        </w:rPr>
        <w:t xml:space="preserve">’, it is not necessary for me to consider whether use was ancillary to recreational activities </w:t>
      </w:r>
      <w:r w:rsidR="00EC61BA">
        <w:rPr>
          <w:rFonts w:cs="Arial"/>
          <w:szCs w:val="22"/>
        </w:rPr>
        <w:t>undertaken in the mill pool or stream</w:t>
      </w:r>
      <w:r w:rsidR="00826DAF">
        <w:rPr>
          <w:rFonts w:cs="Arial"/>
          <w:szCs w:val="22"/>
        </w:rPr>
        <w:t>.</w:t>
      </w:r>
    </w:p>
    <w:p w14:paraId="73A23BB6" w14:textId="3BB4718E" w:rsidR="00532D95" w:rsidRPr="00F51A04" w:rsidRDefault="000E5599" w:rsidP="00F51A04">
      <w:pPr>
        <w:pStyle w:val="Style1"/>
        <w:rPr>
          <w:rFonts w:cs="Arial"/>
          <w:szCs w:val="22"/>
        </w:rPr>
      </w:pPr>
      <w:r w:rsidRPr="006A721E">
        <w:rPr>
          <w:rFonts w:cs="Arial"/>
          <w:szCs w:val="22"/>
        </w:rPr>
        <w:lastRenderedPageBreak/>
        <w:t>It follows that I conclude that the Order should not be confirmed.</w:t>
      </w:r>
    </w:p>
    <w:p w14:paraId="37FC62FE" w14:textId="2451DD44" w:rsidR="000E5599" w:rsidRPr="006A721E" w:rsidRDefault="000E5599" w:rsidP="00DE775E">
      <w:pPr>
        <w:pStyle w:val="Style1"/>
        <w:numPr>
          <w:ilvl w:val="0"/>
          <w:numId w:val="0"/>
        </w:numPr>
        <w:rPr>
          <w:rFonts w:cs="Arial"/>
          <w:b/>
          <w:bCs/>
          <w:szCs w:val="22"/>
        </w:rPr>
      </w:pPr>
      <w:r w:rsidRPr="006A721E">
        <w:rPr>
          <w:rFonts w:cs="Arial"/>
          <w:b/>
          <w:bCs/>
          <w:szCs w:val="22"/>
        </w:rPr>
        <w:t>Formal Decision</w:t>
      </w:r>
    </w:p>
    <w:p w14:paraId="79D8E7ED" w14:textId="1C32ED7E" w:rsidR="00146F87" w:rsidRPr="006A721E" w:rsidRDefault="000E5599" w:rsidP="00642474">
      <w:pPr>
        <w:pStyle w:val="Style1"/>
        <w:rPr>
          <w:rFonts w:cs="Arial"/>
          <w:szCs w:val="22"/>
        </w:rPr>
      </w:pPr>
      <w:r w:rsidRPr="006A721E">
        <w:rPr>
          <w:rFonts w:cs="Arial"/>
          <w:szCs w:val="22"/>
        </w:rPr>
        <w:t>I do not confirm the Order</w:t>
      </w:r>
      <w:r w:rsidR="00DE775E" w:rsidRPr="006A721E">
        <w:rPr>
          <w:rFonts w:cs="Arial"/>
          <w:szCs w:val="22"/>
        </w:rPr>
        <w:t>.</w:t>
      </w:r>
    </w:p>
    <w:p w14:paraId="68CDC16E" w14:textId="7EFCFF69" w:rsidR="00DE775E" w:rsidRPr="00F51A04" w:rsidRDefault="00DE775E" w:rsidP="00DE775E">
      <w:pPr>
        <w:pStyle w:val="Style1"/>
        <w:numPr>
          <w:ilvl w:val="0"/>
          <w:numId w:val="0"/>
        </w:numPr>
        <w:rPr>
          <w:rFonts w:ascii="Monotype Corsiva" w:hAnsi="Monotype Corsiva" w:cs="Arial"/>
          <w:sz w:val="36"/>
          <w:szCs w:val="36"/>
        </w:rPr>
      </w:pPr>
      <w:r w:rsidRPr="00F51A04">
        <w:rPr>
          <w:rFonts w:ascii="Monotype Corsiva" w:hAnsi="Monotype Corsiva" w:cs="Arial"/>
          <w:sz w:val="36"/>
          <w:szCs w:val="36"/>
        </w:rPr>
        <w:t>Alan Beckett</w:t>
      </w:r>
    </w:p>
    <w:p w14:paraId="0EF424A4" w14:textId="72CC15C5" w:rsidR="00794086" w:rsidRDefault="00DE775E" w:rsidP="00442C84">
      <w:pPr>
        <w:pStyle w:val="Style1"/>
        <w:numPr>
          <w:ilvl w:val="0"/>
          <w:numId w:val="0"/>
        </w:numPr>
        <w:ind w:left="431" w:hanging="431"/>
        <w:rPr>
          <w:rFonts w:cs="Arial"/>
          <w:szCs w:val="22"/>
        </w:rPr>
      </w:pPr>
      <w:r w:rsidRPr="006A721E">
        <w:rPr>
          <w:rFonts w:cs="Arial"/>
          <w:szCs w:val="22"/>
        </w:rPr>
        <w:t>Inspector</w:t>
      </w:r>
    </w:p>
    <w:p w14:paraId="1A6C29B2" w14:textId="77777777" w:rsidR="00794086" w:rsidRDefault="00794086">
      <w:pPr>
        <w:rPr>
          <w:rFonts w:cs="Arial"/>
          <w:color w:val="000000"/>
          <w:kern w:val="28"/>
          <w:szCs w:val="22"/>
        </w:rPr>
      </w:pPr>
      <w:r>
        <w:rPr>
          <w:rFonts w:cs="Arial"/>
          <w:szCs w:val="22"/>
        </w:rPr>
        <w:br w:type="page"/>
      </w:r>
    </w:p>
    <w:p w14:paraId="0F0FF8E5" w14:textId="6DC2CF9D" w:rsidR="002C4094" w:rsidRPr="00442C84" w:rsidRDefault="0083707B" w:rsidP="00442C84">
      <w:pPr>
        <w:pStyle w:val="Style1"/>
        <w:numPr>
          <w:ilvl w:val="0"/>
          <w:numId w:val="0"/>
        </w:numPr>
        <w:ind w:left="431" w:hanging="431"/>
        <w:rPr>
          <w:rFonts w:cs="Arial"/>
          <w:sz w:val="24"/>
          <w:szCs w:val="24"/>
        </w:rPr>
      </w:pPr>
      <w:r>
        <w:rPr>
          <w:noProof/>
        </w:rPr>
        <w:lastRenderedPageBreak/>
        <w:drawing>
          <wp:inline distT="0" distB="0" distL="0" distR="0" wp14:anchorId="75493707" wp14:editId="2B63482A">
            <wp:extent cx="5908040" cy="8351520"/>
            <wp:effectExtent l="0" t="0" r="0" b="0"/>
            <wp:docPr id="5" name="Picture 5" descr="Order Map showing claimed 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showing claimed rou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8040" cy="8351520"/>
                    </a:xfrm>
                    <a:prstGeom prst="rect">
                      <a:avLst/>
                    </a:prstGeom>
                    <a:noFill/>
                    <a:ln>
                      <a:noFill/>
                    </a:ln>
                  </pic:spPr>
                </pic:pic>
              </a:graphicData>
            </a:graphic>
          </wp:inline>
        </w:drawing>
      </w:r>
    </w:p>
    <w:sectPr w:rsidR="002C4094" w:rsidRPr="00442C84"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938D5" w14:textId="77777777" w:rsidR="005129D1" w:rsidRDefault="005129D1" w:rsidP="00F62916">
      <w:r>
        <w:separator/>
      </w:r>
    </w:p>
  </w:endnote>
  <w:endnote w:type="continuationSeparator" w:id="0">
    <w:p w14:paraId="0224D09C" w14:textId="77777777" w:rsidR="005129D1" w:rsidRDefault="005129D1"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35B5"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A20D0A"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48B2"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1E16E600" wp14:editId="0818C687">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EA23A"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3E28A55D" w14:textId="77777777" w:rsidR="00366F95" w:rsidRPr="00E45340" w:rsidRDefault="00880A52"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09FF" w14:textId="77777777" w:rsidR="00366F95" w:rsidRDefault="00366F95" w:rsidP="002D3E2A">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750240E0" wp14:editId="3984EF07">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41EB3"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251E5BD9" w14:textId="77777777" w:rsidR="00366F95" w:rsidRPr="00451EE4" w:rsidRDefault="00880A52">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9F12F" w14:textId="77777777" w:rsidR="005129D1" w:rsidRDefault="005129D1" w:rsidP="00F62916">
      <w:r>
        <w:separator/>
      </w:r>
    </w:p>
  </w:footnote>
  <w:footnote w:type="continuationSeparator" w:id="0">
    <w:p w14:paraId="20CD151E" w14:textId="77777777" w:rsidR="005129D1" w:rsidRDefault="005129D1"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684390AD" w14:textId="77777777">
      <w:tc>
        <w:tcPr>
          <w:tcW w:w="9520" w:type="dxa"/>
        </w:tcPr>
        <w:p w14:paraId="21201E9F" w14:textId="035A3068" w:rsidR="00366F95" w:rsidRDefault="002D3E2A">
          <w:pPr>
            <w:pStyle w:val="Footer"/>
          </w:pPr>
          <w:r>
            <w:t xml:space="preserve">Order Decision </w:t>
          </w:r>
          <w:r w:rsidR="001C70EB">
            <w:t>ROW/3241912</w:t>
          </w:r>
        </w:p>
      </w:tc>
    </w:tr>
  </w:tbl>
  <w:p w14:paraId="031231AA"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0670D839" wp14:editId="50DEA2CF">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52022"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567F"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D3E2A"/>
    <w:rsid w:val="0000215E"/>
    <w:rsid w:val="0000218E"/>
    <w:rsid w:val="0000335F"/>
    <w:rsid w:val="000046E0"/>
    <w:rsid w:val="00005071"/>
    <w:rsid w:val="0001047B"/>
    <w:rsid w:val="00013ACD"/>
    <w:rsid w:val="00014C15"/>
    <w:rsid w:val="00017AD8"/>
    <w:rsid w:val="00024500"/>
    <w:rsid w:val="000247B2"/>
    <w:rsid w:val="0003134F"/>
    <w:rsid w:val="000313C4"/>
    <w:rsid w:val="0003193A"/>
    <w:rsid w:val="00032A4B"/>
    <w:rsid w:val="00034EA1"/>
    <w:rsid w:val="00037246"/>
    <w:rsid w:val="00037CD5"/>
    <w:rsid w:val="00044272"/>
    <w:rsid w:val="00046145"/>
    <w:rsid w:val="0004625F"/>
    <w:rsid w:val="00050B4D"/>
    <w:rsid w:val="00050FAF"/>
    <w:rsid w:val="00051B4D"/>
    <w:rsid w:val="00053135"/>
    <w:rsid w:val="00054FF2"/>
    <w:rsid w:val="0005759E"/>
    <w:rsid w:val="00061E08"/>
    <w:rsid w:val="00065CF8"/>
    <w:rsid w:val="00066533"/>
    <w:rsid w:val="00070196"/>
    <w:rsid w:val="00075764"/>
    <w:rsid w:val="00077358"/>
    <w:rsid w:val="00083FBB"/>
    <w:rsid w:val="00087477"/>
    <w:rsid w:val="00087DEC"/>
    <w:rsid w:val="0009288B"/>
    <w:rsid w:val="00094A44"/>
    <w:rsid w:val="00094B4F"/>
    <w:rsid w:val="0009649D"/>
    <w:rsid w:val="000A4AEB"/>
    <w:rsid w:val="000A64AE"/>
    <w:rsid w:val="000A6592"/>
    <w:rsid w:val="000A7CB6"/>
    <w:rsid w:val="000B02BC"/>
    <w:rsid w:val="000B0589"/>
    <w:rsid w:val="000B4959"/>
    <w:rsid w:val="000C3C7E"/>
    <w:rsid w:val="000C3F13"/>
    <w:rsid w:val="000C5098"/>
    <w:rsid w:val="000C698E"/>
    <w:rsid w:val="000D0673"/>
    <w:rsid w:val="000D0D82"/>
    <w:rsid w:val="000D3707"/>
    <w:rsid w:val="000E2674"/>
    <w:rsid w:val="000E4C86"/>
    <w:rsid w:val="000E50B3"/>
    <w:rsid w:val="000E5599"/>
    <w:rsid w:val="000E57C1"/>
    <w:rsid w:val="000E714E"/>
    <w:rsid w:val="000F063C"/>
    <w:rsid w:val="000F16F4"/>
    <w:rsid w:val="000F1989"/>
    <w:rsid w:val="000F35AC"/>
    <w:rsid w:val="000F6B35"/>
    <w:rsid w:val="000F6EC2"/>
    <w:rsid w:val="001000CB"/>
    <w:rsid w:val="00100F13"/>
    <w:rsid w:val="001014D3"/>
    <w:rsid w:val="00102392"/>
    <w:rsid w:val="00104D93"/>
    <w:rsid w:val="00111E9B"/>
    <w:rsid w:val="00114926"/>
    <w:rsid w:val="0011738A"/>
    <w:rsid w:val="00125163"/>
    <w:rsid w:val="00125E20"/>
    <w:rsid w:val="0012608F"/>
    <w:rsid w:val="00131270"/>
    <w:rsid w:val="001378D4"/>
    <w:rsid w:val="001440C3"/>
    <w:rsid w:val="00145A84"/>
    <w:rsid w:val="00146F87"/>
    <w:rsid w:val="00152C92"/>
    <w:rsid w:val="00155E83"/>
    <w:rsid w:val="00160451"/>
    <w:rsid w:val="00161B5C"/>
    <w:rsid w:val="001632D8"/>
    <w:rsid w:val="00170859"/>
    <w:rsid w:val="001739F7"/>
    <w:rsid w:val="00175CF7"/>
    <w:rsid w:val="00180966"/>
    <w:rsid w:val="00183924"/>
    <w:rsid w:val="0019348F"/>
    <w:rsid w:val="001951B9"/>
    <w:rsid w:val="00197B5B"/>
    <w:rsid w:val="001A2D9B"/>
    <w:rsid w:val="001A5074"/>
    <w:rsid w:val="001A6919"/>
    <w:rsid w:val="001B1F18"/>
    <w:rsid w:val="001B233C"/>
    <w:rsid w:val="001B37BF"/>
    <w:rsid w:val="001B6CC7"/>
    <w:rsid w:val="001B7A05"/>
    <w:rsid w:val="001C70EB"/>
    <w:rsid w:val="001D2823"/>
    <w:rsid w:val="001D3E0D"/>
    <w:rsid w:val="001D59CF"/>
    <w:rsid w:val="001D5A7D"/>
    <w:rsid w:val="001D79EB"/>
    <w:rsid w:val="001E1A46"/>
    <w:rsid w:val="001F0D29"/>
    <w:rsid w:val="001F24CE"/>
    <w:rsid w:val="001F3C23"/>
    <w:rsid w:val="001F3D47"/>
    <w:rsid w:val="001F3D76"/>
    <w:rsid w:val="001F5990"/>
    <w:rsid w:val="001F6BE2"/>
    <w:rsid w:val="00200025"/>
    <w:rsid w:val="002005C7"/>
    <w:rsid w:val="00205549"/>
    <w:rsid w:val="00207816"/>
    <w:rsid w:val="00212C8F"/>
    <w:rsid w:val="002164B1"/>
    <w:rsid w:val="00221AEC"/>
    <w:rsid w:val="00222CE2"/>
    <w:rsid w:val="00223285"/>
    <w:rsid w:val="00232C12"/>
    <w:rsid w:val="00236505"/>
    <w:rsid w:val="0024195B"/>
    <w:rsid w:val="00242A5E"/>
    <w:rsid w:val="0024379E"/>
    <w:rsid w:val="00252130"/>
    <w:rsid w:val="00263407"/>
    <w:rsid w:val="002731CA"/>
    <w:rsid w:val="00276837"/>
    <w:rsid w:val="00276A9A"/>
    <w:rsid w:val="002819AB"/>
    <w:rsid w:val="00281D53"/>
    <w:rsid w:val="0028428F"/>
    <w:rsid w:val="00284F9E"/>
    <w:rsid w:val="002858A8"/>
    <w:rsid w:val="002958D9"/>
    <w:rsid w:val="002A4E0D"/>
    <w:rsid w:val="002A50A3"/>
    <w:rsid w:val="002A63A0"/>
    <w:rsid w:val="002B0A95"/>
    <w:rsid w:val="002B1065"/>
    <w:rsid w:val="002B5A3A"/>
    <w:rsid w:val="002B7FAC"/>
    <w:rsid w:val="002C068A"/>
    <w:rsid w:val="002C0C5E"/>
    <w:rsid w:val="002C2524"/>
    <w:rsid w:val="002C4094"/>
    <w:rsid w:val="002D3E2A"/>
    <w:rsid w:val="002D5326"/>
    <w:rsid w:val="002D5A7C"/>
    <w:rsid w:val="002D7C75"/>
    <w:rsid w:val="002E671E"/>
    <w:rsid w:val="002F3295"/>
    <w:rsid w:val="002F7370"/>
    <w:rsid w:val="00300B5F"/>
    <w:rsid w:val="00303CA5"/>
    <w:rsid w:val="0030500E"/>
    <w:rsid w:val="003063FF"/>
    <w:rsid w:val="00315205"/>
    <w:rsid w:val="00316201"/>
    <w:rsid w:val="003206FD"/>
    <w:rsid w:val="00323028"/>
    <w:rsid w:val="00325796"/>
    <w:rsid w:val="00326782"/>
    <w:rsid w:val="00330DDF"/>
    <w:rsid w:val="0033422A"/>
    <w:rsid w:val="00336B0B"/>
    <w:rsid w:val="00343A1F"/>
    <w:rsid w:val="00344294"/>
    <w:rsid w:val="00344CD1"/>
    <w:rsid w:val="00347CD5"/>
    <w:rsid w:val="00352451"/>
    <w:rsid w:val="00355E1B"/>
    <w:rsid w:val="00355FCC"/>
    <w:rsid w:val="00357D88"/>
    <w:rsid w:val="00360664"/>
    <w:rsid w:val="00361890"/>
    <w:rsid w:val="003629EF"/>
    <w:rsid w:val="00364E17"/>
    <w:rsid w:val="00366F95"/>
    <w:rsid w:val="003753FE"/>
    <w:rsid w:val="00375A03"/>
    <w:rsid w:val="00376356"/>
    <w:rsid w:val="0038404C"/>
    <w:rsid w:val="00385591"/>
    <w:rsid w:val="00385B28"/>
    <w:rsid w:val="00386063"/>
    <w:rsid w:val="003870C2"/>
    <w:rsid w:val="003900AE"/>
    <w:rsid w:val="0039387A"/>
    <w:rsid w:val="003941CF"/>
    <w:rsid w:val="003A0149"/>
    <w:rsid w:val="003A0C5A"/>
    <w:rsid w:val="003A695E"/>
    <w:rsid w:val="003A6BAC"/>
    <w:rsid w:val="003A757B"/>
    <w:rsid w:val="003A76CE"/>
    <w:rsid w:val="003A7E75"/>
    <w:rsid w:val="003B2FE6"/>
    <w:rsid w:val="003C6D94"/>
    <w:rsid w:val="003D1652"/>
    <w:rsid w:val="003D1D4A"/>
    <w:rsid w:val="003D3715"/>
    <w:rsid w:val="003E124B"/>
    <w:rsid w:val="003E304A"/>
    <w:rsid w:val="003E54CC"/>
    <w:rsid w:val="003F12DD"/>
    <w:rsid w:val="003F3533"/>
    <w:rsid w:val="003F58EE"/>
    <w:rsid w:val="003F7DFB"/>
    <w:rsid w:val="0040229D"/>
    <w:rsid w:val="004029F3"/>
    <w:rsid w:val="00411455"/>
    <w:rsid w:val="004156F0"/>
    <w:rsid w:val="00420CFB"/>
    <w:rsid w:val="00420E37"/>
    <w:rsid w:val="00422632"/>
    <w:rsid w:val="0042744C"/>
    <w:rsid w:val="004277A6"/>
    <w:rsid w:val="004332E9"/>
    <w:rsid w:val="00434739"/>
    <w:rsid w:val="0043560C"/>
    <w:rsid w:val="0043607E"/>
    <w:rsid w:val="00442C84"/>
    <w:rsid w:val="00445B63"/>
    <w:rsid w:val="00446C94"/>
    <w:rsid w:val="004474DE"/>
    <w:rsid w:val="00451EB8"/>
    <w:rsid w:val="00451EE4"/>
    <w:rsid w:val="004522C1"/>
    <w:rsid w:val="00453E15"/>
    <w:rsid w:val="004553A7"/>
    <w:rsid w:val="004705A1"/>
    <w:rsid w:val="00470DE1"/>
    <w:rsid w:val="004756FB"/>
    <w:rsid w:val="0047718B"/>
    <w:rsid w:val="0048041A"/>
    <w:rsid w:val="00482211"/>
    <w:rsid w:val="00483D15"/>
    <w:rsid w:val="004976CF"/>
    <w:rsid w:val="00497995"/>
    <w:rsid w:val="004A0B15"/>
    <w:rsid w:val="004A1667"/>
    <w:rsid w:val="004A1A60"/>
    <w:rsid w:val="004A2EB8"/>
    <w:rsid w:val="004B7FC9"/>
    <w:rsid w:val="004C07CB"/>
    <w:rsid w:val="004C1378"/>
    <w:rsid w:val="004C7F5F"/>
    <w:rsid w:val="004D2A86"/>
    <w:rsid w:val="004D57D2"/>
    <w:rsid w:val="004E04E0"/>
    <w:rsid w:val="004E17CB"/>
    <w:rsid w:val="004E2DE3"/>
    <w:rsid w:val="004E4FC9"/>
    <w:rsid w:val="004E5936"/>
    <w:rsid w:val="004E6091"/>
    <w:rsid w:val="004E7661"/>
    <w:rsid w:val="004F1649"/>
    <w:rsid w:val="004F274A"/>
    <w:rsid w:val="004F6CDE"/>
    <w:rsid w:val="004F7772"/>
    <w:rsid w:val="005033C3"/>
    <w:rsid w:val="00503568"/>
    <w:rsid w:val="00505232"/>
    <w:rsid w:val="00506851"/>
    <w:rsid w:val="0051292E"/>
    <w:rsid w:val="005129D1"/>
    <w:rsid w:val="00512A15"/>
    <w:rsid w:val="0051742A"/>
    <w:rsid w:val="005204C6"/>
    <w:rsid w:val="00520A62"/>
    <w:rsid w:val="00520EB9"/>
    <w:rsid w:val="00521C2C"/>
    <w:rsid w:val="0052347F"/>
    <w:rsid w:val="00523706"/>
    <w:rsid w:val="00524ABB"/>
    <w:rsid w:val="00530216"/>
    <w:rsid w:val="00531EDD"/>
    <w:rsid w:val="005326E0"/>
    <w:rsid w:val="00532D95"/>
    <w:rsid w:val="005359C4"/>
    <w:rsid w:val="00541734"/>
    <w:rsid w:val="00542B4C"/>
    <w:rsid w:val="005430AE"/>
    <w:rsid w:val="00550FEF"/>
    <w:rsid w:val="00561826"/>
    <w:rsid w:val="00561E69"/>
    <w:rsid w:val="00565F8B"/>
    <w:rsid w:val="0056634F"/>
    <w:rsid w:val="00570445"/>
    <w:rsid w:val="0057098A"/>
    <w:rsid w:val="005718AF"/>
    <w:rsid w:val="00571FD4"/>
    <w:rsid w:val="00572879"/>
    <w:rsid w:val="0057471E"/>
    <w:rsid w:val="00575C76"/>
    <w:rsid w:val="00576C9D"/>
    <w:rsid w:val="0057782A"/>
    <w:rsid w:val="00577B13"/>
    <w:rsid w:val="00580061"/>
    <w:rsid w:val="005809F6"/>
    <w:rsid w:val="0058453D"/>
    <w:rsid w:val="00591235"/>
    <w:rsid w:val="005915D0"/>
    <w:rsid w:val="00593FAF"/>
    <w:rsid w:val="005A0799"/>
    <w:rsid w:val="005A0A6D"/>
    <w:rsid w:val="005A292D"/>
    <w:rsid w:val="005A3A64"/>
    <w:rsid w:val="005A636B"/>
    <w:rsid w:val="005B6484"/>
    <w:rsid w:val="005B7722"/>
    <w:rsid w:val="005D141D"/>
    <w:rsid w:val="005D3A74"/>
    <w:rsid w:val="005D739E"/>
    <w:rsid w:val="005E34E1"/>
    <w:rsid w:val="005E34FF"/>
    <w:rsid w:val="005E3542"/>
    <w:rsid w:val="005E427D"/>
    <w:rsid w:val="005E4FDE"/>
    <w:rsid w:val="005E52F9"/>
    <w:rsid w:val="005F03B8"/>
    <w:rsid w:val="005F1261"/>
    <w:rsid w:val="005F25D3"/>
    <w:rsid w:val="005F3122"/>
    <w:rsid w:val="005F5919"/>
    <w:rsid w:val="00602315"/>
    <w:rsid w:val="00602406"/>
    <w:rsid w:val="00602D77"/>
    <w:rsid w:val="006047FD"/>
    <w:rsid w:val="006052EF"/>
    <w:rsid w:val="00607531"/>
    <w:rsid w:val="006120C2"/>
    <w:rsid w:val="006127F0"/>
    <w:rsid w:val="006144B1"/>
    <w:rsid w:val="00614E46"/>
    <w:rsid w:val="00614EAF"/>
    <w:rsid w:val="00615462"/>
    <w:rsid w:val="00615490"/>
    <w:rsid w:val="00615508"/>
    <w:rsid w:val="00620A5E"/>
    <w:rsid w:val="00623702"/>
    <w:rsid w:val="00624BE3"/>
    <w:rsid w:val="00625136"/>
    <w:rsid w:val="00626448"/>
    <w:rsid w:val="006319E6"/>
    <w:rsid w:val="0063373D"/>
    <w:rsid w:val="00636474"/>
    <w:rsid w:val="00637887"/>
    <w:rsid w:val="00640955"/>
    <w:rsid w:val="00642474"/>
    <w:rsid w:val="00643672"/>
    <w:rsid w:val="006441EB"/>
    <w:rsid w:val="006507B0"/>
    <w:rsid w:val="00653193"/>
    <w:rsid w:val="00653C00"/>
    <w:rsid w:val="0065562E"/>
    <w:rsid w:val="0065719B"/>
    <w:rsid w:val="006604FA"/>
    <w:rsid w:val="0066322F"/>
    <w:rsid w:val="006647BA"/>
    <w:rsid w:val="006716CE"/>
    <w:rsid w:val="00676E38"/>
    <w:rsid w:val="006775A0"/>
    <w:rsid w:val="006807F0"/>
    <w:rsid w:val="00681108"/>
    <w:rsid w:val="00681ED7"/>
    <w:rsid w:val="00683417"/>
    <w:rsid w:val="00685A46"/>
    <w:rsid w:val="00687E1A"/>
    <w:rsid w:val="00694298"/>
    <w:rsid w:val="0069559D"/>
    <w:rsid w:val="00696368"/>
    <w:rsid w:val="00697923"/>
    <w:rsid w:val="006A171D"/>
    <w:rsid w:val="006A5BB3"/>
    <w:rsid w:val="006A721E"/>
    <w:rsid w:val="006A7B8B"/>
    <w:rsid w:val="006B1698"/>
    <w:rsid w:val="006B3316"/>
    <w:rsid w:val="006B66D9"/>
    <w:rsid w:val="006C0FD4"/>
    <w:rsid w:val="006C1110"/>
    <w:rsid w:val="006C4C25"/>
    <w:rsid w:val="006C53EC"/>
    <w:rsid w:val="006C6D1A"/>
    <w:rsid w:val="006C7562"/>
    <w:rsid w:val="006D16A0"/>
    <w:rsid w:val="006D2842"/>
    <w:rsid w:val="006D47C7"/>
    <w:rsid w:val="006D5133"/>
    <w:rsid w:val="006E303B"/>
    <w:rsid w:val="006F16D9"/>
    <w:rsid w:val="006F29DE"/>
    <w:rsid w:val="006F475F"/>
    <w:rsid w:val="006F6496"/>
    <w:rsid w:val="00704126"/>
    <w:rsid w:val="0071563E"/>
    <w:rsid w:val="0071604A"/>
    <w:rsid w:val="0071617D"/>
    <w:rsid w:val="0071769D"/>
    <w:rsid w:val="00723864"/>
    <w:rsid w:val="0072422C"/>
    <w:rsid w:val="00725E58"/>
    <w:rsid w:val="007272C6"/>
    <w:rsid w:val="0073186E"/>
    <w:rsid w:val="00731DF2"/>
    <w:rsid w:val="00731E7E"/>
    <w:rsid w:val="00732923"/>
    <w:rsid w:val="0073579E"/>
    <w:rsid w:val="0073661A"/>
    <w:rsid w:val="00736BE4"/>
    <w:rsid w:val="00737CBE"/>
    <w:rsid w:val="007566E5"/>
    <w:rsid w:val="007573D9"/>
    <w:rsid w:val="00772A7A"/>
    <w:rsid w:val="00782F94"/>
    <w:rsid w:val="00785862"/>
    <w:rsid w:val="00790B27"/>
    <w:rsid w:val="00792413"/>
    <w:rsid w:val="00794086"/>
    <w:rsid w:val="007A0537"/>
    <w:rsid w:val="007A06BE"/>
    <w:rsid w:val="007A2E99"/>
    <w:rsid w:val="007A7529"/>
    <w:rsid w:val="007A7841"/>
    <w:rsid w:val="007B07BE"/>
    <w:rsid w:val="007B0DAC"/>
    <w:rsid w:val="007B4C9B"/>
    <w:rsid w:val="007C1DBC"/>
    <w:rsid w:val="007C2992"/>
    <w:rsid w:val="007C4334"/>
    <w:rsid w:val="007D21CD"/>
    <w:rsid w:val="007D65B4"/>
    <w:rsid w:val="007F1181"/>
    <w:rsid w:val="007F1352"/>
    <w:rsid w:val="007F236A"/>
    <w:rsid w:val="007F34A7"/>
    <w:rsid w:val="007F3F10"/>
    <w:rsid w:val="007F5078"/>
    <w:rsid w:val="007F59EB"/>
    <w:rsid w:val="00800FF1"/>
    <w:rsid w:val="00804A8D"/>
    <w:rsid w:val="00805724"/>
    <w:rsid w:val="00806F2A"/>
    <w:rsid w:val="00811CF3"/>
    <w:rsid w:val="00813000"/>
    <w:rsid w:val="00815143"/>
    <w:rsid w:val="008169E9"/>
    <w:rsid w:val="00817FFE"/>
    <w:rsid w:val="00821A3D"/>
    <w:rsid w:val="00823717"/>
    <w:rsid w:val="00826DAF"/>
    <w:rsid w:val="00827937"/>
    <w:rsid w:val="00834368"/>
    <w:rsid w:val="0083707B"/>
    <w:rsid w:val="008411A4"/>
    <w:rsid w:val="00857186"/>
    <w:rsid w:val="00860642"/>
    <w:rsid w:val="00862871"/>
    <w:rsid w:val="008641AF"/>
    <w:rsid w:val="008662C7"/>
    <w:rsid w:val="008703C1"/>
    <w:rsid w:val="008719AF"/>
    <w:rsid w:val="00880A52"/>
    <w:rsid w:val="00882B66"/>
    <w:rsid w:val="00884E2B"/>
    <w:rsid w:val="00886646"/>
    <w:rsid w:val="008911AE"/>
    <w:rsid w:val="0089467E"/>
    <w:rsid w:val="008958B6"/>
    <w:rsid w:val="008958B8"/>
    <w:rsid w:val="00895F82"/>
    <w:rsid w:val="008A03E3"/>
    <w:rsid w:val="008A54DF"/>
    <w:rsid w:val="008A7EBE"/>
    <w:rsid w:val="008B2CDC"/>
    <w:rsid w:val="008B43C6"/>
    <w:rsid w:val="008C33B4"/>
    <w:rsid w:val="008C6FA3"/>
    <w:rsid w:val="008C6FB1"/>
    <w:rsid w:val="008D28F1"/>
    <w:rsid w:val="008D54D5"/>
    <w:rsid w:val="008D55A8"/>
    <w:rsid w:val="008D5917"/>
    <w:rsid w:val="008E0378"/>
    <w:rsid w:val="008E29A7"/>
    <w:rsid w:val="008E359C"/>
    <w:rsid w:val="008E5569"/>
    <w:rsid w:val="008E662B"/>
    <w:rsid w:val="008E67B4"/>
    <w:rsid w:val="008F2879"/>
    <w:rsid w:val="00901334"/>
    <w:rsid w:val="00901D33"/>
    <w:rsid w:val="00904910"/>
    <w:rsid w:val="00904EAB"/>
    <w:rsid w:val="009124CE"/>
    <w:rsid w:val="00912954"/>
    <w:rsid w:val="00921F34"/>
    <w:rsid w:val="0092304C"/>
    <w:rsid w:val="00923847"/>
    <w:rsid w:val="00923F06"/>
    <w:rsid w:val="0092562E"/>
    <w:rsid w:val="009271B2"/>
    <w:rsid w:val="00927E69"/>
    <w:rsid w:val="009340D4"/>
    <w:rsid w:val="00935DC5"/>
    <w:rsid w:val="0093661F"/>
    <w:rsid w:val="009431B4"/>
    <w:rsid w:val="00953395"/>
    <w:rsid w:val="009544D9"/>
    <w:rsid w:val="00954739"/>
    <w:rsid w:val="00956DB2"/>
    <w:rsid w:val="00960B10"/>
    <w:rsid w:val="00967862"/>
    <w:rsid w:val="0096787D"/>
    <w:rsid w:val="00977BB0"/>
    <w:rsid w:val="009808F8"/>
    <w:rsid w:val="00981D9B"/>
    <w:rsid w:val="00982B93"/>
    <w:rsid w:val="009841DA"/>
    <w:rsid w:val="00986627"/>
    <w:rsid w:val="009874EA"/>
    <w:rsid w:val="00992D5D"/>
    <w:rsid w:val="00994A8E"/>
    <w:rsid w:val="009A3834"/>
    <w:rsid w:val="009A4155"/>
    <w:rsid w:val="009A472F"/>
    <w:rsid w:val="009A73C3"/>
    <w:rsid w:val="009B3075"/>
    <w:rsid w:val="009B727A"/>
    <w:rsid w:val="009B72ED"/>
    <w:rsid w:val="009B7BD4"/>
    <w:rsid w:val="009B7F3F"/>
    <w:rsid w:val="009C1BA7"/>
    <w:rsid w:val="009C2FD1"/>
    <w:rsid w:val="009C78BA"/>
    <w:rsid w:val="009D71D9"/>
    <w:rsid w:val="009E1447"/>
    <w:rsid w:val="009E179D"/>
    <w:rsid w:val="009E3C69"/>
    <w:rsid w:val="009E4076"/>
    <w:rsid w:val="009E6FB7"/>
    <w:rsid w:val="009F14BE"/>
    <w:rsid w:val="00A00FCD"/>
    <w:rsid w:val="00A101CD"/>
    <w:rsid w:val="00A11689"/>
    <w:rsid w:val="00A137B6"/>
    <w:rsid w:val="00A22C81"/>
    <w:rsid w:val="00A22DEE"/>
    <w:rsid w:val="00A22F0D"/>
    <w:rsid w:val="00A23FC7"/>
    <w:rsid w:val="00A30E20"/>
    <w:rsid w:val="00A314F7"/>
    <w:rsid w:val="00A33178"/>
    <w:rsid w:val="00A33CC7"/>
    <w:rsid w:val="00A347C5"/>
    <w:rsid w:val="00A37ACD"/>
    <w:rsid w:val="00A418A7"/>
    <w:rsid w:val="00A46804"/>
    <w:rsid w:val="00A5632F"/>
    <w:rsid w:val="00A56B25"/>
    <w:rsid w:val="00A5760C"/>
    <w:rsid w:val="00A60DB3"/>
    <w:rsid w:val="00A63121"/>
    <w:rsid w:val="00A733BF"/>
    <w:rsid w:val="00A764D2"/>
    <w:rsid w:val="00A80146"/>
    <w:rsid w:val="00A84AE1"/>
    <w:rsid w:val="00A90F72"/>
    <w:rsid w:val="00A91D9B"/>
    <w:rsid w:val="00A93342"/>
    <w:rsid w:val="00A940ED"/>
    <w:rsid w:val="00A95BA7"/>
    <w:rsid w:val="00AA18C0"/>
    <w:rsid w:val="00AB0FC7"/>
    <w:rsid w:val="00AB6C18"/>
    <w:rsid w:val="00AB7211"/>
    <w:rsid w:val="00AB73B6"/>
    <w:rsid w:val="00AD0E39"/>
    <w:rsid w:val="00AD2F56"/>
    <w:rsid w:val="00AD3DAB"/>
    <w:rsid w:val="00AD7FEB"/>
    <w:rsid w:val="00AE080E"/>
    <w:rsid w:val="00AE08F6"/>
    <w:rsid w:val="00AE290C"/>
    <w:rsid w:val="00AE2FAA"/>
    <w:rsid w:val="00AE4115"/>
    <w:rsid w:val="00AE4DB7"/>
    <w:rsid w:val="00AF5051"/>
    <w:rsid w:val="00AF5975"/>
    <w:rsid w:val="00AF6FBA"/>
    <w:rsid w:val="00B01FDF"/>
    <w:rsid w:val="00B02458"/>
    <w:rsid w:val="00B049F2"/>
    <w:rsid w:val="00B15B4F"/>
    <w:rsid w:val="00B221DE"/>
    <w:rsid w:val="00B32324"/>
    <w:rsid w:val="00B3349D"/>
    <w:rsid w:val="00B345C9"/>
    <w:rsid w:val="00B40BDE"/>
    <w:rsid w:val="00B43E99"/>
    <w:rsid w:val="00B51D9F"/>
    <w:rsid w:val="00B536BC"/>
    <w:rsid w:val="00B5599B"/>
    <w:rsid w:val="00B55F2A"/>
    <w:rsid w:val="00B56990"/>
    <w:rsid w:val="00B61A59"/>
    <w:rsid w:val="00B64276"/>
    <w:rsid w:val="00B6607A"/>
    <w:rsid w:val="00B663B2"/>
    <w:rsid w:val="00B7142C"/>
    <w:rsid w:val="00B8217A"/>
    <w:rsid w:val="00B97DD4"/>
    <w:rsid w:val="00BA0F47"/>
    <w:rsid w:val="00BA421B"/>
    <w:rsid w:val="00BA4BAD"/>
    <w:rsid w:val="00BA4F75"/>
    <w:rsid w:val="00BB0103"/>
    <w:rsid w:val="00BB165B"/>
    <w:rsid w:val="00BB33B7"/>
    <w:rsid w:val="00BB5254"/>
    <w:rsid w:val="00BB543A"/>
    <w:rsid w:val="00BB7840"/>
    <w:rsid w:val="00BB7BB2"/>
    <w:rsid w:val="00BB7DCB"/>
    <w:rsid w:val="00BC0524"/>
    <w:rsid w:val="00BC0D94"/>
    <w:rsid w:val="00BC1528"/>
    <w:rsid w:val="00BC2702"/>
    <w:rsid w:val="00BD09CD"/>
    <w:rsid w:val="00BD41A5"/>
    <w:rsid w:val="00BD5CC8"/>
    <w:rsid w:val="00BD6BC9"/>
    <w:rsid w:val="00BE1AFD"/>
    <w:rsid w:val="00BE22C6"/>
    <w:rsid w:val="00BE468A"/>
    <w:rsid w:val="00BE6377"/>
    <w:rsid w:val="00BF34D7"/>
    <w:rsid w:val="00BF5E07"/>
    <w:rsid w:val="00BF75F9"/>
    <w:rsid w:val="00C00E8A"/>
    <w:rsid w:val="00C01FBE"/>
    <w:rsid w:val="00C02D74"/>
    <w:rsid w:val="00C033D9"/>
    <w:rsid w:val="00C034C0"/>
    <w:rsid w:val="00C05804"/>
    <w:rsid w:val="00C06E1B"/>
    <w:rsid w:val="00C07EED"/>
    <w:rsid w:val="00C108D2"/>
    <w:rsid w:val="00C11BD0"/>
    <w:rsid w:val="00C1327D"/>
    <w:rsid w:val="00C14846"/>
    <w:rsid w:val="00C150C0"/>
    <w:rsid w:val="00C16680"/>
    <w:rsid w:val="00C238BB"/>
    <w:rsid w:val="00C274BD"/>
    <w:rsid w:val="00C308D2"/>
    <w:rsid w:val="00C310D5"/>
    <w:rsid w:val="00C31464"/>
    <w:rsid w:val="00C36797"/>
    <w:rsid w:val="00C40EA6"/>
    <w:rsid w:val="00C41102"/>
    <w:rsid w:val="00C42520"/>
    <w:rsid w:val="00C43012"/>
    <w:rsid w:val="00C5031D"/>
    <w:rsid w:val="00C57B84"/>
    <w:rsid w:val="00C61126"/>
    <w:rsid w:val="00C65F2B"/>
    <w:rsid w:val="00C6616C"/>
    <w:rsid w:val="00C672C4"/>
    <w:rsid w:val="00C70496"/>
    <w:rsid w:val="00C71082"/>
    <w:rsid w:val="00C741E1"/>
    <w:rsid w:val="00C74873"/>
    <w:rsid w:val="00C76A4C"/>
    <w:rsid w:val="00C80731"/>
    <w:rsid w:val="00C81C8A"/>
    <w:rsid w:val="00C8343C"/>
    <w:rsid w:val="00C83788"/>
    <w:rsid w:val="00C857CB"/>
    <w:rsid w:val="00C8740F"/>
    <w:rsid w:val="00C87414"/>
    <w:rsid w:val="00C915A8"/>
    <w:rsid w:val="00C93B36"/>
    <w:rsid w:val="00C9607A"/>
    <w:rsid w:val="00C966BB"/>
    <w:rsid w:val="00C97099"/>
    <w:rsid w:val="00C973F4"/>
    <w:rsid w:val="00C97BB2"/>
    <w:rsid w:val="00CB049D"/>
    <w:rsid w:val="00CB0FC2"/>
    <w:rsid w:val="00CB1E3D"/>
    <w:rsid w:val="00CB1FB0"/>
    <w:rsid w:val="00CB22BA"/>
    <w:rsid w:val="00CB4F49"/>
    <w:rsid w:val="00CC0D21"/>
    <w:rsid w:val="00CC3E46"/>
    <w:rsid w:val="00CC50AC"/>
    <w:rsid w:val="00CC7489"/>
    <w:rsid w:val="00CE1FFB"/>
    <w:rsid w:val="00CE21C0"/>
    <w:rsid w:val="00CE2364"/>
    <w:rsid w:val="00CE3352"/>
    <w:rsid w:val="00CE39AE"/>
    <w:rsid w:val="00CE42CC"/>
    <w:rsid w:val="00CF33B8"/>
    <w:rsid w:val="00CF4C08"/>
    <w:rsid w:val="00CF5646"/>
    <w:rsid w:val="00CF7BA6"/>
    <w:rsid w:val="00D02B48"/>
    <w:rsid w:val="00D06ABD"/>
    <w:rsid w:val="00D1120A"/>
    <w:rsid w:val="00D121D7"/>
    <w:rsid w:val="00D125BE"/>
    <w:rsid w:val="00D1410D"/>
    <w:rsid w:val="00D15F95"/>
    <w:rsid w:val="00D27D0F"/>
    <w:rsid w:val="00D303DE"/>
    <w:rsid w:val="00D354A3"/>
    <w:rsid w:val="00D35F45"/>
    <w:rsid w:val="00D423EB"/>
    <w:rsid w:val="00D436B6"/>
    <w:rsid w:val="00D451BC"/>
    <w:rsid w:val="00D47FBE"/>
    <w:rsid w:val="00D52234"/>
    <w:rsid w:val="00D53700"/>
    <w:rsid w:val="00D555DA"/>
    <w:rsid w:val="00D579FD"/>
    <w:rsid w:val="00D612B5"/>
    <w:rsid w:val="00D625ED"/>
    <w:rsid w:val="00D74A19"/>
    <w:rsid w:val="00D7632A"/>
    <w:rsid w:val="00D77769"/>
    <w:rsid w:val="00D77AC0"/>
    <w:rsid w:val="00D8399B"/>
    <w:rsid w:val="00D858E5"/>
    <w:rsid w:val="00D92A66"/>
    <w:rsid w:val="00D93017"/>
    <w:rsid w:val="00D97D35"/>
    <w:rsid w:val="00DA2EFE"/>
    <w:rsid w:val="00DA686F"/>
    <w:rsid w:val="00DB1128"/>
    <w:rsid w:val="00DB272A"/>
    <w:rsid w:val="00DB2C71"/>
    <w:rsid w:val="00DB3621"/>
    <w:rsid w:val="00DB5643"/>
    <w:rsid w:val="00DB7937"/>
    <w:rsid w:val="00DC0F92"/>
    <w:rsid w:val="00DC2008"/>
    <w:rsid w:val="00DC360D"/>
    <w:rsid w:val="00DC5EAE"/>
    <w:rsid w:val="00DD0738"/>
    <w:rsid w:val="00DD0F21"/>
    <w:rsid w:val="00DD396A"/>
    <w:rsid w:val="00DE1C52"/>
    <w:rsid w:val="00DE265F"/>
    <w:rsid w:val="00DE28FB"/>
    <w:rsid w:val="00DE2A3E"/>
    <w:rsid w:val="00DE775E"/>
    <w:rsid w:val="00DE78EA"/>
    <w:rsid w:val="00DF0A33"/>
    <w:rsid w:val="00DF1BEF"/>
    <w:rsid w:val="00DF4149"/>
    <w:rsid w:val="00DF4CC2"/>
    <w:rsid w:val="00E044D0"/>
    <w:rsid w:val="00E079AD"/>
    <w:rsid w:val="00E11244"/>
    <w:rsid w:val="00E11E8A"/>
    <w:rsid w:val="00E13A4B"/>
    <w:rsid w:val="00E15353"/>
    <w:rsid w:val="00E16CAE"/>
    <w:rsid w:val="00E25B87"/>
    <w:rsid w:val="00E31421"/>
    <w:rsid w:val="00E31E01"/>
    <w:rsid w:val="00E37AA7"/>
    <w:rsid w:val="00E43E53"/>
    <w:rsid w:val="00E45340"/>
    <w:rsid w:val="00E515DB"/>
    <w:rsid w:val="00E54F7C"/>
    <w:rsid w:val="00E55A86"/>
    <w:rsid w:val="00E636EC"/>
    <w:rsid w:val="00E674DD"/>
    <w:rsid w:val="00E67B22"/>
    <w:rsid w:val="00E70FCB"/>
    <w:rsid w:val="00E81323"/>
    <w:rsid w:val="00E8189B"/>
    <w:rsid w:val="00E85E3D"/>
    <w:rsid w:val="00E94EE1"/>
    <w:rsid w:val="00E96289"/>
    <w:rsid w:val="00E974ED"/>
    <w:rsid w:val="00EA1B45"/>
    <w:rsid w:val="00EA3A4C"/>
    <w:rsid w:val="00EA406E"/>
    <w:rsid w:val="00EA43AC"/>
    <w:rsid w:val="00EA4721"/>
    <w:rsid w:val="00EA52D3"/>
    <w:rsid w:val="00EA73CE"/>
    <w:rsid w:val="00EB2329"/>
    <w:rsid w:val="00EB4A8E"/>
    <w:rsid w:val="00EB5524"/>
    <w:rsid w:val="00EC1EA4"/>
    <w:rsid w:val="00EC25B1"/>
    <w:rsid w:val="00EC61BA"/>
    <w:rsid w:val="00EC7475"/>
    <w:rsid w:val="00EC76B0"/>
    <w:rsid w:val="00ED043A"/>
    <w:rsid w:val="00ED32D3"/>
    <w:rsid w:val="00ED3727"/>
    <w:rsid w:val="00ED3DDF"/>
    <w:rsid w:val="00ED3F2C"/>
    <w:rsid w:val="00ED3FF4"/>
    <w:rsid w:val="00ED50F4"/>
    <w:rsid w:val="00EE05F7"/>
    <w:rsid w:val="00EE1C1A"/>
    <w:rsid w:val="00EE2613"/>
    <w:rsid w:val="00EE485B"/>
    <w:rsid w:val="00EE550A"/>
    <w:rsid w:val="00EF0399"/>
    <w:rsid w:val="00EF1E98"/>
    <w:rsid w:val="00EF21A8"/>
    <w:rsid w:val="00EF43B6"/>
    <w:rsid w:val="00EF5820"/>
    <w:rsid w:val="00EF6AA8"/>
    <w:rsid w:val="00F00553"/>
    <w:rsid w:val="00F01A6D"/>
    <w:rsid w:val="00F1025A"/>
    <w:rsid w:val="00F22028"/>
    <w:rsid w:val="00F2297F"/>
    <w:rsid w:val="00F257DC"/>
    <w:rsid w:val="00F3261D"/>
    <w:rsid w:val="00F35EDC"/>
    <w:rsid w:val="00F37DEA"/>
    <w:rsid w:val="00F4314B"/>
    <w:rsid w:val="00F50DE5"/>
    <w:rsid w:val="00F51A04"/>
    <w:rsid w:val="00F52F81"/>
    <w:rsid w:val="00F54371"/>
    <w:rsid w:val="00F56FB7"/>
    <w:rsid w:val="00F61094"/>
    <w:rsid w:val="00F61F86"/>
    <w:rsid w:val="00F62916"/>
    <w:rsid w:val="00F63D9A"/>
    <w:rsid w:val="00F659A3"/>
    <w:rsid w:val="00F721A3"/>
    <w:rsid w:val="00F7417F"/>
    <w:rsid w:val="00F7612D"/>
    <w:rsid w:val="00F85024"/>
    <w:rsid w:val="00F86BD4"/>
    <w:rsid w:val="00F95EB5"/>
    <w:rsid w:val="00F960DC"/>
    <w:rsid w:val="00F97368"/>
    <w:rsid w:val="00F97D61"/>
    <w:rsid w:val="00FA02D2"/>
    <w:rsid w:val="00FA0412"/>
    <w:rsid w:val="00FA1394"/>
    <w:rsid w:val="00FA4B3F"/>
    <w:rsid w:val="00FB05FE"/>
    <w:rsid w:val="00FB0640"/>
    <w:rsid w:val="00FB0C86"/>
    <w:rsid w:val="00FB3DE1"/>
    <w:rsid w:val="00FB4943"/>
    <w:rsid w:val="00FB64CF"/>
    <w:rsid w:val="00FB6AA3"/>
    <w:rsid w:val="00FB743C"/>
    <w:rsid w:val="00FC47F8"/>
    <w:rsid w:val="00FC4AA8"/>
    <w:rsid w:val="00FC6E8D"/>
    <w:rsid w:val="00FC7D1C"/>
    <w:rsid w:val="00FC7FA6"/>
    <w:rsid w:val="00FD307B"/>
    <w:rsid w:val="00FD68A0"/>
    <w:rsid w:val="00FE5C55"/>
    <w:rsid w:val="00FE68E4"/>
    <w:rsid w:val="00FE699A"/>
    <w:rsid w:val="00FE73F2"/>
    <w:rsid w:val="00FF04E8"/>
    <w:rsid w:val="00FF2342"/>
    <w:rsid w:val="00FF3323"/>
    <w:rsid w:val="00FF34A3"/>
    <w:rsid w:val="00FF4A5C"/>
    <w:rsid w:val="00FF4B27"/>
    <w:rsid w:val="00FF6085"/>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FCFF3C"/>
  <w15:docId w15:val="{2C444B0B-FFF0-4E73-B66C-1598A724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BB7840"/>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3" ma:contentTypeDescription="Create a new document." ma:contentTypeScope="" ma:versionID="62e43dbab23efe4e615b4eb1b2d85713">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739a6872ec90acb864ea827b5eb108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995A991-A9A7-4E7F-ABA4-543D2EB48677}"/>
</file>

<file path=customXml/itemProps3.xml><?xml version="1.0" encoding="utf-8"?>
<ds:datastoreItem xmlns:ds="http://schemas.openxmlformats.org/officeDocument/2006/customXml" ds:itemID="{18841FD4-D37D-462A-BBE8-933B2B2E1EDB}"/>
</file>

<file path=customXml/itemProps4.xml><?xml version="1.0" encoding="utf-8"?>
<ds:datastoreItem xmlns:ds="http://schemas.openxmlformats.org/officeDocument/2006/customXml" ds:itemID="{C4F44A81-396F-4D93-91BA-CCF87BE35E31}"/>
</file>

<file path=docProps/app.xml><?xml version="1.0" encoding="utf-8"?>
<Properties xmlns="http://schemas.openxmlformats.org/officeDocument/2006/extended-properties" xmlns:vt="http://schemas.openxmlformats.org/officeDocument/2006/docPropsVTypes">
  <Template>Decisions.dotm</Template>
  <TotalTime>1</TotalTime>
  <Pages>8</Pages>
  <Words>3445</Words>
  <Characters>15605</Characters>
  <Application>Microsoft Office Word</Application>
  <DocSecurity>0</DocSecurity>
  <Lines>130</Lines>
  <Paragraphs>38</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Beckett, Alan</dc:creator>
  <cp:lastModifiedBy>Richards, Clive</cp:lastModifiedBy>
  <cp:revision>3</cp:revision>
  <cp:lastPrinted>2022-04-13T10:06:00Z</cp:lastPrinted>
  <dcterms:created xsi:type="dcterms:W3CDTF">2022-04-22T10:49:00Z</dcterms:created>
  <dcterms:modified xsi:type="dcterms:W3CDTF">2022-04-22T10:50:00Z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