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31E7" w14:textId="1DE94E1F" w:rsidR="007633EC" w:rsidRDefault="00405A14">
      <w:r>
        <w:t xml:space="preserve"> </w:t>
      </w:r>
      <w:r w:rsidR="00371F8B">
        <w:rPr>
          <w:noProof/>
        </w:rPr>
        <w:drawing>
          <wp:inline distT="0" distB="0" distL="0" distR="0" wp14:anchorId="6DE78241" wp14:editId="6EB481ED">
            <wp:extent cx="3352800" cy="342900"/>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342900"/>
                    </a:xfrm>
                    <a:prstGeom prst="rect">
                      <a:avLst/>
                    </a:prstGeom>
                    <a:noFill/>
                    <a:ln>
                      <a:noFill/>
                    </a:ln>
                  </pic:spPr>
                </pic:pic>
              </a:graphicData>
            </a:graphic>
          </wp:inline>
        </w:drawing>
      </w:r>
    </w:p>
    <w:p w14:paraId="6F481C85" w14:textId="77777777" w:rsidR="007633EC" w:rsidRDefault="007633E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633EC" w14:paraId="555FA3FB" w14:textId="77777777">
        <w:tblPrEx>
          <w:tblCellMar>
            <w:top w:w="0" w:type="dxa"/>
            <w:bottom w:w="0" w:type="dxa"/>
          </w:tblCellMar>
        </w:tblPrEx>
        <w:trPr>
          <w:cantSplit/>
          <w:trHeight w:val="659"/>
        </w:trPr>
        <w:tc>
          <w:tcPr>
            <w:tcW w:w="9356" w:type="dxa"/>
          </w:tcPr>
          <w:p w14:paraId="3C7AFD99" w14:textId="77777777" w:rsidR="007633EC" w:rsidRDefault="00521F86">
            <w:pPr>
              <w:spacing w:before="120"/>
              <w:ind w:left="-108" w:right="34"/>
              <w:rPr>
                <w:b/>
                <w:color w:val="000000"/>
                <w:sz w:val="40"/>
                <w:szCs w:val="40"/>
              </w:rPr>
            </w:pPr>
            <w:bookmarkStart w:id="0" w:name="bmkTable00"/>
            <w:bookmarkEnd w:id="0"/>
            <w:r>
              <w:rPr>
                <w:b/>
                <w:color w:val="000000"/>
                <w:sz w:val="40"/>
                <w:szCs w:val="40"/>
              </w:rPr>
              <w:t xml:space="preserve">Order </w:t>
            </w:r>
            <w:r w:rsidR="007633EC">
              <w:rPr>
                <w:b/>
                <w:color w:val="000000"/>
                <w:sz w:val="40"/>
                <w:szCs w:val="40"/>
              </w:rPr>
              <w:t>Decision</w:t>
            </w:r>
          </w:p>
        </w:tc>
      </w:tr>
      <w:tr w:rsidR="007633EC" w14:paraId="0F9A3686" w14:textId="77777777">
        <w:tblPrEx>
          <w:tblCellMar>
            <w:top w:w="0" w:type="dxa"/>
            <w:bottom w:w="0" w:type="dxa"/>
          </w:tblCellMar>
        </w:tblPrEx>
        <w:trPr>
          <w:cantSplit/>
          <w:trHeight w:val="374"/>
        </w:trPr>
        <w:tc>
          <w:tcPr>
            <w:tcW w:w="9356" w:type="dxa"/>
          </w:tcPr>
          <w:p w14:paraId="5122C660" w14:textId="77777777" w:rsidR="00D641CF" w:rsidRDefault="00D641CF" w:rsidP="00BB56D7">
            <w:pPr>
              <w:ind w:left="-108" w:right="34"/>
              <w:rPr>
                <w:color w:val="000000"/>
                <w:szCs w:val="22"/>
              </w:rPr>
            </w:pPr>
          </w:p>
          <w:p w14:paraId="3E2123D2" w14:textId="77777777" w:rsidR="007E599A" w:rsidRDefault="005876E4" w:rsidP="007E599A">
            <w:pPr>
              <w:spacing w:after="100" w:afterAutospacing="1"/>
              <w:ind w:left="-108" w:right="34"/>
              <w:rPr>
                <w:color w:val="000000"/>
                <w:szCs w:val="22"/>
              </w:rPr>
            </w:pPr>
            <w:r>
              <w:rPr>
                <w:color w:val="000000"/>
                <w:szCs w:val="22"/>
              </w:rPr>
              <w:t>Inquiry</w:t>
            </w:r>
            <w:r w:rsidR="00D641CF">
              <w:rPr>
                <w:color w:val="000000"/>
                <w:szCs w:val="22"/>
              </w:rPr>
              <w:t xml:space="preserve"> Held Tuesday 11 January 2022</w:t>
            </w:r>
          </w:p>
          <w:p w14:paraId="18680C0E" w14:textId="77777777" w:rsidR="002C58D1" w:rsidRPr="00521F86" w:rsidRDefault="002C58D1" w:rsidP="007E599A">
            <w:pPr>
              <w:ind w:left="-108" w:right="34"/>
              <w:rPr>
                <w:color w:val="000000"/>
                <w:szCs w:val="22"/>
              </w:rPr>
            </w:pPr>
            <w:r>
              <w:rPr>
                <w:color w:val="000000"/>
                <w:szCs w:val="22"/>
              </w:rPr>
              <w:t xml:space="preserve">Accompanied site </w:t>
            </w:r>
            <w:r w:rsidR="00D641CF">
              <w:rPr>
                <w:color w:val="000000"/>
                <w:szCs w:val="22"/>
              </w:rPr>
              <w:t>v</w:t>
            </w:r>
            <w:r>
              <w:rPr>
                <w:color w:val="000000"/>
                <w:szCs w:val="22"/>
              </w:rPr>
              <w:t xml:space="preserve">isit </w:t>
            </w:r>
            <w:r w:rsidR="00D641CF">
              <w:rPr>
                <w:color w:val="000000"/>
                <w:szCs w:val="22"/>
              </w:rPr>
              <w:t xml:space="preserve">made </w:t>
            </w:r>
            <w:r>
              <w:rPr>
                <w:color w:val="000000"/>
                <w:szCs w:val="22"/>
              </w:rPr>
              <w:t xml:space="preserve">Monday 24 </w:t>
            </w:r>
            <w:r w:rsidR="00D641CF">
              <w:rPr>
                <w:color w:val="000000"/>
                <w:szCs w:val="22"/>
              </w:rPr>
              <w:t>J</w:t>
            </w:r>
            <w:r>
              <w:rPr>
                <w:color w:val="000000"/>
                <w:szCs w:val="22"/>
              </w:rPr>
              <w:t>anu</w:t>
            </w:r>
            <w:r w:rsidR="00D641CF">
              <w:rPr>
                <w:color w:val="000000"/>
                <w:szCs w:val="22"/>
              </w:rPr>
              <w:t>a</w:t>
            </w:r>
            <w:r>
              <w:rPr>
                <w:color w:val="000000"/>
                <w:szCs w:val="22"/>
              </w:rPr>
              <w:t xml:space="preserve">ry </w:t>
            </w:r>
            <w:r w:rsidR="008F3C72">
              <w:rPr>
                <w:color w:val="000000"/>
                <w:szCs w:val="22"/>
              </w:rPr>
              <w:t>2022</w:t>
            </w:r>
          </w:p>
          <w:p w14:paraId="6AA3239D" w14:textId="77777777" w:rsidR="007633EC" w:rsidRDefault="007633EC" w:rsidP="00DB4325">
            <w:pPr>
              <w:spacing w:before="120"/>
              <w:ind w:left="-108" w:right="34"/>
              <w:rPr>
                <w:b/>
                <w:color w:val="000000"/>
                <w:sz w:val="16"/>
                <w:szCs w:val="22"/>
              </w:rPr>
            </w:pPr>
            <w:r>
              <w:rPr>
                <w:b/>
                <w:color w:val="000000"/>
                <w:szCs w:val="22"/>
              </w:rPr>
              <w:t xml:space="preserve">by </w:t>
            </w:r>
            <w:r w:rsidR="00521F86">
              <w:rPr>
                <w:b/>
                <w:color w:val="000000"/>
                <w:szCs w:val="22"/>
              </w:rPr>
              <w:t>Helen Heward BSc Hons MRTPI</w:t>
            </w:r>
          </w:p>
        </w:tc>
      </w:tr>
      <w:tr w:rsidR="007633EC" w14:paraId="3810D908" w14:textId="77777777">
        <w:tblPrEx>
          <w:tblCellMar>
            <w:top w:w="0" w:type="dxa"/>
            <w:bottom w:w="0" w:type="dxa"/>
          </w:tblCellMar>
        </w:tblPrEx>
        <w:trPr>
          <w:cantSplit/>
          <w:trHeight w:val="357"/>
        </w:trPr>
        <w:tc>
          <w:tcPr>
            <w:tcW w:w="9356" w:type="dxa"/>
          </w:tcPr>
          <w:p w14:paraId="2A2A6927" w14:textId="77777777" w:rsidR="007633EC" w:rsidRDefault="007633EC" w:rsidP="00DB4325">
            <w:pPr>
              <w:spacing w:before="120"/>
              <w:ind w:left="-108" w:right="34"/>
              <w:rPr>
                <w:b/>
                <w:color w:val="000000"/>
                <w:sz w:val="16"/>
                <w:szCs w:val="16"/>
              </w:rPr>
            </w:pPr>
            <w:r>
              <w:rPr>
                <w:b/>
                <w:color w:val="000000"/>
                <w:sz w:val="16"/>
                <w:szCs w:val="16"/>
              </w:rPr>
              <w:t xml:space="preserve">an Inspector </w:t>
            </w:r>
            <w:r w:rsidR="00CC251F">
              <w:rPr>
                <w:b/>
                <w:color w:val="000000"/>
                <w:sz w:val="16"/>
                <w:szCs w:val="16"/>
              </w:rPr>
              <w:t xml:space="preserve">appointed by </w:t>
            </w:r>
            <w:r>
              <w:rPr>
                <w:b/>
                <w:color w:val="000000"/>
                <w:sz w:val="16"/>
                <w:szCs w:val="16"/>
              </w:rPr>
              <w:t>the Secretary of State for Environment, Food and Rural Affairs</w:t>
            </w:r>
          </w:p>
        </w:tc>
      </w:tr>
      <w:tr w:rsidR="007633EC" w14:paraId="5FB5027E" w14:textId="77777777">
        <w:tblPrEx>
          <w:tblCellMar>
            <w:top w:w="0" w:type="dxa"/>
            <w:bottom w:w="0" w:type="dxa"/>
          </w:tblCellMar>
        </w:tblPrEx>
        <w:trPr>
          <w:cantSplit/>
          <w:trHeight w:val="335"/>
        </w:trPr>
        <w:tc>
          <w:tcPr>
            <w:tcW w:w="9356" w:type="dxa"/>
          </w:tcPr>
          <w:p w14:paraId="7962D5E7" w14:textId="448D26BE" w:rsidR="007633EC" w:rsidRDefault="007633EC">
            <w:pPr>
              <w:spacing w:before="120"/>
              <w:ind w:left="-108" w:right="176"/>
              <w:rPr>
                <w:b/>
                <w:color w:val="000000"/>
                <w:sz w:val="16"/>
                <w:szCs w:val="16"/>
              </w:rPr>
            </w:pPr>
            <w:r>
              <w:rPr>
                <w:b/>
                <w:color w:val="000000"/>
                <w:sz w:val="16"/>
                <w:szCs w:val="16"/>
              </w:rPr>
              <w:t xml:space="preserve">Decision date: </w:t>
            </w:r>
            <w:r w:rsidR="00CC4E36">
              <w:rPr>
                <w:b/>
                <w:color w:val="000000"/>
                <w:sz w:val="16"/>
                <w:szCs w:val="16"/>
              </w:rPr>
              <w:t>03 February 2022</w:t>
            </w:r>
          </w:p>
        </w:tc>
      </w:tr>
    </w:tbl>
    <w:p w14:paraId="3E2D741D" w14:textId="77777777" w:rsidR="007633EC" w:rsidRDefault="007633EC"/>
    <w:tbl>
      <w:tblPr>
        <w:tblW w:w="0" w:type="auto"/>
        <w:tblLayout w:type="fixed"/>
        <w:tblLook w:val="0000" w:firstRow="0" w:lastRow="0" w:firstColumn="0" w:lastColumn="0" w:noHBand="0" w:noVBand="0"/>
      </w:tblPr>
      <w:tblGrid>
        <w:gridCol w:w="9520"/>
      </w:tblGrid>
      <w:tr w:rsidR="007633EC" w14:paraId="6AFD8854" w14:textId="77777777">
        <w:tblPrEx>
          <w:tblCellMar>
            <w:top w:w="0" w:type="dxa"/>
            <w:bottom w:w="0" w:type="dxa"/>
          </w:tblCellMar>
        </w:tblPrEx>
        <w:tc>
          <w:tcPr>
            <w:tcW w:w="9520" w:type="dxa"/>
          </w:tcPr>
          <w:p w14:paraId="70CC5C4A" w14:textId="77777777" w:rsidR="007633EC" w:rsidRPr="005D0B2C" w:rsidRDefault="00521F86" w:rsidP="006A13D9">
            <w:pPr>
              <w:spacing w:after="60"/>
              <w:rPr>
                <w:b/>
                <w:color w:val="000000"/>
              </w:rPr>
            </w:pPr>
            <w:r w:rsidRPr="005D0B2C">
              <w:rPr>
                <w:b/>
                <w:color w:val="000000"/>
              </w:rPr>
              <w:t xml:space="preserve">Order </w:t>
            </w:r>
            <w:r w:rsidR="004642BE" w:rsidRPr="005D0B2C">
              <w:rPr>
                <w:b/>
                <w:color w:val="000000"/>
              </w:rPr>
              <w:t>Ref: ROW/3</w:t>
            </w:r>
            <w:r w:rsidR="003832EB" w:rsidRPr="005D0B2C">
              <w:rPr>
                <w:b/>
                <w:color w:val="000000"/>
              </w:rPr>
              <w:t>2</w:t>
            </w:r>
            <w:r w:rsidR="00A44C72" w:rsidRPr="005D0B2C">
              <w:rPr>
                <w:b/>
                <w:color w:val="000000"/>
              </w:rPr>
              <w:t>51672</w:t>
            </w:r>
          </w:p>
        </w:tc>
      </w:tr>
      <w:tr w:rsidR="007633EC" w:rsidRPr="005D0B2C" w14:paraId="3857CB95" w14:textId="77777777">
        <w:tblPrEx>
          <w:tblCellMar>
            <w:top w:w="0" w:type="dxa"/>
            <w:bottom w:w="0" w:type="dxa"/>
          </w:tblCellMar>
        </w:tblPrEx>
        <w:tc>
          <w:tcPr>
            <w:tcW w:w="9520" w:type="dxa"/>
          </w:tcPr>
          <w:p w14:paraId="1B63EBB0" w14:textId="77777777" w:rsidR="00521F86" w:rsidRPr="005D0B2C" w:rsidRDefault="00521F86" w:rsidP="00521F86">
            <w:pPr>
              <w:pStyle w:val="TBullet"/>
              <w:spacing w:after="60"/>
              <w:ind w:left="357" w:hanging="357"/>
              <w:rPr>
                <w:color w:val="auto"/>
              </w:rPr>
            </w:pPr>
            <w:r w:rsidRPr="005D0B2C">
              <w:rPr>
                <w:rFonts w:cs="Verdana"/>
              </w:rPr>
              <w:t xml:space="preserve">This Order is made under Section </w:t>
            </w:r>
            <w:r w:rsidR="005D07ED" w:rsidRPr="005D0B2C">
              <w:rPr>
                <w:rFonts w:cs="Verdana"/>
              </w:rPr>
              <w:t xml:space="preserve">53(2)(b) of the </w:t>
            </w:r>
            <w:r w:rsidR="008437EF" w:rsidRPr="005D0B2C">
              <w:rPr>
                <w:rFonts w:cs="Verdana"/>
              </w:rPr>
              <w:t xml:space="preserve">Wildlife </w:t>
            </w:r>
            <w:r w:rsidR="005D07ED" w:rsidRPr="005D0B2C">
              <w:rPr>
                <w:rFonts w:cs="Verdana"/>
              </w:rPr>
              <w:t>a</w:t>
            </w:r>
            <w:r w:rsidR="008437EF" w:rsidRPr="005D0B2C">
              <w:rPr>
                <w:rFonts w:cs="Verdana"/>
              </w:rPr>
              <w:t xml:space="preserve">nd </w:t>
            </w:r>
            <w:r w:rsidR="00142645" w:rsidRPr="005D0B2C">
              <w:rPr>
                <w:rFonts w:cs="Verdana"/>
              </w:rPr>
              <w:t>Countryside</w:t>
            </w:r>
            <w:r w:rsidR="008437EF" w:rsidRPr="005D0B2C">
              <w:rPr>
                <w:rFonts w:cs="Verdana"/>
              </w:rPr>
              <w:t xml:space="preserve"> Act 1981 (the 1981 Act) and is known </w:t>
            </w:r>
            <w:bookmarkStart w:id="1" w:name="_Hlk1742762"/>
            <w:r w:rsidR="008437EF" w:rsidRPr="005D0B2C">
              <w:rPr>
                <w:rFonts w:cs="Verdana"/>
              </w:rPr>
              <w:t xml:space="preserve">as the </w:t>
            </w:r>
            <w:r w:rsidR="00A44C72" w:rsidRPr="005D0B2C">
              <w:rPr>
                <w:rFonts w:cs="Verdana"/>
              </w:rPr>
              <w:t>Public Footpath Fulford 23 Modification Order 2019</w:t>
            </w:r>
            <w:bookmarkEnd w:id="1"/>
            <w:r w:rsidR="00083E22" w:rsidRPr="005D0B2C">
              <w:rPr>
                <w:rFonts w:cs="Verdana"/>
              </w:rPr>
              <w:t>.</w:t>
            </w:r>
          </w:p>
          <w:p w14:paraId="63558B70" w14:textId="77777777" w:rsidR="005D07ED" w:rsidRPr="005D0B2C" w:rsidRDefault="00521F86" w:rsidP="00521F86">
            <w:pPr>
              <w:pStyle w:val="TBullet"/>
              <w:spacing w:after="60"/>
              <w:ind w:left="357" w:hanging="357"/>
              <w:rPr>
                <w:color w:val="auto"/>
              </w:rPr>
            </w:pPr>
            <w:r w:rsidRPr="005D0B2C">
              <w:rPr>
                <w:rFonts w:cs="Verdana"/>
              </w:rPr>
              <w:t xml:space="preserve">The Order is dated </w:t>
            </w:r>
            <w:r w:rsidR="003832EB" w:rsidRPr="005D0B2C">
              <w:rPr>
                <w:rFonts w:cs="Verdana"/>
              </w:rPr>
              <w:t>1</w:t>
            </w:r>
            <w:r w:rsidR="00A44C72" w:rsidRPr="005D0B2C">
              <w:rPr>
                <w:rFonts w:cs="Verdana"/>
              </w:rPr>
              <w:t>2 September 2019</w:t>
            </w:r>
            <w:r w:rsidR="005D07ED" w:rsidRPr="005D0B2C">
              <w:rPr>
                <w:rFonts w:cs="Verdana"/>
              </w:rPr>
              <w:t xml:space="preserve"> and proposes to alter the </w:t>
            </w:r>
            <w:r w:rsidR="005876E4">
              <w:rPr>
                <w:rFonts w:cs="Verdana"/>
              </w:rPr>
              <w:t>Definitive Map and Statement</w:t>
            </w:r>
            <w:r w:rsidR="005D07ED" w:rsidRPr="005D0B2C">
              <w:rPr>
                <w:rFonts w:cs="Verdana"/>
              </w:rPr>
              <w:t xml:space="preserve"> for the area</w:t>
            </w:r>
            <w:r w:rsidR="00D646D8" w:rsidRPr="005D0B2C">
              <w:rPr>
                <w:rFonts w:cs="Verdana"/>
              </w:rPr>
              <w:t xml:space="preserve"> by adding </w:t>
            </w:r>
            <w:r w:rsidR="003832EB" w:rsidRPr="005D0B2C">
              <w:rPr>
                <w:rFonts w:cs="Verdana"/>
              </w:rPr>
              <w:t xml:space="preserve">a public </w:t>
            </w:r>
            <w:r w:rsidR="00A44C72" w:rsidRPr="005D0B2C">
              <w:rPr>
                <w:rFonts w:cs="Verdana"/>
              </w:rPr>
              <w:t xml:space="preserve">footpath </w:t>
            </w:r>
            <w:r w:rsidR="005D07ED" w:rsidRPr="005D0B2C">
              <w:rPr>
                <w:rFonts w:cs="Verdana"/>
              </w:rPr>
              <w:t xml:space="preserve">as shown in the Order </w:t>
            </w:r>
            <w:r w:rsidR="008F3C72">
              <w:rPr>
                <w:rFonts w:cs="Verdana"/>
              </w:rPr>
              <w:t>P</w:t>
            </w:r>
            <w:r w:rsidR="005D07ED" w:rsidRPr="005D0B2C">
              <w:rPr>
                <w:rFonts w:cs="Verdana"/>
              </w:rPr>
              <w:t xml:space="preserve">lan and </w:t>
            </w:r>
            <w:r w:rsidR="00D646D8" w:rsidRPr="005D0B2C">
              <w:rPr>
                <w:rFonts w:cs="Verdana"/>
              </w:rPr>
              <w:t>described in the Order Schedule</w:t>
            </w:r>
            <w:r w:rsidR="00091F4D" w:rsidRPr="005D0B2C">
              <w:rPr>
                <w:rFonts w:cs="Verdana"/>
              </w:rPr>
              <w:t>.</w:t>
            </w:r>
          </w:p>
          <w:p w14:paraId="63D332FC" w14:textId="77777777" w:rsidR="00521F86" w:rsidRPr="005D0B2C" w:rsidRDefault="00D16251" w:rsidP="005D07ED">
            <w:pPr>
              <w:pStyle w:val="TBullet"/>
              <w:spacing w:after="60"/>
              <w:ind w:left="357" w:hanging="357"/>
              <w:rPr>
                <w:color w:val="auto"/>
              </w:rPr>
            </w:pPr>
            <w:r w:rsidRPr="005D0B2C">
              <w:rPr>
                <w:rFonts w:cs="Verdana"/>
              </w:rPr>
              <w:t>T</w:t>
            </w:r>
            <w:r w:rsidR="005D07ED" w:rsidRPr="005D0B2C">
              <w:rPr>
                <w:rFonts w:cs="Verdana"/>
              </w:rPr>
              <w:t>here w</w:t>
            </w:r>
            <w:r w:rsidR="00083E22" w:rsidRPr="005D0B2C">
              <w:rPr>
                <w:rFonts w:cs="Verdana"/>
              </w:rPr>
              <w:t xml:space="preserve">as </w:t>
            </w:r>
            <w:r w:rsidR="009F36DA" w:rsidRPr="005D0B2C">
              <w:rPr>
                <w:rFonts w:cs="Verdana"/>
              </w:rPr>
              <w:t>one</w:t>
            </w:r>
            <w:r w:rsidR="005D07ED" w:rsidRPr="005D0B2C">
              <w:rPr>
                <w:rFonts w:cs="Verdana"/>
              </w:rPr>
              <w:t xml:space="preserve"> objection outstanding when </w:t>
            </w:r>
            <w:r w:rsidR="00A44C72" w:rsidRPr="005D0B2C">
              <w:rPr>
                <w:rFonts w:cs="Verdana"/>
              </w:rPr>
              <w:t xml:space="preserve">the Council of the City of York </w:t>
            </w:r>
            <w:r w:rsidR="005D07ED" w:rsidRPr="005D0B2C">
              <w:rPr>
                <w:rFonts w:cs="Verdana"/>
              </w:rPr>
              <w:t>submitte</w:t>
            </w:r>
            <w:r w:rsidR="00D12A29" w:rsidRPr="005D0B2C">
              <w:rPr>
                <w:rFonts w:cs="Verdana"/>
              </w:rPr>
              <w:t>d the O</w:t>
            </w:r>
            <w:r w:rsidR="005D07ED" w:rsidRPr="005D0B2C">
              <w:rPr>
                <w:rFonts w:cs="Verdana"/>
              </w:rPr>
              <w:t>rder to the Secretary of State</w:t>
            </w:r>
            <w:r w:rsidR="005D07ED" w:rsidRPr="005D0B2C">
              <w:rPr>
                <w:b/>
                <w:sz w:val="16"/>
                <w:szCs w:val="16"/>
              </w:rPr>
              <w:t xml:space="preserve"> </w:t>
            </w:r>
            <w:r w:rsidR="005D07ED" w:rsidRPr="005D0B2C">
              <w:t>for Environment, Food and Rural Affairs</w:t>
            </w:r>
            <w:r w:rsidR="005D07ED" w:rsidRPr="005D0B2C">
              <w:rPr>
                <w:rFonts w:cs="Verdana"/>
              </w:rPr>
              <w:t xml:space="preserve"> for confirmation</w:t>
            </w:r>
            <w:r w:rsidR="004642BE" w:rsidRPr="005D0B2C">
              <w:rPr>
                <w:rFonts w:cs="Verdana"/>
              </w:rPr>
              <w:t xml:space="preserve">. </w:t>
            </w:r>
          </w:p>
        </w:tc>
      </w:tr>
      <w:tr w:rsidR="007633EC" w:rsidRPr="005D0B2C" w14:paraId="32385A7C" w14:textId="77777777" w:rsidTr="004642BE">
        <w:tblPrEx>
          <w:tblCellMar>
            <w:top w:w="0" w:type="dxa"/>
            <w:bottom w:w="0" w:type="dxa"/>
          </w:tblCellMar>
        </w:tblPrEx>
        <w:trPr>
          <w:trHeight w:val="482"/>
        </w:trPr>
        <w:tc>
          <w:tcPr>
            <w:tcW w:w="9520" w:type="dxa"/>
            <w:tcBorders>
              <w:bottom w:val="single" w:sz="6" w:space="0" w:color="000000"/>
            </w:tcBorders>
          </w:tcPr>
          <w:p w14:paraId="1B29EB66" w14:textId="77777777" w:rsidR="00884F34" w:rsidRPr="00044882" w:rsidRDefault="0056677B" w:rsidP="00FB19F4">
            <w:pPr>
              <w:spacing w:before="60"/>
              <w:rPr>
                <w:b/>
                <w:bCs/>
                <w:szCs w:val="22"/>
              </w:rPr>
            </w:pPr>
            <w:bookmarkStart w:id="2" w:name="bmkReturn"/>
            <w:bookmarkEnd w:id="2"/>
            <w:r w:rsidRPr="005D0B2C">
              <w:rPr>
                <w:b/>
              </w:rPr>
              <w:t>Summary of Decision</w:t>
            </w:r>
            <w:r w:rsidRPr="005D0B2C">
              <w:rPr>
                <w:b/>
                <w:szCs w:val="22"/>
              </w:rPr>
              <w:t xml:space="preserve">: </w:t>
            </w:r>
            <w:r w:rsidR="001F133E">
              <w:rPr>
                <w:b/>
                <w:bCs/>
                <w:szCs w:val="22"/>
              </w:rPr>
              <w:t>The Order is confirm</w:t>
            </w:r>
            <w:r w:rsidR="00BE78D0">
              <w:rPr>
                <w:b/>
                <w:bCs/>
                <w:szCs w:val="22"/>
              </w:rPr>
              <w:t>ed</w:t>
            </w:r>
            <w:r w:rsidR="001F133E">
              <w:rPr>
                <w:b/>
                <w:bCs/>
                <w:szCs w:val="22"/>
              </w:rPr>
              <w:t xml:space="preserve"> subject to </w:t>
            </w:r>
            <w:r w:rsidR="00BE78D0">
              <w:rPr>
                <w:b/>
                <w:bCs/>
                <w:szCs w:val="22"/>
              </w:rPr>
              <w:t xml:space="preserve">minor </w:t>
            </w:r>
            <w:r w:rsidR="001F133E">
              <w:rPr>
                <w:b/>
                <w:bCs/>
                <w:szCs w:val="22"/>
              </w:rPr>
              <w:t>modifications set out in the Formal Decision</w:t>
            </w:r>
            <w:r w:rsidR="00BE78D0">
              <w:rPr>
                <w:b/>
                <w:bCs/>
                <w:szCs w:val="22"/>
              </w:rPr>
              <w:t>.</w:t>
            </w:r>
          </w:p>
        </w:tc>
      </w:tr>
    </w:tbl>
    <w:p w14:paraId="36F403E4" w14:textId="77777777" w:rsidR="007633EC" w:rsidRPr="005D0B2C" w:rsidRDefault="00D9544B" w:rsidP="00E15D4E">
      <w:pPr>
        <w:pStyle w:val="Heading6blackfont"/>
        <w:spacing w:before="120"/>
      </w:pPr>
      <w:r w:rsidRPr="005D0B2C">
        <w:t>Procedural</w:t>
      </w:r>
      <w:r w:rsidR="00710F97" w:rsidRPr="005D0B2C">
        <w:t xml:space="preserve"> Matters</w:t>
      </w:r>
    </w:p>
    <w:p w14:paraId="4A46082F" w14:textId="77777777" w:rsidR="00EE66CF" w:rsidRPr="005D0B2C" w:rsidRDefault="00EE66CF" w:rsidP="00EE66CF">
      <w:pPr>
        <w:pStyle w:val="Style1"/>
        <w:rPr>
          <w:szCs w:val="22"/>
        </w:rPr>
      </w:pPr>
      <w:r w:rsidRPr="005D0B2C">
        <w:rPr>
          <w:szCs w:val="22"/>
        </w:rPr>
        <w:t xml:space="preserve">The application, dated 11 January 2012, was made by Graham Cheyne. </w:t>
      </w:r>
    </w:p>
    <w:p w14:paraId="7BB4E26A" w14:textId="77777777" w:rsidR="00904663" w:rsidRPr="005D0B2C" w:rsidRDefault="008F1131" w:rsidP="008F1131">
      <w:pPr>
        <w:pStyle w:val="Style1"/>
        <w:rPr>
          <w:szCs w:val="22"/>
        </w:rPr>
      </w:pPr>
      <w:bookmarkStart w:id="3" w:name="_Hlk91182757"/>
      <w:r w:rsidRPr="005D0B2C">
        <w:rPr>
          <w:szCs w:val="22"/>
        </w:rPr>
        <w:t xml:space="preserve">The City of York Council as the Order Making Authority (OMA) </w:t>
      </w:r>
      <w:r w:rsidR="00EE66CF" w:rsidRPr="005D0B2C">
        <w:rPr>
          <w:szCs w:val="22"/>
        </w:rPr>
        <w:t xml:space="preserve">refused the application on 14 July 2016 and the applicant appealed.  An Inspector, on direction of the </w:t>
      </w:r>
      <w:r w:rsidR="00904663" w:rsidRPr="005D0B2C">
        <w:rPr>
          <w:szCs w:val="22"/>
        </w:rPr>
        <w:t>S</w:t>
      </w:r>
      <w:r w:rsidR="00EE66CF" w:rsidRPr="005D0B2C">
        <w:rPr>
          <w:szCs w:val="22"/>
        </w:rPr>
        <w:t>ecretary of State</w:t>
      </w:r>
      <w:r w:rsidR="008F3C72">
        <w:rPr>
          <w:szCs w:val="22"/>
        </w:rPr>
        <w:t xml:space="preserve">, </w:t>
      </w:r>
      <w:r w:rsidR="00EE66CF" w:rsidRPr="005D0B2C">
        <w:rPr>
          <w:szCs w:val="22"/>
        </w:rPr>
        <w:t>allowed that appeal</w:t>
      </w:r>
      <w:r w:rsidR="00EE66CF" w:rsidRPr="005D0B2C">
        <w:rPr>
          <w:rStyle w:val="FootnoteReference"/>
          <w:szCs w:val="22"/>
        </w:rPr>
        <w:footnoteReference w:id="1"/>
      </w:r>
      <w:r w:rsidR="00EE66CF" w:rsidRPr="005D0B2C">
        <w:rPr>
          <w:szCs w:val="22"/>
        </w:rPr>
        <w:t xml:space="preserve"> on 6 July 2017.  </w:t>
      </w:r>
    </w:p>
    <w:p w14:paraId="655EF990" w14:textId="77777777" w:rsidR="008F1131" w:rsidRPr="005D0B2C" w:rsidRDefault="008F3C72" w:rsidP="008F1131">
      <w:pPr>
        <w:pStyle w:val="Style1"/>
        <w:rPr>
          <w:szCs w:val="22"/>
        </w:rPr>
      </w:pPr>
      <w:bookmarkStart w:id="4" w:name="_Hlk91182820"/>
      <w:bookmarkEnd w:id="3"/>
      <w:r>
        <w:rPr>
          <w:szCs w:val="22"/>
        </w:rPr>
        <w:t>T</w:t>
      </w:r>
      <w:r w:rsidR="00EE66CF" w:rsidRPr="005D0B2C">
        <w:rPr>
          <w:szCs w:val="22"/>
        </w:rPr>
        <w:t xml:space="preserve">he OMA was </w:t>
      </w:r>
      <w:r>
        <w:rPr>
          <w:szCs w:val="22"/>
        </w:rPr>
        <w:t xml:space="preserve">subsequently </w:t>
      </w:r>
      <w:r w:rsidR="00EE66CF" w:rsidRPr="005D0B2C">
        <w:rPr>
          <w:szCs w:val="22"/>
        </w:rPr>
        <w:t xml:space="preserve">directed to make an order under S53(2) and Schedule 15 of the 1981 Act to modify the </w:t>
      </w:r>
      <w:r w:rsidR="005876E4">
        <w:rPr>
          <w:szCs w:val="22"/>
        </w:rPr>
        <w:t>Definitive Map and Statement</w:t>
      </w:r>
      <w:r w:rsidR="00EE66CF" w:rsidRPr="005D0B2C">
        <w:rPr>
          <w:szCs w:val="22"/>
        </w:rPr>
        <w:t xml:space="preserve"> for the area by adding a public footpath between Landing Lane and the Nurses’ Footpath as requested by the application.</w:t>
      </w:r>
    </w:p>
    <w:p w14:paraId="0798E94D" w14:textId="77777777" w:rsidR="00EE66CF" w:rsidRPr="005D0B2C" w:rsidRDefault="00EE66CF" w:rsidP="008F1131">
      <w:pPr>
        <w:pStyle w:val="Style1"/>
        <w:rPr>
          <w:szCs w:val="22"/>
        </w:rPr>
      </w:pPr>
      <w:r w:rsidRPr="005D0B2C">
        <w:rPr>
          <w:szCs w:val="22"/>
        </w:rPr>
        <w:t xml:space="preserve">The OMA </w:t>
      </w:r>
      <w:r w:rsidR="008F1131" w:rsidRPr="005D0B2C">
        <w:rPr>
          <w:szCs w:val="22"/>
        </w:rPr>
        <w:t xml:space="preserve">prepared the Order dated 12 September 2019.  </w:t>
      </w:r>
      <w:r w:rsidR="008F1131" w:rsidRPr="005D0B2C">
        <w:rPr>
          <w:rFonts w:cs="Verdana,BoldItalic"/>
          <w:bCs/>
          <w:iCs/>
          <w:szCs w:val="22"/>
        </w:rPr>
        <w:t>The outstanding objection</w:t>
      </w:r>
      <w:r w:rsidR="008F1131" w:rsidRPr="005D0B2C">
        <w:rPr>
          <w:szCs w:val="22"/>
        </w:rPr>
        <w:t xml:space="preserve"> is from the affected landowner</w:t>
      </w:r>
      <w:r w:rsidR="00343A78">
        <w:rPr>
          <w:szCs w:val="22"/>
        </w:rPr>
        <w:t xml:space="preserve">, Denise </w:t>
      </w:r>
      <w:proofErr w:type="gramStart"/>
      <w:r w:rsidR="00343A78">
        <w:rPr>
          <w:szCs w:val="22"/>
        </w:rPr>
        <w:t xml:space="preserve">Jagger </w:t>
      </w:r>
      <w:r w:rsidR="00F33699" w:rsidRPr="005D0B2C">
        <w:rPr>
          <w:szCs w:val="22"/>
        </w:rPr>
        <w:t>.</w:t>
      </w:r>
      <w:proofErr w:type="gramEnd"/>
      <w:r w:rsidR="00F33699" w:rsidRPr="005D0B2C">
        <w:rPr>
          <w:szCs w:val="22"/>
        </w:rPr>
        <w:t xml:space="preserve"> </w:t>
      </w:r>
      <w:r w:rsidR="008F1131" w:rsidRPr="005D0B2C">
        <w:rPr>
          <w:szCs w:val="22"/>
        </w:rPr>
        <w:t xml:space="preserve"> </w:t>
      </w:r>
      <w:r w:rsidR="00F33699" w:rsidRPr="005D0B2C">
        <w:rPr>
          <w:szCs w:val="22"/>
        </w:rPr>
        <w:t>The objector submit</w:t>
      </w:r>
      <w:r w:rsidR="00E22EDD" w:rsidRPr="005D0B2C">
        <w:rPr>
          <w:szCs w:val="22"/>
        </w:rPr>
        <w:t>ted</w:t>
      </w:r>
      <w:r w:rsidR="00F33699" w:rsidRPr="005D0B2C">
        <w:rPr>
          <w:szCs w:val="22"/>
        </w:rPr>
        <w:t xml:space="preserve"> </w:t>
      </w:r>
      <w:proofErr w:type="gramStart"/>
      <w:r w:rsidR="00F33699" w:rsidRPr="005D0B2C">
        <w:rPr>
          <w:szCs w:val="22"/>
        </w:rPr>
        <w:t>a number of</w:t>
      </w:r>
      <w:proofErr w:type="gramEnd"/>
      <w:r w:rsidR="00F33699" w:rsidRPr="005D0B2C">
        <w:rPr>
          <w:szCs w:val="22"/>
        </w:rPr>
        <w:t xml:space="preserve"> </w:t>
      </w:r>
      <w:r w:rsidR="005876E4" w:rsidRPr="005D0B2C">
        <w:rPr>
          <w:szCs w:val="22"/>
        </w:rPr>
        <w:t>objections,</w:t>
      </w:r>
      <w:r w:rsidR="00F33699" w:rsidRPr="005D0B2C">
        <w:rPr>
          <w:szCs w:val="22"/>
        </w:rPr>
        <w:t xml:space="preserve"> </w:t>
      </w:r>
      <w:r w:rsidR="008F1131" w:rsidRPr="005D0B2C">
        <w:rPr>
          <w:szCs w:val="22"/>
        </w:rPr>
        <w:t xml:space="preserve">and the OMA </w:t>
      </w:r>
      <w:r w:rsidR="00E22EDD" w:rsidRPr="005D0B2C">
        <w:rPr>
          <w:szCs w:val="22"/>
        </w:rPr>
        <w:t>has</w:t>
      </w:r>
      <w:r w:rsidRPr="005D0B2C">
        <w:rPr>
          <w:szCs w:val="22"/>
        </w:rPr>
        <w:t xml:space="preserve"> tak</w:t>
      </w:r>
      <w:r w:rsidR="00E22EDD" w:rsidRPr="005D0B2C">
        <w:rPr>
          <w:szCs w:val="22"/>
        </w:rPr>
        <w:t>en</w:t>
      </w:r>
      <w:r w:rsidRPr="005D0B2C">
        <w:rPr>
          <w:szCs w:val="22"/>
        </w:rPr>
        <w:t xml:space="preserve"> a neutral stance. </w:t>
      </w:r>
    </w:p>
    <w:p w14:paraId="103AD63D" w14:textId="77777777" w:rsidR="00D641CF" w:rsidRPr="005D0B2C" w:rsidRDefault="00D641CF" w:rsidP="008F1131">
      <w:pPr>
        <w:pStyle w:val="Style1"/>
        <w:rPr>
          <w:szCs w:val="22"/>
        </w:rPr>
      </w:pPr>
      <w:r w:rsidRPr="005D0B2C">
        <w:rPr>
          <w:szCs w:val="22"/>
        </w:rPr>
        <w:t xml:space="preserve">One document was handed up during the </w:t>
      </w:r>
      <w:r w:rsidR="005876E4">
        <w:rPr>
          <w:szCs w:val="22"/>
        </w:rPr>
        <w:t>Inquiry</w:t>
      </w:r>
      <w:r w:rsidRPr="005D0B2C">
        <w:rPr>
          <w:szCs w:val="22"/>
        </w:rPr>
        <w:t xml:space="preserve">.  It set out </w:t>
      </w:r>
      <w:r w:rsidR="008F3C72">
        <w:rPr>
          <w:szCs w:val="22"/>
        </w:rPr>
        <w:t>an</w:t>
      </w:r>
      <w:r w:rsidRPr="005D0B2C">
        <w:rPr>
          <w:szCs w:val="22"/>
        </w:rPr>
        <w:t xml:space="preserve"> </w:t>
      </w:r>
      <w:r w:rsidR="00E22EDD" w:rsidRPr="005D0B2C">
        <w:rPr>
          <w:szCs w:val="22"/>
        </w:rPr>
        <w:t xml:space="preserve">oral </w:t>
      </w:r>
      <w:r w:rsidRPr="005D0B2C">
        <w:rPr>
          <w:szCs w:val="22"/>
        </w:rPr>
        <w:t>statement m</w:t>
      </w:r>
      <w:r w:rsidR="007B072A" w:rsidRPr="005D0B2C">
        <w:rPr>
          <w:szCs w:val="22"/>
        </w:rPr>
        <w:t>a</w:t>
      </w:r>
      <w:r w:rsidRPr="005D0B2C">
        <w:rPr>
          <w:szCs w:val="22"/>
        </w:rPr>
        <w:t xml:space="preserve">de to the </w:t>
      </w:r>
      <w:r w:rsidR="005876E4">
        <w:rPr>
          <w:szCs w:val="22"/>
        </w:rPr>
        <w:t>Inquiry</w:t>
      </w:r>
      <w:r w:rsidRPr="005D0B2C">
        <w:rPr>
          <w:szCs w:val="22"/>
        </w:rPr>
        <w:t xml:space="preserve"> by </w:t>
      </w:r>
      <w:r w:rsidR="007B072A" w:rsidRPr="005D0B2C">
        <w:rPr>
          <w:szCs w:val="22"/>
        </w:rPr>
        <w:t xml:space="preserve">Mr Nunns on behalf of the </w:t>
      </w:r>
      <w:r w:rsidR="00E22EDD" w:rsidRPr="005D0B2C">
        <w:rPr>
          <w:szCs w:val="22"/>
        </w:rPr>
        <w:t>Ra</w:t>
      </w:r>
      <w:r w:rsidR="007B072A" w:rsidRPr="005D0B2C">
        <w:rPr>
          <w:szCs w:val="22"/>
        </w:rPr>
        <w:t xml:space="preserve">mblers Association.  No objections were made to its </w:t>
      </w:r>
      <w:r w:rsidR="005876E4" w:rsidRPr="005D0B2C">
        <w:rPr>
          <w:szCs w:val="22"/>
        </w:rPr>
        <w:t>submission,</w:t>
      </w:r>
      <w:r w:rsidR="007B072A" w:rsidRPr="005D0B2C">
        <w:rPr>
          <w:szCs w:val="22"/>
        </w:rPr>
        <w:t xml:space="preserve"> and I accepted it. </w:t>
      </w:r>
    </w:p>
    <w:bookmarkEnd w:id="4"/>
    <w:p w14:paraId="3C399C88" w14:textId="77777777" w:rsidR="009254C9" w:rsidRPr="002A0885" w:rsidRDefault="009254C9" w:rsidP="004C0FDB">
      <w:pPr>
        <w:pStyle w:val="Style1"/>
        <w:numPr>
          <w:ilvl w:val="0"/>
          <w:numId w:val="0"/>
        </w:numPr>
        <w:spacing w:before="120"/>
        <w:rPr>
          <w:b/>
          <w:szCs w:val="22"/>
        </w:rPr>
      </w:pPr>
      <w:r w:rsidRPr="005D0B2C">
        <w:rPr>
          <w:rFonts w:cs="Verdana"/>
          <w:b/>
          <w:szCs w:val="22"/>
        </w:rPr>
        <w:t>Main Issu</w:t>
      </w:r>
      <w:r w:rsidR="003903F5" w:rsidRPr="005D0B2C">
        <w:rPr>
          <w:rFonts w:cs="Verdana"/>
          <w:b/>
          <w:szCs w:val="22"/>
        </w:rPr>
        <w:t>es</w:t>
      </w:r>
    </w:p>
    <w:p w14:paraId="0936D3FE" w14:textId="77777777" w:rsidR="00EC5061" w:rsidRPr="00343A78" w:rsidRDefault="009F36DA" w:rsidP="00343A78">
      <w:pPr>
        <w:pStyle w:val="Style1"/>
        <w:rPr>
          <w:szCs w:val="22"/>
        </w:rPr>
      </w:pPr>
      <w:r w:rsidRPr="002A0885">
        <w:rPr>
          <w:szCs w:val="22"/>
        </w:rPr>
        <w:t xml:space="preserve">S53(2) of the WCA81 </w:t>
      </w:r>
      <w:r w:rsidR="00D97BC6" w:rsidRPr="002A0885">
        <w:rPr>
          <w:szCs w:val="22"/>
        </w:rPr>
        <w:t xml:space="preserve">requires the surveying authority to make </w:t>
      </w:r>
      <w:r w:rsidR="008F3C72">
        <w:rPr>
          <w:szCs w:val="22"/>
        </w:rPr>
        <w:t>O</w:t>
      </w:r>
      <w:r w:rsidR="00D97BC6" w:rsidRPr="002A0885">
        <w:rPr>
          <w:szCs w:val="22"/>
        </w:rPr>
        <w:t xml:space="preserve">rders to modify the </w:t>
      </w:r>
      <w:r w:rsidR="005876E4">
        <w:rPr>
          <w:szCs w:val="22"/>
        </w:rPr>
        <w:t>Definitive Map and Statement</w:t>
      </w:r>
      <w:r w:rsidR="00D97BC6" w:rsidRPr="002A0885">
        <w:rPr>
          <w:szCs w:val="22"/>
        </w:rPr>
        <w:t xml:space="preserve"> in </w:t>
      </w:r>
      <w:r w:rsidRPr="002A0885">
        <w:rPr>
          <w:szCs w:val="22"/>
        </w:rPr>
        <w:t xml:space="preserve">consequence of events specified in </w:t>
      </w:r>
      <w:r w:rsidR="00D97BC6" w:rsidRPr="002A0885">
        <w:rPr>
          <w:szCs w:val="22"/>
        </w:rPr>
        <w:t>S53</w:t>
      </w:r>
      <w:r w:rsidRPr="002A0885">
        <w:rPr>
          <w:szCs w:val="22"/>
        </w:rPr>
        <w:t>(3).</w:t>
      </w:r>
      <w:r w:rsidR="008F3C72">
        <w:rPr>
          <w:szCs w:val="22"/>
        </w:rPr>
        <w:t xml:space="preserve">  </w:t>
      </w:r>
      <w:r w:rsidR="006B6A1C" w:rsidRPr="008F3C72">
        <w:rPr>
          <w:szCs w:val="22"/>
        </w:rPr>
        <w:t>Section 53(3)(</w:t>
      </w:r>
      <w:r w:rsidR="00D97BC6" w:rsidRPr="008F3C72">
        <w:rPr>
          <w:szCs w:val="22"/>
        </w:rPr>
        <w:t>b</w:t>
      </w:r>
      <w:r w:rsidR="006B6A1C" w:rsidRPr="008F3C72">
        <w:rPr>
          <w:szCs w:val="22"/>
        </w:rPr>
        <w:t>)</w:t>
      </w:r>
      <w:r w:rsidR="00D97BC6" w:rsidRPr="008F3C72">
        <w:rPr>
          <w:szCs w:val="22"/>
        </w:rPr>
        <w:t xml:space="preserve"> includes “</w:t>
      </w:r>
      <w:r w:rsidR="00D97BC6" w:rsidRPr="008F3C72">
        <w:rPr>
          <w:i/>
          <w:iCs/>
          <w:szCs w:val="22"/>
        </w:rPr>
        <w:t>the expiration… of any period such that enjoyment by the public of the way during that period raises a presumption that the way has been dedicated as a public path</w:t>
      </w:r>
      <w:r w:rsidR="00D97BC6" w:rsidRPr="008F3C72">
        <w:rPr>
          <w:szCs w:val="22"/>
        </w:rPr>
        <w:t>”</w:t>
      </w:r>
      <w:r w:rsidR="008F3C72">
        <w:rPr>
          <w:szCs w:val="22"/>
        </w:rPr>
        <w:t xml:space="preserve">.  </w:t>
      </w:r>
      <w:r w:rsidR="00D97BC6" w:rsidRPr="008F3C72">
        <w:rPr>
          <w:szCs w:val="22"/>
        </w:rPr>
        <w:t xml:space="preserve">Section 53(3)(c)(i) </w:t>
      </w:r>
      <w:proofErr w:type="gramStart"/>
      <w:r w:rsidR="00D97BC6" w:rsidRPr="008F3C72">
        <w:rPr>
          <w:szCs w:val="22"/>
        </w:rPr>
        <w:t>includes  “</w:t>
      </w:r>
      <w:proofErr w:type="gramEnd"/>
      <w:r w:rsidR="006B6A1C" w:rsidRPr="008F3C72">
        <w:rPr>
          <w:i/>
          <w:iCs/>
          <w:szCs w:val="22"/>
        </w:rPr>
        <w:t xml:space="preserve">the discovery of evidence which, when considered with all other relevant evidence available, shows…  that a right of way which is not shown in the map and statement subsists or is reasonably alleged to subsist over land in the area </w:t>
      </w:r>
      <w:r w:rsidR="006B6A1C" w:rsidRPr="008F3C72">
        <w:rPr>
          <w:i/>
          <w:iCs/>
          <w:szCs w:val="22"/>
        </w:rPr>
        <w:lastRenderedPageBreak/>
        <w:t>to which the map relates, being a right of way to which this Part applies.</w:t>
      </w:r>
      <w:r w:rsidR="00CB4BE8" w:rsidRPr="008F3C72">
        <w:rPr>
          <w:i/>
          <w:iCs/>
          <w:szCs w:val="22"/>
        </w:rPr>
        <w:t>”</w:t>
      </w:r>
      <w:r w:rsidR="00343A78">
        <w:rPr>
          <w:szCs w:val="22"/>
        </w:rPr>
        <w:t xml:space="preserve">  </w:t>
      </w:r>
      <w:r w:rsidR="006B6A1C" w:rsidRPr="00343A78">
        <w:rPr>
          <w:szCs w:val="22"/>
        </w:rPr>
        <w:t xml:space="preserve">The </w:t>
      </w:r>
      <w:r w:rsidR="00D97BC6" w:rsidRPr="00343A78">
        <w:rPr>
          <w:szCs w:val="22"/>
        </w:rPr>
        <w:t xml:space="preserve">test to be applied </w:t>
      </w:r>
      <w:r w:rsidR="009B434D" w:rsidRPr="00343A78">
        <w:rPr>
          <w:szCs w:val="22"/>
        </w:rPr>
        <w:t xml:space="preserve">is </w:t>
      </w:r>
      <w:r w:rsidR="009B434D" w:rsidRPr="00343A78">
        <w:rPr>
          <w:rFonts w:cs="Tahoma"/>
          <w:szCs w:val="22"/>
        </w:rPr>
        <w:t xml:space="preserve">whether the evidence shows, on </w:t>
      </w:r>
      <w:r w:rsidR="00343A78">
        <w:rPr>
          <w:rFonts w:cs="Tahoma"/>
          <w:szCs w:val="22"/>
        </w:rPr>
        <w:t>a</w:t>
      </w:r>
      <w:r w:rsidR="009B434D" w:rsidRPr="00343A78">
        <w:rPr>
          <w:rFonts w:cs="Tahoma"/>
          <w:szCs w:val="22"/>
        </w:rPr>
        <w:t xml:space="preserve"> balance of probabilities, that the criteria set out in the relevant part of the Act have been met.  </w:t>
      </w:r>
    </w:p>
    <w:p w14:paraId="176F6ECC" w14:textId="77777777" w:rsidR="009B434D" w:rsidRPr="00A7106F" w:rsidRDefault="009B434D" w:rsidP="00A7106F">
      <w:pPr>
        <w:pStyle w:val="Style1"/>
        <w:rPr>
          <w:i/>
          <w:iCs/>
          <w:szCs w:val="22"/>
        </w:rPr>
      </w:pPr>
      <w:r w:rsidRPr="00EC5061">
        <w:rPr>
          <w:rFonts w:cs="Tahoma"/>
        </w:rPr>
        <w:t xml:space="preserve">The matter may be determined under </w:t>
      </w:r>
      <w:r w:rsidR="00343A78">
        <w:rPr>
          <w:rFonts w:cs="Tahoma"/>
        </w:rPr>
        <w:t>S</w:t>
      </w:r>
      <w:r w:rsidRPr="00EC5061">
        <w:rPr>
          <w:rFonts w:cs="Tahoma"/>
        </w:rPr>
        <w:t>31 of the Highways Act 1980</w:t>
      </w:r>
      <w:bookmarkStart w:id="5" w:name="_Hlk91183062"/>
      <w:r w:rsidRPr="00EC5061">
        <w:t xml:space="preserve"> ("the 1980 Act") </w:t>
      </w:r>
      <w:r w:rsidR="00343A78">
        <w:t xml:space="preserve">which </w:t>
      </w:r>
      <w:r w:rsidRPr="00EC5061">
        <w:t xml:space="preserve">states that where a way has been enjoyed by the public without interruption for a full period of 20 years, the way is presumed </w:t>
      </w:r>
      <w:r w:rsidRPr="001B0535">
        <w:rPr>
          <w:szCs w:val="22"/>
        </w:rPr>
        <w:t xml:space="preserve">to have been dedicated as a highway, unless there is sufficient evidence that there was no intention to dedicate it during that period.  The period of 20 years is calculated retrospectively from the date on which the right of the public to use the way is brought into question.  </w:t>
      </w:r>
      <w:bookmarkEnd w:id="5"/>
      <w:r w:rsidRPr="00A7106F">
        <w:rPr>
          <w:rFonts w:cs="Tahoma"/>
          <w:szCs w:val="22"/>
        </w:rPr>
        <w:t xml:space="preserve">In considering the statutory requirements, </w:t>
      </w:r>
      <w:r w:rsidR="00EC5061" w:rsidRPr="00A7106F">
        <w:rPr>
          <w:rFonts w:cs="Tahoma"/>
          <w:szCs w:val="22"/>
        </w:rPr>
        <w:t>I must consider</w:t>
      </w:r>
      <w:r w:rsidRPr="00A7106F">
        <w:rPr>
          <w:rFonts w:cs="Tahoma"/>
          <w:szCs w:val="22"/>
        </w:rPr>
        <w:t>:</w:t>
      </w:r>
    </w:p>
    <w:p w14:paraId="28FA5271" w14:textId="77777777" w:rsidR="009B434D" w:rsidRPr="001B0535" w:rsidRDefault="009B434D" w:rsidP="009B434D">
      <w:pPr>
        <w:pStyle w:val="Singleline"/>
        <w:numPr>
          <w:ilvl w:val="1"/>
          <w:numId w:val="19"/>
        </w:numPr>
        <w:tabs>
          <w:tab w:val="left" w:pos="426"/>
        </w:tabs>
        <w:spacing w:before="180"/>
        <w:jc w:val="both"/>
        <w:rPr>
          <w:rFonts w:cs="Tahoma"/>
          <w:szCs w:val="22"/>
        </w:rPr>
      </w:pPr>
      <w:r w:rsidRPr="001B0535">
        <w:rPr>
          <w:rFonts w:cs="Tahoma"/>
          <w:szCs w:val="22"/>
        </w:rPr>
        <w:t xml:space="preserve">when the status of the claimed route was called into </w:t>
      </w:r>
      <w:proofErr w:type="gramStart"/>
      <w:r w:rsidRPr="001B0535">
        <w:rPr>
          <w:rFonts w:cs="Tahoma"/>
          <w:szCs w:val="22"/>
        </w:rPr>
        <w:t>question;</w:t>
      </w:r>
      <w:proofErr w:type="gramEnd"/>
    </w:p>
    <w:p w14:paraId="263973B9" w14:textId="77777777" w:rsidR="009B434D" w:rsidRPr="001B0535" w:rsidRDefault="009B434D" w:rsidP="009B434D">
      <w:pPr>
        <w:pStyle w:val="Singleline"/>
        <w:numPr>
          <w:ilvl w:val="1"/>
          <w:numId w:val="19"/>
        </w:numPr>
        <w:tabs>
          <w:tab w:val="left" w:pos="426"/>
        </w:tabs>
        <w:spacing w:before="180"/>
        <w:jc w:val="both"/>
        <w:rPr>
          <w:rFonts w:cs="Tahoma"/>
          <w:szCs w:val="22"/>
        </w:rPr>
      </w:pPr>
      <w:r w:rsidRPr="001B0535">
        <w:rPr>
          <w:rFonts w:cs="Tahoma"/>
          <w:szCs w:val="22"/>
        </w:rPr>
        <w:t xml:space="preserve">the extent and nature of the claimed use - the use must be shown to have been actually enjoyed by the public as of right and without interruption for a full period of twenty </w:t>
      </w:r>
      <w:proofErr w:type="gramStart"/>
      <w:r w:rsidRPr="001B0535">
        <w:rPr>
          <w:rFonts w:cs="Tahoma"/>
          <w:szCs w:val="22"/>
        </w:rPr>
        <w:t>years;</w:t>
      </w:r>
      <w:proofErr w:type="gramEnd"/>
    </w:p>
    <w:p w14:paraId="05193C4E" w14:textId="77777777" w:rsidR="009B434D" w:rsidRPr="001B0535" w:rsidRDefault="009B434D" w:rsidP="009B434D">
      <w:pPr>
        <w:pStyle w:val="Singleline"/>
        <w:numPr>
          <w:ilvl w:val="1"/>
          <w:numId w:val="19"/>
        </w:numPr>
        <w:tabs>
          <w:tab w:val="left" w:pos="426"/>
        </w:tabs>
        <w:spacing w:before="180"/>
        <w:jc w:val="both"/>
        <w:rPr>
          <w:rFonts w:cs="Tahoma"/>
          <w:szCs w:val="22"/>
        </w:rPr>
      </w:pPr>
      <w:r w:rsidRPr="001B0535">
        <w:rPr>
          <w:rFonts w:cs="Tahoma"/>
          <w:szCs w:val="22"/>
        </w:rPr>
        <w:t xml:space="preserve">whether there is evidence of a lack of intention to dedicate a public right of way.  </w:t>
      </w:r>
    </w:p>
    <w:p w14:paraId="342B2360" w14:textId="77777777" w:rsidR="00A7106F" w:rsidRPr="0079186D" w:rsidRDefault="00A7106F" w:rsidP="0079186D">
      <w:pPr>
        <w:pStyle w:val="Style1"/>
        <w:rPr>
          <w:i/>
          <w:iCs/>
        </w:rPr>
      </w:pPr>
      <w:proofErr w:type="gramStart"/>
      <w:r w:rsidRPr="001B0535">
        <w:t xml:space="preserve">In </w:t>
      </w:r>
      <w:r w:rsidR="00343A78">
        <w:t xml:space="preserve"> </w:t>
      </w:r>
      <w:r w:rsidR="00343A78" w:rsidRPr="00343A78">
        <w:rPr>
          <w:i/>
          <w:iCs/>
        </w:rPr>
        <w:t>Redcar</w:t>
      </w:r>
      <w:proofErr w:type="gramEnd"/>
      <w:r w:rsidRPr="001B0535">
        <w:rPr>
          <w:rStyle w:val="FootnoteReference"/>
          <w:i/>
          <w:iCs/>
          <w:szCs w:val="22"/>
        </w:rPr>
        <w:footnoteReference w:id="2"/>
      </w:r>
      <w:r w:rsidRPr="001B0535">
        <w:rPr>
          <w:i/>
          <w:iCs/>
        </w:rPr>
        <w:t xml:space="preserve"> </w:t>
      </w:r>
      <w:r w:rsidRPr="001B0535">
        <w:t>it was held that for use to be ‘as of right’</w:t>
      </w:r>
      <w:r>
        <w:t xml:space="preserve"> </w:t>
      </w:r>
      <w:r w:rsidRPr="001B0535">
        <w:t xml:space="preserve">it must be without force, without secrecy and without permission.  </w:t>
      </w:r>
      <w:r w:rsidR="0079186D" w:rsidRPr="002A6F1A">
        <w:t>In addressing these issues I must be satisfied that the relevant tests have been met on the balance of probabilities</w:t>
      </w:r>
      <w:r w:rsidR="0079186D">
        <w:t>.</w:t>
      </w:r>
    </w:p>
    <w:p w14:paraId="75F8E5B3" w14:textId="77777777" w:rsidR="00EC5061" w:rsidRPr="001B0535" w:rsidRDefault="002E5415" w:rsidP="00EC5061">
      <w:pPr>
        <w:pStyle w:val="Style1"/>
        <w:tabs>
          <w:tab w:val="num" w:pos="1146"/>
        </w:tabs>
        <w:rPr>
          <w:color w:val="auto"/>
          <w:szCs w:val="22"/>
        </w:rPr>
      </w:pPr>
      <w:r w:rsidRPr="001B0535">
        <w:rPr>
          <w:color w:val="auto"/>
          <w:szCs w:val="22"/>
        </w:rPr>
        <w:t>The evidence may</w:t>
      </w:r>
      <w:r w:rsidR="00524752" w:rsidRPr="001B0535">
        <w:rPr>
          <w:color w:val="auto"/>
          <w:szCs w:val="22"/>
        </w:rPr>
        <w:t xml:space="preserve"> also</w:t>
      </w:r>
      <w:r w:rsidRPr="001B0535">
        <w:rPr>
          <w:color w:val="auto"/>
          <w:szCs w:val="22"/>
        </w:rPr>
        <w:t xml:space="preserve"> be considered under common law </w:t>
      </w:r>
      <w:bookmarkStart w:id="6" w:name="_Hlk91183944"/>
      <w:r w:rsidRPr="001B0535">
        <w:rPr>
          <w:color w:val="auto"/>
          <w:szCs w:val="22"/>
        </w:rPr>
        <w:t>where the issues to be addressed would be whether, during any relevant period, the owners of the land had the capacity to dedicate a public right of way, whether there was express or implied dedication by the owners and whether there is evidence of acceptance of the claimed right b</w:t>
      </w:r>
      <w:r w:rsidR="00EC5061" w:rsidRPr="001B0535">
        <w:rPr>
          <w:color w:val="auto"/>
          <w:szCs w:val="22"/>
        </w:rPr>
        <w:t>y</w:t>
      </w:r>
      <w:r w:rsidRPr="001B0535">
        <w:rPr>
          <w:color w:val="auto"/>
          <w:szCs w:val="22"/>
        </w:rPr>
        <w:t xml:space="preserve"> the public</w:t>
      </w:r>
      <w:bookmarkEnd w:id="6"/>
      <w:r w:rsidRPr="001B0535">
        <w:rPr>
          <w:color w:val="auto"/>
          <w:szCs w:val="22"/>
        </w:rPr>
        <w:t xml:space="preserve">. </w:t>
      </w:r>
    </w:p>
    <w:p w14:paraId="6890FD56" w14:textId="77777777" w:rsidR="006B6A1C" w:rsidRPr="001B0535" w:rsidRDefault="006B6A1C" w:rsidP="00EC5061">
      <w:pPr>
        <w:pStyle w:val="Style1"/>
        <w:numPr>
          <w:ilvl w:val="0"/>
          <w:numId w:val="0"/>
        </w:numPr>
        <w:tabs>
          <w:tab w:val="num" w:pos="1146"/>
        </w:tabs>
        <w:rPr>
          <w:color w:val="auto"/>
          <w:szCs w:val="22"/>
        </w:rPr>
      </w:pPr>
      <w:r w:rsidRPr="001B0535">
        <w:rPr>
          <w:b/>
          <w:bCs/>
          <w:color w:val="auto"/>
          <w:szCs w:val="22"/>
        </w:rPr>
        <w:t xml:space="preserve">Reasons </w:t>
      </w:r>
    </w:p>
    <w:p w14:paraId="1D53A915" w14:textId="77777777" w:rsidR="00F33699" w:rsidRPr="001B0535" w:rsidRDefault="00F33699" w:rsidP="00EC5061">
      <w:pPr>
        <w:pStyle w:val="Style1"/>
        <w:numPr>
          <w:ilvl w:val="0"/>
          <w:numId w:val="0"/>
        </w:numPr>
        <w:tabs>
          <w:tab w:val="num" w:pos="1146"/>
        </w:tabs>
        <w:rPr>
          <w:color w:val="auto"/>
          <w:szCs w:val="22"/>
        </w:rPr>
      </w:pPr>
      <w:bookmarkStart w:id="7" w:name="para33"/>
      <w:r w:rsidRPr="001B0535">
        <w:rPr>
          <w:i/>
          <w:iCs/>
          <w:szCs w:val="22"/>
        </w:rPr>
        <w:t>The date the way was called into question</w:t>
      </w:r>
    </w:p>
    <w:p w14:paraId="2D8A4021" w14:textId="77777777" w:rsidR="001B0535" w:rsidRPr="00343A78" w:rsidRDefault="0079186D" w:rsidP="00343A78">
      <w:pPr>
        <w:pStyle w:val="Style1"/>
      </w:pPr>
      <w:r>
        <w:t>I</w:t>
      </w:r>
      <w:r w:rsidRPr="000D5F7D">
        <w:t>t was held in</w:t>
      </w:r>
      <w:r w:rsidRPr="284A024A">
        <w:t xml:space="preserve"> </w:t>
      </w:r>
      <w:r w:rsidR="00343A78" w:rsidRPr="00343A78">
        <w:rPr>
          <w:i/>
          <w:iCs/>
        </w:rPr>
        <w:t>Godmanchester</w:t>
      </w:r>
      <w:r w:rsidR="00343A78">
        <w:rPr>
          <w:rStyle w:val="FootnoteReference"/>
        </w:rPr>
        <w:footnoteReference w:id="3"/>
      </w:r>
      <w:r w:rsidR="00343A78">
        <w:rPr>
          <w:i/>
          <w:iCs/>
        </w:rPr>
        <w:t xml:space="preserve"> </w:t>
      </w:r>
      <w:r>
        <w:t xml:space="preserve">that </w:t>
      </w:r>
      <w:r w:rsidRPr="00FF5D06">
        <w:t>“</w:t>
      </w:r>
      <w:r w:rsidRPr="00AC3330">
        <w:rPr>
          <w:i/>
          <w:iCs/>
        </w:rPr>
        <w:t>Whatever means are employed to bring a claimed right into question they must be sufficient at least to make it likely that some of the users are made aware that the owner has challenged their right to use the way as a highway</w:t>
      </w:r>
      <w:r w:rsidRPr="00FF5D06">
        <w:t>”</w:t>
      </w:r>
      <w:r w:rsidR="00AC3330">
        <w:t xml:space="preserve">. </w:t>
      </w:r>
      <w:r>
        <w:t xml:space="preserve"> </w:t>
      </w:r>
      <w:r w:rsidR="001B0535" w:rsidRPr="00343A78">
        <w:rPr>
          <w:szCs w:val="22"/>
        </w:rPr>
        <w:t xml:space="preserve">Any party may call use into question only a landowner can demonstrate a lack of intention to dedicate a public right of way.  To that extent the ownership of the land crossed by the claimed route is a relevant factor.   </w:t>
      </w:r>
    </w:p>
    <w:p w14:paraId="2BCAFFFD" w14:textId="77777777" w:rsidR="006E64CC" w:rsidRPr="00343A78" w:rsidRDefault="001B0535" w:rsidP="00343A78">
      <w:pPr>
        <w:pStyle w:val="Style1"/>
        <w:tabs>
          <w:tab w:val="num" w:pos="1146"/>
        </w:tabs>
        <w:rPr>
          <w:color w:val="auto"/>
          <w:szCs w:val="22"/>
        </w:rPr>
      </w:pPr>
      <w:r w:rsidRPr="001B0535">
        <w:rPr>
          <w:szCs w:val="22"/>
        </w:rPr>
        <w:t xml:space="preserve">The </w:t>
      </w:r>
      <w:r w:rsidR="00343A78">
        <w:rPr>
          <w:szCs w:val="22"/>
        </w:rPr>
        <w:t xml:space="preserve">Mr and Mrs Jagger </w:t>
      </w:r>
      <w:r w:rsidRPr="001B0535">
        <w:rPr>
          <w:szCs w:val="22"/>
        </w:rPr>
        <w:t>bought the land affected by the Order in 2010.  There was evidence in User Evidence Forms (</w:t>
      </w:r>
      <w:r w:rsidR="007F623A">
        <w:rPr>
          <w:szCs w:val="22"/>
        </w:rPr>
        <w:t>UEFs</w:t>
      </w:r>
      <w:r w:rsidRPr="001B0535">
        <w:rPr>
          <w:szCs w:val="22"/>
        </w:rPr>
        <w:t xml:space="preserve">) submitted with the original application that the landowner may have occasionally challenged people thereafter. </w:t>
      </w:r>
      <w:r w:rsidR="00343A78">
        <w:rPr>
          <w:szCs w:val="22"/>
        </w:rPr>
        <w:t xml:space="preserve"> S</w:t>
      </w:r>
      <w:r w:rsidRPr="001B0535">
        <w:rPr>
          <w:szCs w:val="22"/>
        </w:rPr>
        <w:t xml:space="preserve">ome </w:t>
      </w:r>
      <w:r w:rsidR="007F623A">
        <w:rPr>
          <w:szCs w:val="22"/>
        </w:rPr>
        <w:t>UEFs</w:t>
      </w:r>
      <w:r w:rsidR="00EC5061" w:rsidRPr="001B0535">
        <w:rPr>
          <w:szCs w:val="22"/>
        </w:rPr>
        <w:t xml:space="preserve"> </w:t>
      </w:r>
      <w:r w:rsidRPr="001B0535">
        <w:rPr>
          <w:szCs w:val="22"/>
        </w:rPr>
        <w:t xml:space="preserve">describe a specific event </w:t>
      </w:r>
      <w:r w:rsidR="00EC5061" w:rsidRPr="001B0535">
        <w:rPr>
          <w:szCs w:val="22"/>
        </w:rPr>
        <w:t>at or around the 19 November 2011 when a fence was erected to block the route.</w:t>
      </w:r>
      <w:r w:rsidR="00AC3330">
        <w:rPr>
          <w:szCs w:val="22"/>
        </w:rPr>
        <w:t xml:space="preserve">  </w:t>
      </w:r>
      <w:r w:rsidRPr="001B0535">
        <w:rPr>
          <w:szCs w:val="22"/>
        </w:rPr>
        <w:t xml:space="preserve">The main parties agree that </w:t>
      </w:r>
      <w:r w:rsidR="00EC5061" w:rsidRPr="001B0535">
        <w:rPr>
          <w:szCs w:val="22"/>
        </w:rPr>
        <w:t>th</w:t>
      </w:r>
      <w:r w:rsidRPr="001B0535">
        <w:rPr>
          <w:szCs w:val="22"/>
        </w:rPr>
        <w:t xml:space="preserve">e </w:t>
      </w:r>
      <w:r w:rsidR="000C14D4">
        <w:rPr>
          <w:szCs w:val="22"/>
        </w:rPr>
        <w:t>path</w:t>
      </w:r>
      <w:r w:rsidRPr="001B0535">
        <w:rPr>
          <w:szCs w:val="22"/>
        </w:rPr>
        <w:t xml:space="preserve"> was called into question at this time, not before, giving a </w:t>
      </w:r>
      <w:r w:rsidR="00EC5061" w:rsidRPr="001B0535">
        <w:rPr>
          <w:szCs w:val="22"/>
        </w:rPr>
        <w:t>twenty</w:t>
      </w:r>
      <w:r w:rsidR="00111379">
        <w:rPr>
          <w:szCs w:val="22"/>
        </w:rPr>
        <w:t>-</w:t>
      </w:r>
      <w:r w:rsidR="00EC5061" w:rsidRPr="001B0535">
        <w:rPr>
          <w:szCs w:val="22"/>
        </w:rPr>
        <w:t>year period 1991-2011</w:t>
      </w:r>
      <w:r w:rsidRPr="001B0535">
        <w:rPr>
          <w:szCs w:val="22"/>
        </w:rPr>
        <w:t xml:space="preserve">. </w:t>
      </w:r>
    </w:p>
    <w:bookmarkEnd w:id="7"/>
    <w:p w14:paraId="25CB6A1F" w14:textId="77777777" w:rsidR="006A6EA1" w:rsidRPr="00A7106F" w:rsidRDefault="00F33699" w:rsidP="00A7106F">
      <w:pPr>
        <w:pStyle w:val="Style1"/>
        <w:rPr>
          <w:szCs w:val="22"/>
        </w:rPr>
      </w:pPr>
      <w:r>
        <w:t xml:space="preserve">There were 19 initial </w:t>
      </w:r>
      <w:r w:rsidR="007F623A">
        <w:t>UEFs</w:t>
      </w:r>
      <w:r>
        <w:t xml:space="preserve"> and five additional forms submitted later</w:t>
      </w:r>
      <w:r w:rsidR="006B7454">
        <w:t xml:space="preserve">.  </w:t>
      </w:r>
      <w:r w:rsidR="00A7106F">
        <w:t xml:space="preserve">At the </w:t>
      </w:r>
      <w:r w:rsidR="005876E4">
        <w:t>Inquiry</w:t>
      </w:r>
      <w:r w:rsidR="00A7106F">
        <w:t xml:space="preserve"> there was some concern about the withdrawal of evidence by </w:t>
      </w:r>
      <w:r w:rsidR="00AC76EF">
        <w:t xml:space="preserve">one User but </w:t>
      </w:r>
      <w:r w:rsidR="00A7106F">
        <w:t>there was no evidence from</w:t>
      </w:r>
      <w:r w:rsidR="00AC76EF">
        <w:t xml:space="preserve"> that </w:t>
      </w:r>
      <w:r w:rsidR="007F623A">
        <w:t>person,</w:t>
      </w:r>
      <w:r w:rsidR="00AC76EF">
        <w:t xml:space="preserve"> </w:t>
      </w:r>
      <w:r w:rsidR="00326275">
        <w:t xml:space="preserve">and I have discounted </w:t>
      </w:r>
      <w:r w:rsidR="00AC3330">
        <w:t>t</w:t>
      </w:r>
      <w:r w:rsidR="00326275">
        <w:t>his UEF</w:t>
      </w:r>
      <w:r w:rsidR="00A7106F">
        <w:t xml:space="preserve">.  </w:t>
      </w:r>
    </w:p>
    <w:p w14:paraId="07B2FF9B" w14:textId="77777777" w:rsidR="00A7106F" w:rsidRPr="00A7106F" w:rsidRDefault="00A7106F" w:rsidP="00A7106F">
      <w:pPr>
        <w:pStyle w:val="Style1"/>
        <w:numPr>
          <w:ilvl w:val="0"/>
          <w:numId w:val="0"/>
        </w:numPr>
        <w:rPr>
          <w:i/>
          <w:iCs/>
          <w:szCs w:val="22"/>
        </w:rPr>
      </w:pPr>
      <w:r w:rsidRPr="00A7106F">
        <w:rPr>
          <w:i/>
          <w:iCs/>
          <w:szCs w:val="22"/>
        </w:rPr>
        <w:lastRenderedPageBreak/>
        <w:t xml:space="preserve">Use </w:t>
      </w:r>
      <w:r w:rsidR="00B274D5">
        <w:rPr>
          <w:i/>
          <w:iCs/>
          <w:szCs w:val="22"/>
        </w:rPr>
        <w:t>‘</w:t>
      </w:r>
      <w:r w:rsidRPr="00A7106F">
        <w:rPr>
          <w:i/>
          <w:iCs/>
          <w:szCs w:val="22"/>
        </w:rPr>
        <w:t>as of right</w:t>
      </w:r>
      <w:r w:rsidR="00B274D5">
        <w:rPr>
          <w:i/>
          <w:iCs/>
          <w:szCs w:val="22"/>
        </w:rPr>
        <w:t>’</w:t>
      </w:r>
      <w:r>
        <w:rPr>
          <w:i/>
          <w:iCs/>
          <w:szCs w:val="22"/>
        </w:rPr>
        <w:t xml:space="preserve"> or </w:t>
      </w:r>
      <w:r w:rsidR="00B274D5">
        <w:rPr>
          <w:i/>
          <w:iCs/>
          <w:szCs w:val="22"/>
        </w:rPr>
        <w:t>‘</w:t>
      </w:r>
      <w:r>
        <w:rPr>
          <w:i/>
          <w:iCs/>
          <w:szCs w:val="22"/>
        </w:rPr>
        <w:t>by right</w:t>
      </w:r>
      <w:r w:rsidR="00B274D5">
        <w:rPr>
          <w:i/>
          <w:iCs/>
          <w:szCs w:val="22"/>
        </w:rPr>
        <w:t>’</w:t>
      </w:r>
    </w:p>
    <w:p w14:paraId="790496B3" w14:textId="77777777" w:rsidR="002351BE" w:rsidRPr="002351BE" w:rsidRDefault="00AC76EF" w:rsidP="009C1DE2">
      <w:pPr>
        <w:pStyle w:val="Style1"/>
        <w:rPr>
          <w:szCs w:val="22"/>
        </w:rPr>
      </w:pPr>
      <w:r>
        <w:t xml:space="preserve">Evidence indicated two users were distant relatives of a </w:t>
      </w:r>
      <w:r w:rsidR="006A6EA1">
        <w:t xml:space="preserve">tenant </w:t>
      </w:r>
      <w:r w:rsidR="0006402D">
        <w:t>farmer</w:t>
      </w:r>
      <w:r>
        <w:t xml:space="preserve"> whose </w:t>
      </w:r>
      <w:r w:rsidR="006A6EA1">
        <w:t>use of the route w</w:t>
      </w:r>
      <w:r w:rsidR="00326275">
        <w:t>ould have been</w:t>
      </w:r>
      <w:r w:rsidR="006A6EA1">
        <w:t xml:space="preserve"> by right.  </w:t>
      </w:r>
      <w:r w:rsidR="002351BE">
        <w:t xml:space="preserve">I do not know how </w:t>
      </w:r>
      <w:r w:rsidR="00E20542">
        <w:t xml:space="preserve">well </w:t>
      </w:r>
      <w:r w:rsidR="002351BE">
        <w:t xml:space="preserve">known to each other they were.  Adopting a precautionary </w:t>
      </w:r>
      <w:r>
        <w:t xml:space="preserve">approach </w:t>
      </w:r>
      <w:r w:rsidR="002351BE">
        <w:t>I have discounted the evidence</w:t>
      </w:r>
      <w:r w:rsidR="00E20542">
        <w:t xml:space="preserve"> of </w:t>
      </w:r>
      <w:r w:rsidR="00326275">
        <w:t xml:space="preserve">the tenant farmer and two </w:t>
      </w:r>
      <w:r w:rsidR="00E20542">
        <w:t>relatives</w:t>
      </w:r>
      <w:r w:rsidR="002351BE">
        <w:t>.</w:t>
      </w:r>
    </w:p>
    <w:p w14:paraId="4016567A" w14:textId="77777777" w:rsidR="003C7568" w:rsidRDefault="00326275" w:rsidP="00044882">
      <w:pPr>
        <w:pStyle w:val="Style1"/>
      </w:pPr>
      <w:r>
        <w:t>Doreen</w:t>
      </w:r>
      <w:r w:rsidR="00AC76EF">
        <w:t xml:space="preserve"> Crawley </w:t>
      </w:r>
      <w:r w:rsidR="00656B61">
        <w:t xml:space="preserve">moved to </w:t>
      </w:r>
      <w:r w:rsidR="00AC76EF">
        <w:t xml:space="preserve">Hall Farm </w:t>
      </w:r>
      <w:r w:rsidR="00656B61">
        <w:t>close to the claimed route in 1970.  She kept large dogs.  To reach the riverside she would walk the claimed route which for many years was part of an unfenced field</w:t>
      </w:r>
      <w:r w:rsidR="00FF2CCD">
        <w:t>, known as Hoisty Field</w:t>
      </w:r>
      <w:r w:rsidR="00656B61">
        <w:t xml:space="preserve">. Denise </w:t>
      </w:r>
      <w:r w:rsidR="005876E4">
        <w:t>Jagger</w:t>
      </w:r>
      <w:r w:rsidR="00656B61">
        <w:t xml:space="preserve"> moved to the adjacent </w:t>
      </w:r>
      <w:r w:rsidR="003C7568">
        <w:t xml:space="preserve">Water </w:t>
      </w:r>
      <w:r w:rsidR="00656B61">
        <w:t>Fulford Hall in 1997 and then</w:t>
      </w:r>
      <w:r w:rsidR="00AC76EF">
        <w:t>,</w:t>
      </w:r>
      <w:r w:rsidR="00656B61">
        <w:t xml:space="preserve"> or sometime soon afterwards, </w:t>
      </w:r>
      <w:r w:rsidR="00FF2CCD">
        <w:t xml:space="preserve">she </w:t>
      </w:r>
      <w:r w:rsidR="00656B61">
        <w:t xml:space="preserve">gave verbal </w:t>
      </w:r>
      <w:r w:rsidR="00656B61" w:rsidRPr="00044882">
        <w:rPr>
          <w:color w:val="auto"/>
          <w:szCs w:val="22"/>
        </w:rPr>
        <w:t xml:space="preserve">permission </w:t>
      </w:r>
      <w:r w:rsidR="00106155" w:rsidRPr="00044882">
        <w:rPr>
          <w:color w:val="auto"/>
          <w:szCs w:val="22"/>
        </w:rPr>
        <w:t xml:space="preserve">to </w:t>
      </w:r>
      <w:r w:rsidR="003C7568">
        <w:t xml:space="preserve">Doreen Crawley and Graham Cheyne to </w:t>
      </w:r>
      <w:r w:rsidR="003C7568" w:rsidRPr="00044882">
        <w:rPr>
          <w:color w:val="auto"/>
          <w:szCs w:val="22"/>
        </w:rPr>
        <w:t xml:space="preserve">walk on the back drive as a </w:t>
      </w:r>
      <w:r w:rsidR="003C7568">
        <w:t xml:space="preserve">route to the river and for the purpose of walking Doreen Crawley’s dog.  </w:t>
      </w:r>
      <w:r w:rsidR="00AC3330">
        <w:t>A</w:t>
      </w:r>
      <w:r w:rsidR="003C7568">
        <w:t xml:space="preserve">s </w:t>
      </w:r>
      <w:r w:rsidR="00AC76EF">
        <w:t xml:space="preserve">Doreen </w:t>
      </w:r>
      <w:r w:rsidR="003C7568">
        <w:t xml:space="preserve">Crawley became older her friends and family used the </w:t>
      </w:r>
      <w:r w:rsidR="000C14D4">
        <w:t xml:space="preserve">path </w:t>
      </w:r>
      <w:r w:rsidR="003C7568">
        <w:t xml:space="preserve">to walk </w:t>
      </w:r>
      <w:r w:rsidR="00AC3330">
        <w:t xml:space="preserve">her </w:t>
      </w:r>
      <w:r w:rsidR="003C7568">
        <w:t>dog</w:t>
      </w:r>
      <w:r w:rsidR="00AC76EF">
        <w:t>s</w:t>
      </w:r>
      <w:r w:rsidR="003C7568">
        <w:t xml:space="preserve">.  </w:t>
      </w:r>
    </w:p>
    <w:p w14:paraId="34004D21" w14:textId="77777777" w:rsidR="00FF2CCD" w:rsidRPr="00CD530B" w:rsidRDefault="00656B61" w:rsidP="00CD530B">
      <w:pPr>
        <w:pStyle w:val="Style1"/>
        <w:rPr>
          <w:color w:val="auto"/>
          <w:szCs w:val="22"/>
        </w:rPr>
      </w:pPr>
      <w:r w:rsidRPr="00106155">
        <w:rPr>
          <w:color w:val="auto"/>
          <w:szCs w:val="22"/>
        </w:rPr>
        <w:t xml:space="preserve">Denise </w:t>
      </w:r>
      <w:r w:rsidR="005876E4">
        <w:rPr>
          <w:color w:val="auto"/>
          <w:szCs w:val="22"/>
        </w:rPr>
        <w:t>Jagger</w:t>
      </w:r>
      <w:r w:rsidRPr="00106155">
        <w:rPr>
          <w:color w:val="auto"/>
          <w:szCs w:val="22"/>
        </w:rPr>
        <w:t xml:space="preserve">’s </w:t>
      </w:r>
      <w:r w:rsidR="00326275" w:rsidRPr="00106155">
        <w:rPr>
          <w:color w:val="auto"/>
          <w:szCs w:val="22"/>
        </w:rPr>
        <w:t xml:space="preserve">oral </w:t>
      </w:r>
      <w:r w:rsidRPr="00106155">
        <w:rPr>
          <w:color w:val="auto"/>
          <w:szCs w:val="22"/>
        </w:rPr>
        <w:t>eviden</w:t>
      </w:r>
      <w:r>
        <w:t xml:space="preserve">ce </w:t>
      </w:r>
      <w:r w:rsidR="00B21F20">
        <w:t xml:space="preserve">painted a credible and persuasive picture of her general knowledge of Doreen </w:t>
      </w:r>
      <w:r w:rsidR="003C7568">
        <w:t>Crawley</w:t>
      </w:r>
      <w:r w:rsidR="00B21F20">
        <w:t xml:space="preserve">’s friends and </w:t>
      </w:r>
      <w:r w:rsidR="000C14D4">
        <w:t>family,</w:t>
      </w:r>
      <w:r w:rsidR="00106155" w:rsidRPr="00D87DB0">
        <w:rPr>
          <w:rFonts w:eastAsia="Calibri"/>
          <w:color w:val="FF0000"/>
          <w:sz w:val="28"/>
          <w:szCs w:val="28"/>
          <w:lang w:eastAsia="en-US"/>
        </w:rPr>
        <w:t xml:space="preserve"> </w:t>
      </w:r>
      <w:r w:rsidR="00106155" w:rsidRPr="00D87DB0">
        <w:rPr>
          <w:rFonts w:eastAsia="Calibri"/>
          <w:color w:val="auto"/>
          <w:szCs w:val="22"/>
          <w:lang w:eastAsia="en-US"/>
        </w:rPr>
        <w:t xml:space="preserve">and she told the </w:t>
      </w:r>
      <w:r w:rsidR="005876E4">
        <w:rPr>
          <w:rFonts w:eastAsia="Calibri"/>
          <w:color w:val="auto"/>
          <w:szCs w:val="22"/>
          <w:lang w:eastAsia="en-US"/>
        </w:rPr>
        <w:t>Inquiry</w:t>
      </w:r>
      <w:r w:rsidR="00106155" w:rsidRPr="00D87DB0">
        <w:rPr>
          <w:rFonts w:eastAsia="Calibri"/>
          <w:color w:val="auto"/>
          <w:szCs w:val="22"/>
          <w:lang w:eastAsia="en-US"/>
        </w:rPr>
        <w:t xml:space="preserve"> she had been ‘</w:t>
      </w:r>
      <w:r w:rsidR="00106155" w:rsidRPr="00EB1BF6">
        <w:rPr>
          <w:rFonts w:eastAsia="Calibri"/>
          <w:i/>
          <w:iCs/>
          <w:color w:val="auto"/>
          <w:szCs w:val="22"/>
          <w:lang w:eastAsia="en-US"/>
        </w:rPr>
        <w:t xml:space="preserve">happy for them all to walk their dogs on her land down to the river which was not Hoisty field but by the </w:t>
      </w:r>
      <w:r w:rsidR="00EB1BF6" w:rsidRPr="00EB1BF6">
        <w:rPr>
          <w:rFonts w:eastAsia="Calibri"/>
          <w:i/>
          <w:iCs/>
          <w:color w:val="auto"/>
          <w:szCs w:val="22"/>
          <w:lang w:eastAsia="en-US"/>
        </w:rPr>
        <w:t xml:space="preserve">old </w:t>
      </w:r>
      <w:r w:rsidR="00106155" w:rsidRPr="00EB1BF6">
        <w:rPr>
          <w:rFonts w:eastAsia="Calibri"/>
          <w:i/>
          <w:iCs/>
          <w:color w:val="auto"/>
          <w:szCs w:val="22"/>
          <w:lang w:eastAsia="en-US"/>
        </w:rPr>
        <w:t>orchard onto the back drive and down to the big gate and kissing gate</w:t>
      </w:r>
      <w:r w:rsidR="00106155" w:rsidRPr="00106155">
        <w:rPr>
          <w:rFonts w:eastAsia="Calibri"/>
          <w:color w:val="auto"/>
          <w:szCs w:val="22"/>
          <w:lang w:eastAsia="en-US"/>
        </w:rPr>
        <w:t xml:space="preserve">’. </w:t>
      </w:r>
    </w:p>
    <w:p w14:paraId="0A9BB76B" w14:textId="77777777" w:rsidR="00F102F0" w:rsidRDefault="00B21F20" w:rsidP="00F102F0">
      <w:pPr>
        <w:pStyle w:val="Style1"/>
      </w:pPr>
      <w:r>
        <w:t xml:space="preserve">Shaun </w:t>
      </w:r>
      <w:r w:rsidR="003C7568">
        <w:t>Crawley</w:t>
      </w:r>
      <w:r>
        <w:t xml:space="preserve"> did not dispute that Doreen had been </w:t>
      </w:r>
      <w:r w:rsidR="00FF2CCD">
        <w:t>given</w:t>
      </w:r>
      <w:r>
        <w:t xml:space="preserve"> this permission and </w:t>
      </w:r>
      <w:r w:rsidR="00683171">
        <w:t xml:space="preserve">accepted that it extended to people who walked her dogs.  </w:t>
      </w:r>
      <w:r>
        <w:t xml:space="preserve">I find it highly plausible that this group of people would have been aware that when they were walking on Denise </w:t>
      </w:r>
      <w:r w:rsidR="005876E4">
        <w:t>Jagger</w:t>
      </w:r>
      <w:r>
        <w:t xml:space="preserve">’s land </w:t>
      </w:r>
      <w:r w:rsidR="00CD530B">
        <w:t xml:space="preserve">that </w:t>
      </w:r>
      <w:r>
        <w:t xml:space="preserve">it was with </w:t>
      </w:r>
      <w:r w:rsidR="00CD530B">
        <w:t>her</w:t>
      </w:r>
      <w:r>
        <w:t xml:space="preserve"> </w:t>
      </w:r>
      <w:r w:rsidR="00CD530B">
        <w:t xml:space="preserve">tacit </w:t>
      </w:r>
      <w:r>
        <w:t xml:space="preserve">agreement.  </w:t>
      </w:r>
    </w:p>
    <w:p w14:paraId="12D841D7" w14:textId="77777777" w:rsidR="00F102F0" w:rsidRPr="00F102F0" w:rsidRDefault="00B21F20" w:rsidP="00F102F0">
      <w:pPr>
        <w:pStyle w:val="Style1"/>
        <w:rPr>
          <w:color w:val="auto"/>
          <w:szCs w:val="22"/>
        </w:rPr>
      </w:pPr>
      <w:r>
        <w:t xml:space="preserve">However, </w:t>
      </w:r>
      <w:r w:rsidR="00683171">
        <w:t xml:space="preserve">at the time that </w:t>
      </w:r>
      <w:r w:rsidR="00CD530B">
        <w:t xml:space="preserve">Denise </w:t>
      </w:r>
      <w:r w:rsidR="005876E4">
        <w:t>Jagger</w:t>
      </w:r>
      <w:r w:rsidR="00CD530B">
        <w:t xml:space="preserve"> </w:t>
      </w:r>
      <w:r w:rsidR="00683171">
        <w:t xml:space="preserve">gave this verbal permission </w:t>
      </w:r>
      <w:r w:rsidR="00CD530B">
        <w:t>she</w:t>
      </w:r>
      <w:r w:rsidR="00656B61">
        <w:t xml:space="preserve"> did not own </w:t>
      </w:r>
      <w:r w:rsidR="00B274D5">
        <w:t xml:space="preserve">Hoisty Field, </w:t>
      </w:r>
      <w:r w:rsidR="00656B61">
        <w:t xml:space="preserve">the land which the </w:t>
      </w:r>
      <w:r w:rsidR="005876E4">
        <w:t>Order Route</w:t>
      </w:r>
      <w:r w:rsidR="00656B61">
        <w:t xml:space="preserve"> crosses</w:t>
      </w:r>
      <w:r>
        <w:t xml:space="preserve">.  </w:t>
      </w:r>
      <w:r w:rsidR="00B274D5">
        <w:t xml:space="preserve">She </w:t>
      </w:r>
      <w:r w:rsidR="003C7568">
        <w:t xml:space="preserve">purchased Hoisty Field together with adjoining land that had been part of Lodge Farm in 2010.  </w:t>
      </w:r>
      <w:r w:rsidR="00656B61">
        <w:t xml:space="preserve">The verbal permission </w:t>
      </w:r>
      <w:r>
        <w:t xml:space="preserve">that </w:t>
      </w:r>
      <w:r w:rsidR="003C7568">
        <w:t xml:space="preserve">was given to </w:t>
      </w:r>
      <w:r w:rsidR="00656B61">
        <w:t xml:space="preserve">Doreen </w:t>
      </w:r>
      <w:r w:rsidR="003C7568">
        <w:t>Crawley</w:t>
      </w:r>
      <w:r w:rsidR="00326275">
        <w:t>,</w:t>
      </w:r>
      <w:r w:rsidR="00FF2CCD">
        <w:t xml:space="preserve"> </w:t>
      </w:r>
      <w:r w:rsidR="00326275">
        <w:t>and implicitly to her friends and family</w:t>
      </w:r>
      <w:r w:rsidR="003C7568">
        <w:t>, around 2007,</w:t>
      </w:r>
      <w:r w:rsidR="00326275">
        <w:t xml:space="preserve"> </w:t>
      </w:r>
      <w:r w:rsidR="00656B61">
        <w:t>was, and could, only be in relation to her property</w:t>
      </w:r>
      <w:r w:rsidR="00B274D5">
        <w:t xml:space="preserve"> at that time</w:t>
      </w:r>
      <w:r w:rsidR="00326275">
        <w:t>.</w:t>
      </w:r>
      <w:r w:rsidR="00CD530B">
        <w:t xml:space="preserve">  </w:t>
      </w:r>
    </w:p>
    <w:p w14:paraId="0D6290E7" w14:textId="77777777" w:rsidR="00326275" w:rsidRPr="00F102F0" w:rsidRDefault="00B274D5" w:rsidP="00F102F0">
      <w:pPr>
        <w:pStyle w:val="Style1"/>
        <w:rPr>
          <w:color w:val="auto"/>
          <w:szCs w:val="22"/>
        </w:rPr>
      </w:pPr>
      <w:r>
        <w:t xml:space="preserve">There was no evidence that Denise </w:t>
      </w:r>
      <w:r w:rsidR="005876E4">
        <w:t>Jagger</w:t>
      </w:r>
      <w:r>
        <w:t xml:space="preserve"> </w:t>
      </w:r>
      <w:r w:rsidR="00326275">
        <w:t xml:space="preserve">gave </w:t>
      </w:r>
      <w:r>
        <w:t xml:space="preserve">permission to Doreen </w:t>
      </w:r>
      <w:r w:rsidR="003C7568">
        <w:t>Crawley</w:t>
      </w:r>
      <w:r>
        <w:t xml:space="preserve"> or anyone else to walk on Hoisty Field after she purchased it</w:t>
      </w:r>
      <w:r w:rsidR="00683171">
        <w:t xml:space="preserve"> in 2010</w:t>
      </w:r>
      <w:r>
        <w:t xml:space="preserve">.  </w:t>
      </w:r>
      <w:r w:rsidR="00F102F0">
        <w:t xml:space="preserve">At the </w:t>
      </w:r>
      <w:r w:rsidR="005876E4">
        <w:t>Inquiry</w:t>
      </w:r>
      <w:r w:rsidR="00F102F0">
        <w:t xml:space="preserve"> Denise </w:t>
      </w:r>
      <w:r w:rsidR="005876E4">
        <w:t>Jagger</w:t>
      </w:r>
      <w:r w:rsidR="00F102F0">
        <w:t xml:space="preserve"> </w:t>
      </w:r>
      <w:r w:rsidR="008E59EA">
        <w:t xml:space="preserve">confirmed that </w:t>
      </w:r>
      <w:r w:rsidR="00F102F0">
        <w:rPr>
          <w:rFonts w:eastAsia="Calibri"/>
          <w:color w:val="auto"/>
          <w:szCs w:val="22"/>
          <w:lang w:eastAsia="en-US"/>
        </w:rPr>
        <w:t>she</w:t>
      </w:r>
      <w:r w:rsidR="00F102F0" w:rsidRPr="00F102F0">
        <w:rPr>
          <w:rFonts w:eastAsia="Calibri"/>
          <w:color w:val="auto"/>
          <w:szCs w:val="22"/>
          <w:lang w:eastAsia="en-US"/>
        </w:rPr>
        <w:t xml:space="preserve"> never said to Doreen </w:t>
      </w:r>
      <w:r w:rsidR="008E59EA">
        <w:rPr>
          <w:rFonts w:eastAsia="Calibri"/>
          <w:color w:val="auto"/>
          <w:szCs w:val="22"/>
          <w:lang w:eastAsia="en-US"/>
        </w:rPr>
        <w:t xml:space="preserve">Crawley </w:t>
      </w:r>
      <w:r w:rsidR="00F102F0" w:rsidRPr="00F102F0">
        <w:rPr>
          <w:rFonts w:eastAsia="Calibri"/>
          <w:color w:val="auto"/>
          <w:szCs w:val="22"/>
          <w:lang w:eastAsia="en-US"/>
        </w:rPr>
        <w:t xml:space="preserve">or anyone else </w:t>
      </w:r>
      <w:r w:rsidR="00F102F0">
        <w:rPr>
          <w:rFonts w:eastAsia="Calibri"/>
          <w:color w:val="auto"/>
          <w:szCs w:val="22"/>
          <w:lang w:eastAsia="en-US"/>
        </w:rPr>
        <w:t>“</w:t>
      </w:r>
      <w:r w:rsidR="00F102F0" w:rsidRPr="00F102F0">
        <w:rPr>
          <w:rFonts w:eastAsia="Calibri"/>
          <w:i/>
          <w:iCs/>
          <w:color w:val="auto"/>
          <w:szCs w:val="22"/>
          <w:lang w:eastAsia="en-US"/>
        </w:rPr>
        <w:t>now we have bought this field you can walk on here</w:t>
      </w:r>
      <w:r w:rsidR="008E59EA">
        <w:rPr>
          <w:rFonts w:eastAsia="Calibri"/>
          <w:i/>
          <w:iCs/>
          <w:color w:val="auto"/>
          <w:szCs w:val="22"/>
          <w:lang w:eastAsia="en-US"/>
        </w:rPr>
        <w:t xml:space="preserve">”. </w:t>
      </w:r>
      <w:r w:rsidR="00AC3330">
        <w:rPr>
          <w:rFonts w:eastAsia="Calibri"/>
          <w:i/>
          <w:iCs/>
          <w:color w:val="auto"/>
          <w:szCs w:val="22"/>
          <w:lang w:eastAsia="en-US"/>
        </w:rPr>
        <w:t xml:space="preserve"> </w:t>
      </w:r>
      <w:r w:rsidR="008E59EA" w:rsidRPr="008E59EA">
        <w:rPr>
          <w:rFonts w:eastAsia="Calibri"/>
          <w:color w:val="auto"/>
          <w:szCs w:val="22"/>
          <w:lang w:eastAsia="en-US"/>
        </w:rPr>
        <w:t>She added</w:t>
      </w:r>
      <w:r w:rsidR="00F102F0" w:rsidRPr="008E59EA">
        <w:rPr>
          <w:rFonts w:eastAsia="Calibri"/>
          <w:color w:val="auto"/>
          <w:szCs w:val="22"/>
          <w:lang w:eastAsia="en-US"/>
        </w:rPr>
        <w:t xml:space="preserve"> it was full of thistles</w:t>
      </w:r>
      <w:r w:rsidR="00AC3330">
        <w:rPr>
          <w:rFonts w:eastAsia="Calibri"/>
          <w:color w:val="auto"/>
          <w:szCs w:val="22"/>
          <w:lang w:eastAsia="en-US"/>
        </w:rPr>
        <w:t>, they</w:t>
      </w:r>
      <w:r w:rsidR="00F102F0" w:rsidRPr="008E59EA">
        <w:rPr>
          <w:rFonts w:eastAsia="Calibri"/>
          <w:color w:val="auto"/>
          <w:szCs w:val="22"/>
          <w:lang w:eastAsia="en-US"/>
        </w:rPr>
        <w:t xml:space="preserve"> did not have a clue about the path</w:t>
      </w:r>
      <w:r w:rsidR="00AC3330">
        <w:rPr>
          <w:rFonts w:eastAsia="Calibri"/>
          <w:color w:val="auto"/>
          <w:szCs w:val="22"/>
          <w:lang w:eastAsia="en-US"/>
        </w:rPr>
        <w:t>,</w:t>
      </w:r>
      <w:r w:rsidR="008E59EA">
        <w:rPr>
          <w:rFonts w:eastAsia="Calibri"/>
          <w:color w:val="auto"/>
          <w:szCs w:val="22"/>
          <w:lang w:eastAsia="en-US"/>
        </w:rPr>
        <w:t xml:space="preserve"> and </w:t>
      </w:r>
      <w:r>
        <w:t xml:space="preserve">they had given </w:t>
      </w:r>
      <w:r w:rsidR="00AC3330">
        <w:t>Doreen Crawley</w:t>
      </w:r>
      <w:r w:rsidR="008E59EA">
        <w:t xml:space="preserve"> </w:t>
      </w:r>
      <w:r>
        <w:t xml:space="preserve">permission to walk on safer </w:t>
      </w:r>
      <w:r w:rsidR="00914C48">
        <w:t>‘</w:t>
      </w:r>
      <w:r>
        <w:t>tarmac</w:t>
      </w:r>
      <w:r w:rsidR="00914C48">
        <w:t>’</w:t>
      </w:r>
      <w:r w:rsidR="00683171">
        <w:t xml:space="preserve"> </w:t>
      </w:r>
      <w:r w:rsidR="000C14D4">
        <w:t xml:space="preserve">paths </w:t>
      </w:r>
      <w:r>
        <w:t xml:space="preserve">elsewhere.  </w:t>
      </w:r>
    </w:p>
    <w:p w14:paraId="195D9F73" w14:textId="77777777" w:rsidR="00683171" w:rsidRPr="00F102F0" w:rsidRDefault="00326275" w:rsidP="001A1D9D">
      <w:pPr>
        <w:pStyle w:val="Style1"/>
      </w:pPr>
      <w:r>
        <w:t xml:space="preserve">The OMA had not disputed that any use of Hoisty Field by Doreen </w:t>
      </w:r>
      <w:r w:rsidR="003C7568">
        <w:t>Crawley</w:t>
      </w:r>
      <w:r w:rsidR="008E59EA">
        <w:t>,</w:t>
      </w:r>
      <w:r>
        <w:t xml:space="preserve"> her friends and family </w:t>
      </w:r>
      <w:r w:rsidR="008E59EA">
        <w:t xml:space="preserve">and the other remaining </w:t>
      </w:r>
      <w:r w:rsidR="00AC3330">
        <w:t>u</w:t>
      </w:r>
      <w:r w:rsidR="008E59EA">
        <w:t xml:space="preserve">sers </w:t>
      </w:r>
      <w:r>
        <w:t xml:space="preserve">would have been by right. From </w:t>
      </w:r>
      <w:proofErr w:type="gramStart"/>
      <w:r>
        <w:t>all of</w:t>
      </w:r>
      <w:proofErr w:type="gramEnd"/>
      <w:r>
        <w:t xml:space="preserve"> the evidence before me, neither do I. </w:t>
      </w:r>
    </w:p>
    <w:p w14:paraId="37BAB4BA" w14:textId="77777777" w:rsidR="00111379" w:rsidRPr="00F102F0" w:rsidRDefault="00683171" w:rsidP="00683171">
      <w:pPr>
        <w:pStyle w:val="Style1"/>
        <w:numPr>
          <w:ilvl w:val="0"/>
          <w:numId w:val="0"/>
        </w:numPr>
      </w:pPr>
      <w:r w:rsidRPr="00F102F0">
        <w:rPr>
          <w:i/>
          <w:iCs/>
        </w:rPr>
        <w:t>U</w:t>
      </w:r>
      <w:r w:rsidR="00326F98" w:rsidRPr="00F102F0">
        <w:rPr>
          <w:i/>
          <w:iCs/>
        </w:rPr>
        <w:t xml:space="preserve">se by the public </w:t>
      </w:r>
    </w:p>
    <w:p w14:paraId="10B41505" w14:textId="77777777" w:rsidR="00315D76" w:rsidRPr="007E599A" w:rsidRDefault="00F330DC" w:rsidP="00044882">
      <w:pPr>
        <w:pStyle w:val="Style1"/>
      </w:pPr>
      <w:r w:rsidRPr="007E599A">
        <w:t xml:space="preserve">Denise </w:t>
      </w:r>
      <w:r>
        <w:t>Jagger</w:t>
      </w:r>
      <w:r w:rsidRPr="007E599A">
        <w:t xml:space="preserve"> believed the</w:t>
      </w:r>
      <w:r>
        <w:t xml:space="preserve"> evidence was from</w:t>
      </w:r>
      <w:r w:rsidRPr="007E599A">
        <w:t xml:space="preserve"> a closely related group of family and friends that would have shared knowledge of the route</w:t>
      </w:r>
      <w:r>
        <w:t xml:space="preserve"> and </w:t>
      </w:r>
      <w:r w:rsidRPr="007E599A">
        <w:t xml:space="preserve">that </w:t>
      </w:r>
      <w:r>
        <w:t xml:space="preserve">had been </w:t>
      </w:r>
      <w:r w:rsidRPr="007E599A">
        <w:t xml:space="preserve">brought together by the </w:t>
      </w:r>
      <w:r w:rsidR="00AC3330">
        <w:t>a</w:t>
      </w:r>
      <w:r w:rsidRPr="007E599A">
        <w:t xml:space="preserve">pplicant. </w:t>
      </w:r>
      <w:r w:rsidR="008E59EA">
        <w:t>T</w:t>
      </w:r>
      <w:r w:rsidR="00315D76" w:rsidRPr="00F102F0">
        <w:t xml:space="preserve">he OMA found a common thread within </w:t>
      </w:r>
      <w:r w:rsidR="00315D76">
        <w:t xml:space="preserve">nine </w:t>
      </w:r>
      <w:r w:rsidR="00315D76" w:rsidRPr="00F102F0">
        <w:t xml:space="preserve">of the </w:t>
      </w:r>
      <w:r w:rsidR="007F623A">
        <w:t>UEFs</w:t>
      </w:r>
      <w:r w:rsidR="00315D76" w:rsidRPr="007E599A">
        <w:t xml:space="preserve"> asserting that the path had been in public use since the 1970’s.  1970 was when Doreen Crawley came to live at Hall Farm. </w:t>
      </w:r>
      <w:r w:rsidR="008E59EA">
        <w:t xml:space="preserve"> </w:t>
      </w:r>
    </w:p>
    <w:p w14:paraId="6797254C" w14:textId="77777777" w:rsidR="00AC3330" w:rsidRDefault="00315D76" w:rsidP="00AC3330">
      <w:pPr>
        <w:pStyle w:val="Style1"/>
      </w:pPr>
      <w:r w:rsidRPr="007E599A">
        <w:rPr>
          <w:color w:val="auto"/>
          <w:szCs w:val="22"/>
        </w:rPr>
        <w:t xml:space="preserve">At </w:t>
      </w:r>
      <w:r w:rsidR="005876E4">
        <w:rPr>
          <w:color w:val="auto"/>
          <w:szCs w:val="22"/>
        </w:rPr>
        <w:t>Inquiry</w:t>
      </w:r>
      <w:r w:rsidRPr="007E599A">
        <w:rPr>
          <w:color w:val="auto"/>
          <w:szCs w:val="22"/>
        </w:rPr>
        <w:t xml:space="preserve"> Russell Varley explained that </w:t>
      </w:r>
      <w:proofErr w:type="gramStart"/>
      <w:r w:rsidRPr="007E599A">
        <w:rPr>
          <w:color w:val="auto"/>
          <w:szCs w:val="22"/>
        </w:rPr>
        <w:t>a number of</w:t>
      </w:r>
      <w:proofErr w:type="gramEnd"/>
      <w:r w:rsidRPr="007E599A">
        <w:rPr>
          <w:color w:val="auto"/>
          <w:szCs w:val="22"/>
        </w:rPr>
        <w:t xml:space="preserve"> the </w:t>
      </w:r>
      <w:r w:rsidR="007F623A">
        <w:rPr>
          <w:color w:val="auto"/>
          <w:szCs w:val="22"/>
        </w:rPr>
        <w:t>UEFs</w:t>
      </w:r>
      <w:r w:rsidRPr="007E599A">
        <w:rPr>
          <w:color w:val="auto"/>
          <w:szCs w:val="22"/>
        </w:rPr>
        <w:t xml:space="preserve"> were too consistent and too similar and drew particular attention to a reference to the route terminating at a specific lamppost.  </w:t>
      </w:r>
      <w:r w:rsidRPr="007E599A">
        <w:rPr>
          <w:rFonts w:cs="Segoe UI"/>
          <w:color w:val="auto"/>
          <w:szCs w:val="22"/>
        </w:rPr>
        <w:t xml:space="preserve">He had no reason to believe that users had been told what to write or that one person had completed multiple </w:t>
      </w:r>
      <w:r w:rsidRPr="007E599A">
        <w:rPr>
          <w:rFonts w:cs="Segoe UI"/>
          <w:color w:val="auto"/>
          <w:szCs w:val="22"/>
        </w:rPr>
        <w:lastRenderedPageBreak/>
        <w:t>forms.  In his experience, he thought it more likely that it was because the forms were from one similar group with common knowledge of the way.</w:t>
      </w:r>
      <w:r w:rsidR="00AC3330">
        <w:t xml:space="preserve">  He </w:t>
      </w:r>
      <w:r w:rsidR="008E59EA" w:rsidRPr="007E599A">
        <w:t xml:space="preserve">shared with the </w:t>
      </w:r>
      <w:r w:rsidR="008E59EA">
        <w:t>Inquiry</w:t>
      </w:r>
      <w:r w:rsidR="008E59EA" w:rsidRPr="007E599A">
        <w:t xml:space="preserve"> the names of the users to whom the OMA believed this applied.  His opinion was that these users were sufficiently related that the same evidential weight could not be attached to their evidence</w:t>
      </w:r>
      <w:r w:rsidR="00F330DC">
        <w:t xml:space="preserve"> and</w:t>
      </w:r>
      <w:r w:rsidR="008E59EA">
        <w:t xml:space="preserve"> </w:t>
      </w:r>
      <w:r w:rsidR="00F330DC">
        <w:t>t</w:t>
      </w:r>
      <w:r w:rsidR="008E59EA" w:rsidRPr="007E599A">
        <w:t xml:space="preserve">he OMA </w:t>
      </w:r>
      <w:r w:rsidR="008E59EA">
        <w:t xml:space="preserve">had </w:t>
      </w:r>
      <w:r w:rsidR="008E59EA" w:rsidRPr="007E599A">
        <w:t xml:space="preserve">set aside 11 </w:t>
      </w:r>
      <w:r w:rsidR="007F623A">
        <w:t>UEFs</w:t>
      </w:r>
      <w:r w:rsidR="008E59EA" w:rsidRPr="007E599A">
        <w:t>.</w:t>
      </w:r>
      <w:r w:rsidR="008E59EA">
        <w:t xml:space="preserve">  </w:t>
      </w:r>
    </w:p>
    <w:p w14:paraId="2C7ED590" w14:textId="77777777" w:rsidR="00315D76" w:rsidRPr="007E599A" w:rsidRDefault="00315D76" w:rsidP="00AC3330">
      <w:pPr>
        <w:pStyle w:val="Style1"/>
      </w:pPr>
      <w:r w:rsidRPr="007E599A">
        <w:t xml:space="preserve">Shaun Crawley </w:t>
      </w:r>
      <w:r w:rsidR="00044882">
        <w:t xml:space="preserve">confirmed </w:t>
      </w:r>
      <w:r w:rsidRPr="007E599A">
        <w:t>that six of the users that the OMA had discounted on this basis were indeed friends, family, or relatives of Doreen Crawley and her husband</w:t>
      </w:r>
      <w:r w:rsidR="00AC3330">
        <w:t>, and t</w:t>
      </w:r>
      <w:r w:rsidRPr="007E599A">
        <w:t>he applicant</w:t>
      </w:r>
      <w:r w:rsidR="00AC3330">
        <w:t xml:space="preserve"> </w:t>
      </w:r>
      <w:r w:rsidRPr="007E599A">
        <w:t>describes the path as “</w:t>
      </w:r>
      <w:r w:rsidRPr="00AC3330">
        <w:rPr>
          <w:i/>
          <w:iCs/>
        </w:rPr>
        <w:t>Doreen’s Path</w:t>
      </w:r>
      <w:r w:rsidRPr="007E599A">
        <w:t xml:space="preserve">”.  </w:t>
      </w:r>
    </w:p>
    <w:p w14:paraId="18D3BFF2" w14:textId="77777777" w:rsidR="00AC3330" w:rsidRDefault="00315D76" w:rsidP="00044882">
      <w:pPr>
        <w:pStyle w:val="Style1"/>
      </w:pPr>
      <w:r w:rsidRPr="007E599A">
        <w:t xml:space="preserve">From what I heard and </w:t>
      </w:r>
      <w:proofErr w:type="gramStart"/>
      <w:r w:rsidRPr="007E599A">
        <w:t>all of</w:t>
      </w:r>
      <w:proofErr w:type="gramEnd"/>
      <w:r w:rsidRPr="007E599A">
        <w:t xml:space="preserve"> the evidence before me, it is apparent that a number of users did form part of one family/friendship group related to Doreen Crawley.  Shaun Crawley’s explanation of Doreen Crawl</w:t>
      </w:r>
      <w:r w:rsidR="00F330DC">
        <w:t>e</w:t>
      </w:r>
      <w:r w:rsidRPr="007E599A">
        <w:t xml:space="preserve">y keeping dogs and the relationships </w:t>
      </w:r>
      <w:r w:rsidR="00F330DC">
        <w:t>describe</w:t>
      </w:r>
      <w:r w:rsidR="00AC3330">
        <w:t>d</w:t>
      </w:r>
      <w:r w:rsidR="00F330DC">
        <w:t xml:space="preserve"> </w:t>
      </w:r>
      <w:r w:rsidR="00EB1BF6">
        <w:t xml:space="preserve">provide </w:t>
      </w:r>
      <w:r w:rsidRPr="007E599A">
        <w:t xml:space="preserve">a plausible common reason as to why they would have walked the way.  </w:t>
      </w:r>
      <w:r w:rsidR="00044882">
        <w:t xml:space="preserve"> </w:t>
      </w:r>
    </w:p>
    <w:p w14:paraId="0E775719" w14:textId="77777777" w:rsidR="00315D76" w:rsidRPr="007E599A" w:rsidRDefault="00315D76" w:rsidP="00044882">
      <w:pPr>
        <w:pStyle w:val="Style1"/>
      </w:pPr>
      <w:r w:rsidRPr="00044882">
        <w:rPr>
          <w:color w:val="auto"/>
          <w:szCs w:val="22"/>
        </w:rPr>
        <w:t>It was put to me that</w:t>
      </w:r>
      <w:r w:rsidRPr="00044882">
        <w:rPr>
          <w:color w:val="FF0000"/>
          <w:sz w:val="28"/>
          <w:szCs w:val="28"/>
        </w:rPr>
        <w:t xml:space="preserve"> </w:t>
      </w:r>
      <w:r w:rsidRPr="00044882">
        <w:rPr>
          <w:color w:val="auto"/>
          <w:szCs w:val="22"/>
        </w:rPr>
        <w:t xml:space="preserve">this small number of </w:t>
      </w:r>
      <w:r w:rsidR="00AC3330">
        <w:rPr>
          <w:color w:val="auto"/>
          <w:szCs w:val="22"/>
        </w:rPr>
        <w:t xml:space="preserve">UEFs </w:t>
      </w:r>
      <w:r w:rsidRPr="00044882">
        <w:rPr>
          <w:color w:val="auto"/>
          <w:szCs w:val="22"/>
        </w:rPr>
        <w:t xml:space="preserve">from </w:t>
      </w:r>
      <w:r w:rsidR="00044882">
        <w:rPr>
          <w:color w:val="auto"/>
          <w:szCs w:val="22"/>
        </w:rPr>
        <w:t>this</w:t>
      </w:r>
      <w:r w:rsidRPr="00044882">
        <w:rPr>
          <w:color w:val="auto"/>
          <w:szCs w:val="22"/>
        </w:rPr>
        <w:t xml:space="preserve"> family group did not amount to an impression or example of use by the public.</w:t>
      </w:r>
      <w:r w:rsidRPr="007E599A">
        <w:t xml:space="preserve"> </w:t>
      </w:r>
      <w:r w:rsidR="00F330DC">
        <w:t xml:space="preserve"> </w:t>
      </w:r>
      <w:r w:rsidRPr="007E599A">
        <w:t xml:space="preserve">I agree with the Inspector in the previous appeal that family relationships do not necessarily negate claimed use ‘as of right’.  </w:t>
      </w:r>
    </w:p>
    <w:p w14:paraId="135505B1" w14:textId="77777777" w:rsidR="00F330DC" w:rsidRDefault="00F330DC" w:rsidP="00F330DC">
      <w:pPr>
        <w:pStyle w:val="Style1"/>
      </w:pPr>
      <w:r>
        <w:t>A</w:t>
      </w:r>
      <w:r w:rsidR="00315D76" w:rsidRPr="007E599A">
        <w:t xml:space="preserve">t least another four </w:t>
      </w:r>
      <w:r w:rsidR="007F623A">
        <w:t>UEFs</w:t>
      </w:r>
      <w:r w:rsidR="00315D76" w:rsidRPr="007E599A">
        <w:t xml:space="preserve"> where there was no allegation of a family </w:t>
      </w:r>
      <w:r w:rsidRPr="007E599A">
        <w:t>relationship,</w:t>
      </w:r>
      <w:r w:rsidR="00315D76" w:rsidRPr="007E599A">
        <w:t xml:space="preserve"> </w:t>
      </w:r>
      <w:proofErr w:type="gramStart"/>
      <w:r w:rsidR="00315D76" w:rsidRPr="007E599A">
        <w:t>make reference</w:t>
      </w:r>
      <w:proofErr w:type="gramEnd"/>
      <w:r w:rsidR="00315D76" w:rsidRPr="007E599A">
        <w:t xml:space="preserve"> to “</w:t>
      </w:r>
      <w:r w:rsidR="005D0B2C" w:rsidRPr="007E599A">
        <w:t>Lamppost</w:t>
      </w:r>
      <w:r w:rsidR="00315D76" w:rsidRPr="007E599A">
        <w:t xml:space="preserve"> No 6” o</w:t>
      </w:r>
      <w:r>
        <w:t>n</w:t>
      </w:r>
      <w:r w:rsidR="00315D76" w:rsidRPr="007E599A">
        <w:t xml:space="preserve"> Nurses</w:t>
      </w:r>
      <w:r w:rsidR="000C14D4">
        <w:t>’</w:t>
      </w:r>
      <w:r w:rsidR="00315D76" w:rsidRPr="007E599A">
        <w:t xml:space="preserve"> Path.  Two say they were dog walking, and one that they were making a specific journey to visit a friend.  One user does not reference the Lamppost but does say that they were going to the river from Hall Farm.  </w:t>
      </w:r>
    </w:p>
    <w:p w14:paraId="3FC82633" w14:textId="77777777" w:rsidR="00F330DC" w:rsidRPr="007E599A" w:rsidRDefault="00F330DC" w:rsidP="00F330DC">
      <w:pPr>
        <w:pStyle w:val="Style1"/>
      </w:pPr>
      <w:r w:rsidRPr="007E599A">
        <w:t xml:space="preserve">Shaun Crawley informed </w:t>
      </w:r>
      <w:r>
        <w:t>the Inquiry</w:t>
      </w:r>
      <w:r w:rsidRPr="007E599A">
        <w:t xml:space="preserve"> that the applicant had stopped people he had seen walking the </w:t>
      </w:r>
      <w:r w:rsidR="000C14D4">
        <w:t xml:space="preserve">claimed way </w:t>
      </w:r>
      <w:r w:rsidRPr="007E599A">
        <w:t xml:space="preserve">and asked them to complete </w:t>
      </w:r>
      <w:r w:rsidR="007F623A">
        <w:t>UEFs</w:t>
      </w:r>
      <w:r w:rsidRPr="007E599A">
        <w:t xml:space="preserve">.  It is plausible that </w:t>
      </w:r>
      <w:r>
        <w:t xml:space="preserve">people </w:t>
      </w:r>
      <w:r w:rsidRPr="007E599A">
        <w:t>might have learned the reference to “</w:t>
      </w:r>
      <w:r w:rsidRPr="00F330DC">
        <w:rPr>
          <w:i/>
          <w:iCs/>
        </w:rPr>
        <w:t>Lamppost No 6</w:t>
      </w:r>
      <w:r w:rsidRPr="007E599A">
        <w:t>” in this way, others might have simply learned it by talking to other dog walkers</w:t>
      </w:r>
      <w:r>
        <w:t>.  Users might have talked to each other about the application, and some could have simply read the number 6 from the lamppost</w:t>
      </w:r>
      <w:r w:rsidRPr="007E599A">
        <w:t xml:space="preserve">.  </w:t>
      </w:r>
    </w:p>
    <w:p w14:paraId="7C6E56A1" w14:textId="77777777" w:rsidR="00F330DC" w:rsidRPr="007E599A" w:rsidRDefault="00F330DC" w:rsidP="00F330DC">
      <w:pPr>
        <w:pStyle w:val="Style1"/>
      </w:pPr>
      <w:r>
        <w:t xml:space="preserve">On my </w:t>
      </w:r>
      <w:r w:rsidRPr="007E599A">
        <w:t>site visit I could appreciate how convenient the claimed way would have been for Doreen Crawley and her family to walk her dogs to and from the riverside.  Nonetheless, there is nothing to say that when the way was open it was only walkable by Doreen Crawley and her friends and family or that other people would have been excluded in some way.</w:t>
      </w:r>
      <w:r>
        <w:t xml:space="preserve"> </w:t>
      </w:r>
    </w:p>
    <w:p w14:paraId="2FFE521B" w14:textId="77777777" w:rsidR="00315D76" w:rsidRPr="007E599A" w:rsidRDefault="002D327F" w:rsidP="00315D76">
      <w:pPr>
        <w:pStyle w:val="Style1"/>
      </w:pPr>
      <w:r>
        <w:t xml:space="preserve">In any event, </w:t>
      </w:r>
      <w:r w:rsidR="00315D76" w:rsidRPr="007E599A">
        <w:t xml:space="preserve">at the </w:t>
      </w:r>
      <w:r w:rsidR="005876E4">
        <w:t>Inquiry</w:t>
      </w:r>
      <w:r w:rsidR="00315D76" w:rsidRPr="007E599A">
        <w:t xml:space="preserve"> Russell Varley agreed that even if users were related in some </w:t>
      </w:r>
      <w:proofErr w:type="gramStart"/>
      <w:r w:rsidR="00315D76" w:rsidRPr="007E599A">
        <w:t>way</w:t>
      </w:r>
      <w:proofErr w:type="gramEnd"/>
      <w:r w:rsidR="00315D76" w:rsidRPr="007E599A">
        <w:t xml:space="preserve"> they were also members of the public and could have passed along the way as such, and that in this way their evidence could be considered to represent evidence of use by the public.  </w:t>
      </w:r>
    </w:p>
    <w:p w14:paraId="4AA093C6" w14:textId="77777777" w:rsidR="00315D76" w:rsidRPr="007E599A" w:rsidRDefault="00315D76" w:rsidP="00315D76">
      <w:pPr>
        <w:pStyle w:val="Style1"/>
      </w:pPr>
      <w:r w:rsidRPr="007E599A">
        <w:t xml:space="preserve">From all that I heard at the </w:t>
      </w:r>
      <w:r w:rsidR="005876E4">
        <w:t>Inquiry</w:t>
      </w:r>
      <w:r w:rsidRPr="007E599A">
        <w:t xml:space="preserve"> and the written evidence before me, I am not persuaded that family relationships and friendships are a reason to dismiss these users as not representing the public. </w:t>
      </w:r>
    </w:p>
    <w:p w14:paraId="0D51F517" w14:textId="77777777" w:rsidR="009B7F37" w:rsidRPr="007E599A" w:rsidRDefault="009B7F37" w:rsidP="009B7F37">
      <w:pPr>
        <w:pStyle w:val="Style1"/>
        <w:numPr>
          <w:ilvl w:val="0"/>
          <w:numId w:val="0"/>
        </w:numPr>
        <w:rPr>
          <w:i/>
          <w:iCs/>
        </w:rPr>
      </w:pPr>
      <w:r w:rsidRPr="007E599A">
        <w:rPr>
          <w:i/>
          <w:iCs/>
        </w:rPr>
        <w:t>Sufficiency of use</w:t>
      </w:r>
    </w:p>
    <w:p w14:paraId="1C3424E3" w14:textId="77777777" w:rsidR="001A1D9D" w:rsidRPr="007E599A" w:rsidRDefault="00C0089D" w:rsidP="00404346">
      <w:pPr>
        <w:pStyle w:val="Style1"/>
      </w:pPr>
      <w:r w:rsidRPr="007E599A">
        <w:t>A</w:t>
      </w:r>
      <w:r w:rsidR="00404346" w:rsidRPr="007E599A">
        <w:t xml:space="preserve">t </w:t>
      </w:r>
      <w:r w:rsidR="005876E4">
        <w:t>Inquiry</w:t>
      </w:r>
      <w:r w:rsidR="00404346" w:rsidRPr="007E599A">
        <w:t xml:space="preserve"> Denise </w:t>
      </w:r>
      <w:r w:rsidR="005876E4">
        <w:t>Jagger</w:t>
      </w:r>
      <w:r w:rsidR="00404346" w:rsidRPr="007E599A">
        <w:t xml:space="preserve"> argued that Doreen Crawley would have used </w:t>
      </w:r>
      <w:r w:rsidR="000C14D4">
        <w:t xml:space="preserve">a </w:t>
      </w:r>
      <w:r w:rsidR="00404346" w:rsidRPr="007E599A">
        <w:t xml:space="preserve">route over the back drive for which she gave consent, and therefore questioned why she would then choose to walk in the field.  Shaun </w:t>
      </w:r>
      <w:r w:rsidR="00404346" w:rsidRPr="007E599A">
        <w:rPr>
          <w:color w:val="auto"/>
          <w:szCs w:val="22"/>
        </w:rPr>
        <w:t xml:space="preserve">Crawley </w:t>
      </w:r>
      <w:r w:rsidR="00404346" w:rsidRPr="007E599A">
        <w:rPr>
          <w:rFonts w:eastAsia="Calibri"/>
          <w:color w:val="auto"/>
          <w:szCs w:val="22"/>
          <w:lang w:eastAsia="en-US"/>
        </w:rPr>
        <w:t xml:space="preserve">maintained that [they] found it more convenient to walk through the gap in the hedge and </w:t>
      </w:r>
      <w:r w:rsidR="00404346" w:rsidRPr="007E599A">
        <w:rPr>
          <w:rFonts w:eastAsia="Calibri"/>
          <w:color w:val="auto"/>
          <w:szCs w:val="22"/>
          <w:lang w:eastAsia="en-US"/>
        </w:rPr>
        <w:lastRenderedPageBreak/>
        <w:t>across the field.</w:t>
      </w:r>
      <w:r w:rsidR="00404346" w:rsidRPr="007E599A">
        <w:rPr>
          <w:color w:val="auto"/>
          <w:szCs w:val="22"/>
        </w:rPr>
        <w:t xml:space="preserve">  Although he conceded</w:t>
      </w:r>
      <w:r w:rsidR="00404346" w:rsidRPr="007E599A">
        <w:t xml:space="preserve"> that in the latter years Doreen Crawley probably did “</w:t>
      </w:r>
      <w:r w:rsidR="00404346" w:rsidRPr="007E599A">
        <w:rPr>
          <w:i/>
          <w:iCs/>
        </w:rPr>
        <w:t>walk along the drive and amongst the trees</w:t>
      </w:r>
      <w:r w:rsidR="00404346" w:rsidRPr="007E599A">
        <w:t xml:space="preserve">”.  </w:t>
      </w:r>
    </w:p>
    <w:p w14:paraId="1777CE6B" w14:textId="77777777" w:rsidR="004A5C42" w:rsidRDefault="00404346" w:rsidP="00AC3330">
      <w:pPr>
        <w:pStyle w:val="Style1"/>
      </w:pPr>
      <w:r w:rsidRPr="007E599A">
        <w:t xml:space="preserve">From what I heard I find it quite plausible that once Doreen </w:t>
      </w:r>
      <w:r w:rsidR="004A5C42">
        <w:t xml:space="preserve">Crawley </w:t>
      </w:r>
      <w:r w:rsidRPr="007E599A">
        <w:t xml:space="preserve">started walking that way, her friends and family may have done so too.  This would concur with Denise </w:t>
      </w:r>
      <w:r w:rsidR="005876E4">
        <w:t>Jagger</w:t>
      </w:r>
      <w:r w:rsidRPr="007E599A">
        <w:t xml:space="preserve">’s evidence that she variously saw </w:t>
      </w:r>
      <w:r w:rsidR="00C0089D" w:rsidRPr="007E599A">
        <w:t xml:space="preserve">friends and family of Doreen Crawley </w:t>
      </w:r>
      <w:r w:rsidRPr="007E599A">
        <w:t xml:space="preserve">on her back drive, for example when driving her son to school. </w:t>
      </w:r>
      <w:r w:rsidR="00AC3330">
        <w:t xml:space="preserve"> Although the plans with the UEFs from these users generally indicate a route across Hoisty Field, </w:t>
      </w:r>
      <w:r w:rsidRPr="007E599A">
        <w:t>th</w:t>
      </w:r>
      <w:r w:rsidR="00AC3330">
        <w:t xml:space="preserve">is </w:t>
      </w:r>
      <w:proofErr w:type="gramStart"/>
      <w:r w:rsidR="00AC3330">
        <w:t>casts  some</w:t>
      </w:r>
      <w:proofErr w:type="gramEnd"/>
      <w:r w:rsidR="00AC3330">
        <w:t xml:space="preserve"> doubt about the robustness of the evidence for use of the claimed way </w:t>
      </w:r>
      <w:r w:rsidRPr="007E599A">
        <w:t xml:space="preserve">from 2007 onwards </w:t>
      </w:r>
      <w:r w:rsidR="00AC3330">
        <w:t>by</w:t>
      </w:r>
      <w:r w:rsidRPr="007E599A">
        <w:t xml:space="preserve"> Doreen Crawley, Graham Cheyne and </w:t>
      </w:r>
      <w:r w:rsidR="00C0089D" w:rsidRPr="007E599A">
        <w:t xml:space="preserve">at least </w:t>
      </w:r>
      <w:r w:rsidRPr="007E599A">
        <w:t>six others</w:t>
      </w:r>
      <w:r w:rsidRPr="007E599A">
        <w:rPr>
          <w:rStyle w:val="FootnoteReference"/>
        </w:rPr>
        <w:footnoteReference w:id="4"/>
      </w:r>
      <w:r w:rsidRPr="007E599A">
        <w:t xml:space="preserve">.  </w:t>
      </w:r>
    </w:p>
    <w:p w14:paraId="6A3689F4" w14:textId="77777777" w:rsidR="000C5655" w:rsidRPr="007E599A" w:rsidRDefault="00C0089D" w:rsidP="004A5C42">
      <w:pPr>
        <w:pStyle w:val="Style1"/>
      </w:pPr>
      <w:r w:rsidRPr="007E599A">
        <w:t xml:space="preserve">Therefore I shall restrict my assessment of sufficiency of use to the </w:t>
      </w:r>
      <w:r w:rsidR="00B73C3A" w:rsidRPr="007E599A">
        <w:t xml:space="preserve">10 </w:t>
      </w:r>
      <w:r w:rsidRPr="007E599A">
        <w:t xml:space="preserve">users </w:t>
      </w:r>
      <w:r w:rsidR="00B73C3A" w:rsidRPr="007E599A">
        <w:t xml:space="preserve">that the OMA </w:t>
      </w:r>
      <w:r w:rsidR="00B75A4A" w:rsidRPr="007E599A">
        <w:t>had been satisfied were from members of the public who had used the way as of right, without force and without secrecy during all or part of the period 1991-2011.</w:t>
      </w:r>
      <w:r w:rsidR="00AD2CA2" w:rsidRPr="007E599A">
        <w:t xml:space="preserve"> </w:t>
      </w:r>
      <w:r w:rsidRPr="007E599A">
        <w:t>These 10 u</w:t>
      </w:r>
      <w:r w:rsidR="00081AA2" w:rsidRPr="007E599A">
        <w:t xml:space="preserve">sers mainly describe using the path for recreational and dog walking, a couple describe using it as part of a route between Fulford and Fulford Ings. </w:t>
      </w:r>
      <w:r w:rsidR="00F10FCD" w:rsidRPr="007E599A">
        <w:t xml:space="preserve"> </w:t>
      </w:r>
      <w:r w:rsidR="00D2136E" w:rsidRPr="007E599A">
        <w:t xml:space="preserve">Not </w:t>
      </w:r>
      <w:proofErr w:type="gramStart"/>
      <w:r w:rsidR="00D2136E" w:rsidRPr="007E599A">
        <w:t>all of</w:t>
      </w:r>
      <w:proofErr w:type="gramEnd"/>
      <w:r w:rsidR="00D2136E" w:rsidRPr="007E599A">
        <w:t xml:space="preserve"> the 10 users cover the whole of the claimed period. </w:t>
      </w:r>
    </w:p>
    <w:p w14:paraId="4957407D" w14:textId="77777777" w:rsidR="000C5655" w:rsidRPr="007E599A" w:rsidRDefault="00404346" w:rsidP="000C5655">
      <w:pPr>
        <w:pStyle w:val="Style1"/>
      </w:pPr>
      <w:r w:rsidRPr="007E599A">
        <w:t xml:space="preserve">One user </w:t>
      </w:r>
      <w:proofErr w:type="gramStart"/>
      <w:r w:rsidRPr="007E599A">
        <w:t>s</w:t>
      </w:r>
      <w:r w:rsidR="003C3367" w:rsidRPr="007E599A">
        <w:t>tates</w:t>
      </w:r>
      <w:proofErr w:type="gramEnd"/>
      <w:r w:rsidR="003C3367" w:rsidRPr="007E599A">
        <w:t xml:space="preserve"> that</w:t>
      </w:r>
      <w:r w:rsidRPr="007E599A">
        <w:t xml:space="preserve"> they used the way on a daily basis for many years, </w:t>
      </w:r>
      <w:r w:rsidR="003C3367" w:rsidRPr="007E599A">
        <w:t xml:space="preserve">another advises that they have used it ‘all my life’ and </w:t>
      </w:r>
      <w:r w:rsidRPr="007E599A">
        <w:t>another describes it as ‘constantly used’</w:t>
      </w:r>
      <w:r w:rsidR="003C3367" w:rsidRPr="007E599A">
        <w:t xml:space="preserve">. </w:t>
      </w:r>
      <w:r w:rsidRPr="007E599A">
        <w:t xml:space="preserve"> </w:t>
      </w:r>
      <w:r w:rsidR="00BA49DE">
        <w:t>O</w:t>
      </w:r>
      <w:r w:rsidRPr="007E599A">
        <w:t>therwise t</w:t>
      </w:r>
      <w:r w:rsidR="00081AA2" w:rsidRPr="007E599A">
        <w:t xml:space="preserve">here is </w:t>
      </w:r>
      <w:r w:rsidR="00BA49DE">
        <w:t xml:space="preserve">little </w:t>
      </w:r>
      <w:r w:rsidR="00081AA2" w:rsidRPr="007E599A">
        <w:t>detail within the evidence in relation to the frequency and regularity of use</w:t>
      </w:r>
      <w:r w:rsidR="00BA49DE">
        <w:t xml:space="preserve"> but </w:t>
      </w:r>
      <w:r w:rsidR="00081AA2" w:rsidRPr="007E599A">
        <w:t xml:space="preserve">the forms which did not request this information. </w:t>
      </w:r>
      <w:r w:rsidR="001226DF" w:rsidRPr="007E599A">
        <w:t xml:space="preserve"> </w:t>
      </w:r>
      <w:r w:rsidR="00FC57A2" w:rsidRPr="007E599A">
        <w:t xml:space="preserve">Some </w:t>
      </w:r>
      <w:r w:rsidR="001226DF" w:rsidRPr="007E599A">
        <w:t xml:space="preserve">users are </w:t>
      </w:r>
      <w:r w:rsidR="00081AA2" w:rsidRPr="007E599A">
        <w:t xml:space="preserve">dog </w:t>
      </w:r>
      <w:r w:rsidR="00BA49DE" w:rsidRPr="007E599A">
        <w:t>walkers,</w:t>
      </w:r>
      <w:r w:rsidR="00081AA2" w:rsidRPr="007E599A">
        <w:t xml:space="preserve"> </w:t>
      </w:r>
      <w:r w:rsidR="001226DF" w:rsidRPr="007E599A">
        <w:t xml:space="preserve">and </w:t>
      </w:r>
      <w:r w:rsidR="00CC2FC7" w:rsidRPr="007E599A">
        <w:t xml:space="preserve">it </w:t>
      </w:r>
      <w:r w:rsidRPr="007E599A">
        <w:t xml:space="preserve">is </w:t>
      </w:r>
      <w:r w:rsidR="004A5C42">
        <w:t xml:space="preserve">plausible </w:t>
      </w:r>
      <w:r w:rsidR="00F10FCD" w:rsidRPr="007E599A">
        <w:t xml:space="preserve">that there </w:t>
      </w:r>
      <w:r w:rsidR="004A5C42">
        <w:t>c</w:t>
      </w:r>
      <w:r w:rsidR="00F10FCD" w:rsidRPr="007E599A">
        <w:t xml:space="preserve">ould be a degree of </w:t>
      </w:r>
      <w:r w:rsidR="001226DF" w:rsidRPr="007E599A">
        <w:t>regular</w:t>
      </w:r>
      <w:r w:rsidR="00F10FCD" w:rsidRPr="007E599A">
        <w:t>ity</w:t>
      </w:r>
      <w:r w:rsidR="001226DF" w:rsidRPr="007E599A">
        <w:t xml:space="preserve"> and frequen</w:t>
      </w:r>
      <w:r w:rsidR="00F10FCD" w:rsidRPr="007E599A">
        <w:t xml:space="preserve">cy of </w:t>
      </w:r>
      <w:r w:rsidRPr="007E599A">
        <w:t xml:space="preserve">such </w:t>
      </w:r>
      <w:r w:rsidR="00F10FCD" w:rsidRPr="007E599A">
        <w:t xml:space="preserve">use. </w:t>
      </w:r>
      <w:r w:rsidR="00FC57A2" w:rsidRPr="007E599A">
        <w:t xml:space="preserve">  </w:t>
      </w:r>
    </w:p>
    <w:p w14:paraId="3351D600" w14:textId="77777777" w:rsidR="000C5655" w:rsidRPr="007E599A" w:rsidRDefault="00AD2CA2" w:rsidP="00AD2CA2">
      <w:pPr>
        <w:pStyle w:val="Style1"/>
      </w:pPr>
      <w:r w:rsidRPr="007E599A">
        <w:t xml:space="preserve">The OMA accepts that the evidence paints a picture of a typical pattern of use for a footpath with dog walkers using the </w:t>
      </w:r>
      <w:r w:rsidR="000C14D4">
        <w:t xml:space="preserve">path </w:t>
      </w:r>
      <w:r w:rsidRPr="007E599A">
        <w:t xml:space="preserve">daily and recreational walkers using it less frequently.  </w:t>
      </w:r>
      <w:r w:rsidR="004A5C42" w:rsidRPr="007E599A">
        <w:t>There is no statutory requirement to demonstrate a busy level of use.</w:t>
      </w:r>
      <w:r w:rsidR="000C5655" w:rsidRPr="007E599A">
        <w:t xml:space="preserve"> </w:t>
      </w:r>
      <w:r w:rsidR="004A5C42">
        <w:t xml:space="preserve"> T</w:t>
      </w:r>
      <w:r w:rsidR="000C5655" w:rsidRPr="007E599A">
        <w:t>he evidence within the</w:t>
      </w:r>
      <w:r w:rsidR="004A5C42">
        <w:t xml:space="preserve">se 10 </w:t>
      </w:r>
      <w:r w:rsidR="007F623A">
        <w:t>UEFs</w:t>
      </w:r>
      <w:r w:rsidR="000C5655" w:rsidRPr="007E599A">
        <w:t xml:space="preserve"> that the </w:t>
      </w:r>
      <w:r w:rsidR="00A37BBE">
        <w:t>path</w:t>
      </w:r>
      <w:r w:rsidR="000C5655" w:rsidRPr="007E599A">
        <w:t xml:space="preserve"> only became used with the frequency suggested by the </w:t>
      </w:r>
      <w:r w:rsidR="000C14D4">
        <w:t xml:space="preserve">UEFs </w:t>
      </w:r>
      <w:r w:rsidR="000C5655" w:rsidRPr="007E599A">
        <w:t>at some point after 2007</w:t>
      </w:r>
      <w:r w:rsidR="004A5C42">
        <w:t xml:space="preserve"> is not persuasive</w:t>
      </w:r>
      <w:r w:rsidR="000C5655" w:rsidRPr="007E599A">
        <w:t xml:space="preserve">. </w:t>
      </w:r>
    </w:p>
    <w:p w14:paraId="658B88A0" w14:textId="77777777" w:rsidR="007E599A" w:rsidRPr="007E599A" w:rsidRDefault="0043200D" w:rsidP="004A026A">
      <w:pPr>
        <w:pStyle w:val="Style1"/>
      </w:pPr>
      <w:r w:rsidRPr="007E599A">
        <w:t>Some u</w:t>
      </w:r>
      <w:r w:rsidR="00FC57A2" w:rsidRPr="007E599A">
        <w:t xml:space="preserve">sers </w:t>
      </w:r>
      <w:r w:rsidR="00F10FCD" w:rsidRPr="007E599A">
        <w:t>describe</w:t>
      </w:r>
      <w:r w:rsidRPr="007E599A">
        <w:t xml:space="preserve"> seeing other people using the claimed way </w:t>
      </w:r>
      <w:r w:rsidR="00404346" w:rsidRPr="007E599A">
        <w:t>‘</w:t>
      </w:r>
      <w:r w:rsidR="00F10FCD" w:rsidRPr="007E599A">
        <w:t>many times</w:t>
      </w:r>
      <w:r w:rsidR="00404346" w:rsidRPr="007E599A">
        <w:t>’</w:t>
      </w:r>
      <w:r w:rsidR="00F10FCD" w:rsidRPr="007E599A">
        <w:t xml:space="preserve">, seeing lots of friends and dog walkers, </w:t>
      </w:r>
      <w:r w:rsidRPr="007E599A">
        <w:t xml:space="preserve">and observing </w:t>
      </w:r>
      <w:r w:rsidR="00FC57A2" w:rsidRPr="007E599A">
        <w:t>frequent</w:t>
      </w:r>
      <w:r w:rsidR="00F10FCD" w:rsidRPr="007E599A">
        <w:t xml:space="preserve"> use by others</w:t>
      </w:r>
      <w:r w:rsidRPr="007E599A">
        <w:t>.</w:t>
      </w:r>
      <w:r w:rsidR="00404346" w:rsidRPr="007E599A">
        <w:t xml:space="preserve"> Two users with no known connection to Doreen Crawley attest to </w:t>
      </w:r>
      <w:r w:rsidR="002D327F">
        <w:t xml:space="preserve">both </w:t>
      </w:r>
      <w:r w:rsidR="00404346" w:rsidRPr="007E599A">
        <w:t xml:space="preserve">having </w:t>
      </w:r>
      <w:r w:rsidR="002D327F" w:rsidRPr="007E599A">
        <w:t>seen or</w:t>
      </w:r>
      <w:r w:rsidR="00404346" w:rsidRPr="007E599A">
        <w:t xml:space="preserve"> being confronted by</w:t>
      </w:r>
      <w:r w:rsidR="002D327F">
        <w:t xml:space="preserve"> </w:t>
      </w:r>
      <w:r w:rsidR="00404346" w:rsidRPr="007E599A">
        <w:t xml:space="preserve">Mr </w:t>
      </w:r>
      <w:r w:rsidR="005876E4">
        <w:t>Jagger</w:t>
      </w:r>
      <w:r w:rsidR="00404346" w:rsidRPr="007E599A">
        <w:t xml:space="preserve"> when they used the route and seeing other people when they were walking the route.  </w:t>
      </w:r>
    </w:p>
    <w:p w14:paraId="35055F08" w14:textId="77777777" w:rsidR="00404346" w:rsidRPr="007E599A" w:rsidRDefault="001A1D9D" w:rsidP="00044882">
      <w:pPr>
        <w:pStyle w:val="Style1"/>
      </w:pPr>
      <w:r w:rsidRPr="007E599A">
        <w:t xml:space="preserve">Whilst Denise </w:t>
      </w:r>
      <w:r w:rsidR="005876E4">
        <w:t>Jagger</w:t>
      </w:r>
      <w:r w:rsidRPr="007E599A">
        <w:t xml:space="preserve"> advised that she had never seen people using the claimed way, she agreed </w:t>
      </w:r>
      <w:r w:rsidR="00404346" w:rsidRPr="007E599A">
        <w:t>that her husband had</w:t>
      </w:r>
      <w:r w:rsidRPr="007E599A">
        <w:t xml:space="preserve">, and had </w:t>
      </w:r>
      <w:r w:rsidR="002A6B16" w:rsidRPr="007E599A">
        <w:t xml:space="preserve">stopped and </w:t>
      </w:r>
      <w:r w:rsidR="00404346" w:rsidRPr="007E599A">
        <w:t>confronted people</w:t>
      </w:r>
      <w:r w:rsidR="002A6B16" w:rsidRPr="007E599A">
        <w:t xml:space="preserve">, although “not many”. </w:t>
      </w:r>
      <w:r w:rsidR="004A5C42">
        <w:t xml:space="preserve"> </w:t>
      </w:r>
      <w:r w:rsidR="00D146F4" w:rsidRPr="007E599A">
        <w:t xml:space="preserve">Whilst the exact location </w:t>
      </w:r>
      <w:proofErr w:type="gramStart"/>
      <w:r w:rsidR="00D146F4" w:rsidRPr="007E599A">
        <w:t xml:space="preserve">of </w:t>
      </w:r>
      <w:r w:rsidR="004A5C42">
        <w:t xml:space="preserve"> bonfires</w:t>
      </w:r>
      <w:proofErr w:type="gramEnd"/>
      <w:r w:rsidR="004A5C42">
        <w:t xml:space="preserve"> </w:t>
      </w:r>
      <w:r w:rsidR="00D146F4" w:rsidRPr="007E599A">
        <w:t xml:space="preserve">was </w:t>
      </w:r>
      <w:r w:rsidR="004A5C42">
        <w:t xml:space="preserve">uncertain </w:t>
      </w:r>
      <w:r w:rsidR="00D146F4" w:rsidRPr="007E599A">
        <w:t>some users attested to having been se</w:t>
      </w:r>
      <w:r w:rsidR="005D0B2C" w:rsidRPr="007E599A">
        <w:t>e</w:t>
      </w:r>
      <w:r w:rsidR="00D146F4" w:rsidRPr="007E599A">
        <w:t xml:space="preserve">n using the claimed way by Mr </w:t>
      </w:r>
      <w:r w:rsidR="005876E4">
        <w:t>Jagger</w:t>
      </w:r>
      <w:r w:rsidR="00D146F4" w:rsidRPr="007E599A">
        <w:t xml:space="preserve"> when he was attending to a bonfire.  </w:t>
      </w:r>
      <w:r w:rsidR="000C5655" w:rsidRPr="007E599A">
        <w:t xml:space="preserve">Denise </w:t>
      </w:r>
      <w:r w:rsidR="005876E4">
        <w:t>Jagger</w:t>
      </w:r>
      <w:r w:rsidR="00404346" w:rsidRPr="007E599A">
        <w:t xml:space="preserve"> </w:t>
      </w:r>
      <w:r w:rsidR="00044882">
        <w:t xml:space="preserve">reasoned </w:t>
      </w:r>
      <w:proofErr w:type="gramStart"/>
      <w:r w:rsidR="00404346" w:rsidRPr="007E599A">
        <w:t>that other walkers</w:t>
      </w:r>
      <w:proofErr w:type="gramEnd"/>
      <w:r w:rsidR="00404346" w:rsidRPr="007E599A">
        <w:t xml:space="preserve"> witnessed by users could have been Doreen Crawley and her family and friends</w:t>
      </w:r>
      <w:r w:rsidR="002D327F">
        <w:t xml:space="preserve">.  </w:t>
      </w:r>
      <w:r w:rsidR="00044882">
        <w:t>But as it</w:t>
      </w:r>
      <w:r w:rsidR="00404346" w:rsidRPr="007E599A">
        <w:t xml:space="preserve"> was also Denise </w:t>
      </w:r>
      <w:r w:rsidR="005876E4">
        <w:t>Jagger</w:t>
      </w:r>
      <w:r w:rsidR="00404346" w:rsidRPr="007E599A">
        <w:t xml:space="preserve">’s evidence that she believed Doreen Crawley walked on her back drive, not the </w:t>
      </w:r>
      <w:r w:rsidR="005876E4">
        <w:t>Order Route</w:t>
      </w:r>
      <w:r w:rsidR="00BA49DE">
        <w:t>.  In which case</w:t>
      </w:r>
      <w:r w:rsidR="00404346" w:rsidRPr="007E599A">
        <w:t xml:space="preserve"> these users </w:t>
      </w:r>
      <w:r w:rsidR="004A5C42">
        <w:t>c</w:t>
      </w:r>
      <w:r w:rsidR="00404346" w:rsidRPr="007E599A">
        <w:t>ould have been referring to other people</w:t>
      </w:r>
      <w:r w:rsidR="00C0089D" w:rsidRPr="007E599A">
        <w:t xml:space="preserve"> using the claimed way.</w:t>
      </w:r>
      <w:r w:rsidR="00404346" w:rsidRPr="007E599A">
        <w:t xml:space="preserve"> </w:t>
      </w:r>
    </w:p>
    <w:p w14:paraId="2A1B87E1" w14:textId="77777777" w:rsidR="00BA49DE" w:rsidRDefault="00A25ED7" w:rsidP="00044882">
      <w:pPr>
        <w:pStyle w:val="Style1"/>
      </w:pPr>
      <w:r w:rsidRPr="007E599A">
        <w:t>Russell Varley offered that evidence from 11 individuals of use of a way on the Moors might suffice</w:t>
      </w:r>
      <w:r w:rsidR="004A5C42">
        <w:t>.  However</w:t>
      </w:r>
      <w:r w:rsidRPr="007E599A">
        <w:t xml:space="preserve"> Fulford is a suburb of York</w:t>
      </w:r>
      <w:r w:rsidR="004A5C42">
        <w:t xml:space="preserve"> and the parish had </w:t>
      </w:r>
      <w:r w:rsidRPr="007E599A">
        <w:lastRenderedPageBreak/>
        <w:t>2700 inhabitants in 2011</w:t>
      </w:r>
      <w:r w:rsidR="004A5C42">
        <w:t>.  T</w:t>
      </w:r>
      <w:r w:rsidRPr="007E599A">
        <w:t xml:space="preserve">he OMA did not consider that a similarly small number of users could be taken to represent the wider area. </w:t>
      </w:r>
      <w:r w:rsidR="00044882">
        <w:t xml:space="preserve"> </w:t>
      </w:r>
      <w:r w:rsidRPr="007E599A">
        <w:t xml:space="preserve">Nonetheless, Denise </w:t>
      </w:r>
      <w:r w:rsidR="005876E4">
        <w:t>Jagger</w:t>
      </w:r>
      <w:r w:rsidRPr="007E599A">
        <w:t xml:space="preserve"> conceded that probably people did walk around the edge of the field and the OMA had no doubt that the path was used</w:t>
      </w:r>
      <w:r w:rsidR="00AD2CA2" w:rsidRPr="007E599A">
        <w:t xml:space="preserve">. </w:t>
      </w:r>
      <w:r w:rsidR="004A5C42">
        <w:t xml:space="preserve"> </w:t>
      </w:r>
      <w:r w:rsidR="00BA49DE">
        <w:t>I am not persuaded by this argument.  There could be other factors, that would mitigate against users knowing each other and about the application in a larger suburban area.</w:t>
      </w:r>
    </w:p>
    <w:p w14:paraId="7D3891A2" w14:textId="77777777" w:rsidR="004A5C42" w:rsidRDefault="00AD2CA2" w:rsidP="00044882">
      <w:pPr>
        <w:pStyle w:val="Style1"/>
      </w:pPr>
      <w:r w:rsidRPr="007E599A">
        <w:t>The OMA</w:t>
      </w:r>
      <w:r w:rsidR="00A25ED7" w:rsidRPr="007E599A">
        <w:t xml:space="preserve"> agreed that the evidence paints a picture of a typical pattern of use for a footpath with dog walkers using the route daily and recreational walkers using it less frequently.  </w:t>
      </w:r>
    </w:p>
    <w:p w14:paraId="7E37FE51" w14:textId="77777777" w:rsidR="009152DB" w:rsidRPr="007E599A" w:rsidRDefault="009152DB" w:rsidP="009152DB">
      <w:pPr>
        <w:pStyle w:val="Style1"/>
      </w:pPr>
      <w:r>
        <w:t>W</w:t>
      </w:r>
      <w:r w:rsidRPr="007E599A">
        <w:t xml:space="preserve">hilst the tenant farmer’s evidence of </w:t>
      </w:r>
      <w:r>
        <w:t>their</w:t>
      </w:r>
      <w:r w:rsidRPr="007E599A">
        <w:t xml:space="preserve"> own use of the route has been dismissed as ‘by right’, </w:t>
      </w:r>
      <w:r>
        <w:t>their</w:t>
      </w:r>
      <w:r w:rsidRPr="007E599A">
        <w:t xml:space="preserve"> UEF does include evidence that collaborates the evidence of use.  Including that that a way through from Landing Lane and the Nurses</w:t>
      </w:r>
      <w:r w:rsidR="000C14D4">
        <w:t>’</w:t>
      </w:r>
      <w:r w:rsidRPr="007E599A">
        <w:t xml:space="preserve"> Path had existed from around 1943, was used by people in the houses and the farm for about 50 years, and that </w:t>
      </w:r>
      <w:r>
        <w:t>they</w:t>
      </w:r>
      <w:r w:rsidRPr="007E599A">
        <w:t xml:space="preserve"> had seen people walking the route maybe several times a week from 1960.  </w:t>
      </w:r>
      <w:r>
        <w:t>Their</w:t>
      </w:r>
      <w:r w:rsidRPr="007E599A">
        <w:t xml:space="preserve"> evidence is only up to 2008 when he then stopped farming, and at the </w:t>
      </w:r>
      <w:r>
        <w:t>Inquiry</w:t>
      </w:r>
      <w:r w:rsidRPr="007E599A">
        <w:t xml:space="preserve"> I heard that he had not lived so close to the route that he could see it from his house. </w:t>
      </w:r>
    </w:p>
    <w:p w14:paraId="45245D0A" w14:textId="77777777" w:rsidR="009152DB" w:rsidRPr="007E599A" w:rsidRDefault="009152DB" w:rsidP="009152DB">
      <w:pPr>
        <w:pStyle w:val="Style1"/>
      </w:pPr>
      <w:r w:rsidRPr="007E599A">
        <w:rPr>
          <w:color w:val="auto"/>
          <w:szCs w:val="22"/>
        </w:rPr>
        <w:t>The evidence of use by another user related to the tenant farmer has similarly been dismissed as being ‘by right’, but this statement also includes evidence of bumping into others using the way such as fishermen and dog walkers.</w:t>
      </w:r>
    </w:p>
    <w:p w14:paraId="1F122CF7" w14:textId="77777777" w:rsidR="009152DB" w:rsidRDefault="009152DB" w:rsidP="009152DB">
      <w:pPr>
        <w:pStyle w:val="Style1"/>
      </w:pPr>
      <w:r>
        <w:t>A</w:t>
      </w:r>
      <w:r w:rsidRPr="007E599A">
        <w:t xml:space="preserve"> letter, 22 June 2021 headed “</w:t>
      </w:r>
      <w:r w:rsidRPr="007E599A">
        <w:rPr>
          <w:i/>
          <w:iCs/>
        </w:rPr>
        <w:t xml:space="preserve">Public Footpath Fulford Modification Order </w:t>
      </w:r>
      <w:proofErr w:type="gramStart"/>
      <w:r w:rsidRPr="007E599A">
        <w:rPr>
          <w:i/>
          <w:iCs/>
        </w:rPr>
        <w:t>2019”</w:t>
      </w:r>
      <w:r w:rsidRPr="007E599A">
        <w:t xml:space="preserve"> </w:t>
      </w:r>
      <w:r w:rsidR="000C14D4">
        <w:t xml:space="preserve"> </w:t>
      </w:r>
      <w:r w:rsidRPr="007E599A">
        <w:t>from</w:t>
      </w:r>
      <w:proofErr w:type="gramEnd"/>
      <w:r w:rsidRPr="007E599A">
        <w:t xml:space="preserve"> the owner of Water Fulford Hall for 10 years until March 1997 states that for the time he lived there he was aware of the footpath although they never used it.</w:t>
      </w:r>
      <w:r>
        <w:t xml:space="preserve">  </w:t>
      </w:r>
      <w:r w:rsidR="000C14D4">
        <w:t>F</w:t>
      </w:r>
      <w:r w:rsidR="00A25ED7" w:rsidRPr="007E599A">
        <w:t xml:space="preserve">rom taking ownership in 2010 to November 2011 when the </w:t>
      </w:r>
      <w:r w:rsidR="000C14D4">
        <w:t xml:space="preserve">path </w:t>
      </w:r>
      <w:r w:rsidR="00A25ED7" w:rsidRPr="007E599A">
        <w:t xml:space="preserve">was called into question there is </w:t>
      </w:r>
      <w:r>
        <w:t xml:space="preserve">also </w:t>
      </w:r>
      <w:r w:rsidR="00A25ED7" w:rsidRPr="007E599A">
        <w:t xml:space="preserve">evidence of Mr </w:t>
      </w:r>
      <w:r w:rsidR="005876E4">
        <w:t>Jagger</w:t>
      </w:r>
      <w:r w:rsidR="00A25ED7" w:rsidRPr="007E599A">
        <w:t xml:space="preserve"> confronting two people on the</w:t>
      </w:r>
      <w:r w:rsidR="000C14D4">
        <w:t xml:space="preserve"> claimed way</w:t>
      </w:r>
      <w:r>
        <w:t>.</w:t>
      </w:r>
      <w:r w:rsidR="00A25ED7" w:rsidRPr="007E599A">
        <w:t xml:space="preserve"> </w:t>
      </w:r>
      <w:r w:rsidR="00AD2CA2" w:rsidRPr="007E599A">
        <w:t xml:space="preserve"> </w:t>
      </w:r>
    </w:p>
    <w:p w14:paraId="1753BB87" w14:textId="77777777" w:rsidR="002A6B16" w:rsidRPr="007E599A" w:rsidRDefault="00D8220A" w:rsidP="002409E2">
      <w:pPr>
        <w:pStyle w:val="Style1"/>
      </w:pPr>
      <w:r w:rsidRPr="007E599A">
        <w:t xml:space="preserve">The OMA had attempted to contact users to discuss concerns about the evidence but there had been a lack of response.  The </w:t>
      </w:r>
      <w:r w:rsidR="009152DB">
        <w:t>a</w:t>
      </w:r>
      <w:r w:rsidRPr="007E599A">
        <w:t xml:space="preserve">pplication was made in 2012, much time had elapsed before the attempts to make contact were made and even more time has elapsed by the time the </w:t>
      </w:r>
      <w:r w:rsidR="005876E4">
        <w:t>Inquiry</w:t>
      </w:r>
      <w:r w:rsidRPr="007E599A">
        <w:t xml:space="preserve"> sat. </w:t>
      </w:r>
      <w:r w:rsidR="009152DB">
        <w:t xml:space="preserve"> S</w:t>
      </w:r>
      <w:r w:rsidRPr="007E599A">
        <w:t xml:space="preserve">ome users had died, others were now elderly, and some had moved away. The lack of response to the OMA is somewhat concerning, but I have not attached weight to any of the users that the OMA </w:t>
      </w:r>
      <w:r w:rsidR="009152DB">
        <w:t>had concerns about</w:t>
      </w:r>
      <w:r w:rsidRPr="007E599A">
        <w:t>.</w:t>
      </w:r>
    </w:p>
    <w:p w14:paraId="024DDB93" w14:textId="77777777" w:rsidR="00BA49DE" w:rsidRPr="007E599A" w:rsidRDefault="00BA49DE" w:rsidP="00BA49DE">
      <w:pPr>
        <w:pStyle w:val="Style1"/>
      </w:pPr>
      <w:r>
        <w:t>T</w:t>
      </w:r>
      <w:r w:rsidRPr="007E599A">
        <w:t xml:space="preserve">here is not a substantial amount of evidence </w:t>
      </w:r>
      <w:r>
        <w:t>but t</w:t>
      </w:r>
      <w:r w:rsidRPr="007E599A">
        <w:t xml:space="preserve">here is no statutory requirement that there </w:t>
      </w:r>
      <w:proofErr w:type="gramStart"/>
      <w:r w:rsidRPr="007E599A">
        <w:t>has to</w:t>
      </w:r>
      <w:proofErr w:type="gramEnd"/>
      <w:r w:rsidRPr="007E599A">
        <w:t xml:space="preserve"> be large, or specific, number of users to prove sufficiency of use.    </w:t>
      </w:r>
    </w:p>
    <w:p w14:paraId="7FED4C59" w14:textId="77777777" w:rsidR="00C73779" w:rsidRPr="007E599A" w:rsidRDefault="00C73779" w:rsidP="00BA49DE">
      <w:pPr>
        <w:pStyle w:val="Style1"/>
      </w:pPr>
      <w:r w:rsidRPr="007E599A">
        <w:t xml:space="preserve">I conclude that </w:t>
      </w:r>
      <w:r w:rsidR="009152DB">
        <w:t xml:space="preserve">even without the users who were part of a family/friendship group related to Doreen Crawley, </w:t>
      </w:r>
      <w:r w:rsidRPr="007E599A">
        <w:t>t</w:t>
      </w:r>
      <w:r w:rsidR="00BA49DE" w:rsidRPr="007E599A">
        <w:t xml:space="preserve">he evidence </w:t>
      </w:r>
      <w:r w:rsidR="00BA49DE">
        <w:t xml:space="preserve">collectively creates a reasonable </w:t>
      </w:r>
      <w:r w:rsidR="00BA49DE" w:rsidRPr="007E599A">
        <w:t>impression</w:t>
      </w:r>
      <w:r w:rsidR="009152DB">
        <w:t>, on balance,</w:t>
      </w:r>
      <w:r w:rsidRPr="007E599A">
        <w:t xml:space="preserve"> </w:t>
      </w:r>
      <w:r w:rsidR="00BA49DE">
        <w:t xml:space="preserve">of </w:t>
      </w:r>
      <w:r w:rsidRPr="007E599A">
        <w:t xml:space="preserve">an adequate number of users for whom the period of usage and frequency </w:t>
      </w:r>
      <w:r w:rsidR="00DD302D" w:rsidRPr="007E599A">
        <w:t xml:space="preserve">would have been sufficient to make the landowner aware that the public were asserting a right of way and </w:t>
      </w:r>
      <w:r w:rsidRPr="007E599A">
        <w:t>provide</w:t>
      </w:r>
      <w:r w:rsidR="00DD302D" w:rsidRPr="007E599A">
        <w:t>s</w:t>
      </w:r>
      <w:r w:rsidRPr="00BA49DE">
        <w:rPr>
          <w:color w:val="auto"/>
          <w:szCs w:val="22"/>
        </w:rPr>
        <w:t xml:space="preserve"> sufficient evidence</w:t>
      </w:r>
      <w:r w:rsidR="00A25ED7" w:rsidRPr="00BA49DE">
        <w:rPr>
          <w:color w:val="auto"/>
          <w:szCs w:val="22"/>
        </w:rPr>
        <w:t xml:space="preserve">, </w:t>
      </w:r>
      <w:r w:rsidRPr="00BA49DE">
        <w:rPr>
          <w:color w:val="auto"/>
          <w:szCs w:val="22"/>
        </w:rPr>
        <w:t>to raise a presumption of dedication within the relevant twenty-year period 1991-2011</w:t>
      </w:r>
      <w:r w:rsidR="00AD2CA2" w:rsidRPr="00BA49DE">
        <w:rPr>
          <w:color w:val="auto"/>
          <w:szCs w:val="22"/>
        </w:rPr>
        <w:t xml:space="preserve"> on a balance of probabilities</w:t>
      </w:r>
      <w:r w:rsidRPr="00BA49DE">
        <w:rPr>
          <w:color w:val="auto"/>
          <w:szCs w:val="22"/>
        </w:rPr>
        <w:t xml:space="preserve">.  </w:t>
      </w:r>
    </w:p>
    <w:p w14:paraId="4D96EA25" w14:textId="77777777" w:rsidR="0079186D" w:rsidRPr="007E599A" w:rsidRDefault="0079186D" w:rsidP="0079186D">
      <w:pPr>
        <w:pStyle w:val="Style1"/>
        <w:numPr>
          <w:ilvl w:val="0"/>
          <w:numId w:val="0"/>
        </w:numPr>
        <w:rPr>
          <w:i/>
          <w:iCs/>
        </w:rPr>
      </w:pPr>
      <w:r w:rsidRPr="007E599A">
        <w:rPr>
          <w:i/>
          <w:iCs/>
        </w:rPr>
        <w:t>Without force and without secrecy</w:t>
      </w:r>
    </w:p>
    <w:p w14:paraId="31A168EE" w14:textId="77777777" w:rsidR="0079186D" w:rsidRPr="007E599A" w:rsidRDefault="00905F79" w:rsidP="0079186D">
      <w:pPr>
        <w:pStyle w:val="Style1"/>
      </w:pPr>
      <w:r>
        <w:t>T</w:t>
      </w:r>
      <w:r w:rsidR="0079186D" w:rsidRPr="007E599A">
        <w:t xml:space="preserve">he OMA </w:t>
      </w:r>
      <w:r>
        <w:t>were</w:t>
      </w:r>
      <w:r w:rsidR="0079186D" w:rsidRPr="007E599A">
        <w:t xml:space="preserve"> satisfied that</w:t>
      </w:r>
      <w:r w:rsidR="00683171" w:rsidRPr="007E599A">
        <w:t xml:space="preserve"> </w:t>
      </w:r>
      <w:r>
        <w:t>t</w:t>
      </w:r>
      <w:r w:rsidR="0079186D" w:rsidRPr="007E599A">
        <w:t xml:space="preserve">here was no evidence that use had been by force or in secrecy. </w:t>
      </w:r>
      <w:r w:rsidR="0043200D" w:rsidRPr="007E599A">
        <w:t xml:space="preserve"> </w:t>
      </w:r>
      <w:r w:rsidR="00A25ED7" w:rsidRPr="007E599A">
        <w:t>I agree</w:t>
      </w:r>
      <w:r w:rsidR="002A6B16" w:rsidRPr="007E599A">
        <w:t xml:space="preserve"> </w:t>
      </w:r>
      <w:r w:rsidR="00A25ED7" w:rsidRPr="007E599A">
        <w:t>and note that a</w:t>
      </w:r>
      <w:r w:rsidR="0043200D" w:rsidRPr="007E599A">
        <w:t xml:space="preserve"> reference to a runner jumping over a fence appears to relate to</w:t>
      </w:r>
      <w:r>
        <w:t xml:space="preserve"> when </w:t>
      </w:r>
      <w:r w:rsidR="0043200D" w:rsidRPr="007E599A">
        <w:t xml:space="preserve">the route was called into question. </w:t>
      </w:r>
      <w:r w:rsidR="0079186D" w:rsidRPr="007E599A">
        <w:t xml:space="preserve"> </w:t>
      </w:r>
    </w:p>
    <w:p w14:paraId="184343FC" w14:textId="77777777" w:rsidR="00035507" w:rsidRPr="007E599A" w:rsidRDefault="00035507" w:rsidP="00035507">
      <w:pPr>
        <w:pStyle w:val="Style1"/>
        <w:numPr>
          <w:ilvl w:val="0"/>
          <w:numId w:val="0"/>
        </w:numPr>
        <w:rPr>
          <w:i/>
          <w:iCs/>
        </w:rPr>
      </w:pPr>
      <w:r w:rsidRPr="007E599A">
        <w:rPr>
          <w:i/>
          <w:iCs/>
        </w:rPr>
        <w:lastRenderedPageBreak/>
        <w:t>The route of the claimed way</w:t>
      </w:r>
    </w:p>
    <w:p w14:paraId="6793E5FF" w14:textId="77777777" w:rsidR="00F06825" w:rsidRPr="007E599A" w:rsidRDefault="00F06825" w:rsidP="00F06825">
      <w:pPr>
        <w:pStyle w:val="Style1"/>
      </w:pPr>
      <w:r w:rsidRPr="007E599A">
        <w:t xml:space="preserve">Shaun Crawley argued that </w:t>
      </w:r>
      <w:r w:rsidRPr="00F06825">
        <w:rPr>
          <w:rFonts w:eastAsia="Calibri"/>
          <w:lang w:eastAsia="en-US"/>
        </w:rPr>
        <w:t xml:space="preserve">dog walkers hated the kissing gate so walked down the edge of the field through the gap in the hedge which was more convenient. </w:t>
      </w:r>
      <w:r w:rsidRPr="007E599A">
        <w:t xml:space="preserve">Denise </w:t>
      </w:r>
      <w:r w:rsidR="005876E4">
        <w:t>Jagger</w:t>
      </w:r>
      <w:r w:rsidRPr="007E599A">
        <w:t xml:space="preserve"> did not dispute </w:t>
      </w:r>
      <w:proofErr w:type="gramStart"/>
      <w:r w:rsidRPr="00F06825">
        <w:rPr>
          <w:rFonts w:eastAsia="Calibri"/>
          <w:lang w:eastAsia="en-US"/>
        </w:rPr>
        <w:t xml:space="preserve">that </w:t>
      </w:r>
      <w:r w:rsidR="00DD3CA5">
        <w:rPr>
          <w:rFonts w:eastAsia="Calibri"/>
          <w:lang w:eastAsia="en-US"/>
        </w:rPr>
        <w:t>dogs</w:t>
      </w:r>
      <w:proofErr w:type="gramEnd"/>
      <w:r w:rsidR="00DD3CA5">
        <w:rPr>
          <w:rFonts w:eastAsia="Calibri"/>
          <w:lang w:eastAsia="en-US"/>
        </w:rPr>
        <w:t xml:space="preserve"> </w:t>
      </w:r>
      <w:r w:rsidRPr="00F06825">
        <w:rPr>
          <w:rFonts w:eastAsia="Calibri"/>
          <w:lang w:eastAsia="en-US"/>
        </w:rPr>
        <w:t xml:space="preserve">would not have liked a kissing gate but maintained that they could have got through a hole in the metal fencing. </w:t>
      </w:r>
      <w:r w:rsidR="00DD3CA5">
        <w:rPr>
          <w:rFonts w:eastAsia="Calibri"/>
          <w:lang w:eastAsia="en-US"/>
        </w:rPr>
        <w:t xml:space="preserve"> </w:t>
      </w:r>
      <w:r w:rsidRPr="00F06825">
        <w:rPr>
          <w:rFonts w:eastAsia="Calibri"/>
          <w:lang w:eastAsia="en-US"/>
        </w:rPr>
        <w:t xml:space="preserve">Even so, I think it likely that </w:t>
      </w:r>
      <w:r w:rsidR="00DD3CA5">
        <w:rPr>
          <w:rFonts w:eastAsia="Calibri"/>
          <w:lang w:eastAsia="en-US"/>
        </w:rPr>
        <w:t xml:space="preserve">most </w:t>
      </w:r>
      <w:r w:rsidRPr="00F06825">
        <w:rPr>
          <w:rFonts w:eastAsia="Calibri"/>
          <w:lang w:eastAsia="en-US"/>
        </w:rPr>
        <w:t>walkers</w:t>
      </w:r>
      <w:r w:rsidR="00DD3CA5">
        <w:rPr>
          <w:rFonts w:eastAsia="Calibri"/>
          <w:lang w:eastAsia="en-US"/>
        </w:rPr>
        <w:t>, with or without dogs</w:t>
      </w:r>
      <w:r w:rsidR="000C14D4">
        <w:rPr>
          <w:rFonts w:eastAsia="Calibri"/>
          <w:lang w:eastAsia="en-US"/>
        </w:rPr>
        <w:t xml:space="preserve">, </w:t>
      </w:r>
      <w:r w:rsidRPr="00F06825">
        <w:rPr>
          <w:rFonts w:eastAsia="Calibri"/>
          <w:lang w:eastAsia="en-US"/>
        </w:rPr>
        <w:t xml:space="preserve">would have gone through the break in the hedge to walk across </w:t>
      </w:r>
      <w:r w:rsidR="00DD3CA5">
        <w:rPr>
          <w:rFonts w:eastAsia="Calibri"/>
          <w:lang w:eastAsia="en-US"/>
        </w:rPr>
        <w:t xml:space="preserve">the unfenced </w:t>
      </w:r>
      <w:r w:rsidRPr="00F06825">
        <w:rPr>
          <w:rFonts w:eastAsia="Calibri"/>
          <w:lang w:eastAsia="en-US"/>
        </w:rPr>
        <w:t xml:space="preserve">Hoisty Field, </w:t>
      </w:r>
      <w:r w:rsidR="00DD3CA5">
        <w:rPr>
          <w:rFonts w:eastAsia="Calibri"/>
          <w:lang w:eastAsia="en-US"/>
        </w:rPr>
        <w:t>rather than through a kissing gate which gave a</w:t>
      </w:r>
      <w:r w:rsidR="000C14D4">
        <w:rPr>
          <w:rFonts w:eastAsia="Calibri"/>
          <w:lang w:eastAsia="en-US"/>
        </w:rPr>
        <w:t>n</w:t>
      </w:r>
      <w:r w:rsidR="00DD3CA5">
        <w:rPr>
          <w:rFonts w:eastAsia="Calibri"/>
          <w:lang w:eastAsia="en-US"/>
        </w:rPr>
        <w:t xml:space="preserve"> impression of fenced private property</w:t>
      </w:r>
      <w:r w:rsidRPr="00F06825">
        <w:rPr>
          <w:rFonts w:eastAsia="Calibri"/>
          <w:lang w:eastAsia="en-US"/>
        </w:rPr>
        <w:t xml:space="preserve">.  </w:t>
      </w:r>
    </w:p>
    <w:p w14:paraId="2FEB6478" w14:textId="77777777" w:rsidR="002409E2" w:rsidRDefault="001F5EEB" w:rsidP="002409E2">
      <w:pPr>
        <w:pStyle w:val="Style1"/>
      </w:pPr>
      <w:r>
        <w:t xml:space="preserve">The objector submitted an </w:t>
      </w:r>
      <w:r w:rsidR="002409E2" w:rsidRPr="007E599A">
        <w:t>analysi</w:t>
      </w:r>
      <w:r>
        <w:t>s</w:t>
      </w:r>
      <w:r w:rsidR="002409E2" w:rsidRPr="007E599A">
        <w:t xml:space="preserve"> </w:t>
      </w:r>
      <w:r>
        <w:t xml:space="preserve">of </w:t>
      </w:r>
      <w:r w:rsidR="002409E2" w:rsidRPr="007E599A">
        <w:t xml:space="preserve">the routes indicated on drawings attached to the </w:t>
      </w:r>
      <w:r w:rsidR="007F623A">
        <w:t>UEFs</w:t>
      </w:r>
      <w:r w:rsidR="00DD3CA5">
        <w:t>.</w:t>
      </w:r>
      <w:r w:rsidR="00AC4120">
        <w:t xml:space="preserve"> </w:t>
      </w:r>
      <w:r w:rsidR="00DD3CA5">
        <w:t xml:space="preserve"> T</w:t>
      </w:r>
      <w:r w:rsidR="00AC4120">
        <w:t xml:space="preserve">here </w:t>
      </w:r>
      <w:r>
        <w:t xml:space="preserve">were variations in the alignment by up to 75m. </w:t>
      </w:r>
      <w:r w:rsidR="005D0B2C" w:rsidRPr="007E599A">
        <w:t xml:space="preserve">The </w:t>
      </w:r>
      <w:r w:rsidR="00F06825">
        <w:t>drawing</w:t>
      </w:r>
      <w:r w:rsidR="005D0B2C" w:rsidRPr="007E599A">
        <w:t xml:space="preserve"> attached to Doreen Crawley’s evidence indicate</w:t>
      </w:r>
      <w:r w:rsidR="00F06825">
        <w:t>s</w:t>
      </w:r>
      <w:r w:rsidR="005D0B2C" w:rsidRPr="007E599A">
        <w:t xml:space="preserve"> a </w:t>
      </w:r>
      <w:r w:rsidR="00AC4120">
        <w:t xml:space="preserve">noticeably </w:t>
      </w:r>
      <w:r w:rsidR="005D0B2C" w:rsidRPr="007E599A">
        <w:t xml:space="preserve">different route.  </w:t>
      </w:r>
      <w:r>
        <w:t xml:space="preserve">On the site visit Denise </w:t>
      </w:r>
      <w:r w:rsidR="005876E4">
        <w:t>Jagger</w:t>
      </w:r>
      <w:r>
        <w:t xml:space="preserve"> showed me </w:t>
      </w:r>
      <w:r w:rsidR="00AC4120">
        <w:t xml:space="preserve">the </w:t>
      </w:r>
      <w:r>
        <w:t>route that she had observed</w:t>
      </w:r>
      <w:r w:rsidR="00AC4120">
        <w:t xml:space="preserve"> Doreen </w:t>
      </w:r>
      <w:r w:rsidR="005876E4">
        <w:t>Crawley</w:t>
      </w:r>
      <w:r w:rsidR="00AC4120">
        <w:t xml:space="preserve"> walking on the back drive. I observed that it very much </w:t>
      </w:r>
      <w:r w:rsidR="005D0B2C" w:rsidRPr="007E599A">
        <w:t>reflect</w:t>
      </w:r>
      <w:r w:rsidR="00AC4120">
        <w:t>ed</w:t>
      </w:r>
      <w:r w:rsidR="005D0B2C" w:rsidRPr="007E599A">
        <w:t xml:space="preserve"> the route </w:t>
      </w:r>
      <w:r w:rsidR="00AC4120">
        <w:t xml:space="preserve">that I had been told she </w:t>
      </w:r>
      <w:r w:rsidR="005D0B2C" w:rsidRPr="007E599A">
        <w:t xml:space="preserve">took latterly. </w:t>
      </w:r>
      <w:r>
        <w:t xml:space="preserve"> </w:t>
      </w:r>
    </w:p>
    <w:p w14:paraId="747A1A98" w14:textId="77777777" w:rsidR="00DD7A12" w:rsidRDefault="00AC4120" w:rsidP="00AC4120">
      <w:pPr>
        <w:pStyle w:val="Style1"/>
      </w:pPr>
      <w:r w:rsidRPr="007E599A">
        <w:t xml:space="preserve">The OMA’s position was that the slightly different alignments of the trod path </w:t>
      </w:r>
      <w:r>
        <w:t xml:space="preserve">were not significant.  From </w:t>
      </w:r>
      <w:proofErr w:type="gramStart"/>
      <w:r>
        <w:t>all of</w:t>
      </w:r>
      <w:proofErr w:type="gramEnd"/>
      <w:r>
        <w:t xml:space="preserve"> the evidence</w:t>
      </w:r>
      <w:r w:rsidR="00DD3CA5">
        <w:t>,</w:t>
      </w:r>
      <w:r>
        <w:t xml:space="preserve"> </w:t>
      </w:r>
      <w:r w:rsidR="00DD7A12">
        <w:t>including drawing</w:t>
      </w:r>
      <w:r w:rsidR="00F06825">
        <w:t>s</w:t>
      </w:r>
      <w:r w:rsidR="00DD7A12">
        <w:t xml:space="preserve"> prepared by the objector</w:t>
      </w:r>
      <w:r w:rsidR="00F06825">
        <w:t xml:space="preserve"> which overlay all of the claimed routes together with the boundary of Hoisty Field</w:t>
      </w:r>
      <w:r w:rsidR="00DD7A12">
        <w:rPr>
          <w:rStyle w:val="FootnoteReference"/>
        </w:rPr>
        <w:footnoteReference w:id="5"/>
      </w:r>
      <w:r w:rsidR="00DD3CA5">
        <w:t>,</w:t>
      </w:r>
      <w:r w:rsidR="00DD7A12">
        <w:t xml:space="preserve"> </w:t>
      </w:r>
      <w:r>
        <w:t xml:space="preserve">I </w:t>
      </w:r>
      <w:r w:rsidR="00DD7A12">
        <w:t>find that</w:t>
      </w:r>
      <w:r w:rsidR="00F06825">
        <w:t xml:space="preserve"> with the exception of Doreen </w:t>
      </w:r>
      <w:r w:rsidR="005876E4">
        <w:t>Crawley</w:t>
      </w:r>
      <w:r w:rsidR="00F06825">
        <w:t>’s drawing,</w:t>
      </w:r>
      <w:r w:rsidR="00DD7A12">
        <w:t xml:space="preserve"> </w:t>
      </w:r>
      <w:r w:rsidRPr="007E599A">
        <w:t xml:space="preserve">the routes shown are sufficiently convergent to support the </w:t>
      </w:r>
      <w:r w:rsidR="00DD7A12">
        <w:t xml:space="preserve">claimed way. </w:t>
      </w:r>
    </w:p>
    <w:p w14:paraId="0B5B329B" w14:textId="77777777" w:rsidR="00B8679C" w:rsidRPr="007E599A" w:rsidRDefault="00B8679C" w:rsidP="00B8679C">
      <w:pPr>
        <w:pStyle w:val="Style1"/>
      </w:pPr>
      <w:r w:rsidRPr="007E599A">
        <w:t xml:space="preserve">On my site visit I observed where a coppice has grown.  </w:t>
      </w:r>
      <w:r w:rsidR="00DD3CA5">
        <w:t>T</w:t>
      </w:r>
      <w:r>
        <w:t xml:space="preserve">he </w:t>
      </w:r>
      <w:r w:rsidRPr="007E599A">
        <w:t>routes</w:t>
      </w:r>
      <w:r>
        <w:t xml:space="preserve"> </w:t>
      </w:r>
      <w:r w:rsidR="00DD3CA5">
        <w:t xml:space="preserve">shown </w:t>
      </w:r>
      <w:r>
        <w:t xml:space="preserve">are generally consistent in indicating </w:t>
      </w:r>
      <w:r w:rsidRPr="007E599A">
        <w:t xml:space="preserve">a route outside of the coppice and along the field edge. </w:t>
      </w:r>
      <w:r>
        <w:t xml:space="preserve"> </w:t>
      </w:r>
      <w:r w:rsidRPr="007E599A">
        <w:t>The</w:t>
      </w:r>
      <w:r w:rsidR="00DD3CA5">
        <w:t xml:space="preserve"> </w:t>
      </w:r>
      <w:r w:rsidRPr="007E599A">
        <w:t>field</w:t>
      </w:r>
      <w:r w:rsidR="00DD3CA5">
        <w:t xml:space="preserve"> may have </w:t>
      </w:r>
      <w:r w:rsidRPr="007E599A">
        <w:t>be</w:t>
      </w:r>
      <w:r w:rsidR="00DD3CA5">
        <w:t>en</w:t>
      </w:r>
      <w:r w:rsidRPr="007E599A">
        <w:t xml:space="preserve"> overgrown with tall thistles, even so I’m not persuaded that there is evidence to say that this would have stopped users from walking </w:t>
      </w:r>
      <w:r>
        <w:t>a</w:t>
      </w:r>
      <w:r w:rsidRPr="007E599A">
        <w:t xml:space="preserve"> path around the perimeter of the field. </w:t>
      </w:r>
    </w:p>
    <w:p w14:paraId="44B121AD" w14:textId="77777777" w:rsidR="00B8679C" w:rsidRPr="007E599A" w:rsidRDefault="00DD3CA5" w:rsidP="00B8679C">
      <w:pPr>
        <w:pStyle w:val="Style1"/>
      </w:pPr>
      <w:r>
        <w:t>However, f</w:t>
      </w:r>
      <w:r w:rsidR="00637A72">
        <w:t xml:space="preserve">rom what I heard at the </w:t>
      </w:r>
      <w:r w:rsidR="005876E4">
        <w:t>Inquiry</w:t>
      </w:r>
      <w:r w:rsidR="00637A72">
        <w:t>, t</w:t>
      </w:r>
      <w:r w:rsidR="00B8679C">
        <w:t xml:space="preserve">he </w:t>
      </w:r>
      <w:r w:rsidR="00DD7A12">
        <w:t xml:space="preserve">drawings submitted with the </w:t>
      </w:r>
      <w:r w:rsidR="007F623A">
        <w:t>UEFs</w:t>
      </w:r>
      <w:r w:rsidR="00B8679C">
        <w:t>, the objector’s analysis</w:t>
      </w:r>
      <w:r w:rsidR="00DD7A12">
        <w:t xml:space="preserve"> and my site visit observations </w:t>
      </w:r>
      <w:r w:rsidR="00637A72">
        <w:t xml:space="preserve">I </w:t>
      </w:r>
      <w:r w:rsidR="00DD7A12">
        <w:t xml:space="preserve">conclude that the Order </w:t>
      </w:r>
      <w:r w:rsidR="008F3C72">
        <w:t>Plan</w:t>
      </w:r>
      <w:r w:rsidR="00DD7A12">
        <w:t xml:space="preserve"> route cross</w:t>
      </w:r>
      <w:r w:rsidR="00637A72">
        <w:t>es</w:t>
      </w:r>
      <w:r w:rsidR="00DD7A12">
        <w:t xml:space="preserve"> </w:t>
      </w:r>
      <w:r>
        <w:t xml:space="preserve">slightly </w:t>
      </w:r>
      <w:r w:rsidR="00DD7A12">
        <w:t>more directly across the field than the evidence supports</w:t>
      </w:r>
      <w:r>
        <w:t>.</w:t>
      </w:r>
      <w:r w:rsidR="00637A72">
        <w:t xml:space="preserve"> </w:t>
      </w:r>
      <w:r>
        <w:t>T</w:t>
      </w:r>
      <w:r w:rsidR="00637A72">
        <w:t xml:space="preserve">he evidence </w:t>
      </w:r>
      <w:r>
        <w:t>suggests</w:t>
      </w:r>
      <w:r w:rsidR="00637A72">
        <w:t xml:space="preserve"> a route slightly closer to the western field boundary</w:t>
      </w:r>
      <w:r w:rsidR="00DD7A12">
        <w:t xml:space="preserve">.  </w:t>
      </w:r>
      <w:r w:rsidR="00044882">
        <w:t xml:space="preserve">I am strengthened in this conclusion by what I heard about dog walkers walking down the edge of the field, and one UEF where the user indicates the point at which they were confronted by Mr Jagger.  </w:t>
      </w:r>
      <w:r w:rsidR="00B8679C">
        <w:t xml:space="preserve">Therefore there is a justification for a minor modification of the </w:t>
      </w:r>
      <w:r w:rsidR="005876E4">
        <w:t xml:space="preserve">Order </w:t>
      </w:r>
      <w:r w:rsidR="007F623A">
        <w:t>Route,</w:t>
      </w:r>
      <w:r w:rsidR="00B8679C">
        <w:t xml:space="preserve"> and this is set out in my formal decision below.</w:t>
      </w:r>
    </w:p>
    <w:p w14:paraId="5A65BA9E" w14:textId="77777777" w:rsidR="00F06825" w:rsidRPr="007E599A" w:rsidRDefault="00F06825" w:rsidP="00B8679C">
      <w:pPr>
        <w:pStyle w:val="Style1"/>
      </w:pPr>
      <w:r w:rsidRPr="007E599A">
        <w:t xml:space="preserve">There is a reference in the evidence to people seeing Doreen Crawley dog walking.  It is possible that post 1997 people might have seen Doreen Crawley walking on the back drive for which Denise </w:t>
      </w:r>
      <w:r w:rsidR="005876E4">
        <w:t>Jagger</w:t>
      </w:r>
      <w:r w:rsidRPr="007E599A">
        <w:t xml:space="preserve"> had given permission.  But there is nothing to say that other people who completed </w:t>
      </w:r>
      <w:r w:rsidR="007F623A">
        <w:t>UEFs</w:t>
      </w:r>
      <w:r w:rsidRPr="007E599A">
        <w:t xml:space="preserve"> forms were on that land.  Rather, there is a relatively consistent picture amongst the evidence of </w:t>
      </w:r>
      <w:r>
        <w:t xml:space="preserve">the </w:t>
      </w:r>
      <w:r w:rsidRPr="007E599A">
        <w:t xml:space="preserve">10 users that the </w:t>
      </w:r>
      <w:r>
        <w:t xml:space="preserve">OMA accepted that the </w:t>
      </w:r>
      <w:r w:rsidRPr="007E599A">
        <w:t xml:space="preserve">route was a </w:t>
      </w:r>
      <w:r w:rsidR="00DD3CA5" w:rsidRPr="007E599A">
        <w:t>trodden</w:t>
      </w:r>
      <w:r w:rsidR="00DD3CA5">
        <w:t xml:space="preserve"> or </w:t>
      </w:r>
      <w:r w:rsidRPr="007E599A">
        <w:t>compacted/worn earth path</w:t>
      </w:r>
      <w:r w:rsidR="00B8679C">
        <w:t xml:space="preserve"> of between 2’–3’ wide</w:t>
      </w:r>
      <w:r w:rsidRPr="007E599A">
        <w:t xml:space="preserve">.  I think it likely that they are describing a path through Hoisty Field.  </w:t>
      </w:r>
    </w:p>
    <w:p w14:paraId="0BB53843" w14:textId="77777777" w:rsidR="002A6B16" w:rsidRPr="007E599A" w:rsidRDefault="002A6B16" w:rsidP="00F75A68">
      <w:pPr>
        <w:pStyle w:val="Style1"/>
      </w:pPr>
      <w:r w:rsidRPr="007E599A">
        <w:t>The gardens of Fulford Hall Cottages would have obstructed the route.</w:t>
      </w:r>
      <w:r w:rsidR="00905F79">
        <w:t xml:space="preserve"> </w:t>
      </w:r>
      <w:r w:rsidRPr="007E599A">
        <w:t xml:space="preserve"> However I heard that those dwellings had been demolished before Shaun Crawley’s mother came to live </w:t>
      </w:r>
      <w:r w:rsidR="00DD3CA5">
        <w:t xml:space="preserve">at </w:t>
      </w:r>
      <w:r w:rsidR="000C14D4">
        <w:t>H</w:t>
      </w:r>
      <w:r w:rsidR="00DD3CA5">
        <w:t xml:space="preserve">all Farm </w:t>
      </w:r>
      <w:r w:rsidRPr="007E599A">
        <w:t xml:space="preserve">in 1970. </w:t>
      </w:r>
      <w:r w:rsidR="000C14D4">
        <w:t xml:space="preserve"> </w:t>
      </w:r>
      <w:r w:rsidRPr="007E599A">
        <w:t xml:space="preserve">The application was concerned with </w:t>
      </w:r>
      <w:r w:rsidR="00DD3CA5">
        <w:t>the</w:t>
      </w:r>
      <w:r w:rsidRPr="007E599A">
        <w:t xml:space="preserve"> period 1991-2011.  Of the </w:t>
      </w:r>
      <w:r w:rsidR="007F623A">
        <w:t>UEFs</w:t>
      </w:r>
      <w:r w:rsidRPr="007E599A">
        <w:t xml:space="preserve"> which have been accepted only three refer to use prior to 1970 and in each of these cases their claimed </w:t>
      </w:r>
      <w:r w:rsidRPr="007E599A">
        <w:lastRenderedPageBreak/>
        <w:t xml:space="preserve">use spans over four decades.  In this context I do not find it </w:t>
      </w:r>
      <w:r w:rsidR="000C14D4">
        <w:t xml:space="preserve">particularly </w:t>
      </w:r>
      <w:r w:rsidRPr="007E599A">
        <w:t xml:space="preserve">surprising that there is no reference to the cottages.   </w:t>
      </w:r>
    </w:p>
    <w:p w14:paraId="423C154B" w14:textId="77777777" w:rsidR="001A1D9D" w:rsidRPr="007E599A" w:rsidRDefault="002409E2" w:rsidP="00044882">
      <w:pPr>
        <w:pStyle w:val="Style1"/>
      </w:pPr>
      <w:r w:rsidRPr="007E599A">
        <w:t>Like the Inspector in the previous appeal decision, and the OMA, I am not persuaded that the difficulties posed by trees and a fence would prevent the acquisition of rights on the claimed way.</w:t>
      </w:r>
      <w:r w:rsidR="00044882">
        <w:t xml:space="preserve">  </w:t>
      </w:r>
      <w:r w:rsidR="001A1D9D" w:rsidRPr="007E599A">
        <w:t xml:space="preserve">One user’s evidence was set aside after </w:t>
      </w:r>
      <w:r w:rsidR="00DD3CA5">
        <w:t>they</w:t>
      </w:r>
      <w:r w:rsidR="001A1D9D" w:rsidRPr="007E599A">
        <w:t xml:space="preserve"> advised that </w:t>
      </w:r>
      <w:r w:rsidR="00DD3CA5">
        <w:t>they</w:t>
      </w:r>
      <w:r w:rsidR="001A1D9D" w:rsidRPr="007E599A">
        <w:t xml:space="preserve"> had been confused with Fulford footpath No 8. </w:t>
      </w:r>
      <w:r w:rsidR="001F1DF3" w:rsidRPr="007E599A">
        <w:t xml:space="preserve"> There is little </w:t>
      </w:r>
      <w:r w:rsidR="007E599A" w:rsidRPr="007E599A">
        <w:t>to</w:t>
      </w:r>
      <w:r w:rsidR="001F1DF3" w:rsidRPr="007E599A">
        <w:t xml:space="preserve"> say that anyone </w:t>
      </w:r>
      <w:r w:rsidR="00B8679C">
        <w:t>el</w:t>
      </w:r>
      <w:r w:rsidR="001F1DF3" w:rsidRPr="007E599A">
        <w:t xml:space="preserve">se was.  Indeed most </w:t>
      </w:r>
      <w:r w:rsidR="007F623A">
        <w:t>UEFs</w:t>
      </w:r>
      <w:r w:rsidR="001F1DF3" w:rsidRPr="007E599A">
        <w:t xml:space="preserve"> clearly state that the route connects with </w:t>
      </w:r>
      <w:r w:rsidR="000C14D4">
        <w:t xml:space="preserve">the </w:t>
      </w:r>
      <w:r w:rsidR="001F1DF3" w:rsidRPr="007E599A">
        <w:t>Nurses</w:t>
      </w:r>
      <w:r w:rsidR="000C14D4">
        <w:t>’</w:t>
      </w:r>
      <w:r w:rsidR="001F1DF3" w:rsidRPr="007E599A">
        <w:t xml:space="preserve"> Path.</w:t>
      </w:r>
    </w:p>
    <w:p w14:paraId="1609A581" w14:textId="77777777" w:rsidR="00C27E4F" w:rsidRPr="007E599A" w:rsidRDefault="001F1DF3" w:rsidP="00C27E4F">
      <w:pPr>
        <w:pStyle w:val="Style1"/>
        <w:numPr>
          <w:ilvl w:val="0"/>
          <w:numId w:val="0"/>
        </w:numPr>
        <w:rPr>
          <w:i/>
          <w:iCs/>
        </w:rPr>
      </w:pPr>
      <w:r w:rsidRPr="007E599A">
        <w:rPr>
          <w:i/>
          <w:iCs/>
        </w:rPr>
        <w:t xml:space="preserve">Documentary evidence </w:t>
      </w:r>
    </w:p>
    <w:p w14:paraId="0B1F15BE" w14:textId="77777777" w:rsidR="00DD3CA5" w:rsidRDefault="007E599A" w:rsidP="005D3E44">
      <w:pPr>
        <w:pStyle w:val="Style1"/>
      </w:pPr>
      <w:r w:rsidRPr="007E599A">
        <w:t xml:space="preserve">Fulford Parish Council submitted a map extract dating from a survey in 1889 and revised in 1938 </w:t>
      </w:r>
      <w:r w:rsidR="002226E6">
        <w:t xml:space="preserve">which </w:t>
      </w:r>
      <w:r w:rsidRPr="007E599A">
        <w:t xml:space="preserve">indicates part of </w:t>
      </w:r>
      <w:r w:rsidR="002226E6">
        <w:t xml:space="preserve">a </w:t>
      </w:r>
      <w:r w:rsidRPr="007E599A">
        <w:t xml:space="preserve">route across </w:t>
      </w:r>
      <w:r w:rsidR="002226E6">
        <w:t>the</w:t>
      </w:r>
      <w:r w:rsidRPr="007E599A">
        <w:t xml:space="preserve"> open field by hatched lines and with the letters “FP”.  </w:t>
      </w:r>
      <w:r w:rsidR="006050F8" w:rsidRPr="007E599A">
        <w:t xml:space="preserve">The OMA </w:t>
      </w:r>
      <w:r w:rsidR="005D0B2C" w:rsidRPr="007E599A">
        <w:t xml:space="preserve">state </w:t>
      </w:r>
      <w:r w:rsidR="006050F8" w:rsidRPr="007E599A">
        <w:t xml:space="preserve">that there is no commercial or </w:t>
      </w:r>
      <w:r w:rsidR="00EF62A2" w:rsidRPr="007E599A">
        <w:t>O</w:t>
      </w:r>
      <w:r w:rsidR="006050F8" w:rsidRPr="007E599A">
        <w:t xml:space="preserve">rdnance Survey mapping evidence showing </w:t>
      </w:r>
      <w:r w:rsidR="00EF62A2" w:rsidRPr="007E599A">
        <w:t xml:space="preserve">any feature crossing the affected land in the vicinity of the </w:t>
      </w:r>
      <w:r w:rsidR="005876E4">
        <w:t>Order Route</w:t>
      </w:r>
      <w:r w:rsidR="00EF62A2" w:rsidRPr="007E599A">
        <w:t>.</w:t>
      </w:r>
      <w:r w:rsidR="001F1DF3" w:rsidRPr="007E599A">
        <w:t xml:space="preserve"> </w:t>
      </w:r>
    </w:p>
    <w:p w14:paraId="4291BF43" w14:textId="77777777" w:rsidR="005D3E44" w:rsidRPr="007E599A" w:rsidRDefault="00884F34" w:rsidP="005D3E44">
      <w:pPr>
        <w:pStyle w:val="Style1"/>
      </w:pPr>
      <w:proofErr w:type="gramStart"/>
      <w:r>
        <w:t>A</w:t>
      </w:r>
      <w:r w:rsidR="001F1DF3" w:rsidRPr="007E599A">
        <w:t xml:space="preserve"> number of</w:t>
      </w:r>
      <w:proofErr w:type="gramEnd"/>
      <w:r w:rsidR="001F1DF3" w:rsidRPr="007E599A">
        <w:t xml:space="preserve"> aerial photographs showing the field at various times over the claimed period</w:t>
      </w:r>
      <w:r>
        <w:t xml:space="preserve"> have been submitted</w:t>
      </w:r>
      <w:r w:rsidR="001F1DF3" w:rsidRPr="007E599A">
        <w:t xml:space="preserve">.  Denise </w:t>
      </w:r>
      <w:r w:rsidR="005876E4">
        <w:t>Jagger</w:t>
      </w:r>
      <w:r w:rsidR="001F1DF3" w:rsidRPr="007E599A">
        <w:t xml:space="preserve"> told the </w:t>
      </w:r>
      <w:r w:rsidR="005876E4">
        <w:t>Inquiry</w:t>
      </w:r>
      <w:r w:rsidR="001F1DF3" w:rsidRPr="007E599A">
        <w:t xml:space="preserve"> </w:t>
      </w:r>
      <w:r>
        <w:t xml:space="preserve">that </w:t>
      </w:r>
      <w:r w:rsidR="001F1DF3" w:rsidRPr="007E599A">
        <w:t>they had purchased everything there was.</w:t>
      </w:r>
      <w:r w:rsidR="00EF62A2" w:rsidRPr="007E599A">
        <w:t xml:space="preserve"> </w:t>
      </w:r>
      <w:r w:rsidR="00D146F4" w:rsidRPr="007E599A">
        <w:t xml:space="preserve"> </w:t>
      </w:r>
      <w:r w:rsidR="005D3E44" w:rsidRPr="007E599A">
        <w:t>The photographs create a catalogue over time, but each</w:t>
      </w:r>
      <w:r w:rsidR="002226E6">
        <w:t xml:space="preserve"> image </w:t>
      </w:r>
      <w:r w:rsidR="005D3E44" w:rsidRPr="007E599A">
        <w:t xml:space="preserve">provides an image of </w:t>
      </w:r>
      <w:r w:rsidR="002226E6">
        <w:t>one</w:t>
      </w:r>
      <w:r w:rsidR="005D3E44" w:rsidRPr="007E599A">
        <w:t xml:space="preserve"> </w:t>
      </w:r>
      <w:proofErr w:type="gramStart"/>
      <w:r w:rsidR="005D3E44" w:rsidRPr="007E599A">
        <w:t>particular moment</w:t>
      </w:r>
      <w:proofErr w:type="gramEnd"/>
      <w:r w:rsidR="002226E6">
        <w:t xml:space="preserve"> only</w:t>
      </w:r>
      <w:r w:rsidR="005D3E44" w:rsidRPr="007E599A">
        <w:t xml:space="preserve">. </w:t>
      </w:r>
    </w:p>
    <w:p w14:paraId="6C6351BE" w14:textId="77777777" w:rsidR="002226E6" w:rsidRPr="007E599A" w:rsidRDefault="005D3E44" w:rsidP="00044882">
      <w:pPr>
        <w:pStyle w:val="Style1"/>
      </w:pPr>
      <w:r w:rsidRPr="007E599A">
        <w:t>T</w:t>
      </w:r>
      <w:r w:rsidR="00EF62A2" w:rsidRPr="007E599A">
        <w:t xml:space="preserve">he OMA </w:t>
      </w:r>
      <w:r w:rsidR="005D0B2C" w:rsidRPr="007E599A">
        <w:t xml:space="preserve">considered that </w:t>
      </w:r>
      <w:r w:rsidR="006B7454" w:rsidRPr="007E599A">
        <w:t xml:space="preserve">the </w:t>
      </w:r>
      <w:r w:rsidR="005D0B2C" w:rsidRPr="007E599A">
        <w:t xml:space="preserve">evidence indicates </w:t>
      </w:r>
      <w:r w:rsidR="006B7454" w:rsidRPr="007E599A">
        <w:t>a worn strip from 2007</w:t>
      </w:r>
      <w:r w:rsidR="005D0B2C" w:rsidRPr="007E599A">
        <w:t xml:space="preserve"> and suggests that </w:t>
      </w:r>
      <w:r w:rsidR="00EF62A2" w:rsidRPr="007E599A">
        <w:t xml:space="preserve">that the level of use was not substantial.  </w:t>
      </w:r>
      <w:r w:rsidR="00884F34">
        <w:t xml:space="preserve">The images are not very clear.  </w:t>
      </w:r>
      <w:r w:rsidR="00B8679C">
        <w:t xml:space="preserve">An aerial photograph from 4 July 2011 indicates a walked </w:t>
      </w:r>
      <w:r w:rsidR="00A37BBE">
        <w:t xml:space="preserve">path </w:t>
      </w:r>
      <w:r w:rsidR="00B8679C">
        <w:t xml:space="preserve">which the objector accepts existed at that time.  In others </w:t>
      </w:r>
      <w:r w:rsidR="00884F34">
        <w:t xml:space="preserve">it is possible </w:t>
      </w:r>
      <w:r w:rsidR="00B8679C">
        <w:t xml:space="preserve">that </w:t>
      </w:r>
      <w:r w:rsidR="00884F34">
        <w:t xml:space="preserve">a way </w:t>
      </w:r>
      <w:r w:rsidR="00B8679C">
        <w:t xml:space="preserve">might be visible, </w:t>
      </w:r>
      <w:r w:rsidR="00884F34">
        <w:t xml:space="preserve">but </w:t>
      </w:r>
      <w:r w:rsidR="00B8679C">
        <w:t xml:space="preserve">it is far from </w:t>
      </w:r>
      <w:r w:rsidR="00884F34">
        <w:t>certain</w:t>
      </w:r>
      <w:r w:rsidR="00884F34">
        <w:rPr>
          <w:rStyle w:val="FootnoteReference"/>
        </w:rPr>
        <w:footnoteReference w:id="6"/>
      </w:r>
      <w:r w:rsidR="00884F34">
        <w:t xml:space="preserve">.  In </w:t>
      </w:r>
      <w:r w:rsidR="00B8679C">
        <w:t xml:space="preserve">yet </w:t>
      </w:r>
      <w:r w:rsidR="00884F34">
        <w:t>others</w:t>
      </w:r>
      <w:r w:rsidR="00884F34">
        <w:rPr>
          <w:rStyle w:val="FootnoteReference"/>
        </w:rPr>
        <w:footnoteReference w:id="7"/>
      </w:r>
      <w:r w:rsidR="00884F34">
        <w:t xml:space="preserve"> </w:t>
      </w:r>
      <w:r w:rsidR="005D0B2C" w:rsidRPr="007E599A">
        <w:t xml:space="preserve">the aerial photography raises </w:t>
      </w:r>
      <w:r w:rsidR="00B8679C">
        <w:t>doubts</w:t>
      </w:r>
      <w:r w:rsidR="00884F34">
        <w:t>.</w:t>
      </w:r>
      <w:r w:rsidR="00044882">
        <w:t xml:space="preserve"> </w:t>
      </w:r>
      <w:r w:rsidR="000C14D4">
        <w:t xml:space="preserve"> </w:t>
      </w:r>
      <w:r w:rsidR="002226E6" w:rsidRPr="007E599A">
        <w:t xml:space="preserve">David Nunns argued that there are many public rights of way that that are not obvious on the ground due to limited use and farming practices.  I agree. </w:t>
      </w:r>
      <w:r w:rsidR="000C14D4">
        <w:t xml:space="preserve"> </w:t>
      </w:r>
      <w:r w:rsidR="002226E6" w:rsidRPr="007E599A">
        <w:t>Ploughing the field, set aside, tall weed infestations and growing crops could all lead people to make slight variations in t</w:t>
      </w:r>
      <w:r w:rsidR="002226E6">
        <w:t>he</w:t>
      </w:r>
      <w:r w:rsidR="002226E6" w:rsidRPr="007E599A">
        <w:t xml:space="preserve"> route they took at various times.</w:t>
      </w:r>
    </w:p>
    <w:p w14:paraId="3943CF26" w14:textId="77777777" w:rsidR="00EF62A2" w:rsidRPr="007E599A" w:rsidRDefault="002226E6" w:rsidP="002226E6">
      <w:pPr>
        <w:pStyle w:val="Style1"/>
      </w:pPr>
      <w:r>
        <w:t>T</w:t>
      </w:r>
      <w:r w:rsidR="005D0B2C" w:rsidRPr="002226E6">
        <w:rPr>
          <w:bCs/>
        </w:rPr>
        <w:t xml:space="preserve">he </w:t>
      </w:r>
      <w:r w:rsidR="00A32F47" w:rsidRPr="002226E6">
        <w:rPr>
          <w:bCs/>
        </w:rPr>
        <w:t xml:space="preserve">absence of evidence of the claimed way in some of the </w:t>
      </w:r>
      <w:r w:rsidR="00EF62A2" w:rsidRPr="002226E6">
        <w:rPr>
          <w:bCs/>
        </w:rPr>
        <w:t xml:space="preserve">aerial photography </w:t>
      </w:r>
      <w:r w:rsidR="005D3E44" w:rsidRPr="002226E6">
        <w:rPr>
          <w:bCs/>
        </w:rPr>
        <w:t xml:space="preserve">and </w:t>
      </w:r>
      <w:r w:rsidR="00EF62A2" w:rsidRPr="002226E6">
        <w:rPr>
          <w:bCs/>
        </w:rPr>
        <w:t>the absence of</w:t>
      </w:r>
      <w:r w:rsidR="00D850DA" w:rsidRPr="002226E6">
        <w:rPr>
          <w:bCs/>
        </w:rPr>
        <w:t xml:space="preserve"> other</w:t>
      </w:r>
      <w:r w:rsidR="00EF62A2" w:rsidRPr="002226E6">
        <w:rPr>
          <w:bCs/>
        </w:rPr>
        <w:t xml:space="preserve"> </w:t>
      </w:r>
      <w:r w:rsidR="00F76EE7" w:rsidRPr="002226E6">
        <w:rPr>
          <w:bCs/>
        </w:rPr>
        <w:t>documentary</w:t>
      </w:r>
      <w:r w:rsidR="00EF62A2" w:rsidRPr="002226E6">
        <w:rPr>
          <w:bCs/>
        </w:rPr>
        <w:t xml:space="preserve"> mapping evidence </w:t>
      </w:r>
      <w:r>
        <w:rPr>
          <w:bCs/>
        </w:rPr>
        <w:t>does weigh against the proposal but I am not satisfied that what has bee</w:t>
      </w:r>
      <w:r w:rsidR="000C14D4">
        <w:rPr>
          <w:bCs/>
        </w:rPr>
        <w:t>n</w:t>
      </w:r>
      <w:r>
        <w:rPr>
          <w:bCs/>
        </w:rPr>
        <w:t xml:space="preserve"> submitted precludes </w:t>
      </w:r>
      <w:r w:rsidR="00EF62A2" w:rsidRPr="002226E6">
        <w:rPr>
          <w:bCs/>
        </w:rPr>
        <w:t xml:space="preserve">the possibility that a public path could have been established over the claimed route </w:t>
      </w:r>
      <w:r w:rsidR="00F76EE7" w:rsidRPr="002226E6">
        <w:rPr>
          <w:bCs/>
        </w:rPr>
        <w:t>during the relevant period.</w:t>
      </w:r>
      <w:r w:rsidR="00B8679C" w:rsidRPr="002226E6">
        <w:rPr>
          <w:bCs/>
        </w:rPr>
        <w:t xml:space="preserve"> </w:t>
      </w:r>
      <w:r w:rsidR="000C14D4">
        <w:rPr>
          <w:bCs/>
        </w:rPr>
        <w:t xml:space="preserve"> </w:t>
      </w:r>
      <w:r w:rsidR="00B8679C" w:rsidRPr="002226E6">
        <w:rPr>
          <w:bCs/>
        </w:rPr>
        <w:t>The weight I attach to this evidence is therefore limited.</w:t>
      </w:r>
    </w:p>
    <w:p w14:paraId="796EB8A5" w14:textId="77777777" w:rsidR="00C27E4F" w:rsidRPr="007E599A" w:rsidRDefault="00C27E4F" w:rsidP="00EF62A2">
      <w:pPr>
        <w:pStyle w:val="Style1"/>
        <w:rPr>
          <w:bCs/>
        </w:rPr>
      </w:pPr>
      <w:r w:rsidRPr="007E599A">
        <w:rPr>
          <w:bCs/>
        </w:rPr>
        <w:t xml:space="preserve">I attach </w:t>
      </w:r>
      <w:r w:rsidR="005D0B2C" w:rsidRPr="007E599A">
        <w:rPr>
          <w:bCs/>
        </w:rPr>
        <w:t xml:space="preserve">no </w:t>
      </w:r>
      <w:r w:rsidRPr="007E599A">
        <w:rPr>
          <w:bCs/>
        </w:rPr>
        <w:t xml:space="preserve">weight to arguments that the </w:t>
      </w:r>
      <w:r w:rsidR="005876E4">
        <w:rPr>
          <w:bCs/>
        </w:rPr>
        <w:t>Order Route</w:t>
      </w:r>
      <w:r w:rsidRPr="007E599A">
        <w:rPr>
          <w:bCs/>
        </w:rPr>
        <w:t xml:space="preserve"> was not claimed during any stages of the preparation of the </w:t>
      </w:r>
      <w:r w:rsidR="002226E6">
        <w:rPr>
          <w:bCs/>
        </w:rPr>
        <w:t>D</w:t>
      </w:r>
      <w:r w:rsidRPr="007E599A">
        <w:rPr>
          <w:bCs/>
        </w:rPr>
        <w:t xml:space="preserve">efinitive </w:t>
      </w:r>
      <w:r w:rsidR="002226E6">
        <w:rPr>
          <w:bCs/>
        </w:rPr>
        <w:t>M</w:t>
      </w:r>
      <w:r w:rsidRPr="007E599A">
        <w:rPr>
          <w:bCs/>
        </w:rPr>
        <w:t>ap</w:t>
      </w:r>
      <w:r w:rsidR="000C14D4">
        <w:rPr>
          <w:bCs/>
        </w:rPr>
        <w:t xml:space="preserve">, or </w:t>
      </w:r>
      <w:r w:rsidR="005D3E44" w:rsidRPr="007E599A">
        <w:rPr>
          <w:bCs/>
        </w:rPr>
        <w:t>to an absence of evidence relating to the claimed way in title deeds</w:t>
      </w:r>
      <w:r w:rsidR="000C14D4">
        <w:rPr>
          <w:bCs/>
        </w:rPr>
        <w:t xml:space="preserve"> and</w:t>
      </w:r>
      <w:r w:rsidR="005D3E44" w:rsidRPr="007E599A">
        <w:rPr>
          <w:bCs/>
        </w:rPr>
        <w:t xml:space="preserve"> land searches. </w:t>
      </w:r>
    </w:p>
    <w:p w14:paraId="27AE9BF6" w14:textId="77777777" w:rsidR="006B7454" w:rsidRPr="007E599A" w:rsidRDefault="006B7454" w:rsidP="007E599A">
      <w:pPr>
        <w:pStyle w:val="Style1"/>
        <w:numPr>
          <w:ilvl w:val="0"/>
          <w:numId w:val="0"/>
        </w:numPr>
        <w:rPr>
          <w:i/>
          <w:iCs/>
        </w:rPr>
      </w:pPr>
      <w:r w:rsidRPr="007E599A">
        <w:rPr>
          <w:i/>
          <w:iCs/>
        </w:rPr>
        <w:t xml:space="preserve">Intentions of the relevant landowners </w:t>
      </w:r>
    </w:p>
    <w:p w14:paraId="70A1F652" w14:textId="77777777" w:rsidR="007E599A" w:rsidRPr="007E599A" w:rsidRDefault="001A1D9D" w:rsidP="000C14D4">
      <w:pPr>
        <w:pStyle w:val="Style1"/>
      </w:pPr>
      <w:r w:rsidRPr="007E599A">
        <w:t xml:space="preserve">Denise </w:t>
      </w:r>
      <w:r w:rsidR="005876E4">
        <w:t>Jagger</w:t>
      </w:r>
      <w:r w:rsidRPr="007E599A">
        <w:t xml:space="preserve"> explained that in 2011 some people had parked on Landing Lane only to find the riverside walk blocked or too muddy whilst works by Yorkshire Water were undertaking works along the riverbank.  Some of these people had </w:t>
      </w:r>
      <w:r w:rsidR="001F1DF3" w:rsidRPr="007E599A">
        <w:t xml:space="preserve">then </w:t>
      </w:r>
      <w:r w:rsidRPr="007E599A">
        <w:t xml:space="preserve">used Hoisty Field instead.  Denise </w:t>
      </w:r>
      <w:r w:rsidR="005876E4">
        <w:t>Jagger</w:t>
      </w:r>
      <w:r w:rsidRPr="007E599A">
        <w:t xml:space="preserve">’s evidence was that she </w:t>
      </w:r>
      <w:r w:rsidR="000C14D4" w:rsidRPr="007E599A">
        <w:t>acquiesced or</w:t>
      </w:r>
      <w:r w:rsidRPr="007E599A">
        <w:t xml:space="preserve"> turned a blind eye </w:t>
      </w:r>
      <w:r w:rsidR="00905F79">
        <w:t xml:space="preserve">as </w:t>
      </w:r>
      <w:r w:rsidRPr="007E599A">
        <w:t xml:space="preserve">she understood why and </w:t>
      </w:r>
      <w:r w:rsidR="00905F79">
        <w:t xml:space="preserve">because </w:t>
      </w:r>
      <w:r w:rsidRPr="007E599A">
        <w:t xml:space="preserve">it was temporary.  </w:t>
      </w:r>
    </w:p>
    <w:p w14:paraId="10738C59" w14:textId="77777777" w:rsidR="001A1D9D" w:rsidRPr="007E599A" w:rsidRDefault="001A1D9D" w:rsidP="002226E6">
      <w:pPr>
        <w:pStyle w:val="Style1"/>
      </w:pPr>
      <w:r w:rsidRPr="007E599A">
        <w:lastRenderedPageBreak/>
        <w:t>There is no evidence that any of these people would have had any knowledge that they had been given permission to walk on Hoisty Field.  And no</w:t>
      </w:r>
      <w:r w:rsidR="00637A72">
        <w:t xml:space="preserve"> evidence</w:t>
      </w:r>
      <w:r w:rsidRPr="007E599A">
        <w:t xml:space="preserve"> that any of the people who completed </w:t>
      </w:r>
      <w:r w:rsidR="007F623A">
        <w:t>UEFs</w:t>
      </w:r>
      <w:r w:rsidRPr="007E599A">
        <w:t xml:space="preserve"> had been given permission to walk on Hoisty Field in this way.</w:t>
      </w:r>
      <w:r w:rsidR="002226E6">
        <w:t xml:space="preserve"> </w:t>
      </w:r>
      <w:r w:rsidR="00DD302D" w:rsidRPr="007E599A">
        <w:t xml:space="preserve">There is no evidence to say that </w:t>
      </w:r>
      <w:r w:rsidRPr="007E599A">
        <w:t>a</w:t>
      </w:r>
      <w:r w:rsidR="00DD302D" w:rsidRPr="007E599A">
        <w:t xml:space="preserve"> landowner expressly dedicate</w:t>
      </w:r>
      <w:r w:rsidRPr="007E599A">
        <w:t>d</w:t>
      </w:r>
      <w:r w:rsidR="00DD302D" w:rsidRPr="007E599A">
        <w:t xml:space="preserve"> the route</w:t>
      </w:r>
      <w:r w:rsidR="006B7454" w:rsidRPr="007E599A">
        <w:t xml:space="preserve">. </w:t>
      </w:r>
    </w:p>
    <w:p w14:paraId="3BDBDCD1" w14:textId="77777777" w:rsidR="001F133E" w:rsidRDefault="001F133E" w:rsidP="001F133E">
      <w:pPr>
        <w:pStyle w:val="Style1"/>
        <w:numPr>
          <w:ilvl w:val="0"/>
          <w:numId w:val="0"/>
        </w:numPr>
        <w:spacing w:before="120"/>
      </w:pPr>
      <w:r>
        <w:rPr>
          <w:b/>
          <w:szCs w:val="22"/>
        </w:rPr>
        <w:t>Conclusions</w:t>
      </w:r>
    </w:p>
    <w:p w14:paraId="7CB31763" w14:textId="77777777" w:rsidR="001F133E" w:rsidRDefault="00044882" w:rsidP="00044882">
      <w:pPr>
        <w:pStyle w:val="Style1"/>
      </w:pPr>
      <w:r>
        <w:t>O</w:t>
      </w:r>
      <w:r w:rsidR="001F133E">
        <w:t xml:space="preserve">n a balance of probabilities </w:t>
      </w:r>
      <w:r w:rsidR="002226E6">
        <w:t xml:space="preserve">I conclude that </w:t>
      </w:r>
      <w:r w:rsidR="001F133E">
        <w:t xml:space="preserve">the evidence collectively points toward a public footpath along the claimed route.  </w:t>
      </w:r>
      <w:bookmarkStart w:id="8" w:name="_Hlk80283256"/>
      <w:r w:rsidR="001F133E">
        <w:t xml:space="preserve">However, the detailed alignment of </w:t>
      </w:r>
      <w:r w:rsidR="00637A72">
        <w:t xml:space="preserve">the </w:t>
      </w:r>
      <w:r w:rsidR="002226E6">
        <w:t xml:space="preserve">route shown on the </w:t>
      </w:r>
      <w:r w:rsidR="008F3C72">
        <w:t>Oder Plan</w:t>
      </w:r>
      <w:r w:rsidR="00637A72">
        <w:t xml:space="preserve"> cross</w:t>
      </w:r>
      <w:r w:rsidR="002226E6">
        <w:t>es</w:t>
      </w:r>
      <w:r w:rsidR="00637A72">
        <w:t xml:space="preserve"> more directly across the field than the evidence supports.  </w:t>
      </w:r>
      <w:bookmarkEnd w:id="8"/>
      <w:r w:rsidR="001F133E">
        <w:t>Therefore, and having considered all other matters raised, and for the reasons set out above, I conclude that the Order</w:t>
      </w:r>
      <w:r w:rsidR="002226E6">
        <w:t xml:space="preserve"> should be </w:t>
      </w:r>
      <w:r w:rsidR="007F623A">
        <w:t>confirmed,</w:t>
      </w:r>
      <w:r w:rsidR="002226E6">
        <w:t xml:space="preserve"> </w:t>
      </w:r>
      <w:r>
        <w:t xml:space="preserve">and </w:t>
      </w:r>
      <w:r w:rsidR="002226E6">
        <w:t>the Order</w:t>
      </w:r>
      <w:r w:rsidR="001F133E">
        <w:t xml:space="preserve"> </w:t>
      </w:r>
      <w:r w:rsidR="002226E6">
        <w:t xml:space="preserve">Route between Point A and Point </w:t>
      </w:r>
      <w:proofErr w:type="gramStart"/>
      <w:r w:rsidR="002226E6">
        <w:t>B  should</w:t>
      </w:r>
      <w:proofErr w:type="gramEnd"/>
      <w:r w:rsidR="002226E6">
        <w:t xml:space="preserve"> be recorded on the Definitive Map and Statement as a public footpath </w:t>
      </w:r>
      <w:r>
        <w:t xml:space="preserve">subject to the minor modifications of </w:t>
      </w:r>
      <w:r w:rsidR="002226E6">
        <w:t>the Order Plan and Schedule Parts I and II set out below</w:t>
      </w:r>
      <w:r w:rsidR="001F133E">
        <w:t xml:space="preserve">. </w:t>
      </w:r>
    </w:p>
    <w:p w14:paraId="7D952C85" w14:textId="77777777" w:rsidR="001F133E" w:rsidRDefault="001F133E" w:rsidP="001F133E">
      <w:pPr>
        <w:pStyle w:val="Style1"/>
        <w:numPr>
          <w:ilvl w:val="0"/>
          <w:numId w:val="0"/>
        </w:numPr>
        <w:spacing w:before="120"/>
      </w:pPr>
      <w:r>
        <w:rPr>
          <w:b/>
          <w:szCs w:val="22"/>
        </w:rPr>
        <w:t>Formal Decision</w:t>
      </w:r>
    </w:p>
    <w:p w14:paraId="5ED9D862" w14:textId="77777777" w:rsidR="001F133E" w:rsidRDefault="001F133E" w:rsidP="001F133E">
      <w:pPr>
        <w:pStyle w:val="Style1"/>
        <w:spacing w:before="120"/>
      </w:pPr>
      <w:r>
        <w:rPr>
          <w:szCs w:val="22"/>
        </w:rPr>
        <w:t xml:space="preserve">The Order is </w:t>
      </w:r>
      <w:r>
        <w:t>confirm</w:t>
      </w:r>
      <w:r w:rsidR="00BE78D0">
        <w:t>ed</w:t>
      </w:r>
      <w:r>
        <w:t xml:space="preserve"> subject to </w:t>
      </w:r>
      <w:r>
        <w:rPr>
          <w:color w:val="auto"/>
        </w:rPr>
        <w:t>the following modifications:</w:t>
      </w:r>
    </w:p>
    <w:p w14:paraId="664F215C" w14:textId="77777777" w:rsidR="00637A72" w:rsidRPr="00637A72" w:rsidRDefault="00637A72" w:rsidP="00637A72">
      <w:pPr>
        <w:pStyle w:val="Style1"/>
        <w:numPr>
          <w:ilvl w:val="0"/>
          <w:numId w:val="25"/>
        </w:numPr>
        <w:spacing w:before="120"/>
        <w:ind w:hanging="726"/>
      </w:pPr>
      <w:r>
        <w:rPr>
          <w:szCs w:val="22"/>
        </w:rPr>
        <w:t xml:space="preserve">      Amend the </w:t>
      </w:r>
      <w:r w:rsidR="008F3C72">
        <w:rPr>
          <w:szCs w:val="22"/>
        </w:rPr>
        <w:t>Oder Plan</w:t>
      </w:r>
      <w:r>
        <w:rPr>
          <w:szCs w:val="22"/>
        </w:rPr>
        <w:t xml:space="preserve"> to indicate the route as shown in red on the drawing attached hereto.</w:t>
      </w:r>
    </w:p>
    <w:p w14:paraId="04BFA6A2" w14:textId="77777777" w:rsidR="00837EEE" w:rsidRPr="00837EEE" w:rsidRDefault="001F133E" w:rsidP="001F133E">
      <w:pPr>
        <w:pStyle w:val="Style1"/>
        <w:numPr>
          <w:ilvl w:val="0"/>
          <w:numId w:val="25"/>
        </w:numPr>
        <w:spacing w:before="120"/>
        <w:ind w:hanging="726"/>
      </w:pPr>
      <w:r>
        <w:rPr>
          <w:szCs w:val="22"/>
        </w:rPr>
        <w:t>Amend th</w:t>
      </w:r>
      <w:r w:rsidR="00837EEE">
        <w:rPr>
          <w:szCs w:val="22"/>
        </w:rPr>
        <w:t>at part of</w:t>
      </w:r>
      <w:r>
        <w:rPr>
          <w:szCs w:val="22"/>
        </w:rPr>
        <w:t xml:space="preserve"> </w:t>
      </w:r>
      <w:r w:rsidR="00837EEE">
        <w:rPr>
          <w:szCs w:val="22"/>
        </w:rPr>
        <w:t xml:space="preserve">the </w:t>
      </w:r>
      <w:r>
        <w:rPr>
          <w:szCs w:val="22"/>
        </w:rPr>
        <w:t xml:space="preserve">Schedule Part 1 </w:t>
      </w:r>
      <w:r w:rsidR="00837EEE">
        <w:rPr>
          <w:szCs w:val="22"/>
        </w:rPr>
        <w:t>description after the words “</w:t>
      </w:r>
      <w:r w:rsidR="00837EEE" w:rsidRPr="00837EEE">
        <w:rPr>
          <w:i/>
          <w:iCs/>
          <w:szCs w:val="22"/>
        </w:rPr>
        <w:t>metal estate fencing from where it</w:t>
      </w:r>
      <w:r w:rsidR="00837EEE">
        <w:rPr>
          <w:szCs w:val="22"/>
        </w:rPr>
        <w:t>” by deleting the words “</w:t>
      </w:r>
      <w:r w:rsidR="00837EEE" w:rsidRPr="00837EEE">
        <w:rPr>
          <w:i/>
          <w:iCs/>
          <w:szCs w:val="22"/>
        </w:rPr>
        <w:t xml:space="preserve">heads generally south across the open field for approximately </w:t>
      </w:r>
      <w:r w:rsidR="00837EEE">
        <w:rPr>
          <w:i/>
          <w:iCs/>
          <w:szCs w:val="22"/>
        </w:rPr>
        <w:t>184</w:t>
      </w:r>
      <w:proofErr w:type="gramStart"/>
      <w:r w:rsidR="00837EEE" w:rsidRPr="00837EEE">
        <w:rPr>
          <w:i/>
          <w:iCs/>
          <w:szCs w:val="22"/>
        </w:rPr>
        <w:t>m</w:t>
      </w:r>
      <w:r w:rsidR="00837EEE">
        <w:rPr>
          <w:szCs w:val="22"/>
        </w:rPr>
        <w:t>”  and</w:t>
      </w:r>
      <w:proofErr w:type="gramEnd"/>
      <w:r w:rsidR="00837EEE">
        <w:rPr>
          <w:szCs w:val="22"/>
        </w:rPr>
        <w:t xml:space="preserve"> inserting the words “</w:t>
      </w:r>
      <w:r w:rsidR="00837EEE" w:rsidRPr="00837EEE">
        <w:rPr>
          <w:i/>
          <w:iCs/>
          <w:szCs w:val="22"/>
        </w:rPr>
        <w:t xml:space="preserve">heads generally south close to the western field boundary </w:t>
      </w:r>
      <w:r w:rsidR="00837EEE">
        <w:rPr>
          <w:i/>
          <w:iCs/>
          <w:szCs w:val="22"/>
        </w:rPr>
        <w:t xml:space="preserve">for approximately 190m </w:t>
      </w:r>
      <w:r w:rsidR="00837EEE" w:rsidRPr="00837EEE">
        <w:rPr>
          <w:i/>
          <w:iCs/>
          <w:szCs w:val="22"/>
        </w:rPr>
        <w:t>until</w:t>
      </w:r>
      <w:r w:rsidR="00837EEE">
        <w:rPr>
          <w:szCs w:val="22"/>
        </w:rPr>
        <w:t xml:space="preserve">..” </w:t>
      </w:r>
    </w:p>
    <w:p w14:paraId="47685105" w14:textId="77777777" w:rsidR="00837EEE" w:rsidRPr="00837EEE" w:rsidRDefault="00837EEE" w:rsidP="00837EEE">
      <w:pPr>
        <w:pStyle w:val="Style1"/>
        <w:numPr>
          <w:ilvl w:val="0"/>
          <w:numId w:val="25"/>
        </w:numPr>
        <w:spacing w:before="120"/>
        <w:ind w:hanging="726"/>
      </w:pPr>
      <w:r>
        <w:rPr>
          <w:szCs w:val="22"/>
        </w:rPr>
        <w:t>Amend that part of the Schedule Part 2 description after the words “</w:t>
      </w:r>
      <w:r w:rsidRPr="00837EEE">
        <w:rPr>
          <w:i/>
          <w:iCs/>
          <w:szCs w:val="22"/>
        </w:rPr>
        <w:t>metal estate fencing from where it</w:t>
      </w:r>
      <w:r>
        <w:rPr>
          <w:szCs w:val="22"/>
        </w:rPr>
        <w:t xml:space="preserve">” </w:t>
      </w:r>
      <w:proofErr w:type="gramStart"/>
      <w:r>
        <w:rPr>
          <w:szCs w:val="22"/>
        </w:rPr>
        <w:t>by  deleting</w:t>
      </w:r>
      <w:proofErr w:type="gramEnd"/>
      <w:r>
        <w:rPr>
          <w:szCs w:val="22"/>
        </w:rPr>
        <w:t xml:space="preserve"> the words “</w:t>
      </w:r>
      <w:r w:rsidRPr="00837EEE">
        <w:rPr>
          <w:i/>
          <w:iCs/>
          <w:szCs w:val="22"/>
        </w:rPr>
        <w:t>heads generally south across the open field for approximately 184m</w:t>
      </w:r>
      <w:r>
        <w:rPr>
          <w:szCs w:val="22"/>
        </w:rPr>
        <w:t>”  and inserting the words “</w:t>
      </w:r>
      <w:r w:rsidRPr="00837EEE">
        <w:rPr>
          <w:i/>
          <w:iCs/>
          <w:szCs w:val="22"/>
        </w:rPr>
        <w:t xml:space="preserve">heads generally south close to the western field boundary </w:t>
      </w:r>
      <w:r>
        <w:rPr>
          <w:i/>
          <w:iCs/>
          <w:szCs w:val="22"/>
        </w:rPr>
        <w:t xml:space="preserve">for approximately 190m </w:t>
      </w:r>
      <w:r w:rsidRPr="00837EEE">
        <w:rPr>
          <w:i/>
          <w:iCs/>
          <w:szCs w:val="22"/>
        </w:rPr>
        <w:t>until</w:t>
      </w:r>
      <w:r>
        <w:rPr>
          <w:szCs w:val="22"/>
        </w:rPr>
        <w:t xml:space="preserve">..” </w:t>
      </w:r>
    </w:p>
    <w:p w14:paraId="07F90130" w14:textId="77777777" w:rsidR="001F133E" w:rsidRDefault="00837EEE" w:rsidP="001F133E">
      <w:pPr>
        <w:pStyle w:val="Style1"/>
        <w:numPr>
          <w:ilvl w:val="0"/>
          <w:numId w:val="25"/>
        </w:numPr>
        <w:spacing w:before="120"/>
        <w:ind w:hanging="726"/>
      </w:pPr>
      <w:r>
        <w:rPr>
          <w:szCs w:val="22"/>
        </w:rPr>
        <w:t>Amend that part of the Schedule Part 2 length to read 0.19km Total 0.19km.</w:t>
      </w:r>
    </w:p>
    <w:p w14:paraId="76AF5624" w14:textId="77777777" w:rsidR="00BE78D0" w:rsidRDefault="001F133E" w:rsidP="00BE78D0">
      <w:pPr>
        <w:pStyle w:val="Style1"/>
      </w:pPr>
      <w:r>
        <w:rPr>
          <w:szCs w:val="22"/>
        </w:rPr>
        <w:t xml:space="preserve">As the proposed modifications would </w:t>
      </w:r>
      <w:r w:rsidR="00837EEE">
        <w:rPr>
          <w:szCs w:val="22"/>
        </w:rPr>
        <w:t xml:space="preserve">be </w:t>
      </w:r>
      <w:r w:rsidR="00BE78D0">
        <w:rPr>
          <w:szCs w:val="22"/>
        </w:rPr>
        <w:t xml:space="preserve">a </w:t>
      </w:r>
      <w:r w:rsidR="00837EEE">
        <w:rPr>
          <w:szCs w:val="22"/>
        </w:rPr>
        <w:t xml:space="preserve">minor </w:t>
      </w:r>
      <w:r w:rsidR="00BE78D0">
        <w:rPr>
          <w:szCs w:val="22"/>
        </w:rPr>
        <w:t xml:space="preserve">modification of a way already shown, </w:t>
      </w:r>
      <w:r w:rsidR="00837EEE">
        <w:rPr>
          <w:szCs w:val="22"/>
        </w:rPr>
        <w:t xml:space="preserve">would not </w:t>
      </w:r>
      <w:r w:rsidR="00BE78D0">
        <w:rPr>
          <w:szCs w:val="22"/>
        </w:rPr>
        <w:t>affect land not affected by the Order, and would not change the nature of the highway described I</w:t>
      </w:r>
      <w:r>
        <w:rPr>
          <w:rFonts w:cs="Arial"/>
          <w:szCs w:val="22"/>
          <w:shd w:val="clear" w:color="auto" w:fill="FFFFFF"/>
        </w:rPr>
        <w:t xml:space="preserve"> </w:t>
      </w:r>
      <w:r>
        <w:rPr>
          <w:szCs w:val="22"/>
        </w:rPr>
        <w:t xml:space="preserve">am </w:t>
      </w:r>
      <w:r w:rsidR="00BE78D0">
        <w:rPr>
          <w:szCs w:val="22"/>
        </w:rPr>
        <w:t xml:space="preserve">satisfied that there is no </w:t>
      </w:r>
      <w:r w:rsidR="006B28C4">
        <w:rPr>
          <w:szCs w:val="22"/>
        </w:rPr>
        <w:t>requirement</w:t>
      </w:r>
      <w:r w:rsidR="00BE78D0">
        <w:rPr>
          <w:szCs w:val="22"/>
        </w:rPr>
        <w:t xml:space="preserve"> under </w:t>
      </w:r>
      <w:r>
        <w:rPr>
          <w:szCs w:val="22"/>
        </w:rPr>
        <w:t xml:space="preserve">Paragraph </w:t>
      </w:r>
      <w:proofErr w:type="gramStart"/>
      <w:r>
        <w:rPr>
          <w:szCs w:val="22"/>
        </w:rPr>
        <w:t xml:space="preserve">8  </w:t>
      </w:r>
      <w:r>
        <w:t>of</w:t>
      </w:r>
      <w:proofErr w:type="gramEnd"/>
      <w:r>
        <w:t xml:space="preserve"> Schedule 15 of the Wildlife and Countryside Act 1981 to </w:t>
      </w:r>
      <w:r>
        <w:rPr>
          <w:szCs w:val="22"/>
        </w:rPr>
        <w:t xml:space="preserve">give notice of the proposal to modify the Order. </w:t>
      </w:r>
      <w:r>
        <w:t xml:space="preserve"> </w:t>
      </w:r>
    </w:p>
    <w:p w14:paraId="3F889CC3" w14:textId="77777777" w:rsidR="001F133E" w:rsidRDefault="001F133E" w:rsidP="001F133E">
      <w:pPr>
        <w:spacing w:before="120"/>
        <w:rPr>
          <w:rFonts w:ascii="Monotype Corsiva" w:hAnsi="Monotype Corsiva"/>
          <w:b/>
          <w:sz w:val="36"/>
          <w:szCs w:val="36"/>
        </w:rPr>
      </w:pPr>
      <w:r>
        <w:rPr>
          <w:rFonts w:ascii="Monotype Corsiva" w:hAnsi="Monotype Corsiva"/>
          <w:b/>
          <w:sz w:val="36"/>
          <w:szCs w:val="36"/>
        </w:rPr>
        <w:t xml:space="preserve">Helen Heward </w:t>
      </w:r>
    </w:p>
    <w:p w14:paraId="76F2BE14" w14:textId="77777777" w:rsidR="007F623A" w:rsidRDefault="001F133E" w:rsidP="001F133E">
      <w:pPr>
        <w:pStyle w:val="Style1"/>
        <w:numPr>
          <w:ilvl w:val="0"/>
          <w:numId w:val="0"/>
        </w:numPr>
        <w:spacing w:before="100" w:beforeAutospacing="1"/>
      </w:pPr>
      <w:r>
        <w:t>INSPECTOR</w:t>
      </w:r>
    </w:p>
    <w:p w14:paraId="5972EBEB" w14:textId="77777777" w:rsidR="007F623A" w:rsidRDefault="007F623A" w:rsidP="001F133E">
      <w:pPr>
        <w:pStyle w:val="Style1"/>
        <w:numPr>
          <w:ilvl w:val="0"/>
          <w:numId w:val="0"/>
        </w:numPr>
        <w:spacing w:before="100" w:beforeAutospacing="1"/>
      </w:pPr>
      <w:r>
        <w:t>Attachment – Modified Order Plan</w:t>
      </w:r>
    </w:p>
    <w:p w14:paraId="28D16A84" w14:textId="77777777" w:rsidR="00716B1F" w:rsidRPr="007E599A" w:rsidRDefault="00716B1F" w:rsidP="00E15D4E">
      <w:pPr>
        <w:pStyle w:val="Style1"/>
        <w:numPr>
          <w:ilvl w:val="0"/>
          <w:numId w:val="0"/>
        </w:numPr>
        <w:spacing w:before="100" w:beforeAutospacing="1"/>
        <w:rPr>
          <w:color w:val="FF0000"/>
          <w:sz w:val="28"/>
          <w:szCs w:val="28"/>
        </w:rPr>
      </w:pPr>
    </w:p>
    <w:p w14:paraId="04F0231F" w14:textId="77777777" w:rsidR="00716B1F" w:rsidRPr="001F133E" w:rsidRDefault="005876E4" w:rsidP="00E15D4E">
      <w:pPr>
        <w:pStyle w:val="Style1"/>
        <w:numPr>
          <w:ilvl w:val="0"/>
          <w:numId w:val="0"/>
        </w:numPr>
        <w:spacing w:before="100" w:beforeAutospacing="1"/>
        <w:rPr>
          <w:b/>
          <w:bCs/>
          <w:color w:val="auto"/>
          <w:szCs w:val="22"/>
        </w:rPr>
      </w:pPr>
      <w:r>
        <w:rPr>
          <w:b/>
          <w:bCs/>
          <w:color w:val="auto"/>
          <w:szCs w:val="22"/>
        </w:rPr>
        <w:t>INQUIRY</w:t>
      </w:r>
      <w:r w:rsidR="00BE78D0">
        <w:rPr>
          <w:b/>
          <w:bCs/>
          <w:color w:val="auto"/>
          <w:szCs w:val="22"/>
        </w:rPr>
        <w:t xml:space="preserve"> </w:t>
      </w:r>
      <w:r w:rsidR="00574859" w:rsidRPr="001F133E">
        <w:rPr>
          <w:b/>
          <w:bCs/>
          <w:color w:val="auto"/>
          <w:szCs w:val="22"/>
        </w:rPr>
        <w:t>ATTENDANCES</w:t>
      </w:r>
    </w:p>
    <w:p w14:paraId="0B801596" w14:textId="77777777" w:rsidR="00574859" w:rsidRPr="007E599A" w:rsidRDefault="00574859" w:rsidP="00E15D4E">
      <w:pPr>
        <w:pStyle w:val="Style1"/>
        <w:numPr>
          <w:ilvl w:val="0"/>
          <w:numId w:val="0"/>
        </w:numPr>
        <w:spacing w:before="100" w:beforeAutospacing="1"/>
        <w:rPr>
          <w:color w:val="auto"/>
          <w:szCs w:val="22"/>
        </w:rPr>
      </w:pPr>
      <w:r w:rsidRPr="007E599A">
        <w:rPr>
          <w:color w:val="auto"/>
          <w:szCs w:val="22"/>
        </w:rPr>
        <w:t>Russell Varley, Definitive Maps Officer, City of York Council</w:t>
      </w:r>
    </w:p>
    <w:p w14:paraId="4BC8CD3F" w14:textId="77777777" w:rsidR="00574859" w:rsidRPr="007E599A" w:rsidRDefault="00574859" w:rsidP="00E15D4E">
      <w:pPr>
        <w:pStyle w:val="Style1"/>
        <w:numPr>
          <w:ilvl w:val="0"/>
          <w:numId w:val="0"/>
        </w:numPr>
        <w:spacing w:before="100" w:beforeAutospacing="1"/>
        <w:rPr>
          <w:color w:val="auto"/>
          <w:szCs w:val="22"/>
        </w:rPr>
      </w:pPr>
      <w:r w:rsidRPr="007E599A">
        <w:rPr>
          <w:color w:val="auto"/>
          <w:szCs w:val="22"/>
        </w:rPr>
        <w:t xml:space="preserve">Shaun Crawley, on behalf of the </w:t>
      </w:r>
      <w:r w:rsidR="00AC3330">
        <w:rPr>
          <w:color w:val="auto"/>
          <w:szCs w:val="22"/>
        </w:rPr>
        <w:t>a</w:t>
      </w:r>
      <w:r w:rsidRPr="007E599A">
        <w:rPr>
          <w:color w:val="auto"/>
          <w:szCs w:val="22"/>
        </w:rPr>
        <w:t xml:space="preserve">pplicant </w:t>
      </w:r>
      <w:r w:rsidRPr="0071101E">
        <w:rPr>
          <w:color w:val="auto"/>
          <w:szCs w:val="22"/>
        </w:rPr>
        <w:t>Graham Cheyne</w:t>
      </w:r>
    </w:p>
    <w:p w14:paraId="7176B4BD" w14:textId="77777777" w:rsidR="00574859" w:rsidRPr="007E599A" w:rsidRDefault="00574859" w:rsidP="00E15D4E">
      <w:pPr>
        <w:pStyle w:val="Style1"/>
        <w:numPr>
          <w:ilvl w:val="0"/>
          <w:numId w:val="0"/>
        </w:numPr>
        <w:spacing w:before="100" w:beforeAutospacing="1"/>
        <w:rPr>
          <w:color w:val="auto"/>
          <w:szCs w:val="22"/>
        </w:rPr>
      </w:pPr>
      <w:r w:rsidRPr="007E599A">
        <w:rPr>
          <w:color w:val="auto"/>
          <w:szCs w:val="22"/>
        </w:rPr>
        <w:t xml:space="preserve">He </w:t>
      </w:r>
      <w:proofErr w:type="gramStart"/>
      <w:r w:rsidRPr="007E599A">
        <w:rPr>
          <w:color w:val="auto"/>
          <w:szCs w:val="22"/>
        </w:rPr>
        <w:t>called  Mr</w:t>
      </w:r>
      <w:proofErr w:type="gramEnd"/>
      <w:r w:rsidRPr="007E599A">
        <w:rPr>
          <w:color w:val="auto"/>
          <w:szCs w:val="22"/>
        </w:rPr>
        <w:t xml:space="preserve"> Nunns of the Ramblers Association</w:t>
      </w:r>
    </w:p>
    <w:p w14:paraId="7200A21B" w14:textId="7FC75435" w:rsidR="00CC4E36" w:rsidRDefault="00574859" w:rsidP="007E599A">
      <w:pPr>
        <w:pStyle w:val="Style1"/>
        <w:numPr>
          <w:ilvl w:val="0"/>
          <w:numId w:val="0"/>
        </w:numPr>
        <w:spacing w:before="100" w:beforeAutospacing="1"/>
        <w:rPr>
          <w:color w:val="auto"/>
          <w:szCs w:val="22"/>
        </w:rPr>
      </w:pPr>
      <w:r w:rsidRPr="007E599A">
        <w:rPr>
          <w:color w:val="auto"/>
          <w:szCs w:val="22"/>
        </w:rPr>
        <w:t xml:space="preserve">Denise </w:t>
      </w:r>
      <w:r w:rsidR="005876E4">
        <w:rPr>
          <w:color w:val="auto"/>
          <w:szCs w:val="22"/>
        </w:rPr>
        <w:t>Jagger</w:t>
      </w:r>
      <w:r w:rsidRPr="007E599A">
        <w:rPr>
          <w:color w:val="auto"/>
          <w:szCs w:val="22"/>
        </w:rPr>
        <w:t xml:space="preserve">, </w:t>
      </w:r>
      <w:r w:rsidR="007E599A" w:rsidRPr="007E599A">
        <w:rPr>
          <w:color w:val="auto"/>
          <w:szCs w:val="22"/>
        </w:rPr>
        <w:t>landowner,</w:t>
      </w:r>
      <w:r w:rsidRPr="007E599A">
        <w:rPr>
          <w:color w:val="auto"/>
          <w:szCs w:val="22"/>
        </w:rPr>
        <w:t xml:space="preserve"> and objector</w:t>
      </w:r>
    </w:p>
    <w:p w14:paraId="314D5BCB" w14:textId="7B78BB3E" w:rsidR="006B28C4" w:rsidRPr="00574859" w:rsidRDefault="00CC4E36" w:rsidP="007E599A">
      <w:pPr>
        <w:pStyle w:val="Style1"/>
        <w:numPr>
          <w:ilvl w:val="0"/>
          <w:numId w:val="0"/>
        </w:numPr>
        <w:spacing w:before="100" w:beforeAutospacing="1"/>
        <w:rPr>
          <w:color w:val="auto"/>
          <w:szCs w:val="22"/>
        </w:rPr>
      </w:pPr>
      <w:r>
        <w:rPr>
          <w:color w:val="auto"/>
          <w:szCs w:val="22"/>
        </w:rPr>
        <w:br w:type="page"/>
      </w:r>
      <w:r w:rsidR="00371F8B">
        <w:rPr>
          <w:noProof/>
        </w:rPr>
        <w:lastRenderedPageBreak/>
        <w:drawing>
          <wp:inline distT="0" distB="0" distL="0" distR="0" wp14:anchorId="38446D8B" wp14:editId="283C0A6B">
            <wp:extent cx="5876925" cy="8315325"/>
            <wp:effectExtent l="0" t="0" r="0" b="0"/>
            <wp:docPr id="4" name="Picture 2" descr="Order Map showing the corrected route of the foo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p showing the corrected route of the footpa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8315325"/>
                    </a:xfrm>
                    <a:prstGeom prst="rect">
                      <a:avLst/>
                    </a:prstGeom>
                    <a:noFill/>
                    <a:ln>
                      <a:noFill/>
                    </a:ln>
                  </pic:spPr>
                </pic:pic>
              </a:graphicData>
            </a:graphic>
          </wp:inline>
        </w:drawing>
      </w:r>
    </w:p>
    <w:sectPr w:rsidR="006B28C4" w:rsidRPr="00574859">
      <w:headerReference w:type="default" r:id="rId11"/>
      <w:footerReference w:type="even" r:id="rId12"/>
      <w:footerReference w:type="default" r:id="rId13"/>
      <w:headerReference w:type="first" r:id="rId14"/>
      <w:footerReference w:type="first" r:id="rId15"/>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258A" w14:textId="77777777" w:rsidR="007A5C67" w:rsidRDefault="007A5C67">
      <w:r>
        <w:separator/>
      </w:r>
    </w:p>
  </w:endnote>
  <w:endnote w:type="continuationSeparator" w:id="0">
    <w:p w14:paraId="34CD71F1" w14:textId="77777777" w:rsidR="007A5C67" w:rsidRDefault="007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CA0B" w14:textId="77777777" w:rsidR="00C05EDA" w:rsidRDefault="00C05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9F04C" w14:textId="77777777" w:rsidR="00C05EDA" w:rsidRDefault="00C05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B0CB" w14:textId="0C45D953" w:rsidR="00C05EDA" w:rsidRDefault="00371F8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B620CE4" wp14:editId="3D500FC4">
              <wp:simplePos x="0" y="0"/>
              <wp:positionH relativeFrom="column">
                <wp:posOffset>-2540</wp:posOffset>
              </wp:positionH>
              <wp:positionV relativeFrom="paragraph">
                <wp:posOffset>159385</wp:posOffset>
              </wp:positionV>
              <wp:extent cx="594360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A47E"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"/>
          </w:pict>
        </mc:Fallback>
      </mc:AlternateContent>
    </w:r>
  </w:p>
  <w:p w14:paraId="0BF84BEB" w14:textId="77777777" w:rsidR="00C05EDA" w:rsidRDefault="00C05ED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1C20" w14:textId="37CB879D" w:rsidR="00C05EDA" w:rsidRDefault="00371F8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B953FA0" wp14:editId="4379A5E6">
              <wp:simplePos x="0" y="0"/>
              <wp:positionH relativeFrom="column">
                <wp:posOffset>-2540</wp:posOffset>
              </wp:positionH>
              <wp:positionV relativeFrom="paragraph">
                <wp:posOffset>121285</wp:posOffset>
              </wp:positionV>
              <wp:extent cx="5943600" cy="0"/>
              <wp:effectExtent l="0" t="0" r="0" b="0"/>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34222"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2vwEAAGk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" strokeweight=".5pt"/>
          </w:pict>
        </mc:Fallback>
      </mc:AlternateContent>
    </w:r>
  </w:p>
  <w:p w14:paraId="027D9AFF" w14:textId="77777777" w:rsidR="00C05EDA" w:rsidRDefault="00C05EDA">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D1EF" w14:textId="77777777" w:rsidR="007A5C67" w:rsidRDefault="007A5C67">
      <w:r>
        <w:separator/>
      </w:r>
    </w:p>
  </w:footnote>
  <w:footnote w:type="continuationSeparator" w:id="0">
    <w:p w14:paraId="7E316166" w14:textId="77777777" w:rsidR="007A5C67" w:rsidRDefault="007A5C67">
      <w:r>
        <w:continuationSeparator/>
      </w:r>
    </w:p>
  </w:footnote>
  <w:footnote w:id="1">
    <w:p w14:paraId="37B6AAD4" w14:textId="77777777" w:rsidR="00C05EDA" w:rsidRDefault="00C05EDA">
      <w:pPr>
        <w:pStyle w:val="FootnoteText"/>
      </w:pPr>
      <w:r>
        <w:rPr>
          <w:rStyle w:val="FootnoteReference"/>
        </w:rPr>
        <w:footnoteRef/>
      </w:r>
      <w:r>
        <w:t xml:space="preserve"> Planning Inspectorate ref FPS/C2741/14A/1</w:t>
      </w:r>
    </w:p>
  </w:footnote>
  <w:footnote w:id="2">
    <w:p w14:paraId="75C4485A" w14:textId="77777777" w:rsidR="00C05EDA" w:rsidRDefault="00C05EDA" w:rsidP="00A7106F">
      <w:pPr>
        <w:pStyle w:val="FootnoteText"/>
      </w:pPr>
      <w:r>
        <w:rPr>
          <w:rStyle w:val="FootnoteReference"/>
        </w:rPr>
        <w:footnoteRef/>
      </w:r>
      <w:r w:rsidR="00343A78">
        <w:rPr>
          <w:i/>
          <w:iCs/>
        </w:rPr>
        <w:t xml:space="preserve"> </w:t>
      </w:r>
      <w:r w:rsidR="00343A78" w:rsidRPr="001B0535">
        <w:rPr>
          <w:i/>
          <w:iCs/>
        </w:rPr>
        <w:t>R</w:t>
      </w:r>
      <w:r w:rsidR="00343A78">
        <w:rPr>
          <w:i/>
          <w:iCs/>
        </w:rPr>
        <w:t xml:space="preserve"> </w:t>
      </w:r>
      <w:r w:rsidR="00343A78" w:rsidRPr="001B0535">
        <w:rPr>
          <w:i/>
          <w:iCs/>
        </w:rPr>
        <w:t xml:space="preserve">(Lewis) v Redcar and Cleveland (No 2), </w:t>
      </w:r>
      <w:r>
        <w:t>[2010] UKSC 11</w:t>
      </w:r>
    </w:p>
  </w:footnote>
  <w:footnote w:id="3">
    <w:p w14:paraId="06188D86" w14:textId="77777777" w:rsidR="00343A78" w:rsidRDefault="00343A78">
      <w:pPr>
        <w:pStyle w:val="FootnoteText"/>
      </w:pPr>
      <w:r>
        <w:rPr>
          <w:rStyle w:val="FootnoteReference"/>
        </w:rPr>
        <w:footnoteRef/>
      </w:r>
      <w:r>
        <w:t xml:space="preserve"> </w:t>
      </w:r>
      <w:r w:rsidRPr="284A024A">
        <w:t xml:space="preserve">R (on the application of Godmanchester and Drain) v SSEFRA, </w:t>
      </w:r>
      <w:r>
        <w:t>[2007] UKHL 28</w:t>
      </w:r>
    </w:p>
  </w:footnote>
  <w:footnote w:id="4">
    <w:p w14:paraId="76FA05A6" w14:textId="77777777" w:rsidR="00404346" w:rsidRDefault="00404346" w:rsidP="00404346">
      <w:pPr>
        <w:pStyle w:val="FootnoteText"/>
      </w:pPr>
      <w:r>
        <w:rPr>
          <w:rStyle w:val="FootnoteReference"/>
        </w:rPr>
        <w:footnoteRef/>
      </w:r>
      <w:r>
        <w:t xml:space="preserve"> Six individuals for whom Shaun Crawley explained they or their partners had a relationship to Doreen Crawley and her husband. </w:t>
      </w:r>
    </w:p>
  </w:footnote>
  <w:footnote w:id="5">
    <w:p w14:paraId="70B7A571" w14:textId="77777777" w:rsidR="00DD7A12" w:rsidRDefault="00DD7A12">
      <w:pPr>
        <w:pStyle w:val="FootnoteText"/>
      </w:pPr>
      <w:r>
        <w:rPr>
          <w:rStyle w:val="FootnoteReference"/>
        </w:rPr>
        <w:footnoteRef/>
      </w:r>
      <w:r>
        <w:t xml:space="preserve"> DNJ/further comments/Annex 2 Composite of claimed way routes</w:t>
      </w:r>
    </w:p>
  </w:footnote>
  <w:footnote w:id="6">
    <w:p w14:paraId="5052CEDE" w14:textId="77777777" w:rsidR="00884F34" w:rsidRDefault="00884F34">
      <w:pPr>
        <w:pStyle w:val="FootnoteText"/>
      </w:pPr>
      <w:r>
        <w:rPr>
          <w:rStyle w:val="FootnoteReference"/>
        </w:rPr>
        <w:footnoteRef/>
      </w:r>
      <w:r>
        <w:t xml:space="preserve"> See for example Figures 7, 10 and 11 Landowner evidence Appendix 18. </w:t>
      </w:r>
    </w:p>
  </w:footnote>
  <w:footnote w:id="7">
    <w:p w14:paraId="13D70D5E" w14:textId="77777777" w:rsidR="00884F34" w:rsidRDefault="00884F34">
      <w:pPr>
        <w:pStyle w:val="FootnoteText"/>
      </w:pPr>
      <w:r>
        <w:rPr>
          <w:rStyle w:val="FootnoteReference"/>
        </w:rPr>
        <w:footnoteRef/>
      </w:r>
      <w:r>
        <w:t xml:space="preserve"> See for example Figures 5, 6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05EDA" w14:paraId="18A58570" w14:textId="77777777">
      <w:tblPrEx>
        <w:tblCellMar>
          <w:top w:w="0" w:type="dxa"/>
          <w:bottom w:w="0" w:type="dxa"/>
        </w:tblCellMar>
      </w:tblPrEx>
      <w:tc>
        <w:tcPr>
          <w:tcW w:w="9520" w:type="dxa"/>
        </w:tcPr>
        <w:p w14:paraId="30DFE6C9" w14:textId="77777777" w:rsidR="00C05EDA" w:rsidRDefault="00C05EDA">
          <w:pPr>
            <w:pStyle w:val="Footer"/>
          </w:pPr>
          <w:r>
            <w:t xml:space="preserve">Order Decision </w:t>
          </w:r>
          <w:r>
            <w:rPr>
              <w:color w:val="000000"/>
            </w:rPr>
            <w:t>ROW/</w:t>
          </w:r>
          <w:r w:rsidRPr="006B6A1C">
            <w:rPr>
              <w:bCs/>
              <w:color w:val="000000"/>
            </w:rPr>
            <w:t>3251672</w:t>
          </w:r>
        </w:p>
      </w:tc>
    </w:tr>
  </w:tbl>
  <w:p w14:paraId="20FCDA0E" w14:textId="2365D407" w:rsidR="00C05EDA" w:rsidRDefault="00371F8B">
    <w:pPr>
      <w:pStyle w:val="Footer"/>
    </w:pPr>
    <w:r>
      <w:rPr>
        <w:noProof/>
      </w:rPr>
      <mc:AlternateContent>
        <mc:Choice Requires="wps">
          <w:drawing>
            <wp:anchor distT="0" distB="0" distL="114300" distR="114300" simplePos="0" relativeHeight="251657728" behindDoc="0" locked="0" layoutInCell="1" allowOverlap="1" wp14:anchorId="09A49E85" wp14:editId="41999E05">
              <wp:simplePos x="0" y="0"/>
              <wp:positionH relativeFrom="column">
                <wp:posOffset>0</wp:posOffset>
              </wp:positionH>
              <wp:positionV relativeFrom="paragraph">
                <wp:posOffset>88900</wp:posOffset>
              </wp:positionV>
              <wp:extent cx="594360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660E"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A111" w14:textId="77777777" w:rsidR="00C05EDA" w:rsidRDefault="00C05ED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F0D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2" w15:restartNumberingAfterBreak="0">
    <w:nsid w:val="200C1714"/>
    <w:multiLevelType w:val="hybridMultilevel"/>
    <w:tmpl w:val="081685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B007D"/>
    <w:multiLevelType w:val="hybridMultilevel"/>
    <w:tmpl w:val="D196223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912C4"/>
    <w:multiLevelType w:val="hybridMultilevel"/>
    <w:tmpl w:val="58621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94FC5"/>
    <w:multiLevelType w:val="hybridMultilevel"/>
    <w:tmpl w:val="DB3ADE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6D2F00"/>
    <w:multiLevelType w:val="hybridMultilevel"/>
    <w:tmpl w:val="FA427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527B3"/>
    <w:multiLevelType w:val="hybridMultilevel"/>
    <w:tmpl w:val="76B43B8A"/>
    <w:lvl w:ilvl="0" w:tplc="61A8ECF2">
      <w:start w:val="1"/>
      <w:numFmt w:val="lowerRoman"/>
      <w:lvlText w:val="(%1)"/>
      <w:lvlJc w:val="left"/>
      <w:pPr>
        <w:ind w:left="1152" w:hanging="360"/>
      </w:pPr>
    </w:lvl>
    <w:lvl w:ilvl="1" w:tplc="08090019">
      <w:start w:val="1"/>
      <w:numFmt w:val="lowerLetter"/>
      <w:lvlText w:val="%2."/>
      <w:lvlJc w:val="left"/>
      <w:pPr>
        <w:ind w:left="1872" w:hanging="360"/>
      </w:pPr>
    </w:lvl>
    <w:lvl w:ilvl="2" w:tplc="0809001B">
      <w:start w:val="1"/>
      <w:numFmt w:val="lowerRoman"/>
      <w:lvlText w:val="%3."/>
      <w:lvlJc w:val="right"/>
      <w:pPr>
        <w:ind w:left="2592" w:hanging="180"/>
      </w:pPr>
    </w:lvl>
    <w:lvl w:ilvl="3" w:tplc="0809000F">
      <w:start w:val="1"/>
      <w:numFmt w:val="decimal"/>
      <w:lvlText w:val="%4."/>
      <w:lvlJc w:val="left"/>
      <w:pPr>
        <w:ind w:left="3312" w:hanging="360"/>
      </w:pPr>
    </w:lvl>
    <w:lvl w:ilvl="4" w:tplc="08090019">
      <w:start w:val="1"/>
      <w:numFmt w:val="lowerLetter"/>
      <w:lvlText w:val="%5."/>
      <w:lvlJc w:val="left"/>
      <w:pPr>
        <w:ind w:left="4032" w:hanging="360"/>
      </w:pPr>
    </w:lvl>
    <w:lvl w:ilvl="5" w:tplc="0809001B">
      <w:start w:val="1"/>
      <w:numFmt w:val="lowerRoman"/>
      <w:lvlText w:val="%6."/>
      <w:lvlJc w:val="right"/>
      <w:pPr>
        <w:ind w:left="4752" w:hanging="180"/>
      </w:pPr>
    </w:lvl>
    <w:lvl w:ilvl="6" w:tplc="0809000F">
      <w:start w:val="1"/>
      <w:numFmt w:val="decimal"/>
      <w:lvlText w:val="%7."/>
      <w:lvlJc w:val="left"/>
      <w:pPr>
        <w:ind w:left="5472" w:hanging="360"/>
      </w:pPr>
    </w:lvl>
    <w:lvl w:ilvl="7" w:tplc="08090019">
      <w:start w:val="1"/>
      <w:numFmt w:val="lowerLetter"/>
      <w:lvlText w:val="%8."/>
      <w:lvlJc w:val="left"/>
      <w:pPr>
        <w:ind w:left="6192" w:hanging="360"/>
      </w:pPr>
    </w:lvl>
    <w:lvl w:ilvl="8" w:tplc="0809001B">
      <w:start w:val="1"/>
      <w:numFmt w:val="lowerRoman"/>
      <w:lvlText w:val="%9."/>
      <w:lvlJc w:val="right"/>
      <w:pPr>
        <w:ind w:left="6912"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5A04095"/>
    <w:multiLevelType w:val="hybridMultilevel"/>
    <w:tmpl w:val="B43027E2"/>
    <w:lvl w:ilvl="0" w:tplc="0809000F">
      <w:start w:val="1"/>
      <w:numFmt w:val="decimal"/>
      <w:lvlText w:val="%1."/>
      <w:lvlJc w:val="left"/>
      <w:pPr>
        <w:ind w:left="1545" w:hanging="360"/>
      </w:pPr>
      <w:rPr>
        <w:rFont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15:restartNumberingAfterBreak="0">
    <w:nsid w:val="487154E5"/>
    <w:multiLevelType w:val="hybridMultilevel"/>
    <w:tmpl w:val="3404E1D6"/>
    <w:lvl w:ilvl="0" w:tplc="73C8317E">
      <w:start w:val="1"/>
      <w:numFmt w:val="decimal"/>
      <w:lvlText w:val="%1."/>
      <w:lvlJc w:val="left"/>
      <w:pPr>
        <w:tabs>
          <w:tab w:val="num" w:pos="360"/>
        </w:tabs>
        <w:ind w:left="360" w:hanging="360"/>
      </w:pPr>
      <w:rPr>
        <w:rFonts w:ascii="Times New Roman" w:hAnsi="Times New Roman" w:hint="default"/>
        <w:b w:val="0"/>
        <w:i w:val="0"/>
        <w:sz w:val="24"/>
        <w:szCs w:val="24"/>
      </w:rPr>
    </w:lvl>
    <w:lvl w:ilvl="1" w:tplc="36246D54">
      <w:start w:val="1"/>
      <w:numFmt w:val="lowerRoman"/>
      <w:lvlText w:val="(%2)"/>
      <w:lvlJc w:val="right"/>
      <w:pPr>
        <w:tabs>
          <w:tab w:val="num" w:pos="1440"/>
        </w:tabs>
        <w:ind w:left="1440" w:hanging="360"/>
      </w:pPr>
      <w:rPr>
        <w:rFonts w:hint="default"/>
        <w:b w:val="0"/>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DD7A15"/>
    <w:multiLevelType w:val="multilevel"/>
    <w:tmpl w:val="3190EC1E"/>
    <w:styleLink w:val="StylesList"/>
    <w:lvl w:ilvl="0">
      <w:start w:val="1"/>
      <w:numFmt w:val="decimal"/>
      <w:lvlText w:val="%1."/>
      <w:lvlJc w:val="left"/>
      <w:pPr>
        <w:tabs>
          <w:tab w:val="num" w:pos="1146"/>
        </w:tabs>
        <w:ind w:left="857"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5D4D163F"/>
    <w:multiLevelType w:val="hybridMultilevel"/>
    <w:tmpl w:val="42948C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CA1CF1"/>
    <w:multiLevelType w:val="multilevel"/>
    <w:tmpl w:val="4C665DC8"/>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63B44E1"/>
    <w:multiLevelType w:val="multilevel"/>
    <w:tmpl w:val="5A2811D6"/>
    <w:lvl w:ilvl="0">
      <w:start w:val="1"/>
      <w:numFmt w:val="bullet"/>
      <w:lvlText w:val=""/>
      <w:lvlJc w:val="left"/>
      <w:pPr>
        <w:tabs>
          <w:tab w:val="num" w:pos="720"/>
        </w:tabs>
        <w:ind w:left="432" w:hanging="432"/>
      </w:pPr>
      <w:rPr>
        <w:rFonts w:ascii="Symbol" w:hAnsi="Symbol" w:hint="default"/>
        <w:b w:val="0"/>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6"/>
  </w:num>
  <w:num w:numId="3">
    <w:abstractNumId w:val="18"/>
  </w:num>
  <w:num w:numId="4">
    <w:abstractNumId w:val="1"/>
  </w:num>
  <w:num w:numId="5">
    <w:abstractNumId w:val="9"/>
  </w:num>
  <w:num w:numId="6">
    <w:abstractNumId w:val="15"/>
  </w:num>
  <w:num w:numId="7">
    <w:abstractNumId w:val="19"/>
  </w:num>
  <w:num w:numId="8">
    <w:abstractNumId w:val="13"/>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3"/>
  </w:num>
  <w:num w:numId="16">
    <w:abstractNumId w:val="14"/>
  </w:num>
  <w:num w:numId="17">
    <w:abstractNumId w:val="12"/>
  </w:num>
  <w:num w:numId="18">
    <w:abstractNumId w:val="12"/>
    <w:lvlOverride w:ilvl="0">
      <w:lvl w:ilvl="0">
        <w:start w:val="1"/>
        <w:numFmt w:val="decimal"/>
        <w:lvlText w:val="%1."/>
        <w:lvlJc w:val="left"/>
        <w:pPr>
          <w:tabs>
            <w:tab w:val="num" w:pos="1146"/>
          </w:tabs>
          <w:ind w:left="857" w:hanging="431"/>
        </w:pPr>
        <w:rPr>
          <w:rFonts w:hint="default"/>
          <w:b w:val="0"/>
          <w:i w:val="0"/>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19">
    <w:abstractNumId w:val="11"/>
  </w:num>
  <w:num w:numId="20">
    <w:abstractNumId w:val="7"/>
  </w:num>
  <w:num w:numId="21">
    <w:abstractNumId w:val="5"/>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D3739"/>
    <w:rsid w:val="000049B3"/>
    <w:rsid w:val="00005D91"/>
    <w:rsid w:val="000103B9"/>
    <w:rsid w:val="00013022"/>
    <w:rsid w:val="00020EFC"/>
    <w:rsid w:val="00022ADF"/>
    <w:rsid w:val="000234FA"/>
    <w:rsid w:val="00032EB0"/>
    <w:rsid w:val="0003448D"/>
    <w:rsid w:val="00035507"/>
    <w:rsid w:val="00044882"/>
    <w:rsid w:val="00051FCB"/>
    <w:rsid w:val="0006402D"/>
    <w:rsid w:val="00064AF4"/>
    <w:rsid w:val="00065FC6"/>
    <w:rsid w:val="0007033A"/>
    <w:rsid w:val="00070BAF"/>
    <w:rsid w:val="00070EE9"/>
    <w:rsid w:val="00075CA0"/>
    <w:rsid w:val="000773D2"/>
    <w:rsid w:val="00077B03"/>
    <w:rsid w:val="000802DD"/>
    <w:rsid w:val="00081AA2"/>
    <w:rsid w:val="00083E22"/>
    <w:rsid w:val="00083EEB"/>
    <w:rsid w:val="0008469D"/>
    <w:rsid w:val="00091F4D"/>
    <w:rsid w:val="0009410B"/>
    <w:rsid w:val="000A34A8"/>
    <w:rsid w:val="000A4E76"/>
    <w:rsid w:val="000A4F3D"/>
    <w:rsid w:val="000B21AE"/>
    <w:rsid w:val="000C14D4"/>
    <w:rsid w:val="000C31BA"/>
    <w:rsid w:val="000C5655"/>
    <w:rsid w:val="000C5737"/>
    <w:rsid w:val="000C62FC"/>
    <w:rsid w:val="000D31B9"/>
    <w:rsid w:val="000D4C9D"/>
    <w:rsid w:val="000E368C"/>
    <w:rsid w:val="000E6976"/>
    <w:rsid w:val="000F755B"/>
    <w:rsid w:val="00100848"/>
    <w:rsid w:val="00102CD5"/>
    <w:rsid w:val="00104B46"/>
    <w:rsid w:val="00106155"/>
    <w:rsid w:val="00106FFD"/>
    <w:rsid w:val="00107E2F"/>
    <w:rsid w:val="001102BA"/>
    <w:rsid w:val="00111379"/>
    <w:rsid w:val="001117BF"/>
    <w:rsid w:val="00115C9F"/>
    <w:rsid w:val="00120C79"/>
    <w:rsid w:val="0012208F"/>
    <w:rsid w:val="00122099"/>
    <w:rsid w:val="001226DF"/>
    <w:rsid w:val="001227C1"/>
    <w:rsid w:val="00123819"/>
    <w:rsid w:val="0013130D"/>
    <w:rsid w:val="001315B6"/>
    <w:rsid w:val="00141E80"/>
    <w:rsid w:val="00142645"/>
    <w:rsid w:val="0014425D"/>
    <w:rsid w:val="00147443"/>
    <w:rsid w:val="00154DE0"/>
    <w:rsid w:val="0015637D"/>
    <w:rsid w:val="00170DE5"/>
    <w:rsid w:val="0017183C"/>
    <w:rsid w:val="0017241E"/>
    <w:rsid w:val="00172CE3"/>
    <w:rsid w:val="0017337B"/>
    <w:rsid w:val="001834DA"/>
    <w:rsid w:val="0018394A"/>
    <w:rsid w:val="00183EF8"/>
    <w:rsid w:val="001842E6"/>
    <w:rsid w:val="001878BF"/>
    <w:rsid w:val="001923B9"/>
    <w:rsid w:val="0019276A"/>
    <w:rsid w:val="00192E48"/>
    <w:rsid w:val="00193026"/>
    <w:rsid w:val="00194907"/>
    <w:rsid w:val="001954D9"/>
    <w:rsid w:val="001A074D"/>
    <w:rsid w:val="001A17BB"/>
    <w:rsid w:val="001A1D9D"/>
    <w:rsid w:val="001A6F55"/>
    <w:rsid w:val="001A74B5"/>
    <w:rsid w:val="001B0535"/>
    <w:rsid w:val="001B2276"/>
    <w:rsid w:val="001D136A"/>
    <w:rsid w:val="001D2F93"/>
    <w:rsid w:val="001E3B2D"/>
    <w:rsid w:val="001F133E"/>
    <w:rsid w:val="001F15B8"/>
    <w:rsid w:val="001F1DF3"/>
    <w:rsid w:val="001F4CB1"/>
    <w:rsid w:val="001F5EEB"/>
    <w:rsid w:val="00200A4F"/>
    <w:rsid w:val="0020323B"/>
    <w:rsid w:val="00203E92"/>
    <w:rsid w:val="00204B72"/>
    <w:rsid w:val="00211402"/>
    <w:rsid w:val="00214C03"/>
    <w:rsid w:val="002226E6"/>
    <w:rsid w:val="0022293B"/>
    <w:rsid w:val="00225D97"/>
    <w:rsid w:val="00225E55"/>
    <w:rsid w:val="0022767D"/>
    <w:rsid w:val="002315C8"/>
    <w:rsid w:val="002351BE"/>
    <w:rsid w:val="002409E2"/>
    <w:rsid w:val="002445C8"/>
    <w:rsid w:val="00245431"/>
    <w:rsid w:val="00261378"/>
    <w:rsid w:val="00261599"/>
    <w:rsid w:val="00261D4A"/>
    <w:rsid w:val="0026271C"/>
    <w:rsid w:val="00265133"/>
    <w:rsid w:val="0028154C"/>
    <w:rsid w:val="00282C0F"/>
    <w:rsid w:val="0028532F"/>
    <w:rsid w:val="00287725"/>
    <w:rsid w:val="00290F64"/>
    <w:rsid w:val="00295248"/>
    <w:rsid w:val="002A0815"/>
    <w:rsid w:val="002A0885"/>
    <w:rsid w:val="002A1AA8"/>
    <w:rsid w:val="002A2767"/>
    <w:rsid w:val="002A4883"/>
    <w:rsid w:val="002A6B16"/>
    <w:rsid w:val="002B0380"/>
    <w:rsid w:val="002B53A4"/>
    <w:rsid w:val="002B77F1"/>
    <w:rsid w:val="002C2D72"/>
    <w:rsid w:val="002C58D1"/>
    <w:rsid w:val="002D1260"/>
    <w:rsid w:val="002D2316"/>
    <w:rsid w:val="002D327F"/>
    <w:rsid w:val="002D3739"/>
    <w:rsid w:val="002E1BD7"/>
    <w:rsid w:val="002E5415"/>
    <w:rsid w:val="002E6535"/>
    <w:rsid w:val="002F12F4"/>
    <w:rsid w:val="002F208C"/>
    <w:rsid w:val="002F52BC"/>
    <w:rsid w:val="00306047"/>
    <w:rsid w:val="00307A23"/>
    <w:rsid w:val="00315D76"/>
    <w:rsid w:val="00326275"/>
    <w:rsid w:val="00326457"/>
    <w:rsid w:val="00326C7E"/>
    <w:rsid w:val="00326F98"/>
    <w:rsid w:val="00331FB9"/>
    <w:rsid w:val="003330BC"/>
    <w:rsid w:val="003332D2"/>
    <w:rsid w:val="00335448"/>
    <w:rsid w:val="00336222"/>
    <w:rsid w:val="0034064C"/>
    <w:rsid w:val="00343A78"/>
    <w:rsid w:val="00345915"/>
    <w:rsid w:val="00345CDE"/>
    <w:rsid w:val="0034755B"/>
    <w:rsid w:val="00350241"/>
    <w:rsid w:val="00354084"/>
    <w:rsid w:val="00360C79"/>
    <w:rsid w:val="003610A3"/>
    <w:rsid w:val="00362B3B"/>
    <w:rsid w:val="0036626D"/>
    <w:rsid w:val="00366666"/>
    <w:rsid w:val="003709BF"/>
    <w:rsid w:val="00371F8B"/>
    <w:rsid w:val="003809F8"/>
    <w:rsid w:val="003832EB"/>
    <w:rsid w:val="00384D82"/>
    <w:rsid w:val="003903F5"/>
    <w:rsid w:val="00394EE4"/>
    <w:rsid w:val="00395289"/>
    <w:rsid w:val="00395D62"/>
    <w:rsid w:val="003961DE"/>
    <w:rsid w:val="003A238B"/>
    <w:rsid w:val="003A2BDB"/>
    <w:rsid w:val="003A5571"/>
    <w:rsid w:val="003A67C9"/>
    <w:rsid w:val="003B0046"/>
    <w:rsid w:val="003B2DAB"/>
    <w:rsid w:val="003B374B"/>
    <w:rsid w:val="003B6B2E"/>
    <w:rsid w:val="003B7833"/>
    <w:rsid w:val="003C3367"/>
    <w:rsid w:val="003C7568"/>
    <w:rsid w:val="003D06BF"/>
    <w:rsid w:val="003D23B8"/>
    <w:rsid w:val="003D3603"/>
    <w:rsid w:val="003D3855"/>
    <w:rsid w:val="003E2188"/>
    <w:rsid w:val="003E4C26"/>
    <w:rsid w:val="003F6402"/>
    <w:rsid w:val="003F795B"/>
    <w:rsid w:val="003F7F82"/>
    <w:rsid w:val="00400241"/>
    <w:rsid w:val="00400706"/>
    <w:rsid w:val="004007A2"/>
    <w:rsid w:val="00402B7C"/>
    <w:rsid w:val="00404346"/>
    <w:rsid w:val="00405A14"/>
    <w:rsid w:val="0041081D"/>
    <w:rsid w:val="00415A65"/>
    <w:rsid w:val="00421E18"/>
    <w:rsid w:val="004254A9"/>
    <w:rsid w:val="004269BB"/>
    <w:rsid w:val="0043200D"/>
    <w:rsid w:val="00434AAE"/>
    <w:rsid w:val="00435961"/>
    <w:rsid w:val="00441675"/>
    <w:rsid w:val="00442FC7"/>
    <w:rsid w:val="004467BD"/>
    <w:rsid w:val="00447760"/>
    <w:rsid w:val="004508B9"/>
    <w:rsid w:val="004633E1"/>
    <w:rsid w:val="004642BE"/>
    <w:rsid w:val="00467560"/>
    <w:rsid w:val="004758C4"/>
    <w:rsid w:val="00477A20"/>
    <w:rsid w:val="00480E2C"/>
    <w:rsid w:val="00485EDA"/>
    <w:rsid w:val="0048639A"/>
    <w:rsid w:val="004902DD"/>
    <w:rsid w:val="00495F16"/>
    <w:rsid w:val="0049694B"/>
    <w:rsid w:val="004A026A"/>
    <w:rsid w:val="004A3D06"/>
    <w:rsid w:val="004A5C42"/>
    <w:rsid w:val="004A638D"/>
    <w:rsid w:val="004A6A75"/>
    <w:rsid w:val="004A714B"/>
    <w:rsid w:val="004B2ABD"/>
    <w:rsid w:val="004B6427"/>
    <w:rsid w:val="004C0FDB"/>
    <w:rsid w:val="004C5962"/>
    <w:rsid w:val="004D410B"/>
    <w:rsid w:val="004E42FF"/>
    <w:rsid w:val="004F22B3"/>
    <w:rsid w:val="004F3033"/>
    <w:rsid w:val="004F6CAC"/>
    <w:rsid w:val="00500CBB"/>
    <w:rsid w:val="005015B3"/>
    <w:rsid w:val="00504F7A"/>
    <w:rsid w:val="00513374"/>
    <w:rsid w:val="00521F86"/>
    <w:rsid w:val="00523822"/>
    <w:rsid w:val="00524263"/>
    <w:rsid w:val="00524752"/>
    <w:rsid w:val="0054322C"/>
    <w:rsid w:val="00543CB6"/>
    <w:rsid w:val="00547C68"/>
    <w:rsid w:val="00551865"/>
    <w:rsid w:val="00556AC3"/>
    <w:rsid w:val="00565AC5"/>
    <w:rsid w:val="0056677B"/>
    <w:rsid w:val="00574859"/>
    <w:rsid w:val="0058151F"/>
    <w:rsid w:val="00582D75"/>
    <w:rsid w:val="00585D55"/>
    <w:rsid w:val="005876E4"/>
    <w:rsid w:val="00592903"/>
    <w:rsid w:val="00593F13"/>
    <w:rsid w:val="00594CA2"/>
    <w:rsid w:val="005950B7"/>
    <w:rsid w:val="005A00B4"/>
    <w:rsid w:val="005A2397"/>
    <w:rsid w:val="005A6CE5"/>
    <w:rsid w:val="005A7892"/>
    <w:rsid w:val="005B087B"/>
    <w:rsid w:val="005B0D1F"/>
    <w:rsid w:val="005B4473"/>
    <w:rsid w:val="005B7085"/>
    <w:rsid w:val="005B7BCA"/>
    <w:rsid w:val="005C744D"/>
    <w:rsid w:val="005D07ED"/>
    <w:rsid w:val="005D0B2C"/>
    <w:rsid w:val="005D18AA"/>
    <w:rsid w:val="005D32D7"/>
    <w:rsid w:val="005D3E44"/>
    <w:rsid w:val="005D5487"/>
    <w:rsid w:val="005E6F74"/>
    <w:rsid w:val="005E7F49"/>
    <w:rsid w:val="005F033E"/>
    <w:rsid w:val="005F4C2B"/>
    <w:rsid w:val="006050F8"/>
    <w:rsid w:val="00605188"/>
    <w:rsid w:val="00607D05"/>
    <w:rsid w:val="00611296"/>
    <w:rsid w:val="006125A7"/>
    <w:rsid w:val="00612B50"/>
    <w:rsid w:val="00631645"/>
    <w:rsid w:val="00634341"/>
    <w:rsid w:val="00637A72"/>
    <w:rsid w:val="00637CB5"/>
    <w:rsid w:val="00641702"/>
    <w:rsid w:val="0064607D"/>
    <w:rsid w:val="00646441"/>
    <w:rsid w:val="006475F9"/>
    <w:rsid w:val="00650D16"/>
    <w:rsid w:val="00653E15"/>
    <w:rsid w:val="006541A6"/>
    <w:rsid w:val="00654543"/>
    <w:rsid w:val="0065591D"/>
    <w:rsid w:val="00655A19"/>
    <w:rsid w:val="00656B61"/>
    <w:rsid w:val="006577A4"/>
    <w:rsid w:val="00657C84"/>
    <w:rsid w:val="00660EA4"/>
    <w:rsid w:val="00662E18"/>
    <w:rsid w:val="00663BE4"/>
    <w:rsid w:val="006650C8"/>
    <w:rsid w:val="00667F4E"/>
    <w:rsid w:val="00671456"/>
    <w:rsid w:val="00675A8C"/>
    <w:rsid w:val="006771F2"/>
    <w:rsid w:val="00683171"/>
    <w:rsid w:val="00685A63"/>
    <w:rsid w:val="0069048C"/>
    <w:rsid w:val="00691C05"/>
    <w:rsid w:val="00693D22"/>
    <w:rsid w:val="0069593E"/>
    <w:rsid w:val="00695EC6"/>
    <w:rsid w:val="006969E5"/>
    <w:rsid w:val="006A0686"/>
    <w:rsid w:val="006A13D9"/>
    <w:rsid w:val="006A64AD"/>
    <w:rsid w:val="006A6EA1"/>
    <w:rsid w:val="006A7242"/>
    <w:rsid w:val="006B109B"/>
    <w:rsid w:val="006B28C4"/>
    <w:rsid w:val="006B6A1C"/>
    <w:rsid w:val="006B7454"/>
    <w:rsid w:val="006C2ED2"/>
    <w:rsid w:val="006C6351"/>
    <w:rsid w:val="006C655F"/>
    <w:rsid w:val="006D3199"/>
    <w:rsid w:val="006E64CC"/>
    <w:rsid w:val="006F25F9"/>
    <w:rsid w:val="006F6AD9"/>
    <w:rsid w:val="006F7CF8"/>
    <w:rsid w:val="00701562"/>
    <w:rsid w:val="00701ACF"/>
    <w:rsid w:val="0070276B"/>
    <w:rsid w:val="00705057"/>
    <w:rsid w:val="00710F38"/>
    <w:rsid w:val="00710F97"/>
    <w:rsid w:val="0071101E"/>
    <w:rsid w:val="00714C80"/>
    <w:rsid w:val="00715C25"/>
    <w:rsid w:val="00715C8E"/>
    <w:rsid w:val="00716B1F"/>
    <w:rsid w:val="007212DA"/>
    <w:rsid w:val="00726075"/>
    <w:rsid w:val="007375C1"/>
    <w:rsid w:val="00742B55"/>
    <w:rsid w:val="007453EC"/>
    <w:rsid w:val="00752236"/>
    <w:rsid w:val="00754DF7"/>
    <w:rsid w:val="007550AE"/>
    <w:rsid w:val="007633EC"/>
    <w:rsid w:val="007649DA"/>
    <w:rsid w:val="00766D8E"/>
    <w:rsid w:val="007709C6"/>
    <w:rsid w:val="00773DAF"/>
    <w:rsid w:val="00782CFB"/>
    <w:rsid w:val="007871CA"/>
    <w:rsid w:val="0079186D"/>
    <w:rsid w:val="007963E3"/>
    <w:rsid w:val="007A35C3"/>
    <w:rsid w:val="007A5C67"/>
    <w:rsid w:val="007B072A"/>
    <w:rsid w:val="007B26BE"/>
    <w:rsid w:val="007C6B98"/>
    <w:rsid w:val="007D6AAC"/>
    <w:rsid w:val="007D7A9C"/>
    <w:rsid w:val="007E0618"/>
    <w:rsid w:val="007E599A"/>
    <w:rsid w:val="007F5B5D"/>
    <w:rsid w:val="007F623A"/>
    <w:rsid w:val="00803B72"/>
    <w:rsid w:val="00816902"/>
    <w:rsid w:val="00821C9B"/>
    <w:rsid w:val="00823BA9"/>
    <w:rsid w:val="0082613F"/>
    <w:rsid w:val="00831A43"/>
    <w:rsid w:val="00832679"/>
    <w:rsid w:val="008341F4"/>
    <w:rsid w:val="00834380"/>
    <w:rsid w:val="00834660"/>
    <w:rsid w:val="00834681"/>
    <w:rsid w:val="00837768"/>
    <w:rsid w:val="00837EEE"/>
    <w:rsid w:val="008437EF"/>
    <w:rsid w:val="00843972"/>
    <w:rsid w:val="008479FC"/>
    <w:rsid w:val="008552D5"/>
    <w:rsid w:val="00855EAE"/>
    <w:rsid w:val="00860052"/>
    <w:rsid w:val="0086213C"/>
    <w:rsid w:val="00862248"/>
    <w:rsid w:val="008657BB"/>
    <w:rsid w:val="00867139"/>
    <w:rsid w:val="008702F8"/>
    <w:rsid w:val="00873637"/>
    <w:rsid w:val="00875248"/>
    <w:rsid w:val="0088241B"/>
    <w:rsid w:val="00884F34"/>
    <w:rsid w:val="008A215E"/>
    <w:rsid w:val="008A2A83"/>
    <w:rsid w:val="008A61D5"/>
    <w:rsid w:val="008A7B51"/>
    <w:rsid w:val="008B792B"/>
    <w:rsid w:val="008C125A"/>
    <w:rsid w:val="008C393C"/>
    <w:rsid w:val="008D0C14"/>
    <w:rsid w:val="008D6695"/>
    <w:rsid w:val="008E5865"/>
    <w:rsid w:val="008E59EA"/>
    <w:rsid w:val="008E68E6"/>
    <w:rsid w:val="008E7897"/>
    <w:rsid w:val="008F03AA"/>
    <w:rsid w:val="008F1131"/>
    <w:rsid w:val="008F2134"/>
    <w:rsid w:val="008F3BC0"/>
    <w:rsid w:val="008F3C72"/>
    <w:rsid w:val="008F455B"/>
    <w:rsid w:val="008F5815"/>
    <w:rsid w:val="008F6324"/>
    <w:rsid w:val="0090156D"/>
    <w:rsid w:val="00902061"/>
    <w:rsid w:val="0090240B"/>
    <w:rsid w:val="00904663"/>
    <w:rsid w:val="00905F79"/>
    <w:rsid w:val="00906D0B"/>
    <w:rsid w:val="00910A84"/>
    <w:rsid w:val="00914489"/>
    <w:rsid w:val="00914C48"/>
    <w:rsid w:val="009152DB"/>
    <w:rsid w:val="00920A66"/>
    <w:rsid w:val="00923D0B"/>
    <w:rsid w:val="009240BE"/>
    <w:rsid w:val="009254C9"/>
    <w:rsid w:val="00930EE0"/>
    <w:rsid w:val="009315CF"/>
    <w:rsid w:val="00933008"/>
    <w:rsid w:val="00936056"/>
    <w:rsid w:val="009426FA"/>
    <w:rsid w:val="009500EB"/>
    <w:rsid w:val="009520A6"/>
    <w:rsid w:val="00953B84"/>
    <w:rsid w:val="009554A2"/>
    <w:rsid w:val="009566A0"/>
    <w:rsid w:val="009576C6"/>
    <w:rsid w:val="009651CC"/>
    <w:rsid w:val="0097577F"/>
    <w:rsid w:val="009800C7"/>
    <w:rsid w:val="0098032F"/>
    <w:rsid w:val="00985600"/>
    <w:rsid w:val="00987042"/>
    <w:rsid w:val="00987173"/>
    <w:rsid w:val="0099001A"/>
    <w:rsid w:val="00991049"/>
    <w:rsid w:val="0099391D"/>
    <w:rsid w:val="00997150"/>
    <w:rsid w:val="00997673"/>
    <w:rsid w:val="009A2A4B"/>
    <w:rsid w:val="009A76CA"/>
    <w:rsid w:val="009B434D"/>
    <w:rsid w:val="009B6DB6"/>
    <w:rsid w:val="009B77F2"/>
    <w:rsid w:val="009B7931"/>
    <w:rsid w:val="009B7F37"/>
    <w:rsid w:val="009C07AA"/>
    <w:rsid w:val="009C1DE2"/>
    <w:rsid w:val="009D1636"/>
    <w:rsid w:val="009E0B4C"/>
    <w:rsid w:val="009E3ED3"/>
    <w:rsid w:val="009F050F"/>
    <w:rsid w:val="009F220E"/>
    <w:rsid w:val="009F274F"/>
    <w:rsid w:val="009F36DA"/>
    <w:rsid w:val="009F3F3D"/>
    <w:rsid w:val="009F7605"/>
    <w:rsid w:val="00A003B7"/>
    <w:rsid w:val="00A006A0"/>
    <w:rsid w:val="00A07373"/>
    <w:rsid w:val="00A114BF"/>
    <w:rsid w:val="00A11F63"/>
    <w:rsid w:val="00A14DF0"/>
    <w:rsid w:val="00A15B60"/>
    <w:rsid w:val="00A25ED7"/>
    <w:rsid w:val="00A27E68"/>
    <w:rsid w:val="00A31220"/>
    <w:rsid w:val="00A32F47"/>
    <w:rsid w:val="00A35DE7"/>
    <w:rsid w:val="00A37BBE"/>
    <w:rsid w:val="00A42AF6"/>
    <w:rsid w:val="00A44AF1"/>
    <w:rsid w:val="00A44C72"/>
    <w:rsid w:val="00A5021D"/>
    <w:rsid w:val="00A52CBA"/>
    <w:rsid w:val="00A57023"/>
    <w:rsid w:val="00A7106F"/>
    <w:rsid w:val="00A713FC"/>
    <w:rsid w:val="00A71EE4"/>
    <w:rsid w:val="00A73227"/>
    <w:rsid w:val="00A75740"/>
    <w:rsid w:val="00A82AD6"/>
    <w:rsid w:val="00AA4511"/>
    <w:rsid w:val="00AA6209"/>
    <w:rsid w:val="00AA673B"/>
    <w:rsid w:val="00AA6805"/>
    <w:rsid w:val="00AA7C93"/>
    <w:rsid w:val="00AB0327"/>
    <w:rsid w:val="00AB4859"/>
    <w:rsid w:val="00AB659A"/>
    <w:rsid w:val="00AB6A2B"/>
    <w:rsid w:val="00AB7CB5"/>
    <w:rsid w:val="00AC3330"/>
    <w:rsid w:val="00AC4120"/>
    <w:rsid w:val="00AC50F3"/>
    <w:rsid w:val="00AC76EF"/>
    <w:rsid w:val="00AD076F"/>
    <w:rsid w:val="00AD27EE"/>
    <w:rsid w:val="00AD2CA2"/>
    <w:rsid w:val="00AE30C2"/>
    <w:rsid w:val="00AE4EAA"/>
    <w:rsid w:val="00AE515A"/>
    <w:rsid w:val="00AE79D4"/>
    <w:rsid w:val="00AF558F"/>
    <w:rsid w:val="00AF56CB"/>
    <w:rsid w:val="00B006B6"/>
    <w:rsid w:val="00B00EF5"/>
    <w:rsid w:val="00B00FD7"/>
    <w:rsid w:val="00B01B4E"/>
    <w:rsid w:val="00B11457"/>
    <w:rsid w:val="00B14310"/>
    <w:rsid w:val="00B17FED"/>
    <w:rsid w:val="00B21F20"/>
    <w:rsid w:val="00B221B9"/>
    <w:rsid w:val="00B25AB0"/>
    <w:rsid w:val="00B25AF1"/>
    <w:rsid w:val="00B274D5"/>
    <w:rsid w:val="00B3030D"/>
    <w:rsid w:val="00B30761"/>
    <w:rsid w:val="00B30ABE"/>
    <w:rsid w:val="00B31D8C"/>
    <w:rsid w:val="00B435F7"/>
    <w:rsid w:val="00B5303B"/>
    <w:rsid w:val="00B5324C"/>
    <w:rsid w:val="00B57391"/>
    <w:rsid w:val="00B67690"/>
    <w:rsid w:val="00B72741"/>
    <w:rsid w:val="00B73C3A"/>
    <w:rsid w:val="00B75A4A"/>
    <w:rsid w:val="00B8190A"/>
    <w:rsid w:val="00B8679C"/>
    <w:rsid w:val="00B91CBA"/>
    <w:rsid w:val="00B923CA"/>
    <w:rsid w:val="00B92CD9"/>
    <w:rsid w:val="00B9339E"/>
    <w:rsid w:val="00B93575"/>
    <w:rsid w:val="00B961E4"/>
    <w:rsid w:val="00BA49DE"/>
    <w:rsid w:val="00BA5264"/>
    <w:rsid w:val="00BA55AC"/>
    <w:rsid w:val="00BB3B5D"/>
    <w:rsid w:val="00BB56D7"/>
    <w:rsid w:val="00BC0E30"/>
    <w:rsid w:val="00BC52E6"/>
    <w:rsid w:val="00BC7E8A"/>
    <w:rsid w:val="00BD027F"/>
    <w:rsid w:val="00BD261F"/>
    <w:rsid w:val="00BD3A8B"/>
    <w:rsid w:val="00BD424D"/>
    <w:rsid w:val="00BD44ED"/>
    <w:rsid w:val="00BD5053"/>
    <w:rsid w:val="00BD58EB"/>
    <w:rsid w:val="00BD5D11"/>
    <w:rsid w:val="00BE34D2"/>
    <w:rsid w:val="00BE472B"/>
    <w:rsid w:val="00BE78D0"/>
    <w:rsid w:val="00BF6EDD"/>
    <w:rsid w:val="00BF7ADA"/>
    <w:rsid w:val="00C0060B"/>
    <w:rsid w:val="00C0089D"/>
    <w:rsid w:val="00C045AE"/>
    <w:rsid w:val="00C05EDA"/>
    <w:rsid w:val="00C06F5B"/>
    <w:rsid w:val="00C07AF1"/>
    <w:rsid w:val="00C12D69"/>
    <w:rsid w:val="00C14103"/>
    <w:rsid w:val="00C14ACE"/>
    <w:rsid w:val="00C16131"/>
    <w:rsid w:val="00C23C69"/>
    <w:rsid w:val="00C2547C"/>
    <w:rsid w:val="00C258FC"/>
    <w:rsid w:val="00C25E15"/>
    <w:rsid w:val="00C27E4F"/>
    <w:rsid w:val="00C310E3"/>
    <w:rsid w:val="00C408CA"/>
    <w:rsid w:val="00C409A9"/>
    <w:rsid w:val="00C411FA"/>
    <w:rsid w:val="00C41D23"/>
    <w:rsid w:val="00C42441"/>
    <w:rsid w:val="00C47F2A"/>
    <w:rsid w:val="00C52D6E"/>
    <w:rsid w:val="00C56F7E"/>
    <w:rsid w:val="00C626EB"/>
    <w:rsid w:val="00C73779"/>
    <w:rsid w:val="00C76D8F"/>
    <w:rsid w:val="00C81B8D"/>
    <w:rsid w:val="00C863C6"/>
    <w:rsid w:val="00C90CCE"/>
    <w:rsid w:val="00C92F25"/>
    <w:rsid w:val="00C96FDD"/>
    <w:rsid w:val="00C97D3A"/>
    <w:rsid w:val="00C97EDB"/>
    <w:rsid w:val="00CA4B6B"/>
    <w:rsid w:val="00CB00BA"/>
    <w:rsid w:val="00CB05D4"/>
    <w:rsid w:val="00CB43FA"/>
    <w:rsid w:val="00CB4BE8"/>
    <w:rsid w:val="00CC02BB"/>
    <w:rsid w:val="00CC251F"/>
    <w:rsid w:val="00CC2FC7"/>
    <w:rsid w:val="00CC4E36"/>
    <w:rsid w:val="00CC6760"/>
    <w:rsid w:val="00CD1E34"/>
    <w:rsid w:val="00CD2389"/>
    <w:rsid w:val="00CD28F4"/>
    <w:rsid w:val="00CD2F13"/>
    <w:rsid w:val="00CD3944"/>
    <w:rsid w:val="00CD3988"/>
    <w:rsid w:val="00CD530B"/>
    <w:rsid w:val="00CD62AC"/>
    <w:rsid w:val="00CD65AB"/>
    <w:rsid w:val="00CD6F5A"/>
    <w:rsid w:val="00CE2351"/>
    <w:rsid w:val="00CE2D40"/>
    <w:rsid w:val="00D07042"/>
    <w:rsid w:val="00D12A29"/>
    <w:rsid w:val="00D146F4"/>
    <w:rsid w:val="00D14D75"/>
    <w:rsid w:val="00D154F6"/>
    <w:rsid w:val="00D16251"/>
    <w:rsid w:val="00D172F1"/>
    <w:rsid w:val="00D1759F"/>
    <w:rsid w:val="00D2136E"/>
    <w:rsid w:val="00D2724D"/>
    <w:rsid w:val="00D30491"/>
    <w:rsid w:val="00D32241"/>
    <w:rsid w:val="00D33434"/>
    <w:rsid w:val="00D35535"/>
    <w:rsid w:val="00D410C2"/>
    <w:rsid w:val="00D41715"/>
    <w:rsid w:val="00D43B2B"/>
    <w:rsid w:val="00D53042"/>
    <w:rsid w:val="00D540B8"/>
    <w:rsid w:val="00D55F0E"/>
    <w:rsid w:val="00D60913"/>
    <w:rsid w:val="00D63D9A"/>
    <w:rsid w:val="00D641CF"/>
    <w:rsid w:val="00D646D8"/>
    <w:rsid w:val="00D65E74"/>
    <w:rsid w:val="00D66C89"/>
    <w:rsid w:val="00D66E52"/>
    <w:rsid w:val="00D72148"/>
    <w:rsid w:val="00D74F4E"/>
    <w:rsid w:val="00D8220A"/>
    <w:rsid w:val="00D850DA"/>
    <w:rsid w:val="00D87DB0"/>
    <w:rsid w:val="00D9544B"/>
    <w:rsid w:val="00D97BC6"/>
    <w:rsid w:val="00DA2B6D"/>
    <w:rsid w:val="00DA2F2E"/>
    <w:rsid w:val="00DA5C5F"/>
    <w:rsid w:val="00DA6206"/>
    <w:rsid w:val="00DA6542"/>
    <w:rsid w:val="00DB0C4F"/>
    <w:rsid w:val="00DB4325"/>
    <w:rsid w:val="00DC14C3"/>
    <w:rsid w:val="00DC5891"/>
    <w:rsid w:val="00DC72BF"/>
    <w:rsid w:val="00DC78DE"/>
    <w:rsid w:val="00DD2954"/>
    <w:rsid w:val="00DD302D"/>
    <w:rsid w:val="00DD3943"/>
    <w:rsid w:val="00DD3CA5"/>
    <w:rsid w:val="00DD7A12"/>
    <w:rsid w:val="00DE0029"/>
    <w:rsid w:val="00DE0816"/>
    <w:rsid w:val="00DE12B2"/>
    <w:rsid w:val="00DE1AC1"/>
    <w:rsid w:val="00DE49C9"/>
    <w:rsid w:val="00DE6FAC"/>
    <w:rsid w:val="00DF7381"/>
    <w:rsid w:val="00DF74B3"/>
    <w:rsid w:val="00E15D4E"/>
    <w:rsid w:val="00E1786E"/>
    <w:rsid w:val="00E20542"/>
    <w:rsid w:val="00E21470"/>
    <w:rsid w:val="00E22EDD"/>
    <w:rsid w:val="00E23E53"/>
    <w:rsid w:val="00E24C82"/>
    <w:rsid w:val="00E25476"/>
    <w:rsid w:val="00E257DB"/>
    <w:rsid w:val="00E2583B"/>
    <w:rsid w:val="00E27ADC"/>
    <w:rsid w:val="00E3485B"/>
    <w:rsid w:val="00E42834"/>
    <w:rsid w:val="00E44BD4"/>
    <w:rsid w:val="00E507D1"/>
    <w:rsid w:val="00E73FBF"/>
    <w:rsid w:val="00E82245"/>
    <w:rsid w:val="00E84535"/>
    <w:rsid w:val="00E868C8"/>
    <w:rsid w:val="00E90E3A"/>
    <w:rsid w:val="00E945E9"/>
    <w:rsid w:val="00E94643"/>
    <w:rsid w:val="00E95202"/>
    <w:rsid w:val="00E95647"/>
    <w:rsid w:val="00E97874"/>
    <w:rsid w:val="00E97C10"/>
    <w:rsid w:val="00EA4187"/>
    <w:rsid w:val="00EB1BF6"/>
    <w:rsid w:val="00EB4BEB"/>
    <w:rsid w:val="00EB5571"/>
    <w:rsid w:val="00EB69B8"/>
    <w:rsid w:val="00EC1448"/>
    <w:rsid w:val="00EC4B1F"/>
    <w:rsid w:val="00EC5061"/>
    <w:rsid w:val="00EE2937"/>
    <w:rsid w:val="00EE5123"/>
    <w:rsid w:val="00EE66CF"/>
    <w:rsid w:val="00EE6726"/>
    <w:rsid w:val="00EE67DC"/>
    <w:rsid w:val="00EE772E"/>
    <w:rsid w:val="00EF1694"/>
    <w:rsid w:val="00EF62A2"/>
    <w:rsid w:val="00F06825"/>
    <w:rsid w:val="00F102F0"/>
    <w:rsid w:val="00F10FCD"/>
    <w:rsid w:val="00F12A5F"/>
    <w:rsid w:val="00F17A28"/>
    <w:rsid w:val="00F23D40"/>
    <w:rsid w:val="00F2772D"/>
    <w:rsid w:val="00F27ACB"/>
    <w:rsid w:val="00F30262"/>
    <w:rsid w:val="00F32D59"/>
    <w:rsid w:val="00F330DC"/>
    <w:rsid w:val="00F33699"/>
    <w:rsid w:val="00F336E4"/>
    <w:rsid w:val="00F412BA"/>
    <w:rsid w:val="00F416DA"/>
    <w:rsid w:val="00F50857"/>
    <w:rsid w:val="00F60FD0"/>
    <w:rsid w:val="00F60FED"/>
    <w:rsid w:val="00F61C29"/>
    <w:rsid w:val="00F75A68"/>
    <w:rsid w:val="00F76EE7"/>
    <w:rsid w:val="00F852B4"/>
    <w:rsid w:val="00F85F14"/>
    <w:rsid w:val="00F87BF7"/>
    <w:rsid w:val="00F9067E"/>
    <w:rsid w:val="00F91152"/>
    <w:rsid w:val="00F913EB"/>
    <w:rsid w:val="00F95C05"/>
    <w:rsid w:val="00F97C8B"/>
    <w:rsid w:val="00FA50F6"/>
    <w:rsid w:val="00FB19F4"/>
    <w:rsid w:val="00FB2E72"/>
    <w:rsid w:val="00FB610C"/>
    <w:rsid w:val="00FB7B0F"/>
    <w:rsid w:val="00FC18F3"/>
    <w:rsid w:val="00FC40ED"/>
    <w:rsid w:val="00FC4FB4"/>
    <w:rsid w:val="00FC57A2"/>
    <w:rsid w:val="00FC7A25"/>
    <w:rsid w:val="00FD7BD3"/>
    <w:rsid w:val="00FE6576"/>
    <w:rsid w:val="00FE671D"/>
    <w:rsid w:val="00FE6FC7"/>
    <w:rsid w:val="00FF018D"/>
    <w:rsid w:val="00FF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60AD5C"/>
  <w15:chartTrackingRefBased/>
  <w15:docId w15:val="{A0556E7C-C4F3-44D2-B37D-E6E30126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uiPriority w:val="99"/>
    <w:qFormat/>
    <w:pPr>
      <w:numPr>
        <w:ilvl w:val="6"/>
        <w:numId w:val="6"/>
      </w:numPr>
      <w:tabs>
        <w:tab w:val="left" w:pos="993"/>
      </w:tabs>
      <w:spacing w:after="60"/>
      <w:outlineLvl w:val="6"/>
    </w:pPr>
    <w:rPr>
      <w:color w:val="000000"/>
      <w:sz w:val="20"/>
    </w:rPr>
  </w:style>
  <w:style w:type="paragraph" w:styleId="Heading8">
    <w:name w:val="heading 8"/>
    <w:basedOn w:val="Normal"/>
    <w:next w:val="Normal"/>
    <w:uiPriority w:val="99"/>
    <w:qFormat/>
    <w:pPr>
      <w:numPr>
        <w:ilvl w:val="7"/>
        <w:numId w:val="6"/>
      </w:numPr>
      <w:spacing w:before="140" w:after="20"/>
      <w:outlineLvl w:val="7"/>
    </w:pPr>
    <w:rPr>
      <w:i/>
      <w:color w:val="000000"/>
      <w:sz w:val="18"/>
    </w:rPr>
  </w:style>
  <w:style w:type="paragraph" w:styleId="Heading9">
    <w:name w:val="heading 9"/>
    <w:basedOn w:val="Normal"/>
    <w:next w:val="Normal"/>
    <w:uiPriority w:val="99"/>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uiPriority w:val="99"/>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link w:val="FootnoteTextChar"/>
    <w:rPr>
      <w:sz w:val="16"/>
    </w:rPr>
  </w:style>
  <w:style w:type="character" w:styleId="Hyperlink">
    <w:name w:val="Hyperlink"/>
    <w:uiPriority w:val="99"/>
    <w:semiHidden/>
    <w:rPr>
      <w:color w:val="0000FF"/>
      <w:u w:val="single"/>
    </w:rPr>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56677B"/>
    <w:rPr>
      <w:rFonts w:ascii="Tahoma" w:hAnsi="Tahoma" w:cs="Tahoma"/>
      <w:sz w:val="16"/>
      <w:szCs w:val="16"/>
    </w:rPr>
  </w:style>
  <w:style w:type="character" w:customStyle="1" w:styleId="BalloonTextChar">
    <w:name w:val="Balloon Text Char"/>
    <w:link w:val="BalloonText"/>
    <w:uiPriority w:val="99"/>
    <w:semiHidden/>
    <w:rsid w:val="0056677B"/>
    <w:rPr>
      <w:rFonts w:ascii="Tahoma" w:hAnsi="Tahoma" w:cs="Tahoma"/>
      <w:sz w:val="16"/>
      <w:szCs w:val="16"/>
    </w:rPr>
  </w:style>
  <w:style w:type="paragraph" w:customStyle="1" w:styleId="Default">
    <w:name w:val="Default"/>
    <w:rsid w:val="00BF6EDD"/>
    <w:pPr>
      <w:autoSpaceDE w:val="0"/>
      <w:autoSpaceDN w:val="0"/>
      <w:adjustRightInd w:val="0"/>
    </w:pPr>
    <w:rPr>
      <w:rFonts w:ascii="Verdana" w:eastAsia="Calibri" w:hAnsi="Verdana" w:cs="Verdana"/>
      <w:color w:val="000000"/>
      <w:sz w:val="24"/>
      <w:szCs w:val="24"/>
      <w:lang w:eastAsia="en-US"/>
    </w:rPr>
  </w:style>
  <w:style w:type="paragraph" w:styleId="MediumGrid1-Accent2">
    <w:name w:val="Medium Grid 1 Accent 2"/>
    <w:basedOn w:val="Normal"/>
    <w:uiPriority w:val="34"/>
    <w:qFormat/>
    <w:rsid w:val="006650C8"/>
    <w:pPr>
      <w:ind w:left="720"/>
    </w:pPr>
    <w:rPr>
      <w:rFonts w:ascii="Calibri" w:eastAsia="Calibri" w:hAnsi="Calibri"/>
      <w:szCs w:val="22"/>
    </w:rPr>
  </w:style>
  <w:style w:type="character" w:styleId="CommentReference">
    <w:name w:val="annotation reference"/>
    <w:uiPriority w:val="99"/>
    <w:semiHidden/>
    <w:unhideWhenUsed/>
    <w:rsid w:val="00345915"/>
    <w:rPr>
      <w:sz w:val="16"/>
      <w:szCs w:val="16"/>
    </w:rPr>
  </w:style>
  <w:style w:type="paragraph" w:styleId="CommentText">
    <w:name w:val="annotation text"/>
    <w:basedOn w:val="Normal"/>
    <w:link w:val="CommentTextChar"/>
    <w:uiPriority w:val="99"/>
    <w:semiHidden/>
    <w:unhideWhenUsed/>
    <w:rsid w:val="00345915"/>
    <w:rPr>
      <w:sz w:val="20"/>
    </w:rPr>
  </w:style>
  <w:style w:type="character" w:customStyle="1" w:styleId="CommentTextChar">
    <w:name w:val="Comment Text Char"/>
    <w:link w:val="CommentText"/>
    <w:uiPriority w:val="99"/>
    <w:semiHidden/>
    <w:rsid w:val="00345915"/>
    <w:rPr>
      <w:rFonts w:ascii="Verdana" w:hAnsi="Verdana"/>
    </w:rPr>
  </w:style>
  <w:style w:type="paragraph" w:styleId="CommentSubject">
    <w:name w:val="annotation subject"/>
    <w:basedOn w:val="CommentText"/>
    <w:next w:val="CommentText"/>
    <w:link w:val="CommentSubjectChar"/>
    <w:uiPriority w:val="99"/>
    <w:semiHidden/>
    <w:unhideWhenUsed/>
    <w:rsid w:val="00345915"/>
    <w:rPr>
      <w:b/>
      <w:bCs/>
    </w:rPr>
  </w:style>
  <w:style w:type="character" w:customStyle="1" w:styleId="CommentSubjectChar">
    <w:name w:val="Comment Subject Char"/>
    <w:link w:val="CommentSubject"/>
    <w:uiPriority w:val="99"/>
    <w:semiHidden/>
    <w:rsid w:val="00345915"/>
    <w:rPr>
      <w:rFonts w:ascii="Verdana" w:hAnsi="Verdana"/>
      <w:b/>
      <w:bCs/>
    </w:rPr>
  </w:style>
  <w:style w:type="numbering" w:customStyle="1" w:styleId="StylesList">
    <w:name w:val="StylesList"/>
    <w:uiPriority w:val="99"/>
    <w:rsid w:val="00083E22"/>
    <w:pPr>
      <w:numPr>
        <w:numId w:val="17"/>
      </w:numPr>
    </w:pPr>
  </w:style>
  <w:style w:type="character" w:customStyle="1" w:styleId="Style1Char">
    <w:name w:val="Style1 Char"/>
    <w:link w:val="Style1"/>
    <w:uiPriority w:val="99"/>
    <w:rsid w:val="00083E22"/>
    <w:rPr>
      <w:rFonts w:ascii="Verdana" w:hAnsi="Verdana"/>
      <w:color w:val="000000"/>
      <w:kern w:val="28"/>
      <w:sz w:val="22"/>
    </w:rPr>
  </w:style>
  <w:style w:type="character" w:customStyle="1" w:styleId="FootnoteTextChar">
    <w:name w:val="Footnote Text Char"/>
    <w:link w:val="FootnoteText"/>
    <w:rsid w:val="006B6A1C"/>
    <w:rPr>
      <w:rFonts w:ascii="Verdana" w:hAnsi="Verdana"/>
      <w:sz w:val="16"/>
    </w:rPr>
  </w:style>
  <w:style w:type="paragraph" w:styleId="ListParagraph">
    <w:name w:val="List Paragraph"/>
    <w:basedOn w:val="Normal"/>
    <w:uiPriority w:val="34"/>
    <w:qFormat/>
    <w:rsid w:val="00A7106F"/>
    <w:pPr>
      <w:ind w:left="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3685">
      <w:bodyDiv w:val="1"/>
      <w:marLeft w:val="0"/>
      <w:marRight w:val="0"/>
      <w:marTop w:val="0"/>
      <w:marBottom w:val="0"/>
      <w:divBdr>
        <w:top w:val="none" w:sz="0" w:space="0" w:color="auto"/>
        <w:left w:val="none" w:sz="0" w:space="0" w:color="auto"/>
        <w:bottom w:val="none" w:sz="0" w:space="0" w:color="auto"/>
        <w:right w:val="none" w:sz="0" w:space="0" w:color="auto"/>
      </w:divBdr>
    </w:div>
    <w:div w:id="434440520">
      <w:bodyDiv w:val="1"/>
      <w:marLeft w:val="0"/>
      <w:marRight w:val="0"/>
      <w:marTop w:val="0"/>
      <w:marBottom w:val="0"/>
      <w:divBdr>
        <w:top w:val="none" w:sz="0" w:space="0" w:color="auto"/>
        <w:left w:val="none" w:sz="0" w:space="0" w:color="auto"/>
        <w:bottom w:val="none" w:sz="0" w:space="0" w:color="auto"/>
        <w:right w:val="none" w:sz="0" w:space="0" w:color="auto"/>
      </w:divBdr>
    </w:div>
    <w:div w:id="668677633">
      <w:bodyDiv w:val="1"/>
      <w:marLeft w:val="0"/>
      <w:marRight w:val="0"/>
      <w:marTop w:val="0"/>
      <w:marBottom w:val="0"/>
      <w:divBdr>
        <w:top w:val="none" w:sz="0" w:space="0" w:color="auto"/>
        <w:left w:val="none" w:sz="0" w:space="0" w:color="auto"/>
        <w:bottom w:val="none" w:sz="0" w:space="0" w:color="auto"/>
        <w:right w:val="none" w:sz="0" w:space="0" w:color="auto"/>
      </w:divBdr>
    </w:div>
    <w:div w:id="813520458">
      <w:bodyDiv w:val="1"/>
      <w:marLeft w:val="0"/>
      <w:marRight w:val="0"/>
      <w:marTop w:val="0"/>
      <w:marBottom w:val="0"/>
      <w:divBdr>
        <w:top w:val="none" w:sz="0" w:space="0" w:color="auto"/>
        <w:left w:val="none" w:sz="0" w:space="0" w:color="auto"/>
        <w:bottom w:val="none" w:sz="0" w:space="0" w:color="auto"/>
        <w:right w:val="none" w:sz="0" w:space="0" w:color="auto"/>
      </w:divBdr>
      <w:divsChild>
        <w:div w:id="2066753113">
          <w:marLeft w:val="0"/>
          <w:marRight w:val="0"/>
          <w:marTop w:val="0"/>
          <w:marBottom w:val="0"/>
          <w:divBdr>
            <w:top w:val="none" w:sz="0" w:space="0" w:color="auto"/>
            <w:left w:val="none" w:sz="0" w:space="0" w:color="auto"/>
            <w:bottom w:val="none" w:sz="0" w:space="0" w:color="auto"/>
            <w:right w:val="none" w:sz="0" w:space="0" w:color="auto"/>
          </w:divBdr>
          <w:divsChild>
            <w:div w:id="424308337">
              <w:marLeft w:val="0"/>
              <w:marRight w:val="0"/>
              <w:marTop w:val="0"/>
              <w:marBottom w:val="0"/>
              <w:divBdr>
                <w:top w:val="none" w:sz="0" w:space="0" w:color="auto"/>
                <w:left w:val="none" w:sz="0" w:space="0" w:color="auto"/>
                <w:bottom w:val="none" w:sz="0" w:space="0" w:color="auto"/>
                <w:right w:val="none" w:sz="0" w:space="0" w:color="auto"/>
              </w:divBdr>
              <w:divsChild>
                <w:div w:id="833685769">
                  <w:marLeft w:val="0"/>
                  <w:marRight w:val="0"/>
                  <w:marTop w:val="0"/>
                  <w:marBottom w:val="0"/>
                  <w:divBdr>
                    <w:top w:val="none" w:sz="0" w:space="0" w:color="auto"/>
                    <w:left w:val="none" w:sz="0" w:space="0" w:color="auto"/>
                    <w:bottom w:val="none" w:sz="0" w:space="0" w:color="auto"/>
                    <w:right w:val="none" w:sz="0" w:space="0" w:color="auto"/>
                  </w:divBdr>
                  <w:divsChild>
                    <w:div w:id="14052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0B90F-94BE-4195-AC95-A19F54F8B76D}">
  <ds:schemaRefs>
    <ds:schemaRef ds:uri="http://schemas.openxmlformats.org/officeDocument/2006/bibliography"/>
  </ds:schemaRefs>
</ds:datastoreItem>
</file>

<file path=customXml/itemProps2.xml><?xml version="1.0" encoding="utf-8"?>
<ds:datastoreItem xmlns:ds="http://schemas.openxmlformats.org/officeDocument/2006/customXml" ds:itemID="{3D924D32-ACD2-4B30-8E98-3E12F995492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3FC1CC0-936C-4AED-8D94-359B29556C54}"/>
</file>

<file path=customXml/itemProps4.xml><?xml version="1.0" encoding="utf-8"?>
<ds:datastoreItem xmlns:ds="http://schemas.openxmlformats.org/officeDocument/2006/customXml" ds:itemID="{56119F3D-9259-47D6-809F-7A2978698381}"/>
</file>

<file path=customXml/itemProps5.xml><?xml version="1.0" encoding="utf-8"?>
<ds:datastoreItem xmlns:ds="http://schemas.openxmlformats.org/officeDocument/2006/customXml" ds:itemID="{36DA5875-D5EA-4F70-B7A5-476104D08829}"/>
</file>

<file path=docProps/app.xml><?xml version="1.0" encoding="utf-8"?>
<Properties xmlns="http://schemas.openxmlformats.org/officeDocument/2006/extended-properties" xmlns:vt="http://schemas.openxmlformats.org/officeDocument/2006/docPropsVTypes">
  <Template>Decisions.dot</Template>
  <TotalTime>1</TotalTime>
  <Pages>10</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2022-02-03T09:30:00Z</cp:lastPrinted>
  <dcterms:created xsi:type="dcterms:W3CDTF">2022-02-03T09:31:00Z</dcterms:created>
  <dcterms:modified xsi:type="dcterms:W3CDTF">2022-02-03T09:31:00Z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103c4103-ac14-4754-bbbc-abff12dd9f47</vt:lpwstr>
  </property>
  <property fmtid="{D5CDD505-2E9C-101B-9397-08002B2CF9AE}" pid="6" name="bjSaver">
    <vt:lpwstr>C9q4Q4n4AVC8MkIQ+5d+SkXW9l8cEShX</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