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A8E7E" w14:textId="00F03B02" w:rsidR="00C779E8" w:rsidRDefault="00635B70">
      <w:r>
        <w:rPr>
          <w:noProof/>
        </w:rPr>
        <w:drawing>
          <wp:inline distT="0" distB="0" distL="0" distR="0" wp14:anchorId="039588BE" wp14:editId="0E707EB5">
            <wp:extent cx="3348355" cy="347980"/>
            <wp:effectExtent l="0" t="0" r="0" b="0"/>
            <wp:docPr id="4" name="Picture 1" descr="PI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PINS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48355" cy="347980"/>
                    </a:xfrm>
                    <a:prstGeom prst="rect">
                      <a:avLst/>
                    </a:prstGeom>
                    <a:noFill/>
                    <a:ln>
                      <a:noFill/>
                    </a:ln>
                  </pic:spPr>
                </pic:pic>
              </a:graphicData>
            </a:graphic>
          </wp:inline>
        </w:drawing>
      </w:r>
    </w:p>
    <w:p w14:paraId="55692FBE" w14:textId="77777777" w:rsidR="00C779E8" w:rsidRDefault="00C779E8"/>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C779E8" w14:paraId="67969390" w14:textId="77777777">
        <w:tblPrEx>
          <w:tblCellMar>
            <w:top w:w="0" w:type="dxa"/>
            <w:bottom w:w="0" w:type="dxa"/>
          </w:tblCellMar>
        </w:tblPrEx>
        <w:trPr>
          <w:cantSplit/>
          <w:trHeight w:val="659"/>
        </w:trPr>
        <w:tc>
          <w:tcPr>
            <w:tcW w:w="9356" w:type="dxa"/>
          </w:tcPr>
          <w:p w14:paraId="3F59802A" w14:textId="77777777" w:rsidR="00C779E8" w:rsidRDefault="00C779E8">
            <w:pPr>
              <w:spacing w:before="120"/>
              <w:ind w:left="-108" w:right="34"/>
              <w:rPr>
                <w:b/>
                <w:color w:val="000000"/>
                <w:sz w:val="40"/>
                <w:szCs w:val="40"/>
              </w:rPr>
            </w:pPr>
            <w:bookmarkStart w:id="0" w:name="bmkTable00"/>
            <w:bookmarkEnd w:id="0"/>
            <w:r>
              <w:rPr>
                <w:b/>
                <w:color w:val="000000"/>
                <w:sz w:val="40"/>
                <w:szCs w:val="40"/>
              </w:rPr>
              <w:t>Direction Decision</w:t>
            </w:r>
          </w:p>
        </w:tc>
      </w:tr>
      <w:tr w:rsidR="00C779E8" w14:paraId="4149D816" w14:textId="77777777">
        <w:tblPrEx>
          <w:tblCellMar>
            <w:top w:w="0" w:type="dxa"/>
            <w:bottom w:w="0" w:type="dxa"/>
          </w:tblCellMar>
        </w:tblPrEx>
        <w:trPr>
          <w:cantSplit/>
          <w:trHeight w:val="374"/>
        </w:trPr>
        <w:tc>
          <w:tcPr>
            <w:tcW w:w="9356" w:type="dxa"/>
          </w:tcPr>
          <w:p w14:paraId="16A7E005" w14:textId="77777777" w:rsidR="00C779E8" w:rsidRDefault="00C779E8" w:rsidP="00D25177">
            <w:pPr>
              <w:spacing w:before="120"/>
              <w:ind w:left="-108" w:right="34"/>
              <w:rPr>
                <w:b/>
                <w:color w:val="000000"/>
                <w:sz w:val="16"/>
                <w:szCs w:val="22"/>
              </w:rPr>
            </w:pPr>
            <w:r>
              <w:rPr>
                <w:b/>
                <w:color w:val="000000"/>
                <w:szCs w:val="22"/>
              </w:rPr>
              <w:t xml:space="preserve">by </w:t>
            </w:r>
            <w:r w:rsidR="00890C92" w:rsidRPr="00CF39BD">
              <w:rPr>
                <w:b/>
                <w:color w:val="000000"/>
                <w:szCs w:val="22"/>
              </w:rPr>
              <w:t xml:space="preserve">D. M. Young </w:t>
            </w:r>
            <w:r w:rsidR="00890C92">
              <w:rPr>
                <w:b/>
                <w:color w:val="000000"/>
                <w:szCs w:val="22"/>
              </w:rPr>
              <w:t xml:space="preserve">JP </w:t>
            </w:r>
            <w:r w:rsidR="00890C92" w:rsidRPr="00CF39BD">
              <w:rPr>
                <w:b/>
                <w:color w:val="000000"/>
                <w:szCs w:val="22"/>
              </w:rPr>
              <w:t xml:space="preserve">BSc (Hons) </w:t>
            </w:r>
            <w:proofErr w:type="spellStart"/>
            <w:r w:rsidR="00890C92" w:rsidRPr="00CF39BD">
              <w:rPr>
                <w:b/>
                <w:color w:val="000000"/>
                <w:szCs w:val="22"/>
              </w:rPr>
              <w:t>M</w:t>
            </w:r>
            <w:r w:rsidR="00890C92">
              <w:rPr>
                <w:b/>
                <w:color w:val="000000"/>
                <w:szCs w:val="22"/>
              </w:rPr>
              <w:t>Plan</w:t>
            </w:r>
            <w:proofErr w:type="spellEnd"/>
            <w:r w:rsidR="00890C92" w:rsidRPr="00CF39BD">
              <w:rPr>
                <w:b/>
                <w:color w:val="000000"/>
                <w:szCs w:val="22"/>
              </w:rPr>
              <w:t xml:space="preserve"> MRTPI MIHE</w:t>
            </w:r>
          </w:p>
        </w:tc>
      </w:tr>
      <w:tr w:rsidR="00C779E8" w14:paraId="47594AC3" w14:textId="77777777">
        <w:tblPrEx>
          <w:tblCellMar>
            <w:top w:w="0" w:type="dxa"/>
            <w:bottom w:w="0" w:type="dxa"/>
          </w:tblCellMar>
        </w:tblPrEx>
        <w:trPr>
          <w:cantSplit/>
          <w:trHeight w:val="357"/>
        </w:trPr>
        <w:tc>
          <w:tcPr>
            <w:tcW w:w="9356" w:type="dxa"/>
          </w:tcPr>
          <w:p w14:paraId="48F3ADA4" w14:textId="77777777" w:rsidR="00C779E8" w:rsidRDefault="00C779E8">
            <w:pPr>
              <w:spacing w:before="120"/>
              <w:ind w:left="-108" w:right="34"/>
              <w:rPr>
                <w:b/>
                <w:color w:val="000000"/>
                <w:sz w:val="16"/>
                <w:szCs w:val="16"/>
              </w:rPr>
            </w:pPr>
            <w:r>
              <w:rPr>
                <w:b/>
                <w:color w:val="000000"/>
                <w:sz w:val="16"/>
                <w:szCs w:val="16"/>
              </w:rPr>
              <w:t>an Inspector on direction of the Secretary of State for Environment, Food and Rural Affairs</w:t>
            </w:r>
          </w:p>
        </w:tc>
      </w:tr>
      <w:tr w:rsidR="00C779E8" w14:paraId="60B2D38B" w14:textId="77777777" w:rsidTr="00D25177">
        <w:tblPrEx>
          <w:tblCellMar>
            <w:top w:w="0" w:type="dxa"/>
            <w:bottom w:w="0" w:type="dxa"/>
          </w:tblCellMar>
        </w:tblPrEx>
        <w:trPr>
          <w:cantSplit/>
          <w:trHeight w:val="434"/>
        </w:trPr>
        <w:tc>
          <w:tcPr>
            <w:tcW w:w="9356" w:type="dxa"/>
          </w:tcPr>
          <w:p w14:paraId="4796010B" w14:textId="77777777" w:rsidR="00C779E8" w:rsidRDefault="00C779E8">
            <w:pPr>
              <w:spacing w:before="120"/>
              <w:ind w:left="-108" w:right="176"/>
              <w:rPr>
                <w:b/>
                <w:color w:val="000000"/>
                <w:sz w:val="16"/>
                <w:szCs w:val="16"/>
              </w:rPr>
            </w:pPr>
            <w:r>
              <w:rPr>
                <w:b/>
                <w:color w:val="000000"/>
                <w:sz w:val="16"/>
                <w:szCs w:val="16"/>
              </w:rPr>
              <w:t xml:space="preserve">Decision date: </w:t>
            </w:r>
            <w:r w:rsidR="00555E2D">
              <w:rPr>
                <w:b/>
                <w:color w:val="000000"/>
                <w:sz w:val="16"/>
                <w:szCs w:val="16"/>
              </w:rPr>
              <w:t>04 March 2022</w:t>
            </w:r>
          </w:p>
        </w:tc>
      </w:tr>
    </w:tbl>
    <w:p w14:paraId="476A5F73" w14:textId="77777777" w:rsidR="00C779E8" w:rsidRPr="00D25177" w:rsidRDefault="00C779E8">
      <w:pPr>
        <w:rPr>
          <w:sz w:val="18"/>
          <w:szCs w:val="18"/>
        </w:rPr>
      </w:pPr>
    </w:p>
    <w:tbl>
      <w:tblPr>
        <w:tblW w:w="0" w:type="auto"/>
        <w:tblLayout w:type="fixed"/>
        <w:tblLook w:val="0000" w:firstRow="0" w:lastRow="0" w:firstColumn="0" w:lastColumn="0" w:noHBand="0" w:noVBand="0"/>
      </w:tblPr>
      <w:tblGrid>
        <w:gridCol w:w="9520"/>
      </w:tblGrid>
      <w:tr w:rsidR="00C779E8" w14:paraId="15D965FF" w14:textId="77777777">
        <w:tblPrEx>
          <w:tblCellMar>
            <w:top w:w="0" w:type="dxa"/>
            <w:bottom w:w="0" w:type="dxa"/>
          </w:tblCellMar>
        </w:tblPrEx>
        <w:tc>
          <w:tcPr>
            <w:tcW w:w="9520" w:type="dxa"/>
          </w:tcPr>
          <w:p w14:paraId="56DCA474" w14:textId="77777777" w:rsidR="00C779E8" w:rsidRDefault="00C779E8">
            <w:pPr>
              <w:spacing w:after="60"/>
              <w:rPr>
                <w:b/>
                <w:color w:val="000000"/>
              </w:rPr>
            </w:pPr>
            <w:r>
              <w:rPr>
                <w:b/>
                <w:color w:val="000000"/>
              </w:rPr>
              <w:t>Ref: FPS/</w:t>
            </w:r>
            <w:r w:rsidR="00D6753F">
              <w:rPr>
                <w:b/>
                <w:color w:val="000000"/>
              </w:rPr>
              <w:t>B3600/14D/2</w:t>
            </w:r>
          </w:p>
          <w:p w14:paraId="699DE2A2" w14:textId="77777777" w:rsidR="00C779E8" w:rsidRDefault="00C779E8">
            <w:pPr>
              <w:spacing w:after="60"/>
              <w:rPr>
                <w:b/>
                <w:color w:val="000000"/>
              </w:rPr>
            </w:pPr>
            <w:r>
              <w:rPr>
                <w:b/>
                <w:color w:val="000000"/>
              </w:rPr>
              <w:t xml:space="preserve">Representation by </w:t>
            </w:r>
            <w:r w:rsidR="00D6753F">
              <w:rPr>
                <w:b/>
                <w:color w:val="000000"/>
              </w:rPr>
              <w:t>Mark Warren</w:t>
            </w:r>
          </w:p>
          <w:p w14:paraId="690C61A7" w14:textId="77777777" w:rsidR="00C779E8" w:rsidRDefault="00D6753F">
            <w:pPr>
              <w:spacing w:after="60"/>
              <w:rPr>
                <w:b/>
                <w:color w:val="000000"/>
              </w:rPr>
            </w:pPr>
            <w:r>
              <w:rPr>
                <w:b/>
                <w:color w:val="000000"/>
              </w:rPr>
              <w:t>Surrey County</w:t>
            </w:r>
            <w:r w:rsidR="00C779E8">
              <w:rPr>
                <w:b/>
                <w:color w:val="000000"/>
              </w:rPr>
              <w:t xml:space="preserve"> Council</w:t>
            </w:r>
          </w:p>
          <w:p w14:paraId="1B0B26BA" w14:textId="77777777" w:rsidR="00C779E8" w:rsidRDefault="00D6753F">
            <w:pPr>
              <w:spacing w:after="60"/>
              <w:rPr>
                <w:b/>
                <w:color w:val="000000"/>
              </w:rPr>
            </w:pPr>
            <w:r w:rsidRPr="00D6753F">
              <w:rPr>
                <w:b/>
                <w:color w:val="000000"/>
              </w:rPr>
              <w:t>Adding the footpath which runs from Cranleigh FP393/10 TQ 04090 38740 to Alfold BR280a/10 TQ 04120 38120</w:t>
            </w:r>
            <w:r>
              <w:rPr>
                <w:b/>
                <w:color w:val="000000"/>
              </w:rPr>
              <w:t xml:space="preserve"> (</w:t>
            </w:r>
            <w:r w:rsidR="00C779E8">
              <w:rPr>
                <w:b/>
                <w:color w:val="000000"/>
              </w:rPr>
              <w:t xml:space="preserve">OMA ref. </w:t>
            </w:r>
            <w:r>
              <w:rPr>
                <w:b/>
                <w:color w:val="000000"/>
              </w:rPr>
              <w:t>DW/CV/CP588</w:t>
            </w:r>
            <w:r w:rsidR="00C779E8">
              <w:rPr>
                <w:b/>
                <w:color w:val="000000"/>
              </w:rPr>
              <w:t>)</w:t>
            </w:r>
          </w:p>
        </w:tc>
      </w:tr>
      <w:tr w:rsidR="00C779E8" w14:paraId="0C42E815" w14:textId="77777777">
        <w:tblPrEx>
          <w:tblCellMar>
            <w:top w:w="0" w:type="dxa"/>
            <w:bottom w:w="0" w:type="dxa"/>
          </w:tblCellMar>
        </w:tblPrEx>
        <w:tc>
          <w:tcPr>
            <w:tcW w:w="9520" w:type="dxa"/>
          </w:tcPr>
          <w:p w14:paraId="502A927F" w14:textId="77777777" w:rsidR="00C779E8" w:rsidRDefault="00C779E8">
            <w:pPr>
              <w:pStyle w:val="TBullet"/>
              <w:spacing w:after="60"/>
              <w:ind w:left="357" w:hanging="357"/>
            </w:pPr>
            <w:r>
              <w:t xml:space="preserve">The representation is made under Paragraph 3(2) of Schedule 14 of the Wildlife and Countryside Act 1981 (the 1981 Act) seeking a direction to be given to </w:t>
            </w:r>
            <w:r w:rsidR="00E62FFC">
              <w:t>Surrey County Council</w:t>
            </w:r>
            <w:r>
              <w:t xml:space="preserve"> to determine an application for an Order, under Section 53(5) of that Act.</w:t>
            </w:r>
          </w:p>
        </w:tc>
      </w:tr>
      <w:tr w:rsidR="00C779E8" w14:paraId="69CFE3D9" w14:textId="77777777">
        <w:tblPrEx>
          <w:tblCellMar>
            <w:top w:w="0" w:type="dxa"/>
            <w:bottom w:w="0" w:type="dxa"/>
          </w:tblCellMar>
        </w:tblPrEx>
        <w:tc>
          <w:tcPr>
            <w:tcW w:w="9520" w:type="dxa"/>
          </w:tcPr>
          <w:p w14:paraId="7DCE2E37" w14:textId="77777777" w:rsidR="00C779E8" w:rsidRDefault="00C779E8">
            <w:pPr>
              <w:pStyle w:val="TBullet"/>
              <w:spacing w:after="60"/>
              <w:ind w:left="357" w:hanging="357"/>
            </w:pPr>
            <w:r>
              <w:t>The representation is made by</w:t>
            </w:r>
            <w:r w:rsidR="00890C92">
              <w:t xml:space="preserve"> Mark Warren</w:t>
            </w:r>
            <w:r>
              <w:t xml:space="preserve">, dated </w:t>
            </w:r>
            <w:r w:rsidR="00890C92">
              <w:t>21 September 2021</w:t>
            </w:r>
            <w:r>
              <w:t>.</w:t>
            </w:r>
          </w:p>
        </w:tc>
      </w:tr>
      <w:tr w:rsidR="00C779E8" w14:paraId="237FAC7C" w14:textId="77777777">
        <w:tblPrEx>
          <w:tblCellMar>
            <w:top w:w="0" w:type="dxa"/>
            <w:bottom w:w="0" w:type="dxa"/>
          </w:tblCellMar>
        </w:tblPrEx>
        <w:tc>
          <w:tcPr>
            <w:tcW w:w="9520" w:type="dxa"/>
          </w:tcPr>
          <w:p w14:paraId="6764DD03" w14:textId="77777777" w:rsidR="00C779E8" w:rsidRDefault="00C779E8">
            <w:pPr>
              <w:pStyle w:val="TBullet"/>
              <w:spacing w:after="60"/>
              <w:ind w:left="357" w:hanging="357"/>
            </w:pPr>
            <w:r>
              <w:t xml:space="preserve">The certificate under Paragraph 2(3) of Schedule 14 is dated </w:t>
            </w:r>
            <w:r w:rsidR="00890C92">
              <w:t>18 October 2019</w:t>
            </w:r>
            <w:r>
              <w:t>.</w:t>
            </w:r>
          </w:p>
        </w:tc>
      </w:tr>
      <w:tr w:rsidR="00C779E8" w14:paraId="120E7BD5" w14:textId="77777777">
        <w:tblPrEx>
          <w:tblCellMar>
            <w:top w:w="0" w:type="dxa"/>
            <w:bottom w:w="0" w:type="dxa"/>
          </w:tblCellMar>
        </w:tblPrEx>
        <w:tc>
          <w:tcPr>
            <w:tcW w:w="9520" w:type="dxa"/>
          </w:tcPr>
          <w:p w14:paraId="7408D634" w14:textId="77777777" w:rsidR="00C779E8" w:rsidRDefault="00C779E8">
            <w:pPr>
              <w:pStyle w:val="TBullet"/>
            </w:pPr>
            <w:r>
              <w:t xml:space="preserve">The Council was consulted about your representation on </w:t>
            </w:r>
            <w:r w:rsidR="00890C92">
              <w:t>11 October 2021</w:t>
            </w:r>
            <w:r>
              <w:t xml:space="preserve"> and the Council’s response was made on </w:t>
            </w:r>
            <w:r w:rsidR="00890C92">
              <w:t>15 November 2021</w:t>
            </w:r>
            <w:r>
              <w:t>.</w:t>
            </w:r>
          </w:p>
        </w:tc>
      </w:tr>
      <w:tr w:rsidR="00C779E8" w14:paraId="40B371D0" w14:textId="77777777">
        <w:tblPrEx>
          <w:tblCellMar>
            <w:top w:w="0" w:type="dxa"/>
            <w:bottom w:w="0" w:type="dxa"/>
          </w:tblCellMar>
        </w:tblPrEx>
        <w:tc>
          <w:tcPr>
            <w:tcW w:w="9520" w:type="dxa"/>
            <w:tcBorders>
              <w:bottom w:val="single" w:sz="6" w:space="0" w:color="000000"/>
            </w:tcBorders>
          </w:tcPr>
          <w:p w14:paraId="50B1666E" w14:textId="77777777" w:rsidR="00C779E8" w:rsidRDefault="00C779E8">
            <w:pPr>
              <w:spacing w:before="60"/>
              <w:rPr>
                <w:b/>
                <w:color w:val="000000"/>
                <w:sz w:val="8"/>
              </w:rPr>
            </w:pPr>
            <w:bookmarkStart w:id="1" w:name="bmkReturn"/>
            <w:bookmarkEnd w:id="1"/>
          </w:p>
        </w:tc>
      </w:tr>
    </w:tbl>
    <w:p w14:paraId="3F2208F6" w14:textId="77777777" w:rsidR="00C779E8" w:rsidRDefault="00C779E8">
      <w:pPr>
        <w:pStyle w:val="Heading6blackfont"/>
      </w:pPr>
      <w:r>
        <w:t>Decision</w:t>
      </w:r>
    </w:p>
    <w:p w14:paraId="17BE9B63" w14:textId="77777777" w:rsidR="00C779E8" w:rsidRDefault="00C779E8">
      <w:pPr>
        <w:pStyle w:val="Style1"/>
      </w:pPr>
      <w:r>
        <w:t>The Council is</w:t>
      </w:r>
      <w:r w:rsidR="00890C92">
        <w:t xml:space="preserve"> </w:t>
      </w:r>
      <w:r>
        <w:t>directed to determine the above-mention</w:t>
      </w:r>
      <w:r w:rsidR="00D25177">
        <w:t>ed</w:t>
      </w:r>
      <w:r>
        <w:t xml:space="preserve"> application.</w:t>
      </w:r>
    </w:p>
    <w:p w14:paraId="065BEC86" w14:textId="77777777" w:rsidR="00C779E8" w:rsidRDefault="00C779E8">
      <w:pPr>
        <w:pStyle w:val="Heading6blackfont"/>
      </w:pPr>
      <w:r>
        <w:t>Reasons</w:t>
      </w:r>
    </w:p>
    <w:p w14:paraId="0F8D9611" w14:textId="77777777" w:rsidR="00890C92" w:rsidRPr="007978F4" w:rsidRDefault="00890C92" w:rsidP="00890C92">
      <w:pPr>
        <w:numPr>
          <w:ilvl w:val="0"/>
          <w:numId w:val="6"/>
        </w:numPr>
        <w:tabs>
          <w:tab w:val="clear" w:pos="720"/>
          <w:tab w:val="left" w:pos="432"/>
        </w:tabs>
        <w:spacing w:before="180"/>
        <w:outlineLvl w:val="0"/>
        <w:rPr>
          <w:color w:val="000000"/>
          <w:kern w:val="28"/>
        </w:rPr>
      </w:pPr>
      <w:r w:rsidRPr="007978F4">
        <w:rPr>
          <w:color w:val="000000"/>
          <w:kern w:val="28"/>
        </w:rPr>
        <w:t xml:space="preserve">Authorities are required to investigate applications as soon as is reasonably practicable and, after consulting the relevant district and parish councils, decide whether to make an order </w:t>
      </w:r>
      <w:proofErr w:type="gramStart"/>
      <w:r w:rsidRPr="007978F4">
        <w:rPr>
          <w:color w:val="000000"/>
          <w:kern w:val="28"/>
        </w:rPr>
        <w:t>on the basis of</w:t>
      </w:r>
      <w:proofErr w:type="gramEnd"/>
      <w:r w:rsidRPr="007978F4">
        <w:rPr>
          <w:color w:val="000000"/>
          <w:kern w:val="28"/>
        </w:rPr>
        <w:t xml:space="preserve"> the evidence discovered. Schedule 14 to the 1981 Act, allows applicants to ask the Secretary of State for a direction following the expiration of 12 months from the date the certificate is served on the surveying authority.  </w:t>
      </w:r>
    </w:p>
    <w:p w14:paraId="45C2C54B" w14:textId="77777777" w:rsidR="00890C92" w:rsidRPr="007978F4" w:rsidRDefault="00890C92" w:rsidP="00890C92">
      <w:pPr>
        <w:numPr>
          <w:ilvl w:val="0"/>
          <w:numId w:val="6"/>
        </w:numPr>
        <w:tabs>
          <w:tab w:val="clear" w:pos="720"/>
          <w:tab w:val="left" w:pos="432"/>
        </w:tabs>
        <w:spacing w:before="180"/>
        <w:outlineLvl w:val="0"/>
        <w:rPr>
          <w:color w:val="000000"/>
          <w:kern w:val="28"/>
        </w:rPr>
      </w:pPr>
      <w:r w:rsidRPr="007978F4">
        <w:rPr>
          <w:color w:val="000000"/>
          <w:kern w:val="28"/>
        </w:rPr>
        <w:t xml:space="preserve">The Secretary of State in considering whether, in response to such a request, to direct an authority to determine an application for an order within a specified period, will take into account any statement made by the authority setting out its priorities for bringing and keeping the definitive map up to date, the reasonableness of such priorities, any actions already taken by the authority or expressed intentions of further action on the application in question, the circumstances of the case and any views expressed by the </w:t>
      </w:r>
      <w:r w:rsidRPr="007978F4">
        <w:rPr>
          <w:rFonts w:cs="Arial"/>
          <w:color w:val="000000"/>
          <w:kern w:val="28"/>
          <w:szCs w:val="22"/>
        </w:rPr>
        <w:t>applicant.</w:t>
      </w:r>
    </w:p>
    <w:p w14:paraId="5C17B426" w14:textId="77777777" w:rsidR="00890C92" w:rsidRDefault="00890C92" w:rsidP="00890C92">
      <w:pPr>
        <w:numPr>
          <w:ilvl w:val="0"/>
          <w:numId w:val="6"/>
        </w:numPr>
        <w:tabs>
          <w:tab w:val="clear" w:pos="720"/>
          <w:tab w:val="left" w:pos="432"/>
        </w:tabs>
        <w:spacing w:before="180"/>
        <w:outlineLvl w:val="0"/>
        <w:rPr>
          <w:color w:val="000000"/>
          <w:kern w:val="28"/>
        </w:rPr>
      </w:pPr>
      <w:r w:rsidRPr="007978F4">
        <w:rPr>
          <w:color w:val="000000"/>
          <w:kern w:val="28"/>
        </w:rPr>
        <w:t>The application form to add</w:t>
      </w:r>
      <w:r>
        <w:rPr>
          <w:color w:val="000000"/>
          <w:kern w:val="28"/>
        </w:rPr>
        <w:t xml:space="preserve"> a</w:t>
      </w:r>
      <w:r w:rsidRPr="007978F4">
        <w:rPr>
          <w:color w:val="000000"/>
          <w:kern w:val="28"/>
        </w:rPr>
        <w:t xml:space="preserve"> </w:t>
      </w:r>
      <w:r>
        <w:rPr>
          <w:color w:val="000000"/>
          <w:kern w:val="28"/>
        </w:rPr>
        <w:t xml:space="preserve">public footpath to the Definitive Map is </w:t>
      </w:r>
      <w:r w:rsidRPr="007978F4">
        <w:rPr>
          <w:color w:val="000000"/>
          <w:kern w:val="28"/>
        </w:rPr>
        <w:t xml:space="preserve">dated </w:t>
      </w:r>
      <w:r>
        <w:rPr>
          <w:color w:val="000000"/>
          <w:kern w:val="28"/>
        </w:rPr>
        <w:t xml:space="preserve">25 October 2019. </w:t>
      </w:r>
      <w:r w:rsidRPr="007978F4">
        <w:rPr>
          <w:color w:val="000000"/>
          <w:kern w:val="28"/>
        </w:rPr>
        <w:t xml:space="preserve"> The application </w:t>
      </w:r>
      <w:r>
        <w:rPr>
          <w:color w:val="000000"/>
          <w:kern w:val="28"/>
        </w:rPr>
        <w:t>was</w:t>
      </w:r>
      <w:r w:rsidRPr="007978F4">
        <w:rPr>
          <w:color w:val="000000"/>
          <w:kern w:val="28"/>
        </w:rPr>
        <w:t xml:space="preserve"> made </w:t>
      </w:r>
      <w:proofErr w:type="gramStart"/>
      <w:r w:rsidRPr="007978F4">
        <w:rPr>
          <w:color w:val="000000"/>
          <w:kern w:val="28"/>
        </w:rPr>
        <w:t>on the basis of</w:t>
      </w:r>
      <w:proofErr w:type="gramEnd"/>
      <w:r w:rsidRPr="007978F4">
        <w:rPr>
          <w:color w:val="000000"/>
          <w:kern w:val="28"/>
        </w:rPr>
        <w:t xml:space="preserve"> the </w:t>
      </w:r>
      <w:r>
        <w:rPr>
          <w:color w:val="000000"/>
          <w:kern w:val="28"/>
        </w:rPr>
        <w:t>user evidence</w:t>
      </w:r>
      <w:r w:rsidRPr="007978F4">
        <w:rPr>
          <w:color w:val="000000"/>
          <w:kern w:val="28"/>
        </w:rPr>
        <w:t xml:space="preserve">.  </w:t>
      </w:r>
      <w:r>
        <w:rPr>
          <w:color w:val="000000"/>
          <w:kern w:val="28"/>
        </w:rPr>
        <w:t xml:space="preserve">The Council states that it has completed its initial investigation and the application is now held in a queue to be fully investigated. </w:t>
      </w:r>
      <w:r w:rsidR="007533C2">
        <w:rPr>
          <w:color w:val="000000"/>
          <w:kern w:val="28"/>
        </w:rPr>
        <w:t xml:space="preserve"> With</w:t>
      </w:r>
      <w:r>
        <w:rPr>
          <w:color w:val="000000"/>
          <w:kern w:val="28"/>
        </w:rPr>
        <w:t xml:space="preserve"> </w:t>
      </w:r>
      <w:r w:rsidR="007533C2">
        <w:rPr>
          <w:color w:val="000000"/>
          <w:kern w:val="28"/>
        </w:rPr>
        <w:t xml:space="preserve">11 other applications waiting to be determined before Mr Warren’s </w:t>
      </w:r>
      <w:r>
        <w:rPr>
          <w:color w:val="000000"/>
          <w:kern w:val="28"/>
        </w:rPr>
        <w:t>application</w:t>
      </w:r>
      <w:r w:rsidR="007533C2">
        <w:rPr>
          <w:color w:val="000000"/>
          <w:kern w:val="28"/>
        </w:rPr>
        <w:t xml:space="preserve">, </w:t>
      </w:r>
      <w:r>
        <w:rPr>
          <w:color w:val="000000"/>
          <w:kern w:val="28"/>
        </w:rPr>
        <w:t xml:space="preserve">the Council does not expect to reach decision </w:t>
      </w:r>
      <w:r w:rsidR="007533C2">
        <w:rPr>
          <w:color w:val="000000"/>
          <w:kern w:val="28"/>
        </w:rPr>
        <w:t xml:space="preserve">for at least another 30 months. </w:t>
      </w:r>
    </w:p>
    <w:p w14:paraId="1466F0D8" w14:textId="77777777" w:rsidR="00890C92" w:rsidRDefault="00890C92" w:rsidP="007533C2">
      <w:pPr>
        <w:pStyle w:val="Style1"/>
      </w:pPr>
      <w:r>
        <w:t xml:space="preserve">The applicant points out that the route </w:t>
      </w:r>
      <w:r w:rsidR="007533C2">
        <w:t xml:space="preserve">has been unavailable since July 2019 prior to which it was well used by the local community for </w:t>
      </w:r>
      <w:proofErr w:type="gramStart"/>
      <w:r w:rsidR="007533C2">
        <w:t>a period of time</w:t>
      </w:r>
      <w:proofErr w:type="gramEnd"/>
      <w:r w:rsidR="007533C2">
        <w:t xml:space="preserve"> exceeding 20 years</w:t>
      </w:r>
      <w:r>
        <w:t xml:space="preserve">.  </w:t>
      </w:r>
    </w:p>
    <w:p w14:paraId="4C325C8B" w14:textId="77777777" w:rsidR="00890C92" w:rsidRDefault="00890C92" w:rsidP="00890C92">
      <w:pPr>
        <w:pStyle w:val="Style1"/>
      </w:pPr>
      <w:r>
        <w:lastRenderedPageBreak/>
        <w:t xml:space="preserve">Whilst I appreciate the Council is doing the best it can with current levels of staffing, as confirmed by Circular 1/09, adequate resources should be provided to permit the Council to carry out its statutory functions.  It cannot be right that the Applicant </w:t>
      </w:r>
      <w:r w:rsidR="007533C2">
        <w:t xml:space="preserve">(and local community) </w:t>
      </w:r>
      <w:r>
        <w:t>should have a wait a</w:t>
      </w:r>
      <w:r w:rsidR="007533C2">
        <w:t xml:space="preserve">nother two years before the Council starts work on the application.  </w:t>
      </w:r>
      <w:r>
        <w:t xml:space="preserve"> </w:t>
      </w:r>
    </w:p>
    <w:p w14:paraId="431524AD" w14:textId="77777777" w:rsidR="00890C92" w:rsidRDefault="00890C92" w:rsidP="00890C92">
      <w:pPr>
        <w:pStyle w:val="Style1"/>
      </w:pPr>
      <w:r>
        <w:t xml:space="preserve">Whilst a system of prioritisation is a good one, </w:t>
      </w:r>
      <w:r w:rsidR="00B47F47">
        <w:t>it</w:t>
      </w:r>
      <w:r>
        <w:t xml:space="preserve"> does not absolve the Council of its statutory responsibilities to keep the Definitive Map and Statement up to date and to allocate sufficient resources to allow that to happen.  The existence of applications of longer-standing origin does not constitute a compelling reason for not dealing with this </w:t>
      </w:r>
      <w:proofErr w:type="gramStart"/>
      <w:r>
        <w:t>particular application</w:t>
      </w:r>
      <w:proofErr w:type="gramEnd"/>
      <w:r>
        <w:t xml:space="preserve"> within a reasonable </w:t>
      </w:r>
      <w:r w:rsidR="00B47F47">
        <w:t>timeframe</w:t>
      </w:r>
      <w:r>
        <w:t>.</w:t>
      </w:r>
    </w:p>
    <w:p w14:paraId="1D2CD512" w14:textId="77777777" w:rsidR="00890C92" w:rsidRPr="00012E3A" w:rsidRDefault="00890C92" w:rsidP="00890C92">
      <w:pPr>
        <w:pStyle w:val="Style1"/>
      </w:pPr>
      <w:r>
        <w:t xml:space="preserve">It is appreciated that the Council will require some further time to carry out its investigation and </w:t>
      </w:r>
      <w:proofErr w:type="gramStart"/>
      <w:r>
        <w:t>make a decision</w:t>
      </w:r>
      <w:proofErr w:type="gramEnd"/>
      <w:r>
        <w:t xml:space="preserve"> on the application.  Nevertheless, I have decided that there is a case for setting a date by which time the application should be determined and I consider it appropriate to allow no more than a further 12 months for a decision to be reached.</w:t>
      </w:r>
    </w:p>
    <w:p w14:paraId="5BF6CD4F" w14:textId="77777777" w:rsidR="00890C92" w:rsidRPr="007978F4" w:rsidRDefault="00890C92" w:rsidP="00890C92">
      <w:pPr>
        <w:ind w:left="720" w:hanging="720"/>
        <w:rPr>
          <w:szCs w:val="22"/>
        </w:rPr>
      </w:pPr>
    </w:p>
    <w:p w14:paraId="262F2B43" w14:textId="77777777" w:rsidR="00890C92" w:rsidRPr="007978F4" w:rsidRDefault="00890C92" w:rsidP="00890C92">
      <w:pPr>
        <w:rPr>
          <w:b/>
          <w:szCs w:val="22"/>
        </w:rPr>
      </w:pPr>
      <w:r w:rsidRPr="007978F4">
        <w:rPr>
          <w:b/>
          <w:szCs w:val="22"/>
        </w:rPr>
        <w:t>Direction</w:t>
      </w:r>
    </w:p>
    <w:p w14:paraId="7A9B81D4" w14:textId="77777777" w:rsidR="00890C92" w:rsidRPr="007978F4" w:rsidRDefault="00890C92" w:rsidP="00890C92">
      <w:pPr>
        <w:numPr>
          <w:ilvl w:val="0"/>
          <w:numId w:val="6"/>
        </w:numPr>
        <w:tabs>
          <w:tab w:val="clear" w:pos="720"/>
          <w:tab w:val="left" w:pos="432"/>
        </w:tabs>
        <w:spacing w:before="180"/>
        <w:outlineLvl w:val="0"/>
        <w:rPr>
          <w:color w:val="000000"/>
          <w:kern w:val="28"/>
        </w:rPr>
      </w:pPr>
      <w:r w:rsidRPr="007978F4">
        <w:rPr>
          <w:color w:val="000000"/>
          <w:kern w:val="28"/>
        </w:rPr>
        <w:t xml:space="preserve">On behalf of the Secretary of State for Environment, Food and Rural Affairs and pursuant to Paragraph 3(2) of Schedule 14 of the Wildlife and Countryside Act 1981, </w:t>
      </w:r>
      <w:r w:rsidRPr="007978F4">
        <w:rPr>
          <w:b/>
          <w:color w:val="000000"/>
          <w:kern w:val="28"/>
        </w:rPr>
        <w:t>I HEREBY</w:t>
      </w:r>
      <w:r w:rsidRPr="007978F4">
        <w:rPr>
          <w:color w:val="000000"/>
          <w:kern w:val="28"/>
        </w:rPr>
        <w:t xml:space="preserve"> </w:t>
      </w:r>
      <w:r w:rsidRPr="007978F4">
        <w:rPr>
          <w:b/>
          <w:color w:val="000000"/>
          <w:kern w:val="28"/>
        </w:rPr>
        <w:t>DIRECT</w:t>
      </w:r>
      <w:r>
        <w:rPr>
          <w:b/>
          <w:color w:val="000000"/>
          <w:kern w:val="28"/>
        </w:rPr>
        <w:t xml:space="preserve"> </w:t>
      </w:r>
      <w:r>
        <w:rPr>
          <w:color w:val="000000"/>
          <w:kern w:val="28"/>
        </w:rPr>
        <w:t>Surrey</w:t>
      </w:r>
      <w:r w:rsidRPr="00EC1A83">
        <w:rPr>
          <w:color w:val="000000"/>
          <w:kern w:val="28"/>
        </w:rPr>
        <w:t xml:space="preserve"> County Council</w:t>
      </w:r>
      <w:r w:rsidRPr="007978F4">
        <w:rPr>
          <w:color w:val="000000"/>
          <w:kern w:val="28"/>
        </w:rPr>
        <w:t xml:space="preserve"> to determine the above-mentioned application</w:t>
      </w:r>
      <w:r>
        <w:rPr>
          <w:color w:val="000000"/>
          <w:kern w:val="28"/>
        </w:rPr>
        <w:t>s</w:t>
      </w:r>
      <w:r w:rsidRPr="007978F4">
        <w:rPr>
          <w:color w:val="000000"/>
          <w:kern w:val="28"/>
        </w:rPr>
        <w:t xml:space="preserve"> not later than </w:t>
      </w:r>
      <w:r w:rsidR="007533C2">
        <w:rPr>
          <w:color w:val="000000"/>
          <w:kern w:val="28"/>
        </w:rPr>
        <w:t xml:space="preserve">12 </w:t>
      </w:r>
      <w:r w:rsidRPr="007978F4">
        <w:rPr>
          <w:color w:val="000000"/>
          <w:kern w:val="28"/>
        </w:rPr>
        <w:t>months from the date of this decision.</w:t>
      </w:r>
    </w:p>
    <w:p w14:paraId="3AD08FB6" w14:textId="77777777" w:rsidR="00C779E8" w:rsidRDefault="00C779E8">
      <w:pPr>
        <w:pStyle w:val="Style1"/>
        <w:numPr>
          <w:ilvl w:val="0"/>
          <w:numId w:val="0"/>
        </w:numPr>
        <w:spacing w:before="120"/>
        <w:rPr>
          <w:sz w:val="20"/>
        </w:rPr>
      </w:pPr>
    </w:p>
    <w:p w14:paraId="6E260FF5" w14:textId="77777777" w:rsidR="00C779E8" w:rsidRDefault="00C779E8">
      <w:pPr>
        <w:pStyle w:val="Style1"/>
        <w:numPr>
          <w:ilvl w:val="0"/>
          <w:numId w:val="0"/>
        </w:numPr>
        <w:spacing w:before="120"/>
        <w:rPr>
          <w:sz w:val="20"/>
        </w:rPr>
      </w:pPr>
    </w:p>
    <w:p w14:paraId="453F17D9" w14:textId="77777777" w:rsidR="00890C92" w:rsidRPr="007978F4" w:rsidRDefault="00890C92" w:rsidP="00890C92">
      <w:pPr>
        <w:tabs>
          <w:tab w:val="left" w:pos="432"/>
        </w:tabs>
        <w:spacing w:before="60"/>
        <w:outlineLvl w:val="0"/>
        <w:rPr>
          <w:rFonts w:ascii="Monotype Corsiva" w:hAnsi="Monotype Corsiva"/>
          <w:color w:val="000000"/>
          <w:kern w:val="28"/>
          <w:sz w:val="36"/>
          <w:szCs w:val="36"/>
        </w:rPr>
      </w:pPr>
      <w:r w:rsidRPr="007978F4">
        <w:rPr>
          <w:rFonts w:ascii="Monotype Corsiva" w:hAnsi="Monotype Corsiva"/>
          <w:color w:val="000000"/>
          <w:kern w:val="28"/>
          <w:sz w:val="36"/>
        </w:rPr>
        <w:t>D. M. Young</w:t>
      </w:r>
    </w:p>
    <w:p w14:paraId="2082C4C3" w14:textId="77777777" w:rsidR="00890C92" w:rsidRPr="007978F4" w:rsidRDefault="00890C92" w:rsidP="00890C92">
      <w:pPr>
        <w:tabs>
          <w:tab w:val="left" w:pos="432"/>
        </w:tabs>
        <w:spacing w:before="120"/>
        <w:outlineLvl w:val="0"/>
      </w:pPr>
      <w:r w:rsidRPr="007978F4">
        <w:rPr>
          <w:color w:val="000000"/>
          <w:kern w:val="28"/>
        </w:rPr>
        <w:t>INSPECTOR</w:t>
      </w:r>
    </w:p>
    <w:p w14:paraId="53C33A04" w14:textId="77777777" w:rsidR="00C779E8" w:rsidRDefault="00C779E8">
      <w:pPr>
        <w:pStyle w:val="Style1"/>
        <w:numPr>
          <w:ilvl w:val="0"/>
          <w:numId w:val="0"/>
        </w:numPr>
        <w:spacing w:before="120"/>
      </w:pPr>
    </w:p>
    <w:sectPr w:rsidR="00C779E8">
      <w:headerReference w:type="default" r:id="rId13"/>
      <w:footerReference w:type="even" r:id="rId14"/>
      <w:footerReference w:type="default" r:id="rId15"/>
      <w:headerReference w:type="first" r:id="rId16"/>
      <w:footerReference w:type="first" r:id="rId17"/>
      <w:pgSz w:w="11906" w:h="16838" w:code="9"/>
      <w:pgMar w:top="680" w:right="1077" w:bottom="1276" w:left="1525" w:header="556"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57523" w14:textId="77777777" w:rsidR="00F06297" w:rsidRDefault="00F06297">
      <w:r>
        <w:separator/>
      </w:r>
    </w:p>
  </w:endnote>
  <w:endnote w:type="continuationSeparator" w:id="0">
    <w:p w14:paraId="6EA75405" w14:textId="77777777" w:rsidR="00F06297" w:rsidRDefault="00F06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63206" w14:textId="77777777" w:rsidR="00C779E8" w:rsidRDefault="00C779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1A0C6A" w14:textId="77777777" w:rsidR="00C779E8" w:rsidRDefault="00C779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DD79D" w14:textId="45249E44" w:rsidR="00C779E8" w:rsidRDefault="00635B70">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4EDDCFC7" wp14:editId="46216AA6">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B6D69C"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0DLwgEAAGoDAAAOAAAAZHJzL2Uyb0RvYy54bWysU01z2yAQvXem/4HhXst267TRWM7BaXpx&#10;W88k+QFrQBJTYBnAlvzvu+CPpO0tUx0YYHffvvcWLe9Ga9hBhajRNXw2mXKmnECpXdfw56eHD184&#10;iwmcBINONfyoIr9bvX+3HHyt5tijkSowAnGxHnzD+5R8XVVR9MpCnKBXjoItBguJjqGrZICB0K2p&#10;5tPpTTVgkD6gUDHS7f0pyFcFv22VSD/bNqrETMOJWyprKOsur9VqCXUXwPdanGnAG1hY0I6aXqHu&#10;IQHbB/0PlNUiYMQ2TQTaCttWC1U0kJrZ9C81jz14VbSQOdFfbYr/D1b8OGwD07Lhc84cWBrRRjvF&#10;Zp+zNYOPNWWs3TZkcWJ0j36D4ldkDtc9uE4Vik9HT3WzXFH9UZIP0VOD3fAdJeXAPmHxaWyDzZDk&#10;ABvLOI7XcagxMUGXi9tPH2+mNDVxiVVQXwp9iOmbQsvypuGGSBdgOGxiykSgvqTkPg4ftDFl2sax&#10;oeG3i/miFEQ0WuZgTouh261NYAfI76V8RRVFXqcF3DtZwHoF8ut5n0Cb056aG3c2I+s/OblDedyG&#10;i0k00MLy/Pjyi3l9LtUvv8jqNwAAAP//AwBQSwMEFAAGAAgAAAAhAIFLuhvbAAAABwEAAA8AAABk&#10;cnMvZG93bnJldi54bWxMjs1OwzAQhO9IvIO1SFyq1mlKKwhxKgTkxqUFxHUbL0lEvE5jtw08PYs4&#10;wHF+NPPl69F16khDaD0bmM8SUMSVty3XBl6ey+k1qBCRLXaeycAnBVgX52c5ZtafeEPHbayVjHDI&#10;0EATY59pHaqGHIaZ74kle/eDwyhyqLUd8CTjrtNpkqy0w5blocGe7huqPrYHZyCUr7QvvybVJHlb&#10;1J7S/cPTIxpzeTHe3YKKNMa/MvzgCzoUwrTzB7ZBdQamV1I0kC7noCS+WSxXoHa/hi5y/Z+/+AYA&#10;AP//AwBQSwECLQAUAAYACAAAACEAtoM4kv4AAADhAQAAEwAAAAAAAAAAAAAAAAAAAAAAW0NvbnRl&#10;bnRfVHlwZXNdLnhtbFBLAQItABQABgAIAAAAIQA4/SH/1gAAAJQBAAALAAAAAAAAAAAAAAAAAC8B&#10;AABfcmVscy8ucmVsc1BLAQItABQABgAIAAAAIQDiO0DLwgEAAGoDAAAOAAAAAAAAAAAAAAAAAC4C&#10;AABkcnMvZTJvRG9jLnhtbFBLAQItABQABgAIAAAAIQCBS7ob2wAAAAcBAAAPAAAAAAAAAAAAAAAA&#10;ABwEAABkcnMvZG93bnJldi54bWxQSwUGAAAAAAQABADzAAAAJAUAAAAA&#10;"/>
          </w:pict>
        </mc:Fallback>
      </mc:AlternateContent>
    </w:r>
  </w:p>
  <w:p w14:paraId="727582C4" w14:textId="77777777" w:rsidR="00C779E8" w:rsidRDefault="00C779E8">
    <w:pPr>
      <w:pStyle w:val="Noindent"/>
      <w:jc w:val="center"/>
    </w:pPr>
    <w:r>
      <w:rPr>
        <w:rStyle w:val="PageNumber"/>
      </w:rPr>
      <w:fldChar w:fldCharType="begin"/>
    </w:r>
    <w:r>
      <w:rPr>
        <w:rStyle w:val="PageNumber"/>
      </w:rPr>
      <w:instrText xml:space="preserve"> PAGE </w:instrText>
    </w:r>
    <w:r>
      <w:rPr>
        <w:rStyle w:val="PageNumber"/>
      </w:rPr>
      <w:fldChar w:fldCharType="separate"/>
    </w:r>
    <w:r w:rsidR="00F67348">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FCA4E" w14:textId="21ABF067" w:rsidR="00C779E8" w:rsidRDefault="00635B70">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2E78DAF0" wp14:editId="0B054BCF">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5E475B"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r+5wAEAAGoDAAAOAAAAZHJzL2Uyb0RvYy54bWysU02P2yAQvVfqf0DcGzu73ai14uwh2+0l&#10;bSPt9gdMANuowCAgsfPvO5CPdtvban1ADPPmMfMeXt5P1rCDClGja/l8VnOmnECpXd/yn8+PHz5x&#10;FhM4CQadavlRRX6/ev9uOfpG3eCARqrAiMTFZvQtH1LyTVVFMSgLcYZeOUp2GCwkCkNfyQAjsVtT&#10;3dT1ohoxSB9QqBjp9OGU5KvC33VKpB9dF1VipuXUWyprKOsur9VqCU0fwA9anNuAV3RhQTu69Er1&#10;AAnYPuj/qKwWASN2aSbQVth1WqgyA00zr/+Z5mkAr8osJE70V5ni29GK74dtYFqSd5w5sGTRRjvF&#10;5vMszehjQ4i124Y8nJjck9+g+BWZw/UArlelxeejp7pSUb0oyUH0dMFu/IaSMLBPWHSaumAzJSnA&#10;pmLH8WqHmhITdHj3+ePtoibXxCVXQXMp9CGmrwoty5uWG2q6EMNhExO1TtALJN/j8FEbU9w2jo0t&#10;X9ze1aUgotEyJzMshn63NoEdIL+X8mUdiOwFLODeyUI2KJBfzvsE2pz2hDeOyi7zn5TcoTxuQ6bL&#10;52RoIT4/vvxi/o4L6s8vsvoNAAD//wMAUEsDBBQABgAIAAAAIQBpAcr/2QAAAAcBAAAPAAAAZHJz&#10;L2Rvd25yZXYueG1sTI7NTsMwEITvSLyDtUjcWidAKhriVAgpiAsHCuLsxksSEa8j240DT88iDvQ4&#10;P5r5qt1iRzGjD4MjBfk6A4HUOjNQp+DttVndgghRk9GjI1TwhQF29flZpUvjEr3gvI+d4BEKpVbQ&#10;xziVUoa2R6vD2k1InH04b3Vk6TtpvE48bkd5lWUbafVA/NDrCR96bD/3R6uA8vg+phTT7L+LxyIv&#10;mqfsuVHq8mK5vwMRcYn/ZfjFZ3SomengjmSCGBWsbrjI9jYHwfH2utiAOPwZsq7kKX/9AwAA//8D&#10;AFBLAQItABQABgAIAAAAIQC2gziS/gAAAOEBAAATAAAAAAAAAAAAAAAAAAAAAABbQ29udGVudF9U&#10;eXBlc10ueG1sUEsBAi0AFAAGAAgAAAAhADj9If/WAAAAlAEAAAsAAAAAAAAAAAAAAAAALwEAAF9y&#10;ZWxzLy5yZWxzUEsBAi0AFAAGAAgAAAAhAJpSv7nAAQAAagMAAA4AAAAAAAAAAAAAAAAALgIAAGRy&#10;cy9lMm9Eb2MueG1sUEsBAi0AFAAGAAgAAAAhAGkByv/ZAAAABwEAAA8AAAAAAAAAAAAAAAAAGgQA&#10;AGRycy9kb3ducmV2LnhtbFBLBQYAAAAABAAEAPMAAAAgBQAAAAA=&#10;" strokeweight=".5pt"/>
          </w:pict>
        </mc:Fallback>
      </mc:AlternateContent>
    </w:r>
  </w:p>
  <w:p w14:paraId="38B0CF2E" w14:textId="77777777" w:rsidR="00C779E8" w:rsidRDefault="00C779E8">
    <w:pPr>
      <w:pStyle w:val="Footer"/>
      <w:ind w:right="-52"/>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B99F9" w14:textId="77777777" w:rsidR="00F06297" w:rsidRDefault="00F06297">
      <w:r>
        <w:separator/>
      </w:r>
    </w:p>
  </w:footnote>
  <w:footnote w:type="continuationSeparator" w:id="0">
    <w:p w14:paraId="30C2D765" w14:textId="77777777" w:rsidR="00F06297" w:rsidRDefault="00F062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C779E8" w14:paraId="0F4205C1" w14:textId="77777777">
      <w:tblPrEx>
        <w:tblCellMar>
          <w:top w:w="0" w:type="dxa"/>
          <w:bottom w:w="0" w:type="dxa"/>
        </w:tblCellMar>
      </w:tblPrEx>
      <w:tc>
        <w:tcPr>
          <w:tcW w:w="9520" w:type="dxa"/>
        </w:tcPr>
        <w:p w14:paraId="0C3CB03F" w14:textId="77777777" w:rsidR="00C779E8" w:rsidRDefault="00D25177">
          <w:pPr>
            <w:pStyle w:val="Footer"/>
          </w:pPr>
          <w:r>
            <w:t>Direction</w:t>
          </w:r>
          <w:r w:rsidR="00C779E8">
            <w:t xml:space="preserve"> Decision FPS/</w:t>
          </w:r>
          <w:r w:rsidR="00555E2D">
            <w:t>B3600</w:t>
          </w:r>
          <w:r w:rsidR="00C779E8">
            <w:t>/14D/</w:t>
          </w:r>
          <w:r w:rsidR="00555E2D">
            <w:t>2</w:t>
          </w:r>
        </w:p>
      </w:tc>
    </w:tr>
  </w:tbl>
  <w:p w14:paraId="72E37EAC" w14:textId="7D3F71D6" w:rsidR="00C779E8" w:rsidRDefault="00635B70">
    <w:pPr>
      <w:pStyle w:val="Footer"/>
    </w:pPr>
    <w:r>
      <w:rPr>
        <w:noProof/>
      </w:rPr>
      <mc:AlternateContent>
        <mc:Choice Requires="wps">
          <w:drawing>
            <wp:anchor distT="0" distB="0" distL="114300" distR="114300" simplePos="0" relativeHeight="251657728" behindDoc="0" locked="0" layoutInCell="1" allowOverlap="1" wp14:anchorId="74968E4B" wp14:editId="0CB991F7">
              <wp:simplePos x="0" y="0"/>
              <wp:positionH relativeFrom="column">
                <wp:posOffset>0</wp:posOffset>
              </wp:positionH>
              <wp:positionV relativeFrom="paragraph">
                <wp:posOffset>88900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66CCD0" id="Line 14"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SqYwQEAAGoDAAAOAAAAZHJzL2Uyb0RvYy54bWysU01vGyEQvVfqf0Dc613HidWuvM7BaXpx&#10;W0tJf8AYWC8KMAiwd/3vO+CPpO2tyh4QMDNv3nvDLu5Ha9hBhajRtXw6qTlTTqDUbtfyX8+Pnz5z&#10;FhM4CQadavlRRX6//PhhMfhG3WCPRqrACMTFZvAt71PyTVVF0SsLcYJeOQp2GCwkOoZdJQMMhG5N&#10;dVPX82rAIH1AoWKk24dTkC8LftcpkX52XVSJmZYTt1TWUNZtXqvlAppdAN9rcaYB/8HCgnbU9Ar1&#10;AAnYPuh/oKwWASN2aSLQVth1WqiigdRM67/UPPXgVdFC5kR/tSm+H6z4cdgEpmXLZ5w5sDSitXaK&#10;TW+zNYOPDWWs3CZkcWJ0T36N4iUyh6se3E4Vis9HT3XTXFH9UZIP0VOD7fAdJeXAPmHxaeyCzZDk&#10;ABvLOI7XcagxMUGXd19uZ/OapiYusQqaS6EPMX1TaFnetNwQ6QIMh3VMmQg0l5Tcx+GjNqZM2zg2&#10;tHw+u6tLQUSjZQ7mtBh225UJ7AD5vZSvqKLI27SAeycLWK9Afj3vE2hz2lNz485mZP0nJ7coj5tw&#10;MYkGWlieH19+MW/Ppfr1F1n+BgAA//8DAFBLAwQUAAYACAAAACEAJz8k7tkAAAAGAQAADwAAAGRy&#10;cy9kb3ducmV2LnhtbEyPQU/DMAyF70j8h8hI3FhaoBMrTSeEVMSFAwNxzpqsrUicqvGawq/HiAM7&#10;2X7Pev5cbRfvxGynOARUkK8yEBbbYAbsFLy/NVd3ICJpNNoFtAq+bIRtfX5W6dKEhK923lEnOARj&#10;qRX0RGMpZWx763VchdEie4cweU08Tp00k04c7p28zrK19HpAvtDr0T72tv3cHb0CzOnDpURpnr6L&#10;pyIvmufspVHq8mJ5uAdBdqH/ZfjFZ3SomWkfjmiicAr4EWL1liu7m5s1N/s/QdaVPMWvfwAAAP//&#10;AwBQSwECLQAUAAYACAAAACEAtoM4kv4AAADhAQAAEwAAAAAAAAAAAAAAAAAAAAAAW0NvbnRlbnRf&#10;VHlwZXNdLnhtbFBLAQItABQABgAIAAAAIQA4/SH/1gAAAJQBAAALAAAAAAAAAAAAAAAAAC8BAABf&#10;cmVscy8ucmVsc1BLAQItABQABgAIAAAAIQBCGSqYwQEAAGoDAAAOAAAAAAAAAAAAAAAAAC4CAABk&#10;cnMvZTJvRG9jLnhtbFBLAQItABQABgAIAAAAIQAnPyTu2QAAAAYBAAAPAAAAAAAAAAAAAAAAABsE&#10;AABkcnMvZG93bnJldi54bWxQSwUGAAAAAAQABADzAAAAIQU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53DD7" w14:textId="77777777" w:rsidR="00C779E8" w:rsidRDefault="00C779E8">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377E2D5E"/>
    <w:multiLevelType w:val="hybridMultilevel"/>
    <w:tmpl w:val="4202DD30"/>
    <w:lvl w:ilvl="0" w:tplc="D8A2427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4" w15:restartNumberingAfterBreak="0">
    <w:nsid w:val="62CA1CF1"/>
    <w:multiLevelType w:val="multilevel"/>
    <w:tmpl w:val="0D5CC23A"/>
    <w:lvl w:ilvl="0">
      <w:start w:val="1"/>
      <w:numFmt w:val="decimal"/>
      <w:pStyle w:val="Style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62CB6406"/>
    <w:multiLevelType w:val="multilevel"/>
    <w:tmpl w:val="47003186"/>
    <w:lvl w:ilvl="0">
      <w:start w:val="1"/>
      <w:numFmt w:val="decimal"/>
      <w:pStyle w:val="Table"/>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6"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7"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5"/>
  </w:num>
  <w:num w:numId="2">
    <w:abstractNumId w:val="5"/>
  </w:num>
  <w:num w:numId="3">
    <w:abstractNumId w:val="6"/>
  </w:num>
  <w:num w:numId="4">
    <w:abstractNumId w:val="0"/>
  </w:num>
  <w:num w:numId="5">
    <w:abstractNumId w:val="2"/>
  </w:num>
  <w:num w:numId="6">
    <w:abstractNumId w:val="4"/>
  </w:num>
  <w:num w:numId="7">
    <w:abstractNumId w:val="7"/>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D25177"/>
    <w:rsid w:val="00123AB6"/>
    <w:rsid w:val="002F5989"/>
    <w:rsid w:val="00555E2D"/>
    <w:rsid w:val="005D695C"/>
    <w:rsid w:val="00635B70"/>
    <w:rsid w:val="006D0AF7"/>
    <w:rsid w:val="007533C2"/>
    <w:rsid w:val="00890C92"/>
    <w:rsid w:val="009F5D61"/>
    <w:rsid w:val="00B47F47"/>
    <w:rsid w:val="00C779E8"/>
    <w:rsid w:val="00D25177"/>
    <w:rsid w:val="00D6753F"/>
    <w:rsid w:val="00E62FFC"/>
    <w:rsid w:val="00F06297"/>
    <w:rsid w:val="00F673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46EAEB2"/>
  <w15:chartTrackingRefBased/>
  <w15:docId w15:val="{E01A7488-6B6C-4833-8BB7-A8BBCAE0F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pPr>
      <w:keepNext/>
      <w:numPr>
        <w:ilvl w:val="1"/>
        <w:numId w:val="6"/>
      </w:numPr>
      <w:spacing w:before="360" w:after="60"/>
      <w:outlineLvl w:val="1"/>
    </w:pPr>
    <w:rPr>
      <w:color w:val="000000"/>
      <w:sz w:val="44"/>
    </w:rPr>
  </w:style>
  <w:style w:type="paragraph" w:styleId="Heading3">
    <w:name w:val="heading 3"/>
    <w:basedOn w:val="Normal"/>
    <w:next w:val="Normal"/>
    <w:qFormat/>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pPr>
      <w:keepNext/>
      <w:widowControl w:val="0"/>
      <w:numPr>
        <w:ilvl w:val="3"/>
        <w:numId w:val="6"/>
      </w:numPr>
      <w:spacing w:before="240" w:after="40"/>
      <w:outlineLvl w:val="3"/>
    </w:pPr>
    <w:rPr>
      <w:b/>
      <w:i/>
      <w:color w:val="000000"/>
    </w:rPr>
  </w:style>
  <w:style w:type="paragraph" w:styleId="Heading5">
    <w:name w:val="heading 5"/>
    <w:basedOn w:val="Normal"/>
    <w:next w:val="Normal"/>
    <w:qFormat/>
    <w:pPr>
      <w:keepNext/>
      <w:numPr>
        <w:ilvl w:val="4"/>
        <w:numId w:val="6"/>
      </w:numPr>
      <w:spacing w:before="220" w:after="40"/>
      <w:outlineLvl w:val="4"/>
    </w:pPr>
    <w:rPr>
      <w:color w:val="000000"/>
    </w:rPr>
  </w:style>
  <w:style w:type="paragraph" w:styleId="Heading6">
    <w:name w:val="heading 6"/>
    <w:basedOn w:val="Normal"/>
    <w:next w:val="Style1"/>
    <w:qFormat/>
    <w:pPr>
      <w:keepNext/>
      <w:widowControl w:val="0"/>
      <w:spacing w:before="180"/>
      <w:outlineLvl w:val="5"/>
    </w:pPr>
    <w:rPr>
      <w:b/>
      <w:color w:val="000000"/>
      <w:szCs w:val="22"/>
    </w:rPr>
  </w:style>
  <w:style w:type="paragraph" w:styleId="Heading7">
    <w:name w:val="heading 7"/>
    <w:basedOn w:val="Normal"/>
    <w:next w:val="Normal"/>
    <w:qFormat/>
    <w:pPr>
      <w:numPr>
        <w:ilvl w:val="6"/>
        <w:numId w:val="6"/>
      </w:numPr>
      <w:tabs>
        <w:tab w:val="left" w:pos="993"/>
      </w:tabs>
      <w:spacing w:after="60"/>
      <w:outlineLvl w:val="6"/>
    </w:pPr>
    <w:rPr>
      <w:color w:val="000000"/>
      <w:sz w:val="20"/>
    </w:rPr>
  </w:style>
  <w:style w:type="paragraph" w:styleId="Heading8">
    <w:name w:val="heading 8"/>
    <w:basedOn w:val="Normal"/>
    <w:next w:val="Normal"/>
    <w:qFormat/>
    <w:pPr>
      <w:numPr>
        <w:ilvl w:val="7"/>
        <w:numId w:val="6"/>
      </w:numPr>
      <w:spacing w:before="140" w:after="20"/>
      <w:outlineLvl w:val="7"/>
    </w:pPr>
    <w:rPr>
      <w:i/>
      <w:color w:val="000000"/>
      <w:sz w:val="18"/>
    </w:rPr>
  </w:style>
  <w:style w:type="paragraph" w:styleId="Heading9">
    <w:name w:val="heading 9"/>
    <w:basedOn w:val="Normal"/>
    <w:next w:val="Normal"/>
    <w:qFormat/>
    <w:pPr>
      <w:keepNext/>
      <w:widowControl w:val="0"/>
      <w:numPr>
        <w:ilvl w:val="8"/>
        <w:numId w:val="6"/>
      </w:numPr>
      <w:spacing w:before="120"/>
      <w:outlineLvl w:val="8"/>
    </w:pPr>
    <w:rPr>
      <w:color w:val="000000"/>
      <w:sz w:val="1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
    <w:name w:val="N_list (i)"/>
    <w:basedOn w:val="Normal"/>
    <w:pPr>
      <w:numPr>
        <w:ilvl w:val="2"/>
        <w:numId w:val="7"/>
      </w:numPr>
      <w:spacing w:before="60"/>
      <w:ind w:right="511"/>
    </w:pPr>
    <w:rPr>
      <w:sz w:val="20"/>
    </w:rPr>
  </w:style>
  <w:style w:type="paragraph" w:customStyle="1" w:styleId="Singleline">
    <w:name w:val="Single line"/>
    <w:basedOn w:val="Normal"/>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rPr>
      <w:sz w:val="18"/>
    </w:rPr>
  </w:style>
  <w:style w:type="paragraph" w:customStyle="1" w:styleId="Nnumber">
    <w:name w:val="N_number"/>
    <w:pPr>
      <w:tabs>
        <w:tab w:val="left" w:pos="426"/>
        <w:tab w:val="num" w:pos="720"/>
      </w:tabs>
      <w:spacing w:before="180"/>
      <w:ind w:left="425" w:hanging="425"/>
    </w:pPr>
    <w:rPr>
      <w:rFonts w:ascii="Verdana" w:hAnsi="Verdana"/>
      <w:sz w:val="22"/>
    </w:rPr>
  </w:style>
  <w:style w:type="paragraph" w:customStyle="1" w:styleId="Table">
    <w:name w:val="Table"/>
    <w:basedOn w:val="Normal"/>
    <w:pPr>
      <w:tabs>
        <w:tab w:val="left" w:pos="851"/>
      </w:tabs>
      <w:spacing w:before="60" w:after="60"/>
      <w:ind w:left="34"/>
    </w:pPr>
    <w:rPr>
      <w:sz w:val="20"/>
    </w:rPr>
  </w:style>
  <w:style w:type="character" w:styleId="PageNumber">
    <w:name w:val="page number"/>
    <w:semiHidden/>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pPr>
      <w:numPr>
        <w:numId w:val="3"/>
      </w:numPr>
      <w:tabs>
        <w:tab w:val="left" w:pos="851"/>
      </w:tabs>
    </w:pPr>
    <w:rPr>
      <w:color w:val="000000"/>
      <w:sz w:val="20"/>
    </w:rPr>
  </w:style>
  <w:style w:type="paragraph" w:customStyle="1" w:styleId="Style1">
    <w:name w:val="Style1"/>
    <w:basedOn w:val="Heading1"/>
    <w:pPr>
      <w:keepNext w:val="0"/>
      <w:widowControl/>
      <w:numPr>
        <w:numId w:val="6"/>
      </w:numPr>
      <w:tabs>
        <w:tab w:val="clear" w:pos="720"/>
        <w:tab w:val="left" w:pos="432"/>
      </w:tabs>
      <w:spacing w:before="180" w:after="0"/>
    </w:pPr>
    <w:rPr>
      <w:color w:val="000000"/>
      <w:sz w:val="22"/>
    </w:rPr>
  </w:style>
  <w:style w:type="paragraph" w:customStyle="1" w:styleId="Style5">
    <w:name w:val="Style5"/>
    <w:basedOn w:val="Normal"/>
    <w:pPr>
      <w:spacing w:after="60"/>
    </w:pPr>
    <w:rPr>
      <w:b/>
      <w:color w:val="000000"/>
    </w:rPr>
  </w:style>
  <w:style w:type="paragraph" w:customStyle="1" w:styleId="Style2">
    <w:name w:val="Style2"/>
    <w:basedOn w:val="Heading2"/>
    <w:pPr>
      <w:keepNext w:val="0"/>
      <w:spacing w:before="180" w:after="0"/>
    </w:pPr>
    <w:rPr>
      <w:sz w:val="22"/>
    </w:rPr>
  </w:style>
  <w:style w:type="paragraph" w:customStyle="1" w:styleId="Style3">
    <w:name w:val="Style3"/>
    <w:basedOn w:val="Heading3"/>
    <w:pPr>
      <w:keepNext w:val="0"/>
      <w:widowControl/>
      <w:spacing w:before="180" w:after="0"/>
      <w:ind w:left="432" w:hanging="432"/>
    </w:pPr>
    <w:rPr>
      <w:caps w:val="0"/>
      <w:sz w:val="22"/>
    </w:rPr>
  </w:style>
  <w:style w:type="paragraph" w:customStyle="1" w:styleId="Style4">
    <w:name w:val="Style4"/>
    <w:basedOn w:val="Heading4"/>
    <w:pPr>
      <w:keepNext w:val="0"/>
      <w:widowControl/>
      <w:spacing w:before="180" w:after="0"/>
      <w:ind w:left="288" w:hanging="288"/>
    </w:pPr>
    <w:rPr>
      <w:b w:val="0"/>
      <w:i w:val="0"/>
      <w:sz w:val="20"/>
    </w:rPr>
  </w:style>
  <w:style w:type="paragraph" w:customStyle="1" w:styleId="Conditions1">
    <w:name w:val="Conditions1"/>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pPr>
      <w:numPr>
        <w:numId w:val="5"/>
      </w:numPr>
      <w:tabs>
        <w:tab w:val="clear" w:pos="720"/>
      </w:tabs>
      <w:spacing w:before="60"/>
      <w:ind w:left="2174" w:hanging="547"/>
    </w:pPr>
    <w:rPr>
      <w:rFonts w:ascii="Verdana" w:hAnsi="Verdana"/>
    </w:rPr>
  </w:style>
  <w:style w:type="paragraph" w:styleId="ListNumber">
    <w:name w:val="List Number"/>
    <w:basedOn w:val="Normal"/>
    <w:semiHidden/>
    <w:pPr>
      <w:numPr>
        <w:numId w:val="4"/>
      </w:numPr>
    </w:pPr>
  </w:style>
  <w:style w:type="paragraph" w:customStyle="1" w:styleId="Long1">
    <w:name w:val="Long1"/>
    <w:basedOn w:val="Normal"/>
    <w:next w:val="Style1"/>
    <w:pPr>
      <w:keepNext/>
      <w:spacing w:before="180"/>
    </w:pPr>
    <w:rPr>
      <w:b/>
      <w:caps/>
      <w:color w:val="000000"/>
    </w:rPr>
  </w:style>
  <w:style w:type="paragraph" w:customStyle="1" w:styleId="Long2">
    <w:name w:val="Long2"/>
    <w:basedOn w:val="Normal"/>
    <w:next w:val="Style2"/>
    <w:pPr>
      <w:keepNext/>
      <w:spacing w:before="180"/>
    </w:pPr>
    <w:rPr>
      <w:b/>
      <w:color w:val="000000"/>
    </w:rPr>
  </w:style>
  <w:style w:type="paragraph" w:customStyle="1" w:styleId="Long3">
    <w:name w:val="Long3"/>
    <w:basedOn w:val="Normal"/>
    <w:next w:val="Style3"/>
    <w:pPr>
      <w:keepNext/>
      <w:spacing w:before="180"/>
    </w:pPr>
    <w:rPr>
      <w:b/>
      <w:i/>
      <w:color w:val="000000"/>
    </w:rPr>
  </w:style>
  <w:style w:type="paragraph" w:customStyle="1" w:styleId="Long4">
    <w:name w:val="Long4"/>
    <w:basedOn w:val="Normal"/>
    <w:next w:val="Style4"/>
    <w:pPr>
      <w:keepNext/>
      <w:spacing w:before="180"/>
    </w:pPr>
    <w:rPr>
      <w:i/>
      <w:color w:val="000000"/>
    </w:rPr>
  </w:style>
  <w:style w:type="paragraph" w:customStyle="1" w:styleId="Heading6blackfont">
    <w:name w:val="Heading 6 + black font"/>
    <w:basedOn w:val="Heading6"/>
    <w:next w:val="Style1"/>
  </w:style>
  <w:style w:type="character" w:customStyle="1" w:styleId="StyleVerdana7ptBlack">
    <w:name w:val="Style Verdana 7 pt Black"/>
    <w:rPr>
      <w:rFonts w:ascii="Verdana" w:hAnsi="Verdana"/>
      <w:color w:val="000000"/>
      <w:sz w:val="14"/>
      <w:szCs w:val="14"/>
    </w:rPr>
  </w:style>
  <w:style w:type="paragraph" w:customStyle="1" w:styleId="StyleSinglelineTimesNewRoman">
    <w:name w:val="Style Single line + Times New Roman"/>
    <w:basedOn w:val="Singleline"/>
    <w:rPr>
      <w:sz w:val="20"/>
    </w:rPr>
  </w:style>
  <w:style w:type="paragraph" w:customStyle="1" w:styleId="Style20ptBoldGreenRight031cmBefore12pt">
    <w:name w:val="Style 20 pt Bold Green Right:  0.31 cm Before:  12 pt"/>
    <w:basedOn w:val="Normal"/>
    <w:pPr>
      <w:spacing w:before="240"/>
      <w:ind w:right="176"/>
    </w:pPr>
    <w:rPr>
      <w:b/>
      <w:bCs/>
      <w:color w:val="000000"/>
      <w:sz w:val="40"/>
      <w:szCs w:val="40"/>
    </w:rPr>
  </w:style>
  <w:style w:type="paragraph" w:customStyle="1" w:styleId="Style20ptBoldGreenRight031cmBefore12pt1">
    <w:name w:val="Style 20 pt Bold Green Right:  0.31 cm Before:  12 pt1"/>
    <w:basedOn w:val="Normal"/>
    <w:pPr>
      <w:spacing w:before="240"/>
      <w:ind w:right="176"/>
    </w:pPr>
    <w:rPr>
      <w:b/>
      <w:bCs/>
      <w:color w:val="000000"/>
      <w:sz w:val="40"/>
      <w:szCs w:val="40"/>
    </w:rPr>
  </w:style>
  <w:style w:type="paragraph" w:styleId="FootnoteText">
    <w:name w:val="footnote text"/>
    <w:basedOn w:val="Normal"/>
    <w:semiHidden/>
    <w:rPr>
      <w:sz w:val="16"/>
    </w:rPr>
  </w:style>
  <w:style w:type="character" w:styleId="Hyperlink">
    <w:name w:val="Hyperlink"/>
    <w:semiHidden/>
    <w:rPr>
      <w:color w:val="0000FF"/>
      <w:u w:val="single"/>
    </w:rPr>
  </w:style>
  <w:style w:type="character" w:styleId="FootnoteReference">
    <w:name w:val="foot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2" ma:contentTypeDescription="Create a new document." ma:contentTypeScope="" ma:versionID="066bacbff36416a3058a32c63d97965a">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46c8107e8fdaed0118587479632baad2"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isl xmlns:xsi="http://www.w3.org/2001/XMLSchema-instance" xmlns:xsd="http://www.w3.org/2001/XMLSchema" xmlns="http://www.boldonjames.com/2008/01/sie/internal/label" sislVersion="0" policy="8270c081-d9f3-48ae-83c7-c2320a8ca25c"/>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713C36-4BA5-4F84-AD57-922E19E79B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D6A55B-EC61-43F3-9EA7-FC70B4147948}">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77759DD5-3A53-4222-8833-412BB0A8AA83}">
  <ds:schemaRefs>
    <ds:schemaRef ds:uri="http://schemas.microsoft.com/sharepoint/v3/contenttype/forms"/>
  </ds:schemaRefs>
</ds:datastoreItem>
</file>

<file path=customXml/itemProps4.xml><?xml version="1.0" encoding="utf-8"?>
<ds:datastoreItem xmlns:ds="http://schemas.openxmlformats.org/officeDocument/2006/customXml" ds:itemID="{7606FEF0-51F9-4EE1-BBFC-ABD5C78F779D}">
  <ds:schemaRefs>
    <ds:schemaRef ds:uri="http://schemas.microsoft.com/office/2006/metadata/longProperties"/>
  </ds:schemaRefs>
</ds:datastoreItem>
</file>

<file path=customXml/itemProps5.xml><?xml version="1.0" encoding="utf-8"?>
<ds:datastoreItem xmlns:ds="http://schemas.openxmlformats.org/officeDocument/2006/customXml" ds:itemID="{77EC17AA-F2DF-4A99-B47A-2A18F7FC4AE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Decisions</Template>
  <TotalTime>0</TotalTime>
  <Pages>2</Pages>
  <Words>676</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subject/>
  <dc:creator>Mr Lowe</dc:creator>
  <cp:keywords/>
  <cp:lastModifiedBy>Cook, Robert</cp:lastModifiedBy>
  <cp:revision>2</cp:revision>
  <cp:lastPrinted>2022-03-04T15:15:00Z</cp:lastPrinted>
  <dcterms:created xsi:type="dcterms:W3CDTF">2022-03-04T15:57:00Z</dcterms:created>
  <dcterms:modified xsi:type="dcterms:W3CDTF">2022-03-04T15:57:00Z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6f30510e-314f-4b02-95e6-798a849547d8</vt:lpwstr>
  </property>
  <property fmtid="{D5CDD505-2E9C-101B-9397-08002B2CF9AE}" pid="6" name="bjSaver">
    <vt:lpwstr>S0QoAclV4Z3yAPt0vytvpDrxVhEmHtnK</vt:lpwstr>
  </property>
  <property fmtid="{D5CDD505-2E9C-101B-9397-08002B2CF9AE}" pid="7" name="bjDocumentSecurityLabel">
    <vt:lpwstr>No Marking</vt:lpwstr>
  </property>
  <property fmtid="{D5CDD505-2E9C-101B-9397-08002B2CF9AE}" pid="8" name="display_urn:schemas-microsoft-com:office:office#Editor">
    <vt:lpwstr>Sharegate Service Account 007</vt:lpwstr>
  </property>
  <property fmtid="{D5CDD505-2E9C-101B-9397-08002B2CF9AE}" pid="9" name="Order">
    <vt:lpwstr>100.000000000000</vt:lpwstr>
  </property>
  <property fmtid="{D5CDD505-2E9C-101B-9397-08002B2CF9AE}" pid="10" name="display_urn:schemas-microsoft-com:office:office#Author">
    <vt:lpwstr>Sharegate Service Account 007</vt:lpwstr>
  </property>
</Properties>
</file>