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3017" w14:textId="6CC3733E" w:rsidR="004D2F4A" w:rsidRDefault="004D2F4A" w:rsidP="00546ACA">
      <w:pPr>
        <w:tabs>
          <w:tab w:val="left" w:pos="1392"/>
        </w:tabs>
        <w:spacing w:line="240" w:lineRule="auto"/>
      </w:pPr>
      <w:r>
        <w:rPr>
          <w:noProof/>
        </w:rPr>
        <w:drawing>
          <wp:anchor distT="0" distB="0" distL="114300" distR="114300" simplePos="0" relativeHeight="251659267" behindDoc="0" locked="0" layoutInCell="1" allowOverlap="1" wp14:anchorId="14AEF873" wp14:editId="171CE249">
            <wp:simplePos x="5067300" y="449580"/>
            <wp:positionH relativeFrom="column">
              <wp:align>right</wp:align>
            </wp:positionH>
            <wp:positionV relativeFrom="paragraph">
              <wp:align>top</wp:align>
            </wp:positionV>
            <wp:extent cx="1950720" cy="655320"/>
            <wp:effectExtent l="0" t="0" r="0" b="0"/>
            <wp:wrapSquare wrapText="bothSides"/>
            <wp:docPr id="11" name="Picture 11" descr="http://insite/wp-content/uploads/2013/05/Logo-MHRA-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wp-content/uploads/2013/05/Logo-MHRA-strap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655320"/>
                    </a:xfrm>
                    <a:prstGeom prst="rect">
                      <a:avLst/>
                    </a:prstGeom>
                    <a:noFill/>
                    <a:ln>
                      <a:noFill/>
                    </a:ln>
                  </pic:spPr>
                </pic:pic>
              </a:graphicData>
            </a:graphic>
          </wp:anchor>
        </w:drawing>
      </w:r>
    </w:p>
    <w:p w14:paraId="2E218D6E" w14:textId="6EDA4A40" w:rsidR="004A52AD" w:rsidRDefault="006A5344" w:rsidP="008C25C4">
      <w:pPr>
        <w:pStyle w:val="DoctitleAgency"/>
      </w:pPr>
      <w:r>
        <w:t xml:space="preserve">Guidance on the </w:t>
      </w:r>
      <w:r w:rsidR="004A52AD">
        <w:t>Ear</w:t>
      </w:r>
      <w:r w:rsidR="004D2F4A">
        <w:t>l</w:t>
      </w:r>
      <w:r w:rsidR="004A52AD">
        <w:t xml:space="preserve">y Access to Medicines Scheme (EAMS) </w:t>
      </w:r>
      <w:r w:rsidR="00035691">
        <w:t>abridged</w:t>
      </w:r>
      <w:r w:rsidR="00546ACA">
        <w:t xml:space="preserve"> </w:t>
      </w:r>
      <w:r w:rsidR="004A52AD">
        <w:t xml:space="preserve">risk management plan (RMP) </w:t>
      </w:r>
    </w:p>
    <w:p w14:paraId="740D2FF0" w14:textId="38F50ED0" w:rsidR="004A52AD" w:rsidRDefault="004A52AD">
      <w:pPr>
        <w:spacing w:line="240" w:lineRule="auto"/>
      </w:pPr>
    </w:p>
    <w:p w14:paraId="1D7AF026" w14:textId="642CB649" w:rsidR="006A5344" w:rsidRDefault="004A52AD">
      <w:pPr>
        <w:spacing w:line="240" w:lineRule="auto"/>
        <w:rPr>
          <w:rFonts w:ascii="Verdana" w:hAnsi="Verdana"/>
          <w:i/>
          <w:iCs/>
          <w:color w:val="00B050"/>
        </w:rPr>
      </w:pPr>
      <w:r w:rsidRPr="002C4DFC">
        <w:rPr>
          <w:rFonts w:ascii="Verdana" w:hAnsi="Verdana"/>
          <w:i/>
          <w:iCs/>
          <w:color w:val="00B050"/>
        </w:rPr>
        <w:t xml:space="preserve">All EAMS applications require an EAMS RMP.   The template below is for </w:t>
      </w:r>
      <w:r w:rsidR="00806CB2" w:rsidRPr="00806CB2">
        <w:rPr>
          <w:rFonts w:ascii="Verdana" w:hAnsi="Verdana"/>
          <w:i/>
          <w:iCs/>
          <w:color w:val="00B050"/>
        </w:rPr>
        <w:t xml:space="preserve">an abridged EAMS RMP and </w:t>
      </w:r>
      <w:r w:rsidR="00C73E1C">
        <w:rPr>
          <w:rFonts w:ascii="Verdana" w:hAnsi="Verdana"/>
          <w:i/>
          <w:iCs/>
          <w:color w:val="00B050"/>
        </w:rPr>
        <w:t>can</w:t>
      </w:r>
      <w:r w:rsidR="00806CB2" w:rsidRPr="00806CB2">
        <w:rPr>
          <w:rFonts w:ascii="Verdana" w:hAnsi="Verdana"/>
          <w:i/>
          <w:iCs/>
          <w:color w:val="00B050"/>
        </w:rPr>
        <w:t xml:space="preserve"> be used in the case</w:t>
      </w:r>
      <w:r w:rsidR="00F8158A">
        <w:rPr>
          <w:rFonts w:ascii="Verdana" w:hAnsi="Verdana"/>
          <w:i/>
          <w:iCs/>
          <w:color w:val="00B050"/>
        </w:rPr>
        <w:t xml:space="preserve"> that there is </w:t>
      </w:r>
      <w:r w:rsidR="00F8158A" w:rsidRPr="002C4DFC">
        <w:rPr>
          <w:rFonts w:ascii="Verdana" w:hAnsi="Verdana"/>
          <w:i/>
          <w:iCs/>
          <w:color w:val="00B050"/>
        </w:rPr>
        <w:t>an RMP approved for</w:t>
      </w:r>
      <w:r w:rsidR="00F8158A">
        <w:rPr>
          <w:rFonts w:ascii="Verdana" w:hAnsi="Verdana"/>
          <w:i/>
          <w:iCs/>
          <w:color w:val="00B050"/>
        </w:rPr>
        <w:t xml:space="preserve"> the product in</w:t>
      </w:r>
      <w:r w:rsidR="00F8158A" w:rsidRPr="002C4DFC">
        <w:rPr>
          <w:rFonts w:ascii="Verdana" w:hAnsi="Verdana"/>
          <w:i/>
          <w:iCs/>
          <w:color w:val="00B050"/>
        </w:rPr>
        <w:t xml:space="preserve"> an authorized </w:t>
      </w:r>
      <w:r w:rsidR="00F8158A">
        <w:rPr>
          <w:rFonts w:ascii="Verdana" w:hAnsi="Verdana"/>
          <w:i/>
          <w:iCs/>
          <w:color w:val="00B050"/>
        </w:rPr>
        <w:t xml:space="preserve">indication in the UK </w:t>
      </w:r>
      <w:r w:rsidR="00F8158A" w:rsidRPr="002C4DFC">
        <w:rPr>
          <w:rFonts w:ascii="Verdana" w:hAnsi="Verdana"/>
          <w:i/>
          <w:iCs/>
          <w:color w:val="00B050"/>
        </w:rPr>
        <w:t>that is relevant to the use through EAMS</w:t>
      </w:r>
      <w:r w:rsidRPr="002C4DFC">
        <w:rPr>
          <w:rFonts w:ascii="Verdana" w:hAnsi="Verdana"/>
          <w:i/>
          <w:iCs/>
          <w:color w:val="00B050"/>
        </w:rPr>
        <w:t>.</w:t>
      </w:r>
      <w:r w:rsidR="00F8158A">
        <w:rPr>
          <w:rFonts w:ascii="Verdana" w:hAnsi="Verdana"/>
          <w:i/>
          <w:iCs/>
          <w:color w:val="00B050"/>
        </w:rPr>
        <w:t xml:space="preserve"> </w:t>
      </w:r>
      <w:r w:rsidR="00F8158A" w:rsidRPr="00F8158A">
        <w:rPr>
          <w:rFonts w:ascii="Verdana" w:hAnsi="Verdana"/>
          <w:i/>
          <w:iCs/>
          <w:color w:val="00B050"/>
        </w:rPr>
        <w:t xml:space="preserve">This would usually apply for </w:t>
      </w:r>
      <w:r w:rsidR="00F8158A">
        <w:rPr>
          <w:rFonts w:ascii="Verdana" w:hAnsi="Verdana"/>
          <w:i/>
          <w:iCs/>
          <w:color w:val="00B050"/>
        </w:rPr>
        <w:t>a</w:t>
      </w:r>
      <w:r w:rsidR="00F8158A" w:rsidRPr="00F8158A">
        <w:rPr>
          <w:rFonts w:ascii="Verdana" w:hAnsi="Verdana"/>
          <w:i/>
          <w:iCs/>
          <w:color w:val="00B050"/>
        </w:rPr>
        <w:t xml:space="preserve"> drug </w:t>
      </w:r>
      <w:r w:rsidR="00F8158A">
        <w:rPr>
          <w:rFonts w:ascii="Verdana" w:hAnsi="Verdana"/>
          <w:i/>
          <w:iCs/>
          <w:color w:val="00B050"/>
        </w:rPr>
        <w:t xml:space="preserve">authorized for marketing </w:t>
      </w:r>
      <w:r w:rsidR="00F8158A" w:rsidRPr="00F8158A">
        <w:rPr>
          <w:rFonts w:ascii="Verdana" w:hAnsi="Verdana"/>
          <w:i/>
          <w:iCs/>
          <w:color w:val="00B050"/>
        </w:rPr>
        <w:t>for which the important safety concerns can be expected to be the same to those in its use through EAMS.</w:t>
      </w:r>
    </w:p>
    <w:p w14:paraId="30D21467" w14:textId="77777777" w:rsidR="00F8158A" w:rsidRDefault="00F8158A">
      <w:pPr>
        <w:spacing w:line="240" w:lineRule="auto"/>
        <w:rPr>
          <w:rFonts w:ascii="Verdana" w:hAnsi="Verdana"/>
          <w:i/>
          <w:iCs/>
          <w:color w:val="00B050"/>
        </w:rPr>
      </w:pPr>
    </w:p>
    <w:p w14:paraId="01231E16" w14:textId="5B2EE347" w:rsidR="00F8158A" w:rsidRPr="002C4DFC" w:rsidRDefault="00F8158A">
      <w:pPr>
        <w:spacing w:line="240" w:lineRule="auto"/>
        <w:rPr>
          <w:rFonts w:ascii="Verdana" w:hAnsi="Verdana"/>
          <w:i/>
          <w:iCs/>
          <w:color w:val="00B050"/>
        </w:rPr>
      </w:pPr>
      <w:r>
        <w:rPr>
          <w:rFonts w:ascii="Verdana" w:hAnsi="Verdana"/>
          <w:i/>
          <w:iCs/>
          <w:color w:val="00B050"/>
        </w:rPr>
        <w:t>The RMP approved for the authorized product in the UK must be submitted alongside the abridged EAMS RMP.</w:t>
      </w:r>
    </w:p>
    <w:p w14:paraId="30E674E3" w14:textId="77777777" w:rsidR="006A5344" w:rsidRPr="002C4DFC" w:rsidRDefault="006A5344">
      <w:pPr>
        <w:spacing w:line="240" w:lineRule="auto"/>
        <w:rPr>
          <w:rFonts w:ascii="Verdana" w:hAnsi="Verdana"/>
          <w:i/>
          <w:iCs/>
          <w:color w:val="00B050"/>
        </w:rPr>
      </w:pPr>
    </w:p>
    <w:p w14:paraId="2C460885" w14:textId="29C16748" w:rsidR="004A52AD" w:rsidRPr="002C4DFC" w:rsidRDefault="00F8158A">
      <w:pPr>
        <w:spacing w:line="240" w:lineRule="auto"/>
        <w:rPr>
          <w:rFonts w:ascii="Verdana" w:hAnsi="Verdana"/>
          <w:i/>
          <w:iCs/>
          <w:color w:val="00B050"/>
        </w:rPr>
      </w:pPr>
      <w:r w:rsidRPr="00F8158A">
        <w:rPr>
          <w:rFonts w:ascii="Verdana" w:hAnsi="Verdana"/>
          <w:i/>
          <w:iCs/>
          <w:color w:val="00B050"/>
        </w:rPr>
        <w:t xml:space="preserve">In the case where the drug does not have a marketing authorization in </w:t>
      </w:r>
      <w:r>
        <w:rPr>
          <w:rFonts w:ascii="Verdana" w:hAnsi="Verdana"/>
          <w:i/>
          <w:iCs/>
          <w:color w:val="00B050"/>
        </w:rPr>
        <w:t>the UK</w:t>
      </w:r>
      <w:r w:rsidRPr="00F8158A">
        <w:rPr>
          <w:rFonts w:ascii="Verdana" w:hAnsi="Verdana"/>
          <w:i/>
          <w:iCs/>
          <w:color w:val="00B050"/>
        </w:rPr>
        <w:t xml:space="preserve"> in an appropriate indication</w:t>
      </w:r>
      <w:r>
        <w:rPr>
          <w:rStyle w:val="FootnoteReference"/>
          <w:i/>
          <w:iCs/>
          <w:color w:val="00B050"/>
        </w:rPr>
        <w:footnoteReference w:id="2"/>
      </w:r>
      <w:r w:rsidRPr="00F8158A">
        <w:rPr>
          <w:rFonts w:ascii="Verdana" w:hAnsi="Verdana"/>
          <w:i/>
          <w:iCs/>
          <w:color w:val="00B050"/>
        </w:rPr>
        <w:t>, the full EAMS RMP template should be used</w:t>
      </w:r>
      <w:r w:rsidR="004A52AD" w:rsidRPr="002C4DFC">
        <w:rPr>
          <w:rFonts w:ascii="Verdana" w:hAnsi="Verdana"/>
          <w:i/>
          <w:iCs/>
          <w:color w:val="00B050"/>
        </w:rPr>
        <w:t xml:space="preserve"> </w:t>
      </w:r>
    </w:p>
    <w:p w14:paraId="50C06C68" w14:textId="6BF6A7DB" w:rsidR="00F372CE" w:rsidRPr="002C4DFC" w:rsidRDefault="00F372CE">
      <w:pPr>
        <w:spacing w:line="240" w:lineRule="auto"/>
        <w:rPr>
          <w:rFonts w:ascii="Verdana" w:hAnsi="Verdana"/>
          <w:i/>
          <w:iCs/>
          <w:color w:val="00B050"/>
        </w:rPr>
      </w:pPr>
    </w:p>
    <w:p w14:paraId="70927202" w14:textId="1478D119" w:rsidR="00F372CE" w:rsidRPr="002C4DFC" w:rsidRDefault="00F372CE">
      <w:pPr>
        <w:spacing w:line="240" w:lineRule="auto"/>
        <w:rPr>
          <w:rFonts w:ascii="Verdana" w:hAnsi="Verdana"/>
          <w:i/>
          <w:iCs/>
          <w:color w:val="00B050"/>
        </w:rPr>
      </w:pPr>
      <w:r w:rsidRPr="002C4DFC">
        <w:rPr>
          <w:rFonts w:ascii="Verdana" w:hAnsi="Verdana"/>
          <w:i/>
          <w:iCs/>
          <w:color w:val="00B050"/>
        </w:rPr>
        <w:t>In brief, the structure of the EAMS RMP is as follows</w:t>
      </w:r>
    </w:p>
    <w:p w14:paraId="2CFCB7BF" w14:textId="7621D487" w:rsidR="00F372CE" w:rsidRPr="002C4DFC" w:rsidRDefault="00F372CE">
      <w:pPr>
        <w:spacing w:line="240" w:lineRule="auto"/>
        <w:rPr>
          <w:rFonts w:ascii="Verdana" w:hAnsi="Verdana"/>
          <w:i/>
          <w:iCs/>
          <w:color w:val="00B050"/>
        </w:rPr>
      </w:pPr>
    </w:p>
    <w:p w14:paraId="6F6532DD" w14:textId="27D9C8F1" w:rsidR="00F372CE" w:rsidRPr="002C4DFC" w:rsidRDefault="008C25C4" w:rsidP="008C25C4">
      <w:pPr>
        <w:spacing w:line="240" w:lineRule="auto"/>
        <w:ind w:left="1440" w:hanging="720"/>
        <w:rPr>
          <w:rFonts w:ascii="Verdana" w:hAnsi="Verdana"/>
          <w:i/>
          <w:iCs/>
          <w:color w:val="00B050"/>
        </w:rPr>
      </w:pPr>
      <w:r w:rsidRPr="002C4DFC">
        <w:rPr>
          <w:rFonts w:ascii="Verdana" w:hAnsi="Verdana"/>
          <w:i/>
          <w:iCs/>
          <w:color w:val="00B050"/>
        </w:rPr>
        <w:t xml:space="preserve">Part I: </w:t>
      </w:r>
      <w:r w:rsidR="00F372CE" w:rsidRPr="002C4DFC">
        <w:rPr>
          <w:rFonts w:ascii="Verdana" w:hAnsi="Verdana"/>
          <w:i/>
          <w:iCs/>
          <w:color w:val="00B050"/>
        </w:rPr>
        <w:t>Product overview</w:t>
      </w:r>
    </w:p>
    <w:p w14:paraId="1CD012FB" w14:textId="77777777" w:rsidR="00035691" w:rsidRDefault="008C25C4" w:rsidP="008C25C4">
      <w:pPr>
        <w:spacing w:line="240" w:lineRule="auto"/>
        <w:ind w:left="1440" w:hanging="720"/>
        <w:rPr>
          <w:rFonts w:ascii="Verdana" w:hAnsi="Verdana"/>
          <w:i/>
          <w:iCs/>
          <w:color w:val="00B050"/>
        </w:rPr>
      </w:pPr>
      <w:r w:rsidRPr="002C4DFC">
        <w:rPr>
          <w:rFonts w:ascii="Verdana" w:hAnsi="Verdana"/>
          <w:i/>
          <w:iCs/>
          <w:color w:val="00B050"/>
        </w:rPr>
        <w:t xml:space="preserve">Part II: </w:t>
      </w:r>
      <w:r w:rsidR="00F372CE" w:rsidRPr="002C4DFC">
        <w:rPr>
          <w:rFonts w:ascii="Verdana" w:hAnsi="Verdana"/>
          <w:i/>
          <w:iCs/>
          <w:color w:val="00B050"/>
        </w:rPr>
        <w:t xml:space="preserve">Safety specification – </w:t>
      </w:r>
      <w:r w:rsidR="00035691" w:rsidRPr="00035691">
        <w:rPr>
          <w:rFonts w:ascii="Verdana" w:hAnsi="Verdana"/>
          <w:i/>
          <w:iCs/>
          <w:color w:val="00B050"/>
        </w:rPr>
        <w:t xml:space="preserve">only “Module SVIII - Summary of the safety concerns” is required in this Part   </w:t>
      </w:r>
    </w:p>
    <w:p w14:paraId="08274D1C" w14:textId="00DF97D2" w:rsidR="00F372CE" w:rsidRPr="002C4DFC" w:rsidRDefault="008C25C4" w:rsidP="008C25C4">
      <w:pPr>
        <w:spacing w:line="240" w:lineRule="auto"/>
        <w:ind w:left="1440" w:hanging="720"/>
        <w:rPr>
          <w:rFonts w:ascii="Verdana" w:hAnsi="Verdana"/>
          <w:i/>
          <w:iCs/>
          <w:color w:val="00B050"/>
        </w:rPr>
      </w:pPr>
      <w:r w:rsidRPr="002C4DFC">
        <w:rPr>
          <w:rFonts w:ascii="Verdana" w:hAnsi="Verdana"/>
          <w:i/>
          <w:iCs/>
          <w:color w:val="00B050"/>
        </w:rPr>
        <w:t xml:space="preserve">Part III: </w:t>
      </w:r>
      <w:r w:rsidR="00F372CE" w:rsidRPr="002C4DFC">
        <w:rPr>
          <w:rFonts w:ascii="Verdana" w:hAnsi="Verdana"/>
          <w:i/>
          <w:iCs/>
          <w:color w:val="00B050"/>
        </w:rPr>
        <w:t>Pharmacovigilance Plan</w:t>
      </w:r>
      <w:r w:rsidR="00F919A0" w:rsidRPr="002C4DFC">
        <w:rPr>
          <w:rFonts w:ascii="Verdana" w:hAnsi="Verdana"/>
          <w:i/>
          <w:iCs/>
          <w:color w:val="00B050"/>
        </w:rPr>
        <w:t xml:space="preserve"> – </w:t>
      </w:r>
      <w:r w:rsidR="00F919A0" w:rsidRPr="002C4DFC">
        <w:rPr>
          <w:rFonts w:ascii="Verdana" w:hAnsi="Verdana"/>
          <w:i/>
          <w:iCs/>
          <w:color w:val="00B050"/>
          <w:highlight w:val="cyan"/>
        </w:rPr>
        <w:t>this section is specific for EAMS</w:t>
      </w:r>
    </w:p>
    <w:p w14:paraId="34CE1B2F" w14:textId="79DD0DCA" w:rsidR="00035691" w:rsidRDefault="008C25C4" w:rsidP="00FD6303">
      <w:pPr>
        <w:spacing w:line="240" w:lineRule="auto"/>
        <w:ind w:left="1440" w:hanging="720"/>
        <w:rPr>
          <w:rFonts w:ascii="Verdana" w:hAnsi="Verdana"/>
          <w:i/>
          <w:iCs/>
          <w:color w:val="00B050"/>
        </w:rPr>
      </w:pPr>
      <w:r w:rsidRPr="002C4DFC">
        <w:rPr>
          <w:rFonts w:ascii="Verdana" w:hAnsi="Verdana"/>
          <w:i/>
          <w:iCs/>
          <w:color w:val="00B050"/>
        </w:rPr>
        <w:t xml:space="preserve">Part IV: Plans for </w:t>
      </w:r>
      <w:r w:rsidR="000B2751" w:rsidRPr="002C4DFC">
        <w:rPr>
          <w:rFonts w:ascii="Verdana" w:hAnsi="Verdana"/>
          <w:i/>
          <w:iCs/>
          <w:color w:val="00B050"/>
        </w:rPr>
        <w:t>further</w:t>
      </w:r>
      <w:r w:rsidRPr="002C4DFC">
        <w:rPr>
          <w:rFonts w:ascii="Verdana" w:hAnsi="Verdana"/>
          <w:i/>
          <w:iCs/>
          <w:color w:val="00B050"/>
        </w:rPr>
        <w:t xml:space="preserve"> efficacy studies</w:t>
      </w:r>
      <w:r w:rsidR="00035691">
        <w:rPr>
          <w:rFonts w:ascii="Verdana" w:hAnsi="Verdana"/>
          <w:i/>
          <w:iCs/>
          <w:color w:val="00B050"/>
        </w:rPr>
        <w:t xml:space="preserve"> </w:t>
      </w:r>
      <w:r w:rsidRPr="002C4DFC">
        <w:rPr>
          <w:rFonts w:ascii="Verdana" w:hAnsi="Verdana"/>
          <w:i/>
          <w:iCs/>
          <w:color w:val="00B050"/>
        </w:rPr>
        <w:t xml:space="preserve">- </w:t>
      </w:r>
      <w:r w:rsidR="00035691" w:rsidRPr="00035691">
        <w:rPr>
          <w:rFonts w:ascii="Verdana" w:hAnsi="Verdana"/>
          <w:i/>
          <w:iCs/>
          <w:color w:val="00B050"/>
        </w:rPr>
        <w:t xml:space="preserve">This section must be completed </w:t>
      </w:r>
      <w:proofErr w:type="gramStart"/>
      <w:r w:rsidR="00035691" w:rsidRPr="00035691">
        <w:rPr>
          <w:rFonts w:ascii="Verdana" w:hAnsi="Verdana"/>
          <w:i/>
          <w:iCs/>
          <w:color w:val="00B050"/>
        </w:rPr>
        <w:t>in the event that</w:t>
      </w:r>
      <w:proofErr w:type="gramEnd"/>
      <w:r w:rsidR="00035691" w:rsidRPr="00035691">
        <w:rPr>
          <w:rFonts w:ascii="Verdana" w:hAnsi="Verdana"/>
          <w:i/>
          <w:iCs/>
          <w:color w:val="00B050"/>
        </w:rPr>
        <w:t xml:space="preserve"> any efficacy or effectiveness studies are required by MHRA as part of the terms of the positive opinion.  If such post-opinion studies are not a requirement, a simple cross reference to the accompanying </w:t>
      </w:r>
      <w:r w:rsidR="00035691">
        <w:rPr>
          <w:rFonts w:ascii="Verdana" w:hAnsi="Verdana"/>
          <w:i/>
          <w:iCs/>
          <w:color w:val="00B050"/>
        </w:rPr>
        <w:t>approved</w:t>
      </w:r>
      <w:r w:rsidR="00035691" w:rsidRPr="00035691">
        <w:rPr>
          <w:rFonts w:ascii="Verdana" w:hAnsi="Verdana"/>
          <w:i/>
          <w:iCs/>
          <w:color w:val="00B050"/>
        </w:rPr>
        <w:t xml:space="preserve"> RMP</w:t>
      </w:r>
      <w:r w:rsidR="00035691">
        <w:rPr>
          <w:rFonts w:ascii="Verdana" w:hAnsi="Verdana"/>
          <w:i/>
          <w:iCs/>
          <w:color w:val="00B050"/>
        </w:rPr>
        <w:t xml:space="preserve"> for the marketing authorisation</w:t>
      </w:r>
      <w:r w:rsidR="00035691" w:rsidRPr="00035691">
        <w:rPr>
          <w:rFonts w:ascii="Verdana" w:hAnsi="Verdana"/>
          <w:i/>
          <w:iCs/>
          <w:color w:val="00B050"/>
        </w:rPr>
        <w:t xml:space="preserve"> can be accepted.</w:t>
      </w:r>
    </w:p>
    <w:p w14:paraId="510D6B42" w14:textId="2C87D410" w:rsidR="00035691" w:rsidRDefault="00FD6303" w:rsidP="008C25C4">
      <w:pPr>
        <w:spacing w:line="240" w:lineRule="auto"/>
        <w:ind w:left="1440" w:hanging="720"/>
        <w:rPr>
          <w:rFonts w:ascii="Verdana" w:hAnsi="Verdana"/>
          <w:i/>
          <w:iCs/>
          <w:color w:val="00B050"/>
        </w:rPr>
      </w:pPr>
      <w:r w:rsidRPr="002C4DFC">
        <w:rPr>
          <w:rFonts w:ascii="Verdana" w:hAnsi="Verdana"/>
          <w:i/>
          <w:iCs/>
          <w:color w:val="00B050"/>
        </w:rPr>
        <w:t xml:space="preserve">Part V: Risk minimization plan – </w:t>
      </w:r>
      <w:r w:rsidR="00035691" w:rsidRPr="00035691">
        <w:rPr>
          <w:rFonts w:ascii="Verdana" w:hAnsi="Verdana"/>
          <w:i/>
          <w:iCs/>
          <w:color w:val="00B050"/>
        </w:rPr>
        <w:t xml:space="preserve">If routine risk minimization only is needed and no additional risk minimisation, a simple cross reference to the accompanying </w:t>
      </w:r>
      <w:r w:rsidR="00035691">
        <w:rPr>
          <w:rFonts w:ascii="Verdana" w:hAnsi="Verdana"/>
          <w:i/>
          <w:iCs/>
          <w:color w:val="00B050"/>
        </w:rPr>
        <w:t>approved</w:t>
      </w:r>
      <w:r w:rsidR="00035691" w:rsidRPr="00035691">
        <w:rPr>
          <w:rFonts w:ascii="Verdana" w:hAnsi="Verdana"/>
          <w:i/>
          <w:iCs/>
          <w:color w:val="00B050"/>
        </w:rPr>
        <w:t xml:space="preserve"> RMP</w:t>
      </w:r>
      <w:r w:rsidR="00035691">
        <w:rPr>
          <w:rFonts w:ascii="Verdana" w:hAnsi="Verdana"/>
          <w:i/>
          <w:iCs/>
          <w:color w:val="00B050"/>
        </w:rPr>
        <w:t xml:space="preserve"> for the marketing authorisation</w:t>
      </w:r>
      <w:r w:rsidR="00035691" w:rsidRPr="00035691">
        <w:rPr>
          <w:rFonts w:ascii="Verdana" w:hAnsi="Verdana"/>
          <w:i/>
          <w:iCs/>
          <w:color w:val="00B050"/>
        </w:rPr>
        <w:t xml:space="preserve"> can be accepted.</w:t>
      </w:r>
    </w:p>
    <w:p w14:paraId="065BFBE3" w14:textId="33CC89CF" w:rsidR="00F372CE" w:rsidRDefault="00FD6303" w:rsidP="008C25C4">
      <w:pPr>
        <w:spacing w:line="240" w:lineRule="auto"/>
        <w:ind w:left="1440" w:hanging="720"/>
        <w:rPr>
          <w:rFonts w:ascii="Verdana" w:hAnsi="Verdana"/>
          <w:i/>
          <w:iCs/>
          <w:color w:val="00B050"/>
        </w:rPr>
      </w:pPr>
      <w:r w:rsidRPr="002C4DFC">
        <w:rPr>
          <w:rFonts w:ascii="Verdana" w:hAnsi="Verdana"/>
          <w:i/>
          <w:iCs/>
          <w:color w:val="00B050"/>
        </w:rPr>
        <w:t xml:space="preserve">Part VI: </w:t>
      </w:r>
      <w:r w:rsidR="00F372CE" w:rsidRPr="002C4DFC">
        <w:rPr>
          <w:rFonts w:ascii="Verdana" w:hAnsi="Verdana"/>
          <w:i/>
          <w:iCs/>
          <w:color w:val="00B050"/>
        </w:rPr>
        <w:t xml:space="preserve">Annexes – </w:t>
      </w:r>
      <w:r w:rsidR="00035691" w:rsidRPr="00035691">
        <w:rPr>
          <w:rFonts w:ascii="Verdana" w:hAnsi="Verdana"/>
          <w:i/>
          <w:iCs/>
          <w:color w:val="00B050"/>
        </w:rPr>
        <w:t xml:space="preserve">Any annexes which are identical to those in the accompanying </w:t>
      </w:r>
      <w:r w:rsidR="00035691">
        <w:rPr>
          <w:rFonts w:ascii="Verdana" w:hAnsi="Verdana"/>
          <w:i/>
          <w:iCs/>
          <w:color w:val="00B050"/>
        </w:rPr>
        <w:t>approved</w:t>
      </w:r>
      <w:r w:rsidR="00035691" w:rsidRPr="00035691">
        <w:rPr>
          <w:rFonts w:ascii="Verdana" w:hAnsi="Verdana"/>
          <w:i/>
          <w:iCs/>
          <w:color w:val="00B050"/>
        </w:rPr>
        <w:t xml:space="preserve"> RMP</w:t>
      </w:r>
      <w:r w:rsidR="00035691">
        <w:rPr>
          <w:rFonts w:ascii="Verdana" w:hAnsi="Verdana"/>
          <w:i/>
          <w:iCs/>
          <w:color w:val="00B050"/>
        </w:rPr>
        <w:t xml:space="preserve"> for the marketing authorisation</w:t>
      </w:r>
      <w:r w:rsidR="00035691" w:rsidRPr="00035691">
        <w:rPr>
          <w:rFonts w:ascii="Verdana" w:hAnsi="Verdana"/>
          <w:i/>
          <w:iCs/>
          <w:color w:val="00B050"/>
        </w:rPr>
        <w:t xml:space="preserve"> can be omitted</w:t>
      </w:r>
      <w:r w:rsidR="00C73E1C">
        <w:rPr>
          <w:rFonts w:ascii="Verdana" w:hAnsi="Verdana"/>
          <w:i/>
          <w:iCs/>
          <w:color w:val="00B050"/>
        </w:rPr>
        <w:t xml:space="preserve"> and replaced with a cross reference to the relevant annex of the accompanying approved RMP</w:t>
      </w:r>
      <w:r w:rsidR="00035691" w:rsidRPr="00035691">
        <w:rPr>
          <w:rFonts w:ascii="Verdana" w:hAnsi="Verdana"/>
          <w:i/>
          <w:iCs/>
          <w:color w:val="00B050"/>
        </w:rPr>
        <w:t>.</w:t>
      </w:r>
    </w:p>
    <w:p w14:paraId="09A12304" w14:textId="4338B4C6" w:rsidR="00F61163" w:rsidRPr="002C4DFC" w:rsidRDefault="00F61163">
      <w:pPr>
        <w:spacing w:line="240" w:lineRule="auto"/>
        <w:rPr>
          <w:rFonts w:ascii="Verdana" w:hAnsi="Verdana"/>
          <w:i/>
          <w:iCs/>
          <w:color w:val="00B050"/>
        </w:rPr>
      </w:pPr>
    </w:p>
    <w:p w14:paraId="717BF322" w14:textId="6F339ACE" w:rsidR="008C25C4" w:rsidRPr="002C4DFC" w:rsidRDefault="008C25C4" w:rsidP="008C25C4">
      <w:pPr>
        <w:spacing w:line="240" w:lineRule="auto"/>
        <w:rPr>
          <w:rFonts w:ascii="Verdana" w:hAnsi="Verdana"/>
          <w:i/>
          <w:iCs/>
          <w:color w:val="00B050"/>
        </w:rPr>
      </w:pPr>
      <w:r w:rsidRPr="002C4DFC">
        <w:rPr>
          <w:rFonts w:ascii="Verdana" w:hAnsi="Verdana"/>
          <w:i/>
          <w:iCs/>
          <w:color w:val="00B050"/>
          <w:highlight w:val="cyan"/>
        </w:rPr>
        <w:t>Blue highlighting</w:t>
      </w:r>
      <w:r w:rsidRPr="002C4DFC">
        <w:rPr>
          <w:rFonts w:ascii="Verdana" w:hAnsi="Verdana"/>
          <w:i/>
          <w:iCs/>
          <w:color w:val="00B050"/>
        </w:rPr>
        <w:t xml:space="preserve"> – indicates a </w:t>
      </w:r>
      <w:r w:rsidR="00EE767E" w:rsidRPr="002C4DFC">
        <w:rPr>
          <w:rFonts w:ascii="Verdana" w:hAnsi="Verdana"/>
          <w:i/>
          <w:iCs/>
          <w:color w:val="00B050"/>
        </w:rPr>
        <w:t xml:space="preserve">notable </w:t>
      </w:r>
      <w:r w:rsidRPr="002C4DFC">
        <w:rPr>
          <w:rFonts w:ascii="Verdana" w:hAnsi="Verdana"/>
          <w:i/>
          <w:iCs/>
          <w:color w:val="00B050"/>
        </w:rPr>
        <w:t>difference compared with the EU RMP rev 2</w:t>
      </w:r>
    </w:p>
    <w:p w14:paraId="07123DF6" w14:textId="77777777" w:rsidR="008C25C4" w:rsidRPr="002C4DFC" w:rsidRDefault="008C25C4">
      <w:pPr>
        <w:spacing w:line="240" w:lineRule="auto"/>
        <w:rPr>
          <w:rFonts w:ascii="Verdana" w:hAnsi="Verdana"/>
          <w:i/>
          <w:iCs/>
          <w:color w:val="00B050"/>
        </w:rPr>
      </w:pPr>
    </w:p>
    <w:p w14:paraId="0EBC2FB3" w14:textId="48ACFDEC" w:rsidR="00F61163" w:rsidRPr="002C4DFC" w:rsidRDefault="00F61163">
      <w:pPr>
        <w:spacing w:line="240" w:lineRule="auto"/>
        <w:rPr>
          <w:rFonts w:ascii="Verdana" w:hAnsi="Verdana"/>
          <w:i/>
          <w:iCs/>
          <w:color w:val="00B050"/>
        </w:rPr>
      </w:pPr>
      <w:r w:rsidRPr="002C4DFC">
        <w:rPr>
          <w:rFonts w:ascii="Verdana" w:hAnsi="Verdana"/>
          <w:i/>
          <w:iCs/>
          <w:color w:val="00B050"/>
        </w:rPr>
        <w:t xml:space="preserve">In addition to the green text in the template below, please refer to </w:t>
      </w:r>
      <w:r w:rsidR="009D6B87">
        <w:rPr>
          <w:rFonts w:ascii="Verdana" w:hAnsi="Verdana"/>
          <w:i/>
          <w:iCs/>
          <w:color w:val="00B050"/>
        </w:rPr>
        <w:t>MHRA guidance on pharmacovigilance procedures</w:t>
      </w:r>
      <w:r w:rsidR="009D6B87">
        <w:rPr>
          <w:rStyle w:val="FootnoteReference"/>
          <w:i/>
          <w:iCs/>
          <w:color w:val="00B050"/>
        </w:rPr>
        <w:footnoteReference w:id="3"/>
      </w:r>
      <w:r w:rsidR="009D6B87">
        <w:rPr>
          <w:rFonts w:ascii="Verdana" w:hAnsi="Verdana"/>
          <w:i/>
          <w:iCs/>
          <w:color w:val="00B050"/>
        </w:rPr>
        <w:t xml:space="preserve">, </w:t>
      </w:r>
      <w:r w:rsidRPr="002C4DFC">
        <w:rPr>
          <w:rFonts w:ascii="Verdana" w:hAnsi="Verdana"/>
          <w:i/>
          <w:iCs/>
          <w:color w:val="00B050"/>
        </w:rPr>
        <w:t>GVP V</w:t>
      </w:r>
      <w:r w:rsidR="004F0E8D" w:rsidRPr="002C4DFC">
        <w:rPr>
          <w:rFonts w:ascii="Verdana" w:hAnsi="Verdana"/>
          <w:i/>
          <w:iCs/>
          <w:color w:val="00B050"/>
        </w:rPr>
        <w:t xml:space="preserve">, </w:t>
      </w:r>
      <w:r w:rsidRPr="002C4DFC">
        <w:rPr>
          <w:rFonts w:ascii="Verdana" w:hAnsi="Verdana"/>
          <w:i/>
          <w:iCs/>
          <w:color w:val="00B050"/>
        </w:rPr>
        <w:t>the EU RMP rev 2</w:t>
      </w:r>
      <w:r w:rsidR="004F0E8D" w:rsidRPr="002C4DFC">
        <w:rPr>
          <w:rFonts w:ascii="Verdana" w:hAnsi="Verdana"/>
          <w:i/>
          <w:iCs/>
          <w:color w:val="00B050"/>
        </w:rPr>
        <w:t xml:space="preserve"> template and the </w:t>
      </w:r>
      <w:bookmarkStart w:id="0" w:name="_Hlk23325573"/>
      <w:r w:rsidR="004F0E8D" w:rsidRPr="002C4DFC">
        <w:rPr>
          <w:rFonts w:ascii="Verdana" w:hAnsi="Verdana"/>
          <w:i/>
          <w:iCs/>
          <w:color w:val="00B050"/>
        </w:rPr>
        <w:fldChar w:fldCharType="begin"/>
      </w:r>
      <w:r w:rsidR="004F0E8D" w:rsidRPr="002C4DFC">
        <w:rPr>
          <w:rFonts w:ascii="Verdana" w:hAnsi="Verdana"/>
          <w:i/>
          <w:iCs/>
          <w:color w:val="00B050"/>
        </w:rPr>
        <w:instrText xml:space="preserve"> HYPERLINK "https://www.gov.uk/guidance/apply-for-the-early-access-to-medicines-scheme-eams" </w:instrText>
      </w:r>
      <w:r w:rsidR="004F0E8D" w:rsidRPr="002C4DFC">
        <w:rPr>
          <w:rFonts w:ascii="Verdana" w:hAnsi="Verdana"/>
          <w:i/>
          <w:iCs/>
          <w:color w:val="00B050"/>
        </w:rPr>
        <w:fldChar w:fldCharType="separate"/>
      </w:r>
      <w:r w:rsidR="004F0E8D" w:rsidRPr="002C4DFC">
        <w:rPr>
          <w:rStyle w:val="Hyperlink"/>
          <w:rFonts w:ascii="Verdana" w:hAnsi="Verdana"/>
          <w:i/>
          <w:iCs/>
          <w:color w:val="00B050"/>
        </w:rPr>
        <w:t>Guidance on applying to the EAMS</w:t>
      </w:r>
      <w:r w:rsidR="004F0E8D" w:rsidRPr="002C4DFC">
        <w:rPr>
          <w:rFonts w:ascii="Verdana" w:hAnsi="Verdana"/>
          <w:i/>
          <w:iCs/>
          <w:color w:val="00B050"/>
        </w:rPr>
        <w:fldChar w:fldCharType="end"/>
      </w:r>
      <w:r w:rsidRPr="002C4DFC">
        <w:rPr>
          <w:rFonts w:ascii="Verdana" w:hAnsi="Verdana"/>
          <w:i/>
          <w:iCs/>
          <w:color w:val="00B050"/>
        </w:rPr>
        <w:t xml:space="preserve"> </w:t>
      </w:r>
      <w:bookmarkEnd w:id="0"/>
      <w:r w:rsidRPr="002C4DFC">
        <w:rPr>
          <w:rFonts w:ascii="Verdana" w:hAnsi="Verdana"/>
          <w:i/>
          <w:iCs/>
          <w:color w:val="00B050"/>
        </w:rPr>
        <w:t xml:space="preserve">for further </w:t>
      </w:r>
      <w:r w:rsidR="004F0E8D" w:rsidRPr="002C4DFC">
        <w:rPr>
          <w:rFonts w:ascii="Verdana" w:hAnsi="Verdana"/>
          <w:i/>
          <w:iCs/>
          <w:color w:val="00B050"/>
        </w:rPr>
        <w:t>reference</w:t>
      </w:r>
      <w:r w:rsidRPr="002C4DFC">
        <w:rPr>
          <w:rFonts w:ascii="Verdana" w:hAnsi="Verdana"/>
          <w:i/>
          <w:iCs/>
          <w:color w:val="00B050"/>
        </w:rPr>
        <w:t>.</w:t>
      </w:r>
    </w:p>
    <w:p w14:paraId="4EDD88DF" w14:textId="5B5E142C" w:rsidR="00F372CE" w:rsidRPr="002C4DFC" w:rsidRDefault="006A5344">
      <w:pPr>
        <w:spacing w:line="240" w:lineRule="auto"/>
        <w:rPr>
          <w:rFonts w:ascii="Verdana" w:hAnsi="Verdana"/>
        </w:rPr>
        <w:sectPr w:rsidR="00F372CE" w:rsidRPr="002C4DFC" w:rsidSect="000657B4">
          <w:headerReference w:type="even" r:id="rId12"/>
          <w:headerReference w:type="default" r:id="rId13"/>
          <w:footerReference w:type="even" r:id="rId14"/>
          <w:footerReference w:type="default" r:id="rId15"/>
          <w:headerReference w:type="first" r:id="rId16"/>
          <w:footerReference w:type="first" r:id="rId17"/>
          <w:pgSz w:w="11900" w:h="16840" w:code="9"/>
          <w:pgMar w:top="680" w:right="851" w:bottom="680" w:left="964" w:header="454" w:footer="454" w:gutter="0"/>
          <w:cols w:space="708"/>
          <w:docGrid w:linePitch="299"/>
        </w:sectPr>
      </w:pPr>
      <w:r w:rsidRPr="002C4DFC">
        <w:rPr>
          <w:rFonts w:ascii="Verdana" w:hAnsi="Verdana"/>
        </w:rPr>
        <w:br w:type="page"/>
      </w:r>
    </w:p>
    <w:p w14:paraId="27054BA1" w14:textId="425AB3DF" w:rsidR="00550137" w:rsidRPr="00F32AFA" w:rsidRDefault="00601512" w:rsidP="00550137">
      <w:pPr>
        <w:pStyle w:val="DoctitleAgency"/>
      </w:pPr>
      <w:r w:rsidRPr="00F32AFA">
        <w:lastRenderedPageBreak/>
        <w:t>Early Access to Medicines Scheme (EAMS)</w:t>
      </w:r>
      <w:r w:rsidR="00550137" w:rsidRPr="00F32AFA">
        <w:t xml:space="preserve"> </w:t>
      </w:r>
      <w:r w:rsidR="00035691">
        <w:t>abridged</w:t>
      </w:r>
      <w:r w:rsidR="00546ACA">
        <w:t xml:space="preserve"> </w:t>
      </w:r>
      <w:r w:rsidR="00550137" w:rsidRPr="00F32AFA">
        <w:t xml:space="preserve">risk management plan (RMP) </w:t>
      </w:r>
      <w:r w:rsidRPr="00AC7E2C">
        <w:t xml:space="preserve">template </w:t>
      </w:r>
      <w:r w:rsidR="00CB4522" w:rsidRPr="004702FA">
        <w:t>(</w:t>
      </w:r>
      <w:r w:rsidR="00CB4522" w:rsidRPr="00983F2D">
        <w:t xml:space="preserve">version </w:t>
      </w:r>
      <w:r w:rsidR="00035691">
        <w:t>1.1</w:t>
      </w:r>
      <w:r w:rsidR="00CB4522">
        <w:t>)</w:t>
      </w:r>
    </w:p>
    <w:p w14:paraId="11331644" w14:textId="77777777" w:rsidR="00550137" w:rsidRPr="00F32AFA" w:rsidRDefault="00550137" w:rsidP="00550137">
      <w:pPr>
        <w:pStyle w:val="Docsubtitle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4858"/>
        <w:gridCol w:w="5217"/>
      </w:tblGrid>
      <w:tr w:rsidR="00550137" w:rsidRPr="00F32AFA" w14:paraId="5DB00F88" w14:textId="77777777" w:rsidTr="009D2607">
        <w:trPr>
          <w:trHeight w:val="1134"/>
          <w:tblHeader/>
        </w:trPr>
        <w:tc>
          <w:tcPr>
            <w:tcW w:w="2411" w:type="pct"/>
            <w:tcBorders>
              <w:top w:val="single" w:sz="4" w:space="0" w:color="auto"/>
              <w:left w:val="single" w:sz="4" w:space="0" w:color="auto"/>
              <w:bottom w:val="single" w:sz="4" w:space="0" w:color="auto"/>
              <w:right w:val="single" w:sz="6" w:space="0" w:color="auto"/>
            </w:tcBorders>
          </w:tcPr>
          <w:p w14:paraId="6FE9D9B6" w14:textId="77777777" w:rsidR="00550137" w:rsidRPr="00F32AFA" w:rsidRDefault="00550137" w:rsidP="009D2607">
            <w:pPr>
              <w:pStyle w:val="TabletextrowsAgency"/>
            </w:pPr>
            <w:r w:rsidRPr="00F32AFA">
              <w:t>Active substance(s) (INN or common name):</w:t>
            </w:r>
          </w:p>
        </w:tc>
        <w:tc>
          <w:tcPr>
            <w:tcW w:w="2589" w:type="pct"/>
            <w:tcBorders>
              <w:top w:val="single" w:sz="4" w:space="0" w:color="auto"/>
              <w:left w:val="single" w:sz="6" w:space="0" w:color="auto"/>
              <w:bottom w:val="single" w:sz="4" w:space="0" w:color="auto"/>
              <w:right w:val="single" w:sz="4" w:space="0" w:color="auto"/>
            </w:tcBorders>
          </w:tcPr>
          <w:p w14:paraId="7951FEFE" w14:textId="77777777" w:rsidR="00550137" w:rsidRPr="00F32AFA" w:rsidRDefault="00550137" w:rsidP="009D2607">
            <w:pPr>
              <w:pStyle w:val="TabletextrowsAgency"/>
            </w:pPr>
          </w:p>
          <w:p w14:paraId="59B05B6B" w14:textId="77777777" w:rsidR="00550137" w:rsidRPr="00F32AFA" w:rsidRDefault="00550137" w:rsidP="009D2607">
            <w:pPr>
              <w:pStyle w:val="TabletextrowsAgency"/>
            </w:pPr>
          </w:p>
        </w:tc>
      </w:tr>
      <w:tr w:rsidR="00550137" w:rsidRPr="00F32AFA" w14:paraId="3C364BF5" w14:textId="77777777" w:rsidTr="009D2607">
        <w:trPr>
          <w:trHeight w:val="1134"/>
        </w:trPr>
        <w:tc>
          <w:tcPr>
            <w:tcW w:w="2411" w:type="pct"/>
            <w:tcBorders>
              <w:top w:val="single" w:sz="6" w:space="0" w:color="auto"/>
              <w:left w:val="single" w:sz="4" w:space="0" w:color="auto"/>
              <w:bottom w:val="single" w:sz="6" w:space="0" w:color="auto"/>
              <w:right w:val="single" w:sz="6" w:space="0" w:color="auto"/>
            </w:tcBorders>
          </w:tcPr>
          <w:p w14:paraId="4650B151" w14:textId="77777777" w:rsidR="00550137" w:rsidRPr="00F32AFA" w:rsidRDefault="00550137" w:rsidP="009D2607">
            <w:pPr>
              <w:pStyle w:val="TabletextrowsAgency"/>
            </w:pPr>
            <w:r w:rsidRPr="00F32AFA">
              <w:t>Pharmaco-therapeutic group</w:t>
            </w:r>
          </w:p>
          <w:p w14:paraId="20AF5342" w14:textId="77777777" w:rsidR="00550137" w:rsidRPr="00F32AFA" w:rsidRDefault="00550137" w:rsidP="009D2607">
            <w:pPr>
              <w:pStyle w:val="TabletextrowsAgency"/>
            </w:pPr>
            <w:r w:rsidRPr="00F32AFA">
              <w:t>(ATC Code):</w:t>
            </w:r>
          </w:p>
          <w:p w14:paraId="0119D4DC" w14:textId="77777777" w:rsidR="00550137" w:rsidRPr="00F32AFA" w:rsidRDefault="00550137" w:rsidP="009D2607">
            <w:pPr>
              <w:pStyle w:val="TabletextrowsAgency"/>
            </w:pPr>
          </w:p>
        </w:tc>
        <w:tc>
          <w:tcPr>
            <w:tcW w:w="2589" w:type="pct"/>
            <w:tcBorders>
              <w:top w:val="single" w:sz="6" w:space="0" w:color="auto"/>
              <w:left w:val="single" w:sz="6" w:space="0" w:color="auto"/>
              <w:bottom w:val="single" w:sz="6" w:space="0" w:color="auto"/>
              <w:right w:val="single" w:sz="4" w:space="0" w:color="auto"/>
            </w:tcBorders>
          </w:tcPr>
          <w:p w14:paraId="5707B325" w14:textId="77777777" w:rsidR="00550137" w:rsidRPr="00F32AFA" w:rsidRDefault="00550137" w:rsidP="009D2607">
            <w:pPr>
              <w:pStyle w:val="TabletextrowsAgency"/>
            </w:pPr>
          </w:p>
          <w:p w14:paraId="5D706743" w14:textId="77777777" w:rsidR="00550137" w:rsidRPr="00F32AFA" w:rsidRDefault="00550137" w:rsidP="009D2607">
            <w:pPr>
              <w:pStyle w:val="TabletextrowsAgency"/>
            </w:pPr>
          </w:p>
        </w:tc>
      </w:tr>
      <w:tr w:rsidR="00550137" w:rsidRPr="00F32AFA" w14:paraId="52424863" w14:textId="77777777" w:rsidTr="009D2607">
        <w:trPr>
          <w:trHeight w:val="1134"/>
        </w:trPr>
        <w:tc>
          <w:tcPr>
            <w:tcW w:w="2411" w:type="pct"/>
            <w:tcBorders>
              <w:top w:val="single" w:sz="6" w:space="0" w:color="auto"/>
              <w:left w:val="single" w:sz="4" w:space="0" w:color="auto"/>
              <w:bottom w:val="single" w:sz="6" w:space="0" w:color="auto"/>
              <w:right w:val="single" w:sz="6" w:space="0" w:color="auto"/>
            </w:tcBorders>
          </w:tcPr>
          <w:p w14:paraId="0A0CCEF3" w14:textId="77777777" w:rsidR="00550137" w:rsidRPr="00F32AFA" w:rsidRDefault="00550137" w:rsidP="009D2607">
            <w:pPr>
              <w:pStyle w:val="TabletextrowsAgency"/>
            </w:pPr>
            <w:r w:rsidRPr="00F32AFA">
              <w:t>Name of Opinion Holder or Applicant:</w:t>
            </w:r>
          </w:p>
          <w:p w14:paraId="286BE4B2" w14:textId="77777777" w:rsidR="00550137" w:rsidRPr="00F32AFA" w:rsidRDefault="00550137" w:rsidP="009D2607">
            <w:pPr>
              <w:pStyle w:val="TabletextrowsAgency"/>
            </w:pPr>
          </w:p>
        </w:tc>
        <w:tc>
          <w:tcPr>
            <w:tcW w:w="2589" w:type="pct"/>
            <w:tcBorders>
              <w:top w:val="single" w:sz="6" w:space="0" w:color="auto"/>
              <w:left w:val="single" w:sz="6" w:space="0" w:color="auto"/>
              <w:bottom w:val="single" w:sz="6" w:space="0" w:color="auto"/>
              <w:right w:val="single" w:sz="4" w:space="0" w:color="auto"/>
            </w:tcBorders>
          </w:tcPr>
          <w:p w14:paraId="4E313EC7" w14:textId="77777777" w:rsidR="00550137" w:rsidRPr="00F32AFA" w:rsidRDefault="00550137" w:rsidP="009D2607">
            <w:pPr>
              <w:pStyle w:val="TabletextrowsAgency"/>
            </w:pPr>
          </w:p>
        </w:tc>
      </w:tr>
      <w:tr w:rsidR="00550137" w:rsidRPr="00F32AFA" w14:paraId="6631D27C" w14:textId="77777777" w:rsidTr="00175D56">
        <w:trPr>
          <w:trHeight w:val="1134"/>
        </w:trPr>
        <w:tc>
          <w:tcPr>
            <w:tcW w:w="2411" w:type="pct"/>
            <w:tcBorders>
              <w:top w:val="single" w:sz="6" w:space="0" w:color="auto"/>
              <w:left w:val="single" w:sz="4" w:space="0" w:color="auto"/>
              <w:bottom w:val="single" w:sz="6" w:space="0" w:color="auto"/>
              <w:right w:val="single" w:sz="6" w:space="0" w:color="auto"/>
            </w:tcBorders>
          </w:tcPr>
          <w:p w14:paraId="53DFCD9D" w14:textId="0930FDFD" w:rsidR="00550137" w:rsidRPr="00F32AFA" w:rsidRDefault="00CE1E1F" w:rsidP="0017445C">
            <w:pPr>
              <w:pStyle w:val="TabletextrowsAgency"/>
            </w:pPr>
            <w:r>
              <w:t>Medicinal p</w:t>
            </w:r>
            <w:r w:rsidR="00550137" w:rsidRPr="00F32AFA">
              <w:t xml:space="preserve">roduct(s) </w:t>
            </w:r>
            <w:r>
              <w:t>to which this RMP refers</w:t>
            </w:r>
            <w:r w:rsidR="0017445C" w:rsidRPr="00F32AFA">
              <w:t>:</w:t>
            </w:r>
          </w:p>
        </w:tc>
        <w:tc>
          <w:tcPr>
            <w:tcW w:w="2589" w:type="pct"/>
            <w:tcBorders>
              <w:top w:val="single" w:sz="6" w:space="0" w:color="auto"/>
              <w:left w:val="single" w:sz="6" w:space="0" w:color="auto"/>
              <w:bottom w:val="single" w:sz="6" w:space="0" w:color="auto"/>
              <w:right w:val="single" w:sz="4" w:space="0" w:color="auto"/>
            </w:tcBorders>
          </w:tcPr>
          <w:p w14:paraId="4BDFDD18" w14:textId="592BC07A" w:rsidR="00550137" w:rsidRPr="008C25C4" w:rsidRDefault="00CE1E1F" w:rsidP="009D2607">
            <w:pPr>
              <w:pStyle w:val="TabletextrowsAgency"/>
              <w:rPr>
                <w:i/>
                <w:iCs/>
                <w:color w:val="00B050"/>
              </w:rPr>
            </w:pPr>
            <w:r w:rsidRPr="008C25C4">
              <w:rPr>
                <w:i/>
                <w:iCs/>
                <w:color w:val="00B050"/>
              </w:rPr>
              <w:t>Indicate total number of products to which the RMP refers.</w:t>
            </w:r>
          </w:p>
        </w:tc>
      </w:tr>
      <w:tr w:rsidR="00175D56" w:rsidRPr="00F32AFA" w14:paraId="6C2B9A98" w14:textId="77777777" w:rsidTr="009D2607">
        <w:trPr>
          <w:trHeight w:val="1134"/>
        </w:trPr>
        <w:tc>
          <w:tcPr>
            <w:tcW w:w="2411" w:type="pct"/>
            <w:tcBorders>
              <w:top w:val="single" w:sz="6" w:space="0" w:color="auto"/>
              <w:left w:val="single" w:sz="4" w:space="0" w:color="auto"/>
              <w:bottom w:val="single" w:sz="4" w:space="0" w:color="auto"/>
              <w:right w:val="single" w:sz="6" w:space="0" w:color="auto"/>
            </w:tcBorders>
          </w:tcPr>
          <w:p w14:paraId="38EBEFC4" w14:textId="37BCD478" w:rsidR="00175D56" w:rsidRDefault="00175D56" w:rsidP="00175D56">
            <w:pPr>
              <w:pStyle w:val="TabletextrowsAgency"/>
            </w:pPr>
            <w:bookmarkStart w:id="1" w:name="_Hlk34294614"/>
            <w:r>
              <w:t>Name and version number of the approved RMP that the EAMS RMP bridges to</w:t>
            </w:r>
            <w:bookmarkEnd w:id="1"/>
          </w:p>
        </w:tc>
        <w:tc>
          <w:tcPr>
            <w:tcW w:w="2589" w:type="pct"/>
            <w:tcBorders>
              <w:top w:val="single" w:sz="6" w:space="0" w:color="auto"/>
              <w:left w:val="single" w:sz="6" w:space="0" w:color="auto"/>
              <w:bottom w:val="single" w:sz="4" w:space="0" w:color="auto"/>
              <w:right w:val="single" w:sz="4" w:space="0" w:color="auto"/>
            </w:tcBorders>
          </w:tcPr>
          <w:p w14:paraId="4E59F57D" w14:textId="77777777" w:rsidR="00175D56" w:rsidRPr="008C25C4" w:rsidRDefault="00175D56" w:rsidP="00175D56">
            <w:pPr>
              <w:pStyle w:val="TabletextrowsAgency"/>
              <w:rPr>
                <w:i/>
                <w:iCs/>
                <w:color w:val="00B050"/>
              </w:rPr>
            </w:pPr>
          </w:p>
        </w:tc>
      </w:tr>
    </w:tbl>
    <w:p w14:paraId="2064C70D" w14:textId="77777777" w:rsidR="00550137" w:rsidRPr="00F32AFA" w:rsidRDefault="00286758" w:rsidP="00550137">
      <w:pPr>
        <w:pStyle w:val="BodytextAgency"/>
      </w:pPr>
      <w:r w:rsidRPr="00617C8E">
        <w:rPr>
          <w:noProof/>
        </w:rPr>
        <mc:AlternateContent>
          <mc:Choice Requires="wps">
            <w:drawing>
              <wp:anchor distT="0" distB="0" distL="114300" distR="114300" simplePos="0" relativeHeight="251658242" behindDoc="0" locked="0" layoutInCell="1" allowOverlap="1" wp14:anchorId="6338E6D8" wp14:editId="18FCD047">
                <wp:simplePos x="0" y="0"/>
                <wp:positionH relativeFrom="column">
                  <wp:posOffset>4234815</wp:posOffset>
                </wp:positionH>
                <wp:positionV relativeFrom="paragraph">
                  <wp:posOffset>259080</wp:posOffset>
                </wp:positionV>
                <wp:extent cx="1774190" cy="266700"/>
                <wp:effectExtent l="0" t="0" r="1651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6700"/>
                        </a:xfrm>
                        <a:prstGeom prst="rect">
                          <a:avLst/>
                        </a:prstGeom>
                        <a:solidFill>
                          <a:srgbClr val="FFFFFF"/>
                        </a:solidFill>
                        <a:ln w="9525">
                          <a:solidFill>
                            <a:srgbClr val="000000"/>
                          </a:solidFill>
                          <a:miter lim="800000"/>
                          <a:headEnd/>
                          <a:tailEnd/>
                        </a:ln>
                      </wps:spPr>
                      <wps:txbx>
                        <w:txbxContent>
                          <w:p w14:paraId="636C1758" w14:textId="77777777" w:rsidR="000E42D1" w:rsidRDefault="000E42D1" w:rsidP="00550137">
                            <w:r>
                              <w:t>&lt;Enter a version no&gt;</w:t>
                            </w:r>
                          </w:p>
                          <w:p w14:paraId="44C86A34" w14:textId="77777777" w:rsidR="000E42D1" w:rsidRDefault="000E42D1"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E6D8" id="_x0000_t202" coordsize="21600,21600" o:spt="202" path="m,l,21600r21600,l21600,xe">
                <v:stroke joinstyle="miter"/>
                <v:path gradientshapeok="t" o:connecttype="rect"/>
              </v:shapetype>
              <v:shape id="Text Box 2" o:spid="_x0000_s1026" type="#_x0000_t202" style="position:absolute;margin-left:333.45pt;margin-top:20.4pt;width:139.7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">
                <v:textbox>
                  <w:txbxContent>
                    <w:p w14:paraId="636C1758" w14:textId="77777777" w:rsidR="000E42D1" w:rsidRDefault="000E42D1" w:rsidP="00550137">
                      <w:r>
                        <w:t>&lt;Enter a version no&gt;</w:t>
                      </w:r>
                    </w:p>
                    <w:p w14:paraId="44C86A34" w14:textId="77777777" w:rsidR="000E42D1" w:rsidRDefault="000E42D1" w:rsidP="00550137">
                      <w:pPr>
                        <w:pStyle w:val="BodytextAgency"/>
                      </w:pPr>
                    </w:p>
                  </w:txbxContent>
                </v:textbox>
              </v:shape>
            </w:pict>
          </mc:Fallback>
        </mc:AlternateContent>
      </w:r>
      <w:r w:rsidRPr="00CB4522">
        <w:rPr>
          <w:noProof/>
        </w:rPr>
        <mc:AlternateContent>
          <mc:Choice Requires="wps">
            <w:drawing>
              <wp:anchor distT="0" distB="0" distL="114300" distR="114300" simplePos="0" relativeHeight="251658240" behindDoc="0" locked="0" layoutInCell="1" allowOverlap="1" wp14:anchorId="35CEE52C" wp14:editId="5D3A975C">
                <wp:simplePos x="0" y="0"/>
                <wp:positionH relativeFrom="column">
                  <wp:posOffset>1691640</wp:posOffset>
                </wp:positionH>
                <wp:positionV relativeFrom="paragraph">
                  <wp:posOffset>259080</wp:posOffset>
                </wp:positionV>
                <wp:extent cx="1150620" cy="266700"/>
                <wp:effectExtent l="0" t="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66700"/>
                        </a:xfrm>
                        <a:prstGeom prst="rect">
                          <a:avLst/>
                        </a:prstGeom>
                        <a:solidFill>
                          <a:srgbClr val="FFFFFF"/>
                        </a:solidFill>
                        <a:ln w="9525">
                          <a:solidFill>
                            <a:srgbClr val="000000"/>
                          </a:solidFill>
                          <a:miter lim="800000"/>
                          <a:headEnd/>
                          <a:tailEnd/>
                        </a:ln>
                      </wps:spPr>
                      <wps:txbx>
                        <w:txbxContent>
                          <w:p w14:paraId="0ED74E88" w14:textId="77777777" w:rsidR="000E42D1" w:rsidRDefault="000E42D1" w:rsidP="00550137">
                            <w:r>
                              <w:t>&lt;Enter a date&gt;</w:t>
                            </w:r>
                          </w:p>
                          <w:p w14:paraId="74EC7A3D" w14:textId="77777777" w:rsidR="000E42D1" w:rsidRDefault="000E42D1"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E52C" id="_x0000_s1027" type="#_x0000_t202" style="position:absolute;margin-left:133.2pt;margin-top:20.4pt;width:90.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">
                <v:textbox>
                  <w:txbxContent>
                    <w:p w14:paraId="0ED74E88" w14:textId="77777777" w:rsidR="000E42D1" w:rsidRDefault="000E42D1" w:rsidP="00550137">
                      <w:r>
                        <w:t>&lt;Enter a date&gt;</w:t>
                      </w:r>
                    </w:p>
                    <w:p w14:paraId="74EC7A3D" w14:textId="77777777" w:rsidR="000E42D1" w:rsidRDefault="000E42D1" w:rsidP="00550137">
                      <w:pPr>
                        <w:pStyle w:val="BodytextAgency"/>
                      </w:pPr>
                    </w:p>
                  </w:txbxContent>
                </v:textbox>
              </v:shape>
            </w:pict>
          </mc:Fallback>
        </mc:AlternateContent>
      </w:r>
    </w:p>
    <w:p w14:paraId="5534F5B1" w14:textId="77777777" w:rsidR="00550137" w:rsidRPr="00F32AFA" w:rsidRDefault="00286758" w:rsidP="00550137">
      <w:pPr>
        <w:pStyle w:val="BodytextAgency"/>
      </w:pPr>
      <w:r w:rsidRPr="00617C8E">
        <w:rPr>
          <w:noProof/>
        </w:rPr>
        <mc:AlternateContent>
          <mc:Choice Requires="wps">
            <w:drawing>
              <wp:anchor distT="0" distB="0" distL="114300" distR="114300" simplePos="0" relativeHeight="251658241" behindDoc="0" locked="0" layoutInCell="1" allowOverlap="1" wp14:anchorId="2BCD7E1D" wp14:editId="056BE246">
                <wp:simplePos x="0" y="0"/>
                <wp:positionH relativeFrom="column">
                  <wp:posOffset>1691640</wp:posOffset>
                </wp:positionH>
                <wp:positionV relativeFrom="paragraph">
                  <wp:posOffset>259080</wp:posOffset>
                </wp:positionV>
                <wp:extent cx="1150620" cy="2667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66700"/>
                        </a:xfrm>
                        <a:prstGeom prst="rect">
                          <a:avLst/>
                        </a:prstGeom>
                        <a:solidFill>
                          <a:srgbClr val="FFFFFF"/>
                        </a:solidFill>
                        <a:ln w="9525">
                          <a:solidFill>
                            <a:srgbClr val="000000"/>
                          </a:solidFill>
                          <a:miter lim="800000"/>
                          <a:headEnd/>
                          <a:tailEnd/>
                        </a:ln>
                      </wps:spPr>
                      <wps:txbx>
                        <w:txbxContent>
                          <w:p w14:paraId="255E1DFB" w14:textId="77777777" w:rsidR="000E42D1" w:rsidRDefault="000E42D1" w:rsidP="00550137">
                            <w:r>
                              <w:t>&lt;Enter a date&gt;</w:t>
                            </w:r>
                          </w:p>
                          <w:p w14:paraId="26B0FB74" w14:textId="77777777" w:rsidR="000E42D1" w:rsidRDefault="000E42D1"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7E1D" id="_x0000_s1028" type="#_x0000_t202" style="position:absolute;margin-left:133.2pt;margin-top:20.4pt;width:90.6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">
                <v:textbox>
                  <w:txbxContent>
                    <w:p w14:paraId="255E1DFB" w14:textId="77777777" w:rsidR="000E42D1" w:rsidRDefault="000E42D1" w:rsidP="00550137">
                      <w:r>
                        <w:t>&lt;Enter a date&gt;</w:t>
                      </w:r>
                    </w:p>
                    <w:p w14:paraId="26B0FB74" w14:textId="77777777" w:rsidR="000E42D1" w:rsidRDefault="000E42D1" w:rsidP="00550137">
                      <w:pPr>
                        <w:pStyle w:val="BodytextAgency"/>
                      </w:pPr>
                    </w:p>
                  </w:txbxContent>
                </v:textbox>
              </v:shape>
            </w:pict>
          </mc:Fallback>
        </mc:AlternateContent>
      </w:r>
      <w:r w:rsidR="00550137" w:rsidRPr="00F32AFA">
        <w:t xml:space="preserve">Data lock point for this RMP </w:t>
      </w:r>
      <w:r w:rsidR="00550137" w:rsidRPr="00F32AFA">
        <w:tab/>
      </w:r>
      <w:r w:rsidR="00550137" w:rsidRPr="00F32AFA">
        <w:tab/>
      </w:r>
      <w:r w:rsidR="00550137" w:rsidRPr="00F32AFA">
        <w:tab/>
      </w:r>
      <w:r w:rsidR="00550137" w:rsidRPr="00F32AFA">
        <w:tab/>
        <w:t>Version number</w:t>
      </w:r>
    </w:p>
    <w:p w14:paraId="6BC27B70" w14:textId="77777777" w:rsidR="00550137" w:rsidRPr="00F32AFA" w:rsidRDefault="00550137" w:rsidP="00550137">
      <w:pPr>
        <w:pStyle w:val="BodytextAgency"/>
      </w:pPr>
      <w:r w:rsidRPr="00F32AFA">
        <w:t xml:space="preserve">Date of final sign off  </w:t>
      </w:r>
      <w:r w:rsidRPr="00F32AFA">
        <w:tab/>
      </w:r>
      <w:r w:rsidRPr="00F32AFA">
        <w:tab/>
      </w:r>
      <w:r w:rsidRPr="00F32AFA">
        <w:tab/>
      </w:r>
      <w:r w:rsidRPr="00F32AFA">
        <w:tab/>
      </w:r>
      <w:r w:rsidRPr="00F32AFA">
        <w:tab/>
      </w:r>
    </w:p>
    <w:p w14:paraId="1F06665C" w14:textId="77777777" w:rsidR="00550137" w:rsidRPr="00F32AFA" w:rsidRDefault="00550137" w:rsidP="00550137">
      <w:pPr>
        <w:pStyle w:val="BodytextAgency"/>
      </w:pPr>
    </w:p>
    <w:p w14:paraId="539195D6" w14:textId="77777777" w:rsidR="00550137" w:rsidRPr="00F32AFA" w:rsidRDefault="00550137" w:rsidP="00550137">
      <w:pPr>
        <w:pStyle w:val="BodytextAgency"/>
      </w:pPr>
      <w:r w:rsidRPr="00F32AFA">
        <w:t>Version number of last agreed RMP:</w:t>
      </w:r>
    </w:p>
    <w:p w14:paraId="132E1859" w14:textId="77777777" w:rsidR="00550137" w:rsidRPr="00F32AFA" w:rsidRDefault="00286758" w:rsidP="00550137">
      <w:pPr>
        <w:pStyle w:val="BodytextAgency"/>
        <w:ind w:left="4320" w:firstLine="720"/>
      </w:pPr>
      <w:r w:rsidRPr="00617C8E">
        <w:rPr>
          <w:noProof/>
        </w:rPr>
        <mc:AlternateContent>
          <mc:Choice Requires="wps">
            <w:drawing>
              <wp:anchor distT="0" distB="0" distL="114300" distR="114300" simplePos="0" relativeHeight="251658243" behindDoc="0" locked="0" layoutInCell="1" allowOverlap="1" wp14:anchorId="16D452B3" wp14:editId="6A756A80">
                <wp:simplePos x="0" y="0"/>
                <wp:positionH relativeFrom="column">
                  <wp:posOffset>4234815</wp:posOffset>
                </wp:positionH>
                <wp:positionV relativeFrom="paragraph">
                  <wp:posOffset>11430</wp:posOffset>
                </wp:positionV>
                <wp:extent cx="1774190" cy="266700"/>
                <wp:effectExtent l="0" t="0" r="1651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6700"/>
                        </a:xfrm>
                        <a:prstGeom prst="rect">
                          <a:avLst/>
                        </a:prstGeom>
                        <a:solidFill>
                          <a:srgbClr val="FFFFFF"/>
                        </a:solidFill>
                        <a:ln w="9525">
                          <a:solidFill>
                            <a:srgbClr val="000000"/>
                          </a:solidFill>
                          <a:miter lim="800000"/>
                          <a:headEnd/>
                          <a:tailEnd/>
                        </a:ln>
                      </wps:spPr>
                      <wps:txbx>
                        <w:txbxContent>
                          <w:p w14:paraId="3F84C441" w14:textId="77777777" w:rsidR="000E42D1" w:rsidRDefault="000E42D1" w:rsidP="00550137">
                            <w:r>
                              <w:t>&lt;Enter a version no&gt;</w:t>
                            </w:r>
                          </w:p>
                          <w:p w14:paraId="6369CF59" w14:textId="77777777" w:rsidR="000E42D1" w:rsidRDefault="000E42D1" w:rsidP="00550137">
                            <w:pPr>
                              <w:pStyle w:val="BodytextAgenc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452B3" id="_x0000_s1029" type="#_x0000_t202" style="position:absolute;left:0;text-align:left;margin-left:333.45pt;margin-top:.9pt;width:139.7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">
                <v:textbox>
                  <w:txbxContent>
                    <w:p w14:paraId="3F84C441" w14:textId="77777777" w:rsidR="000E42D1" w:rsidRDefault="000E42D1" w:rsidP="00550137">
                      <w:r>
                        <w:t>&lt;Enter a version no&gt;</w:t>
                      </w:r>
                    </w:p>
                    <w:p w14:paraId="6369CF59" w14:textId="77777777" w:rsidR="000E42D1" w:rsidRDefault="000E42D1" w:rsidP="00550137">
                      <w:pPr>
                        <w:pStyle w:val="BodytextAgency"/>
                      </w:pPr>
                    </w:p>
                  </w:txbxContent>
                </v:textbox>
              </v:shape>
            </w:pict>
          </mc:Fallback>
        </mc:AlternateContent>
      </w:r>
      <w:r w:rsidR="00550137" w:rsidRPr="00F32AFA">
        <w:t>Version number</w:t>
      </w:r>
    </w:p>
    <w:p w14:paraId="3CADC880" w14:textId="77777777" w:rsidR="00F61163" w:rsidRDefault="00F61163" w:rsidP="00550137">
      <w:pPr>
        <w:pStyle w:val="HeadingcentredAgency"/>
        <w:jc w:val="left"/>
        <w:rPr>
          <w:rFonts w:cs="Verdana"/>
          <w:b w:val="0"/>
          <w:bCs w:val="0"/>
          <w:kern w:val="0"/>
          <w:sz w:val="18"/>
          <w:szCs w:val="18"/>
        </w:rPr>
      </w:pPr>
    </w:p>
    <w:p w14:paraId="4DF30127" w14:textId="4C3587F6" w:rsidR="00F61163" w:rsidRPr="00175D56" w:rsidRDefault="00F61163" w:rsidP="008C25C4">
      <w:pPr>
        <w:pStyle w:val="AddressBlockname"/>
        <w:rPr>
          <w:bCs/>
        </w:rPr>
      </w:pPr>
      <w:r w:rsidRPr="00175D56">
        <w:t>QPPV Name</w:t>
      </w:r>
    </w:p>
    <w:p w14:paraId="21A603BA" w14:textId="77777777" w:rsidR="00F61163" w:rsidRPr="00175D56" w:rsidRDefault="00F61163" w:rsidP="00550137">
      <w:pPr>
        <w:pStyle w:val="HeadingcentredAgency"/>
        <w:jc w:val="left"/>
        <w:rPr>
          <w:rFonts w:cs="Verdana"/>
          <w:b w:val="0"/>
          <w:bCs w:val="0"/>
          <w:kern w:val="0"/>
          <w:sz w:val="18"/>
          <w:szCs w:val="18"/>
        </w:rPr>
      </w:pPr>
    </w:p>
    <w:p w14:paraId="74619498" w14:textId="77777777" w:rsidR="00F61163" w:rsidRDefault="00F61163" w:rsidP="008C25C4">
      <w:pPr>
        <w:pStyle w:val="AddressBlockname"/>
      </w:pPr>
      <w:r w:rsidRPr="00175D56">
        <w:t>QPPV Signature</w:t>
      </w:r>
    </w:p>
    <w:p w14:paraId="48E9F281" w14:textId="6F964082" w:rsidR="00F61163" w:rsidRDefault="00F61163" w:rsidP="00550137">
      <w:pPr>
        <w:pStyle w:val="HeadingcentredAgency"/>
        <w:jc w:val="left"/>
        <w:rPr>
          <w:rFonts w:cs="Verdana"/>
          <w:kern w:val="0"/>
        </w:rPr>
      </w:pPr>
      <w:bookmarkStart w:id="2" w:name="_Toc59634426"/>
      <w:bookmarkStart w:id="3" w:name="_Toc379986090"/>
      <w:r w:rsidRPr="008C25C4">
        <w:rPr>
          <w:rFonts w:cs="Verdana"/>
          <w:kern w:val="0"/>
        </w:rPr>
        <w:lastRenderedPageBreak/>
        <w:t>Table of Contents</w:t>
      </w:r>
      <w:bookmarkEnd w:id="2"/>
    </w:p>
    <w:sdt>
      <w:sdtPr>
        <w:rPr>
          <w:rFonts w:ascii="Arial" w:eastAsia="MS Mincho" w:hAnsi="Arial" w:cs="Arial"/>
          <w:color w:val="auto"/>
          <w:sz w:val="22"/>
          <w:szCs w:val="22"/>
        </w:rPr>
        <w:id w:val="1273671846"/>
        <w:docPartObj>
          <w:docPartGallery w:val="Table of Contents"/>
          <w:docPartUnique/>
        </w:docPartObj>
      </w:sdtPr>
      <w:sdtEndPr>
        <w:rPr>
          <w:b/>
          <w:bCs/>
          <w:noProof/>
        </w:rPr>
      </w:sdtEndPr>
      <w:sdtContent>
        <w:p w14:paraId="400B3360" w14:textId="2325419D" w:rsidR="009455DE" w:rsidRDefault="009455DE">
          <w:pPr>
            <w:pStyle w:val="TOCHeading"/>
          </w:pPr>
        </w:p>
        <w:p w14:paraId="39A631AD" w14:textId="5FAD91E6" w:rsidR="001642C8" w:rsidRDefault="009455DE">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59634426" w:history="1">
            <w:r w:rsidR="001642C8" w:rsidRPr="00655336">
              <w:rPr>
                <w:rStyle w:val="Hyperlink"/>
              </w:rPr>
              <w:t>Table of Contents</w:t>
            </w:r>
            <w:r w:rsidR="001642C8">
              <w:rPr>
                <w:webHidden/>
              </w:rPr>
              <w:tab/>
            </w:r>
            <w:r w:rsidR="001642C8">
              <w:rPr>
                <w:webHidden/>
              </w:rPr>
              <w:fldChar w:fldCharType="begin"/>
            </w:r>
            <w:r w:rsidR="001642C8">
              <w:rPr>
                <w:webHidden/>
              </w:rPr>
              <w:instrText xml:space="preserve"> PAGEREF _Toc59634426 \h </w:instrText>
            </w:r>
            <w:r w:rsidR="001642C8">
              <w:rPr>
                <w:webHidden/>
              </w:rPr>
            </w:r>
            <w:r w:rsidR="001642C8">
              <w:rPr>
                <w:webHidden/>
              </w:rPr>
              <w:fldChar w:fldCharType="separate"/>
            </w:r>
            <w:r w:rsidR="001642C8">
              <w:rPr>
                <w:webHidden/>
              </w:rPr>
              <w:t>3</w:t>
            </w:r>
            <w:r w:rsidR="001642C8">
              <w:rPr>
                <w:webHidden/>
              </w:rPr>
              <w:fldChar w:fldCharType="end"/>
            </w:r>
          </w:hyperlink>
        </w:p>
        <w:p w14:paraId="37CC8633" w14:textId="6D2D42B1" w:rsidR="001642C8" w:rsidRDefault="0062720D">
          <w:pPr>
            <w:pStyle w:val="TOC1"/>
            <w:rPr>
              <w:rFonts w:asciiTheme="minorHAnsi" w:eastAsiaTheme="minorEastAsia" w:hAnsiTheme="minorHAnsi" w:cstheme="minorBidi"/>
              <w:b w:val="0"/>
            </w:rPr>
          </w:pPr>
          <w:hyperlink w:anchor="_Toc59634427" w:history="1">
            <w:r w:rsidR="001642C8" w:rsidRPr="00655336">
              <w:rPr>
                <w:rStyle w:val="Hyperlink"/>
              </w:rPr>
              <w:t>Part I: Product(s) Overview</w:t>
            </w:r>
            <w:r w:rsidR="001642C8">
              <w:rPr>
                <w:webHidden/>
              </w:rPr>
              <w:tab/>
            </w:r>
            <w:r w:rsidR="001642C8">
              <w:rPr>
                <w:webHidden/>
              </w:rPr>
              <w:fldChar w:fldCharType="begin"/>
            </w:r>
            <w:r w:rsidR="001642C8">
              <w:rPr>
                <w:webHidden/>
              </w:rPr>
              <w:instrText xml:space="preserve"> PAGEREF _Toc59634427 \h </w:instrText>
            </w:r>
            <w:r w:rsidR="001642C8">
              <w:rPr>
                <w:webHidden/>
              </w:rPr>
            </w:r>
            <w:r w:rsidR="001642C8">
              <w:rPr>
                <w:webHidden/>
              </w:rPr>
              <w:fldChar w:fldCharType="separate"/>
            </w:r>
            <w:r w:rsidR="001642C8">
              <w:rPr>
                <w:webHidden/>
              </w:rPr>
              <w:t>4</w:t>
            </w:r>
            <w:r w:rsidR="001642C8">
              <w:rPr>
                <w:webHidden/>
              </w:rPr>
              <w:fldChar w:fldCharType="end"/>
            </w:r>
          </w:hyperlink>
        </w:p>
        <w:p w14:paraId="3C452FE3" w14:textId="535072AA" w:rsidR="001642C8" w:rsidRDefault="0062720D">
          <w:pPr>
            <w:pStyle w:val="TOC1"/>
            <w:rPr>
              <w:rFonts w:asciiTheme="minorHAnsi" w:eastAsiaTheme="minorEastAsia" w:hAnsiTheme="minorHAnsi" w:cstheme="minorBidi"/>
              <w:b w:val="0"/>
            </w:rPr>
          </w:pPr>
          <w:hyperlink w:anchor="_Toc59634428" w:history="1">
            <w:r w:rsidR="001642C8" w:rsidRPr="00655336">
              <w:rPr>
                <w:rStyle w:val="Hyperlink"/>
              </w:rPr>
              <w:t>Part II: Safety specification</w:t>
            </w:r>
            <w:r w:rsidR="001642C8">
              <w:rPr>
                <w:webHidden/>
              </w:rPr>
              <w:tab/>
            </w:r>
            <w:r w:rsidR="001642C8">
              <w:rPr>
                <w:webHidden/>
              </w:rPr>
              <w:fldChar w:fldCharType="begin"/>
            </w:r>
            <w:r w:rsidR="001642C8">
              <w:rPr>
                <w:webHidden/>
              </w:rPr>
              <w:instrText xml:space="preserve"> PAGEREF _Toc59634428 \h </w:instrText>
            </w:r>
            <w:r w:rsidR="001642C8">
              <w:rPr>
                <w:webHidden/>
              </w:rPr>
            </w:r>
            <w:r w:rsidR="001642C8">
              <w:rPr>
                <w:webHidden/>
              </w:rPr>
              <w:fldChar w:fldCharType="separate"/>
            </w:r>
            <w:r w:rsidR="001642C8">
              <w:rPr>
                <w:webHidden/>
              </w:rPr>
              <w:t>5</w:t>
            </w:r>
            <w:r w:rsidR="001642C8">
              <w:rPr>
                <w:webHidden/>
              </w:rPr>
              <w:fldChar w:fldCharType="end"/>
            </w:r>
          </w:hyperlink>
        </w:p>
        <w:p w14:paraId="454AFDBE" w14:textId="11091EC0" w:rsidR="001642C8" w:rsidRDefault="0062720D">
          <w:pPr>
            <w:pStyle w:val="TOC1"/>
            <w:rPr>
              <w:rFonts w:asciiTheme="minorHAnsi" w:eastAsiaTheme="minorEastAsia" w:hAnsiTheme="minorHAnsi" w:cstheme="minorBidi"/>
              <w:b w:val="0"/>
            </w:rPr>
          </w:pPr>
          <w:hyperlink w:anchor="_Toc59634429" w:history="1">
            <w:r w:rsidR="001642C8" w:rsidRPr="00655336">
              <w:rPr>
                <w:rStyle w:val="Hyperlink"/>
              </w:rPr>
              <w:t>Part II: Module SVIII - Summary of the safety concerns</w:t>
            </w:r>
            <w:r w:rsidR="001642C8">
              <w:rPr>
                <w:webHidden/>
              </w:rPr>
              <w:tab/>
            </w:r>
            <w:r w:rsidR="001642C8">
              <w:rPr>
                <w:webHidden/>
              </w:rPr>
              <w:fldChar w:fldCharType="begin"/>
            </w:r>
            <w:r w:rsidR="001642C8">
              <w:rPr>
                <w:webHidden/>
              </w:rPr>
              <w:instrText xml:space="preserve"> PAGEREF _Toc59634429 \h </w:instrText>
            </w:r>
            <w:r w:rsidR="001642C8">
              <w:rPr>
                <w:webHidden/>
              </w:rPr>
            </w:r>
            <w:r w:rsidR="001642C8">
              <w:rPr>
                <w:webHidden/>
              </w:rPr>
              <w:fldChar w:fldCharType="separate"/>
            </w:r>
            <w:r w:rsidR="001642C8">
              <w:rPr>
                <w:webHidden/>
              </w:rPr>
              <w:t>5</w:t>
            </w:r>
            <w:r w:rsidR="001642C8">
              <w:rPr>
                <w:webHidden/>
              </w:rPr>
              <w:fldChar w:fldCharType="end"/>
            </w:r>
          </w:hyperlink>
        </w:p>
        <w:p w14:paraId="68F5398A" w14:textId="223121BF" w:rsidR="001642C8" w:rsidRDefault="0062720D">
          <w:pPr>
            <w:pStyle w:val="TOC1"/>
            <w:rPr>
              <w:rFonts w:asciiTheme="minorHAnsi" w:eastAsiaTheme="minorEastAsia" w:hAnsiTheme="minorHAnsi" w:cstheme="minorBidi"/>
              <w:b w:val="0"/>
            </w:rPr>
          </w:pPr>
          <w:hyperlink w:anchor="_Toc59634430" w:history="1">
            <w:r w:rsidR="001642C8" w:rsidRPr="00655336">
              <w:rPr>
                <w:rStyle w:val="Hyperlink"/>
              </w:rPr>
              <w:t>Part III: Pharmacovigilance Plan</w:t>
            </w:r>
            <w:r w:rsidR="001642C8">
              <w:rPr>
                <w:webHidden/>
              </w:rPr>
              <w:tab/>
            </w:r>
            <w:r w:rsidR="001642C8">
              <w:rPr>
                <w:webHidden/>
              </w:rPr>
              <w:fldChar w:fldCharType="begin"/>
            </w:r>
            <w:r w:rsidR="001642C8">
              <w:rPr>
                <w:webHidden/>
              </w:rPr>
              <w:instrText xml:space="preserve"> PAGEREF _Toc59634430 \h </w:instrText>
            </w:r>
            <w:r w:rsidR="001642C8">
              <w:rPr>
                <w:webHidden/>
              </w:rPr>
            </w:r>
            <w:r w:rsidR="001642C8">
              <w:rPr>
                <w:webHidden/>
              </w:rPr>
              <w:fldChar w:fldCharType="separate"/>
            </w:r>
            <w:r w:rsidR="001642C8">
              <w:rPr>
                <w:webHidden/>
              </w:rPr>
              <w:t>6</w:t>
            </w:r>
            <w:r w:rsidR="001642C8">
              <w:rPr>
                <w:webHidden/>
              </w:rPr>
              <w:fldChar w:fldCharType="end"/>
            </w:r>
          </w:hyperlink>
        </w:p>
        <w:p w14:paraId="22AD42F8" w14:textId="330528E4" w:rsidR="001642C8" w:rsidRDefault="0062720D">
          <w:pPr>
            <w:pStyle w:val="TOC3"/>
            <w:tabs>
              <w:tab w:val="left" w:pos="880"/>
            </w:tabs>
            <w:rPr>
              <w:rFonts w:asciiTheme="minorHAnsi" w:eastAsiaTheme="minorEastAsia" w:hAnsiTheme="minorHAnsi" w:cstheme="minorBidi"/>
              <w:sz w:val="22"/>
              <w:szCs w:val="22"/>
            </w:rPr>
          </w:pPr>
          <w:hyperlink w:anchor="_Toc59634431" w:history="1">
            <w:r w:rsidR="001642C8" w:rsidRPr="00655336">
              <w:rPr>
                <w:rStyle w:val="Hyperlink"/>
              </w:rPr>
              <w:t>III.1</w:t>
            </w:r>
            <w:r w:rsidR="001642C8">
              <w:rPr>
                <w:rFonts w:asciiTheme="minorHAnsi" w:eastAsiaTheme="minorEastAsia" w:hAnsiTheme="minorHAnsi" w:cstheme="minorBidi"/>
                <w:sz w:val="22"/>
                <w:szCs w:val="22"/>
              </w:rPr>
              <w:tab/>
            </w:r>
            <w:r w:rsidR="001642C8" w:rsidRPr="00655336">
              <w:rPr>
                <w:rStyle w:val="Hyperlink"/>
              </w:rPr>
              <w:t>Routine pharmacovigilance activities</w:t>
            </w:r>
            <w:r w:rsidR="001642C8">
              <w:rPr>
                <w:webHidden/>
              </w:rPr>
              <w:tab/>
            </w:r>
            <w:r w:rsidR="001642C8">
              <w:rPr>
                <w:webHidden/>
              </w:rPr>
              <w:fldChar w:fldCharType="begin"/>
            </w:r>
            <w:r w:rsidR="001642C8">
              <w:rPr>
                <w:webHidden/>
              </w:rPr>
              <w:instrText xml:space="preserve"> PAGEREF _Toc59634431 \h </w:instrText>
            </w:r>
            <w:r w:rsidR="001642C8">
              <w:rPr>
                <w:webHidden/>
              </w:rPr>
            </w:r>
            <w:r w:rsidR="001642C8">
              <w:rPr>
                <w:webHidden/>
              </w:rPr>
              <w:fldChar w:fldCharType="separate"/>
            </w:r>
            <w:r w:rsidR="001642C8">
              <w:rPr>
                <w:webHidden/>
              </w:rPr>
              <w:t>6</w:t>
            </w:r>
            <w:r w:rsidR="001642C8">
              <w:rPr>
                <w:webHidden/>
              </w:rPr>
              <w:fldChar w:fldCharType="end"/>
            </w:r>
          </w:hyperlink>
        </w:p>
        <w:p w14:paraId="6BEEE3C8" w14:textId="05C22827" w:rsidR="001642C8" w:rsidRDefault="0062720D">
          <w:pPr>
            <w:pStyle w:val="TOC3"/>
            <w:tabs>
              <w:tab w:val="left" w:pos="880"/>
            </w:tabs>
            <w:rPr>
              <w:rFonts w:asciiTheme="minorHAnsi" w:eastAsiaTheme="minorEastAsia" w:hAnsiTheme="minorHAnsi" w:cstheme="minorBidi"/>
              <w:sz w:val="22"/>
              <w:szCs w:val="22"/>
            </w:rPr>
          </w:pPr>
          <w:hyperlink w:anchor="_Toc59634432" w:history="1">
            <w:r w:rsidR="001642C8" w:rsidRPr="00655336">
              <w:rPr>
                <w:rStyle w:val="Hyperlink"/>
              </w:rPr>
              <w:t>III.2</w:t>
            </w:r>
            <w:r w:rsidR="001642C8">
              <w:rPr>
                <w:rFonts w:asciiTheme="minorHAnsi" w:eastAsiaTheme="minorEastAsia" w:hAnsiTheme="minorHAnsi" w:cstheme="minorBidi"/>
                <w:sz w:val="22"/>
                <w:szCs w:val="22"/>
              </w:rPr>
              <w:tab/>
            </w:r>
            <w:r w:rsidR="001642C8" w:rsidRPr="00655336">
              <w:rPr>
                <w:rStyle w:val="Hyperlink"/>
              </w:rPr>
              <w:t>Additional pharmacovigilance activities</w:t>
            </w:r>
            <w:r w:rsidR="001642C8">
              <w:rPr>
                <w:webHidden/>
              </w:rPr>
              <w:tab/>
            </w:r>
            <w:r w:rsidR="001642C8">
              <w:rPr>
                <w:webHidden/>
              </w:rPr>
              <w:fldChar w:fldCharType="begin"/>
            </w:r>
            <w:r w:rsidR="001642C8">
              <w:rPr>
                <w:webHidden/>
              </w:rPr>
              <w:instrText xml:space="preserve"> PAGEREF _Toc59634432 \h </w:instrText>
            </w:r>
            <w:r w:rsidR="001642C8">
              <w:rPr>
                <w:webHidden/>
              </w:rPr>
            </w:r>
            <w:r w:rsidR="001642C8">
              <w:rPr>
                <w:webHidden/>
              </w:rPr>
              <w:fldChar w:fldCharType="separate"/>
            </w:r>
            <w:r w:rsidR="001642C8">
              <w:rPr>
                <w:webHidden/>
              </w:rPr>
              <w:t>7</w:t>
            </w:r>
            <w:r w:rsidR="001642C8">
              <w:rPr>
                <w:webHidden/>
              </w:rPr>
              <w:fldChar w:fldCharType="end"/>
            </w:r>
          </w:hyperlink>
        </w:p>
        <w:p w14:paraId="46A558A1" w14:textId="6AD28A8C" w:rsidR="001642C8" w:rsidRDefault="0062720D">
          <w:pPr>
            <w:pStyle w:val="TOC3"/>
            <w:tabs>
              <w:tab w:val="left" w:pos="880"/>
            </w:tabs>
            <w:rPr>
              <w:rFonts w:asciiTheme="minorHAnsi" w:eastAsiaTheme="minorEastAsia" w:hAnsiTheme="minorHAnsi" w:cstheme="minorBidi"/>
              <w:sz w:val="22"/>
              <w:szCs w:val="22"/>
            </w:rPr>
          </w:pPr>
          <w:hyperlink w:anchor="_Toc59634433" w:history="1">
            <w:r w:rsidR="001642C8" w:rsidRPr="00655336">
              <w:rPr>
                <w:rStyle w:val="Hyperlink"/>
              </w:rPr>
              <w:t>III.3</w:t>
            </w:r>
            <w:r w:rsidR="001642C8">
              <w:rPr>
                <w:rFonts w:asciiTheme="minorHAnsi" w:eastAsiaTheme="minorEastAsia" w:hAnsiTheme="minorHAnsi" w:cstheme="minorBidi"/>
                <w:sz w:val="22"/>
                <w:szCs w:val="22"/>
              </w:rPr>
              <w:tab/>
            </w:r>
            <w:r w:rsidR="001642C8" w:rsidRPr="00655336">
              <w:rPr>
                <w:rStyle w:val="Hyperlink"/>
              </w:rPr>
              <w:t>Table of on-going and planned additional PhV activities</w:t>
            </w:r>
            <w:r w:rsidR="001642C8">
              <w:rPr>
                <w:webHidden/>
              </w:rPr>
              <w:tab/>
            </w:r>
            <w:r w:rsidR="001642C8">
              <w:rPr>
                <w:webHidden/>
              </w:rPr>
              <w:fldChar w:fldCharType="begin"/>
            </w:r>
            <w:r w:rsidR="001642C8">
              <w:rPr>
                <w:webHidden/>
              </w:rPr>
              <w:instrText xml:space="preserve"> PAGEREF _Toc59634433 \h </w:instrText>
            </w:r>
            <w:r w:rsidR="001642C8">
              <w:rPr>
                <w:webHidden/>
              </w:rPr>
            </w:r>
            <w:r w:rsidR="001642C8">
              <w:rPr>
                <w:webHidden/>
              </w:rPr>
              <w:fldChar w:fldCharType="separate"/>
            </w:r>
            <w:r w:rsidR="001642C8">
              <w:rPr>
                <w:webHidden/>
              </w:rPr>
              <w:t>7</w:t>
            </w:r>
            <w:r w:rsidR="001642C8">
              <w:rPr>
                <w:webHidden/>
              </w:rPr>
              <w:fldChar w:fldCharType="end"/>
            </w:r>
          </w:hyperlink>
        </w:p>
        <w:p w14:paraId="504604C2" w14:textId="7485593C" w:rsidR="001642C8" w:rsidRDefault="0062720D">
          <w:pPr>
            <w:pStyle w:val="TOC1"/>
            <w:rPr>
              <w:rFonts w:asciiTheme="minorHAnsi" w:eastAsiaTheme="minorEastAsia" w:hAnsiTheme="minorHAnsi" w:cstheme="minorBidi"/>
              <w:b w:val="0"/>
            </w:rPr>
          </w:pPr>
          <w:hyperlink w:anchor="_Toc59634434" w:history="1">
            <w:r w:rsidR="001642C8" w:rsidRPr="00655336">
              <w:rPr>
                <w:rStyle w:val="Hyperlink"/>
              </w:rPr>
              <w:t>Part IV: Plans for further efficacy studies</w:t>
            </w:r>
            <w:r w:rsidR="001642C8">
              <w:rPr>
                <w:webHidden/>
              </w:rPr>
              <w:tab/>
            </w:r>
            <w:r w:rsidR="001642C8">
              <w:rPr>
                <w:webHidden/>
              </w:rPr>
              <w:fldChar w:fldCharType="begin"/>
            </w:r>
            <w:r w:rsidR="001642C8">
              <w:rPr>
                <w:webHidden/>
              </w:rPr>
              <w:instrText xml:space="preserve"> PAGEREF _Toc59634434 \h </w:instrText>
            </w:r>
            <w:r w:rsidR="001642C8">
              <w:rPr>
                <w:webHidden/>
              </w:rPr>
            </w:r>
            <w:r w:rsidR="001642C8">
              <w:rPr>
                <w:webHidden/>
              </w:rPr>
              <w:fldChar w:fldCharType="separate"/>
            </w:r>
            <w:r w:rsidR="001642C8">
              <w:rPr>
                <w:webHidden/>
              </w:rPr>
              <w:t>8</w:t>
            </w:r>
            <w:r w:rsidR="001642C8">
              <w:rPr>
                <w:webHidden/>
              </w:rPr>
              <w:fldChar w:fldCharType="end"/>
            </w:r>
          </w:hyperlink>
        </w:p>
        <w:p w14:paraId="29317260" w14:textId="4BEAA2B6" w:rsidR="001642C8" w:rsidRDefault="0062720D">
          <w:pPr>
            <w:pStyle w:val="TOC3"/>
            <w:tabs>
              <w:tab w:val="left" w:pos="660"/>
            </w:tabs>
            <w:rPr>
              <w:rFonts w:asciiTheme="minorHAnsi" w:eastAsiaTheme="minorEastAsia" w:hAnsiTheme="minorHAnsi" w:cstheme="minorBidi"/>
              <w:sz w:val="22"/>
              <w:szCs w:val="22"/>
            </w:rPr>
          </w:pPr>
          <w:hyperlink w:anchor="_Toc59634435" w:history="1">
            <w:r w:rsidR="001642C8" w:rsidRPr="00655336">
              <w:rPr>
                <w:rStyle w:val="Hyperlink"/>
              </w:rPr>
              <w:t>IV.1</w:t>
            </w:r>
            <w:r w:rsidR="001642C8">
              <w:rPr>
                <w:rFonts w:asciiTheme="minorHAnsi" w:eastAsiaTheme="minorEastAsia" w:hAnsiTheme="minorHAnsi" w:cstheme="minorBidi"/>
                <w:sz w:val="22"/>
                <w:szCs w:val="22"/>
              </w:rPr>
              <w:tab/>
            </w:r>
            <w:r w:rsidR="001642C8" w:rsidRPr="00655336">
              <w:rPr>
                <w:rStyle w:val="Hyperlink"/>
              </w:rPr>
              <w:t>Summary of Post-opinion efficacy development plan</w:t>
            </w:r>
            <w:r w:rsidR="001642C8">
              <w:rPr>
                <w:webHidden/>
              </w:rPr>
              <w:tab/>
            </w:r>
            <w:r w:rsidR="001642C8">
              <w:rPr>
                <w:webHidden/>
              </w:rPr>
              <w:fldChar w:fldCharType="begin"/>
            </w:r>
            <w:r w:rsidR="001642C8">
              <w:rPr>
                <w:webHidden/>
              </w:rPr>
              <w:instrText xml:space="preserve"> PAGEREF _Toc59634435 \h </w:instrText>
            </w:r>
            <w:r w:rsidR="001642C8">
              <w:rPr>
                <w:webHidden/>
              </w:rPr>
            </w:r>
            <w:r w:rsidR="001642C8">
              <w:rPr>
                <w:webHidden/>
              </w:rPr>
              <w:fldChar w:fldCharType="separate"/>
            </w:r>
            <w:r w:rsidR="001642C8">
              <w:rPr>
                <w:webHidden/>
              </w:rPr>
              <w:t>8</w:t>
            </w:r>
            <w:r w:rsidR="001642C8">
              <w:rPr>
                <w:webHidden/>
              </w:rPr>
              <w:fldChar w:fldCharType="end"/>
            </w:r>
          </w:hyperlink>
        </w:p>
        <w:p w14:paraId="68FD95EE" w14:textId="668F38C0" w:rsidR="001642C8" w:rsidRDefault="0062720D">
          <w:pPr>
            <w:pStyle w:val="TOC1"/>
            <w:rPr>
              <w:rFonts w:asciiTheme="minorHAnsi" w:eastAsiaTheme="minorEastAsia" w:hAnsiTheme="minorHAnsi" w:cstheme="minorBidi"/>
              <w:b w:val="0"/>
            </w:rPr>
          </w:pPr>
          <w:hyperlink w:anchor="_Toc59634436" w:history="1">
            <w:r w:rsidR="001642C8" w:rsidRPr="00655336">
              <w:rPr>
                <w:rStyle w:val="Hyperlink"/>
              </w:rPr>
              <w:t>Part V: Risk minimisation measures</w:t>
            </w:r>
            <w:r w:rsidR="001642C8">
              <w:rPr>
                <w:webHidden/>
              </w:rPr>
              <w:tab/>
            </w:r>
            <w:r w:rsidR="001642C8">
              <w:rPr>
                <w:webHidden/>
              </w:rPr>
              <w:fldChar w:fldCharType="begin"/>
            </w:r>
            <w:r w:rsidR="001642C8">
              <w:rPr>
                <w:webHidden/>
              </w:rPr>
              <w:instrText xml:space="preserve"> PAGEREF _Toc59634436 \h </w:instrText>
            </w:r>
            <w:r w:rsidR="001642C8">
              <w:rPr>
                <w:webHidden/>
              </w:rPr>
            </w:r>
            <w:r w:rsidR="001642C8">
              <w:rPr>
                <w:webHidden/>
              </w:rPr>
              <w:fldChar w:fldCharType="separate"/>
            </w:r>
            <w:r w:rsidR="001642C8">
              <w:rPr>
                <w:webHidden/>
              </w:rPr>
              <w:t>10</w:t>
            </w:r>
            <w:r w:rsidR="001642C8">
              <w:rPr>
                <w:webHidden/>
              </w:rPr>
              <w:fldChar w:fldCharType="end"/>
            </w:r>
          </w:hyperlink>
        </w:p>
        <w:p w14:paraId="636DA91F" w14:textId="6077BD4E" w:rsidR="001642C8" w:rsidRDefault="0062720D">
          <w:pPr>
            <w:pStyle w:val="TOC3"/>
            <w:tabs>
              <w:tab w:val="left" w:pos="660"/>
            </w:tabs>
            <w:rPr>
              <w:rFonts w:asciiTheme="minorHAnsi" w:eastAsiaTheme="minorEastAsia" w:hAnsiTheme="minorHAnsi" w:cstheme="minorBidi"/>
              <w:sz w:val="22"/>
              <w:szCs w:val="22"/>
            </w:rPr>
          </w:pPr>
          <w:hyperlink w:anchor="_Toc59634437" w:history="1">
            <w:r w:rsidR="001642C8" w:rsidRPr="00655336">
              <w:rPr>
                <w:rStyle w:val="Hyperlink"/>
              </w:rPr>
              <w:t>V.1</w:t>
            </w:r>
            <w:r w:rsidR="001642C8">
              <w:rPr>
                <w:rFonts w:asciiTheme="minorHAnsi" w:eastAsiaTheme="minorEastAsia" w:hAnsiTheme="minorHAnsi" w:cstheme="minorBidi"/>
                <w:sz w:val="22"/>
                <w:szCs w:val="22"/>
              </w:rPr>
              <w:tab/>
            </w:r>
            <w:r w:rsidR="001642C8" w:rsidRPr="00655336">
              <w:rPr>
                <w:rStyle w:val="Hyperlink"/>
              </w:rPr>
              <w:t>Summary table of risk minimisation measures</w:t>
            </w:r>
            <w:r w:rsidR="001642C8">
              <w:rPr>
                <w:webHidden/>
              </w:rPr>
              <w:tab/>
            </w:r>
            <w:r w:rsidR="001642C8">
              <w:rPr>
                <w:webHidden/>
              </w:rPr>
              <w:fldChar w:fldCharType="begin"/>
            </w:r>
            <w:r w:rsidR="001642C8">
              <w:rPr>
                <w:webHidden/>
              </w:rPr>
              <w:instrText xml:space="preserve"> PAGEREF _Toc59634437 \h </w:instrText>
            </w:r>
            <w:r w:rsidR="001642C8">
              <w:rPr>
                <w:webHidden/>
              </w:rPr>
            </w:r>
            <w:r w:rsidR="001642C8">
              <w:rPr>
                <w:webHidden/>
              </w:rPr>
              <w:fldChar w:fldCharType="separate"/>
            </w:r>
            <w:r w:rsidR="001642C8">
              <w:rPr>
                <w:webHidden/>
              </w:rPr>
              <w:t>10</w:t>
            </w:r>
            <w:r w:rsidR="001642C8">
              <w:rPr>
                <w:webHidden/>
              </w:rPr>
              <w:fldChar w:fldCharType="end"/>
            </w:r>
          </w:hyperlink>
        </w:p>
        <w:p w14:paraId="00FDE60E" w14:textId="788DB38D" w:rsidR="001642C8" w:rsidRDefault="0062720D">
          <w:pPr>
            <w:pStyle w:val="TOC3"/>
            <w:rPr>
              <w:rFonts w:asciiTheme="minorHAnsi" w:eastAsiaTheme="minorEastAsia" w:hAnsiTheme="minorHAnsi" w:cstheme="minorBidi"/>
              <w:sz w:val="22"/>
              <w:szCs w:val="22"/>
            </w:rPr>
          </w:pPr>
          <w:hyperlink w:anchor="_Toc59634438" w:history="1">
            <w:r w:rsidR="001642C8" w:rsidRPr="00655336">
              <w:rPr>
                <w:rStyle w:val="Hyperlink"/>
              </w:rPr>
              <w:t>V.2 Details of Additional risk minimisation measures (if applicable)</w:t>
            </w:r>
            <w:r w:rsidR="001642C8">
              <w:rPr>
                <w:webHidden/>
              </w:rPr>
              <w:tab/>
            </w:r>
            <w:r w:rsidR="001642C8">
              <w:rPr>
                <w:webHidden/>
              </w:rPr>
              <w:fldChar w:fldCharType="begin"/>
            </w:r>
            <w:r w:rsidR="001642C8">
              <w:rPr>
                <w:webHidden/>
              </w:rPr>
              <w:instrText xml:space="preserve"> PAGEREF _Toc59634438 \h </w:instrText>
            </w:r>
            <w:r w:rsidR="001642C8">
              <w:rPr>
                <w:webHidden/>
              </w:rPr>
            </w:r>
            <w:r w:rsidR="001642C8">
              <w:rPr>
                <w:webHidden/>
              </w:rPr>
              <w:fldChar w:fldCharType="separate"/>
            </w:r>
            <w:r w:rsidR="001642C8">
              <w:rPr>
                <w:webHidden/>
              </w:rPr>
              <w:t>10</w:t>
            </w:r>
            <w:r w:rsidR="001642C8">
              <w:rPr>
                <w:webHidden/>
              </w:rPr>
              <w:fldChar w:fldCharType="end"/>
            </w:r>
          </w:hyperlink>
        </w:p>
        <w:p w14:paraId="276F47C2" w14:textId="06810601" w:rsidR="001642C8" w:rsidRDefault="0062720D">
          <w:pPr>
            <w:pStyle w:val="TOC1"/>
            <w:rPr>
              <w:rFonts w:asciiTheme="minorHAnsi" w:eastAsiaTheme="minorEastAsia" w:hAnsiTheme="minorHAnsi" w:cstheme="minorBidi"/>
              <w:b w:val="0"/>
            </w:rPr>
          </w:pPr>
          <w:hyperlink w:anchor="_Toc59634439" w:history="1">
            <w:r w:rsidR="001642C8" w:rsidRPr="00655336">
              <w:rPr>
                <w:rStyle w:val="Hyperlink"/>
                <w:lang w:val="fr-FR"/>
              </w:rPr>
              <w:t>Part VI: Annexes</w:t>
            </w:r>
            <w:r w:rsidR="001642C8">
              <w:rPr>
                <w:webHidden/>
              </w:rPr>
              <w:tab/>
            </w:r>
            <w:r w:rsidR="001642C8">
              <w:rPr>
                <w:webHidden/>
              </w:rPr>
              <w:fldChar w:fldCharType="begin"/>
            </w:r>
            <w:r w:rsidR="001642C8">
              <w:rPr>
                <w:webHidden/>
              </w:rPr>
              <w:instrText xml:space="preserve"> PAGEREF _Toc59634439 \h </w:instrText>
            </w:r>
            <w:r w:rsidR="001642C8">
              <w:rPr>
                <w:webHidden/>
              </w:rPr>
            </w:r>
            <w:r w:rsidR="001642C8">
              <w:rPr>
                <w:webHidden/>
              </w:rPr>
              <w:fldChar w:fldCharType="separate"/>
            </w:r>
            <w:r w:rsidR="001642C8">
              <w:rPr>
                <w:webHidden/>
              </w:rPr>
              <w:t>13</w:t>
            </w:r>
            <w:r w:rsidR="001642C8">
              <w:rPr>
                <w:webHidden/>
              </w:rPr>
              <w:fldChar w:fldCharType="end"/>
            </w:r>
          </w:hyperlink>
        </w:p>
        <w:p w14:paraId="73209872" w14:textId="3F05C7A2"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0" w:history="1">
            <w:r w:rsidR="001642C8" w:rsidRPr="00655336">
              <w:rPr>
                <w:rStyle w:val="Hyperlink"/>
                <w:noProof/>
                <w:lang w:val="fr-FR"/>
              </w:rPr>
              <w:t>Annex 1 – EudraVigilance Interface</w:t>
            </w:r>
            <w:r w:rsidR="001642C8">
              <w:rPr>
                <w:noProof/>
                <w:webHidden/>
              </w:rPr>
              <w:tab/>
            </w:r>
            <w:r w:rsidR="001642C8">
              <w:rPr>
                <w:noProof/>
                <w:webHidden/>
              </w:rPr>
              <w:fldChar w:fldCharType="begin"/>
            </w:r>
            <w:r w:rsidR="001642C8">
              <w:rPr>
                <w:noProof/>
                <w:webHidden/>
              </w:rPr>
              <w:instrText xml:space="preserve"> PAGEREF _Toc59634440 \h </w:instrText>
            </w:r>
            <w:r w:rsidR="001642C8">
              <w:rPr>
                <w:noProof/>
                <w:webHidden/>
              </w:rPr>
            </w:r>
            <w:r w:rsidR="001642C8">
              <w:rPr>
                <w:noProof/>
                <w:webHidden/>
              </w:rPr>
              <w:fldChar w:fldCharType="separate"/>
            </w:r>
            <w:r w:rsidR="001642C8">
              <w:rPr>
                <w:noProof/>
                <w:webHidden/>
              </w:rPr>
              <w:t>13</w:t>
            </w:r>
            <w:r w:rsidR="001642C8">
              <w:rPr>
                <w:noProof/>
                <w:webHidden/>
              </w:rPr>
              <w:fldChar w:fldCharType="end"/>
            </w:r>
          </w:hyperlink>
        </w:p>
        <w:p w14:paraId="448530E2" w14:textId="1399FC0A"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1" w:history="1">
            <w:r w:rsidR="001642C8" w:rsidRPr="00655336">
              <w:rPr>
                <w:rStyle w:val="Hyperlink"/>
                <w:noProof/>
              </w:rPr>
              <w:t>Annex 2 – Tabulated summary of planned, ongoing, and completed pharmacovigilance study programme</w:t>
            </w:r>
            <w:r w:rsidR="001642C8">
              <w:rPr>
                <w:noProof/>
                <w:webHidden/>
              </w:rPr>
              <w:tab/>
            </w:r>
            <w:r w:rsidR="001642C8">
              <w:rPr>
                <w:noProof/>
                <w:webHidden/>
              </w:rPr>
              <w:fldChar w:fldCharType="begin"/>
            </w:r>
            <w:r w:rsidR="001642C8">
              <w:rPr>
                <w:noProof/>
                <w:webHidden/>
              </w:rPr>
              <w:instrText xml:space="preserve"> PAGEREF _Toc59634441 \h </w:instrText>
            </w:r>
            <w:r w:rsidR="001642C8">
              <w:rPr>
                <w:noProof/>
                <w:webHidden/>
              </w:rPr>
            </w:r>
            <w:r w:rsidR="001642C8">
              <w:rPr>
                <w:noProof/>
                <w:webHidden/>
              </w:rPr>
              <w:fldChar w:fldCharType="separate"/>
            </w:r>
            <w:r w:rsidR="001642C8">
              <w:rPr>
                <w:noProof/>
                <w:webHidden/>
              </w:rPr>
              <w:t>14</w:t>
            </w:r>
            <w:r w:rsidR="001642C8">
              <w:rPr>
                <w:noProof/>
                <w:webHidden/>
              </w:rPr>
              <w:fldChar w:fldCharType="end"/>
            </w:r>
          </w:hyperlink>
        </w:p>
        <w:p w14:paraId="44B119B4" w14:textId="08D0305A"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2" w:history="1">
            <w:r w:rsidR="001642C8" w:rsidRPr="00655336">
              <w:rPr>
                <w:rStyle w:val="Hyperlink"/>
                <w:noProof/>
              </w:rPr>
              <w:t>Annex 3 - Protocols for proposed, on-going and completed studies in the pharmacovigilance plan</w:t>
            </w:r>
            <w:r w:rsidR="001642C8">
              <w:rPr>
                <w:noProof/>
                <w:webHidden/>
              </w:rPr>
              <w:tab/>
            </w:r>
            <w:r w:rsidR="001642C8">
              <w:rPr>
                <w:noProof/>
                <w:webHidden/>
              </w:rPr>
              <w:fldChar w:fldCharType="begin"/>
            </w:r>
            <w:r w:rsidR="001642C8">
              <w:rPr>
                <w:noProof/>
                <w:webHidden/>
              </w:rPr>
              <w:instrText xml:space="preserve"> PAGEREF _Toc59634442 \h </w:instrText>
            </w:r>
            <w:r w:rsidR="001642C8">
              <w:rPr>
                <w:noProof/>
                <w:webHidden/>
              </w:rPr>
            </w:r>
            <w:r w:rsidR="001642C8">
              <w:rPr>
                <w:noProof/>
                <w:webHidden/>
              </w:rPr>
              <w:fldChar w:fldCharType="separate"/>
            </w:r>
            <w:r w:rsidR="001642C8">
              <w:rPr>
                <w:noProof/>
                <w:webHidden/>
              </w:rPr>
              <w:t>15</w:t>
            </w:r>
            <w:r w:rsidR="001642C8">
              <w:rPr>
                <w:noProof/>
                <w:webHidden/>
              </w:rPr>
              <w:fldChar w:fldCharType="end"/>
            </w:r>
          </w:hyperlink>
        </w:p>
        <w:p w14:paraId="5933F2CB" w14:textId="75EC344C"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3" w:history="1">
            <w:r w:rsidR="001642C8" w:rsidRPr="00655336">
              <w:rPr>
                <w:rStyle w:val="Hyperlink"/>
                <w:noProof/>
              </w:rPr>
              <w:t>Annex 4 - Specific adverse drug reaction follow-up forms</w:t>
            </w:r>
            <w:r w:rsidR="001642C8">
              <w:rPr>
                <w:noProof/>
                <w:webHidden/>
              </w:rPr>
              <w:tab/>
            </w:r>
            <w:r w:rsidR="001642C8">
              <w:rPr>
                <w:noProof/>
                <w:webHidden/>
              </w:rPr>
              <w:fldChar w:fldCharType="begin"/>
            </w:r>
            <w:r w:rsidR="001642C8">
              <w:rPr>
                <w:noProof/>
                <w:webHidden/>
              </w:rPr>
              <w:instrText xml:space="preserve"> PAGEREF _Toc59634443 \h </w:instrText>
            </w:r>
            <w:r w:rsidR="001642C8">
              <w:rPr>
                <w:noProof/>
                <w:webHidden/>
              </w:rPr>
            </w:r>
            <w:r w:rsidR="001642C8">
              <w:rPr>
                <w:noProof/>
                <w:webHidden/>
              </w:rPr>
              <w:fldChar w:fldCharType="separate"/>
            </w:r>
            <w:r w:rsidR="001642C8">
              <w:rPr>
                <w:noProof/>
                <w:webHidden/>
              </w:rPr>
              <w:t>16</w:t>
            </w:r>
            <w:r w:rsidR="001642C8">
              <w:rPr>
                <w:noProof/>
                <w:webHidden/>
              </w:rPr>
              <w:fldChar w:fldCharType="end"/>
            </w:r>
          </w:hyperlink>
        </w:p>
        <w:p w14:paraId="38F63EDF" w14:textId="7FE54508"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4" w:history="1">
            <w:r w:rsidR="001642C8" w:rsidRPr="00655336">
              <w:rPr>
                <w:rStyle w:val="Hyperlink"/>
                <w:noProof/>
              </w:rPr>
              <w:t>Annex 5 - Protocols for proposed and on-going studies in RMP part IV</w:t>
            </w:r>
            <w:r w:rsidR="001642C8">
              <w:rPr>
                <w:noProof/>
                <w:webHidden/>
              </w:rPr>
              <w:tab/>
            </w:r>
            <w:r w:rsidR="001642C8">
              <w:rPr>
                <w:noProof/>
                <w:webHidden/>
              </w:rPr>
              <w:fldChar w:fldCharType="begin"/>
            </w:r>
            <w:r w:rsidR="001642C8">
              <w:rPr>
                <w:noProof/>
                <w:webHidden/>
              </w:rPr>
              <w:instrText xml:space="preserve"> PAGEREF _Toc59634444 \h </w:instrText>
            </w:r>
            <w:r w:rsidR="001642C8">
              <w:rPr>
                <w:noProof/>
                <w:webHidden/>
              </w:rPr>
            </w:r>
            <w:r w:rsidR="001642C8">
              <w:rPr>
                <w:noProof/>
                <w:webHidden/>
              </w:rPr>
              <w:fldChar w:fldCharType="separate"/>
            </w:r>
            <w:r w:rsidR="001642C8">
              <w:rPr>
                <w:noProof/>
                <w:webHidden/>
              </w:rPr>
              <w:t>17</w:t>
            </w:r>
            <w:r w:rsidR="001642C8">
              <w:rPr>
                <w:noProof/>
                <w:webHidden/>
              </w:rPr>
              <w:fldChar w:fldCharType="end"/>
            </w:r>
          </w:hyperlink>
        </w:p>
        <w:p w14:paraId="59D6C4C8" w14:textId="6B219341"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5" w:history="1">
            <w:r w:rsidR="001642C8" w:rsidRPr="00655336">
              <w:rPr>
                <w:rStyle w:val="Hyperlink"/>
                <w:noProof/>
              </w:rPr>
              <w:t>Annex 6 - Details of proposed additional risk minimisation activities (if applicable)</w:t>
            </w:r>
            <w:r w:rsidR="001642C8">
              <w:rPr>
                <w:noProof/>
                <w:webHidden/>
              </w:rPr>
              <w:tab/>
            </w:r>
            <w:r w:rsidR="001642C8">
              <w:rPr>
                <w:noProof/>
                <w:webHidden/>
              </w:rPr>
              <w:fldChar w:fldCharType="begin"/>
            </w:r>
            <w:r w:rsidR="001642C8">
              <w:rPr>
                <w:noProof/>
                <w:webHidden/>
              </w:rPr>
              <w:instrText xml:space="preserve"> PAGEREF _Toc59634445 \h </w:instrText>
            </w:r>
            <w:r w:rsidR="001642C8">
              <w:rPr>
                <w:noProof/>
                <w:webHidden/>
              </w:rPr>
            </w:r>
            <w:r w:rsidR="001642C8">
              <w:rPr>
                <w:noProof/>
                <w:webHidden/>
              </w:rPr>
              <w:fldChar w:fldCharType="separate"/>
            </w:r>
            <w:r w:rsidR="001642C8">
              <w:rPr>
                <w:noProof/>
                <w:webHidden/>
              </w:rPr>
              <w:t>18</w:t>
            </w:r>
            <w:r w:rsidR="001642C8">
              <w:rPr>
                <w:noProof/>
                <w:webHidden/>
              </w:rPr>
              <w:fldChar w:fldCharType="end"/>
            </w:r>
          </w:hyperlink>
        </w:p>
        <w:p w14:paraId="1F480958" w14:textId="39C728A3"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6" w:history="1">
            <w:r w:rsidR="001642C8" w:rsidRPr="00655336">
              <w:rPr>
                <w:rStyle w:val="Hyperlink"/>
                <w:noProof/>
              </w:rPr>
              <w:t>Annex 7 - Other supporting data (including referenced material)</w:t>
            </w:r>
            <w:r w:rsidR="001642C8">
              <w:rPr>
                <w:noProof/>
                <w:webHidden/>
              </w:rPr>
              <w:tab/>
            </w:r>
            <w:r w:rsidR="001642C8">
              <w:rPr>
                <w:noProof/>
                <w:webHidden/>
              </w:rPr>
              <w:fldChar w:fldCharType="begin"/>
            </w:r>
            <w:r w:rsidR="001642C8">
              <w:rPr>
                <w:noProof/>
                <w:webHidden/>
              </w:rPr>
              <w:instrText xml:space="preserve"> PAGEREF _Toc59634446 \h </w:instrText>
            </w:r>
            <w:r w:rsidR="001642C8">
              <w:rPr>
                <w:noProof/>
                <w:webHidden/>
              </w:rPr>
            </w:r>
            <w:r w:rsidR="001642C8">
              <w:rPr>
                <w:noProof/>
                <w:webHidden/>
              </w:rPr>
              <w:fldChar w:fldCharType="separate"/>
            </w:r>
            <w:r w:rsidR="001642C8">
              <w:rPr>
                <w:noProof/>
                <w:webHidden/>
              </w:rPr>
              <w:t>20</w:t>
            </w:r>
            <w:r w:rsidR="001642C8">
              <w:rPr>
                <w:noProof/>
                <w:webHidden/>
              </w:rPr>
              <w:fldChar w:fldCharType="end"/>
            </w:r>
          </w:hyperlink>
        </w:p>
        <w:p w14:paraId="299B42E5" w14:textId="3BAF4B28" w:rsidR="001642C8" w:rsidRDefault="0062720D">
          <w:pPr>
            <w:pStyle w:val="TOC2"/>
            <w:tabs>
              <w:tab w:val="right" w:leader="dot" w:pos="10075"/>
            </w:tabs>
            <w:rPr>
              <w:rFonts w:asciiTheme="minorHAnsi" w:eastAsiaTheme="minorEastAsia" w:hAnsiTheme="minorHAnsi" w:cstheme="minorBidi"/>
              <w:noProof/>
              <w:lang w:val="en-GB" w:eastAsia="en-GB"/>
            </w:rPr>
          </w:pPr>
          <w:hyperlink w:anchor="_Toc59634447" w:history="1">
            <w:r w:rsidR="001642C8" w:rsidRPr="00655336">
              <w:rPr>
                <w:rStyle w:val="Hyperlink"/>
                <w:noProof/>
              </w:rPr>
              <w:t>Annex 8 – Summary of changes to the risk management plan over time</w:t>
            </w:r>
            <w:r w:rsidR="001642C8">
              <w:rPr>
                <w:noProof/>
                <w:webHidden/>
              </w:rPr>
              <w:tab/>
            </w:r>
            <w:r w:rsidR="001642C8">
              <w:rPr>
                <w:noProof/>
                <w:webHidden/>
              </w:rPr>
              <w:fldChar w:fldCharType="begin"/>
            </w:r>
            <w:r w:rsidR="001642C8">
              <w:rPr>
                <w:noProof/>
                <w:webHidden/>
              </w:rPr>
              <w:instrText xml:space="preserve"> PAGEREF _Toc59634447 \h </w:instrText>
            </w:r>
            <w:r w:rsidR="001642C8">
              <w:rPr>
                <w:noProof/>
                <w:webHidden/>
              </w:rPr>
            </w:r>
            <w:r w:rsidR="001642C8">
              <w:rPr>
                <w:noProof/>
                <w:webHidden/>
              </w:rPr>
              <w:fldChar w:fldCharType="separate"/>
            </w:r>
            <w:r w:rsidR="001642C8">
              <w:rPr>
                <w:noProof/>
                <w:webHidden/>
              </w:rPr>
              <w:t>21</w:t>
            </w:r>
            <w:r w:rsidR="001642C8">
              <w:rPr>
                <w:noProof/>
                <w:webHidden/>
              </w:rPr>
              <w:fldChar w:fldCharType="end"/>
            </w:r>
          </w:hyperlink>
        </w:p>
        <w:p w14:paraId="08BEBB07" w14:textId="4462216F" w:rsidR="009455DE" w:rsidRDefault="009455DE">
          <w:r>
            <w:rPr>
              <w:b/>
              <w:bCs/>
              <w:noProof/>
            </w:rPr>
            <w:fldChar w:fldCharType="end"/>
          </w:r>
        </w:p>
      </w:sdtContent>
    </w:sdt>
    <w:p w14:paraId="2F6577BF" w14:textId="77777777" w:rsidR="00F61163" w:rsidRPr="00F61163" w:rsidRDefault="00F61163" w:rsidP="008C25C4">
      <w:pPr>
        <w:pStyle w:val="BodytextAgency"/>
      </w:pPr>
    </w:p>
    <w:p w14:paraId="20D82C17" w14:textId="77777777" w:rsidR="00A00D9D" w:rsidRDefault="00A00D9D">
      <w:pPr>
        <w:spacing w:line="240" w:lineRule="auto"/>
        <w:rPr>
          <w:rFonts w:ascii="Verdana" w:eastAsia="Verdana" w:hAnsi="Verdana"/>
          <w:b/>
          <w:bCs/>
          <w:kern w:val="32"/>
          <w:sz w:val="27"/>
          <w:szCs w:val="27"/>
          <w:lang w:val="en-GB" w:eastAsia="en-GB"/>
        </w:rPr>
      </w:pPr>
      <w:r>
        <w:br w:type="page"/>
      </w:r>
    </w:p>
    <w:p w14:paraId="6A68CD7F" w14:textId="001781B8" w:rsidR="00550137" w:rsidRPr="00F61163" w:rsidRDefault="00550137" w:rsidP="00550137">
      <w:pPr>
        <w:pStyle w:val="HeadingcentredAgency"/>
        <w:jc w:val="left"/>
      </w:pPr>
      <w:bookmarkStart w:id="4" w:name="_Toc59634427"/>
      <w:r w:rsidRPr="00F61163">
        <w:lastRenderedPageBreak/>
        <w:t>Part I: Product(s) Overview</w:t>
      </w:r>
      <w:bookmarkEnd w:id="3"/>
      <w:bookmarkEnd w:id="4"/>
    </w:p>
    <w:p w14:paraId="51A05FB2" w14:textId="77777777" w:rsidR="00550137" w:rsidRPr="00F32AFA" w:rsidRDefault="00550137" w:rsidP="00550137">
      <w:pPr>
        <w:pStyle w:val="BodytextAgency"/>
      </w:pPr>
      <w:r w:rsidRPr="00F32AFA">
        <w:t>Administrative information on the RMP</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49"/>
      </w:tblGrid>
      <w:tr w:rsidR="00550137" w:rsidRPr="00F32AFA" w14:paraId="34645464" w14:textId="77777777" w:rsidTr="009D2607">
        <w:trPr>
          <w:trHeight w:val="255"/>
        </w:trPr>
        <w:tc>
          <w:tcPr>
            <w:tcW w:w="3794" w:type="dxa"/>
            <w:tcBorders>
              <w:top w:val="single" w:sz="4" w:space="0" w:color="auto"/>
              <w:left w:val="single" w:sz="4" w:space="0" w:color="auto"/>
              <w:bottom w:val="single" w:sz="4" w:space="0" w:color="auto"/>
              <w:right w:val="single" w:sz="4" w:space="0" w:color="auto"/>
            </w:tcBorders>
          </w:tcPr>
          <w:p w14:paraId="10841259" w14:textId="77777777" w:rsidR="00550137" w:rsidRPr="00F32AFA" w:rsidRDefault="00550137" w:rsidP="009D2607">
            <w:pPr>
              <w:pStyle w:val="BodytextAgency"/>
              <w:rPr>
                <w:b/>
              </w:rPr>
            </w:pPr>
            <w:r w:rsidRPr="00F32AFA">
              <w:rPr>
                <w:b/>
              </w:rPr>
              <w:t>Brief description of the product including:</w:t>
            </w:r>
          </w:p>
          <w:p w14:paraId="35C09C47" w14:textId="77777777" w:rsidR="00550137" w:rsidRPr="00F32AFA" w:rsidRDefault="00550137" w:rsidP="00550137">
            <w:pPr>
              <w:pStyle w:val="BodytextAgency"/>
              <w:numPr>
                <w:ilvl w:val="0"/>
                <w:numId w:val="10"/>
              </w:numPr>
            </w:pPr>
            <w:r w:rsidRPr="00F32AFA">
              <w:t>chemical class</w:t>
            </w:r>
          </w:p>
          <w:p w14:paraId="39380F42" w14:textId="77777777" w:rsidR="00550137" w:rsidRPr="00F32AFA" w:rsidRDefault="00550137" w:rsidP="00550137">
            <w:pPr>
              <w:pStyle w:val="BodytextAgency"/>
              <w:numPr>
                <w:ilvl w:val="0"/>
                <w:numId w:val="10"/>
              </w:numPr>
            </w:pPr>
            <w:r w:rsidRPr="00F32AFA">
              <w:t>summary of mode of action</w:t>
            </w:r>
          </w:p>
          <w:p w14:paraId="36AE2B0C" w14:textId="77777777" w:rsidR="00550137" w:rsidRPr="00F32AFA" w:rsidRDefault="00550137" w:rsidP="00550137">
            <w:pPr>
              <w:pStyle w:val="BodytextAgency"/>
              <w:numPr>
                <w:ilvl w:val="0"/>
                <w:numId w:val="10"/>
              </w:numPr>
              <w:rPr>
                <w:rFonts w:ascii="Calibri" w:hAnsi="Calibri"/>
                <w:sz w:val="22"/>
                <w:szCs w:val="20"/>
              </w:rPr>
            </w:pPr>
            <w:r w:rsidRPr="00F32AFA">
              <w:t xml:space="preserve">important information about its composition </w:t>
            </w:r>
            <w:r w:rsidRPr="008C25C4">
              <w:rPr>
                <w:i/>
                <w:iCs/>
                <w:color w:val="00B050"/>
              </w:rPr>
              <w:t>(e.g. origin of active substance of biological, relevant adjuvants or residues for vaccines</w:t>
            </w:r>
          </w:p>
        </w:tc>
        <w:tc>
          <w:tcPr>
            <w:tcW w:w="5749" w:type="dxa"/>
            <w:tcBorders>
              <w:top w:val="single" w:sz="4" w:space="0" w:color="auto"/>
              <w:left w:val="single" w:sz="4" w:space="0" w:color="auto"/>
              <w:bottom w:val="single" w:sz="4" w:space="0" w:color="auto"/>
              <w:right w:val="single" w:sz="4" w:space="0" w:color="auto"/>
            </w:tcBorders>
          </w:tcPr>
          <w:p w14:paraId="52B63D8E" w14:textId="77777777" w:rsidR="00550137" w:rsidRPr="00F32AFA" w:rsidRDefault="00550137" w:rsidP="009D2607">
            <w:pPr>
              <w:pStyle w:val="BodytextAgency"/>
            </w:pPr>
          </w:p>
        </w:tc>
      </w:tr>
      <w:tr w:rsidR="00550137" w:rsidRPr="00F32AFA" w14:paraId="2CC61B53" w14:textId="77777777" w:rsidTr="009D2607">
        <w:trPr>
          <w:trHeight w:val="859"/>
        </w:trPr>
        <w:tc>
          <w:tcPr>
            <w:tcW w:w="3794" w:type="dxa"/>
            <w:vMerge w:val="restart"/>
            <w:tcBorders>
              <w:top w:val="single" w:sz="4" w:space="0" w:color="auto"/>
              <w:left w:val="single" w:sz="4" w:space="0" w:color="auto"/>
              <w:bottom w:val="single" w:sz="4" w:space="0" w:color="auto"/>
              <w:right w:val="single" w:sz="4" w:space="0" w:color="auto"/>
            </w:tcBorders>
          </w:tcPr>
          <w:p w14:paraId="08065813" w14:textId="5292B6B0" w:rsidR="00550137" w:rsidRPr="00F32AFA" w:rsidRDefault="00550137" w:rsidP="009D2607">
            <w:pPr>
              <w:pStyle w:val="BodytextAgency"/>
              <w:rPr>
                <w:b/>
              </w:rPr>
            </w:pPr>
            <w:r w:rsidRPr="00F32AFA">
              <w:rPr>
                <w:b/>
              </w:rPr>
              <w:t>Indication(s)</w:t>
            </w:r>
            <w:r w:rsidR="0017445C" w:rsidRPr="00F32AFA">
              <w:rPr>
                <w:b/>
              </w:rPr>
              <w:t xml:space="preserve"> under EAMS</w:t>
            </w:r>
            <w:r w:rsidRPr="00F32AFA">
              <w:rPr>
                <w:b/>
              </w:rPr>
              <w:t xml:space="preserve"> </w:t>
            </w:r>
          </w:p>
          <w:p w14:paraId="766D78E9" w14:textId="77777777" w:rsidR="00550137" w:rsidRPr="00F32AFA" w:rsidRDefault="00550137" w:rsidP="009D2607">
            <w:pPr>
              <w:pStyle w:val="BodytextAgency"/>
            </w:pPr>
            <w:r w:rsidRPr="00F32AFA">
              <w:t>Current (if applicable)</w:t>
            </w:r>
          </w:p>
          <w:p w14:paraId="60C482B2" w14:textId="77777777" w:rsidR="00550137" w:rsidRPr="00F32AFA" w:rsidRDefault="00550137" w:rsidP="009D2607">
            <w:pPr>
              <w:pStyle w:val="BodytextAgency"/>
            </w:pPr>
          </w:p>
          <w:p w14:paraId="6DD6D0D6" w14:textId="77777777" w:rsidR="00550137" w:rsidRPr="00F32AFA" w:rsidRDefault="00550137" w:rsidP="009D2607">
            <w:pPr>
              <w:pStyle w:val="BodytextAgency"/>
            </w:pPr>
            <w:r w:rsidRPr="00F32AFA">
              <w:t>Proposed (if applicable)</w:t>
            </w:r>
          </w:p>
        </w:tc>
        <w:tc>
          <w:tcPr>
            <w:tcW w:w="5749" w:type="dxa"/>
            <w:tcBorders>
              <w:top w:val="single" w:sz="4" w:space="0" w:color="auto"/>
              <w:left w:val="single" w:sz="4" w:space="0" w:color="auto"/>
              <w:bottom w:val="single" w:sz="4" w:space="0" w:color="auto"/>
              <w:right w:val="single" w:sz="4" w:space="0" w:color="auto"/>
            </w:tcBorders>
          </w:tcPr>
          <w:p w14:paraId="65168A57"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024DE20A" w14:textId="77777777" w:rsidTr="009D2607">
        <w:trPr>
          <w:trHeight w:val="723"/>
        </w:trPr>
        <w:tc>
          <w:tcPr>
            <w:tcW w:w="0" w:type="auto"/>
            <w:vMerge/>
            <w:tcBorders>
              <w:top w:val="single" w:sz="4" w:space="0" w:color="auto"/>
              <w:left w:val="single" w:sz="4" w:space="0" w:color="auto"/>
              <w:bottom w:val="single" w:sz="4" w:space="0" w:color="auto"/>
              <w:right w:val="single" w:sz="4" w:space="0" w:color="auto"/>
            </w:tcBorders>
            <w:vAlign w:val="center"/>
          </w:tcPr>
          <w:p w14:paraId="47131253" w14:textId="77777777" w:rsidR="00550137" w:rsidRPr="00F32AFA" w:rsidRDefault="00550137" w:rsidP="009D2607">
            <w:pPr>
              <w:rPr>
                <w:rFonts w:eastAsia="Verdana"/>
                <w:lang w:eastAsia="en-GB"/>
              </w:rPr>
            </w:pPr>
          </w:p>
        </w:tc>
        <w:tc>
          <w:tcPr>
            <w:tcW w:w="5749" w:type="dxa"/>
            <w:tcBorders>
              <w:top w:val="single" w:sz="4" w:space="0" w:color="auto"/>
              <w:left w:val="single" w:sz="4" w:space="0" w:color="auto"/>
              <w:bottom w:val="single" w:sz="4" w:space="0" w:color="auto"/>
              <w:right w:val="single" w:sz="4" w:space="0" w:color="auto"/>
            </w:tcBorders>
          </w:tcPr>
          <w:p w14:paraId="41B2C575"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35FC1E08" w14:textId="77777777" w:rsidTr="009D2607">
        <w:trPr>
          <w:trHeight w:val="1021"/>
        </w:trPr>
        <w:tc>
          <w:tcPr>
            <w:tcW w:w="3794" w:type="dxa"/>
            <w:vMerge w:val="restart"/>
            <w:tcBorders>
              <w:top w:val="single" w:sz="4" w:space="0" w:color="auto"/>
              <w:left w:val="single" w:sz="4" w:space="0" w:color="auto"/>
              <w:bottom w:val="single" w:sz="4" w:space="0" w:color="auto"/>
              <w:right w:val="single" w:sz="4" w:space="0" w:color="auto"/>
            </w:tcBorders>
          </w:tcPr>
          <w:p w14:paraId="00E54685" w14:textId="61775F58" w:rsidR="00550137" w:rsidRPr="00F32AFA" w:rsidRDefault="00550137" w:rsidP="009D2607">
            <w:pPr>
              <w:pStyle w:val="BodytextAgency"/>
              <w:rPr>
                <w:b/>
              </w:rPr>
            </w:pPr>
            <w:r w:rsidRPr="00F32AFA">
              <w:rPr>
                <w:b/>
              </w:rPr>
              <w:t>Posology and route of administration</w:t>
            </w:r>
            <w:r w:rsidR="0017445C" w:rsidRPr="00F32AFA">
              <w:rPr>
                <w:b/>
              </w:rPr>
              <w:t xml:space="preserve"> under EAMS</w:t>
            </w:r>
            <w:r w:rsidRPr="00F32AFA">
              <w:rPr>
                <w:b/>
              </w:rPr>
              <w:t xml:space="preserve"> </w:t>
            </w:r>
          </w:p>
          <w:p w14:paraId="76CF0839" w14:textId="77777777" w:rsidR="00550137" w:rsidRPr="00F32AFA" w:rsidRDefault="00550137" w:rsidP="009D2607">
            <w:pPr>
              <w:pStyle w:val="BodytextAgency"/>
            </w:pPr>
            <w:r w:rsidRPr="00F32AFA">
              <w:t>Current (if applicable)</w:t>
            </w:r>
          </w:p>
          <w:p w14:paraId="7F7B7479" w14:textId="77777777" w:rsidR="00550137" w:rsidRPr="00F32AFA" w:rsidRDefault="00550137" w:rsidP="009D2607">
            <w:pPr>
              <w:pStyle w:val="BodytextAgency"/>
            </w:pPr>
          </w:p>
          <w:p w14:paraId="3E304A35" w14:textId="77777777" w:rsidR="00550137" w:rsidRPr="00F32AFA" w:rsidRDefault="00550137" w:rsidP="009D2607">
            <w:pPr>
              <w:pStyle w:val="BodytextAgency"/>
            </w:pPr>
            <w:r w:rsidRPr="00F32AFA">
              <w:t>Proposed (if applicable)</w:t>
            </w:r>
          </w:p>
        </w:tc>
        <w:tc>
          <w:tcPr>
            <w:tcW w:w="5749" w:type="dxa"/>
            <w:tcBorders>
              <w:top w:val="single" w:sz="4" w:space="0" w:color="auto"/>
              <w:left w:val="single" w:sz="4" w:space="0" w:color="auto"/>
              <w:bottom w:val="single" w:sz="4" w:space="0" w:color="auto"/>
              <w:right w:val="single" w:sz="4" w:space="0" w:color="auto"/>
            </w:tcBorders>
          </w:tcPr>
          <w:p w14:paraId="5D9B9DA8"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48A3F947" w14:textId="77777777" w:rsidTr="009D2607">
        <w:trPr>
          <w:trHeight w:val="835"/>
        </w:trPr>
        <w:tc>
          <w:tcPr>
            <w:tcW w:w="0" w:type="auto"/>
            <w:vMerge/>
            <w:tcBorders>
              <w:top w:val="single" w:sz="4" w:space="0" w:color="auto"/>
              <w:left w:val="single" w:sz="4" w:space="0" w:color="auto"/>
              <w:bottom w:val="single" w:sz="4" w:space="0" w:color="auto"/>
              <w:right w:val="single" w:sz="4" w:space="0" w:color="auto"/>
            </w:tcBorders>
            <w:vAlign w:val="center"/>
          </w:tcPr>
          <w:p w14:paraId="2418F73E" w14:textId="77777777" w:rsidR="00550137" w:rsidRPr="00F32AFA" w:rsidRDefault="00550137" w:rsidP="009D2607">
            <w:pPr>
              <w:rPr>
                <w:rFonts w:eastAsia="Verdana"/>
                <w:lang w:eastAsia="en-GB"/>
              </w:rPr>
            </w:pPr>
          </w:p>
        </w:tc>
        <w:tc>
          <w:tcPr>
            <w:tcW w:w="5749" w:type="dxa"/>
            <w:tcBorders>
              <w:top w:val="single" w:sz="4" w:space="0" w:color="auto"/>
              <w:left w:val="single" w:sz="4" w:space="0" w:color="auto"/>
              <w:bottom w:val="single" w:sz="4" w:space="0" w:color="auto"/>
              <w:right w:val="single" w:sz="4" w:space="0" w:color="auto"/>
            </w:tcBorders>
          </w:tcPr>
          <w:p w14:paraId="6CD1D34C"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32257510" w14:textId="77777777" w:rsidTr="009D2607">
        <w:trPr>
          <w:trHeight w:val="1021"/>
        </w:trPr>
        <w:tc>
          <w:tcPr>
            <w:tcW w:w="3794" w:type="dxa"/>
            <w:vMerge w:val="restart"/>
            <w:tcBorders>
              <w:top w:val="single" w:sz="4" w:space="0" w:color="auto"/>
              <w:left w:val="single" w:sz="4" w:space="0" w:color="auto"/>
              <w:bottom w:val="single" w:sz="4" w:space="0" w:color="auto"/>
              <w:right w:val="single" w:sz="4" w:space="0" w:color="auto"/>
            </w:tcBorders>
          </w:tcPr>
          <w:p w14:paraId="559EFD92" w14:textId="77777777" w:rsidR="00550137" w:rsidRPr="00F32AFA" w:rsidRDefault="00550137" w:rsidP="009D2607">
            <w:pPr>
              <w:pStyle w:val="BodytextAgency"/>
              <w:rPr>
                <w:b/>
              </w:rPr>
            </w:pPr>
            <w:r w:rsidRPr="00F32AFA">
              <w:rPr>
                <w:b/>
              </w:rPr>
              <w:t>Pharmaceutical form(s) and strengths</w:t>
            </w:r>
          </w:p>
          <w:p w14:paraId="4F72AFA4" w14:textId="77777777" w:rsidR="00550137" w:rsidRPr="00F32AFA" w:rsidRDefault="00550137" w:rsidP="009D2607">
            <w:pPr>
              <w:pStyle w:val="BodytextAgency"/>
            </w:pPr>
            <w:r w:rsidRPr="00F32AFA">
              <w:t>Current (if applicable)</w:t>
            </w:r>
          </w:p>
          <w:p w14:paraId="7DC90C1A" w14:textId="77777777" w:rsidR="00550137" w:rsidRPr="00F32AFA" w:rsidRDefault="00550137" w:rsidP="009D2607">
            <w:pPr>
              <w:pStyle w:val="BodytextAgency"/>
            </w:pPr>
          </w:p>
          <w:p w14:paraId="24E2465F" w14:textId="77777777" w:rsidR="00550137" w:rsidRPr="00F32AFA" w:rsidRDefault="00550137" w:rsidP="009D2607">
            <w:pPr>
              <w:pStyle w:val="BodytextAgency"/>
            </w:pPr>
            <w:r w:rsidRPr="00F32AFA">
              <w:t>Proposed (if applicable)</w:t>
            </w:r>
          </w:p>
        </w:tc>
        <w:tc>
          <w:tcPr>
            <w:tcW w:w="5749" w:type="dxa"/>
            <w:tcBorders>
              <w:top w:val="single" w:sz="4" w:space="0" w:color="auto"/>
              <w:left w:val="single" w:sz="4" w:space="0" w:color="auto"/>
              <w:bottom w:val="single" w:sz="4" w:space="0" w:color="auto"/>
              <w:right w:val="single" w:sz="4" w:space="0" w:color="auto"/>
            </w:tcBorders>
          </w:tcPr>
          <w:p w14:paraId="17B266FB" w14:textId="77777777" w:rsidR="00550137" w:rsidRPr="00F32AFA" w:rsidRDefault="00550137" w:rsidP="009D2607">
            <w:pPr>
              <w:pStyle w:val="BodytextAgency"/>
              <w:rPr>
                <w:rFonts w:ascii="Calibri" w:eastAsia="Times New Roman" w:hAnsi="Calibri" w:cs="Calibri"/>
                <w:sz w:val="22"/>
                <w:szCs w:val="20"/>
              </w:rPr>
            </w:pPr>
          </w:p>
        </w:tc>
      </w:tr>
      <w:tr w:rsidR="00550137" w:rsidRPr="00F32AFA" w14:paraId="59682100" w14:textId="77777777" w:rsidTr="009D2607">
        <w:trPr>
          <w:trHeight w:val="835"/>
        </w:trPr>
        <w:tc>
          <w:tcPr>
            <w:tcW w:w="0" w:type="auto"/>
            <w:vMerge/>
            <w:tcBorders>
              <w:top w:val="single" w:sz="4" w:space="0" w:color="auto"/>
              <w:left w:val="single" w:sz="4" w:space="0" w:color="auto"/>
              <w:bottom w:val="single" w:sz="4" w:space="0" w:color="auto"/>
              <w:right w:val="single" w:sz="4" w:space="0" w:color="auto"/>
            </w:tcBorders>
            <w:vAlign w:val="center"/>
          </w:tcPr>
          <w:p w14:paraId="6208C465" w14:textId="77777777" w:rsidR="00550137" w:rsidRPr="00F32AFA" w:rsidRDefault="00550137" w:rsidP="009D2607">
            <w:pPr>
              <w:rPr>
                <w:rFonts w:eastAsia="Verdana"/>
                <w:lang w:eastAsia="en-GB"/>
              </w:rPr>
            </w:pPr>
          </w:p>
        </w:tc>
        <w:tc>
          <w:tcPr>
            <w:tcW w:w="5749" w:type="dxa"/>
            <w:tcBorders>
              <w:top w:val="single" w:sz="4" w:space="0" w:color="auto"/>
              <w:left w:val="single" w:sz="4" w:space="0" w:color="auto"/>
              <w:bottom w:val="single" w:sz="4" w:space="0" w:color="auto"/>
              <w:right w:val="single" w:sz="4" w:space="0" w:color="auto"/>
            </w:tcBorders>
          </w:tcPr>
          <w:p w14:paraId="056351E1" w14:textId="77777777" w:rsidR="00550137" w:rsidRPr="00F32AFA" w:rsidRDefault="00550137" w:rsidP="009D2607">
            <w:pPr>
              <w:pStyle w:val="BodytextAgency"/>
              <w:rPr>
                <w:rFonts w:ascii="Calibri" w:eastAsia="Times New Roman" w:hAnsi="Calibri" w:cs="Calibri"/>
                <w:sz w:val="22"/>
                <w:szCs w:val="20"/>
              </w:rPr>
            </w:pPr>
          </w:p>
          <w:p w14:paraId="4E48C987" w14:textId="77777777" w:rsidR="00AF27EB" w:rsidRPr="00F32AFA" w:rsidRDefault="00AF27EB" w:rsidP="009D2607">
            <w:pPr>
              <w:pStyle w:val="BodytextAgency"/>
              <w:rPr>
                <w:rFonts w:ascii="Calibri" w:eastAsia="Times New Roman" w:hAnsi="Calibri" w:cs="Calibri"/>
                <w:sz w:val="22"/>
                <w:szCs w:val="20"/>
              </w:rPr>
            </w:pPr>
          </w:p>
        </w:tc>
      </w:tr>
    </w:tbl>
    <w:p w14:paraId="0AC6D87E" w14:textId="77777777" w:rsidR="00550137" w:rsidRPr="00F32AFA" w:rsidRDefault="00550137" w:rsidP="00550137">
      <w:pPr>
        <w:pStyle w:val="TabletextrowsAgency"/>
        <w:rPr>
          <w:bCs/>
        </w:rPr>
      </w:pPr>
    </w:p>
    <w:p w14:paraId="096C04F0" w14:textId="77777777" w:rsidR="00550137" w:rsidRPr="00F32AFA" w:rsidRDefault="00550137" w:rsidP="00550137">
      <w:pPr>
        <w:pStyle w:val="BodytextAgency"/>
      </w:pPr>
    </w:p>
    <w:p w14:paraId="10061048" w14:textId="77777777" w:rsidR="00550137" w:rsidRPr="00F32AFA" w:rsidRDefault="00550137" w:rsidP="00550137">
      <w:pPr>
        <w:pStyle w:val="HeadingcentredAgency"/>
        <w:jc w:val="left"/>
      </w:pPr>
    </w:p>
    <w:p w14:paraId="58E265DA" w14:textId="22FFAC53" w:rsidR="008015A0" w:rsidRDefault="00550137" w:rsidP="005C098C">
      <w:pPr>
        <w:pStyle w:val="HeadingcentredAgency"/>
        <w:jc w:val="left"/>
      </w:pPr>
      <w:r w:rsidRPr="00F32AFA">
        <w:br w:type="page"/>
      </w:r>
      <w:bookmarkStart w:id="5" w:name="_Toc59634428"/>
      <w:bookmarkStart w:id="6" w:name="_Toc379986091"/>
      <w:r w:rsidRPr="00F32AFA">
        <w:lastRenderedPageBreak/>
        <w:t xml:space="preserve">Part II: </w:t>
      </w:r>
      <w:r w:rsidR="008015A0">
        <w:t xml:space="preserve">Safety </w:t>
      </w:r>
      <w:r w:rsidR="008015A0" w:rsidRPr="005C098C">
        <w:t>specification</w:t>
      </w:r>
      <w:bookmarkEnd w:id="5"/>
    </w:p>
    <w:p w14:paraId="2759B942" w14:textId="0E835A3B" w:rsidR="005A5FD2" w:rsidRDefault="00175D56" w:rsidP="00175D56">
      <w:pPr>
        <w:pStyle w:val="BodytextAgency"/>
      </w:pPr>
      <w:r w:rsidRPr="004C57FE">
        <w:rPr>
          <w:highlight w:val="cyan"/>
        </w:rPr>
        <w:t xml:space="preserve">&lt;For full details of the Safety specification for this product, please refer to the </w:t>
      </w:r>
      <w:r>
        <w:rPr>
          <w:highlight w:val="cyan"/>
        </w:rPr>
        <w:t>approved</w:t>
      </w:r>
      <w:r w:rsidRPr="004C57FE">
        <w:rPr>
          <w:highlight w:val="cyan"/>
        </w:rPr>
        <w:t xml:space="preserve"> RMP for</w:t>
      </w:r>
      <w:r>
        <w:rPr>
          <w:highlight w:val="cyan"/>
        </w:rPr>
        <w:t xml:space="preserve"> the marketing authorisation in the UK:</w:t>
      </w:r>
      <w:r w:rsidRPr="004C57FE">
        <w:rPr>
          <w:highlight w:val="cyan"/>
        </w:rPr>
        <w:t xml:space="preserve"> &lt;drug name&gt;&lt;version number and date of sign off&gt;</w:t>
      </w:r>
      <w:bookmarkStart w:id="7" w:name="_Toc379986109"/>
      <w:bookmarkEnd w:id="6"/>
    </w:p>
    <w:p w14:paraId="426E62B1" w14:textId="77777777" w:rsidR="005A5FD2" w:rsidRDefault="005A5FD2" w:rsidP="00550137">
      <w:pPr>
        <w:pStyle w:val="No-numheading3Agency"/>
        <w:tabs>
          <w:tab w:val="left" w:pos="1134"/>
        </w:tabs>
      </w:pPr>
    </w:p>
    <w:p w14:paraId="1CB0019E" w14:textId="2DB6A143" w:rsidR="00550137" w:rsidRPr="00F32AFA" w:rsidRDefault="00550137" w:rsidP="005C098C">
      <w:pPr>
        <w:pStyle w:val="HeadingcentredAgency"/>
        <w:jc w:val="left"/>
      </w:pPr>
      <w:bookmarkStart w:id="8" w:name="_Toc379986111"/>
      <w:bookmarkStart w:id="9" w:name="_Toc22933474"/>
      <w:bookmarkStart w:id="10" w:name="_Toc22933555"/>
      <w:bookmarkStart w:id="11" w:name="_Toc379986112"/>
      <w:bookmarkStart w:id="12" w:name="_Toc22933475"/>
      <w:bookmarkStart w:id="13" w:name="_Toc22933556"/>
      <w:bookmarkStart w:id="14" w:name="_Toc379986113"/>
      <w:bookmarkStart w:id="15" w:name="_Toc22933476"/>
      <w:bookmarkStart w:id="16" w:name="_Toc22933557"/>
      <w:bookmarkStart w:id="17" w:name="_Toc379986114"/>
      <w:bookmarkStart w:id="18" w:name="_Toc22933477"/>
      <w:bookmarkStart w:id="19" w:name="_Toc22933558"/>
      <w:bookmarkStart w:id="20" w:name="_Toc379986115"/>
      <w:bookmarkStart w:id="21" w:name="_Toc22933478"/>
      <w:bookmarkStart w:id="22" w:name="_Toc22933559"/>
      <w:bookmarkStart w:id="23" w:name="_Toc379986117"/>
      <w:bookmarkStart w:id="24" w:name="_Toc596344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32AFA">
        <w:t>Part II: Module SVIII - Summary of the safety concerns</w:t>
      </w:r>
      <w:bookmarkEnd w:id="23"/>
      <w:bookmarkEnd w:id="24"/>
      <w:r w:rsidRPr="00F32AFA">
        <w:t xml:space="preserve">   </w:t>
      </w:r>
    </w:p>
    <w:p w14:paraId="7BAC8C39" w14:textId="58574348" w:rsidR="00482E5D" w:rsidRPr="00EF791B" w:rsidRDefault="00550137" w:rsidP="00482E5D">
      <w:pPr>
        <w:pStyle w:val="DraftingNotesAgency"/>
        <w:rPr>
          <w:rFonts w:ascii="Verdana" w:hAnsi="Verdana"/>
          <w:color w:val="00B050"/>
          <w:sz w:val="18"/>
        </w:rPr>
      </w:pPr>
      <w:r w:rsidRPr="00EF791B">
        <w:rPr>
          <w:rFonts w:ascii="Verdana" w:hAnsi="Verdana"/>
          <w:color w:val="00B050"/>
          <w:sz w:val="18"/>
        </w:rPr>
        <w:t xml:space="preserve">A summary should be provided of each of the safety concerns identified in previous Modules of Part II. </w:t>
      </w:r>
    </w:p>
    <w:p w14:paraId="0C2ED4F6" w14:textId="3F97EF9B" w:rsidR="00482E5D" w:rsidRPr="00EF791B" w:rsidRDefault="00482E5D" w:rsidP="00482E5D">
      <w:pPr>
        <w:pStyle w:val="DraftingNotesAgency"/>
        <w:rPr>
          <w:rFonts w:ascii="Verdana" w:hAnsi="Verdana"/>
          <w:color w:val="00B050"/>
          <w:sz w:val="18"/>
        </w:rPr>
      </w:pPr>
      <w:r w:rsidRPr="00EF791B">
        <w:rPr>
          <w:rFonts w:ascii="Verdana" w:hAnsi="Verdana"/>
          <w:color w:val="00B050"/>
          <w:sz w:val="18"/>
        </w:rPr>
        <w:t xml:space="preserve">This module is applicable for all initial applications. </w:t>
      </w:r>
    </w:p>
    <w:p w14:paraId="0C11C813" w14:textId="4D39DB1E" w:rsidR="00550137" w:rsidRPr="00F32AFA" w:rsidRDefault="00482E5D" w:rsidP="008C25C4">
      <w:pPr>
        <w:pStyle w:val="TableheadingAgency"/>
        <w:numPr>
          <w:ilvl w:val="0"/>
          <w:numId w:val="0"/>
        </w:numPr>
        <w:rPr>
          <w:lang w:eastAsia="en-GB"/>
        </w:rPr>
      </w:pPr>
      <w:r w:rsidRPr="00260ED1">
        <w:rPr>
          <w:lang w:eastAsia="en-GB"/>
        </w:rPr>
        <w:t>Table SVIII.1</w:t>
      </w:r>
      <w:r>
        <w:rPr>
          <w:lang w:eastAsia="en-GB"/>
        </w:rPr>
        <w:t xml:space="preserve"> </w:t>
      </w:r>
      <w:r w:rsidR="00550137" w:rsidRPr="00F32AFA">
        <w:rPr>
          <w:lang w:eastAsia="en-GB"/>
        </w:rPr>
        <w:t>Summary of safety concerns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5037"/>
        <w:gridCol w:w="5038"/>
      </w:tblGrid>
      <w:tr w:rsidR="00550137" w:rsidRPr="00F32AFA" w14:paraId="119D199C" w14:textId="77777777" w:rsidTr="009D2607">
        <w:trPr>
          <w:tblHeader/>
        </w:trPr>
        <w:tc>
          <w:tcPr>
            <w:tcW w:w="5000" w:type="pct"/>
            <w:gridSpan w:val="2"/>
            <w:tcBorders>
              <w:top w:val="single" w:sz="4" w:space="0" w:color="auto"/>
              <w:left w:val="single" w:sz="4" w:space="0" w:color="auto"/>
              <w:bottom w:val="single" w:sz="4" w:space="0" w:color="auto"/>
              <w:right w:val="single" w:sz="4" w:space="0" w:color="auto"/>
            </w:tcBorders>
          </w:tcPr>
          <w:p w14:paraId="21353774" w14:textId="77777777" w:rsidR="00550137" w:rsidRPr="00F32AFA" w:rsidRDefault="00550137" w:rsidP="009D2607">
            <w:pPr>
              <w:pStyle w:val="TableheadingrowsAgency"/>
            </w:pPr>
            <w:r w:rsidRPr="00F32AFA">
              <w:t>Summary of safety concerns</w:t>
            </w:r>
          </w:p>
        </w:tc>
      </w:tr>
      <w:tr w:rsidR="00550137" w:rsidRPr="00F32AFA" w14:paraId="09399706" w14:textId="77777777" w:rsidTr="009D2607">
        <w:tc>
          <w:tcPr>
            <w:tcW w:w="2500" w:type="pct"/>
            <w:tcBorders>
              <w:top w:val="single" w:sz="6" w:space="0" w:color="auto"/>
              <w:left w:val="single" w:sz="4" w:space="0" w:color="auto"/>
              <w:bottom w:val="single" w:sz="6" w:space="0" w:color="auto"/>
              <w:right w:val="single" w:sz="6" w:space="0" w:color="auto"/>
            </w:tcBorders>
          </w:tcPr>
          <w:p w14:paraId="52EC3F8D" w14:textId="77777777" w:rsidR="00550137" w:rsidRPr="00F32AFA" w:rsidRDefault="00550137" w:rsidP="009D2607">
            <w:pPr>
              <w:pStyle w:val="TabletextrowsAgency"/>
              <w:rPr>
                <w:lang w:eastAsia="en-GB"/>
              </w:rPr>
            </w:pPr>
            <w:r w:rsidRPr="00F32AFA">
              <w:rPr>
                <w:lang w:eastAsia="en-GB"/>
              </w:rPr>
              <w:t>Important identified risks</w:t>
            </w:r>
          </w:p>
        </w:tc>
        <w:tc>
          <w:tcPr>
            <w:tcW w:w="2500" w:type="pct"/>
            <w:tcBorders>
              <w:top w:val="single" w:sz="6" w:space="0" w:color="auto"/>
              <w:left w:val="single" w:sz="6" w:space="0" w:color="auto"/>
              <w:bottom w:val="single" w:sz="6" w:space="0" w:color="auto"/>
              <w:right w:val="single" w:sz="4" w:space="0" w:color="auto"/>
            </w:tcBorders>
          </w:tcPr>
          <w:p w14:paraId="4C4EE1CF" w14:textId="77777777" w:rsidR="00550137" w:rsidRPr="00F32AFA" w:rsidRDefault="00550137" w:rsidP="009D2607">
            <w:pPr>
              <w:pStyle w:val="TabletextrowsAgency"/>
              <w:rPr>
                <w:i/>
                <w:iCs/>
                <w:lang w:eastAsia="en-GB"/>
              </w:rPr>
            </w:pPr>
            <w:r w:rsidRPr="00F32AFA">
              <w:rPr>
                <w:lang w:eastAsia="en-GB"/>
              </w:rPr>
              <w:t>&lt;&gt; List</w:t>
            </w:r>
          </w:p>
        </w:tc>
      </w:tr>
      <w:tr w:rsidR="00550137" w:rsidRPr="00F32AFA" w14:paraId="3D7A1A36" w14:textId="77777777" w:rsidTr="009D2607">
        <w:tc>
          <w:tcPr>
            <w:tcW w:w="2500" w:type="pct"/>
            <w:tcBorders>
              <w:top w:val="single" w:sz="6" w:space="0" w:color="auto"/>
              <w:left w:val="single" w:sz="4" w:space="0" w:color="auto"/>
              <w:bottom w:val="single" w:sz="6" w:space="0" w:color="auto"/>
              <w:right w:val="single" w:sz="6" w:space="0" w:color="auto"/>
            </w:tcBorders>
          </w:tcPr>
          <w:p w14:paraId="016365F9" w14:textId="28A20C4E" w:rsidR="00550137" w:rsidRPr="00F32AFA" w:rsidRDefault="00550137" w:rsidP="009D2607">
            <w:pPr>
              <w:pStyle w:val="TabletextrowsAgency"/>
              <w:rPr>
                <w:lang w:eastAsia="en-GB"/>
              </w:rPr>
            </w:pPr>
            <w:r w:rsidRPr="00F32AFA">
              <w:rPr>
                <w:lang w:eastAsia="en-GB"/>
              </w:rPr>
              <w:t>Important potential risks</w:t>
            </w:r>
          </w:p>
        </w:tc>
        <w:tc>
          <w:tcPr>
            <w:tcW w:w="2500" w:type="pct"/>
            <w:tcBorders>
              <w:top w:val="single" w:sz="6" w:space="0" w:color="auto"/>
              <w:left w:val="single" w:sz="6" w:space="0" w:color="auto"/>
              <w:bottom w:val="single" w:sz="6" w:space="0" w:color="auto"/>
              <w:right w:val="single" w:sz="4" w:space="0" w:color="auto"/>
            </w:tcBorders>
          </w:tcPr>
          <w:p w14:paraId="5D4BBC0D" w14:textId="77777777" w:rsidR="00550137" w:rsidRPr="00F32AFA" w:rsidRDefault="00550137" w:rsidP="009D2607">
            <w:pPr>
              <w:pStyle w:val="TabletextrowsAgency"/>
              <w:rPr>
                <w:lang w:eastAsia="en-GB"/>
              </w:rPr>
            </w:pPr>
            <w:r w:rsidRPr="00F32AFA">
              <w:rPr>
                <w:lang w:eastAsia="en-GB"/>
              </w:rPr>
              <w:t>&lt;&gt; List</w:t>
            </w:r>
          </w:p>
        </w:tc>
      </w:tr>
      <w:tr w:rsidR="00550137" w:rsidRPr="00F32AFA" w14:paraId="1C146426" w14:textId="77777777" w:rsidTr="009D2607">
        <w:tc>
          <w:tcPr>
            <w:tcW w:w="2500" w:type="pct"/>
            <w:tcBorders>
              <w:top w:val="single" w:sz="6" w:space="0" w:color="auto"/>
              <w:left w:val="single" w:sz="4" w:space="0" w:color="auto"/>
              <w:bottom w:val="single" w:sz="4" w:space="0" w:color="auto"/>
              <w:right w:val="single" w:sz="6" w:space="0" w:color="auto"/>
            </w:tcBorders>
          </w:tcPr>
          <w:p w14:paraId="104C669B" w14:textId="77777777" w:rsidR="00550137" w:rsidRPr="00F32AFA" w:rsidRDefault="00550137" w:rsidP="009D2607">
            <w:pPr>
              <w:pStyle w:val="TabletextrowsAgency"/>
              <w:rPr>
                <w:lang w:eastAsia="en-GB"/>
              </w:rPr>
            </w:pPr>
            <w:r w:rsidRPr="00F32AFA">
              <w:rPr>
                <w:lang w:eastAsia="en-GB"/>
              </w:rPr>
              <w:t>Missing information</w:t>
            </w:r>
          </w:p>
        </w:tc>
        <w:tc>
          <w:tcPr>
            <w:tcW w:w="2500" w:type="pct"/>
            <w:tcBorders>
              <w:top w:val="single" w:sz="6" w:space="0" w:color="auto"/>
              <w:left w:val="single" w:sz="6" w:space="0" w:color="auto"/>
              <w:bottom w:val="single" w:sz="4" w:space="0" w:color="auto"/>
              <w:right w:val="single" w:sz="4" w:space="0" w:color="auto"/>
            </w:tcBorders>
          </w:tcPr>
          <w:p w14:paraId="5E090BBE" w14:textId="77777777" w:rsidR="00550137" w:rsidRPr="00F32AFA" w:rsidRDefault="00550137" w:rsidP="009D2607">
            <w:pPr>
              <w:pStyle w:val="TabletextrowsAgency"/>
              <w:rPr>
                <w:lang w:eastAsia="en-GB"/>
              </w:rPr>
            </w:pPr>
            <w:r w:rsidRPr="00F32AFA">
              <w:rPr>
                <w:lang w:eastAsia="en-GB"/>
              </w:rPr>
              <w:t>&lt;&gt; List</w:t>
            </w:r>
          </w:p>
        </w:tc>
      </w:tr>
    </w:tbl>
    <w:p w14:paraId="5552BD67" w14:textId="77777777" w:rsidR="00550137" w:rsidRPr="00F32AFA" w:rsidRDefault="00550137" w:rsidP="00550137">
      <w:pPr>
        <w:pStyle w:val="BodytextAgency"/>
      </w:pPr>
    </w:p>
    <w:p w14:paraId="6238E9B7" w14:textId="77777777" w:rsidR="00550137" w:rsidRPr="00F32AFA" w:rsidRDefault="00550137" w:rsidP="00550137">
      <w:pPr>
        <w:pStyle w:val="BodytextAgency"/>
      </w:pPr>
    </w:p>
    <w:p w14:paraId="3C6AEE64" w14:textId="77777777" w:rsidR="00550137" w:rsidRPr="00F32AFA" w:rsidRDefault="00550137" w:rsidP="00550137">
      <w:pPr>
        <w:pStyle w:val="HeadingcentredAgency"/>
        <w:jc w:val="left"/>
      </w:pPr>
      <w:r w:rsidRPr="00F32AFA">
        <w:br w:type="page"/>
      </w:r>
      <w:bookmarkStart w:id="25" w:name="_Toc379986118"/>
      <w:bookmarkStart w:id="26" w:name="_Toc59634430"/>
      <w:r w:rsidRPr="00F32AFA">
        <w:lastRenderedPageBreak/>
        <w:t>Part III: Pharmacovigilance Plan</w:t>
      </w:r>
      <w:bookmarkEnd w:id="25"/>
      <w:bookmarkEnd w:id="26"/>
    </w:p>
    <w:p w14:paraId="6D485528" w14:textId="77777777" w:rsidR="00550137" w:rsidRPr="00EF791B" w:rsidRDefault="00550137" w:rsidP="00550137">
      <w:pPr>
        <w:pStyle w:val="BodytextAgency"/>
        <w:pBdr>
          <w:top w:val="single" w:sz="4" w:space="1" w:color="auto"/>
          <w:left w:val="single" w:sz="4" w:space="4" w:color="auto"/>
          <w:bottom w:val="single" w:sz="4" w:space="1" w:color="auto"/>
          <w:right w:val="single" w:sz="4" w:space="4" w:color="auto"/>
        </w:pBdr>
        <w:rPr>
          <w:i/>
          <w:iCs/>
          <w:color w:val="00B050"/>
        </w:rPr>
      </w:pPr>
      <w:r w:rsidRPr="00EF791B">
        <w:rPr>
          <w:i/>
          <w:iCs/>
          <w:color w:val="00B050"/>
        </w:rPr>
        <w:t>The Pharmacovigilance plan (</w:t>
      </w:r>
      <w:proofErr w:type="spellStart"/>
      <w:r w:rsidRPr="00EF791B">
        <w:rPr>
          <w:i/>
          <w:iCs/>
          <w:color w:val="00B050"/>
        </w:rPr>
        <w:t>PhV</w:t>
      </w:r>
      <w:proofErr w:type="spellEnd"/>
      <w:r w:rsidRPr="00EF791B">
        <w:rPr>
          <w:i/>
          <w:iCs/>
          <w:color w:val="00B050"/>
        </w:rPr>
        <w:t xml:space="preserve"> Plan) provides details of pharmacovigilance activities which are intended to identify and/or characterise safety concerns</w:t>
      </w:r>
      <w:r w:rsidR="00E8197C" w:rsidRPr="00EF791B">
        <w:rPr>
          <w:i/>
          <w:iCs/>
          <w:color w:val="00B050"/>
        </w:rPr>
        <w:t xml:space="preserve"> with a focus on use of the product under EAMS</w:t>
      </w:r>
      <w:r w:rsidRPr="00EF791B">
        <w:rPr>
          <w:i/>
          <w:iCs/>
          <w:color w:val="00B050"/>
        </w:rPr>
        <w:t xml:space="preserve">.  What is required will depend upon the nature of the medicine, the target population, the number of safety concerns and where the medicine is in its </w:t>
      </w:r>
      <w:proofErr w:type="gramStart"/>
      <w:r w:rsidRPr="00EF791B">
        <w:rPr>
          <w:i/>
          <w:iCs/>
          <w:color w:val="00B050"/>
        </w:rPr>
        <w:t>life-cycle</w:t>
      </w:r>
      <w:proofErr w:type="gramEnd"/>
      <w:r w:rsidRPr="00EF791B">
        <w:rPr>
          <w:i/>
          <w:iCs/>
          <w:color w:val="00B050"/>
        </w:rPr>
        <w:t xml:space="preserve">.  A </w:t>
      </w:r>
      <w:proofErr w:type="spellStart"/>
      <w:r w:rsidRPr="00EF791B">
        <w:rPr>
          <w:i/>
          <w:iCs/>
          <w:color w:val="00B050"/>
        </w:rPr>
        <w:t>PhV</w:t>
      </w:r>
      <w:proofErr w:type="spellEnd"/>
      <w:r w:rsidRPr="00EF791B">
        <w:rPr>
          <w:i/>
          <w:iCs/>
          <w:color w:val="00B050"/>
        </w:rPr>
        <w:t xml:space="preserve"> Plan may also include details of studies to measure the effectiveness of risk minimisation measures for important measures where a formal study is required.  </w:t>
      </w:r>
    </w:p>
    <w:p w14:paraId="0FFD7977" w14:textId="63DB1AF5" w:rsidR="0005747E" w:rsidRPr="00EF791B" w:rsidRDefault="00550137" w:rsidP="00550137">
      <w:pPr>
        <w:pStyle w:val="BodytextAgency"/>
        <w:pBdr>
          <w:top w:val="single" w:sz="4" w:space="1" w:color="auto"/>
          <w:left w:val="single" w:sz="4" w:space="4" w:color="auto"/>
          <w:bottom w:val="single" w:sz="4" w:space="1" w:color="auto"/>
          <w:right w:val="single" w:sz="4" w:space="4" w:color="auto"/>
        </w:pBdr>
        <w:rPr>
          <w:i/>
          <w:iCs/>
          <w:color w:val="00B050"/>
        </w:rPr>
      </w:pPr>
      <w:r w:rsidRPr="00EF791B">
        <w:rPr>
          <w:i/>
          <w:iCs/>
          <w:color w:val="00B050"/>
        </w:rPr>
        <w:t>For products with a positive Opinion through EAMS, a</w:t>
      </w:r>
      <w:r w:rsidR="00BF0BB7" w:rsidRPr="00EF791B">
        <w:rPr>
          <w:i/>
          <w:iCs/>
          <w:color w:val="00B050"/>
        </w:rPr>
        <w:t xml:space="preserve"> means of proactive safety data collection, </w:t>
      </w:r>
      <w:proofErr w:type="spellStart"/>
      <w:r w:rsidR="00BF0BB7" w:rsidRPr="00EF791B">
        <w:rPr>
          <w:i/>
          <w:iCs/>
          <w:color w:val="00B050"/>
        </w:rPr>
        <w:t>eg</w:t>
      </w:r>
      <w:proofErr w:type="spellEnd"/>
      <w:r w:rsidR="00BF0BB7" w:rsidRPr="00EF791B">
        <w:rPr>
          <w:i/>
          <w:iCs/>
          <w:color w:val="00B050"/>
        </w:rPr>
        <w:t xml:space="preserve"> in the form of a registry, </w:t>
      </w:r>
      <w:r w:rsidRPr="00EF791B">
        <w:rPr>
          <w:i/>
          <w:iCs/>
          <w:color w:val="00B050"/>
        </w:rPr>
        <w:t xml:space="preserve">will be required. </w:t>
      </w:r>
      <w:r w:rsidR="009D4DAC" w:rsidRPr="00EF791B">
        <w:rPr>
          <w:i/>
          <w:iCs/>
          <w:color w:val="00B050"/>
        </w:rPr>
        <w:t xml:space="preserve"> For further information on the registry requirements, please see the </w:t>
      </w:r>
      <w:bookmarkStart w:id="27" w:name="_Hlk23252803"/>
      <w:r w:rsidR="00842DD1" w:rsidRPr="00EF791B">
        <w:rPr>
          <w:i/>
          <w:iCs/>
          <w:color w:val="00B050"/>
        </w:rPr>
        <w:t>published g</w:t>
      </w:r>
      <w:r w:rsidR="009D4DAC" w:rsidRPr="00EF791B">
        <w:rPr>
          <w:i/>
          <w:iCs/>
          <w:color w:val="00B050"/>
        </w:rPr>
        <w:t xml:space="preserve">uidance for applicants for the Early Access to Medicines Scheme (EAMS): </w:t>
      </w:r>
      <w:hyperlink r:id="rId18" w:history="1">
        <w:r w:rsidR="00842DD1" w:rsidRPr="00EF791B">
          <w:rPr>
            <w:rStyle w:val="Hyperlink"/>
            <w:i/>
            <w:iCs/>
            <w:color w:val="00B050"/>
          </w:rPr>
          <w:t>https://www.gov.uk/guidance/apply-for-the-early-access-to-medicines-scheme-eams</w:t>
        </w:r>
      </w:hyperlink>
      <w:r w:rsidR="0005747E" w:rsidRPr="00EF791B">
        <w:rPr>
          <w:i/>
          <w:iCs/>
          <w:color w:val="00B050"/>
        </w:rPr>
        <w:t>.</w:t>
      </w:r>
    </w:p>
    <w:p w14:paraId="5FEABCAA" w14:textId="190D1D1F" w:rsidR="00550137" w:rsidRPr="002C4DFC" w:rsidRDefault="0005747E" w:rsidP="00550137">
      <w:pPr>
        <w:pStyle w:val="BodytextAgency"/>
        <w:pBdr>
          <w:top w:val="single" w:sz="4" w:space="1" w:color="auto"/>
          <w:left w:val="single" w:sz="4" w:space="4" w:color="auto"/>
          <w:bottom w:val="single" w:sz="4" w:space="1" w:color="auto"/>
          <w:right w:val="single" w:sz="4" w:space="4" w:color="auto"/>
        </w:pBdr>
        <w:rPr>
          <w:i/>
          <w:iCs/>
          <w:color w:val="00B050"/>
        </w:rPr>
      </w:pPr>
      <w:r w:rsidRPr="00EF791B">
        <w:rPr>
          <w:i/>
          <w:iCs/>
          <w:color w:val="00B050"/>
        </w:rPr>
        <w:t>Depending upon the safety concern</w:t>
      </w:r>
      <w:r w:rsidR="001E5072">
        <w:rPr>
          <w:i/>
          <w:iCs/>
          <w:color w:val="00B050"/>
        </w:rPr>
        <w:t>s</w:t>
      </w:r>
      <w:r w:rsidRPr="00EF791B">
        <w:rPr>
          <w:i/>
          <w:iCs/>
          <w:color w:val="00B050"/>
        </w:rPr>
        <w:t xml:space="preserve">, and areas to be investigated, a </w:t>
      </w:r>
      <w:proofErr w:type="spellStart"/>
      <w:r w:rsidRPr="00EF791B">
        <w:rPr>
          <w:i/>
          <w:iCs/>
          <w:color w:val="00B050"/>
        </w:rPr>
        <w:t>PhV</w:t>
      </w:r>
      <w:proofErr w:type="spellEnd"/>
      <w:r w:rsidRPr="00EF791B">
        <w:rPr>
          <w:i/>
          <w:iCs/>
          <w:color w:val="00B050"/>
        </w:rPr>
        <w:t xml:space="preserve"> Plan may include other types of epidemiological (non-interventional) studies (such as cohort, case control, drug utilisation etc.) but may also include interventional studies or more rarely pre-clinical activities (such as PK/PD, clinical trials, in vivo or in vitro studies).  Further information on post authorisation safety studies is given in GVP Module VIII.</w:t>
      </w:r>
      <w:r w:rsidR="009D4DAC" w:rsidRPr="00EF791B">
        <w:rPr>
          <w:i/>
          <w:iCs/>
          <w:color w:val="00B050"/>
        </w:rPr>
        <w:t xml:space="preserve">  </w:t>
      </w:r>
    </w:p>
    <w:p w14:paraId="4B54A883" w14:textId="310E69EB" w:rsidR="003D6DF4" w:rsidRPr="00F32AFA" w:rsidRDefault="003D6DF4" w:rsidP="003D6DF4">
      <w:pPr>
        <w:pStyle w:val="No-numheading3Agency"/>
        <w:tabs>
          <w:tab w:val="left" w:pos="1134"/>
        </w:tabs>
      </w:pPr>
      <w:bookmarkStart w:id="28" w:name="_Toc59634431"/>
      <w:bookmarkStart w:id="29" w:name="_Toc379986119"/>
      <w:bookmarkEnd w:id="27"/>
      <w:r w:rsidRPr="00F32AFA">
        <w:t>III.1</w:t>
      </w:r>
      <w:r w:rsidRPr="00F32AFA">
        <w:tab/>
      </w:r>
      <w:r w:rsidRPr="00A00D9D">
        <w:t>Routine pharmacovigilance activities</w:t>
      </w:r>
      <w:bookmarkEnd w:id="28"/>
      <w:r w:rsidRPr="00A00D9D">
        <w:t xml:space="preserve">   </w:t>
      </w:r>
    </w:p>
    <w:p w14:paraId="65E88EF6" w14:textId="085C99B1" w:rsidR="004B6595" w:rsidRPr="00101B6A" w:rsidRDefault="00652D6E" w:rsidP="004B6595">
      <w:pPr>
        <w:pStyle w:val="DraftingNotesAgency"/>
        <w:rPr>
          <w:rFonts w:ascii="Verdana" w:hAnsi="Verdana"/>
          <w:sz w:val="18"/>
          <w:highlight w:val="cyan"/>
        </w:rPr>
      </w:pPr>
      <w:r w:rsidRPr="00EF791B">
        <w:rPr>
          <w:rFonts w:ascii="Verdana" w:hAnsi="Verdana"/>
          <w:color w:val="00B050"/>
          <w:sz w:val="18"/>
          <w:highlight w:val="cyan"/>
        </w:rPr>
        <w:t xml:space="preserve">Include a statement to describe the routine pharmacovigilance activities.  This should confirm that a PSMF is in place and that </w:t>
      </w:r>
      <w:r w:rsidR="00243CA2" w:rsidRPr="00EF791B">
        <w:rPr>
          <w:rFonts w:ascii="Verdana" w:hAnsi="Verdana"/>
          <w:color w:val="00B050"/>
          <w:sz w:val="18"/>
          <w:highlight w:val="cyan"/>
        </w:rPr>
        <w:t>adverse events/adverse drug reaction</w:t>
      </w:r>
      <w:r w:rsidRPr="00EF791B">
        <w:rPr>
          <w:rFonts w:ascii="Verdana" w:hAnsi="Verdana"/>
          <w:color w:val="00B050"/>
          <w:sz w:val="18"/>
          <w:highlight w:val="cyan"/>
        </w:rPr>
        <w:t xml:space="preserve"> reports will be managed and reported in line with the Good Vigilance Practice Module VI</w:t>
      </w:r>
      <w:r w:rsidR="009D6B87">
        <w:rPr>
          <w:rFonts w:ascii="Verdana" w:hAnsi="Verdana"/>
          <w:color w:val="00B050"/>
          <w:sz w:val="18"/>
          <w:highlight w:val="cyan"/>
        </w:rPr>
        <w:t xml:space="preserve">, MHRA guidance on </w:t>
      </w:r>
      <w:r w:rsidR="009D6B87" w:rsidRPr="009D6B87">
        <w:rPr>
          <w:rFonts w:ascii="Verdana" w:hAnsi="Verdana"/>
          <w:color w:val="00B050"/>
          <w:sz w:val="18"/>
          <w:highlight w:val="cyan"/>
        </w:rPr>
        <w:t>the exceptions and modifications to the EU guidance on GVP</w:t>
      </w:r>
      <w:r w:rsidR="009D6B87" w:rsidRPr="009D6B87">
        <w:rPr>
          <w:rStyle w:val="FootnoteReference"/>
          <w:color w:val="00B050"/>
          <w:sz w:val="18"/>
          <w:highlight w:val="cyan"/>
        </w:rPr>
        <w:footnoteReference w:id="4"/>
      </w:r>
      <w:r w:rsidR="009D6B87" w:rsidRPr="009D6B87">
        <w:rPr>
          <w:rFonts w:ascii="Verdana" w:hAnsi="Verdana"/>
          <w:color w:val="00B050"/>
          <w:sz w:val="18"/>
          <w:highlight w:val="cyan"/>
        </w:rPr>
        <w:t xml:space="preserve"> </w:t>
      </w:r>
      <w:r w:rsidR="00243CA2" w:rsidRPr="009D6B87">
        <w:rPr>
          <w:rFonts w:ascii="Verdana" w:hAnsi="Verdana"/>
          <w:color w:val="00B050"/>
          <w:sz w:val="18"/>
          <w:highlight w:val="cyan"/>
        </w:rPr>
        <w:t xml:space="preserve">and the requirements on reporting for EAMS as described </w:t>
      </w:r>
      <w:r w:rsidR="00243CA2" w:rsidRPr="00EF791B">
        <w:rPr>
          <w:rFonts w:ascii="Verdana" w:hAnsi="Verdana"/>
          <w:color w:val="00B050"/>
          <w:sz w:val="18"/>
          <w:highlight w:val="cyan"/>
        </w:rPr>
        <w:t>in</w:t>
      </w:r>
      <w:r w:rsidR="00842DD1" w:rsidRPr="00EF791B">
        <w:rPr>
          <w:rFonts w:ascii="Verdana" w:hAnsi="Verdana"/>
          <w:color w:val="00B050"/>
          <w:sz w:val="18"/>
          <w:highlight w:val="cyan"/>
        </w:rPr>
        <w:t xml:space="preserve"> the published guidance</w:t>
      </w:r>
      <w:r w:rsidR="00842DD1" w:rsidRPr="007901B6">
        <w:rPr>
          <w:rFonts w:ascii="Verdana" w:hAnsi="Verdana"/>
          <w:sz w:val="18"/>
          <w:highlight w:val="cyan"/>
        </w:rPr>
        <w:t xml:space="preserve"> </w:t>
      </w:r>
      <w:r w:rsidR="00842DD1" w:rsidRPr="00101B6A">
        <w:rPr>
          <w:rFonts w:ascii="Verdana" w:hAnsi="Verdana"/>
          <w:sz w:val="18"/>
          <w:highlight w:val="cyan"/>
        </w:rPr>
        <w:t>(</w:t>
      </w:r>
      <w:hyperlink r:id="rId19" w:history="1">
        <w:r w:rsidR="00101B6A" w:rsidRPr="00B77D73">
          <w:rPr>
            <w:rStyle w:val="Hyperlink"/>
            <w:rFonts w:ascii="Verdana" w:hAnsi="Verdana"/>
            <w:sz w:val="18"/>
            <w:highlight w:val="cyan"/>
          </w:rPr>
          <w:t>https://www.gov.uk/guidance/apply-for-the-early-access-to-medicines-scheme-eams#scientific-opinion</w:t>
        </w:r>
      </w:hyperlink>
      <w:r w:rsidR="00101B6A">
        <w:rPr>
          <w:rFonts w:ascii="Verdana" w:hAnsi="Verdana"/>
          <w:sz w:val="18"/>
          <w:highlight w:val="cyan"/>
        </w:rPr>
        <w:t>)</w:t>
      </w:r>
      <w:r w:rsidRPr="00101B6A">
        <w:rPr>
          <w:rFonts w:ascii="Verdana" w:hAnsi="Verdana"/>
          <w:sz w:val="18"/>
          <w:highlight w:val="cyan"/>
        </w:rPr>
        <w:t>.</w:t>
      </w:r>
      <w:r w:rsidR="004B6595" w:rsidRPr="00101B6A">
        <w:rPr>
          <w:rFonts w:ascii="Verdana" w:hAnsi="Verdana"/>
          <w:sz w:val="18"/>
          <w:highlight w:val="cyan"/>
        </w:rPr>
        <w:t xml:space="preserve"> </w:t>
      </w:r>
      <w:r w:rsidR="004B6595" w:rsidRPr="00EF791B">
        <w:rPr>
          <w:rFonts w:ascii="Verdana" w:hAnsi="Verdana"/>
          <w:color w:val="00B050"/>
          <w:sz w:val="18"/>
          <w:highlight w:val="cyan"/>
        </w:rPr>
        <w:t>The following statements should be included</w:t>
      </w:r>
      <w:r w:rsidR="00842DD1" w:rsidRPr="00EF791B">
        <w:rPr>
          <w:rFonts w:ascii="Verdana" w:hAnsi="Verdana"/>
          <w:color w:val="00B050"/>
          <w:sz w:val="18"/>
          <w:highlight w:val="cyan"/>
        </w:rPr>
        <w:t xml:space="preserve"> as applicable</w:t>
      </w:r>
    </w:p>
    <w:p w14:paraId="5B1E0716" w14:textId="07A64DA7" w:rsidR="004B6595" w:rsidRPr="007901B6" w:rsidRDefault="004B6595" w:rsidP="008C25C4">
      <w:pPr>
        <w:pStyle w:val="BodytextAgency"/>
        <w:ind w:left="720"/>
        <w:rPr>
          <w:highlight w:val="cyan"/>
        </w:rPr>
      </w:pPr>
      <w:r w:rsidRPr="007901B6">
        <w:rPr>
          <w:highlight w:val="cyan"/>
        </w:rPr>
        <w:t xml:space="preserve">&lt;A pharmacovigilance system as described in the pharmacovigilance system master file is in place to support the pharmacovigilance tasks in relation to the product(s) concerned&gt;    </w:t>
      </w:r>
    </w:p>
    <w:p w14:paraId="2B432C1D" w14:textId="163C5E14" w:rsidR="00842DD1" w:rsidRPr="00EF791B" w:rsidRDefault="00842DD1" w:rsidP="00842DD1">
      <w:pPr>
        <w:pStyle w:val="DraftingNotesAgency"/>
        <w:rPr>
          <w:rFonts w:ascii="Verdana" w:hAnsi="Verdana" w:cstheme="minorHAnsi"/>
          <w:color w:val="00B050"/>
          <w:sz w:val="18"/>
          <w:highlight w:val="cyan"/>
        </w:rPr>
      </w:pPr>
      <w:r w:rsidRPr="00EF791B">
        <w:rPr>
          <w:rFonts w:ascii="Verdana" w:hAnsi="Verdana" w:cstheme="minorHAnsi"/>
          <w:color w:val="00B050"/>
          <w:sz w:val="18"/>
          <w:highlight w:val="cyan"/>
        </w:rPr>
        <w:t xml:space="preserve">For an EAMS product with </w:t>
      </w:r>
      <w:r w:rsidR="00F90F4A">
        <w:rPr>
          <w:rFonts w:ascii="Verdana" w:hAnsi="Verdana" w:cstheme="minorHAnsi"/>
          <w:color w:val="00B050"/>
          <w:sz w:val="18"/>
          <w:highlight w:val="cyan"/>
        </w:rPr>
        <w:t xml:space="preserve">nationally </w:t>
      </w:r>
      <w:r w:rsidRPr="00EF791B">
        <w:rPr>
          <w:rFonts w:ascii="Verdana" w:hAnsi="Verdana" w:cstheme="minorHAnsi"/>
          <w:color w:val="00B050"/>
          <w:sz w:val="18"/>
          <w:highlight w:val="cyan"/>
        </w:rPr>
        <w:t xml:space="preserve">licensed indication(s) in the </w:t>
      </w:r>
      <w:r w:rsidRPr="005C6E7A">
        <w:rPr>
          <w:rFonts w:ascii="Verdana" w:hAnsi="Verdana" w:cstheme="minorHAnsi"/>
          <w:color w:val="00B050"/>
          <w:sz w:val="18"/>
          <w:highlight w:val="cyan"/>
        </w:rPr>
        <w:t>UK</w:t>
      </w:r>
      <w:r w:rsidR="002C4DFC" w:rsidRPr="005C6E7A">
        <w:rPr>
          <w:rFonts w:ascii="Verdana" w:hAnsi="Verdana" w:cstheme="minorHAnsi"/>
          <w:color w:val="00B050"/>
          <w:sz w:val="18"/>
          <w:highlight w:val="cyan"/>
        </w:rPr>
        <w:t xml:space="preserve"> (including in Great Britain and/or Northern Ireland</w:t>
      </w:r>
      <w:r w:rsidR="001C773B" w:rsidRPr="005C6E7A">
        <w:rPr>
          <w:rFonts w:ascii="Verdana" w:hAnsi="Verdana" w:cstheme="minorHAnsi"/>
          <w:color w:val="00B050"/>
          <w:sz w:val="18"/>
          <w:highlight w:val="cyan"/>
        </w:rPr>
        <w:t>)</w:t>
      </w:r>
      <w:r w:rsidRPr="005C6E7A">
        <w:rPr>
          <w:rFonts w:ascii="Verdana" w:hAnsi="Verdana" w:cstheme="minorHAnsi"/>
          <w:color w:val="00B050"/>
          <w:sz w:val="18"/>
          <w:highlight w:val="cyan"/>
        </w:rPr>
        <w:t xml:space="preserve">: </w:t>
      </w:r>
    </w:p>
    <w:p w14:paraId="199A840D" w14:textId="330FE43C" w:rsidR="00842DD1" w:rsidRPr="00F90F4A" w:rsidRDefault="00F90F4A" w:rsidP="007901B6">
      <w:pPr>
        <w:pStyle w:val="BodytextAgency"/>
        <w:ind w:left="720"/>
        <w:rPr>
          <w:highlight w:val="cyan"/>
        </w:rPr>
      </w:pPr>
      <w:r w:rsidRPr="00F90F4A">
        <w:rPr>
          <w:highlight w:val="cyan"/>
        </w:rPr>
        <w:t xml:space="preserve">&lt;As per the Human Medicines Regulations 2012 as amended (HMR), regulation 188(1), all serious suspected adverse drug reactions (ADRs) are reported to MHRA within 15 calendar days of receipt and all non-serious suspected ADRs that occur in the UK are reported to MHRA within 90 calendar days of receipt. </w:t>
      </w:r>
      <w:bookmarkStart w:id="30" w:name="_Hlk73021105"/>
      <w:r w:rsidRPr="00F90F4A">
        <w:rPr>
          <w:highlight w:val="cyan"/>
        </w:rPr>
        <w:t>This includes suspected ADRs that arise from use of the product within or outside the terms of the marketing authorisation or from occupational exposure</w:t>
      </w:r>
      <w:bookmarkEnd w:id="30"/>
      <w:r w:rsidR="00C73E1C">
        <w:rPr>
          <w:highlight w:val="cyan"/>
        </w:rPr>
        <w:t>.</w:t>
      </w:r>
      <w:r w:rsidRPr="00F90F4A">
        <w:rPr>
          <w:highlight w:val="cyan"/>
        </w:rPr>
        <w:t xml:space="preserve">&gt; </w:t>
      </w:r>
      <w:r w:rsidR="00842DD1" w:rsidRPr="00F90F4A">
        <w:rPr>
          <w:highlight w:val="cyan"/>
        </w:rPr>
        <w:t xml:space="preserve"> </w:t>
      </w:r>
    </w:p>
    <w:p w14:paraId="5E65088D" w14:textId="671C9975" w:rsidR="00842DD1" w:rsidRPr="00EF791B" w:rsidRDefault="00842DD1" w:rsidP="00842DD1">
      <w:pPr>
        <w:pStyle w:val="DraftingNotesAgency"/>
        <w:rPr>
          <w:rFonts w:ascii="Verdana" w:hAnsi="Verdana"/>
          <w:color w:val="00B050"/>
          <w:sz w:val="18"/>
          <w:highlight w:val="cyan"/>
        </w:rPr>
      </w:pPr>
      <w:r w:rsidRPr="00EF791B">
        <w:rPr>
          <w:rFonts w:ascii="Verdana" w:hAnsi="Verdana"/>
          <w:color w:val="00B050"/>
          <w:sz w:val="18"/>
          <w:highlight w:val="cyan"/>
        </w:rPr>
        <w:t>For an EAMS product with no</w:t>
      </w:r>
      <w:r w:rsidR="00F90F4A">
        <w:rPr>
          <w:rFonts w:ascii="Verdana" w:hAnsi="Verdana"/>
          <w:color w:val="00B050"/>
          <w:sz w:val="18"/>
          <w:highlight w:val="cyan"/>
        </w:rPr>
        <w:t xml:space="preserve"> nationally</w:t>
      </w:r>
      <w:r w:rsidRPr="00EF791B">
        <w:rPr>
          <w:rFonts w:ascii="Verdana" w:hAnsi="Verdana"/>
          <w:color w:val="00B050"/>
          <w:sz w:val="18"/>
          <w:highlight w:val="cyan"/>
        </w:rPr>
        <w:t xml:space="preserve"> licensed indication(s) in UK</w:t>
      </w:r>
      <w:r w:rsidR="00C73E1C">
        <w:rPr>
          <w:rFonts w:ascii="Verdana" w:hAnsi="Verdana"/>
          <w:color w:val="00B050"/>
          <w:sz w:val="18"/>
          <w:highlight w:val="cyan"/>
        </w:rPr>
        <w:t xml:space="preserve"> (the full RMP template should be used in this situation) </w:t>
      </w:r>
      <w:r w:rsidRPr="00EF791B">
        <w:rPr>
          <w:rFonts w:ascii="Verdana" w:hAnsi="Verdana"/>
          <w:color w:val="00B050"/>
          <w:sz w:val="18"/>
          <w:highlight w:val="cyan"/>
        </w:rPr>
        <w:t xml:space="preserve">: </w:t>
      </w:r>
    </w:p>
    <w:p w14:paraId="3B708B4C" w14:textId="28DD1EBC" w:rsidR="00842DD1" w:rsidRPr="007901B6" w:rsidRDefault="00F90F4A" w:rsidP="007901B6">
      <w:pPr>
        <w:pStyle w:val="BodytextAgency"/>
        <w:ind w:left="720"/>
        <w:rPr>
          <w:highlight w:val="cyan"/>
        </w:rPr>
      </w:pPr>
      <w:r w:rsidRPr="00F90F4A">
        <w:rPr>
          <w:highlight w:val="cyan"/>
        </w:rPr>
        <w:t>&lt;As per HMR regulation 170(3), all serious suspected ADRs are reported to MHRA within 15 calendar days of receipt</w:t>
      </w:r>
      <w:r w:rsidR="007901B6" w:rsidRPr="00F90F4A">
        <w:rPr>
          <w:highlight w:val="cyan"/>
        </w:rPr>
        <w:t>&gt;</w:t>
      </w:r>
      <w:r w:rsidR="00842DD1" w:rsidRPr="007901B6">
        <w:rPr>
          <w:highlight w:val="cyan"/>
        </w:rPr>
        <w:t xml:space="preserve"> </w:t>
      </w:r>
    </w:p>
    <w:p w14:paraId="153223CE" w14:textId="185FE5F4" w:rsidR="004F0E8D" w:rsidRPr="00EF791B" w:rsidRDefault="004F0E8D" w:rsidP="008C25C4">
      <w:pPr>
        <w:pStyle w:val="BodytextAgency"/>
        <w:rPr>
          <w:i/>
          <w:iCs/>
          <w:color w:val="00B050"/>
          <w:highlight w:val="cyan"/>
        </w:rPr>
      </w:pPr>
      <w:r w:rsidRPr="00EF791B">
        <w:rPr>
          <w:i/>
          <w:iCs/>
          <w:color w:val="00B050"/>
          <w:highlight w:val="cyan"/>
        </w:rPr>
        <w:t>Additional requirements for reporting may be necessary:</w:t>
      </w:r>
    </w:p>
    <w:p w14:paraId="39431749" w14:textId="1905F91A" w:rsidR="002D6BD8" w:rsidRPr="007901B6" w:rsidRDefault="002D6BD8" w:rsidP="008C25C4">
      <w:pPr>
        <w:pStyle w:val="BodytextAgency"/>
        <w:ind w:left="720"/>
        <w:rPr>
          <w:highlight w:val="cyan"/>
        </w:rPr>
      </w:pPr>
      <w:r w:rsidRPr="007901B6">
        <w:rPr>
          <w:highlight w:val="cyan"/>
        </w:rPr>
        <w:t>&lt;The following additional pharmacovigilance reporting requirements apply:&gt;</w:t>
      </w:r>
    </w:p>
    <w:p w14:paraId="3EB30E1F" w14:textId="088ADE65" w:rsidR="002D6BD8" w:rsidRPr="007901B6" w:rsidRDefault="002D6BD8" w:rsidP="008C25C4">
      <w:pPr>
        <w:pStyle w:val="ListParagraph"/>
        <w:numPr>
          <w:ilvl w:val="0"/>
          <w:numId w:val="43"/>
        </w:numPr>
        <w:spacing w:after="160" w:line="259" w:lineRule="auto"/>
        <w:ind w:left="1440"/>
        <w:rPr>
          <w:rFonts w:ascii="Verdana" w:hAnsi="Verdana" w:cs="Arial"/>
          <w:sz w:val="18"/>
          <w:szCs w:val="18"/>
          <w:highlight w:val="cyan"/>
        </w:rPr>
      </w:pPr>
      <w:r w:rsidRPr="007901B6">
        <w:rPr>
          <w:rFonts w:ascii="Verdana" w:hAnsi="Verdana" w:cs="Arial"/>
          <w:sz w:val="18"/>
          <w:szCs w:val="18"/>
          <w:highlight w:val="cyan"/>
        </w:rPr>
        <w:t>&lt;</w:t>
      </w:r>
      <w:r w:rsidR="007901B6" w:rsidRPr="007901B6">
        <w:rPr>
          <w:rFonts w:ascii="Verdana" w:hAnsi="Verdana" w:cs="Arial"/>
          <w:sz w:val="18"/>
          <w:szCs w:val="18"/>
          <w:highlight w:val="cyan"/>
        </w:rPr>
        <w:t>A</w:t>
      </w:r>
      <w:r w:rsidRPr="007901B6">
        <w:rPr>
          <w:rFonts w:ascii="Verdana" w:hAnsi="Verdana" w:cs="Arial"/>
          <w:sz w:val="18"/>
          <w:szCs w:val="18"/>
          <w:highlight w:val="cyan"/>
        </w:rPr>
        <w:t>ll suspected ADRs with a fatal outcome</w:t>
      </w:r>
      <w:r w:rsidR="007901B6" w:rsidRPr="007901B6">
        <w:rPr>
          <w:rFonts w:ascii="Verdana" w:hAnsi="Verdana" w:cs="Arial"/>
          <w:sz w:val="18"/>
          <w:szCs w:val="18"/>
          <w:highlight w:val="cyan"/>
        </w:rPr>
        <w:t xml:space="preserve"> are reported</w:t>
      </w:r>
      <w:r w:rsidRPr="007901B6">
        <w:rPr>
          <w:rFonts w:ascii="Verdana" w:hAnsi="Verdana" w:cs="Arial"/>
          <w:sz w:val="18"/>
          <w:szCs w:val="18"/>
          <w:highlight w:val="cyan"/>
        </w:rPr>
        <w:t xml:space="preserve"> to the MHRA within 7 calendar days of receipt, further information to be provided within 8 days&gt;</w:t>
      </w:r>
    </w:p>
    <w:p w14:paraId="76319B3E" w14:textId="03ADA06C" w:rsidR="002D6BD8" w:rsidRPr="007901B6" w:rsidRDefault="002D6BD8" w:rsidP="008C25C4">
      <w:pPr>
        <w:pStyle w:val="ListParagraph"/>
        <w:numPr>
          <w:ilvl w:val="0"/>
          <w:numId w:val="43"/>
        </w:numPr>
        <w:spacing w:after="160" w:line="259" w:lineRule="auto"/>
        <w:ind w:left="1440"/>
        <w:rPr>
          <w:rFonts w:ascii="Verdana" w:hAnsi="Verdana" w:cs="Arial"/>
          <w:sz w:val="18"/>
          <w:szCs w:val="18"/>
          <w:highlight w:val="cyan"/>
        </w:rPr>
      </w:pPr>
      <w:r w:rsidRPr="007901B6">
        <w:rPr>
          <w:rFonts w:ascii="Verdana" w:hAnsi="Verdana"/>
          <w:sz w:val="18"/>
          <w:szCs w:val="18"/>
          <w:highlight w:val="cyan"/>
        </w:rPr>
        <w:t>&lt;</w:t>
      </w:r>
      <w:r w:rsidR="007901B6" w:rsidRPr="007901B6">
        <w:rPr>
          <w:rFonts w:ascii="Verdana" w:hAnsi="Verdana"/>
          <w:sz w:val="18"/>
          <w:szCs w:val="18"/>
          <w:highlight w:val="cyan"/>
        </w:rPr>
        <w:t>A</w:t>
      </w:r>
      <w:r w:rsidRPr="007901B6">
        <w:rPr>
          <w:rFonts w:ascii="Verdana" w:hAnsi="Verdana"/>
          <w:sz w:val="18"/>
          <w:szCs w:val="18"/>
          <w:highlight w:val="cyan"/>
        </w:rPr>
        <w:t>ll non-serious suspected ADRs</w:t>
      </w:r>
      <w:r w:rsidR="007901B6" w:rsidRPr="007901B6">
        <w:rPr>
          <w:rFonts w:ascii="Verdana" w:hAnsi="Verdana"/>
          <w:sz w:val="18"/>
          <w:szCs w:val="18"/>
          <w:highlight w:val="cyan"/>
        </w:rPr>
        <w:t xml:space="preserve"> are reported to MHRA</w:t>
      </w:r>
      <w:r w:rsidRPr="007901B6">
        <w:rPr>
          <w:rFonts w:ascii="Verdana" w:hAnsi="Verdana"/>
          <w:sz w:val="18"/>
          <w:szCs w:val="18"/>
          <w:highlight w:val="cyan"/>
        </w:rPr>
        <w:t xml:space="preserve"> within 90 calendar days of receipt&gt;</w:t>
      </w:r>
    </w:p>
    <w:p w14:paraId="51917B2E" w14:textId="3EEF031C" w:rsidR="002D6BD8" w:rsidRPr="007901B6" w:rsidRDefault="002D6BD8" w:rsidP="008C25C4">
      <w:pPr>
        <w:pStyle w:val="ListParagraph"/>
        <w:numPr>
          <w:ilvl w:val="0"/>
          <w:numId w:val="43"/>
        </w:numPr>
        <w:spacing w:after="160" w:line="259" w:lineRule="auto"/>
        <w:ind w:left="1440"/>
        <w:rPr>
          <w:rFonts w:ascii="Verdana" w:hAnsi="Verdana" w:cs="Arial"/>
          <w:sz w:val="18"/>
          <w:szCs w:val="18"/>
          <w:highlight w:val="cyan"/>
        </w:rPr>
      </w:pPr>
      <w:r w:rsidRPr="007901B6">
        <w:rPr>
          <w:rFonts w:ascii="Verdana" w:hAnsi="Verdana" w:cs="Arial"/>
          <w:sz w:val="18"/>
          <w:szCs w:val="18"/>
          <w:highlight w:val="cyan"/>
        </w:rPr>
        <w:t>&lt;other&gt;</w:t>
      </w:r>
    </w:p>
    <w:p w14:paraId="5FB0DA69" w14:textId="5FF10487" w:rsidR="002D6BD8" w:rsidRPr="0085186D" w:rsidRDefault="002D6BD8" w:rsidP="008C25C4">
      <w:pPr>
        <w:pStyle w:val="BodytextAgency"/>
      </w:pPr>
    </w:p>
    <w:p w14:paraId="7D14554E" w14:textId="2D4EC057" w:rsidR="008F0E90" w:rsidRPr="00EF791B" w:rsidRDefault="008F0E90" w:rsidP="008F0E90">
      <w:pPr>
        <w:pStyle w:val="BodytextAgency"/>
        <w:rPr>
          <w:rFonts w:cs="Courier New"/>
          <w:i/>
          <w:color w:val="00B050"/>
          <w:szCs w:val="22"/>
        </w:rPr>
      </w:pPr>
      <w:bookmarkStart w:id="31" w:name="_Hlk17295219"/>
      <w:r w:rsidRPr="00EF791B">
        <w:rPr>
          <w:rFonts w:cs="Courier New"/>
          <w:i/>
          <w:color w:val="00B050"/>
          <w:szCs w:val="22"/>
        </w:rPr>
        <w:lastRenderedPageBreak/>
        <w:t xml:space="preserve">Part III.1 should only include a brief description of the routine pharmacovigilance activities beyond adverse reaction reporting and signal detection (see examples in the GVP Module V, section V.B.6.1.). </w:t>
      </w:r>
      <w:bookmarkEnd w:id="31"/>
    </w:p>
    <w:p w14:paraId="69365A4D" w14:textId="74E633BE" w:rsidR="008266B3" w:rsidRPr="00EF791B" w:rsidRDefault="008266B3">
      <w:pPr>
        <w:pStyle w:val="DraftingNotesAgency"/>
        <w:rPr>
          <w:rFonts w:ascii="Verdana" w:hAnsi="Verdana"/>
          <w:color w:val="00B050"/>
          <w:sz w:val="18"/>
        </w:rPr>
      </w:pPr>
      <w:bookmarkStart w:id="32" w:name="_Hlk23407401"/>
      <w:r w:rsidRPr="00EF791B">
        <w:rPr>
          <w:rFonts w:ascii="Verdana" w:hAnsi="Verdana"/>
          <w:color w:val="00B050"/>
          <w:sz w:val="18"/>
          <w:highlight w:val="cyan"/>
        </w:rPr>
        <w:t>EAMS-specific f</w:t>
      </w:r>
      <w:r w:rsidR="00243CA2" w:rsidRPr="00EF791B">
        <w:rPr>
          <w:rFonts w:ascii="Verdana" w:hAnsi="Verdana"/>
          <w:color w:val="00B050"/>
          <w:sz w:val="18"/>
          <w:highlight w:val="cyan"/>
        </w:rPr>
        <w:t>orms for</w:t>
      </w:r>
      <w:r w:rsidRPr="00EF791B">
        <w:rPr>
          <w:rFonts w:ascii="Verdana" w:hAnsi="Verdana"/>
          <w:color w:val="00B050"/>
          <w:sz w:val="18"/>
          <w:highlight w:val="cyan"/>
        </w:rPr>
        <w:t xml:space="preserve"> collection of adverse events </w:t>
      </w:r>
      <w:r w:rsidR="00331045" w:rsidRPr="00EF791B">
        <w:rPr>
          <w:rFonts w:ascii="Verdana" w:hAnsi="Verdana"/>
          <w:color w:val="00B050"/>
          <w:sz w:val="18"/>
          <w:highlight w:val="cyan"/>
        </w:rPr>
        <w:t>should</w:t>
      </w:r>
      <w:r w:rsidRPr="00EF791B">
        <w:rPr>
          <w:rFonts w:ascii="Verdana" w:hAnsi="Verdana"/>
          <w:color w:val="00B050"/>
          <w:sz w:val="18"/>
          <w:highlight w:val="cyan"/>
        </w:rPr>
        <w:t xml:space="preserve"> be provided in annex 3 as part of the pharmacovigilance protocol (see Module III.</w:t>
      </w:r>
      <w:r w:rsidR="004F0E8D" w:rsidRPr="00EF791B">
        <w:rPr>
          <w:rFonts w:ascii="Verdana" w:hAnsi="Verdana"/>
          <w:color w:val="00B050"/>
          <w:sz w:val="18"/>
          <w:highlight w:val="cyan"/>
        </w:rPr>
        <w:t>3</w:t>
      </w:r>
      <w:r w:rsidRPr="00EF791B">
        <w:rPr>
          <w:rFonts w:ascii="Verdana" w:hAnsi="Verdana"/>
          <w:color w:val="00B050"/>
          <w:sz w:val="18"/>
          <w:highlight w:val="cyan"/>
        </w:rPr>
        <w:t>).</w:t>
      </w:r>
    </w:p>
    <w:p w14:paraId="40BE013F" w14:textId="5442A1F5" w:rsidR="00664446" w:rsidRPr="00EF791B" w:rsidRDefault="00664446" w:rsidP="00664446">
      <w:pPr>
        <w:pStyle w:val="BodytextAgency"/>
        <w:rPr>
          <w:color w:val="00B050"/>
        </w:rPr>
      </w:pPr>
      <w:r w:rsidRPr="00EF791B">
        <w:rPr>
          <w:rFonts w:cs="Courier New"/>
          <w:i/>
          <w:color w:val="00B050"/>
          <w:szCs w:val="22"/>
        </w:rPr>
        <w:t>Where specific adverse reaction follow-up questions are used, their purpose and a description of the questionnaires used should be provided.  The forms should be provided in Annex 4 of the RMP</w:t>
      </w:r>
    </w:p>
    <w:bookmarkEnd w:id="32"/>
    <w:p w14:paraId="47FC09FE" w14:textId="0006E916" w:rsidR="00652D6E" w:rsidRPr="005C098C" w:rsidRDefault="00652D6E" w:rsidP="005C098C">
      <w:pPr>
        <w:pStyle w:val="BodytextAgency"/>
        <w:rPr>
          <w:b/>
          <w:bCs/>
        </w:rPr>
      </w:pPr>
      <w:r w:rsidRPr="00175D56">
        <w:rPr>
          <w:b/>
          <w:bCs/>
        </w:rPr>
        <w:t>III.1.</w:t>
      </w:r>
      <w:r w:rsidR="005C098C" w:rsidRPr="00175D56">
        <w:rPr>
          <w:b/>
          <w:bCs/>
        </w:rPr>
        <w:t>1</w:t>
      </w:r>
      <w:r w:rsidRPr="00175D56">
        <w:rPr>
          <w:b/>
          <w:bCs/>
        </w:rPr>
        <w:t xml:space="preserve"> </w:t>
      </w:r>
      <w:r w:rsidR="005C098C" w:rsidRPr="00175D56">
        <w:rPr>
          <w:b/>
          <w:bCs/>
        </w:rPr>
        <w:tab/>
      </w:r>
      <w:r w:rsidRPr="00175D56">
        <w:rPr>
          <w:b/>
          <w:bCs/>
        </w:rPr>
        <w:t>Periodic</w:t>
      </w:r>
      <w:r w:rsidR="00093236" w:rsidRPr="00175D56">
        <w:rPr>
          <w:b/>
          <w:bCs/>
        </w:rPr>
        <w:t xml:space="preserve"> update</w:t>
      </w:r>
      <w:r w:rsidRPr="00175D56">
        <w:rPr>
          <w:b/>
          <w:bCs/>
        </w:rPr>
        <w:t xml:space="preserve"> reporting</w:t>
      </w:r>
    </w:p>
    <w:p w14:paraId="2B1829B8" w14:textId="77777777" w:rsidR="007C5EBA" w:rsidRPr="00EF791B" w:rsidRDefault="00093236" w:rsidP="008C25C4">
      <w:pPr>
        <w:pStyle w:val="DraftingNotesAgency"/>
        <w:rPr>
          <w:rFonts w:ascii="Verdana" w:hAnsi="Verdana"/>
          <w:color w:val="00B050"/>
          <w:sz w:val="18"/>
          <w:highlight w:val="cyan"/>
        </w:rPr>
      </w:pPr>
      <w:r w:rsidRPr="00EF791B">
        <w:rPr>
          <w:rFonts w:ascii="Verdana" w:hAnsi="Verdana"/>
          <w:color w:val="00B050"/>
          <w:sz w:val="18"/>
          <w:highlight w:val="cyan"/>
        </w:rPr>
        <w:t xml:space="preserve">Describe the timelines and frequency of periodic update reports.  </w:t>
      </w:r>
    </w:p>
    <w:p w14:paraId="4958C9D6" w14:textId="159CF621" w:rsidR="00482E5D" w:rsidRPr="00EF791B" w:rsidRDefault="00093236">
      <w:pPr>
        <w:pStyle w:val="DraftingNotesAgency"/>
        <w:rPr>
          <w:rFonts w:ascii="Verdana" w:hAnsi="Verdana"/>
          <w:color w:val="00B050"/>
          <w:sz w:val="18"/>
        </w:rPr>
      </w:pPr>
      <w:r w:rsidRPr="00EF791B">
        <w:rPr>
          <w:rFonts w:ascii="Verdana" w:hAnsi="Verdana"/>
          <w:color w:val="00B050"/>
          <w:sz w:val="18"/>
          <w:highlight w:val="cyan"/>
        </w:rPr>
        <w:t>Periodic reports should usually be submitted on a 3-monthly basis</w:t>
      </w:r>
      <w:r w:rsidR="00497E26" w:rsidRPr="00EF791B">
        <w:rPr>
          <w:rFonts w:ascii="Verdana" w:hAnsi="Verdana"/>
          <w:color w:val="00B050"/>
          <w:sz w:val="18"/>
          <w:highlight w:val="cyan"/>
        </w:rPr>
        <w:t xml:space="preserve"> </w:t>
      </w:r>
      <w:r w:rsidR="00FA6B6F" w:rsidRPr="00EF791B">
        <w:rPr>
          <w:rFonts w:ascii="Verdana" w:hAnsi="Verdana"/>
          <w:color w:val="00B050"/>
          <w:sz w:val="18"/>
          <w:highlight w:val="cyan"/>
        </w:rPr>
        <w:t>for the first year after positive scientific opinion</w:t>
      </w:r>
      <w:r w:rsidRPr="00EF791B">
        <w:rPr>
          <w:rFonts w:ascii="Verdana" w:hAnsi="Verdana"/>
          <w:color w:val="00B050"/>
          <w:sz w:val="18"/>
          <w:highlight w:val="cyan"/>
        </w:rPr>
        <w:t xml:space="preserve">.  A </w:t>
      </w:r>
      <w:proofErr w:type="gramStart"/>
      <w:r w:rsidRPr="00EF791B">
        <w:rPr>
          <w:rFonts w:ascii="Verdana" w:hAnsi="Verdana"/>
          <w:color w:val="00B050"/>
          <w:sz w:val="18"/>
          <w:highlight w:val="cyan"/>
        </w:rPr>
        <w:t>one month</w:t>
      </w:r>
      <w:proofErr w:type="gramEnd"/>
      <w:r w:rsidRPr="00EF791B">
        <w:rPr>
          <w:rFonts w:ascii="Verdana" w:hAnsi="Verdana"/>
          <w:color w:val="00B050"/>
          <w:sz w:val="18"/>
          <w:highlight w:val="cyan"/>
        </w:rPr>
        <w:t xml:space="preserve"> period for preparation of the report is permitted, </w:t>
      </w:r>
      <w:proofErr w:type="spellStart"/>
      <w:r w:rsidRPr="00EF791B">
        <w:rPr>
          <w:rFonts w:ascii="Verdana" w:hAnsi="Verdana"/>
          <w:color w:val="00B050"/>
          <w:sz w:val="18"/>
          <w:highlight w:val="cyan"/>
        </w:rPr>
        <w:t>ie</w:t>
      </w:r>
      <w:proofErr w:type="spellEnd"/>
      <w:r w:rsidRPr="00EF791B">
        <w:rPr>
          <w:rFonts w:ascii="Verdana" w:hAnsi="Verdana"/>
          <w:color w:val="00B050"/>
          <w:sz w:val="18"/>
          <w:highlight w:val="cyan"/>
        </w:rPr>
        <w:t xml:space="preserve"> the first periodic report would have a data lock point at 3 months post-opinion and be submitted </w:t>
      </w:r>
      <w:r w:rsidR="007C5EBA" w:rsidRPr="00EF791B">
        <w:rPr>
          <w:rFonts w:ascii="Verdana" w:hAnsi="Verdana"/>
          <w:color w:val="00B050"/>
          <w:sz w:val="18"/>
          <w:highlight w:val="cyan"/>
        </w:rPr>
        <w:t>within</w:t>
      </w:r>
      <w:r w:rsidRPr="00EF791B">
        <w:rPr>
          <w:rFonts w:ascii="Verdana" w:hAnsi="Verdana"/>
          <w:color w:val="00B050"/>
          <w:sz w:val="18"/>
          <w:highlight w:val="cyan"/>
        </w:rPr>
        <w:t xml:space="preserve"> 4 months post-opinion. </w:t>
      </w:r>
      <w:r w:rsidR="00863E6D" w:rsidRPr="00EF791B">
        <w:rPr>
          <w:rFonts w:ascii="Verdana" w:hAnsi="Verdana"/>
          <w:color w:val="00B050"/>
          <w:sz w:val="18"/>
          <w:highlight w:val="cyan"/>
        </w:rPr>
        <w:t xml:space="preserve"> A final periodic report is required following </w:t>
      </w:r>
      <w:r w:rsidR="00BF3F9F" w:rsidRPr="00EF791B">
        <w:rPr>
          <w:rFonts w:ascii="Verdana" w:hAnsi="Verdana"/>
          <w:color w:val="00B050"/>
          <w:sz w:val="18"/>
          <w:highlight w:val="cyan"/>
        </w:rPr>
        <w:t>scientific opinion</w:t>
      </w:r>
      <w:r w:rsidR="00863E6D" w:rsidRPr="00EF791B">
        <w:rPr>
          <w:rFonts w:ascii="Verdana" w:hAnsi="Verdana"/>
          <w:color w:val="00B050"/>
          <w:sz w:val="18"/>
          <w:highlight w:val="cyan"/>
        </w:rPr>
        <w:t xml:space="preserve"> expiry</w:t>
      </w:r>
      <w:r w:rsidR="00BF3F9F" w:rsidRPr="00EF791B">
        <w:rPr>
          <w:rFonts w:ascii="Verdana" w:hAnsi="Verdana"/>
          <w:color w:val="00B050"/>
          <w:sz w:val="18"/>
          <w:highlight w:val="cyan"/>
        </w:rPr>
        <w:t xml:space="preserve"> and is</w:t>
      </w:r>
      <w:r w:rsidR="00782D91" w:rsidRPr="00EF791B">
        <w:rPr>
          <w:rFonts w:ascii="Verdana" w:hAnsi="Verdana"/>
          <w:color w:val="00B050"/>
          <w:sz w:val="18"/>
          <w:highlight w:val="cyan"/>
        </w:rPr>
        <w:t xml:space="preserve"> to </w:t>
      </w:r>
      <w:r w:rsidR="002A07B7" w:rsidRPr="00EF791B">
        <w:rPr>
          <w:rFonts w:ascii="Verdana" w:hAnsi="Verdana"/>
          <w:color w:val="00B050"/>
          <w:sz w:val="18"/>
          <w:highlight w:val="cyan"/>
        </w:rPr>
        <w:t xml:space="preserve">be submitted </w:t>
      </w:r>
      <w:r w:rsidR="007C5EBA" w:rsidRPr="00EF791B">
        <w:rPr>
          <w:rFonts w:ascii="Verdana" w:hAnsi="Verdana"/>
          <w:color w:val="00B050"/>
          <w:sz w:val="18"/>
          <w:highlight w:val="cyan"/>
        </w:rPr>
        <w:t>within</w:t>
      </w:r>
      <w:r w:rsidR="002A07B7" w:rsidRPr="00EF791B">
        <w:rPr>
          <w:rFonts w:ascii="Verdana" w:hAnsi="Verdana"/>
          <w:color w:val="00B050"/>
          <w:sz w:val="18"/>
          <w:highlight w:val="cyan"/>
        </w:rPr>
        <w:t xml:space="preserve"> 1 month after EAMS expiry</w:t>
      </w:r>
      <w:r w:rsidR="007C5EBA" w:rsidRPr="00EF791B">
        <w:rPr>
          <w:rFonts w:ascii="Verdana" w:hAnsi="Verdana"/>
          <w:color w:val="00B050"/>
          <w:sz w:val="18"/>
          <w:highlight w:val="cyan"/>
        </w:rPr>
        <w:t>.</w:t>
      </w:r>
    </w:p>
    <w:p w14:paraId="59054684" w14:textId="57C06811" w:rsidR="00652D6E" w:rsidRPr="00EF791B" w:rsidRDefault="00482E5D" w:rsidP="008C25C4">
      <w:pPr>
        <w:pStyle w:val="DraftingNotesAgency"/>
        <w:rPr>
          <w:rFonts w:ascii="Verdana" w:hAnsi="Verdana"/>
          <w:color w:val="00B050"/>
          <w:sz w:val="18"/>
        </w:rPr>
      </w:pPr>
      <w:bookmarkStart w:id="33" w:name="_Hlk17295198"/>
      <w:r w:rsidRPr="00EF791B">
        <w:rPr>
          <w:rFonts w:ascii="Verdana" w:hAnsi="Verdana"/>
          <w:color w:val="00B050"/>
          <w:sz w:val="18"/>
          <w:highlight w:val="cyan"/>
        </w:rPr>
        <w:t>For products that have had a positive EAMS opinion for 1 year or more, submission of periodic reports on a less frequent basis (e.g. 6-monthly) may be considered</w:t>
      </w:r>
      <w:bookmarkEnd w:id="33"/>
      <w:r w:rsidR="008F0E90" w:rsidRPr="00EF791B">
        <w:rPr>
          <w:rFonts w:ascii="Verdana" w:hAnsi="Verdana"/>
          <w:color w:val="00B050"/>
          <w:sz w:val="18"/>
          <w:highlight w:val="cyan"/>
        </w:rPr>
        <w:t>.</w:t>
      </w:r>
      <w:r w:rsidR="007C5EBA" w:rsidRPr="00EF791B">
        <w:rPr>
          <w:rFonts w:ascii="Verdana" w:hAnsi="Verdana"/>
          <w:color w:val="00B050"/>
          <w:sz w:val="18"/>
        </w:rPr>
        <w:t xml:space="preserve">  </w:t>
      </w:r>
    </w:p>
    <w:p w14:paraId="3A6F2B84" w14:textId="77777777" w:rsidR="002A07B7" w:rsidRPr="00CB4522" w:rsidRDefault="002A07B7" w:rsidP="008C25C4">
      <w:pPr>
        <w:pStyle w:val="BodytextAgency"/>
      </w:pPr>
    </w:p>
    <w:p w14:paraId="55E54091" w14:textId="4651603B" w:rsidR="00550137" w:rsidRPr="00F32AFA" w:rsidRDefault="00550137" w:rsidP="00550137">
      <w:pPr>
        <w:pStyle w:val="No-numheading3Agency"/>
        <w:tabs>
          <w:tab w:val="left" w:pos="1134"/>
        </w:tabs>
      </w:pPr>
      <w:bookmarkStart w:id="34" w:name="_Toc59634432"/>
      <w:r w:rsidRPr="00F32AFA">
        <w:t>III.</w:t>
      </w:r>
      <w:r w:rsidR="005C098C">
        <w:t>2</w:t>
      </w:r>
      <w:r w:rsidRPr="00F32AFA">
        <w:tab/>
      </w:r>
      <w:r w:rsidR="00956352">
        <w:t>Additional</w:t>
      </w:r>
      <w:r w:rsidRPr="00F32AFA">
        <w:t xml:space="preserve"> pharmacovigilance activities</w:t>
      </w:r>
      <w:bookmarkEnd w:id="29"/>
      <w:bookmarkEnd w:id="34"/>
      <w:r w:rsidRPr="00F32AFA">
        <w:t xml:space="preserve">   </w:t>
      </w:r>
    </w:p>
    <w:p w14:paraId="22F889B0" w14:textId="0EFFE741" w:rsidR="00F47BCF" w:rsidRPr="00EF791B" w:rsidRDefault="00917BD7" w:rsidP="00956352">
      <w:pPr>
        <w:pStyle w:val="DraftingNotesAgency"/>
        <w:rPr>
          <w:rFonts w:ascii="Verdana" w:hAnsi="Verdana"/>
          <w:color w:val="00B050"/>
          <w:sz w:val="18"/>
        </w:rPr>
      </w:pPr>
      <w:r w:rsidRPr="00EF791B">
        <w:rPr>
          <w:rFonts w:ascii="Verdana" w:hAnsi="Verdana"/>
          <w:color w:val="00B050"/>
          <w:sz w:val="18"/>
          <w:highlight w:val="cyan"/>
        </w:rPr>
        <w:t xml:space="preserve">The plans for active pharmacovigilance for use of the product under EAMS, such as operation of a registry should be described </w:t>
      </w:r>
      <w:proofErr w:type="gramStart"/>
      <w:r w:rsidRPr="00EF791B">
        <w:rPr>
          <w:rFonts w:ascii="Verdana" w:hAnsi="Verdana"/>
          <w:color w:val="00B050"/>
          <w:sz w:val="18"/>
          <w:highlight w:val="cyan"/>
        </w:rPr>
        <w:t>here</w:t>
      </w:r>
      <w:proofErr w:type="gramEnd"/>
      <w:r w:rsidR="00CE1379" w:rsidRPr="00EF791B">
        <w:rPr>
          <w:rFonts w:ascii="Verdana" w:hAnsi="Verdana"/>
          <w:color w:val="00B050"/>
          <w:sz w:val="18"/>
          <w:highlight w:val="cyan"/>
        </w:rPr>
        <w:t xml:space="preserve"> and the protocol provide</w:t>
      </w:r>
      <w:r w:rsidR="00304676" w:rsidRPr="00EF791B">
        <w:rPr>
          <w:rFonts w:ascii="Verdana" w:hAnsi="Verdana"/>
          <w:color w:val="00B050"/>
          <w:sz w:val="18"/>
          <w:highlight w:val="cyan"/>
        </w:rPr>
        <w:t>d</w:t>
      </w:r>
      <w:r w:rsidR="00CE1379" w:rsidRPr="00EF791B">
        <w:rPr>
          <w:rFonts w:ascii="Verdana" w:hAnsi="Verdana"/>
          <w:color w:val="00B050"/>
          <w:sz w:val="18"/>
          <w:highlight w:val="cyan"/>
        </w:rPr>
        <w:t xml:space="preserve"> in Annex 3</w:t>
      </w:r>
      <w:r w:rsidRPr="00EF791B">
        <w:rPr>
          <w:rFonts w:ascii="Verdana" w:hAnsi="Verdana"/>
          <w:color w:val="00B050"/>
          <w:sz w:val="18"/>
        </w:rPr>
        <w:t>.</w:t>
      </w:r>
    </w:p>
    <w:p w14:paraId="2DFAEF74" w14:textId="66D54B82" w:rsidR="00AD01C3" w:rsidRPr="00EF791B" w:rsidRDefault="00AD01C3" w:rsidP="00AD01C3">
      <w:pPr>
        <w:pStyle w:val="BodytextAgency"/>
        <w:rPr>
          <w:rFonts w:cs="Courier New"/>
          <w:i/>
          <w:color w:val="00B050"/>
          <w:szCs w:val="22"/>
        </w:rPr>
      </w:pPr>
      <w:r w:rsidRPr="00EF791B">
        <w:rPr>
          <w:rFonts w:cs="Courier New"/>
          <w:i/>
          <w:color w:val="00B050"/>
          <w:szCs w:val="22"/>
        </w:rPr>
        <w:t xml:space="preserve">The Applicant should describe any other additional pharmacovigilance activities </w:t>
      </w:r>
      <w:r w:rsidRPr="00EF791B">
        <w:rPr>
          <w:rFonts w:cs="Courier New"/>
          <w:i/>
          <w:color w:val="00B050"/>
          <w:szCs w:val="22"/>
          <w:highlight w:val="cyan"/>
        </w:rPr>
        <w:t>relevant to use of the product under EAMS</w:t>
      </w:r>
      <w:r w:rsidRPr="00EF791B">
        <w:rPr>
          <w:rFonts w:cs="Courier New"/>
          <w:i/>
          <w:color w:val="00B050"/>
          <w:szCs w:val="22"/>
        </w:rPr>
        <w:t xml:space="preserve">, such as non-clinical, </w:t>
      </w:r>
      <w:proofErr w:type="gramStart"/>
      <w:r w:rsidRPr="00EF791B">
        <w:rPr>
          <w:rFonts w:cs="Courier New"/>
          <w:i/>
          <w:color w:val="00B050"/>
          <w:szCs w:val="22"/>
        </w:rPr>
        <w:t>clinical</w:t>
      </w:r>
      <w:proofErr w:type="gramEnd"/>
      <w:r w:rsidRPr="00EF791B">
        <w:rPr>
          <w:rFonts w:cs="Courier New"/>
          <w:i/>
          <w:color w:val="00B050"/>
          <w:szCs w:val="22"/>
        </w:rPr>
        <w:t xml:space="preserve"> or epidemiological (non-interventional or interventional) </w:t>
      </w:r>
      <w:r w:rsidR="00EF791B" w:rsidRPr="00EF791B">
        <w:rPr>
          <w:rFonts w:cs="Courier New"/>
          <w:i/>
          <w:color w:val="00B050"/>
          <w:szCs w:val="22"/>
        </w:rPr>
        <w:t>studies and</w:t>
      </w:r>
      <w:r w:rsidRPr="00EF791B">
        <w:rPr>
          <w:rFonts w:cs="Courier New"/>
          <w:i/>
          <w:color w:val="00B050"/>
          <w:szCs w:val="22"/>
        </w:rPr>
        <w:t xml:space="preserve"> explain why they are needed.  e.g.: </w:t>
      </w:r>
    </w:p>
    <w:p w14:paraId="0EC10B50" w14:textId="77777777" w:rsidR="00AD01C3" w:rsidRPr="00EF791B" w:rsidRDefault="00AD01C3" w:rsidP="00AD01C3">
      <w:pPr>
        <w:pStyle w:val="BodytextAgency"/>
        <w:numPr>
          <w:ilvl w:val="0"/>
          <w:numId w:val="38"/>
        </w:numPr>
        <w:rPr>
          <w:rFonts w:cs="Courier New"/>
          <w:i/>
          <w:color w:val="00B050"/>
          <w:szCs w:val="22"/>
        </w:rPr>
      </w:pPr>
      <w:r w:rsidRPr="00EF791B">
        <w:rPr>
          <w:rFonts w:cs="Courier New"/>
          <w:i/>
          <w:color w:val="00B050"/>
          <w:szCs w:val="22"/>
        </w:rPr>
        <w:t xml:space="preserve">Long-term follow-up extensions of ongoing clinical trial(s); </w:t>
      </w:r>
    </w:p>
    <w:p w14:paraId="1EDBAB32" w14:textId="77777777" w:rsidR="00AD01C3" w:rsidRPr="00EF791B" w:rsidRDefault="00AD01C3" w:rsidP="00AD01C3">
      <w:pPr>
        <w:pStyle w:val="BodytextAgency"/>
        <w:numPr>
          <w:ilvl w:val="0"/>
          <w:numId w:val="38"/>
        </w:numPr>
        <w:rPr>
          <w:rFonts w:cs="Courier New"/>
          <w:i/>
          <w:color w:val="00B050"/>
          <w:szCs w:val="22"/>
        </w:rPr>
      </w:pPr>
      <w:r w:rsidRPr="00EF791B">
        <w:rPr>
          <w:rFonts w:cs="Courier New"/>
          <w:i/>
          <w:color w:val="00B050"/>
          <w:szCs w:val="22"/>
        </w:rPr>
        <w:t xml:space="preserve">Cohort studies to provide additional characterisation of the </w:t>
      </w:r>
      <w:proofErr w:type="gramStart"/>
      <w:r w:rsidRPr="00EF791B">
        <w:rPr>
          <w:rFonts w:cs="Courier New"/>
          <w:i/>
          <w:color w:val="00B050"/>
          <w:szCs w:val="22"/>
        </w:rPr>
        <w:t>long term</w:t>
      </w:r>
      <w:proofErr w:type="gramEnd"/>
      <w:r w:rsidRPr="00EF791B">
        <w:rPr>
          <w:rFonts w:cs="Courier New"/>
          <w:i/>
          <w:color w:val="00B050"/>
          <w:szCs w:val="22"/>
        </w:rPr>
        <w:t xml:space="preserve"> safety of the medicinal product;</w:t>
      </w:r>
    </w:p>
    <w:p w14:paraId="6C435A4E" w14:textId="77777777" w:rsidR="00AD01C3" w:rsidRPr="00EF791B" w:rsidRDefault="00AD01C3" w:rsidP="00AD01C3">
      <w:pPr>
        <w:pStyle w:val="BodytextAgency"/>
        <w:numPr>
          <w:ilvl w:val="0"/>
          <w:numId w:val="38"/>
        </w:numPr>
        <w:rPr>
          <w:rFonts w:cs="Courier New"/>
          <w:i/>
          <w:color w:val="00B050"/>
        </w:rPr>
      </w:pPr>
      <w:r w:rsidRPr="00EF791B">
        <w:rPr>
          <w:rFonts w:cs="Courier New"/>
          <w:i/>
          <w:color w:val="00B050"/>
        </w:rPr>
        <w:t>Further effort to evaluate the missing data.</w:t>
      </w:r>
    </w:p>
    <w:p w14:paraId="4A54B044" w14:textId="77777777" w:rsidR="00AD01C3" w:rsidRPr="00EF791B" w:rsidRDefault="00AD01C3" w:rsidP="00956352">
      <w:pPr>
        <w:pStyle w:val="DraftingNotesAgency"/>
        <w:rPr>
          <w:rFonts w:ascii="Verdana" w:hAnsi="Verdana"/>
          <w:color w:val="00B050"/>
          <w:sz w:val="18"/>
        </w:rPr>
      </w:pPr>
    </w:p>
    <w:p w14:paraId="1B0DC659" w14:textId="35459AE9" w:rsidR="00956352" w:rsidRPr="00EF791B" w:rsidRDefault="00956352" w:rsidP="00956352">
      <w:pPr>
        <w:pStyle w:val="DraftingNotesAgency"/>
        <w:rPr>
          <w:rFonts w:ascii="Verdana" w:hAnsi="Verdana"/>
          <w:color w:val="00B050"/>
          <w:sz w:val="18"/>
        </w:rPr>
      </w:pPr>
      <w:r w:rsidRPr="00EF791B">
        <w:rPr>
          <w:rFonts w:ascii="Verdana" w:hAnsi="Verdana"/>
          <w:color w:val="00B050"/>
          <w:sz w:val="18"/>
        </w:rPr>
        <w:t xml:space="preserve">Studies in the pharmacovigilance plan should relate to the safety concerns identified in the safety specification irrespective of whether the studies are to identify and characterise important risks/missing information, or to assess the effectiveness of additional risk minimisation activities using behavioural or safety outcome indicators. </w:t>
      </w:r>
    </w:p>
    <w:p w14:paraId="7A7F0597" w14:textId="78C64E69" w:rsidR="00956352" w:rsidRPr="00EF791B" w:rsidRDefault="004F0E8D" w:rsidP="00956352">
      <w:pPr>
        <w:pStyle w:val="DraftingNotesAgency"/>
        <w:rPr>
          <w:rFonts w:ascii="Verdana" w:hAnsi="Verdana"/>
          <w:color w:val="00B050"/>
          <w:sz w:val="18"/>
        </w:rPr>
      </w:pPr>
      <w:r w:rsidRPr="00EF791B">
        <w:rPr>
          <w:rFonts w:ascii="Verdana" w:hAnsi="Verdana"/>
          <w:color w:val="00B050"/>
          <w:sz w:val="18"/>
        </w:rPr>
        <w:t>A t</w:t>
      </w:r>
      <w:r w:rsidR="00956352" w:rsidRPr="00EF791B">
        <w:rPr>
          <w:rFonts w:ascii="Verdana" w:hAnsi="Verdana"/>
          <w:color w:val="00B050"/>
          <w:sz w:val="18"/>
        </w:rPr>
        <w:t xml:space="preserve">abulated summary of on-going and completed pharmacovigilance </w:t>
      </w:r>
      <w:r w:rsidRPr="00EF791B">
        <w:rPr>
          <w:rFonts w:ascii="Verdana" w:hAnsi="Verdana"/>
          <w:color w:val="00B050"/>
          <w:sz w:val="18"/>
        </w:rPr>
        <w:t>studies</w:t>
      </w:r>
      <w:r w:rsidR="00956352" w:rsidRPr="00EF791B">
        <w:rPr>
          <w:rFonts w:ascii="Verdana" w:hAnsi="Verdana"/>
          <w:color w:val="00B050"/>
          <w:sz w:val="18"/>
        </w:rPr>
        <w:t xml:space="preserve"> should be provided in Annex 2.</w:t>
      </w:r>
    </w:p>
    <w:p w14:paraId="76067A12" w14:textId="0A575F17" w:rsidR="00956352" w:rsidRPr="00EF791B" w:rsidRDefault="00956352" w:rsidP="00956352">
      <w:pPr>
        <w:pStyle w:val="DraftingNotesAgency"/>
        <w:rPr>
          <w:rFonts w:ascii="Verdana" w:hAnsi="Verdana"/>
          <w:color w:val="00B050"/>
          <w:sz w:val="18"/>
        </w:rPr>
      </w:pPr>
      <w:r w:rsidRPr="00EF791B">
        <w:rPr>
          <w:rFonts w:ascii="Verdana" w:hAnsi="Verdana"/>
          <w:color w:val="00B050"/>
          <w:sz w:val="18"/>
        </w:rPr>
        <w:t xml:space="preserve">Protocols for </w:t>
      </w:r>
      <w:r w:rsidR="00917BD7" w:rsidRPr="00EF791B">
        <w:rPr>
          <w:rFonts w:ascii="Verdana" w:hAnsi="Verdana"/>
          <w:color w:val="00B050"/>
          <w:sz w:val="18"/>
          <w:highlight w:val="cyan"/>
        </w:rPr>
        <w:t>the registry</w:t>
      </w:r>
      <w:r w:rsidR="00917BD7" w:rsidRPr="00EF791B">
        <w:rPr>
          <w:rFonts w:ascii="Verdana" w:hAnsi="Verdana"/>
          <w:color w:val="00B050"/>
          <w:sz w:val="18"/>
        </w:rPr>
        <w:t xml:space="preserve"> and any other </w:t>
      </w:r>
      <w:r w:rsidRPr="00EF791B">
        <w:rPr>
          <w:rFonts w:ascii="Verdana" w:hAnsi="Verdana"/>
          <w:color w:val="00B050"/>
          <w:sz w:val="18"/>
        </w:rPr>
        <w:t xml:space="preserve">studies in the pharmacovigilance plan should be provided in Annex 3 of the RMP until completion of the study and submission to the </w:t>
      </w:r>
      <w:r w:rsidR="00E95897" w:rsidRPr="00EF791B">
        <w:rPr>
          <w:rFonts w:ascii="Verdana" w:hAnsi="Verdana"/>
          <w:color w:val="00B050"/>
          <w:sz w:val="18"/>
        </w:rPr>
        <w:t>MHRA</w:t>
      </w:r>
      <w:r w:rsidRPr="00EF791B">
        <w:rPr>
          <w:rFonts w:ascii="Verdana" w:hAnsi="Verdana"/>
          <w:color w:val="00B050"/>
          <w:sz w:val="18"/>
        </w:rPr>
        <w:t xml:space="preserve"> of the final study report.</w:t>
      </w:r>
    </w:p>
    <w:p w14:paraId="58F2A6E4" w14:textId="0B71C6CD" w:rsidR="00956352" w:rsidRPr="008C25C4" w:rsidRDefault="00956352" w:rsidP="00956352">
      <w:pPr>
        <w:pStyle w:val="DraftingNotesAgency"/>
        <w:rPr>
          <w:rFonts w:ascii="Verdana" w:hAnsi="Verdana"/>
          <w:sz w:val="18"/>
        </w:rPr>
      </w:pPr>
      <w:r w:rsidRPr="00EF791B">
        <w:rPr>
          <w:rFonts w:ascii="Verdana" w:hAnsi="Verdana"/>
          <w:color w:val="00B050"/>
          <w:sz w:val="18"/>
        </w:rPr>
        <w:t>When any doubt exists about the need for additional pharmacovigilance activities, consultation with MHRA should be considered</w:t>
      </w:r>
      <w:r w:rsidR="00CE1379" w:rsidRPr="00EF791B">
        <w:rPr>
          <w:rFonts w:ascii="Verdana" w:hAnsi="Verdana"/>
          <w:color w:val="00B050"/>
          <w:sz w:val="18"/>
        </w:rPr>
        <w:t xml:space="preserve"> and </w:t>
      </w:r>
      <w:r w:rsidR="00CE1379" w:rsidRPr="00EF791B">
        <w:rPr>
          <w:rFonts w:ascii="Verdana" w:hAnsi="Verdana"/>
          <w:color w:val="00B050"/>
          <w:sz w:val="18"/>
          <w:highlight w:val="cyan"/>
        </w:rPr>
        <w:t>please also refer to the</w:t>
      </w:r>
      <w:r w:rsidR="00CE1379" w:rsidRPr="00CE1379">
        <w:rPr>
          <w:rFonts w:ascii="Verdana" w:hAnsi="Verdana"/>
          <w:sz w:val="18"/>
          <w:highlight w:val="cyan"/>
        </w:rPr>
        <w:t xml:space="preserve"> </w:t>
      </w:r>
      <w:hyperlink r:id="rId20" w:history="1">
        <w:r w:rsidR="00CE1379" w:rsidRPr="00CE1379">
          <w:rPr>
            <w:rStyle w:val="Hyperlink"/>
            <w:rFonts w:ascii="Verdana" w:hAnsi="Verdana"/>
            <w:sz w:val="18"/>
            <w:highlight w:val="cyan"/>
            <w:lang w:val="en-US"/>
          </w:rPr>
          <w:t>Guidance on applying to the EAMS</w:t>
        </w:r>
      </w:hyperlink>
      <w:r w:rsidRPr="008C25C4">
        <w:rPr>
          <w:rFonts w:ascii="Verdana" w:hAnsi="Verdana"/>
          <w:sz w:val="18"/>
        </w:rPr>
        <w:t xml:space="preserve">. </w:t>
      </w:r>
      <w:r w:rsidRPr="00EF791B">
        <w:rPr>
          <w:rFonts w:ascii="Verdana" w:hAnsi="Verdana"/>
          <w:color w:val="00B050"/>
          <w:sz w:val="18"/>
        </w:rPr>
        <w:t>Further guidance on the conduct of post-authorisation safety studies (PASS) is provided in the GVP Module VIII.</w:t>
      </w:r>
    </w:p>
    <w:p w14:paraId="0B4C0D98" w14:textId="25D8A421" w:rsidR="00550137" w:rsidRPr="00F32AFA" w:rsidRDefault="00550137" w:rsidP="00550137">
      <w:pPr>
        <w:pStyle w:val="DraftingNotesAgency"/>
      </w:pPr>
      <w:r w:rsidRPr="00F32AFA">
        <w:t xml:space="preserve">.                                                                                                 </w:t>
      </w:r>
    </w:p>
    <w:p w14:paraId="7FB226F4" w14:textId="16CBDC08" w:rsidR="00550137" w:rsidRPr="00F32AFA" w:rsidRDefault="00550137" w:rsidP="00550137">
      <w:pPr>
        <w:pStyle w:val="No-numheading3Agency"/>
        <w:tabs>
          <w:tab w:val="left" w:pos="1134"/>
        </w:tabs>
      </w:pPr>
      <w:bookmarkStart w:id="35" w:name="_Toc379986120"/>
      <w:bookmarkStart w:id="36" w:name="_Toc59634433"/>
      <w:r w:rsidRPr="00F32AFA">
        <w:lastRenderedPageBreak/>
        <w:t>III.</w:t>
      </w:r>
      <w:r w:rsidR="005C098C">
        <w:t>3</w:t>
      </w:r>
      <w:r w:rsidRPr="00F32AFA">
        <w:tab/>
        <w:t xml:space="preserve">Table of on-going and planned additional </w:t>
      </w:r>
      <w:proofErr w:type="spellStart"/>
      <w:r w:rsidRPr="00F32AFA">
        <w:t>PhV</w:t>
      </w:r>
      <w:proofErr w:type="spellEnd"/>
      <w:r w:rsidRPr="00F32AFA">
        <w:t xml:space="preserve"> activities</w:t>
      </w:r>
      <w:bookmarkEnd w:id="35"/>
      <w:bookmarkEnd w:id="36"/>
      <w:r w:rsidRPr="00F32AFA">
        <w:t xml:space="preserve"> </w:t>
      </w:r>
    </w:p>
    <w:p w14:paraId="4F467A0E" w14:textId="471463FE" w:rsidR="00917BD7" w:rsidRPr="00EF791B" w:rsidRDefault="00917BD7" w:rsidP="00917BD7">
      <w:pPr>
        <w:pStyle w:val="DraftingNotesAgency"/>
        <w:rPr>
          <w:rFonts w:ascii="Verdana" w:hAnsi="Verdana"/>
          <w:color w:val="00B050"/>
          <w:sz w:val="18"/>
        </w:rPr>
      </w:pPr>
      <w:r w:rsidRPr="00EF791B">
        <w:rPr>
          <w:rFonts w:ascii="Verdana" w:hAnsi="Verdana"/>
          <w:color w:val="00B050"/>
          <w:sz w:val="18"/>
        </w:rPr>
        <w:t xml:space="preserve">This section should be a complete overview of all on-going and planned safety studies </w:t>
      </w:r>
      <w:r w:rsidRPr="00EF791B">
        <w:rPr>
          <w:rFonts w:ascii="Verdana" w:hAnsi="Verdana"/>
          <w:color w:val="00B050"/>
          <w:sz w:val="18"/>
          <w:highlight w:val="cyan"/>
        </w:rPr>
        <w:t>relevant to use of the medicinal product under EAMS</w:t>
      </w:r>
      <w:r w:rsidRPr="00EF791B">
        <w:rPr>
          <w:rFonts w:ascii="Verdana" w:hAnsi="Verdana"/>
          <w:color w:val="00B050"/>
          <w:sz w:val="18"/>
        </w:rPr>
        <w:t xml:space="preserve"> and included in the Pharmacovigilance Plan, regardless of whether they were designed to assess the safety of the medicinal product, or the effectiveness of the risk minimisation measures. </w:t>
      </w:r>
    </w:p>
    <w:p w14:paraId="5DC5496B" w14:textId="77777777" w:rsidR="00917BD7" w:rsidRPr="00EF791B" w:rsidRDefault="00917BD7" w:rsidP="00917BD7">
      <w:pPr>
        <w:pStyle w:val="DraftingNotesAgency"/>
        <w:rPr>
          <w:rFonts w:ascii="Verdana" w:eastAsia="Times New Roman" w:hAnsi="Verdana"/>
          <w:color w:val="00B050"/>
          <w:sz w:val="18"/>
        </w:rPr>
      </w:pPr>
      <w:r w:rsidRPr="00EF791B">
        <w:rPr>
          <w:rFonts w:ascii="Verdana" w:hAnsi="Verdana"/>
          <w:color w:val="00B050"/>
          <w:sz w:val="18"/>
        </w:rPr>
        <w:t xml:space="preserve">Information on the study population should be part of the information provided in the study objectives as indicated in the example tabulation e.g. to evaluate the </w:t>
      </w:r>
      <w:proofErr w:type="gramStart"/>
      <w:r w:rsidRPr="00EF791B">
        <w:rPr>
          <w:rFonts w:ascii="Verdana" w:hAnsi="Verdana"/>
          <w:color w:val="00B050"/>
          <w:sz w:val="18"/>
        </w:rPr>
        <w:t>long term</w:t>
      </w:r>
      <w:proofErr w:type="gramEnd"/>
      <w:r w:rsidRPr="00EF791B">
        <w:rPr>
          <w:rFonts w:ascii="Verdana" w:hAnsi="Verdana"/>
          <w:color w:val="00B050"/>
          <w:sz w:val="18"/>
        </w:rPr>
        <w:t xml:space="preserve"> safety of adult/ paediatric/ adolescent/ elderly/ very elderly patients with Type 1 diabetes.</w:t>
      </w:r>
    </w:p>
    <w:p w14:paraId="749E8202" w14:textId="3E5BFC8E" w:rsidR="00917BD7" w:rsidRPr="00EF791B" w:rsidRDefault="00917BD7" w:rsidP="00917BD7">
      <w:pPr>
        <w:pStyle w:val="DraftingNotesAgency"/>
        <w:rPr>
          <w:rFonts w:ascii="Verdana" w:hAnsi="Verdana"/>
          <w:color w:val="00B050"/>
          <w:sz w:val="18"/>
        </w:rPr>
      </w:pPr>
      <w:r w:rsidRPr="00EF791B">
        <w:rPr>
          <w:rFonts w:ascii="Verdana" w:hAnsi="Verdana"/>
          <w:color w:val="00B050"/>
          <w:sz w:val="18"/>
        </w:rPr>
        <w:t xml:space="preserve">Clear milestones and due dates should be provided (e.g. submission of final study report by 31/01/2018). Final report due dates </w:t>
      </w:r>
      <w:r w:rsidR="00ED4E46" w:rsidRPr="00EF791B">
        <w:rPr>
          <w:rFonts w:ascii="Verdana" w:hAnsi="Verdana"/>
          <w:color w:val="00B050"/>
          <w:sz w:val="18"/>
        </w:rPr>
        <w:t>(and interim report due dates where appropriate</w:t>
      </w:r>
      <w:r w:rsidR="00D62A42" w:rsidRPr="00EF791B">
        <w:rPr>
          <w:rFonts w:ascii="Verdana" w:hAnsi="Verdana"/>
          <w:color w:val="00B050"/>
          <w:sz w:val="18"/>
        </w:rPr>
        <w:t xml:space="preserve">) </w:t>
      </w:r>
      <w:r w:rsidRPr="00EF791B">
        <w:rPr>
          <w:rFonts w:ascii="Verdana" w:hAnsi="Verdana"/>
          <w:color w:val="00B050"/>
          <w:sz w:val="18"/>
        </w:rPr>
        <w:t xml:space="preserve">should be provided for all studies included in the table below. </w:t>
      </w:r>
    </w:p>
    <w:p w14:paraId="7FEE7564" w14:textId="77777777" w:rsidR="00917BD7" w:rsidRPr="00EF791B" w:rsidRDefault="00917BD7" w:rsidP="00917BD7">
      <w:pPr>
        <w:pStyle w:val="DraftingNotesAgency"/>
        <w:rPr>
          <w:rFonts w:ascii="Verdana" w:hAnsi="Verdana"/>
          <w:color w:val="00B050"/>
          <w:sz w:val="18"/>
        </w:rPr>
      </w:pPr>
      <w:r w:rsidRPr="00EF791B">
        <w:rPr>
          <w:rFonts w:ascii="Verdana" w:hAnsi="Verdana"/>
          <w:color w:val="00B050"/>
          <w:sz w:val="18"/>
        </w:rPr>
        <w:t xml:space="preserve">If a study aims to evaluate the effectiveness of risk minimisation measures, this needs to be made explicit in the study summary of objectives. </w:t>
      </w:r>
    </w:p>
    <w:p w14:paraId="79F53C37" w14:textId="5E630A82"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Note: Regardless of other milestone</w:t>
      </w:r>
      <w:r w:rsidR="00D62A42" w:rsidRPr="00EF791B">
        <w:rPr>
          <w:rFonts w:ascii="Verdana" w:hAnsi="Verdana"/>
          <w:color w:val="00B050"/>
          <w:sz w:val="18"/>
        </w:rPr>
        <w:t>s</w:t>
      </w:r>
      <w:r w:rsidRPr="00EF791B">
        <w:rPr>
          <w:rFonts w:ascii="Verdana" w:hAnsi="Verdana"/>
          <w:color w:val="00B050"/>
          <w:sz w:val="18"/>
        </w:rPr>
        <w:t>, EAMS Opinion Holders are expected to provide updates on findings from registries/studies within the Periodic Reports and to provide an annual report with each EAMS renewal application.</w:t>
      </w:r>
    </w:p>
    <w:p w14:paraId="50140BAE" w14:textId="77777777" w:rsidR="00550137" w:rsidRPr="00F32AFA" w:rsidRDefault="00550137" w:rsidP="00550137">
      <w:pPr>
        <w:pStyle w:val="TableheadingAgency"/>
        <w:numPr>
          <w:ilvl w:val="0"/>
          <w:numId w:val="25"/>
        </w:numPr>
        <w:rPr>
          <w:lang w:eastAsia="en-GB"/>
        </w:rPr>
      </w:pPr>
      <w:r w:rsidRPr="00F32AFA">
        <w:rPr>
          <w:lang w:eastAsia="en-GB"/>
        </w:rPr>
        <w:t>On-going and planned additional pharmacovigilance activities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2190"/>
        <w:gridCol w:w="2287"/>
        <w:gridCol w:w="1987"/>
        <w:gridCol w:w="1753"/>
        <w:gridCol w:w="1858"/>
      </w:tblGrid>
      <w:tr w:rsidR="00550137" w:rsidRPr="00F32AFA" w14:paraId="1187C6E2" w14:textId="77777777" w:rsidTr="009D2607">
        <w:trPr>
          <w:tblHeader/>
        </w:trPr>
        <w:tc>
          <w:tcPr>
            <w:tcW w:w="1087" w:type="pct"/>
            <w:tcBorders>
              <w:top w:val="single" w:sz="4" w:space="0" w:color="auto"/>
              <w:left w:val="single" w:sz="4" w:space="0" w:color="auto"/>
              <w:bottom w:val="single" w:sz="6" w:space="0" w:color="auto"/>
              <w:right w:val="single" w:sz="6" w:space="0" w:color="auto"/>
            </w:tcBorders>
          </w:tcPr>
          <w:p w14:paraId="2C10FC3C" w14:textId="77777777" w:rsidR="00550137" w:rsidRPr="00F32AFA" w:rsidRDefault="00550137" w:rsidP="009D2607">
            <w:pPr>
              <w:pStyle w:val="TableheadingrowsAgency"/>
              <w:rPr>
                <w:bCs/>
              </w:rPr>
            </w:pPr>
            <w:r w:rsidRPr="00F32AFA">
              <w:rPr>
                <w:bCs/>
              </w:rPr>
              <w:t xml:space="preserve">Study/activity type, title; status </w:t>
            </w:r>
            <w:r w:rsidRPr="00F32AFA">
              <w:rPr>
                <w:b w:val="0"/>
                <w:bCs/>
              </w:rPr>
              <w:t>(planned, on-going)</w:t>
            </w:r>
          </w:p>
        </w:tc>
        <w:tc>
          <w:tcPr>
            <w:tcW w:w="1135" w:type="pct"/>
            <w:tcBorders>
              <w:top w:val="single" w:sz="4" w:space="0" w:color="auto"/>
              <w:left w:val="single" w:sz="6" w:space="0" w:color="auto"/>
              <w:bottom w:val="single" w:sz="6" w:space="0" w:color="auto"/>
              <w:right w:val="single" w:sz="6" w:space="0" w:color="auto"/>
            </w:tcBorders>
          </w:tcPr>
          <w:p w14:paraId="22A96476" w14:textId="77777777" w:rsidR="00550137" w:rsidRPr="00F32AFA" w:rsidRDefault="00550137" w:rsidP="009D2607">
            <w:pPr>
              <w:pStyle w:val="TableheadingrowsAgency"/>
              <w:rPr>
                <w:bCs/>
              </w:rPr>
            </w:pPr>
            <w:r w:rsidRPr="00F32AFA">
              <w:rPr>
                <w:bCs/>
              </w:rPr>
              <w:t>Objectives</w:t>
            </w:r>
          </w:p>
        </w:tc>
        <w:tc>
          <w:tcPr>
            <w:tcW w:w="986" w:type="pct"/>
            <w:tcBorders>
              <w:top w:val="single" w:sz="4" w:space="0" w:color="auto"/>
              <w:left w:val="single" w:sz="6" w:space="0" w:color="auto"/>
              <w:bottom w:val="single" w:sz="6" w:space="0" w:color="auto"/>
              <w:right w:val="single" w:sz="6" w:space="0" w:color="auto"/>
            </w:tcBorders>
          </w:tcPr>
          <w:p w14:paraId="577FD477" w14:textId="77777777" w:rsidR="00550137" w:rsidRPr="00F32AFA" w:rsidRDefault="00550137" w:rsidP="009D2607">
            <w:pPr>
              <w:pStyle w:val="TableheadingrowsAgency"/>
              <w:rPr>
                <w:bCs/>
              </w:rPr>
            </w:pPr>
            <w:r w:rsidRPr="00F32AFA">
              <w:rPr>
                <w:bCs/>
              </w:rPr>
              <w:t>Safety concerns addressed</w:t>
            </w:r>
          </w:p>
        </w:tc>
        <w:tc>
          <w:tcPr>
            <w:tcW w:w="870" w:type="pct"/>
            <w:tcBorders>
              <w:top w:val="single" w:sz="4" w:space="0" w:color="auto"/>
              <w:left w:val="single" w:sz="6" w:space="0" w:color="auto"/>
              <w:bottom w:val="single" w:sz="6" w:space="0" w:color="auto"/>
              <w:right w:val="single" w:sz="6" w:space="0" w:color="auto"/>
            </w:tcBorders>
          </w:tcPr>
          <w:p w14:paraId="5E06ABA6" w14:textId="77777777" w:rsidR="00550137" w:rsidRPr="00F32AFA" w:rsidRDefault="00550137" w:rsidP="009D2607">
            <w:pPr>
              <w:keepNext/>
              <w:spacing w:after="140" w:line="280" w:lineRule="atLeast"/>
              <w:rPr>
                <w:rFonts w:eastAsia="Times New Roman"/>
                <w:b/>
                <w:bCs/>
                <w:lang w:eastAsia="en-GB"/>
              </w:rPr>
            </w:pPr>
            <w:r w:rsidRPr="00F32AFA">
              <w:rPr>
                <w:rFonts w:eastAsia="Times New Roman"/>
                <w:b/>
                <w:bCs/>
                <w:lang w:eastAsia="en-GB"/>
              </w:rPr>
              <w:t xml:space="preserve">Milestones </w:t>
            </w:r>
            <w:r w:rsidRPr="00F32AFA">
              <w:rPr>
                <w:rFonts w:eastAsia="Times New Roman"/>
                <w:bCs/>
                <w:lang w:eastAsia="en-GB"/>
              </w:rPr>
              <w:t>(mandatory)</w:t>
            </w:r>
          </w:p>
          <w:p w14:paraId="40F3F804" w14:textId="77777777" w:rsidR="00550137" w:rsidRPr="00F32AFA" w:rsidRDefault="00550137" w:rsidP="009D2607">
            <w:pPr>
              <w:pStyle w:val="TableheadingrowsAgency"/>
              <w:rPr>
                <w:bCs/>
              </w:rPr>
            </w:pPr>
          </w:p>
        </w:tc>
        <w:tc>
          <w:tcPr>
            <w:tcW w:w="922" w:type="pct"/>
            <w:tcBorders>
              <w:top w:val="single" w:sz="4" w:space="0" w:color="auto"/>
              <w:left w:val="single" w:sz="6" w:space="0" w:color="auto"/>
              <w:bottom w:val="single" w:sz="6" w:space="0" w:color="auto"/>
              <w:right w:val="single" w:sz="4" w:space="0" w:color="auto"/>
            </w:tcBorders>
          </w:tcPr>
          <w:p w14:paraId="6A7E7CD4" w14:textId="77777777" w:rsidR="00550137" w:rsidRPr="00F32AFA" w:rsidRDefault="00550137" w:rsidP="009D2607">
            <w:pPr>
              <w:pStyle w:val="TableheadingrowsAgency"/>
              <w:rPr>
                <w:bCs/>
              </w:rPr>
            </w:pPr>
            <w:r w:rsidRPr="00F32AFA">
              <w:rPr>
                <w:bCs/>
              </w:rPr>
              <w:t xml:space="preserve">Due date </w:t>
            </w:r>
            <w:r w:rsidRPr="00F32AFA">
              <w:rPr>
                <w:b w:val="0"/>
                <w:bCs/>
              </w:rPr>
              <w:t>(mandatory)</w:t>
            </w:r>
          </w:p>
        </w:tc>
      </w:tr>
      <w:tr w:rsidR="00550137" w:rsidRPr="00F32AFA" w14:paraId="79282F68" w14:textId="77777777" w:rsidTr="009D2607">
        <w:trPr>
          <w:trHeight w:val="820"/>
        </w:trPr>
        <w:tc>
          <w:tcPr>
            <w:tcW w:w="1087" w:type="pct"/>
            <w:vMerge w:val="restart"/>
            <w:tcBorders>
              <w:top w:val="single" w:sz="6" w:space="0" w:color="auto"/>
              <w:left w:val="single" w:sz="4" w:space="0" w:color="auto"/>
              <w:right w:val="single" w:sz="6" w:space="0" w:color="auto"/>
            </w:tcBorders>
          </w:tcPr>
          <w:p w14:paraId="20E574DD" w14:textId="77777777" w:rsidR="00550137" w:rsidRPr="00F32AFA" w:rsidRDefault="00550137" w:rsidP="009D2607">
            <w:pPr>
              <w:spacing w:line="280" w:lineRule="exact"/>
              <w:rPr>
                <w:rFonts w:eastAsia="Times New Roman"/>
                <w:lang w:eastAsia="en-GB"/>
              </w:rPr>
            </w:pPr>
            <w:r w:rsidRPr="00F32AFA">
              <w:rPr>
                <w:rFonts w:eastAsia="Times New Roman"/>
                <w:lang w:eastAsia="en-GB"/>
              </w:rPr>
              <w:t>1. &lt;E.g. CRUCIAL</w:t>
            </w:r>
          </w:p>
          <w:p w14:paraId="1DC114EF" w14:textId="77777777" w:rsidR="00550137" w:rsidRPr="00F32AFA" w:rsidRDefault="00550137" w:rsidP="009D2607">
            <w:pPr>
              <w:spacing w:line="280" w:lineRule="exact"/>
              <w:rPr>
                <w:rFonts w:eastAsia="Times New Roman"/>
                <w:lang w:eastAsia="en-GB"/>
              </w:rPr>
            </w:pPr>
            <w:r w:rsidRPr="00F32AFA">
              <w:rPr>
                <w:rFonts w:eastAsia="Times New Roman"/>
                <w:lang w:eastAsia="en-GB"/>
              </w:rPr>
              <w:t xml:space="preserve">Cancer Registry at University College </w:t>
            </w:r>
            <w:proofErr w:type="spellStart"/>
            <w:r w:rsidRPr="00F32AFA">
              <w:rPr>
                <w:rFonts w:eastAsia="Times New Roman"/>
                <w:lang w:eastAsia="en-GB"/>
              </w:rPr>
              <w:t>IdAho</w:t>
            </w:r>
            <w:proofErr w:type="spellEnd"/>
            <w:r w:rsidRPr="00F32AFA">
              <w:rPr>
                <w:rFonts w:eastAsia="Times New Roman"/>
                <w:lang w:eastAsia="en-GB"/>
              </w:rPr>
              <w:t xml:space="preserve"> Liver unit</w:t>
            </w:r>
          </w:p>
          <w:p w14:paraId="134CD5B7" w14:textId="77777777" w:rsidR="00550137" w:rsidRPr="00F32AFA" w:rsidRDefault="00550137" w:rsidP="009D2607">
            <w:pPr>
              <w:spacing w:line="280" w:lineRule="exact"/>
              <w:rPr>
                <w:rFonts w:eastAsia="Times New Roman"/>
                <w:lang w:eastAsia="en-GB"/>
              </w:rPr>
            </w:pPr>
            <w:r w:rsidRPr="00F32AFA">
              <w:rPr>
                <w:rFonts w:eastAsia="Times New Roman"/>
                <w:lang w:eastAsia="en-GB"/>
              </w:rPr>
              <w:t>(non- interventional cohort</w:t>
            </w:r>
            <w:proofErr w:type="gramStart"/>
            <w:r w:rsidRPr="00F32AFA">
              <w:rPr>
                <w:rFonts w:eastAsia="Times New Roman"/>
                <w:lang w:eastAsia="en-GB"/>
              </w:rPr>
              <w:t>);</w:t>
            </w:r>
            <w:proofErr w:type="gramEnd"/>
          </w:p>
          <w:p w14:paraId="05AF8C80" w14:textId="77777777" w:rsidR="00550137" w:rsidRPr="00F32AFA" w:rsidRDefault="00550137" w:rsidP="009D2607">
            <w:pPr>
              <w:pStyle w:val="TabletextrowsAgency"/>
              <w:rPr>
                <w:lang w:eastAsia="en-GB"/>
              </w:rPr>
            </w:pPr>
            <w:r w:rsidRPr="00F32AFA">
              <w:rPr>
                <w:i/>
                <w:lang w:eastAsia="en-GB"/>
              </w:rPr>
              <w:t>&lt;On-going</w:t>
            </w:r>
            <w:r w:rsidRPr="00F32AFA">
              <w:rPr>
                <w:lang w:eastAsia="en-GB"/>
              </w:rPr>
              <w:t xml:space="preserve">&gt; </w:t>
            </w:r>
          </w:p>
        </w:tc>
        <w:tc>
          <w:tcPr>
            <w:tcW w:w="1135" w:type="pct"/>
            <w:vMerge w:val="restart"/>
            <w:tcBorders>
              <w:top w:val="single" w:sz="6" w:space="0" w:color="auto"/>
              <w:left w:val="single" w:sz="6" w:space="0" w:color="auto"/>
              <w:right w:val="single" w:sz="6" w:space="0" w:color="auto"/>
            </w:tcBorders>
          </w:tcPr>
          <w:p w14:paraId="3AADB4C3" w14:textId="77777777" w:rsidR="00550137" w:rsidRPr="00F32AFA" w:rsidRDefault="00550137" w:rsidP="009D2607">
            <w:pPr>
              <w:pStyle w:val="TabletextrowsAgency"/>
              <w:rPr>
                <w:lang w:eastAsia="en-GB"/>
              </w:rPr>
            </w:pPr>
            <w:r w:rsidRPr="00F32AFA">
              <w:rPr>
                <w:lang w:eastAsia="en-GB"/>
              </w:rPr>
              <w:t>&lt;E.g. To investigate long term survival, time to progression&gt;</w:t>
            </w:r>
          </w:p>
        </w:tc>
        <w:tc>
          <w:tcPr>
            <w:tcW w:w="986" w:type="pct"/>
            <w:vMerge w:val="restart"/>
            <w:tcBorders>
              <w:top w:val="single" w:sz="6" w:space="0" w:color="auto"/>
              <w:left w:val="single" w:sz="6" w:space="0" w:color="auto"/>
              <w:right w:val="single" w:sz="6" w:space="0" w:color="auto"/>
            </w:tcBorders>
          </w:tcPr>
          <w:p w14:paraId="34FC6166" w14:textId="77777777" w:rsidR="00550137" w:rsidRPr="00F32AFA" w:rsidRDefault="00550137" w:rsidP="009D2607">
            <w:pPr>
              <w:spacing w:line="280" w:lineRule="exact"/>
              <w:rPr>
                <w:rFonts w:eastAsia="Times New Roman"/>
                <w:lang w:eastAsia="en-GB"/>
              </w:rPr>
            </w:pPr>
            <w:r w:rsidRPr="00F32AFA">
              <w:rPr>
                <w:rFonts w:eastAsia="Times New Roman"/>
                <w:lang w:eastAsia="en-GB"/>
              </w:rPr>
              <w:t>&lt;E.g.</w:t>
            </w:r>
          </w:p>
          <w:p w14:paraId="5131679C" w14:textId="77777777" w:rsidR="00550137" w:rsidRPr="00F32AFA" w:rsidRDefault="00550137" w:rsidP="00550137">
            <w:pPr>
              <w:numPr>
                <w:ilvl w:val="0"/>
                <w:numId w:val="23"/>
              </w:numPr>
              <w:spacing w:line="280" w:lineRule="exact"/>
              <w:ind w:left="355" w:hanging="203"/>
              <w:rPr>
                <w:rFonts w:eastAsia="Times New Roman"/>
                <w:lang w:eastAsia="en-GB"/>
              </w:rPr>
            </w:pPr>
            <w:r w:rsidRPr="00F32AFA">
              <w:rPr>
                <w:rFonts w:eastAsia="Times New Roman"/>
                <w:lang w:eastAsia="en-GB"/>
              </w:rPr>
              <w:t>Bradycardia</w:t>
            </w:r>
          </w:p>
          <w:p w14:paraId="6F60B88A" w14:textId="77777777" w:rsidR="00550137" w:rsidRPr="00F32AFA" w:rsidRDefault="00550137" w:rsidP="00550137">
            <w:pPr>
              <w:numPr>
                <w:ilvl w:val="0"/>
                <w:numId w:val="23"/>
              </w:numPr>
              <w:spacing w:line="280" w:lineRule="exact"/>
              <w:ind w:left="355" w:hanging="203"/>
              <w:rPr>
                <w:rFonts w:eastAsia="Times New Roman"/>
                <w:lang w:eastAsia="en-GB"/>
              </w:rPr>
            </w:pPr>
            <w:r w:rsidRPr="00F32AFA">
              <w:rPr>
                <w:rFonts w:eastAsia="Times New Roman"/>
                <w:lang w:eastAsia="en-GB"/>
              </w:rPr>
              <w:t>Thrombosis</w:t>
            </w:r>
          </w:p>
          <w:p w14:paraId="6C948369" w14:textId="77777777" w:rsidR="00550137" w:rsidRPr="00F32AFA" w:rsidRDefault="00550137" w:rsidP="00550137">
            <w:pPr>
              <w:numPr>
                <w:ilvl w:val="0"/>
                <w:numId w:val="23"/>
              </w:numPr>
              <w:spacing w:line="280" w:lineRule="exact"/>
              <w:ind w:left="355" w:hanging="203"/>
              <w:rPr>
                <w:rFonts w:eastAsia="Times New Roman"/>
                <w:lang w:eastAsia="en-GB"/>
              </w:rPr>
            </w:pPr>
            <w:r w:rsidRPr="00F32AFA">
              <w:rPr>
                <w:rFonts w:eastAsia="Times New Roman"/>
                <w:lang w:eastAsia="en-GB"/>
              </w:rPr>
              <w:t>Leukopenia&gt;</w:t>
            </w:r>
          </w:p>
          <w:p w14:paraId="188247F6" w14:textId="77777777" w:rsidR="00550137" w:rsidRPr="00F32AFA" w:rsidRDefault="00550137" w:rsidP="009D2607">
            <w:pPr>
              <w:pStyle w:val="TabletextrowsAgency"/>
              <w:rPr>
                <w:lang w:eastAsia="en-GB"/>
              </w:rPr>
            </w:pPr>
          </w:p>
        </w:tc>
        <w:tc>
          <w:tcPr>
            <w:tcW w:w="870" w:type="pct"/>
            <w:tcBorders>
              <w:top w:val="single" w:sz="6" w:space="0" w:color="auto"/>
              <w:left w:val="single" w:sz="6" w:space="0" w:color="auto"/>
              <w:bottom w:val="single" w:sz="6" w:space="0" w:color="auto"/>
              <w:right w:val="single" w:sz="6" w:space="0" w:color="auto"/>
            </w:tcBorders>
          </w:tcPr>
          <w:p w14:paraId="590F62BC" w14:textId="77777777" w:rsidR="00550137" w:rsidRPr="00F32AFA" w:rsidRDefault="00550137" w:rsidP="009D2607">
            <w:pPr>
              <w:pStyle w:val="TabletextrowsAgency"/>
              <w:rPr>
                <w:lang w:eastAsia="en-GB"/>
              </w:rPr>
            </w:pPr>
            <w:r w:rsidRPr="00F32AFA">
              <w:t>Protocol submission</w:t>
            </w:r>
            <w:r w:rsidRPr="00F32AFA">
              <w:rPr>
                <w:vertAlign w:val="superscript"/>
              </w:rPr>
              <w:t>1</w:t>
            </w:r>
          </w:p>
        </w:tc>
        <w:tc>
          <w:tcPr>
            <w:tcW w:w="922" w:type="pct"/>
            <w:tcBorders>
              <w:top w:val="single" w:sz="6" w:space="0" w:color="auto"/>
              <w:left w:val="single" w:sz="6" w:space="0" w:color="auto"/>
              <w:right w:val="single" w:sz="4" w:space="0" w:color="auto"/>
            </w:tcBorders>
          </w:tcPr>
          <w:p w14:paraId="3E4BB33E" w14:textId="77777777" w:rsidR="00550137" w:rsidRPr="00F32AFA" w:rsidRDefault="00550137" w:rsidP="009D2607">
            <w:pPr>
              <w:pStyle w:val="TabletextrowsAgency"/>
            </w:pPr>
            <w:r w:rsidRPr="00F32AFA">
              <w:t>DD/MM/YYYY</w:t>
            </w:r>
          </w:p>
        </w:tc>
      </w:tr>
      <w:tr w:rsidR="00550137" w:rsidRPr="00F32AFA" w14:paraId="3DAC5CAB" w14:textId="77777777" w:rsidTr="009D2607">
        <w:trPr>
          <w:trHeight w:val="820"/>
        </w:trPr>
        <w:tc>
          <w:tcPr>
            <w:tcW w:w="1087" w:type="pct"/>
            <w:vMerge/>
            <w:tcBorders>
              <w:left w:val="single" w:sz="4" w:space="0" w:color="auto"/>
              <w:bottom w:val="single" w:sz="6" w:space="0" w:color="auto"/>
              <w:right w:val="single" w:sz="6" w:space="0" w:color="auto"/>
            </w:tcBorders>
          </w:tcPr>
          <w:p w14:paraId="15AF997A" w14:textId="77777777" w:rsidR="00550137" w:rsidRPr="00F32AFA" w:rsidRDefault="00550137" w:rsidP="009D2607">
            <w:pPr>
              <w:spacing w:line="280" w:lineRule="exact"/>
              <w:rPr>
                <w:rFonts w:eastAsia="Times New Roman"/>
                <w:lang w:eastAsia="en-GB"/>
              </w:rPr>
            </w:pPr>
          </w:p>
        </w:tc>
        <w:tc>
          <w:tcPr>
            <w:tcW w:w="1135" w:type="pct"/>
            <w:vMerge/>
            <w:tcBorders>
              <w:left w:val="single" w:sz="6" w:space="0" w:color="auto"/>
              <w:bottom w:val="single" w:sz="6" w:space="0" w:color="auto"/>
              <w:right w:val="single" w:sz="6" w:space="0" w:color="auto"/>
            </w:tcBorders>
          </w:tcPr>
          <w:p w14:paraId="0C9F97FE" w14:textId="77777777" w:rsidR="00550137" w:rsidRPr="00F32AFA" w:rsidRDefault="00550137" w:rsidP="009D2607">
            <w:pPr>
              <w:pStyle w:val="TabletextrowsAgency"/>
              <w:rPr>
                <w:lang w:eastAsia="en-GB"/>
              </w:rPr>
            </w:pPr>
          </w:p>
        </w:tc>
        <w:tc>
          <w:tcPr>
            <w:tcW w:w="986" w:type="pct"/>
            <w:vMerge/>
            <w:tcBorders>
              <w:left w:val="single" w:sz="6" w:space="0" w:color="auto"/>
              <w:bottom w:val="single" w:sz="6" w:space="0" w:color="auto"/>
              <w:right w:val="single" w:sz="6" w:space="0" w:color="auto"/>
            </w:tcBorders>
          </w:tcPr>
          <w:p w14:paraId="6196A75D" w14:textId="77777777" w:rsidR="00550137" w:rsidRPr="00F32AFA" w:rsidRDefault="00550137" w:rsidP="009D2607">
            <w:pPr>
              <w:spacing w:line="280" w:lineRule="exact"/>
              <w:rPr>
                <w:rFonts w:eastAsia="Times New Roman"/>
                <w:lang w:eastAsia="en-GB"/>
              </w:rPr>
            </w:pPr>
          </w:p>
        </w:tc>
        <w:tc>
          <w:tcPr>
            <w:tcW w:w="870" w:type="pct"/>
            <w:tcBorders>
              <w:top w:val="single" w:sz="6" w:space="0" w:color="auto"/>
              <w:left w:val="single" w:sz="6" w:space="0" w:color="auto"/>
              <w:bottom w:val="single" w:sz="6" w:space="0" w:color="auto"/>
              <w:right w:val="single" w:sz="6" w:space="0" w:color="auto"/>
            </w:tcBorders>
          </w:tcPr>
          <w:p w14:paraId="6B9F8E8C" w14:textId="77777777" w:rsidR="00550137" w:rsidRPr="00F32AFA" w:rsidRDefault="00550137" w:rsidP="009D2607">
            <w:pPr>
              <w:pStyle w:val="TabletextrowsAgency"/>
            </w:pPr>
            <w:r w:rsidRPr="00F32AFA">
              <w:t>Final report</w:t>
            </w:r>
          </w:p>
        </w:tc>
        <w:tc>
          <w:tcPr>
            <w:tcW w:w="922" w:type="pct"/>
            <w:tcBorders>
              <w:left w:val="single" w:sz="6" w:space="0" w:color="auto"/>
              <w:bottom w:val="single" w:sz="6" w:space="0" w:color="auto"/>
              <w:right w:val="single" w:sz="4" w:space="0" w:color="auto"/>
            </w:tcBorders>
          </w:tcPr>
          <w:p w14:paraId="632C830C" w14:textId="77777777" w:rsidR="00550137" w:rsidRPr="00F32AFA" w:rsidRDefault="00550137" w:rsidP="009D2607">
            <w:pPr>
              <w:pStyle w:val="TabletextrowsAgency"/>
            </w:pPr>
            <w:r w:rsidRPr="00F32AFA">
              <w:t>DD/MM/YYYY</w:t>
            </w:r>
          </w:p>
        </w:tc>
      </w:tr>
      <w:tr w:rsidR="00550137" w:rsidRPr="00F32AFA" w14:paraId="7A2BA34A" w14:textId="77777777" w:rsidTr="009D2607">
        <w:trPr>
          <w:trHeight w:val="701"/>
        </w:trPr>
        <w:tc>
          <w:tcPr>
            <w:tcW w:w="1087" w:type="pct"/>
            <w:vMerge w:val="restart"/>
            <w:tcBorders>
              <w:top w:val="single" w:sz="6" w:space="0" w:color="auto"/>
              <w:left w:val="single" w:sz="4" w:space="0" w:color="auto"/>
              <w:right w:val="single" w:sz="6" w:space="0" w:color="auto"/>
            </w:tcBorders>
          </w:tcPr>
          <w:p w14:paraId="186BE8E3" w14:textId="77777777" w:rsidR="00550137" w:rsidRPr="00F32AFA" w:rsidRDefault="00550137" w:rsidP="009D2607">
            <w:pPr>
              <w:pStyle w:val="TabletextrowsAgency"/>
              <w:rPr>
                <w:lang w:eastAsia="en-GB"/>
              </w:rPr>
            </w:pPr>
            <w:r w:rsidRPr="00F32AFA">
              <w:rPr>
                <w:lang w:eastAsia="en-GB"/>
              </w:rPr>
              <w:t>Observational evaluation of safety of &lt;product&gt; in children and adolescent with high risk conditions</w:t>
            </w:r>
          </w:p>
          <w:p w14:paraId="7ED1FAFE" w14:textId="77777777" w:rsidR="00550137" w:rsidRPr="00F32AFA" w:rsidRDefault="00550137" w:rsidP="009D2607">
            <w:pPr>
              <w:pStyle w:val="TabletextrowsAgency"/>
              <w:rPr>
                <w:lang w:eastAsia="en-GB"/>
              </w:rPr>
            </w:pPr>
            <w:r w:rsidRPr="00F32AFA">
              <w:rPr>
                <w:i/>
                <w:lang w:eastAsia="en-GB"/>
              </w:rPr>
              <w:t>&lt;Planned</w:t>
            </w:r>
            <w:r w:rsidRPr="00F32AFA">
              <w:rPr>
                <w:lang w:eastAsia="en-GB"/>
              </w:rPr>
              <w:t>&gt;</w:t>
            </w:r>
          </w:p>
        </w:tc>
        <w:tc>
          <w:tcPr>
            <w:tcW w:w="1135" w:type="pct"/>
            <w:vMerge w:val="restart"/>
            <w:tcBorders>
              <w:top w:val="single" w:sz="6" w:space="0" w:color="auto"/>
              <w:left w:val="single" w:sz="6" w:space="0" w:color="auto"/>
              <w:right w:val="single" w:sz="6" w:space="0" w:color="auto"/>
            </w:tcBorders>
          </w:tcPr>
          <w:p w14:paraId="5896DAC2" w14:textId="77777777" w:rsidR="00550137" w:rsidRPr="00F32AFA" w:rsidRDefault="00550137" w:rsidP="009D2607">
            <w:pPr>
              <w:pStyle w:val="TabletextrowsAgency"/>
              <w:rPr>
                <w:lang w:eastAsia="en-GB"/>
              </w:rPr>
            </w:pPr>
            <w:r w:rsidRPr="00F32AFA">
              <w:rPr>
                <w:lang w:eastAsia="en-GB"/>
              </w:rPr>
              <w:t>To investigate the safety of &lt;product&gt; in high risk paediatric patients</w:t>
            </w:r>
          </w:p>
        </w:tc>
        <w:tc>
          <w:tcPr>
            <w:tcW w:w="986" w:type="pct"/>
            <w:vMerge w:val="restart"/>
            <w:tcBorders>
              <w:top w:val="single" w:sz="6" w:space="0" w:color="auto"/>
              <w:left w:val="single" w:sz="6" w:space="0" w:color="auto"/>
              <w:right w:val="single" w:sz="6" w:space="0" w:color="auto"/>
            </w:tcBorders>
          </w:tcPr>
          <w:p w14:paraId="2E532150" w14:textId="77777777" w:rsidR="00550137" w:rsidRPr="00F32AFA" w:rsidRDefault="00550137" w:rsidP="009D2607">
            <w:pPr>
              <w:pStyle w:val="TabletextrowsAgency"/>
              <w:rPr>
                <w:lang w:eastAsia="en-GB"/>
              </w:rPr>
            </w:pPr>
          </w:p>
        </w:tc>
        <w:tc>
          <w:tcPr>
            <w:tcW w:w="870" w:type="pct"/>
            <w:tcBorders>
              <w:top w:val="single" w:sz="6" w:space="0" w:color="auto"/>
              <w:left w:val="single" w:sz="6" w:space="0" w:color="auto"/>
              <w:bottom w:val="single" w:sz="6" w:space="0" w:color="auto"/>
              <w:right w:val="single" w:sz="6" w:space="0" w:color="auto"/>
            </w:tcBorders>
          </w:tcPr>
          <w:p w14:paraId="4631D5ED" w14:textId="77777777" w:rsidR="00550137" w:rsidRPr="00F32AFA" w:rsidRDefault="00550137" w:rsidP="009D2607">
            <w:pPr>
              <w:pStyle w:val="TabletextrowsAgency"/>
              <w:rPr>
                <w:lang w:eastAsia="en-GB"/>
              </w:rPr>
            </w:pPr>
            <w:r w:rsidRPr="00F32AFA">
              <w:t>Protocol submission</w:t>
            </w:r>
            <w:r w:rsidRPr="00F32AFA">
              <w:rPr>
                <w:vertAlign w:val="superscript"/>
              </w:rPr>
              <w:t>1</w:t>
            </w:r>
          </w:p>
        </w:tc>
        <w:tc>
          <w:tcPr>
            <w:tcW w:w="922" w:type="pct"/>
            <w:tcBorders>
              <w:top w:val="single" w:sz="6" w:space="0" w:color="auto"/>
              <w:left w:val="single" w:sz="6" w:space="0" w:color="auto"/>
              <w:right w:val="single" w:sz="4" w:space="0" w:color="auto"/>
            </w:tcBorders>
          </w:tcPr>
          <w:p w14:paraId="00E8B31A" w14:textId="77777777" w:rsidR="00550137" w:rsidRPr="00F32AFA" w:rsidRDefault="00550137" w:rsidP="009D2607">
            <w:pPr>
              <w:pStyle w:val="TabletextrowsAgency"/>
              <w:rPr>
                <w:lang w:eastAsia="en-GB"/>
              </w:rPr>
            </w:pPr>
            <w:r w:rsidRPr="00F32AFA">
              <w:t>DD/MM/YYYY</w:t>
            </w:r>
          </w:p>
        </w:tc>
      </w:tr>
      <w:tr w:rsidR="00550137" w:rsidRPr="00F32AFA" w14:paraId="5AF5E3B7" w14:textId="77777777" w:rsidTr="009D2607">
        <w:trPr>
          <w:trHeight w:val="701"/>
        </w:trPr>
        <w:tc>
          <w:tcPr>
            <w:tcW w:w="1087" w:type="pct"/>
            <w:vMerge/>
            <w:tcBorders>
              <w:left w:val="single" w:sz="4" w:space="0" w:color="auto"/>
              <w:bottom w:val="single" w:sz="6" w:space="0" w:color="auto"/>
              <w:right w:val="single" w:sz="6" w:space="0" w:color="auto"/>
            </w:tcBorders>
          </w:tcPr>
          <w:p w14:paraId="77244C96" w14:textId="77777777" w:rsidR="00550137" w:rsidRPr="00F32AFA" w:rsidRDefault="00550137" w:rsidP="009D2607">
            <w:pPr>
              <w:pStyle w:val="TabletextrowsAgency"/>
              <w:rPr>
                <w:lang w:eastAsia="en-GB"/>
              </w:rPr>
            </w:pPr>
          </w:p>
        </w:tc>
        <w:tc>
          <w:tcPr>
            <w:tcW w:w="1135" w:type="pct"/>
            <w:vMerge/>
            <w:tcBorders>
              <w:left w:val="single" w:sz="6" w:space="0" w:color="auto"/>
              <w:bottom w:val="single" w:sz="6" w:space="0" w:color="auto"/>
              <w:right w:val="single" w:sz="6" w:space="0" w:color="auto"/>
            </w:tcBorders>
          </w:tcPr>
          <w:p w14:paraId="469B01DD" w14:textId="77777777" w:rsidR="00550137" w:rsidRPr="00F32AFA" w:rsidRDefault="00550137" w:rsidP="009D2607">
            <w:pPr>
              <w:pStyle w:val="TabletextrowsAgency"/>
              <w:rPr>
                <w:lang w:eastAsia="en-GB"/>
              </w:rPr>
            </w:pPr>
          </w:p>
        </w:tc>
        <w:tc>
          <w:tcPr>
            <w:tcW w:w="986" w:type="pct"/>
            <w:vMerge/>
            <w:tcBorders>
              <w:left w:val="single" w:sz="6" w:space="0" w:color="auto"/>
              <w:bottom w:val="single" w:sz="6" w:space="0" w:color="auto"/>
              <w:right w:val="single" w:sz="6" w:space="0" w:color="auto"/>
            </w:tcBorders>
          </w:tcPr>
          <w:p w14:paraId="43A3605D" w14:textId="77777777" w:rsidR="00550137" w:rsidRPr="00F32AFA" w:rsidRDefault="00550137" w:rsidP="009D2607">
            <w:pPr>
              <w:pStyle w:val="TabletextrowsAgency"/>
              <w:rPr>
                <w:lang w:eastAsia="en-GB"/>
              </w:rPr>
            </w:pPr>
          </w:p>
        </w:tc>
        <w:tc>
          <w:tcPr>
            <w:tcW w:w="870" w:type="pct"/>
            <w:tcBorders>
              <w:top w:val="single" w:sz="6" w:space="0" w:color="auto"/>
              <w:left w:val="single" w:sz="6" w:space="0" w:color="auto"/>
              <w:bottom w:val="single" w:sz="6" w:space="0" w:color="auto"/>
              <w:right w:val="single" w:sz="6" w:space="0" w:color="auto"/>
            </w:tcBorders>
          </w:tcPr>
          <w:p w14:paraId="6DB4AAE5" w14:textId="77777777" w:rsidR="00550137" w:rsidRPr="00F32AFA" w:rsidRDefault="00550137" w:rsidP="009D2607">
            <w:pPr>
              <w:pStyle w:val="TabletextrowsAgency"/>
              <w:rPr>
                <w:lang w:eastAsia="en-GB"/>
              </w:rPr>
            </w:pPr>
            <w:r w:rsidRPr="00F32AFA">
              <w:t>Annual report</w:t>
            </w:r>
          </w:p>
        </w:tc>
        <w:tc>
          <w:tcPr>
            <w:tcW w:w="922" w:type="pct"/>
            <w:tcBorders>
              <w:left w:val="single" w:sz="6" w:space="0" w:color="auto"/>
              <w:bottom w:val="single" w:sz="6" w:space="0" w:color="auto"/>
              <w:right w:val="single" w:sz="4" w:space="0" w:color="auto"/>
            </w:tcBorders>
          </w:tcPr>
          <w:p w14:paraId="470D0E99" w14:textId="77777777" w:rsidR="00550137" w:rsidRPr="00F32AFA" w:rsidRDefault="00550137" w:rsidP="009D2607">
            <w:pPr>
              <w:pStyle w:val="TabletextrowsAgency"/>
              <w:rPr>
                <w:lang w:eastAsia="en-GB"/>
              </w:rPr>
            </w:pPr>
            <w:r w:rsidRPr="00F32AFA">
              <w:t>DD/MM/YYYY</w:t>
            </w:r>
          </w:p>
        </w:tc>
      </w:tr>
    </w:tbl>
    <w:p w14:paraId="262DBF0B" w14:textId="77777777" w:rsidR="00550137" w:rsidRPr="00F32AFA" w:rsidRDefault="00550137" w:rsidP="00550137">
      <w:pPr>
        <w:pStyle w:val="DraftingNotesAgency"/>
      </w:pPr>
    </w:p>
    <w:p w14:paraId="57053FBE" w14:textId="19DD0B26" w:rsidR="00550137" w:rsidRDefault="00550137" w:rsidP="00550137">
      <w:pPr>
        <w:pStyle w:val="HeadingcentredAgency"/>
        <w:jc w:val="left"/>
      </w:pPr>
      <w:bookmarkStart w:id="37" w:name="_Toc379986121"/>
      <w:bookmarkStart w:id="38" w:name="_Toc59634434"/>
      <w:r w:rsidRPr="00F32AFA">
        <w:t xml:space="preserve">Part IV: Plans for </w:t>
      </w:r>
      <w:r w:rsidR="000B2751">
        <w:t>further</w:t>
      </w:r>
      <w:r w:rsidRPr="00F32AFA">
        <w:t xml:space="preserve"> efficacy studies</w:t>
      </w:r>
      <w:bookmarkEnd w:id="37"/>
      <w:bookmarkEnd w:id="38"/>
      <w:r w:rsidRPr="00F32AFA">
        <w:t xml:space="preserve">   </w:t>
      </w:r>
    </w:p>
    <w:p w14:paraId="63F78738" w14:textId="03F39134" w:rsidR="00175D56" w:rsidRPr="000F0520" w:rsidRDefault="00175D56" w:rsidP="00175D56">
      <w:pPr>
        <w:pStyle w:val="BodytextAgency"/>
        <w:rPr>
          <w:i/>
          <w:iCs/>
          <w:color w:val="00B050"/>
        </w:rPr>
      </w:pPr>
      <w:r w:rsidRPr="00001BE1">
        <w:rPr>
          <w:i/>
          <w:iCs/>
          <w:color w:val="00B050"/>
        </w:rPr>
        <w:t xml:space="preserve">This section must be completed in the event that any efficacy or effectiveness studies are required by MHRA as part of the terms of the positive opinion.  If such post-opinion studies are not a requirement, a simple cross reference to the accompanying </w:t>
      </w:r>
      <w:r>
        <w:rPr>
          <w:i/>
          <w:iCs/>
          <w:color w:val="00B050"/>
        </w:rPr>
        <w:t>approved</w:t>
      </w:r>
      <w:r w:rsidRPr="00001BE1">
        <w:rPr>
          <w:i/>
          <w:iCs/>
          <w:color w:val="00B050"/>
        </w:rPr>
        <w:t xml:space="preserve"> RMP can be accepted and the section below need not be completed.</w:t>
      </w:r>
      <w:r w:rsidRPr="004E4432">
        <w:rPr>
          <w:i/>
          <w:iCs/>
          <w:color w:val="00B050"/>
        </w:rPr>
        <w:t xml:space="preserve"> </w:t>
      </w:r>
      <w:r w:rsidRPr="00F32AFA">
        <w:t xml:space="preserve"> </w:t>
      </w:r>
    </w:p>
    <w:p w14:paraId="50017BCF" w14:textId="77777777" w:rsidR="00175D56" w:rsidRPr="00175D56" w:rsidRDefault="00175D56" w:rsidP="00175D56">
      <w:pPr>
        <w:pStyle w:val="BodytextAgency"/>
      </w:pPr>
    </w:p>
    <w:p w14:paraId="7F6B32DD" w14:textId="49EC4D0F" w:rsidR="00550137" w:rsidRPr="00F32AFA" w:rsidRDefault="00550137" w:rsidP="00550137">
      <w:pPr>
        <w:pStyle w:val="No-numheading3Agency"/>
        <w:tabs>
          <w:tab w:val="left" w:pos="1134"/>
        </w:tabs>
      </w:pPr>
      <w:bookmarkStart w:id="39" w:name="_Toc379986122"/>
      <w:bookmarkStart w:id="40" w:name="_Toc59634435"/>
      <w:r w:rsidRPr="00F32AFA">
        <w:t>IV.1</w:t>
      </w:r>
      <w:r w:rsidRPr="00F32AFA">
        <w:tab/>
        <w:t>Summary of Post</w:t>
      </w:r>
      <w:r w:rsidR="000B2751">
        <w:t>-opinion</w:t>
      </w:r>
      <w:r w:rsidRPr="00F32AFA">
        <w:t xml:space="preserve"> efficacy development plan</w:t>
      </w:r>
      <w:bookmarkEnd w:id="39"/>
      <w:bookmarkEnd w:id="40"/>
    </w:p>
    <w:p w14:paraId="4E8B3621" w14:textId="77777777"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The purpose of this section is to have an overview of the planned and on-going efficacy studies. The results of the efficacy studies are also expected to contain safety data and might have an impact on the safety profile of the product(s).</w:t>
      </w:r>
    </w:p>
    <w:p w14:paraId="4DA874EB" w14:textId="708EA4B2"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lastRenderedPageBreak/>
        <w:t xml:space="preserve">A synopsis of </w:t>
      </w:r>
      <w:r w:rsidR="0022685D" w:rsidRPr="00EF791B">
        <w:rPr>
          <w:rFonts w:ascii="Verdana" w:hAnsi="Verdana"/>
          <w:color w:val="00B050"/>
          <w:sz w:val="18"/>
        </w:rPr>
        <w:t xml:space="preserve">the protocol(s) of </w:t>
      </w:r>
      <w:r w:rsidR="0022685D" w:rsidRPr="00EF791B">
        <w:rPr>
          <w:rFonts w:ascii="Verdana" w:hAnsi="Verdana"/>
          <w:color w:val="00B050"/>
          <w:sz w:val="18"/>
          <w:highlight w:val="cyan"/>
        </w:rPr>
        <w:t>any efficacy or effectiveness studies required by MHRA</w:t>
      </w:r>
      <w:r w:rsidR="0022685D" w:rsidRPr="00EF791B">
        <w:rPr>
          <w:rFonts w:ascii="Verdana" w:hAnsi="Verdana"/>
          <w:color w:val="00B050"/>
          <w:sz w:val="18"/>
        </w:rPr>
        <w:t xml:space="preserve"> </w:t>
      </w:r>
      <w:r w:rsidRPr="00EF791B">
        <w:rPr>
          <w:rFonts w:ascii="Verdana" w:hAnsi="Verdana"/>
          <w:color w:val="00B050"/>
          <w:sz w:val="18"/>
        </w:rPr>
        <w:t xml:space="preserve">should be provided in Annex </w:t>
      </w:r>
      <w:r w:rsidR="00EA26B9" w:rsidRPr="00EF791B">
        <w:rPr>
          <w:rFonts w:ascii="Verdana" w:hAnsi="Verdana"/>
          <w:color w:val="00B050"/>
          <w:sz w:val="18"/>
        </w:rPr>
        <w:t>5</w:t>
      </w:r>
      <w:r w:rsidRPr="00EF791B">
        <w:rPr>
          <w:rFonts w:ascii="Verdana" w:hAnsi="Verdana"/>
          <w:color w:val="00B050"/>
          <w:sz w:val="18"/>
        </w:rPr>
        <w:t>.</w:t>
      </w:r>
    </w:p>
    <w:p w14:paraId="529A288C" w14:textId="051321EE" w:rsidR="00550137" w:rsidRPr="00F32AFA" w:rsidRDefault="00550137" w:rsidP="00550137">
      <w:pPr>
        <w:pStyle w:val="TableheadingAgency"/>
        <w:numPr>
          <w:ilvl w:val="0"/>
          <w:numId w:val="24"/>
        </w:numPr>
        <w:rPr>
          <w:lang w:eastAsia="en-GB"/>
        </w:rPr>
      </w:pPr>
      <w:r w:rsidRPr="00F32AFA">
        <w:rPr>
          <w:lang w:eastAsia="en-GB"/>
        </w:rPr>
        <w:t>Planned and on-going post-</w:t>
      </w:r>
      <w:r w:rsidR="000B2751">
        <w:rPr>
          <w:lang w:eastAsia="en-GB"/>
        </w:rPr>
        <w:t>opinion</w:t>
      </w:r>
      <w:r w:rsidRPr="00F32AFA">
        <w:rPr>
          <w:lang w:eastAsia="en-GB"/>
        </w:rPr>
        <w:t xml:space="preserve"> efficacy </w:t>
      </w:r>
      <w:r w:rsidR="0022685D">
        <w:rPr>
          <w:lang w:eastAsia="en-GB"/>
        </w:rPr>
        <w:t xml:space="preserve">or </w:t>
      </w:r>
      <w:r w:rsidR="005C098C" w:rsidRPr="005C098C">
        <w:rPr>
          <w:highlight w:val="cyan"/>
          <w:lang w:eastAsia="en-GB"/>
        </w:rPr>
        <w:t xml:space="preserve">required </w:t>
      </w:r>
      <w:r w:rsidR="0022685D" w:rsidRPr="005C098C">
        <w:rPr>
          <w:highlight w:val="cyan"/>
          <w:lang w:eastAsia="en-GB"/>
        </w:rPr>
        <w:t>effectiveness</w:t>
      </w:r>
      <w:r w:rsidR="0022685D">
        <w:rPr>
          <w:lang w:eastAsia="en-GB"/>
        </w:rPr>
        <w:t xml:space="preserve"> </w:t>
      </w:r>
      <w:r w:rsidRPr="00F32AFA">
        <w:rPr>
          <w:lang w:eastAsia="en-GB"/>
        </w:rPr>
        <w:t>studies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2015"/>
        <w:gridCol w:w="2015"/>
        <w:gridCol w:w="2015"/>
        <w:gridCol w:w="2015"/>
        <w:gridCol w:w="2015"/>
      </w:tblGrid>
      <w:tr w:rsidR="00550137" w:rsidRPr="00F32AFA" w14:paraId="6DF55D08" w14:textId="77777777" w:rsidTr="009D2607">
        <w:trPr>
          <w:tblHeader/>
        </w:trPr>
        <w:tc>
          <w:tcPr>
            <w:tcW w:w="1000" w:type="pct"/>
            <w:tcBorders>
              <w:top w:val="single" w:sz="4" w:space="0" w:color="auto"/>
              <w:left w:val="single" w:sz="4" w:space="0" w:color="auto"/>
              <w:bottom w:val="single" w:sz="4" w:space="0" w:color="auto"/>
              <w:right w:val="single" w:sz="6" w:space="0" w:color="auto"/>
            </w:tcBorders>
          </w:tcPr>
          <w:p w14:paraId="7F126024"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 xml:space="preserve">Study (type and study number), status </w:t>
            </w:r>
            <w:r w:rsidRPr="00F32AFA">
              <w:rPr>
                <w:rFonts w:eastAsia="Times New Roman"/>
                <w:lang w:eastAsia="en-GB"/>
              </w:rPr>
              <w:t>(planned, on-going)</w:t>
            </w:r>
          </w:p>
        </w:tc>
        <w:tc>
          <w:tcPr>
            <w:tcW w:w="1000" w:type="pct"/>
            <w:tcBorders>
              <w:top w:val="single" w:sz="4" w:space="0" w:color="auto"/>
              <w:left w:val="single" w:sz="6" w:space="0" w:color="auto"/>
              <w:bottom w:val="single" w:sz="4" w:space="0" w:color="auto"/>
              <w:right w:val="single" w:sz="6" w:space="0" w:color="auto"/>
            </w:tcBorders>
          </w:tcPr>
          <w:p w14:paraId="7EFF4ABF"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Objectives</w:t>
            </w:r>
          </w:p>
        </w:tc>
        <w:tc>
          <w:tcPr>
            <w:tcW w:w="1000" w:type="pct"/>
            <w:tcBorders>
              <w:top w:val="single" w:sz="4" w:space="0" w:color="auto"/>
              <w:left w:val="single" w:sz="6" w:space="0" w:color="auto"/>
              <w:bottom w:val="single" w:sz="4" w:space="0" w:color="auto"/>
              <w:right w:val="single" w:sz="6" w:space="0" w:color="auto"/>
            </w:tcBorders>
          </w:tcPr>
          <w:p w14:paraId="22E38364"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Efficacy uncertainties addressed</w:t>
            </w:r>
          </w:p>
        </w:tc>
        <w:tc>
          <w:tcPr>
            <w:tcW w:w="1000" w:type="pct"/>
            <w:tcBorders>
              <w:top w:val="single" w:sz="4" w:space="0" w:color="auto"/>
              <w:left w:val="single" w:sz="6" w:space="0" w:color="auto"/>
              <w:bottom w:val="single" w:sz="4" w:space="0" w:color="auto"/>
              <w:right w:val="single" w:sz="6" w:space="0" w:color="auto"/>
            </w:tcBorders>
          </w:tcPr>
          <w:p w14:paraId="0D344C80" w14:textId="77777777"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Milestone(s)</w:t>
            </w:r>
          </w:p>
          <w:p w14:paraId="2A6794AE" w14:textId="77777777" w:rsidR="00550137" w:rsidRPr="00F32AFA" w:rsidRDefault="00550137" w:rsidP="009D2607">
            <w:pPr>
              <w:keepNext/>
              <w:spacing w:after="140" w:line="280" w:lineRule="atLeast"/>
              <w:rPr>
                <w:rFonts w:eastAsia="Times New Roman"/>
                <w:b/>
                <w:lang w:eastAsia="en-GB"/>
              </w:rPr>
            </w:pPr>
          </w:p>
        </w:tc>
        <w:tc>
          <w:tcPr>
            <w:tcW w:w="1000" w:type="pct"/>
            <w:tcBorders>
              <w:top w:val="single" w:sz="4" w:space="0" w:color="auto"/>
              <w:left w:val="single" w:sz="6" w:space="0" w:color="auto"/>
              <w:bottom w:val="single" w:sz="4" w:space="0" w:color="auto"/>
              <w:right w:val="single" w:sz="4" w:space="0" w:color="auto"/>
            </w:tcBorders>
          </w:tcPr>
          <w:p w14:paraId="62BFAA4E" w14:textId="6E3B31C5" w:rsidR="00550137" w:rsidRPr="00F32AFA" w:rsidRDefault="00550137" w:rsidP="009D2607">
            <w:pPr>
              <w:keepNext/>
              <w:spacing w:after="140" w:line="280" w:lineRule="atLeast"/>
              <w:rPr>
                <w:rFonts w:eastAsia="Times New Roman"/>
                <w:b/>
                <w:lang w:eastAsia="en-GB"/>
              </w:rPr>
            </w:pPr>
            <w:r w:rsidRPr="00F32AFA">
              <w:rPr>
                <w:rFonts w:eastAsia="Times New Roman"/>
                <w:b/>
                <w:lang w:eastAsia="en-GB"/>
              </w:rPr>
              <w:t xml:space="preserve">Due Date(s), if applicable (e.g. for </w:t>
            </w:r>
            <w:r w:rsidR="0022685D">
              <w:rPr>
                <w:rFonts w:eastAsia="Times New Roman"/>
                <w:b/>
                <w:lang w:eastAsia="en-GB"/>
              </w:rPr>
              <w:t>studies required by MHRA</w:t>
            </w:r>
            <w:r w:rsidRPr="00F32AFA">
              <w:rPr>
                <w:rFonts w:eastAsia="Times New Roman"/>
                <w:b/>
                <w:lang w:eastAsia="en-GB"/>
              </w:rPr>
              <w:t xml:space="preserve">)  </w:t>
            </w:r>
          </w:p>
        </w:tc>
      </w:tr>
      <w:tr w:rsidR="00550137" w:rsidRPr="00F32AFA" w14:paraId="24DF6613" w14:textId="77777777" w:rsidTr="009D2607">
        <w:tc>
          <w:tcPr>
            <w:tcW w:w="1000" w:type="pct"/>
            <w:tcBorders>
              <w:top w:val="single" w:sz="6" w:space="0" w:color="auto"/>
              <w:left w:val="single" w:sz="4" w:space="0" w:color="auto"/>
              <w:bottom w:val="single" w:sz="6" w:space="0" w:color="auto"/>
              <w:right w:val="single" w:sz="6" w:space="0" w:color="auto"/>
            </w:tcBorders>
          </w:tcPr>
          <w:p w14:paraId="78FEEEEB" w14:textId="15C9DD12" w:rsidR="00550137" w:rsidRPr="00F32AFA" w:rsidRDefault="00550137" w:rsidP="009D2607">
            <w:pPr>
              <w:spacing w:line="280" w:lineRule="exact"/>
              <w:rPr>
                <w:rFonts w:eastAsia="Times New Roman"/>
              </w:rPr>
            </w:pPr>
            <w:r w:rsidRPr="00F32AFA">
              <w:rPr>
                <w:rFonts w:eastAsia="Times New Roman"/>
              </w:rPr>
              <w:t xml:space="preserve">&lt;E.g. missing pivotal clinical </w:t>
            </w:r>
            <w:proofErr w:type="gramStart"/>
            <w:r w:rsidRPr="00F32AFA">
              <w:rPr>
                <w:rFonts w:eastAsia="Times New Roman"/>
              </w:rPr>
              <w:t>trial;</w:t>
            </w:r>
            <w:proofErr w:type="gramEnd"/>
          </w:p>
          <w:p w14:paraId="6720A6AE" w14:textId="77777777" w:rsidR="00550137" w:rsidRPr="00F32AFA" w:rsidRDefault="00550137" w:rsidP="009D2607">
            <w:pPr>
              <w:spacing w:line="280" w:lineRule="exact"/>
              <w:rPr>
                <w:rFonts w:eastAsia="Times New Roman"/>
              </w:rPr>
            </w:pPr>
            <w:r w:rsidRPr="00F32AFA">
              <w:rPr>
                <w:rFonts w:eastAsia="Times New Roman"/>
                <w:i/>
              </w:rPr>
              <w:t>On-going</w:t>
            </w:r>
            <w:r w:rsidRPr="00F32AFA">
              <w:rPr>
                <w:rFonts w:eastAsia="Times New Roman"/>
              </w:rPr>
              <w:t>&gt;</w:t>
            </w:r>
          </w:p>
        </w:tc>
        <w:tc>
          <w:tcPr>
            <w:tcW w:w="1000" w:type="pct"/>
            <w:tcBorders>
              <w:top w:val="single" w:sz="6" w:space="0" w:color="auto"/>
              <w:left w:val="single" w:sz="6" w:space="0" w:color="auto"/>
              <w:bottom w:val="single" w:sz="6" w:space="0" w:color="auto"/>
              <w:right w:val="single" w:sz="6" w:space="0" w:color="auto"/>
            </w:tcBorders>
          </w:tcPr>
          <w:p w14:paraId="6AA73E0B"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2D042E39"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146E0EB6" w14:textId="77777777" w:rsidR="00550137" w:rsidRPr="00F32AFA" w:rsidRDefault="00550137" w:rsidP="009D2607">
            <w:pPr>
              <w:spacing w:line="280" w:lineRule="exact"/>
              <w:ind w:left="121" w:right="49" w:hanging="121"/>
              <w:rPr>
                <w:rFonts w:eastAsia="Times New Roman"/>
              </w:rPr>
            </w:pPr>
            <w:r w:rsidRPr="00F32AFA">
              <w:rPr>
                <w:rFonts w:eastAsia="Times New Roman"/>
              </w:rPr>
              <w:t>&lt;E.g. Final report&gt;</w:t>
            </w:r>
          </w:p>
        </w:tc>
        <w:tc>
          <w:tcPr>
            <w:tcW w:w="1000" w:type="pct"/>
            <w:tcBorders>
              <w:top w:val="single" w:sz="6" w:space="0" w:color="auto"/>
              <w:left w:val="single" w:sz="6" w:space="0" w:color="auto"/>
              <w:bottom w:val="single" w:sz="6" w:space="0" w:color="auto"/>
              <w:right w:val="single" w:sz="4" w:space="0" w:color="auto"/>
            </w:tcBorders>
          </w:tcPr>
          <w:p w14:paraId="5D3712F7" w14:textId="77777777" w:rsidR="00550137" w:rsidRPr="00F32AFA" w:rsidRDefault="00550137" w:rsidP="009D2607">
            <w:pPr>
              <w:spacing w:line="280" w:lineRule="exact"/>
              <w:ind w:left="160" w:hanging="160"/>
              <w:rPr>
                <w:rFonts w:eastAsia="Times New Roman"/>
              </w:rPr>
            </w:pPr>
            <w:r w:rsidRPr="00F32AFA">
              <w:rPr>
                <w:rFonts w:eastAsia="Verdana"/>
              </w:rPr>
              <w:t>&lt;DD/MM/YYYY&gt;</w:t>
            </w:r>
          </w:p>
        </w:tc>
      </w:tr>
      <w:tr w:rsidR="00550137" w:rsidRPr="00F32AFA" w14:paraId="1F0037EC" w14:textId="77777777" w:rsidTr="009D2607">
        <w:tc>
          <w:tcPr>
            <w:tcW w:w="1000" w:type="pct"/>
            <w:tcBorders>
              <w:top w:val="single" w:sz="6" w:space="0" w:color="auto"/>
              <w:left w:val="single" w:sz="4" w:space="0" w:color="auto"/>
              <w:bottom w:val="single" w:sz="6" w:space="0" w:color="auto"/>
              <w:right w:val="single" w:sz="6" w:space="0" w:color="auto"/>
            </w:tcBorders>
          </w:tcPr>
          <w:p w14:paraId="295BA04D" w14:textId="77777777" w:rsidR="00550137" w:rsidRPr="00F32AFA" w:rsidRDefault="00550137" w:rsidP="009D2607">
            <w:pPr>
              <w:spacing w:line="280" w:lineRule="exact"/>
              <w:rPr>
                <w:rFonts w:eastAsia="Times New Roman"/>
              </w:rPr>
            </w:pPr>
            <w:r w:rsidRPr="00F32AFA">
              <w:rPr>
                <w:rFonts w:eastAsia="Times New Roman"/>
              </w:rPr>
              <w:t xml:space="preserve">&lt;E.g. </w:t>
            </w:r>
            <w:proofErr w:type="gramStart"/>
            <w:r w:rsidRPr="00F32AFA">
              <w:rPr>
                <w:rFonts w:eastAsia="Times New Roman"/>
              </w:rPr>
              <w:t>5 year</w:t>
            </w:r>
            <w:proofErr w:type="gramEnd"/>
            <w:r w:rsidRPr="00F32AFA">
              <w:rPr>
                <w:rFonts w:eastAsia="Times New Roman"/>
              </w:rPr>
              <w:t xml:space="preserve"> efficacy follow-up in cancer as a standard condition;</w:t>
            </w:r>
          </w:p>
          <w:p w14:paraId="3B2162B2" w14:textId="77777777" w:rsidR="00550137" w:rsidRPr="00F32AFA" w:rsidRDefault="00550137" w:rsidP="009D2607">
            <w:pPr>
              <w:spacing w:line="280" w:lineRule="exact"/>
              <w:rPr>
                <w:rFonts w:eastAsia="Times New Roman"/>
              </w:rPr>
            </w:pPr>
            <w:r w:rsidRPr="00F32AFA">
              <w:rPr>
                <w:rFonts w:eastAsia="Times New Roman"/>
                <w:i/>
              </w:rPr>
              <w:t>On-going</w:t>
            </w:r>
            <w:r w:rsidRPr="00F32AFA">
              <w:rPr>
                <w:rFonts w:eastAsia="Times New Roman"/>
              </w:rPr>
              <w:t>&gt;</w:t>
            </w:r>
          </w:p>
        </w:tc>
        <w:tc>
          <w:tcPr>
            <w:tcW w:w="1000" w:type="pct"/>
            <w:tcBorders>
              <w:top w:val="single" w:sz="6" w:space="0" w:color="auto"/>
              <w:left w:val="single" w:sz="6" w:space="0" w:color="auto"/>
              <w:bottom w:val="single" w:sz="6" w:space="0" w:color="auto"/>
              <w:right w:val="single" w:sz="6" w:space="0" w:color="auto"/>
            </w:tcBorders>
          </w:tcPr>
          <w:p w14:paraId="0AD40D66"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0412C784" w14:textId="77777777" w:rsidR="00550137" w:rsidRPr="00F32AFA" w:rsidRDefault="00550137" w:rsidP="009D2607">
            <w:pPr>
              <w:spacing w:line="280" w:lineRule="exact"/>
              <w:rPr>
                <w:rFonts w:eastAsia="Times New Roman"/>
              </w:rPr>
            </w:pPr>
          </w:p>
        </w:tc>
        <w:tc>
          <w:tcPr>
            <w:tcW w:w="1000" w:type="pct"/>
            <w:tcBorders>
              <w:top w:val="single" w:sz="6" w:space="0" w:color="auto"/>
              <w:left w:val="single" w:sz="6" w:space="0" w:color="auto"/>
              <w:bottom w:val="single" w:sz="6" w:space="0" w:color="auto"/>
              <w:right w:val="single" w:sz="6" w:space="0" w:color="auto"/>
            </w:tcBorders>
          </w:tcPr>
          <w:p w14:paraId="5F7CD50A" w14:textId="77777777" w:rsidR="00550137" w:rsidRPr="00F32AFA" w:rsidRDefault="00550137" w:rsidP="009D2607">
            <w:pPr>
              <w:spacing w:line="280" w:lineRule="exact"/>
              <w:ind w:left="121" w:right="49" w:hanging="121"/>
              <w:rPr>
                <w:rFonts w:eastAsia="Times New Roman"/>
              </w:rPr>
            </w:pPr>
            <w:r w:rsidRPr="00F32AFA">
              <w:rPr>
                <w:rFonts w:eastAsia="Times New Roman"/>
              </w:rPr>
              <w:t>&lt;E.g. Final report&gt;</w:t>
            </w:r>
          </w:p>
        </w:tc>
        <w:tc>
          <w:tcPr>
            <w:tcW w:w="1000" w:type="pct"/>
            <w:tcBorders>
              <w:top w:val="single" w:sz="6" w:space="0" w:color="auto"/>
              <w:left w:val="single" w:sz="6" w:space="0" w:color="auto"/>
              <w:bottom w:val="single" w:sz="6" w:space="0" w:color="auto"/>
              <w:right w:val="single" w:sz="4" w:space="0" w:color="auto"/>
            </w:tcBorders>
          </w:tcPr>
          <w:p w14:paraId="5305C26A" w14:textId="77777777" w:rsidR="00550137" w:rsidRPr="00F32AFA" w:rsidRDefault="00550137" w:rsidP="009D2607">
            <w:pPr>
              <w:spacing w:line="280" w:lineRule="exact"/>
              <w:ind w:left="160" w:hanging="160"/>
              <w:rPr>
                <w:rFonts w:eastAsia="Times New Roman"/>
              </w:rPr>
            </w:pPr>
            <w:r w:rsidRPr="00F32AFA">
              <w:rPr>
                <w:rFonts w:eastAsia="Verdana"/>
              </w:rPr>
              <w:t>&lt;DD/MM/YYYY&gt;</w:t>
            </w:r>
          </w:p>
        </w:tc>
      </w:tr>
    </w:tbl>
    <w:p w14:paraId="666E2349" w14:textId="77777777" w:rsidR="00550137" w:rsidRPr="00F32AFA" w:rsidRDefault="00550137" w:rsidP="00550137">
      <w:pPr>
        <w:pStyle w:val="HeadingcentredAgency"/>
        <w:jc w:val="left"/>
      </w:pPr>
      <w:r w:rsidRPr="00F32AFA">
        <w:br w:type="page"/>
      </w:r>
      <w:bookmarkStart w:id="41" w:name="_Toc379986123"/>
      <w:bookmarkStart w:id="42" w:name="_Toc59634436"/>
      <w:r w:rsidRPr="00F32AFA">
        <w:lastRenderedPageBreak/>
        <w:t>Part V: Risk minimisation measures</w:t>
      </w:r>
      <w:bookmarkEnd w:id="41"/>
      <w:bookmarkEnd w:id="42"/>
      <w:r w:rsidRPr="00F32AFA">
        <w:t xml:space="preserve">  </w:t>
      </w:r>
    </w:p>
    <w:p w14:paraId="2A4C9D75" w14:textId="77777777" w:rsidR="00550137" w:rsidRPr="00EF791B" w:rsidRDefault="00550137" w:rsidP="00550137">
      <w:pPr>
        <w:pStyle w:val="DraftingNotesAgency"/>
        <w:rPr>
          <w:rFonts w:ascii="Verdana" w:hAnsi="Verdana"/>
          <w:color w:val="00B050"/>
          <w:sz w:val="18"/>
        </w:rPr>
      </w:pPr>
      <w:r w:rsidRPr="00EF791B">
        <w:rPr>
          <w:rFonts w:ascii="Verdana" w:hAnsi="Verdana"/>
          <w:color w:val="00B050"/>
          <w:sz w:val="18"/>
        </w:rPr>
        <w:t>Any additional risk minimisation measure should be described in Table V.1. For each safety concern identified in module SVIII “summary of the safety specification” a summary of any routine and additional risk minimisation measures should be provided. Where none are proposed, then “none proposed” should be entered against the safety concern.</w:t>
      </w:r>
    </w:p>
    <w:p w14:paraId="58416798" w14:textId="1531C1DA" w:rsidR="00550137" w:rsidRDefault="00550137" w:rsidP="00550137">
      <w:pPr>
        <w:pStyle w:val="DraftingNotesAgency"/>
        <w:rPr>
          <w:rFonts w:ascii="Verdana" w:hAnsi="Verdana"/>
          <w:color w:val="00B050"/>
          <w:sz w:val="18"/>
        </w:rPr>
      </w:pPr>
      <w:r w:rsidRPr="00EF791B">
        <w:rPr>
          <w:rFonts w:ascii="Verdana" w:hAnsi="Verdana"/>
          <w:color w:val="00B050"/>
          <w:sz w:val="18"/>
        </w:rPr>
        <w:t>Further guidance on additional risk minimisation measures can be found in GVP Module XVI.</w:t>
      </w:r>
    </w:p>
    <w:p w14:paraId="17AA0A10" w14:textId="6D2CEA6A" w:rsidR="00175D56" w:rsidRPr="004E4432" w:rsidRDefault="00175D56" w:rsidP="00175D56">
      <w:pPr>
        <w:pStyle w:val="BodytextAgency"/>
        <w:rPr>
          <w:i/>
          <w:iCs/>
          <w:color w:val="00B050"/>
        </w:rPr>
      </w:pPr>
      <w:r w:rsidRPr="00175D56">
        <w:rPr>
          <w:i/>
          <w:iCs/>
          <w:color w:val="00B050"/>
        </w:rPr>
        <w:t>If routine risk minimization only is needed and no additional risk minimisation, a simple cross reference to the accompanying approved RMP can be accepted and the sections below need not be completed.</w:t>
      </w:r>
    </w:p>
    <w:p w14:paraId="30E68C88" w14:textId="77777777" w:rsidR="00175D56" w:rsidRPr="00175D56" w:rsidRDefault="00175D56" w:rsidP="00175D56">
      <w:pPr>
        <w:pStyle w:val="BodytextAgency"/>
      </w:pPr>
    </w:p>
    <w:p w14:paraId="6030271B" w14:textId="77777777" w:rsidR="00550137" w:rsidRPr="00F32AFA" w:rsidRDefault="00550137" w:rsidP="00550137">
      <w:pPr>
        <w:pStyle w:val="No-numheading3Agency"/>
        <w:tabs>
          <w:tab w:val="left" w:pos="1134"/>
        </w:tabs>
      </w:pPr>
      <w:bookmarkStart w:id="43" w:name="_Toc379986124"/>
      <w:bookmarkStart w:id="44" w:name="_Toc59634437"/>
      <w:r w:rsidRPr="00F32AFA">
        <w:t>V.1</w:t>
      </w:r>
      <w:r w:rsidRPr="00F32AFA">
        <w:tab/>
        <w:t>Summary table of risk minimisation measures</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3357"/>
        <w:gridCol w:w="3359"/>
        <w:gridCol w:w="3359"/>
      </w:tblGrid>
      <w:tr w:rsidR="00550137" w:rsidRPr="00F32AFA" w14:paraId="4697E427" w14:textId="77777777" w:rsidTr="009D2607">
        <w:trPr>
          <w:tblHeader/>
        </w:trPr>
        <w:tc>
          <w:tcPr>
            <w:tcW w:w="1666" w:type="pct"/>
            <w:tcBorders>
              <w:top w:val="single" w:sz="4" w:space="0" w:color="auto"/>
              <w:left w:val="single" w:sz="4" w:space="0" w:color="auto"/>
              <w:bottom w:val="single" w:sz="4" w:space="0" w:color="auto"/>
              <w:right w:val="single" w:sz="6" w:space="0" w:color="auto"/>
            </w:tcBorders>
          </w:tcPr>
          <w:p w14:paraId="32591E70" w14:textId="77777777" w:rsidR="00550137" w:rsidRPr="00F32AFA" w:rsidRDefault="00550137" w:rsidP="009D2607">
            <w:pPr>
              <w:pStyle w:val="TableheadingrowsAgency"/>
            </w:pPr>
            <w:r w:rsidRPr="00F32AFA">
              <w:t>Safety concern</w:t>
            </w:r>
          </w:p>
        </w:tc>
        <w:tc>
          <w:tcPr>
            <w:tcW w:w="1667" w:type="pct"/>
            <w:tcBorders>
              <w:top w:val="single" w:sz="4" w:space="0" w:color="auto"/>
              <w:left w:val="single" w:sz="6" w:space="0" w:color="auto"/>
              <w:bottom w:val="single" w:sz="4" w:space="0" w:color="auto"/>
              <w:right w:val="single" w:sz="6" w:space="0" w:color="auto"/>
            </w:tcBorders>
          </w:tcPr>
          <w:p w14:paraId="1FF16A2F" w14:textId="77777777" w:rsidR="00550137" w:rsidRPr="00F32AFA" w:rsidRDefault="00550137" w:rsidP="009D2607">
            <w:pPr>
              <w:pStyle w:val="TableheadingrowsAgency"/>
            </w:pPr>
            <w:r w:rsidRPr="00F32AFA">
              <w:t>Routine risk minimisation measures</w:t>
            </w:r>
          </w:p>
        </w:tc>
        <w:tc>
          <w:tcPr>
            <w:tcW w:w="1667" w:type="pct"/>
            <w:tcBorders>
              <w:top w:val="single" w:sz="4" w:space="0" w:color="auto"/>
              <w:left w:val="single" w:sz="6" w:space="0" w:color="auto"/>
              <w:bottom w:val="single" w:sz="4" w:space="0" w:color="auto"/>
              <w:right w:val="single" w:sz="4" w:space="0" w:color="auto"/>
            </w:tcBorders>
          </w:tcPr>
          <w:p w14:paraId="0B834918" w14:textId="77777777" w:rsidR="00550137" w:rsidRPr="00F32AFA" w:rsidRDefault="00550137" w:rsidP="009D2607">
            <w:pPr>
              <w:pStyle w:val="TableheadingrowsAgency"/>
            </w:pPr>
            <w:r w:rsidRPr="00F32AFA">
              <w:t>Additional risk minimisation measures</w:t>
            </w:r>
          </w:p>
        </w:tc>
      </w:tr>
      <w:tr w:rsidR="00550137" w:rsidRPr="00F32AFA" w14:paraId="48389FB8" w14:textId="77777777" w:rsidTr="009D2607">
        <w:tc>
          <w:tcPr>
            <w:tcW w:w="1666" w:type="pct"/>
            <w:tcBorders>
              <w:top w:val="single" w:sz="6" w:space="0" w:color="auto"/>
              <w:left w:val="single" w:sz="4" w:space="0" w:color="auto"/>
              <w:bottom w:val="single" w:sz="6" w:space="0" w:color="auto"/>
              <w:right w:val="single" w:sz="6" w:space="0" w:color="auto"/>
            </w:tcBorders>
          </w:tcPr>
          <w:p w14:paraId="4C187C1E" w14:textId="77777777" w:rsidR="00550137" w:rsidRPr="00486640" w:rsidRDefault="00550137" w:rsidP="00486640">
            <w:pPr>
              <w:pStyle w:val="DraftingNotesAgency"/>
              <w:rPr>
                <w:rFonts w:ascii="Verdana" w:hAnsi="Verdana"/>
                <w:sz w:val="18"/>
              </w:rPr>
            </w:pPr>
          </w:p>
        </w:tc>
        <w:tc>
          <w:tcPr>
            <w:tcW w:w="1667" w:type="pct"/>
            <w:tcBorders>
              <w:top w:val="single" w:sz="6" w:space="0" w:color="auto"/>
              <w:left w:val="single" w:sz="6" w:space="0" w:color="auto"/>
              <w:bottom w:val="single" w:sz="6" w:space="0" w:color="auto"/>
              <w:right w:val="single" w:sz="6" w:space="0" w:color="auto"/>
            </w:tcBorders>
          </w:tcPr>
          <w:p w14:paraId="625E5D78" w14:textId="77777777" w:rsidR="00550137" w:rsidRPr="00EF791B" w:rsidRDefault="00550137" w:rsidP="00486640">
            <w:pPr>
              <w:pStyle w:val="DraftingNotesAgency"/>
              <w:rPr>
                <w:rFonts w:ascii="Verdana" w:hAnsi="Verdana"/>
                <w:color w:val="00B050"/>
                <w:sz w:val="18"/>
              </w:rPr>
            </w:pPr>
            <w:r w:rsidRPr="00EF791B">
              <w:rPr>
                <w:rFonts w:ascii="Verdana" w:hAnsi="Verdana"/>
                <w:color w:val="00B050"/>
                <w:sz w:val="18"/>
              </w:rPr>
              <w:t>Only reference to the general information included in the treatment protocol is needed here (i.e. specific wording is not needed)</w:t>
            </w:r>
          </w:p>
          <w:p w14:paraId="5934A4E0" w14:textId="77777777" w:rsidR="00550137" w:rsidRPr="00486640" w:rsidRDefault="00550137" w:rsidP="00486640">
            <w:pPr>
              <w:pStyle w:val="DraftingNotesAgency"/>
              <w:rPr>
                <w:rFonts w:ascii="Verdana" w:hAnsi="Verdana"/>
                <w:sz w:val="18"/>
              </w:rPr>
            </w:pPr>
          </w:p>
          <w:p w14:paraId="53A60EE0" w14:textId="77777777" w:rsidR="00550137" w:rsidRPr="00486640" w:rsidRDefault="00550137" w:rsidP="00486640">
            <w:pPr>
              <w:pStyle w:val="DraftingNotesAgency"/>
              <w:rPr>
                <w:rFonts w:ascii="Verdana" w:hAnsi="Verdana"/>
                <w:sz w:val="18"/>
              </w:rPr>
            </w:pPr>
          </w:p>
        </w:tc>
        <w:tc>
          <w:tcPr>
            <w:tcW w:w="1667" w:type="pct"/>
            <w:tcBorders>
              <w:top w:val="single" w:sz="6" w:space="0" w:color="auto"/>
              <w:left w:val="single" w:sz="6" w:space="0" w:color="auto"/>
              <w:bottom w:val="single" w:sz="6" w:space="0" w:color="auto"/>
              <w:right w:val="single" w:sz="4" w:space="0" w:color="auto"/>
            </w:tcBorders>
          </w:tcPr>
          <w:p w14:paraId="249577A0" w14:textId="442FF6DB" w:rsidR="00550137" w:rsidRPr="00EF791B" w:rsidRDefault="0070284F" w:rsidP="009D2607">
            <w:pPr>
              <w:pStyle w:val="DraftingNotesAgency"/>
              <w:spacing w:after="0"/>
              <w:rPr>
                <w:rFonts w:ascii="Verdana" w:hAnsi="Verdana"/>
                <w:color w:val="00B050"/>
                <w:sz w:val="18"/>
              </w:rPr>
            </w:pPr>
            <w:r w:rsidRPr="00EF791B">
              <w:rPr>
                <w:rFonts w:ascii="Verdana" w:hAnsi="Verdana"/>
                <w:color w:val="00B050"/>
                <w:sz w:val="18"/>
              </w:rPr>
              <w:t>(where applicable)</w:t>
            </w:r>
          </w:p>
          <w:p w14:paraId="151AFD35" w14:textId="77777777" w:rsidR="00550137" w:rsidRPr="00EF791B" w:rsidRDefault="00550137" w:rsidP="009D2607">
            <w:pPr>
              <w:pStyle w:val="BodytextAgency"/>
              <w:rPr>
                <w:rFonts w:cs="Courier New"/>
                <w:i/>
                <w:color w:val="00B050"/>
              </w:rPr>
            </w:pPr>
          </w:p>
          <w:p w14:paraId="4770AA0D" w14:textId="206B9CB2" w:rsidR="00550137" w:rsidRPr="00486640" w:rsidRDefault="00550137" w:rsidP="009D2607">
            <w:pPr>
              <w:pStyle w:val="DraftingNotesAgency"/>
              <w:spacing w:after="0"/>
              <w:rPr>
                <w:rFonts w:ascii="Verdana" w:hAnsi="Verdana"/>
                <w:sz w:val="18"/>
              </w:rPr>
            </w:pPr>
            <w:r w:rsidRPr="00EF791B">
              <w:rPr>
                <w:rFonts w:ascii="Verdana" w:hAnsi="Verdana"/>
                <w:color w:val="00B050"/>
                <w:sz w:val="18"/>
              </w:rPr>
              <w:t xml:space="preserve">listing in line with </w:t>
            </w:r>
            <w:r w:rsidR="0070284F" w:rsidRPr="00EF791B">
              <w:rPr>
                <w:rFonts w:ascii="Verdana" w:hAnsi="Verdana"/>
                <w:color w:val="00B050"/>
                <w:sz w:val="18"/>
              </w:rPr>
              <w:t>section</w:t>
            </w:r>
            <w:r w:rsidRPr="00EF791B">
              <w:rPr>
                <w:rFonts w:ascii="Verdana" w:hAnsi="Verdana"/>
                <w:color w:val="00B050"/>
                <w:sz w:val="18"/>
              </w:rPr>
              <w:t xml:space="preserve"> V.2</w:t>
            </w:r>
          </w:p>
        </w:tc>
      </w:tr>
    </w:tbl>
    <w:p w14:paraId="3F543E5E" w14:textId="77777777" w:rsidR="00550137" w:rsidRPr="00F32AFA" w:rsidRDefault="00550137" w:rsidP="00550137">
      <w:pPr>
        <w:pStyle w:val="BodytextAgency"/>
      </w:pPr>
    </w:p>
    <w:p w14:paraId="1DE984E7" w14:textId="77777777" w:rsidR="00550137" w:rsidRPr="00F32AFA" w:rsidRDefault="00550137" w:rsidP="00550137">
      <w:pPr>
        <w:pStyle w:val="No-numheading3Agency"/>
        <w:tabs>
          <w:tab w:val="left" w:pos="1134"/>
        </w:tabs>
      </w:pPr>
      <w:bookmarkStart w:id="45" w:name="_Toc379986125"/>
      <w:bookmarkStart w:id="46" w:name="_Toc59634438"/>
      <w:r w:rsidRPr="00F32AFA">
        <w:t>V.2 Details of Additional risk minimisation measures (if applicable)</w:t>
      </w:r>
      <w:bookmarkEnd w:id="45"/>
      <w:bookmarkEnd w:id="46"/>
      <w:r w:rsidRPr="00F32AFA">
        <w:t xml:space="preserve"> </w:t>
      </w:r>
    </w:p>
    <w:p w14:paraId="3D6BCC00"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 xml:space="preserve">This section should present the additional risk minimisation measures. </w:t>
      </w:r>
      <w:r w:rsidRPr="00EF791B">
        <w:rPr>
          <w:rFonts w:cs="Courier New"/>
          <w:i/>
          <w:color w:val="00B050"/>
        </w:rPr>
        <w:t>The proposed draft</w:t>
      </w:r>
      <w:r w:rsidRPr="00EF791B">
        <w:rPr>
          <w:rFonts w:eastAsia="SimSun" w:cs="Courier New"/>
          <w:i/>
          <w:color w:val="00B050"/>
          <w:lang w:eastAsia="zh-CN"/>
        </w:rPr>
        <w:t xml:space="preserve"> key messages of additional risk minimisation activities should be provided in the RMP Annex 6. </w:t>
      </w:r>
    </w:p>
    <w:p w14:paraId="37170587"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Select from following options:</w:t>
      </w:r>
    </w:p>
    <w:p w14:paraId="093BE882"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Statement that there is no need for additional risk minimisation activities</w:t>
      </w:r>
    </w:p>
    <w:p w14:paraId="5A537C3F" w14:textId="77777777" w:rsidR="00EA26B9" w:rsidRPr="00CA097D" w:rsidRDefault="00EA26B9" w:rsidP="00EA26B9">
      <w:pPr>
        <w:spacing w:line="360" w:lineRule="auto"/>
      </w:pPr>
      <w:r w:rsidRPr="00CA097D">
        <w:t xml:space="preserve">&lt;Routine risk minimisation activities as described in Part V.1 are sufficient to manage the safety concerns of the </w:t>
      </w:r>
      <w:r>
        <w:t xml:space="preserve">medicinal </w:t>
      </w:r>
      <w:r w:rsidRPr="00CA097D">
        <w:t>product.&gt;</w:t>
      </w:r>
    </w:p>
    <w:p w14:paraId="4FD25F7E"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Or</w:t>
      </w:r>
    </w:p>
    <w:p w14:paraId="54A6401C" w14:textId="77777777" w:rsidR="00EA26B9" w:rsidRPr="00C43367" w:rsidRDefault="00EA26B9" w:rsidP="00EA26B9">
      <w:pPr>
        <w:pStyle w:val="BodytextAgency"/>
        <w:rPr>
          <w:rFonts w:eastAsia="SimSun" w:cs="Courier New"/>
          <w:i/>
          <w:color w:val="339966"/>
          <w:lang w:eastAsia="zh-CN"/>
        </w:rPr>
      </w:pPr>
      <w:r w:rsidRPr="00CA097D">
        <w:rPr>
          <w:b/>
        </w:rPr>
        <w:t>&lt;Additional risk minimisation 1&gt;</w:t>
      </w:r>
      <w:r w:rsidRPr="00C43367">
        <w:rPr>
          <w:rFonts w:eastAsia="SimSun" w:cs="Courier New"/>
          <w:i/>
          <w:color w:val="339966"/>
          <w:lang w:eastAsia="zh-CN"/>
        </w:rPr>
        <w:t xml:space="preserve"> </w:t>
      </w:r>
    </w:p>
    <w:p w14:paraId="08F65C20"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Further extensive guidance on additional risk minimisation measures and on monitoring the effectiveness of risk minimisation activities is provided in GVP Module XVI, but examples of the materials most frequently used are included below:</w:t>
      </w:r>
    </w:p>
    <w:p w14:paraId="6E38E4F4" w14:textId="77777777" w:rsidR="00EA26B9" w:rsidRDefault="00EA26B9" w:rsidP="00EA26B9">
      <w:pPr>
        <w:pStyle w:val="BodytextAgency"/>
        <w:rPr>
          <w:rFonts w:eastAsia="SimSun" w:cs="Courier New"/>
          <w:i/>
          <w:color w:val="339966"/>
          <w:lang w:eastAsia="zh-CN"/>
        </w:rPr>
      </w:pPr>
    </w:p>
    <w:p w14:paraId="17B460BA"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 xml:space="preserve">Healthcare Professional and Patient/Carer Guide </w:t>
      </w:r>
    </w:p>
    <w:p w14:paraId="7DEF6B40" w14:textId="5FA18754"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The term guide can refer to any descriptive material that educates Healthcare Professional and/or patients/caregivers about specific risks, and/or their early symptoms, and/or the best course of action to be taken when these appear beyond the recommendation contained in the </w:t>
      </w:r>
      <w:r w:rsidR="00450A74" w:rsidRPr="00EF791B">
        <w:rPr>
          <w:rFonts w:cs="Courier New"/>
          <w:i/>
          <w:color w:val="00B050"/>
        </w:rPr>
        <w:t>Trea</w:t>
      </w:r>
      <w:r w:rsidR="000305F9" w:rsidRPr="00EF791B">
        <w:rPr>
          <w:rFonts w:cs="Courier New"/>
          <w:i/>
          <w:color w:val="00B050"/>
        </w:rPr>
        <w:t>tment Protocols</w:t>
      </w:r>
      <w:r w:rsidRPr="00EF791B">
        <w:rPr>
          <w:rFonts w:cs="Courier New"/>
          <w:i/>
          <w:color w:val="00B050"/>
        </w:rPr>
        <w:t>. A guide may also aim to raise awareness about an on-going (</w:t>
      </w:r>
      <w:r w:rsidR="00616281" w:rsidRPr="00EF791B">
        <w:rPr>
          <w:rFonts w:cs="Courier New"/>
          <w:i/>
          <w:color w:val="00B050"/>
        </w:rPr>
        <w:t>required</w:t>
      </w:r>
      <w:r w:rsidRPr="00EF791B">
        <w:rPr>
          <w:rFonts w:cs="Courier New"/>
          <w:i/>
          <w:color w:val="00B050"/>
        </w:rPr>
        <w:t xml:space="preserve">) registry/study, as well as about the general value of </w:t>
      </w:r>
      <w:r w:rsidRPr="00EF791B">
        <w:rPr>
          <w:rFonts w:cs="Courier New"/>
          <w:i/>
          <w:color w:val="00B050"/>
        </w:rPr>
        <w:lastRenderedPageBreak/>
        <w:t xml:space="preserve">reporting adverse events. </w:t>
      </w:r>
      <w:r w:rsidRPr="00EF791B">
        <w:rPr>
          <w:rFonts w:cs="Courier New"/>
          <w:bCs/>
          <w:i/>
          <w:color w:val="00B050"/>
        </w:rPr>
        <w:t xml:space="preserve">Terms such as ‘brochure’, ‘leaflet’ should be </w:t>
      </w:r>
      <w:proofErr w:type="gramStart"/>
      <w:r w:rsidRPr="00EF791B">
        <w:rPr>
          <w:rFonts w:cs="Courier New"/>
          <w:bCs/>
          <w:i/>
          <w:color w:val="00B050"/>
        </w:rPr>
        <w:t>avoided</w:t>
      </w:r>
      <w:proofErr w:type="gramEnd"/>
      <w:r w:rsidRPr="00EF791B">
        <w:rPr>
          <w:rFonts w:cs="Courier New"/>
          <w:bCs/>
          <w:i/>
          <w:color w:val="00B050"/>
        </w:rPr>
        <w:t xml:space="preserve"> and the term ‘guide’ should be used instead.</w:t>
      </w:r>
    </w:p>
    <w:p w14:paraId="64F2727B"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 xml:space="preserve">Healthcare Professional training material </w:t>
      </w:r>
    </w:p>
    <w:p w14:paraId="441EB8D1" w14:textId="52D17C41"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In case of complex medicinal products, guides may be supplemented with training materials. They are commonly used to train Healthcare Professional when new complicated administration procedures (e.g. intra-</w:t>
      </w:r>
      <w:proofErr w:type="spellStart"/>
      <w:r w:rsidRPr="00EF791B">
        <w:rPr>
          <w:rFonts w:cs="Courier New"/>
          <w:i/>
          <w:color w:val="00B050"/>
        </w:rPr>
        <w:t>vitreal</w:t>
      </w:r>
      <w:proofErr w:type="spellEnd"/>
      <w:r w:rsidRPr="00EF791B">
        <w:rPr>
          <w:rFonts w:cs="Courier New"/>
          <w:i/>
          <w:color w:val="00B050"/>
        </w:rPr>
        <w:t xml:space="preserve"> injections, imaging diagnostics, ATMPs, etc.) are introduced or diagnostic products are first </w:t>
      </w:r>
      <w:r w:rsidR="006C6846" w:rsidRPr="00EF791B">
        <w:rPr>
          <w:rFonts w:cs="Courier New"/>
          <w:i/>
          <w:color w:val="00B050"/>
        </w:rPr>
        <w:t>made available</w:t>
      </w:r>
      <w:r w:rsidRPr="00EF791B">
        <w:rPr>
          <w:rFonts w:cs="Courier New"/>
          <w:i/>
          <w:color w:val="00B050"/>
        </w:rPr>
        <w:t xml:space="preserve">, in order to minimise the potential risks associated with performing such procedures. </w:t>
      </w:r>
    </w:p>
    <w:p w14:paraId="69A5057C"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Prescriber checklist</w:t>
      </w:r>
    </w:p>
    <w:p w14:paraId="7AD064E6"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Used to facilitate patient selection when initiating therapy or repeat prescription is issued, as appropriate. The checklist should remind prescribers of e.g. a restricted indication, contraindications, warnings and precautions needed for the use of a medicinal product particularly relating to important safety concerns in the SmPC and to facilitate the need for examination of specific aspects of the patient’s health before initiating treatment and/or during continuous monitoring as appropriate.</w:t>
      </w:r>
    </w:p>
    <w:p w14:paraId="27BBB940"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Patient diary</w:t>
      </w:r>
    </w:p>
    <w:p w14:paraId="67BEA317"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It is generally requested to record information on the recommended treatment (e.g. date and/or outcome of specific tests needed) to facilitate regular monitoring of the patient’s health status with respect to the medicinal product related safety concerns or particular signs and symptoms that can be discussed with the Healthcare Professionals. It is useful for the patient to read about precautions needed to minimise important risks.  </w:t>
      </w:r>
    </w:p>
    <w:p w14:paraId="17839734"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i/>
          <w:color w:val="00B050"/>
        </w:rPr>
      </w:pPr>
      <w:r w:rsidRPr="00EF791B">
        <w:rPr>
          <w:rFonts w:cs="Courier New"/>
          <w:b/>
          <w:i/>
          <w:color w:val="00B050"/>
        </w:rPr>
        <w:t>Patient alert card</w:t>
      </w:r>
    </w:p>
    <w:p w14:paraId="2E4C644F"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The aim of this tool should be to ensure that special information regarding the patient’s current therapy and its important risks (e.g. potential life-threatening interactions with other therapies) is held by the patient at all times and reaches the relevant healthcare professional as appropriate. The information should be kept to the minimum necessary to convey the key minimisation message(s) and the required mitigating action, in any circumstances, including emergency. Ability to carry with ease (e.g. can be fitted in a wallet) should be a key feature of this tool. </w:t>
      </w:r>
    </w:p>
    <w:p w14:paraId="43B0E9F0"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b/>
          <w:bCs/>
          <w:i/>
          <w:color w:val="00B050"/>
        </w:rPr>
      </w:pPr>
      <w:r w:rsidRPr="00EF791B">
        <w:rPr>
          <w:rFonts w:cs="Courier New"/>
          <w:b/>
          <w:bCs/>
          <w:i/>
          <w:color w:val="00B050"/>
        </w:rPr>
        <w:t>Pregnancy prevention programmes</w:t>
      </w:r>
    </w:p>
    <w:p w14:paraId="750B81B6"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A pregnancy prevention programme (PPP) is a set of interventions aiming to minimise pregnancy exposure during treatment with a medicinal product with known or potential teratogenic effects. The scope of such a programme is to ensure that female patients are not pregnant when starting therapy or do not become pregnant during the course and/or soon after stopping the therapy. It could also target male patients when use of a medicinal product by the biological father might have a negative effect on the pregnancy outcome. A PPP combines the use of educational tools with interventions to control appropriately access to the medicine. Therefore, the following elements should be considered individually and/or in combination in the development of a PPP. </w:t>
      </w:r>
    </w:p>
    <w:p w14:paraId="557C280A"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 Educational tools targeting healthcare professionals and patients to inform on the teratogenic risk and required actions to minimise this risk e.g. guidance on the need to use more than one method of contraception and guidance on different types of contraceptives; information included for the patient on how long to avoid pregnancy after treatment is stopped; information for when the male partner is treated; </w:t>
      </w:r>
    </w:p>
    <w:p w14:paraId="1718EA77"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Controlled access at prescribing or dispensing level to ensure that a pregnancy test is carried out and negative results are verified by the healthcare professional before prescription or dispensing of the medicinal product;</w:t>
      </w:r>
    </w:p>
    <w:p w14:paraId="31E7A11C"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 Prescription limited to a maximum of 30 </w:t>
      </w:r>
      <w:proofErr w:type="spellStart"/>
      <w:r w:rsidRPr="00EF791B">
        <w:rPr>
          <w:rFonts w:cs="Courier New"/>
          <w:i/>
          <w:color w:val="00B050"/>
        </w:rPr>
        <w:t>days</w:t>
      </w:r>
      <w:proofErr w:type="spellEnd"/>
      <w:r w:rsidRPr="00EF791B">
        <w:rPr>
          <w:rFonts w:cs="Courier New"/>
          <w:i/>
          <w:color w:val="00B050"/>
        </w:rPr>
        <w:t xml:space="preserve"> supply; </w:t>
      </w:r>
    </w:p>
    <w:p w14:paraId="1E1C8CC2" w14:textId="77777777" w:rsidR="00EA26B9" w:rsidRPr="00EF791B" w:rsidRDefault="00EA26B9" w:rsidP="00EA26B9">
      <w:pPr>
        <w:pStyle w:val="BodytextAgency"/>
        <w:pBdr>
          <w:top w:val="single" w:sz="4" w:space="1" w:color="auto"/>
          <w:left w:val="single" w:sz="4" w:space="4" w:color="auto"/>
          <w:bottom w:val="single" w:sz="4" w:space="1" w:color="auto"/>
          <w:right w:val="single" w:sz="4" w:space="4" w:color="auto"/>
        </w:pBdr>
        <w:rPr>
          <w:rFonts w:cs="Courier New"/>
          <w:i/>
          <w:color w:val="00B050"/>
        </w:rPr>
      </w:pPr>
      <w:r w:rsidRPr="00EF791B">
        <w:rPr>
          <w:rFonts w:cs="Courier New"/>
          <w:i/>
          <w:color w:val="00B050"/>
        </w:rPr>
        <w:t xml:space="preserve">• Counselling in the event of inadvertent pregnancy and evaluation of the outcome of any accidental pregnancy. </w:t>
      </w:r>
    </w:p>
    <w:p w14:paraId="4850C34C" w14:textId="77777777" w:rsidR="00EA26B9" w:rsidRPr="00074653" w:rsidRDefault="00EA26B9" w:rsidP="00EA26B9">
      <w:pPr>
        <w:pStyle w:val="BodytextAgency"/>
        <w:pBdr>
          <w:top w:val="single" w:sz="4" w:space="1" w:color="auto"/>
          <w:left w:val="single" w:sz="4" w:space="4" w:color="auto"/>
          <w:bottom w:val="single" w:sz="4" w:space="1" w:color="auto"/>
          <w:right w:val="single" w:sz="4" w:space="4" w:color="auto"/>
        </w:pBdr>
        <w:rPr>
          <w:b/>
          <w:i/>
          <w:color w:val="339966"/>
        </w:rPr>
      </w:pPr>
    </w:p>
    <w:p w14:paraId="5D6105C3" w14:textId="77777777" w:rsidR="00EA26B9" w:rsidRDefault="00EA26B9" w:rsidP="00EA26B9">
      <w:pPr>
        <w:pStyle w:val="TableheadingAgency"/>
        <w:numPr>
          <w:ilvl w:val="0"/>
          <w:numId w:val="0"/>
        </w:numPr>
        <w:rPr>
          <w:lang w:eastAsia="en-GB"/>
        </w:rPr>
      </w:pPr>
      <w:r w:rsidRPr="00CA097D">
        <w:rPr>
          <w:u w:val="single"/>
        </w:rPr>
        <w:t>Objectives</w:t>
      </w:r>
      <w:r w:rsidRPr="00A53E3E">
        <w:rPr>
          <w:u w:val="single"/>
        </w:rPr>
        <w:t>:</w:t>
      </w:r>
      <w:r w:rsidRPr="00A53E3E">
        <w:rPr>
          <w:lang w:eastAsia="en-GB"/>
        </w:rPr>
        <w:t xml:space="preserve"> </w:t>
      </w:r>
    </w:p>
    <w:p w14:paraId="6E26EACB"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Include objectives including a list of risks addressed.</w:t>
      </w:r>
    </w:p>
    <w:p w14:paraId="660A6F98" w14:textId="77777777" w:rsidR="00EA26B9" w:rsidRPr="00A53E3E" w:rsidRDefault="00EA26B9" w:rsidP="00EA26B9">
      <w:pPr>
        <w:pStyle w:val="TableheadingAgency"/>
        <w:numPr>
          <w:ilvl w:val="0"/>
          <w:numId w:val="0"/>
        </w:numPr>
        <w:rPr>
          <w:u w:val="single"/>
          <w:lang w:eastAsia="en-GB"/>
        </w:rPr>
      </w:pPr>
      <w:r w:rsidRPr="00CA097D">
        <w:rPr>
          <w:u w:val="single"/>
        </w:rPr>
        <w:t>Rationale for the additional risk minimisation activity:</w:t>
      </w:r>
    </w:p>
    <w:p w14:paraId="3968122E"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Include justification on why the particular additional risk minimisation is considered needed.</w:t>
      </w:r>
    </w:p>
    <w:p w14:paraId="688E4121" w14:textId="77777777" w:rsidR="00EA26B9" w:rsidRPr="00A53E3E" w:rsidRDefault="00EA26B9" w:rsidP="00EA26B9">
      <w:pPr>
        <w:pStyle w:val="TableheadingAgency"/>
        <w:numPr>
          <w:ilvl w:val="0"/>
          <w:numId w:val="0"/>
        </w:numPr>
        <w:rPr>
          <w:u w:val="single"/>
        </w:rPr>
      </w:pPr>
      <w:r w:rsidRPr="00CA097D">
        <w:rPr>
          <w:u w:val="single"/>
        </w:rPr>
        <w:t>Target audience an</w:t>
      </w:r>
      <w:r w:rsidRPr="00A53E3E">
        <w:rPr>
          <w:u w:val="single"/>
        </w:rPr>
        <w:t>d planned distribution path:</w:t>
      </w:r>
    </w:p>
    <w:p w14:paraId="346587B3" w14:textId="77777777" w:rsidR="00EA26B9" w:rsidRPr="00EF791B" w:rsidRDefault="00EA26B9" w:rsidP="00EA26B9">
      <w:pPr>
        <w:pStyle w:val="BodytextAgency"/>
        <w:rPr>
          <w:color w:val="00B050"/>
          <w:lang w:eastAsia="zh-CN"/>
        </w:rPr>
      </w:pPr>
      <w:r w:rsidRPr="00EF791B">
        <w:rPr>
          <w:rFonts w:eastAsia="SimSun" w:cs="Courier New"/>
          <w:i/>
          <w:color w:val="00B050"/>
          <w:lang w:eastAsia="zh-CN"/>
        </w:rPr>
        <w:t>Include very brief summary of planned communication plan.</w:t>
      </w:r>
    </w:p>
    <w:p w14:paraId="3613A968" w14:textId="77777777" w:rsidR="00EA26B9" w:rsidRPr="00A53E3E" w:rsidRDefault="00EA26B9" w:rsidP="00EA26B9">
      <w:pPr>
        <w:pStyle w:val="BodytextAgency"/>
        <w:rPr>
          <w:u w:val="single"/>
        </w:rPr>
      </w:pPr>
      <w:r w:rsidRPr="00A53E3E">
        <w:rPr>
          <w:u w:val="single"/>
        </w:rPr>
        <w:t xml:space="preserve">Plans </w:t>
      </w:r>
      <w:r>
        <w:rPr>
          <w:u w:val="single"/>
        </w:rPr>
        <w:t>to</w:t>
      </w:r>
      <w:r w:rsidRPr="00CA097D">
        <w:rPr>
          <w:u w:val="single"/>
        </w:rPr>
        <w:t xml:space="preserve"> </w:t>
      </w:r>
      <w:r w:rsidRPr="00A53E3E">
        <w:rPr>
          <w:u w:val="single"/>
        </w:rPr>
        <w:t>evaluat</w:t>
      </w:r>
      <w:r>
        <w:rPr>
          <w:u w:val="single"/>
        </w:rPr>
        <w:t>e</w:t>
      </w:r>
      <w:r w:rsidRPr="00A53E3E">
        <w:rPr>
          <w:u w:val="single"/>
        </w:rPr>
        <w:t xml:space="preserve"> the effectiveness of the interventions and criteria for success:</w:t>
      </w:r>
    </w:p>
    <w:p w14:paraId="2B56CA48" w14:textId="77777777" w:rsidR="00EA26B9" w:rsidRPr="00EF791B" w:rsidRDefault="00EA26B9" w:rsidP="00EA26B9">
      <w:pPr>
        <w:pStyle w:val="BodytextAgency"/>
        <w:rPr>
          <w:rFonts w:eastAsia="SimSun" w:cs="Courier New"/>
          <w:i/>
          <w:color w:val="00B050"/>
          <w:lang w:eastAsia="zh-CN"/>
        </w:rPr>
      </w:pPr>
      <w:r w:rsidRPr="00EF791B">
        <w:rPr>
          <w:rFonts w:eastAsia="SimSun" w:cs="Courier New"/>
          <w:i/>
          <w:color w:val="00B050"/>
          <w:lang w:eastAsia="zh-CN"/>
        </w:rPr>
        <w:t>Specify how effectiveness will be measured and provide the criteria for judging success. Milestones for reporting should be included when effectiveness is evaluated using only routine pharmacovigilance activities.</w:t>
      </w:r>
    </w:p>
    <w:p w14:paraId="3B9AFB48" w14:textId="77777777" w:rsidR="00EA26B9" w:rsidRPr="00C43367" w:rsidRDefault="00EA26B9" w:rsidP="00EA26B9">
      <w:pPr>
        <w:pStyle w:val="BodytextAgency"/>
        <w:rPr>
          <w:b/>
        </w:rPr>
      </w:pPr>
      <w:r>
        <w:rPr>
          <w:b/>
        </w:rPr>
        <w:t>&lt;</w:t>
      </w:r>
      <w:r w:rsidRPr="00C43367">
        <w:rPr>
          <w:b/>
        </w:rPr>
        <w:t xml:space="preserve">Removal of </w:t>
      </w:r>
      <w:r>
        <w:rPr>
          <w:b/>
        </w:rPr>
        <w:t xml:space="preserve">additional </w:t>
      </w:r>
      <w:r w:rsidRPr="00C43367">
        <w:rPr>
          <w:b/>
        </w:rPr>
        <w:t xml:space="preserve">risk minimisation </w:t>
      </w:r>
      <w:r w:rsidRPr="00CA097D">
        <w:rPr>
          <w:b/>
        </w:rPr>
        <w:t>activities</w:t>
      </w:r>
      <w:r>
        <w:rPr>
          <w:b/>
        </w:rPr>
        <w:t>&gt;</w:t>
      </w:r>
    </w:p>
    <w:p w14:paraId="43A6CBCD" w14:textId="77777777" w:rsidR="00EA26B9" w:rsidRPr="00A53E3E" w:rsidRDefault="00EA26B9" w:rsidP="00EA26B9">
      <w:pPr>
        <w:spacing w:line="360" w:lineRule="auto"/>
        <w:rPr>
          <w:rFonts w:eastAsia="Times New Roman" w:cs="Times New Roman"/>
          <w:u w:val="single"/>
          <w:lang w:eastAsia="en-GB"/>
        </w:rPr>
      </w:pPr>
      <w:r w:rsidRPr="00CA097D">
        <w:rPr>
          <w:rFonts w:eastAsia="Times New Roman" w:cs="Times New Roman"/>
          <w:u w:val="single"/>
          <w:lang w:eastAsia="en-GB"/>
        </w:rPr>
        <w:t xml:space="preserve">&lt;Rationale </w:t>
      </w:r>
      <w:r>
        <w:rPr>
          <w:rFonts w:eastAsia="Times New Roman" w:cs="Times New Roman"/>
          <w:u w:val="single"/>
          <w:lang w:eastAsia="en-GB"/>
        </w:rPr>
        <w:t>for the removal</w:t>
      </w:r>
      <w:r w:rsidRPr="00CA097D">
        <w:rPr>
          <w:rFonts w:eastAsia="Times New Roman" w:cs="Times New Roman"/>
          <w:u w:val="single"/>
          <w:lang w:eastAsia="en-GB"/>
        </w:rPr>
        <w:t>:</w:t>
      </w:r>
      <w:r w:rsidRPr="00A53E3E">
        <w:rPr>
          <w:rFonts w:eastAsia="Times New Roman" w:cs="Times New Roman"/>
          <w:u w:val="single"/>
          <w:lang w:eastAsia="en-GB"/>
        </w:rPr>
        <w:t>&gt;</w:t>
      </w:r>
    </w:p>
    <w:p w14:paraId="70E55EB9" w14:textId="77777777" w:rsidR="00EA26B9" w:rsidRPr="00EF791B" w:rsidRDefault="00EA26B9" w:rsidP="00EA26B9">
      <w:pPr>
        <w:pStyle w:val="BodytextAgency"/>
        <w:rPr>
          <w:rFonts w:cs="Courier New"/>
          <w:i/>
          <w:color w:val="00B050"/>
        </w:rPr>
      </w:pPr>
      <w:r w:rsidRPr="00EF791B">
        <w:rPr>
          <w:rFonts w:cs="Courier New"/>
          <w:i/>
          <w:color w:val="00B050"/>
        </w:rPr>
        <w:t>Include justification when an additional risk minimisation activity is proposed to be removed from the RMP.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2518"/>
        <w:gridCol w:w="2519"/>
        <w:gridCol w:w="2519"/>
        <w:gridCol w:w="2519"/>
      </w:tblGrid>
      <w:tr w:rsidR="00550137" w:rsidRPr="00F32AFA" w14:paraId="7BE50814" w14:textId="77777777" w:rsidTr="008C25C4">
        <w:tc>
          <w:tcPr>
            <w:tcW w:w="1250" w:type="pct"/>
            <w:tcBorders>
              <w:top w:val="single" w:sz="6" w:space="0" w:color="auto"/>
              <w:left w:val="single" w:sz="4" w:space="0" w:color="auto"/>
              <w:bottom w:val="single" w:sz="6" w:space="0" w:color="auto"/>
              <w:right w:val="single" w:sz="6" w:space="0" w:color="auto"/>
            </w:tcBorders>
          </w:tcPr>
          <w:p w14:paraId="1637B588" w14:textId="360FEB53" w:rsidR="00550137" w:rsidRPr="00F32AFA" w:rsidRDefault="00550137" w:rsidP="00E526A6">
            <w:pPr>
              <w:pStyle w:val="TabletextrowsAgency"/>
            </w:pPr>
            <w:r w:rsidRPr="00F32AFA">
              <w:rPr>
                <w:b/>
                <w:bCs/>
              </w:rPr>
              <w:br w:type="page"/>
            </w:r>
            <w:bookmarkStart w:id="47" w:name="_Toc379986126"/>
            <w:r w:rsidR="000D0A39" w:rsidRPr="00F32AFA" w:rsidDel="000D0A39">
              <w:rPr>
                <w:b/>
                <w:bCs/>
              </w:rPr>
              <w:t xml:space="preserve"> </w:t>
            </w:r>
            <w:bookmarkStart w:id="48" w:name="_Toc332296643"/>
            <w:bookmarkStart w:id="49" w:name="_Toc332297430"/>
            <w:bookmarkStart w:id="50" w:name="_Toc332298251"/>
            <w:bookmarkStart w:id="51" w:name="_Toc332298727"/>
            <w:bookmarkStart w:id="52" w:name="_Toc332299012"/>
            <w:bookmarkStart w:id="53" w:name="_Toc332299291"/>
            <w:bookmarkStart w:id="54" w:name="_Toc332299572"/>
            <w:bookmarkStart w:id="55" w:name="_Toc332299851"/>
            <w:bookmarkStart w:id="56" w:name="_Toc332296651"/>
            <w:bookmarkStart w:id="57" w:name="_Toc332297438"/>
            <w:bookmarkStart w:id="58" w:name="_Toc332298259"/>
            <w:bookmarkStart w:id="59" w:name="_Toc332298735"/>
            <w:bookmarkStart w:id="60" w:name="_Toc332299020"/>
            <w:bookmarkStart w:id="61" w:name="_Toc332299299"/>
            <w:bookmarkStart w:id="62" w:name="_Toc332299580"/>
            <w:bookmarkStart w:id="63" w:name="_Toc332299859"/>
            <w:bookmarkStart w:id="64" w:name="_Toc332298319"/>
            <w:bookmarkStart w:id="65" w:name="_Toc332298795"/>
            <w:bookmarkStart w:id="66" w:name="_Toc332299080"/>
            <w:bookmarkStart w:id="67" w:name="_Toc332299359"/>
            <w:bookmarkStart w:id="68" w:name="_Toc332299640"/>
            <w:bookmarkStart w:id="69" w:name="_Toc332299919"/>
            <w:bookmarkStart w:id="70" w:name="_Toc332298326"/>
            <w:bookmarkStart w:id="71" w:name="_Toc332298802"/>
            <w:bookmarkStart w:id="72" w:name="_Toc332299087"/>
            <w:bookmarkStart w:id="73" w:name="_Toc332299366"/>
            <w:bookmarkStart w:id="74" w:name="_Toc332299647"/>
            <w:bookmarkStart w:id="75" w:name="_Toc332299926"/>
            <w:bookmarkStart w:id="76" w:name="_Toc332298334"/>
            <w:bookmarkStart w:id="77" w:name="_Toc332298810"/>
            <w:bookmarkStart w:id="78" w:name="_Toc332299095"/>
            <w:bookmarkStart w:id="79" w:name="_Toc332299374"/>
            <w:bookmarkStart w:id="80" w:name="_Toc332299655"/>
            <w:bookmarkStart w:id="81" w:name="_Toc332299934"/>
            <w:bookmarkStart w:id="82" w:name="_Toc332298335"/>
            <w:bookmarkStart w:id="83" w:name="_Toc332298811"/>
            <w:bookmarkStart w:id="84" w:name="_Toc332299096"/>
            <w:bookmarkStart w:id="85" w:name="_Toc332299375"/>
            <w:bookmarkStart w:id="86" w:name="_Toc332299656"/>
            <w:bookmarkStart w:id="87" w:name="_Toc332299935"/>
            <w:bookmarkStart w:id="88" w:name="_Toc332298336"/>
            <w:bookmarkStart w:id="89" w:name="_Toc332298812"/>
            <w:bookmarkStart w:id="90" w:name="_Toc332299097"/>
            <w:bookmarkStart w:id="91" w:name="_Toc332299376"/>
            <w:bookmarkStart w:id="92" w:name="_Toc332299657"/>
            <w:bookmarkStart w:id="93" w:name="_Toc332299936"/>
            <w:bookmarkStart w:id="94" w:name="_Toc332298337"/>
            <w:bookmarkStart w:id="95" w:name="_Toc332298813"/>
            <w:bookmarkStart w:id="96" w:name="_Toc332299098"/>
            <w:bookmarkStart w:id="97" w:name="_Toc332299377"/>
            <w:bookmarkStart w:id="98" w:name="_Toc332299658"/>
            <w:bookmarkStart w:id="99" w:name="_Toc332299937"/>
            <w:bookmarkStart w:id="100" w:name="_Toc332298339"/>
            <w:bookmarkStart w:id="101" w:name="_Toc332298815"/>
            <w:bookmarkStart w:id="102" w:name="_Toc332299100"/>
            <w:bookmarkStart w:id="103" w:name="_Toc332299379"/>
            <w:bookmarkStart w:id="104" w:name="_Toc332299660"/>
            <w:bookmarkStart w:id="105" w:name="_Toc332299939"/>
            <w:bookmarkStart w:id="106" w:name="_Toc332298347"/>
            <w:bookmarkStart w:id="107" w:name="_Toc332298823"/>
            <w:bookmarkStart w:id="108" w:name="_Toc332299108"/>
            <w:bookmarkStart w:id="109" w:name="_Toc332299387"/>
            <w:bookmarkStart w:id="110" w:name="_Toc332299668"/>
            <w:bookmarkStart w:id="111" w:name="_Toc332299947"/>
            <w:bookmarkStart w:id="112" w:name="_Toc332298352"/>
            <w:bookmarkStart w:id="113" w:name="_Toc332298828"/>
            <w:bookmarkStart w:id="114" w:name="_Toc332299113"/>
            <w:bookmarkStart w:id="115" w:name="_Toc332299392"/>
            <w:bookmarkStart w:id="116" w:name="_Toc332299673"/>
            <w:bookmarkStart w:id="117" w:name="_Toc332299952"/>
            <w:bookmarkStart w:id="118" w:name="_Toc332298353"/>
            <w:bookmarkStart w:id="119" w:name="_Toc332298829"/>
            <w:bookmarkStart w:id="120" w:name="_Toc332299114"/>
            <w:bookmarkStart w:id="121" w:name="_Toc332299393"/>
            <w:bookmarkStart w:id="122" w:name="_Toc332299674"/>
            <w:bookmarkStart w:id="123" w:name="_Toc332299953"/>
            <w:bookmarkStart w:id="124" w:name="_Toc332298354"/>
            <w:bookmarkStart w:id="125" w:name="_Toc332298830"/>
            <w:bookmarkStart w:id="126" w:name="_Toc332299115"/>
            <w:bookmarkStart w:id="127" w:name="_Toc332299394"/>
            <w:bookmarkStart w:id="128" w:name="_Toc332299675"/>
            <w:bookmarkStart w:id="129" w:name="_Toc332299954"/>
            <w:bookmarkStart w:id="130" w:name="_Toc332298357"/>
            <w:bookmarkStart w:id="131" w:name="_Toc332298833"/>
            <w:bookmarkStart w:id="132" w:name="_Toc332299118"/>
            <w:bookmarkStart w:id="133" w:name="_Toc332299397"/>
            <w:bookmarkStart w:id="134" w:name="_Toc332299678"/>
            <w:bookmarkStart w:id="135" w:name="_Toc332299957"/>
            <w:bookmarkStart w:id="136" w:name="_Toc332298359"/>
            <w:bookmarkStart w:id="137" w:name="_Toc332298835"/>
            <w:bookmarkStart w:id="138" w:name="_Toc332299120"/>
            <w:bookmarkStart w:id="139" w:name="_Toc332299399"/>
            <w:bookmarkStart w:id="140" w:name="_Toc332299680"/>
            <w:bookmarkStart w:id="141" w:name="_Toc332299959"/>
            <w:bookmarkStart w:id="142" w:name="_Toc332298361"/>
            <w:bookmarkStart w:id="143" w:name="_Toc332298837"/>
            <w:bookmarkStart w:id="144" w:name="_Toc332299122"/>
            <w:bookmarkStart w:id="145" w:name="_Toc332299401"/>
            <w:bookmarkStart w:id="146" w:name="_Toc332299682"/>
            <w:bookmarkStart w:id="147" w:name="_Toc332299961"/>
            <w:bookmarkStart w:id="148" w:name="_Toc332298368"/>
            <w:bookmarkStart w:id="149" w:name="_Toc332298844"/>
            <w:bookmarkStart w:id="150" w:name="_Toc332299129"/>
            <w:bookmarkStart w:id="151" w:name="_Toc332299408"/>
            <w:bookmarkStart w:id="152" w:name="_Toc332299689"/>
            <w:bookmarkStart w:id="153" w:name="_Toc332299968"/>
            <w:bookmarkStart w:id="154" w:name="_Toc332298376"/>
            <w:bookmarkStart w:id="155" w:name="_Toc332298852"/>
            <w:bookmarkStart w:id="156" w:name="_Toc332299137"/>
            <w:bookmarkStart w:id="157" w:name="_Toc332299416"/>
            <w:bookmarkStart w:id="158" w:name="_Toc332299697"/>
            <w:bookmarkStart w:id="159" w:name="_Toc332299976"/>
            <w:bookmarkStart w:id="160" w:name="_Toc332298377"/>
            <w:bookmarkStart w:id="161" w:name="_Toc332298853"/>
            <w:bookmarkStart w:id="162" w:name="_Toc332299138"/>
            <w:bookmarkStart w:id="163" w:name="_Toc332299417"/>
            <w:bookmarkStart w:id="164" w:name="_Toc332299698"/>
            <w:bookmarkStart w:id="165" w:name="_Toc332299977"/>
            <w:bookmarkStart w:id="166" w:name="_Toc332298378"/>
            <w:bookmarkStart w:id="167" w:name="_Toc332298854"/>
            <w:bookmarkStart w:id="168" w:name="_Toc332299139"/>
            <w:bookmarkStart w:id="169" w:name="_Toc332299418"/>
            <w:bookmarkStart w:id="170" w:name="_Toc332299699"/>
            <w:bookmarkStart w:id="171" w:name="_Toc332299978"/>
            <w:bookmarkStart w:id="172" w:name="_Toc332298379"/>
            <w:bookmarkStart w:id="173" w:name="_Toc332298855"/>
            <w:bookmarkStart w:id="174" w:name="_Toc332299140"/>
            <w:bookmarkStart w:id="175" w:name="_Toc332299419"/>
            <w:bookmarkStart w:id="176" w:name="_Toc332299700"/>
            <w:bookmarkStart w:id="177" w:name="_Toc332299979"/>
            <w:bookmarkStart w:id="178" w:name="_Toc332298381"/>
            <w:bookmarkStart w:id="179" w:name="_Toc332298857"/>
            <w:bookmarkStart w:id="180" w:name="_Toc332299142"/>
            <w:bookmarkStart w:id="181" w:name="_Toc332299421"/>
            <w:bookmarkStart w:id="182" w:name="_Toc332299702"/>
            <w:bookmarkStart w:id="183" w:name="_Toc332299981"/>
            <w:bookmarkStart w:id="184" w:name="_Toc332298390"/>
            <w:bookmarkStart w:id="185" w:name="_Toc332298866"/>
            <w:bookmarkStart w:id="186" w:name="_Toc332299151"/>
            <w:bookmarkStart w:id="187" w:name="_Toc332299430"/>
            <w:bookmarkStart w:id="188" w:name="_Toc332299711"/>
            <w:bookmarkStart w:id="189" w:name="_Toc332299990"/>
            <w:bookmarkStart w:id="190" w:name="_Toc332298395"/>
            <w:bookmarkStart w:id="191" w:name="_Toc332298871"/>
            <w:bookmarkStart w:id="192" w:name="_Toc332299156"/>
            <w:bookmarkStart w:id="193" w:name="_Toc332299435"/>
            <w:bookmarkStart w:id="194" w:name="_Toc332299716"/>
            <w:bookmarkStart w:id="195" w:name="_Toc332299995"/>
            <w:bookmarkStart w:id="196" w:name="_Toc332298396"/>
            <w:bookmarkStart w:id="197" w:name="_Toc332298872"/>
            <w:bookmarkStart w:id="198" w:name="_Toc332299157"/>
            <w:bookmarkStart w:id="199" w:name="_Toc332299436"/>
            <w:bookmarkStart w:id="200" w:name="_Toc332299717"/>
            <w:bookmarkStart w:id="201" w:name="_Toc332299996"/>
            <w:bookmarkStart w:id="202" w:name="_Toc332298397"/>
            <w:bookmarkStart w:id="203" w:name="_Toc332298873"/>
            <w:bookmarkStart w:id="204" w:name="_Toc332299158"/>
            <w:bookmarkStart w:id="205" w:name="_Toc332299437"/>
            <w:bookmarkStart w:id="206" w:name="_Toc332299718"/>
            <w:bookmarkStart w:id="207" w:name="_Toc332299997"/>
            <w:bookmarkStart w:id="208" w:name="_Toc332298398"/>
            <w:bookmarkStart w:id="209" w:name="_Toc332298874"/>
            <w:bookmarkStart w:id="210" w:name="_Toc332299159"/>
            <w:bookmarkStart w:id="211" w:name="_Toc332299438"/>
            <w:bookmarkStart w:id="212" w:name="_Toc332299719"/>
            <w:bookmarkStart w:id="213" w:name="_Toc332299998"/>
            <w:bookmarkStart w:id="214" w:name="_Toc332298401"/>
            <w:bookmarkStart w:id="215" w:name="_Toc332298877"/>
            <w:bookmarkStart w:id="216" w:name="_Toc332299162"/>
            <w:bookmarkStart w:id="217" w:name="_Toc332299441"/>
            <w:bookmarkStart w:id="218" w:name="_Toc332299722"/>
            <w:bookmarkStart w:id="219" w:name="_Toc332300001"/>
            <w:bookmarkStart w:id="220" w:name="_Toc332298403"/>
            <w:bookmarkStart w:id="221" w:name="_Toc332298879"/>
            <w:bookmarkStart w:id="222" w:name="_Toc332299164"/>
            <w:bookmarkStart w:id="223" w:name="_Toc332299443"/>
            <w:bookmarkStart w:id="224" w:name="_Toc332299724"/>
            <w:bookmarkStart w:id="225" w:name="_Toc332300003"/>
            <w:bookmarkStart w:id="226" w:name="_Toc325387326"/>
            <w:bookmarkStart w:id="227" w:name="_Toc325387449"/>
            <w:bookmarkStart w:id="228" w:name="_Toc325390289"/>
            <w:bookmarkStart w:id="229" w:name="_Toc332298405"/>
            <w:bookmarkStart w:id="230" w:name="_Toc332298881"/>
            <w:bookmarkStart w:id="231" w:name="_Toc332299166"/>
            <w:bookmarkStart w:id="232" w:name="_Toc332299445"/>
            <w:bookmarkStart w:id="233" w:name="_Toc332299726"/>
            <w:bookmarkStart w:id="234" w:name="_Toc332300005"/>
            <w:bookmarkStart w:id="235" w:name="_Toc325387331"/>
            <w:bookmarkStart w:id="236" w:name="_Toc325387454"/>
            <w:bookmarkStart w:id="237" w:name="_Toc325390294"/>
            <w:bookmarkStart w:id="238" w:name="_Toc332298410"/>
            <w:bookmarkStart w:id="239" w:name="_Toc332298886"/>
            <w:bookmarkStart w:id="240" w:name="_Toc332299171"/>
            <w:bookmarkStart w:id="241" w:name="_Toc332299450"/>
            <w:bookmarkStart w:id="242" w:name="_Toc332299731"/>
            <w:bookmarkStart w:id="243" w:name="_Toc332300010"/>
            <w:bookmarkStart w:id="244" w:name="_Toc325387334"/>
            <w:bookmarkStart w:id="245" w:name="_Toc325387457"/>
            <w:bookmarkStart w:id="246" w:name="_Toc325390297"/>
            <w:bookmarkStart w:id="247" w:name="_Toc332298413"/>
            <w:bookmarkStart w:id="248" w:name="_Toc332298889"/>
            <w:bookmarkStart w:id="249" w:name="_Toc332299174"/>
            <w:bookmarkStart w:id="250" w:name="_Toc332299453"/>
            <w:bookmarkStart w:id="251" w:name="_Toc332299734"/>
            <w:bookmarkStart w:id="252" w:name="_Toc332300013"/>
            <w:bookmarkStart w:id="253" w:name="_Toc325387339"/>
            <w:bookmarkStart w:id="254" w:name="_Toc325387462"/>
            <w:bookmarkStart w:id="255" w:name="_Toc325390302"/>
            <w:bookmarkStart w:id="256" w:name="_Toc332298418"/>
            <w:bookmarkStart w:id="257" w:name="_Toc332298894"/>
            <w:bookmarkStart w:id="258" w:name="_Toc332299179"/>
            <w:bookmarkStart w:id="259" w:name="_Toc332299458"/>
            <w:bookmarkStart w:id="260" w:name="_Toc332299739"/>
            <w:bookmarkStart w:id="261" w:name="_Toc332300018"/>
            <w:bookmarkStart w:id="262" w:name="_Toc325387342"/>
            <w:bookmarkStart w:id="263" w:name="_Toc325387465"/>
            <w:bookmarkStart w:id="264" w:name="_Toc325390305"/>
            <w:bookmarkStart w:id="265" w:name="_Toc332298421"/>
            <w:bookmarkStart w:id="266" w:name="_Toc332298897"/>
            <w:bookmarkStart w:id="267" w:name="_Toc332299182"/>
            <w:bookmarkStart w:id="268" w:name="_Toc332299461"/>
            <w:bookmarkStart w:id="269" w:name="_Toc332299742"/>
            <w:bookmarkStart w:id="270" w:name="_Toc332300021"/>
            <w:bookmarkStart w:id="271" w:name="_Toc325387347"/>
            <w:bookmarkStart w:id="272" w:name="_Toc325387470"/>
            <w:bookmarkStart w:id="273" w:name="_Toc325390310"/>
            <w:bookmarkStart w:id="274" w:name="_Toc332298426"/>
            <w:bookmarkStart w:id="275" w:name="_Toc332298902"/>
            <w:bookmarkStart w:id="276" w:name="_Toc332299187"/>
            <w:bookmarkStart w:id="277" w:name="_Toc332299466"/>
            <w:bookmarkStart w:id="278" w:name="_Toc332299747"/>
            <w:bookmarkStart w:id="279" w:name="_Toc332300026"/>
            <w:bookmarkStart w:id="280" w:name="_Toc325387350"/>
            <w:bookmarkStart w:id="281" w:name="_Toc325387473"/>
            <w:bookmarkStart w:id="282" w:name="_Toc325390313"/>
            <w:bookmarkStart w:id="283" w:name="_Toc332298429"/>
            <w:bookmarkStart w:id="284" w:name="_Toc332298905"/>
            <w:bookmarkStart w:id="285" w:name="_Toc332299190"/>
            <w:bookmarkStart w:id="286" w:name="_Toc332299469"/>
            <w:bookmarkStart w:id="287" w:name="_Toc332299750"/>
            <w:bookmarkStart w:id="288" w:name="_Toc332300029"/>
            <w:bookmarkStart w:id="289" w:name="_Toc325387355"/>
            <w:bookmarkStart w:id="290" w:name="_Toc325387478"/>
            <w:bookmarkStart w:id="291" w:name="_Toc325390318"/>
            <w:bookmarkStart w:id="292" w:name="_Toc332298434"/>
            <w:bookmarkStart w:id="293" w:name="_Toc332298910"/>
            <w:bookmarkStart w:id="294" w:name="_Toc332299195"/>
            <w:bookmarkStart w:id="295" w:name="_Toc332299474"/>
            <w:bookmarkStart w:id="296" w:name="_Toc332299755"/>
            <w:bookmarkStart w:id="297" w:name="_Toc332300034"/>
            <w:bookmarkStart w:id="298" w:name="_Toc325387358"/>
            <w:bookmarkStart w:id="299" w:name="_Toc325387481"/>
            <w:bookmarkStart w:id="300" w:name="_Toc325390321"/>
            <w:bookmarkStart w:id="301" w:name="_Toc332298437"/>
            <w:bookmarkStart w:id="302" w:name="_Toc332298913"/>
            <w:bookmarkStart w:id="303" w:name="_Toc332299198"/>
            <w:bookmarkStart w:id="304" w:name="_Toc332299477"/>
            <w:bookmarkStart w:id="305" w:name="_Toc332299758"/>
            <w:bookmarkStart w:id="306" w:name="_Toc332300037"/>
            <w:bookmarkStart w:id="307" w:name="_Toc325387363"/>
            <w:bookmarkStart w:id="308" w:name="_Toc325387486"/>
            <w:bookmarkStart w:id="309" w:name="_Toc325390326"/>
            <w:bookmarkStart w:id="310" w:name="_Toc332298442"/>
            <w:bookmarkStart w:id="311" w:name="_Toc332298918"/>
            <w:bookmarkStart w:id="312" w:name="_Toc332299203"/>
            <w:bookmarkStart w:id="313" w:name="_Toc332299482"/>
            <w:bookmarkStart w:id="314" w:name="_Toc332299763"/>
            <w:bookmarkStart w:id="315" w:name="_Toc332300042"/>
            <w:bookmarkStart w:id="316" w:name="_Toc325387366"/>
            <w:bookmarkStart w:id="317" w:name="_Toc325387489"/>
            <w:bookmarkStart w:id="318" w:name="_Toc325390329"/>
            <w:bookmarkStart w:id="319" w:name="_Toc332298445"/>
            <w:bookmarkStart w:id="320" w:name="_Toc332298921"/>
            <w:bookmarkStart w:id="321" w:name="_Toc332299206"/>
            <w:bookmarkStart w:id="322" w:name="_Toc332299485"/>
            <w:bookmarkStart w:id="323" w:name="_Toc332299766"/>
            <w:bookmarkStart w:id="324" w:name="_Toc332300045"/>
            <w:bookmarkStart w:id="325" w:name="_Toc325387371"/>
            <w:bookmarkStart w:id="326" w:name="_Toc325387494"/>
            <w:bookmarkStart w:id="327" w:name="_Toc325390334"/>
            <w:bookmarkStart w:id="328" w:name="_Toc332298450"/>
            <w:bookmarkStart w:id="329" w:name="_Toc332298926"/>
            <w:bookmarkStart w:id="330" w:name="_Toc332299211"/>
            <w:bookmarkStart w:id="331" w:name="_Toc332299490"/>
            <w:bookmarkStart w:id="332" w:name="_Toc332299771"/>
            <w:bookmarkStart w:id="333" w:name="_Toc332300050"/>
            <w:bookmarkStart w:id="334" w:name="_Toc325387374"/>
            <w:bookmarkStart w:id="335" w:name="_Toc325387497"/>
            <w:bookmarkStart w:id="336" w:name="_Toc325390337"/>
            <w:bookmarkStart w:id="337" w:name="_Toc332298453"/>
            <w:bookmarkStart w:id="338" w:name="_Toc332298929"/>
            <w:bookmarkStart w:id="339" w:name="_Toc332299214"/>
            <w:bookmarkStart w:id="340" w:name="_Toc332299493"/>
            <w:bookmarkStart w:id="341" w:name="_Toc332299774"/>
            <w:bookmarkStart w:id="342" w:name="_Toc332300053"/>
            <w:bookmarkStart w:id="343" w:name="_Toc325387380"/>
            <w:bookmarkStart w:id="344" w:name="_Toc325387503"/>
            <w:bookmarkStart w:id="345" w:name="_Toc325390343"/>
            <w:bookmarkStart w:id="346" w:name="_Toc332298459"/>
            <w:bookmarkStart w:id="347" w:name="_Toc332298935"/>
            <w:bookmarkStart w:id="348" w:name="_Toc332299220"/>
            <w:bookmarkStart w:id="349" w:name="_Toc332299499"/>
            <w:bookmarkStart w:id="350" w:name="_Toc332299780"/>
            <w:bookmarkStart w:id="351" w:name="_Toc332300059"/>
            <w:bookmarkStart w:id="352" w:name="_Toc325387383"/>
            <w:bookmarkStart w:id="353" w:name="_Toc325387506"/>
            <w:bookmarkStart w:id="354" w:name="_Toc325390346"/>
            <w:bookmarkStart w:id="355" w:name="_Toc332298462"/>
            <w:bookmarkStart w:id="356" w:name="_Toc332298938"/>
            <w:bookmarkStart w:id="357" w:name="_Toc332299223"/>
            <w:bookmarkStart w:id="358" w:name="_Toc332299502"/>
            <w:bookmarkStart w:id="359" w:name="_Toc332299783"/>
            <w:bookmarkStart w:id="360" w:name="_Toc332300062"/>
            <w:bookmarkStart w:id="361" w:name="_Toc325387386"/>
            <w:bookmarkStart w:id="362" w:name="_Toc325387509"/>
            <w:bookmarkStart w:id="363" w:name="_Toc325390349"/>
            <w:bookmarkStart w:id="364" w:name="_Toc332298465"/>
            <w:bookmarkStart w:id="365" w:name="_Toc332298941"/>
            <w:bookmarkStart w:id="366" w:name="_Toc332299226"/>
            <w:bookmarkStart w:id="367" w:name="_Toc332299505"/>
            <w:bookmarkStart w:id="368" w:name="_Toc332299786"/>
            <w:bookmarkStart w:id="369" w:name="_Toc332300065"/>
            <w:bookmarkStart w:id="370" w:name="_Toc325387389"/>
            <w:bookmarkStart w:id="371" w:name="_Toc325387512"/>
            <w:bookmarkStart w:id="372" w:name="_Toc325390352"/>
            <w:bookmarkStart w:id="373" w:name="_Toc332298468"/>
            <w:bookmarkStart w:id="374" w:name="_Toc332298944"/>
            <w:bookmarkStart w:id="375" w:name="_Toc332299229"/>
            <w:bookmarkStart w:id="376" w:name="_Toc332299508"/>
            <w:bookmarkStart w:id="377" w:name="_Toc332299789"/>
            <w:bookmarkStart w:id="378" w:name="_Toc332300068"/>
            <w:bookmarkStart w:id="379" w:name="_Toc325387394"/>
            <w:bookmarkStart w:id="380" w:name="_Toc325387517"/>
            <w:bookmarkStart w:id="381" w:name="_Toc325390357"/>
            <w:bookmarkStart w:id="382" w:name="_Toc332298473"/>
            <w:bookmarkStart w:id="383" w:name="_Toc332298949"/>
            <w:bookmarkStart w:id="384" w:name="_Toc332299234"/>
            <w:bookmarkStart w:id="385" w:name="_Toc332299513"/>
            <w:bookmarkStart w:id="386" w:name="_Toc332299794"/>
            <w:bookmarkStart w:id="387" w:name="_Toc332300073"/>
            <w:bookmarkStart w:id="388" w:name="_Toc332298476"/>
            <w:bookmarkStart w:id="389" w:name="_Toc332298952"/>
            <w:bookmarkStart w:id="390" w:name="_Toc332299237"/>
            <w:bookmarkStart w:id="391" w:name="_Toc332299516"/>
            <w:bookmarkStart w:id="392" w:name="_Toc332299797"/>
            <w:bookmarkStart w:id="393" w:name="_Toc332300076"/>
            <w:bookmarkStart w:id="394" w:name="_Toc332298480"/>
            <w:bookmarkStart w:id="395" w:name="_Toc332298956"/>
            <w:bookmarkStart w:id="396" w:name="_Toc332299241"/>
            <w:bookmarkStart w:id="397" w:name="_Toc332299520"/>
            <w:bookmarkStart w:id="398" w:name="_Toc332299801"/>
            <w:bookmarkStart w:id="399" w:name="_Toc332300080"/>
            <w:bookmarkStart w:id="400" w:name="_Toc332298484"/>
            <w:bookmarkStart w:id="401" w:name="_Toc332298960"/>
            <w:bookmarkStart w:id="402" w:name="_Toc332299245"/>
            <w:bookmarkStart w:id="403" w:name="_Toc332299524"/>
            <w:bookmarkStart w:id="404" w:name="_Toc332299805"/>
            <w:bookmarkStart w:id="405" w:name="_Toc332300084"/>
            <w:bookmarkStart w:id="406" w:name="_Toc332298486"/>
            <w:bookmarkStart w:id="407" w:name="_Toc332298962"/>
            <w:bookmarkStart w:id="408" w:name="_Toc332299247"/>
            <w:bookmarkStart w:id="409" w:name="_Toc332299526"/>
            <w:bookmarkStart w:id="410" w:name="_Toc332299807"/>
            <w:bookmarkStart w:id="411" w:name="_Toc332300086"/>
            <w:bookmarkStart w:id="412" w:name="_Toc332298490"/>
            <w:bookmarkStart w:id="413" w:name="_Toc332298966"/>
            <w:bookmarkStart w:id="414" w:name="_Toc332299251"/>
            <w:bookmarkStart w:id="415" w:name="_Toc332299530"/>
            <w:bookmarkStart w:id="416" w:name="_Toc332299811"/>
            <w:bookmarkStart w:id="417" w:name="_Toc332300090"/>
            <w:bookmarkStart w:id="418" w:name="_Toc332298494"/>
            <w:bookmarkStart w:id="419" w:name="_Toc332298970"/>
            <w:bookmarkStart w:id="420" w:name="_Toc332299255"/>
            <w:bookmarkStart w:id="421" w:name="_Toc332299534"/>
            <w:bookmarkStart w:id="422" w:name="_Toc332299815"/>
            <w:bookmarkStart w:id="423" w:name="_Toc332300094"/>
            <w:bookmarkStart w:id="424" w:name="_Toc332298495"/>
            <w:bookmarkStart w:id="425" w:name="_Toc332298971"/>
            <w:bookmarkStart w:id="426" w:name="_Toc332299256"/>
            <w:bookmarkStart w:id="427" w:name="_Toc332299535"/>
            <w:bookmarkStart w:id="428" w:name="_Toc332299816"/>
            <w:bookmarkStart w:id="429" w:name="_Toc332300095"/>
            <w:bookmarkStart w:id="430" w:name="_Toc332298498"/>
            <w:bookmarkStart w:id="431" w:name="_Toc332298974"/>
            <w:bookmarkStart w:id="432" w:name="_Toc332299259"/>
            <w:bookmarkStart w:id="433" w:name="_Toc332299538"/>
            <w:bookmarkStart w:id="434" w:name="_Toc332299819"/>
            <w:bookmarkStart w:id="435" w:name="_Toc332300098"/>
            <w:bookmarkStart w:id="436" w:name="_Toc325387398"/>
            <w:bookmarkStart w:id="437" w:name="_Toc325387521"/>
            <w:bookmarkStart w:id="438" w:name="_Toc325390360"/>
            <w:bookmarkStart w:id="439" w:name="_Toc332296711"/>
            <w:bookmarkStart w:id="440" w:name="_Toc332297497"/>
            <w:bookmarkStart w:id="441" w:name="_Toc332298499"/>
            <w:bookmarkStart w:id="442" w:name="_Toc332298975"/>
            <w:bookmarkStart w:id="443" w:name="_Toc332299260"/>
            <w:bookmarkStart w:id="444" w:name="_Toc332299539"/>
            <w:bookmarkStart w:id="445" w:name="_Toc332299820"/>
            <w:bookmarkStart w:id="446" w:name="_Toc332300099"/>
            <w:bookmarkStart w:id="447" w:name="_Toc325387402"/>
            <w:bookmarkStart w:id="448" w:name="_Toc325387525"/>
            <w:bookmarkStart w:id="449" w:name="_Toc325390364"/>
            <w:bookmarkStart w:id="450" w:name="_Toc332296715"/>
            <w:bookmarkStart w:id="451" w:name="_Toc332297501"/>
            <w:bookmarkStart w:id="452" w:name="_Toc332298503"/>
            <w:bookmarkStart w:id="453" w:name="_Toc332298979"/>
            <w:bookmarkStart w:id="454" w:name="_Toc332299264"/>
            <w:bookmarkStart w:id="455" w:name="_Toc332299543"/>
            <w:bookmarkStart w:id="456" w:name="_Toc332299824"/>
            <w:bookmarkStart w:id="457" w:name="_Toc332300103"/>
            <w:bookmarkStart w:id="458" w:name="_Toc325387405"/>
            <w:bookmarkStart w:id="459" w:name="_Toc325387528"/>
            <w:bookmarkStart w:id="460" w:name="_Toc325390367"/>
            <w:bookmarkStart w:id="461" w:name="_Toc332296718"/>
            <w:bookmarkStart w:id="462" w:name="_Toc332297504"/>
            <w:bookmarkStart w:id="463" w:name="_Toc332298506"/>
            <w:bookmarkStart w:id="464" w:name="_Toc332298982"/>
            <w:bookmarkStart w:id="465" w:name="_Toc332299267"/>
            <w:bookmarkStart w:id="466" w:name="_Toc332299546"/>
            <w:bookmarkStart w:id="467" w:name="_Toc332299827"/>
            <w:bookmarkStart w:id="468" w:name="_Toc332300106"/>
            <w:bookmarkStart w:id="469" w:name="_Toc325387408"/>
            <w:bookmarkStart w:id="470" w:name="_Toc325387531"/>
            <w:bookmarkStart w:id="471" w:name="_Toc325390370"/>
            <w:bookmarkStart w:id="472" w:name="_Toc332296721"/>
            <w:bookmarkStart w:id="473" w:name="_Toc332297507"/>
            <w:bookmarkStart w:id="474" w:name="_Toc332298509"/>
            <w:bookmarkStart w:id="475" w:name="_Toc332298985"/>
            <w:bookmarkStart w:id="476" w:name="_Toc332299270"/>
            <w:bookmarkStart w:id="477" w:name="_Toc332299549"/>
            <w:bookmarkStart w:id="478" w:name="_Toc332299830"/>
            <w:bookmarkStart w:id="479" w:name="_Toc332300109"/>
            <w:bookmarkStart w:id="480" w:name="_Toc325387411"/>
            <w:bookmarkStart w:id="481" w:name="_Toc325387534"/>
            <w:bookmarkStart w:id="482" w:name="_Toc325390373"/>
            <w:bookmarkStart w:id="483" w:name="_Toc332296724"/>
            <w:bookmarkStart w:id="484" w:name="_Toc332297510"/>
            <w:bookmarkStart w:id="485" w:name="_Toc332298512"/>
            <w:bookmarkStart w:id="486" w:name="_Toc332298988"/>
            <w:bookmarkStart w:id="487" w:name="_Toc332299273"/>
            <w:bookmarkStart w:id="488" w:name="_Toc332299552"/>
            <w:bookmarkStart w:id="489" w:name="_Toc332299833"/>
            <w:bookmarkStart w:id="490" w:name="_Toc332300112"/>
            <w:bookmarkStart w:id="491" w:name="_Toc325387416"/>
            <w:bookmarkStart w:id="492" w:name="_Toc325387539"/>
            <w:bookmarkStart w:id="493" w:name="_Toc325390378"/>
            <w:bookmarkStart w:id="494" w:name="_Toc332296729"/>
            <w:bookmarkStart w:id="495" w:name="_Toc332297515"/>
            <w:bookmarkStart w:id="496" w:name="_Toc332298517"/>
            <w:bookmarkStart w:id="497" w:name="_Toc332298993"/>
            <w:bookmarkStart w:id="498" w:name="_Toc332299278"/>
            <w:bookmarkStart w:id="499" w:name="_Toc332299557"/>
            <w:bookmarkStart w:id="500" w:name="_Toc332299838"/>
            <w:bookmarkStart w:id="501" w:name="_Toc332300117"/>
            <w:bookmarkStart w:id="502" w:name="_Toc325387417"/>
            <w:bookmarkStart w:id="503" w:name="_Toc325387540"/>
            <w:bookmarkStart w:id="504" w:name="_Toc325390379"/>
            <w:bookmarkStart w:id="505" w:name="_Toc332296730"/>
            <w:bookmarkStart w:id="506" w:name="_Toc332297516"/>
            <w:bookmarkStart w:id="507" w:name="_Toc332298518"/>
            <w:bookmarkStart w:id="508" w:name="_Toc332298994"/>
            <w:bookmarkStart w:id="509" w:name="_Toc332299279"/>
            <w:bookmarkStart w:id="510" w:name="_Toc332299558"/>
            <w:bookmarkStart w:id="511" w:name="_Toc332299839"/>
            <w:bookmarkStart w:id="512" w:name="_Toc33230011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tc>
        <w:tc>
          <w:tcPr>
            <w:tcW w:w="1250" w:type="pct"/>
            <w:tcBorders>
              <w:top w:val="single" w:sz="6" w:space="0" w:color="auto"/>
              <w:left w:val="single" w:sz="6" w:space="0" w:color="auto"/>
              <w:bottom w:val="single" w:sz="6" w:space="0" w:color="auto"/>
              <w:right w:val="single" w:sz="6" w:space="0" w:color="auto"/>
            </w:tcBorders>
          </w:tcPr>
          <w:p w14:paraId="723BDA9A" w14:textId="1BC3A074" w:rsidR="00550137" w:rsidRPr="00F32AFA" w:rsidRDefault="00550137" w:rsidP="00E526A6">
            <w:pPr>
              <w:pStyle w:val="TabletextrowsAgency"/>
            </w:pPr>
          </w:p>
        </w:tc>
        <w:tc>
          <w:tcPr>
            <w:tcW w:w="1250" w:type="pct"/>
            <w:tcBorders>
              <w:top w:val="single" w:sz="6" w:space="0" w:color="auto"/>
              <w:left w:val="single" w:sz="6" w:space="0" w:color="auto"/>
              <w:bottom w:val="single" w:sz="6" w:space="0" w:color="auto"/>
              <w:right w:val="single" w:sz="6" w:space="0" w:color="auto"/>
            </w:tcBorders>
          </w:tcPr>
          <w:p w14:paraId="635A2436" w14:textId="7F2F8FFF" w:rsidR="00550137" w:rsidRPr="00F32AFA" w:rsidRDefault="00550137" w:rsidP="00E526A6">
            <w:pPr>
              <w:pStyle w:val="TabletextrowsAgency"/>
            </w:pPr>
          </w:p>
        </w:tc>
        <w:tc>
          <w:tcPr>
            <w:tcW w:w="1250" w:type="pct"/>
            <w:tcBorders>
              <w:top w:val="single" w:sz="6" w:space="0" w:color="auto"/>
              <w:left w:val="single" w:sz="6" w:space="0" w:color="auto"/>
              <w:bottom w:val="single" w:sz="6" w:space="0" w:color="auto"/>
              <w:right w:val="single" w:sz="4" w:space="0" w:color="auto"/>
            </w:tcBorders>
          </w:tcPr>
          <w:p w14:paraId="142C206F" w14:textId="3071B4C5" w:rsidR="00550137" w:rsidRPr="00F32AFA" w:rsidRDefault="00550137" w:rsidP="00E526A6">
            <w:pPr>
              <w:pStyle w:val="TabletextrowsAgency"/>
            </w:pPr>
          </w:p>
        </w:tc>
      </w:tr>
      <w:tr w:rsidR="00550137" w:rsidRPr="00F32AFA" w14:paraId="5B3C7571" w14:textId="77777777" w:rsidTr="009D2607">
        <w:tc>
          <w:tcPr>
            <w:tcW w:w="1250" w:type="pct"/>
            <w:tcBorders>
              <w:top w:val="single" w:sz="6" w:space="0" w:color="auto"/>
              <w:left w:val="single" w:sz="4" w:space="0" w:color="auto"/>
              <w:bottom w:val="single" w:sz="4" w:space="0" w:color="auto"/>
              <w:right w:val="single" w:sz="6" w:space="0" w:color="auto"/>
            </w:tcBorders>
          </w:tcPr>
          <w:p w14:paraId="1C73EB97" w14:textId="77777777" w:rsidR="00550137" w:rsidRPr="00F32AFA" w:rsidRDefault="00550137" w:rsidP="00E526A6">
            <w:pPr>
              <w:pStyle w:val="TabletextrowsAgency"/>
            </w:pPr>
          </w:p>
        </w:tc>
        <w:tc>
          <w:tcPr>
            <w:tcW w:w="1250" w:type="pct"/>
            <w:tcBorders>
              <w:top w:val="single" w:sz="6" w:space="0" w:color="auto"/>
              <w:left w:val="single" w:sz="6" w:space="0" w:color="auto"/>
              <w:bottom w:val="single" w:sz="4" w:space="0" w:color="auto"/>
              <w:right w:val="single" w:sz="6" w:space="0" w:color="auto"/>
            </w:tcBorders>
          </w:tcPr>
          <w:p w14:paraId="2621D14E" w14:textId="77777777" w:rsidR="00550137" w:rsidRPr="00F32AFA" w:rsidRDefault="00550137" w:rsidP="00E526A6">
            <w:pPr>
              <w:pStyle w:val="TabletextrowsAgency"/>
            </w:pPr>
          </w:p>
        </w:tc>
        <w:tc>
          <w:tcPr>
            <w:tcW w:w="1250" w:type="pct"/>
            <w:tcBorders>
              <w:top w:val="single" w:sz="6" w:space="0" w:color="auto"/>
              <w:left w:val="single" w:sz="6" w:space="0" w:color="auto"/>
              <w:bottom w:val="single" w:sz="4" w:space="0" w:color="auto"/>
              <w:right w:val="single" w:sz="6" w:space="0" w:color="auto"/>
            </w:tcBorders>
          </w:tcPr>
          <w:p w14:paraId="7A6761D1" w14:textId="77777777" w:rsidR="00550137" w:rsidRPr="00F32AFA" w:rsidRDefault="00550137" w:rsidP="00E526A6">
            <w:pPr>
              <w:pStyle w:val="TabletextrowsAgency"/>
            </w:pPr>
          </w:p>
        </w:tc>
        <w:tc>
          <w:tcPr>
            <w:tcW w:w="1250" w:type="pct"/>
            <w:tcBorders>
              <w:top w:val="single" w:sz="6" w:space="0" w:color="auto"/>
              <w:left w:val="single" w:sz="6" w:space="0" w:color="auto"/>
              <w:bottom w:val="single" w:sz="4" w:space="0" w:color="auto"/>
              <w:right w:val="single" w:sz="4" w:space="0" w:color="auto"/>
            </w:tcBorders>
          </w:tcPr>
          <w:p w14:paraId="6B208FE0" w14:textId="77777777" w:rsidR="00550137" w:rsidRPr="00F32AFA" w:rsidRDefault="00550137" w:rsidP="00E526A6">
            <w:pPr>
              <w:pStyle w:val="TabletextrowsAgency"/>
            </w:pPr>
          </w:p>
        </w:tc>
      </w:tr>
    </w:tbl>
    <w:p w14:paraId="39724DA3" w14:textId="77777777" w:rsidR="00550137" w:rsidRPr="00F32AFA" w:rsidRDefault="00550137" w:rsidP="00E526A6">
      <w:pPr>
        <w:keepNext/>
        <w:tabs>
          <w:tab w:val="left" w:pos="1134"/>
        </w:tabs>
        <w:spacing w:before="280" w:after="220"/>
        <w:outlineLvl w:val="2"/>
      </w:pPr>
    </w:p>
    <w:p w14:paraId="2CD584C0" w14:textId="77777777" w:rsidR="00100D1B" w:rsidRDefault="00100D1B">
      <w:pPr>
        <w:spacing w:line="240" w:lineRule="auto"/>
        <w:rPr>
          <w:rFonts w:ascii="Verdana" w:eastAsia="Verdana" w:hAnsi="Verdana"/>
          <w:b/>
          <w:bCs/>
          <w:kern w:val="32"/>
          <w:sz w:val="27"/>
          <w:szCs w:val="27"/>
          <w:lang w:val="en-GB" w:eastAsia="en-GB"/>
        </w:rPr>
      </w:pPr>
      <w:bookmarkStart w:id="513" w:name="_Toc379986127"/>
      <w:r>
        <w:br w:type="page"/>
      </w:r>
    </w:p>
    <w:p w14:paraId="71193B08" w14:textId="4998A22E" w:rsidR="00550137" w:rsidRPr="00546ACA" w:rsidRDefault="00550137" w:rsidP="00550137">
      <w:pPr>
        <w:pStyle w:val="HeadingcentredAgency"/>
        <w:jc w:val="left"/>
        <w:rPr>
          <w:lang w:val="fr-FR"/>
        </w:rPr>
      </w:pPr>
      <w:bookmarkStart w:id="514" w:name="_Toc59634439"/>
      <w:r w:rsidRPr="00546ACA">
        <w:rPr>
          <w:lang w:val="fr-FR"/>
        </w:rPr>
        <w:lastRenderedPageBreak/>
        <w:t xml:space="preserve">Part </w:t>
      </w:r>
      <w:proofErr w:type="gramStart"/>
      <w:r w:rsidRPr="00546ACA">
        <w:rPr>
          <w:lang w:val="fr-FR"/>
        </w:rPr>
        <w:t>VI:</w:t>
      </w:r>
      <w:proofErr w:type="gramEnd"/>
      <w:r w:rsidRPr="00546ACA">
        <w:rPr>
          <w:lang w:val="fr-FR"/>
        </w:rPr>
        <w:t xml:space="preserve"> Annexes</w:t>
      </w:r>
      <w:bookmarkEnd w:id="513"/>
      <w:bookmarkEnd w:id="514"/>
    </w:p>
    <w:p w14:paraId="53993D41" w14:textId="3BDCCF2B" w:rsidR="00175D56" w:rsidRPr="00175D56" w:rsidRDefault="00175D56" w:rsidP="00175D56">
      <w:pPr>
        <w:pStyle w:val="DraftingNotesAgency"/>
        <w:rPr>
          <w:rFonts w:ascii="Verdana" w:hAnsi="Verdana"/>
          <w:color w:val="00B050"/>
          <w:sz w:val="18"/>
        </w:rPr>
      </w:pPr>
      <w:bookmarkStart w:id="515" w:name="_Toc379986128"/>
      <w:r w:rsidRPr="00175D56">
        <w:rPr>
          <w:rFonts w:ascii="Verdana" w:hAnsi="Verdana"/>
          <w:color w:val="00B050"/>
          <w:sz w:val="18"/>
        </w:rPr>
        <w:t xml:space="preserve">Any annexes which are identical to those in the accompanying </w:t>
      </w:r>
      <w:r w:rsidR="001642C8">
        <w:rPr>
          <w:rFonts w:ascii="Verdana" w:hAnsi="Verdana"/>
          <w:color w:val="00B050"/>
          <w:sz w:val="18"/>
        </w:rPr>
        <w:t>approved</w:t>
      </w:r>
      <w:r w:rsidRPr="00175D56">
        <w:rPr>
          <w:rFonts w:ascii="Verdana" w:hAnsi="Verdana"/>
          <w:color w:val="00B050"/>
          <w:sz w:val="18"/>
        </w:rPr>
        <w:t xml:space="preserve"> RMP can be omitted.  A cross reference should be provided.</w:t>
      </w:r>
    </w:p>
    <w:p w14:paraId="0704861A" w14:textId="77777777" w:rsidR="00175D56" w:rsidRDefault="00175D56" w:rsidP="00550137">
      <w:pPr>
        <w:pStyle w:val="No-numheading2Agency"/>
        <w:rPr>
          <w:lang w:val="fr-FR"/>
        </w:rPr>
      </w:pPr>
    </w:p>
    <w:p w14:paraId="6FFA936C" w14:textId="3078027F" w:rsidR="00550137" w:rsidRPr="00546ACA" w:rsidRDefault="00550137" w:rsidP="00550137">
      <w:pPr>
        <w:pStyle w:val="No-numheading2Agency"/>
        <w:rPr>
          <w:lang w:val="fr-FR"/>
        </w:rPr>
      </w:pPr>
      <w:bookmarkStart w:id="516" w:name="_Toc59634440"/>
      <w:r w:rsidRPr="00546ACA">
        <w:rPr>
          <w:lang w:val="fr-FR"/>
        </w:rPr>
        <w:t xml:space="preserve">Annex 1 – </w:t>
      </w:r>
      <w:proofErr w:type="spellStart"/>
      <w:r w:rsidRPr="00546ACA">
        <w:rPr>
          <w:lang w:val="fr-FR"/>
        </w:rPr>
        <w:t>EudraVigilance</w:t>
      </w:r>
      <w:proofErr w:type="spellEnd"/>
      <w:r w:rsidRPr="00546ACA">
        <w:rPr>
          <w:lang w:val="fr-FR"/>
        </w:rPr>
        <w:t xml:space="preserve"> Interface</w:t>
      </w:r>
      <w:bookmarkEnd w:id="515"/>
      <w:bookmarkEnd w:id="516"/>
    </w:p>
    <w:p w14:paraId="7AF67743" w14:textId="77777777" w:rsidR="00550137" w:rsidRPr="00546ACA" w:rsidRDefault="00550137" w:rsidP="00550137">
      <w:pPr>
        <w:pStyle w:val="No-numheading2Agency"/>
        <w:rPr>
          <w:lang w:val="fr-FR"/>
        </w:rPr>
      </w:pPr>
    </w:p>
    <w:p w14:paraId="5C4A4E3C" w14:textId="40E58139" w:rsidR="00550137" w:rsidRPr="00EF791B" w:rsidRDefault="001B433B" w:rsidP="00550137">
      <w:pPr>
        <w:pStyle w:val="DraftingNotesAgency"/>
        <w:rPr>
          <w:rFonts w:ascii="Verdana" w:hAnsi="Verdana"/>
          <w:color w:val="00B050"/>
          <w:sz w:val="18"/>
        </w:rPr>
      </w:pPr>
      <w:r w:rsidRPr="00EF791B">
        <w:rPr>
          <w:rFonts w:ascii="Verdana" w:hAnsi="Verdana"/>
          <w:color w:val="00B050"/>
          <w:sz w:val="18"/>
        </w:rPr>
        <w:t>Not required</w:t>
      </w:r>
    </w:p>
    <w:p w14:paraId="1627F464" w14:textId="77777777" w:rsidR="00FD6303" w:rsidRDefault="00FD6303">
      <w:pPr>
        <w:spacing w:line="240" w:lineRule="auto"/>
        <w:rPr>
          <w:rFonts w:ascii="Verdana" w:eastAsia="Verdana" w:hAnsi="Verdana"/>
          <w:b/>
          <w:bCs/>
          <w:i/>
          <w:kern w:val="32"/>
          <w:lang w:val="en-GB" w:eastAsia="en-GB"/>
        </w:rPr>
      </w:pPr>
      <w:bookmarkStart w:id="517" w:name="_Toc464653170"/>
      <w:bookmarkStart w:id="518" w:name="_Toc468365862"/>
      <w:bookmarkStart w:id="519" w:name="_Toc528579188"/>
      <w:bookmarkStart w:id="520" w:name="_Toc340066928"/>
      <w:bookmarkStart w:id="521" w:name="_Toc379986133"/>
      <w:r>
        <w:br w:type="page"/>
      </w:r>
    </w:p>
    <w:p w14:paraId="51148958" w14:textId="129C6DAB" w:rsidR="00743D0F" w:rsidRPr="00260ED1" w:rsidRDefault="00743D0F" w:rsidP="00743D0F">
      <w:pPr>
        <w:pStyle w:val="No-numheading2Agency"/>
      </w:pPr>
      <w:bookmarkStart w:id="522" w:name="_Toc59634441"/>
      <w:r w:rsidRPr="00260ED1">
        <w:lastRenderedPageBreak/>
        <w:t xml:space="preserve">Annex 2 – Tabulated summary of </w:t>
      </w:r>
      <w:r>
        <w:t>planned, on</w:t>
      </w:r>
      <w:r w:rsidRPr="00260ED1">
        <w:t>going</w:t>
      </w:r>
      <w:r>
        <w:t>,</w:t>
      </w:r>
      <w:r w:rsidRPr="00260ED1">
        <w:t xml:space="preserve"> and completed pharmacovigilance study programme</w:t>
      </w:r>
      <w:bookmarkEnd w:id="517"/>
      <w:bookmarkEnd w:id="518"/>
      <w:bookmarkEnd w:id="519"/>
      <w:bookmarkEnd w:id="522"/>
      <w:r w:rsidRPr="00260ED1">
        <w:t xml:space="preserve"> </w:t>
      </w:r>
      <w:bookmarkEnd w:id="520"/>
    </w:p>
    <w:p w14:paraId="1BE5C9CA" w14:textId="77777777" w:rsidR="00743D0F" w:rsidRPr="00EF791B" w:rsidRDefault="00743D0F" w:rsidP="00743D0F">
      <w:pPr>
        <w:pStyle w:val="BodytextAgency"/>
        <w:rPr>
          <w:rFonts w:eastAsia="MS Mincho" w:cs="Courier New"/>
          <w:i/>
          <w:color w:val="00B050"/>
          <w:szCs w:val="22"/>
          <w:lang w:eastAsia="ja-JP"/>
        </w:rPr>
      </w:pPr>
      <w:r w:rsidRPr="00EF791B">
        <w:rPr>
          <w:rFonts w:eastAsia="MS Mincho" w:cs="Courier New"/>
          <w:i/>
          <w:color w:val="00B050"/>
          <w:szCs w:val="22"/>
          <w:lang w:eastAsia="ja-JP"/>
        </w:rPr>
        <w:t xml:space="preserve">List </w:t>
      </w:r>
      <w:r w:rsidRPr="00EF791B">
        <w:rPr>
          <w:rFonts w:eastAsia="MS Mincho" w:cs="Courier New"/>
          <w:b/>
          <w:i/>
          <w:color w:val="00B050"/>
          <w:szCs w:val="22"/>
          <w:lang w:eastAsia="ja-JP"/>
        </w:rPr>
        <w:t>all</w:t>
      </w:r>
      <w:r w:rsidRPr="00EF791B">
        <w:rPr>
          <w:rFonts w:eastAsia="MS Mincho" w:cs="Courier New"/>
          <w:i/>
          <w:color w:val="00B050"/>
          <w:szCs w:val="22"/>
          <w:lang w:eastAsia="ja-JP"/>
        </w:rPr>
        <w:t xml:space="preserve"> studies included in the Pharmacovigilance Plan (current or in previously approved RMP versions).</w:t>
      </w:r>
    </w:p>
    <w:p w14:paraId="597B1589" w14:textId="77777777" w:rsidR="00743D0F" w:rsidRPr="00260ED1" w:rsidRDefault="00743D0F" w:rsidP="00743D0F">
      <w:pPr>
        <w:pStyle w:val="BodytextAgency"/>
      </w:pPr>
      <w:r w:rsidRPr="00260ED1">
        <w:t xml:space="preserve">Table 1 Annex II: </w:t>
      </w:r>
      <w:r>
        <w:t>Planned and on-</w:t>
      </w:r>
      <w:r w:rsidRPr="00260ED1">
        <w:t>going studies</w:t>
      </w:r>
    </w:p>
    <w:tbl>
      <w:tblPr>
        <w:tblW w:w="5006"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2339"/>
        <w:gridCol w:w="2108"/>
        <w:gridCol w:w="2672"/>
        <w:gridCol w:w="2965"/>
      </w:tblGrid>
      <w:tr w:rsidR="00743D0F" w14:paraId="72AB4F66" w14:textId="77777777" w:rsidTr="00743D0F">
        <w:trPr>
          <w:trHeight w:val="388"/>
          <w:tblHeader/>
        </w:trPr>
        <w:tc>
          <w:tcPr>
            <w:tcW w:w="1160" w:type="pct"/>
            <w:tcBorders>
              <w:top w:val="single" w:sz="6" w:space="0" w:color="auto"/>
              <w:left w:val="single" w:sz="6" w:space="0" w:color="auto"/>
              <w:bottom w:val="single" w:sz="6" w:space="0" w:color="auto"/>
              <w:right w:val="single" w:sz="6" w:space="0" w:color="auto"/>
            </w:tcBorders>
            <w:shd w:val="clear" w:color="auto" w:fill="auto"/>
            <w:vAlign w:val="center"/>
          </w:tcPr>
          <w:p w14:paraId="61F609BA" w14:textId="77777777" w:rsidR="00743D0F" w:rsidRDefault="00743D0F" w:rsidP="00743D0F">
            <w:pPr>
              <w:pStyle w:val="TableheadingrowsAgency"/>
              <w:spacing w:after="0" w:line="240" w:lineRule="auto"/>
              <w:jc w:val="center"/>
              <w:rPr>
                <w:rFonts w:eastAsia="TimesNewRoman" w:cs="TimesNewRoman"/>
              </w:rPr>
            </w:pPr>
            <w:r w:rsidRPr="00260ED1">
              <w:rPr>
                <w:rFonts w:eastAsia="TimesNewRoman" w:cs="TimesNewRoman"/>
              </w:rPr>
              <w:t>Study</w:t>
            </w:r>
          </w:p>
          <w:p w14:paraId="36E0000F" w14:textId="77777777" w:rsidR="00743D0F" w:rsidRPr="00260ED1" w:rsidRDefault="00743D0F" w:rsidP="00743D0F">
            <w:pPr>
              <w:pStyle w:val="TableheadingrowsAgency"/>
              <w:spacing w:after="0" w:line="240" w:lineRule="auto"/>
              <w:jc w:val="center"/>
              <w:rPr>
                <w:rFonts w:eastAsia="TimesNewRoman" w:cs="TimesNewRoman"/>
              </w:rPr>
            </w:pPr>
            <w:r w:rsidRPr="00EF791B">
              <w:rPr>
                <w:rFonts w:cs="Courier New"/>
                <w:b w:val="0"/>
                <w:i/>
                <w:color w:val="00B050"/>
                <w:sz w:val="16"/>
                <w:szCs w:val="16"/>
              </w:rPr>
              <w:t xml:space="preserve">Include study short name, </w:t>
            </w:r>
            <w:proofErr w:type="gramStart"/>
            <w:r w:rsidRPr="00EF791B">
              <w:rPr>
                <w:rFonts w:cs="Courier New"/>
                <w:b w:val="0"/>
                <w:i/>
                <w:color w:val="00B050"/>
                <w:sz w:val="16"/>
                <w:szCs w:val="16"/>
              </w:rPr>
              <w:t>title</w:t>
            </w:r>
            <w:proofErr w:type="gramEnd"/>
            <w:r w:rsidRPr="00EF791B">
              <w:rPr>
                <w:rFonts w:cs="Courier New"/>
                <w:b w:val="0"/>
                <w:i/>
                <w:color w:val="00B050"/>
                <w:sz w:val="16"/>
                <w:szCs w:val="16"/>
              </w:rPr>
              <w:t xml:space="preserve"> and category number </w:t>
            </w:r>
          </w:p>
        </w:tc>
        <w:tc>
          <w:tcPr>
            <w:tcW w:w="1045" w:type="pct"/>
            <w:tcBorders>
              <w:top w:val="single" w:sz="6" w:space="0" w:color="auto"/>
              <w:left w:val="single" w:sz="6" w:space="0" w:color="auto"/>
              <w:bottom w:val="single" w:sz="6" w:space="0" w:color="auto"/>
              <w:right w:val="single" w:sz="6" w:space="0" w:color="auto"/>
            </w:tcBorders>
            <w:shd w:val="clear" w:color="auto" w:fill="auto"/>
            <w:vAlign w:val="center"/>
          </w:tcPr>
          <w:p w14:paraId="4A6F10F9" w14:textId="77777777" w:rsidR="00743D0F" w:rsidRPr="00260ED1" w:rsidRDefault="00743D0F" w:rsidP="00743D0F">
            <w:pPr>
              <w:pStyle w:val="TableheadingrowsAgency"/>
              <w:spacing w:after="0" w:line="240" w:lineRule="auto"/>
              <w:jc w:val="center"/>
              <w:rPr>
                <w:rFonts w:eastAsia="TimesNewRoman" w:cs="TimesNewRoman"/>
              </w:rPr>
            </w:pPr>
            <w:r w:rsidRPr="00260ED1">
              <w:rPr>
                <w:rFonts w:eastAsia="TimesNewRoman" w:cs="TimesNewRoman"/>
              </w:rPr>
              <w:t>Summary of objectives</w:t>
            </w:r>
          </w:p>
        </w:tc>
        <w:tc>
          <w:tcPr>
            <w:tcW w:w="1325" w:type="pct"/>
            <w:tcBorders>
              <w:top w:val="single" w:sz="4" w:space="0" w:color="auto"/>
              <w:left w:val="single" w:sz="6" w:space="0" w:color="auto"/>
              <w:bottom w:val="single" w:sz="4" w:space="0" w:color="auto"/>
              <w:right w:val="single" w:sz="6" w:space="0" w:color="auto"/>
            </w:tcBorders>
            <w:shd w:val="clear" w:color="auto" w:fill="auto"/>
            <w:vAlign w:val="center"/>
          </w:tcPr>
          <w:p w14:paraId="21EAEBE9" w14:textId="77777777" w:rsidR="00743D0F" w:rsidRPr="00260ED1" w:rsidRDefault="00743D0F" w:rsidP="00743D0F">
            <w:pPr>
              <w:pStyle w:val="TableheadingrowsAgency"/>
              <w:spacing w:after="0" w:line="240" w:lineRule="auto"/>
              <w:jc w:val="center"/>
            </w:pPr>
            <w:r w:rsidRPr="00260ED1">
              <w:rPr>
                <w:rFonts w:eastAsia="TimesNewRoman" w:cs="TimesNewRoman"/>
              </w:rPr>
              <w:t>Safety concerns addressed</w:t>
            </w:r>
          </w:p>
        </w:tc>
        <w:tc>
          <w:tcPr>
            <w:tcW w:w="1470" w:type="pct"/>
            <w:tcBorders>
              <w:top w:val="single" w:sz="4" w:space="0" w:color="auto"/>
              <w:left w:val="single" w:sz="6" w:space="0" w:color="auto"/>
              <w:bottom w:val="single" w:sz="4" w:space="0" w:color="auto"/>
              <w:right w:val="single" w:sz="4" w:space="0" w:color="auto"/>
            </w:tcBorders>
            <w:shd w:val="clear" w:color="auto" w:fill="auto"/>
            <w:vAlign w:val="center"/>
          </w:tcPr>
          <w:p w14:paraId="4C69201D" w14:textId="77777777" w:rsidR="00743D0F" w:rsidRPr="00C43367" w:rsidRDefault="00743D0F" w:rsidP="00743D0F">
            <w:pPr>
              <w:pStyle w:val="BodytextAgency"/>
              <w:spacing w:after="0" w:line="240" w:lineRule="auto"/>
              <w:jc w:val="center"/>
              <w:rPr>
                <w:rFonts w:eastAsia="TimesNewRoman" w:cs="Times New Roman"/>
                <w:b/>
              </w:rPr>
            </w:pPr>
            <w:r w:rsidRPr="00C43367">
              <w:rPr>
                <w:rFonts w:eastAsia="TimesNewRoman" w:cs="Times New Roman"/>
                <w:b/>
              </w:rPr>
              <w:t>Protocol link</w:t>
            </w:r>
          </w:p>
          <w:p w14:paraId="7801C389" w14:textId="77777777" w:rsidR="00743D0F" w:rsidRPr="00C43367" w:rsidRDefault="00743D0F" w:rsidP="00743D0F">
            <w:pPr>
              <w:pStyle w:val="BodytextAgency"/>
              <w:spacing w:after="0" w:line="240" w:lineRule="auto"/>
              <w:jc w:val="center"/>
              <w:rPr>
                <w:rFonts w:eastAsia="Times New Roman" w:cs="Courier New"/>
                <w:b/>
                <w:i/>
                <w:color w:val="339966"/>
                <w:sz w:val="16"/>
                <w:szCs w:val="16"/>
              </w:rPr>
            </w:pPr>
            <w:r w:rsidRPr="00C43367">
              <w:rPr>
                <w:b/>
              </w:rPr>
              <w:t>Milestones</w:t>
            </w:r>
          </w:p>
          <w:p w14:paraId="76B75826" w14:textId="77777777" w:rsidR="00743D0F" w:rsidRPr="00EF791B" w:rsidRDefault="00743D0F" w:rsidP="00743D0F">
            <w:pPr>
              <w:pStyle w:val="BodytextAgency"/>
              <w:spacing w:after="0" w:line="240" w:lineRule="auto"/>
              <w:jc w:val="center"/>
              <w:rPr>
                <w:rFonts w:eastAsia="Times New Roman" w:cs="Courier New"/>
                <w:i/>
                <w:color w:val="00B050"/>
                <w:sz w:val="16"/>
                <w:szCs w:val="16"/>
              </w:rPr>
            </w:pPr>
            <w:r w:rsidRPr="00EF791B">
              <w:rPr>
                <w:rFonts w:eastAsia="Times New Roman" w:cs="Courier New"/>
                <w:i/>
                <w:color w:val="00B050"/>
                <w:sz w:val="16"/>
                <w:szCs w:val="16"/>
              </w:rPr>
              <w:t>Include link or reference to full protocol (included in RMP Annex 3 or eCTD).</w:t>
            </w:r>
          </w:p>
          <w:p w14:paraId="72BDB3E5" w14:textId="77777777" w:rsidR="00743D0F" w:rsidRPr="00260ED1" w:rsidRDefault="00743D0F" w:rsidP="00743D0F">
            <w:pPr>
              <w:pStyle w:val="BodytextAgency"/>
              <w:spacing w:after="0" w:line="240" w:lineRule="auto"/>
              <w:jc w:val="center"/>
              <w:rPr>
                <w:rFonts w:eastAsia="TimesNewRoman" w:cs="Times New Roman"/>
              </w:rPr>
            </w:pPr>
            <w:r w:rsidRPr="00EF791B">
              <w:rPr>
                <w:rFonts w:eastAsia="Times New Roman" w:cs="Courier New"/>
                <w:i/>
                <w:color w:val="00B050"/>
                <w:sz w:val="16"/>
                <w:szCs w:val="16"/>
              </w:rPr>
              <w:t>Include planned submission dates of interim and final study report requested by the Competent Authorities.</w:t>
            </w:r>
          </w:p>
        </w:tc>
      </w:tr>
      <w:tr w:rsidR="00743D0F" w14:paraId="31E8D780" w14:textId="77777777" w:rsidTr="00743D0F">
        <w:trPr>
          <w:trHeight w:val="984"/>
        </w:trPr>
        <w:tc>
          <w:tcPr>
            <w:tcW w:w="1160" w:type="pct"/>
            <w:tcBorders>
              <w:top w:val="single" w:sz="6" w:space="0" w:color="auto"/>
              <w:left w:val="single" w:sz="6" w:space="0" w:color="auto"/>
              <w:right w:val="single" w:sz="6" w:space="0" w:color="auto"/>
            </w:tcBorders>
            <w:shd w:val="clear" w:color="auto" w:fill="auto"/>
          </w:tcPr>
          <w:p w14:paraId="3111FBF5"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19FBC23E"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xml:space="preserve">LE observational cohort safety study </w:t>
            </w:r>
          </w:p>
          <w:p w14:paraId="6A578F00"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(study LE123)</w:t>
            </w:r>
          </w:p>
          <w:p w14:paraId="3C15E1F8" w14:textId="77777777" w:rsidR="00743D0F" w:rsidRPr="00EF791B" w:rsidRDefault="00743D0F" w:rsidP="00743D0F">
            <w:pPr>
              <w:pStyle w:val="BodytextAgency"/>
              <w:spacing w:after="0" w:line="240" w:lineRule="auto"/>
              <w:rPr>
                <w:rFonts w:eastAsia="Times New Roman" w:cs="Courier New"/>
                <w:i/>
                <w:color w:val="00B050"/>
                <w:sz w:val="16"/>
                <w:szCs w:val="16"/>
              </w:rPr>
            </w:pPr>
          </w:p>
          <w:p w14:paraId="2E8AC14F" w14:textId="3F9B302A" w:rsidR="00743D0F" w:rsidRPr="00EF791B" w:rsidRDefault="00743D0F" w:rsidP="00743D0F">
            <w:pPr>
              <w:pStyle w:val="BodytextAgency"/>
              <w:spacing w:after="0" w:line="240" w:lineRule="auto"/>
              <w:rPr>
                <w:rFonts w:eastAsia="Times New Roman" w:cs="Courier New"/>
                <w:i/>
                <w:color w:val="00B050"/>
                <w:sz w:val="16"/>
                <w:szCs w:val="16"/>
              </w:rPr>
            </w:pPr>
          </w:p>
        </w:tc>
        <w:tc>
          <w:tcPr>
            <w:tcW w:w="1045" w:type="pct"/>
            <w:tcBorders>
              <w:top w:val="single" w:sz="6" w:space="0" w:color="auto"/>
              <w:left w:val="single" w:sz="6" w:space="0" w:color="auto"/>
              <w:right w:val="single" w:sz="6" w:space="0" w:color="auto"/>
            </w:tcBorders>
            <w:shd w:val="clear" w:color="auto" w:fill="auto"/>
          </w:tcPr>
          <w:p w14:paraId="1C26C1DA"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 To evaluate over a minimum of 1 year the incidence of all-cause mortality and adverse events of special interest in patients with lupus erythematosus.</w:t>
            </w:r>
          </w:p>
        </w:tc>
        <w:tc>
          <w:tcPr>
            <w:tcW w:w="1325" w:type="pct"/>
            <w:tcBorders>
              <w:top w:val="single" w:sz="6" w:space="0" w:color="auto"/>
              <w:left w:val="single" w:sz="6" w:space="0" w:color="auto"/>
              <w:right w:val="single" w:sz="6" w:space="0" w:color="auto"/>
            </w:tcBorders>
            <w:shd w:val="clear" w:color="auto" w:fill="auto"/>
          </w:tcPr>
          <w:p w14:paraId="15E78CFB"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6F184948"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serious infections (including non-serious and serious opportunistic</w:t>
            </w:r>
          </w:p>
          <w:p w14:paraId="11C02FAB"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infections and PML)</w:t>
            </w:r>
          </w:p>
          <w:p w14:paraId="14F164CD"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malignancies (including non-melanoma skin cancer)</w:t>
            </w:r>
          </w:p>
          <w:p w14:paraId="0BB4D05C"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serious infusion</w:t>
            </w:r>
          </w:p>
          <w:p w14:paraId="32AA22A1"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hypersensitivity reactions</w:t>
            </w:r>
          </w:p>
          <w:p w14:paraId="43FF3FB9" w14:textId="77777777" w:rsidR="00743D0F" w:rsidRPr="00EF791B" w:rsidRDefault="00743D0F" w:rsidP="00743D0F">
            <w:pPr>
              <w:pStyle w:val="BodytextAgency"/>
              <w:spacing w:after="0" w:line="240" w:lineRule="auto"/>
              <w:rPr>
                <w:rFonts w:eastAsia="MS Mincho" w:cs="Courier New"/>
                <w:i/>
                <w:color w:val="00B050"/>
                <w:sz w:val="16"/>
                <w:szCs w:val="16"/>
                <w:u w:val="single"/>
                <w:lang w:eastAsia="ja-JP"/>
              </w:rPr>
            </w:pPr>
            <w:r w:rsidRPr="00EF791B">
              <w:rPr>
                <w:rFonts w:eastAsia="Times New Roman" w:cs="Courier New"/>
                <w:i/>
                <w:color w:val="00B050"/>
                <w:sz w:val="16"/>
                <w:szCs w:val="16"/>
              </w:rPr>
              <w:t xml:space="preserve">- serious psychiatric events (mood disorders, </w:t>
            </w:r>
            <w:proofErr w:type="gramStart"/>
            <w:r w:rsidRPr="00EF791B">
              <w:rPr>
                <w:rFonts w:eastAsia="Times New Roman" w:cs="Courier New"/>
                <w:i/>
                <w:color w:val="00B050"/>
                <w:sz w:val="16"/>
                <w:szCs w:val="16"/>
              </w:rPr>
              <w:t>anxiety</w:t>
            </w:r>
            <w:proofErr w:type="gramEnd"/>
            <w:r w:rsidRPr="00EF791B">
              <w:rPr>
                <w:rFonts w:eastAsia="Times New Roman" w:cs="Courier New"/>
                <w:i/>
                <w:color w:val="00B050"/>
                <w:sz w:val="16"/>
                <w:szCs w:val="16"/>
              </w:rPr>
              <w:t xml:space="preserve"> and suicide).</w:t>
            </w:r>
          </w:p>
        </w:tc>
        <w:tc>
          <w:tcPr>
            <w:tcW w:w="1470" w:type="pct"/>
            <w:tcBorders>
              <w:top w:val="single" w:sz="6" w:space="0" w:color="auto"/>
              <w:left w:val="single" w:sz="6" w:space="0" w:color="auto"/>
              <w:right w:val="single" w:sz="4" w:space="0" w:color="auto"/>
            </w:tcBorders>
            <w:shd w:val="clear" w:color="auto" w:fill="auto"/>
          </w:tcPr>
          <w:p w14:paraId="323C6FC1" w14:textId="77777777" w:rsidR="00743D0F" w:rsidRPr="00EF791B" w:rsidRDefault="00743D0F" w:rsidP="00743D0F">
            <w:pPr>
              <w:pStyle w:val="BodytextAgency"/>
              <w:spacing w:after="0" w:line="240" w:lineRule="auto"/>
              <w:rPr>
                <w:rFonts w:eastAsia="Times New Roman" w:cs="Courier New"/>
                <w:i/>
                <w:color w:val="00B050"/>
                <w:sz w:val="16"/>
                <w:szCs w:val="16"/>
                <w:u w:val="single"/>
              </w:rPr>
            </w:pPr>
            <w:r w:rsidRPr="00EF791B">
              <w:rPr>
                <w:rFonts w:eastAsia="Times New Roman" w:cs="Courier New"/>
                <w:i/>
                <w:color w:val="00B050"/>
                <w:sz w:val="16"/>
                <w:szCs w:val="16"/>
                <w:u w:val="single"/>
              </w:rPr>
              <w:t>Link to protocol</w:t>
            </w:r>
          </w:p>
          <w:p w14:paraId="539806E5" w14:textId="77777777" w:rsidR="00743D0F" w:rsidRPr="00EF791B" w:rsidRDefault="00743D0F" w:rsidP="00743D0F">
            <w:pPr>
              <w:pStyle w:val="BodytextAgency"/>
              <w:spacing w:after="0" w:line="240" w:lineRule="auto"/>
              <w:rPr>
                <w:rFonts w:eastAsia="Times New Roman" w:cs="Courier New"/>
                <w:i/>
                <w:color w:val="00B050"/>
                <w:sz w:val="16"/>
                <w:szCs w:val="16"/>
                <w:u w:val="single"/>
              </w:rPr>
            </w:pPr>
          </w:p>
          <w:p w14:paraId="0A4D597C"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Interim results:31 December 2016</w:t>
            </w:r>
          </w:p>
          <w:p w14:paraId="546E98CD" w14:textId="77777777" w:rsidR="00743D0F" w:rsidRPr="00EF791B" w:rsidRDefault="00743D0F" w:rsidP="00743D0F">
            <w:pPr>
              <w:pStyle w:val="BodytextAgency"/>
              <w:spacing w:after="0" w:line="240" w:lineRule="auto"/>
              <w:rPr>
                <w:rFonts w:eastAsia="Times New Roman" w:cs="Courier New"/>
                <w:i/>
                <w:color w:val="00B050"/>
                <w:sz w:val="16"/>
                <w:szCs w:val="16"/>
                <w:u w:val="single"/>
              </w:rPr>
            </w:pPr>
            <w:r w:rsidRPr="00EF791B">
              <w:rPr>
                <w:rFonts w:eastAsia="Times New Roman" w:cs="Courier New"/>
                <w:i/>
                <w:color w:val="00B050"/>
                <w:sz w:val="16"/>
                <w:szCs w:val="16"/>
              </w:rPr>
              <w:t>Final study report submission: 15 July 2020</w:t>
            </w:r>
            <w:r w:rsidRPr="00EF791B">
              <w:rPr>
                <w:rFonts w:eastAsia="Times New Roman" w:cs="Courier New"/>
                <w:i/>
                <w:color w:val="00B050"/>
                <w:sz w:val="16"/>
                <w:szCs w:val="16"/>
                <w:u w:val="single"/>
              </w:rPr>
              <w:t xml:space="preserve"> </w:t>
            </w:r>
          </w:p>
        </w:tc>
      </w:tr>
    </w:tbl>
    <w:p w14:paraId="0761E9F6" w14:textId="77777777" w:rsidR="00743D0F" w:rsidRDefault="00743D0F">
      <w:pPr>
        <w:spacing w:line="240" w:lineRule="auto"/>
        <w:rPr>
          <w:rStyle w:val="BodytextAgencyChar"/>
          <w:b/>
          <w:bCs/>
          <w:i/>
          <w:kern w:val="32"/>
          <w:lang w:val="en-GB" w:eastAsia="en-GB"/>
        </w:rPr>
      </w:pPr>
    </w:p>
    <w:p w14:paraId="50CFEA61" w14:textId="77777777" w:rsidR="00743D0F" w:rsidRPr="00260ED1" w:rsidRDefault="00743D0F" w:rsidP="00743D0F">
      <w:pPr>
        <w:pStyle w:val="BodytextAgency"/>
        <w:jc w:val="both"/>
      </w:pPr>
      <w:r w:rsidRPr="00260ED1">
        <w:t>Table 2 Annex II: Completed studies</w:t>
      </w:r>
    </w:p>
    <w:tbl>
      <w:tblPr>
        <w:tblW w:w="5006"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2303"/>
        <w:gridCol w:w="2160"/>
        <w:gridCol w:w="2009"/>
        <w:gridCol w:w="3612"/>
      </w:tblGrid>
      <w:tr w:rsidR="00743D0F" w14:paraId="7FEA365E" w14:textId="77777777" w:rsidTr="00743D0F">
        <w:trPr>
          <w:trHeight w:val="388"/>
          <w:tblHeader/>
        </w:trPr>
        <w:tc>
          <w:tcPr>
            <w:tcW w:w="1142" w:type="pct"/>
            <w:tcBorders>
              <w:top w:val="single" w:sz="6" w:space="0" w:color="auto"/>
              <w:left w:val="single" w:sz="6" w:space="0" w:color="auto"/>
              <w:bottom w:val="single" w:sz="6" w:space="0" w:color="auto"/>
              <w:right w:val="single" w:sz="6" w:space="0" w:color="auto"/>
            </w:tcBorders>
            <w:shd w:val="clear" w:color="auto" w:fill="auto"/>
            <w:vAlign w:val="center"/>
          </w:tcPr>
          <w:p w14:paraId="535F738A" w14:textId="77777777" w:rsidR="00743D0F" w:rsidRDefault="00743D0F" w:rsidP="00743D0F">
            <w:pPr>
              <w:pStyle w:val="TableheadingrowsAgency"/>
              <w:spacing w:after="0" w:line="240" w:lineRule="auto"/>
              <w:jc w:val="center"/>
              <w:rPr>
                <w:rFonts w:eastAsia="TimesNewRoman" w:cs="TimesNewRoman"/>
              </w:rPr>
            </w:pPr>
            <w:r w:rsidRPr="00260ED1">
              <w:rPr>
                <w:rFonts w:eastAsia="TimesNewRoman" w:cs="TimesNewRoman"/>
              </w:rPr>
              <w:t>Study</w:t>
            </w:r>
          </w:p>
          <w:p w14:paraId="0FE048FB" w14:textId="77777777" w:rsidR="00743D0F" w:rsidRPr="00260ED1" w:rsidRDefault="00743D0F" w:rsidP="00743D0F">
            <w:pPr>
              <w:pStyle w:val="TableheadingrowsAgency"/>
              <w:spacing w:after="0" w:line="240" w:lineRule="auto"/>
              <w:jc w:val="center"/>
              <w:rPr>
                <w:rFonts w:eastAsia="TimesNewRoman" w:cs="TimesNewRoman"/>
              </w:rPr>
            </w:pPr>
            <w:r w:rsidRPr="00EF791B">
              <w:rPr>
                <w:rFonts w:cs="Courier New"/>
                <w:b w:val="0"/>
                <w:i/>
                <w:color w:val="00B050"/>
                <w:sz w:val="16"/>
                <w:szCs w:val="16"/>
              </w:rPr>
              <w:t xml:space="preserve">Include study short name, </w:t>
            </w:r>
            <w:proofErr w:type="gramStart"/>
            <w:r w:rsidRPr="00EF791B">
              <w:rPr>
                <w:rFonts w:cs="Courier New"/>
                <w:b w:val="0"/>
                <w:i/>
                <w:color w:val="00B050"/>
                <w:sz w:val="16"/>
                <w:szCs w:val="16"/>
              </w:rPr>
              <w:t>title</w:t>
            </w:r>
            <w:proofErr w:type="gramEnd"/>
            <w:r w:rsidRPr="00EF791B">
              <w:rPr>
                <w:rFonts w:cs="Courier New"/>
                <w:b w:val="0"/>
                <w:i/>
                <w:color w:val="00B050"/>
                <w:sz w:val="16"/>
                <w:szCs w:val="16"/>
              </w:rPr>
              <w:t xml:space="preserve"> and category number </w:t>
            </w:r>
          </w:p>
        </w:tc>
        <w:tc>
          <w:tcPr>
            <w:tcW w:w="1071" w:type="pct"/>
            <w:tcBorders>
              <w:top w:val="single" w:sz="6" w:space="0" w:color="auto"/>
              <w:left w:val="single" w:sz="6" w:space="0" w:color="auto"/>
              <w:bottom w:val="single" w:sz="6" w:space="0" w:color="auto"/>
              <w:right w:val="single" w:sz="6" w:space="0" w:color="auto"/>
            </w:tcBorders>
            <w:shd w:val="clear" w:color="auto" w:fill="auto"/>
            <w:vAlign w:val="center"/>
          </w:tcPr>
          <w:p w14:paraId="2A5C827A" w14:textId="77777777" w:rsidR="00743D0F" w:rsidRPr="00260ED1" w:rsidRDefault="00743D0F" w:rsidP="00743D0F">
            <w:pPr>
              <w:pStyle w:val="TableheadingrowsAgency"/>
              <w:spacing w:after="0" w:line="240" w:lineRule="auto"/>
              <w:jc w:val="center"/>
              <w:rPr>
                <w:rFonts w:eastAsia="TimesNewRoman" w:cs="TimesNewRoman"/>
              </w:rPr>
            </w:pPr>
            <w:r w:rsidRPr="00260ED1">
              <w:rPr>
                <w:rFonts w:eastAsia="TimesNewRoman" w:cs="TimesNewRoman"/>
              </w:rPr>
              <w:t>Summary of objectives</w:t>
            </w:r>
          </w:p>
        </w:tc>
        <w:tc>
          <w:tcPr>
            <w:tcW w:w="996" w:type="pct"/>
            <w:tcBorders>
              <w:top w:val="single" w:sz="4" w:space="0" w:color="auto"/>
              <w:left w:val="single" w:sz="6" w:space="0" w:color="auto"/>
              <w:bottom w:val="single" w:sz="4" w:space="0" w:color="auto"/>
              <w:right w:val="single" w:sz="6" w:space="0" w:color="auto"/>
            </w:tcBorders>
            <w:shd w:val="clear" w:color="auto" w:fill="auto"/>
            <w:vAlign w:val="center"/>
          </w:tcPr>
          <w:p w14:paraId="3A064C20" w14:textId="77777777" w:rsidR="00743D0F" w:rsidRPr="00260ED1" w:rsidRDefault="00743D0F" w:rsidP="00743D0F">
            <w:pPr>
              <w:pStyle w:val="TableheadingrowsAgency"/>
              <w:spacing w:after="0" w:line="240" w:lineRule="auto"/>
              <w:jc w:val="center"/>
              <w:rPr>
                <w:rFonts w:eastAsia="TimesNewRoman" w:cs="TimesNewRoman"/>
              </w:rPr>
            </w:pPr>
          </w:p>
          <w:p w14:paraId="1EA33E3F" w14:textId="77777777" w:rsidR="00743D0F" w:rsidRPr="00260ED1" w:rsidRDefault="00743D0F" w:rsidP="00743D0F">
            <w:pPr>
              <w:pStyle w:val="TableheadingrowsAgency"/>
              <w:spacing w:after="0" w:line="240" w:lineRule="auto"/>
              <w:jc w:val="center"/>
              <w:rPr>
                <w:rFonts w:eastAsia="TimesNewRoman" w:cs="TimesNewRoman"/>
              </w:rPr>
            </w:pPr>
            <w:r w:rsidRPr="00260ED1">
              <w:rPr>
                <w:rFonts w:eastAsia="TimesNewRoman" w:cs="TimesNewRoman"/>
              </w:rPr>
              <w:t>Safety concerns addressed</w:t>
            </w:r>
          </w:p>
        </w:tc>
        <w:tc>
          <w:tcPr>
            <w:tcW w:w="1791" w:type="pct"/>
            <w:tcBorders>
              <w:top w:val="single" w:sz="4" w:space="0" w:color="auto"/>
              <w:left w:val="single" w:sz="6" w:space="0" w:color="auto"/>
              <w:bottom w:val="single" w:sz="4" w:space="0" w:color="auto"/>
              <w:right w:val="single" w:sz="4" w:space="0" w:color="auto"/>
            </w:tcBorders>
            <w:shd w:val="clear" w:color="auto" w:fill="auto"/>
            <w:vAlign w:val="center"/>
          </w:tcPr>
          <w:p w14:paraId="7797A976" w14:textId="77777777" w:rsidR="00743D0F" w:rsidRPr="00260ED1" w:rsidRDefault="00743D0F" w:rsidP="00743D0F">
            <w:pPr>
              <w:pStyle w:val="TableheadingrowsAgency"/>
              <w:spacing w:after="0" w:line="240" w:lineRule="auto"/>
              <w:jc w:val="center"/>
              <w:rPr>
                <w:rFonts w:eastAsia="TimesNewRoman" w:cs="Times New Roman"/>
              </w:rPr>
            </w:pPr>
            <w:r w:rsidRPr="00260ED1">
              <w:rPr>
                <w:rFonts w:eastAsia="TimesNewRoman" w:cs="Times New Roman"/>
              </w:rPr>
              <w:t>Date of Final Study Report submission</w:t>
            </w:r>
          </w:p>
          <w:p w14:paraId="104D0503" w14:textId="77777777" w:rsidR="00743D0F" w:rsidRDefault="00743D0F" w:rsidP="00743D0F">
            <w:pPr>
              <w:pStyle w:val="TableheadingrowsAgency"/>
              <w:spacing w:after="0" w:line="240" w:lineRule="auto"/>
              <w:jc w:val="center"/>
              <w:rPr>
                <w:rFonts w:eastAsia="TimesNewRoman" w:cs="Times New Roman"/>
              </w:rPr>
            </w:pPr>
            <w:r w:rsidRPr="00260ED1">
              <w:rPr>
                <w:rFonts w:eastAsia="TimesNewRoman" w:cs="Times New Roman"/>
              </w:rPr>
              <w:t>Link to</w:t>
            </w:r>
            <w:r>
              <w:rPr>
                <w:rFonts w:eastAsia="TimesNewRoman" w:cs="Times New Roman"/>
              </w:rPr>
              <w:t xml:space="preserve"> report</w:t>
            </w:r>
          </w:p>
          <w:p w14:paraId="75C6025A" w14:textId="77777777" w:rsidR="00743D0F" w:rsidRPr="00EF791B" w:rsidRDefault="00743D0F" w:rsidP="00743D0F">
            <w:pPr>
              <w:pStyle w:val="BodytextAgency"/>
              <w:spacing w:after="0" w:line="240" w:lineRule="auto"/>
              <w:jc w:val="center"/>
              <w:rPr>
                <w:rFonts w:eastAsia="Times New Roman" w:cs="Courier New"/>
                <w:i/>
                <w:color w:val="00B050"/>
                <w:sz w:val="16"/>
                <w:szCs w:val="16"/>
              </w:rPr>
            </w:pPr>
            <w:r w:rsidRPr="00EF791B">
              <w:rPr>
                <w:rFonts w:eastAsia="Times New Roman" w:cs="Courier New"/>
                <w:i/>
                <w:color w:val="00B050"/>
                <w:sz w:val="16"/>
                <w:szCs w:val="16"/>
              </w:rPr>
              <w:t>Include date of report submission or state the reason for not submitting the results.</w:t>
            </w:r>
          </w:p>
          <w:p w14:paraId="485534B9" w14:textId="77777777" w:rsidR="00743D0F" w:rsidRPr="00EF791B" w:rsidRDefault="00743D0F" w:rsidP="00743D0F">
            <w:pPr>
              <w:pStyle w:val="BodytextAgency"/>
              <w:spacing w:after="0" w:line="240" w:lineRule="auto"/>
              <w:jc w:val="center"/>
              <w:rPr>
                <w:rFonts w:eastAsia="Times New Roman" w:cs="Courier New"/>
                <w:i/>
                <w:color w:val="00B050"/>
                <w:sz w:val="16"/>
                <w:szCs w:val="16"/>
              </w:rPr>
            </w:pPr>
          </w:p>
          <w:p w14:paraId="07D48B21" w14:textId="77777777" w:rsidR="00743D0F" w:rsidRPr="00260ED1" w:rsidRDefault="00743D0F" w:rsidP="00743D0F">
            <w:pPr>
              <w:pStyle w:val="TableheadingrowsAgency"/>
              <w:spacing w:after="0" w:line="240" w:lineRule="auto"/>
              <w:jc w:val="center"/>
              <w:rPr>
                <w:rFonts w:eastAsia="TimesNewRoman" w:cs="Times New Roman"/>
              </w:rPr>
            </w:pPr>
            <w:r w:rsidRPr="00EF791B">
              <w:rPr>
                <w:rFonts w:cs="Courier New"/>
                <w:b w:val="0"/>
                <w:i/>
                <w:color w:val="00B050"/>
                <w:sz w:val="16"/>
                <w:szCs w:val="16"/>
              </w:rPr>
              <w:t>Include link or reference to full Final Study report (included in eCTD).</w:t>
            </w:r>
          </w:p>
        </w:tc>
      </w:tr>
      <w:tr w:rsidR="00743D0F" w14:paraId="33E831CF" w14:textId="77777777" w:rsidTr="00743D0F">
        <w:trPr>
          <w:trHeight w:val="984"/>
        </w:trPr>
        <w:tc>
          <w:tcPr>
            <w:tcW w:w="1142" w:type="pct"/>
            <w:tcBorders>
              <w:top w:val="single" w:sz="6" w:space="0" w:color="auto"/>
              <w:left w:val="single" w:sz="6" w:space="0" w:color="auto"/>
              <w:right w:val="single" w:sz="6" w:space="0" w:color="auto"/>
            </w:tcBorders>
            <w:shd w:val="clear" w:color="auto" w:fill="auto"/>
          </w:tcPr>
          <w:p w14:paraId="5734BBFE"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1D1CE541"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An open-label, multicentre evaluation of the long-term safety and efficacy of drug A in the prevention and treatment of bleeding episodes in previously untreated patients with acquired haemophilia A</w:t>
            </w:r>
          </w:p>
          <w:p w14:paraId="7893AA41" w14:textId="77777777" w:rsidR="00743D0F" w:rsidRPr="00EF791B" w:rsidRDefault="00743D0F" w:rsidP="00743D0F">
            <w:pPr>
              <w:pStyle w:val="BodytextAgency"/>
              <w:spacing w:after="0" w:line="240" w:lineRule="auto"/>
              <w:rPr>
                <w:rFonts w:eastAsia="Times New Roman" w:cs="Courier New"/>
                <w:i/>
                <w:color w:val="00B050"/>
                <w:sz w:val="16"/>
                <w:szCs w:val="16"/>
              </w:rPr>
            </w:pPr>
          </w:p>
          <w:p w14:paraId="53F76FEE"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A123</w:t>
            </w:r>
          </w:p>
          <w:p w14:paraId="1C276406" w14:textId="1615FA86" w:rsidR="00743D0F" w:rsidRPr="00EF791B" w:rsidRDefault="00743D0F" w:rsidP="00743D0F">
            <w:pPr>
              <w:pStyle w:val="BodytextAgency"/>
              <w:spacing w:after="0" w:line="240" w:lineRule="auto"/>
              <w:rPr>
                <w:rFonts w:eastAsia="Times New Roman" w:cs="Courier New"/>
                <w:i/>
                <w:color w:val="00B050"/>
                <w:sz w:val="16"/>
                <w:szCs w:val="16"/>
              </w:rPr>
            </w:pPr>
          </w:p>
        </w:tc>
        <w:tc>
          <w:tcPr>
            <w:tcW w:w="1071" w:type="pct"/>
            <w:tcBorders>
              <w:top w:val="single" w:sz="6" w:space="0" w:color="auto"/>
              <w:left w:val="single" w:sz="6" w:space="0" w:color="auto"/>
              <w:right w:val="single" w:sz="6" w:space="0" w:color="auto"/>
            </w:tcBorders>
            <w:shd w:val="clear" w:color="auto" w:fill="auto"/>
          </w:tcPr>
          <w:p w14:paraId="2E350196"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 To evaluate the long-term safety in subjects with acquired haemophilia A</w:t>
            </w:r>
          </w:p>
        </w:tc>
        <w:tc>
          <w:tcPr>
            <w:tcW w:w="996" w:type="pct"/>
            <w:tcBorders>
              <w:top w:val="single" w:sz="6" w:space="0" w:color="auto"/>
              <w:left w:val="single" w:sz="6" w:space="0" w:color="auto"/>
              <w:right w:val="single" w:sz="6" w:space="0" w:color="auto"/>
            </w:tcBorders>
            <w:shd w:val="clear" w:color="auto" w:fill="auto"/>
          </w:tcPr>
          <w:p w14:paraId="428AB54D"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e.g.</w:t>
            </w:r>
          </w:p>
          <w:p w14:paraId="5E5A34B2"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 Long-term safety</w:t>
            </w:r>
          </w:p>
          <w:p w14:paraId="45A475D1" w14:textId="77777777" w:rsidR="00743D0F" w:rsidRPr="00EF791B" w:rsidRDefault="00743D0F" w:rsidP="00743D0F">
            <w:pPr>
              <w:pStyle w:val="BodytextAgency"/>
              <w:spacing w:after="0" w:line="240" w:lineRule="auto"/>
              <w:rPr>
                <w:rFonts w:eastAsia="MS Mincho" w:cs="Courier New"/>
                <w:i/>
                <w:color w:val="00B050"/>
                <w:sz w:val="22"/>
                <w:szCs w:val="22"/>
                <w:lang w:eastAsia="ja-JP"/>
              </w:rPr>
            </w:pPr>
            <w:r w:rsidRPr="00EF791B">
              <w:rPr>
                <w:rFonts w:eastAsia="Times New Roman" w:cs="Courier New"/>
                <w:i/>
                <w:color w:val="00B050"/>
                <w:sz w:val="16"/>
                <w:szCs w:val="16"/>
              </w:rPr>
              <w:t>- Safety profile in patients ≥ 75 years</w:t>
            </w:r>
          </w:p>
        </w:tc>
        <w:tc>
          <w:tcPr>
            <w:tcW w:w="1791" w:type="pct"/>
            <w:tcBorders>
              <w:top w:val="single" w:sz="6" w:space="0" w:color="auto"/>
              <w:left w:val="single" w:sz="6" w:space="0" w:color="auto"/>
              <w:right w:val="single" w:sz="4" w:space="0" w:color="auto"/>
            </w:tcBorders>
            <w:shd w:val="clear" w:color="auto" w:fill="auto"/>
          </w:tcPr>
          <w:p w14:paraId="5148B502"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rPr>
              <w:t>27 May 2015</w:t>
            </w:r>
          </w:p>
          <w:p w14:paraId="6D54DEA6" w14:textId="77777777" w:rsidR="00743D0F" w:rsidRPr="00EF791B" w:rsidRDefault="00743D0F" w:rsidP="00743D0F">
            <w:pPr>
              <w:pStyle w:val="BodytextAgency"/>
              <w:spacing w:after="0" w:line="240" w:lineRule="auto"/>
              <w:rPr>
                <w:rFonts w:eastAsia="Times New Roman" w:cs="Courier New"/>
                <w:i/>
                <w:color w:val="00B050"/>
                <w:sz w:val="16"/>
                <w:szCs w:val="16"/>
              </w:rPr>
            </w:pPr>
          </w:p>
          <w:p w14:paraId="6BEE66BC" w14:textId="77777777" w:rsidR="00743D0F" w:rsidRPr="00EF791B" w:rsidRDefault="00743D0F" w:rsidP="00743D0F">
            <w:pPr>
              <w:pStyle w:val="BodytextAgency"/>
              <w:spacing w:after="0" w:line="240" w:lineRule="auto"/>
              <w:rPr>
                <w:rFonts w:eastAsia="Times New Roman" w:cs="Courier New"/>
                <w:i/>
                <w:color w:val="00B050"/>
                <w:sz w:val="16"/>
                <w:szCs w:val="16"/>
              </w:rPr>
            </w:pPr>
            <w:r w:rsidRPr="00EF791B">
              <w:rPr>
                <w:rFonts w:eastAsia="Times New Roman" w:cs="Courier New"/>
                <w:i/>
                <w:color w:val="00B050"/>
                <w:sz w:val="16"/>
                <w:szCs w:val="16"/>
                <w:u w:val="single"/>
              </w:rPr>
              <w:t>Link to final study report</w:t>
            </w:r>
          </w:p>
        </w:tc>
      </w:tr>
    </w:tbl>
    <w:p w14:paraId="049C4AA3" w14:textId="77777777" w:rsidR="00FD6303" w:rsidRDefault="00FD6303" w:rsidP="00743D0F">
      <w:pPr>
        <w:pStyle w:val="No-numheading2Agency"/>
      </w:pPr>
      <w:bookmarkStart w:id="523" w:name="_Toc464653171"/>
      <w:bookmarkStart w:id="524" w:name="_Toc468365863"/>
      <w:bookmarkStart w:id="525" w:name="_Toc528579189"/>
      <w:bookmarkStart w:id="526" w:name="_Toc340066929"/>
    </w:p>
    <w:p w14:paraId="301584FC" w14:textId="77777777" w:rsidR="00FD6303" w:rsidRDefault="00FD6303">
      <w:pPr>
        <w:spacing w:line="240" w:lineRule="auto"/>
        <w:rPr>
          <w:rFonts w:ascii="Verdana" w:eastAsia="Verdana" w:hAnsi="Verdana"/>
          <w:b/>
          <w:bCs/>
          <w:i/>
          <w:kern w:val="32"/>
          <w:lang w:val="en-GB" w:eastAsia="en-GB"/>
        </w:rPr>
      </w:pPr>
      <w:r>
        <w:br w:type="page"/>
      </w:r>
    </w:p>
    <w:p w14:paraId="6DCBA13F" w14:textId="7AE7F7AC" w:rsidR="00743D0F" w:rsidRPr="00260ED1" w:rsidRDefault="00743D0F" w:rsidP="00743D0F">
      <w:pPr>
        <w:pStyle w:val="No-numheading2Agency"/>
      </w:pPr>
      <w:bookmarkStart w:id="527" w:name="_Toc59634442"/>
      <w:r w:rsidRPr="00260ED1">
        <w:lastRenderedPageBreak/>
        <w:t>Annex 3 - Protocols for proposed, on-going and completed studies in the pharmacovi</w:t>
      </w:r>
      <w:r>
        <w:t>gi</w:t>
      </w:r>
      <w:r w:rsidRPr="00260ED1">
        <w:t>lance plan</w:t>
      </w:r>
      <w:bookmarkEnd w:id="523"/>
      <w:bookmarkEnd w:id="524"/>
      <w:bookmarkEnd w:id="525"/>
      <w:bookmarkEnd w:id="527"/>
      <w:r w:rsidRPr="00260ED1">
        <w:t xml:space="preserve"> </w:t>
      </w:r>
      <w:bookmarkEnd w:id="526"/>
    </w:p>
    <w:p w14:paraId="367DF650" w14:textId="1FBE9A96" w:rsidR="00743D0F" w:rsidRPr="00EF791B" w:rsidRDefault="00743D0F" w:rsidP="00743D0F">
      <w:pPr>
        <w:pStyle w:val="BodytextAgency"/>
        <w:rPr>
          <w:rFonts w:cs="Courier New"/>
          <w:i/>
          <w:color w:val="00B050"/>
        </w:rPr>
      </w:pPr>
      <w:r w:rsidRPr="00EF791B">
        <w:rPr>
          <w:rFonts w:cs="Courier New"/>
          <w:i/>
          <w:color w:val="00B050"/>
        </w:rPr>
        <w:t xml:space="preserve">Annex 3 should include protocols of studies in the pharmacovigilance plan.  </w:t>
      </w:r>
      <w:r w:rsidRPr="00EF791B">
        <w:rPr>
          <w:rFonts w:cs="Courier New"/>
          <w:i/>
          <w:color w:val="00B050"/>
          <w:highlight w:val="cyan"/>
        </w:rPr>
        <w:t>A description of the proactive safety data collection</w:t>
      </w:r>
      <w:r w:rsidR="00FC4D8D" w:rsidRPr="00EF791B">
        <w:rPr>
          <w:rFonts w:cs="Courier New"/>
          <w:i/>
          <w:color w:val="00B050"/>
          <w:highlight w:val="cyan"/>
        </w:rPr>
        <w:t xml:space="preserve"> (</w:t>
      </w:r>
      <w:r w:rsidR="00EF791B" w:rsidRPr="00EF791B">
        <w:rPr>
          <w:rFonts w:cs="Courier New"/>
          <w:i/>
          <w:color w:val="00B050"/>
          <w:highlight w:val="cyan"/>
        </w:rPr>
        <w:t>i.e.</w:t>
      </w:r>
      <w:r w:rsidR="00FC4D8D" w:rsidRPr="00EF791B">
        <w:rPr>
          <w:rFonts w:cs="Courier New"/>
          <w:i/>
          <w:color w:val="00B050"/>
          <w:highlight w:val="cyan"/>
        </w:rPr>
        <w:t xml:space="preserve"> registry)</w:t>
      </w:r>
      <w:r w:rsidRPr="00EF791B">
        <w:rPr>
          <w:rFonts w:cs="Courier New"/>
          <w:i/>
          <w:color w:val="00B050"/>
          <w:highlight w:val="cyan"/>
        </w:rPr>
        <w:t xml:space="preserve"> for use of the product under EAMS should be included here.</w:t>
      </w:r>
    </w:p>
    <w:p w14:paraId="37F5DFEE" w14:textId="1C2AF176" w:rsidR="00743D0F" w:rsidRPr="00C43367" w:rsidRDefault="00743D0F" w:rsidP="00743D0F">
      <w:pPr>
        <w:pStyle w:val="BodytextAgency"/>
        <w:rPr>
          <w:rFonts w:cs="Courier New"/>
          <w:i/>
          <w:color w:val="339966"/>
        </w:rPr>
      </w:pPr>
    </w:p>
    <w:p w14:paraId="6E9C729E" w14:textId="1460A157" w:rsidR="00743D0F" w:rsidRPr="00EF791B" w:rsidRDefault="00743D0F" w:rsidP="00743D0F">
      <w:pPr>
        <w:pStyle w:val="BodytextAgency"/>
        <w:rPr>
          <w:rFonts w:cs="Courier New"/>
          <w:i/>
          <w:color w:val="00B050"/>
        </w:rPr>
      </w:pPr>
      <w:r w:rsidRPr="00EF791B">
        <w:rPr>
          <w:rFonts w:cs="Courier New"/>
          <w:i/>
          <w:color w:val="00B050"/>
        </w:rPr>
        <w:t>This annex may include the electronic links or references to other modules of the eCTD dossier where the protocols are included, instead of the full protocol documents.</w:t>
      </w:r>
    </w:p>
    <w:p w14:paraId="5A1A2FE4" w14:textId="5D95C643" w:rsidR="00743D0F" w:rsidRPr="00EF791B" w:rsidRDefault="00743D0F" w:rsidP="00743D0F">
      <w:pPr>
        <w:pStyle w:val="BodytextAgency"/>
        <w:rPr>
          <w:rFonts w:cs="Courier New"/>
          <w:i/>
          <w:color w:val="00B050"/>
        </w:rPr>
      </w:pPr>
      <w:r w:rsidRPr="00EF791B">
        <w:rPr>
          <w:rFonts w:cs="Courier New"/>
          <w:i/>
          <w:color w:val="00B050"/>
        </w:rPr>
        <w:t>A table of contents should be provided.</w:t>
      </w:r>
    </w:p>
    <w:p w14:paraId="6EE65FF4" w14:textId="78454478" w:rsidR="00743D0F" w:rsidRPr="00260ED1" w:rsidRDefault="00743D0F" w:rsidP="00743D0F">
      <w:pPr>
        <w:spacing w:after="140" w:line="280" w:lineRule="atLeast"/>
        <w:ind w:left="567"/>
        <w:rPr>
          <w:rFonts w:eastAsia="Verdana"/>
          <w:lang w:eastAsia="en-GB"/>
        </w:rPr>
      </w:pPr>
      <w:bookmarkStart w:id="528" w:name="_Toc340066930"/>
    </w:p>
    <w:p w14:paraId="1DE36320" w14:textId="77777777" w:rsidR="00FD6303" w:rsidRDefault="00FD6303">
      <w:pPr>
        <w:spacing w:line="240" w:lineRule="auto"/>
        <w:rPr>
          <w:rFonts w:ascii="Verdana" w:eastAsia="Verdana" w:hAnsi="Verdana"/>
          <w:b/>
          <w:bCs/>
          <w:i/>
          <w:kern w:val="32"/>
          <w:lang w:val="en-GB" w:eastAsia="en-GB"/>
        </w:rPr>
      </w:pPr>
      <w:bookmarkStart w:id="529" w:name="_Toc464653172"/>
      <w:bookmarkStart w:id="530" w:name="_Toc468365864"/>
      <w:bookmarkStart w:id="531" w:name="_Toc528579190"/>
      <w:r>
        <w:br w:type="page"/>
      </w:r>
    </w:p>
    <w:p w14:paraId="16FC0589" w14:textId="449B88FE" w:rsidR="00743D0F" w:rsidRPr="00260ED1" w:rsidRDefault="00743D0F" w:rsidP="00743D0F">
      <w:pPr>
        <w:pStyle w:val="No-numheading2Agency"/>
      </w:pPr>
      <w:bookmarkStart w:id="532" w:name="_Toc59634443"/>
      <w:r w:rsidRPr="00260ED1">
        <w:lastRenderedPageBreak/>
        <w:t xml:space="preserve">Annex 4 - Specific adverse </w:t>
      </w:r>
      <w:r>
        <w:t>drug reaction</w:t>
      </w:r>
      <w:r w:rsidRPr="00260ED1">
        <w:t xml:space="preserve"> follow-up forms</w:t>
      </w:r>
      <w:bookmarkEnd w:id="528"/>
      <w:bookmarkEnd w:id="529"/>
      <w:bookmarkEnd w:id="530"/>
      <w:bookmarkEnd w:id="531"/>
      <w:bookmarkEnd w:id="532"/>
    </w:p>
    <w:p w14:paraId="5D6D0FD7" w14:textId="77777777" w:rsidR="00743D0F" w:rsidRPr="006A75D9" w:rsidRDefault="00743D0F" w:rsidP="00743D0F">
      <w:pPr>
        <w:spacing w:after="140" w:line="280" w:lineRule="atLeast"/>
        <w:rPr>
          <w:rFonts w:eastAsia="Verdana"/>
          <w:b/>
          <w:lang w:eastAsia="en-GB"/>
        </w:rPr>
      </w:pPr>
      <w:r w:rsidRPr="006A75D9">
        <w:rPr>
          <w:rFonts w:eastAsia="Verdana"/>
          <w:b/>
          <w:lang w:eastAsia="en-GB"/>
        </w:rPr>
        <w:t>Table of contents</w:t>
      </w:r>
    </w:p>
    <w:p w14:paraId="3C05985A" w14:textId="77777777" w:rsidR="00743D0F" w:rsidRPr="006A75D9" w:rsidRDefault="00743D0F" w:rsidP="00743D0F">
      <w:pPr>
        <w:spacing w:after="140" w:line="280" w:lineRule="atLeast"/>
        <w:rPr>
          <w:rFonts w:eastAsia="Verdana"/>
          <w:b/>
          <w:lang w:eastAsia="en-GB"/>
        </w:rPr>
      </w:pPr>
      <w:r w:rsidRPr="006A75D9">
        <w:rPr>
          <w:rFonts w:eastAsia="Verdana"/>
          <w:b/>
          <w:lang w:eastAsia="en-GB"/>
        </w:rPr>
        <w:t>Follow-up fo</w:t>
      </w:r>
      <w:r>
        <w:rPr>
          <w:rFonts w:eastAsia="Verdana"/>
          <w:b/>
          <w:lang w:eastAsia="en-GB"/>
        </w:rPr>
        <w:t>rms</w:t>
      </w:r>
    </w:p>
    <w:p w14:paraId="3DB28817" w14:textId="77777777" w:rsidR="00743D0F" w:rsidRPr="00EF791B" w:rsidRDefault="00743D0F" w:rsidP="00743D0F">
      <w:pPr>
        <w:pStyle w:val="BodytextAgency"/>
        <w:rPr>
          <w:rFonts w:cs="Courier New"/>
          <w:i/>
          <w:color w:val="00B050"/>
          <w:szCs w:val="22"/>
        </w:rPr>
      </w:pPr>
      <w:r w:rsidRPr="00EF791B">
        <w:rPr>
          <w:rFonts w:cs="Courier New"/>
          <w:i/>
          <w:color w:val="00B050"/>
          <w:szCs w:val="22"/>
        </w:rPr>
        <w:t>Provide the specific adverse drug reaction follow-up forms in full.</w:t>
      </w:r>
    </w:p>
    <w:p w14:paraId="3E0253D3" w14:textId="587F99C3" w:rsidR="00FD6303" w:rsidRDefault="00FD6303">
      <w:pPr>
        <w:spacing w:line="240" w:lineRule="auto"/>
        <w:rPr>
          <w:rFonts w:ascii="Verdana" w:eastAsia="Verdana" w:hAnsi="Verdana"/>
          <w:b/>
          <w:bCs/>
          <w:i/>
          <w:kern w:val="32"/>
          <w:lang w:val="en-GB" w:eastAsia="en-GB"/>
        </w:rPr>
      </w:pPr>
      <w:bookmarkStart w:id="533" w:name="_Toc340066931"/>
      <w:bookmarkStart w:id="534" w:name="_Toc464653173"/>
      <w:bookmarkStart w:id="535" w:name="_Toc468365865"/>
      <w:bookmarkStart w:id="536" w:name="_Toc528579191"/>
      <w:r>
        <w:br w:type="page"/>
      </w:r>
    </w:p>
    <w:p w14:paraId="306BD2B2" w14:textId="587F99C3" w:rsidR="00743D0F" w:rsidRPr="00260ED1" w:rsidRDefault="00743D0F" w:rsidP="00743D0F">
      <w:pPr>
        <w:pStyle w:val="No-numheading2Agency"/>
        <w:rPr>
          <w:rStyle w:val="BodytextAgencyChar"/>
        </w:rPr>
      </w:pPr>
      <w:bookmarkStart w:id="537" w:name="_Toc59634444"/>
      <w:r w:rsidRPr="00260ED1">
        <w:lastRenderedPageBreak/>
        <w:t xml:space="preserve">Annex 5 - Protocols for </w:t>
      </w:r>
      <w:bookmarkEnd w:id="533"/>
      <w:r>
        <w:t>proposed and on-going studies in RMP part IV</w:t>
      </w:r>
      <w:bookmarkEnd w:id="534"/>
      <w:bookmarkEnd w:id="535"/>
      <w:bookmarkEnd w:id="536"/>
      <w:bookmarkEnd w:id="537"/>
    </w:p>
    <w:p w14:paraId="337EC80A" w14:textId="19C3692A" w:rsidR="00743D0F" w:rsidRPr="00EF791B" w:rsidRDefault="00743D0F" w:rsidP="00743D0F">
      <w:pPr>
        <w:pStyle w:val="BodytextAgency"/>
        <w:rPr>
          <w:rFonts w:cs="Courier New"/>
          <w:i/>
          <w:color w:val="00B050"/>
          <w:szCs w:val="22"/>
        </w:rPr>
      </w:pPr>
      <w:r w:rsidRPr="00EF791B">
        <w:rPr>
          <w:rFonts w:cs="Courier New"/>
          <w:i/>
          <w:color w:val="00B050"/>
          <w:szCs w:val="22"/>
        </w:rPr>
        <w:t xml:space="preserve">This section should include links or references to other parts of the eCTD dossier, where the protocol for </w:t>
      </w:r>
      <w:r w:rsidR="00556778" w:rsidRPr="00EF791B">
        <w:rPr>
          <w:rFonts w:cs="Courier New"/>
          <w:i/>
          <w:color w:val="00B050"/>
          <w:szCs w:val="22"/>
        </w:rPr>
        <w:t>a required</w:t>
      </w:r>
      <w:r w:rsidRPr="00EF791B">
        <w:rPr>
          <w:rFonts w:cs="Courier New"/>
          <w:i/>
          <w:color w:val="00B050"/>
          <w:szCs w:val="22"/>
        </w:rPr>
        <w:t xml:space="preserve"> efficacy </w:t>
      </w:r>
      <w:r w:rsidR="00A00D9D" w:rsidRPr="00EF791B">
        <w:rPr>
          <w:rFonts w:cs="Courier New"/>
          <w:i/>
          <w:color w:val="00B050"/>
          <w:szCs w:val="22"/>
        </w:rPr>
        <w:t xml:space="preserve">or </w:t>
      </w:r>
      <w:r w:rsidR="00A00D9D" w:rsidRPr="00EF791B">
        <w:rPr>
          <w:rFonts w:cs="Courier New"/>
          <w:i/>
          <w:color w:val="00B050"/>
          <w:szCs w:val="22"/>
          <w:highlight w:val="cyan"/>
        </w:rPr>
        <w:t>effectiveness</w:t>
      </w:r>
      <w:r w:rsidR="00A00D9D" w:rsidRPr="00EF791B">
        <w:rPr>
          <w:rFonts w:cs="Courier New"/>
          <w:i/>
          <w:color w:val="00B050"/>
          <w:szCs w:val="22"/>
        </w:rPr>
        <w:t xml:space="preserve"> </w:t>
      </w:r>
      <w:r w:rsidRPr="00EF791B">
        <w:rPr>
          <w:rFonts w:cs="Courier New"/>
          <w:i/>
          <w:color w:val="00B050"/>
          <w:szCs w:val="22"/>
        </w:rPr>
        <w:t>study was submitted. This information is meant to facilitate the assessment by maintaining an overview of the post-authorisation efficacy and safety development plans.</w:t>
      </w:r>
    </w:p>
    <w:p w14:paraId="1D1CF98E" w14:textId="77777777" w:rsidR="00FD6303" w:rsidRDefault="00FD6303">
      <w:pPr>
        <w:spacing w:line="240" w:lineRule="auto"/>
        <w:rPr>
          <w:rFonts w:ascii="Verdana" w:eastAsia="Verdana" w:hAnsi="Verdana"/>
          <w:b/>
          <w:bCs/>
          <w:i/>
          <w:kern w:val="32"/>
          <w:lang w:val="en-GB" w:eastAsia="en-GB"/>
        </w:rPr>
      </w:pPr>
      <w:bookmarkStart w:id="538" w:name="_Toc340066933"/>
      <w:bookmarkStart w:id="539" w:name="_Toc464653174"/>
      <w:bookmarkStart w:id="540" w:name="_Toc468365866"/>
      <w:bookmarkStart w:id="541" w:name="_Toc528579192"/>
      <w:r>
        <w:br w:type="page"/>
      </w:r>
    </w:p>
    <w:p w14:paraId="21CCE527" w14:textId="7C45CED7" w:rsidR="00743D0F" w:rsidRPr="00260ED1" w:rsidRDefault="00743D0F" w:rsidP="00743D0F">
      <w:pPr>
        <w:pStyle w:val="No-numheading2Agency"/>
      </w:pPr>
      <w:bookmarkStart w:id="542" w:name="_Toc59634445"/>
      <w:r w:rsidRPr="00260ED1">
        <w:lastRenderedPageBreak/>
        <w:t>Annex 6 - Details of proposed additional risk minimisation activities (if applicable)</w:t>
      </w:r>
      <w:bookmarkEnd w:id="538"/>
      <w:bookmarkEnd w:id="539"/>
      <w:bookmarkEnd w:id="540"/>
      <w:bookmarkEnd w:id="541"/>
      <w:bookmarkEnd w:id="542"/>
    </w:p>
    <w:p w14:paraId="4C7FC183" w14:textId="77777777" w:rsidR="00743D0F" w:rsidRPr="00260ED1" w:rsidRDefault="00743D0F" w:rsidP="00743D0F">
      <w:pPr>
        <w:spacing w:after="140" w:line="280" w:lineRule="atLeast"/>
        <w:rPr>
          <w:rFonts w:eastAsia="Verdana"/>
          <w:b/>
          <w:lang w:eastAsia="en-GB"/>
        </w:rPr>
      </w:pPr>
      <w:r w:rsidRPr="00260ED1">
        <w:rPr>
          <w:rFonts w:eastAsia="Verdana"/>
          <w:b/>
          <w:lang w:eastAsia="en-GB"/>
        </w:rPr>
        <w:t>&lt;Draft</w:t>
      </w:r>
      <w:r>
        <w:rPr>
          <w:rFonts w:eastAsia="Verdana"/>
          <w:b/>
          <w:lang w:eastAsia="en-GB"/>
        </w:rPr>
        <w:t>/</w:t>
      </w:r>
      <w:r w:rsidRPr="00260ED1">
        <w:rPr>
          <w:rFonts w:eastAsia="Verdana"/>
          <w:b/>
          <w:lang w:eastAsia="en-GB"/>
        </w:rPr>
        <w:t xml:space="preserve">approved&gt; key messages of the additional risk minimisation measures </w:t>
      </w:r>
    </w:p>
    <w:p w14:paraId="5B4C5537" w14:textId="0A917F16" w:rsidR="00FD6303"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Key messages are included before </w:t>
      </w:r>
      <w:r w:rsidR="00FD6303" w:rsidRPr="005C6E7A">
        <w:rPr>
          <w:rFonts w:ascii="Verdana" w:eastAsia="Verdana" w:hAnsi="Verdana" w:cs="Courier New"/>
          <w:i/>
          <w:color w:val="00B050"/>
          <w:sz w:val="18"/>
          <w:szCs w:val="18"/>
          <w:lang w:eastAsia="en-GB"/>
        </w:rPr>
        <w:t>grant of positive scientific opinion for review and assessment.</w:t>
      </w:r>
      <w:r w:rsidR="009D675D" w:rsidRPr="005C6E7A">
        <w:rPr>
          <w:rFonts w:ascii="Verdana" w:eastAsia="Verdana" w:hAnsi="Verdana" w:cs="Courier New"/>
          <w:i/>
          <w:color w:val="00B050"/>
          <w:sz w:val="18"/>
          <w:szCs w:val="18"/>
          <w:lang w:eastAsia="en-GB"/>
        </w:rPr>
        <w:t xml:space="preserve">  Final versions must be agreed with the MHRA before the product is made available to patients via EAMS.</w:t>
      </w:r>
    </w:p>
    <w:p w14:paraId="5C2FAF35" w14:textId="26B430AD" w:rsidR="00743D0F" w:rsidRPr="005C6E7A" w:rsidRDefault="00743D0F" w:rsidP="00743D0F">
      <w:pPr>
        <w:spacing w:after="140" w:line="280" w:lineRule="atLeast"/>
        <w:rPr>
          <w:rFonts w:ascii="Verdana" w:hAnsi="Verdana"/>
          <w:i/>
          <w:color w:val="00B050"/>
          <w:sz w:val="18"/>
          <w:szCs w:val="18"/>
        </w:rPr>
      </w:pPr>
      <w:r w:rsidRPr="005C6E7A">
        <w:rPr>
          <w:rFonts w:ascii="Verdana" w:eastAsia="Verdana" w:hAnsi="Verdana" w:cs="Courier New"/>
          <w:i/>
          <w:color w:val="00B050"/>
          <w:sz w:val="18"/>
          <w:szCs w:val="18"/>
          <w:lang w:eastAsia="en-GB"/>
        </w:rPr>
        <w:t>If the product requires a revision of the key messages post-</w:t>
      </w:r>
      <w:r w:rsidR="009D675D" w:rsidRPr="005C6E7A">
        <w:rPr>
          <w:rFonts w:ascii="Verdana" w:eastAsia="Verdana" w:hAnsi="Verdana" w:cs="Courier New"/>
          <w:i/>
          <w:color w:val="00B050"/>
          <w:sz w:val="18"/>
          <w:szCs w:val="18"/>
          <w:lang w:eastAsia="en-GB"/>
        </w:rPr>
        <w:t>opinion</w:t>
      </w:r>
      <w:r w:rsidRPr="005C6E7A">
        <w:rPr>
          <w:rFonts w:ascii="Verdana" w:eastAsia="Verdana" w:hAnsi="Verdana" w:cs="Courier New"/>
          <w:i/>
          <w:color w:val="00B050"/>
          <w:sz w:val="18"/>
          <w:szCs w:val="18"/>
          <w:lang w:eastAsia="en-GB"/>
        </w:rPr>
        <w:t xml:space="preserve">, an amended set of key messages can be proposed for assessment in Annex 6 by the Marketing authorisation holder (tracked changes). </w:t>
      </w:r>
    </w:p>
    <w:p w14:paraId="077A6365" w14:textId="77777777" w:rsidR="00743D0F" w:rsidRPr="0082765D" w:rsidRDefault="00743D0F" w:rsidP="00743D0F">
      <w:pPr>
        <w:pStyle w:val="BodytextEMA"/>
        <w:rPr>
          <w:rFonts w:ascii="Verdana" w:hAnsi="Verdana" w:cs="Courier New"/>
          <w:i/>
          <w:color w:val="339966"/>
          <w:sz w:val="18"/>
          <w:szCs w:val="22"/>
        </w:rPr>
      </w:pPr>
    </w:p>
    <w:p w14:paraId="7D43C2AC" w14:textId="27E77110" w:rsidR="00743D0F" w:rsidRPr="00DC7760" w:rsidRDefault="00743D0F" w:rsidP="00743D0F">
      <w:pPr>
        <w:pStyle w:val="BodytextEMA"/>
        <w:rPr>
          <w:rFonts w:ascii="Verdana" w:hAnsi="Verdana"/>
          <w:sz w:val="18"/>
          <w:szCs w:val="18"/>
        </w:rPr>
      </w:pPr>
      <w:r w:rsidRPr="00DC7760">
        <w:rPr>
          <w:rFonts w:ascii="Verdana" w:hAnsi="Verdana"/>
          <w:sz w:val="18"/>
          <w:szCs w:val="18"/>
        </w:rPr>
        <w:t>Prior to</w:t>
      </w:r>
      <w:r>
        <w:rPr>
          <w:rFonts w:ascii="Verdana" w:hAnsi="Verdana"/>
          <w:sz w:val="18"/>
          <w:szCs w:val="18"/>
        </w:rPr>
        <w:t xml:space="preserve"> the</w:t>
      </w:r>
      <w:r w:rsidRPr="00DC7760">
        <w:rPr>
          <w:rFonts w:ascii="Verdana" w:hAnsi="Verdana"/>
          <w:sz w:val="18"/>
          <w:szCs w:val="18"/>
        </w:rPr>
        <w:t xml:space="preserve"> </w:t>
      </w:r>
      <w:r>
        <w:rPr>
          <w:rFonts w:ascii="Verdana" w:hAnsi="Verdana"/>
          <w:sz w:val="18"/>
          <w:szCs w:val="18"/>
        </w:rPr>
        <w:t>&lt;</w:t>
      </w:r>
      <w:r w:rsidRPr="00DC7760">
        <w:rPr>
          <w:rFonts w:ascii="Verdana" w:hAnsi="Verdana"/>
          <w:sz w:val="18"/>
          <w:szCs w:val="18"/>
        </w:rPr>
        <w:t>launch</w:t>
      </w:r>
      <w:r>
        <w:rPr>
          <w:rFonts w:ascii="Verdana" w:hAnsi="Verdana"/>
          <w:sz w:val="18"/>
          <w:szCs w:val="18"/>
        </w:rPr>
        <w:t>&gt;&lt;use&gt;</w:t>
      </w:r>
      <w:r w:rsidRPr="00DC7760">
        <w:rPr>
          <w:rFonts w:ascii="Verdana" w:hAnsi="Verdana"/>
          <w:sz w:val="18"/>
          <w:szCs w:val="18"/>
        </w:rPr>
        <w:t xml:space="preserve"> of &lt;PRODUCT NAME</w:t>
      </w:r>
      <w:r>
        <w:rPr>
          <w:rFonts w:ascii="Verdana" w:hAnsi="Verdana"/>
          <w:sz w:val="18"/>
          <w:szCs w:val="18"/>
        </w:rPr>
        <w:t xml:space="preserve">&gt; </w:t>
      </w:r>
      <w:r w:rsidR="009D675D">
        <w:rPr>
          <w:rFonts w:ascii="Verdana" w:hAnsi="Verdana"/>
          <w:sz w:val="18"/>
          <w:szCs w:val="18"/>
        </w:rPr>
        <w:t>via EAMS the Opinion</w:t>
      </w:r>
      <w:r w:rsidRPr="00DC7760">
        <w:rPr>
          <w:rFonts w:ascii="Verdana" w:hAnsi="Verdana"/>
          <w:sz w:val="18"/>
          <w:szCs w:val="18"/>
        </w:rPr>
        <w:t xml:space="preserve"> Holder must agree about the content and format of the &lt;educational&gt; &lt;controlled access&gt; &lt;pregnancy prevention&gt; &lt;other&gt; programme, including communication media, distribution modalities, and any other aspects of the programme, with the </w:t>
      </w:r>
      <w:r w:rsidR="009D675D">
        <w:rPr>
          <w:rFonts w:ascii="Verdana" w:hAnsi="Verdana"/>
          <w:sz w:val="18"/>
          <w:szCs w:val="18"/>
        </w:rPr>
        <w:t>MHRA</w:t>
      </w:r>
      <w:r w:rsidRPr="00DC7760">
        <w:rPr>
          <w:rFonts w:ascii="Verdana" w:hAnsi="Verdana"/>
          <w:sz w:val="18"/>
          <w:szCs w:val="18"/>
        </w:rPr>
        <w:t xml:space="preserve">. </w:t>
      </w:r>
    </w:p>
    <w:p w14:paraId="2B904E66" w14:textId="77777777" w:rsidR="00743D0F" w:rsidRPr="0002738E" w:rsidRDefault="00743D0F" w:rsidP="00743D0F">
      <w:pPr>
        <w:pStyle w:val="BodytextEMA"/>
        <w:rPr>
          <w:rFonts w:ascii="Verdana" w:hAnsi="Verdana"/>
          <w:sz w:val="18"/>
          <w:szCs w:val="18"/>
        </w:rPr>
      </w:pPr>
      <w:r w:rsidRPr="0002738E">
        <w:rPr>
          <w:rFonts w:ascii="Verdana" w:hAnsi="Verdana"/>
          <w:sz w:val="18"/>
          <w:szCs w:val="18"/>
        </w:rPr>
        <w:t xml:space="preserve">The &lt;educational&gt; &lt;controlled access&gt; &lt;pregnancy prevention&gt; &lt;controlled distribution&gt; &lt;other&gt; programme is aimed at </w:t>
      </w:r>
      <w:r w:rsidRPr="00EF791B">
        <w:rPr>
          <w:rFonts w:ascii="Verdana" w:hAnsi="Verdana" w:cs="Courier New"/>
          <w:i/>
          <w:color w:val="00B050"/>
          <w:sz w:val="18"/>
          <w:szCs w:val="18"/>
        </w:rPr>
        <w:t>&lt;describe main objectives of programme&gt;</w:t>
      </w:r>
    </w:p>
    <w:p w14:paraId="5A1C7A17" w14:textId="6BA1B2C3" w:rsidR="00743D0F" w:rsidRPr="0002738E" w:rsidRDefault="00743D0F" w:rsidP="00743D0F">
      <w:pPr>
        <w:pStyle w:val="BodytextEMA"/>
        <w:rPr>
          <w:rFonts w:ascii="Verdana" w:hAnsi="Verdana"/>
          <w:sz w:val="18"/>
          <w:szCs w:val="18"/>
        </w:rPr>
      </w:pPr>
      <w:r w:rsidRPr="0002738E">
        <w:rPr>
          <w:rFonts w:ascii="Verdana" w:hAnsi="Verdana"/>
          <w:sz w:val="18"/>
          <w:szCs w:val="18"/>
        </w:rPr>
        <w:t xml:space="preserve">The </w:t>
      </w:r>
      <w:r w:rsidR="009D675D">
        <w:rPr>
          <w:rFonts w:ascii="Verdana" w:hAnsi="Verdana"/>
          <w:sz w:val="18"/>
          <w:szCs w:val="18"/>
        </w:rPr>
        <w:t>Opinion Holder</w:t>
      </w:r>
      <w:r w:rsidRPr="0002738E">
        <w:rPr>
          <w:rFonts w:ascii="Verdana" w:hAnsi="Verdana"/>
          <w:sz w:val="18"/>
          <w:szCs w:val="18"/>
        </w:rPr>
        <w:t xml:space="preserve"> shall ensure that all &lt;healthcare professionals&gt; &lt;and&gt; &lt;patients/carers&gt; who are expected to &lt;prescribe&gt; &lt;dispense&gt;&lt;use&gt; &lt;PRODUCT NAME&gt; have access to/are provided with the following educational &lt;package&gt; &lt;message to be disseminated through professional bodies&gt;:</w:t>
      </w:r>
    </w:p>
    <w:p w14:paraId="1184B8CC" w14:textId="77777777" w:rsidR="00743D0F" w:rsidRPr="0002738E" w:rsidRDefault="00743D0F" w:rsidP="00743D0F">
      <w:pPr>
        <w:pStyle w:val="BodytextEMA"/>
        <w:numPr>
          <w:ilvl w:val="0"/>
          <w:numId w:val="39"/>
        </w:numPr>
        <w:rPr>
          <w:rFonts w:ascii="Verdana" w:hAnsi="Verdana"/>
          <w:sz w:val="18"/>
          <w:szCs w:val="18"/>
        </w:rPr>
      </w:pPr>
      <w:r w:rsidRPr="0002738E">
        <w:rPr>
          <w:rFonts w:ascii="Verdana" w:hAnsi="Verdana"/>
          <w:sz w:val="18"/>
          <w:szCs w:val="18"/>
        </w:rPr>
        <w:t xml:space="preserve">&lt;Physician educational material&gt; </w:t>
      </w:r>
    </w:p>
    <w:p w14:paraId="2BB227ED" w14:textId="77777777" w:rsidR="00743D0F" w:rsidRPr="0002738E" w:rsidRDefault="00743D0F" w:rsidP="00743D0F">
      <w:pPr>
        <w:pStyle w:val="BodytextEMA"/>
        <w:numPr>
          <w:ilvl w:val="0"/>
          <w:numId w:val="39"/>
        </w:numPr>
        <w:rPr>
          <w:rFonts w:ascii="Verdana" w:hAnsi="Verdana"/>
          <w:sz w:val="18"/>
          <w:szCs w:val="18"/>
        </w:rPr>
      </w:pPr>
      <w:r w:rsidRPr="0002738E">
        <w:rPr>
          <w:rFonts w:ascii="Verdana" w:hAnsi="Verdana"/>
          <w:sz w:val="18"/>
          <w:szCs w:val="18"/>
        </w:rPr>
        <w:t>&lt;Patient information pack&gt;</w:t>
      </w:r>
    </w:p>
    <w:p w14:paraId="6CB28351" w14:textId="77777777" w:rsidR="00743D0F" w:rsidRPr="0002738E" w:rsidRDefault="00743D0F" w:rsidP="00743D0F">
      <w:pPr>
        <w:pStyle w:val="BodytextEMA"/>
        <w:numPr>
          <w:ilvl w:val="0"/>
          <w:numId w:val="39"/>
        </w:numPr>
        <w:rPr>
          <w:rFonts w:ascii="Verdana" w:hAnsi="Verdana"/>
          <w:sz w:val="18"/>
          <w:szCs w:val="18"/>
        </w:rPr>
      </w:pPr>
      <w:r w:rsidRPr="0002738E">
        <w:rPr>
          <w:rFonts w:ascii="Verdana" w:hAnsi="Verdana"/>
          <w:sz w:val="18"/>
          <w:szCs w:val="18"/>
        </w:rPr>
        <w:t xml:space="preserve">&lt;Other </w:t>
      </w:r>
      <w:r w:rsidRPr="00EF791B">
        <w:rPr>
          <w:rFonts w:ascii="Verdana" w:hAnsi="Verdana" w:cs="Courier New"/>
          <w:i/>
          <w:color w:val="00B050"/>
          <w:sz w:val="18"/>
          <w:szCs w:val="22"/>
        </w:rPr>
        <w:t xml:space="preserve">(if any other audience is targeted it should clearly </w:t>
      </w:r>
      <w:proofErr w:type="gramStart"/>
      <w:r w:rsidRPr="00EF791B">
        <w:rPr>
          <w:rFonts w:ascii="Verdana" w:hAnsi="Verdana" w:cs="Courier New"/>
          <w:i/>
          <w:color w:val="00B050"/>
          <w:sz w:val="18"/>
          <w:szCs w:val="22"/>
        </w:rPr>
        <w:t>described</w:t>
      </w:r>
      <w:proofErr w:type="gramEnd"/>
      <w:r w:rsidRPr="00EF791B">
        <w:rPr>
          <w:rFonts w:ascii="Verdana" w:hAnsi="Verdana" w:cs="Courier New"/>
          <w:i/>
          <w:color w:val="00B050"/>
          <w:sz w:val="18"/>
          <w:szCs w:val="22"/>
        </w:rPr>
        <w:t>)&gt;</w:t>
      </w:r>
    </w:p>
    <w:p w14:paraId="17649A90" w14:textId="77777777" w:rsidR="00743D0F" w:rsidRPr="00DF5A5F" w:rsidRDefault="00743D0F" w:rsidP="00743D0F">
      <w:pPr>
        <w:pStyle w:val="BodytextEMA"/>
        <w:rPr>
          <w:rFonts w:ascii="Verdana" w:hAnsi="Verdana"/>
          <w:b/>
          <w:sz w:val="18"/>
        </w:rPr>
      </w:pPr>
    </w:p>
    <w:p w14:paraId="098A3B97" w14:textId="77777777" w:rsidR="00743D0F" w:rsidRPr="00260ED1" w:rsidRDefault="00743D0F" w:rsidP="00743D0F">
      <w:pPr>
        <w:pStyle w:val="BodytextEMA"/>
        <w:rPr>
          <w:rFonts w:ascii="Verdana" w:hAnsi="Verdana"/>
          <w:sz w:val="18"/>
          <w:szCs w:val="18"/>
        </w:rPr>
      </w:pPr>
      <w:r w:rsidRPr="00260ED1">
        <w:rPr>
          <w:rFonts w:ascii="Verdana" w:hAnsi="Verdana"/>
          <w:b/>
          <w:sz w:val="18"/>
          <w:szCs w:val="18"/>
        </w:rPr>
        <w:t>Physician educational material</w:t>
      </w:r>
      <w:r w:rsidRPr="00260ED1">
        <w:rPr>
          <w:rFonts w:ascii="Verdana" w:hAnsi="Verdana"/>
          <w:sz w:val="18"/>
          <w:szCs w:val="18"/>
        </w:rPr>
        <w:t>:</w:t>
      </w:r>
    </w:p>
    <w:p w14:paraId="171CC8F4" w14:textId="59CEF60C"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w:t>
      </w:r>
      <w:r w:rsidR="009D675D">
        <w:rPr>
          <w:rFonts w:ascii="Verdana" w:hAnsi="Verdana"/>
          <w:sz w:val="18"/>
          <w:szCs w:val="18"/>
        </w:rPr>
        <w:t>The treatment protocol – information for healthcare professionals</w:t>
      </w:r>
      <w:r w:rsidRPr="00260ED1">
        <w:rPr>
          <w:rFonts w:ascii="Verdana" w:hAnsi="Verdana"/>
          <w:sz w:val="18"/>
          <w:szCs w:val="18"/>
        </w:rPr>
        <w:t xml:space="preserve">&gt; </w:t>
      </w:r>
    </w:p>
    <w:p w14:paraId="4655FBDA" w14:textId="1A211894"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In addition to the </w:t>
      </w:r>
      <w:r w:rsidR="009D675D" w:rsidRPr="005C6E7A">
        <w:rPr>
          <w:rFonts w:ascii="Verdana" w:eastAsia="Verdana" w:hAnsi="Verdana" w:cs="Courier New"/>
          <w:i/>
          <w:color w:val="00B050"/>
          <w:sz w:val="18"/>
          <w:szCs w:val="18"/>
          <w:lang w:eastAsia="en-GB"/>
        </w:rPr>
        <w:t>Treatment Protocol</w:t>
      </w:r>
      <w:r w:rsidRPr="005C6E7A">
        <w:rPr>
          <w:rFonts w:ascii="Verdana" w:eastAsia="Verdana" w:hAnsi="Verdana" w:cs="Courier New"/>
          <w:i/>
          <w:color w:val="00B050"/>
          <w:sz w:val="18"/>
          <w:szCs w:val="18"/>
          <w:lang w:eastAsia="en-GB"/>
        </w:rPr>
        <w:t xml:space="preserve"> select all tools that apply:</w:t>
      </w:r>
    </w:p>
    <w:p w14:paraId="6BABB169"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 xml:space="preserve">&lt;Guide for healthcare professionals&gt;  </w:t>
      </w:r>
    </w:p>
    <w:p w14:paraId="34C1F378"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 xml:space="preserve">&lt;Healthcare professionals training material&gt;  </w:t>
      </w:r>
    </w:p>
    <w:p w14:paraId="0FA612D8"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&lt;Prescriber checklist&gt;</w:t>
      </w:r>
    </w:p>
    <w:p w14:paraId="712DB08C"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&lt;Patient alert card&gt;</w:t>
      </w:r>
    </w:p>
    <w:p w14:paraId="00DAE107"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Based on the choice on the above listing, select all relevant elements and edit as required. </w:t>
      </w:r>
    </w:p>
    <w:p w14:paraId="67F767E3"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Guide for healthcare professionals</w:t>
      </w:r>
      <w:r w:rsidRPr="00260ED1">
        <w:rPr>
          <w:rFonts w:ascii="Verdana" w:hAnsi="Verdana"/>
          <w:sz w:val="18"/>
          <w:szCs w:val="18"/>
        </w:rPr>
        <w:t>:</w:t>
      </w:r>
    </w:p>
    <w:p w14:paraId="19595EF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&lt;Relevant information of the safety concern(s) addressed by the </w:t>
      </w:r>
      <w:proofErr w:type="spellStart"/>
      <w:r w:rsidRPr="00260ED1">
        <w:rPr>
          <w:rFonts w:ascii="Verdana" w:hAnsi="Verdana"/>
          <w:sz w:val="18"/>
          <w:szCs w:val="18"/>
        </w:rPr>
        <w:t>aRMM</w:t>
      </w:r>
      <w:proofErr w:type="spellEnd"/>
      <w:r w:rsidRPr="00260ED1">
        <w:rPr>
          <w:rFonts w:ascii="Verdana" w:hAnsi="Verdana"/>
          <w:sz w:val="18"/>
          <w:szCs w:val="18"/>
        </w:rPr>
        <w:t xml:space="preserve"> (e.g. seriousness, severity, frequency, time to onset, reversibility of the AE as applicable)&gt;</w:t>
      </w:r>
    </w:p>
    <w:p w14:paraId="149CCD19"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&lt;Details of the population at higher risk for the safety concern addressed by the </w:t>
      </w:r>
      <w:proofErr w:type="spellStart"/>
      <w:r w:rsidRPr="00260ED1">
        <w:rPr>
          <w:rFonts w:ascii="Verdana" w:hAnsi="Verdana"/>
          <w:sz w:val="18"/>
          <w:szCs w:val="18"/>
        </w:rPr>
        <w:t>aRMM</w:t>
      </w:r>
      <w:proofErr w:type="spellEnd"/>
      <w:r w:rsidRPr="00260ED1">
        <w:rPr>
          <w:rFonts w:ascii="Verdana" w:hAnsi="Verdana"/>
          <w:sz w:val="18"/>
          <w:szCs w:val="18"/>
        </w:rPr>
        <w:t xml:space="preserve"> (e.g. contraindications, risk factors, increased risk by interactions with certain medicine)&gt;</w:t>
      </w:r>
    </w:p>
    <w:p w14:paraId="5E7507BB"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&lt;Details on how to minimise the safety concern addressed by the </w:t>
      </w:r>
      <w:proofErr w:type="spellStart"/>
      <w:r w:rsidRPr="00260ED1">
        <w:rPr>
          <w:rFonts w:ascii="Verdana" w:hAnsi="Verdana"/>
          <w:sz w:val="18"/>
          <w:szCs w:val="18"/>
        </w:rPr>
        <w:t>aRMM</w:t>
      </w:r>
      <w:proofErr w:type="spellEnd"/>
      <w:r w:rsidRPr="00260ED1">
        <w:rPr>
          <w:rFonts w:ascii="Verdana" w:hAnsi="Verdana"/>
          <w:sz w:val="18"/>
          <w:szCs w:val="18"/>
        </w:rPr>
        <w:t xml:space="preserve"> through appropriate monitoring and management (e.g. what to do, what not do, and who is most likely </w:t>
      </w:r>
      <w:r>
        <w:rPr>
          <w:rFonts w:ascii="Verdana" w:hAnsi="Verdana"/>
          <w:sz w:val="18"/>
          <w:szCs w:val="18"/>
        </w:rPr>
        <w:t xml:space="preserve">to </w:t>
      </w:r>
      <w:r w:rsidRPr="00260ED1">
        <w:rPr>
          <w:rFonts w:ascii="Verdana" w:hAnsi="Verdana"/>
          <w:sz w:val="18"/>
          <w:szCs w:val="18"/>
        </w:rPr>
        <w:t>be impacted according to different scenarios, like when to limit or stop prescribing/ingestion, how to administer the medicine, when to increase/decrease the dosage according to laboratory measurements, signs and symptoms)&gt;</w:t>
      </w:r>
    </w:p>
    <w:p w14:paraId="4AB66DFF"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&lt;Key message to convey in patients counselling &gt;</w:t>
      </w:r>
    </w:p>
    <w:p w14:paraId="53A69A0A"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lastRenderedPageBreak/>
        <w:t xml:space="preserve">&lt;Instructions </w:t>
      </w:r>
      <w:r>
        <w:rPr>
          <w:rFonts w:ascii="Verdana" w:hAnsi="Verdana"/>
          <w:sz w:val="18"/>
          <w:szCs w:val="18"/>
        </w:rPr>
        <w:t xml:space="preserve">on </w:t>
      </w:r>
      <w:r w:rsidRPr="00260ED1">
        <w:rPr>
          <w:rFonts w:ascii="Verdana" w:hAnsi="Verdana"/>
          <w:sz w:val="18"/>
          <w:szCs w:val="18"/>
        </w:rPr>
        <w:t>how to handle possible adverse events&gt;</w:t>
      </w:r>
    </w:p>
    <w:p w14:paraId="397059A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&lt;Information about the &lt;name of&gt; &lt;study&gt; &lt;registry&gt; and the importance of contributing to such a study&gt;</w:t>
      </w:r>
    </w:p>
    <w:p w14:paraId="262B7A30"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&lt;Remarks on the importance of reporting on specific </w:t>
      </w:r>
      <w:r>
        <w:rPr>
          <w:rFonts w:ascii="Verdana" w:hAnsi="Verdana"/>
          <w:sz w:val="18"/>
          <w:szCs w:val="18"/>
        </w:rPr>
        <w:t>adverse reactions</w:t>
      </w:r>
      <w:r w:rsidRPr="00260ED1">
        <w:rPr>
          <w:rFonts w:ascii="Verdana" w:hAnsi="Verdana"/>
          <w:sz w:val="18"/>
          <w:szCs w:val="18"/>
        </w:rPr>
        <w:t xml:space="preserve">, namely: &lt; </w:t>
      </w:r>
      <w:r>
        <w:rPr>
          <w:rFonts w:ascii="Verdana" w:hAnsi="Verdana"/>
          <w:sz w:val="18"/>
          <w:szCs w:val="18"/>
        </w:rPr>
        <w:t>adverse reaction</w:t>
      </w:r>
      <w:r w:rsidRPr="00260ED1">
        <w:rPr>
          <w:rFonts w:ascii="Verdana" w:hAnsi="Verdana"/>
          <w:sz w:val="18"/>
          <w:szCs w:val="18"/>
        </w:rPr>
        <w:t xml:space="preserve"> 1, </w:t>
      </w:r>
      <w:r>
        <w:rPr>
          <w:rFonts w:ascii="Verdana" w:hAnsi="Verdana"/>
          <w:sz w:val="18"/>
          <w:szCs w:val="18"/>
        </w:rPr>
        <w:t>adverse reaction</w:t>
      </w:r>
      <w:r w:rsidRPr="00260ED1">
        <w:rPr>
          <w:rFonts w:ascii="Verdana" w:hAnsi="Verdana"/>
          <w:sz w:val="18"/>
          <w:szCs w:val="18"/>
        </w:rPr>
        <w:t xml:space="preserve"> 2 etc…&gt; </w:t>
      </w:r>
    </w:p>
    <w:p w14:paraId="6CFB513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0067734A"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Healthcare professionals training material</w:t>
      </w:r>
      <w:r w:rsidRPr="00260ED1">
        <w:rPr>
          <w:rFonts w:ascii="Verdana" w:hAnsi="Verdana"/>
          <w:sz w:val="18"/>
          <w:szCs w:val="18"/>
        </w:rPr>
        <w:t xml:space="preserve">: </w:t>
      </w:r>
    </w:p>
    <w:p w14:paraId="1BBE9C4D"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&lt;Information on &lt;product name&gt;, including the approved indication according to the SmPC&gt; </w:t>
      </w:r>
    </w:p>
    <w:p w14:paraId="7A7EF53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&lt;Detailed description of the administration procedures of &lt;PRODUCT NAME&gt;&gt;</w:t>
      </w:r>
    </w:p>
    <w:p w14:paraId="73920C87"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&lt;Patient’s preparation for the procedure and subsequent monitoring&gt;</w:t>
      </w:r>
    </w:p>
    <w:p w14:paraId="44F7973F"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&lt;Management of early signs and symptoms of selected safety concerns, namely: safety concern 1, safety concern 2, etc.&gt; </w:t>
      </w:r>
    </w:p>
    <w:p w14:paraId="69721DA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59E7B035"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For diagnostic products, select additional information:</w:t>
      </w:r>
    </w:p>
    <w:p w14:paraId="285FD1B9"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&lt;Limitations of &lt;PRODUCT NAME&gt; use, interpretation errors, safety information and the results of clinical trials informing on the diagnostic use of &lt;PRODUCT NAME&gt;&gt;</w:t>
      </w:r>
    </w:p>
    <w:p w14:paraId="7EFD7255"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&lt;Review of the imaging reading criteria, including method of image review, criteria for interpretation, and images demonstrating the binary read methodology&gt;</w:t>
      </w:r>
    </w:p>
    <w:p w14:paraId="5C1815B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&lt;Demonstration cases with correct imaging interpretation by an experienced reader and a number of clearly positive and negative cases as well as less clear-cut cases&gt;</w:t>
      </w:r>
    </w:p>
    <w:p w14:paraId="23054062"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Prescriber checklist</w:t>
      </w:r>
      <w:r w:rsidRPr="00260ED1">
        <w:rPr>
          <w:rFonts w:ascii="Verdana" w:hAnsi="Verdana"/>
          <w:sz w:val="18"/>
          <w:szCs w:val="18"/>
        </w:rPr>
        <w:t>:</w:t>
      </w:r>
    </w:p>
    <w:p w14:paraId="1B83A69A"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&lt;Lists of tests to be conducted for the initial screening of the patient&gt;</w:t>
      </w:r>
    </w:p>
    <w:p w14:paraId="249B21DC"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&lt;Vaccination/treatment course to be completed/withdrawn before/after treatment&gt;</w:t>
      </w:r>
    </w:p>
    <w:p w14:paraId="6E6ECC70"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&lt;Premedication, general health, and pregnancy and contraception checks immediately before/during/after treatment&gt;</w:t>
      </w:r>
    </w:p>
    <w:p w14:paraId="2BA5C48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&lt;Monitoring activities during treatment and for X years after last treatment&gt;</w:t>
      </w:r>
    </w:p>
    <w:p w14:paraId="1171087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specific reference to the fact that the patient has been informed and understands the &lt;potential&gt; &lt;teratogenic&gt;  risks of &lt;specify risk(s)&gt; and the measures to minimi</w:t>
      </w:r>
      <w:r>
        <w:rPr>
          <w:rFonts w:ascii="Verdana" w:hAnsi="Verdana"/>
          <w:sz w:val="18"/>
          <w:szCs w:val="18"/>
        </w:rPr>
        <w:t>s</w:t>
      </w:r>
      <w:r w:rsidRPr="00260ED1">
        <w:rPr>
          <w:rFonts w:ascii="Verdana" w:hAnsi="Verdana"/>
          <w:sz w:val="18"/>
          <w:szCs w:val="18"/>
        </w:rPr>
        <w:t>e them&gt;</w:t>
      </w:r>
    </w:p>
    <w:p w14:paraId="385DC6FF"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00A7E65A"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Patient alert card</w:t>
      </w:r>
      <w:r w:rsidRPr="00260ED1">
        <w:rPr>
          <w:rFonts w:ascii="Verdana" w:hAnsi="Verdana"/>
          <w:sz w:val="18"/>
          <w:szCs w:val="18"/>
        </w:rPr>
        <w:t xml:space="preserve">: </w:t>
      </w:r>
    </w:p>
    <w:p w14:paraId="443CC9A3" w14:textId="77777777" w:rsidR="00743D0F" w:rsidRPr="00260ED1" w:rsidRDefault="00743D0F" w:rsidP="00743D0F">
      <w:pPr>
        <w:pStyle w:val="BodytextEMA"/>
        <w:numPr>
          <w:ilvl w:val="0"/>
          <w:numId w:val="42"/>
        </w:numPr>
        <w:rPr>
          <w:rFonts w:ascii="Verdana" w:hAnsi="Verdana"/>
          <w:sz w:val="18"/>
          <w:szCs w:val="18"/>
        </w:rPr>
      </w:pPr>
      <w:r>
        <w:rPr>
          <w:rFonts w:ascii="Verdana" w:hAnsi="Verdana"/>
          <w:sz w:val="18"/>
          <w:szCs w:val="18"/>
        </w:rPr>
        <w:t>&lt;A warning message for healthcare professional</w:t>
      </w:r>
      <w:r w:rsidRPr="00260ED1">
        <w:rPr>
          <w:rFonts w:ascii="Verdana" w:hAnsi="Verdana"/>
          <w:sz w:val="18"/>
          <w:szCs w:val="18"/>
        </w:rPr>
        <w:t>s treating the patient at any time, including in conditions of emergency, that the patient is using &lt;PRODUCT NAME&gt;&gt;</w:t>
      </w:r>
    </w:p>
    <w:p w14:paraId="6B103BDE"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That &lt;PRODUCT NAME&gt; treatment may increase the &lt;potential&gt; risk of: &lt;Risk 1, Risk2, etc.&gt;</w:t>
      </w:r>
    </w:p>
    <w:p w14:paraId="68D5AE27"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Signs or symptoms of the safety concern and w</w:t>
      </w:r>
      <w:r>
        <w:rPr>
          <w:rFonts w:ascii="Verdana" w:hAnsi="Verdana"/>
          <w:sz w:val="18"/>
          <w:szCs w:val="18"/>
        </w:rPr>
        <w:t>hen to seek attention from a healthcare professional</w:t>
      </w:r>
    </w:p>
    <w:p w14:paraId="68870DC5"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Contact details of the &lt;PRODUCT NAME&gt; prescriber </w:t>
      </w:r>
    </w:p>
    <w:p w14:paraId="20282538" w14:textId="77777777" w:rsidR="00743D0F" w:rsidRPr="00260ED1" w:rsidRDefault="00743D0F" w:rsidP="00743D0F">
      <w:pPr>
        <w:pStyle w:val="BodytextEMA"/>
        <w:rPr>
          <w:rFonts w:ascii="Verdana" w:hAnsi="Verdana"/>
          <w:sz w:val="18"/>
          <w:szCs w:val="18"/>
        </w:rPr>
      </w:pPr>
      <w:r w:rsidRPr="00260ED1">
        <w:rPr>
          <w:rFonts w:ascii="Verdana" w:hAnsi="Verdana"/>
          <w:b/>
          <w:sz w:val="18"/>
          <w:szCs w:val="18"/>
        </w:rPr>
        <w:t>The patient information pack</w:t>
      </w:r>
      <w:r w:rsidRPr="00260ED1">
        <w:rPr>
          <w:rFonts w:ascii="Verdana" w:hAnsi="Verdana"/>
          <w:sz w:val="18"/>
          <w:szCs w:val="18"/>
        </w:rPr>
        <w:t>:</w:t>
      </w:r>
    </w:p>
    <w:p w14:paraId="3F28A957" w14:textId="5822F5D5" w:rsidR="00743D0F" w:rsidRPr="00260ED1" w:rsidRDefault="009D675D" w:rsidP="00743D0F">
      <w:pPr>
        <w:pStyle w:val="BodytextEMA"/>
        <w:numPr>
          <w:ilvl w:val="0"/>
          <w:numId w:val="42"/>
        </w:numPr>
        <w:rPr>
          <w:rFonts w:ascii="Verdana" w:hAnsi="Verdana"/>
          <w:sz w:val="18"/>
          <w:szCs w:val="18"/>
        </w:rPr>
      </w:pPr>
      <w:r>
        <w:rPr>
          <w:rFonts w:ascii="Verdana" w:hAnsi="Verdana"/>
          <w:sz w:val="18"/>
          <w:szCs w:val="18"/>
        </w:rPr>
        <w:t>Treatment protocol – information for patients</w:t>
      </w:r>
    </w:p>
    <w:p w14:paraId="15F539D6" w14:textId="57FB7AD6"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lastRenderedPageBreak/>
        <w:t xml:space="preserve">In addition to the </w:t>
      </w:r>
      <w:r w:rsidR="009D675D" w:rsidRPr="005C6E7A">
        <w:rPr>
          <w:rFonts w:ascii="Verdana" w:eastAsia="Verdana" w:hAnsi="Verdana" w:cs="Courier New"/>
          <w:i/>
          <w:color w:val="00B050"/>
          <w:sz w:val="18"/>
          <w:szCs w:val="18"/>
          <w:lang w:eastAsia="en-GB"/>
        </w:rPr>
        <w:t>Treatment Protocol,</w:t>
      </w:r>
      <w:r w:rsidRPr="005C6E7A">
        <w:rPr>
          <w:rFonts w:ascii="Verdana" w:eastAsia="Verdana" w:hAnsi="Verdana" w:cs="Courier New"/>
          <w:i/>
          <w:color w:val="00B050"/>
          <w:sz w:val="18"/>
          <w:szCs w:val="18"/>
          <w:lang w:eastAsia="en-GB"/>
        </w:rPr>
        <w:t xml:space="preserve"> select all that applies:</w:t>
      </w:r>
    </w:p>
    <w:p w14:paraId="7BB8884D"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&lt;A patient/carer guide&gt;</w:t>
      </w:r>
    </w:p>
    <w:p w14:paraId="7151EFB3"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sz w:val="18"/>
          <w:szCs w:val="18"/>
        </w:rPr>
        <w:t xml:space="preserve">&lt;A patient </w:t>
      </w:r>
      <w:r>
        <w:rPr>
          <w:rFonts w:ascii="Verdana" w:hAnsi="Verdana"/>
          <w:sz w:val="18"/>
          <w:szCs w:val="18"/>
        </w:rPr>
        <w:t>diary</w:t>
      </w:r>
      <w:r w:rsidRPr="00260ED1">
        <w:rPr>
          <w:rFonts w:ascii="Verdana" w:hAnsi="Verdana"/>
          <w:sz w:val="18"/>
          <w:szCs w:val="18"/>
        </w:rPr>
        <w:t>&gt;</w:t>
      </w:r>
    </w:p>
    <w:p w14:paraId="6F659E6F"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 xml:space="preserve">Based on the choice on the above listing, select all relevant elements and edit as required. The suggested key elements are not strictly supposed to be used only for the related specific tool (see example below): </w:t>
      </w:r>
    </w:p>
    <w:p w14:paraId="287C04A2" w14:textId="77777777" w:rsidR="00743D0F" w:rsidRPr="00260ED1" w:rsidRDefault="00743D0F" w:rsidP="00743D0F">
      <w:pPr>
        <w:pStyle w:val="BodytextEMA"/>
        <w:numPr>
          <w:ilvl w:val="0"/>
          <w:numId w:val="39"/>
        </w:numPr>
        <w:rPr>
          <w:rFonts w:ascii="Verdana" w:hAnsi="Verdana"/>
          <w:sz w:val="18"/>
          <w:szCs w:val="18"/>
        </w:rPr>
      </w:pPr>
      <w:r w:rsidRPr="00260ED1">
        <w:rPr>
          <w:rFonts w:ascii="Verdana" w:hAnsi="Verdana"/>
          <w:b/>
          <w:sz w:val="18"/>
          <w:szCs w:val="18"/>
        </w:rPr>
        <w:t>Patient/carer guide</w:t>
      </w:r>
      <w:r w:rsidRPr="00260ED1">
        <w:rPr>
          <w:rFonts w:ascii="Verdana" w:hAnsi="Verdana"/>
          <w:sz w:val="18"/>
          <w:szCs w:val="18"/>
        </w:rPr>
        <w:t>:</w:t>
      </w:r>
    </w:p>
    <w:p w14:paraId="38CA7B84"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&lt;potential&gt; &lt;teratogenic&gt; risks(s) associated with the use of &lt;PRODUCT NAME&gt; namely: &lt;Risk 1, Risk2, etc.&gt;</w:t>
      </w:r>
    </w:p>
    <w:p w14:paraId="4AF1476D"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correct use of &lt;product name&gt; and the &lt;potential&gt; risks associated with its use, namely: &lt;Risk 1, Risk2, etc.&gt;</w:t>
      </w:r>
    </w:p>
    <w:p w14:paraId="254DFD96"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&lt;Detailed description of the modalities used for the self-administration of &lt;PRODUCT NAME&gt;&gt; </w:t>
      </w:r>
    </w:p>
    <w:p w14:paraId="3C0626EE"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&lt;early&gt; sign and symptoms of the &lt;potential&gt; risk of &lt;specify risk(s)&gt;</w:t>
      </w:r>
    </w:p>
    <w:p w14:paraId="53103E38"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&lt;A description of the best course of action if sign and symptoms of those risks present themselves (e.g. How to reach your doctors)&gt;</w:t>
      </w:r>
    </w:p>
    <w:p w14:paraId="312FC84E"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&lt;Recommendations for the planning of the monitoring schedule&gt;</w:t>
      </w:r>
    </w:p>
    <w:p w14:paraId="112429A3"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&lt;Information about the &lt;name of&gt; &lt;study&gt; &lt;registry&gt;&gt;</w:t>
      </w:r>
    </w:p>
    <w:p w14:paraId="335E08C4"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&lt;Remarks on the importa</w:t>
      </w:r>
      <w:r>
        <w:rPr>
          <w:rFonts w:ascii="Verdana" w:hAnsi="Verdana"/>
          <w:sz w:val="18"/>
          <w:szCs w:val="18"/>
        </w:rPr>
        <w:t xml:space="preserve">nce of reporting on specific adverse reactions, namely: &lt; adverse reaction 1, adverse reaction </w:t>
      </w:r>
      <w:r w:rsidRPr="00260ED1">
        <w:rPr>
          <w:rFonts w:ascii="Verdana" w:hAnsi="Verdana"/>
          <w:sz w:val="18"/>
          <w:szCs w:val="18"/>
        </w:rPr>
        <w:t>2 etc…&gt;</w:t>
      </w:r>
    </w:p>
    <w:p w14:paraId="398303AC"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&lt;Other to be specified&gt;</w:t>
      </w:r>
    </w:p>
    <w:p w14:paraId="7230A75C" w14:textId="77777777" w:rsidR="00743D0F" w:rsidRPr="0076736F" w:rsidRDefault="00743D0F" w:rsidP="00743D0F">
      <w:pPr>
        <w:pStyle w:val="BodytextEMA"/>
        <w:numPr>
          <w:ilvl w:val="0"/>
          <w:numId w:val="39"/>
        </w:numPr>
        <w:rPr>
          <w:rFonts w:ascii="Verdana" w:hAnsi="Verdana"/>
          <w:b/>
          <w:sz w:val="18"/>
          <w:szCs w:val="18"/>
        </w:rPr>
      </w:pPr>
      <w:r w:rsidRPr="0076736F">
        <w:rPr>
          <w:rFonts w:ascii="Verdana" w:hAnsi="Verdana"/>
          <w:b/>
          <w:sz w:val="18"/>
          <w:szCs w:val="18"/>
        </w:rPr>
        <w:t>Patient diary</w:t>
      </w:r>
      <w:r w:rsidRPr="00260ED1">
        <w:rPr>
          <w:rFonts w:ascii="Verdana" w:hAnsi="Verdana"/>
          <w:sz w:val="18"/>
          <w:szCs w:val="18"/>
        </w:rPr>
        <w:t>:</w:t>
      </w:r>
    </w:p>
    <w:p w14:paraId="4F91785F" w14:textId="77777777" w:rsidR="00743D0F" w:rsidRPr="0076736F" w:rsidRDefault="00743D0F" w:rsidP="00743D0F">
      <w:pPr>
        <w:pStyle w:val="BodytextEMA"/>
        <w:numPr>
          <w:ilvl w:val="1"/>
          <w:numId w:val="39"/>
        </w:numPr>
        <w:rPr>
          <w:rFonts w:ascii="Verdana" w:hAnsi="Verdana"/>
          <w:b/>
          <w:sz w:val="18"/>
          <w:szCs w:val="18"/>
        </w:rPr>
      </w:pPr>
      <w:r w:rsidRPr="00260ED1">
        <w:rPr>
          <w:rFonts w:ascii="Verdana" w:hAnsi="Verdana"/>
          <w:sz w:val="18"/>
          <w:szCs w:val="18"/>
        </w:rPr>
        <w:t>&lt;</w:t>
      </w:r>
      <w:r>
        <w:rPr>
          <w:rFonts w:ascii="Verdana" w:hAnsi="Verdana"/>
          <w:sz w:val="18"/>
          <w:szCs w:val="18"/>
        </w:rPr>
        <w:t xml:space="preserve">A record on the recommended treatment </w:t>
      </w:r>
      <w:r w:rsidRPr="00260ED1">
        <w:rPr>
          <w:rFonts w:ascii="Verdana" w:hAnsi="Verdana"/>
          <w:sz w:val="18"/>
          <w:szCs w:val="18"/>
        </w:rPr>
        <w:t>&lt;</w:t>
      </w:r>
      <w:r>
        <w:rPr>
          <w:rFonts w:ascii="Verdana" w:hAnsi="Verdana"/>
          <w:sz w:val="18"/>
          <w:szCs w:val="18"/>
        </w:rPr>
        <w:t>date</w:t>
      </w:r>
      <w:r w:rsidRPr="00260ED1">
        <w:rPr>
          <w:rFonts w:ascii="Verdana" w:hAnsi="Verdana"/>
          <w:sz w:val="18"/>
          <w:szCs w:val="18"/>
        </w:rPr>
        <w:t>&gt;</w:t>
      </w:r>
      <w:r>
        <w:rPr>
          <w:rFonts w:ascii="Verdana" w:hAnsi="Verdana"/>
          <w:sz w:val="18"/>
          <w:szCs w:val="18"/>
        </w:rPr>
        <w:t xml:space="preserve"> </w:t>
      </w:r>
      <w:r w:rsidRPr="00260ED1">
        <w:rPr>
          <w:rFonts w:ascii="Verdana" w:hAnsi="Verdana"/>
          <w:sz w:val="18"/>
          <w:szCs w:val="18"/>
        </w:rPr>
        <w:t>&lt;</w:t>
      </w:r>
      <w:r>
        <w:rPr>
          <w:rFonts w:ascii="Verdana" w:hAnsi="Verdana"/>
          <w:sz w:val="18"/>
          <w:szCs w:val="18"/>
        </w:rPr>
        <w:t>outcome of specific test(s)</w:t>
      </w:r>
      <w:r w:rsidRPr="00260ED1">
        <w:rPr>
          <w:rFonts w:ascii="Verdana" w:hAnsi="Verdana"/>
          <w:sz w:val="18"/>
          <w:szCs w:val="18"/>
        </w:rPr>
        <w:t>&gt;</w:t>
      </w:r>
      <w:r>
        <w:rPr>
          <w:rFonts w:ascii="Verdana" w:hAnsi="Verdana"/>
          <w:sz w:val="18"/>
          <w:szCs w:val="18"/>
        </w:rPr>
        <w:t xml:space="preserve"> to facilitate regular monitoring of the patient´s health status to product related </w:t>
      </w:r>
      <w:r w:rsidRPr="00260ED1">
        <w:rPr>
          <w:rFonts w:ascii="Verdana" w:hAnsi="Verdana"/>
          <w:sz w:val="18"/>
          <w:szCs w:val="18"/>
        </w:rPr>
        <w:t>&lt;Risk 1, Risk2, etc.&gt;</w:t>
      </w:r>
      <w:r>
        <w:rPr>
          <w:rFonts w:ascii="Verdana" w:hAnsi="Verdana"/>
          <w:sz w:val="18"/>
          <w:szCs w:val="18"/>
        </w:rPr>
        <w:t xml:space="preserve">  or </w:t>
      </w:r>
      <w:r w:rsidRPr="00260ED1">
        <w:rPr>
          <w:rFonts w:ascii="Verdana" w:hAnsi="Verdana"/>
          <w:sz w:val="18"/>
          <w:szCs w:val="18"/>
        </w:rPr>
        <w:t>&lt;</w:t>
      </w:r>
      <w:r>
        <w:rPr>
          <w:rFonts w:ascii="Verdana" w:hAnsi="Verdana"/>
          <w:sz w:val="18"/>
          <w:szCs w:val="18"/>
        </w:rPr>
        <w:t>particular symptoms that can be discussed with the Physician</w:t>
      </w:r>
      <w:r w:rsidRPr="00260ED1">
        <w:rPr>
          <w:rFonts w:ascii="Verdana" w:hAnsi="Verdana"/>
          <w:sz w:val="18"/>
          <w:szCs w:val="18"/>
        </w:rPr>
        <w:t xml:space="preserve"> etc.&gt;&gt;</w:t>
      </w:r>
    </w:p>
    <w:p w14:paraId="1AC3A968" w14:textId="77777777" w:rsidR="00743D0F" w:rsidRPr="0076736F" w:rsidRDefault="00743D0F" w:rsidP="00743D0F">
      <w:pPr>
        <w:pStyle w:val="BodytextEMA"/>
        <w:numPr>
          <w:ilvl w:val="1"/>
          <w:numId w:val="39"/>
        </w:numPr>
        <w:rPr>
          <w:rFonts w:ascii="Verdana" w:hAnsi="Verdana"/>
          <w:b/>
          <w:sz w:val="18"/>
          <w:szCs w:val="18"/>
        </w:rPr>
      </w:pPr>
      <w:r w:rsidRPr="00260ED1">
        <w:rPr>
          <w:rFonts w:ascii="Verdana" w:hAnsi="Verdana"/>
          <w:sz w:val="18"/>
          <w:szCs w:val="18"/>
        </w:rPr>
        <w:t>&lt;</w:t>
      </w:r>
      <w:r>
        <w:rPr>
          <w:rFonts w:ascii="Verdana" w:hAnsi="Verdana"/>
          <w:sz w:val="18"/>
          <w:szCs w:val="18"/>
        </w:rPr>
        <w:t xml:space="preserve">A description of precaution(s) needed to minimise </w:t>
      </w:r>
      <w:r w:rsidRPr="00260ED1">
        <w:rPr>
          <w:rFonts w:ascii="Verdana" w:hAnsi="Verdana"/>
          <w:sz w:val="18"/>
          <w:szCs w:val="18"/>
        </w:rPr>
        <w:t>&lt;Risk 1, Risk2, etc.&gt;</w:t>
      </w:r>
      <w:r>
        <w:rPr>
          <w:rFonts w:ascii="Verdana" w:hAnsi="Verdana"/>
          <w:sz w:val="18"/>
          <w:szCs w:val="18"/>
        </w:rPr>
        <w:t xml:space="preserve"> associated with the use of </w:t>
      </w:r>
      <w:r w:rsidRPr="00260ED1">
        <w:rPr>
          <w:rFonts w:ascii="Verdana" w:hAnsi="Verdana"/>
          <w:sz w:val="18"/>
          <w:szCs w:val="18"/>
        </w:rPr>
        <w:t>&lt;PRODUCT NAME&gt;&gt;</w:t>
      </w:r>
    </w:p>
    <w:p w14:paraId="5F46CCE7" w14:textId="77777777" w:rsidR="00743D0F" w:rsidRPr="005C6E7A" w:rsidRDefault="00743D0F" w:rsidP="00743D0F">
      <w:pPr>
        <w:spacing w:after="140" w:line="280" w:lineRule="atLeast"/>
        <w:rPr>
          <w:rFonts w:ascii="Verdana" w:eastAsia="Verdana" w:hAnsi="Verdana" w:cs="Courier New"/>
          <w:i/>
          <w:color w:val="00B050"/>
          <w:sz w:val="18"/>
          <w:szCs w:val="18"/>
          <w:lang w:eastAsia="en-GB"/>
        </w:rPr>
      </w:pPr>
      <w:r w:rsidRPr="005C6E7A">
        <w:rPr>
          <w:rFonts w:ascii="Verdana" w:eastAsia="Verdana" w:hAnsi="Verdana" w:cs="Courier New"/>
          <w:i/>
          <w:color w:val="00B050"/>
          <w:sz w:val="18"/>
          <w:szCs w:val="18"/>
          <w:lang w:eastAsia="en-GB"/>
        </w:rPr>
        <w:t>For pregnancy-related risks, select additional information:</w:t>
      </w:r>
    </w:p>
    <w:p w14:paraId="3A2F96C1"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&lt;Recommendation </w:t>
      </w:r>
      <w:r>
        <w:rPr>
          <w:rFonts w:ascii="Verdana" w:hAnsi="Verdana"/>
          <w:sz w:val="18"/>
          <w:szCs w:val="18"/>
        </w:rPr>
        <w:t xml:space="preserve">not to </w:t>
      </w:r>
      <w:r w:rsidRPr="00260ED1">
        <w:rPr>
          <w:rFonts w:ascii="Verdana" w:hAnsi="Verdana"/>
          <w:sz w:val="18"/>
          <w:szCs w:val="18"/>
        </w:rPr>
        <w:t>take &lt;PRODUCT NAME&gt; in case of pregnancy&gt;</w:t>
      </w:r>
    </w:p>
    <w:p w14:paraId="4EB745FA"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 xml:space="preserve">&lt;For women of </w:t>
      </w:r>
      <w:proofErr w:type="gramStart"/>
      <w:r w:rsidRPr="00260ED1">
        <w:rPr>
          <w:rFonts w:ascii="Verdana" w:hAnsi="Verdana"/>
          <w:sz w:val="18"/>
          <w:szCs w:val="18"/>
        </w:rPr>
        <w:t>child bearing</w:t>
      </w:r>
      <w:proofErr w:type="gramEnd"/>
      <w:r w:rsidRPr="00260ED1">
        <w:rPr>
          <w:rFonts w:ascii="Verdana" w:hAnsi="Verdana"/>
          <w:sz w:val="18"/>
          <w:szCs w:val="18"/>
        </w:rPr>
        <w:t xml:space="preserve"> potential recommendation to use effective contraception methods&gt;</w:t>
      </w:r>
    </w:p>
    <w:p w14:paraId="680455D2" w14:textId="77777777" w:rsidR="00743D0F" w:rsidRPr="00260ED1" w:rsidRDefault="00743D0F" w:rsidP="00743D0F">
      <w:pPr>
        <w:pStyle w:val="BodytextEMA"/>
        <w:numPr>
          <w:ilvl w:val="0"/>
          <w:numId w:val="42"/>
        </w:numPr>
        <w:rPr>
          <w:rFonts w:ascii="Verdana" w:hAnsi="Verdana"/>
          <w:sz w:val="18"/>
          <w:szCs w:val="18"/>
        </w:rPr>
      </w:pPr>
      <w:r w:rsidRPr="00260ED1">
        <w:rPr>
          <w:rFonts w:ascii="Verdana" w:hAnsi="Verdana"/>
          <w:sz w:val="18"/>
          <w:szCs w:val="18"/>
        </w:rPr>
        <w:t>&lt;Recommendation for regular pregnancy testing&gt;</w:t>
      </w:r>
    </w:p>
    <w:p w14:paraId="095D3681" w14:textId="77777777" w:rsidR="00743D0F" w:rsidRPr="00260ED1" w:rsidRDefault="00743D0F" w:rsidP="00743D0F">
      <w:pPr>
        <w:pStyle w:val="No-numheading2Agency"/>
      </w:pPr>
      <w:bookmarkStart w:id="543" w:name="_Toc340066935"/>
      <w:bookmarkStart w:id="544" w:name="_Toc464653175"/>
      <w:bookmarkStart w:id="545" w:name="_Toc468365867"/>
      <w:bookmarkStart w:id="546" w:name="_Toc528579193"/>
      <w:bookmarkStart w:id="547" w:name="_Toc59634446"/>
      <w:r w:rsidRPr="00260ED1">
        <w:t>Annex 7 - Other supporting data (including referenced material)</w:t>
      </w:r>
      <w:bookmarkEnd w:id="543"/>
      <w:bookmarkEnd w:id="544"/>
      <w:bookmarkEnd w:id="545"/>
      <w:bookmarkEnd w:id="546"/>
      <w:bookmarkEnd w:id="547"/>
    </w:p>
    <w:p w14:paraId="5800A4D7" w14:textId="77777777" w:rsidR="00743D0F" w:rsidRPr="00EF791B" w:rsidRDefault="00743D0F" w:rsidP="00743D0F">
      <w:pPr>
        <w:pStyle w:val="BodytextAgency"/>
        <w:rPr>
          <w:color w:val="00B050"/>
          <w:sz w:val="14"/>
        </w:rPr>
      </w:pPr>
      <w:r w:rsidRPr="00EF791B">
        <w:rPr>
          <w:rFonts w:cs="Courier New"/>
          <w:i/>
          <w:color w:val="00B050"/>
          <w:szCs w:val="22"/>
        </w:rPr>
        <w:t>Only key literature referenced in the RMP should be included in the format of electronic links or references if already included in other modules of the dossier.</w:t>
      </w:r>
      <w:r w:rsidRPr="00EF791B">
        <w:rPr>
          <w:color w:val="00B050"/>
          <w:sz w:val="14"/>
        </w:rPr>
        <w:t xml:space="preserve"> </w:t>
      </w:r>
    </w:p>
    <w:p w14:paraId="7EF5ACB5" w14:textId="77777777" w:rsidR="009D675D" w:rsidRDefault="009D675D">
      <w:pPr>
        <w:spacing w:line="240" w:lineRule="auto"/>
        <w:rPr>
          <w:rFonts w:ascii="Verdana" w:eastAsia="Verdana" w:hAnsi="Verdana"/>
          <w:b/>
          <w:bCs/>
          <w:i/>
          <w:kern w:val="32"/>
          <w:lang w:val="en-GB" w:eastAsia="en-GB"/>
        </w:rPr>
      </w:pPr>
      <w:bookmarkStart w:id="548" w:name="_Toc464653176"/>
      <w:bookmarkStart w:id="549" w:name="_Toc468365868"/>
      <w:bookmarkStart w:id="550" w:name="_Toc528579194"/>
      <w:r>
        <w:br w:type="page"/>
      </w:r>
    </w:p>
    <w:p w14:paraId="2BC0ABDE" w14:textId="4FAB7007" w:rsidR="00743D0F" w:rsidRPr="00260ED1" w:rsidRDefault="00743D0F" w:rsidP="00743D0F">
      <w:pPr>
        <w:pStyle w:val="No-numheading2Agency"/>
      </w:pPr>
      <w:bookmarkStart w:id="551" w:name="_Toc59634447"/>
      <w:r w:rsidRPr="00260ED1">
        <w:lastRenderedPageBreak/>
        <w:t>Annex 8 – Summary of changes to the risk management plan over time</w:t>
      </w:r>
      <w:bookmarkEnd w:id="548"/>
      <w:bookmarkEnd w:id="549"/>
      <w:bookmarkEnd w:id="550"/>
      <w:bookmarkEnd w:id="551"/>
    </w:p>
    <w:p w14:paraId="198E1C5F" w14:textId="77777777" w:rsidR="00743D0F" w:rsidRPr="00EF791B" w:rsidRDefault="00743D0F" w:rsidP="00743D0F">
      <w:pPr>
        <w:pStyle w:val="BodytextAgency"/>
        <w:rPr>
          <w:rFonts w:cs="Courier New"/>
          <w:i/>
          <w:color w:val="00B050"/>
          <w:szCs w:val="22"/>
        </w:rPr>
      </w:pPr>
      <w:r w:rsidRPr="00EF791B">
        <w:rPr>
          <w:rFonts w:cs="Courier New"/>
          <w:i/>
          <w:color w:val="00B050"/>
          <w:szCs w:val="22"/>
        </w:rPr>
        <w:t>A list of all significant changes to the Risk Management Plan over time</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83"/>
        <w:gridCol w:w="2953"/>
        <w:gridCol w:w="5528"/>
      </w:tblGrid>
      <w:tr w:rsidR="00743D0F" w14:paraId="4C162576" w14:textId="77777777" w:rsidTr="00743D0F">
        <w:tc>
          <w:tcPr>
            <w:tcW w:w="983" w:type="dxa"/>
            <w:shd w:val="clear" w:color="auto" w:fill="auto"/>
          </w:tcPr>
          <w:p w14:paraId="7BE32F3E" w14:textId="77777777" w:rsidR="00743D0F" w:rsidRPr="00A53E3E" w:rsidRDefault="00743D0F" w:rsidP="00743D0F">
            <w:pPr>
              <w:pStyle w:val="BodytextAgency"/>
              <w:rPr>
                <w:b/>
              </w:rPr>
            </w:pPr>
            <w:r w:rsidRPr="00A53E3E">
              <w:rPr>
                <w:b/>
              </w:rPr>
              <w:t>Version</w:t>
            </w:r>
          </w:p>
        </w:tc>
        <w:tc>
          <w:tcPr>
            <w:tcW w:w="2953" w:type="dxa"/>
            <w:shd w:val="clear" w:color="auto" w:fill="auto"/>
          </w:tcPr>
          <w:p w14:paraId="55984958" w14:textId="77777777" w:rsidR="00743D0F" w:rsidRPr="00A53E3E" w:rsidRDefault="00743D0F" w:rsidP="00743D0F">
            <w:pPr>
              <w:pStyle w:val="BodytextAgency"/>
              <w:rPr>
                <w:b/>
              </w:rPr>
            </w:pPr>
            <w:r w:rsidRPr="00A53E3E">
              <w:rPr>
                <w:b/>
              </w:rPr>
              <w:t>Approval date</w:t>
            </w:r>
          </w:p>
          <w:p w14:paraId="4E429D7E" w14:textId="77777777" w:rsidR="00743D0F" w:rsidRPr="002C01EA" w:rsidRDefault="00743D0F" w:rsidP="00743D0F">
            <w:pPr>
              <w:pStyle w:val="BodytextAgency"/>
              <w:rPr>
                <w:b/>
              </w:rPr>
            </w:pPr>
            <w:r w:rsidRPr="002C01EA">
              <w:rPr>
                <w:b/>
              </w:rPr>
              <w:t>Procedure</w:t>
            </w:r>
          </w:p>
        </w:tc>
        <w:tc>
          <w:tcPr>
            <w:tcW w:w="5528" w:type="dxa"/>
            <w:shd w:val="clear" w:color="auto" w:fill="auto"/>
          </w:tcPr>
          <w:p w14:paraId="6CA0D385" w14:textId="77777777" w:rsidR="00743D0F" w:rsidRPr="002C01EA" w:rsidRDefault="00743D0F" w:rsidP="00743D0F">
            <w:pPr>
              <w:pStyle w:val="BodytextAgency"/>
              <w:rPr>
                <w:b/>
              </w:rPr>
            </w:pPr>
            <w:r w:rsidRPr="002C01EA">
              <w:rPr>
                <w:b/>
              </w:rPr>
              <w:t>Change</w:t>
            </w:r>
          </w:p>
          <w:p w14:paraId="70DF92F8" w14:textId="77777777" w:rsidR="00743D0F" w:rsidRPr="00D96DE4" w:rsidRDefault="00743D0F" w:rsidP="00743D0F">
            <w:pPr>
              <w:spacing w:after="140" w:line="280" w:lineRule="atLeast"/>
              <w:jc w:val="both"/>
            </w:pPr>
          </w:p>
        </w:tc>
      </w:tr>
      <w:tr w:rsidR="00743D0F" w14:paraId="1D84B28E" w14:textId="77777777" w:rsidTr="00743D0F">
        <w:tc>
          <w:tcPr>
            <w:tcW w:w="983" w:type="dxa"/>
            <w:shd w:val="clear" w:color="auto" w:fill="auto"/>
          </w:tcPr>
          <w:p w14:paraId="08A7F2F7" w14:textId="77777777" w:rsidR="00743D0F" w:rsidRPr="00D96DE4" w:rsidRDefault="00743D0F" w:rsidP="00743D0F">
            <w:pPr>
              <w:pStyle w:val="TabletextrowsAgency"/>
            </w:pPr>
            <w:r w:rsidRPr="00D96DE4">
              <w:t>&lt;e.g. 7.0&gt;</w:t>
            </w:r>
          </w:p>
          <w:p w14:paraId="2E20B211" w14:textId="77777777" w:rsidR="00743D0F" w:rsidRPr="00D96DE4" w:rsidRDefault="00743D0F" w:rsidP="00743D0F">
            <w:pPr>
              <w:pStyle w:val="TabletextrowsAgency"/>
            </w:pPr>
          </w:p>
        </w:tc>
        <w:tc>
          <w:tcPr>
            <w:tcW w:w="2953" w:type="dxa"/>
            <w:shd w:val="clear" w:color="auto" w:fill="auto"/>
          </w:tcPr>
          <w:p w14:paraId="375C02D4" w14:textId="3B4B37E0" w:rsidR="00743D0F" w:rsidRPr="00A53E3E" w:rsidRDefault="00743D0F" w:rsidP="00743D0F">
            <w:pPr>
              <w:pStyle w:val="TabletextrowsAgency"/>
            </w:pPr>
            <w:r w:rsidRPr="00D96DE4">
              <w:t xml:space="preserve">&lt;At the time of </w:t>
            </w:r>
            <w:r w:rsidR="009D675D">
              <w:t>positive opinion</w:t>
            </w:r>
            <w:r>
              <w:t>&gt;</w:t>
            </w:r>
            <w:r w:rsidRPr="00A53E3E">
              <w:t xml:space="preserve"> </w:t>
            </w:r>
          </w:p>
          <w:p w14:paraId="5FE551E2" w14:textId="77777777" w:rsidR="00743D0F" w:rsidRPr="00A53E3E" w:rsidRDefault="00743D0F" w:rsidP="00743D0F">
            <w:pPr>
              <w:pStyle w:val="TabletextrowsAgency"/>
            </w:pPr>
          </w:p>
          <w:p w14:paraId="7B834741" w14:textId="77777777" w:rsidR="00743D0F" w:rsidRPr="00A53E3E" w:rsidRDefault="00743D0F" w:rsidP="00743D0F">
            <w:pPr>
              <w:pStyle w:val="TabletextrowsAgency"/>
            </w:pPr>
            <w:r w:rsidRPr="002C01EA">
              <w:t>&lt;procedure number&gt;</w:t>
            </w:r>
            <w:r w:rsidRPr="00411BEF">
              <w:t xml:space="preserve"> dd/mm/</w:t>
            </w:r>
            <w:proofErr w:type="spellStart"/>
            <w:r w:rsidRPr="00411BEF">
              <w:t>yyyy</w:t>
            </w:r>
            <w:proofErr w:type="spellEnd"/>
          </w:p>
        </w:tc>
        <w:tc>
          <w:tcPr>
            <w:tcW w:w="5528" w:type="dxa"/>
            <w:shd w:val="clear" w:color="auto" w:fill="auto"/>
          </w:tcPr>
          <w:p w14:paraId="765187FD" w14:textId="77777777" w:rsidR="00743D0F" w:rsidRPr="00EF791B" w:rsidRDefault="00743D0F" w:rsidP="00743D0F">
            <w:pPr>
              <w:pStyle w:val="TabletextrowsAgency"/>
              <w:rPr>
                <w:color w:val="00B050"/>
              </w:rPr>
            </w:pPr>
            <w:r w:rsidRPr="00EF791B">
              <w:rPr>
                <w:rFonts w:cs="Courier New"/>
                <w:bCs/>
                <w:i/>
                <w:color w:val="00B050"/>
                <w:lang w:eastAsia="en-GB"/>
              </w:rPr>
              <w:t>Add high level description of major changes:</w:t>
            </w:r>
          </w:p>
          <w:p w14:paraId="30DAED05" w14:textId="77777777" w:rsidR="00743D0F" w:rsidRPr="00155521" w:rsidRDefault="00743D0F" w:rsidP="00743D0F">
            <w:pPr>
              <w:pStyle w:val="TabletextrowsAgency"/>
              <w:rPr>
                <w:u w:val="single"/>
              </w:rPr>
            </w:pPr>
            <w:r w:rsidRPr="00A53E3E">
              <w:t>&lt;</w:t>
            </w:r>
            <w:r w:rsidRPr="00A53E3E">
              <w:rPr>
                <w:u w:val="single"/>
              </w:rPr>
              <w:t>Safety concerns</w:t>
            </w:r>
            <w:r w:rsidRPr="00155521">
              <w:t>&gt;</w:t>
            </w:r>
          </w:p>
          <w:p w14:paraId="59C3B93F" w14:textId="77777777" w:rsidR="00743D0F" w:rsidRPr="00A00D99" w:rsidRDefault="00743D0F" w:rsidP="00743D0F">
            <w:pPr>
              <w:pStyle w:val="TabletextrowsAgency"/>
              <w:rPr>
                <w:rFonts w:cs="Courier New"/>
                <w:bCs/>
                <w:i/>
                <w:color w:val="339966"/>
                <w:lang w:eastAsia="en-GB"/>
              </w:rPr>
            </w:pPr>
            <w:r w:rsidRPr="00EF791B">
              <w:rPr>
                <w:rFonts w:cs="Courier New"/>
                <w:bCs/>
                <w:i/>
                <w:color w:val="00B050"/>
                <w:lang w:eastAsia="en-GB"/>
              </w:rPr>
              <w:t xml:space="preserve">Important Identified/Potential Risk/Missing information 1: Added/ Removed/ Reclassified </w:t>
            </w:r>
          </w:p>
          <w:p w14:paraId="44A69D53" w14:textId="77777777" w:rsidR="00743D0F" w:rsidRPr="00155521" w:rsidRDefault="00743D0F" w:rsidP="00743D0F">
            <w:pPr>
              <w:pStyle w:val="TabletextrowsAgency"/>
              <w:rPr>
                <w:u w:val="single"/>
              </w:rPr>
            </w:pPr>
            <w:r w:rsidRPr="00A53E3E">
              <w:t>&lt;</w:t>
            </w:r>
            <w:r w:rsidRPr="00A53E3E">
              <w:rPr>
                <w:u w:val="single"/>
              </w:rPr>
              <w:t>Pharmacovigilance Plan</w:t>
            </w:r>
            <w:r w:rsidRPr="00155521">
              <w:t>&gt;</w:t>
            </w:r>
          </w:p>
          <w:p w14:paraId="46EE4129" w14:textId="77777777" w:rsidR="00743D0F" w:rsidRPr="00EF791B" w:rsidRDefault="00743D0F" w:rsidP="00743D0F">
            <w:pPr>
              <w:pStyle w:val="TabletextrowsAgency"/>
              <w:rPr>
                <w:rFonts w:cs="Courier New"/>
                <w:bCs/>
                <w:i/>
                <w:color w:val="00B050"/>
                <w:lang w:eastAsia="en-GB"/>
              </w:rPr>
            </w:pPr>
            <w:r w:rsidRPr="00EF791B">
              <w:rPr>
                <w:rFonts w:cs="Courier New"/>
                <w:bCs/>
                <w:i/>
                <w:color w:val="00B050"/>
                <w:lang w:eastAsia="en-GB"/>
              </w:rPr>
              <w:t xml:space="preserve">Study 1: </w:t>
            </w:r>
          </w:p>
          <w:p w14:paraId="3D468ABA" w14:textId="77777777" w:rsidR="00743D0F" w:rsidRPr="00EF791B" w:rsidRDefault="00743D0F" w:rsidP="00743D0F">
            <w:pPr>
              <w:pStyle w:val="TabletextrowsAgency"/>
              <w:numPr>
                <w:ilvl w:val="0"/>
                <w:numId w:val="39"/>
              </w:numPr>
              <w:rPr>
                <w:rFonts w:cs="Courier New"/>
                <w:bCs/>
                <w:i/>
                <w:color w:val="00B050"/>
                <w:lang w:eastAsia="en-GB"/>
              </w:rPr>
            </w:pPr>
            <w:r w:rsidRPr="00EF791B">
              <w:rPr>
                <w:rFonts w:cs="Courier New"/>
                <w:bCs/>
                <w:i/>
                <w:color w:val="00B050"/>
                <w:lang w:eastAsia="en-GB"/>
              </w:rPr>
              <w:t>Added as a new safety concern &lt;Important identified risk 1&gt; has been identified and need to be further characterised</w:t>
            </w:r>
          </w:p>
          <w:p w14:paraId="5644CA53" w14:textId="77777777" w:rsidR="00743D0F" w:rsidRPr="00EF791B" w:rsidRDefault="00743D0F" w:rsidP="00743D0F">
            <w:pPr>
              <w:pStyle w:val="TabletextrowsAgency"/>
              <w:numPr>
                <w:ilvl w:val="0"/>
                <w:numId w:val="39"/>
              </w:numPr>
              <w:rPr>
                <w:rFonts w:cs="Courier New"/>
                <w:bCs/>
                <w:i/>
                <w:color w:val="00B050"/>
                <w:lang w:eastAsia="en-GB"/>
              </w:rPr>
            </w:pPr>
            <w:r w:rsidRPr="00EF791B">
              <w:rPr>
                <w:rFonts w:cs="Courier New"/>
                <w:bCs/>
                <w:i/>
                <w:color w:val="00B050"/>
                <w:lang w:eastAsia="en-GB"/>
              </w:rPr>
              <w:t>Due date postponed due to difficulties with patient recruitment</w:t>
            </w:r>
          </w:p>
          <w:p w14:paraId="2812BA4E" w14:textId="77777777" w:rsidR="00743D0F" w:rsidRPr="00EF791B" w:rsidRDefault="00743D0F" w:rsidP="00743D0F">
            <w:pPr>
              <w:pStyle w:val="TabletextrowsAgency"/>
              <w:numPr>
                <w:ilvl w:val="0"/>
                <w:numId w:val="39"/>
              </w:numPr>
              <w:rPr>
                <w:rFonts w:cs="Courier New"/>
                <w:bCs/>
                <w:i/>
                <w:color w:val="00B050"/>
                <w:lang w:eastAsia="en-GB"/>
              </w:rPr>
            </w:pPr>
            <w:r w:rsidRPr="00EF791B">
              <w:rPr>
                <w:rFonts w:cs="Courier New"/>
                <w:bCs/>
                <w:i/>
                <w:color w:val="00B050"/>
                <w:lang w:eastAsia="en-GB"/>
              </w:rPr>
              <w:t>Removed as study has been completed and obligation has been fulfilled</w:t>
            </w:r>
          </w:p>
          <w:p w14:paraId="7182083E" w14:textId="77777777" w:rsidR="00743D0F" w:rsidRPr="00F915FD" w:rsidRDefault="00743D0F" w:rsidP="00743D0F">
            <w:pPr>
              <w:pStyle w:val="TabletextrowsAgency"/>
            </w:pPr>
            <w:r w:rsidRPr="00F915FD">
              <w:t>&lt;</w:t>
            </w:r>
            <w:r w:rsidRPr="00F915FD">
              <w:rPr>
                <w:u w:val="single"/>
              </w:rPr>
              <w:t>Post-authorisation efficacy plan</w:t>
            </w:r>
            <w:r w:rsidRPr="00F915FD">
              <w:t>&gt;</w:t>
            </w:r>
          </w:p>
          <w:p w14:paraId="24831E6C" w14:textId="77777777" w:rsidR="00743D0F" w:rsidRPr="00747688" w:rsidRDefault="00743D0F" w:rsidP="00743D0F">
            <w:pPr>
              <w:pStyle w:val="TabletextrowsAgency"/>
              <w:rPr>
                <w:u w:val="single"/>
              </w:rPr>
            </w:pPr>
            <w:r w:rsidRPr="00747688">
              <w:t>&lt;</w:t>
            </w:r>
            <w:r w:rsidRPr="00747688">
              <w:rPr>
                <w:u w:val="single"/>
              </w:rPr>
              <w:t>Risk minimisation measures</w:t>
            </w:r>
            <w:r w:rsidRPr="00747688">
              <w:t>&gt;</w:t>
            </w:r>
          </w:p>
          <w:p w14:paraId="5532DE4A" w14:textId="77777777" w:rsidR="00743D0F" w:rsidRPr="00EF791B" w:rsidRDefault="00743D0F" w:rsidP="00743D0F">
            <w:pPr>
              <w:pStyle w:val="TabletextrowsAgency"/>
              <w:rPr>
                <w:rFonts w:cs="Courier New"/>
                <w:bCs/>
                <w:i/>
                <w:color w:val="00B050"/>
                <w:lang w:eastAsia="en-GB"/>
              </w:rPr>
            </w:pPr>
            <w:r w:rsidRPr="00EF791B">
              <w:rPr>
                <w:rFonts w:cs="Courier New"/>
                <w:bCs/>
                <w:i/>
                <w:color w:val="00B050"/>
                <w:lang w:eastAsia="en-GB"/>
              </w:rPr>
              <w:t xml:space="preserve">Additional risk minimisation 1: </w:t>
            </w:r>
          </w:p>
          <w:p w14:paraId="1B869A8C" w14:textId="77777777" w:rsidR="00743D0F" w:rsidRPr="00EF791B" w:rsidRDefault="00743D0F" w:rsidP="00743D0F">
            <w:pPr>
              <w:pStyle w:val="TabletextrowsAgency"/>
              <w:numPr>
                <w:ilvl w:val="0"/>
                <w:numId w:val="40"/>
              </w:numPr>
              <w:rPr>
                <w:rFonts w:cs="Courier New"/>
                <w:bCs/>
                <w:i/>
                <w:color w:val="00B050"/>
                <w:lang w:eastAsia="en-GB"/>
              </w:rPr>
            </w:pPr>
            <w:r w:rsidRPr="00EF791B">
              <w:rPr>
                <w:rFonts w:cs="Courier New"/>
                <w:bCs/>
                <w:i/>
                <w:color w:val="00B050"/>
                <w:lang w:eastAsia="en-GB"/>
              </w:rPr>
              <w:t xml:space="preserve">Added/ Modified to increase the </w:t>
            </w:r>
            <w:r w:rsidRPr="00EF791B">
              <w:rPr>
                <w:rFonts w:cs="Courier New"/>
                <w:i/>
                <w:color w:val="00B050"/>
              </w:rPr>
              <w:t>patient´s a</w:t>
            </w:r>
            <w:r w:rsidRPr="00EF791B">
              <w:rPr>
                <w:rFonts w:cs="Courier New"/>
                <w:bCs/>
                <w:i/>
                <w:color w:val="00B050"/>
              </w:rPr>
              <w:t>wareness on the signs and symptoms relevant to the early recognition of increased plasma levels in patients with specific polymorphism</w:t>
            </w:r>
          </w:p>
          <w:p w14:paraId="15E3A249" w14:textId="77777777" w:rsidR="00743D0F" w:rsidRPr="00EF791B" w:rsidRDefault="00743D0F" w:rsidP="00743D0F">
            <w:pPr>
              <w:pStyle w:val="TabletextrowsAgency"/>
              <w:numPr>
                <w:ilvl w:val="0"/>
                <w:numId w:val="40"/>
              </w:numPr>
              <w:rPr>
                <w:rFonts w:cs="Courier New"/>
                <w:bCs/>
                <w:i/>
                <w:color w:val="00B050"/>
                <w:lang w:eastAsia="en-GB"/>
              </w:rPr>
            </w:pPr>
            <w:r w:rsidRPr="00EF791B">
              <w:rPr>
                <w:rFonts w:cs="Courier New"/>
                <w:bCs/>
                <w:i/>
                <w:color w:val="00B050"/>
              </w:rPr>
              <w:t>Added to inform the healthcare professionals about the new available information regarding heart failure</w:t>
            </w:r>
          </w:p>
          <w:p w14:paraId="58D5918D" w14:textId="77777777" w:rsidR="00743D0F" w:rsidRPr="00A53E3E" w:rsidRDefault="00743D0F" w:rsidP="00743D0F">
            <w:pPr>
              <w:pStyle w:val="TabletextrowsAgency"/>
              <w:rPr>
                <w:u w:val="single"/>
              </w:rPr>
            </w:pPr>
            <w:r w:rsidRPr="00A00D99">
              <w:rPr>
                <w:u w:val="single"/>
              </w:rPr>
              <w:t>&lt;Annexes&gt;</w:t>
            </w:r>
          </w:p>
          <w:p w14:paraId="143DAF8F" w14:textId="77777777" w:rsidR="00743D0F" w:rsidRPr="00A00D99" w:rsidRDefault="00743D0F" w:rsidP="00743D0F">
            <w:pPr>
              <w:pStyle w:val="TabletextrowsAgency"/>
              <w:numPr>
                <w:ilvl w:val="0"/>
                <w:numId w:val="40"/>
              </w:numPr>
              <w:rPr>
                <w:rFonts w:cs="Courier New"/>
                <w:bCs/>
                <w:i/>
                <w:color w:val="339966"/>
                <w:lang w:eastAsia="en-GB"/>
              </w:rPr>
            </w:pPr>
            <w:r w:rsidRPr="00EF791B">
              <w:rPr>
                <w:rFonts w:cs="Courier New"/>
                <w:bCs/>
                <w:i/>
                <w:color w:val="00B050"/>
                <w:lang w:eastAsia="en-GB"/>
              </w:rPr>
              <w:t xml:space="preserve">Annex 4: Specific adverse drug reaction follow up forms 1 added </w:t>
            </w:r>
          </w:p>
        </w:tc>
      </w:tr>
    </w:tbl>
    <w:p w14:paraId="06C2AE82" w14:textId="77777777" w:rsidR="00743D0F" w:rsidRPr="00260ED1" w:rsidRDefault="00743D0F" w:rsidP="00743D0F">
      <w:pPr>
        <w:pStyle w:val="BodytextAgency"/>
      </w:pPr>
    </w:p>
    <w:bookmarkEnd w:id="521"/>
    <w:p w14:paraId="17E910DF" w14:textId="77777777" w:rsidR="00E660CD" w:rsidRPr="00E660CD" w:rsidRDefault="00E660CD" w:rsidP="00E660CD"/>
    <w:sectPr w:rsidR="00E660CD" w:rsidRPr="00E660CD" w:rsidSect="000657B4">
      <w:pgSz w:w="11900" w:h="16840" w:code="9"/>
      <w:pgMar w:top="680" w:right="851" w:bottom="680" w:left="964"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2E690" w14:textId="77777777" w:rsidR="0062720D" w:rsidRDefault="0062720D" w:rsidP="00EF5B9F">
      <w:r>
        <w:separator/>
      </w:r>
    </w:p>
  </w:endnote>
  <w:endnote w:type="continuationSeparator" w:id="0">
    <w:p w14:paraId="21878CCE" w14:textId="77777777" w:rsidR="0062720D" w:rsidRDefault="0062720D" w:rsidP="00EF5B9F">
      <w:r>
        <w:continuationSeparator/>
      </w:r>
    </w:p>
  </w:endnote>
  <w:endnote w:type="continuationNotice" w:id="1">
    <w:p w14:paraId="4F137A2F" w14:textId="77777777" w:rsidR="0062720D" w:rsidRDefault="00627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3AB5" w14:textId="77777777" w:rsidR="000E42D1" w:rsidRDefault="000E42D1">
    <w:pPr>
      <w:pStyle w:val="Footer"/>
    </w:pPr>
    <w:r>
      <w:rPr>
        <w:noProof/>
        <w:lang w:val="en-GB" w:eastAsia="en-GB"/>
      </w:rPr>
      <w:drawing>
        <wp:anchor distT="180340" distB="0" distL="0" distR="0" simplePos="0" relativeHeight="251658752" behindDoc="0" locked="0" layoutInCell="1" allowOverlap="1" wp14:anchorId="3DDF5000" wp14:editId="3B0CF72D">
          <wp:simplePos x="0" y="0"/>
          <wp:positionH relativeFrom="page">
            <wp:posOffset>-2540</wp:posOffset>
          </wp:positionH>
          <wp:positionV relativeFrom="page">
            <wp:posOffset>9636125</wp:posOffset>
          </wp:positionV>
          <wp:extent cx="7559040" cy="1048385"/>
          <wp:effectExtent l="0" t="0" r="3810" b="0"/>
          <wp:wrapSquare wrapText="bothSides"/>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8410" w14:textId="749156F8" w:rsidR="000E42D1" w:rsidRDefault="000E42D1" w:rsidP="00E75AA7">
    <w:pPr>
      <w:pStyle w:val="Footer"/>
      <w:ind w:firstLine="1440"/>
      <w:jc w:val="right"/>
    </w:pPr>
    <w:r>
      <w:rPr>
        <w:lang w:val="en-GB"/>
      </w:rPr>
      <w:t>v2</w:t>
    </w:r>
    <w:r>
      <w:t xml:space="preserve">   Page </w:t>
    </w:r>
    <w:r>
      <w:fldChar w:fldCharType="begin"/>
    </w:r>
    <w:r>
      <w:instrText xml:space="preserve"> PAGE   \* MERGEFORMAT </w:instrText>
    </w:r>
    <w:r>
      <w:fldChar w:fldCharType="separate"/>
    </w:r>
    <w:r>
      <w:rPr>
        <w:noProof/>
      </w:rPr>
      <w:t>9</w:t>
    </w:r>
    <w:r>
      <w:rPr>
        <w:noProof/>
      </w:rPr>
      <w:fldChar w:fldCharType="end"/>
    </w:r>
  </w:p>
  <w:p w14:paraId="1BE23DB2" w14:textId="77777777" w:rsidR="000E42D1" w:rsidRDefault="000E4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667C" w14:textId="77777777" w:rsidR="000E42D1" w:rsidRDefault="000E42D1" w:rsidP="000657B4">
    <w:pPr>
      <w:tabs>
        <w:tab w:val="left" w:pos="4320"/>
      </w:tabs>
    </w:pPr>
    <w:r>
      <w:rPr>
        <w:noProof/>
        <w:lang w:val="en-GB" w:eastAsia="en-GB"/>
      </w:rPr>
      <w:drawing>
        <wp:anchor distT="180340" distB="0" distL="0" distR="0" simplePos="0" relativeHeight="251654656" behindDoc="1" locked="0" layoutInCell="1" allowOverlap="1" wp14:anchorId="4032A898" wp14:editId="727AB172">
          <wp:simplePos x="0" y="0"/>
          <wp:positionH relativeFrom="page">
            <wp:posOffset>-2540</wp:posOffset>
          </wp:positionH>
          <wp:positionV relativeFrom="page">
            <wp:posOffset>9645650</wp:posOffset>
          </wp:positionV>
          <wp:extent cx="7559040" cy="1048385"/>
          <wp:effectExtent l="0" t="0" r="3810" b="0"/>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3790" w14:textId="77777777" w:rsidR="0062720D" w:rsidRDefault="0062720D" w:rsidP="00EF5B9F">
      <w:r>
        <w:separator/>
      </w:r>
    </w:p>
  </w:footnote>
  <w:footnote w:type="continuationSeparator" w:id="0">
    <w:p w14:paraId="14774F5C" w14:textId="77777777" w:rsidR="0062720D" w:rsidRDefault="0062720D" w:rsidP="00EF5B9F">
      <w:r>
        <w:continuationSeparator/>
      </w:r>
    </w:p>
  </w:footnote>
  <w:footnote w:type="continuationNotice" w:id="1">
    <w:p w14:paraId="7C9D808C" w14:textId="77777777" w:rsidR="0062720D" w:rsidRDefault="0062720D">
      <w:pPr>
        <w:spacing w:line="240" w:lineRule="auto"/>
      </w:pPr>
    </w:p>
  </w:footnote>
  <w:footnote w:id="2">
    <w:p w14:paraId="7BA40B78" w14:textId="2145E4EC" w:rsidR="00F8158A" w:rsidRDefault="00F8158A">
      <w:pPr>
        <w:pStyle w:val="FootnoteText"/>
      </w:pPr>
      <w:r>
        <w:rPr>
          <w:rStyle w:val="FootnoteReference"/>
        </w:rPr>
        <w:footnoteRef/>
      </w:r>
      <w:r>
        <w:t xml:space="preserve"> An appropriate indication would concern a population in whom the safety profile is likely to be relevant to that in the EAMS use, such that the important safety concerns would usually be expected to be the same for both the authorised product and the EAMS application.  </w:t>
      </w:r>
    </w:p>
  </w:footnote>
  <w:footnote w:id="3">
    <w:p w14:paraId="2F9618A2" w14:textId="6D1E80FA" w:rsidR="009D6B87" w:rsidRDefault="009D6B87">
      <w:pPr>
        <w:pStyle w:val="FootnoteText"/>
      </w:pPr>
      <w:r>
        <w:rPr>
          <w:rStyle w:val="FootnoteReference"/>
        </w:rPr>
        <w:footnoteRef/>
      </w:r>
      <w:r>
        <w:t xml:space="preserve"> </w:t>
      </w:r>
      <w:hyperlink r:id="rId1" w:history="1">
        <w:r w:rsidRPr="00E54E33">
          <w:rPr>
            <w:rStyle w:val="Hyperlink"/>
          </w:rPr>
          <w:t>https://www.gov.uk/government/publications/guidance-on-pharmacovigilance-procedures/guidance-on-pharmacovigilance-procedures</w:t>
        </w:r>
      </w:hyperlink>
      <w:r>
        <w:t xml:space="preserve">; </w:t>
      </w:r>
      <w:hyperlink r:id="rId2" w:history="1">
        <w:r w:rsidRPr="00E54E33">
          <w:rPr>
            <w:rStyle w:val="Hyperlink"/>
          </w:rPr>
          <w:t>https://www.gov.uk/government/publications/exceptions-and-modifications-to-the-eu-guidance-on-good-pharmacovigilance-practices-that-will-apply-to-uk-mahs-and-the-mhra</w:t>
        </w:r>
      </w:hyperlink>
    </w:p>
  </w:footnote>
  <w:footnote w:id="4">
    <w:p w14:paraId="0A74814B" w14:textId="619E2066" w:rsidR="009D6B87" w:rsidRDefault="009D6B87">
      <w:pPr>
        <w:pStyle w:val="FootnoteText"/>
      </w:pPr>
      <w:r>
        <w:rPr>
          <w:rStyle w:val="FootnoteReference"/>
        </w:rPr>
        <w:footnoteRef/>
      </w:r>
      <w:r>
        <w:t xml:space="preserve"> </w:t>
      </w:r>
      <w:r w:rsidRPr="009D6B87">
        <w:t>https://www.gov.uk/government/publications/exceptions-and-modifications-to-the-eu-guidance-on-good-pharmacovigilance-practices-that-will-apply-to-uk-mahs-and-the-mhra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3438" w14:textId="77777777" w:rsidR="000E42D1" w:rsidRDefault="000E42D1">
    <w:pPr>
      <w:pStyle w:val="Header"/>
    </w:pPr>
    <w:r>
      <w:rPr>
        <w:noProof/>
        <w:lang w:val="en-GB" w:eastAsia="en-GB"/>
      </w:rPr>
      <w:drawing>
        <wp:anchor distT="0" distB="0" distL="114300" distR="114300" simplePos="0" relativeHeight="251657728" behindDoc="1" locked="0" layoutInCell="1" allowOverlap="1" wp14:anchorId="4E2376CD" wp14:editId="4191715C">
          <wp:simplePos x="0" y="0"/>
          <wp:positionH relativeFrom="page">
            <wp:posOffset>0</wp:posOffset>
          </wp:positionH>
          <wp:positionV relativeFrom="page">
            <wp:posOffset>12065</wp:posOffset>
          </wp:positionV>
          <wp:extent cx="7559040" cy="1136650"/>
          <wp:effectExtent l="0" t="0" r="381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C24A" w14:textId="08B953C7" w:rsidR="000E42D1" w:rsidRDefault="000E42D1" w:rsidP="00F401AF">
    <w:pPr>
      <w:pStyle w:val="Header"/>
      <w:tabs>
        <w:tab w:val="clear" w:pos="4320"/>
        <w:tab w:val="clear" w:pos="8640"/>
        <w:tab w:val="left" w:pos="6940"/>
      </w:tabs>
    </w:pPr>
  </w:p>
  <w:p w14:paraId="48CFA414" w14:textId="77777777" w:rsidR="000E42D1" w:rsidRDefault="000E42D1" w:rsidP="00F401AF">
    <w:pPr>
      <w:pStyle w:val="Header"/>
      <w:tabs>
        <w:tab w:val="clear" w:pos="4320"/>
        <w:tab w:val="clear" w:pos="8640"/>
        <w:tab w:val="left" w:pos="6940"/>
      </w:tabs>
    </w:pPr>
  </w:p>
  <w:p w14:paraId="49FC1674" w14:textId="77777777" w:rsidR="000E42D1" w:rsidRDefault="000E42D1" w:rsidP="00F401AF">
    <w:pPr>
      <w:pStyle w:val="Header"/>
      <w:tabs>
        <w:tab w:val="clear" w:pos="4320"/>
        <w:tab w:val="clear" w:pos="8640"/>
        <w:tab w:val="left" w:pos="69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D358" w14:textId="77777777" w:rsidR="000E42D1" w:rsidRDefault="000E42D1" w:rsidP="00EF5B9F">
    <w:r>
      <w:rPr>
        <w:noProof/>
        <w:lang w:val="en-GB" w:eastAsia="en-GB"/>
      </w:rPr>
      <mc:AlternateContent>
        <mc:Choice Requires="wps">
          <w:drawing>
            <wp:anchor distT="0" distB="0" distL="0" distR="0" simplePos="0" relativeHeight="251656704" behindDoc="0" locked="0" layoutInCell="1" allowOverlap="0" wp14:anchorId="2F6288F8" wp14:editId="722D57C6">
              <wp:simplePos x="0" y="0"/>
              <wp:positionH relativeFrom="page">
                <wp:posOffset>0</wp:posOffset>
              </wp:positionH>
              <wp:positionV relativeFrom="page">
                <wp:posOffset>0</wp:posOffset>
              </wp:positionV>
              <wp:extent cx="7551420" cy="1252855"/>
              <wp:effectExtent l="0" t="0" r="11430" b="4445"/>
              <wp:wrapSquare wrapText="r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931D6" id="Rectangle 7" o:spid="_x0000_s1026" style="position:absolute;margin-left:0;margin-top:0;width:594.6pt;height:9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" o:allowoverlap="f" filled="f" stroked="f">
              <v:textbox inset="0,0,0,0"/>
              <w10:wrap type="square" side="right" anchorx="page" anchory="page"/>
            </v:rect>
          </w:pict>
        </mc:Fallback>
      </mc:AlternateContent>
    </w:r>
    <w:r>
      <w:rPr>
        <w:noProof/>
        <w:lang w:val="en-GB" w:eastAsia="en-GB"/>
      </w:rPr>
      <w:drawing>
        <wp:anchor distT="0" distB="0" distL="114300" distR="114300" simplePos="0" relativeHeight="251655680" behindDoc="1" locked="0" layoutInCell="1" allowOverlap="1" wp14:anchorId="508D4449" wp14:editId="56817A03">
          <wp:simplePos x="0" y="0"/>
          <wp:positionH relativeFrom="page">
            <wp:posOffset>0</wp:posOffset>
          </wp:positionH>
          <wp:positionV relativeFrom="page">
            <wp:posOffset>-6985</wp:posOffset>
          </wp:positionV>
          <wp:extent cx="7559040" cy="1136650"/>
          <wp:effectExtent l="0" t="0" r="3810" b="635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6D5"/>
    <w:multiLevelType w:val="hybridMultilevel"/>
    <w:tmpl w:val="1CB830B8"/>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5C0C69"/>
    <w:multiLevelType w:val="hybridMultilevel"/>
    <w:tmpl w:val="B0EE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5CE7"/>
    <w:multiLevelType w:val="hybridMultilevel"/>
    <w:tmpl w:val="87B8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4"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E063D7A"/>
    <w:multiLevelType w:val="hybridMultilevel"/>
    <w:tmpl w:val="5B8A1330"/>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Verdana" w:eastAsia="Verdana" w:hAnsi="Verdana"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904FF7"/>
    <w:multiLevelType w:val="multilevel"/>
    <w:tmpl w:val="A02E93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5346C"/>
    <w:multiLevelType w:val="hybridMultilevel"/>
    <w:tmpl w:val="B31EFF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C6EBA"/>
    <w:multiLevelType w:val="hybridMultilevel"/>
    <w:tmpl w:val="29C6F1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3C2D25"/>
    <w:multiLevelType w:val="hybridMultilevel"/>
    <w:tmpl w:val="1974B6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8A2920"/>
    <w:multiLevelType w:val="multilevel"/>
    <w:tmpl w:val="A02E932A"/>
    <w:numStyleLink w:val="BulletsAgency"/>
  </w:abstractNum>
  <w:abstractNum w:abstractNumId="11" w15:restartNumberingAfterBreak="0">
    <w:nsid w:val="14E3753F"/>
    <w:multiLevelType w:val="hybridMultilevel"/>
    <w:tmpl w:val="78B2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1777E"/>
    <w:multiLevelType w:val="multilevel"/>
    <w:tmpl w:val="ADA62728"/>
    <w:lvl w:ilvl="0">
      <w:start w:val="1"/>
      <w:numFmt w:val="decimal"/>
      <w:lvlText w:val="SVII.%1."/>
      <w:lvlJc w:val="left"/>
      <w:pPr>
        <w:ind w:left="1070" w:hanging="360"/>
      </w:pPr>
      <w:rPr>
        <w:b/>
        <w:sz w:val="22"/>
        <w:szCs w:val="22"/>
      </w:rPr>
    </w:lvl>
    <w:lvl w:ilvl="1">
      <w:start w:val="1"/>
      <w:numFmt w:val="decimal"/>
      <w:lvlText w:val="SVII.%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2917A1"/>
    <w:multiLevelType w:val="multilevel"/>
    <w:tmpl w:val="A02E932A"/>
    <w:numStyleLink w:val="BulletsAgency"/>
  </w:abstractNum>
  <w:abstractNum w:abstractNumId="14" w15:restartNumberingAfterBreak="0">
    <w:nsid w:val="1F582B52"/>
    <w:multiLevelType w:val="multilevel"/>
    <w:tmpl w:val="A02E932A"/>
    <w:numStyleLink w:val="BulletsAgency"/>
  </w:abstractNum>
  <w:abstractNum w:abstractNumId="15" w15:restartNumberingAfterBreak="0">
    <w:nsid w:val="20B9241E"/>
    <w:multiLevelType w:val="hybridMultilevel"/>
    <w:tmpl w:val="97DAEA5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11136C2"/>
    <w:multiLevelType w:val="hybridMultilevel"/>
    <w:tmpl w:val="23A24A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2916B7"/>
    <w:multiLevelType w:val="hybridMultilevel"/>
    <w:tmpl w:val="356A7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3855A5B"/>
    <w:multiLevelType w:val="hybridMultilevel"/>
    <w:tmpl w:val="D9203D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601F91"/>
    <w:multiLevelType w:val="multilevel"/>
    <w:tmpl w:val="845E9DA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DF3D53"/>
    <w:multiLevelType w:val="hybridMultilevel"/>
    <w:tmpl w:val="30602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653638"/>
    <w:multiLevelType w:val="hybridMultilevel"/>
    <w:tmpl w:val="9920E7E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F7767D9"/>
    <w:multiLevelType w:val="multilevel"/>
    <w:tmpl w:val="A02E932A"/>
    <w:numStyleLink w:val="BulletsAgency"/>
  </w:abstractNum>
  <w:abstractNum w:abstractNumId="23" w15:restartNumberingAfterBreak="0">
    <w:nsid w:val="3FD342E7"/>
    <w:multiLevelType w:val="hybridMultilevel"/>
    <w:tmpl w:val="AA7CFB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571151"/>
    <w:multiLevelType w:val="hybridMultilevel"/>
    <w:tmpl w:val="FCCEF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7A375B"/>
    <w:multiLevelType w:val="multilevel"/>
    <w:tmpl w:val="A02E932A"/>
    <w:numStyleLink w:val="BulletsAgency"/>
  </w:abstractNum>
  <w:abstractNum w:abstractNumId="26" w15:restartNumberingAfterBreak="0">
    <w:nsid w:val="50797BF6"/>
    <w:multiLevelType w:val="hybridMultilevel"/>
    <w:tmpl w:val="9F1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14FD7"/>
    <w:multiLevelType w:val="hybridMultilevel"/>
    <w:tmpl w:val="2744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B1728"/>
    <w:multiLevelType w:val="hybridMultilevel"/>
    <w:tmpl w:val="0494E8B8"/>
    <w:lvl w:ilvl="0" w:tplc="FFFFFFFF">
      <w:start w:val="1"/>
      <w:numFmt w:val="bullet"/>
      <w:lvlText w:val=""/>
      <w:lvlJc w:val="left"/>
      <w:pPr>
        <w:ind w:left="858" w:hanging="360"/>
      </w:pPr>
      <w:rPr>
        <w:rFonts w:ascii="Symbol" w:hAnsi="Symbol" w:hint="default"/>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29" w15:restartNumberingAfterBreak="0">
    <w:nsid w:val="54B5589F"/>
    <w:multiLevelType w:val="multilevel"/>
    <w:tmpl w:val="A02E932A"/>
    <w:numStyleLink w:val="BulletsAgency"/>
  </w:abstractNum>
  <w:abstractNum w:abstractNumId="30" w15:restartNumberingAfterBreak="0">
    <w:nsid w:val="554B788F"/>
    <w:multiLevelType w:val="multilevel"/>
    <w:tmpl w:val="A02E932A"/>
    <w:numStyleLink w:val="BulletsAgency"/>
  </w:abstractNum>
  <w:abstractNum w:abstractNumId="31" w15:restartNumberingAfterBreak="0">
    <w:nsid w:val="55B00EA9"/>
    <w:multiLevelType w:val="hybridMultilevel"/>
    <w:tmpl w:val="D19C0782"/>
    <w:lvl w:ilvl="0" w:tplc="FFFFFFFF">
      <w:start w:val="1"/>
      <w:numFmt w:val="bullet"/>
      <w:pStyle w:val="TOCHeading2"/>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333130"/>
    <w:multiLevelType w:val="hybridMultilevel"/>
    <w:tmpl w:val="9B80FC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9880594"/>
    <w:multiLevelType w:val="hybridMultilevel"/>
    <w:tmpl w:val="3CC6DA4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5C310C62"/>
    <w:multiLevelType w:val="multilevel"/>
    <w:tmpl w:val="A02E932A"/>
    <w:numStyleLink w:val="BulletsAgency"/>
  </w:abstractNum>
  <w:abstractNum w:abstractNumId="35" w15:restartNumberingAfterBreak="0">
    <w:nsid w:val="658B497D"/>
    <w:multiLevelType w:val="hybridMultilevel"/>
    <w:tmpl w:val="0ED20F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8D2D09"/>
    <w:multiLevelType w:val="hybridMultilevel"/>
    <w:tmpl w:val="B9E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03B76"/>
    <w:multiLevelType w:val="hybridMultilevel"/>
    <w:tmpl w:val="CA7EC250"/>
    <w:lvl w:ilvl="0" w:tplc="FFFFFFFF">
      <w:start w:val="1"/>
      <w:numFmt w:val="bullet"/>
      <w:lvlText w:val=""/>
      <w:lvlJc w:val="left"/>
      <w:pPr>
        <w:ind w:left="858" w:hanging="360"/>
      </w:pPr>
      <w:rPr>
        <w:rFonts w:ascii="Symbol" w:hAnsi="Symbol" w:hint="default"/>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38" w15:restartNumberingAfterBreak="0">
    <w:nsid w:val="74257123"/>
    <w:multiLevelType w:val="hybridMultilevel"/>
    <w:tmpl w:val="19F6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486D7E"/>
    <w:multiLevelType w:val="multilevel"/>
    <w:tmpl w:val="A02E932A"/>
    <w:numStyleLink w:val="BulletsAgency"/>
  </w:abstractNum>
  <w:abstractNum w:abstractNumId="40" w15:restartNumberingAfterBreak="0">
    <w:nsid w:val="7EEB4F49"/>
    <w:multiLevelType w:val="hybridMultilevel"/>
    <w:tmpl w:val="CE1C9CF8"/>
    <w:lvl w:ilvl="0" w:tplc="4E6CEA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BC2408"/>
    <w:multiLevelType w:val="hybridMultilevel"/>
    <w:tmpl w:val="DAB4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40"/>
  </w:num>
  <w:num w:numId="4">
    <w:abstractNumId w:val="33"/>
  </w:num>
  <w:num w:numId="5">
    <w:abstractNumId w:val="2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8"/>
  </w:num>
  <w:num w:numId="9">
    <w:abstractNumId w:val="3"/>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4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1"/>
  </w:num>
  <w:num w:numId="29">
    <w:abstractNumId w:val="20"/>
  </w:num>
  <w:num w:numId="30">
    <w:abstractNumId w:val="5"/>
  </w:num>
  <w:num w:numId="31">
    <w:abstractNumId w:val="23"/>
  </w:num>
  <w:num w:numId="32">
    <w:abstractNumId w:val="32"/>
  </w:num>
  <w:num w:numId="33">
    <w:abstractNumId w:val="16"/>
  </w:num>
  <w:num w:numId="34">
    <w:abstractNumId w:val="8"/>
  </w:num>
  <w:num w:numId="35">
    <w:abstractNumId w:val="18"/>
  </w:num>
  <w:num w:numId="36">
    <w:abstractNumId w:val="31"/>
  </w:num>
  <w:num w:numId="37">
    <w:abstractNumId w:val="6"/>
  </w:num>
  <w:num w:numId="38">
    <w:abstractNumId w:val="28"/>
  </w:num>
  <w:num w:numId="39">
    <w:abstractNumId w:val="9"/>
  </w:num>
  <w:num w:numId="40">
    <w:abstractNumId w:val="35"/>
  </w:num>
  <w:num w:numId="41">
    <w:abstractNumId w:val="37"/>
  </w:num>
  <w:num w:numId="42">
    <w:abstractNumId w:val="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4A"/>
    <w:rsid w:val="00003E90"/>
    <w:rsid w:val="00005841"/>
    <w:rsid w:val="000305F9"/>
    <w:rsid w:val="00031B77"/>
    <w:rsid w:val="00035691"/>
    <w:rsid w:val="00040154"/>
    <w:rsid w:val="00040D3D"/>
    <w:rsid w:val="00052322"/>
    <w:rsid w:val="0005747E"/>
    <w:rsid w:val="000574CC"/>
    <w:rsid w:val="00060AF7"/>
    <w:rsid w:val="000657B4"/>
    <w:rsid w:val="00065D51"/>
    <w:rsid w:val="000665F7"/>
    <w:rsid w:val="000756CF"/>
    <w:rsid w:val="00077FD0"/>
    <w:rsid w:val="000831A0"/>
    <w:rsid w:val="00091966"/>
    <w:rsid w:val="00093236"/>
    <w:rsid w:val="0009381E"/>
    <w:rsid w:val="00094960"/>
    <w:rsid w:val="000954D2"/>
    <w:rsid w:val="00096651"/>
    <w:rsid w:val="000A1483"/>
    <w:rsid w:val="000B14DE"/>
    <w:rsid w:val="000B1B0E"/>
    <w:rsid w:val="000B2751"/>
    <w:rsid w:val="000B602B"/>
    <w:rsid w:val="000B6940"/>
    <w:rsid w:val="000C3A0D"/>
    <w:rsid w:val="000C3CBC"/>
    <w:rsid w:val="000C55C1"/>
    <w:rsid w:val="000D0A39"/>
    <w:rsid w:val="000D66ED"/>
    <w:rsid w:val="000E42D1"/>
    <w:rsid w:val="000E690A"/>
    <w:rsid w:val="000F0560"/>
    <w:rsid w:val="00100D1B"/>
    <w:rsid w:val="00101B6A"/>
    <w:rsid w:val="00111DC1"/>
    <w:rsid w:val="00114B39"/>
    <w:rsid w:val="001150C8"/>
    <w:rsid w:val="00137AC3"/>
    <w:rsid w:val="001411FD"/>
    <w:rsid w:val="00143FAF"/>
    <w:rsid w:val="00150D7B"/>
    <w:rsid w:val="00156DAA"/>
    <w:rsid w:val="001642C8"/>
    <w:rsid w:val="00171E29"/>
    <w:rsid w:val="0017445C"/>
    <w:rsid w:val="0017560A"/>
    <w:rsid w:val="00175D56"/>
    <w:rsid w:val="001879DC"/>
    <w:rsid w:val="00190708"/>
    <w:rsid w:val="00193683"/>
    <w:rsid w:val="001A6710"/>
    <w:rsid w:val="001A6E7F"/>
    <w:rsid w:val="001B135C"/>
    <w:rsid w:val="001B433B"/>
    <w:rsid w:val="001B6EFC"/>
    <w:rsid w:val="001C773B"/>
    <w:rsid w:val="001D0684"/>
    <w:rsid w:val="001D2CA0"/>
    <w:rsid w:val="001E2B33"/>
    <w:rsid w:val="001E5072"/>
    <w:rsid w:val="002024A3"/>
    <w:rsid w:val="00203B0B"/>
    <w:rsid w:val="00214994"/>
    <w:rsid w:val="002157CA"/>
    <w:rsid w:val="002210AE"/>
    <w:rsid w:val="0022685D"/>
    <w:rsid w:val="00226D10"/>
    <w:rsid w:val="0023185F"/>
    <w:rsid w:val="00234225"/>
    <w:rsid w:val="00243CA2"/>
    <w:rsid w:val="00245120"/>
    <w:rsid w:val="00245C96"/>
    <w:rsid w:val="002566A4"/>
    <w:rsid w:val="002627E9"/>
    <w:rsid w:val="002647D6"/>
    <w:rsid w:val="00264822"/>
    <w:rsid w:val="00267E75"/>
    <w:rsid w:val="00275307"/>
    <w:rsid w:val="00286758"/>
    <w:rsid w:val="002874A8"/>
    <w:rsid w:val="0029178F"/>
    <w:rsid w:val="002951A6"/>
    <w:rsid w:val="002A07B7"/>
    <w:rsid w:val="002A2FF8"/>
    <w:rsid w:val="002A5167"/>
    <w:rsid w:val="002C4DFC"/>
    <w:rsid w:val="002D6BD8"/>
    <w:rsid w:val="00304676"/>
    <w:rsid w:val="00314D14"/>
    <w:rsid w:val="00315FB6"/>
    <w:rsid w:val="00331045"/>
    <w:rsid w:val="0033154F"/>
    <w:rsid w:val="00346835"/>
    <w:rsid w:val="00355727"/>
    <w:rsid w:val="003568F9"/>
    <w:rsid w:val="003677DD"/>
    <w:rsid w:val="00393088"/>
    <w:rsid w:val="003A3408"/>
    <w:rsid w:val="003A48FA"/>
    <w:rsid w:val="003A61D5"/>
    <w:rsid w:val="003B5C9A"/>
    <w:rsid w:val="003C3D4B"/>
    <w:rsid w:val="003C625C"/>
    <w:rsid w:val="003D1FB7"/>
    <w:rsid w:val="003D5CB6"/>
    <w:rsid w:val="003D6DF4"/>
    <w:rsid w:val="003F4759"/>
    <w:rsid w:val="00402CF6"/>
    <w:rsid w:val="00402FCE"/>
    <w:rsid w:val="0041239A"/>
    <w:rsid w:val="00416B43"/>
    <w:rsid w:val="00420EF6"/>
    <w:rsid w:val="004309E3"/>
    <w:rsid w:val="00437C93"/>
    <w:rsid w:val="00450A74"/>
    <w:rsid w:val="00452FBA"/>
    <w:rsid w:val="00454383"/>
    <w:rsid w:val="004617D9"/>
    <w:rsid w:val="00461AA8"/>
    <w:rsid w:val="00462D6D"/>
    <w:rsid w:val="00463E38"/>
    <w:rsid w:val="004655A9"/>
    <w:rsid w:val="00467338"/>
    <w:rsid w:val="004702FA"/>
    <w:rsid w:val="00474F04"/>
    <w:rsid w:val="004779AC"/>
    <w:rsid w:val="00482E5D"/>
    <w:rsid w:val="00486640"/>
    <w:rsid w:val="00494A33"/>
    <w:rsid w:val="004971E7"/>
    <w:rsid w:val="00497E26"/>
    <w:rsid w:val="004A291D"/>
    <w:rsid w:val="004A52AD"/>
    <w:rsid w:val="004B6595"/>
    <w:rsid w:val="004C3EB0"/>
    <w:rsid w:val="004C7722"/>
    <w:rsid w:val="004D2F4A"/>
    <w:rsid w:val="004D497C"/>
    <w:rsid w:val="004D57FB"/>
    <w:rsid w:val="004D70AE"/>
    <w:rsid w:val="004F0E8D"/>
    <w:rsid w:val="004F3D8B"/>
    <w:rsid w:val="004F67FE"/>
    <w:rsid w:val="00501CCF"/>
    <w:rsid w:val="005135F5"/>
    <w:rsid w:val="0052318B"/>
    <w:rsid w:val="005231BA"/>
    <w:rsid w:val="005361AD"/>
    <w:rsid w:val="00536EFB"/>
    <w:rsid w:val="00541912"/>
    <w:rsid w:val="00546ACA"/>
    <w:rsid w:val="00550137"/>
    <w:rsid w:val="00556778"/>
    <w:rsid w:val="00562058"/>
    <w:rsid w:val="005660F4"/>
    <w:rsid w:val="00575086"/>
    <w:rsid w:val="00575B52"/>
    <w:rsid w:val="00587049"/>
    <w:rsid w:val="005906FC"/>
    <w:rsid w:val="005A04B6"/>
    <w:rsid w:val="005A5FD2"/>
    <w:rsid w:val="005A7746"/>
    <w:rsid w:val="005B37E4"/>
    <w:rsid w:val="005C04EC"/>
    <w:rsid w:val="005C098C"/>
    <w:rsid w:val="005C6E7A"/>
    <w:rsid w:val="005E1B72"/>
    <w:rsid w:val="005E7AC0"/>
    <w:rsid w:val="00601512"/>
    <w:rsid w:val="0061004C"/>
    <w:rsid w:val="00612769"/>
    <w:rsid w:val="006128DE"/>
    <w:rsid w:val="006128ED"/>
    <w:rsid w:val="00616281"/>
    <w:rsid w:val="00617C8E"/>
    <w:rsid w:val="0062720D"/>
    <w:rsid w:val="00637EA4"/>
    <w:rsid w:val="00643C90"/>
    <w:rsid w:val="0064483F"/>
    <w:rsid w:val="00652D6E"/>
    <w:rsid w:val="00657331"/>
    <w:rsid w:val="00664446"/>
    <w:rsid w:val="006661B0"/>
    <w:rsid w:val="0067679E"/>
    <w:rsid w:val="00676DA3"/>
    <w:rsid w:val="00681634"/>
    <w:rsid w:val="006A5344"/>
    <w:rsid w:val="006B3FDC"/>
    <w:rsid w:val="006C6846"/>
    <w:rsid w:val="006C74AA"/>
    <w:rsid w:val="006D1A08"/>
    <w:rsid w:val="006D26AF"/>
    <w:rsid w:val="00700916"/>
    <w:rsid w:val="0070284F"/>
    <w:rsid w:val="007028A7"/>
    <w:rsid w:val="007052C9"/>
    <w:rsid w:val="0070624A"/>
    <w:rsid w:val="0071275E"/>
    <w:rsid w:val="00722E61"/>
    <w:rsid w:val="00731643"/>
    <w:rsid w:val="00741178"/>
    <w:rsid w:val="00743D0F"/>
    <w:rsid w:val="0075035F"/>
    <w:rsid w:val="00750451"/>
    <w:rsid w:val="00755878"/>
    <w:rsid w:val="00761EA5"/>
    <w:rsid w:val="007657DE"/>
    <w:rsid w:val="00782D91"/>
    <w:rsid w:val="00784B2F"/>
    <w:rsid w:val="007877CC"/>
    <w:rsid w:val="007901B6"/>
    <w:rsid w:val="00790434"/>
    <w:rsid w:val="0079538A"/>
    <w:rsid w:val="007A0381"/>
    <w:rsid w:val="007A374B"/>
    <w:rsid w:val="007A4151"/>
    <w:rsid w:val="007A754F"/>
    <w:rsid w:val="007B1C7E"/>
    <w:rsid w:val="007C5EBA"/>
    <w:rsid w:val="007C6EB0"/>
    <w:rsid w:val="007D2F86"/>
    <w:rsid w:val="007D3490"/>
    <w:rsid w:val="007D7928"/>
    <w:rsid w:val="007F32A8"/>
    <w:rsid w:val="008015A0"/>
    <w:rsid w:val="0080623C"/>
    <w:rsid w:val="00806CB2"/>
    <w:rsid w:val="0081458A"/>
    <w:rsid w:val="008151DF"/>
    <w:rsid w:val="00817368"/>
    <w:rsid w:val="008266B3"/>
    <w:rsid w:val="0083071C"/>
    <w:rsid w:val="00842DD1"/>
    <w:rsid w:val="00844A99"/>
    <w:rsid w:val="00847204"/>
    <w:rsid w:val="0085170B"/>
    <w:rsid w:val="0085186D"/>
    <w:rsid w:val="0086250B"/>
    <w:rsid w:val="00863E6D"/>
    <w:rsid w:val="00876276"/>
    <w:rsid w:val="00881B40"/>
    <w:rsid w:val="00881F8E"/>
    <w:rsid w:val="00883369"/>
    <w:rsid w:val="00884803"/>
    <w:rsid w:val="008B49A3"/>
    <w:rsid w:val="008B6529"/>
    <w:rsid w:val="008C25C4"/>
    <w:rsid w:val="008C7858"/>
    <w:rsid w:val="008E4391"/>
    <w:rsid w:val="008F0E90"/>
    <w:rsid w:val="008F3192"/>
    <w:rsid w:val="008F7643"/>
    <w:rsid w:val="0090125C"/>
    <w:rsid w:val="009028A1"/>
    <w:rsid w:val="00905849"/>
    <w:rsid w:val="00916068"/>
    <w:rsid w:val="00917BD7"/>
    <w:rsid w:val="009276F8"/>
    <w:rsid w:val="00934AAB"/>
    <w:rsid w:val="00936909"/>
    <w:rsid w:val="009455DE"/>
    <w:rsid w:val="00950DFE"/>
    <w:rsid w:val="009546ED"/>
    <w:rsid w:val="00956352"/>
    <w:rsid w:val="0096462E"/>
    <w:rsid w:val="0097653C"/>
    <w:rsid w:val="00983F2D"/>
    <w:rsid w:val="009A7507"/>
    <w:rsid w:val="009B2B2C"/>
    <w:rsid w:val="009B6EF8"/>
    <w:rsid w:val="009C27A0"/>
    <w:rsid w:val="009C2B79"/>
    <w:rsid w:val="009D2607"/>
    <w:rsid w:val="009D3B44"/>
    <w:rsid w:val="009D4DAC"/>
    <w:rsid w:val="009D5B4D"/>
    <w:rsid w:val="009D675D"/>
    <w:rsid w:val="009D6B87"/>
    <w:rsid w:val="009E5BEB"/>
    <w:rsid w:val="009F6700"/>
    <w:rsid w:val="00A00B08"/>
    <w:rsid w:val="00A00D9D"/>
    <w:rsid w:val="00A01932"/>
    <w:rsid w:val="00A16DAE"/>
    <w:rsid w:val="00A3406C"/>
    <w:rsid w:val="00A41E20"/>
    <w:rsid w:val="00A4246D"/>
    <w:rsid w:val="00A445E4"/>
    <w:rsid w:val="00A4794C"/>
    <w:rsid w:val="00A508B6"/>
    <w:rsid w:val="00A50CF0"/>
    <w:rsid w:val="00A51496"/>
    <w:rsid w:val="00A57D38"/>
    <w:rsid w:val="00A66CE6"/>
    <w:rsid w:val="00A7053C"/>
    <w:rsid w:val="00A70669"/>
    <w:rsid w:val="00A73566"/>
    <w:rsid w:val="00A762E9"/>
    <w:rsid w:val="00AA336D"/>
    <w:rsid w:val="00AB1A60"/>
    <w:rsid w:val="00AB7608"/>
    <w:rsid w:val="00AB7919"/>
    <w:rsid w:val="00AC2C80"/>
    <w:rsid w:val="00AC31D5"/>
    <w:rsid w:val="00AC7E2C"/>
    <w:rsid w:val="00AD01C3"/>
    <w:rsid w:val="00AD216C"/>
    <w:rsid w:val="00AD6587"/>
    <w:rsid w:val="00AF27EB"/>
    <w:rsid w:val="00AF419C"/>
    <w:rsid w:val="00B021CA"/>
    <w:rsid w:val="00B03A97"/>
    <w:rsid w:val="00B0580F"/>
    <w:rsid w:val="00B14708"/>
    <w:rsid w:val="00B1740A"/>
    <w:rsid w:val="00B34454"/>
    <w:rsid w:val="00B35956"/>
    <w:rsid w:val="00B50293"/>
    <w:rsid w:val="00B5466F"/>
    <w:rsid w:val="00B56A53"/>
    <w:rsid w:val="00B74A52"/>
    <w:rsid w:val="00B80C77"/>
    <w:rsid w:val="00B851E3"/>
    <w:rsid w:val="00BA02AB"/>
    <w:rsid w:val="00BA2DBC"/>
    <w:rsid w:val="00BB261A"/>
    <w:rsid w:val="00BB3755"/>
    <w:rsid w:val="00BC5A9D"/>
    <w:rsid w:val="00BC632A"/>
    <w:rsid w:val="00BD24D2"/>
    <w:rsid w:val="00BD404B"/>
    <w:rsid w:val="00BE102A"/>
    <w:rsid w:val="00BE371E"/>
    <w:rsid w:val="00BE5156"/>
    <w:rsid w:val="00BF0B78"/>
    <w:rsid w:val="00BF0BB7"/>
    <w:rsid w:val="00BF331B"/>
    <w:rsid w:val="00BF3F9F"/>
    <w:rsid w:val="00C13DA5"/>
    <w:rsid w:val="00C17145"/>
    <w:rsid w:val="00C416CE"/>
    <w:rsid w:val="00C45F58"/>
    <w:rsid w:val="00C54455"/>
    <w:rsid w:val="00C54BE2"/>
    <w:rsid w:val="00C55496"/>
    <w:rsid w:val="00C62764"/>
    <w:rsid w:val="00C62CAA"/>
    <w:rsid w:val="00C637BF"/>
    <w:rsid w:val="00C70333"/>
    <w:rsid w:val="00C73591"/>
    <w:rsid w:val="00C73E1C"/>
    <w:rsid w:val="00C73E92"/>
    <w:rsid w:val="00C75897"/>
    <w:rsid w:val="00CA3746"/>
    <w:rsid w:val="00CB4522"/>
    <w:rsid w:val="00CB5A01"/>
    <w:rsid w:val="00CC5857"/>
    <w:rsid w:val="00CD32C5"/>
    <w:rsid w:val="00CD5AF3"/>
    <w:rsid w:val="00CD6291"/>
    <w:rsid w:val="00CE1379"/>
    <w:rsid w:val="00CE1E1F"/>
    <w:rsid w:val="00CE6441"/>
    <w:rsid w:val="00CF17C3"/>
    <w:rsid w:val="00CF5838"/>
    <w:rsid w:val="00CF5B42"/>
    <w:rsid w:val="00D355F1"/>
    <w:rsid w:val="00D542E5"/>
    <w:rsid w:val="00D579C6"/>
    <w:rsid w:val="00D62A42"/>
    <w:rsid w:val="00D84214"/>
    <w:rsid w:val="00D87518"/>
    <w:rsid w:val="00D9253F"/>
    <w:rsid w:val="00DA346A"/>
    <w:rsid w:val="00DA4663"/>
    <w:rsid w:val="00DA49E2"/>
    <w:rsid w:val="00DA4C7A"/>
    <w:rsid w:val="00DB35F7"/>
    <w:rsid w:val="00DC1242"/>
    <w:rsid w:val="00DC780C"/>
    <w:rsid w:val="00DD0D11"/>
    <w:rsid w:val="00DE4A93"/>
    <w:rsid w:val="00DF06D7"/>
    <w:rsid w:val="00E0089D"/>
    <w:rsid w:val="00E05E1A"/>
    <w:rsid w:val="00E13CD5"/>
    <w:rsid w:val="00E13E3D"/>
    <w:rsid w:val="00E14E92"/>
    <w:rsid w:val="00E2051B"/>
    <w:rsid w:val="00E20889"/>
    <w:rsid w:val="00E2333A"/>
    <w:rsid w:val="00E23799"/>
    <w:rsid w:val="00E25BBA"/>
    <w:rsid w:val="00E31BB3"/>
    <w:rsid w:val="00E370A1"/>
    <w:rsid w:val="00E41E2A"/>
    <w:rsid w:val="00E41ECC"/>
    <w:rsid w:val="00E454F2"/>
    <w:rsid w:val="00E526A6"/>
    <w:rsid w:val="00E61748"/>
    <w:rsid w:val="00E64536"/>
    <w:rsid w:val="00E64866"/>
    <w:rsid w:val="00E660CD"/>
    <w:rsid w:val="00E75AA7"/>
    <w:rsid w:val="00E8197C"/>
    <w:rsid w:val="00E83CB7"/>
    <w:rsid w:val="00E84A02"/>
    <w:rsid w:val="00E95897"/>
    <w:rsid w:val="00EA26B9"/>
    <w:rsid w:val="00EA50AA"/>
    <w:rsid w:val="00EB273C"/>
    <w:rsid w:val="00EB3ECD"/>
    <w:rsid w:val="00EB5CE0"/>
    <w:rsid w:val="00EB6BE5"/>
    <w:rsid w:val="00EC212A"/>
    <w:rsid w:val="00EC6DF3"/>
    <w:rsid w:val="00ED1FAE"/>
    <w:rsid w:val="00ED4E46"/>
    <w:rsid w:val="00ED591D"/>
    <w:rsid w:val="00EE2371"/>
    <w:rsid w:val="00EE51E1"/>
    <w:rsid w:val="00EE767E"/>
    <w:rsid w:val="00EF4256"/>
    <w:rsid w:val="00EF5B9F"/>
    <w:rsid w:val="00EF791B"/>
    <w:rsid w:val="00F02F83"/>
    <w:rsid w:val="00F04CF7"/>
    <w:rsid w:val="00F1007A"/>
    <w:rsid w:val="00F2765B"/>
    <w:rsid w:val="00F32AFA"/>
    <w:rsid w:val="00F372CE"/>
    <w:rsid w:val="00F401AF"/>
    <w:rsid w:val="00F41412"/>
    <w:rsid w:val="00F47BCF"/>
    <w:rsid w:val="00F50861"/>
    <w:rsid w:val="00F603B0"/>
    <w:rsid w:val="00F60B3B"/>
    <w:rsid w:val="00F61163"/>
    <w:rsid w:val="00F66138"/>
    <w:rsid w:val="00F8158A"/>
    <w:rsid w:val="00F8169B"/>
    <w:rsid w:val="00F82937"/>
    <w:rsid w:val="00F90F4A"/>
    <w:rsid w:val="00F919A0"/>
    <w:rsid w:val="00F93746"/>
    <w:rsid w:val="00F9572A"/>
    <w:rsid w:val="00F957BC"/>
    <w:rsid w:val="00FA6B6F"/>
    <w:rsid w:val="00FA6EDC"/>
    <w:rsid w:val="00FB334C"/>
    <w:rsid w:val="00FC4D8D"/>
    <w:rsid w:val="00FC4F28"/>
    <w:rsid w:val="00FC6CD9"/>
    <w:rsid w:val="00FD06EB"/>
    <w:rsid w:val="00FD6303"/>
    <w:rsid w:val="00FF2AC4"/>
    <w:rsid w:val="00FF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B389"/>
  <w15:docId w15:val="{AC2A4ADF-9298-4F55-A6EB-545F4B2A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9F"/>
    <w:pPr>
      <w:spacing w:line="260" w:lineRule="exact"/>
    </w:pPr>
    <w:rPr>
      <w:rFonts w:ascii="Arial" w:hAnsi="Arial" w:cs="Arial"/>
      <w:sz w:val="22"/>
      <w:szCs w:val="22"/>
      <w:lang w:val="en-US" w:eastAsia="en-US"/>
    </w:rPr>
  </w:style>
  <w:style w:type="paragraph" w:styleId="Heading1">
    <w:name w:val="heading 1"/>
    <w:basedOn w:val="Normal"/>
    <w:next w:val="Normal"/>
    <w:link w:val="Heading1Char"/>
    <w:uiPriority w:val="9"/>
    <w:qFormat/>
    <w:rsid w:val="005A5F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numheading2Agency"/>
    <w:next w:val="BodytextAgency"/>
    <w:link w:val="Heading2Char"/>
    <w:qFormat/>
    <w:rsid w:val="0055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F9"/>
    <w:rPr>
      <w:rFonts w:ascii="Lucida Grande" w:hAnsi="Lucida Grande" w:cs="Lucida Grande"/>
      <w:sz w:val="18"/>
      <w:szCs w:val="18"/>
    </w:rPr>
  </w:style>
  <w:style w:type="character" w:customStyle="1" w:styleId="BalloonTextChar">
    <w:name w:val="Balloon Text Char"/>
    <w:link w:val="BalloonText"/>
    <w:uiPriority w:val="99"/>
    <w:semiHidden/>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iPriority w:val="99"/>
    <w:unhideWhenUsed/>
    <w:rsid w:val="005C04EC"/>
    <w:pPr>
      <w:tabs>
        <w:tab w:val="center" w:pos="4320"/>
        <w:tab w:val="right" w:pos="8640"/>
      </w:tabs>
      <w:spacing w:line="240" w:lineRule="auto"/>
    </w:pPr>
  </w:style>
  <w:style w:type="character" w:customStyle="1" w:styleId="HeaderChar">
    <w:name w:val="Header Char"/>
    <w:link w:val="Header"/>
    <w:uiPriority w:val="99"/>
    <w:rsid w:val="005C04EC"/>
    <w:rPr>
      <w:rFonts w:ascii="Arial" w:hAnsi="Arial" w:cs="Arial"/>
      <w:sz w:val="22"/>
      <w:szCs w:val="22"/>
    </w:rPr>
  </w:style>
  <w:style w:type="paragraph" w:styleId="Footer">
    <w:name w:val="footer"/>
    <w:basedOn w:val="Normal"/>
    <w:link w:val="FooterChar"/>
    <w:uiPriority w:val="99"/>
    <w:unhideWhenUsed/>
    <w:rsid w:val="005C04EC"/>
    <w:pPr>
      <w:tabs>
        <w:tab w:val="center" w:pos="4320"/>
        <w:tab w:val="right" w:pos="8640"/>
      </w:tabs>
      <w:spacing w:line="240" w:lineRule="auto"/>
    </w:pPr>
  </w:style>
  <w:style w:type="character" w:customStyle="1" w:styleId="FooterChar">
    <w:name w:val="Footer Char"/>
    <w:link w:val="Footer"/>
    <w:uiPriority w:val="99"/>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6661B0"/>
    <w:rPr>
      <w:b/>
      <w:bCs/>
      <w:color w:val="0F1290"/>
    </w:rPr>
  </w:style>
  <w:style w:type="character" w:styleId="Hyperlink">
    <w:name w:val="Hyperlink"/>
    <w:uiPriority w:val="99"/>
    <w:unhideWhenUsed/>
    <w:rsid w:val="0071275E"/>
    <w:rPr>
      <w:color w:val="0000FF"/>
      <w:u w:val="single"/>
    </w:rPr>
  </w:style>
  <w:style w:type="paragraph" w:customStyle="1" w:styleId="BodytextAgency">
    <w:name w:val="Body text (Agency)"/>
    <w:basedOn w:val="Normal"/>
    <w:link w:val="BodytextAgencyChar"/>
    <w:qFormat/>
    <w:rsid w:val="0071275E"/>
    <w:pPr>
      <w:spacing w:after="140" w:line="280" w:lineRule="atLeast"/>
    </w:pPr>
    <w:rPr>
      <w:rFonts w:ascii="Verdana" w:eastAsia="Verdana" w:hAnsi="Verdana" w:cs="Verdana"/>
      <w:sz w:val="18"/>
      <w:szCs w:val="18"/>
      <w:lang w:val="en-GB" w:eastAsia="en-GB"/>
    </w:rPr>
  </w:style>
  <w:style w:type="paragraph" w:styleId="TOC1">
    <w:name w:val="toc 1"/>
    <w:basedOn w:val="Normal"/>
    <w:next w:val="BodytextAgency"/>
    <w:autoRedefine/>
    <w:uiPriority w:val="39"/>
    <w:unhideWhenUsed/>
    <w:rsid w:val="0071275E"/>
    <w:pPr>
      <w:keepNext/>
      <w:tabs>
        <w:tab w:val="right" w:leader="dot" w:pos="9401"/>
      </w:tabs>
      <w:spacing w:before="140" w:after="57" w:line="240" w:lineRule="atLeast"/>
    </w:pPr>
    <w:rPr>
      <w:rFonts w:ascii="Verdana" w:eastAsia="Verdana" w:hAnsi="Verdana" w:cs="Verdana"/>
      <w:b/>
      <w:noProof/>
      <w:lang w:val="en-GB" w:eastAsia="en-GB"/>
    </w:rPr>
  </w:style>
  <w:style w:type="paragraph" w:styleId="TOC3">
    <w:name w:val="toc 3"/>
    <w:basedOn w:val="Normal"/>
    <w:next w:val="BodytextAgency"/>
    <w:autoRedefine/>
    <w:uiPriority w:val="39"/>
    <w:unhideWhenUsed/>
    <w:rsid w:val="0071275E"/>
    <w:pPr>
      <w:tabs>
        <w:tab w:val="right" w:leader="dot" w:pos="9401"/>
      </w:tabs>
      <w:spacing w:after="57" w:line="240" w:lineRule="atLeast"/>
    </w:pPr>
    <w:rPr>
      <w:rFonts w:ascii="Verdana" w:eastAsia="Verdana" w:hAnsi="Verdana" w:cs="Verdana"/>
      <w:noProof/>
      <w:sz w:val="20"/>
      <w:szCs w:val="18"/>
      <w:lang w:val="en-GB" w:eastAsia="en-GB"/>
    </w:rPr>
  </w:style>
  <w:style w:type="paragraph" w:customStyle="1" w:styleId="RefAgency">
    <w:name w:val="Ref. (Agency)"/>
    <w:basedOn w:val="Normal"/>
    <w:semiHidden/>
    <w:rsid w:val="0071275E"/>
    <w:pPr>
      <w:spacing w:line="240" w:lineRule="auto"/>
    </w:pPr>
    <w:rPr>
      <w:rFonts w:ascii="Verdana" w:eastAsia="Times New Roman" w:hAnsi="Verdana" w:cs="Times New Roman"/>
      <w:sz w:val="17"/>
      <w:szCs w:val="18"/>
      <w:lang w:val="en-GB" w:eastAsia="en-GB"/>
    </w:rPr>
  </w:style>
  <w:style w:type="paragraph" w:customStyle="1" w:styleId="No-numheading1Agency">
    <w:name w:val="No-num heading 1 (Agency)"/>
    <w:basedOn w:val="Normal"/>
    <w:next w:val="BodytextAgency"/>
    <w:rsid w:val="0071275E"/>
    <w:pPr>
      <w:keepNext/>
      <w:spacing w:before="280" w:after="220" w:line="240" w:lineRule="auto"/>
      <w:outlineLvl w:val="0"/>
    </w:pPr>
    <w:rPr>
      <w:rFonts w:ascii="Verdana" w:eastAsia="Verdana" w:hAnsi="Verdana"/>
      <w:b/>
      <w:bCs/>
      <w:kern w:val="32"/>
      <w:sz w:val="27"/>
      <w:szCs w:val="27"/>
      <w:lang w:val="en-GB" w:eastAsia="en-GB"/>
    </w:rPr>
  </w:style>
  <w:style w:type="paragraph" w:customStyle="1" w:styleId="No-TOCheadingAgency">
    <w:name w:val="No-TOC heading (Agency)"/>
    <w:basedOn w:val="Normal"/>
    <w:next w:val="Normal"/>
    <w:rsid w:val="0071275E"/>
    <w:pPr>
      <w:keepNext/>
      <w:spacing w:before="280" w:after="220" w:line="240" w:lineRule="auto"/>
    </w:pPr>
    <w:rPr>
      <w:rFonts w:ascii="Verdana" w:eastAsia="Times New Roman" w:hAnsi="Verdana"/>
      <w:b/>
      <w:kern w:val="32"/>
      <w:sz w:val="27"/>
      <w:szCs w:val="27"/>
      <w:lang w:val="en-GB" w:eastAsia="en-GB"/>
    </w:rPr>
  </w:style>
  <w:style w:type="character" w:customStyle="1" w:styleId="DraftingNotesAgencyChar">
    <w:name w:val="Drafting Notes (Agency) Char"/>
    <w:link w:val="DraftingNotesAgency"/>
    <w:locked/>
    <w:rsid w:val="0071275E"/>
    <w:rPr>
      <w:rFonts w:ascii="Courier New" w:eastAsia="Verdana" w:hAnsi="Courier New" w:cs="Courier New"/>
      <w:i/>
      <w:color w:val="339966"/>
      <w:sz w:val="22"/>
      <w:szCs w:val="18"/>
    </w:rPr>
  </w:style>
  <w:style w:type="paragraph" w:customStyle="1" w:styleId="DraftingNotesAgency">
    <w:name w:val="Drafting Notes (Agency)"/>
    <w:basedOn w:val="Normal"/>
    <w:next w:val="BodytextAgency"/>
    <w:link w:val="DraftingNotesAgencyChar"/>
    <w:qFormat/>
    <w:rsid w:val="0071275E"/>
    <w:pPr>
      <w:spacing w:after="140" w:line="280" w:lineRule="atLeast"/>
    </w:pPr>
    <w:rPr>
      <w:rFonts w:ascii="Courier New" w:eastAsia="Verdana" w:hAnsi="Courier New" w:cs="Courier New"/>
      <w:i/>
      <w:color w:val="339966"/>
      <w:szCs w:val="18"/>
      <w:lang w:val="en-GB" w:eastAsia="en-GB"/>
    </w:rPr>
  </w:style>
  <w:style w:type="paragraph" w:customStyle="1" w:styleId="No-numheading3Agency">
    <w:name w:val="No-num heading 3 (Agency)"/>
    <w:basedOn w:val="Normal"/>
    <w:next w:val="BodytextAgency"/>
    <w:qFormat/>
    <w:rsid w:val="0071275E"/>
    <w:pPr>
      <w:keepNext/>
      <w:spacing w:before="280" w:after="220" w:line="240" w:lineRule="auto"/>
      <w:outlineLvl w:val="2"/>
    </w:pPr>
    <w:rPr>
      <w:rFonts w:ascii="Verdana" w:eastAsia="Verdana" w:hAnsi="Verdana"/>
      <w:b/>
      <w:bCs/>
      <w:kern w:val="32"/>
      <w:lang w:val="en-GB" w:eastAsia="en-GB"/>
    </w:rPr>
  </w:style>
  <w:style w:type="paragraph" w:customStyle="1" w:styleId="TabletextrowsAgency">
    <w:name w:val="Table text rows (Agency)"/>
    <w:basedOn w:val="Normal"/>
    <w:link w:val="TabletextrowsAgencyChar"/>
    <w:qFormat/>
    <w:rsid w:val="0071275E"/>
    <w:pPr>
      <w:spacing w:line="280" w:lineRule="exact"/>
    </w:pPr>
    <w:rPr>
      <w:rFonts w:ascii="Verdana" w:eastAsia="Times New Roman" w:hAnsi="Verdana" w:cs="Verdana"/>
      <w:sz w:val="18"/>
      <w:szCs w:val="18"/>
      <w:lang w:val="en-GB" w:eastAsia="zh-CN"/>
    </w:rPr>
  </w:style>
  <w:style w:type="paragraph" w:styleId="ListParagraph">
    <w:name w:val="List Paragraph"/>
    <w:basedOn w:val="Normal"/>
    <w:uiPriority w:val="34"/>
    <w:qFormat/>
    <w:rsid w:val="00474F04"/>
    <w:pPr>
      <w:spacing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416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semiHidden/>
    <w:unhideWhenUsed/>
    <w:rsid w:val="005906FC"/>
    <w:rPr>
      <w:sz w:val="16"/>
      <w:szCs w:val="16"/>
    </w:rPr>
  </w:style>
  <w:style w:type="paragraph" w:styleId="CommentText">
    <w:name w:val="annotation text"/>
    <w:basedOn w:val="Normal"/>
    <w:link w:val="CommentTextChar"/>
    <w:uiPriority w:val="99"/>
    <w:semiHidden/>
    <w:unhideWhenUsed/>
    <w:rsid w:val="005906FC"/>
    <w:rPr>
      <w:sz w:val="20"/>
      <w:szCs w:val="20"/>
    </w:rPr>
  </w:style>
  <w:style w:type="character" w:customStyle="1" w:styleId="CommentTextChar">
    <w:name w:val="Comment Text Char"/>
    <w:link w:val="CommentText"/>
    <w:uiPriority w:val="99"/>
    <w:semiHidden/>
    <w:rsid w:val="005906FC"/>
    <w:rPr>
      <w:rFonts w:ascii="Arial" w:hAnsi="Arial" w:cs="Arial"/>
      <w:lang w:val="en-US" w:eastAsia="en-US"/>
    </w:rPr>
  </w:style>
  <w:style w:type="paragraph" w:customStyle="1" w:styleId="Default">
    <w:name w:val="Default"/>
    <w:rsid w:val="0017560A"/>
    <w:pPr>
      <w:autoSpaceDE w:val="0"/>
      <w:autoSpaceDN w:val="0"/>
      <w:adjustRightInd w:val="0"/>
    </w:pPr>
    <w:rPr>
      <w:rFonts w:ascii="Times New Roman" w:eastAsia="Times New Roman" w:hAnsi="Times New Roman"/>
      <w:color w:val="000000"/>
      <w:sz w:val="24"/>
      <w:szCs w:val="24"/>
    </w:rPr>
  </w:style>
  <w:style w:type="character" w:customStyle="1" w:styleId="Heading2Char">
    <w:name w:val="Heading 2 Char"/>
    <w:link w:val="Heading2"/>
    <w:rsid w:val="00550137"/>
    <w:rPr>
      <w:rFonts w:ascii="Verdana" w:eastAsia="Verdana" w:hAnsi="Verdana" w:cs="Arial"/>
      <w:b/>
      <w:bCs/>
      <w:i/>
      <w:kern w:val="32"/>
      <w:sz w:val="22"/>
      <w:szCs w:val="22"/>
    </w:rPr>
  </w:style>
  <w:style w:type="paragraph" w:customStyle="1" w:styleId="HeadingcentredAgency">
    <w:name w:val="Heading centred (Agency)"/>
    <w:basedOn w:val="Normal"/>
    <w:next w:val="BodytextAgency"/>
    <w:qFormat/>
    <w:rsid w:val="00550137"/>
    <w:pPr>
      <w:keepNext/>
      <w:spacing w:before="280" w:after="220" w:line="240" w:lineRule="auto"/>
      <w:jc w:val="center"/>
      <w:outlineLvl w:val="0"/>
    </w:pPr>
    <w:rPr>
      <w:rFonts w:ascii="Verdana" w:eastAsia="Verdana" w:hAnsi="Verdana"/>
      <w:b/>
      <w:bCs/>
      <w:kern w:val="32"/>
      <w:sz w:val="27"/>
      <w:szCs w:val="27"/>
      <w:lang w:val="en-GB" w:eastAsia="en-GB"/>
    </w:rPr>
  </w:style>
  <w:style w:type="numbering" w:customStyle="1" w:styleId="BulletsAgency">
    <w:name w:val="Bullets (Agency)"/>
    <w:basedOn w:val="NoList"/>
    <w:rsid w:val="00550137"/>
    <w:pPr>
      <w:numPr>
        <w:numId w:val="9"/>
      </w:numPr>
    </w:pPr>
  </w:style>
  <w:style w:type="paragraph" w:customStyle="1" w:styleId="DocsubtitleAgency">
    <w:name w:val="Doc subtitle (Agency)"/>
    <w:basedOn w:val="Normal"/>
    <w:next w:val="BodytextAgency"/>
    <w:qFormat/>
    <w:rsid w:val="00550137"/>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Normal"/>
    <w:next w:val="DocsubtitleAgency"/>
    <w:qFormat/>
    <w:rsid w:val="00550137"/>
    <w:pPr>
      <w:spacing w:before="720" w:line="360" w:lineRule="atLeast"/>
    </w:pPr>
    <w:rPr>
      <w:rFonts w:ascii="Verdana" w:eastAsia="Verdana" w:hAnsi="Verdana" w:cs="Verdana"/>
      <w:color w:val="003399"/>
      <w:sz w:val="32"/>
      <w:szCs w:val="32"/>
      <w:lang w:val="en-GB" w:eastAsia="en-GB"/>
    </w:rPr>
  </w:style>
  <w:style w:type="character" w:styleId="FootnoteReference">
    <w:name w:val="footnote reference"/>
    <w:rsid w:val="00550137"/>
    <w:rPr>
      <w:rFonts w:ascii="Verdana" w:hAnsi="Verdana"/>
      <w:vertAlign w:val="superscript"/>
    </w:rPr>
  </w:style>
  <w:style w:type="paragraph" w:styleId="FootnoteText">
    <w:name w:val="footnote text"/>
    <w:basedOn w:val="Normal"/>
    <w:link w:val="FootnoteTextChar"/>
    <w:rsid w:val="00550137"/>
    <w:pPr>
      <w:spacing w:line="240" w:lineRule="auto"/>
    </w:pPr>
    <w:rPr>
      <w:rFonts w:ascii="Verdana" w:eastAsia="Verdana" w:hAnsi="Verdana" w:cs="Verdana"/>
      <w:sz w:val="15"/>
      <w:szCs w:val="20"/>
      <w:lang w:val="en-GB" w:eastAsia="en-GB"/>
    </w:rPr>
  </w:style>
  <w:style w:type="character" w:customStyle="1" w:styleId="FootnoteTextChar">
    <w:name w:val="Footnote Text Char"/>
    <w:link w:val="FootnoteText"/>
    <w:rsid w:val="00550137"/>
    <w:rPr>
      <w:rFonts w:ascii="Verdana" w:eastAsia="Verdana" w:hAnsi="Verdana" w:cs="Verdana"/>
      <w:sz w:val="15"/>
    </w:rPr>
  </w:style>
  <w:style w:type="paragraph" w:customStyle="1" w:styleId="No-numheading2Agency">
    <w:name w:val="No-num heading 2 (Agency)"/>
    <w:basedOn w:val="Normal"/>
    <w:next w:val="BodytextAgency"/>
    <w:qFormat/>
    <w:rsid w:val="00550137"/>
    <w:pPr>
      <w:keepNext/>
      <w:spacing w:before="280" w:after="220" w:line="240" w:lineRule="auto"/>
      <w:outlineLvl w:val="1"/>
    </w:pPr>
    <w:rPr>
      <w:rFonts w:ascii="Verdana" w:eastAsia="Verdana" w:hAnsi="Verdana"/>
      <w:b/>
      <w:bCs/>
      <w:i/>
      <w:kern w:val="32"/>
      <w:lang w:val="en-GB" w:eastAsia="en-GB"/>
    </w:rPr>
  </w:style>
  <w:style w:type="paragraph" w:customStyle="1" w:styleId="No-numheading4Agency">
    <w:name w:val="No-num heading 4 (Agency)"/>
    <w:basedOn w:val="Normal"/>
    <w:next w:val="BodytextAgency"/>
    <w:qFormat/>
    <w:rsid w:val="00550137"/>
    <w:pPr>
      <w:keepNext/>
      <w:spacing w:before="280" w:after="220" w:line="240" w:lineRule="auto"/>
      <w:outlineLvl w:val="3"/>
    </w:pPr>
    <w:rPr>
      <w:rFonts w:ascii="Verdana" w:eastAsia="Verdana" w:hAnsi="Verdana"/>
      <w:b/>
      <w:bCs/>
      <w:i/>
      <w:kern w:val="32"/>
      <w:sz w:val="18"/>
      <w:szCs w:val="18"/>
      <w:lang w:val="en-GB" w:eastAsia="en-GB"/>
    </w:rPr>
  </w:style>
  <w:style w:type="paragraph" w:customStyle="1" w:styleId="No-numheading5Agency">
    <w:name w:val="No-num heading 5 (Agency)"/>
    <w:basedOn w:val="Normal"/>
    <w:next w:val="BodytextAgency"/>
    <w:qFormat/>
    <w:rsid w:val="00550137"/>
    <w:pPr>
      <w:keepNext/>
      <w:spacing w:before="280" w:after="220" w:line="240" w:lineRule="auto"/>
      <w:outlineLvl w:val="4"/>
    </w:pPr>
    <w:rPr>
      <w:rFonts w:ascii="Verdana" w:eastAsia="Verdana" w:hAnsi="Verdana"/>
      <w:b/>
      <w:bCs/>
      <w:kern w:val="32"/>
      <w:sz w:val="18"/>
      <w:szCs w:val="18"/>
      <w:lang w:val="en-GB" w:eastAsia="en-GB"/>
    </w:rPr>
  </w:style>
  <w:style w:type="paragraph" w:customStyle="1" w:styleId="TablefirstrowAgency">
    <w:name w:val="Table first row (Agency)"/>
    <w:basedOn w:val="BodytextAgency"/>
    <w:semiHidden/>
    <w:rsid w:val="00550137"/>
    <w:pPr>
      <w:keepNext/>
    </w:pPr>
    <w:rPr>
      <w:rFonts w:eastAsia="Times New Roman"/>
      <w:b/>
    </w:rPr>
  </w:style>
  <w:style w:type="paragraph" w:customStyle="1" w:styleId="TableheadingAgency">
    <w:name w:val="Table heading (Agency)"/>
    <w:basedOn w:val="Normal"/>
    <w:next w:val="BodytextAgency"/>
    <w:semiHidden/>
    <w:rsid w:val="00550137"/>
    <w:pPr>
      <w:keepNext/>
      <w:numPr>
        <w:numId w:val="13"/>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semiHidden/>
    <w:rsid w:val="00550137"/>
    <w:pPr>
      <w:keepNext/>
    </w:pPr>
    <w:rPr>
      <w:rFonts w:eastAsia="Times New Roman"/>
      <w:b/>
    </w:rPr>
  </w:style>
  <w:style w:type="character" w:customStyle="1" w:styleId="BodytextAgencyChar">
    <w:name w:val="Body text (Agency) Char"/>
    <w:link w:val="BodytextAgency"/>
    <w:locked/>
    <w:rsid w:val="00550137"/>
    <w:rPr>
      <w:rFonts w:ascii="Verdana" w:eastAsia="Verdana" w:hAnsi="Verdana" w:cs="Verdana"/>
      <w:sz w:val="18"/>
      <w:szCs w:val="18"/>
    </w:rPr>
  </w:style>
  <w:style w:type="paragraph" w:styleId="CommentSubject">
    <w:name w:val="annotation subject"/>
    <w:basedOn w:val="CommentText"/>
    <w:next w:val="CommentText"/>
    <w:link w:val="CommentSubjectChar"/>
    <w:uiPriority w:val="99"/>
    <w:semiHidden/>
    <w:unhideWhenUsed/>
    <w:rsid w:val="00AC31D5"/>
    <w:pPr>
      <w:spacing w:line="240" w:lineRule="auto"/>
    </w:pPr>
    <w:rPr>
      <w:b/>
      <w:bCs/>
    </w:rPr>
  </w:style>
  <w:style w:type="character" w:customStyle="1" w:styleId="CommentSubjectChar">
    <w:name w:val="Comment Subject Char"/>
    <w:basedOn w:val="CommentTextChar"/>
    <w:link w:val="CommentSubject"/>
    <w:uiPriority w:val="99"/>
    <w:semiHidden/>
    <w:rsid w:val="00AC31D5"/>
    <w:rPr>
      <w:rFonts w:ascii="Arial" w:hAnsi="Arial" w:cs="Arial"/>
      <w:b/>
      <w:bCs/>
      <w:lang w:val="en-US" w:eastAsia="en-US"/>
    </w:rPr>
  </w:style>
  <w:style w:type="paragraph" w:styleId="Revision">
    <w:name w:val="Revision"/>
    <w:hidden/>
    <w:uiPriority w:val="99"/>
    <w:semiHidden/>
    <w:rsid w:val="00CB4522"/>
    <w:rPr>
      <w:rFonts w:ascii="Arial" w:hAnsi="Arial" w:cs="Arial"/>
      <w:sz w:val="22"/>
      <w:szCs w:val="22"/>
      <w:lang w:val="en-US" w:eastAsia="en-US"/>
    </w:rPr>
  </w:style>
  <w:style w:type="character" w:customStyle="1" w:styleId="TabletextrowsAgencyChar">
    <w:name w:val="Table text rows (Agency) Char"/>
    <w:link w:val="TabletextrowsAgency"/>
    <w:locked/>
    <w:rsid w:val="00EC212A"/>
    <w:rPr>
      <w:rFonts w:ascii="Verdana" w:eastAsia="Times New Roman" w:hAnsi="Verdana" w:cs="Verdana"/>
      <w:sz w:val="18"/>
      <w:szCs w:val="18"/>
      <w:lang w:eastAsia="zh-CN"/>
    </w:rPr>
  </w:style>
  <w:style w:type="paragraph" w:customStyle="1" w:styleId="Table">
    <w:name w:val="Table"/>
    <w:basedOn w:val="Normal"/>
    <w:uiPriority w:val="99"/>
    <w:rsid w:val="005A5FD2"/>
    <w:pPr>
      <w:keepLines/>
      <w:tabs>
        <w:tab w:val="left" w:pos="284"/>
      </w:tabs>
      <w:spacing w:before="40" w:after="20" w:line="240" w:lineRule="auto"/>
    </w:pPr>
    <w:rPr>
      <w:rFonts w:cs="Times New Roman"/>
      <w:sz w:val="20"/>
      <w:szCs w:val="24"/>
      <w:lang w:eastAsia="ja-JP"/>
    </w:rPr>
  </w:style>
  <w:style w:type="paragraph" w:customStyle="1" w:styleId="TOCHeading2">
    <w:name w:val="TOC Heading2"/>
    <w:basedOn w:val="Heading1"/>
    <w:next w:val="Normal"/>
    <w:uiPriority w:val="39"/>
    <w:qFormat/>
    <w:rsid w:val="005A5FD2"/>
    <w:pPr>
      <w:numPr>
        <w:numId w:val="36"/>
      </w:numPr>
      <w:spacing w:before="480" w:line="276" w:lineRule="auto"/>
      <w:outlineLvl w:val="9"/>
    </w:pPr>
    <w:rPr>
      <w:rFonts w:ascii="Cambria" w:eastAsia="MS Gothic" w:hAnsi="Cambria" w:cs="Times New Roman"/>
      <w:b/>
      <w:bCs/>
      <w:color w:val="365F91"/>
      <w:sz w:val="28"/>
      <w:szCs w:val="28"/>
      <w:lang w:eastAsia="ja-JP"/>
    </w:rPr>
  </w:style>
  <w:style w:type="character" w:customStyle="1" w:styleId="Heading1Char">
    <w:name w:val="Heading 1 Char"/>
    <w:basedOn w:val="DefaultParagraphFont"/>
    <w:link w:val="Heading1"/>
    <w:uiPriority w:val="9"/>
    <w:rsid w:val="005A5FD2"/>
    <w:rPr>
      <w:rFonts w:asciiTheme="majorHAnsi" w:eastAsiaTheme="majorEastAsia" w:hAnsiTheme="majorHAnsi" w:cstheme="majorBidi"/>
      <w:color w:val="365F91" w:themeColor="accent1" w:themeShade="BF"/>
      <w:sz w:val="32"/>
      <w:szCs w:val="32"/>
      <w:lang w:val="en-US" w:eastAsia="en-US"/>
    </w:rPr>
  </w:style>
  <w:style w:type="paragraph" w:customStyle="1" w:styleId="BodytextEMA">
    <w:name w:val="Body text (EMA)"/>
    <w:basedOn w:val="Normal"/>
    <w:rsid w:val="00743D0F"/>
    <w:pPr>
      <w:spacing w:after="140" w:line="280" w:lineRule="atLeast"/>
    </w:pPr>
    <w:rPr>
      <w:rFonts w:ascii="Times New Roman" w:eastAsia="Verdana" w:hAnsi="Times New Roman" w:cs="Times New Roman"/>
      <w:sz w:val="20"/>
      <w:szCs w:val="20"/>
      <w:lang w:val="en-GB" w:eastAsia="en-GB"/>
    </w:rPr>
  </w:style>
  <w:style w:type="character" w:styleId="UnresolvedMention">
    <w:name w:val="Unresolved Mention"/>
    <w:basedOn w:val="DefaultParagraphFont"/>
    <w:uiPriority w:val="99"/>
    <w:semiHidden/>
    <w:unhideWhenUsed/>
    <w:rsid w:val="003A61D5"/>
    <w:rPr>
      <w:color w:val="605E5C"/>
      <w:shd w:val="clear" w:color="auto" w:fill="E1DFDD"/>
    </w:rPr>
  </w:style>
  <w:style w:type="paragraph" w:styleId="TOCHeading">
    <w:name w:val="TOC Heading"/>
    <w:basedOn w:val="Heading1"/>
    <w:next w:val="Normal"/>
    <w:uiPriority w:val="39"/>
    <w:unhideWhenUsed/>
    <w:qFormat/>
    <w:rsid w:val="009455DE"/>
    <w:pPr>
      <w:spacing w:line="259" w:lineRule="auto"/>
      <w:outlineLvl w:val="9"/>
    </w:pPr>
  </w:style>
  <w:style w:type="paragraph" w:styleId="TOC2">
    <w:name w:val="toc 2"/>
    <w:basedOn w:val="Normal"/>
    <w:next w:val="Normal"/>
    <w:autoRedefine/>
    <w:uiPriority w:val="39"/>
    <w:unhideWhenUsed/>
    <w:rsid w:val="009455DE"/>
    <w:pPr>
      <w:spacing w:after="100"/>
      <w:ind w:left="220"/>
    </w:pPr>
  </w:style>
  <w:style w:type="character" w:styleId="FollowedHyperlink">
    <w:name w:val="FollowedHyperlink"/>
    <w:basedOn w:val="DefaultParagraphFont"/>
    <w:uiPriority w:val="99"/>
    <w:semiHidden/>
    <w:unhideWhenUsed/>
    <w:rsid w:val="009D4DAC"/>
    <w:rPr>
      <w:color w:val="800080" w:themeColor="followedHyperlink"/>
      <w:u w:val="single"/>
    </w:rPr>
  </w:style>
  <w:style w:type="paragraph" w:styleId="EndnoteText">
    <w:name w:val="endnote text"/>
    <w:basedOn w:val="Normal"/>
    <w:link w:val="EndnoteTextChar"/>
    <w:uiPriority w:val="99"/>
    <w:semiHidden/>
    <w:unhideWhenUsed/>
    <w:rsid w:val="009D6B87"/>
    <w:pPr>
      <w:spacing w:line="240" w:lineRule="auto"/>
    </w:pPr>
    <w:rPr>
      <w:sz w:val="20"/>
      <w:szCs w:val="20"/>
    </w:rPr>
  </w:style>
  <w:style w:type="character" w:customStyle="1" w:styleId="EndnoteTextChar">
    <w:name w:val="Endnote Text Char"/>
    <w:basedOn w:val="DefaultParagraphFont"/>
    <w:link w:val="EndnoteText"/>
    <w:uiPriority w:val="99"/>
    <w:semiHidden/>
    <w:rsid w:val="009D6B87"/>
    <w:rPr>
      <w:rFonts w:ascii="Arial" w:hAnsi="Arial" w:cs="Arial"/>
      <w:lang w:val="en-US" w:eastAsia="en-US"/>
    </w:rPr>
  </w:style>
  <w:style w:type="character" w:styleId="EndnoteReference">
    <w:name w:val="endnote reference"/>
    <w:basedOn w:val="DefaultParagraphFont"/>
    <w:uiPriority w:val="99"/>
    <w:semiHidden/>
    <w:unhideWhenUsed/>
    <w:rsid w:val="009D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4556">
      <w:bodyDiv w:val="1"/>
      <w:marLeft w:val="0"/>
      <w:marRight w:val="0"/>
      <w:marTop w:val="0"/>
      <w:marBottom w:val="0"/>
      <w:divBdr>
        <w:top w:val="none" w:sz="0" w:space="0" w:color="auto"/>
        <w:left w:val="none" w:sz="0" w:space="0" w:color="auto"/>
        <w:bottom w:val="none" w:sz="0" w:space="0" w:color="auto"/>
        <w:right w:val="none" w:sz="0" w:space="0" w:color="auto"/>
      </w:divBdr>
    </w:div>
    <w:div w:id="27139948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75">
          <w:marLeft w:val="0"/>
          <w:marRight w:val="0"/>
          <w:marTop w:val="0"/>
          <w:marBottom w:val="0"/>
          <w:divBdr>
            <w:top w:val="none" w:sz="0" w:space="0" w:color="auto"/>
            <w:left w:val="none" w:sz="0" w:space="0" w:color="auto"/>
            <w:bottom w:val="none" w:sz="0" w:space="0" w:color="auto"/>
            <w:right w:val="none" w:sz="0" w:space="0" w:color="auto"/>
          </w:divBdr>
        </w:div>
      </w:divsChild>
    </w:div>
    <w:div w:id="2922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9760">
          <w:marLeft w:val="0"/>
          <w:marRight w:val="0"/>
          <w:marTop w:val="0"/>
          <w:marBottom w:val="0"/>
          <w:divBdr>
            <w:top w:val="none" w:sz="0" w:space="0" w:color="auto"/>
            <w:left w:val="none" w:sz="0" w:space="0" w:color="auto"/>
            <w:bottom w:val="none" w:sz="0" w:space="0" w:color="auto"/>
            <w:right w:val="none" w:sz="0" w:space="0" w:color="auto"/>
          </w:divBdr>
        </w:div>
      </w:divsChild>
    </w:div>
    <w:div w:id="351764362">
      <w:bodyDiv w:val="1"/>
      <w:marLeft w:val="0"/>
      <w:marRight w:val="0"/>
      <w:marTop w:val="0"/>
      <w:marBottom w:val="0"/>
      <w:divBdr>
        <w:top w:val="none" w:sz="0" w:space="0" w:color="auto"/>
        <w:left w:val="none" w:sz="0" w:space="0" w:color="auto"/>
        <w:bottom w:val="none" w:sz="0" w:space="0" w:color="auto"/>
        <w:right w:val="none" w:sz="0" w:space="0" w:color="auto"/>
      </w:divBdr>
      <w:divsChild>
        <w:div w:id="1013532050">
          <w:marLeft w:val="0"/>
          <w:marRight w:val="0"/>
          <w:marTop w:val="0"/>
          <w:marBottom w:val="0"/>
          <w:divBdr>
            <w:top w:val="none" w:sz="0" w:space="0" w:color="auto"/>
            <w:left w:val="none" w:sz="0" w:space="0" w:color="auto"/>
            <w:bottom w:val="none" w:sz="0" w:space="0" w:color="auto"/>
            <w:right w:val="none" w:sz="0" w:space="0" w:color="auto"/>
          </w:divBdr>
        </w:div>
      </w:divsChild>
    </w:div>
    <w:div w:id="527986383">
      <w:bodyDiv w:val="1"/>
      <w:marLeft w:val="0"/>
      <w:marRight w:val="0"/>
      <w:marTop w:val="0"/>
      <w:marBottom w:val="0"/>
      <w:divBdr>
        <w:top w:val="none" w:sz="0" w:space="0" w:color="auto"/>
        <w:left w:val="none" w:sz="0" w:space="0" w:color="auto"/>
        <w:bottom w:val="none" w:sz="0" w:space="0" w:color="auto"/>
        <w:right w:val="none" w:sz="0" w:space="0" w:color="auto"/>
      </w:divBdr>
      <w:divsChild>
        <w:div w:id="80571000">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972251661">
      <w:bodyDiv w:val="1"/>
      <w:marLeft w:val="0"/>
      <w:marRight w:val="0"/>
      <w:marTop w:val="0"/>
      <w:marBottom w:val="0"/>
      <w:divBdr>
        <w:top w:val="none" w:sz="0" w:space="0" w:color="auto"/>
        <w:left w:val="none" w:sz="0" w:space="0" w:color="auto"/>
        <w:bottom w:val="none" w:sz="0" w:space="0" w:color="auto"/>
        <w:right w:val="none" w:sz="0" w:space="0" w:color="auto"/>
      </w:divBdr>
      <w:divsChild>
        <w:div w:id="1176264942">
          <w:marLeft w:val="0"/>
          <w:marRight w:val="0"/>
          <w:marTop w:val="0"/>
          <w:marBottom w:val="0"/>
          <w:divBdr>
            <w:top w:val="none" w:sz="0" w:space="0" w:color="auto"/>
            <w:left w:val="none" w:sz="0" w:space="0" w:color="auto"/>
            <w:bottom w:val="none" w:sz="0" w:space="0" w:color="auto"/>
            <w:right w:val="none" w:sz="0" w:space="0" w:color="auto"/>
          </w:divBdr>
        </w:div>
      </w:divsChild>
    </w:div>
    <w:div w:id="1049065115">
      <w:bodyDiv w:val="1"/>
      <w:marLeft w:val="0"/>
      <w:marRight w:val="0"/>
      <w:marTop w:val="0"/>
      <w:marBottom w:val="0"/>
      <w:divBdr>
        <w:top w:val="none" w:sz="0" w:space="0" w:color="auto"/>
        <w:left w:val="none" w:sz="0" w:space="0" w:color="auto"/>
        <w:bottom w:val="none" w:sz="0" w:space="0" w:color="auto"/>
        <w:right w:val="none" w:sz="0" w:space="0" w:color="auto"/>
      </w:divBdr>
    </w:div>
    <w:div w:id="1085683062">
      <w:bodyDiv w:val="1"/>
      <w:marLeft w:val="0"/>
      <w:marRight w:val="0"/>
      <w:marTop w:val="0"/>
      <w:marBottom w:val="0"/>
      <w:divBdr>
        <w:top w:val="none" w:sz="0" w:space="0" w:color="auto"/>
        <w:left w:val="none" w:sz="0" w:space="0" w:color="auto"/>
        <w:bottom w:val="none" w:sz="0" w:space="0" w:color="auto"/>
        <w:right w:val="none" w:sz="0" w:space="0" w:color="auto"/>
      </w:divBdr>
    </w:div>
    <w:div w:id="1274706933">
      <w:bodyDiv w:val="1"/>
      <w:marLeft w:val="0"/>
      <w:marRight w:val="0"/>
      <w:marTop w:val="0"/>
      <w:marBottom w:val="0"/>
      <w:divBdr>
        <w:top w:val="none" w:sz="0" w:space="0" w:color="auto"/>
        <w:left w:val="none" w:sz="0" w:space="0" w:color="auto"/>
        <w:bottom w:val="none" w:sz="0" w:space="0" w:color="auto"/>
        <w:right w:val="none" w:sz="0" w:space="0" w:color="auto"/>
      </w:divBdr>
      <w:divsChild>
        <w:div w:id="44793603">
          <w:marLeft w:val="0"/>
          <w:marRight w:val="0"/>
          <w:marTop w:val="0"/>
          <w:marBottom w:val="0"/>
          <w:divBdr>
            <w:top w:val="none" w:sz="0" w:space="0" w:color="auto"/>
            <w:left w:val="none" w:sz="0" w:space="0" w:color="auto"/>
            <w:bottom w:val="none" w:sz="0" w:space="0" w:color="auto"/>
            <w:right w:val="none" w:sz="0" w:space="0" w:color="auto"/>
          </w:divBdr>
        </w:div>
      </w:divsChild>
    </w:div>
    <w:div w:id="1418479400">
      <w:bodyDiv w:val="1"/>
      <w:marLeft w:val="0"/>
      <w:marRight w:val="0"/>
      <w:marTop w:val="0"/>
      <w:marBottom w:val="0"/>
      <w:divBdr>
        <w:top w:val="none" w:sz="0" w:space="0" w:color="auto"/>
        <w:left w:val="none" w:sz="0" w:space="0" w:color="auto"/>
        <w:bottom w:val="none" w:sz="0" w:space="0" w:color="auto"/>
        <w:right w:val="none" w:sz="0" w:space="0" w:color="auto"/>
      </w:divBdr>
      <w:divsChild>
        <w:div w:id="574126271">
          <w:marLeft w:val="0"/>
          <w:marRight w:val="0"/>
          <w:marTop w:val="0"/>
          <w:marBottom w:val="0"/>
          <w:divBdr>
            <w:top w:val="none" w:sz="0" w:space="0" w:color="auto"/>
            <w:left w:val="none" w:sz="0" w:space="0" w:color="auto"/>
            <w:bottom w:val="none" w:sz="0" w:space="0" w:color="auto"/>
            <w:right w:val="none" w:sz="0" w:space="0" w:color="auto"/>
          </w:divBdr>
        </w:div>
      </w:divsChild>
    </w:div>
    <w:div w:id="1533961889">
      <w:bodyDiv w:val="1"/>
      <w:marLeft w:val="0"/>
      <w:marRight w:val="0"/>
      <w:marTop w:val="0"/>
      <w:marBottom w:val="0"/>
      <w:divBdr>
        <w:top w:val="none" w:sz="0" w:space="0" w:color="auto"/>
        <w:left w:val="none" w:sz="0" w:space="0" w:color="auto"/>
        <w:bottom w:val="none" w:sz="0" w:space="0" w:color="auto"/>
        <w:right w:val="none" w:sz="0" w:space="0" w:color="auto"/>
      </w:divBdr>
      <w:divsChild>
        <w:div w:id="931859266">
          <w:marLeft w:val="0"/>
          <w:marRight w:val="0"/>
          <w:marTop w:val="0"/>
          <w:marBottom w:val="0"/>
          <w:divBdr>
            <w:top w:val="none" w:sz="0" w:space="0" w:color="auto"/>
            <w:left w:val="none" w:sz="0" w:space="0" w:color="auto"/>
            <w:bottom w:val="none" w:sz="0" w:space="0" w:color="auto"/>
            <w:right w:val="none" w:sz="0" w:space="0" w:color="auto"/>
          </w:divBdr>
        </w:div>
      </w:divsChild>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sChild>
        <w:div w:id="234166483">
          <w:marLeft w:val="0"/>
          <w:marRight w:val="0"/>
          <w:marTop w:val="0"/>
          <w:marBottom w:val="0"/>
          <w:divBdr>
            <w:top w:val="none" w:sz="0" w:space="0" w:color="auto"/>
            <w:left w:val="none" w:sz="0" w:space="0" w:color="auto"/>
            <w:bottom w:val="none" w:sz="0" w:space="0" w:color="auto"/>
            <w:right w:val="none" w:sz="0" w:space="0" w:color="auto"/>
          </w:divBdr>
        </w:div>
      </w:divsChild>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6">
          <w:marLeft w:val="0"/>
          <w:marRight w:val="0"/>
          <w:marTop w:val="0"/>
          <w:marBottom w:val="0"/>
          <w:divBdr>
            <w:top w:val="none" w:sz="0" w:space="0" w:color="auto"/>
            <w:left w:val="none" w:sz="0" w:space="0" w:color="auto"/>
            <w:bottom w:val="none" w:sz="0" w:space="0" w:color="auto"/>
            <w:right w:val="none" w:sz="0" w:space="0" w:color="auto"/>
          </w:divBdr>
        </w:div>
      </w:divsChild>
    </w:div>
    <w:div w:id="201124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uidance/apply-for-the-early-access-to-medicines-scheme-e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uidance/apply-for-the-early-access-to-medicines-scheme-e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uidance/apply-for-the-early-access-to-medicines-scheme-eams#scientific-opin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exceptions-and-modifications-to-the-eu-guidance-on-good-pharmacovigilance-practices-that-will-apply-to-uk-mahs-and-the-mhra" TargetMode="External"/><Relationship Id="rId1" Type="http://schemas.openxmlformats.org/officeDocument/2006/relationships/hyperlink" Target="https://www.gov.uk/government/publications/guidance-on-pharmacovigilance-procedures/guidance-on-pharmacovigilance-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E0CE014560D07041A6D5833BDF76D906" ma:contentTypeVersion="9" ma:contentTypeDescription="The base content type for all Agency documents" ma:contentTypeScope="" ma:versionID="7753509b736e661fa7d02875fd6da491">
  <xsd:schema xmlns:xsd="http://www.w3.org/2001/XMLSchema" xmlns:xs="http://www.w3.org/2001/XMLSchema" xmlns:p="http://schemas.microsoft.com/office/2006/metadata/properties" xmlns:ns2="603af227-bd41-4012-ae1b-08ada9265a1f" xmlns:ns3="7e834862-c801-4422-b67a-f58b3654e054" xmlns:ns4="e65480ce-63c7-48d2-8175-fecbcdc31db9" targetNamespace="http://schemas.microsoft.com/office/2006/metadata/properties" ma:root="true" ma:fieldsID="813c3054967b084d05533535cfe6c47c" ns2:_="" ns3:_="" ns4:_="">
    <xsd:import namespace="603af227-bd41-4012-ae1b-08ada9265a1f"/>
    <xsd:import namespace="7e834862-c801-4422-b67a-f58b3654e054"/>
    <xsd:import namespace="e65480ce-63c7-48d2-8175-fecbcdc31db9"/>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34862-c801-4422-b67a-f58b3654e0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480ce-63c7-48d2-8175-fecbcdc31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Props1.xml><?xml version="1.0" encoding="utf-8"?>
<ds:datastoreItem xmlns:ds="http://schemas.openxmlformats.org/officeDocument/2006/customXml" ds:itemID="{724A3052-0F75-4FD8-8505-702F4785C391}">
  <ds:schemaRefs>
    <ds:schemaRef ds:uri="http://schemas.openxmlformats.org/officeDocument/2006/bibliography"/>
  </ds:schemaRefs>
</ds:datastoreItem>
</file>

<file path=customXml/itemProps2.xml><?xml version="1.0" encoding="utf-8"?>
<ds:datastoreItem xmlns:ds="http://schemas.openxmlformats.org/officeDocument/2006/customXml" ds:itemID="{E3A52867-6417-43BE-9AB1-1EA0228AB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7e834862-c801-4422-b67a-f58b3654e054"/>
    <ds:schemaRef ds:uri="e65480ce-63c7-48d2-8175-fecbcdc31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7FFBC-492A-476B-A45D-102AF2438BA8}">
  <ds:schemaRefs>
    <ds:schemaRef ds:uri="http://schemas.microsoft.com/sharepoint/v3/contenttype/forms"/>
  </ds:schemaRefs>
</ds:datastoreItem>
</file>

<file path=customXml/itemProps4.xml><?xml version="1.0" encoding="utf-8"?>
<ds:datastoreItem xmlns:ds="http://schemas.openxmlformats.org/officeDocument/2006/customXml" ds:itemID="{8375B961-3E77-41F6-91F5-4D6D821B3421}">
  <ds:schemaRefs>
    <ds:schemaRef ds:uri="http://schemas.microsoft.com/office/2006/metadata/properties"/>
    <ds:schemaRef ds:uri="http://schemas.microsoft.com/office/infopath/2007/PartnerControls"/>
    <ds:schemaRef ds:uri="603af227-bd41-4012-ae1b-08ada9265a1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pinderr</dc:creator>
  <cp:lastModifiedBy>Kauser, Shahin</cp:lastModifiedBy>
  <cp:revision>2</cp:revision>
  <dcterms:created xsi:type="dcterms:W3CDTF">2022-02-09T11:58:00Z</dcterms:created>
  <dcterms:modified xsi:type="dcterms:W3CDTF">2022-02-09T11:58:00Z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0x0101005DC155F682264648A38C2A02D853A29A0A00E0CE014560D07041A6D5833BDF76D906</vt:lpwstr>
  </property>
  <property fmtid="{D5CDD505-2E9C-101B-9397-08002B2CF9AE}" pid="3" name="SecurityClassification">
    <vt:lpwstr>1;#Official|9d42bd58-89d2-4e46-94bb-80d8f31efd91</vt:lpwstr>
  </property>
  <property fmtid="{D5CDD505-2E9C-101B-9397-08002B2CF9AE}" pid="4" name="AgencyKeywords">
    <vt:lpwstr/>
  </property>
</Properties>
</file>