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Demonstration/explanation as to how your broadband infrastructure or suppliers' service(s) meet with minimum standards where these claim to be NGA, Ultrafast or Gigabit.</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request: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technical architectures that demonstrate how the claimed data speeds and performance will be maintained end-to-end across the deployed infrastructure. This could include, for example, network connectivity diagrams, deployment/coverage maps, design/dimensioning rules for network elements, backhaul capacity information, types and quantities of equipment, technical specifications, network performance measurements etc.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for wired technologies: access network planning taking due account of wired line length and quality from existing or planned access nodes, to show that the access speeds are realistic in the geographic context.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for fixed wireless technologies: radio plans and interference analysis, using planning tools correctly calibrated for the target geography, to show that the access speeds are realistic and the spectrum to be used is appropriate for its geographic context.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future development path for the current or planned enabling technologies, such as existing internationally accredited standards, ongoing development of new versions of the standards, international research working groups, and diversity of the supply chain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where your coverage claims are for gigabit-capable networks, then your response detailing your proposed network design and architecture must consider the technical definition as outlined in Annex C of the RFI.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1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each broadband category (NGA, ultrafast or Gigabit) please indicate:</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level of take-up is expected in total.</w:t>
            </w:r>
          </w:p>
        </w:tc>
      </w:tr>
      <w:tr>
        <w:trPr>
          <w:cantSplit w:val="0"/>
          <w:trHeight w:val="1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level of take-up can be sustained by the network design and dimensioning.</w:t>
            </w:r>
          </w:p>
        </w:tc>
      </w:tr>
      <w:tr>
        <w:trPr>
          <w:cantSplit w:val="0"/>
          <w:trHeight w:val="12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Network dimensioning and sizing;.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request: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indicators of quality of the service, e.g. contention ratio and/or bandwidth allocation per end user, together with a technical explanation of how these will support the achievement of the normally available and minimum speeds for all users.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Network dimensioning and sizing, including user and traffic growth forecast that are comparable with both the supplier’s business model and demonstration that the network will match the user and traffic growth forecast and meet the networks’ ability to meet forecasted future data speed and capacity needs of customers in line with the guidelines, either via initial provision or via firm and commercially-viable plans for future expansion.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32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 offering.</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request: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all services/products and SLAs offered over the infrastructure, including any wholesale provision to any retail service providers currently offered and any planned extension to these services within the next 3 years. Please indicate which Retail Service providers are using these services and what services are being taken.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indicate the "normally available" and "minimum" speeds for the customers of each service.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8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04"/>
              <w:gridCol w:w="2204"/>
              <w:gridCol w:w="2204"/>
              <w:gridCol w:w="2204"/>
              <w:tblGridChange w:id="0">
                <w:tblGrid>
                  <w:gridCol w:w="2204"/>
                  <w:gridCol w:w="2204"/>
                  <w:gridCol w:w="2204"/>
                  <w:gridCol w:w="22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Download “normally available”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Download “minimum”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Upload “normally available”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20Mbps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60Mbps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1Gbps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330Mbps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200Mbps</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6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and retail tariffs for those services/products clearly identifying whether they are inclusive or exclusive of VAT.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Significant planned investment</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request: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reference the following sections of the OMR RFI for further information including:</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to demonstrate planned investments are viable’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B: Supporting Evidence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C: Technical Definition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specific commercial and financial information, we believe you should have sufficient information readily available that can enable us to make a determination of viability - we do not expect you to produce additional tailored material to support your response.  The following list sets out examples of evidence you can submit to support your plans.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a minimum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ensure you provide: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company name and related UK Companies House registration number (Ref.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https://www.gov.uk/government/organisations/companies-house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may refer to Companies House information</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financial plan showing capital commitment in the relevant area, preferably signed off by CEO or CFO (ie we are looking for confirmed plans) including per area allocation of funding for multi-area builds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you intend to raise sufficient funds, such as through revenue, debt or equity, indication of investor support or parent company backing eg a Letter of Support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deployment plan including details of the planning stage you have reached (for example high level design, survey complete, low level design, build commenced, etc)</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chain information - confirmation of sufficient internal or sub-contractor resources to deliver the planned deployment, including details of any associated procurement and contract awards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of whether you have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OfCom code powers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are in the process of obtaining OfCom code powers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examples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 supporting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rolling revenue forecast model for 3 years for the duration of the full OMR / PR period or as a minimum a 12-month forecast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dependencies and assumptions behind the financial plan, such as dependency on GBVS voucher or other public sector-derived revenue and assumptions of per-premise expected costs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sensitivity analysis or contingency / risk mitigation plans in case things don’t go according to plan eg cost overruns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forecast or strategic report covering going concern / business risks / financial risks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you have indicated a dependency on voucher revenue, evidence showing activity to establish premises as being eligible for a voucher, community engagement undertaken, commitments obtained, and confirmation of the Pre-Registered Packages (PRPs) proposals ie PRPs submitted to DCMS for review, PRPs agreed, vouchers issued, vouchers approved, vouchers paid etc</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that planning consents have been obtained, or likely to be obtained, for the proposed deployment, or that appropriate engagement has been undertaken with relevant planning authorities regarding your planned build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Business case information, including sufficient information to demonstrate the financing, profitability, and long-term sustainability of the undertaking</w:t>
            </w:r>
          </w:p>
        </w:tc>
      </w:tr>
      <w:tr>
        <w:trPr>
          <w:cantSplit w:val="0"/>
          <w:trHeight w:val="193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calendar deployment plan which includes the key build stages and when you expect to undertake significant activities within the build programme such as design, surveying, acquisition, network build, network installation etc or the key processes involved in your build plan approach for design phase, survey phase, road notices/ wayleaves etc and the typical timescales these activities take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what stage your deployment plan has reached for each phase or phases within your build programme for example high level design, surveying completed, low level design, build commenced, etc.  You may wish to add additional columns to the UPRN data submission file to provide clarity on the level of detail you have reached in planning your future build for example highlighting those UPRNs where you have reached a specific design stage such a Low Level Designs, those UPRNs with committed funding, UPRNs where you have already started the network build or UPRNs where you are planning on assistance from Government subsidy for examples Gigabit Vouchers.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5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evidence that consents have been obtained, or are likely to be obtained, for the proposed deployment, or that appropriate processes and procedures are evidenced regarding how engagement has or will be undertaken with the relevant planning authorities, statutory bodies and/ or landowners with regards to obtaining consents (planning permission/ wayleaves etc)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r>
      <w:tr>
        <w:trPr>
          <w:cantSplit w:val="0"/>
          <w:trHeight w:val="1998"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Confirmation of sufficient internal or sub-contractor resources to deliver the planned investment including details of any associated procurement and contract awards for build partners.</w:t>
            </w:r>
          </w:p>
        </w:tc>
      </w:tr>
      <w:tr>
        <w:trPr>
          <w:cantSplit w:val="0"/>
          <w:trHeight w:val="19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financial plan (or other evidence) showing capital commitment specific to the particular area and the capital allocated to each build phase as shown in your deployment plan.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any dependencies and assumptions behind the financial plan, in particular any dependency on GBVS Vouchers or other public sector-derived revenue and assumptions of per-premise expected costs.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1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Description of any existing infrastructure that has been, or will be, upgraded associated with the significant planned investment.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5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 of an actual undertaking of a similar scale and end-user density by the provider, if available.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5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from an authorised signatory that all information provided is of suitable accuracy. </w:t>
            </w:r>
          </w:p>
        </w:tc>
      </w:tr>
      <w:tr>
        <w:trPr>
          <w:cantSplit w:val="0"/>
          <w:trHeight w:val="225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information, including any information related to the list of evidence provided at the top of Part D that has not been covered in any other response.</w:t>
            </w:r>
          </w:p>
        </w:tc>
      </w:tr>
      <w:tr>
        <w:trPr>
          <w:cantSplit w:val="0"/>
          <w:trHeight w:val="225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color="ffffff" w:space="31" w:sz="4" w:val="single"/>
        <w:left w:color="ffffff" w:space="31" w:sz="4" w:val="single"/>
        <w:bottom w:color="ffffff" w:space="31" w:sz="4" w:val="single"/>
        <w:right w:color="ffffff" w:space="31" w:sz="4" w:val="single"/>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B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4"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4"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4"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4"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4"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4"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4"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4"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100.0" w:type="dxa"/>
        <w:left w:w="90.0" w:type="dxa"/>
        <w:bottom w:w="100.0" w:type="dxa"/>
        <w:right w:w="100.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organisations/companies-house" TargetMode="External"/><Relationship Id="rId7" Type="http://schemas.openxmlformats.org/officeDocument/2006/relationships/hyperlink" Target="https://www.ofcom.org.uk/phones-telecoms-and-internet/information-for-industry/policy/electronic-comm-code/register-of-persons-with-powers-under-the-electronic-communications-co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