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CEE9" w14:textId="587558B0" w:rsidR="00AF28C7" w:rsidRDefault="00AF28C7" w:rsidP="00AF28C7">
      <w:pPr>
        <w:pStyle w:val="Logos"/>
        <w:tabs>
          <w:tab w:val="right" w:pos="9498"/>
        </w:tabs>
      </w:pPr>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66E8740" w14:textId="110543AF" w:rsidR="009F41B6" w:rsidRDefault="009F41B6" w:rsidP="00AF28C7">
      <w:pPr>
        <w:pStyle w:val="TitleText"/>
      </w:pPr>
      <w:r>
        <w:t>P</w:t>
      </w:r>
      <w:r w:rsidR="002B75FF">
        <w:t>FI clauses</w:t>
      </w:r>
      <w:r w:rsidR="00DE7ADE">
        <w:t>:</w:t>
      </w:r>
      <w:r w:rsidR="00D848F4">
        <w:t xml:space="preserve"> </w:t>
      </w:r>
      <w:r w:rsidR="00AE7553">
        <w:t>M</w:t>
      </w:r>
      <w:r w:rsidR="00D848F4">
        <w:t xml:space="preserve">aster </w:t>
      </w:r>
      <w:r w:rsidR="004B2799" w:rsidRPr="00A67DD1">
        <w:t>funding agreement</w:t>
      </w:r>
    </w:p>
    <w:p w14:paraId="3947A141" w14:textId="7E1B70CC" w:rsidR="009F41B6" w:rsidRDefault="009F41B6" w:rsidP="009F41B6">
      <w:pPr>
        <w:pStyle w:val="SubtitleText"/>
      </w:pPr>
    </w:p>
    <w:p w14:paraId="0C020FE3" w14:textId="0D6C2DB3" w:rsidR="009F41B6" w:rsidRDefault="00094DDC" w:rsidP="009F41B6">
      <w:pPr>
        <w:pStyle w:val="Date"/>
      </w:pPr>
      <w:r>
        <w:t xml:space="preserve">December 2021 </w:t>
      </w:r>
    </w:p>
    <w:p w14:paraId="7C8B9509" w14:textId="34D7C442" w:rsidR="009F41B6" w:rsidRDefault="009F41B6" w:rsidP="00611F91">
      <w:pPr>
        <w:pStyle w:val="TOC1"/>
      </w:pPr>
    </w:p>
    <w:p w14:paraId="7D0E9E6D" w14:textId="77777777" w:rsidR="00424503" w:rsidRPr="00256A72" w:rsidRDefault="00424503" w:rsidP="00424503">
      <w:pPr>
        <w:pStyle w:val="Heading1"/>
      </w:pPr>
      <w:bookmarkStart w:id="0" w:name="_Toc400361362"/>
      <w:bookmarkStart w:id="1" w:name="_Toc443397153"/>
      <w:bookmarkStart w:id="2" w:name="_Toc357771638"/>
      <w:bookmarkStart w:id="3" w:name="_Toc346793416"/>
      <w:bookmarkStart w:id="4" w:name="_Toc328122777"/>
      <w:r w:rsidRPr="00FD2CE9">
        <w:lastRenderedPageBreak/>
        <w:t>Summary</w:t>
      </w:r>
      <w:bookmarkEnd w:id="0"/>
      <w:bookmarkEnd w:id="1"/>
      <w:r w:rsidRPr="00256A72">
        <w:tab/>
      </w:r>
    </w:p>
    <w:p w14:paraId="2BB7030D" w14:textId="78A4FDA8" w:rsidR="00424503" w:rsidRDefault="00424503" w:rsidP="00424503">
      <w:r w:rsidRPr="007A399A">
        <w:t xml:space="preserve">This </w:t>
      </w:r>
      <w:r>
        <w:t xml:space="preserve">publication </w:t>
      </w:r>
      <w:r w:rsidR="004A6B35">
        <w:t>replace</w:t>
      </w:r>
      <w:r w:rsidR="0024044F">
        <w:t>s</w:t>
      </w:r>
      <w:r w:rsidR="004A6B35">
        <w:t xml:space="preserve"> a previous </w:t>
      </w:r>
      <w:r w:rsidR="00C57DD5">
        <w:t xml:space="preserve">publication titled PFI amends to </w:t>
      </w:r>
      <w:r w:rsidR="00E379D9">
        <w:t xml:space="preserve">Master Funding Agreement </w:t>
      </w:r>
      <w:r w:rsidR="004B07A0">
        <w:t>– June 2014</w:t>
      </w:r>
      <w:r w:rsidR="004A6B35">
        <w:t>.  It</w:t>
      </w:r>
      <w:r w:rsidR="0024044F">
        <w:t xml:space="preserve"> has been updated following the publication of </w:t>
      </w:r>
      <w:r w:rsidR="00752FA5">
        <w:t xml:space="preserve">model </w:t>
      </w:r>
      <w:r w:rsidR="0024044F">
        <w:t xml:space="preserve">funding agreements in December 2020.  </w:t>
      </w:r>
    </w:p>
    <w:p w14:paraId="5B097C38" w14:textId="4402B0C5" w:rsidR="00424503" w:rsidRDefault="00424503" w:rsidP="00424503">
      <w:pPr>
        <w:pStyle w:val="Heading2"/>
      </w:pPr>
      <w:bookmarkStart w:id="5" w:name="_Toc338167831"/>
      <w:bookmarkStart w:id="6" w:name="_Toc361136404"/>
      <w:bookmarkStart w:id="7" w:name="_Toc364235709"/>
      <w:bookmarkStart w:id="8" w:name="_Toc364235753"/>
      <w:bookmarkStart w:id="9" w:name="_Toc364235835"/>
      <w:bookmarkStart w:id="10" w:name="_Toc364840100"/>
      <w:bookmarkStart w:id="11" w:name="_Toc364864310"/>
      <w:bookmarkStart w:id="12" w:name="_Toc400361365"/>
      <w:bookmarkStart w:id="13" w:name="_Toc443397155"/>
      <w:r>
        <w:t>Who is this publication for?</w:t>
      </w:r>
      <w:bookmarkEnd w:id="5"/>
      <w:bookmarkEnd w:id="6"/>
      <w:bookmarkEnd w:id="7"/>
      <w:bookmarkEnd w:id="8"/>
      <w:bookmarkEnd w:id="9"/>
      <w:bookmarkEnd w:id="10"/>
      <w:bookmarkEnd w:id="11"/>
      <w:bookmarkEnd w:id="12"/>
      <w:bookmarkEnd w:id="13"/>
    </w:p>
    <w:p w14:paraId="15EF5846" w14:textId="77777777" w:rsidR="00424503" w:rsidRDefault="00424503" w:rsidP="00424503">
      <w:bookmarkStart w:id="14" w:name="_Toc338167832"/>
      <w:bookmarkStart w:id="15" w:name="_Toc361136405"/>
      <w:bookmarkStart w:id="16" w:name="_Toc364235710"/>
      <w:bookmarkStart w:id="17" w:name="_Toc364235754"/>
      <w:bookmarkStart w:id="18" w:name="_Toc364235836"/>
      <w:bookmarkStart w:id="19" w:name="_Toc364840101"/>
      <w:bookmarkStart w:id="20" w:name="_Toc364864311"/>
      <w:r w:rsidRPr="00A11DAD">
        <w:t xml:space="preserve">This guidance is for: </w:t>
      </w:r>
    </w:p>
    <w:p w14:paraId="1A1A266F" w14:textId="0E893AFD" w:rsidR="00424503" w:rsidRPr="00271DF8" w:rsidRDefault="00424503" w:rsidP="00424503">
      <w:pPr>
        <w:pStyle w:val="ListBullet"/>
        <w:ind w:left="720" w:hanging="360"/>
      </w:pPr>
      <w:r w:rsidRPr="00271DF8">
        <w:t xml:space="preserve">Local authorities </w:t>
      </w:r>
      <w:r w:rsidR="00695DAB">
        <w:t xml:space="preserve">and academies </w:t>
      </w:r>
    </w:p>
    <w:p w14:paraId="7A964CA3" w14:textId="77777777" w:rsidR="00424503" w:rsidRPr="00A11DAD" w:rsidRDefault="00424503" w:rsidP="00424503">
      <w:pPr>
        <w:pStyle w:val="Heading2"/>
      </w:pPr>
      <w:bookmarkStart w:id="21" w:name="_Toc400361366"/>
      <w:bookmarkStart w:id="22" w:name="_Toc443397156"/>
      <w:r>
        <w:t>Main points</w:t>
      </w:r>
      <w:bookmarkEnd w:id="14"/>
      <w:bookmarkEnd w:id="15"/>
      <w:bookmarkEnd w:id="16"/>
      <w:bookmarkEnd w:id="17"/>
      <w:bookmarkEnd w:id="18"/>
      <w:bookmarkEnd w:id="19"/>
      <w:bookmarkEnd w:id="20"/>
      <w:bookmarkEnd w:id="21"/>
      <w:bookmarkEnd w:id="22"/>
    </w:p>
    <w:p w14:paraId="7EC21360" w14:textId="0AE75705" w:rsidR="00E82FDC" w:rsidRDefault="00695DAB" w:rsidP="00752FA5">
      <w:r>
        <w:t xml:space="preserve">Following publication of model </w:t>
      </w:r>
      <w:r w:rsidR="00752FA5">
        <w:t>Funding Agreements in 2020,</w:t>
      </w:r>
      <w:r w:rsidR="008F3E80">
        <w:t xml:space="preserve"> some of the clause numbering within the</w:t>
      </w:r>
      <w:r w:rsidR="005637D7">
        <w:t xml:space="preserve"> PFI amends document </w:t>
      </w:r>
      <w:r w:rsidR="00D2041A">
        <w:t>w</w:t>
      </w:r>
      <w:r w:rsidR="00AE5FDE">
        <w:t xml:space="preserve">as </w:t>
      </w:r>
      <w:r w:rsidR="005637D7">
        <w:t xml:space="preserve">no longer in sync with the funding agreement.  </w:t>
      </w:r>
      <w:r w:rsidR="0041211C">
        <w:t>This has now been corrected.</w:t>
      </w:r>
    </w:p>
    <w:p w14:paraId="315F8973" w14:textId="14BEB2AD" w:rsidR="004F5377" w:rsidRDefault="00E82FDC" w:rsidP="00752FA5">
      <w:r>
        <w:t>Also, t</w:t>
      </w:r>
      <w:r w:rsidR="001638EE">
        <w:t xml:space="preserve">here has been a change at 4.2A </w:t>
      </w:r>
      <w:r w:rsidR="004F5377">
        <w:t>regarding separate bank accounts.  Although PFI funds must be reported on separately, the requirement for a separate bank account for PFI funding has been removed.</w:t>
      </w:r>
    </w:p>
    <w:bookmarkEnd w:id="2"/>
    <w:bookmarkEnd w:id="3"/>
    <w:bookmarkEnd w:id="4"/>
    <w:p w14:paraId="5C98683A" w14:textId="03128330" w:rsidR="000238F8" w:rsidRPr="00A67DD1" w:rsidRDefault="000238F8" w:rsidP="00BB0242">
      <w:pPr>
        <w:rPr>
          <w:rFonts w:cs="Arial"/>
          <w:b/>
          <w:szCs w:val="22"/>
        </w:rPr>
        <w:sectPr w:rsidR="000238F8" w:rsidRPr="00A67DD1" w:rsidSect="00D602E0">
          <w:pgSz w:w="11909" w:h="16834" w:code="9"/>
          <w:pgMar w:top="1440" w:right="1440" w:bottom="1530" w:left="1440" w:header="709" w:footer="709" w:gutter="0"/>
          <w:cols w:space="708"/>
          <w:docGrid w:linePitch="299"/>
        </w:sectPr>
      </w:pPr>
    </w:p>
    <w:p w14:paraId="5DE35B00" w14:textId="382B46FF" w:rsidR="00BB0242" w:rsidRDefault="00BB0242" w:rsidP="00CA04F2">
      <w:pPr>
        <w:pStyle w:val="Heading2"/>
      </w:pPr>
      <w:r w:rsidRPr="00F30700">
        <w:lastRenderedPageBreak/>
        <w:t>A</w:t>
      </w:r>
      <w:r w:rsidR="00CA04F2">
        <w:t xml:space="preserve">mends to </w:t>
      </w:r>
      <w:r w:rsidR="00964520">
        <w:t xml:space="preserve">master funding agreement </w:t>
      </w:r>
      <w:r w:rsidR="00CA04F2">
        <w:t xml:space="preserve"> </w:t>
      </w:r>
    </w:p>
    <w:p w14:paraId="3B2E381E" w14:textId="59A9EE2B" w:rsidR="007C2A01" w:rsidRDefault="007C2A01" w:rsidP="007C2A01">
      <w:pPr>
        <w:rPr>
          <w:rFonts w:cs="Arial"/>
          <w:b/>
        </w:rPr>
      </w:pPr>
      <w:r>
        <w:rPr>
          <w:rFonts w:cs="Arial"/>
          <w:b/>
        </w:rPr>
        <w:t xml:space="preserve">(December 2020 </w:t>
      </w:r>
      <w:r w:rsidR="004B13CB">
        <w:rPr>
          <w:rFonts w:cs="Arial"/>
          <w:b/>
        </w:rPr>
        <w:t xml:space="preserve">funding </w:t>
      </w:r>
      <w:r>
        <w:rPr>
          <w:rFonts w:cs="Arial"/>
          <w:b/>
        </w:rPr>
        <w:t>model</w:t>
      </w:r>
      <w:r w:rsidR="00401DDB">
        <w:rPr>
          <w:rFonts w:cs="Arial"/>
          <w:b/>
        </w:rPr>
        <w:t xml:space="preserve"> agreement</w:t>
      </w:r>
      <w:r>
        <w:rPr>
          <w:rFonts w:cs="Arial"/>
          <w:b/>
        </w:rPr>
        <w:t>)</w:t>
      </w:r>
    </w:p>
    <w:p w14:paraId="6320AE4F" w14:textId="1621C0DC" w:rsidR="00964520" w:rsidRDefault="00964520" w:rsidP="00964520">
      <w:pPr>
        <w:pStyle w:val="MarginText"/>
        <w:spacing w:line="360" w:lineRule="auto"/>
        <w:jc w:val="left"/>
        <w:rPr>
          <w:rFonts w:ascii="Arial" w:hAnsi="Arial" w:cs="Arial"/>
          <w:b/>
          <w:sz w:val="24"/>
          <w:szCs w:val="24"/>
        </w:rPr>
      </w:pPr>
      <w:r w:rsidRPr="00F27947">
        <w:rPr>
          <w:rFonts w:ascii="Arial" w:hAnsi="Arial" w:cs="Arial"/>
          <w:b/>
          <w:sz w:val="24"/>
          <w:szCs w:val="24"/>
        </w:rPr>
        <w:t>TO CATER FOR SCHEMES INVOLVING PFI</w:t>
      </w:r>
    </w:p>
    <w:p w14:paraId="0ECDDDB0" w14:textId="77777777" w:rsidR="00067F9F" w:rsidRPr="00F27947" w:rsidRDefault="00067F9F" w:rsidP="00067F9F">
      <w:pPr>
        <w:pStyle w:val="MarginText"/>
        <w:spacing w:line="360" w:lineRule="auto"/>
        <w:jc w:val="left"/>
        <w:rPr>
          <w:rFonts w:ascii="Arial" w:eastAsia="Times New Roman" w:hAnsi="Arial" w:cs="Arial"/>
          <w:b/>
          <w:sz w:val="24"/>
          <w:szCs w:val="24"/>
          <w:lang w:eastAsia="en-GB"/>
        </w:rPr>
      </w:pPr>
      <w:r w:rsidRPr="00F27947">
        <w:rPr>
          <w:rFonts w:ascii="Arial" w:eastAsia="Times New Roman" w:hAnsi="Arial" w:cs="Arial"/>
          <w:b/>
          <w:sz w:val="24"/>
          <w:szCs w:val="24"/>
          <w:lang w:eastAsia="en-GB"/>
        </w:rPr>
        <w:t xml:space="preserve">NOTE FOR READERS - this document is for intended use on PFI Academy conversions promoted by the DfE.  This is a model form only, provided for information purposes.  This document and associated documentation </w:t>
      </w:r>
      <w:proofErr w:type="gramStart"/>
      <w:r w:rsidRPr="00F27947">
        <w:rPr>
          <w:rFonts w:ascii="Arial" w:eastAsia="Times New Roman" w:hAnsi="Arial" w:cs="Arial"/>
          <w:b/>
          <w:sz w:val="24"/>
          <w:szCs w:val="24"/>
          <w:lang w:eastAsia="en-GB"/>
        </w:rPr>
        <w:t>is</w:t>
      </w:r>
      <w:proofErr w:type="gramEnd"/>
      <w:r w:rsidRPr="00F27947">
        <w:rPr>
          <w:rFonts w:ascii="Arial" w:eastAsia="Times New Roman" w:hAnsi="Arial" w:cs="Arial"/>
          <w:b/>
          <w:sz w:val="24"/>
          <w:szCs w:val="24"/>
          <w:lang w:eastAsia="en-GB"/>
        </w:rPr>
        <w:t xml:space="preserve"> subject to ongoing and regular review and updating by the DfE and its advisors, and readers should check with the relevant DfE project lead on the correct version of documentation to be deployed on individual schemes.  Please note that this document and associated documentation is not a replacement for independent, specialist advice and local authorities and academies should ensure that they take appropriate legal and other advice when using this document.  The DfE and its advisors accept no liability whatsoever for any expense, liability, loss, </w:t>
      </w:r>
      <w:proofErr w:type="gramStart"/>
      <w:r w:rsidRPr="00F27947">
        <w:rPr>
          <w:rFonts w:ascii="Arial" w:eastAsia="Times New Roman" w:hAnsi="Arial" w:cs="Arial"/>
          <w:b/>
          <w:sz w:val="24"/>
          <w:szCs w:val="24"/>
          <w:lang w:eastAsia="en-GB"/>
        </w:rPr>
        <w:t>claim</w:t>
      </w:r>
      <w:proofErr w:type="gramEnd"/>
      <w:r w:rsidRPr="00F27947">
        <w:rPr>
          <w:rFonts w:ascii="Arial" w:eastAsia="Times New Roman" w:hAnsi="Arial" w:cs="Arial"/>
          <w:b/>
          <w:sz w:val="24"/>
          <w:szCs w:val="24"/>
          <w:lang w:eastAsia="en-GB"/>
        </w:rPr>
        <w:t xml:space="preserve"> or proceedings arising from reliance placed on this model document.</w:t>
      </w:r>
    </w:p>
    <w:p w14:paraId="45986CE9" w14:textId="77777777" w:rsidR="00067F9F" w:rsidRPr="00F27947" w:rsidRDefault="00067F9F" w:rsidP="00067F9F">
      <w:pPr>
        <w:spacing w:line="360" w:lineRule="auto"/>
        <w:rPr>
          <w:rFonts w:cs="Arial"/>
        </w:rPr>
      </w:pPr>
      <w:r w:rsidRPr="00F27947">
        <w:rPr>
          <w:rFonts w:cs="Arial"/>
          <w:b/>
        </w:rPr>
        <w:t>Note</w:t>
      </w:r>
      <w:r w:rsidRPr="00F27947">
        <w:rPr>
          <w:rFonts w:cs="Arial"/>
        </w:rPr>
        <w:t xml:space="preserve"> - Where the Master Funding Agreement has not yet been </w:t>
      </w:r>
      <w:proofErr w:type="gramStart"/>
      <w:r w:rsidRPr="00F27947">
        <w:rPr>
          <w:rFonts w:cs="Arial"/>
        </w:rPr>
        <w:t>entered into</w:t>
      </w:r>
      <w:proofErr w:type="gramEnd"/>
      <w:r w:rsidRPr="00F27947">
        <w:rPr>
          <w:rFonts w:cs="Arial"/>
        </w:rPr>
        <w:t xml:space="preserve">, these PFI amendments are for insertion when it is being prepared. If the Master Funding Agreement has already been </w:t>
      </w:r>
      <w:proofErr w:type="gramStart"/>
      <w:r w:rsidRPr="00F27947">
        <w:rPr>
          <w:rFonts w:cs="Arial"/>
        </w:rPr>
        <w:t>entered into</w:t>
      </w:r>
      <w:proofErr w:type="gramEnd"/>
      <w:r w:rsidRPr="00F27947">
        <w:rPr>
          <w:rFonts w:cs="Arial"/>
        </w:rPr>
        <w:t>, it is proposed that a deed of variation to the Master Funding Agreement is entered into in order to incorporate the PFI amendments.</w:t>
      </w:r>
    </w:p>
    <w:p w14:paraId="0396FFD0" w14:textId="77777777" w:rsidR="00067F9F" w:rsidRPr="00F27947" w:rsidRDefault="00067F9F" w:rsidP="00067F9F">
      <w:pPr>
        <w:spacing w:line="360" w:lineRule="auto"/>
        <w:rPr>
          <w:rFonts w:cs="Arial"/>
        </w:rPr>
      </w:pPr>
    </w:p>
    <w:p w14:paraId="52E087E2" w14:textId="77777777" w:rsidR="00067F9F" w:rsidRPr="00F27947" w:rsidRDefault="00067F9F" w:rsidP="00067F9F">
      <w:pPr>
        <w:spacing w:line="360" w:lineRule="auto"/>
        <w:rPr>
          <w:rFonts w:cs="Arial"/>
        </w:rPr>
      </w:pPr>
      <w:r w:rsidRPr="00F27947">
        <w:rPr>
          <w:rFonts w:cs="Arial"/>
        </w:rPr>
        <w:t>The PFI amendments address two issues: visibility of the PFI Academy's financial management; and controls on funding flows for the PFI Academy.  The proposed operative wording is set out below together with an explanation setting out DFE's reasons behind the wording which is contained in footnotes.</w:t>
      </w:r>
    </w:p>
    <w:p w14:paraId="79064C32" w14:textId="77777777" w:rsidR="00067F9F" w:rsidRPr="00F27947" w:rsidRDefault="00067F9F" w:rsidP="00067F9F">
      <w:pPr>
        <w:spacing w:line="360" w:lineRule="auto"/>
        <w:rPr>
          <w:rFonts w:cs="Arial"/>
        </w:rPr>
      </w:pPr>
      <w:r w:rsidRPr="00F27947">
        <w:rPr>
          <w:rFonts w:cs="Arial"/>
        </w:rPr>
        <w:t xml:space="preserve">Following receipt of confirmation from the Academy Trust as to approach, a draft deed of variation will (where relevant) be circulated which includes the agreed operative wording. </w:t>
      </w:r>
    </w:p>
    <w:p w14:paraId="59321DCB" w14:textId="77777777" w:rsidR="00067F9F" w:rsidRPr="00F27947" w:rsidRDefault="00067F9F" w:rsidP="00067F9F">
      <w:pPr>
        <w:numPr>
          <w:ilvl w:val="0"/>
          <w:numId w:val="36"/>
        </w:numPr>
        <w:spacing w:after="0" w:line="360" w:lineRule="auto"/>
        <w:rPr>
          <w:rFonts w:cs="Arial"/>
          <w:b/>
        </w:rPr>
      </w:pPr>
      <w:r w:rsidRPr="00F27947">
        <w:rPr>
          <w:rFonts w:cs="Arial"/>
          <w:b/>
        </w:rPr>
        <w:br w:type="page"/>
      </w:r>
      <w:r w:rsidRPr="00F27947">
        <w:rPr>
          <w:rFonts w:cs="Arial"/>
          <w:b/>
        </w:rPr>
        <w:lastRenderedPageBreak/>
        <w:t>Amend the Summary Sheet as follows</w:t>
      </w:r>
    </w:p>
    <w:p w14:paraId="72ADD2B4" w14:textId="77777777" w:rsidR="00067F9F" w:rsidRPr="00F27947" w:rsidRDefault="00067F9F" w:rsidP="00067F9F">
      <w:pPr>
        <w:spacing w:line="360" w:lineRule="auto"/>
        <w:rPr>
          <w:rFonts w:cs="Arial"/>
          <w:b/>
        </w:rPr>
      </w:pPr>
    </w:p>
    <w:p w14:paraId="11794685" w14:textId="77777777" w:rsidR="00067F9F" w:rsidRPr="00F27947" w:rsidRDefault="00067F9F" w:rsidP="00067F9F">
      <w:pPr>
        <w:spacing w:line="360" w:lineRule="auto"/>
        <w:rPr>
          <w:rFonts w:cs="Arial"/>
          <w:b/>
        </w:rPr>
      </w:pPr>
      <w:r w:rsidRPr="00F27947">
        <w:rPr>
          <w:rFonts w:cs="Arial"/>
          <w:b/>
        </w:rPr>
        <w:t>Add the following entries to the table summarising additional clauses which have been used</w:t>
      </w:r>
    </w:p>
    <w:p w14:paraId="74930AFE" w14:textId="77777777" w:rsidR="00067F9F" w:rsidRPr="00F27947" w:rsidRDefault="00067F9F" w:rsidP="00067F9F">
      <w:pPr>
        <w:spacing w:line="36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418"/>
        <w:gridCol w:w="1418"/>
        <w:gridCol w:w="1337"/>
      </w:tblGrid>
      <w:tr w:rsidR="00067F9F" w:rsidRPr="00F27947" w14:paraId="7D1C8E54" w14:textId="77777777" w:rsidTr="00C53C44">
        <w:trPr>
          <w:tblHeader/>
        </w:trPr>
        <w:tc>
          <w:tcPr>
            <w:tcW w:w="4819" w:type="dxa"/>
            <w:shd w:val="clear" w:color="auto" w:fill="auto"/>
          </w:tcPr>
          <w:p w14:paraId="4819B8B2" w14:textId="77777777" w:rsidR="00067F9F" w:rsidRPr="00F27947" w:rsidRDefault="00067F9F" w:rsidP="00C53C44">
            <w:pPr>
              <w:spacing w:after="200" w:line="360" w:lineRule="auto"/>
              <w:rPr>
                <w:rFonts w:eastAsia="Calibri" w:cs="Arial"/>
                <w:b/>
                <w:lang w:eastAsia="en-US"/>
              </w:rPr>
            </w:pPr>
            <w:r w:rsidRPr="00F27947">
              <w:rPr>
                <w:rFonts w:eastAsia="Calibri" w:cs="Arial"/>
                <w:b/>
                <w:lang w:eastAsia="en-US"/>
              </w:rPr>
              <w:t>Descriptor</w:t>
            </w:r>
          </w:p>
        </w:tc>
        <w:tc>
          <w:tcPr>
            <w:tcW w:w="1418" w:type="dxa"/>
            <w:shd w:val="clear" w:color="auto" w:fill="auto"/>
          </w:tcPr>
          <w:p w14:paraId="1DCF5969" w14:textId="77777777" w:rsidR="00067F9F" w:rsidRPr="00F27947" w:rsidRDefault="00067F9F" w:rsidP="00C53C44">
            <w:pPr>
              <w:spacing w:line="360" w:lineRule="auto"/>
              <w:rPr>
                <w:rFonts w:eastAsia="Calibri" w:cs="Arial"/>
                <w:b/>
                <w:lang w:eastAsia="en-US"/>
              </w:rPr>
            </w:pPr>
            <w:r w:rsidRPr="00F27947">
              <w:rPr>
                <w:rFonts w:eastAsia="Calibri" w:cs="Arial"/>
                <w:b/>
                <w:lang w:eastAsia="en-US"/>
              </w:rPr>
              <w:t>Clause No.</w:t>
            </w:r>
          </w:p>
        </w:tc>
        <w:tc>
          <w:tcPr>
            <w:tcW w:w="1418" w:type="dxa"/>
            <w:shd w:val="clear" w:color="auto" w:fill="auto"/>
          </w:tcPr>
          <w:p w14:paraId="36A5D555" w14:textId="77777777" w:rsidR="00067F9F" w:rsidRPr="00F27947" w:rsidRDefault="00067F9F" w:rsidP="00C53C44">
            <w:pPr>
              <w:spacing w:after="200" w:line="360" w:lineRule="auto"/>
              <w:rPr>
                <w:rFonts w:eastAsia="Calibri" w:cs="Arial"/>
                <w:b/>
                <w:lang w:eastAsia="en-US"/>
              </w:rPr>
            </w:pPr>
            <w:r w:rsidRPr="00F27947">
              <w:rPr>
                <w:rFonts w:eastAsia="Calibri" w:cs="Arial"/>
                <w:b/>
                <w:lang w:eastAsia="en-US"/>
              </w:rPr>
              <w:t>Applied</w:t>
            </w:r>
          </w:p>
        </w:tc>
        <w:tc>
          <w:tcPr>
            <w:tcW w:w="1337" w:type="dxa"/>
            <w:shd w:val="clear" w:color="auto" w:fill="auto"/>
          </w:tcPr>
          <w:p w14:paraId="12F5DC99" w14:textId="77777777" w:rsidR="00067F9F" w:rsidRPr="00F27947" w:rsidRDefault="00067F9F" w:rsidP="00C53C44">
            <w:pPr>
              <w:spacing w:after="200" w:line="360" w:lineRule="auto"/>
              <w:rPr>
                <w:rFonts w:eastAsia="Calibri" w:cs="Arial"/>
                <w:b/>
                <w:lang w:eastAsia="en-US"/>
              </w:rPr>
            </w:pPr>
            <w:r w:rsidRPr="00F27947">
              <w:rPr>
                <w:rFonts w:eastAsia="Calibri" w:cs="Arial"/>
                <w:b/>
                <w:lang w:eastAsia="en-US"/>
              </w:rPr>
              <w:t>Not used</w:t>
            </w:r>
          </w:p>
        </w:tc>
      </w:tr>
      <w:tr w:rsidR="00067F9F" w:rsidRPr="00F27947" w14:paraId="29AA5CF8" w14:textId="77777777" w:rsidTr="00C53C44">
        <w:tc>
          <w:tcPr>
            <w:tcW w:w="4819" w:type="dxa"/>
            <w:shd w:val="clear" w:color="auto" w:fill="auto"/>
          </w:tcPr>
          <w:p w14:paraId="4B8D27EC" w14:textId="77777777" w:rsidR="00067F9F" w:rsidRPr="00F27947" w:rsidRDefault="00067F9F" w:rsidP="00C53C44">
            <w:pPr>
              <w:spacing w:after="200" w:line="360" w:lineRule="auto"/>
              <w:rPr>
                <w:rFonts w:eastAsia="Calibri" w:cs="Arial"/>
                <w:lang w:eastAsia="en-US"/>
              </w:rPr>
            </w:pPr>
            <w:r w:rsidRPr="00F27947">
              <w:rPr>
                <w:rFonts w:eastAsia="Calibri" w:cs="Arial"/>
                <w:b/>
                <w:lang w:eastAsia="en-US"/>
              </w:rPr>
              <w:t>PFI Clauses</w:t>
            </w:r>
          </w:p>
        </w:tc>
        <w:tc>
          <w:tcPr>
            <w:tcW w:w="1418" w:type="dxa"/>
            <w:shd w:val="clear" w:color="auto" w:fill="auto"/>
          </w:tcPr>
          <w:p w14:paraId="014168DF" w14:textId="77777777" w:rsidR="00067F9F" w:rsidRPr="00F27947" w:rsidRDefault="00067F9F" w:rsidP="00C53C44">
            <w:pPr>
              <w:spacing w:line="360" w:lineRule="auto"/>
              <w:rPr>
                <w:rFonts w:eastAsia="Calibri" w:cs="Arial"/>
                <w:lang w:eastAsia="en-US"/>
              </w:rPr>
            </w:pPr>
          </w:p>
        </w:tc>
        <w:tc>
          <w:tcPr>
            <w:tcW w:w="1418" w:type="dxa"/>
            <w:shd w:val="clear" w:color="auto" w:fill="auto"/>
          </w:tcPr>
          <w:p w14:paraId="4560E836" w14:textId="77777777" w:rsidR="00067F9F" w:rsidRPr="00F27947" w:rsidRDefault="00067F9F" w:rsidP="00C53C44">
            <w:pPr>
              <w:spacing w:line="360" w:lineRule="auto"/>
              <w:rPr>
                <w:rFonts w:eastAsia="Calibri" w:cs="Arial"/>
                <w:lang w:eastAsia="en-US"/>
              </w:rPr>
            </w:pPr>
          </w:p>
        </w:tc>
        <w:tc>
          <w:tcPr>
            <w:tcW w:w="1337" w:type="dxa"/>
            <w:shd w:val="clear" w:color="auto" w:fill="auto"/>
          </w:tcPr>
          <w:p w14:paraId="31B9381C" w14:textId="77777777" w:rsidR="00067F9F" w:rsidRPr="00F27947" w:rsidRDefault="00067F9F" w:rsidP="00C53C44">
            <w:pPr>
              <w:spacing w:line="360" w:lineRule="auto"/>
              <w:rPr>
                <w:rFonts w:eastAsia="Calibri" w:cs="Arial"/>
                <w:lang w:eastAsia="en-US"/>
              </w:rPr>
            </w:pPr>
          </w:p>
        </w:tc>
      </w:tr>
      <w:tr w:rsidR="00067F9F" w:rsidRPr="00F27947" w14:paraId="390A2E94" w14:textId="77777777" w:rsidTr="00C53C44">
        <w:tc>
          <w:tcPr>
            <w:tcW w:w="4819" w:type="dxa"/>
            <w:shd w:val="clear" w:color="auto" w:fill="auto"/>
          </w:tcPr>
          <w:p w14:paraId="07BD64EC" w14:textId="77777777" w:rsidR="00067F9F" w:rsidRPr="00F27947" w:rsidRDefault="00067F9F" w:rsidP="00C53C44">
            <w:pPr>
              <w:spacing w:line="360" w:lineRule="auto"/>
              <w:rPr>
                <w:rFonts w:eastAsia="Calibri" w:cs="Arial"/>
                <w:lang w:eastAsia="en-US"/>
              </w:rPr>
            </w:pPr>
            <w:r w:rsidRPr="00F27947">
              <w:rPr>
                <w:rFonts w:eastAsia="Calibri" w:cs="Arial"/>
                <w:lang w:eastAsia="en-US"/>
              </w:rPr>
              <w:t>Definitions of types of Academies</w:t>
            </w:r>
          </w:p>
        </w:tc>
        <w:tc>
          <w:tcPr>
            <w:tcW w:w="1418" w:type="dxa"/>
            <w:shd w:val="clear" w:color="auto" w:fill="auto"/>
          </w:tcPr>
          <w:p w14:paraId="07D56883" w14:textId="77777777" w:rsidR="00067F9F" w:rsidRPr="00F27947" w:rsidRDefault="00067F9F" w:rsidP="00C53C44">
            <w:pPr>
              <w:spacing w:line="360" w:lineRule="auto"/>
              <w:rPr>
                <w:rFonts w:eastAsia="Calibri" w:cs="Arial"/>
                <w:lang w:eastAsia="en-US"/>
              </w:rPr>
            </w:pPr>
            <w:r w:rsidRPr="00F27947">
              <w:rPr>
                <w:rFonts w:eastAsia="Calibri" w:cs="Arial"/>
                <w:lang w:eastAsia="en-US"/>
              </w:rPr>
              <w:t>1</w:t>
            </w:r>
          </w:p>
        </w:tc>
        <w:tc>
          <w:tcPr>
            <w:tcW w:w="1418" w:type="dxa"/>
            <w:shd w:val="clear" w:color="auto" w:fill="auto"/>
          </w:tcPr>
          <w:p w14:paraId="2117149A" w14:textId="77777777" w:rsidR="00067F9F" w:rsidRPr="00F27947" w:rsidRDefault="00067F9F" w:rsidP="00C53C44">
            <w:pPr>
              <w:spacing w:line="360" w:lineRule="auto"/>
              <w:rPr>
                <w:rFonts w:eastAsia="Calibri" w:cs="Arial"/>
                <w:lang w:eastAsia="en-US"/>
              </w:rPr>
            </w:pPr>
            <w:r w:rsidRPr="00F27947">
              <w:rPr>
                <w:rFonts w:eastAsia="Calibri" w:cs="Arial"/>
                <w:lang w:eastAsia="en-US"/>
              </w:rPr>
              <w:t>yes</w:t>
            </w:r>
          </w:p>
        </w:tc>
        <w:tc>
          <w:tcPr>
            <w:tcW w:w="1337" w:type="dxa"/>
            <w:shd w:val="clear" w:color="auto" w:fill="auto"/>
          </w:tcPr>
          <w:p w14:paraId="0D7E1577" w14:textId="77777777" w:rsidR="00067F9F" w:rsidRPr="00F27947" w:rsidRDefault="00067F9F" w:rsidP="00C53C44">
            <w:pPr>
              <w:spacing w:line="360" w:lineRule="auto"/>
              <w:rPr>
                <w:rFonts w:eastAsia="Calibri" w:cs="Arial"/>
                <w:lang w:eastAsia="en-US"/>
              </w:rPr>
            </w:pPr>
          </w:p>
        </w:tc>
      </w:tr>
      <w:tr w:rsidR="00067F9F" w:rsidRPr="00F27947" w14:paraId="52627A7D" w14:textId="77777777" w:rsidTr="00C53C44">
        <w:tc>
          <w:tcPr>
            <w:tcW w:w="4819" w:type="dxa"/>
            <w:shd w:val="clear" w:color="auto" w:fill="auto"/>
          </w:tcPr>
          <w:p w14:paraId="56A9AE05" w14:textId="77777777" w:rsidR="00067F9F" w:rsidRPr="00F27947" w:rsidRDefault="00067F9F" w:rsidP="00C53C44">
            <w:pPr>
              <w:spacing w:line="360" w:lineRule="auto"/>
              <w:rPr>
                <w:rFonts w:eastAsia="Calibri" w:cs="Arial"/>
                <w:lang w:eastAsia="en-US"/>
              </w:rPr>
            </w:pPr>
            <w:r w:rsidRPr="00F27947">
              <w:rPr>
                <w:rFonts w:eastAsia="Calibri" w:cs="Arial"/>
                <w:lang w:eastAsia="en-US"/>
              </w:rPr>
              <w:t>Separate bank accounts</w:t>
            </w:r>
          </w:p>
        </w:tc>
        <w:tc>
          <w:tcPr>
            <w:tcW w:w="1418" w:type="dxa"/>
            <w:shd w:val="clear" w:color="auto" w:fill="auto"/>
          </w:tcPr>
          <w:p w14:paraId="4685CFE1" w14:textId="77777777" w:rsidR="00067F9F" w:rsidRPr="00F27947" w:rsidRDefault="00067F9F" w:rsidP="00C53C44">
            <w:pPr>
              <w:spacing w:line="360" w:lineRule="auto"/>
              <w:rPr>
                <w:rFonts w:eastAsia="Calibri" w:cs="Arial"/>
                <w:lang w:eastAsia="en-US"/>
              </w:rPr>
            </w:pPr>
            <w:r w:rsidRPr="00F27947">
              <w:rPr>
                <w:rFonts w:eastAsia="Calibri" w:cs="Arial"/>
                <w:lang w:eastAsia="en-US"/>
              </w:rPr>
              <w:t>4.2A</w:t>
            </w:r>
          </w:p>
        </w:tc>
        <w:tc>
          <w:tcPr>
            <w:tcW w:w="1418" w:type="dxa"/>
            <w:shd w:val="clear" w:color="auto" w:fill="auto"/>
          </w:tcPr>
          <w:p w14:paraId="1684D151" w14:textId="77777777" w:rsidR="00067F9F" w:rsidRPr="00F27947" w:rsidRDefault="00067F9F" w:rsidP="00C53C44">
            <w:pPr>
              <w:spacing w:line="360" w:lineRule="auto"/>
              <w:rPr>
                <w:rFonts w:eastAsia="Calibri" w:cs="Arial"/>
                <w:lang w:eastAsia="en-US"/>
              </w:rPr>
            </w:pPr>
            <w:r w:rsidRPr="00F27947">
              <w:rPr>
                <w:rFonts w:eastAsia="Calibri" w:cs="Arial"/>
                <w:lang w:eastAsia="en-US"/>
              </w:rPr>
              <w:t>yes</w:t>
            </w:r>
          </w:p>
        </w:tc>
        <w:tc>
          <w:tcPr>
            <w:tcW w:w="1337" w:type="dxa"/>
            <w:shd w:val="clear" w:color="auto" w:fill="auto"/>
          </w:tcPr>
          <w:p w14:paraId="005EDD75" w14:textId="77777777" w:rsidR="00067F9F" w:rsidRPr="00F27947" w:rsidRDefault="00067F9F" w:rsidP="00C53C44">
            <w:pPr>
              <w:spacing w:line="360" w:lineRule="auto"/>
              <w:rPr>
                <w:rFonts w:eastAsia="Calibri" w:cs="Arial"/>
                <w:lang w:eastAsia="en-US"/>
              </w:rPr>
            </w:pPr>
          </w:p>
        </w:tc>
      </w:tr>
      <w:tr w:rsidR="00067F9F" w:rsidRPr="00F27947" w14:paraId="7B22F57A" w14:textId="77777777" w:rsidTr="00C53C44">
        <w:tc>
          <w:tcPr>
            <w:tcW w:w="4819" w:type="dxa"/>
            <w:shd w:val="clear" w:color="auto" w:fill="auto"/>
          </w:tcPr>
          <w:p w14:paraId="2701F4F7" w14:textId="77777777" w:rsidR="00067F9F" w:rsidRPr="00F27947" w:rsidRDefault="00067F9F" w:rsidP="00C53C44">
            <w:pPr>
              <w:spacing w:line="360" w:lineRule="auto"/>
              <w:rPr>
                <w:rFonts w:eastAsia="Calibri" w:cs="Arial"/>
                <w:lang w:eastAsia="en-US"/>
              </w:rPr>
            </w:pPr>
            <w:r w:rsidRPr="00F27947">
              <w:rPr>
                <w:rFonts w:eastAsia="Calibri" w:cs="Arial"/>
                <w:lang w:eastAsia="en-US"/>
              </w:rPr>
              <w:t>Sufficient capacity and expertise to manage finances</w:t>
            </w:r>
          </w:p>
        </w:tc>
        <w:tc>
          <w:tcPr>
            <w:tcW w:w="1418" w:type="dxa"/>
            <w:shd w:val="clear" w:color="auto" w:fill="auto"/>
          </w:tcPr>
          <w:p w14:paraId="111F6AA5" w14:textId="77777777" w:rsidR="00067F9F" w:rsidRPr="00F27947" w:rsidRDefault="00067F9F" w:rsidP="00C53C44">
            <w:pPr>
              <w:spacing w:line="360" w:lineRule="auto"/>
              <w:rPr>
                <w:rFonts w:eastAsia="Calibri" w:cs="Arial"/>
                <w:lang w:eastAsia="en-US"/>
              </w:rPr>
            </w:pPr>
            <w:r w:rsidRPr="00F27947">
              <w:rPr>
                <w:rFonts w:eastAsia="Calibri" w:cs="Arial"/>
                <w:lang w:eastAsia="en-US"/>
              </w:rPr>
              <w:t>4.3A</w:t>
            </w:r>
          </w:p>
        </w:tc>
        <w:tc>
          <w:tcPr>
            <w:tcW w:w="1418" w:type="dxa"/>
            <w:shd w:val="clear" w:color="auto" w:fill="auto"/>
          </w:tcPr>
          <w:p w14:paraId="7D4AF748" w14:textId="77777777" w:rsidR="00067F9F" w:rsidRPr="00F27947" w:rsidRDefault="00067F9F" w:rsidP="00C53C44">
            <w:pPr>
              <w:spacing w:line="360" w:lineRule="auto"/>
              <w:rPr>
                <w:rFonts w:eastAsia="Calibri" w:cs="Arial"/>
                <w:lang w:eastAsia="en-US"/>
              </w:rPr>
            </w:pPr>
            <w:r w:rsidRPr="00F27947">
              <w:rPr>
                <w:rFonts w:eastAsia="Calibri" w:cs="Arial"/>
                <w:lang w:eastAsia="en-US"/>
              </w:rPr>
              <w:t>yes</w:t>
            </w:r>
          </w:p>
        </w:tc>
        <w:tc>
          <w:tcPr>
            <w:tcW w:w="1337" w:type="dxa"/>
            <w:shd w:val="clear" w:color="auto" w:fill="auto"/>
          </w:tcPr>
          <w:p w14:paraId="3FFD7FF7" w14:textId="77777777" w:rsidR="00067F9F" w:rsidRPr="00F27947" w:rsidRDefault="00067F9F" w:rsidP="00C53C44">
            <w:pPr>
              <w:spacing w:line="360" w:lineRule="auto"/>
              <w:rPr>
                <w:rFonts w:eastAsia="Calibri" w:cs="Arial"/>
                <w:lang w:eastAsia="en-US"/>
              </w:rPr>
            </w:pPr>
          </w:p>
        </w:tc>
      </w:tr>
      <w:tr w:rsidR="00067F9F" w:rsidRPr="00F27947" w14:paraId="31E4A67F" w14:textId="77777777" w:rsidTr="00C53C44">
        <w:tc>
          <w:tcPr>
            <w:tcW w:w="4819" w:type="dxa"/>
            <w:shd w:val="clear" w:color="auto" w:fill="auto"/>
          </w:tcPr>
          <w:p w14:paraId="073045DB" w14:textId="77777777" w:rsidR="00067F9F" w:rsidRPr="00F27947" w:rsidRDefault="00067F9F" w:rsidP="00C53C44">
            <w:pPr>
              <w:spacing w:line="360" w:lineRule="auto"/>
              <w:rPr>
                <w:rFonts w:eastAsia="Calibri" w:cs="Arial"/>
                <w:lang w:eastAsia="en-US"/>
              </w:rPr>
            </w:pPr>
            <w:r w:rsidRPr="00F27947">
              <w:rPr>
                <w:rFonts w:eastAsia="Calibri" w:cs="Arial"/>
                <w:lang w:eastAsia="en-US"/>
              </w:rPr>
              <w:t>Provision of information relating to each PFI Academy</w:t>
            </w:r>
          </w:p>
        </w:tc>
        <w:tc>
          <w:tcPr>
            <w:tcW w:w="1418" w:type="dxa"/>
            <w:shd w:val="clear" w:color="auto" w:fill="auto"/>
          </w:tcPr>
          <w:p w14:paraId="61F491D6" w14:textId="77777777" w:rsidR="00067F9F" w:rsidRPr="00F27947" w:rsidRDefault="00067F9F" w:rsidP="00C53C44">
            <w:pPr>
              <w:spacing w:line="360" w:lineRule="auto"/>
              <w:rPr>
                <w:rFonts w:eastAsia="Calibri" w:cs="Arial"/>
                <w:lang w:eastAsia="en-US"/>
              </w:rPr>
            </w:pPr>
            <w:r w:rsidRPr="00F27947">
              <w:rPr>
                <w:rFonts w:eastAsia="Calibri" w:cs="Arial"/>
                <w:lang w:eastAsia="en-US"/>
              </w:rPr>
              <w:t>4.5A</w:t>
            </w:r>
          </w:p>
        </w:tc>
        <w:tc>
          <w:tcPr>
            <w:tcW w:w="1418" w:type="dxa"/>
            <w:shd w:val="clear" w:color="auto" w:fill="auto"/>
          </w:tcPr>
          <w:p w14:paraId="7E8BB02E" w14:textId="77777777" w:rsidR="00067F9F" w:rsidRPr="00F27947" w:rsidRDefault="00067F9F" w:rsidP="00C53C44">
            <w:pPr>
              <w:spacing w:line="360" w:lineRule="auto"/>
              <w:rPr>
                <w:rFonts w:eastAsia="Calibri" w:cs="Arial"/>
                <w:lang w:eastAsia="en-US"/>
              </w:rPr>
            </w:pPr>
            <w:r w:rsidRPr="00F27947">
              <w:rPr>
                <w:rFonts w:eastAsia="Calibri" w:cs="Arial"/>
                <w:lang w:eastAsia="en-US"/>
              </w:rPr>
              <w:t>yes</w:t>
            </w:r>
          </w:p>
        </w:tc>
        <w:tc>
          <w:tcPr>
            <w:tcW w:w="1337" w:type="dxa"/>
            <w:shd w:val="clear" w:color="auto" w:fill="auto"/>
          </w:tcPr>
          <w:p w14:paraId="4FF2D510" w14:textId="77777777" w:rsidR="00067F9F" w:rsidRPr="00F27947" w:rsidRDefault="00067F9F" w:rsidP="00C53C44">
            <w:pPr>
              <w:spacing w:line="360" w:lineRule="auto"/>
              <w:rPr>
                <w:rFonts w:eastAsia="Calibri" w:cs="Arial"/>
                <w:lang w:eastAsia="en-US"/>
              </w:rPr>
            </w:pPr>
          </w:p>
        </w:tc>
      </w:tr>
    </w:tbl>
    <w:p w14:paraId="2BD42E41" w14:textId="77777777" w:rsidR="00067F9F" w:rsidRPr="00F27947" w:rsidRDefault="00067F9F" w:rsidP="00067F9F">
      <w:pPr>
        <w:spacing w:line="360" w:lineRule="auto"/>
        <w:rPr>
          <w:rFonts w:cs="Arial"/>
          <w:b/>
        </w:rPr>
      </w:pPr>
    </w:p>
    <w:p w14:paraId="05FF3E78" w14:textId="77777777" w:rsidR="00067F9F" w:rsidRPr="00F27947" w:rsidRDefault="00067F9F" w:rsidP="00067F9F">
      <w:pPr>
        <w:numPr>
          <w:ilvl w:val="0"/>
          <w:numId w:val="36"/>
        </w:numPr>
        <w:spacing w:after="0" w:line="360" w:lineRule="auto"/>
        <w:rPr>
          <w:rFonts w:cs="Arial"/>
          <w:b/>
        </w:rPr>
      </w:pPr>
      <w:r w:rsidRPr="00F27947">
        <w:rPr>
          <w:rFonts w:cs="Arial"/>
          <w:b/>
        </w:rPr>
        <w:t>Amend the definitions of types of Academies contained in clause 1 as follows:</w:t>
      </w:r>
    </w:p>
    <w:p w14:paraId="2C0C46AE" w14:textId="77777777" w:rsidR="00067F9F" w:rsidRPr="00F27947" w:rsidRDefault="00067F9F" w:rsidP="00067F9F">
      <w:pPr>
        <w:spacing w:line="360" w:lineRule="auto"/>
        <w:rPr>
          <w:rFonts w:cs="Arial"/>
          <w:b/>
        </w:rPr>
      </w:pPr>
    </w:p>
    <w:p w14:paraId="6E0046D1" w14:textId="77777777" w:rsidR="00067F9F" w:rsidRPr="00F27947" w:rsidRDefault="00067F9F" w:rsidP="00067F9F">
      <w:pPr>
        <w:spacing w:line="360" w:lineRule="auto"/>
        <w:rPr>
          <w:rFonts w:cs="Arial"/>
          <w:b/>
        </w:rPr>
      </w:pPr>
      <w:r w:rsidRPr="00F27947">
        <w:rPr>
          <w:rFonts w:cs="Arial"/>
          <w:b/>
        </w:rPr>
        <w:t>Insert a new definition of PFI Academy</w:t>
      </w:r>
    </w:p>
    <w:p w14:paraId="1BA9B651" w14:textId="77777777" w:rsidR="00067F9F" w:rsidRPr="00F27947" w:rsidRDefault="00067F9F" w:rsidP="00067F9F">
      <w:pPr>
        <w:spacing w:line="360" w:lineRule="auto"/>
        <w:ind w:left="720"/>
        <w:rPr>
          <w:rFonts w:cs="Arial"/>
        </w:rPr>
      </w:pPr>
      <w:r w:rsidRPr="00F27947">
        <w:rPr>
          <w:rFonts w:cs="Arial"/>
          <w:b/>
        </w:rPr>
        <w:t xml:space="preserve">"PFI Academy" </w:t>
      </w:r>
      <w:r w:rsidRPr="00F27947">
        <w:rPr>
          <w:rFonts w:cs="Arial"/>
        </w:rPr>
        <w:t>means an Academy which forms part of a scheme procured pursuant to the Government's Private Finance Init</w:t>
      </w:r>
      <w:r>
        <w:rPr>
          <w:rFonts w:cs="Arial"/>
        </w:rPr>
        <w:t xml:space="preserve">iative: </w:t>
      </w:r>
    </w:p>
    <w:p w14:paraId="58C3F49A" w14:textId="77777777" w:rsidR="00067F9F" w:rsidRPr="00F27947" w:rsidRDefault="00067F9F" w:rsidP="00067F9F">
      <w:pPr>
        <w:spacing w:line="360" w:lineRule="auto"/>
        <w:ind w:left="720"/>
        <w:rPr>
          <w:rFonts w:cs="Arial"/>
        </w:rPr>
      </w:pPr>
    </w:p>
    <w:p w14:paraId="708B941B" w14:textId="77777777" w:rsidR="00067F9F" w:rsidRDefault="00067F9F" w:rsidP="00067F9F">
      <w:pPr>
        <w:numPr>
          <w:ilvl w:val="0"/>
          <w:numId w:val="36"/>
        </w:numPr>
        <w:spacing w:after="0" w:line="360" w:lineRule="auto"/>
        <w:rPr>
          <w:rFonts w:cs="Arial"/>
          <w:b/>
        </w:rPr>
      </w:pPr>
      <w:r w:rsidRPr="00F27947">
        <w:rPr>
          <w:rFonts w:cs="Arial"/>
          <w:b/>
        </w:rPr>
        <w:t>Insert the following new Clause as new Clause 4.2A to the Master Funding Agreement:</w:t>
      </w:r>
    </w:p>
    <w:p w14:paraId="35BDB9AF" w14:textId="77777777" w:rsidR="00067F9F" w:rsidRPr="00F27947" w:rsidRDefault="00067F9F" w:rsidP="00067F9F">
      <w:pPr>
        <w:spacing w:line="360" w:lineRule="auto"/>
        <w:rPr>
          <w:rFonts w:cs="Arial"/>
        </w:rPr>
      </w:pPr>
    </w:p>
    <w:p w14:paraId="4A893B60" w14:textId="77777777" w:rsidR="00067F9F" w:rsidRDefault="00067F9F" w:rsidP="00067F9F">
      <w:pPr>
        <w:spacing w:line="360" w:lineRule="auto"/>
        <w:ind w:left="720" w:hanging="720"/>
        <w:rPr>
          <w:rFonts w:cs="Arial"/>
        </w:rPr>
      </w:pPr>
      <w:r w:rsidRPr="00F27947">
        <w:rPr>
          <w:rFonts w:cs="Arial"/>
        </w:rPr>
        <w:lastRenderedPageBreak/>
        <w:t>4.2A</w:t>
      </w:r>
      <w:r w:rsidRPr="00F27947">
        <w:rPr>
          <w:rFonts w:cs="Arial"/>
        </w:rPr>
        <w:tab/>
        <w:t xml:space="preserve">Subject to clauses 4.14 and 4.15, the Academy Trust will, in relation to each PFI Academy, </w:t>
      </w:r>
      <w:r>
        <w:rPr>
          <w:rFonts w:cs="Arial"/>
        </w:rPr>
        <w:t xml:space="preserve">ensure PFI funds provided by the Secretary of State under this Agreement are restricted and used solely for the PFI Academy.  PFI funding provided by the Secretary of State cannot be pooled by the Academy Trust.  </w:t>
      </w:r>
      <w:r w:rsidRPr="00F27947">
        <w:rPr>
          <w:rFonts w:cs="Arial"/>
        </w:rPr>
        <w:t xml:space="preserve">The Academy Trust </w:t>
      </w:r>
      <w:r>
        <w:rPr>
          <w:rFonts w:cs="Arial"/>
        </w:rPr>
        <w:t>agrees that such funds will remain restricted and that those funds will be reported on separately and be applied in accordance with the Agreement.</w:t>
      </w:r>
      <w:r w:rsidRPr="00F27947">
        <w:rPr>
          <w:rStyle w:val="FootnoteReference"/>
          <w:rFonts w:cs="Arial"/>
        </w:rPr>
        <w:footnoteReference w:id="1"/>
      </w:r>
    </w:p>
    <w:p w14:paraId="0DB7B2B0" w14:textId="77777777" w:rsidR="00067F9F" w:rsidRPr="00F27947" w:rsidRDefault="00067F9F" w:rsidP="00067F9F">
      <w:pPr>
        <w:spacing w:line="360" w:lineRule="auto"/>
        <w:ind w:left="720" w:hanging="720"/>
        <w:rPr>
          <w:rFonts w:cs="Arial"/>
        </w:rPr>
      </w:pPr>
    </w:p>
    <w:p w14:paraId="5B4EB120" w14:textId="77777777" w:rsidR="00067F9F" w:rsidRPr="00F27947" w:rsidRDefault="00067F9F" w:rsidP="00067F9F">
      <w:pPr>
        <w:numPr>
          <w:ilvl w:val="0"/>
          <w:numId w:val="36"/>
        </w:numPr>
        <w:spacing w:after="0" w:line="360" w:lineRule="auto"/>
        <w:rPr>
          <w:rFonts w:cs="Arial"/>
          <w:b/>
        </w:rPr>
      </w:pPr>
      <w:r w:rsidRPr="00F27947">
        <w:rPr>
          <w:rFonts w:cs="Arial"/>
          <w:b/>
        </w:rPr>
        <w:t>Insert a new clause 4.3A as follows:</w:t>
      </w:r>
    </w:p>
    <w:p w14:paraId="74EDF263" w14:textId="77777777" w:rsidR="00067F9F" w:rsidRPr="00F27947" w:rsidRDefault="00067F9F" w:rsidP="00067F9F">
      <w:pPr>
        <w:spacing w:line="360" w:lineRule="auto"/>
        <w:ind w:left="360"/>
        <w:rPr>
          <w:rFonts w:cs="Arial"/>
          <w:b/>
        </w:rPr>
      </w:pPr>
    </w:p>
    <w:p w14:paraId="6778B108" w14:textId="77777777" w:rsidR="00067F9F" w:rsidRPr="00F27947" w:rsidRDefault="00067F9F" w:rsidP="00067F9F">
      <w:pPr>
        <w:spacing w:line="360" w:lineRule="auto"/>
        <w:ind w:left="720" w:hanging="720"/>
        <w:rPr>
          <w:rFonts w:cs="Arial"/>
        </w:rPr>
      </w:pPr>
      <w:r w:rsidRPr="00F27947">
        <w:rPr>
          <w:rFonts w:cs="Arial"/>
        </w:rPr>
        <w:t>4.3A</w:t>
      </w:r>
      <w:r w:rsidRPr="00F27947">
        <w:rPr>
          <w:rFonts w:cs="Arial"/>
        </w:rPr>
        <w:tab/>
        <w:t>Without prejudice to clause 4.3, the Academy Trust will ensure that it has and continues to have sufficient capacity and expertise to manage the finances of all academies within the federation.  The Academy Trust will ensure that any funding which relates to the PFI Academy shall be accounted for separately.</w:t>
      </w:r>
    </w:p>
    <w:p w14:paraId="1C2C5D7F" w14:textId="77777777" w:rsidR="00067F9F" w:rsidRPr="00F27947" w:rsidRDefault="00067F9F" w:rsidP="00067F9F">
      <w:pPr>
        <w:spacing w:line="360" w:lineRule="auto"/>
        <w:ind w:left="720" w:hanging="720"/>
        <w:rPr>
          <w:rFonts w:cs="Arial"/>
        </w:rPr>
      </w:pPr>
    </w:p>
    <w:p w14:paraId="6D0B7F97" w14:textId="77777777" w:rsidR="00067F9F" w:rsidRDefault="00067F9F" w:rsidP="00067F9F">
      <w:pPr>
        <w:numPr>
          <w:ilvl w:val="0"/>
          <w:numId w:val="36"/>
        </w:numPr>
        <w:spacing w:after="0" w:line="360" w:lineRule="auto"/>
        <w:rPr>
          <w:rFonts w:cs="Arial"/>
          <w:b/>
        </w:rPr>
      </w:pPr>
      <w:r w:rsidRPr="00A83330">
        <w:rPr>
          <w:rFonts w:cs="Arial"/>
          <w:b/>
        </w:rPr>
        <w:t xml:space="preserve">Insert new clause 4.5B, as follows:  </w:t>
      </w:r>
    </w:p>
    <w:p w14:paraId="6D2AB55F" w14:textId="77777777" w:rsidR="00067F9F" w:rsidRPr="00A83330" w:rsidRDefault="00067F9F" w:rsidP="00067F9F">
      <w:pPr>
        <w:spacing w:line="360" w:lineRule="auto"/>
        <w:ind w:left="360"/>
        <w:rPr>
          <w:rFonts w:cs="Arial"/>
          <w:b/>
        </w:rPr>
      </w:pPr>
    </w:p>
    <w:p w14:paraId="1A7CDE8C" w14:textId="77777777" w:rsidR="00067F9F" w:rsidRPr="00F27947" w:rsidRDefault="00067F9F" w:rsidP="00067F9F">
      <w:pPr>
        <w:spacing w:line="360" w:lineRule="auto"/>
        <w:ind w:left="720" w:hanging="720"/>
        <w:rPr>
          <w:rFonts w:cs="Arial"/>
        </w:rPr>
      </w:pPr>
      <w:r w:rsidRPr="00F27947">
        <w:rPr>
          <w:rFonts w:cs="Arial"/>
        </w:rPr>
        <w:t>4.5</w:t>
      </w:r>
      <w:r w:rsidRPr="00A83330">
        <w:rPr>
          <w:rFonts w:cs="Arial"/>
        </w:rPr>
        <w:t>B</w:t>
      </w:r>
      <w:r w:rsidRPr="00F27947">
        <w:rPr>
          <w:rFonts w:cs="Arial"/>
        </w:rPr>
        <w:tab/>
        <w:t>In complying with clauses 4.1 - 4.34 (inclusive), the Academy Trust will (where relevant) be obliged to provide information which relates to each PFI Academy in addition to information whic</w:t>
      </w:r>
      <w:r>
        <w:rPr>
          <w:rFonts w:cs="Arial"/>
        </w:rPr>
        <w:t xml:space="preserve">h relates to the Academy Trust </w:t>
      </w:r>
      <w:r w:rsidRPr="00F27947">
        <w:rPr>
          <w:rFonts w:cs="Arial"/>
        </w:rPr>
        <w:t xml:space="preserve">and any combined information which relates to </w:t>
      </w:r>
      <w:proofErr w:type="gramStart"/>
      <w:r w:rsidRPr="00F27947">
        <w:rPr>
          <w:rFonts w:cs="Arial"/>
        </w:rPr>
        <w:t>all of</w:t>
      </w:r>
      <w:proofErr w:type="gramEnd"/>
      <w:r w:rsidRPr="00F27947">
        <w:rPr>
          <w:rFonts w:cs="Arial"/>
        </w:rPr>
        <w:t xml:space="preserve"> the Academies that the Academy Trust operates.</w:t>
      </w:r>
      <w:r w:rsidRPr="00F27947">
        <w:rPr>
          <w:rStyle w:val="FootnoteReference"/>
          <w:rFonts w:cs="Arial"/>
        </w:rPr>
        <w:footnoteReference w:id="2"/>
      </w:r>
    </w:p>
    <w:p w14:paraId="43725D07" w14:textId="77777777" w:rsidR="00067F9F" w:rsidRPr="00F27947" w:rsidRDefault="00067F9F" w:rsidP="00067F9F">
      <w:pPr>
        <w:rPr>
          <w:rFonts w:cs="Arial"/>
        </w:rPr>
      </w:pPr>
    </w:p>
    <w:p w14:paraId="1567A9EA" w14:textId="77777777" w:rsidR="00067F9F" w:rsidRDefault="00067F9F" w:rsidP="00067F9F">
      <w:pPr>
        <w:pStyle w:val="DeptBullets"/>
        <w:numPr>
          <w:ilvl w:val="0"/>
          <w:numId w:val="0"/>
        </w:numPr>
        <w:rPr>
          <w:rFonts w:cs="Arial"/>
        </w:rPr>
        <w:sectPr w:rsidR="00067F9F" w:rsidSect="00F27947">
          <w:pgSz w:w="11909" w:h="16834" w:code="9"/>
          <w:pgMar w:top="1440" w:right="1440" w:bottom="1530" w:left="1440" w:header="709" w:footer="709" w:gutter="0"/>
          <w:cols w:space="708"/>
          <w:docGrid w:linePitch="299"/>
        </w:sectPr>
      </w:pPr>
    </w:p>
    <w:p w14:paraId="4AF655B5" w14:textId="1A1188FA" w:rsidR="00AF28C7" w:rsidRDefault="00AF28C7" w:rsidP="00AF28C7">
      <w:pPr>
        <w:pStyle w:val="Logos"/>
        <w:tabs>
          <w:tab w:val="right" w:pos="9498"/>
        </w:tabs>
      </w:pPr>
      <w:r>
        <w:lastRenderedPageBreak/>
        <w:drawing>
          <wp:inline distT="0" distB="0" distL="0" distR="0" wp14:anchorId="44C24562" wp14:editId="4901A128">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5B9A8D85" w14:textId="3558D79C" w:rsidR="009F41B6" w:rsidRDefault="009F41B6" w:rsidP="009F41B6">
      <w:pPr>
        <w:pStyle w:val="CopyrightSpacing"/>
      </w:pPr>
      <w:r>
        <w:t xml:space="preserve">© Crown copyright </w:t>
      </w:r>
      <w:r w:rsidR="00853670">
        <w:t>2021</w:t>
      </w:r>
    </w:p>
    <w:p w14:paraId="3275F797" w14:textId="67D35F64" w:rsidR="005A4AE2" w:rsidRPr="0090521B" w:rsidRDefault="009A602D"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xml:space="preserve">. Where we have identified any </w:t>
      </w:r>
      <w:proofErr w:type="gramStart"/>
      <w:r w:rsidRPr="0034222D">
        <w:t>third party</w:t>
      </w:r>
      <w:proofErr w:type="gramEnd"/>
      <w:r w:rsidRPr="0034222D">
        <w:t xml:space="preserve"> copyright information you will need to obtain permission from the copyright holders concerned.</w:t>
      </w:r>
    </w:p>
    <w:p w14:paraId="72A83578" w14:textId="4D79D92B" w:rsidR="005A4AE2" w:rsidRDefault="006155C4" w:rsidP="005A4AE2">
      <w:pPr>
        <w:pStyle w:val="LicenceIntro"/>
      </w:pPr>
      <w:r>
        <w:t xml:space="preserve">To view </w:t>
      </w:r>
      <w:r w:rsidR="005A4AE2">
        <w:t>this licence:</w:t>
      </w:r>
    </w:p>
    <w:p w14:paraId="7A9FBF1D" w14:textId="740DD1A8" w:rsidR="00F96EB7" w:rsidRDefault="005A4AE2" w:rsidP="005A4AE2">
      <w:pPr>
        <w:pStyle w:val="Licence"/>
      </w:pPr>
      <w:r>
        <w:t xml:space="preserve">visit </w:t>
      </w:r>
      <w:r>
        <w:tab/>
      </w:r>
      <w:hyperlink r:id="rId13" w:tooltip="Link to National Archives website" w:history="1">
        <w:r w:rsidR="00F96EB7">
          <w:rPr>
            <w:rStyle w:val="Hyperlink"/>
            <w:rFonts w:cs="Arial"/>
          </w:rPr>
          <w:t>www.nationalarchives.gov.uk/doc/open-government-licence/version/3</w:t>
        </w:r>
      </w:hyperlink>
      <w:r w:rsidR="00F96EB7">
        <w:rPr>
          <w:rFonts w:cs="Arial"/>
        </w:rPr>
        <w:t> </w:t>
      </w:r>
    </w:p>
    <w:p w14:paraId="4A85E209" w14:textId="77777777" w:rsidR="005A4AE2" w:rsidRDefault="005A4AE2" w:rsidP="005A4AE2">
      <w:pPr>
        <w:pStyle w:val="Licence"/>
        <w:rPr>
          <w:rStyle w:val="Hyperlink"/>
        </w:rPr>
      </w:pPr>
      <w:r>
        <w:t xml:space="preserve">email </w:t>
      </w:r>
      <w:r>
        <w:tab/>
      </w:r>
      <w:hyperlink r:id="rId14" w:tooltip="The National Archives' email address" w:history="1">
        <w:r>
          <w:rPr>
            <w:rStyle w:val="Hyperlink"/>
          </w:rPr>
          <w:t>psi@nationalarchives.gsi.gov.uk</w:t>
        </w:r>
      </w:hyperlink>
    </w:p>
    <w:p w14:paraId="32FF7C29" w14:textId="597AE021" w:rsidR="009A602D" w:rsidRDefault="009A602D" w:rsidP="005A4AE2">
      <w:pPr>
        <w:pStyle w:val="Licence"/>
      </w:pPr>
      <w:r>
        <w:t>write to</w:t>
      </w:r>
      <w:r>
        <w:tab/>
        <w:t>Information Policy Team, The National Archives, Kew, London, TW9 4DU</w:t>
      </w:r>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proofErr w:type="gramStart"/>
      <w:r>
        <w:t xml:space="preserve">enquiries  </w:t>
      </w:r>
      <w:r>
        <w:tab/>
      </w:r>
      <w:proofErr w:type="gramEnd"/>
      <w:hyperlink r:id="rId15" w:tooltip="Department for Education contact us list" w:history="1">
        <w:r>
          <w:rPr>
            <w:rStyle w:val="Hyperlink"/>
          </w:rPr>
          <w:t>www.education.gov.uk/contactus</w:t>
        </w:r>
      </w:hyperlink>
      <w:r>
        <w:t xml:space="preserve"> </w:t>
      </w:r>
    </w:p>
    <w:p w14:paraId="6599EA46" w14:textId="3FA3ECFB" w:rsidR="005A4AE2" w:rsidRDefault="005A4AE2" w:rsidP="005A4AE2">
      <w:pPr>
        <w:pStyle w:val="Licence"/>
      </w:pPr>
      <w:r>
        <w:t xml:space="preserve">download </w:t>
      </w:r>
      <w:r>
        <w:tab/>
      </w:r>
      <w:hyperlink r:id="rId16" w:tooltip="Link to GOV.UK list of publications" w:history="1">
        <w:r w:rsidR="006E22B1" w:rsidRPr="00D42B65">
          <w:rPr>
            <w:rStyle w:val="Hyperlink"/>
          </w:rPr>
          <w:t>www.gov.uk/government/publications</w:t>
        </w:r>
      </w:hyperlink>
      <w:r>
        <w:t xml:space="preserve"> </w:t>
      </w:r>
    </w:p>
    <w:p w14:paraId="5CBD7D89" w14:textId="77777777" w:rsidR="005A4AE2" w:rsidRPr="007D29D3" w:rsidRDefault="005A4AE2" w:rsidP="007D29D3">
      <w:pPr>
        <w:pStyle w:val="Reference"/>
      </w:pPr>
      <w:r w:rsidRPr="007D29D3">
        <w:t xml:space="preserve">Reference: </w:t>
      </w:r>
      <w:r w:rsidRPr="007D29D3">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18"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20" w:tooltip="Link the DfE on Facebook" w:history="1">
              <w:r w:rsidR="005A4AE2">
                <w:rPr>
                  <w:rStyle w:val="Hyperlink"/>
                </w:rPr>
                <w:t>facebook.com/educationgovuk</w:t>
              </w:r>
            </w:hyperlink>
          </w:p>
        </w:tc>
      </w:tr>
    </w:tbl>
    <w:p w14:paraId="451E048F" w14:textId="77777777" w:rsidR="009F41B6" w:rsidRDefault="009F41B6" w:rsidP="0090521B">
      <w:pPr>
        <w:pStyle w:val="CopyrightBox"/>
      </w:pPr>
    </w:p>
    <w:sectPr w:rsidR="009F41B6" w:rsidSect="00814D1A">
      <w:footerReference w:type="default" r:id="rId21"/>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8A3F" w14:textId="77777777" w:rsidR="00492B3A" w:rsidRDefault="00492B3A" w:rsidP="009F41B6">
      <w:r>
        <w:separator/>
      </w:r>
    </w:p>
    <w:p w14:paraId="66664DC7" w14:textId="77777777" w:rsidR="00492B3A" w:rsidRDefault="00492B3A" w:rsidP="009F41B6"/>
  </w:endnote>
  <w:endnote w:type="continuationSeparator" w:id="0">
    <w:p w14:paraId="33B26812" w14:textId="77777777" w:rsidR="00492B3A" w:rsidRDefault="00492B3A" w:rsidP="009F41B6">
      <w:r>
        <w:continuationSeparator/>
      </w:r>
    </w:p>
    <w:p w14:paraId="5E4F477D" w14:textId="77777777" w:rsidR="00492B3A" w:rsidRDefault="00492B3A"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02CC50FD" w14:textId="08B19DE3" w:rsidR="00D21B4A" w:rsidRDefault="00D21B4A" w:rsidP="005A65F5">
        <w:pPr>
          <w:pStyle w:val="Footer"/>
          <w:ind w:firstLine="4513"/>
        </w:pPr>
        <w:r>
          <w:fldChar w:fldCharType="begin"/>
        </w:r>
        <w:r>
          <w:instrText xml:space="preserve"> PAGE   \* MERGEFORMAT </w:instrText>
        </w:r>
        <w:r>
          <w:fldChar w:fldCharType="separate"/>
        </w:r>
        <w:r w:rsidR="0071588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5360" w14:textId="77777777" w:rsidR="00492B3A" w:rsidRDefault="00492B3A" w:rsidP="009F41B6">
      <w:r>
        <w:separator/>
      </w:r>
    </w:p>
    <w:p w14:paraId="481E50C2" w14:textId="77777777" w:rsidR="00492B3A" w:rsidRDefault="00492B3A" w:rsidP="009F41B6"/>
  </w:footnote>
  <w:footnote w:type="continuationSeparator" w:id="0">
    <w:p w14:paraId="62414C38" w14:textId="77777777" w:rsidR="00492B3A" w:rsidRDefault="00492B3A" w:rsidP="009F41B6">
      <w:r>
        <w:continuationSeparator/>
      </w:r>
    </w:p>
    <w:p w14:paraId="7E15E2DF" w14:textId="77777777" w:rsidR="00492B3A" w:rsidRDefault="00492B3A" w:rsidP="009F41B6"/>
  </w:footnote>
  <w:footnote w:id="1">
    <w:p w14:paraId="44EE3DB7" w14:textId="77777777" w:rsidR="00067F9F" w:rsidRPr="00BB31FC" w:rsidRDefault="00067F9F" w:rsidP="00067F9F">
      <w:pPr>
        <w:pStyle w:val="FootnoteText"/>
        <w:ind w:left="720" w:hanging="720"/>
        <w:rPr>
          <w:rFonts w:cs="Arial"/>
          <w:sz w:val="15"/>
          <w:szCs w:val="15"/>
        </w:rPr>
      </w:pPr>
      <w:r w:rsidRPr="00BB31FC">
        <w:rPr>
          <w:rStyle w:val="FootnoteReference"/>
          <w:rFonts w:cs="Arial"/>
          <w:sz w:val="15"/>
          <w:szCs w:val="15"/>
        </w:rPr>
        <w:footnoteRef/>
      </w:r>
      <w:r w:rsidRPr="00BB31FC">
        <w:rPr>
          <w:rFonts w:cs="Arial"/>
          <w:sz w:val="15"/>
          <w:szCs w:val="15"/>
        </w:rPr>
        <w:t xml:space="preserve"> </w:t>
      </w:r>
      <w:r w:rsidRPr="00BB31FC">
        <w:rPr>
          <w:rFonts w:cs="Arial"/>
          <w:sz w:val="15"/>
          <w:szCs w:val="15"/>
        </w:rPr>
        <w:tab/>
        <w:t>The aim of the additional drafting is to ensure that the cash flows for each PFI Academy are ring fenced and to minimise the risk of "blurring" of funding and cash flows between Academies.</w:t>
      </w:r>
    </w:p>
  </w:footnote>
  <w:footnote w:id="2">
    <w:p w14:paraId="02C268CE" w14:textId="77777777" w:rsidR="00067F9F" w:rsidRPr="00BB31FC" w:rsidRDefault="00067F9F" w:rsidP="00067F9F">
      <w:pPr>
        <w:pStyle w:val="FootnoteText"/>
        <w:ind w:left="720" w:hanging="720"/>
        <w:rPr>
          <w:rFonts w:cs="Arial"/>
          <w:sz w:val="15"/>
          <w:szCs w:val="15"/>
        </w:rPr>
      </w:pPr>
      <w:r w:rsidRPr="00BB31FC">
        <w:rPr>
          <w:rStyle w:val="FootnoteReference"/>
          <w:rFonts w:cs="Arial"/>
          <w:sz w:val="16"/>
          <w:szCs w:val="16"/>
        </w:rPr>
        <w:footnoteRef/>
      </w:r>
      <w:r w:rsidRPr="00BB31FC">
        <w:rPr>
          <w:rFonts w:cs="Arial"/>
          <w:sz w:val="16"/>
          <w:szCs w:val="16"/>
        </w:rPr>
        <w:t xml:space="preserve"> </w:t>
      </w:r>
      <w:r w:rsidRPr="00BB31FC">
        <w:rPr>
          <w:rFonts w:cs="Arial"/>
          <w:sz w:val="16"/>
          <w:szCs w:val="16"/>
        </w:rPr>
        <w:tab/>
      </w:r>
      <w:r w:rsidRPr="00BB31FC">
        <w:rPr>
          <w:rFonts w:cs="Arial"/>
          <w:sz w:val="15"/>
          <w:szCs w:val="15"/>
        </w:rPr>
        <w:t>The aim of this additional clause is to provide greater transparency to the Department in relation to the financial information for each PFI Academy and the Company as a whole.  This will be important when the parties are trying to</w:t>
      </w:r>
      <w:r w:rsidRPr="00BB31FC">
        <w:rPr>
          <w:rFonts w:cs="Arial"/>
          <w:sz w:val="16"/>
          <w:szCs w:val="16"/>
        </w:rPr>
        <w:t xml:space="preserve"> </w:t>
      </w:r>
      <w:r w:rsidRPr="00BB31FC">
        <w:rPr>
          <w:rFonts w:cs="Arial"/>
          <w:sz w:val="15"/>
          <w:szCs w:val="15"/>
        </w:rPr>
        <w:t>assess solvency</w:t>
      </w:r>
      <w:r w:rsidRPr="00BB31FC">
        <w:rPr>
          <w:rFonts w:cs="Arial"/>
          <w:sz w:val="16"/>
          <w:szCs w:val="16"/>
        </w:rPr>
        <w:t xml:space="preserve"> </w:t>
      </w:r>
      <w:r w:rsidRPr="00BB31FC">
        <w:rPr>
          <w:rFonts w:cs="Arial"/>
          <w:sz w:val="15"/>
          <w:szCs w:val="15"/>
        </w:rPr>
        <w:t>issues, for example, and the relationship to the Academy contribution to the PFI.</w:t>
      </w:r>
    </w:p>
    <w:p w14:paraId="773B59B6" w14:textId="77777777" w:rsidR="00067F9F" w:rsidRPr="00BB31FC" w:rsidRDefault="00067F9F" w:rsidP="00067F9F">
      <w:pPr>
        <w:pStyle w:val="FootnoteText"/>
        <w:ind w:left="720" w:hanging="720"/>
        <w:rPr>
          <w:rFonts w:cs="Arial"/>
          <w:sz w:val="15"/>
          <w:szCs w:val="15"/>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6F27CF8"/>
    <w:multiLevelType w:val="hybridMultilevel"/>
    <w:tmpl w:val="D1564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235672"/>
    <w:multiLevelType w:val="hybridMultilevel"/>
    <w:tmpl w:val="0DEC63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FC6559"/>
    <w:multiLevelType w:val="hybridMultilevel"/>
    <w:tmpl w:val="0DEC63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F519BA"/>
    <w:multiLevelType w:val="hybridMultilevel"/>
    <w:tmpl w:val="9EB86B60"/>
    <w:lvl w:ilvl="0" w:tplc="3EEAFAFA">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C5240"/>
    <w:multiLevelType w:val="multilevel"/>
    <w:tmpl w:val="6F44E5E8"/>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0"/>
  </w:num>
  <w:num w:numId="3">
    <w:abstractNumId w:val="6"/>
  </w:num>
  <w:num w:numId="4">
    <w:abstractNumId w:val="0"/>
  </w:num>
  <w:num w:numId="5">
    <w:abstractNumId w:val="14"/>
  </w:num>
  <w:num w:numId="6">
    <w:abstractNumId w:val="5"/>
  </w:num>
  <w:num w:numId="7">
    <w:abstractNumId w:val="16"/>
  </w:num>
  <w:num w:numId="8">
    <w:abstractNumId w:val="17"/>
  </w:num>
  <w:num w:numId="9">
    <w:abstractNumId w:val="2"/>
  </w:num>
  <w:num w:numId="10">
    <w:abstractNumId w:val="1"/>
  </w:num>
  <w:num w:numId="11">
    <w:abstractNumId w:val="12"/>
  </w:num>
  <w:num w:numId="12">
    <w:abstractNumId w:val="27"/>
  </w:num>
  <w:num w:numId="13">
    <w:abstractNumId w:val="3"/>
  </w:num>
  <w:num w:numId="14">
    <w:abstractNumId w:val="11"/>
  </w:num>
  <w:num w:numId="15">
    <w:abstractNumId w:val="2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10"/>
  </w:num>
  <w:num w:numId="20">
    <w:abstractNumId w:val="23"/>
  </w:num>
  <w:num w:numId="21">
    <w:abstractNumId w:val="17"/>
  </w:num>
  <w:num w:numId="22">
    <w:abstractNumId w:val="22"/>
  </w:num>
  <w:num w:numId="23">
    <w:abstractNumId w:val="17"/>
  </w:num>
  <w:num w:numId="24">
    <w:abstractNumId w:val="7"/>
  </w:num>
  <w:num w:numId="25">
    <w:abstractNumId w:val="13"/>
  </w:num>
  <w:num w:numId="26">
    <w:abstractNumId w:val="25"/>
  </w:num>
  <w:num w:numId="27">
    <w:abstractNumId w:val="8"/>
  </w:num>
  <w:num w:numId="28">
    <w:abstractNumId w:val="10"/>
  </w:num>
  <w:num w:numId="29">
    <w:abstractNumId w:val="20"/>
  </w:num>
  <w:num w:numId="30">
    <w:abstractNumId w:val="17"/>
  </w:num>
  <w:num w:numId="31">
    <w:abstractNumId w:val="28"/>
  </w:num>
  <w:num w:numId="32">
    <w:abstractNumId w:val="15"/>
  </w:num>
  <w:num w:numId="33">
    <w:abstractNumId w:val="19"/>
  </w:num>
  <w:num w:numId="34">
    <w:abstractNumId w:val="26"/>
  </w:num>
  <w:num w:numId="35">
    <w:abstractNumId w:val="21"/>
  </w:num>
  <w:num w:numId="3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11A88"/>
    <w:rsid w:val="00013A6E"/>
    <w:rsid w:val="0002203B"/>
    <w:rsid w:val="000238F8"/>
    <w:rsid w:val="00023913"/>
    <w:rsid w:val="00030ABD"/>
    <w:rsid w:val="00031F36"/>
    <w:rsid w:val="000442BD"/>
    <w:rsid w:val="00051E2E"/>
    <w:rsid w:val="00053503"/>
    <w:rsid w:val="00057100"/>
    <w:rsid w:val="00066B1C"/>
    <w:rsid w:val="00067F9F"/>
    <w:rsid w:val="0007258F"/>
    <w:rsid w:val="00074179"/>
    <w:rsid w:val="00083A73"/>
    <w:rsid w:val="00094DDC"/>
    <w:rsid w:val="00095901"/>
    <w:rsid w:val="000A10F4"/>
    <w:rsid w:val="000A74A7"/>
    <w:rsid w:val="000B3DE0"/>
    <w:rsid w:val="000B4A3E"/>
    <w:rsid w:val="000D1D30"/>
    <w:rsid w:val="000D4433"/>
    <w:rsid w:val="000D5697"/>
    <w:rsid w:val="000E3350"/>
    <w:rsid w:val="000F1A98"/>
    <w:rsid w:val="000F22D0"/>
    <w:rsid w:val="000F73F3"/>
    <w:rsid w:val="00103E77"/>
    <w:rsid w:val="00113E8C"/>
    <w:rsid w:val="0011494F"/>
    <w:rsid w:val="00121C6C"/>
    <w:rsid w:val="001321D2"/>
    <w:rsid w:val="00133075"/>
    <w:rsid w:val="001438CE"/>
    <w:rsid w:val="00147214"/>
    <w:rsid w:val="00152A3A"/>
    <w:rsid w:val="001540AB"/>
    <w:rsid w:val="00155ECC"/>
    <w:rsid w:val="0015796F"/>
    <w:rsid w:val="001615DF"/>
    <w:rsid w:val="00161A13"/>
    <w:rsid w:val="001638EE"/>
    <w:rsid w:val="00171F6B"/>
    <w:rsid w:val="00174104"/>
    <w:rsid w:val="001747E2"/>
    <w:rsid w:val="00176EB9"/>
    <w:rsid w:val="001876EE"/>
    <w:rsid w:val="00190C3A"/>
    <w:rsid w:val="00196306"/>
    <w:rsid w:val="001A3A04"/>
    <w:rsid w:val="001B2AE2"/>
    <w:rsid w:val="001B4452"/>
    <w:rsid w:val="001B5C15"/>
    <w:rsid w:val="001B796F"/>
    <w:rsid w:val="001C4E9C"/>
    <w:rsid w:val="001C55FC"/>
    <w:rsid w:val="001C5A63"/>
    <w:rsid w:val="001C5EB6"/>
    <w:rsid w:val="001D09EC"/>
    <w:rsid w:val="001D5770"/>
    <w:rsid w:val="001E3581"/>
    <w:rsid w:val="00203ACA"/>
    <w:rsid w:val="00203EC9"/>
    <w:rsid w:val="00210E6D"/>
    <w:rsid w:val="002113CF"/>
    <w:rsid w:val="00214378"/>
    <w:rsid w:val="00214713"/>
    <w:rsid w:val="00214D24"/>
    <w:rsid w:val="0022255C"/>
    <w:rsid w:val="0022489D"/>
    <w:rsid w:val="002262F3"/>
    <w:rsid w:val="00230559"/>
    <w:rsid w:val="002332F8"/>
    <w:rsid w:val="00234F75"/>
    <w:rsid w:val="0024044F"/>
    <w:rsid w:val="00240F4B"/>
    <w:rsid w:val="002575C5"/>
    <w:rsid w:val="002634E2"/>
    <w:rsid w:val="0027230F"/>
    <w:rsid w:val="0027252F"/>
    <w:rsid w:val="00273718"/>
    <w:rsid w:val="002839B5"/>
    <w:rsid w:val="00287788"/>
    <w:rsid w:val="00292DED"/>
    <w:rsid w:val="002A28F7"/>
    <w:rsid w:val="002A3153"/>
    <w:rsid w:val="002B2775"/>
    <w:rsid w:val="002B75FF"/>
    <w:rsid w:val="002C3AA4"/>
    <w:rsid w:val="002D4B69"/>
    <w:rsid w:val="002E463F"/>
    <w:rsid w:val="002E4E9A"/>
    <w:rsid w:val="002E508B"/>
    <w:rsid w:val="002E5F9F"/>
    <w:rsid w:val="002E7368"/>
    <w:rsid w:val="002E7849"/>
    <w:rsid w:val="002F15EE"/>
    <w:rsid w:val="002F6A4F"/>
    <w:rsid w:val="002F7128"/>
    <w:rsid w:val="00300F99"/>
    <w:rsid w:val="003154AC"/>
    <w:rsid w:val="00316DD9"/>
    <w:rsid w:val="00323776"/>
    <w:rsid w:val="00325D84"/>
    <w:rsid w:val="0034222D"/>
    <w:rsid w:val="00361752"/>
    <w:rsid w:val="00361FE6"/>
    <w:rsid w:val="00374981"/>
    <w:rsid w:val="003810D8"/>
    <w:rsid w:val="003853A4"/>
    <w:rsid w:val="003A01C4"/>
    <w:rsid w:val="003A1CC2"/>
    <w:rsid w:val="003C60B5"/>
    <w:rsid w:val="003D1EFE"/>
    <w:rsid w:val="003D764C"/>
    <w:rsid w:val="003E129B"/>
    <w:rsid w:val="003E1329"/>
    <w:rsid w:val="003E4B03"/>
    <w:rsid w:val="003F63E0"/>
    <w:rsid w:val="003F751E"/>
    <w:rsid w:val="00401DDB"/>
    <w:rsid w:val="00407032"/>
    <w:rsid w:val="0041211C"/>
    <w:rsid w:val="00416220"/>
    <w:rsid w:val="00421F3D"/>
    <w:rsid w:val="004242C5"/>
    <w:rsid w:val="00424503"/>
    <w:rsid w:val="0043261E"/>
    <w:rsid w:val="004339FB"/>
    <w:rsid w:val="00445E79"/>
    <w:rsid w:val="004509BE"/>
    <w:rsid w:val="004572EE"/>
    <w:rsid w:val="00467BC5"/>
    <w:rsid w:val="00470223"/>
    <w:rsid w:val="00471FEE"/>
    <w:rsid w:val="004726CF"/>
    <w:rsid w:val="004866AD"/>
    <w:rsid w:val="00492B3A"/>
    <w:rsid w:val="004931E4"/>
    <w:rsid w:val="004A25DF"/>
    <w:rsid w:val="004A6B35"/>
    <w:rsid w:val="004B07A0"/>
    <w:rsid w:val="004B13CB"/>
    <w:rsid w:val="004B19E5"/>
    <w:rsid w:val="004B2799"/>
    <w:rsid w:val="004B4394"/>
    <w:rsid w:val="004B6B92"/>
    <w:rsid w:val="004D0B5A"/>
    <w:rsid w:val="004D13A3"/>
    <w:rsid w:val="004E6CD9"/>
    <w:rsid w:val="004F20E3"/>
    <w:rsid w:val="004F211A"/>
    <w:rsid w:val="004F3159"/>
    <w:rsid w:val="004F4AEF"/>
    <w:rsid w:val="004F5377"/>
    <w:rsid w:val="004F70A9"/>
    <w:rsid w:val="0052566B"/>
    <w:rsid w:val="00536E0B"/>
    <w:rsid w:val="00550E2B"/>
    <w:rsid w:val="005535E5"/>
    <w:rsid w:val="00553E4E"/>
    <w:rsid w:val="005552BF"/>
    <w:rsid w:val="00560451"/>
    <w:rsid w:val="00562261"/>
    <w:rsid w:val="0056283E"/>
    <w:rsid w:val="005637D7"/>
    <w:rsid w:val="00566C31"/>
    <w:rsid w:val="005711A4"/>
    <w:rsid w:val="0057250B"/>
    <w:rsid w:val="00574294"/>
    <w:rsid w:val="005749C5"/>
    <w:rsid w:val="0057670A"/>
    <w:rsid w:val="00581D79"/>
    <w:rsid w:val="00585490"/>
    <w:rsid w:val="005905B1"/>
    <w:rsid w:val="005914F1"/>
    <w:rsid w:val="0059494A"/>
    <w:rsid w:val="005A07FF"/>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D415A"/>
    <w:rsid w:val="005E3379"/>
    <w:rsid w:val="005F107C"/>
    <w:rsid w:val="00602008"/>
    <w:rsid w:val="006063D5"/>
    <w:rsid w:val="0060702F"/>
    <w:rsid w:val="006108B3"/>
    <w:rsid w:val="00611F91"/>
    <w:rsid w:val="006155C4"/>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14D7"/>
    <w:rsid w:val="0068544D"/>
    <w:rsid w:val="00695D08"/>
    <w:rsid w:val="00695DAB"/>
    <w:rsid w:val="006A27AA"/>
    <w:rsid w:val="006A3602"/>
    <w:rsid w:val="006B1F9F"/>
    <w:rsid w:val="006C1CCA"/>
    <w:rsid w:val="006C382D"/>
    <w:rsid w:val="006D1162"/>
    <w:rsid w:val="006D67EB"/>
    <w:rsid w:val="006E22B1"/>
    <w:rsid w:val="006E7F39"/>
    <w:rsid w:val="006F1F96"/>
    <w:rsid w:val="006F6DC9"/>
    <w:rsid w:val="00700337"/>
    <w:rsid w:val="00700B01"/>
    <w:rsid w:val="00702EBF"/>
    <w:rsid w:val="00713414"/>
    <w:rsid w:val="00715880"/>
    <w:rsid w:val="00730350"/>
    <w:rsid w:val="00730EF3"/>
    <w:rsid w:val="0073516C"/>
    <w:rsid w:val="007403F5"/>
    <w:rsid w:val="007426B3"/>
    <w:rsid w:val="00743353"/>
    <w:rsid w:val="00745C9F"/>
    <w:rsid w:val="00747CD7"/>
    <w:rsid w:val="0075096B"/>
    <w:rsid w:val="00751648"/>
    <w:rsid w:val="00752FA5"/>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1326"/>
    <w:rsid w:val="007A2250"/>
    <w:rsid w:val="007A5759"/>
    <w:rsid w:val="007B3CFE"/>
    <w:rsid w:val="007B4807"/>
    <w:rsid w:val="007C2A01"/>
    <w:rsid w:val="007C321D"/>
    <w:rsid w:val="007C41A5"/>
    <w:rsid w:val="007C58BE"/>
    <w:rsid w:val="007C7EEE"/>
    <w:rsid w:val="007D0537"/>
    <w:rsid w:val="007D080B"/>
    <w:rsid w:val="007D29D3"/>
    <w:rsid w:val="007E06DD"/>
    <w:rsid w:val="007E35BC"/>
    <w:rsid w:val="007F1ACB"/>
    <w:rsid w:val="007F670A"/>
    <w:rsid w:val="007F7235"/>
    <w:rsid w:val="00814D1A"/>
    <w:rsid w:val="008168A2"/>
    <w:rsid w:val="00816E77"/>
    <w:rsid w:val="0081799D"/>
    <w:rsid w:val="00821CD3"/>
    <w:rsid w:val="00824E92"/>
    <w:rsid w:val="00827FF1"/>
    <w:rsid w:val="00831263"/>
    <w:rsid w:val="00831DB7"/>
    <w:rsid w:val="00832EBF"/>
    <w:rsid w:val="008366CB"/>
    <w:rsid w:val="00837F3A"/>
    <w:rsid w:val="008419B8"/>
    <w:rsid w:val="00843272"/>
    <w:rsid w:val="008515CE"/>
    <w:rsid w:val="00853670"/>
    <w:rsid w:val="008620F3"/>
    <w:rsid w:val="00863986"/>
    <w:rsid w:val="00866257"/>
    <w:rsid w:val="00874F24"/>
    <w:rsid w:val="00876230"/>
    <w:rsid w:val="00877D5B"/>
    <w:rsid w:val="00877ECD"/>
    <w:rsid w:val="00886B1E"/>
    <w:rsid w:val="0089094C"/>
    <w:rsid w:val="008A4179"/>
    <w:rsid w:val="008A460D"/>
    <w:rsid w:val="008A4CD5"/>
    <w:rsid w:val="008A588F"/>
    <w:rsid w:val="008A644A"/>
    <w:rsid w:val="008B05BD"/>
    <w:rsid w:val="008B0C03"/>
    <w:rsid w:val="008B0DD1"/>
    <w:rsid w:val="008B1297"/>
    <w:rsid w:val="008B250D"/>
    <w:rsid w:val="008B427B"/>
    <w:rsid w:val="008B6009"/>
    <w:rsid w:val="008B798F"/>
    <w:rsid w:val="008C0678"/>
    <w:rsid w:val="008C0E01"/>
    <w:rsid w:val="008C46DC"/>
    <w:rsid w:val="008D15AA"/>
    <w:rsid w:val="008D6968"/>
    <w:rsid w:val="008E3B15"/>
    <w:rsid w:val="008E3F07"/>
    <w:rsid w:val="008E4B40"/>
    <w:rsid w:val="008E5F36"/>
    <w:rsid w:val="008F0087"/>
    <w:rsid w:val="008F2757"/>
    <w:rsid w:val="008F2E4F"/>
    <w:rsid w:val="008F3E80"/>
    <w:rsid w:val="008F6CA2"/>
    <w:rsid w:val="008F6F8B"/>
    <w:rsid w:val="008F7436"/>
    <w:rsid w:val="0090521B"/>
    <w:rsid w:val="009055E4"/>
    <w:rsid w:val="00917E9C"/>
    <w:rsid w:val="0092379D"/>
    <w:rsid w:val="00924E3D"/>
    <w:rsid w:val="00925160"/>
    <w:rsid w:val="0092542E"/>
    <w:rsid w:val="00951C56"/>
    <w:rsid w:val="00955907"/>
    <w:rsid w:val="0095599F"/>
    <w:rsid w:val="00956CF7"/>
    <w:rsid w:val="0096424B"/>
    <w:rsid w:val="00964520"/>
    <w:rsid w:val="009716FA"/>
    <w:rsid w:val="00984AA8"/>
    <w:rsid w:val="00985088"/>
    <w:rsid w:val="0098648B"/>
    <w:rsid w:val="009A244C"/>
    <w:rsid w:val="009A602D"/>
    <w:rsid w:val="009B0DAA"/>
    <w:rsid w:val="009B32FA"/>
    <w:rsid w:val="009C13DC"/>
    <w:rsid w:val="009C4A6D"/>
    <w:rsid w:val="009C73CF"/>
    <w:rsid w:val="009C7FB2"/>
    <w:rsid w:val="009D24C3"/>
    <w:rsid w:val="009E00AE"/>
    <w:rsid w:val="009E09D3"/>
    <w:rsid w:val="009E6E74"/>
    <w:rsid w:val="009F41B6"/>
    <w:rsid w:val="00A01CAC"/>
    <w:rsid w:val="00A0665A"/>
    <w:rsid w:val="00A07AC7"/>
    <w:rsid w:val="00A15FD8"/>
    <w:rsid w:val="00A30BA1"/>
    <w:rsid w:val="00A37DEE"/>
    <w:rsid w:val="00A433C3"/>
    <w:rsid w:val="00A50806"/>
    <w:rsid w:val="00A54BB7"/>
    <w:rsid w:val="00A5643A"/>
    <w:rsid w:val="00A5723C"/>
    <w:rsid w:val="00A60D43"/>
    <w:rsid w:val="00A66499"/>
    <w:rsid w:val="00A707A4"/>
    <w:rsid w:val="00A7274B"/>
    <w:rsid w:val="00A73FB8"/>
    <w:rsid w:val="00A763CB"/>
    <w:rsid w:val="00A772FF"/>
    <w:rsid w:val="00A801D1"/>
    <w:rsid w:val="00A805AE"/>
    <w:rsid w:val="00A81F69"/>
    <w:rsid w:val="00A91CB0"/>
    <w:rsid w:val="00A93FC0"/>
    <w:rsid w:val="00A95D3F"/>
    <w:rsid w:val="00AA000B"/>
    <w:rsid w:val="00AA3484"/>
    <w:rsid w:val="00AA7E7B"/>
    <w:rsid w:val="00AB1AF9"/>
    <w:rsid w:val="00AB6D0F"/>
    <w:rsid w:val="00AB7858"/>
    <w:rsid w:val="00AC61A6"/>
    <w:rsid w:val="00AD1DD2"/>
    <w:rsid w:val="00AD2062"/>
    <w:rsid w:val="00AD2F1D"/>
    <w:rsid w:val="00AD6CF9"/>
    <w:rsid w:val="00AE1E46"/>
    <w:rsid w:val="00AE5177"/>
    <w:rsid w:val="00AE5FDE"/>
    <w:rsid w:val="00AE7553"/>
    <w:rsid w:val="00AF0989"/>
    <w:rsid w:val="00AF28C7"/>
    <w:rsid w:val="00AF785C"/>
    <w:rsid w:val="00B05DDC"/>
    <w:rsid w:val="00B1029F"/>
    <w:rsid w:val="00B11532"/>
    <w:rsid w:val="00B3498C"/>
    <w:rsid w:val="00B34F49"/>
    <w:rsid w:val="00B35EEF"/>
    <w:rsid w:val="00B43CAD"/>
    <w:rsid w:val="00B51536"/>
    <w:rsid w:val="00B55A49"/>
    <w:rsid w:val="00B55B44"/>
    <w:rsid w:val="00B64265"/>
    <w:rsid w:val="00B67F76"/>
    <w:rsid w:val="00B70EFF"/>
    <w:rsid w:val="00B7558C"/>
    <w:rsid w:val="00B85794"/>
    <w:rsid w:val="00B9194F"/>
    <w:rsid w:val="00BA003B"/>
    <w:rsid w:val="00BA2625"/>
    <w:rsid w:val="00BB0242"/>
    <w:rsid w:val="00BB05E2"/>
    <w:rsid w:val="00BB7C04"/>
    <w:rsid w:val="00BD1111"/>
    <w:rsid w:val="00BD26B6"/>
    <w:rsid w:val="00BD7DF4"/>
    <w:rsid w:val="00BE01C6"/>
    <w:rsid w:val="00BE22B3"/>
    <w:rsid w:val="00BE4DAC"/>
    <w:rsid w:val="00BF13F8"/>
    <w:rsid w:val="00BF68F1"/>
    <w:rsid w:val="00C01CFF"/>
    <w:rsid w:val="00C02C7D"/>
    <w:rsid w:val="00C073B9"/>
    <w:rsid w:val="00C1494D"/>
    <w:rsid w:val="00C15B78"/>
    <w:rsid w:val="00C2207B"/>
    <w:rsid w:val="00C46129"/>
    <w:rsid w:val="00C529E8"/>
    <w:rsid w:val="00C57DD5"/>
    <w:rsid w:val="00C6013F"/>
    <w:rsid w:val="00C63537"/>
    <w:rsid w:val="00C66273"/>
    <w:rsid w:val="00C6636B"/>
    <w:rsid w:val="00C71561"/>
    <w:rsid w:val="00C71E70"/>
    <w:rsid w:val="00C75A77"/>
    <w:rsid w:val="00C8124F"/>
    <w:rsid w:val="00C81513"/>
    <w:rsid w:val="00C84637"/>
    <w:rsid w:val="00C9157E"/>
    <w:rsid w:val="00C92AD3"/>
    <w:rsid w:val="00C92F15"/>
    <w:rsid w:val="00C93999"/>
    <w:rsid w:val="00CA04F2"/>
    <w:rsid w:val="00CA1009"/>
    <w:rsid w:val="00CA30B4"/>
    <w:rsid w:val="00CA4180"/>
    <w:rsid w:val="00CA72FC"/>
    <w:rsid w:val="00CB56F5"/>
    <w:rsid w:val="00CB6E04"/>
    <w:rsid w:val="00CC2512"/>
    <w:rsid w:val="00CC4C58"/>
    <w:rsid w:val="00CC547F"/>
    <w:rsid w:val="00CD5D21"/>
    <w:rsid w:val="00CE0E9F"/>
    <w:rsid w:val="00CE40D7"/>
    <w:rsid w:val="00CE5F52"/>
    <w:rsid w:val="00CE7906"/>
    <w:rsid w:val="00CF0E19"/>
    <w:rsid w:val="00CF78AB"/>
    <w:rsid w:val="00D05342"/>
    <w:rsid w:val="00D2041A"/>
    <w:rsid w:val="00D21B4A"/>
    <w:rsid w:val="00D27D9B"/>
    <w:rsid w:val="00D376DB"/>
    <w:rsid w:val="00D40C80"/>
    <w:rsid w:val="00D40DE9"/>
    <w:rsid w:val="00D41212"/>
    <w:rsid w:val="00D42B45"/>
    <w:rsid w:val="00D44E15"/>
    <w:rsid w:val="00D55BDC"/>
    <w:rsid w:val="00D57CFC"/>
    <w:rsid w:val="00D64A19"/>
    <w:rsid w:val="00D660A1"/>
    <w:rsid w:val="00D66FFC"/>
    <w:rsid w:val="00D71F30"/>
    <w:rsid w:val="00D736C0"/>
    <w:rsid w:val="00D848F4"/>
    <w:rsid w:val="00D87AAE"/>
    <w:rsid w:val="00D92274"/>
    <w:rsid w:val="00D94339"/>
    <w:rsid w:val="00D9707F"/>
    <w:rsid w:val="00DA1F8E"/>
    <w:rsid w:val="00DA57A4"/>
    <w:rsid w:val="00DB0D07"/>
    <w:rsid w:val="00DC0350"/>
    <w:rsid w:val="00DC39E8"/>
    <w:rsid w:val="00DC4922"/>
    <w:rsid w:val="00DC4950"/>
    <w:rsid w:val="00DC585C"/>
    <w:rsid w:val="00DD3A4E"/>
    <w:rsid w:val="00DD51B7"/>
    <w:rsid w:val="00DD699B"/>
    <w:rsid w:val="00DD788A"/>
    <w:rsid w:val="00DE2205"/>
    <w:rsid w:val="00DE6998"/>
    <w:rsid w:val="00DE7ADE"/>
    <w:rsid w:val="00DF0054"/>
    <w:rsid w:val="00DF3309"/>
    <w:rsid w:val="00DF5124"/>
    <w:rsid w:val="00DF7F39"/>
    <w:rsid w:val="00E1702C"/>
    <w:rsid w:val="00E2257D"/>
    <w:rsid w:val="00E22EE8"/>
    <w:rsid w:val="00E23ABB"/>
    <w:rsid w:val="00E23E99"/>
    <w:rsid w:val="00E3093A"/>
    <w:rsid w:val="00E33078"/>
    <w:rsid w:val="00E335AB"/>
    <w:rsid w:val="00E33AB6"/>
    <w:rsid w:val="00E35C31"/>
    <w:rsid w:val="00E379D9"/>
    <w:rsid w:val="00E4012C"/>
    <w:rsid w:val="00E42A8F"/>
    <w:rsid w:val="00E50AA2"/>
    <w:rsid w:val="00E5223F"/>
    <w:rsid w:val="00E52718"/>
    <w:rsid w:val="00E6185D"/>
    <w:rsid w:val="00E66B4F"/>
    <w:rsid w:val="00E741D5"/>
    <w:rsid w:val="00E74474"/>
    <w:rsid w:val="00E76CA9"/>
    <w:rsid w:val="00E82FDC"/>
    <w:rsid w:val="00E87A6A"/>
    <w:rsid w:val="00E9232A"/>
    <w:rsid w:val="00EA0C7A"/>
    <w:rsid w:val="00EA4D1B"/>
    <w:rsid w:val="00EB1D11"/>
    <w:rsid w:val="00EB281B"/>
    <w:rsid w:val="00EC1C50"/>
    <w:rsid w:val="00ED3D05"/>
    <w:rsid w:val="00ED5025"/>
    <w:rsid w:val="00EE5713"/>
    <w:rsid w:val="00EE64AE"/>
    <w:rsid w:val="00EE715F"/>
    <w:rsid w:val="00F06445"/>
    <w:rsid w:val="00F07114"/>
    <w:rsid w:val="00F206A7"/>
    <w:rsid w:val="00F3105E"/>
    <w:rsid w:val="00F31AAB"/>
    <w:rsid w:val="00F41591"/>
    <w:rsid w:val="00F41A63"/>
    <w:rsid w:val="00F45BEB"/>
    <w:rsid w:val="00F54523"/>
    <w:rsid w:val="00F70793"/>
    <w:rsid w:val="00F84544"/>
    <w:rsid w:val="00F90552"/>
    <w:rsid w:val="00F908B7"/>
    <w:rsid w:val="00F954FA"/>
    <w:rsid w:val="00F95B1F"/>
    <w:rsid w:val="00F96EB7"/>
    <w:rsid w:val="00FA05B2"/>
    <w:rsid w:val="00FA0889"/>
    <w:rsid w:val="00FA1E17"/>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15:docId w15:val="{0BC8C367-E836-4D93-A270-383D7C3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984AA8"/>
    <w:pPr>
      <w:numPr>
        <w:numId w:val="25"/>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MarginText">
    <w:name w:val="Margin Text"/>
    <w:basedOn w:val="Normal"/>
    <w:rsid w:val="00964520"/>
    <w:pPr>
      <w:adjustRightInd w:val="0"/>
      <w:spacing w:line="240" w:lineRule="auto"/>
      <w:jc w:val="both"/>
    </w:pPr>
    <w:rPr>
      <w:rFonts w:ascii="Times New Roman" w:eastAsia="STZhongsong" w:hAnsi="Times New Roman"/>
      <w:color w:val="auto"/>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60403634">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213940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tionalarchives.gov.uk/doc/open-government-licence/version/3/" TargetMode="External"/><Relationship Id="rId18" Type="http://schemas.openxmlformats.org/officeDocument/2006/relationships/hyperlink" Target="http://twitter.com/education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gov.uk/government/publications" TargetMode="External"/><Relationship Id="rId20"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gov.uk/contactu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si@nationalarchives.gsi.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22</Value>
    </TaxCatchAll>
    <b962fa6561134209874b0815e76aae7c xmlns="82b4b97f-3b4d-4bb7-aad4-f77766b7bdea">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60b3cc5e-d979-4a7a-b73d-c058e341a548</TermId>
        </TermInfo>
      </Terms>
    </b962fa6561134209874b0815e76aae7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5F42F2DAFE93409CE4E5958F9F661B" ma:contentTypeVersion="14" ma:contentTypeDescription="Create a new document." ma:contentTypeScope="" ma:versionID="4e09d9577238b8bbcd1d2aead555f3a1">
  <xsd:schema xmlns:xsd="http://www.w3.org/2001/XMLSchema" xmlns:xs="http://www.w3.org/2001/XMLSchema" xmlns:p="http://schemas.microsoft.com/office/2006/metadata/properties" xmlns:ns2="82b4b97f-3b4d-4bb7-aad4-f77766b7bdea" xmlns:ns3="8c566321-f672-4e06-a901-b5e72b4c4357" xmlns:ns4="3e6f50ff-b2bd-4ead-97be-f094b4e56330" targetNamespace="http://schemas.microsoft.com/office/2006/metadata/properties" ma:root="true" ma:fieldsID="4c2f141cba80bd9cf6cecd8f3b34c029" ns2:_="" ns3:_="" ns4:_="">
    <xsd:import namespace="82b4b97f-3b4d-4bb7-aad4-f77766b7bdea"/>
    <xsd:import namespace="8c566321-f672-4e06-a901-b5e72b4c4357"/>
    <xsd:import namespace="3e6f50ff-b2bd-4ead-97be-f094b4e56330"/>
    <xsd:element name="properties">
      <xsd:complexType>
        <xsd:sequence>
          <xsd:element name="documentManagement">
            <xsd:complexType>
              <xsd:all>
                <xsd:element ref="ns2:b962fa6561134209874b0815e76aae7c"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b97f-3b4d-4bb7-aad4-f77766b7bdea" elementFormDefault="qualified">
    <xsd:import namespace="http://schemas.microsoft.com/office/2006/documentManagement/types"/>
    <xsd:import namespace="http://schemas.microsoft.com/office/infopath/2007/PartnerControls"/>
    <xsd:element name="b962fa6561134209874b0815e76aae7c" ma:index="9" ma:taxonomy="true" ma:internalName="b962fa6561134209874b0815e76aae7c" ma:taxonomyFieldName="Site" ma:displayName="Site" ma:default="" ma:fieldId="{b962fa65-6113-4209-874b-0815e76aae7c}" ma:sspId="ec07c698-60f5-424f-b9af-f4c59398b511" ma:termSetId="b10af32c-01b2-40fb-a9f3-8ca31a92eb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216af-9e6f-46f8-b438-58309341b124}" ma:internalName="TaxCatchAll" ma:showField="CatchAllData" ma:web="3e6f50ff-b2bd-4ead-97be-f094b4e563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f50ff-b2bd-4ead-97be-f094b4e56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8c566321-f672-4e06-a901-b5e72b4c4357"/>
    <ds:schemaRef ds:uri="82b4b97f-3b4d-4bb7-aad4-f77766b7bdea"/>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BFFC7DD8-05C3-4429-BC14-896A158E4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b97f-3b4d-4bb7-aad4-f77766b7bdea"/>
    <ds:schemaRef ds:uri="8c566321-f672-4e06-a901-b5e72b4c4357"/>
    <ds:schemaRef ds:uri="3e6f50ff-b2bd-4ead-97be-f094b4e5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FE541E-BF5E-4315-8C88-371E7E51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5784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MCCANN, Elizabeth</cp:lastModifiedBy>
  <cp:revision>21</cp:revision>
  <cp:lastPrinted>2014-09-17T13:26:00Z</cp:lastPrinted>
  <dcterms:created xsi:type="dcterms:W3CDTF">2021-12-20T16:03:00Z</dcterms:created>
  <dcterms:modified xsi:type="dcterms:W3CDTF">2021-12-21T14:19:00Z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